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07FDD">
      <w:pPr>
        <w:pStyle w:val="24"/>
        <w:adjustRightInd w:val="0"/>
        <w:snapToGrid w:val="0"/>
        <w:spacing w:line="360" w:lineRule="auto"/>
        <w:ind w:left="0" w:leftChars="0" w:firstLine="0" w:firstLineChars="0"/>
        <w:jc w:val="center"/>
        <w:rPr>
          <w:rFonts w:hint="eastAsia" w:ascii="Times New Roman" w:hAnsi="Times New Roman" w:eastAsia="宋体" w:cs="Times New Roman"/>
          <w:b/>
          <w:sz w:val="32"/>
          <w:lang w:eastAsia="zh-CN"/>
        </w:rPr>
      </w:pPr>
    </w:p>
    <w:p w14:paraId="754A84F8">
      <w:pPr>
        <w:pStyle w:val="24"/>
        <w:adjustRightInd w:val="0"/>
        <w:snapToGrid w:val="0"/>
        <w:spacing w:line="360" w:lineRule="auto"/>
        <w:ind w:left="0" w:leftChars="0" w:firstLine="0" w:firstLineChars="0"/>
        <w:jc w:val="center"/>
        <w:rPr>
          <w:rFonts w:hint="eastAsia" w:ascii="Times New Roman" w:hAnsi="Times New Roman" w:eastAsia="宋体" w:cs="Times New Roman"/>
          <w:b/>
          <w:sz w:val="32"/>
          <w:lang w:eastAsia="zh-CN"/>
        </w:rPr>
      </w:pPr>
      <w:r>
        <w:rPr>
          <w:rFonts w:hint="eastAsia" w:ascii="Times New Roman" w:hAnsi="Times New Roman" w:eastAsia="宋体" w:cs="Times New Roman"/>
          <w:b/>
          <w:sz w:val="32"/>
          <w:lang w:eastAsia="zh-CN"/>
        </w:rPr>
        <w:drawing>
          <wp:inline distT="0" distB="0" distL="114300" distR="114300">
            <wp:extent cx="5259070" cy="6929120"/>
            <wp:effectExtent l="0" t="0" r="0" b="0"/>
            <wp:docPr id="1" name="图片 1" descr="扫描全能王 2026-8-17 09.2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扫描全能王 2026-8-17 09.23_01"/>
                    <pic:cNvPicPr>
                      <a:picLocks noChangeAspect="1"/>
                    </pic:cNvPicPr>
                  </pic:nvPicPr>
                  <pic:blipFill>
                    <a:blip r:embed="rId12"/>
                    <a:srcRect b="6910"/>
                    <a:stretch>
                      <a:fillRect/>
                    </a:stretch>
                  </pic:blipFill>
                  <pic:spPr>
                    <a:xfrm>
                      <a:off x="0" y="0"/>
                      <a:ext cx="5259070" cy="6929120"/>
                    </a:xfrm>
                    <a:prstGeom prst="rect">
                      <a:avLst/>
                    </a:prstGeom>
                  </pic:spPr>
                </pic:pic>
              </a:graphicData>
            </a:graphic>
          </wp:inline>
        </w:drawing>
      </w:r>
    </w:p>
    <w:p w14:paraId="1F51D3CB">
      <w:pPr>
        <w:pStyle w:val="24"/>
        <w:adjustRightInd w:val="0"/>
        <w:snapToGrid w:val="0"/>
        <w:spacing w:line="360" w:lineRule="auto"/>
        <w:jc w:val="center"/>
        <w:rPr>
          <w:rFonts w:hint="default" w:ascii="Times New Roman" w:hAnsi="Times New Roman" w:cs="Times New Roman"/>
          <w:b/>
          <w:sz w:val="32"/>
        </w:rPr>
      </w:pPr>
    </w:p>
    <w:p w14:paraId="6E931B2E">
      <w:pPr>
        <w:pStyle w:val="24"/>
        <w:adjustRightInd w:val="0"/>
        <w:snapToGrid w:val="0"/>
        <w:spacing w:line="360" w:lineRule="auto"/>
        <w:jc w:val="center"/>
        <w:rPr>
          <w:rFonts w:hint="default" w:ascii="Times New Roman" w:hAnsi="Times New Roman" w:cs="Times New Roman"/>
          <w:b/>
          <w:sz w:val="32"/>
        </w:rPr>
      </w:pPr>
    </w:p>
    <w:p w14:paraId="7F77120A">
      <w:pPr>
        <w:pStyle w:val="24"/>
        <w:adjustRightInd w:val="0"/>
        <w:snapToGrid w:val="0"/>
        <w:spacing w:line="360" w:lineRule="auto"/>
        <w:jc w:val="center"/>
        <w:rPr>
          <w:rFonts w:hint="default" w:ascii="Times New Roman" w:hAnsi="Times New Roman" w:cs="Times New Roman"/>
          <w:b/>
          <w:sz w:val="32"/>
        </w:rPr>
      </w:pPr>
    </w:p>
    <w:p w14:paraId="0575EAE7">
      <w:pPr>
        <w:spacing w:before="0" w:beforeLines="0" w:after="0" w:afterLines="0" w:line="240" w:lineRule="auto"/>
        <w:ind w:left="0" w:leftChars="0" w:right="0" w:rightChars="0" w:firstLine="0" w:firstLineChars="0"/>
        <w:jc w:val="center"/>
        <w:rPr>
          <w:rFonts w:ascii="宋体" w:hAnsi="宋体" w:eastAsia="宋体" w:cs="宋体"/>
          <w:kern w:val="2"/>
          <w:sz w:val="21"/>
          <w:szCs w:val="24"/>
          <w:lang w:val="en-US" w:eastAsia="zh-CN" w:bidi="ar-SA"/>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sdt>
      <w:sdtPr>
        <w:rPr>
          <w:rFonts w:ascii="宋体" w:hAnsi="宋体" w:eastAsia="宋体" w:cs="宋体"/>
          <w:kern w:val="2"/>
          <w:sz w:val="21"/>
          <w:szCs w:val="24"/>
          <w:lang w:val="en-US" w:eastAsia="zh-CN" w:bidi="ar-SA"/>
        </w:rPr>
        <w:id w:val="147473734"/>
        <w15:color w:val="DBDBDB"/>
        <w:docPartObj>
          <w:docPartGallery w:val="Table of Contents"/>
          <w:docPartUnique/>
        </w:docPartObj>
      </w:sdtPr>
      <w:sdtEndPr>
        <w:rPr>
          <w:rFonts w:hint="default" w:ascii="Times New Roman" w:hAnsi="Times New Roman" w:eastAsia="宋体" w:cs="Times New Roman"/>
          <w:kern w:val="2"/>
          <w:sz w:val="21"/>
          <w:szCs w:val="21"/>
          <w:lang w:val="en-US" w:eastAsia="zh-CN" w:bidi="ar-SA"/>
        </w:rPr>
      </w:sdtEndPr>
      <w:sdtContent>
        <w:p w14:paraId="709BCD38">
          <w:pPr>
            <w:spacing w:before="0" w:beforeLines="0" w:after="0" w:afterLines="0" w:line="240" w:lineRule="auto"/>
            <w:ind w:left="0" w:leftChars="0" w:right="0" w:rightChars="0" w:firstLine="0" w:firstLineChars="0"/>
            <w:jc w:val="center"/>
            <w:rPr>
              <w:rFonts w:hint="default" w:ascii="Times New Roman" w:hAnsi="Times New Roman" w:eastAsia="华文中宋" w:cs="Times New Roman"/>
              <w:b/>
              <w:bCs/>
              <w:sz w:val="36"/>
              <w:szCs w:val="36"/>
            </w:rPr>
          </w:pPr>
          <w:r>
            <w:rPr>
              <w:rFonts w:hint="default" w:ascii="Times New Roman" w:hAnsi="Times New Roman" w:eastAsia="华文中宋" w:cs="Times New Roman"/>
              <w:b/>
              <w:bCs/>
              <w:sz w:val="36"/>
              <w:szCs w:val="36"/>
            </w:rPr>
            <w:t>目</w:t>
          </w:r>
          <w:r>
            <w:rPr>
              <w:rFonts w:hint="default" w:ascii="Times New Roman" w:hAnsi="Times New Roman" w:eastAsia="华文中宋" w:cs="Times New Roman"/>
              <w:b/>
              <w:bCs/>
              <w:sz w:val="36"/>
              <w:szCs w:val="36"/>
              <w:lang w:val="en-US" w:eastAsia="zh-CN"/>
            </w:rPr>
            <w:t xml:space="preserve">  </w:t>
          </w:r>
          <w:r>
            <w:rPr>
              <w:rFonts w:hint="default" w:ascii="Times New Roman" w:hAnsi="Times New Roman" w:eastAsia="华文中宋" w:cs="Times New Roman"/>
              <w:b/>
              <w:bCs/>
              <w:sz w:val="36"/>
              <w:szCs w:val="36"/>
            </w:rPr>
            <w:t>录</w:t>
          </w:r>
        </w:p>
        <w:p w14:paraId="113CEACF">
          <w:pPr>
            <w:pStyle w:val="31"/>
            <w:tabs>
              <w:tab w:val="right" w:leader="dot" w:pos="8844"/>
            </w:tabs>
          </w:pPr>
          <w:r>
            <w:rPr>
              <w:rFonts w:hint="eastAsia" w:ascii="黑体" w:hAnsi="黑体" w:eastAsia="黑体" w:cs="黑体"/>
              <w:b/>
              <w:bCs w:val="0"/>
              <w:sz w:val="24"/>
              <w:szCs w:val="24"/>
            </w:rPr>
            <w:fldChar w:fldCharType="begin"/>
          </w:r>
          <w:r>
            <w:rPr>
              <w:rFonts w:hint="eastAsia" w:ascii="黑体" w:hAnsi="黑体" w:eastAsia="黑体" w:cs="黑体"/>
              <w:b/>
              <w:bCs w:val="0"/>
              <w:sz w:val="24"/>
              <w:szCs w:val="24"/>
            </w:rPr>
            <w:instrText xml:space="preserve">TOC \o "1-3" \h \u </w:instrText>
          </w:r>
          <w:r>
            <w:rPr>
              <w:rFonts w:hint="eastAsia" w:ascii="黑体" w:hAnsi="黑体" w:eastAsia="黑体" w:cs="黑体"/>
              <w:b/>
              <w:bCs w:val="0"/>
              <w:sz w:val="24"/>
              <w:szCs w:val="24"/>
            </w:rPr>
            <w:fldChar w:fldCharType="separate"/>
          </w: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_Toc31432 </w:instrText>
          </w:r>
          <w:r>
            <w:rPr>
              <w:rFonts w:hint="eastAsia" w:ascii="黑体" w:hAnsi="黑体" w:eastAsia="黑体" w:cs="黑体"/>
              <w:bCs w:val="0"/>
              <w:szCs w:val="24"/>
            </w:rPr>
            <w:fldChar w:fldCharType="separate"/>
          </w:r>
          <w:r>
            <w:rPr>
              <w:rFonts w:hint="eastAsia" w:ascii="黑体" w:hAnsi="黑体" w:eastAsia="黑体" w:cs="黑体"/>
              <w:bCs/>
              <w:szCs w:val="32"/>
              <w:lang w:val="en-US" w:eastAsia="zh-CN"/>
            </w:rPr>
            <w:t xml:space="preserve">第一章 </w:t>
          </w:r>
          <w:r>
            <w:rPr>
              <w:rFonts w:hint="eastAsia" w:ascii="黑体" w:hAnsi="黑体" w:eastAsia="黑体" w:cs="黑体"/>
              <w:bCs/>
              <w:szCs w:val="32"/>
            </w:rPr>
            <w:t>磋商邀请</w:t>
          </w:r>
          <w:r>
            <w:tab/>
          </w:r>
          <w:r>
            <w:fldChar w:fldCharType="begin"/>
          </w:r>
          <w:r>
            <w:instrText xml:space="preserve"> PAGEREF _Toc31432 \h </w:instrText>
          </w:r>
          <w:r>
            <w:fldChar w:fldCharType="separate"/>
          </w:r>
          <w:r>
            <w:t>5</w:t>
          </w:r>
          <w:r>
            <w:fldChar w:fldCharType="end"/>
          </w:r>
          <w:r>
            <w:rPr>
              <w:rFonts w:hint="eastAsia" w:ascii="黑体" w:hAnsi="黑体" w:eastAsia="黑体" w:cs="黑体"/>
              <w:bCs w:val="0"/>
              <w:szCs w:val="24"/>
            </w:rPr>
            <w:fldChar w:fldCharType="end"/>
          </w:r>
        </w:p>
        <w:p w14:paraId="550841C6">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_Toc30126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一、采购项目基本信息</w:t>
          </w:r>
          <w:r>
            <w:tab/>
          </w:r>
          <w:r>
            <w:fldChar w:fldCharType="begin"/>
          </w:r>
          <w:r>
            <w:instrText xml:space="preserve"> PAGEREF _Toc30126 \h </w:instrText>
          </w:r>
          <w:r>
            <w:fldChar w:fldCharType="separate"/>
          </w:r>
          <w:r>
            <w:t>5</w:t>
          </w:r>
          <w:r>
            <w:fldChar w:fldCharType="end"/>
          </w:r>
          <w:r>
            <w:rPr>
              <w:rFonts w:hint="eastAsia" w:ascii="黑体" w:hAnsi="黑体" w:eastAsia="黑体" w:cs="黑体"/>
              <w:bCs w:val="0"/>
              <w:szCs w:val="24"/>
            </w:rPr>
            <w:fldChar w:fldCharType="end"/>
          </w:r>
        </w:p>
        <w:p w14:paraId="512A2EF8">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_Toc25820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二、采购需求</w:t>
          </w:r>
          <w:r>
            <w:tab/>
          </w:r>
          <w:r>
            <w:fldChar w:fldCharType="begin"/>
          </w:r>
          <w:r>
            <w:instrText xml:space="preserve"> PAGEREF _Toc25820 \h </w:instrText>
          </w:r>
          <w:r>
            <w:fldChar w:fldCharType="separate"/>
          </w:r>
          <w:r>
            <w:t>5</w:t>
          </w:r>
          <w:r>
            <w:fldChar w:fldCharType="end"/>
          </w:r>
          <w:r>
            <w:rPr>
              <w:rFonts w:hint="eastAsia" w:ascii="黑体" w:hAnsi="黑体" w:eastAsia="黑体" w:cs="黑体"/>
              <w:bCs w:val="0"/>
              <w:szCs w:val="24"/>
            </w:rPr>
            <w:fldChar w:fldCharType="end"/>
          </w:r>
        </w:p>
        <w:p w14:paraId="259964DF">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_Toc15907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三、供应商的资格要求</w:t>
          </w:r>
          <w:r>
            <w:tab/>
          </w:r>
          <w:r>
            <w:fldChar w:fldCharType="begin"/>
          </w:r>
          <w:r>
            <w:instrText xml:space="preserve"> PAGEREF _Toc15907 \h </w:instrText>
          </w:r>
          <w:r>
            <w:fldChar w:fldCharType="separate"/>
          </w:r>
          <w:r>
            <w:t>5</w:t>
          </w:r>
          <w:r>
            <w:fldChar w:fldCharType="end"/>
          </w:r>
          <w:r>
            <w:rPr>
              <w:rFonts w:hint="eastAsia" w:ascii="黑体" w:hAnsi="黑体" w:eastAsia="黑体" w:cs="黑体"/>
              <w:bCs w:val="0"/>
              <w:szCs w:val="24"/>
            </w:rPr>
            <w:fldChar w:fldCharType="end"/>
          </w:r>
        </w:p>
        <w:p w14:paraId="58C34E67">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_Toc10885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四、获取磋商文件的时间、期限、地点及方式</w:t>
          </w:r>
          <w:r>
            <w:tab/>
          </w:r>
          <w:r>
            <w:fldChar w:fldCharType="begin"/>
          </w:r>
          <w:r>
            <w:instrText xml:space="preserve"> PAGEREF _Toc10885 \h </w:instrText>
          </w:r>
          <w:r>
            <w:fldChar w:fldCharType="separate"/>
          </w:r>
          <w:r>
            <w:t>6</w:t>
          </w:r>
          <w:r>
            <w:fldChar w:fldCharType="end"/>
          </w:r>
          <w:r>
            <w:rPr>
              <w:rFonts w:hint="eastAsia" w:ascii="黑体" w:hAnsi="黑体" w:eastAsia="黑体" w:cs="黑体"/>
              <w:bCs w:val="0"/>
              <w:szCs w:val="24"/>
            </w:rPr>
            <w:fldChar w:fldCharType="end"/>
          </w:r>
        </w:p>
        <w:p w14:paraId="71FFC039">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_Toc30383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五、响应文件提交截止时间、地点</w:t>
          </w:r>
          <w:r>
            <w:tab/>
          </w:r>
          <w:r>
            <w:fldChar w:fldCharType="begin"/>
          </w:r>
          <w:r>
            <w:instrText xml:space="preserve"> PAGEREF _Toc30383 \h </w:instrText>
          </w:r>
          <w:r>
            <w:fldChar w:fldCharType="separate"/>
          </w:r>
          <w:r>
            <w:t>6</w:t>
          </w:r>
          <w:r>
            <w:fldChar w:fldCharType="end"/>
          </w:r>
          <w:r>
            <w:rPr>
              <w:rFonts w:hint="eastAsia" w:ascii="黑体" w:hAnsi="黑体" w:eastAsia="黑体" w:cs="黑体"/>
              <w:bCs w:val="0"/>
              <w:szCs w:val="24"/>
            </w:rPr>
            <w:fldChar w:fldCharType="end"/>
          </w:r>
        </w:p>
        <w:p w14:paraId="3EE57B01">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_Toc12404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六、响应文件开启</w:t>
          </w:r>
          <w:r>
            <w:tab/>
          </w:r>
          <w:r>
            <w:fldChar w:fldCharType="begin"/>
          </w:r>
          <w:r>
            <w:instrText xml:space="preserve"> PAGEREF _Toc12404 \h </w:instrText>
          </w:r>
          <w:r>
            <w:fldChar w:fldCharType="separate"/>
          </w:r>
          <w:r>
            <w:t>7</w:t>
          </w:r>
          <w:r>
            <w:fldChar w:fldCharType="end"/>
          </w:r>
          <w:r>
            <w:rPr>
              <w:rFonts w:hint="eastAsia" w:ascii="黑体" w:hAnsi="黑体" w:eastAsia="黑体" w:cs="黑体"/>
              <w:bCs w:val="0"/>
              <w:szCs w:val="24"/>
            </w:rPr>
            <w:fldChar w:fldCharType="end"/>
          </w:r>
        </w:p>
        <w:p w14:paraId="1EBCBBF9">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_Toc29130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七、公告期限</w:t>
          </w:r>
          <w:r>
            <w:tab/>
          </w:r>
          <w:r>
            <w:fldChar w:fldCharType="begin"/>
          </w:r>
          <w:r>
            <w:instrText xml:space="preserve"> PAGEREF _Toc29130 \h </w:instrText>
          </w:r>
          <w:r>
            <w:fldChar w:fldCharType="separate"/>
          </w:r>
          <w:r>
            <w:t>7</w:t>
          </w:r>
          <w:r>
            <w:fldChar w:fldCharType="end"/>
          </w:r>
          <w:r>
            <w:rPr>
              <w:rFonts w:hint="eastAsia" w:ascii="黑体" w:hAnsi="黑体" w:eastAsia="黑体" w:cs="黑体"/>
              <w:bCs w:val="0"/>
              <w:szCs w:val="24"/>
            </w:rPr>
            <w:fldChar w:fldCharType="end"/>
          </w:r>
        </w:p>
        <w:p w14:paraId="72CDDEB2">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_Toc17801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八、询问及质疑</w:t>
          </w:r>
          <w:r>
            <w:tab/>
          </w:r>
          <w:r>
            <w:fldChar w:fldCharType="begin"/>
          </w:r>
          <w:r>
            <w:instrText xml:space="preserve"> PAGEREF _Toc17801 \h </w:instrText>
          </w:r>
          <w:r>
            <w:fldChar w:fldCharType="separate"/>
          </w:r>
          <w:r>
            <w:t>7</w:t>
          </w:r>
          <w:r>
            <w:fldChar w:fldCharType="end"/>
          </w:r>
          <w:r>
            <w:rPr>
              <w:rFonts w:hint="eastAsia" w:ascii="黑体" w:hAnsi="黑体" w:eastAsia="黑体" w:cs="黑体"/>
              <w:bCs w:val="0"/>
              <w:szCs w:val="24"/>
            </w:rPr>
            <w:fldChar w:fldCharType="end"/>
          </w:r>
        </w:p>
        <w:p w14:paraId="56F87084">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_Toc6137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九、磋商说明</w:t>
          </w:r>
          <w:r>
            <w:tab/>
          </w:r>
          <w:r>
            <w:fldChar w:fldCharType="begin"/>
          </w:r>
          <w:r>
            <w:instrText xml:space="preserve"> PAGEREF _Toc6137 \h </w:instrText>
          </w:r>
          <w:r>
            <w:fldChar w:fldCharType="separate"/>
          </w:r>
          <w:r>
            <w:t>7</w:t>
          </w:r>
          <w:r>
            <w:fldChar w:fldCharType="end"/>
          </w:r>
          <w:r>
            <w:rPr>
              <w:rFonts w:hint="eastAsia" w:ascii="黑体" w:hAnsi="黑体" w:eastAsia="黑体" w:cs="黑体"/>
              <w:bCs w:val="0"/>
              <w:szCs w:val="24"/>
            </w:rPr>
            <w:fldChar w:fldCharType="end"/>
          </w:r>
        </w:p>
        <w:p w14:paraId="4BC2F7CE">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_Toc14542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十、其他补充事宜</w:t>
          </w:r>
          <w:r>
            <w:tab/>
          </w:r>
          <w:r>
            <w:fldChar w:fldCharType="begin"/>
          </w:r>
          <w:r>
            <w:instrText xml:space="preserve"> PAGEREF _Toc14542 \h </w:instrText>
          </w:r>
          <w:r>
            <w:fldChar w:fldCharType="separate"/>
          </w:r>
          <w:r>
            <w:t>7</w:t>
          </w:r>
          <w:r>
            <w:fldChar w:fldCharType="end"/>
          </w:r>
          <w:r>
            <w:rPr>
              <w:rFonts w:hint="eastAsia" w:ascii="黑体" w:hAnsi="黑体" w:eastAsia="黑体" w:cs="黑体"/>
              <w:bCs w:val="0"/>
              <w:szCs w:val="24"/>
            </w:rPr>
            <w:fldChar w:fldCharType="end"/>
          </w:r>
        </w:p>
        <w:p w14:paraId="09C25B9C">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_Toc19025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十一、对本次采购提出询问，请按以下方式联系</w:t>
          </w:r>
          <w:r>
            <w:tab/>
          </w:r>
          <w:r>
            <w:fldChar w:fldCharType="begin"/>
          </w:r>
          <w:r>
            <w:instrText xml:space="preserve"> PAGEREF _Toc19025 \h </w:instrText>
          </w:r>
          <w:r>
            <w:fldChar w:fldCharType="separate"/>
          </w:r>
          <w:r>
            <w:t>7</w:t>
          </w:r>
          <w:r>
            <w:fldChar w:fldCharType="end"/>
          </w:r>
          <w:r>
            <w:rPr>
              <w:rFonts w:hint="eastAsia" w:ascii="黑体" w:hAnsi="黑体" w:eastAsia="黑体" w:cs="黑体"/>
              <w:bCs w:val="0"/>
              <w:szCs w:val="24"/>
            </w:rPr>
            <w:fldChar w:fldCharType="end"/>
          </w:r>
        </w:p>
        <w:p w14:paraId="634354BE">
          <w:pPr>
            <w:pStyle w:val="31"/>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_Toc17520 </w:instrText>
          </w:r>
          <w:r>
            <w:rPr>
              <w:rFonts w:hint="eastAsia" w:ascii="黑体" w:hAnsi="黑体" w:eastAsia="黑体" w:cs="黑体"/>
              <w:bCs w:val="0"/>
              <w:szCs w:val="24"/>
            </w:rPr>
            <w:fldChar w:fldCharType="separate"/>
          </w:r>
          <w:r>
            <w:rPr>
              <w:rFonts w:hint="default" w:ascii="黑体" w:hAnsi="黑体" w:eastAsia="黑体" w:cs="黑体"/>
              <w:bCs/>
              <w:szCs w:val="32"/>
              <w:lang w:val="en-US" w:eastAsia="zh-CN"/>
            </w:rPr>
            <w:t>第二章 磋商须知</w:t>
          </w:r>
          <w:r>
            <w:tab/>
          </w:r>
          <w:r>
            <w:fldChar w:fldCharType="begin"/>
          </w:r>
          <w:r>
            <w:instrText xml:space="preserve"> PAGEREF _Toc17520 \h </w:instrText>
          </w:r>
          <w:r>
            <w:fldChar w:fldCharType="separate"/>
          </w:r>
          <w:r>
            <w:t>9</w:t>
          </w:r>
          <w:r>
            <w:fldChar w:fldCharType="end"/>
          </w:r>
          <w:r>
            <w:rPr>
              <w:rFonts w:hint="eastAsia" w:ascii="黑体" w:hAnsi="黑体" w:eastAsia="黑体" w:cs="黑体"/>
              <w:bCs w:val="0"/>
              <w:szCs w:val="24"/>
            </w:rPr>
            <w:fldChar w:fldCharType="end"/>
          </w:r>
        </w:p>
        <w:p w14:paraId="3716A790">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_Toc27149 </w:instrText>
          </w:r>
          <w:r>
            <w:rPr>
              <w:rFonts w:hint="eastAsia" w:ascii="黑体" w:hAnsi="黑体" w:eastAsia="黑体" w:cs="黑体"/>
              <w:bCs w:val="0"/>
              <w:szCs w:val="24"/>
            </w:rPr>
            <w:fldChar w:fldCharType="separate"/>
          </w:r>
          <w:r>
            <w:rPr>
              <w:rFonts w:hint="eastAsia" w:ascii="黑体" w:hAnsi="黑体" w:eastAsia="黑体" w:cs="黑体"/>
              <w:bCs/>
              <w:szCs w:val="28"/>
              <w:lang w:val="en-US" w:eastAsia="zh-CN"/>
            </w:rPr>
            <w:t xml:space="preserve">第一节 </w:t>
          </w:r>
          <w:r>
            <w:rPr>
              <w:rFonts w:hint="eastAsia" w:ascii="黑体" w:hAnsi="黑体" w:eastAsia="黑体" w:cs="黑体"/>
              <w:bCs/>
              <w:szCs w:val="28"/>
            </w:rPr>
            <w:t>磋商须知前附表</w:t>
          </w:r>
          <w:r>
            <w:tab/>
          </w:r>
          <w:r>
            <w:fldChar w:fldCharType="begin"/>
          </w:r>
          <w:r>
            <w:instrText xml:space="preserve"> PAGEREF _Toc27149 \h </w:instrText>
          </w:r>
          <w:r>
            <w:fldChar w:fldCharType="separate"/>
          </w:r>
          <w:r>
            <w:t>9</w:t>
          </w:r>
          <w:r>
            <w:fldChar w:fldCharType="end"/>
          </w:r>
          <w:r>
            <w:rPr>
              <w:rFonts w:hint="eastAsia" w:ascii="黑体" w:hAnsi="黑体" w:eastAsia="黑体" w:cs="黑体"/>
              <w:bCs w:val="0"/>
              <w:szCs w:val="24"/>
            </w:rPr>
            <w:fldChar w:fldCharType="end"/>
          </w:r>
        </w:p>
        <w:p w14:paraId="17C9FD40">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_Toc7544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val="0"/>
              <w:szCs w:val="24"/>
              <w:lang w:val="en-US" w:eastAsia="zh-CN"/>
            </w:rPr>
            <w:t xml:space="preserve">附页1 </w:t>
          </w:r>
          <w:r>
            <w:rPr>
              <w:rFonts w:hint="eastAsia" w:asciiTheme="minorEastAsia" w:hAnsiTheme="minorEastAsia" w:eastAsiaTheme="minorEastAsia" w:cstheme="minorEastAsia"/>
              <w:bCs w:val="0"/>
              <w:szCs w:val="24"/>
            </w:rPr>
            <w:t>资格</w:t>
          </w:r>
          <w:r>
            <w:rPr>
              <w:rFonts w:hint="eastAsia" w:asciiTheme="minorEastAsia" w:hAnsiTheme="minorEastAsia" w:eastAsiaTheme="minorEastAsia" w:cstheme="minorEastAsia"/>
              <w:bCs w:val="0"/>
              <w:szCs w:val="24"/>
              <w:lang w:val="en-US" w:eastAsia="zh-CN"/>
            </w:rPr>
            <w:t>审查</w:t>
          </w:r>
          <w:r>
            <w:rPr>
              <w:rFonts w:hint="eastAsia" w:asciiTheme="minorEastAsia" w:hAnsiTheme="minorEastAsia" w:eastAsiaTheme="minorEastAsia" w:cstheme="minorEastAsia"/>
              <w:bCs w:val="0"/>
              <w:szCs w:val="24"/>
            </w:rPr>
            <w:t>表</w:t>
          </w:r>
          <w:r>
            <w:tab/>
          </w:r>
          <w:r>
            <w:fldChar w:fldCharType="begin"/>
          </w:r>
          <w:r>
            <w:instrText xml:space="preserve"> PAGEREF _Toc7544 \h </w:instrText>
          </w:r>
          <w:r>
            <w:fldChar w:fldCharType="separate"/>
          </w:r>
          <w:r>
            <w:t>12</w:t>
          </w:r>
          <w:r>
            <w:fldChar w:fldCharType="end"/>
          </w:r>
          <w:r>
            <w:rPr>
              <w:rFonts w:hint="eastAsia" w:ascii="黑体" w:hAnsi="黑体" w:eastAsia="黑体" w:cs="黑体"/>
              <w:bCs w:val="0"/>
              <w:szCs w:val="24"/>
            </w:rPr>
            <w:fldChar w:fldCharType="end"/>
          </w:r>
        </w:p>
        <w:p w14:paraId="39E82B42">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_Toc13794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val="0"/>
              <w:szCs w:val="24"/>
              <w:lang w:val="en-US" w:eastAsia="zh-CN"/>
            </w:rPr>
            <w:t xml:space="preserve">附页2 </w:t>
          </w:r>
          <w:r>
            <w:rPr>
              <w:rFonts w:hint="eastAsia" w:asciiTheme="minorEastAsia" w:hAnsiTheme="minorEastAsia" w:eastAsiaTheme="minorEastAsia" w:cstheme="minorEastAsia"/>
              <w:szCs w:val="24"/>
            </w:rPr>
            <w:t>符合性检查表</w:t>
          </w:r>
          <w:r>
            <w:tab/>
          </w:r>
          <w:r>
            <w:fldChar w:fldCharType="begin"/>
          </w:r>
          <w:r>
            <w:instrText xml:space="preserve"> PAGEREF _Toc13794 \h </w:instrText>
          </w:r>
          <w:r>
            <w:fldChar w:fldCharType="separate"/>
          </w:r>
          <w:r>
            <w:t>13</w:t>
          </w:r>
          <w:r>
            <w:fldChar w:fldCharType="end"/>
          </w:r>
          <w:r>
            <w:rPr>
              <w:rFonts w:hint="eastAsia" w:ascii="黑体" w:hAnsi="黑体" w:eastAsia="黑体" w:cs="黑体"/>
              <w:bCs w:val="0"/>
              <w:szCs w:val="24"/>
            </w:rPr>
            <w:fldChar w:fldCharType="end"/>
          </w:r>
        </w:p>
        <w:p w14:paraId="555CE927">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_Toc13902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val="0"/>
              <w:szCs w:val="24"/>
              <w:lang w:val="en-US" w:eastAsia="zh-CN"/>
            </w:rPr>
            <w:t>附页3</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澄清、说明、补正事项纪要表</w:t>
          </w:r>
          <w:r>
            <w:tab/>
          </w:r>
          <w:r>
            <w:fldChar w:fldCharType="begin"/>
          </w:r>
          <w:r>
            <w:instrText xml:space="preserve"> PAGEREF _Toc13902 \h </w:instrText>
          </w:r>
          <w:r>
            <w:fldChar w:fldCharType="separate"/>
          </w:r>
          <w:r>
            <w:t>13</w:t>
          </w:r>
          <w:r>
            <w:fldChar w:fldCharType="end"/>
          </w:r>
          <w:r>
            <w:rPr>
              <w:rFonts w:hint="eastAsia" w:ascii="黑体" w:hAnsi="黑体" w:eastAsia="黑体" w:cs="黑体"/>
              <w:bCs w:val="0"/>
              <w:szCs w:val="24"/>
            </w:rPr>
            <w:fldChar w:fldCharType="end"/>
          </w:r>
        </w:p>
        <w:p w14:paraId="2C194AAE">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_Toc29437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4"/>
              <w:lang w:val="en-US" w:eastAsia="zh-CN"/>
            </w:rPr>
            <w:t xml:space="preserve">附页4 </w:t>
          </w:r>
          <w:r>
            <w:rPr>
              <w:rFonts w:hint="eastAsia" w:asciiTheme="minorEastAsia" w:hAnsiTheme="minorEastAsia" w:eastAsiaTheme="minorEastAsia" w:cstheme="minorEastAsia"/>
              <w:bCs/>
              <w:szCs w:val="24"/>
            </w:rPr>
            <w:t>评审因素和标准</w:t>
          </w:r>
          <w:r>
            <w:tab/>
          </w:r>
          <w:r>
            <w:fldChar w:fldCharType="begin"/>
          </w:r>
          <w:r>
            <w:instrText xml:space="preserve"> PAGEREF _Toc29437 \h </w:instrText>
          </w:r>
          <w:r>
            <w:fldChar w:fldCharType="separate"/>
          </w:r>
          <w:r>
            <w:t>14</w:t>
          </w:r>
          <w:r>
            <w:fldChar w:fldCharType="end"/>
          </w:r>
          <w:r>
            <w:rPr>
              <w:rFonts w:hint="eastAsia" w:ascii="黑体" w:hAnsi="黑体" w:eastAsia="黑体" w:cs="黑体"/>
              <w:bCs w:val="0"/>
              <w:szCs w:val="24"/>
            </w:rPr>
            <w:fldChar w:fldCharType="end"/>
          </w:r>
        </w:p>
        <w:p w14:paraId="44B855E6">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_Toc29259 </w:instrText>
          </w:r>
          <w:r>
            <w:rPr>
              <w:rFonts w:hint="eastAsia" w:ascii="黑体" w:hAnsi="黑体" w:eastAsia="黑体" w:cs="黑体"/>
              <w:bCs w:val="0"/>
              <w:szCs w:val="24"/>
            </w:rPr>
            <w:fldChar w:fldCharType="separate"/>
          </w:r>
          <w:r>
            <w:rPr>
              <w:rFonts w:hint="eastAsia" w:ascii="黑体" w:hAnsi="黑体" w:eastAsia="黑体" w:cs="黑体"/>
              <w:bCs w:val="0"/>
              <w:szCs w:val="28"/>
              <w:lang w:val="en-US" w:eastAsia="zh-CN"/>
            </w:rPr>
            <w:t>第二节 磋商须知正文</w:t>
          </w:r>
          <w:r>
            <w:tab/>
          </w:r>
          <w:r>
            <w:fldChar w:fldCharType="begin"/>
          </w:r>
          <w:r>
            <w:instrText xml:space="preserve"> PAGEREF _Toc29259 \h </w:instrText>
          </w:r>
          <w:r>
            <w:fldChar w:fldCharType="separate"/>
          </w:r>
          <w:r>
            <w:t>16</w:t>
          </w:r>
          <w:r>
            <w:fldChar w:fldCharType="end"/>
          </w:r>
          <w:r>
            <w:rPr>
              <w:rFonts w:hint="eastAsia" w:ascii="黑体" w:hAnsi="黑体" w:eastAsia="黑体" w:cs="黑体"/>
              <w:bCs w:val="0"/>
              <w:szCs w:val="24"/>
            </w:rPr>
            <w:fldChar w:fldCharType="end"/>
          </w:r>
        </w:p>
        <w:p w14:paraId="167D6696">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_Toc18114 </w:instrText>
          </w:r>
          <w:r>
            <w:rPr>
              <w:rFonts w:hint="eastAsia" w:ascii="黑体" w:hAnsi="黑体" w:eastAsia="黑体" w:cs="黑体"/>
              <w:bCs w:val="0"/>
              <w:szCs w:val="24"/>
            </w:rPr>
            <w:fldChar w:fldCharType="separate"/>
          </w:r>
          <w:r>
            <w:rPr>
              <w:rFonts w:hint="default" w:ascii="Times New Roman" w:hAnsi="Times New Roman" w:eastAsia="黑体" w:cs="Times New Roman"/>
              <w:bCs/>
              <w:szCs w:val="28"/>
            </w:rPr>
            <w:t>一、说明</w:t>
          </w:r>
          <w:r>
            <w:tab/>
          </w:r>
          <w:r>
            <w:fldChar w:fldCharType="begin"/>
          </w:r>
          <w:r>
            <w:instrText xml:space="preserve"> PAGEREF _Toc18114 \h </w:instrText>
          </w:r>
          <w:r>
            <w:fldChar w:fldCharType="separate"/>
          </w:r>
          <w:r>
            <w:t>16</w:t>
          </w:r>
          <w:r>
            <w:fldChar w:fldCharType="end"/>
          </w:r>
          <w:r>
            <w:rPr>
              <w:rFonts w:hint="eastAsia" w:ascii="黑体" w:hAnsi="黑体" w:eastAsia="黑体" w:cs="黑体"/>
              <w:bCs w:val="0"/>
              <w:szCs w:val="24"/>
            </w:rPr>
            <w:fldChar w:fldCharType="end"/>
          </w:r>
        </w:p>
        <w:p w14:paraId="577BD2F0">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_Toc15078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二、磋商文件</w:t>
          </w:r>
          <w:r>
            <w:tab/>
          </w:r>
          <w:r>
            <w:fldChar w:fldCharType="begin"/>
          </w:r>
          <w:r>
            <w:instrText xml:space="preserve"> PAGEREF _Toc15078 \h </w:instrText>
          </w:r>
          <w:r>
            <w:fldChar w:fldCharType="separate"/>
          </w:r>
          <w:r>
            <w:t>20</w:t>
          </w:r>
          <w:r>
            <w:fldChar w:fldCharType="end"/>
          </w:r>
          <w:r>
            <w:rPr>
              <w:rFonts w:hint="eastAsia" w:ascii="黑体" w:hAnsi="黑体" w:eastAsia="黑体" w:cs="黑体"/>
              <w:bCs w:val="0"/>
              <w:szCs w:val="24"/>
            </w:rPr>
            <w:fldChar w:fldCharType="end"/>
          </w:r>
        </w:p>
        <w:p w14:paraId="16FCD835">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_Toc4048 </w:instrText>
          </w:r>
          <w:r>
            <w:rPr>
              <w:rFonts w:hint="eastAsia" w:ascii="黑体" w:hAnsi="黑体" w:eastAsia="黑体" w:cs="黑体"/>
              <w:bCs w:val="0"/>
              <w:szCs w:val="24"/>
            </w:rPr>
            <w:fldChar w:fldCharType="separate"/>
          </w:r>
          <w:r>
            <w:rPr>
              <w:rFonts w:hint="default" w:ascii="Times New Roman" w:hAnsi="Times New Roman" w:eastAsia="黑体" w:cs="Times New Roman"/>
              <w:bCs/>
              <w:szCs w:val="28"/>
            </w:rPr>
            <w:t>三、响应文件</w:t>
          </w:r>
          <w:r>
            <w:tab/>
          </w:r>
          <w:r>
            <w:fldChar w:fldCharType="begin"/>
          </w:r>
          <w:r>
            <w:instrText xml:space="preserve"> PAGEREF _Toc4048 \h </w:instrText>
          </w:r>
          <w:r>
            <w:fldChar w:fldCharType="separate"/>
          </w:r>
          <w:r>
            <w:t>21</w:t>
          </w:r>
          <w:r>
            <w:fldChar w:fldCharType="end"/>
          </w:r>
          <w:r>
            <w:rPr>
              <w:rFonts w:hint="eastAsia" w:ascii="黑体" w:hAnsi="黑体" w:eastAsia="黑体" w:cs="黑体"/>
              <w:bCs w:val="0"/>
              <w:szCs w:val="24"/>
            </w:rPr>
            <w:fldChar w:fldCharType="end"/>
          </w:r>
        </w:p>
        <w:p w14:paraId="6B6F48E5">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_Toc11072 </w:instrText>
          </w:r>
          <w:r>
            <w:rPr>
              <w:rFonts w:hint="eastAsia" w:ascii="黑体" w:hAnsi="黑体" w:eastAsia="黑体" w:cs="黑体"/>
              <w:bCs w:val="0"/>
              <w:szCs w:val="24"/>
            </w:rPr>
            <w:fldChar w:fldCharType="separate"/>
          </w:r>
          <w:r>
            <w:rPr>
              <w:rFonts w:hint="default" w:ascii="Times New Roman" w:hAnsi="Times New Roman" w:eastAsia="黑体" w:cs="Times New Roman"/>
              <w:bCs/>
              <w:szCs w:val="28"/>
            </w:rPr>
            <w:t>四、响应文件的递交</w:t>
          </w:r>
          <w:r>
            <w:tab/>
          </w:r>
          <w:r>
            <w:fldChar w:fldCharType="begin"/>
          </w:r>
          <w:r>
            <w:instrText xml:space="preserve"> PAGEREF _Toc11072 \h </w:instrText>
          </w:r>
          <w:r>
            <w:fldChar w:fldCharType="separate"/>
          </w:r>
          <w:r>
            <w:t>23</w:t>
          </w:r>
          <w:r>
            <w:fldChar w:fldCharType="end"/>
          </w:r>
          <w:r>
            <w:rPr>
              <w:rFonts w:hint="eastAsia" w:ascii="黑体" w:hAnsi="黑体" w:eastAsia="黑体" w:cs="黑体"/>
              <w:bCs w:val="0"/>
              <w:szCs w:val="24"/>
            </w:rPr>
            <w:fldChar w:fldCharType="end"/>
          </w:r>
        </w:p>
        <w:p w14:paraId="76A0CFB9">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_Toc16340 </w:instrText>
          </w:r>
          <w:r>
            <w:rPr>
              <w:rFonts w:hint="eastAsia" w:ascii="黑体" w:hAnsi="黑体" w:eastAsia="黑体" w:cs="黑体"/>
              <w:bCs w:val="0"/>
              <w:szCs w:val="24"/>
            </w:rPr>
            <w:fldChar w:fldCharType="separate"/>
          </w:r>
          <w:r>
            <w:rPr>
              <w:rFonts w:hint="default" w:ascii="Times New Roman" w:hAnsi="Times New Roman" w:eastAsia="黑体" w:cs="Times New Roman"/>
              <w:bCs/>
              <w:szCs w:val="28"/>
            </w:rPr>
            <w:t>五、响应文件的磋商与评审</w:t>
          </w:r>
          <w:r>
            <w:tab/>
          </w:r>
          <w:r>
            <w:fldChar w:fldCharType="begin"/>
          </w:r>
          <w:r>
            <w:instrText xml:space="preserve"> PAGEREF _Toc16340 \h </w:instrText>
          </w:r>
          <w:r>
            <w:fldChar w:fldCharType="separate"/>
          </w:r>
          <w:r>
            <w:t>24</w:t>
          </w:r>
          <w:r>
            <w:fldChar w:fldCharType="end"/>
          </w:r>
          <w:r>
            <w:rPr>
              <w:rFonts w:hint="eastAsia" w:ascii="黑体" w:hAnsi="黑体" w:eastAsia="黑体" w:cs="黑体"/>
              <w:bCs w:val="0"/>
              <w:szCs w:val="24"/>
            </w:rPr>
            <w:fldChar w:fldCharType="end"/>
          </w:r>
        </w:p>
        <w:p w14:paraId="33F1E1D2">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_Toc27933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六、成交结果信息公布与授予合同</w:t>
          </w:r>
          <w:r>
            <w:tab/>
          </w:r>
          <w:r>
            <w:fldChar w:fldCharType="begin"/>
          </w:r>
          <w:r>
            <w:instrText xml:space="preserve"> PAGEREF _Toc27933 \h </w:instrText>
          </w:r>
          <w:r>
            <w:fldChar w:fldCharType="separate"/>
          </w:r>
          <w:r>
            <w:t>28</w:t>
          </w:r>
          <w:r>
            <w:fldChar w:fldCharType="end"/>
          </w:r>
          <w:r>
            <w:rPr>
              <w:rFonts w:hint="eastAsia" w:ascii="黑体" w:hAnsi="黑体" w:eastAsia="黑体" w:cs="黑体"/>
              <w:bCs w:val="0"/>
              <w:szCs w:val="24"/>
            </w:rPr>
            <w:fldChar w:fldCharType="end"/>
          </w:r>
        </w:p>
        <w:p w14:paraId="231679C6">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_Toc1320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七、其他规定</w:t>
          </w:r>
          <w:r>
            <w:tab/>
          </w:r>
          <w:r>
            <w:fldChar w:fldCharType="begin"/>
          </w:r>
          <w:r>
            <w:instrText xml:space="preserve"> PAGEREF _Toc1320 \h </w:instrText>
          </w:r>
          <w:r>
            <w:fldChar w:fldCharType="separate"/>
          </w:r>
          <w:r>
            <w:t>29</w:t>
          </w:r>
          <w:r>
            <w:fldChar w:fldCharType="end"/>
          </w:r>
          <w:r>
            <w:rPr>
              <w:rFonts w:hint="eastAsia" w:ascii="黑体" w:hAnsi="黑体" w:eastAsia="黑体" w:cs="黑体"/>
              <w:bCs w:val="0"/>
              <w:szCs w:val="24"/>
            </w:rPr>
            <w:fldChar w:fldCharType="end"/>
          </w:r>
        </w:p>
        <w:p w14:paraId="044F1DED">
          <w:pPr>
            <w:pStyle w:val="31"/>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_Toc31366 </w:instrText>
          </w:r>
          <w:r>
            <w:rPr>
              <w:rFonts w:hint="eastAsia" w:ascii="黑体" w:hAnsi="黑体" w:eastAsia="黑体" w:cs="黑体"/>
              <w:bCs w:val="0"/>
              <w:szCs w:val="24"/>
            </w:rPr>
            <w:fldChar w:fldCharType="separate"/>
          </w:r>
          <w:r>
            <w:rPr>
              <w:rFonts w:hint="eastAsia" w:ascii="黑体" w:hAnsi="黑体" w:eastAsia="黑体" w:cs="黑体"/>
              <w:bCs/>
              <w:szCs w:val="32"/>
              <w:lang w:val="en-US" w:eastAsia="zh-CN"/>
            </w:rPr>
            <w:t>第三章 合同草案条款</w:t>
          </w:r>
          <w:r>
            <w:tab/>
          </w:r>
          <w:r>
            <w:fldChar w:fldCharType="begin"/>
          </w:r>
          <w:r>
            <w:instrText xml:space="preserve"> PAGEREF _Toc31366 \h </w:instrText>
          </w:r>
          <w:r>
            <w:fldChar w:fldCharType="separate"/>
          </w:r>
          <w:r>
            <w:t>31</w:t>
          </w:r>
          <w:r>
            <w:fldChar w:fldCharType="end"/>
          </w:r>
          <w:r>
            <w:rPr>
              <w:rFonts w:hint="eastAsia" w:ascii="黑体" w:hAnsi="黑体" w:eastAsia="黑体" w:cs="黑体"/>
              <w:bCs w:val="0"/>
              <w:szCs w:val="24"/>
            </w:rPr>
            <w:fldChar w:fldCharType="end"/>
          </w:r>
        </w:p>
        <w:p w14:paraId="29A54343">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_Toc19039 </w:instrText>
          </w:r>
          <w:r>
            <w:rPr>
              <w:rFonts w:hint="eastAsia" w:ascii="黑体" w:hAnsi="黑体" w:eastAsia="黑体" w:cs="黑体"/>
              <w:bCs w:val="0"/>
              <w:szCs w:val="24"/>
            </w:rPr>
            <w:fldChar w:fldCharType="separate"/>
          </w:r>
          <w:r>
            <w:rPr>
              <w:rFonts w:hint="eastAsia" w:ascii="黑体" w:hAnsi="华文中宋" w:eastAsia="黑体"/>
              <w:szCs w:val="28"/>
            </w:rPr>
            <w:t>第一节 政府采购合同协议书</w:t>
          </w:r>
          <w:r>
            <w:tab/>
          </w:r>
          <w:r>
            <w:fldChar w:fldCharType="begin"/>
          </w:r>
          <w:r>
            <w:instrText xml:space="preserve"> PAGEREF _Toc19039 \h </w:instrText>
          </w:r>
          <w:r>
            <w:fldChar w:fldCharType="separate"/>
          </w:r>
          <w:r>
            <w:t>31</w:t>
          </w:r>
          <w:r>
            <w:fldChar w:fldCharType="end"/>
          </w:r>
          <w:r>
            <w:rPr>
              <w:rFonts w:hint="eastAsia" w:ascii="黑体" w:hAnsi="黑体" w:eastAsia="黑体" w:cs="黑体"/>
              <w:bCs w:val="0"/>
              <w:szCs w:val="24"/>
            </w:rPr>
            <w:fldChar w:fldCharType="end"/>
          </w:r>
        </w:p>
        <w:p w14:paraId="437BBE73">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_Toc20910 </w:instrText>
          </w:r>
          <w:r>
            <w:rPr>
              <w:rFonts w:hint="eastAsia" w:ascii="黑体" w:hAnsi="黑体" w:eastAsia="黑体" w:cs="黑体"/>
              <w:bCs w:val="0"/>
              <w:szCs w:val="24"/>
            </w:rPr>
            <w:fldChar w:fldCharType="separate"/>
          </w:r>
          <w:r>
            <w:rPr>
              <w:rFonts w:hint="eastAsia" w:ascii="宋体" w:hAnsi="宋体"/>
              <w:szCs w:val="21"/>
            </w:rPr>
            <w:t>1.项目信息</w:t>
          </w:r>
          <w:r>
            <w:tab/>
          </w:r>
          <w:r>
            <w:fldChar w:fldCharType="begin"/>
          </w:r>
          <w:r>
            <w:instrText xml:space="preserve"> PAGEREF _Toc20910 \h </w:instrText>
          </w:r>
          <w:r>
            <w:fldChar w:fldCharType="separate"/>
          </w:r>
          <w:r>
            <w:t>31</w:t>
          </w:r>
          <w:r>
            <w:fldChar w:fldCharType="end"/>
          </w:r>
          <w:r>
            <w:rPr>
              <w:rFonts w:hint="eastAsia" w:ascii="黑体" w:hAnsi="黑体" w:eastAsia="黑体" w:cs="黑体"/>
              <w:bCs w:val="0"/>
              <w:szCs w:val="24"/>
            </w:rPr>
            <w:fldChar w:fldCharType="end"/>
          </w:r>
        </w:p>
        <w:p w14:paraId="24271EDF">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_Toc802 </w:instrText>
          </w:r>
          <w:r>
            <w:rPr>
              <w:rFonts w:hint="eastAsia" w:ascii="黑体" w:hAnsi="黑体" w:eastAsia="黑体" w:cs="黑体"/>
              <w:bCs w:val="0"/>
              <w:szCs w:val="24"/>
            </w:rPr>
            <w:fldChar w:fldCharType="separate"/>
          </w:r>
          <w:r>
            <w:rPr>
              <w:rFonts w:hint="eastAsia" w:ascii="宋体" w:hAnsi="宋体"/>
              <w:szCs w:val="21"/>
            </w:rPr>
            <w:t>2.合同金额</w:t>
          </w:r>
          <w:r>
            <w:tab/>
          </w:r>
          <w:r>
            <w:fldChar w:fldCharType="begin"/>
          </w:r>
          <w:r>
            <w:instrText xml:space="preserve"> PAGEREF _Toc802 \h </w:instrText>
          </w:r>
          <w:r>
            <w:fldChar w:fldCharType="separate"/>
          </w:r>
          <w:r>
            <w:t>31</w:t>
          </w:r>
          <w:r>
            <w:fldChar w:fldCharType="end"/>
          </w:r>
          <w:r>
            <w:rPr>
              <w:rFonts w:hint="eastAsia" w:ascii="黑体" w:hAnsi="黑体" w:eastAsia="黑体" w:cs="黑体"/>
              <w:bCs w:val="0"/>
              <w:szCs w:val="24"/>
            </w:rPr>
            <w:fldChar w:fldCharType="end"/>
          </w:r>
        </w:p>
        <w:p w14:paraId="631AE9F7">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_Toc21713 </w:instrText>
          </w:r>
          <w:r>
            <w:rPr>
              <w:rFonts w:hint="eastAsia" w:ascii="黑体" w:hAnsi="黑体" w:eastAsia="黑体" w:cs="黑体"/>
              <w:bCs w:val="0"/>
              <w:szCs w:val="24"/>
            </w:rPr>
            <w:fldChar w:fldCharType="separate"/>
          </w:r>
          <w:r>
            <w:rPr>
              <w:rFonts w:hint="eastAsia" w:ascii="宋体" w:hAnsi="宋体"/>
              <w:szCs w:val="21"/>
            </w:rPr>
            <w:t>3.合同履行</w:t>
          </w:r>
          <w:r>
            <w:tab/>
          </w:r>
          <w:r>
            <w:fldChar w:fldCharType="begin"/>
          </w:r>
          <w:r>
            <w:instrText xml:space="preserve"> PAGEREF _Toc21713 \h </w:instrText>
          </w:r>
          <w:r>
            <w:fldChar w:fldCharType="separate"/>
          </w:r>
          <w:r>
            <w:t>32</w:t>
          </w:r>
          <w:r>
            <w:fldChar w:fldCharType="end"/>
          </w:r>
          <w:r>
            <w:rPr>
              <w:rFonts w:hint="eastAsia" w:ascii="黑体" w:hAnsi="黑体" w:eastAsia="黑体" w:cs="黑体"/>
              <w:bCs w:val="0"/>
              <w:szCs w:val="24"/>
            </w:rPr>
            <w:fldChar w:fldCharType="end"/>
          </w:r>
        </w:p>
        <w:p w14:paraId="37EB78C8">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_Toc14608 </w:instrText>
          </w:r>
          <w:r>
            <w:rPr>
              <w:rFonts w:hint="eastAsia" w:ascii="黑体" w:hAnsi="黑体" w:eastAsia="黑体" w:cs="黑体"/>
              <w:bCs w:val="0"/>
              <w:szCs w:val="24"/>
            </w:rPr>
            <w:fldChar w:fldCharType="separate"/>
          </w:r>
          <w:r>
            <w:rPr>
              <w:rFonts w:hint="eastAsia" w:ascii="宋体" w:hAnsi="宋体"/>
              <w:szCs w:val="21"/>
            </w:rPr>
            <w:t>4.合同验收</w:t>
          </w:r>
          <w:r>
            <w:tab/>
          </w:r>
          <w:r>
            <w:fldChar w:fldCharType="begin"/>
          </w:r>
          <w:r>
            <w:instrText xml:space="preserve"> PAGEREF _Toc14608 \h </w:instrText>
          </w:r>
          <w:r>
            <w:fldChar w:fldCharType="separate"/>
          </w:r>
          <w:r>
            <w:t>32</w:t>
          </w:r>
          <w:r>
            <w:fldChar w:fldCharType="end"/>
          </w:r>
          <w:r>
            <w:rPr>
              <w:rFonts w:hint="eastAsia" w:ascii="黑体" w:hAnsi="黑体" w:eastAsia="黑体" w:cs="黑体"/>
              <w:bCs w:val="0"/>
              <w:szCs w:val="24"/>
            </w:rPr>
            <w:fldChar w:fldCharType="end"/>
          </w:r>
        </w:p>
        <w:p w14:paraId="37ECC634">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_Toc7710 </w:instrText>
          </w:r>
          <w:r>
            <w:rPr>
              <w:rFonts w:hint="eastAsia" w:ascii="黑体" w:hAnsi="黑体" w:eastAsia="黑体" w:cs="黑体"/>
              <w:bCs w:val="0"/>
              <w:szCs w:val="24"/>
            </w:rPr>
            <w:fldChar w:fldCharType="separate"/>
          </w:r>
          <w:r>
            <w:rPr>
              <w:rFonts w:hint="eastAsia" w:ascii="宋体" w:hAnsi="宋体"/>
              <w:szCs w:val="21"/>
            </w:rPr>
            <w:t>5.组成合同的文件</w:t>
          </w:r>
          <w:r>
            <w:tab/>
          </w:r>
          <w:r>
            <w:fldChar w:fldCharType="begin"/>
          </w:r>
          <w:r>
            <w:instrText xml:space="preserve"> PAGEREF _Toc7710 \h </w:instrText>
          </w:r>
          <w:r>
            <w:fldChar w:fldCharType="separate"/>
          </w:r>
          <w:r>
            <w:t>32</w:t>
          </w:r>
          <w:r>
            <w:fldChar w:fldCharType="end"/>
          </w:r>
          <w:r>
            <w:rPr>
              <w:rFonts w:hint="eastAsia" w:ascii="黑体" w:hAnsi="黑体" w:eastAsia="黑体" w:cs="黑体"/>
              <w:bCs w:val="0"/>
              <w:szCs w:val="24"/>
            </w:rPr>
            <w:fldChar w:fldCharType="end"/>
          </w:r>
        </w:p>
        <w:p w14:paraId="448EF7C9">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_Toc8318 </w:instrText>
          </w:r>
          <w:r>
            <w:rPr>
              <w:rFonts w:hint="eastAsia" w:ascii="黑体" w:hAnsi="黑体" w:eastAsia="黑体" w:cs="黑体"/>
              <w:bCs w:val="0"/>
              <w:szCs w:val="24"/>
            </w:rPr>
            <w:fldChar w:fldCharType="separate"/>
          </w:r>
          <w:r>
            <w:rPr>
              <w:rFonts w:hint="eastAsia" w:ascii="宋体" w:hAnsi="宋体"/>
              <w:szCs w:val="21"/>
            </w:rPr>
            <w:t>6.合同生效</w:t>
          </w:r>
          <w:r>
            <w:tab/>
          </w:r>
          <w:r>
            <w:fldChar w:fldCharType="begin"/>
          </w:r>
          <w:r>
            <w:instrText xml:space="preserve"> PAGEREF _Toc8318 \h </w:instrText>
          </w:r>
          <w:r>
            <w:fldChar w:fldCharType="separate"/>
          </w:r>
          <w:r>
            <w:t>32</w:t>
          </w:r>
          <w:r>
            <w:fldChar w:fldCharType="end"/>
          </w:r>
          <w:r>
            <w:rPr>
              <w:rFonts w:hint="eastAsia" w:ascii="黑体" w:hAnsi="黑体" w:eastAsia="黑体" w:cs="黑体"/>
              <w:bCs w:val="0"/>
              <w:szCs w:val="24"/>
            </w:rPr>
            <w:fldChar w:fldCharType="end"/>
          </w:r>
        </w:p>
        <w:p w14:paraId="7641495C">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_Toc4084 </w:instrText>
          </w:r>
          <w:r>
            <w:rPr>
              <w:rFonts w:hint="eastAsia" w:ascii="黑体" w:hAnsi="黑体" w:eastAsia="黑体" w:cs="黑体"/>
              <w:bCs w:val="0"/>
              <w:szCs w:val="24"/>
            </w:rPr>
            <w:fldChar w:fldCharType="separate"/>
          </w:r>
          <w:r>
            <w:rPr>
              <w:rFonts w:hint="eastAsia" w:ascii="宋体" w:hAnsi="宋体"/>
              <w:szCs w:val="21"/>
            </w:rPr>
            <w:t>7.合同份数</w:t>
          </w:r>
          <w:r>
            <w:tab/>
          </w:r>
          <w:r>
            <w:fldChar w:fldCharType="begin"/>
          </w:r>
          <w:r>
            <w:instrText xml:space="preserve"> PAGEREF _Toc4084 \h </w:instrText>
          </w:r>
          <w:r>
            <w:fldChar w:fldCharType="separate"/>
          </w:r>
          <w:r>
            <w:t>32</w:t>
          </w:r>
          <w:r>
            <w:fldChar w:fldCharType="end"/>
          </w:r>
          <w:r>
            <w:rPr>
              <w:rFonts w:hint="eastAsia" w:ascii="黑体" w:hAnsi="黑体" w:eastAsia="黑体" w:cs="黑体"/>
              <w:bCs w:val="0"/>
              <w:szCs w:val="24"/>
            </w:rPr>
            <w:fldChar w:fldCharType="end"/>
          </w:r>
        </w:p>
        <w:p w14:paraId="260A0B69">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_Toc31811 </w:instrText>
          </w:r>
          <w:r>
            <w:rPr>
              <w:rFonts w:hint="eastAsia" w:ascii="黑体" w:hAnsi="黑体" w:eastAsia="黑体" w:cs="黑体"/>
              <w:bCs w:val="0"/>
              <w:szCs w:val="24"/>
            </w:rPr>
            <w:fldChar w:fldCharType="separate"/>
          </w:r>
          <w:r>
            <w:rPr>
              <w:rFonts w:hint="eastAsia" w:ascii="黑体" w:hAnsi="黑体" w:eastAsia="黑体"/>
              <w:szCs w:val="28"/>
            </w:rPr>
            <w:t>第二节 政府采购合同通用条款</w:t>
          </w:r>
          <w:r>
            <w:tab/>
          </w:r>
          <w:r>
            <w:fldChar w:fldCharType="begin"/>
          </w:r>
          <w:r>
            <w:instrText xml:space="preserve"> PAGEREF _Toc31811 \h </w:instrText>
          </w:r>
          <w:r>
            <w:fldChar w:fldCharType="separate"/>
          </w:r>
          <w:r>
            <w:t>34</w:t>
          </w:r>
          <w:r>
            <w:fldChar w:fldCharType="end"/>
          </w:r>
          <w:r>
            <w:rPr>
              <w:rFonts w:hint="eastAsia" w:ascii="黑体" w:hAnsi="黑体" w:eastAsia="黑体" w:cs="黑体"/>
              <w:bCs w:val="0"/>
              <w:szCs w:val="24"/>
            </w:rPr>
            <w:fldChar w:fldCharType="end"/>
          </w:r>
        </w:p>
        <w:p w14:paraId="6EACCE71">
          <w:pPr>
            <w:pStyle w:val="31"/>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_Toc27635 </w:instrText>
          </w:r>
          <w:r>
            <w:rPr>
              <w:rFonts w:hint="eastAsia" w:ascii="黑体" w:hAnsi="黑体" w:eastAsia="黑体" w:cs="黑体"/>
              <w:bCs w:val="0"/>
              <w:szCs w:val="24"/>
            </w:rPr>
            <w:fldChar w:fldCharType="separate"/>
          </w:r>
          <w:r>
            <w:rPr>
              <w:rFonts w:hint="eastAsia" w:ascii="黑体" w:hAnsi="黑体" w:eastAsia="黑体" w:cs="黑体"/>
              <w:bCs/>
              <w:szCs w:val="32"/>
              <w:lang w:val="en-US" w:eastAsia="zh-CN"/>
            </w:rPr>
            <w:t>第四章 采购需求</w:t>
          </w:r>
          <w:r>
            <w:tab/>
          </w:r>
          <w:r>
            <w:fldChar w:fldCharType="begin"/>
          </w:r>
          <w:r>
            <w:instrText xml:space="preserve"> PAGEREF _Toc27635 \h </w:instrText>
          </w:r>
          <w:r>
            <w:fldChar w:fldCharType="separate"/>
          </w:r>
          <w:r>
            <w:t>36</w:t>
          </w:r>
          <w:r>
            <w:fldChar w:fldCharType="end"/>
          </w:r>
          <w:r>
            <w:rPr>
              <w:rFonts w:hint="eastAsia" w:ascii="黑体" w:hAnsi="黑体" w:eastAsia="黑体" w:cs="黑体"/>
              <w:bCs w:val="0"/>
              <w:szCs w:val="24"/>
            </w:rPr>
            <w:fldChar w:fldCharType="end"/>
          </w:r>
        </w:p>
        <w:p w14:paraId="0008C1C0">
          <w:pPr>
            <w:pStyle w:val="31"/>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_Toc4352 </w:instrText>
          </w:r>
          <w:r>
            <w:rPr>
              <w:rFonts w:hint="eastAsia" w:ascii="黑体" w:hAnsi="黑体" w:eastAsia="黑体" w:cs="黑体"/>
              <w:bCs w:val="0"/>
              <w:szCs w:val="24"/>
            </w:rPr>
            <w:fldChar w:fldCharType="separate"/>
          </w:r>
          <w:r>
            <w:rPr>
              <w:rFonts w:hint="eastAsia" w:ascii="黑体" w:hAnsi="黑体" w:eastAsia="黑体" w:cs="黑体"/>
              <w:bCs/>
              <w:szCs w:val="32"/>
              <w:lang w:val="en-US" w:eastAsia="zh-CN"/>
            </w:rPr>
            <w:t>第五章 响应文件组成</w:t>
          </w:r>
          <w:r>
            <w:tab/>
          </w:r>
          <w:r>
            <w:fldChar w:fldCharType="begin"/>
          </w:r>
          <w:r>
            <w:instrText xml:space="preserve"> PAGEREF _Toc4352 \h </w:instrText>
          </w:r>
          <w:r>
            <w:fldChar w:fldCharType="separate"/>
          </w:r>
          <w:r>
            <w:t>49</w:t>
          </w:r>
          <w:r>
            <w:fldChar w:fldCharType="end"/>
          </w:r>
          <w:r>
            <w:rPr>
              <w:rFonts w:hint="eastAsia" w:ascii="黑体" w:hAnsi="黑体" w:eastAsia="黑体" w:cs="黑体"/>
              <w:bCs w:val="0"/>
              <w:szCs w:val="24"/>
            </w:rPr>
            <w:fldChar w:fldCharType="end"/>
          </w:r>
        </w:p>
        <w:p w14:paraId="05A07E96">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_Toc20402 </w:instrText>
          </w:r>
          <w:r>
            <w:rPr>
              <w:rFonts w:hint="eastAsia" w:ascii="黑体" w:hAnsi="黑体" w:eastAsia="黑体" w:cs="黑体"/>
              <w:bCs w:val="0"/>
              <w:szCs w:val="24"/>
            </w:rPr>
            <w:fldChar w:fldCharType="separate"/>
          </w:r>
          <w:r>
            <w:rPr>
              <w:rFonts w:hint="default" w:ascii="Times New Roman" w:hAnsi="Times New Roman" w:cs="Times New Roman"/>
              <w:bCs/>
            </w:rPr>
            <w:t>索引表 符合性审查索引表</w:t>
          </w:r>
          <w:r>
            <w:tab/>
          </w:r>
          <w:r>
            <w:fldChar w:fldCharType="begin"/>
          </w:r>
          <w:r>
            <w:instrText xml:space="preserve"> PAGEREF _Toc20402 \h </w:instrText>
          </w:r>
          <w:r>
            <w:fldChar w:fldCharType="separate"/>
          </w:r>
          <w:r>
            <w:t>51</w:t>
          </w:r>
          <w:r>
            <w:fldChar w:fldCharType="end"/>
          </w:r>
          <w:r>
            <w:rPr>
              <w:rFonts w:hint="eastAsia" w:ascii="黑体" w:hAnsi="黑体" w:eastAsia="黑体" w:cs="黑体"/>
              <w:bCs w:val="0"/>
              <w:szCs w:val="24"/>
            </w:rPr>
            <w:fldChar w:fldCharType="end"/>
          </w:r>
        </w:p>
        <w:p w14:paraId="14B8DFAA">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_Toc11134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一、磋商响应声明</w:t>
          </w:r>
          <w:r>
            <w:tab/>
          </w:r>
          <w:r>
            <w:fldChar w:fldCharType="begin"/>
          </w:r>
          <w:r>
            <w:instrText xml:space="preserve"> PAGEREF _Toc11134 \h </w:instrText>
          </w:r>
          <w:r>
            <w:fldChar w:fldCharType="separate"/>
          </w:r>
          <w:r>
            <w:t>52</w:t>
          </w:r>
          <w:r>
            <w:fldChar w:fldCharType="end"/>
          </w:r>
          <w:r>
            <w:rPr>
              <w:rFonts w:hint="eastAsia" w:ascii="黑体" w:hAnsi="黑体" w:eastAsia="黑体" w:cs="黑体"/>
              <w:bCs w:val="0"/>
              <w:szCs w:val="24"/>
            </w:rPr>
            <w:fldChar w:fldCharType="end"/>
          </w:r>
        </w:p>
        <w:p w14:paraId="5E72D7FC">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_Toc11297 </w:instrText>
          </w:r>
          <w:r>
            <w:rPr>
              <w:rFonts w:hint="eastAsia" w:ascii="黑体" w:hAnsi="黑体" w:eastAsia="黑体" w:cs="黑体"/>
              <w:bCs w:val="0"/>
              <w:szCs w:val="24"/>
            </w:rPr>
            <w:fldChar w:fldCharType="separate"/>
          </w:r>
          <w:r>
            <w:rPr>
              <w:rFonts w:hint="eastAsia" w:asciiTheme="majorEastAsia" w:hAnsiTheme="majorEastAsia" w:eastAsiaTheme="majorEastAsia" w:cstheme="majorEastAsia"/>
              <w:bCs w:val="0"/>
              <w:szCs w:val="21"/>
            </w:rPr>
            <w:t>附件1</w:t>
          </w:r>
          <w:r>
            <w:rPr>
              <w:rFonts w:hint="eastAsia" w:asciiTheme="majorEastAsia" w:hAnsiTheme="majorEastAsia" w:eastAsiaTheme="majorEastAsia" w:cstheme="majorEastAsia"/>
              <w:bCs w:val="0"/>
              <w:szCs w:val="21"/>
              <w:lang w:val="en-US" w:eastAsia="zh-CN"/>
            </w:rPr>
            <w:t>-1 法定代表人（单位负责人）身份证明</w:t>
          </w:r>
          <w:r>
            <w:tab/>
          </w:r>
          <w:r>
            <w:fldChar w:fldCharType="begin"/>
          </w:r>
          <w:r>
            <w:instrText xml:space="preserve"> PAGEREF _Toc11297 \h </w:instrText>
          </w:r>
          <w:r>
            <w:fldChar w:fldCharType="separate"/>
          </w:r>
          <w:r>
            <w:t>53</w:t>
          </w:r>
          <w:r>
            <w:fldChar w:fldCharType="end"/>
          </w:r>
          <w:r>
            <w:rPr>
              <w:rFonts w:hint="eastAsia" w:ascii="黑体" w:hAnsi="黑体" w:eastAsia="黑体" w:cs="黑体"/>
              <w:bCs w:val="0"/>
              <w:szCs w:val="24"/>
            </w:rPr>
            <w:fldChar w:fldCharType="end"/>
          </w:r>
        </w:p>
        <w:p w14:paraId="47102A81">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_Toc6933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val="0"/>
              <w:szCs w:val="21"/>
            </w:rPr>
            <w:t>附件</w:t>
          </w:r>
          <w:r>
            <w:rPr>
              <w:rFonts w:hint="eastAsia" w:asciiTheme="majorEastAsia" w:hAnsiTheme="majorEastAsia" w:eastAsiaTheme="majorEastAsia" w:cstheme="majorEastAsia"/>
              <w:bCs w:val="0"/>
              <w:szCs w:val="21"/>
              <w:lang w:val="en-US" w:eastAsia="zh-CN"/>
            </w:rPr>
            <w:t>1-</w:t>
          </w:r>
          <w:r>
            <w:rPr>
              <w:rFonts w:hint="eastAsia" w:asciiTheme="majorEastAsia" w:hAnsiTheme="majorEastAsia" w:eastAsiaTheme="majorEastAsia" w:cstheme="majorEastAsia"/>
              <w:bCs w:val="0"/>
              <w:szCs w:val="21"/>
            </w:rPr>
            <w:t>2</w:t>
          </w:r>
          <w:r>
            <w:rPr>
              <w:rFonts w:hint="eastAsia" w:asciiTheme="majorEastAsia" w:hAnsiTheme="majorEastAsia" w:eastAsiaTheme="majorEastAsia" w:cstheme="majorEastAsia"/>
              <w:bCs w:val="0"/>
              <w:szCs w:val="21"/>
              <w:lang w:val="en-US" w:eastAsia="zh-CN"/>
            </w:rPr>
            <w:t xml:space="preserve"> 法定代表人</w:t>
          </w:r>
          <w:r>
            <w:rPr>
              <w:rFonts w:hint="default" w:ascii="Times New Roman" w:hAnsi="Times New Roman" w:cs="Times New Roman"/>
              <w:bCs w:val="0"/>
              <w:kern w:val="0"/>
              <w:szCs w:val="21"/>
            </w:rPr>
            <w:t>（</w:t>
          </w:r>
          <w:r>
            <w:rPr>
              <w:rFonts w:hint="default" w:ascii="Times New Roman" w:hAnsi="Times New Roman" w:cs="Times New Roman"/>
              <w:bCs w:val="0"/>
              <w:spacing w:val="-2"/>
              <w:kern w:val="0"/>
              <w:szCs w:val="21"/>
            </w:rPr>
            <w:t>单</w:t>
          </w:r>
          <w:r>
            <w:rPr>
              <w:rFonts w:hint="default" w:ascii="Times New Roman" w:hAnsi="Times New Roman" w:cs="Times New Roman"/>
              <w:bCs w:val="0"/>
              <w:kern w:val="0"/>
              <w:szCs w:val="21"/>
            </w:rPr>
            <w:t>位</w:t>
          </w:r>
          <w:r>
            <w:rPr>
              <w:rFonts w:hint="default" w:ascii="Times New Roman" w:hAnsi="Times New Roman" w:cs="Times New Roman"/>
              <w:bCs w:val="0"/>
              <w:spacing w:val="-2"/>
              <w:kern w:val="0"/>
              <w:szCs w:val="21"/>
            </w:rPr>
            <w:t>负</w:t>
          </w:r>
          <w:r>
            <w:rPr>
              <w:rFonts w:hint="default" w:ascii="Times New Roman" w:hAnsi="Times New Roman" w:cs="Times New Roman"/>
              <w:bCs w:val="0"/>
              <w:kern w:val="0"/>
              <w:szCs w:val="21"/>
            </w:rPr>
            <w:t>责人</w:t>
          </w:r>
          <w:r>
            <w:rPr>
              <w:rFonts w:hint="default" w:ascii="Times New Roman" w:hAnsi="Times New Roman" w:cs="Times New Roman"/>
              <w:bCs w:val="0"/>
              <w:spacing w:val="-2"/>
              <w:kern w:val="0"/>
              <w:szCs w:val="21"/>
            </w:rPr>
            <w:t>）</w:t>
          </w:r>
          <w:r>
            <w:rPr>
              <w:rFonts w:hint="eastAsia" w:asciiTheme="majorEastAsia" w:hAnsiTheme="majorEastAsia" w:eastAsiaTheme="majorEastAsia" w:cstheme="majorEastAsia"/>
              <w:bCs w:val="0"/>
              <w:szCs w:val="21"/>
              <w:lang w:val="en-US" w:eastAsia="zh-CN"/>
            </w:rPr>
            <w:t>授权委托书</w:t>
          </w:r>
          <w:r>
            <w:tab/>
          </w:r>
          <w:r>
            <w:fldChar w:fldCharType="begin"/>
          </w:r>
          <w:r>
            <w:instrText xml:space="preserve"> PAGEREF _Toc6933 \h </w:instrText>
          </w:r>
          <w:r>
            <w:fldChar w:fldCharType="separate"/>
          </w:r>
          <w:r>
            <w:t>54</w:t>
          </w:r>
          <w:r>
            <w:fldChar w:fldCharType="end"/>
          </w:r>
          <w:r>
            <w:rPr>
              <w:rFonts w:hint="eastAsia" w:ascii="黑体" w:hAnsi="黑体" w:eastAsia="黑体" w:cs="黑体"/>
              <w:bCs w:val="0"/>
              <w:szCs w:val="24"/>
            </w:rPr>
            <w:fldChar w:fldCharType="end"/>
          </w:r>
        </w:p>
        <w:p w14:paraId="0A5F0E3C">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_Toc13521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二、磋商保证金缴纳证明材料</w:t>
          </w:r>
          <w:r>
            <w:tab/>
          </w:r>
          <w:r>
            <w:fldChar w:fldCharType="begin"/>
          </w:r>
          <w:r>
            <w:instrText xml:space="preserve"> PAGEREF _Toc13521 \h </w:instrText>
          </w:r>
          <w:r>
            <w:fldChar w:fldCharType="separate"/>
          </w:r>
          <w:r>
            <w:t>55</w:t>
          </w:r>
          <w:r>
            <w:fldChar w:fldCharType="end"/>
          </w:r>
          <w:r>
            <w:rPr>
              <w:rFonts w:hint="eastAsia" w:ascii="黑体" w:hAnsi="黑体" w:eastAsia="黑体" w:cs="黑体"/>
              <w:bCs w:val="0"/>
              <w:szCs w:val="24"/>
            </w:rPr>
            <w:fldChar w:fldCharType="end"/>
          </w:r>
        </w:p>
        <w:p w14:paraId="7A56A908">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_Toc18494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三、供应商的资格证明资料</w:t>
          </w:r>
          <w:r>
            <w:tab/>
          </w:r>
          <w:r>
            <w:fldChar w:fldCharType="begin"/>
          </w:r>
          <w:r>
            <w:instrText xml:space="preserve"> PAGEREF _Toc18494 \h </w:instrText>
          </w:r>
          <w:r>
            <w:fldChar w:fldCharType="separate"/>
          </w:r>
          <w:r>
            <w:t>56</w:t>
          </w:r>
          <w:r>
            <w:fldChar w:fldCharType="end"/>
          </w:r>
          <w:r>
            <w:rPr>
              <w:rFonts w:hint="eastAsia" w:ascii="黑体" w:hAnsi="黑体" w:eastAsia="黑体" w:cs="黑体"/>
              <w:bCs w:val="0"/>
              <w:szCs w:val="24"/>
            </w:rPr>
            <w:fldChar w:fldCharType="end"/>
          </w:r>
        </w:p>
        <w:p w14:paraId="110E101C">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_Toc28357 </w:instrText>
          </w:r>
          <w:r>
            <w:rPr>
              <w:rFonts w:hint="eastAsia" w:ascii="黑体" w:hAnsi="黑体" w:eastAsia="黑体" w:cs="黑体"/>
              <w:bCs w:val="0"/>
              <w:szCs w:val="24"/>
            </w:rPr>
            <w:fldChar w:fldCharType="separate"/>
          </w:r>
          <w:r>
            <w:rPr>
              <w:rFonts w:hint="eastAsia"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 xml:space="preserve">2-1 </w:t>
          </w:r>
          <w:r>
            <w:rPr>
              <w:rFonts w:hint="eastAsia" w:asciiTheme="majorEastAsia" w:hAnsiTheme="majorEastAsia" w:eastAsiaTheme="majorEastAsia" w:cstheme="majorEastAsia"/>
              <w:bCs/>
              <w:szCs w:val="21"/>
            </w:rPr>
            <w:t>供应商基本情况表</w:t>
          </w:r>
          <w:r>
            <w:tab/>
          </w:r>
          <w:r>
            <w:fldChar w:fldCharType="begin"/>
          </w:r>
          <w:r>
            <w:instrText xml:space="preserve"> PAGEREF _Toc28357 \h </w:instrText>
          </w:r>
          <w:r>
            <w:fldChar w:fldCharType="separate"/>
          </w:r>
          <w:r>
            <w:t>56</w:t>
          </w:r>
          <w:r>
            <w:fldChar w:fldCharType="end"/>
          </w:r>
          <w:r>
            <w:rPr>
              <w:rFonts w:hint="eastAsia" w:ascii="黑体" w:hAnsi="黑体" w:eastAsia="黑体" w:cs="黑体"/>
              <w:bCs w:val="0"/>
              <w:szCs w:val="24"/>
            </w:rPr>
            <w:fldChar w:fldCharType="end"/>
          </w:r>
        </w:p>
        <w:p w14:paraId="5B66722C">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_Toc4282 </w:instrText>
          </w:r>
          <w:r>
            <w:rPr>
              <w:rFonts w:hint="eastAsia" w:ascii="黑体" w:hAnsi="黑体" w:eastAsia="黑体" w:cs="黑体"/>
              <w:bCs w:val="0"/>
              <w:szCs w:val="24"/>
            </w:rPr>
            <w:fldChar w:fldCharType="separate"/>
          </w:r>
          <w:r>
            <w:rPr>
              <w:rFonts w:hint="eastAsia"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 xml:space="preserve">2-2 </w:t>
          </w:r>
          <w:r>
            <w:rPr>
              <w:rFonts w:hint="eastAsia" w:asciiTheme="majorEastAsia" w:hAnsiTheme="majorEastAsia" w:eastAsiaTheme="majorEastAsia" w:cstheme="majorEastAsia"/>
              <w:bCs/>
              <w:szCs w:val="21"/>
            </w:rPr>
            <w:t>磋商文件规定的基本资格条件证明资料</w:t>
          </w:r>
          <w:r>
            <w:tab/>
          </w:r>
          <w:r>
            <w:fldChar w:fldCharType="begin"/>
          </w:r>
          <w:r>
            <w:instrText xml:space="preserve"> PAGEREF _Toc4282 \h </w:instrText>
          </w:r>
          <w:r>
            <w:fldChar w:fldCharType="separate"/>
          </w:r>
          <w:r>
            <w:t>57</w:t>
          </w:r>
          <w:r>
            <w:fldChar w:fldCharType="end"/>
          </w:r>
          <w:r>
            <w:rPr>
              <w:rFonts w:hint="eastAsia" w:ascii="黑体" w:hAnsi="黑体" w:eastAsia="黑体" w:cs="黑体"/>
              <w:bCs w:val="0"/>
              <w:szCs w:val="24"/>
            </w:rPr>
            <w:fldChar w:fldCharType="end"/>
          </w:r>
        </w:p>
        <w:p w14:paraId="72339874">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_Toc625 </w:instrText>
          </w:r>
          <w:r>
            <w:rPr>
              <w:rFonts w:hint="eastAsia" w:ascii="黑体" w:hAnsi="黑体" w:eastAsia="黑体" w:cs="黑体"/>
              <w:bCs w:val="0"/>
              <w:szCs w:val="24"/>
            </w:rPr>
            <w:fldChar w:fldCharType="separate"/>
          </w:r>
          <w:r>
            <w:rPr>
              <w:rFonts w:hint="default"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2-3 湖南省政府采购供应商资格承诺函</w:t>
          </w:r>
          <w:r>
            <w:tab/>
          </w:r>
          <w:r>
            <w:fldChar w:fldCharType="begin"/>
          </w:r>
          <w:r>
            <w:instrText xml:space="preserve"> PAGEREF _Toc625 \h </w:instrText>
          </w:r>
          <w:r>
            <w:fldChar w:fldCharType="separate"/>
          </w:r>
          <w:r>
            <w:t>58</w:t>
          </w:r>
          <w:r>
            <w:fldChar w:fldCharType="end"/>
          </w:r>
          <w:r>
            <w:rPr>
              <w:rFonts w:hint="eastAsia" w:ascii="黑体" w:hAnsi="黑体" w:eastAsia="黑体" w:cs="黑体"/>
              <w:bCs w:val="0"/>
              <w:szCs w:val="24"/>
            </w:rPr>
            <w:fldChar w:fldCharType="end"/>
          </w:r>
        </w:p>
        <w:p w14:paraId="0A9EABA6">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_Toc7671 </w:instrText>
          </w:r>
          <w:r>
            <w:rPr>
              <w:rFonts w:hint="eastAsia" w:ascii="黑体" w:hAnsi="黑体" w:eastAsia="黑体" w:cs="黑体"/>
              <w:bCs w:val="0"/>
              <w:szCs w:val="24"/>
            </w:rPr>
            <w:fldChar w:fldCharType="separate"/>
          </w:r>
          <w:r>
            <w:rPr>
              <w:rFonts w:hint="eastAsia"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2-4</w:t>
          </w:r>
          <w:r>
            <w:rPr>
              <w:rFonts w:hint="eastAsia" w:asciiTheme="majorEastAsia" w:hAnsiTheme="majorEastAsia" w:eastAsiaTheme="majorEastAsia" w:cstheme="majorEastAsia"/>
              <w:bCs/>
              <w:szCs w:val="21"/>
            </w:rPr>
            <w:t xml:space="preserve"> 磋商文件规定的特定资格条件证明资料</w:t>
          </w:r>
          <w:r>
            <w:tab/>
          </w:r>
          <w:r>
            <w:fldChar w:fldCharType="begin"/>
          </w:r>
          <w:r>
            <w:instrText xml:space="preserve"> PAGEREF _Toc7671 \h </w:instrText>
          </w:r>
          <w:r>
            <w:fldChar w:fldCharType="separate"/>
          </w:r>
          <w:r>
            <w:t>59</w:t>
          </w:r>
          <w:r>
            <w:fldChar w:fldCharType="end"/>
          </w:r>
          <w:r>
            <w:rPr>
              <w:rFonts w:hint="eastAsia" w:ascii="黑体" w:hAnsi="黑体" w:eastAsia="黑体" w:cs="黑体"/>
              <w:bCs w:val="0"/>
              <w:szCs w:val="24"/>
            </w:rPr>
            <w:fldChar w:fldCharType="end"/>
          </w:r>
        </w:p>
        <w:p w14:paraId="5187FBCC">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_Toc21269 </w:instrText>
          </w:r>
          <w:r>
            <w:rPr>
              <w:rFonts w:hint="eastAsia" w:ascii="黑体" w:hAnsi="黑体" w:eastAsia="黑体" w:cs="黑体"/>
              <w:bCs w:val="0"/>
              <w:szCs w:val="24"/>
            </w:rPr>
            <w:fldChar w:fldCharType="separate"/>
          </w:r>
          <w:r>
            <w:rPr>
              <w:rFonts w:hint="default"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2-5</w:t>
          </w:r>
          <w:r>
            <w:rPr>
              <w:rFonts w:hint="default" w:asciiTheme="majorEastAsia" w:hAnsiTheme="majorEastAsia" w:eastAsiaTheme="majorEastAsia" w:cstheme="majorEastAsia"/>
              <w:bCs/>
              <w:szCs w:val="21"/>
            </w:rPr>
            <w:t xml:space="preserve"> 其他证明资料或说明</w:t>
          </w:r>
          <w:r>
            <w:tab/>
          </w:r>
          <w:r>
            <w:fldChar w:fldCharType="begin"/>
          </w:r>
          <w:r>
            <w:instrText xml:space="preserve"> PAGEREF _Toc21269 \h </w:instrText>
          </w:r>
          <w:r>
            <w:fldChar w:fldCharType="separate"/>
          </w:r>
          <w:r>
            <w:t>59</w:t>
          </w:r>
          <w:r>
            <w:fldChar w:fldCharType="end"/>
          </w:r>
          <w:r>
            <w:rPr>
              <w:rFonts w:hint="eastAsia" w:ascii="黑体" w:hAnsi="黑体" w:eastAsia="黑体" w:cs="黑体"/>
              <w:bCs w:val="0"/>
              <w:szCs w:val="24"/>
            </w:rPr>
            <w:fldChar w:fldCharType="end"/>
          </w:r>
        </w:p>
        <w:p w14:paraId="0F65D664">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_Toc20378 </w:instrText>
          </w:r>
          <w:r>
            <w:rPr>
              <w:rFonts w:hint="eastAsia" w:ascii="黑体" w:hAnsi="黑体" w:eastAsia="黑体" w:cs="黑体"/>
              <w:bCs w:val="0"/>
              <w:szCs w:val="24"/>
            </w:rPr>
            <w:fldChar w:fldCharType="separate"/>
          </w:r>
          <w:r>
            <w:rPr>
              <w:rFonts w:hint="eastAsia" w:ascii="黑体" w:hAnsi="黑体" w:eastAsia="黑体" w:cs="黑体"/>
              <w:szCs w:val="32"/>
              <w:lang w:val="en-US" w:eastAsia="zh-CN"/>
            </w:rPr>
            <w:t>四、施工实施方案</w:t>
          </w:r>
          <w:r>
            <w:tab/>
          </w:r>
          <w:r>
            <w:fldChar w:fldCharType="begin"/>
          </w:r>
          <w:r>
            <w:instrText xml:space="preserve"> PAGEREF _Toc20378 \h </w:instrText>
          </w:r>
          <w:r>
            <w:fldChar w:fldCharType="separate"/>
          </w:r>
          <w:r>
            <w:t>60</w:t>
          </w:r>
          <w:r>
            <w:fldChar w:fldCharType="end"/>
          </w:r>
          <w:r>
            <w:rPr>
              <w:rFonts w:hint="eastAsia" w:ascii="黑体" w:hAnsi="黑体" w:eastAsia="黑体" w:cs="黑体"/>
              <w:bCs w:val="0"/>
              <w:szCs w:val="24"/>
            </w:rPr>
            <w:fldChar w:fldCharType="end"/>
          </w:r>
        </w:p>
        <w:p w14:paraId="4D05415A">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_Toc11676 </w:instrText>
          </w:r>
          <w:r>
            <w:rPr>
              <w:rFonts w:hint="eastAsia" w:ascii="黑体" w:hAnsi="黑体" w:eastAsia="黑体" w:cs="黑体"/>
              <w:bCs w:val="0"/>
              <w:szCs w:val="24"/>
            </w:rPr>
            <w:fldChar w:fldCharType="separate"/>
          </w:r>
          <w:r>
            <w:rPr>
              <w:rFonts w:hint="eastAsia" w:asciiTheme="minorEastAsia" w:hAnsiTheme="minorEastAsia" w:eastAsiaTheme="minorEastAsia" w:cstheme="minorEastAsia"/>
              <w:bCs/>
              <w:szCs w:val="21"/>
            </w:rPr>
            <w:t>附件</w:t>
          </w:r>
          <w:r>
            <w:rPr>
              <w:rFonts w:hint="eastAsia" w:asciiTheme="minorEastAsia" w:hAnsiTheme="minorEastAsia" w:eastAsiaTheme="minorEastAsia" w:cstheme="minorEastAsia"/>
              <w:bCs/>
              <w:szCs w:val="21"/>
              <w:lang w:val="en-US" w:eastAsia="zh-CN"/>
            </w:rPr>
            <w:t xml:space="preserve">3 </w:t>
          </w:r>
          <w:r>
            <w:rPr>
              <w:rFonts w:hint="eastAsia" w:asciiTheme="minorEastAsia" w:hAnsiTheme="minorEastAsia" w:eastAsiaTheme="minorEastAsia" w:cstheme="minorEastAsia"/>
              <w:bCs/>
              <w:szCs w:val="21"/>
            </w:rPr>
            <w:t>主要人员简历表</w:t>
          </w:r>
          <w:r>
            <w:tab/>
          </w:r>
          <w:r>
            <w:fldChar w:fldCharType="begin"/>
          </w:r>
          <w:r>
            <w:instrText xml:space="preserve"> PAGEREF _Toc11676 \h </w:instrText>
          </w:r>
          <w:r>
            <w:fldChar w:fldCharType="separate"/>
          </w:r>
          <w:r>
            <w:t>61</w:t>
          </w:r>
          <w:r>
            <w:fldChar w:fldCharType="end"/>
          </w:r>
          <w:r>
            <w:rPr>
              <w:rFonts w:hint="eastAsia" w:ascii="黑体" w:hAnsi="黑体" w:eastAsia="黑体" w:cs="黑体"/>
              <w:bCs w:val="0"/>
              <w:szCs w:val="24"/>
            </w:rPr>
            <w:fldChar w:fldCharType="end"/>
          </w:r>
        </w:p>
        <w:p w14:paraId="42B83AD2">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_Toc25430 </w:instrText>
          </w:r>
          <w:r>
            <w:rPr>
              <w:rFonts w:hint="eastAsia" w:ascii="黑体" w:hAnsi="黑体" w:eastAsia="黑体" w:cs="黑体"/>
              <w:bCs w:val="0"/>
              <w:szCs w:val="24"/>
            </w:rPr>
            <w:fldChar w:fldCharType="separate"/>
          </w:r>
          <w:r>
            <w:rPr>
              <w:rFonts w:hint="default" w:ascii="Times New Roman" w:hAnsi="Times New Roman" w:eastAsia="黑体" w:cs="Times New Roman"/>
              <w:szCs w:val="32"/>
            </w:rPr>
            <w:t>五、技术/商务响应与偏离表</w:t>
          </w:r>
          <w:r>
            <w:tab/>
          </w:r>
          <w:r>
            <w:fldChar w:fldCharType="begin"/>
          </w:r>
          <w:r>
            <w:instrText xml:space="preserve"> PAGEREF _Toc25430 \h </w:instrText>
          </w:r>
          <w:r>
            <w:fldChar w:fldCharType="separate"/>
          </w:r>
          <w:r>
            <w:t>62</w:t>
          </w:r>
          <w:r>
            <w:fldChar w:fldCharType="end"/>
          </w:r>
          <w:r>
            <w:rPr>
              <w:rFonts w:hint="eastAsia" w:ascii="黑体" w:hAnsi="黑体" w:eastAsia="黑体" w:cs="黑体"/>
              <w:bCs w:val="0"/>
              <w:szCs w:val="24"/>
            </w:rPr>
            <w:fldChar w:fldCharType="end"/>
          </w:r>
        </w:p>
        <w:p w14:paraId="4D1D9D3A">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_Toc13207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六、享受政府采购政策优惠的证明资料</w:t>
          </w:r>
          <w:r>
            <w:tab/>
          </w:r>
          <w:r>
            <w:fldChar w:fldCharType="begin"/>
          </w:r>
          <w:r>
            <w:instrText xml:space="preserve"> PAGEREF _Toc13207 \h </w:instrText>
          </w:r>
          <w:r>
            <w:fldChar w:fldCharType="separate"/>
          </w:r>
          <w:r>
            <w:t>63</w:t>
          </w:r>
          <w:r>
            <w:fldChar w:fldCharType="end"/>
          </w:r>
          <w:r>
            <w:rPr>
              <w:rFonts w:hint="eastAsia" w:ascii="黑体" w:hAnsi="黑体" w:eastAsia="黑体" w:cs="黑体"/>
              <w:bCs w:val="0"/>
              <w:szCs w:val="24"/>
            </w:rPr>
            <w:fldChar w:fldCharType="end"/>
          </w:r>
        </w:p>
        <w:p w14:paraId="2C02ACE5">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_Toc3190 </w:instrText>
          </w:r>
          <w:r>
            <w:rPr>
              <w:rFonts w:hint="eastAsia" w:ascii="黑体" w:hAnsi="黑体" w:eastAsia="黑体" w:cs="黑体"/>
              <w:bCs w:val="0"/>
              <w:szCs w:val="24"/>
            </w:rPr>
            <w:fldChar w:fldCharType="separate"/>
          </w:r>
          <w:r>
            <w:rPr>
              <w:rFonts w:hint="eastAsia"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 xml:space="preserve">4-1 </w:t>
          </w:r>
          <w:r>
            <w:rPr>
              <w:rFonts w:hint="eastAsia" w:asciiTheme="majorEastAsia" w:hAnsiTheme="majorEastAsia" w:eastAsiaTheme="majorEastAsia" w:cstheme="majorEastAsia"/>
              <w:bCs/>
              <w:spacing w:val="6"/>
              <w:kern w:val="0"/>
              <w:szCs w:val="21"/>
            </w:rPr>
            <w:t>中小企业声明函</w:t>
          </w:r>
          <w:r>
            <w:tab/>
          </w:r>
          <w:r>
            <w:fldChar w:fldCharType="begin"/>
          </w:r>
          <w:r>
            <w:instrText xml:space="preserve"> PAGEREF _Toc3190 \h </w:instrText>
          </w:r>
          <w:r>
            <w:fldChar w:fldCharType="separate"/>
          </w:r>
          <w:r>
            <w:t>63</w:t>
          </w:r>
          <w:r>
            <w:fldChar w:fldCharType="end"/>
          </w:r>
          <w:r>
            <w:rPr>
              <w:rFonts w:hint="eastAsia" w:ascii="黑体" w:hAnsi="黑体" w:eastAsia="黑体" w:cs="黑体"/>
              <w:bCs w:val="0"/>
              <w:szCs w:val="24"/>
            </w:rPr>
            <w:fldChar w:fldCharType="end"/>
          </w:r>
        </w:p>
        <w:p w14:paraId="5CDF403C">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_Toc2846 </w:instrText>
          </w:r>
          <w:r>
            <w:rPr>
              <w:rFonts w:hint="eastAsia" w:ascii="黑体" w:hAnsi="黑体" w:eastAsia="黑体" w:cs="黑体"/>
              <w:bCs w:val="0"/>
              <w:szCs w:val="24"/>
            </w:rPr>
            <w:fldChar w:fldCharType="separate"/>
          </w:r>
          <w:r>
            <w:rPr>
              <w:rFonts w:hint="default"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 xml:space="preserve">4-2 </w:t>
          </w:r>
          <w:r>
            <w:rPr>
              <w:rFonts w:hint="default" w:asciiTheme="majorEastAsia" w:hAnsiTheme="majorEastAsia" w:eastAsiaTheme="majorEastAsia" w:cstheme="majorEastAsia"/>
              <w:bCs/>
              <w:szCs w:val="21"/>
            </w:rPr>
            <w:t>残疾人福利性单位声明函</w:t>
          </w:r>
          <w:r>
            <w:tab/>
          </w:r>
          <w:r>
            <w:fldChar w:fldCharType="begin"/>
          </w:r>
          <w:r>
            <w:instrText xml:space="preserve"> PAGEREF _Toc2846 \h </w:instrText>
          </w:r>
          <w:r>
            <w:fldChar w:fldCharType="separate"/>
          </w:r>
          <w:r>
            <w:t>64</w:t>
          </w:r>
          <w:r>
            <w:fldChar w:fldCharType="end"/>
          </w:r>
          <w:r>
            <w:rPr>
              <w:rFonts w:hint="eastAsia" w:ascii="黑体" w:hAnsi="黑体" w:eastAsia="黑体" w:cs="黑体"/>
              <w:bCs w:val="0"/>
              <w:szCs w:val="24"/>
            </w:rPr>
            <w:fldChar w:fldCharType="end"/>
          </w:r>
        </w:p>
        <w:p w14:paraId="23732735">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_Toc201 </w:instrText>
          </w:r>
          <w:r>
            <w:rPr>
              <w:rFonts w:hint="eastAsia" w:ascii="黑体" w:hAnsi="黑体" w:eastAsia="黑体" w:cs="黑体"/>
              <w:bCs w:val="0"/>
              <w:szCs w:val="24"/>
            </w:rPr>
            <w:fldChar w:fldCharType="separate"/>
          </w:r>
          <w:r>
            <w:rPr>
              <w:rFonts w:hint="default"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4</w:t>
          </w:r>
          <w:r>
            <w:rPr>
              <w:rFonts w:hint="default" w:asciiTheme="majorEastAsia" w:hAnsiTheme="majorEastAsia" w:eastAsiaTheme="majorEastAsia" w:cstheme="majorEastAsia"/>
              <w:bCs/>
              <w:szCs w:val="21"/>
            </w:rPr>
            <w:t>-</w:t>
          </w:r>
          <w:r>
            <w:rPr>
              <w:rFonts w:hint="eastAsia" w:asciiTheme="majorEastAsia" w:hAnsiTheme="majorEastAsia" w:eastAsiaTheme="majorEastAsia" w:cstheme="majorEastAsia"/>
              <w:bCs/>
              <w:szCs w:val="21"/>
              <w:lang w:val="en-US" w:eastAsia="zh-CN"/>
            </w:rPr>
            <w:t xml:space="preserve">3 </w:t>
          </w:r>
          <w:r>
            <w:rPr>
              <w:rFonts w:hint="default" w:asciiTheme="majorEastAsia" w:hAnsiTheme="majorEastAsia" w:eastAsiaTheme="majorEastAsia" w:cstheme="majorEastAsia"/>
              <w:bCs/>
              <w:szCs w:val="21"/>
            </w:rPr>
            <w:t>监狱企业证明资料</w:t>
          </w:r>
          <w:r>
            <w:tab/>
          </w:r>
          <w:r>
            <w:fldChar w:fldCharType="begin"/>
          </w:r>
          <w:r>
            <w:instrText xml:space="preserve"> PAGEREF _Toc201 \h </w:instrText>
          </w:r>
          <w:r>
            <w:fldChar w:fldCharType="separate"/>
          </w:r>
          <w:r>
            <w:t>64</w:t>
          </w:r>
          <w:r>
            <w:fldChar w:fldCharType="end"/>
          </w:r>
          <w:r>
            <w:rPr>
              <w:rFonts w:hint="eastAsia" w:ascii="黑体" w:hAnsi="黑体" w:eastAsia="黑体" w:cs="黑体"/>
              <w:bCs w:val="0"/>
              <w:szCs w:val="24"/>
            </w:rPr>
            <w:fldChar w:fldCharType="end"/>
          </w:r>
        </w:p>
        <w:p w14:paraId="571A8171">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_Toc25234 </w:instrText>
          </w:r>
          <w:r>
            <w:rPr>
              <w:rFonts w:hint="eastAsia" w:ascii="黑体" w:hAnsi="黑体" w:eastAsia="黑体" w:cs="黑体"/>
              <w:bCs w:val="0"/>
              <w:szCs w:val="24"/>
            </w:rPr>
            <w:fldChar w:fldCharType="separate"/>
          </w:r>
          <w:r>
            <w:rPr>
              <w:rFonts w:hint="default" w:asciiTheme="majorEastAsia" w:hAnsiTheme="majorEastAsia" w:eastAsiaTheme="majorEastAsia" w:cstheme="majorEastAsia"/>
              <w:bCs/>
              <w:szCs w:val="21"/>
            </w:rPr>
            <w:t>附件</w:t>
          </w:r>
          <w:r>
            <w:rPr>
              <w:rFonts w:hint="eastAsia" w:asciiTheme="majorEastAsia" w:hAnsiTheme="majorEastAsia" w:eastAsiaTheme="majorEastAsia" w:cstheme="majorEastAsia"/>
              <w:bCs/>
              <w:szCs w:val="21"/>
              <w:lang w:val="en-US" w:eastAsia="zh-CN"/>
            </w:rPr>
            <w:t xml:space="preserve">5-1 </w:t>
          </w:r>
          <w:r>
            <w:rPr>
              <w:rFonts w:hint="default" w:asciiTheme="majorEastAsia" w:hAnsiTheme="majorEastAsia" w:eastAsiaTheme="majorEastAsia" w:cstheme="majorEastAsia"/>
              <w:bCs/>
              <w:szCs w:val="21"/>
            </w:rPr>
            <w:t>报价一览表</w:t>
          </w:r>
          <w:r>
            <w:tab/>
          </w:r>
          <w:r>
            <w:fldChar w:fldCharType="begin"/>
          </w:r>
          <w:r>
            <w:instrText xml:space="preserve"> PAGEREF _Toc25234 \h </w:instrText>
          </w:r>
          <w:r>
            <w:fldChar w:fldCharType="separate"/>
          </w:r>
          <w:r>
            <w:t>65</w:t>
          </w:r>
          <w:r>
            <w:fldChar w:fldCharType="end"/>
          </w:r>
          <w:r>
            <w:rPr>
              <w:rFonts w:hint="eastAsia" w:ascii="黑体" w:hAnsi="黑体" w:eastAsia="黑体" w:cs="黑体"/>
              <w:bCs w:val="0"/>
              <w:szCs w:val="24"/>
            </w:rPr>
            <w:fldChar w:fldCharType="end"/>
          </w:r>
        </w:p>
        <w:p w14:paraId="47B9C7F7">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_Toc28106 </w:instrText>
          </w:r>
          <w:r>
            <w:rPr>
              <w:rFonts w:hint="eastAsia" w:ascii="黑体" w:hAnsi="黑体" w:eastAsia="黑体" w:cs="黑体"/>
              <w:bCs w:val="0"/>
              <w:szCs w:val="24"/>
            </w:rPr>
            <w:fldChar w:fldCharType="separate"/>
          </w:r>
          <w:r>
            <w:rPr>
              <w:rFonts w:hint="eastAsia"/>
              <w:bCs/>
            </w:rPr>
            <w:t>附件</w:t>
          </w:r>
          <w:r>
            <w:rPr>
              <w:rFonts w:hint="eastAsia"/>
              <w:bCs/>
              <w:lang w:val="en-US" w:eastAsia="zh-CN"/>
            </w:rPr>
            <w:t>5</w:t>
          </w:r>
          <w:r>
            <w:rPr>
              <w:rFonts w:hint="eastAsia"/>
              <w:bCs/>
            </w:rPr>
            <w:t>-</w:t>
          </w:r>
          <w:r>
            <w:rPr>
              <w:rFonts w:hint="eastAsia"/>
              <w:bCs/>
              <w:lang w:val="en-US" w:eastAsia="zh-CN"/>
            </w:rPr>
            <w:t xml:space="preserve">2 </w:t>
          </w:r>
          <w:r>
            <w:rPr>
              <w:rFonts w:hint="eastAsia"/>
              <w:bCs/>
            </w:rPr>
            <w:t>分项价格表</w:t>
          </w:r>
          <w:r>
            <w:tab/>
          </w:r>
          <w:r>
            <w:fldChar w:fldCharType="begin"/>
          </w:r>
          <w:r>
            <w:instrText xml:space="preserve"> PAGEREF _Toc28106 \h </w:instrText>
          </w:r>
          <w:r>
            <w:fldChar w:fldCharType="separate"/>
          </w:r>
          <w:r>
            <w:t>66</w:t>
          </w:r>
          <w:r>
            <w:fldChar w:fldCharType="end"/>
          </w:r>
          <w:r>
            <w:rPr>
              <w:rFonts w:hint="eastAsia" w:ascii="黑体" w:hAnsi="黑体" w:eastAsia="黑体" w:cs="黑体"/>
              <w:bCs w:val="0"/>
              <w:szCs w:val="24"/>
            </w:rPr>
            <w:fldChar w:fldCharType="end"/>
          </w:r>
        </w:p>
        <w:p w14:paraId="18CB4E1F">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_Toc3991 </w:instrText>
          </w:r>
          <w:r>
            <w:rPr>
              <w:rFonts w:hint="eastAsia" w:ascii="黑体" w:hAnsi="黑体" w:eastAsia="黑体" w:cs="黑体"/>
              <w:bCs w:val="0"/>
              <w:szCs w:val="24"/>
            </w:rPr>
            <w:fldChar w:fldCharType="separate"/>
          </w:r>
          <w:r>
            <w:rPr>
              <w:rFonts w:hint="default" w:ascii="Times New Roman" w:hAnsi="Times New Roman" w:eastAsia="黑体" w:cs="Times New Roman"/>
              <w:szCs w:val="28"/>
            </w:rPr>
            <w:t>八、供应商认为需要提供的其它资料</w:t>
          </w:r>
          <w:r>
            <w:tab/>
          </w:r>
          <w:r>
            <w:fldChar w:fldCharType="begin"/>
          </w:r>
          <w:r>
            <w:instrText xml:space="preserve"> PAGEREF _Toc3991 \h </w:instrText>
          </w:r>
          <w:r>
            <w:fldChar w:fldCharType="separate"/>
          </w:r>
          <w:r>
            <w:t>67</w:t>
          </w:r>
          <w:r>
            <w:fldChar w:fldCharType="end"/>
          </w:r>
          <w:r>
            <w:rPr>
              <w:rFonts w:hint="eastAsia" w:ascii="黑体" w:hAnsi="黑体" w:eastAsia="黑体" w:cs="黑体"/>
              <w:bCs w:val="0"/>
              <w:szCs w:val="24"/>
            </w:rPr>
            <w:fldChar w:fldCharType="end"/>
          </w:r>
        </w:p>
        <w:p w14:paraId="5F9EE293">
          <w:pPr>
            <w:pStyle w:val="36"/>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_Toc8257 </w:instrText>
          </w:r>
          <w:r>
            <w:rPr>
              <w:rFonts w:hint="eastAsia" w:ascii="黑体" w:hAnsi="黑体" w:eastAsia="黑体" w:cs="黑体"/>
              <w:bCs w:val="0"/>
              <w:szCs w:val="24"/>
            </w:rPr>
            <w:fldChar w:fldCharType="separate"/>
          </w:r>
          <w:r>
            <w:rPr>
              <w:rFonts w:hint="default" w:ascii="Times New Roman" w:hAnsi="Times New Roman" w:eastAsia="黑体" w:cs="Times New Roman"/>
              <w:bCs w:val="0"/>
              <w:spacing w:val="6"/>
              <w:kern w:val="0"/>
              <w:szCs w:val="28"/>
            </w:rPr>
            <w:t>九、最后报价</w:t>
          </w:r>
          <w:r>
            <w:tab/>
          </w:r>
          <w:r>
            <w:fldChar w:fldCharType="begin"/>
          </w:r>
          <w:r>
            <w:instrText xml:space="preserve"> PAGEREF _Toc8257 \h </w:instrText>
          </w:r>
          <w:r>
            <w:fldChar w:fldCharType="separate"/>
          </w:r>
          <w:r>
            <w:t>68</w:t>
          </w:r>
          <w:r>
            <w:fldChar w:fldCharType="end"/>
          </w:r>
          <w:r>
            <w:rPr>
              <w:rFonts w:hint="eastAsia" w:ascii="黑体" w:hAnsi="黑体" w:eastAsia="黑体" w:cs="黑体"/>
              <w:bCs w:val="0"/>
              <w:szCs w:val="24"/>
            </w:rPr>
            <w:fldChar w:fldCharType="end"/>
          </w:r>
        </w:p>
        <w:p w14:paraId="2DE78341">
          <w:pPr>
            <w:pStyle w:val="23"/>
            <w:tabs>
              <w:tab w:val="right" w:leader="dot" w:pos="8844"/>
            </w:tabs>
          </w:pPr>
          <w:r>
            <w:rPr>
              <w:rFonts w:hint="eastAsia" w:ascii="黑体" w:hAnsi="黑体" w:eastAsia="黑体" w:cs="黑体"/>
              <w:bCs w:val="0"/>
              <w:szCs w:val="24"/>
            </w:rPr>
            <w:fldChar w:fldCharType="begin"/>
          </w:r>
          <w:r>
            <w:rPr>
              <w:rFonts w:hint="eastAsia" w:ascii="黑体" w:hAnsi="黑体" w:eastAsia="黑体" w:cs="黑体"/>
              <w:bCs w:val="0"/>
              <w:szCs w:val="24"/>
            </w:rPr>
            <w:instrText xml:space="preserve"> HYPERLINK \l _Toc2755 </w:instrText>
          </w:r>
          <w:r>
            <w:rPr>
              <w:rFonts w:hint="eastAsia" w:ascii="黑体" w:hAnsi="黑体" w:eastAsia="黑体" w:cs="黑体"/>
              <w:bCs w:val="0"/>
              <w:szCs w:val="24"/>
            </w:rPr>
            <w:fldChar w:fldCharType="separate"/>
          </w:r>
          <w:r>
            <w:rPr>
              <w:rFonts w:hint="eastAsia" w:asciiTheme="majorEastAsia" w:hAnsiTheme="majorEastAsia" w:eastAsiaTheme="majorEastAsia" w:cstheme="majorEastAsia"/>
              <w:szCs w:val="21"/>
              <w:lang w:val="en-US" w:eastAsia="zh-CN"/>
            </w:rPr>
            <w:t xml:space="preserve">附件6 </w:t>
          </w:r>
          <w:r>
            <w:rPr>
              <w:rFonts w:hint="eastAsia" w:asciiTheme="majorEastAsia" w:hAnsiTheme="majorEastAsia" w:eastAsiaTheme="majorEastAsia" w:cstheme="majorEastAsia"/>
              <w:szCs w:val="21"/>
            </w:rPr>
            <w:t>报价表（最后报价）</w:t>
          </w:r>
          <w:r>
            <w:tab/>
          </w:r>
          <w:r>
            <w:fldChar w:fldCharType="begin"/>
          </w:r>
          <w:r>
            <w:instrText xml:space="preserve"> PAGEREF _Toc2755 \h </w:instrText>
          </w:r>
          <w:r>
            <w:fldChar w:fldCharType="separate"/>
          </w:r>
          <w:r>
            <w:t>68</w:t>
          </w:r>
          <w:r>
            <w:fldChar w:fldCharType="end"/>
          </w:r>
          <w:r>
            <w:rPr>
              <w:rFonts w:hint="eastAsia" w:ascii="黑体" w:hAnsi="黑体" w:eastAsia="黑体" w:cs="黑体"/>
              <w:bCs w:val="0"/>
              <w:szCs w:val="24"/>
            </w:rPr>
            <w:fldChar w:fldCharType="end"/>
          </w:r>
        </w:p>
        <w:p w14:paraId="2894A296">
          <w:pPr>
            <w:pStyle w:val="24"/>
            <w:adjustRightInd w:val="0"/>
            <w:snapToGrid w:val="0"/>
            <w:spacing w:line="360" w:lineRule="auto"/>
            <w:ind w:left="0" w:leftChars="0" w:firstLine="0" w:firstLineChars="0"/>
            <w:jc w:val="left"/>
            <w:rPr>
              <w:rFonts w:hint="default" w:ascii="Times New Roman" w:hAnsi="Times New Roman" w:cs="Times New Roman"/>
              <w:b/>
              <w:sz w:val="32"/>
            </w:rPr>
          </w:pPr>
          <w:r>
            <w:rPr>
              <w:rFonts w:hint="eastAsia" w:ascii="黑体" w:hAnsi="黑体" w:eastAsia="黑体" w:cs="黑体"/>
              <w:bCs w:val="0"/>
              <w:szCs w:val="24"/>
            </w:rPr>
            <w:fldChar w:fldCharType="end"/>
          </w:r>
        </w:p>
      </w:sdtContent>
    </w:sdt>
    <w:p w14:paraId="71EA2D89">
      <w:pPr>
        <w:ind w:left="0" w:leftChars="0" w:firstLine="0" w:firstLineChars="0"/>
        <w:rPr>
          <w:rFonts w:hint="default" w:ascii="Times New Roman" w:hAnsi="Times New Roman" w:cs="Times New Roman"/>
          <w:b/>
          <w:sz w:val="32"/>
        </w:rPr>
      </w:pPr>
      <w:r>
        <w:rPr>
          <w:rFonts w:hint="default" w:ascii="Times New Roman" w:hAnsi="Times New Roman" w:cs="Times New Roman"/>
          <w:b/>
          <w:sz w:val="32"/>
        </w:rPr>
        <w:br w:type="page"/>
      </w:r>
    </w:p>
    <w:p w14:paraId="5BDE6378">
      <w:pPr>
        <w:keepNext/>
        <w:adjustRightInd w:val="0"/>
        <w:snapToGrid w:val="0"/>
        <w:spacing w:before="156" w:beforeLines="50" w:line="360" w:lineRule="auto"/>
        <w:jc w:val="center"/>
        <w:outlineLvl w:val="0"/>
        <w:rPr>
          <w:rFonts w:hint="eastAsia" w:ascii="黑体" w:hAnsi="黑体" w:eastAsia="黑体" w:cs="黑体"/>
          <w:b/>
          <w:bCs/>
          <w:color w:val="auto"/>
          <w:sz w:val="32"/>
          <w:szCs w:val="32"/>
        </w:rPr>
      </w:pPr>
      <w:bookmarkStart w:id="0" w:name="_Toc17038_WPSOffice_Level1"/>
      <w:bookmarkStart w:id="1" w:name="_Toc31432"/>
      <w:bookmarkStart w:id="2" w:name="_Toc17543"/>
      <w:bookmarkStart w:id="3" w:name="_Toc3970"/>
      <w:bookmarkStart w:id="4" w:name="_Toc6127"/>
      <w:bookmarkStart w:id="5" w:name="_Toc16674"/>
      <w:r>
        <w:rPr>
          <w:rFonts w:hint="eastAsia" w:ascii="黑体" w:hAnsi="黑体" w:eastAsia="黑体" w:cs="黑体"/>
          <w:b/>
          <w:bCs/>
          <w:color w:val="auto"/>
          <w:sz w:val="32"/>
          <w:szCs w:val="32"/>
          <w:lang w:val="en-US" w:eastAsia="zh-CN"/>
        </w:rPr>
        <w:t xml:space="preserve">第一章 </w:t>
      </w:r>
      <w:r>
        <w:rPr>
          <w:rFonts w:hint="eastAsia" w:ascii="黑体" w:hAnsi="黑体" w:eastAsia="黑体" w:cs="黑体"/>
          <w:b/>
          <w:bCs/>
          <w:color w:val="auto"/>
          <w:sz w:val="32"/>
          <w:szCs w:val="32"/>
        </w:rPr>
        <w:t>磋商邀请</w:t>
      </w:r>
      <w:bookmarkEnd w:id="0"/>
      <w:bookmarkEnd w:id="1"/>
      <w:bookmarkEnd w:id="2"/>
      <w:bookmarkEnd w:id="3"/>
      <w:bookmarkEnd w:id="4"/>
      <w:bookmarkEnd w:id="5"/>
    </w:p>
    <w:p w14:paraId="28751E1B">
      <w:pPr>
        <w:keepNext w:val="0"/>
        <w:keepLines w:val="0"/>
        <w:pageBreakBefore w:val="0"/>
        <w:kinsoku/>
        <w:wordWrap/>
        <w:overflowPunct/>
        <w:topLinePunct w:val="0"/>
        <w:autoSpaceDE/>
        <w:autoSpaceDN/>
        <w:bidi w:val="0"/>
        <w:adjustRightInd/>
        <w:snapToGrid/>
        <w:ind w:leftChars="0" w:firstLine="420"/>
        <w:textAlignment w:val="auto"/>
        <w:outlineLvl w:val="9"/>
        <w:rPr>
          <w:rFonts w:hint="default" w:ascii="黑体" w:hAnsi="黑体" w:eastAsia="黑体" w:cs="黑体"/>
          <w:b w:val="0"/>
          <w:bCs w:val="0"/>
          <w:sz w:val="22"/>
          <w:szCs w:val="22"/>
          <w:lang w:val="en-US" w:eastAsia="zh-CN"/>
        </w:rPr>
      </w:pPr>
      <w:bookmarkStart w:id="6" w:name="_Toc6418"/>
      <w:bookmarkStart w:id="7" w:name="_Toc13342"/>
      <w:bookmarkStart w:id="8" w:name="_Toc16103"/>
      <w:bookmarkStart w:id="9" w:name="_Toc22593"/>
      <w:r>
        <w:rPr>
          <w:rFonts w:hint="eastAsia" w:asciiTheme="minorEastAsia" w:hAnsiTheme="minorEastAsia" w:eastAsiaTheme="minorEastAsia" w:cstheme="minorEastAsia"/>
          <w:b w:val="0"/>
          <w:bCs w:val="0"/>
          <w:sz w:val="24"/>
          <w:szCs w:val="24"/>
          <w:lang w:val="en-US" w:eastAsia="zh-CN"/>
        </w:rPr>
        <w:t>岳阳县步仙镇中心学校的岳阳县步仙镇中心学校学生宿舍、食堂维修及篮球场改造工程进行竞争性磋商采购，现采用发布公告方式，邀请符合条件的供应商参加采购活动。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801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5F03027">
            <w:pPr>
              <w:keepNext w:val="0"/>
              <w:keepLines w:val="0"/>
              <w:pageBreakBefore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项目概况</w:t>
            </w:r>
          </w:p>
          <w:p w14:paraId="1CCFDC70">
            <w:pPr>
              <w:keepNext w:val="0"/>
              <w:keepLines w:val="0"/>
              <w:pageBreakBefore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岳阳县步仙镇中心学校学生宿舍、食堂维修及篮球场改造工程采购项目的潜在供应商应在（岳阳县荣家湾镇贺坪东路南侧桃李佳苑第一栋104室 ）获取采购文件，并于2026年08月31日 09点30分 （北京时间）前提交响应文件。</w:t>
            </w:r>
          </w:p>
        </w:tc>
      </w:tr>
    </w:tbl>
    <w:p w14:paraId="423EE5F8">
      <w:pPr>
        <w:keepNext w:val="0"/>
        <w:keepLines w:val="0"/>
        <w:pageBreakBefore w:val="0"/>
        <w:widowControl w:val="0"/>
        <w:kinsoku/>
        <w:wordWrap/>
        <w:overflowPunct/>
        <w:topLinePunct w:val="0"/>
        <w:autoSpaceDE/>
        <w:autoSpaceDN/>
        <w:bidi w:val="0"/>
        <w:adjustRightInd/>
        <w:snapToGrid/>
        <w:spacing w:before="157" w:beforeLines="50"/>
        <w:ind w:leftChars="0" w:firstLine="420"/>
        <w:textAlignment w:val="auto"/>
        <w:outlineLvl w:val="1"/>
        <w:rPr>
          <w:rFonts w:hint="eastAsia" w:asciiTheme="minorEastAsia" w:hAnsiTheme="minorEastAsia" w:eastAsiaTheme="minorEastAsia" w:cstheme="minorEastAsia"/>
          <w:b/>
          <w:bCs/>
          <w:sz w:val="24"/>
          <w:szCs w:val="24"/>
          <w:lang w:val="en-US" w:eastAsia="zh-CN"/>
        </w:rPr>
      </w:pPr>
      <w:bookmarkStart w:id="10" w:name="_Toc30126"/>
      <w:r>
        <w:rPr>
          <w:rFonts w:hint="eastAsia" w:asciiTheme="minorEastAsia" w:hAnsiTheme="minorEastAsia" w:eastAsiaTheme="minorEastAsia" w:cstheme="minorEastAsia"/>
          <w:b/>
          <w:bCs/>
          <w:sz w:val="24"/>
          <w:szCs w:val="24"/>
          <w:lang w:val="en-US" w:eastAsia="zh-CN"/>
        </w:rPr>
        <w:t>一、采购项目基本信息</w:t>
      </w:r>
      <w:bookmarkEnd w:id="10"/>
    </w:p>
    <w:p w14:paraId="4A9DA144">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1、采购项目编号：</w:t>
      </w:r>
      <w:r>
        <w:rPr>
          <w:rFonts w:hint="eastAsia" w:asciiTheme="minorEastAsia" w:hAnsiTheme="minorEastAsia" w:eastAsiaTheme="minorEastAsia" w:cstheme="minorEastAsia"/>
          <w:b w:val="0"/>
          <w:bCs w:val="0"/>
          <w:sz w:val="24"/>
          <w:szCs w:val="24"/>
          <w:highlight w:val="none"/>
          <w:lang w:val="en-US" w:eastAsia="zh-CN"/>
        </w:rPr>
        <w:t>CGXM2026430621000050</w:t>
      </w:r>
    </w:p>
    <w:p w14:paraId="56D50282">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2、采购项目名称：岳阳县步仙镇中心学校学生宿舍、食堂维修及篮球场改造工程</w:t>
      </w:r>
    </w:p>
    <w:p w14:paraId="27730957">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3、政府采购计划编号：</w:t>
      </w:r>
      <w:r>
        <w:rPr>
          <w:rFonts w:hint="eastAsia" w:asciiTheme="minorEastAsia" w:hAnsiTheme="minorEastAsia" w:eastAsiaTheme="minorEastAsia" w:cstheme="minorEastAsia"/>
          <w:b w:val="0"/>
          <w:bCs w:val="0"/>
          <w:sz w:val="24"/>
          <w:szCs w:val="24"/>
          <w:highlight w:val="none"/>
          <w:lang w:val="en-US" w:eastAsia="zh-CN"/>
        </w:rPr>
        <w:t>(2026)430621000035-1</w:t>
      </w:r>
    </w:p>
    <w:p w14:paraId="53E38EBB">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lang w:val="en-US" w:eastAsia="zh-CN"/>
        </w:rPr>
        <w:t>4、合同履行期限：</w:t>
      </w:r>
      <w:r>
        <w:rPr>
          <w:rFonts w:hint="eastAsia" w:asciiTheme="minorEastAsia" w:hAnsiTheme="minorEastAsia" w:eastAsiaTheme="minorEastAsia" w:cstheme="minorEastAsia"/>
          <w:b w:val="0"/>
          <w:bCs w:val="0"/>
          <w:sz w:val="24"/>
          <w:szCs w:val="24"/>
          <w:highlight w:val="none"/>
          <w:lang w:val="en-US" w:eastAsia="zh-CN"/>
        </w:rPr>
        <w:t>包1：60日历天，具体开工日期以采购单位签发的开工通知为准。</w:t>
      </w:r>
    </w:p>
    <w:p w14:paraId="352C80AC">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5、本项目</w:t>
      </w:r>
      <w:r>
        <w:rPr>
          <w:rFonts w:hint="eastAsia" w:asciiTheme="minorEastAsia" w:hAnsiTheme="minorEastAsia" w:eastAsiaTheme="minorEastAsia" w:cstheme="minorEastAsia"/>
          <w:b w:val="0"/>
          <w:bCs w:val="0"/>
          <w:sz w:val="24"/>
          <w:szCs w:val="24"/>
          <w:u w:val="single"/>
          <w:lang w:val="en-US" w:eastAsia="zh-CN"/>
        </w:rPr>
        <w:t xml:space="preserve"> 否 </w:t>
      </w:r>
      <w:r>
        <w:rPr>
          <w:rFonts w:hint="eastAsia" w:asciiTheme="minorEastAsia" w:hAnsiTheme="minorEastAsia" w:eastAsiaTheme="minorEastAsia" w:cstheme="minorEastAsia"/>
          <w:b w:val="0"/>
          <w:bCs w:val="0"/>
          <w:sz w:val="24"/>
          <w:szCs w:val="24"/>
          <w:lang w:val="en-US" w:eastAsia="zh-CN"/>
        </w:rPr>
        <w:t>接受联合体投标</w:t>
      </w:r>
    </w:p>
    <w:p w14:paraId="2CA2AB2D">
      <w:pPr>
        <w:keepNext w:val="0"/>
        <w:keepLines w:val="0"/>
        <w:pageBreakBefore w:val="0"/>
        <w:kinsoku/>
        <w:wordWrap/>
        <w:overflowPunct/>
        <w:topLinePunct w:val="0"/>
        <w:autoSpaceDE/>
        <w:autoSpaceDN/>
        <w:bidi w:val="0"/>
        <w:adjustRightInd/>
        <w:snapToGrid/>
        <w:ind w:leftChars="0" w:firstLine="420"/>
        <w:textAlignment w:val="auto"/>
        <w:outlineLvl w:val="1"/>
        <w:rPr>
          <w:rFonts w:hint="eastAsia" w:asciiTheme="minorEastAsia" w:hAnsiTheme="minorEastAsia" w:eastAsiaTheme="minorEastAsia" w:cstheme="minorEastAsia"/>
          <w:b/>
          <w:bCs/>
          <w:sz w:val="24"/>
          <w:szCs w:val="24"/>
          <w:lang w:val="en-US" w:eastAsia="zh-CN"/>
        </w:rPr>
      </w:pPr>
      <w:bookmarkStart w:id="11" w:name="_Toc25820"/>
      <w:r>
        <w:rPr>
          <w:rFonts w:hint="eastAsia" w:asciiTheme="minorEastAsia" w:hAnsiTheme="minorEastAsia" w:eastAsiaTheme="minorEastAsia" w:cstheme="minorEastAsia"/>
          <w:b/>
          <w:bCs/>
          <w:sz w:val="24"/>
          <w:szCs w:val="24"/>
          <w:lang w:val="en-US" w:eastAsia="zh-CN"/>
        </w:rPr>
        <w:t>二、采购需求</w:t>
      </w:r>
      <w:bookmarkEnd w:id="11"/>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1416"/>
        <w:gridCol w:w="1553"/>
        <w:gridCol w:w="3446"/>
        <w:gridCol w:w="652"/>
        <w:gridCol w:w="1492"/>
      </w:tblGrid>
      <w:tr w14:paraId="3F5F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046C3F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lang w:val="en-US" w:eastAsia="zh-CN"/>
              </w:rPr>
            </w:pPr>
            <w:r>
              <w:rPr>
                <w:rFonts w:hint="eastAsia"/>
                <w:b/>
                <w:bCs/>
                <w:sz w:val="24"/>
                <w:szCs w:val="24"/>
                <w:lang w:val="en-US" w:eastAsia="zh-CN"/>
              </w:rPr>
              <w:t>包名称</w:t>
            </w:r>
          </w:p>
        </w:tc>
        <w:tc>
          <w:tcPr>
            <w:tcW w:w="1316" w:type="dxa"/>
            <w:vAlign w:val="center"/>
          </w:tcPr>
          <w:p w14:paraId="13B681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lang w:val="en-US" w:eastAsia="zh-CN"/>
              </w:rPr>
            </w:pPr>
            <w:r>
              <w:rPr>
                <w:rFonts w:hint="eastAsia"/>
                <w:b/>
                <w:bCs/>
                <w:sz w:val="24"/>
                <w:szCs w:val="24"/>
                <w:lang w:val="en-US" w:eastAsia="zh-CN"/>
              </w:rPr>
              <w:t>最高限价（元）</w:t>
            </w:r>
          </w:p>
        </w:tc>
        <w:tc>
          <w:tcPr>
            <w:tcW w:w="1577" w:type="dxa"/>
            <w:vAlign w:val="center"/>
          </w:tcPr>
          <w:p w14:paraId="2DC66B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lang w:val="en-US" w:eastAsia="zh-CN"/>
              </w:rPr>
            </w:pPr>
            <w:r>
              <w:rPr>
                <w:rFonts w:hint="eastAsia"/>
                <w:b/>
                <w:bCs/>
                <w:sz w:val="24"/>
                <w:szCs w:val="24"/>
                <w:lang w:val="en-US" w:eastAsia="zh-CN"/>
              </w:rPr>
              <w:t>标的名称</w:t>
            </w:r>
          </w:p>
        </w:tc>
        <w:tc>
          <w:tcPr>
            <w:tcW w:w="3513" w:type="dxa"/>
            <w:vAlign w:val="center"/>
          </w:tcPr>
          <w:p w14:paraId="303DE7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lang w:val="en-US" w:eastAsia="zh-CN"/>
              </w:rPr>
            </w:pPr>
            <w:r>
              <w:rPr>
                <w:rFonts w:hint="eastAsia"/>
                <w:b/>
                <w:bCs/>
                <w:sz w:val="24"/>
                <w:szCs w:val="24"/>
                <w:lang w:val="en-US" w:eastAsia="zh-CN"/>
              </w:rPr>
              <w:t>简要技术需求或服务要求</w:t>
            </w:r>
          </w:p>
        </w:tc>
        <w:tc>
          <w:tcPr>
            <w:tcW w:w="657" w:type="dxa"/>
            <w:vAlign w:val="center"/>
          </w:tcPr>
          <w:p w14:paraId="02085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lang w:val="en-US" w:eastAsia="zh-CN"/>
              </w:rPr>
            </w:pPr>
            <w:r>
              <w:rPr>
                <w:rFonts w:hint="eastAsia"/>
                <w:b/>
                <w:bCs/>
                <w:sz w:val="24"/>
                <w:szCs w:val="24"/>
                <w:lang w:val="en-US" w:eastAsia="zh-CN"/>
              </w:rPr>
              <w:t>数量</w:t>
            </w:r>
          </w:p>
        </w:tc>
        <w:tc>
          <w:tcPr>
            <w:tcW w:w="1494" w:type="dxa"/>
            <w:vAlign w:val="center"/>
          </w:tcPr>
          <w:p w14:paraId="0EA25A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lang w:val="en-US" w:eastAsia="zh-CN"/>
              </w:rPr>
            </w:pPr>
            <w:r>
              <w:rPr>
                <w:rFonts w:hint="eastAsia"/>
                <w:b/>
                <w:bCs/>
                <w:sz w:val="24"/>
                <w:szCs w:val="24"/>
                <w:lang w:val="en-US" w:eastAsia="zh-CN"/>
              </w:rPr>
              <w:t>预算金额（元）</w:t>
            </w:r>
          </w:p>
        </w:tc>
      </w:tr>
      <w:tr w14:paraId="638C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77A6067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4"/>
                <w:szCs w:val="24"/>
                <w:lang w:val="en-US" w:eastAsia="zh-CN"/>
              </w:rPr>
            </w:pPr>
            <w:r>
              <w:rPr>
                <w:rFonts w:hint="eastAsia"/>
                <w:sz w:val="24"/>
                <w:szCs w:val="24"/>
                <w:lang w:val="en-US" w:eastAsia="zh-CN"/>
              </w:rPr>
              <w:t>包1</w:t>
            </w:r>
          </w:p>
        </w:tc>
        <w:tc>
          <w:tcPr>
            <w:tcW w:w="1316" w:type="dxa"/>
            <w:vAlign w:val="center"/>
          </w:tcPr>
          <w:p w14:paraId="019614E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4"/>
                <w:szCs w:val="24"/>
                <w:lang w:val="en-US" w:eastAsia="zh-CN"/>
              </w:rPr>
            </w:pPr>
            <w:r>
              <w:rPr>
                <w:rFonts w:hint="eastAsia"/>
                <w:sz w:val="24"/>
                <w:szCs w:val="24"/>
                <w:lang w:val="en-US" w:eastAsia="zh-CN"/>
              </w:rPr>
              <w:t>1381722.00</w:t>
            </w:r>
          </w:p>
        </w:tc>
        <w:tc>
          <w:tcPr>
            <w:tcW w:w="1577" w:type="dxa"/>
            <w:vAlign w:val="center"/>
          </w:tcPr>
          <w:p w14:paraId="448DC5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4"/>
                <w:szCs w:val="24"/>
                <w:lang w:val="en-US" w:eastAsia="zh-CN"/>
              </w:rPr>
            </w:pPr>
            <w:r>
              <w:rPr>
                <w:rFonts w:hint="eastAsia"/>
                <w:sz w:val="24"/>
                <w:szCs w:val="24"/>
                <w:lang w:val="en-US" w:eastAsia="zh-CN"/>
              </w:rPr>
              <w:t>岳阳县步仙镇中心学校学生宿舍、食堂维修及篮球场改造工程</w:t>
            </w:r>
          </w:p>
        </w:tc>
        <w:tc>
          <w:tcPr>
            <w:tcW w:w="3513" w:type="dxa"/>
            <w:vAlign w:val="center"/>
          </w:tcPr>
          <w:p w14:paraId="721D320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4"/>
                <w:szCs w:val="24"/>
                <w:lang w:val="en-US" w:eastAsia="zh-CN"/>
              </w:rPr>
            </w:pPr>
            <w:r>
              <w:rPr>
                <w:rFonts w:hint="eastAsia"/>
                <w:sz w:val="24"/>
                <w:szCs w:val="24"/>
                <w:lang w:val="en-US" w:eastAsia="zh-CN"/>
              </w:rPr>
              <w:t>改造篮球场441.75平方米；维修学生宿舍及食堂操作间屋顶面积共1566.99平方米(其中1#栋学生宿舍 386.59平方米、2#栋学生宿舍950.40平方米、食堂操作间屋顶230平方米)，包含门窗更换、墙面、地面和顶棚装饰装修、水电、设备采购等其他附属工程。</w:t>
            </w:r>
          </w:p>
        </w:tc>
        <w:tc>
          <w:tcPr>
            <w:tcW w:w="657" w:type="dxa"/>
            <w:vAlign w:val="center"/>
          </w:tcPr>
          <w:p w14:paraId="3C60DE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4"/>
                <w:szCs w:val="24"/>
                <w:lang w:val="en-US" w:eastAsia="zh-CN"/>
              </w:rPr>
            </w:pPr>
            <w:r>
              <w:rPr>
                <w:rFonts w:hint="eastAsia"/>
                <w:sz w:val="24"/>
                <w:szCs w:val="24"/>
                <w:lang w:val="en-US" w:eastAsia="zh-CN"/>
              </w:rPr>
              <w:t>1</w:t>
            </w:r>
          </w:p>
        </w:tc>
        <w:tc>
          <w:tcPr>
            <w:tcW w:w="1494" w:type="dxa"/>
            <w:vAlign w:val="center"/>
          </w:tcPr>
          <w:p w14:paraId="43543E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4"/>
                <w:szCs w:val="24"/>
                <w:lang w:val="en-US" w:eastAsia="zh-CN"/>
              </w:rPr>
            </w:pPr>
            <w:r>
              <w:rPr>
                <w:rFonts w:hint="eastAsia"/>
                <w:sz w:val="24"/>
                <w:szCs w:val="24"/>
                <w:lang w:val="en-US" w:eastAsia="zh-CN"/>
              </w:rPr>
              <w:t>1381722.00</w:t>
            </w:r>
          </w:p>
        </w:tc>
      </w:tr>
      <w:bookmarkEnd w:id="6"/>
      <w:bookmarkEnd w:id="7"/>
      <w:bookmarkEnd w:id="8"/>
      <w:bookmarkEnd w:id="9"/>
    </w:tbl>
    <w:p w14:paraId="543C3CD0">
      <w:pPr>
        <w:keepNext w:val="0"/>
        <w:keepLines w:val="0"/>
        <w:pageBreakBefore w:val="0"/>
        <w:kinsoku/>
        <w:wordWrap/>
        <w:overflowPunct/>
        <w:topLinePunct w:val="0"/>
        <w:autoSpaceDE/>
        <w:autoSpaceDN/>
        <w:bidi w:val="0"/>
        <w:adjustRightInd/>
        <w:snapToGrid/>
        <w:ind w:leftChars="0" w:firstLine="420"/>
        <w:textAlignment w:val="auto"/>
        <w:outlineLvl w:val="1"/>
        <w:rPr>
          <w:rFonts w:hint="eastAsia" w:asciiTheme="minorEastAsia" w:hAnsiTheme="minorEastAsia" w:eastAsiaTheme="minorEastAsia" w:cstheme="minorEastAsia"/>
          <w:b/>
          <w:bCs/>
          <w:sz w:val="24"/>
          <w:szCs w:val="24"/>
          <w:lang w:val="en-US" w:eastAsia="zh-CN"/>
        </w:rPr>
      </w:pPr>
      <w:bookmarkStart w:id="12" w:name="_Toc15907"/>
      <w:bookmarkStart w:id="13" w:name="_Toc333"/>
      <w:bookmarkStart w:id="14" w:name="_Toc12169"/>
      <w:bookmarkStart w:id="15" w:name="_Toc24182"/>
      <w:r>
        <w:rPr>
          <w:rFonts w:hint="eastAsia" w:asciiTheme="minorEastAsia" w:hAnsiTheme="minorEastAsia" w:eastAsiaTheme="minorEastAsia" w:cstheme="minorEastAsia"/>
          <w:b/>
          <w:bCs/>
          <w:sz w:val="24"/>
          <w:szCs w:val="24"/>
          <w:lang w:val="en-US" w:eastAsia="zh-CN"/>
        </w:rPr>
        <w:t>三、供应商的资格要求</w:t>
      </w:r>
      <w:bookmarkEnd w:id="12"/>
      <w:bookmarkEnd w:id="13"/>
      <w:bookmarkEnd w:id="14"/>
      <w:bookmarkEnd w:id="15"/>
    </w:p>
    <w:p w14:paraId="0C504A03">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bookmarkStart w:id="16" w:name="_Toc24741"/>
      <w:bookmarkStart w:id="17" w:name="_Toc10630"/>
      <w:bookmarkStart w:id="18" w:name="_Toc16901"/>
      <w:bookmarkStart w:id="19" w:name="_Toc12379"/>
      <w:bookmarkStart w:id="20" w:name="_Toc22201058"/>
      <w:bookmarkStart w:id="21" w:name="_Toc24117"/>
      <w:bookmarkStart w:id="22" w:name="_Toc9014"/>
      <w:bookmarkStart w:id="23" w:name="_Toc22190"/>
      <w:r>
        <w:rPr>
          <w:rFonts w:hint="eastAsia" w:asciiTheme="minorEastAsia" w:hAnsiTheme="minorEastAsia" w:eastAsiaTheme="minorEastAsia" w:cstheme="minorEastAsia"/>
          <w:b w:val="0"/>
          <w:bCs w:val="0"/>
          <w:sz w:val="24"/>
          <w:szCs w:val="24"/>
          <w:lang w:val="en-US" w:eastAsia="zh-CN"/>
        </w:rPr>
        <w:t>1、供应商的基本资格条件：</w:t>
      </w:r>
    </w:p>
    <w:p w14:paraId="32441DB0">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（1）供应商必须是在中华人民共和国境内注册登记的法人、其他组织或者自然人，且应当符合《政府采购法》第二十二条第一款的规定。</w:t>
      </w:r>
    </w:p>
    <w:p w14:paraId="14FCE297">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（2）单位负责人为同一人或者存在直接控股、管理关系的不同供应商，不得参加同一合同项下的政府采购活动。</w:t>
      </w:r>
    </w:p>
    <w:p w14:paraId="0FF74F23">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 为本采购项目提供整体设计、规范编制或者项目管理、监理、检测等服务的，不得再参加此项目的其他采购活动。</w:t>
      </w:r>
    </w:p>
    <w:p w14:paraId="76D9CA8D">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（4）列入失信被执行人、重大税收违法失信主体名单、政府采购严重违法失信行为记录名单的，拒绝其参与政府采购活动。</w:t>
      </w:r>
    </w:p>
    <w:p w14:paraId="60FD93D4">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2、落实政府采购政策需满足的资格要求：</w:t>
      </w:r>
    </w:p>
    <w:p w14:paraId="4E2D5B32">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包名称：</w:t>
      </w:r>
      <w:r>
        <w:rPr>
          <w:rFonts w:hint="eastAsia" w:asciiTheme="minorEastAsia" w:hAnsiTheme="minorEastAsia" w:eastAsiaTheme="minorEastAsia" w:cstheme="minorEastAsia"/>
          <w:b w:val="0"/>
          <w:bCs w:val="0"/>
          <w:sz w:val="24"/>
          <w:szCs w:val="24"/>
          <w:u w:val="single"/>
          <w:lang w:val="en-US" w:eastAsia="zh-CN"/>
        </w:rPr>
        <w:t xml:space="preserve"> 包1 </w:t>
      </w:r>
    </w:p>
    <w:p w14:paraId="5F829D7D">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 专门面向中小企业（含监狱及福利性单位）</w:t>
      </w:r>
    </w:p>
    <w:p w14:paraId="7F5E0693">
      <w:pPr>
        <w:keepNext w:val="0"/>
        <w:keepLines w:val="0"/>
        <w:pageBreakBefore w:val="0"/>
        <w:kinsoku/>
        <w:wordWrap/>
        <w:overflowPunct/>
        <w:topLinePunct w:val="0"/>
        <w:autoSpaceDE/>
        <w:autoSpaceDN/>
        <w:bidi w:val="0"/>
        <w:adjustRightInd/>
        <w:snapToGrid/>
        <w:ind w:leftChars="0" w:firstLine="420"/>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3、供应商特定资格条件：</w:t>
      </w:r>
      <w:bookmarkEnd w:id="16"/>
      <w:bookmarkEnd w:id="17"/>
      <w:bookmarkEnd w:id="18"/>
      <w:bookmarkEnd w:id="19"/>
    </w:p>
    <w:p w14:paraId="3A62DD55">
      <w:pPr>
        <w:keepNext w:val="0"/>
        <w:keepLines w:val="0"/>
        <w:pageBreakBefore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（1）供应商须具备建设行政主管部门核发的建筑工程施工总承包叁级及以上的企业资质，持有有效的安全生产许可证，并在人员、设备、资金等方面具有相应的施工能力；</w:t>
      </w:r>
    </w:p>
    <w:p w14:paraId="50DC7106">
      <w:pPr>
        <w:keepNext w:val="0"/>
        <w:keepLines w:val="0"/>
        <w:pageBreakBefore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（2）湖南省外企业须按照湘建建〔2015〕190号文件要求办理省外入湘企业基本情况登记（以“湖南省住房和城乡建设网”查询为准）或具有入湘施工登记证（处于有效期内）；</w:t>
      </w:r>
    </w:p>
    <w:p w14:paraId="3E64D2E6">
      <w:pPr>
        <w:keepNext w:val="0"/>
        <w:keepLines w:val="0"/>
        <w:pageBreakBefore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（3）拟派项目经理须具备建筑工程专业二级及以上注册建造师执业资格，持有有效的安全生产考核合格证书（B证）；项目经理须注册在本供应商单位，且无在建工程项目，提供无在建工程书面承诺。</w:t>
      </w:r>
    </w:p>
    <w:p w14:paraId="58D7C2A4">
      <w:pPr>
        <w:keepNext w:val="0"/>
        <w:keepLines w:val="0"/>
        <w:pageBreakBefore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z w:val="24"/>
          <w:szCs w:val="24"/>
          <w:lang w:val="en-US" w:eastAsia="zh-CN"/>
        </w:rPr>
        <w:t>（4）本项目专门面向中小企业采购，所属行业为建筑业；供应商须为符合《政府采购促进中小企业发展管理办法》规定的中小企业，提供《中小企业声明函》，格式见财政部工业和信息化部关于印发《政府采购促进中小企业</w:t>
      </w:r>
      <w:r>
        <w:rPr>
          <w:rFonts w:hint="eastAsia" w:asciiTheme="minorEastAsia" w:hAnsiTheme="minorEastAsia" w:eastAsiaTheme="minorEastAsia" w:cstheme="minorEastAsia"/>
          <w:color w:val="auto"/>
          <w:sz w:val="24"/>
          <w:szCs w:val="24"/>
          <w:highlight w:val="none"/>
          <w:lang w:val="en-US" w:eastAsia="zh-CN"/>
        </w:rPr>
        <w:t>发展管理办法》的通知财库〔2020〕46号文；</w:t>
      </w:r>
      <w:r>
        <w:rPr>
          <w:rFonts w:hint="eastAsia" w:asciiTheme="minorEastAsia" w:hAnsiTheme="minorEastAsia" w:eastAsiaTheme="minorEastAsia" w:cstheme="minorEastAsia"/>
          <w:sz w:val="24"/>
          <w:szCs w:val="24"/>
          <w:lang w:val="en-US" w:eastAsia="zh-CN"/>
        </w:rPr>
        <w:t>监狱企业、残疾人福利性单位视同小微企业，须提供相应官方证明文件。</w:t>
      </w:r>
    </w:p>
    <w:p w14:paraId="3F1FCF36">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24" w:name="_Toc10885"/>
      <w:r>
        <w:rPr>
          <w:rFonts w:hint="eastAsia" w:asciiTheme="minorEastAsia" w:hAnsiTheme="minorEastAsia" w:eastAsiaTheme="minorEastAsia" w:cstheme="minorEastAsia"/>
          <w:b/>
          <w:bCs/>
          <w:sz w:val="24"/>
          <w:szCs w:val="24"/>
          <w:lang w:val="en-US" w:eastAsia="zh-CN"/>
        </w:rPr>
        <w:t>四、获取磋商文件的时间、期限、地点及方式</w:t>
      </w:r>
      <w:bookmarkEnd w:id="24"/>
    </w:p>
    <w:p w14:paraId="4DA80B7C">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1、时间：2026年8月17日至2026年8月24日，每天上午8:00至12:00，下午15:00至18:00（北京时间，法定节假日除外）</w:t>
      </w:r>
    </w:p>
    <w:p w14:paraId="1C003691">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2、地点：岳阳县荣家湾镇贺坪东路南侧桃李佳苑第一栋104室</w:t>
      </w:r>
    </w:p>
    <w:p w14:paraId="1190FB07">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3、方式：线下获取</w:t>
      </w:r>
    </w:p>
    <w:p w14:paraId="2469C249">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4、售价：0元</w:t>
      </w:r>
    </w:p>
    <w:p w14:paraId="29B4594E">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25" w:name="_Toc30383"/>
      <w:r>
        <w:rPr>
          <w:rFonts w:hint="eastAsia" w:asciiTheme="minorEastAsia" w:hAnsiTheme="minorEastAsia" w:eastAsiaTheme="minorEastAsia" w:cstheme="minorEastAsia"/>
          <w:b/>
          <w:bCs/>
          <w:sz w:val="24"/>
          <w:szCs w:val="24"/>
          <w:lang w:val="en-US" w:eastAsia="zh-CN"/>
        </w:rPr>
        <w:t>五、响应文件提交截止时间、地点</w:t>
      </w:r>
      <w:bookmarkEnd w:id="25"/>
    </w:p>
    <w:p w14:paraId="4F19FE1A">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1、截止时间：2026年08月31日 15点30分（北京时间）</w:t>
      </w:r>
    </w:p>
    <w:p w14:paraId="0289E511">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2、地点：岳阳县荣家湾镇贺坪东路南侧桃李佳苑第一栋104室</w:t>
      </w:r>
    </w:p>
    <w:p w14:paraId="7F818287">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26" w:name="_Toc12404"/>
      <w:r>
        <w:rPr>
          <w:rFonts w:hint="eastAsia" w:asciiTheme="minorEastAsia" w:hAnsiTheme="minorEastAsia" w:eastAsiaTheme="minorEastAsia" w:cstheme="minorEastAsia"/>
          <w:b/>
          <w:bCs/>
          <w:sz w:val="24"/>
          <w:szCs w:val="24"/>
          <w:lang w:val="en-US" w:eastAsia="zh-CN"/>
        </w:rPr>
        <w:t>六、响应文件开启</w:t>
      </w:r>
      <w:bookmarkEnd w:id="26"/>
    </w:p>
    <w:p w14:paraId="0F632EC4">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1、开启时间：2026年08月31日 15点30分（北京时间）</w:t>
      </w:r>
    </w:p>
    <w:p w14:paraId="60B43CCA">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2、地点：岳阳县荣家湾镇贺坪东路南侧桃李佳苑第一栋104室</w:t>
      </w:r>
    </w:p>
    <w:p w14:paraId="65FFE1E2">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27" w:name="_Toc29130"/>
      <w:r>
        <w:rPr>
          <w:rFonts w:hint="eastAsia" w:asciiTheme="minorEastAsia" w:hAnsiTheme="minorEastAsia" w:eastAsiaTheme="minorEastAsia" w:cstheme="minorEastAsia"/>
          <w:b/>
          <w:bCs/>
          <w:sz w:val="24"/>
          <w:szCs w:val="24"/>
          <w:lang w:val="en-US" w:eastAsia="zh-CN"/>
        </w:rPr>
        <w:t>七、公告期限</w:t>
      </w:r>
      <w:bookmarkEnd w:id="27"/>
    </w:p>
    <w:p w14:paraId="37860F29">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1、本公告在中国湖南政府采购网（</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"http://www.ccgp-hunan.gov.cn/" \t "http://www.ccgp-hunan.gov.cn/luban/front/_blank"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www.ccgp-hunan.gov.cn</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）发布。公告期限从本公告发布之日起5个工作日。</w:t>
      </w:r>
    </w:p>
    <w:p w14:paraId="1C4F91FF">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2、在其他媒体发布的邀请公告，公告内容以本招标公告指定媒体发布的公告为准。</w:t>
      </w:r>
    </w:p>
    <w:p w14:paraId="6EC23DF4">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28" w:name="_Toc17801"/>
      <w:r>
        <w:rPr>
          <w:rFonts w:hint="eastAsia" w:asciiTheme="minorEastAsia" w:hAnsiTheme="minorEastAsia" w:eastAsiaTheme="minorEastAsia" w:cstheme="minorEastAsia"/>
          <w:b/>
          <w:bCs/>
          <w:sz w:val="24"/>
          <w:szCs w:val="24"/>
          <w:lang w:val="en-US" w:eastAsia="zh-CN"/>
        </w:rPr>
        <w:t>八、询问及质疑</w:t>
      </w:r>
      <w:bookmarkEnd w:id="28"/>
    </w:p>
    <w:p w14:paraId="1D0FD2CB">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1、供应商对政府采购活动事项如有疑问的，可以向采购人、采购代理机构提出询问。采购人、采购代理机构将在3个工作日内作出答复。</w:t>
      </w:r>
    </w:p>
    <w:p w14:paraId="599544D4">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2、供应商对电子交易平台办理CA证书、操作等如有疑问，请咨询电子交易平台服务机构。</w:t>
      </w:r>
    </w:p>
    <w:p w14:paraId="3AB49995">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1D9E7C92">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29" w:name="_Toc6137"/>
      <w:r>
        <w:rPr>
          <w:rFonts w:hint="eastAsia" w:asciiTheme="minorEastAsia" w:hAnsiTheme="minorEastAsia" w:eastAsiaTheme="minorEastAsia" w:cstheme="minorEastAsia"/>
          <w:b/>
          <w:bCs/>
          <w:sz w:val="24"/>
          <w:szCs w:val="24"/>
          <w:lang w:val="en-US" w:eastAsia="zh-CN"/>
        </w:rPr>
        <w:t>九、磋商说明</w:t>
      </w:r>
      <w:bookmarkEnd w:id="29"/>
    </w:p>
    <w:p w14:paraId="1C26384C">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1、本公告选项：☑表示选择，☐表示未选择。</w:t>
      </w:r>
    </w:p>
    <w:p w14:paraId="361E136F">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2、供应商参与政府采购活动，无需向采购人、代理机构、交易平台缴纳任何费用。</w:t>
      </w:r>
    </w:p>
    <w:p w14:paraId="00D0F53B">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30" w:name="_Toc14542"/>
      <w:r>
        <w:rPr>
          <w:rFonts w:hint="eastAsia" w:asciiTheme="minorEastAsia" w:hAnsiTheme="minorEastAsia" w:eastAsiaTheme="minorEastAsia" w:cstheme="minorEastAsia"/>
          <w:b/>
          <w:bCs/>
          <w:sz w:val="24"/>
          <w:szCs w:val="24"/>
          <w:lang w:val="en-US" w:eastAsia="zh-CN"/>
        </w:rPr>
        <w:t>十、其他补充事宜</w:t>
      </w:r>
      <w:bookmarkEnd w:id="30"/>
    </w:p>
    <w:p w14:paraId="11B5DB6E">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bookmarkStart w:id="365" w:name="_GoBack"/>
      <w:bookmarkEnd w:id="365"/>
    </w:p>
    <w:p w14:paraId="37A41164">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Theme="minorEastAsia" w:hAnsiTheme="minorEastAsia" w:eastAsiaTheme="minorEastAsia" w:cstheme="minorEastAsia"/>
          <w:b/>
          <w:bCs/>
          <w:sz w:val="24"/>
          <w:szCs w:val="24"/>
          <w:lang w:val="en-US" w:eastAsia="zh-CN"/>
        </w:rPr>
      </w:pPr>
      <w:bookmarkStart w:id="31" w:name="_Toc19025"/>
      <w:r>
        <w:rPr>
          <w:rFonts w:hint="eastAsia" w:asciiTheme="minorEastAsia" w:hAnsiTheme="minorEastAsia" w:eastAsiaTheme="minorEastAsia" w:cstheme="minorEastAsia"/>
          <w:b/>
          <w:bCs/>
          <w:sz w:val="24"/>
          <w:szCs w:val="24"/>
          <w:lang w:val="en-US" w:eastAsia="zh-CN"/>
        </w:rPr>
        <w:t>十一、对本次采购提出询问，请按以下方式联系</w:t>
      </w:r>
      <w:bookmarkEnd w:id="31"/>
    </w:p>
    <w:p w14:paraId="502CCEDF">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采购人信息</w:t>
      </w:r>
    </w:p>
    <w:p w14:paraId="311F765F">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名称：岳阳县步仙镇中心学校</w:t>
      </w:r>
    </w:p>
    <w:p w14:paraId="3E29C383">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地址：岳阳县步仙镇</w:t>
      </w:r>
    </w:p>
    <w:p w14:paraId="77B8FAC0">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联系人：刘露</w:t>
      </w:r>
    </w:p>
    <w:p w14:paraId="5CE133A5">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联系电话：13348600748</w:t>
      </w:r>
    </w:p>
    <w:p w14:paraId="41E57AAD">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采购代理机构信息</w:t>
      </w:r>
    </w:p>
    <w:p w14:paraId="2D4807E8">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名称：福州市安永工程监理有限公司</w:t>
      </w:r>
    </w:p>
    <w:p w14:paraId="22EECAFE">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地址：岳阳县荣家湾镇贺坪东路南侧桃李佳苑第一栋104室</w:t>
      </w:r>
    </w:p>
    <w:p w14:paraId="2926F3F4">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联系人：隋香港</w:t>
      </w:r>
    </w:p>
    <w:p w14:paraId="0898FC45">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联系电话：0730-7623859</w:t>
      </w:r>
    </w:p>
    <w:p w14:paraId="5B336DE9">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9"/>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项目联系方式</w:t>
      </w:r>
    </w:p>
    <w:p w14:paraId="01629F63">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项目联系人：刘露</w:t>
      </w:r>
    </w:p>
    <w:p w14:paraId="698DD0D9">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电话：13348600748</w:t>
      </w:r>
    </w:p>
    <w:bookmarkEnd w:id="20"/>
    <w:bookmarkEnd w:id="21"/>
    <w:bookmarkEnd w:id="22"/>
    <w:bookmarkEnd w:id="23"/>
    <w:p w14:paraId="68972DD4">
      <w:pPr>
        <w:bidi w:val="0"/>
        <w:ind w:left="0" w:leftChars="0" w:firstLine="0" w:firstLineChars="0"/>
        <w:jc w:val="both"/>
        <w:outlineLvl w:val="9"/>
        <w:rPr>
          <w:rFonts w:hint="eastAsia" w:asciiTheme="minorEastAsia" w:hAnsiTheme="minorEastAsia" w:eastAsiaTheme="minorEastAsia" w:cstheme="minorEastAsia"/>
          <w:b/>
          <w:sz w:val="24"/>
          <w:szCs w:val="24"/>
          <w:lang w:val="en-US" w:eastAsia="zh-CN"/>
        </w:rPr>
      </w:pPr>
      <w:bookmarkStart w:id="32" w:name="_Toc24856"/>
      <w:bookmarkStart w:id="33" w:name="_Toc6636_WPSOffice_Level1"/>
      <w:bookmarkStart w:id="34" w:name="_Toc5072"/>
      <w:bookmarkStart w:id="35" w:name="_Toc30023"/>
      <w:bookmarkStart w:id="36" w:name="_Toc2834"/>
    </w:p>
    <w:p w14:paraId="23B731AF">
      <w:pPr>
        <w:rPr>
          <w:rFonts w:hint="default" w:ascii="华文中宋" w:hAnsi="华文中宋" w:eastAsia="华文中宋" w:cs="华文中宋"/>
          <w:b/>
          <w:sz w:val="32"/>
          <w:szCs w:val="32"/>
          <w:lang w:val="en-US" w:eastAsia="zh-CN"/>
        </w:rPr>
      </w:pPr>
      <w:r>
        <w:rPr>
          <w:rFonts w:hint="default" w:ascii="华文中宋" w:hAnsi="华文中宋" w:eastAsia="华文中宋" w:cs="华文中宋"/>
          <w:b/>
          <w:sz w:val="32"/>
          <w:szCs w:val="32"/>
          <w:lang w:val="en-US" w:eastAsia="zh-CN"/>
        </w:rPr>
        <w:br w:type="page"/>
      </w:r>
    </w:p>
    <w:p w14:paraId="507FAA2D">
      <w:pPr>
        <w:keepNext/>
        <w:adjustRightInd w:val="0"/>
        <w:snapToGrid w:val="0"/>
        <w:spacing w:before="156" w:beforeLines="50" w:line="360" w:lineRule="auto"/>
        <w:ind w:left="0" w:leftChars="0" w:firstLine="0" w:firstLineChars="0"/>
        <w:jc w:val="center"/>
        <w:outlineLvl w:val="0"/>
        <w:rPr>
          <w:rFonts w:hint="default" w:ascii="黑体" w:hAnsi="黑体" w:eastAsia="黑体" w:cs="黑体"/>
          <w:b/>
          <w:bCs/>
          <w:color w:val="auto"/>
          <w:sz w:val="32"/>
          <w:szCs w:val="32"/>
          <w:lang w:val="en-US" w:eastAsia="zh-CN"/>
        </w:rPr>
      </w:pPr>
      <w:bookmarkStart w:id="37" w:name="_Toc17520"/>
      <w:r>
        <w:rPr>
          <w:rFonts w:hint="default" w:ascii="黑体" w:hAnsi="黑体" w:eastAsia="黑体" w:cs="黑体"/>
          <w:b/>
          <w:bCs/>
          <w:color w:val="auto"/>
          <w:sz w:val="32"/>
          <w:szCs w:val="32"/>
          <w:lang w:val="en-US" w:eastAsia="zh-CN"/>
        </w:rPr>
        <w:t>第二章 磋商须知</w:t>
      </w:r>
      <w:bookmarkEnd w:id="32"/>
      <w:bookmarkEnd w:id="33"/>
      <w:bookmarkEnd w:id="34"/>
      <w:bookmarkEnd w:id="35"/>
      <w:bookmarkEnd w:id="36"/>
      <w:bookmarkEnd w:id="37"/>
    </w:p>
    <w:p w14:paraId="3DE8771E">
      <w:pPr>
        <w:pStyle w:val="24"/>
        <w:spacing w:line="360" w:lineRule="auto"/>
        <w:ind w:left="0" w:leftChars="0" w:firstLine="0" w:firstLineChars="0"/>
        <w:jc w:val="center"/>
        <w:outlineLvl w:val="1"/>
        <w:rPr>
          <w:rFonts w:hint="eastAsia" w:ascii="黑体" w:hAnsi="黑体" w:eastAsia="黑体" w:cs="黑体"/>
          <w:b w:val="0"/>
          <w:bCs/>
          <w:sz w:val="28"/>
          <w:szCs w:val="28"/>
        </w:rPr>
      </w:pPr>
      <w:bookmarkStart w:id="38" w:name="_Toc25777"/>
      <w:bookmarkStart w:id="39" w:name="_Toc21447"/>
      <w:bookmarkStart w:id="40" w:name="_Toc24422"/>
      <w:bookmarkStart w:id="41" w:name="_Toc27149"/>
      <w:bookmarkStart w:id="42" w:name="_Toc20245"/>
      <w:r>
        <w:rPr>
          <w:rFonts w:hint="eastAsia" w:ascii="黑体" w:hAnsi="黑体" w:eastAsia="黑体" w:cs="黑体"/>
          <w:b w:val="0"/>
          <w:bCs/>
          <w:sz w:val="28"/>
          <w:szCs w:val="28"/>
          <w:lang w:val="en-US" w:eastAsia="zh-CN"/>
        </w:rPr>
        <w:t xml:space="preserve">第一节 </w:t>
      </w:r>
      <w:r>
        <w:rPr>
          <w:rFonts w:hint="eastAsia" w:ascii="黑体" w:hAnsi="黑体" w:eastAsia="黑体" w:cs="黑体"/>
          <w:b w:val="0"/>
          <w:bCs/>
          <w:sz w:val="28"/>
          <w:szCs w:val="28"/>
        </w:rPr>
        <w:t>磋商须知前附表</w:t>
      </w:r>
      <w:bookmarkEnd w:id="38"/>
      <w:bookmarkEnd w:id="39"/>
      <w:bookmarkEnd w:id="40"/>
      <w:bookmarkEnd w:id="41"/>
      <w:bookmarkEnd w:id="42"/>
    </w:p>
    <w:p w14:paraId="1DA631CB">
      <w:pPr>
        <w:pStyle w:val="24"/>
        <w:spacing w:line="360" w:lineRule="auto"/>
        <w:ind w:left="0" w:leftChars="0" w:firstLine="0" w:firstLineChars="0"/>
        <w:rPr>
          <w:rFonts w:hint="eastAsia" w:ascii="仿宋" w:hAnsi="仿宋" w:eastAsia="仿宋" w:cs="仿宋"/>
          <w:sz w:val="24"/>
          <w:szCs w:val="24"/>
          <w:lang w:eastAsia="zh-CN"/>
        </w:rPr>
      </w:pPr>
      <w:r>
        <w:rPr>
          <w:rFonts w:hint="eastAsia" w:ascii="仿宋" w:hAnsi="仿宋" w:eastAsia="仿宋" w:cs="仿宋"/>
          <w:sz w:val="24"/>
          <w:szCs w:val="24"/>
        </w:rPr>
        <w:t>注：本项目</w:t>
      </w:r>
      <w:r>
        <w:rPr>
          <w:rFonts w:hint="eastAsia" w:ascii="仿宋" w:hAnsi="仿宋" w:eastAsia="仿宋" w:cs="仿宋"/>
          <w:sz w:val="24"/>
          <w:szCs w:val="24"/>
          <w:lang w:val="en-US" w:eastAsia="zh-CN"/>
        </w:rPr>
        <w:t>启</w:t>
      </w:r>
      <w:r>
        <w:rPr>
          <w:rFonts w:hint="eastAsia" w:ascii="仿宋" w:hAnsi="仿宋" w:eastAsia="仿宋" w:cs="仿宋"/>
          <w:sz w:val="24"/>
          <w:szCs w:val="24"/>
        </w:rPr>
        <w:t>用的条款</w:t>
      </w:r>
      <w:r>
        <w:rPr>
          <w:rFonts w:hint="eastAsia" w:ascii="仿宋" w:hAnsi="仿宋" w:eastAsia="仿宋" w:cs="仿宋"/>
          <w:sz w:val="24"/>
          <w:szCs w:val="24"/>
          <w:lang w:val="en-US" w:eastAsia="zh-CN"/>
        </w:rPr>
        <w:t>在“编制内容规定”以</w:t>
      </w:r>
      <w:r>
        <w:rPr>
          <w:rFonts w:hint="eastAsia" w:ascii="仿宋" w:hAnsi="仿宋" w:eastAsia="仿宋" w:cs="仿宋"/>
          <w:sz w:val="24"/>
          <w:szCs w:val="24"/>
        </w:rPr>
        <w:t>“■”</w:t>
      </w:r>
      <w:r>
        <w:rPr>
          <w:rFonts w:hint="eastAsia" w:ascii="仿宋" w:hAnsi="仿宋" w:eastAsia="仿宋" w:cs="仿宋"/>
          <w:sz w:val="24"/>
          <w:szCs w:val="24"/>
          <w:lang w:val="en-US" w:eastAsia="zh-CN"/>
        </w:rPr>
        <w:t>标注</w:t>
      </w:r>
      <w:r>
        <w:rPr>
          <w:rFonts w:hint="eastAsia" w:ascii="仿宋" w:hAnsi="仿宋" w:eastAsia="仿宋" w:cs="仿宋"/>
          <w:sz w:val="24"/>
          <w:szCs w:val="24"/>
          <w:lang w:eastAsia="zh-CN"/>
        </w:rPr>
        <w:t>。</w:t>
      </w:r>
    </w:p>
    <w:tbl>
      <w:tblPr>
        <w:tblStyle w:val="46"/>
        <w:tblW w:w="4842"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1"/>
        <w:gridCol w:w="2164"/>
        <w:gridCol w:w="5329"/>
      </w:tblGrid>
      <w:tr w14:paraId="694F40F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730" w:type="pct"/>
            <w:tcBorders>
              <w:tl2br w:val="nil"/>
              <w:tr2bl w:val="nil"/>
            </w:tcBorders>
            <w:vAlign w:val="center"/>
          </w:tcPr>
          <w:p w14:paraId="362FA204">
            <w:pPr>
              <w:keepNext w:val="0"/>
              <w:keepLines w:val="0"/>
              <w:pageBreakBefore w:val="0"/>
              <w:widowControl w:val="0"/>
              <w:kinsoku/>
              <w:wordWrap w:val="0"/>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b/>
                <w:sz w:val="21"/>
                <w:szCs w:val="21"/>
                <w:shd w:val="clear" w:color="auto" w:fill="auto"/>
              </w:rPr>
            </w:pPr>
            <w:r>
              <w:rPr>
                <w:rFonts w:hint="eastAsia" w:asciiTheme="minorEastAsia" w:hAnsiTheme="minorEastAsia" w:eastAsiaTheme="minorEastAsia" w:cstheme="minorEastAsia"/>
                <w:b/>
                <w:sz w:val="21"/>
                <w:szCs w:val="21"/>
                <w:shd w:val="clear" w:color="auto" w:fill="auto"/>
              </w:rPr>
              <w:t>条款号</w:t>
            </w:r>
          </w:p>
        </w:tc>
        <w:tc>
          <w:tcPr>
            <w:tcW w:w="1233" w:type="pct"/>
            <w:tcBorders>
              <w:tl2br w:val="nil"/>
              <w:tr2bl w:val="nil"/>
            </w:tcBorders>
            <w:vAlign w:val="center"/>
          </w:tcPr>
          <w:p w14:paraId="79EC8D1C">
            <w:pPr>
              <w:keepNext w:val="0"/>
              <w:keepLines w:val="0"/>
              <w:pageBreakBefore w:val="0"/>
              <w:widowControl w:val="0"/>
              <w:kinsoku/>
              <w:wordWrap w:val="0"/>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b/>
                <w:sz w:val="21"/>
                <w:szCs w:val="21"/>
                <w:shd w:val="clear" w:color="auto" w:fill="auto"/>
              </w:rPr>
            </w:pPr>
            <w:r>
              <w:rPr>
                <w:rFonts w:hint="eastAsia" w:asciiTheme="minorEastAsia" w:hAnsiTheme="minorEastAsia" w:eastAsiaTheme="minorEastAsia" w:cstheme="minorEastAsia"/>
                <w:b/>
                <w:sz w:val="21"/>
                <w:szCs w:val="21"/>
                <w:shd w:val="clear" w:color="auto" w:fill="auto"/>
              </w:rPr>
              <w:t>条款名称</w:t>
            </w:r>
          </w:p>
        </w:tc>
        <w:tc>
          <w:tcPr>
            <w:tcW w:w="3036" w:type="pct"/>
            <w:tcBorders>
              <w:tl2br w:val="nil"/>
              <w:tr2bl w:val="nil"/>
            </w:tcBorders>
            <w:vAlign w:val="center"/>
          </w:tcPr>
          <w:p w14:paraId="568158D1">
            <w:pPr>
              <w:keepNext w:val="0"/>
              <w:keepLines w:val="0"/>
              <w:pageBreakBefore w:val="0"/>
              <w:widowControl w:val="0"/>
              <w:kinsoku/>
              <w:wordWrap w:val="0"/>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b/>
                <w:sz w:val="21"/>
                <w:szCs w:val="21"/>
                <w:shd w:val="clear" w:color="auto" w:fill="auto"/>
              </w:rPr>
            </w:pPr>
            <w:r>
              <w:rPr>
                <w:rFonts w:hint="eastAsia" w:asciiTheme="minorEastAsia" w:hAnsiTheme="minorEastAsia" w:eastAsiaTheme="minorEastAsia" w:cstheme="minorEastAsia"/>
                <w:b/>
                <w:sz w:val="21"/>
                <w:szCs w:val="21"/>
                <w:shd w:val="clear" w:color="auto" w:fill="auto"/>
              </w:rPr>
              <w:t>编列内容规定</w:t>
            </w:r>
          </w:p>
        </w:tc>
      </w:tr>
      <w:tr w14:paraId="6C63A26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5000" w:type="pct"/>
            <w:gridSpan w:val="3"/>
            <w:tcBorders>
              <w:tl2br w:val="nil"/>
              <w:tr2bl w:val="nil"/>
            </w:tcBorders>
            <w:vAlign w:val="center"/>
          </w:tcPr>
          <w:p w14:paraId="07F8ADD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b/>
                <w:sz w:val="21"/>
                <w:szCs w:val="21"/>
              </w:rPr>
              <w:t>一、说明</w:t>
            </w:r>
          </w:p>
        </w:tc>
      </w:tr>
      <w:tr w14:paraId="7100989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67BD5AA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第二章第1.1款</w:t>
            </w:r>
          </w:p>
        </w:tc>
        <w:tc>
          <w:tcPr>
            <w:tcW w:w="1233" w:type="pct"/>
            <w:tcBorders>
              <w:tl2br w:val="nil"/>
              <w:tr2bl w:val="nil"/>
            </w:tcBorders>
            <w:vAlign w:val="center"/>
          </w:tcPr>
          <w:p w14:paraId="57791FA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w:t>
            </w:r>
          </w:p>
        </w:tc>
        <w:tc>
          <w:tcPr>
            <w:tcW w:w="3036" w:type="pct"/>
            <w:tcBorders>
              <w:tl2br w:val="nil"/>
              <w:tr2bl w:val="nil"/>
            </w:tcBorders>
            <w:vAlign w:val="center"/>
          </w:tcPr>
          <w:p w14:paraId="17E62C0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岳阳县步仙镇中心学校学生宿舍、食堂维修及篮球场改造工程</w:t>
            </w:r>
          </w:p>
        </w:tc>
      </w:tr>
      <w:tr w14:paraId="105F23D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7AE2A1B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第二章第2.1款</w:t>
            </w:r>
          </w:p>
        </w:tc>
        <w:tc>
          <w:tcPr>
            <w:tcW w:w="1233" w:type="pct"/>
            <w:tcBorders>
              <w:tl2br w:val="nil"/>
              <w:tr2bl w:val="nil"/>
            </w:tcBorders>
            <w:vAlign w:val="center"/>
          </w:tcPr>
          <w:p w14:paraId="3E68037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采购人</w:t>
            </w:r>
          </w:p>
        </w:tc>
        <w:tc>
          <w:tcPr>
            <w:tcW w:w="3036" w:type="pct"/>
            <w:tcBorders>
              <w:tl2br w:val="nil"/>
              <w:tr2bl w:val="nil"/>
            </w:tcBorders>
            <w:vAlign w:val="center"/>
          </w:tcPr>
          <w:p w14:paraId="60C1E9A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采购人：</w:t>
            </w:r>
            <w:r>
              <w:rPr>
                <w:rFonts w:hint="eastAsia" w:asciiTheme="minorEastAsia" w:hAnsiTheme="minorEastAsia" w:eastAsiaTheme="minorEastAsia" w:cstheme="minorEastAsia"/>
                <w:sz w:val="21"/>
                <w:szCs w:val="21"/>
                <w:highlight w:val="none"/>
                <w:lang w:eastAsia="zh-CN"/>
              </w:rPr>
              <w:t>岳阳县步仙镇中心学校</w:t>
            </w:r>
          </w:p>
          <w:p w14:paraId="15830AC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地址：</w:t>
            </w:r>
            <w:r>
              <w:rPr>
                <w:rFonts w:hint="eastAsia"/>
                <w:sz w:val="21"/>
                <w:szCs w:val="21"/>
                <w:lang w:val="en-US" w:eastAsia="zh-CN"/>
              </w:rPr>
              <w:t>岳阳县步仙镇</w:t>
            </w:r>
          </w:p>
          <w:p w14:paraId="7DB0158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rPr>
              <w:t>联系人：</w:t>
            </w:r>
            <w:r>
              <w:rPr>
                <w:rFonts w:hint="eastAsia" w:asciiTheme="minorEastAsia" w:hAnsiTheme="minorEastAsia" w:eastAsiaTheme="minorEastAsia" w:cstheme="minorEastAsia"/>
                <w:sz w:val="21"/>
                <w:szCs w:val="21"/>
                <w:highlight w:val="none"/>
                <w:lang w:val="en-US" w:eastAsia="zh-CN"/>
              </w:rPr>
              <w:t>刘露</w:t>
            </w:r>
          </w:p>
          <w:p w14:paraId="45516FE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联系电话：</w:t>
            </w:r>
            <w:r>
              <w:rPr>
                <w:rFonts w:hint="eastAsia" w:asciiTheme="minorEastAsia" w:hAnsiTheme="minorEastAsia" w:eastAsiaTheme="minorEastAsia" w:cstheme="minorEastAsia"/>
                <w:sz w:val="21"/>
                <w:szCs w:val="21"/>
                <w:highlight w:val="none"/>
                <w:lang w:val="en-US" w:eastAsia="zh-CN"/>
              </w:rPr>
              <w:t>13348600748</w:t>
            </w:r>
          </w:p>
        </w:tc>
      </w:tr>
      <w:tr w14:paraId="2DCABDF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7F6EB58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第二章第2.2款</w:t>
            </w:r>
          </w:p>
        </w:tc>
        <w:tc>
          <w:tcPr>
            <w:tcW w:w="1233" w:type="pct"/>
            <w:tcBorders>
              <w:tl2br w:val="nil"/>
              <w:tr2bl w:val="nil"/>
            </w:tcBorders>
            <w:vAlign w:val="center"/>
          </w:tcPr>
          <w:p w14:paraId="431ADD7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采购代理机构</w:t>
            </w:r>
          </w:p>
        </w:tc>
        <w:tc>
          <w:tcPr>
            <w:tcW w:w="3036" w:type="pct"/>
            <w:tcBorders>
              <w:tl2br w:val="nil"/>
              <w:tr2bl w:val="nil"/>
            </w:tcBorders>
            <w:vAlign w:val="center"/>
          </w:tcPr>
          <w:p w14:paraId="2359C9E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招标代理机构：</w:t>
            </w:r>
            <w:r>
              <w:rPr>
                <w:rFonts w:hint="eastAsia" w:asciiTheme="minorEastAsia" w:hAnsiTheme="minorEastAsia" w:eastAsiaTheme="minorEastAsia" w:cstheme="minorEastAsia"/>
                <w:sz w:val="21"/>
                <w:szCs w:val="21"/>
                <w:highlight w:val="none"/>
                <w:lang w:eastAsia="zh-CN"/>
              </w:rPr>
              <w:t>福州市安永工程监理有限公司</w:t>
            </w:r>
          </w:p>
          <w:p w14:paraId="5AA6380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地址：</w:t>
            </w:r>
            <w:r>
              <w:rPr>
                <w:rFonts w:hint="eastAsia" w:asciiTheme="minorEastAsia" w:hAnsiTheme="minorEastAsia" w:eastAsiaTheme="minorEastAsia" w:cstheme="minorEastAsia"/>
                <w:sz w:val="21"/>
                <w:szCs w:val="21"/>
                <w:highlight w:val="none"/>
                <w:lang w:eastAsia="zh-CN"/>
              </w:rPr>
              <w:t>岳阳县荣家湾镇贺坪东路南侧桃李佳苑第一栋104室</w:t>
            </w:r>
          </w:p>
          <w:p w14:paraId="4BD72F8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联系人：</w:t>
            </w:r>
            <w:r>
              <w:rPr>
                <w:rFonts w:hint="eastAsia" w:asciiTheme="minorEastAsia" w:hAnsiTheme="minorEastAsia" w:eastAsiaTheme="minorEastAsia" w:cstheme="minorEastAsia"/>
                <w:sz w:val="21"/>
                <w:szCs w:val="21"/>
                <w:highlight w:val="none"/>
                <w:lang w:eastAsia="zh-CN"/>
              </w:rPr>
              <w:t>隋香港</w:t>
            </w:r>
          </w:p>
          <w:p w14:paraId="166CCA07">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联系电话：0730-7623859</w:t>
            </w:r>
          </w:p>
        </w:tc>
      </w:tr>
      <w:tr w14:paraId="02C625C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640D6879">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第二章第2.3款</w:t>
            </w:r>
          </w:p>
        </w:tc>
        <w:tc>
          <w:tcPr>
            <w:tcW w:w="1233" w:type="pct"/>
            <w:tcBorders>
              <w:tl2br w:val="nil"/>
              <w:tr2bl w:val="nil"/>
            </w:tcBorders>
            <w:vAlign w:val="center"/>
          </w:tcPr>
          <w:p w14:paraId="254DE0B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kern w:val="0"/>
                <w:sz w:val="21"/>
                <w:szCs w:val="21"/>
              </w:rPr>
              <w:t>供应商的</w:t>
            </w:r>
            <w:r>
              <w:rPr>
                <w:rFonts w:hint="eastAsia" w:asciiTheme="minorEastAsia" w:hAnsiTheme="minorEastAsia" w:eastAsiaTheme="minorEastAsia" w:cstheme="minorEastAsia"/>
                <w:sz w:val="21"/>
                <w:szCs w:val="21"/>
              </w:rPr>
              <w:t>邀请方式</w:t>
            </w:r>
          </w:p>
        </w:tc>
        <w:tc>
          <w:tcPr>
            <w:tcW w:w="3036" w:type="pct"/>
            <w:tcBorders>
              <w:tl2br w:val="nil"/>
              <w:tr2bl w:val="nil"/>
            </w:tcBorders>
            <w:vAlign w:val="center"/>
          </w:tcPr>
          <w:p w14:paraId="711EC54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highlight w:val="none"/>
              </w:rPr>
              <w:t>发布公告</w:t>
            </w:r>
          </w:p>
          <w:p w14:paraId="0FAE11C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从省级以上财政部门建立的供应商库中随机抽取</w:t>
            </w:r>
          </w:p>
          <w:p w14:paraId="0B62744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采购人和评审专家分别书面推荐的方式</w:t>
            </w:r>
          </w:p>
        </w:tc>
      </w:tr>
      <w:tr w14:paraId="2F77AEC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399E0E2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第二章第3.1款</w:t>
            </w:r>
          </w:p>
        </w:tc>
        <w:tc>
          <w:tcPr>
            <w:tcW w:w="1233" w:type="pct"/>
            <w:tcBorders>
              <w:tl2br w:val="nil"/>
              <w:tr2bl w:val="nil"/>
            </w:tcBorders>
            <w:vAlign w:val="center"/>
          </w:tcPr>
          <w:p w14:paraId="4AEBCD1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sz w:val="21"/>
                <w:szCs w:val="21"/>
              </w:rPr>
              <w:t>供应商</w:t>
            </w:r>
            <w:r>
              <w:rPr>
                <w:rFonts w:hint="eastAsia" w:asciiTheme="minorEastAsia" w:hAnsiTheme="minorEastAsia" w:eastAsiaTheme="minorEastAsia" w:cstheme="minorEastAsia"/>
                <w:sz w:val="21"/>
                <w:szCs w:val="21"/>
              </w:rPr>
              <w:t>资格条件</w:t>
            </w:r>
          </w:p>
        </w:tc>
        <w:tc>
          <w:tcPr>
            <w:tcW w:w="3036" w:type="pct"/>
            <w:tcBorders>
              <w:tl2br w:val="nil"/>
              <w:tr2bl w:val="nil"/>
            </w:tcBorders>
            <w:vAlign w:val="center"/>
          </w:tcPr>
          <w:p w14:paraId="283850A7">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outlineLvl w:val="9"/>
              <w:rPr>
                <w:rFonts w:hint="default" w:eastAsia="宋体"/>
                <w:sz w:val="21"/>
                <w:szCs w:val="21"/>
                <w:lang w:val="en-US" w:eastAsia="zh-CN"/>
              </w:rPr>
            </w:pPr>
            <w:r>
              <w:rPr>
                <w:rFonts w:hint="eastAsia"/>
                <w:sz w:val="21"/>
                <w:szCs w:val="21"/>
                <w:lang w:val="en-US" w:eastAsia="zh-CN"/>
              </w:rPr>
              <w:t>详见磋商公告供应商资格条件。</w:t>
            </w:r>
          </w:p>
        </w:tc>
      </w:tr>
      <w:tr w14:paraId="18DDF94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trPr>
        <w:tc>
          <w:tcPr>
            <w:tcW w:w="730" w:type="pct"/>
            <w:tcBorders>
              <w:tl2br w:val="nil"/>
              <w:tr2bl w:val="nil"/>
            </w:tcBorders>
            <w:vAlign w:val="center"/>
          </w:tcPr>
          <w:p w14:paraId="15DBFAE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w:t>
            </w:r>
            <w:r>
              <w:rPr>
                <w:rFonts w:hint="eastAsia" w:asciiTheme="minorEastAsia" w:hAnsiTheme="minorEastAsia" w:eastAsiaTheme="minorEastAsia" w:cstheme="minorEastAsia"/>
                <w:sz w:val="21"/>
                <w:szCs w:val="21"/>
                <w:lang w:val="en-US" w:eastAsia="zh-CN"/>
              </w:rPr>
              <w:t>6.1款</w:t>
            </w:r>
          </w:p>
        </w:tc>
        <w:tc>
          <w:tcPr>
            <w:tcW w:w="1233" w:type="pct"/>
            <w:tcBorders>
              <w:tl2br w:val="nil"/>
              <w:tr2bl w:val="nil"/>
            </w:tcBorders>
            <w:vAlign w:val="center"/>
          </w:tcPr>
          <w:p w14:paraId="610E4DE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联合体形式</w:t>
            </w:r>
          </w:p>
        </w:tc>
        <w:tc>
          <w:tcPr>
            <w:tcW w:w="3036" w:type="pct"/>
            <w:tcBorders>
              <w:tl2br w:val="nil"/>
              <w:tr2bl w:val="nil"/>
            </w:tcBorders>
            <w:vAlign w:val="center"/>
          </w:tcPr>
          <w:p w14:paraId="19A0627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highlight w:val="none"/>
              </w:rPr>
              <w:t>不接受</w:t>
            </w:r>
          </w:p>
          <w:p w14:paraId="26310B37">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接受</w:t>
            </w:r>
          </w:p>
        </w:tc>
      </w:tr>
      <w:tr w14:paraId="5E74CB8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57E33CA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第二章第6.2款</w:t>
            </w:r>
          </w:p>
        </w:tc>
        <w:tc>
          <w:tcPr>
            <w:tcW w:w="1233" w:type="pct"/>
            <w:tcBorders>
              <w:tl2br w:val="nil"/>
              <w:tr2bl w:val="nil"/>
            </w:tcBorders>
            <w:vAlign w:val="center"/>
          </w:tcPr>
          <w:p w14:paraId="1879F71D">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对联合体各方的要求</w:t>
            </w:r>
          </w:p>
        </w:tc>
        <w:tc>
          <w:tcPr>
            <w:tcW w:w="3036" w:type="pct"/>
            <w:tcBorders>
              <w:tl2br w:val="nil"/>
              <w:tr2bl w:val="nil"/>
            </w:tcBorders>
            <w:vAlign w:val="center"/>
          </w:tcPr>
          <w:p w14:paraId="701D013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w:t>
            </w:r>
          </w:p>
        </w:tc>
      </w:tr>
      <w:tr w14:paraId="2588B78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30" w:type="pct"/>
            <w:tcBorders>
              <w:tl2br w:val="nil"/>
              <w:tr2bl w:val="nil"/>
            </w:tcBorders>
            <w:vAlign w:val="center"/>
          </w:tcPr>
          <w:p w14:paraId="70A761A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第二章第7.1款</w:t>
            </w:r>
          </w:p>
        </w:tc>
        <w:tc>
          <w:tcPr>
            <w:tcW w:w="1233" w:type="pct"/>
            <w:tcBorders>
              <w:tl2br w:val="nil"/>
              <w:tr2bl w:val="nil"/>
            </w:tcBorders>
            <w:vAlign w:val="center"/>
          </w:tcPr>
          <w:p w14:paraId="3AADD40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现场勘察</w:t>
            </w:r>
          </w:p>
        </w:tc>
        <w:tc>
          <w:tcPr>
            <w:tcW w:w="3036" w:type="pct"/>
            <w:tcBorders>
              <w:tl2br w:val="nil"/>
              <w:tr2bl w:val="nil"/>
            </w:tcBorders>
            <w:vAlign w:val="center"/>
          </w:tcPr>
          <w:p w14:paraId="1BE9932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highlight w:val="none"/>
              </w:rPr>
              <w:t>采购人不组织</w:t>
            </w:r>
          </w:p>
          <w:p w14:paraId="1D24B33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采购人组织，时间：地点：联系人：</w:t>
            </w:r>
          </w:p>
        </w:tc>
      </w:tr>
      <w:tr w14:paraId="44857CB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0D33886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第二章第8.1款</w:t>
            </w:r>
          </w:p>
        </w:tc>
        <w:tc>
          <w:tcPr>
            <w:tcW w:w="1233" w:type="pct"/>
            <w:tcBorders>
              <w:tl2br w:val="nil"/>
              <w:tr2bl w:val="nil"/>
            </w:tcBorders>
            <w:vAlign w:val="center"/>
          </w:tcPr>
          <w:p w14:paraId="0861A659">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采购进口产品</w:t>
            </w:r>
          </w:p>
        </w:tc>
        <w:tc>
          <w:tcPr>
            <w:tcW w:w="3036" w:type="pct"/>
            <w:tcBorders>
              <w:tl2br w:val="nil"/>
              <w:tr2bl w:val="nil"/>
            </w:tcBorders>
            <w:vAlign w:val="center"/>
          </w:tcPr>
          <w:p w14:paraId="4528A68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highlight w:val="none"/>
              </w:rPr>
              <w:t>本项目拒绝采购进口产品</w:t>
            </w:r>
          </w:p>
          <w:p w14:paraId="0D24D3C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本项目已经财政部门审核同意购买进口产品</w:t>
            </w:r>
          </w:p>
        </w:tc>
      </w:tr>
      <w:tr w14:paraId="0EC9E0A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730" w:type="pct"/>
            <w:tcBorders>
              <w:tl2br w:val="nil"/>
              <w:tr2bl w:val="nil"/>
            </w:tcBorders>
            <w:noWrap w:val="0"/>
            <w:vAlign w:val="center"/>
          </w:tcPr>
          <w:p w14:paraId="2DBBFA1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第二章第9.2款</w:t>
            </w:r>
          </w:p>
        </w:tc>
        <w:tc>
          <w:tcPr>
            <w:tcW w:w="1233" w:type="pct"/>
            <w:tcBorders>
              <w:tl2br w:val="nil"/>
              <w:tr2bl w:val="nil"/>
            </w:tcBorders>
            <w:noWrap w:val="0"/>
            <w:vAlign w:val="center"/>
          </w:tcPr>
          <w:p w14:paraId="3C0CCF0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优先采购：</w:t>
            </w:r>
          </w:p>
          <w:p w14:paraId="154F489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1、非强制采购的节能产品；</w:t>
            </w:r>
          </w:p>
          <w:p w14:paraId="0745418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2、环境标志产品；</w:t>
            </w:r>
          </w:p>
          <w:p w14:paraId="4966DB6D">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default" w:asciiTheme="minorEastAsia" w:hAnsiTheme="minorEastAsia" w:eastAsiaTheme="minorEastAsia" w:cstheme="minorEastAsia"/>
                <w:sz w:val="21"/>
                <w:szCs w:val="21"/>
                <w:lang w:val="en-US" w:eastAsia="zh-CN"/>
              </w:rPr>
            </w:pPr>
          </w:p>
        </w:tc>
        <w:tc>
          <w:tcPr>
            <w:tcW w:w="3036" w:type="pct"/>
            <w:tcBorders>
              <w:tl2br w:val="nil"/>
              <w:tr2bl w:val="nil"/>
            </w:tcBorders>
            <w:noWrap w:val="0"/>
            <w:vAlign w:val="center"/>
          </w:tcPr>
          <w:p w14:paraId="331AEBD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供应商提供的</w:t>
            </w:r>
            <w:r>
              <w:rPr>
                <w:rFonts w:hint="eastAsia" w:asciiTheme="minorEastAsia" w:hAnsiTheme="minorEastAsia" w:eastAsiaTheme="minorEastAsia" w:cstheme="minorEastAsia"/>
                <w:sz w:val="21"/>
                <w:szCs w:val="21"/>
              </w:rPr>
              <w:t>产品为《节能产品政府采购清单》(</w:t>
            </w:r>
            <w:r>
              <w:rPr>
                <w:rFonts w:hint="eastAsia" w:asciiTheme="minorEastAsia" w:hAnsiTheme="minorEastAsia" w:eastAsiaTheme="minorEastAsia" w:cstheme="minorEastAsia"/>
                <w:sz w:val="21"/>
                <w:szCs w:val="21"/>
                <w:lang w:val="en-US" w:eastAsia="zh-CN"/>
              </w:rPr>
              <w:t>最新一</w:t>
            </w:r>
            <w:r>
              <w:rPr>
                <w:rFonts w:hint="eastAsia" w:asciiTheme="minorEastAsia" w:hAnsiTheme="minorEastAsia" w:eastAsiaTheme="minorEastAsia" w:cstheme="minorEastAsia"/>
                <w:sz w:val="21"/>
                <w:szCs w:val="21"/>
              </w:rPr>
              <w:t>期)内非标记★符号的，分别给予技术和价格项标准总分值4%-8%的加分。本项目具体加分比例分别为 ：技术</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%、价格</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41AF031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供应商提供的</w:t>
            </w:r>
            <w:r>
              <w:rPr>
                <w:rFonts w:hint="eastAsia" w:asciiTheme="minorEastAsia" w:hAnsiTheme="minorEastAsia" w:eastAsiaTheme="minorEastAsia" w:cstheme="minorEastAsia"/>
                <w:sz w:val="21"/>
                <w:szCs w:val="21"/>
              </w:rPr>
              <w:t>产品为《环境标志产品政府采购清单》(</w:t>
            </w:r>
            <w:r>
              <w:rPr>
                <w:rFonts w:hint="eastAsia" w:asciiTheme="minorEastAsia" w:hAnsiTheme="minorEastAsia" w:eastAsiaTheme="minorEastAsia" w:cstheme="minorEastAsia"/>
                <w:sz w:val="21"/>
                <w:szCs w:val="21"/>
                <w:lang w:val="en-US" w:eastAsia="zh-CN"/>
              </w:rPr>
              <w:t>最新一</w:t>
            </w:r>
            <w:r>
              <w:rPr>
                <w:rFonts w:hint="eastAsia" w:asciiTheme="minorEastAsia" w:hAnsiTheme="minorEastAsia" w:eastAsiaTheme="minorEastAsia" w:cstheme="minorEastAsia"/>
                <w:sz w:val="21"/>
                <w:szCs w:val="21"/>
              </w:rPr>
              <w:t>期)内的，分别给予技术和价格项标准总分值4%-8%的加分。本项目具体加分比例分别为 ：技术</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%、价格</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tc>
      </w:tr>
      <w:tr w14:paraId="693CDA3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5000" w:type="pct"/>
            <w:gridSpan w:val="3"/>
            <w:tcBorders>
              <w:tl2br w:val="nil"/>
              <w:tr2bl w:val="nil"/>
            </w:tcBorders>
            <w:vAlign w:val="center"/>
          </w:tcPr>
          <w:p w14:paraId="07207A4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rPr>
              <w:t>二、磋商文件</w:t>
            </w:r>
          </w:p>
        </w:tc>
      </w:tr>
      <w:tr w14:paraId="06984B4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624E69D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第二章第10.2款容</w:t>
            </w:r>
          </w:p>
        </w:tc>
        <w:tc>
          <w:tcPr>
            <w:tcW w:w="1233" w:type="pct"/>
            <w:tcBorders>
              <w:tl2br w:val="nil"/>
              <w:tr2bl w:val="nil"/>
            </w:tcBorders>
            <w:vAlign w:val="center"/>
          </w:tcPr>
          <w:p w14:paraId="2DB0368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磋商文件的可能实质性变动内</w:t>
            </w:r>
          </w:p>
        </w:tc>
        <w:tc>
          <w:tcPr>
            <w:tcW w:w="3036" w:type="pct"/>
            <w:tcBorders>
              <w:tl2br w:val="nil"/>
              <w:tr2bl w:val="nil"/>
            </w:tcBorders>
            <w:vAlign w:val="center"/>
          </w:tcPr>
          <w:p w14:paraId="18DE64A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采购需求、技术、服务、合同条款</w:t>
            </w:r>
          </w:p>
          <w:p w14:paraId="68AB6CE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both"/>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highlight w:val="none"/>
              </w:rPr>
              <w:t>磋商文件的实质性变动内容为磋商文件的组成部分，实质性变动内容</w:t>
            </w:r>
            <w:r>
              <w:rPr>
                <w:rFonts w:hint="eastAsia" w:asciiTheme="minorEastAsia" w:hAnsiTheme="minorEastAsia" w:eastAsiaTheme="minorEastAsia" w:cstheme="minorEastAsia"/>
                <w:sz w:val="21"/>
                <w:szCs w:val="21"/>
                <w:highlight w:val="none"/>
                <w:lang w:val="zh-CN"/>
              </w:rPr>
              <w:t>与</w:t>
            </w:r>
            <w:r>
              <w:rPr>
                <w:rFonts w:hint="eastAsia" w:asciiTheme="minorEastAsia" w:hAnsiTheme="minorEastAsia" w:eastAsiaTheme="minorEastAsia" w:cstheme="minorEastAsia"/>
                <w:sz w:val="21"/>
                <w:szCs w:val="21"/>
                <w:highlight w:val="none"/>
              </w:rPr>
              <w:t>磋商文件</w:t>
            </w:r>
            <w:r>
              <w:rPr>
                <w:rFonts w:hint="eastAsia" w:asciiTheme="minorEastAsia" w:hAnsiTheme="minorEastAsia" w:eastAsiaTheme="minorEastAsia" w:cstheme="minorEastAsia"/>
                <w:sz w:val="21"/>
                <w:szCs w:val="21"/>
                <w:highlight w:val="none"/>
                <w:lang w:val="zh-CN"/>
              </w:rPr>
              <w:t>不一致时，以</w:t>
            </w:r>
            <w:r>
              <w:rPr>
                <w:rFonts w:hint="eastAsia" w:asciiTheme="minorEastAsia" w:hAnsiTheme="minorEastAsia" w:eastAsiaTheme="minorEastAsia" w:cstheme="minorEastAsia"/>
                <w:sz w:val="21"/>
                <w:szCs w:val="21"/>
                <w:highlight w:val="none"/>
              </w:rPr>
              <w:t>实质性变动内容</w:t>
            </w:r>
            <w:r>
              <w:rPr>
                <w:rFonts w:hint="eastAsia" w:asciiTheme="minorEastAsia" w:hAnsiTheme="minorEastAsia" w:eastAsiaTheme="minorEastAsia" w:cstheme="minorEastAsia"/>
                <w:sz w:val="21"/>
                <w:szCs w:val="21"/>
                <w:highlight w:val="none"/>
                <w:lang w:val="zh-CN"/>
              </w:rPr>
              <w:t>为准。</w:t>
            </w:r>
          </w:p>
        </w:tc>
      </w:tr>
      <w:tr w14:paraId="2940250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1A024A5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第二章第11.1款</w:t>
            </w:r>
          </w:p>
        </w:tc>
        <w:tc>
          <w:tcPr>
            <w:tcW w:w="1233" w:type="pct"/>
            <w:tcBorders>
              <w:tl2br w:val="nil"/>
              <w:tr2bl w:val="nil"/>
            </w:tcBorders>
            <w:vAlign w:val="center"/>
          </w:tcPr>
          <w:p w14:paraId="5A2C320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color w:val="auto"/>
                <w:kern w:val="2"/>
                <w:sz w:val="21"/>
                <w:szCs w:val="21"/>
                <w:u w:val="none"/>
                <w:lang w:val="en-US" w:eastAsia="zh-CN" w:bidi="ar-SA"/>
              </w:rPr>
            </w:pPr>
            <w:r>
              <w:rPr>
                <w:rFonts w:hint="eastAsia" w:asciiTheme="minorEastAsia" w:hAnsiTheme="minorEastAsia" w:eastAsiaTheme="minorEastAsia" w:cstheme="minorEastAsia"/>
                <w:b w:val="0"/>
                <w:bCs w:val="0"/>
                <w:color w:val="auto"/>
                <w:sz w:val="21"/>
                <w:szCs w:val="21"/>
                <w:u w:val="none"/>
              </w:rPr>
              <w:t>提供磋商文件期限</w:t>
            </w:r>
          </w:p>
        </w:tc>
        <w:tc>
          <w:tcPr>
            <w:tcW w:w="3036" w:type="pct"/>
            <w:tcBorders>
              <w:tl2br w:val="nil"/>
              <w:tr2bl w:val="nil"/>
            </w:tcBorders>
            <w:vAlign w:val="center"/>
          </w:tcPr>
          <w:p w14:paraId="6361CFA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b w:val="0"/>
                <w:bCs w:val="0"/>
                <w:color w:val="auto"/>
                <w:kern w:val="2"/>
                <w:sz w:val="21"/>
                <w:szCs w:val="21"/>
                <w:highlight w:val="none"/>
                <w:u w:val="none"/>
                <w:lang w:val="en-US" w:eastAsia="zh-CN" w:bidi="ar-SA"/>
              </w:rPr>
            </w:pPr>
            <w:r>
              <w:rPr>
                <w:rFonts w:hint="eastAsia"/>
                <w:color w:val="auto"/>
                <w:sz w:val="21"/>
                <w:szCs w:val="21"/>
                <w:highlight w:val="none"/>
                <w:lang w:val="en-US" w:eastAsia="zh-CN"/>
              </w:rPr>
              <w:t>2026年8月17日至2026年8月24日</w:t>
            </w:r>
          </w:p>
        </w:tc>
      </w:tr>
      <w:tr w14:paraId="0F49453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5AEC4B0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第二章第11.2款</w:t>
            </w:r>
          </w:p>
        </w:tc>
        <w:tc>
          <w:tcPr>
            <w:tcW w:w="1233" w:type="pct"/>
            <w:tcBorders>
              <w:tl2br w:val="nil"/>
              <w:tr2bl w:val="nil"/>
            </w:tcBorders>
            <w:vAlign w:val="center"/>
          </w:tcPr>
          <w:p w14:paraId="1DA28B7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领取或购买磋商文件时应提供的资料</w:t>
            </w:r>
          </w:p>
        </w:tc>
        <w:tc>
          <w:tcPr>
            <w:tcW w:w="3036" w:type="pct"/>
            <w:tcBorders>
              <w:tl2br w:val="nil"/>
              <w:tr2bl w:val="nil"/>
            </w:tcBorders>
            <w:vAlign w:val="center"/>
          </w:tcPr>
          <w:p w14:paraId="5368EC7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color w:val="FF0000"/>
                <w:kern w:val="2"/>
                <w:sz w:val="21"/>
                <w:szCs w:val="21"/>
                <w:u w:val="single"/>
                <w:lang w:val="en-US" w:eastAsia="zh-CN" w:bidi="ar-SA"/>
              </w:rPr>
            </w:pPr>
            <w:r>
              <w:rPr>
                <w:rFonts w:hint="eastAsia" w:asciiTheme="minorEastAsia" w:hAnsiTheme="minorEastAsia" w:eastAsiaTheme="minorEastAsia" w:cstheme="minorEastAsia"/>
                <w:sz w:val="21"/>
                <w:szCs w:val="21"/>
              </w:rPr>
              <w:t>个人身份证、法定代表人身份证明或者授权委托书并附法定代表人身份证明。</w:t>
            </w:r>
          </w:p>
        </w:tc>
      </w:tr>
      <w:tr w14:paraId="4218ACB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7E4EEEF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第二章第12.1款</w:t>
            </w:r>
          </w:p>
        </w:tc>
        <w:tc>
          <w:tcPr>
            <w:tcW w:w="1233" w:type="pct"/>
            <w:tcBorders>
              <w:tl2br w:val="nil"/>
              <w:tr2bl w:val="nil"/>
            </w:tcBorders>
            <w:vAlign w:val="center"/>
          </w:tcPr>
          <w:p w14:paraId="4F99343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提交首次响应文件的截止时间</w:t>
            </w:r>
          </w:p>
        </w:tc>
        <w:tc>
          <w:tcPr>
            <w:tcW w:w="3036" w:type="pct"/>
            <w:tcBorders>
              <w:tl2br w:val="nil"/>
              <w:tr2bl w:val="nil"/>
            </w:tcBorders>
            <w:vAlign w:val="center"/>
          </w:tcPr>
          <w:p w14:paraId="0AC41BED">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2026年08月31日 15点30分（北京时间）</w:t>
            </w:r>
          </w:p>
        </w:tc>
      </w:tr>
      <w:tr w14:paraId="0BE57C5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3"/>
            <w:tcBorders>
              <w:tl2br w:val="nil"/>
              <w:tr2bl w:val="nil"/>
            </w:tcBorders>
            <w:vAlign w:val="center"/>
          </w:tcPr>
          <w:p w14:paraId="76AA302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三、响应文件的编写</w:t>
            </w:r>
          </w:p>
        </w:tc>
      </w:tr>
      <w:tr w14:paraId="2DBF0EC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7CEEFE3D">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第二章第16.4款</w:t>
            </w:r>
          </w:p>
        </w:tc>
        <w:tc>
          <w:tcPr>
            <w:tcW w:w="1233" w:type="pct"/>
            <w:tcBorders>
              <w:tl2br w:val="nil"/>
              <w:tr2bl w:val="nil"/>
            </w:tcBorders>
            <w:vAlign w:val="center"/>
          </w:tcPr>
          <w:p w14:paraId="571D1AE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color w:val="auto"/>
                <w:sz w:val="21"/>
                <w:szCs w:val="21"/>
              </w:rPr>
              <w:t>采购项目预算</w:t>
            </w:r>
            <w:r>
              <w:rPr>
                <w:rFonts w:hint="eastAsia" w:asciiTheme="minorEastAsia" w:hAnsiTheme="minorEastAsia" w:eastAsiaTheme="minorEastAsia" w:cstheme="minorEastAsia"/>
                <w:color w:val="auto"/>
                <w:sz w:val="21"/>
                <w:szCs w:val="21"/>
                <w:lang w:val="en-US" w:eastAsia="zh-CN"/>
              </w:rPr>
              <w:t>和最高限价</w:t>
            </w:r>
          </w:p>
        </w:tc>
        <w:tc>
          <w:tcPr>
            <w:tcW w:w="3036" w:type="pct"/>
            <w:tcBorders>
              <w:tl2br w:val="nil"/>
              <w:tr2bl w:val="nil"/>
            </w:tcBorders>
            <w:vAlign w:val="center"/>
          </w:tcPr>
          <w:p w14:paraId="4C2A852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u w:val="none"/>
                <w:lang w:val="en-US" w:eastAsia="zh-CN"/>
              </w:rPr>
              <w:t>采购预算：</w:t>
            </w:r>
            <w:r>
              <w:rPr>
                <w:rFonts w:hint="eastAsia" w:asciiTheme="minorEastAsia" w:hAnsiTheme="minorEastAsia" w:eastAsiaTheme="minorEastAsia" w:cstheme="minorEastAsia"/>
                <w:b w:val="0"/>
                <w:bCs/>
                <w:color w:val="auto"/>
                <w:sz w:val="21"/>
                <w:szCs w:val="21"/>
                <w:u w:val="single"/>
                <w:lang w:val="en-US" w:eastAsia="zh-CN"/>
              </w:rPr>
              <w:t>1381722.00元（</w:t>
            </w:r>
            <w:r>
              <w:rPr>
                <w:rFonts w:hint="eastAsia" w:asciiTheme="minorEastAsia" w:hAnsiTheme="minorEastAsia" w:eastAsiaTheme="minorEastAsia" w:cstheme="minorEastAsia"/>
                <w:b w:val="0"/>
                <w:bCs/>
                <w:color w:val="auto"/>
                <w:sz w:val="21"/>
                <w:szCs w:val="21"/>
              </w:rPr>
              <w:t>人民币）</w:t>
            </w:r>
          </w:p>
          <w:p w14:paraId="3ED7629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val="0"/>
                <w:bCs/>
                <w:color w:val="auto"/>
                <w:sz w:val="21"/>
                <w:szCs w:val="21"/>
                <w:lang w:val="en-US" w:eastAsia="zh-CN"/>
              </w:rPr>
              <w:t>最高限价：</w:t>
            </w:r>
            <w:r>
              <w:rPr>
                <w:rFonts w:hint="eastAsia" w:asciiTheme="minorEastAsia" w:hAnsiTheme="minorEastAsia" w:eastAsiaTheme="minorEastAsia" w:cstheme="minorEastAsia"/>
                <w:b w:val="0"/>
                <w:bCs/>
                <w:color w:val="auto"/>
                <w:sz w:val="21"/>
                <w:szCs w:val="21"/>
                <w:u w:val="single"/>
                <w:lang w:val="en-US" w:eastAsia="zh-CN"/>
              </w:rPr>
              <w:t>1381722.00</w:t>
            </w:r>
            <w:r>
              <w:rPr>
                <w:rFonts w:hint="eastAsia" w:asciiTheme="minorEastAsia" w:hAnsiTheme="minorEastAsia" w:eastAsiaTheme="minorEastAsia" w:cstheme="minorEastAsia"/>
                <w:b w:val="0"/>
                <w:bCs/>
                <w:color w:val="auto"/>
                <w:sz w:val="21"/>
                <w:szCs w:val="21"/>
                <w:lang w:val="en-US" w:eastAsia="zh-CN"/>
              </w:rPr>
              <w:t>元</w:t>
            </w:r>
            <w:r>
              <w:rPr>
                <w:rFonts w:hint="eastAsia" w:asciiTheme="minorEastAsia" w:hAnsiTheme="minorEastAsia" w:eastAsiaTheme="minorEastAsia" w:cstheme="minorEastAsia"/>
                <w:b w:val="0"/>
                <w:bCs/>
                <w:color w:val="auto"/>
                <w:sz w:val="21"/>
                <w:szCs w:val="21"/>
              </w:rPr>
              <w:t>（人民币）</w:t>
            </w:r>
          </w:p>
        </w:tc>
      </w:tr>
      <w:tr w14:paraId="4FC6E25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6AF23CA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第二章第19.1款</w:t>
            </w:r>
          </w:p>
        </w:tc>
        <w:tc>
          <w:tcPr>
            <w:tcW w:w="1233" w:type="pct"/>
            <w:tcBorders>
              <w:tl2br w:val="nil"/>
              <w:tr2bl w:val="nil"/>
            </w:tcBorders>
            <w:vAlign w:val="center"/>
          </w:tcPr>
          <w:p w14:paraId="25EDC1F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磋商保证金</w:t>
            </w:r>
          </w:p>
        </w:tc>
        <w:tc>
          <w:tcPr>
            <w:tcW w:w="3036" w:type="pct"/>
            <w:tcBorders>
              <w:tl2br w:val="nil"/>
              <w:tr2bl w:val="nil"/>
            </w:tcBorders>
            <w:vAlign w:val="center"/>
          </w:tcPr>
          <w:p w14:paraId="3A887EB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highlight w:val="none"/>
              </w:rPr>
              <w:t>不要求提供</w:t>
            </w:r>
          </w:p>
          <w:p w14:paraId="62BD3D6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要求提供</w:t>
            </w:r>
          </w:p>
        </w:tc>
      </w:tr>
      <w:tr w14:paraId="2F0F11A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5F86307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第二章第20.1款</w:t>
            </w:r>
          </w:p>
        </w:tc>
        <w:tc>
          <w:tcPr>
            <w:tcW w:w="1233" w:type="pct"/>
            <w:tcBorders>
              <w:tl2br w:val="nil"/>
              <w:tr2bl w:val="nil"/>
            </w:tcBorders>
            <w:vAlign w:val="center"/>
          </w:tcPr>
          <w:p w14:paraId="16F5D6D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Cs/>
                <w:color w:val="auto"/>
                <w:sz w:val="21"/>
                <w:szCs w:val="21"/>
              </w:rPr>
              <w:t>响应文件有效期</w:t>
            </w:r>
          </w:p>
        </w:tc>
        <w:tc>
          <w:tcPr>
            <w:tcW w:w="3036" w:type="pct"/>
            <w:tcBorders>
              <w:tl2br w:val="nil"/>
              <w:tr2bl w:val="nil"/>
            </w:tcBorders>
            <w:vAlign w:val="center"/>
          </w:tcPr>
          <w:p w14:paraId="6D8A2EC7">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highlight w:val="none"/>
                <w:u w:val="single"/>
              </w:rPr>
              <w:t>90</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color w:val="auto"/>
                <w:sz w:val="21"/>
                <w:szCs w:val="21"/>
                <w:highlight w:val="none"/>
              </w:rPr>
              <w:t>日</w:t>
            </w:r>
            <w:r>
              <w:rPr>
                <w:rFonts w:hint="eastAsia" w:asciiTheme="minorEastAsia" w:hAnsiTheme="minorEastAsia" w:eastAsiaTheme="minorEastAsia" w:cstheme="minorEastAsia"/>
                <w:color w:val="auto"/>
                <w:sz w:val="21"/>
                <w:szCs w:val="21"/>
                <w:highlight w:val="none"/>
              </w:rPr>
              <w:t>（日历日）</w:t>
            </w:r>
          </w:p>
        </w:tc>
      </w:tr>
      <w:tr w14:paraId="7E6D8C0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730" w:type="pct"/>
            <w:tcBorders>
              <w:tl2br w:val="nil"/>
              <w:tr2bl w:val="nil"/>
            </w:tcBorders>
            <w:vAlign w:val="center"/>
          </w:tcPr>
          <w:p w14:paraId="742C05E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第二章第21.1款</w:t>
            </w:r>
          </w:p>
        </w:tc>
        <w:tc>
          <w:tcPr>
            <w:tcW w:w="1233" w:type="pct"/>
            <w:tcBorders>
              <w:tl2br w:val="nil"/>
              <w:tr2bl w:val="nil"/>
            </w:tcBorders>
            <w:vAlign w:val="center"/>
          </w:tcPr>
          <w:p w14:paraId="3B891D2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sz w:val="21"/>
                <w:szCs w:val="21"/>
              </w:rPr>
              <w:t>文件份数</w:t>
            </w:r>
          </w:p>
        </w:tc>
        <w:tc>
          <w:tcPr>
            <w:tcW w:w="3036" w:type="pct"/>
            <w:tcBorders>
              <w:tl2br w:val="nil"/>
              <w:tr2bl w:val="nil"/>
            </w:tcBorders>
            <w:vAlign w:val="center"/>
          </w:tcPr>
          <w:p w14:paraId="54ED109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电子文件：供应商</w:t>
            </w:r>
            <w:r>
              <w:rPr>
                <w:rFonts w:hint="eastAsia" w:asciiTheme="minorEastAsia" w:hAnsiTheme="minorEastAsia" w:eastAsiaTheme="minorEastAsia" w:cstheme="minorEastAsia"/>
                <w:sz w:val="21"/>
                <w:szCs w:val="21"/>
                <w:highlight w:val="none"/>
                <w:lang w:val="en-US" w:eastAsia="zh-CN"/>
              </w:rPr>
              <w:t>递交</w:t>
            </w:r>
            <w:r>
              <w:rPr>
                <w:rFonts w:hint="eastAsia" w:asciiTheme="minorEastAsia" w:hAnsiTheme="minorEastAsia" w:eastAsiaTheme="minorEastAsia" w:cstheme="minorEastAsia"/>
                <w:sz w:val="21"/>
                <w:szCs w:val="21"/>
                <w:highlight w:val="none"/>
              </w:rPr>
              <w:t>电子</w:t>
            </w:r>
            <w:r>
              <w:rPr>
                <w:rFonts w:hint="eastAsia" w:asciiTheme="minorEastAsia" w:hAnsiTheme="minorEastAsia" w:eastAsiaTheme="minorEastAsia" w:cstheme="minorEastAsia"/>
                <w:sz w:val="21"/>
                <w:szCs w:val="21"/>
                <w:highlight w:val="none"/>
                <w:lang w:val="en-US" w:eastAsia="zh-CN"/>
              </w:rPr>
              <w:t>档响应</w:t>
            </w:r>
            <w:r>
              <w:rPr>
                <w:rFonts w:hint="eastAsia" w:asciiTheme="minorEastAsia" w:hAnsiTheme="minorEastAsia" w:eastAsiaTheme="minorEastAsia" w:cstheme="minorEastAsia"/>
                <w:sz w:val="21"/>
                <w:szCs w:val="21"/>
                <w:highlight w:val="none"/>
              </w:rPr>
              <w:t>文件一份（U盘）。</w:t>
            </w:r>
          </w:p>
          <w:p w14:paraId="79C49CF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纸质文件：</w:t>
            </w:r>
            <w:r>
              <w:rPr>
                <w:rFonts w:hint="eastAsia" w:asciiTheme="minorEastAsia" w:hAnsiTheme="minorEastAsia" w:eastAsiaTheme="minorEastAsia" w:cstheme="minorEastAsia"/>
                <w:sz w:val="21"/>
                <w:szCs w:val="21"/>
                <w:highlight w:val="none"/>
                <w:lang w:val="en-US" w:eastAsia="zh-CN"/>
              </w:rPr>
              <w:t>一正三副</w:t>
            </w:r>
            <w:r>
              <w:rPr>
                <w:rFonts w:hint="eastAsia" w:asciiTheme="minorEastAsia" w:hAnsiTheme="minorEastAsia" w:eastAsiaTheme="minorEastAsia" w:cstheme="minorEastAsia"/>
                <w:sz w:val="21"/>
                <w:szCs w:val="21"/>
                <w:highlight w:val="none"/>
              </w:rPr>
              <w:t>；响应文件封面上明确写明“正本”或“副本”，正本和副本内容如不一致，以正本为准。</w:t>
            </w:r>
          </w:p>
          <w:p w14:paraId="395C8AF9">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highlight w:val="none"/>
              </w:rPr>
              <w:t>装订要求：响应文件采用胶装方式装订，装订应牢固、不易拆散和换页，不得采用活页装订。</w:t>
            </w:r>
          </w:p>
        </w:tc>
      </w:tr>
      <w:tr w14:paraId="6028779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3"/>
            <w:tcBorders>
              <w:tl2br w:val="nil"/>
              <w:tr2bl w:val="nil"/>
            </w:tcBorders>
            <w:vAlign w:val="center"/>
          </w:tcPr>
          <w:p w14:paraId="2099DAE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b/>
                <w:sz w:val="21"/>
                <w:szCs w:val="21"/>
              </w:rPr>
              <w:t>四、响应文件的递交</w:t>
            </w:r>
          </w:p>
        </w:tc>
      </w:tr>
      <w:tr w14:paraId="5A2204A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01B16EB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第二章第22.2款</w:t>
            </w:r>
          </w:p>
        </w:tc>
        <w:tc>
          <w:tcPr>
            <w:tcW w:w="1233" w:type="pct"/>
            <w:tcBorders>
              <w:tl2br w:val="nil"/>
              <w:tr2bl w:val="nil"/>
            </w:tcBorders>
            <w:vAlign w:val="center"/>
          </w:tcPr>
          <w:p w14:paraId="53F60E57">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封套上应载明的信息</w:t>
            </w:r>
          </w:p>
        </w:tc>
        <w:tc>
          <w:tcPr>
            <w:tcW w:w="3036" w:type="pct"/>
            <w:tcBorders>
              <w:tl2br w:val="nil"/>
              <w:tr2bl w:val="nil"/>
            </w:tcBorders>
            <w:vAlign w:val="center"/>
          </w:tcPr>
          <w:p w14:paraId="3A153B5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（项目名称）响应文件</w:t>
            </w:r>
          </w:p>
          <w:p w14:paraId="4FB04E0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政府采购计划编号</w:t>
            </w:r>
            <w:r>
              <w:rPr>
                <w:rFonts w:hint="eastAsia" w:asciiTheme="minorEastAsia" w:hAnsiTheme="minorEastAsia" w:eastAsiaTheme="minorEastAsia" w:cstheme="minorEastAsia"/>
                <w:sz w:val="21"/>
                <w:szCs w:val="21"/>
                <w:highlight w:val="none"/>
              </w:rPr>
              <w:t>：</w:t>
            </w:r>
          </w:p>
          <w:p w14:paraId="6116D52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采购代理机构编号：</w:t>
            </w:r>
          </w:p>
          <w:p w14:paraId="7DA720F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供应商名称：</w:t>
            </w:r>
          </w:p>
          <w:p w14:paraId="743817D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highlight w:val="none"/>
              </w:rPr>
              <w:t>在</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分（磋商响应文件递交截止时间）之前不得启封</w:t>
            </w:r>
          </w:p>
        </w:tc>
      </w:tr>
      <w:tr w14:paraId="62230E3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3515761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第二章第24.1款</w:t>
            </w:r>
          </w:p>
        </w:tc>
        <w:tc>
          <w:tcPr>
            <w:tcW w:w="1233" w:type="pct"/>
            <w:tcBorders>
              <w:tl2br w:val="nil"/>
              <w:tr2bl w:val="nil"/>
            </w:tcBorders>
            <w:vAlign w:val="center"/>
          </w:tcPr>
          <w:p w14:paraId="3F2B9D1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响应文件的递交地点</w:t>
            </w:r>
          </w:p>
        </w:tc>
        <w:tc>
          <w:tcPr>
            <w:tcW w:w="3036" w:type="pct"/>
            <w:tcBorders>
              <w:tl2br w:val="nil"/>
              <w:tr2bl w:val="nil"/>
            </w:tcBorders>
            <w:vAlign w:val="center"/>
          </w:tcPr>
          <w:p w14:paraId="43DB8B7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lang w:eastAsia="zh-CN"/>
              </w:rPr>
            </w:pPr>
            <w:r>
              <w:rPr>
                <w:rFonts w:hint="eastAsia"/>
                <w:color w:val="auto"/>
                <w:sz w:val="21"/>
                <w:szCs w:val="21"/>
                <w:lang w:val="en-US" w:eastAsia="zh-CN"/>
              </w:rPr>
              <w:t>福州市安永工程监理有限公司(岳阳县荣家湾镇贺坪东路南侧桃李佳苑第一栋104室)</w:t>
            </w:r>
          </w:p>
        </w:tc>
      </w:tr>
      <w:tr w14:paraId="1C2340B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3"/>
            <w:tcBorders>
              <w:tl2br w:val="nil"/>
              <w:tr2bl w:val="nil"/>
            </w:tcBorders>
            <w:vAlign w:val="center"/>
          </w:tcPr>
          <w:p w14:paraId="237A0CA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
                <w:bCs/>
                <w:sz w:val="21"/>
                <w:szCs w:val="21"/>
              </w:rPr>
              <w:t>五、响应文件的磋商与评审</w:t>
            </w:r>
          </w:p>
        </w:tc>
      </w:tr>
      <w:tr w14:paraId="3B4FE46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65C971AB">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第二章第31.2款</w:t>
            </w:r>
          </w:p>
        </w:tc>
        <w:tc>
          <w:tcPr>
            <w:tcW w:w="1233" w:type="pct"/>
            <w:tcBorders>
              <w:tl2br w:val="nil"/>
              <w:tr2bl w:val="nil"/>
            </w:tcBorders>
            <w:vAlign w:val="center"/>
          </w:tcPr>
          <w:p w14:paraId="468CA84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评审因素和标准</w:t>
            </w:r>
          </w:p>
        </w:tc>
        <w:tc>
          <w:tcPr>
            <w:tcW w:w="3036" w:type="pct"/>
            <w:tcBorders>
              <w:tl2br w:val="nil"/>
              <w:tr2bl w:val="nil"/>
            </w:tcBorders>
            <w:vAlign w:val="center"/>
          </w:tcPr>
          <w:p w14:paraId="189BD2D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val="0"/>
                <w:bCs w:val="0"/>
                <w:sz w:val="21"/>
                <w:szCs w:val="21"/>
                <w:lang w:val="en-US" w:eastAsia="zh-CN"/>
              </w:rPr>
              <w:t>见附页4</w:t>
            </w:r>
          </w:p>
        </w:tc>
      </w:tr>
      <w:tr w14:paraId="259AC4B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562B420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第二章第31.3款</w:t>
            </w:r>
          </w:p>
        </w:tc>
        <w:tc>
          <w:tcPr>
            <w:tcW w:w="1233" w:type="pct"/>
            <w:tcBorders>
              <w:tl2br w:val="nil"/>
              <w:tr2bl w:val="nil"/>
            </w:tcBorders>
            <w:vAlign w:val="center"/>
          </w:tcPr>
          <w:p w14:paraId="7B05FCB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rPr>
              <w:t>评审报价优惠</w:t>
            </w:r>
          </w:p>
        </w:tc>
        <w:tc>
          <w:tcPr>
            <w:tcW w:w="3036" w:type="pct"/>
            <w:tcBorders>
              <w:tl2br w:val="nil"/>
              <w:tr2bl w:val="nil"/>
            </w:tcBorders>
            <w:vAlign w:val="center"/>
          </w:tcPr>
          <w:p w14:paraId="2E19B059">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本项目专门面向中小企业采购，小、微企业不再享受价格评审优惠。</w:t>
            </w:r>
          </w:p>
          <w:p w14:paraId="628FCFA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rPr>
              <w:t>符合第二章第9.</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款规定</w:t>
            </w:r>
            <w:r>
              <w:rPr>
                <w:rFonts w:hint="eastAsia" w:asciiTheme="minorEastAsia" w:hAnsiTheme="minorEastAsia" w:eastAsiaTheme="minorEastAsia" w:cstheme="minorEastAsia"/>
                <w:sz w:val="21"/>
                <w:szCs w:val="21"/>
                <w:lang w:val="en-US" w:eastAsia="zh-CN"/>
              </w:rPr>
              <w:t>的供应商，参与评审的最后报价调整比例如下：</w:t>
            </w:r>
          </w:p>
          <w:p w14:paraId="223E5E4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（1）给予小型和微型企业产品的价格给予</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0%的扣除，用扣除后的价格参与评审，本项目具体扣除比例为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。用扣除后的最后报价计算价格分。</w:t>
            </w:r>
          </w:p>
          <w:p w14:paraId="7931A82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（2）给予联合体2%-3%的价格扣除，用扣除后的价格参与评审，本项目具体扣除比例为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w:t>
            </w:r>
          </w:p>
        </w:tc>
      </w:tr>
      <w:tr w14:paraId="43EC224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7EF92B0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第二章第31.5款</w:t>
            </w:r>
          </w:p>
        </w:tc>
        <w:tc>
          <w:tcPr>
            <w:tcW w:w="1233" w:type="pct"/>
            <w:tcBorders>
              <w:tl2br w:val="nil"/>
              <w:tr2bl w:val="nil"/>
            </w:tcBorders>
            <w:vAlign w:val="center"/>
          </w:tcPr>
          <w:p w14:paraId="2D15B38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技术、商务、价格</w:t>
            </w:r>
            <w:r>
              <w:rPr>
                <w:rFonts w:hint="eastAsia" w:asciiTheme="minorEastAsia" w:hAnsiTheme="minorEastAsia" w:eastAsiaTheme="minorEastAsia" w:cstheme="minorEastAsia"/>
                <w:kern w:val="0"/>
                <w:sz w:val="21"/>
                <w:szCs w:val="21"/>
              </w:rPr>
              <w:t>得分或总得分</w:t>
            </w:r>
            <w:r>
              <w:rPr>
                <w:rFonts w:hint="eastAsia" w:asciiTheme="minorEastAsia" w:hAnsiTheme="minorEastAsia" w:eastAsiaTheme="minorEastAsia" w:cstheme="minorEastAsia"/>
                <w:sz w:val="21"/>
                <w:szCs w:val="21"/>
              </w:rPr>
              <w:t>调整</w:t>
            </w:r>
          </w:p>
        </w:tc>
        <w:tc>
          <w:tcPr>
            <w:tcW w:w="3036" w:type="pct"/>
            <w:tcBorders>
              <w:tl2br w:val="nil"/>
              <w:tr2bl w:val="nil"/>
            </w:tcBorders>
            <w:vAlign w:val="center"/>
          </w:tcPr>
          <w:p w14:paraId="07E7E48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符合第二章第9.</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款规定，按第二章第31.6款规定及本款分值调整：</w:t>
            </w:r>
          </w:p>
          <w:p w14:paraId="70B0E5C4">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节能产品：</w:t>
            </w:r>
          </w:p>
          <w:p w14:paraId="5CADAC8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技术加分＝技术分值×加分比例×（节能产品最后报价÷最后总报价）；</w:t>
            </w:r>
          </w:p>
          <w:p w14:paraId="1336D4B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价格加分＝价格分值×加分比例×（节能产品最后报价÷最后总报价）。</w:t>
            </w:r>
          </w:p>
          <w:p w14:paraId="60D1871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环境标志产品：</w:t>
            </w:r>
          </w:p>
          <w:p w14:paraId="6950873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技术加分＝技术分值×加分比例×（环境标志产品最后报价÷最后总报价）；</w:t>
            </w:r>
          </w:p>
          <w:p w14:paraId="440EAAC4">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价格加分＝价格分值×加分比例×（环境标志产品最后报价÷最后总报价）。</w:t>
            </w:r>
          </w:p>
        </w:tc>
      </w:tr>
      <w:tr w14:paraId="2951086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3"/>
            <w:tcBorders>
              <w:tl2br w:val="nil"/>
              <w:tr2bl w:val="nil"/>
            </w:tcBorders>
            <w:vAlign w:val="center"/>
          </w:tcPr>
          <w:p w14:paraId="4B847FBB">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六、成交结果信息公布与授予合同</w:t>
            </w:r>
          </w:p>
        </w:tc>
      </w:tr>
      <w:tr w14:paraId="592C9D9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60AD79D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第二章第37.1款、</w:t>
            </w:r>
          </w:p>
        </w:tc>
        <w:tc>
          <w:tcPr>
            <w:tcW w:w="1233" w:type="pct"/>
            <w:tcBorders>
              <w:tl2br w:val="nil"/>
              <w:tr2bl w:val="nil"/>
            </w:tcBorders>
            <w:vAlign w:val="center"/>
          </w:tcPr>
          <w:p w14:paraId="29AE81E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财政部门指定的媒体</w:t>
            </w:r>
          </w:p>
        </w:tc>
        <w:tc>
          <w:tcPr>
            <w:tcW w:w="3036" w:type="pct"/>
            <w:tcBorders>
              <w:tl2br w:val="nil"/>
              <w:tr2bl w:val="nil"/>
            </w:tcBorders>
            <w:vAlign w:val="center"/>
          </w:tcPr>
          <w:p w14:paraId="2EFCF74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lang w:eastAsia="zh-CN"/>
              </w:rPr>
              <w:t>中国·湖南政府采购网(www.ccgp-hunan.gov.cn)</w:t>
            </w:r>
          </w:p>
        </w:tc>
      </w:tr>
      <w:tr w14:paraId="1C91C69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52CEC9E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第二章第39.3款</w:t>
            </w:r>
          </w:p>
        </w:tc>
        <w:tc>
          <w:tcPr>
            <w:tcW w:w="1233" w:type="pct"/>
            <w:tcBorders>
              <w:tl2br w:val="nil"/>
              <w:tr2bl w:val="nil"/>
            </w:tcBorders>
            <w:vAlign w:val="center"/>
          </w:tcPr>
          <w:p w14:paraId="265F947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履约担保</w:t>
            </w:r>
          </w:p>
        </w:tc>
        <w:tc>
          <w:tcPr>
            <w:tcW w:w="3036" w:type="pct"/>
            <w:tcBorders>
              <w:tl2br w:val="nil"/>
              <w:tr2bl w:val="nil"/>
            </w:tcBorders>
            <w:vAlign w:val="center"/>
          </w:tcPr>
          <w:p w14:paraId="5F1978F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不要求提供</w:t>
            </w:r>
          </w:p>
          <w:p w14:paraId="5507BB43">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sym w:font="Wingdings 2" w:char="00A3"/>
            </w:r>
            <w:r>
              <w:rPr>
                <w:rFonts w:hint="eastAsia" w:asciiTheme="minorEastAsia" w:hAnsiTheme="minorEastAsia" w:eastAsiaTheme="minorEastAsia" w:cstheme="minorEastAsia"/>
                <w:sz w:val="21"/>
                <w:szCs w:val="21"/>
                <w:lang w:eastAsia="zh-CN"/>
              </w:rPr>
              <w:t>要求提供，履约担保的金额为：</w:t>
            </w:r>
            <w:r>
              <w:rPr>
                <w:rFonts w:hint="eastAsia" w:asciiTheme="minorEastAsia" w:hAnsiTheme="minorEastAsia" w:eastAsiaTheme="minorEastAsia" w:cstheme="minorEastAsia"/>
                <w:sz w:val="21"/>
                <w:szCs w:val="21"/>
                <w:u w:val="single"/>
                <w:lang w:val="en-US" w:eastAsia="zh-CN"/>
              </w:rPr>
              <w:t xml:space="preserve">   </w:t>
            </w:r>
          </w:p>
        </w:tc>
      </w:tr>
      <w:tr w14:paraId="5F74EDA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3"/>
            <w:tcBorders>
              <w:tl2br w:val="nil"/>
              <w:tr2bl w:val="nil"/>
            </w:tcBorders>
            <w:vAlign w:val="center"/>
          </w:tcPr>
          <w:p w14:paraId="4D4A71A9">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b/>
                <w:sz w:val="21"/>
                <w:szCs w:val="21"/>
              </w:rPr>
              <w:t>七、其他规定</w:t>
            </w:r>
          </w:p>
        </w:tc>
      </w:tr>
      <w:tr w14:paraId="654E0EB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327C5C42">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第二章第41.1款</w:t>
            </w:r>
          </w:p>
        </w:tc>
        <w:tc>
          <w:tcPr>
            <w:tcW w:w="1233" w:type="pct"/>
            <w:tcBorders>
              <w:tl2br w:val="nil"/>
              <w:tr2bl w:val="nil"/>
            </w:tcBorders>
            <w:vAlign w:val="center"/>
          </w:tcPr>
          <w:p w14:paraId="0A67FB25">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采购代理服务费</w:t>
            </w:r>
          </w:p>
        </w:tc>
        <w:tc>
          <w:tcPr>
            <w:tcW w:w="3036" w:type="pct"/>
            <w:tcBorders>
              <w:tl2br w:val="nil"/>
              <w:tr2bl w:val="nil"/>
            </w:tcBorders>
            <w:vAlign w:val="center"/>
          </w:tcPr>
          <w:p w14:paraId="005AE36F">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本项目招标代理服务费：</w:t>
            </w:r>
            <w:r>
              <w:rPr>
                <w:rFonts w:hint="eastAsia" w:asciiTheme="minorEastAsia" w:hAnsiTheme="minorEastAsia" w:eastAsiaTheme="minorEastAsia" w:cstheme="minorEastAsia"/>
                <w:sz w:val="21"/>
                <w:szCs w:val="21"/>
                <w:lang w:val="en-US" w:eastAsia="zh-CN"/>
              </w:rPr>
              <w:t>12886.00元。</w:t>
            </w:r>
          </w:p>
          <w:p w14:paraId="1E744E39">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招标代理服务费的支付方式：</w:t>
            </w:r>
            <w:r>
              <w:rPr>
                <w:rFonts w:hint="eastAsia" w:asciiTheme="minorEastAsia" w:hAnsiTheme="minorEastAsia" w:eastAsiaTheme="minorEastAsia" w:cstheme="minorEastAsia"/>
                <w:sz w:val="21"/>
                <w:szCs w:val="21"/>
                <w:lang w:val="en-US" w:eastAsia="zh-CN"/>
              </w:rPr>
              <w:t>由采购人</w:t>
            </w:r>
            <w:r>
              <w:rPr>
                <w:rFonts w:hint="eastAsia" w:asciiTheme="minorEastAsia" w:hAnsiTheme="minorEastAsia" w:eastAsiaTheme="minorEastAsia" w:cstheme="minorEastAsia"/>
                <w:sz w:val="21"/>
                <w:szCs w:val="21"/>
                <w:lang w:eastAsia="zh-CN"/>
              </w:rPr>
              <w:t>以转账方式支付</w:t>
            </w:r>
            <w:r>
              <w:rPr>
                <w:rFonts w:hint="eastAsia" w:asciiTheme="minorEastAsia" w:hAnsiTheme="minorEastAsia" w:eastAsiaTheme="minorEastAsia" w:cstheme="minorEastAsia"/>
                <w:sz w:val="21"/>
                <w:szCs w:val="21"/>
                <w:lang w:val="en-US" w:eastAsia="zh-CN"/>
              </w:rPr>
              <w:t>。</w:t>
            </w:r>
          </w:p>
        </w:tc>
      </w:tr>
      <w:tr w14:paraId="7E9A185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730" w:type="pct"/>
            <w:tcBorders>
              <w:tl2br w:val="nil"/>
              <w:tr2bl w:val="nil"/>
            </w:tcBorders>
            <w:vAlign w:val="center"/>
          </w:tcPr>
          <w:p w14:paraId="4D0659B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第二章第42.1款</w:t>
            </w:r>
          </w:p>
        </w:tc>
        <w:tc>
          <w:tcPr>
            <w:tcW w:w="1233" w:type="pct"/>
            <w:tcBorders>
              <w:tl2br w:val="nil"/>
              <w:tr2bl w:val="nil"/>
            </w:tcBorders>
            <w:vAlign w:val="center"/>
          </w:tcPr>
          <w:p w14:paraId="6BD6A27C">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其他规定</w:t>
            </w:r>
          </w:p>
        </w:tc>
        <w:tc>
          <w:tcPr>
            <w:tcW w:w="3036" w:type="pct"/>
            <w:tcBorders>
              <w:tl2br w:val="nil"/>
              <w:tr2bl w:val="nil"/>
            </w:tcBorders>
            <w:vAlign w:val="center"/>
          </w:tcPr>
          <w:p w14:paraId="66F8299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根据湘财购</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2021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16号《湖南省财政厅湖南省工业和信息化厅关于运用政府采购促进中小企业发展有关事项的通知》，推行“承诺+信用”管理，简化中小企业参与政府采购证明材料，符合法定资格条件的供应商可将资格承诺声明作为资格证明材料，无需再提供财务状况、缴纳税收和社会保障资金等资格证明材料。</w:t>
            </w:r>
          </w:p>
          <w:p w14:paraId="7ED62C11">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供应商可在中国湖南政府采购网登记资格、业绩以及商品等相关证明材料，并在响应文件中代替纸质证明材料使用，符合政府采购的资格条件即可参加政府采购活动。</w:t>
            </w:r>
          </w:p>
          <w:p w14:paraId="63F424EA">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default"/>
                <w:sz w:val="21"/>
                <w:szCs w:val="21"/>
                <w:lang w:val="en-US"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经采购人或监管部门查实，提供虚假承诺的供应商将以虚假资料谋取中标（成交）的违法行为，被列入不良记录名单，采购人有权取消其</w:t>
            </w:r>
            <w:r>
              <w:rPr>
                <w:rFonts w:hint="eastAsia" w:asciiTheme="minorEastAsia" w:hAnsiTheme="minorEastAsia" w:eastAsiaTheme="minorEastAsia" w:cstheme="minorEastAsia"/>
                <w:sz w:val="21"/>
                <w:szCs w:val="21"/>
                <w:lang w:val="en-US" w:eastAsia="zh-CN"/>
              </w:rPr>
              <w:t>中选</w:t>
            </w:r>
            <w:r>
              <w:rPr>
                <w:rFonts w:hint="eastAsia" w:asciiTheme="minorEastAsia" w:hAnsiTheme="minorEastAsia" w:eastAsiaTheme="minorEastAsia" w:cstheme="minorEastAsia"/>
                <w:sz w:val="21"/>
                <w:szCs w:val="21"/>
              </w:rPr>
              <w:t>资格</w:t>
            </w:r>
            <w:r>
              <w:rPr>
                <w:rFonts w:hint="eastAsia" w:asciiTheme="minorEastAsia" w:hAnsiTheme="minorEastAsia" w:eastAsiaTheme="minorEastAsia" w:cstheme="minorEastAsia"/>
                <w:sz w:val="21"/>
                <w:szCs w:val="21"/>
                <w:lang w:eastAsia="zh-CN"/>
              </w:rPr>
              <w:t>。</w:t>
            </w:r>
          </w:p>
        </w:tc>
      </w:tr>
    </w:tbl>
    <w:p w14:paraId="01F6B7A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b/>
          <w:bCs/>
          <w:sz w:val="22"/>
          <w:szCs w:val="22"/>
        </w:rPr>
      </w:pPr>
    </w:p>
    <w:p w14:paraId="6FF787A9">
      <w:pPr>
        <w:rPr>
          <w:rFonts w:hint="default" w:ascii="Times New Roman" w:hAnsi="Times New Roman" w:cs="Times New Roman"/>
          <w:b/>
          <w:bCs/>
          <w:sz w:val="22"/>
          <w:szCs w:val="22"/>
        </w:rPr>
      </w:pPr>
      <w:r>
        <w:rPr>
          <w:rFonts w:hint="default" w:ascii="Times New Roman" w:hAnsi="Times New Roman" w:cs="Times New Roman"/>
          <w:b/>
          <w:bCs/>
          <w:sz w:val="22"/>
          <w:szCs w:val="22"/>
        </w:rPr>
        <w:br w:type="page"/>
      </w:r>
    </w:p>
    <w:p w14:paraId="6D164239">
      <w:pPr>
        <w:keepNext w:val="0"/>
        <w:keepLines w:val="0"/>
        <w:pageBreakBefore w:val="0"/>
        <w:widowControl/>
        <w:kinsoku/>
        <w:wordWrap/>
        <w:overflowPunct/>
        <w:topLinePunct w:val="0"/>
        <w:autoSpaceDE/>
        <w:autoSpaceDN/>
        <w:bidi w:val="0"/>
        <w:adjustRightInd/>
        <w:snapToGrid/>
        <w:spacing w:line="360" w:lineRule="auto"/>
        <w:ind w:firstLine="118" w:firstLineChars="49"/>
        <w:jc w:val="both"/>
        <w:textAlignment w:val="auto"/>
        <w:outlineLvl w:val="2"/>
        <w:rPr>
          <w:rFonts w:hint="eastAsia" w:asciiTheme="minorEastAsia" w:hAnsiTheme="minorEastAsia" w:eastAsiaTheme="minorEastAsia" w:cstheme="minorEastAsia"/>
          <w:sz w:val="24"/>
          <w:szCs w:val="24"/>
        </w:rPr>
      </w:pPr>
      <w:bookmarkStart w:id="43" w:name="_Toc7544"/>
      <w:bookmarkStart w:id="44" w:name="_Toc31847"/>
      <w:bookmarkStart w:id="45" w:name="_Toc20701"/>
      <w:r>
        <w:rPr>
          <w:rFonts w:hint="eastAsia" w:asciiTheme="minorEastAsia" w:hAnsiTheme="minorEastAsia" w:eastAsiaTheme="minorEastAsia" w:cstheme="minorEastAsia"/>
          <w:b/>
          <w:bCs w:val="0"/>
          <w:color w:val="000000"/>
          <w:sz w:val="24"/>
          <w:szCs w:val="24"/>
          <w:lang w:val="en-US" w:eastAsia="zh-CN"/>
        </w:rPr>
        <w:t xml:space="preserve">附页1 </w:t>
      </w:r>
      <w:r>
        <w:rPr>
          <w:rFonts w:hint="eastAsia" w:asciiTheme="minorEastAsia" w:hAnsiTheme="minorEastAsia" w:eastAsiaTheme="minorEastAsia" w:cstheme="minorEastAsia"/>
          <w:b/>
          <w:bCs w:val="0"/>
          <w:sz w:val="24"/>
          <w:szCs w:val="24"/>
        </w:rPr>
        <w:t>资格</w:t>
      </w:r>
      <w:r>
        <w:rPr>
          <w:rFonts w:hint="eastAsia" w:asciiTheme="minorEastAsia" w:hAnsiTheme="minorEastAsia" w:eastAsiaTheme="minorEastAsia" w:cstheme="minorEastAsia"/>
          <w:b/>
          <w:bCs w:val="0"/>
          <w:sz w:val="24"/>
          <w:szCs w:val="24"/>
          <w:lang w:val="en-US" w:eastAsia="zh-CN"/>
        </w:rPr>
        <w:t>审查</w:t>
      </w:r>
      <w:r>
        <w:rPr>
          <w:rFonts w:hint="eastAsia" w:asciiTheme="minorEastAsia" w:hAnsiTheme="minorEastAsia" w:eastAsiaTheme="minorEastAsia" w:cstheme="minorEastAsia"/>
          <w:b/>
          <w:bCs w:val="0"/>
          <w:sz w:val="24"/>
          <w:szCs w:val="24"/>
        </w:rPr>
        <w:t>表</w:t>
      </w:r>
      <w:bookmarkEnd w:id="43"/>
      <w:bookmarkEnd w:id="44"/>
      <w:bookmarkEnd w:id="45"/>
    </w:p>
    <w:p w14:paraId="580CB87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资格</w:t>
      </w:r>
      <w:r>
        <w:rPr>
          <w:rFonts w:hint="eastAsia" w:asciiTheme="minorEastAsia" w:hAnsiTheme="minorEastAsia" w:eastAsiaTheme="minorEastAsia" w:cstheme="minorEastAsia"/>
          <w:b/>
          <w:bCs w:val="0"/>
          <w:sz w:val="24"/>
          <w:szCs w:val="24"/>
          <w:lang w:val="en-US" w:eastAsia="zh-CN"/>
        </w:rPr>
        <w:t>审查</w:t>
      </w:r>
      <w:r>
        <w:rPr>
          <w:rFonts w:hint="eastAsia" w:asciiTheme="minorEastAsia" w:hAnsiTheme="minorEastAsia" w:eastAsiaTheme="minorEastAsia" w:cstheme="minorEastAsia"/>
          <w:b/>
          <w:bCs w:val="0"/>
          <w:sz w:val="24"/>
          <w:szCs w:val="24"/>
        </w:rPr>
        <w:t>表</w:t>
      </w:r>
    </w:p>
    <w:tbl>
      <w:tblPr>
        <w:tblStyle w:val="46"/>
        <w:tblW w:w="92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1932"/>
        <w:gridCol w:w="6600"/>
      </w:tblGrid>
      <w:tr w14:paraId="4D6D5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0"/>
            <w:vAlign w:val="center"/>
          </w:tcPr>
          <w:p w14:paraId="556120C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序号</w:t>
            </w:r>
          </w:p>
        </w:tc>
        <w:tc>
          <w:tcPr>
            <w:tcW w:w="1932" w:type="dxa"/>
            <w:noWrap w:val="0"/>
            <w:vAlign w:val="center"/>
          </w:tcPr>
          <w:p w14:paraId="39C1A977">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审查项目</w:t>
            </w:r>
          </w:p>
        </w:tc>
        <w:tc>
          <w:tcPr>
            <w:tcW w:w="6600" w:type="dxa"/>
            <w:noWrap w:val="0"/>
            <w:vAlign w:val="center"/>
          </w:tcPr>
          <w:p w14:paraId="67CA42C1">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审查标准</w:t>
            </w:r>
          </w:p>
        </w:tc>
      </w:tr>
      <w:tr w14:paraId="2C22D1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0"/>
            <w:vAlign w:val="center"/>
          </w:tcPr>
          <w:p w14:paraId="06F6C27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1</w:t>
            </w:r>
          </w:p>
        </w:tc>
        <w:tc>
          <w:tcPr>
            <w:tcW w:w="1932" w:type="dxa"/>
            <w:noWrap w:val="0"/>
            <w:vAlign w:val="center"/>
          </w:tcPr>
          <w:p w14:paraId="6E5ED8A2">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营业执照</w:t>
            </w:r>
          </w:p>
        </w:tc>
        <w:tc>
          <w:tcPr>
            <w:tcW w:w="6600" w:type="dxa"/>
            <w:noWrap w:val="0"/>
            <w:vAlign w:val="center"/>
          </w:tcPr>
          <w:p w14:paraId="6603875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sz w:val="21"/>
                <w:szCs w:val="21"/>
              </w:rPr>
              <w:t>提交企业法人营业执照副本(或者法人登记证书)以及组织机构代码证副本原件扫描件</w:t>
            </w:r>
            <w:r>
              <w:rPr>
                <w:rFonts w:hint="eastAsia" w:asciiTheme="minorEastAsia" w:hAnsiTheme="minorEastAsia" w:eastAsiaTheme="minorEastAsia" w:cstheme="minorEastAsia"/>
                <w:sz w:val="21"/>
                <w:szCs w:val="21"/>
                <w:lang w:eastAsia="zh-CN"/>
              </w:rPr>
              <w:t>。</w:t>
            </w:r>
          </w:p>
        </w:tc>
      </w:tr>
      <w:tr w14:paraId="0DBB6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0"/>
            <w:vAlign w:val="center"/>
          </w:tcPr>
          <w:p w14:paraId="1F725FA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2</w:t>
            </w:r>
          </w:p>
        </w:tc>
        <w:tc>
          <w:tcPr>
            <w:tcW w:w="1932" w:type="dxa"/>
            <w:noWrap w:val="0"/>
            <w:vAlign w:val="center"/>
          </w:tcPr>
          <w:p w14:paraId="7EA718A3">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湖南省政府采购供应商资格承诺函</w:t>
            </w:r>
          </w:p>
        </w:tc>
        <w:tc>
          <w:tcPr>
            <w:tcW w:w="6600" w:type="dxa"/>
            <w:noWrap w:val="0"/>
            <w:vAlign w:val="center"/>
          </w:tcPr>
          <w:p w14:paraId="4F93128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sz w:val="21"/>
                <w:szCs w:val="21"/>
              </w:rPr>
              <w:t>提交《湖南省政府采购供应商资格承诺函》</w:t>
            </w:r>
            <w:r>
              <w:rPr>
                <w:rFonts w:hint="eastAsia" w:asciiTheme="minorEastAsia" w:hAnsiTheme="minorEastAsia" w:eastAsiaTheme="minorEastAsia" w:cstheme="minorEastAsia"/>
                <w:sz w:val="21"/>
                <w:szCs w:val="21"/>
                <w:lang w:val="en-US" w:eastAsia="zh-CN"/>
              </w:rPr>
              <w:t>并按湘财购﹝2022﹞17号文要求格式填写。</w:t>
            </w:r>
          </w:p>
        </w:tc>
      </w:tr>
      <w:tr w14:paraId="51607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0"/>
            <w:vAlign w:val="center"/>
          </w:tcPr>
          <w:p w14:paraId="26DCC7D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3</w:t>
            </w:r>
          </w:p>
        </w:tc>
        <w:tc>
          <w:tcPr>
            <w:tcW w:w="1932" w:type="dxa"/>
            <w:noWrap w:val="0"/>
            <w:vAlign w:val="center"/>
          </w:tcPr>
          <w:p w14:paraId="2E2B351A">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法定代表</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或法人授权委托书原件及复印件</w:t>
            </w:r>
          </w:p>
        </w:tc>
        <w:tc>
          <w:tcPr>
            <w:tcW w:w="6600" w:type="dxa"/>
            <w:noWrap w:val="0"/>
            <w:vAlign w:val="center"/>
          </w:tcPr>
          <w:p w14:paraId="012AACA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sz w:val="21"/>
                <w:szCs w:val="21"/>
                <w:lang w:val="en-US" w:eastAsia="zh-CN"/>
              </w:rPr>
              <w:t>法定代表人参加</w:t>
            </w:r>
            <w:r>
              <w:rPr>
                <w:rFonts w:hint="eastAsia" w:asciiTheme="minorEastAsia" w:hAnsiTheme="minorEastAsia" w:eastAsiaTheme="minorEastAsia" w:cstheme="minorEastAsia"/>
                <w:sz w:val="21"/>
                <w:szCs w:val="21"/>
              </w:rPr>
              <w:t>提交法定代表人身份证明原件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授权代表人参加提交</w:t>
            </w:r>
            <w:r>
              <w:rPr>
                <w:rFonts w:hint="eastAsia" w:asciiTheme="minorEastAsia" w:hAnsiTheme="minorEastAsia" w:eastAsiaTheme="minorEastAsia" w:cstheme="minorEastAsia"/>
                <w:sz w:val="21"/>
                <w:szCs w:val="21"/>
              </w:rPr>
              <w:t>法定代表人授权委托书原件并附法定代表人身份证明原件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自然人提交身份证原件扫描件</w:t>
            </w:r>
            <w:r>
              <w:rPr>
                <w:rFonts w:hint="eastAsia" w:asciiTheme="minorEastAsia" w:hAnsiTheme="minorEastAsia" w:eastAsiaTheme="minorEastAsia" w:cstheme="minorEastAsia"/>
                <w:sz w:val="21"/>
                <w:szCs w:val="21"/>
                <w:lang w:eastAsia="zh-CN"/>
              </w:rPr>
              <w:t>。</w:t>
            </w:r>
          </w:p>
        </w:tc>
      </w:tr>
      <w:tr w14:paraId="72862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0"/>
            <w:vAlign w:val="center"/>
          </w:tcPr>
          <w:p w14:paraId="5386EFD5">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4</w:t>
            </w:r>
          </w:p>
        </w:tc>
        <w:tc>
          <w:tcPr>
            <w:tcW w:w="1932" w:type="dxa"/>
            <w:noWrap w:val="0"/>
            <w:vAlign w:val="center"/>
          </w:tcPr>
          <w:p w14:paraId="60CE9BC6">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特定资格条件</w:t>
            </w:r>
          </w:p>
        </w:tc>
        <w:tc>
          <w:tcPr>
            <w:tcW w:w="6600" w:type="dxa"/>
            <w:noWrap w:val="0"/>
            <w:vAlign w:val="center"/>
          </w:tcPr>
          <w:p w14:paraId="0745104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（1）供应商须具备建设行政主管部门核发的建筑工程施工总承包叁级及以上的企业资质，持有有效的安全生产许可证，并在人员、设备、资金等方面具有相应的施工能力；</w:t>
            </w:r>
          </w:p>
          <w:p w14:paraId="5CC4F32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（2）湖南省外企业须按照湘建建〔2015〕190号文件要求办理省外入湘企业基本情况登记（以“湖南省住房和城乡建设网”查询为准）或具有入湘施工登记证（处于有效期内）；</w:t>
            </w:r>
          </w:p>
          <w:p w14:paraId="5D06F28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（3）拟派项目经理须具备建筑工程专业二级及以上注册建造师执业资格，持有有效的安全生产考核合格证书（B证）；项目经理须注册在本供应商单位，且无在建工程项目，提供无在建工程书面承诺。</w:t>
            </w:r>
          </w:p>
          <w:p w14:paraId="5E23CB6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本项目专门面向中小企业采购，供应商须为符合《政府采购促进中小企业发展管理办法》规定的中小企业，提供《中小企业声明函》，格式见财政部工业和信息化部关于印发《政府采购促进中小企业发展管理办法》的通知财库〔2020〕46号文；监狱企业、残疾人福利性单位视同小微企业，须提供相应官方证明文件。</w:t>
            </w:r>
          </w:p>
        </w:tc>
      </w:tr>
      <w:tr w14:paraId="4CE36F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0"/>
            <w:vAlign w:val="center"/>
          </w:tcPr>
          <w:p w14:paraId="060C3C4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bCs/>
                <w:kern w:val="0"/>
                <w:sz w:val="21"/>
                <w:szCs w:val="21"/>
                <w:lang w:eastAsia="zh-CN"/>
              </w:rPr>
            </w:pPr>
            <w:r>
              <w:rPr>
                <w:rFonts w:hint="eastAsia" w:asciiTheme="minorEastAsia" w:hAnsiTheme="minorEastAsia" w:eastAsiaTheme="minorEastAsia" w:cstheme="minorEastAsia"/>
                <w:b/>
                <w:bCs/>
                <w:kern w:val="0"/>
                <w:sz w:val="21"/>
                <w:szCs w:val="21"/>
                <w:lang w:val="en-US" w:eastAsia="zh-CN"/>
              </w:rPr>
              <w:t>5</w:t>
            </w:r>
          </w:p>
        </w:tc>
        <w:tc>
          <w:tcPr>
            <w:tcW w:w="1932" w:type="dxa"/>
            <w:noWrap w:val="0"/>
            <w:vAlign w:val="center"/>
          </w:tcPr>
          <w:p w14:paraId="57E69B52">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其他资格条件</w:t>
            </w:r>
          </w:p>
        </w:tc>
        <w:tc>
          <w:tcPr>
            <w:tcW w:w="6600" w:type="dxa"/>
            <w:noWrap w:val="0"/>
            <w:vAlign w:val="center"/>
          </w:tcPr>
          <w:p w14:paraId="0DBB85C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法律、法规和磋商文件规定的其他资格条件。</w:t>
            </w:r>
          </w:p>
        </w:tc>
      </w:tr>
    </w:tbl>
    <w:p w14:paraId="507CED0F">
      <w:pPr>
        <w:rPr>
          <w:rFonts w:hint="eastAsia" w:asciiTheme="minorEastAsia" w:hAnsiTheme="minorEastAsia" w:eastAsiaTheme="minorEastAsia" w:cstheme="minorEastAsia"/>
          <w:b/>
          <w:bCs w:val="0"/>
          <w:color w:val="000000"/>
          <w:sz w:val="21"/>
          <w:szCs w:val="21"/>
          <w:lang w:val="en-US" w:eastAsia="zh-CN"/>
        </w:rPr>
      </w:pPr>
      <w:bookmarkStart w:id="46" w:name="_Toc18119"/>
      <w:r>
        <w:rPr>
          <w:rFonts w:hint="eastAsia" w:asciiTheme="minorEastAsia" w:hAnsiTheme="minorEastAsia" w:eastAsiaTheme="minorEastAsia" w:cstheme="minorEastAsia"/>
          <w:b/>
          <w:bCs w:val="0"/>
          <w:color w:val="000000"/>
          <w:sz w:val="21"/>
          <w:szCs w:val="21"/>
          <w:lang w:val="en-US" w:eastAsia="zh-CN"/>
        </w:rPr>
        <w:br w:type="page"/>
      </w:r>
    </w:p>
    <w:p w14:paraId="2C5F205D">
      <w:pPr>
        <w:widowControl/>
        <w:spacing w:line="360" w:lineRule="auto"/>
        <w:ind w:left="0" w:leftChars="0" w:firstLine="0" w:firstLineChars="0"/>
        <w:jc w:val="both"/>
        <w:outlineLvl w:val="2"/>
        <w:rPr>
          <w:rFonts w:hint="eastAsia" w:asciiTheme="minorEastAsia" w:hAnsiTheme="minorEastAsia" w:eastAsiaTheme="minorEastAsia" w:cstheme="minorEastAsia"/>
          <w:sz w:val="24"/>
          <w:szCs w:val="24"/>
        </w:rPr>
      </w:pPr>
      <w:bookmarkStart w:id="47" w:name="_Toc29048"/>
      <w:bookmarkStart w:id="48" w:name="_Toc13794"/>
      <w:r>
        <w:rPr>
          <w:rFonts w:hint="eastAsia" w:asciiTheme="minorEastAsia" w:hAnsiTheme="minorEastAsia" w:eastAsiaTheme="minorEastAsia" w:cstheme="minorEastAsia"/>
          <w:b/>
          <w:bCs w:val="0"/>
          <w:color w:val="000000"/>
          <w:sz w:val="24"/>
          <w:szCs w:val="24"/>
          <w:lang w:val="en-US" w:eastAsia="zh-CN"/>
        </w:rPr>
        <w:t xml:space="preserve">附页2 </w:t>
      </w:r>
      <w:r>
        <w:rPr>
          <w:rFonts w:hint="eastAsia" w:asciiTheme="minorEastAsia" w:hAnsiTheme="minorEastAsia" w:eastAsiaTheme="minorEastAsia" w:cstheme="minorEastAsia"/>
          <w:b/>
          <w:sz w:val="24"/>
          <w:szCs w:val="24"/>
        </w:rPr>
        <w:t>符合性检查表</w:t>
      </w:r>
      <w:bookmarkEnd w:id="46"/>
      <w:bookmarkEnd w:id="47"/>
      <w:bookmarkEnd w:id="48"/>
    </w:p>
    <w:p w14:paraId="3E25B831">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符合性检查表</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2C90A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501E47CC">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序号</w:t>
            </w:r>
          </w:p>
        </w:tc>
        <w:tc>
          <w:tcPr>
            <w:tcW w:w="2686" w:type="dxa"/>
            <w:noWrap w:val="0"/>
            <w:vAlign w:val="center"/>
          </w:tcPr>
          <w:p w14:paraId="33C3E601">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审查项目</w:t>
            </w:r>
          </w:p>
        </w:tc>
        <w:tc>
          <w:tcPr>
            <w:tcW w:w="5691" w:type="dxa"/>
            <w:noWrap w:val="0"/>
            <w:vAlign w:val="center"/>
          </w:tcPr>
          <w:p w14:paraId="540F6CB2">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审查标准</w:t>
            </w:r>
          </w:p>
        </w:tc>
      </w:tr>
      <w:tr w14:paraId="70C3BF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5" w:hRule="atLeast"/>
        </w:trPr>
        <w:tc>
          <w:tcPr>
            <w:tcW w:w="683" w:type="dxa"/>
            <w:noWrap w:val="0"/>
            <w:vAlign w:val="center"/>
          </w:tcPr>
          <w:p w14:paraId="36FA1961">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bCs/>
                <w:kern w:val="0"/>
                <w:sz w:val="21"/>
                <w:szCs w:val="21"/>
                <w:lang w:eastAsia="zh-CN"/>
              </w:rPr>
            </w:pPr>
            <w:r>
              <w:rPr>
                <w:rFonts w:hint="eastAsia" w:asciiTheme="minorEastAsia" w:hAnsiTheme="minorEastAsia" w:eastAsiaTheme="minorEastAsia" w:cstheme="minorEastAsia"/>
                <w:b/>
                <w:bCs/>
                <w:kern w:val="0"/>
                <w:sz w:val="21"/>
                <w:szCs w:val="21"/>
                <w:lang w:val="en-US" w:eastAsia="zh-CN"/>
              </w:rPr>
              <w:t>1</w:t>
            </w:r>
          </w:p>
        </w:tc>
        <w:tc>
          <w:tcPr>
            <w:tcW w:w="2686" w:type="dxa"/>
            <w:noWrap w:val="0"/>
            <w:vAlign w:val="center"/>
          </w:tcPr>
          <w:p w14:paraId="7DA84FB3">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lang w:eastAsia="zh-CN"/>
              </w:rPr>
              <w:t>磋商文件</w:t>
            </w:r>
            <w:r>
              <w:rPr>
                <w:rFonts w:hint="eastAsia" w:asciiTheme="minorEastAsia" w:hAnsiTheme="minorEastAsia" w:eastAsiaTheme="minorEastAsia" w:cstheme="minorEastAsia"/>
                <w:sz w:val="21"/>
                <w:szCs w:val="21"/>
              </w:rPr>
              <w:t>规定要求签署、盖章的</w:t>
            </w:r>
          </w:p>
        </w:tc>
        <w:tc>
          <w:tcPr>
            <w:tcW w:w="5691" w:type="dxa"/>
            <w:noWrap w:val="0"/>
            <w:vAlign w:val="center"/>
          </w:tcPr>
          <w:p w14:paraId="7FC005B8">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lang w:eastAsia="zh-CN"/>
              </w:rPr>
              <w:t>响应文件</w:t>
            </w:r>
            <w:r>
              <w:rPr>
                <w:rFonts w:hint="eastAsia" w:asciiTheme="minorEastAsia" w:hAnsiTheme="minorEastAsia" w:eastAsiaTheme="minorEastAsia" w:cstheme="minorEastAsia"/>
                <w:sz w:val="21"/>
                <w:szCs w:val="21"/>
              </w:rPr>
              <w:t>按照</w:t>
            </w:r>
            <w:r>
              <w:rPr>
                <w:rFonts w:hint="eastAsia" w:asciiTheme="minorEastAsia" w:hAnsiTheme="minorEastAsia" w:eastAsiaTheme="minorEastAsia" w:cstheme="minorEastAsia"/>
                <w:sz w:val="21"/>
                <w:szCs w:val="21"/>
                <w:lang w:eastAsia="zh-CN"/>
              </w:rPr>
              <w:t>磋商文件</w:t>
            </w:r>
            <w:r>
              <w:rPr>
                <w:rFonts w:hint="eastAsia" w:asciiTheme="minorEastAsia" w:hAnsiTheme="minorEastAsia" w:eastAsiaTheme="minorEastAsia" w:cstheme="minorEastAsia"/>
                <w:sz w:val="21"/>
                <w:szCs w:val="21"/>
              </w:rPr>
              <w:t>规定要求签署、盖章</w:t>
            </w:r>
            <w:r>
              <w:rPr>
                <w:rFonts w:hint="eastAsia" w:asciiTheme="minorEastAsia" w:hAnsiTheme="minorEastAsia" w:eastAsiaTheme="minorEastAsia" w:cstheme="minorEastAsia"/>
                <w:sz w:val="21"/>
                <w:szCs w:val="21"/>
                <w:lang w:eastAsia="zh-CN"/>
              </w:rPr>
              <w:t>。</w:t>
            </w:r>
          </w:p>
        </w:tc>
      </w:tr>
      <w:tr w14:paraId="7A2639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F9B3FA1">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bCs/>
                <w:kern w:val="0"/>
                <w:sz w:val="21"/>
                <w:szCs w:val="21"/>
                <w:lang w:eastAsia="zh-CN"/>
              </w:rPr>
            </w:pPr>
            <w:r>
              <w:rPr>
                <w:rFonts w:hint="eastAsia" w:asciiTheme="minorEastAsia" w:hAnsiTheme="minorEastAsia" w:eastAsiaTheme="minorEastAsia" w:cstheme="minorEastAsia"/>
                <w:b/>
                <w:bCs/>
                <w:kern w:val="0"/>
                <w:sz w:val="21"/>
                <w:szCs w:val="21"/>
                <w:lang w:val="en-US" w:eastAsia="zh-CN"/>
              </w:rPr>
              <w:t>2</w:t>
            </w:r>
          </w:p>
        </w:tc>
        <w:tc>
          <w:tcPr>
            <w:tcW w:w="2686" w:type="dxa"/>
            <w:noWrap w:val="0"/>
            <w:vAlign w:val="center"/>
          </w:tcPr>
          <w:p w14:paraId="2AE4960D">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实质性响应</w:t>
            </w:r>
          </w:p>
        </w:tc>
        <w:tc>
          <w:tcPr>
            <w:tcW w:w="5691" w:type="dxa"/>
            <w:noWrap w:val="0"/>
            <w:vAlign w:val="center"/>
          </w:tcPr>
          <w:p w14:paraId="356F9BCB">
            <w:pPr>
              <w:keepNext w:val="0"/>
              <w:keepLines w:val="0"/>
              <w:pageBreakBefore w:val="0"/>
              <w:widowControl w:val="0"/>
              <w:kinsoku/>
              <w:wordWrap/>
              <w:overflowPunct/>
              <w:topLinePunct w:val="0"/>
              <w:autoSpaceDE/>
              <w:autoSpaceDN/>
              <w:bidi w:val="0"/>
              <w:adjustRightInd w:val="0"/>
              <w:snapToGrid w:val="0"/>
              <w:spacing w:before="156" w:beforeLines="50" w:line="240" w:lineRule="auto"/>
              <w:ind w:left="0" w:leftChars="0" w:firstLine="0" w:firstLineChars="0"/>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响应文件与</w:t>
            </w:r>
            <w:r>
              <w:rPr>
                <w:rFonts w:hint="eastAsia" w:asciiTheme="minorEastAsia" w:hAnsiTheme="minorEastAsia" w:eastAsiaTheme="minorEastAsia" w:cstheme="minorEastAsia"/>
                <w:kern w:val="0"/>
                <w:sz w:val="21"/>
                <w:szCs w:val="21"/>
                <w:lang w:eastAsia="zh-CN"/>
              </w:rPr>
              <w:t>磋商文件要求的所有条款、条件和规格相符，没有偏离。</w:t>
            </w:r>
          </w:p>
        </w:tc>
      </w:tr>
      <w:tr w14:paraId="1513F5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0819E66">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bCs/>
                <w:kern w:val="0"/>
                <w:sz w:val="21"/>
                <w:szCs w:val="21"/>
                <w:lang w:eastAsia="zh-CN"/>
              </w:rPr>
            </w:pPr>
            <w:r>
              <w:rPr>
                <w:rFonts w:hint="eastAsia" w:asciiTheme="minorEastAsia" w:hAnsiTheme="minorEastAsia" w:eastAsiaTheme="minorEastAsia" w:cstheme="minorEastAsia"/>
                <w:b/>
                <w:bCs/>
                <w:kern w:val="0"/>
                <w:sz w:val="21"/>
                <w:szCs w:val="21"/>
                <w:lang w:val="en-US" w:eastAsia="zh-CN"/>
              </w:rPr>
              <w:t>3</w:t>
            </w:r>
          </w:p>
        </w:tc>
        <w:tc>
          <w:tcPr>
            <w:tcW w:w="2686" w:type="dxa"/>
            <w:noWrap w:val="0"/>
            <w:vAlign w:val="center"/>
          </w:tcPr>
          <w:p w14:paraId="7BC94856">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投标报价</w:t>
            </w:r>
          </w:p>
        </w:tc>
        <w:tc>
          <w:tcPr>
            <w:tcW w:w="5691" w:type="dxa"/>
            <w:noWrap w:val="0"/>
            <w:vAlign w:val="center"/>
          </w:tcPr>
          <w:p w14:paraId="64EB016A">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报价</w:t>
            </w:r>
            <w:r>
              <w:rPr>
                <w:rFonts w:hint="eastAsia" w:asciiTheme="minorEastAsia" w:hAnsiTheme="minorEastAsia" w:eastAsiaTheme="minorEastAsia" w:cstheme="minorEastAsia"/>
                <w:sz w:val="21"/>
                <w:szCs w:val="21"/>
                <w:lang w:val="en-US" w:eastAsia="zh-CN"/>
              </w:rPr>
              <w:t>未</w:t>
            </w:r>
            <w:r>
              <w:rPr>
                <w:rFonts w:hint="eastAsia" w:asciiTheme="minorEastAsia" w:hAnsiTheme="minorEastAsia" w:eastAsiaTheme="minorEastAsia" w:cstheme="minorEastAsia"/>
                <w:sz w:val="21"/>
                <w:szCs w:val="21"/>
              </w:rPr>
              <w:t>超过</w:t>
            </w:r>
            <w:r>
              <w:rPr>
                <w:rFonts w:hint="eastAsia" w:asciiTheme="minorEastAsia" w:hAnsiTheme="minorEastAsia" w:eastAsiaTheme="minorEastAsia" w:cstheme="minorEastAsia"/>
                <w:sz w:val="21"/>
                <w:szCs w:val="21"/>
                <w:lang w:eastAsia="zh-CN"/>
              </w:rPr>
              <w:t>磋商文件</w:t>
            </w:r>
            <w:r>
              <w:rPr>
                <w:rFonts w:hint="eastAsia" w:asciiTheme="minorEastAsia" w:hAnsiTheme="minorEastAsia" w:eastAsiaTheme="minorEastAsia" w:cstheme="minorEastAsia"/>
                <w:sz w:val="21"/>
                <w:szCs w:val="21"/>
              </w:rPr>
              <w:t>中规定的</w:t>
            </w:r>
            <w:r>
              <w:rPr>
                <w:rFonts w:hint="eastAsia" w:asciiTheme="minorEastAsia" w:hAnsiTheme="minorEastAsia" w:eastAsiaTheme="minorEastAsia" w:cstheme="minorEastAsia"/>
                <w:sz w:val="21"/>
                <w:szCs w:val="21"/>
                <w:lang w:val="en-US" w:eastAsia="zh-CN"/>
              </w:rPr>
              <w:t>最高限价</w:t>
            </w:r>
            <w:r>
              <w:rPr>
                <w:rFonts w:hint="eastAsia" w:asciiTheme="minorEastAsia" w:hAnsiTheme="minorEastAsia" w:eastAsiaTheme="minorEastAsia" w:cstheme="minorEastAsia"/>
                <w:sz w:val="21"/>
                <w:szCs w:val="21"/>
                <w:lang w:eastAsia="zh-CN"/>
              </w:rPr>
              <w:t>。</w:t>
            </w:r>
          </w:p>
        </w:tc>
      </w:tr>
      <w:tr w14:paraId="0BF33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2C4EDEC">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bCs/>
                <w:kern w:val="0"/>
                <w:sz w:val="21"/>
                <w:szCs w:val="21"/>
                <w:lang w:eastAsia="zh-CN"/>
              </w:rPr>
            </w:pPr>
            <w:r>
              <w:rPr>
                <w:rFonts w:hint="eastAsia" w:asciiTheme="minorEastAsia" w:hAnsiTheme="minorEastAsia" w:eastAsiaTheme="minorEastAsia" w:cstheme="minorEastAsia"/>
                <w:b/>
                <w:bCs/>
                <w:kern w:val="0"/>
                <w:sz w:val="21"/>
                <w:szCs w:val="21"/>
                <w:lang w:val="en-US" w:eastAsia="zh-CN"/>
              </w:rPr>
              <w:t>4</w:t>
            </w:r>
          </w:p>
        </w:tc>
        <w:tc>
          <w:tcPr>
            <w:tcW w:w="2686" w:type="dxa"/>
            <w:noWrap w:val="0"/>
            <w:vAlign w:val="center"/>
          </w:tcPr>
          <w:p w14:paraId="2509DA68">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投标有效期</w:t>
            </w:r>
          </w:p>
        </w:tc>
        <w:tc>
          <w:tcPr>
            <w:tcW w:w="5691" w:type="dxa"/>
            <w:noWrap w:val="0"/>
            <w:vAlign w:val="center"/>
          </w:tcPr>
          <w:p w14:paraId="22D4EB41">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投标有效期</w:t>
            </w:r>
            <w:r>
              <w:rPr>
                <w:rFonts w:hint="eastAsia" w:asciiTheme="minorEastAsia" w:hAnsiTheme="minorEastAsia" w:eastAsiaTheme="minorEastAsia" w:cstheme="minorEastAsia"/>
                <w:sz w:val="21"/>
                <w:szCs w:val="21"/>
                <w:lang w:val="en-US" w:eastAsia="zh-CN"/>
              </w:rPr>
              <w:t>符合磋商文件规定</w:t>
            </w:r>
            <w:r>
              <w:rPr>
                <w:rFonts w:hint="eastAsia" w:asciiTheme="minorEastAsia" w:hAnsiTheme="minorEastAsia" w:eastAsiaTheme="minorEastAsia" w:cstheme="minorEastAsia"/>
                <w:sz w:val="21"/>
                <w:szCs w:val="21"/>
                <w:lang w:eastAsia="zh-CN"/>
              </w:rPr>
              <w:t>。</w:t>
            </w:r>
          </w:p>
        </w:tc>
      </w:tr>
      <w:tr w14:paraId="72249A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3D3774C">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5</w:t>
            </w:r>
          </w:p>
        </w:tc>
        <w:tc>
          <w:tcPr>
            <w:tcW w:w="2686" w:type="dxa"/>
            <w:noWrap w:val="0"/>
            <w:vAlign w:val="center"/>
          </w:tcPr>
          <w:p w14:paraId="097B9F02">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法律、法规</w:t>
            </w:r>
            <w:r>
              <w:rPr>
                <w:rFonts w:hint="eastAsia" w:asciiTheme="minorEastAsia" w:hAnsiTheme="minorEastAsia" w:eastAsiaTheme="minorEastAsia" w:cstheme="minorEastAsia"/>
                <w:sz w:val="21"/>
                <w:szCs w:val="21"/>
                <w:lang w:val="en-US" w:eastAsia="zh-CN"/>
              </w:rPr>
              <w:t>和磋商文件</w:t>
            </w:r>
            <w:r>
              <w:rPr>
                <w:rFonts w:hint="eastAsia" w:asciiTheme="minorEastAsia" w:hAnsiTheme="minorEastAsia" w:eastAsiaTheme="minorEastAsia" w:cstheme="minorEastAsia"/>
                <w:sz w:val="21"/>
                <w:szCs w:val="21"/>
              </w:rPr>
              <w:t>规定的其他情形</w:t>
            </w:r>
          </w:p>
        </w:tc>
        <w:tc>
          <w:tcPr>
            <w:tcW w:w="5691" w:type="dxa"/>
            <w:noWrap w:val="0"/>
            <w:vAlign w:val="center"/>
          </w:tcPr>
          <w:p w14:paraId="210E2B15">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符合</w:t>
            </w:r>
            <w:r>
              <w:rPr>
                <w:rFonts w:hint="eastAsia" w:asciiTheme="minorEastAsia" w:hAnsiTheme="minorEastAsia" w:eastAsiaTheme="minorEastAsia" w:cstheme="minorEastAsia"/>
                <w:sz w:val="21"/>
                <w:szCs w:val="21"/>
              </w:rPr>
              <w:t>法律、法规</w:t>
            </w:r>
            <w:r>
              <w:rPr>
                <w:rFonts w:hint="eastAsia" w:asciiTheme="minorEastAsia" w:hAnsiTheme="minorEastAsia" w:eastAsiaTheme="minorEastAsia" w:cstheme="minorEastAsia"/>
                <w:sz w:val="21"/>
                <w:szCs w:val="21"/>
                <w:lang w:val="en-US" w:eastAsia="zh-CN"/>
              </w:rPr>
              <w:t>和磋商文件</w:t>
            </w:r>
            <w:r>
              <w:rPr>
                <w:rFonts w:hint="eastAsia" w:asciiTheme="minorEastAsia" w:hAnsiTheme="minorEastAsia" w:eastAsiaTheme="minorEastAsia" w:cstheme="minorEastAsia"/>
                <w:sz w:val="21"/>
                <w:szCs w:val="21"/>
              </w:rPr>
              <w:t>规定的其他情形。</w:t>
            </w:r>
          </w:p>
        </w:tc>
      </w:tr>
    </w:tbl>
    <w:p w14:paraId="0C24B7C8">
      <w:pPr>
        <w:widowControl/>
        <w:spacing w:line="440" w:lineRule="exact"/>
        <w:jc w:val="center"/>
        <w:rPr>
          <w:rFonts w:hint="eastAsia" w:asciiTheme="minorEastAsia" w:hAnsiTheme="minorEastAsia" w:eastAsiaTheme="minorEastAsia" w:cstheme="minorEastAsia"/>
          <w:b/>
          <w:sz w:val="24"/>
          <w:szCs w:val="24"/>
        </w:rPr>
      </w:pPr>
    </w:p>
    <w:p w14:paraId="77A63ED2">
      <w:pPr>
        <w:widowControl/>
        <w:spacing w:line="440" w:lineRule="exact"/>
        <w:jc w:val="both"/>
        <w:rPr>
          <w:rFonts w:hint="eastAsia" w:asciiTheme="minorEastAsia" w:hAnsiTheme="minorEastAsia" w:eastAsiaTheme="minorEastAsia" w:cstheme="minorEastAsia"/>
          <w:b/>
          <w:sz w:val="24"/>
          <w:szCs w:val="24"/>
        </w:rPr>
      </w:pPr>
    </w:p>
    <w:p w14:paraId="36F6F675">
      <w:pPr>
        <w:widowControl/>
        <w:spacing w:line="360" w:lineRule="auto"/>
        <w:ind w:left="0" w:leftChars="0" w:firstLine="0" w:firstLineChars="0"/>
        <w:jc w:val="both"/>
        <w:outlineLvl w:val="2"/>
        <w:rPr>
          <w:rFonts w:hint="eastAsia" w:asciiTheme="minorEastAsia" w:hAnsiTheme="minorEastAsia" w:eastAsiaTheme="minorEastAsia" w:cstheme="minorEastAsia"/>
          <w:b/>
          <w:sz w:val="24"/>
          <w:szCs w:val="24"/>
        </w:rPr>
      </w:pPr>
      <w:bookmarkStart w:id="49" w:name="_Toc9661"/>
      <w:bookmarkStart w:id="50" w:name="_Toc24736"/>
      <w:bookmarkStart w:id="51" w:name="_Toc13902"/>
      <w:r>
        <w:rPr>
          <w:rFonts w:hint="eastAsia" w:asciiTheme="minorEastAsia" w:hAnsiTheme="minorEastAsia" w:eastAsiaTheme="minorEastAsia" w:cstheme="minorEastAsia"/>
          <w:b/>
          <w:bCs w:val="0"/>
          <w:color w:val="000000"/>
          <w:sz w:val="24"/>
          <w:szCs w:val="24"/>
          <w:lang w:val="en-US" w:eastAsia="zh-CN"/>
        </w:rPr>
        <w:t>附页3</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澄清、说明、补正事项纪要表</w:t>
      </w:r>
      <w:bookmarkEnd w:id="49"/>
      <w:bookmarkEnd w:id="50"/>
      <w:bookmarkEnd w:id="51"/>
    </w:p>
    <w:p w14:paraId="6212DEDF">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澄清、说明、补正事项纪要表</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981"/>
        <w:gridCol w:w="1620"/>
        <w:gridCol w:w="1596"/>
        <w:gridCol w:w="1329"/>
        <w:gridCol w:w="1567"/>
      </w:tblGrid>
      <w:tr w14:paraId="003582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886" w:type="dxa"/>
            <w:tcBorders>
              <w:tl2br w:val="nil"/>
              <w:tr2bl w:val="nil"/>
            </w:tcBorders>
            <w:noWrap w:val="0"/>
            <w:vAlign w:val="center"/>
          </w:tcPr>
          <w:p w14:paraId="2874A893">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序号</w:t>
            </w:r>
          </w:p>
        </w:tc>
        <w:tc>
          <w:tcPr>
            <w:tcW w:w="1981" w:type="dxa"/>
            <w:tcBorders>
              <w:tl2br w:val="nil"/>
              <w:tr2bl w:val="nil"/>
            </w:tcBorders>
            <w:noWrap w:val="0"/>
            <w:vAlign w:val="center"/>
          </w:tcPr>
          <w:p w14:paraId="34EF8B88">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4"/>
                <w:szCs w:val="24"/>
                <w:lang w:eastAsia="zh-CN"/>
              </w:rPr>
            </w:pPr>
            <w:r>
              <w:rPr>
                <w:rFonts w:hint="eastAsia" w:asciiTheme="minorEastAsia" w:hAnsiTheme="minorEastAsia" w:eastAsiaTheme="minorEastAsia" w:cstheme="minorEastAsia"/>
                <w:b/>
                <w:kern w:val="0"/>
                <w:sz w:val="24"/>
                <w:szCs w:val="24"/>
                <w:lang w:eastAsia="zh-CN"/>
              </w:rPr>
              <w:t>供应商</w:t>
            </w:r>
          </w:p>
        </w:tc>
        <w:tc>
          <w:tcPr>
            <w:tcW w:w="1620" w:type="dxa"/>
            <w:tcBorders>
              <w:tl2br w:val="nil"/>
              <w:tr2bl w:val="nil"/>
            </w:tcBorders>
            <w:noWrap w:val="0"/>
            <w:vAlign w:val="center"/>
          </w:tcPr>
          <w:p w14:paraId="62A4DC0B">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磋商文件中需要澄清的页次</w:t>
            </w:r>
          </w:p>
        </w:tc>
        <w:tc>
          <w:tcPr>
            <w:tcW w:w="1596" w:type="dxa"/>
            <w:tcBorders>
              <w:tl2br w:val="nil"/>
              <w:tr2bl w:val="nil"/>
            </w:tcBorders>
            <w:noWrap w:val="0"/>
            <w:vAlign w:val="center"/>
          </w:tcPr>
          <w:p w14:paraId="3CEEDD09">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对响应文件中含义不明确</w:t>
            </w:r>
          </w:p>
        </w:tc>
        <w:tc>
          <w:tcPr>
            <w:tcW w:w="1329" w:type="dxa"/>
            <w:tcBorders>
              <w:tl2br w:val="nil"/>
              <w:tr2bl w:val="nil"/>
            </w:tcBorders>
            <w:noWrap w:val="0"/>
            <w:vAlign w:val="center"/>
          </w:tcPr>
          <w:p w14:paraId="021231FA">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对同类问题表述不一致</w:t>
            </w:r>
          </w:p>
        </w:tc>
        <w:tc>
          <w:tcPr>
            <w:tcW w:w="1567" w:type="dxa"/>
            <w:tcBorders>
              <w:tl2br w:val="nil"/>
              <w:tr2bl w:val="nil"/>
            </w:tcBorders>
            <w:noWrap w:val="0"/>
            <w:vAlign w:val="center"/>
          </w:tcPr>
          <w:p w14:paraId="5EAE9358">
            <w:pPr>
              <w:keepNext w:val="0"/>
              <w:keepLines w:val="0"/>
              <w:pageBreakBefore w:val="0"/>
              <w:widowControl w:val="0"/>
              <w:kinsoku/>
              <w:wordWrap/>
              <w:overflowPunct/>
              <w:topLinePunct w:val="0"/>
              <w:autoSpaceDE/>
              <w:autoSpaceDN/>
              <w:bidi w:val="0"/>
              <w:adjustRightInd w:val="0"/>
              <w:snapToGrid w:val="0"/>
              <w:spacing w:before="156" w:beforeLines="50" w:line="24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明显文字和计算错误的内容</w:t>
            </w:r>
          </w:p>
        </w:tc>
      </w:tr>
      <w:tr w14:paraId="4E29D2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tl2br w:val="nil"/>
              <w:tr2bl w:val="nil"/>
            </w:tcBorders>
            <w:noWrap w:val="0"/>
            <w:vAlign w:val="center"/>
          </w:tcPr>
          <w:p w14:paraId="21809F6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1</w:t>
            </w:r>
          </w:p>
        </w:tc>
        <w:tc>
          <w:tcPr>
            <w:tcW w:w="1981" w:type="dxa"/>
            <w:tcBorders>
              <w:tl2br w:val="nil"/>
              <w:tr2bl w:val="nil"/>
            </w:tcBorders>
            <w:noWrap w:val="0"/>
            <w:vAlign w:val="center"/>
          </w:tcPr>
          <w:p w14:paraId="12444F37">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620" w:type="dxa"/>
            <w:tcBorders>
              <w:tl2br w:val="nil"/>
              <w:tr2bl w:val="nil"/>
            </w:tcBorders>
            <w:noWrap w:val="0"/>
            <w:vAlign w:val="center"/>
          </w:tcPr>
          <w:p w14:paraId="4FEE7BC8">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596" w:type="dxa"/>
            <w:tcBorders>
              <w:tl2br w:val="nil"/>
              <w:tr2bl w:val="nil"/>
            </w:tcBorders>
            <w:noWrap w:val="0"/>
            <w:vAlign w:val="center"/>
          </w:tcPr>
          <w:p w14:paraId="037E11F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329" w:type="dxa"/>
            <w:tcBorders>
              <w:tl2br w:val="nil"/>
              <w:tr2bl w:val="nil"/>
            </w:tcBorders>
            <w:noWrap w:val="0"/>
            <w:vAlign w:val="center"/>
          </w:tcPr>
          <w:p w14:paraId="54CE72CE">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567" w:type="dxa"/>
            <w:tcBorders>
              <w:tl2br w:val="nil"/>
              <w:tr2bl w:val="nil"/>
            </w:tcBorders>
            <w:noWrap w:val="0"/>
            <w:vAlign w:val="center"/>
          </w:tcPr>
          <w:p w14:paraId="5BD442D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r>
      <w:tr w14:paraId="19D230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tl2br w:val="nil"/>
              <w:tr2bl w:val="nil"/>
            </w:tcBorders>
            <w:noWrap w:val="0"/>
            <w:vAlign w:val="center"/>
          </w:tcPr>
          <w:p w14:paraId="4E25AB7E">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2</w:t>
            </w:r>
          </w:p>
        </w:tc>
        <w:tc>
          <w:tcPr>
            <w:tcW w:w="1981" w:type="dxa"/>
            <w:tcBorders>
              <w:tl2br w:val="nil"/>
              <w:tr2bl w:val="nil"/>
            </w:tcBorders>
            <w:noWrap w:val="0"/>
            <w:vAlign w:val="center"/>
          </w:tcPr>
          <w:p w14:paraId="5C2C42F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620" w:type="dxa"/>
            <w:tcBorders>
              <w:tl2br w:val="nil"/>
              <w:tr2bl w:val="nil"/>
            </w:tcBorders>
            <w:noWrap w:val="0"/>
            <w:vAlign w:val="center"/>
          </w:tcPr>
          <w:p w14:paraId="7692B14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596" w:type="dxa"/>
            <w:tcBorders>
              <w:tl2br w:val="nil"/>
              <w:tr2bl w:val="nil"/>
            </w:tcBorders>
            <w:noWrap w:val="0"/>
            <w:vAlign w:val="center"/>
          </w:tcPr>
          <w:p w14:paraId="2289670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329" w:type="dxa"/>
            <w:tcBorders>
              <w:tl2br w:val="nil"/>
              <w:tr2bl w:val="nil"/>
            </w:tcBorders>
            <w:noWrap w:val="0"/>
            <w:vAlign w:val="center"/>
          </w:tcPr>
          <w:p w14:paraId="782DF873">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c>
          <w:tcPr>
            <w:tcW w:w="1567" w:type="dxa"/>
            <w:tcBorders>
              <w:tl2br w:val="nil"/>
              <w:tr2bl w:val="nil"/>
            </w:tcBorders>
            <w:noWrap w:val="0"/>
            <w:vAlign w:val="center"/>
          </w:tcPr>
          <w:p w14:paraId="26506F92">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0" w:firstLineChars="0"/>
              <w:jc w:val="center"/>
              <w:textAlignment w:val="auto"/>
              <w:rPr>
                <w:rFonts w:hint="eastAsia" w:asciiTheme="minorEastAsia" w:hAnsiTheme="minorEastAsia" w:eastAsiaTheme="minorEastAsia" w:cstheme="minorEastAsia"/>
                <w:b/>
                <w:kern w:val="0"/>
                <w:sz w:val="24"/>
                <w:szCs w:val="24"/>
              </w:rPr>
            </w:pPr>
          </w:p>
        </w:tc>
      </w:tr>
    </w:tbl>
    <w:p w14:paraId="0FAB0B0D">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br w:type="page"/>
      </w:r>
    </w:p>
    <w:p w14:paraId="6A19883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2"/>
        <w:rPr>
          <w:rFonts w:hint="eastAsia" w:asciiTheme="minorEastAsia" w:hAnsiTheme="minorEastAsia" w:eastAsiaTheme="minorEastAsia" w:cstheme="minorEastAsia"/>
          <w:b/>
          <w:bCs/>
          <w:sz w:val="24"/>
          <w:szCs w:val="24"/>
        </w:rPr>
      </w:pPr>
      <w:bookmarkStart w:id="52" w:name="_Toc29437"/>
      <w:bookmarkStart w:id="53" w:name="_Toc13892"/>
      <w:bookmarkStart w:id="54" w:name="_Toc16812"/>
      <w:r>
        <w:rPr>
          <w:rFonts w:hint="eastAsia" w:asciiTheme="minorEastAsia" w:hAnsiTheme="minorEastAsia" w:eastAsiaTheme="minorEastAsia" w:cstheme="minorEastAsia"/>
          <w:b/>
          <w:bCs/>
          <w:sz w:val="24"/>
          <w:szCs w:val="24"/>
          <w:lang w:val="en-US" w:eastAsia="zh-CN"/>
        </w:rPr>
        <w:t xml:space="preserve">附页4 </w:t>
      </w:r>
      <w:r>
        <w:rPr>
          <w:rFonts w:hint="eastAsia" w:asciiTheme="minorEastAsia" w:hAnsiTheme="minorEastAsia" w:eastAsiaTheme="minorEastAsia" w:cstheme="minorEastAsia"/>
          <w:b/>
          <w:bCs/>
          <w:sz w:val="24"/>
          <w:szCs w:val="24"/>
        </w:rPr>
        <w:t>评审因素和标准</w:t>
      </w:r>
      <w:bookmarkEnd w:id="52"/>
      <w:bookmarkEnd w:id="53"/>
      <w:bookmarkEnd w:id="54"/>
    </w:p>
    <w:p w14:paraId="22BF14D7">
      <w:pPr>
        <w:keepNext w:val="0"/>
        <w:keepLines w:val="0"/>
        <w:pageBreakBefore w:val="0"/>
        <w:widowControl w:val="0"/>
        <w:kinsoku/>
        <w:wordWrap/>
        <w:overflowPunct/>
        <w:topLinePunct w:val="0"/>
        <w:autoSpaceDE/>
        <w:autoSpaceDN/>
        <w:bidi w:val="0"/>
        <w:spacing w:line="360" w:lineRule="auto"/>
        <w:ind w:left="0" w:leftChars="0" w:right="0" w:firstLine="0" w:firstLineChars="0"/>
        <w:jc w:val="center"/>
        <w:textAlignment w:val="auto"/>
        <w:outlineLvl w:val="9"/>
        <w:rPr>
          <w:rFonts w:ascii="宋体" w:hAnsi="宋体" w:eastAsia="宋体" w:cs="宋体"/>
          <w:sz w:val="28"/>
          <w:szCs w:val="28"/>
        </w:rPr>
      </w:pPr>
      <w:r>
        <w:rPr>
          <w:rFonts w:hint="eastAsia" w:asciiTheme="minorEastAsia" w:hAnsiTheme="minorEastAsia" w:eastAsiaTheme="minorEastAsia" w:cstheme="minorEastAsia"/>
          <w:b/>
          <w:bCs/>
          <w:sz w:val="28"/>
          <w:szCs w:val="28"/>
        </w:rPr>
        <w:t>评审因素和标准</w:t>
      </w:r>
    </w:p>
    <w:p w14:paraId="3DC6FE7C">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jc w:val="both"/>
        <w:textAlignment w:val="auto"/>
        <w:outlineLvl w:val="9"/>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本项目采用综合评分法，最终总分为各分项得分按权值折算后的合计值，各评审部分权值设置如下：</w:t>
      </w:r>
    </w:p>
    <w:tbl>
      <w:tblPr>
        <w:tblStyle w:val="4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680"/>
        <w:gridCol w:w="3420"/>
      </w:tblGrid>
      <w:tr w14:paraId="1B2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96" w:type="dxa"/>
            <w:gridSpan w:val="3"/>
            <w:noWrap w:val="0"/>
            <w:vAlign w:val="center"/>
          </w:tcPr>
          <w:p w14:paraId="6A051911">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jc w:val="center"/>
              <w:textAlignment w:val="auto"/>
              <w:outlineLvl w:val="9"/>
              <w:rPr>
                <w:rFonts w:hint="eastAsia" w:asciiTheme="minorEastAsia" w:hAnsiTheme="minorEastAsia" w:eastAsiaTheme="minorEastAsia" w:cstheme="minorEastAsia"/>
                <w:b/>
                <w:bCs/>
                <w:sz w:val="24"/>
                <w:szCs w:val="24"/>
              </w:rPr>
            </w:pPr>
            <w:r>
              <w:rPr>
                <w:rFonts w:ascii="宋体" w:hAnsi="宋体" w:eastAsia="宋体" w:cs="宋体"/>
                <w:b/>
                <w:bCs/>
                <w:sz w:val="24"/>
                <w:szCs w:val="24"/>
              </w:rPr>
              <w:t>评审权值设置</w:t>
            </w:r>
          </w:p>
          <w:p w14:paraId="5AF93DF2">
            <w:pPr>
              <w:adjustRightInd w:val="0"/>
              <w:snapToGrid w:val="0"/>
              <w:spacing w:line="240" w:lineRule="exact"/>
              <w:ind w:firstLine="0" w:firstLineChars="0"/>
              <w:jc w:val="center"/>
              <w:rPr>
                <w:rFonts w:hint="eastAsia" w:asciiTheme="majorEastAsia" w:hAnsiTheme="majorEastAsia" w:eastAsiaTheme="majorEastAsia" w:cstheme="majorEastAsia"/>
                <w:b/>
                <w:bCs/>
                <w:color w:val="auto"/>
                <w:kern w:val="0"/>
                <w:sz w:val="21"/>
                <w:szCs w:val="21"/>
                <w:lang w:val="ru-RU" w:eastAsia="ru-RU"/>
              </w:rPr>
            </w:pPr>
          </w:p>
        </w:tc>
      </w:tr>
      <w:tr w14:paraId="15B4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6" w:type="dxa"/>
            <w:noWrap w:val="0"/>
            <w:vAlign w:val="center"/>
          </w:tcPr>
          <w:p w14:paraId="6DDFDF1C">
            <w:pPr>
              <w:adjustRightInd w:val="0"/>
              <w:snapToGrid w:val="0"/>
              <w:spacing w:line="240" w:lineRule="exact"/>
              <w:ind w:firstLine="0" w:firstLineChars="0"/>
              <w:rPr>
                <w:rFonts w:hint="eastAsia" w:asciiTheme="majorEastAsia" w:hAnsiTheme="majorEastAsia" w:eastAsiaTheme="majorEastAsia" w:cstheme="majorEastAsia"/>
                <w:b/>
                <w:bCs/>
                <w:color w:val="auto"/>
                <w:kern w:val="0"/>
                <w:sz w:val="21"/>
                <w:szCs w:val="21"/>
                <w:lang w:val="ru-RU" w:eastAsia="ru-RU"/>
              </w:rPr>
            </w:pPr>
            <w:r>
              <w:rPr>
                <w:rFonts w:hint="eastAsia" w:asciiTheme="majorEastAsia" w:hAnsiTheme="majorEastAsia" w:eastAsiaTheme="majorEastAsia" w:cstheme="majorEastAsia"/>
                <w:b/>
                <w:bCs/>
                <w:color w:val="auto"/>
                <w:kern w:val="0"/>
                <w:sz w:val="21"/>
                <w:szCs w:val="21"/>
                <w:lang w:val="ru-RU" w:eastAsia="ru-RU"/>
              </w:rPr>
              <w:t>序号</w:t>
            </w:r>
          </w:p>
        </w:tc>
        <w:tc>
          <w:tcPr>
            <w:tcW w:w="4680" w:type="dxa"/>
            <w:noWrap w:val="0"/>
            <w:vAlign w:val="center"/>
          </w:tcPr>
          <w:p w14:paraId="34AB092F">
            <w:pPr>
              <w:adjustRightInd w:val="0"/>
              <w:snapToGrid w:val="0"/>
              <w:spacing w:line="240" w:lineRule="exact"/>
              <w:ind w:firstLine="0" w:firstLineChars="0"/>
              <w:jc w:val="center"/>
              <w:rPr>
                <w:rFonts w:hint="eastAsia" w:asciiTheme="majorEastAsia" w:hAnsiTheme="majorEastAsia" w:eastAsiaTheme="majorEastAsia" w:cstheme="majorEastAsia"/>
                <w:b/>
                <w:bCs/>
                <w:color w:val="auto"/>
                <w:kern w:val="0"/>
                <w:sz w:val="21"/>
                <w:szCs w:val="21"/>
                <w:lang w:val="ru-RU" w:eastAsia="ru-RU"/>
              </w:rPr>
            </w:pPr>
            <w:r>
              <w:rPr>
                <w:rFonts w:hint="eastAsia" w:asciiTheme="majorEastAsia" w:hAnsiTheme="majorEastAsia" w:eastAsiaTheme="majorEastAsia" w:cstheme="majorEastAsia"/>
                <w:b/>
                <w:bCs/>
                <w:color w:val="auto"/>
                <w:kern w:val="0"/>
                <w:sz w:val="21"/>
                <w:szCs w:val="21"/>
                <w:lang w:val="ru-RU" w:eastAsia="ru-RU"/>
              </w:rPr>
              <w:t>项     目</w:t>
            </w:r>
          </w:p>
        </w:tc>
        <w:tc>
          <w:tcPr>
            <w:tcW w:w="3420" w:type="dxa"/>
            <w:noWrap w:val="0"/>
            <w:vAlign w:val="center"/>
          </w:tcPr>
          <w:p w14:paraId="5840FB6C">
            <w:pPr>
              <w:adjustRightInd w:val="0"/>
              <w:snapToGrid w:val="0"/>
              <w:spacing w:line="240" w:lineRule="exact"/>
              <w:ind w:firstLine="0" w:firstLineChars="0"/>
              <w:jc w:val="center"/>
              <w:rPr>
                <w:rFonts w:hint="eastAsia" w:asciiTheme="majorEastAsia" w:hAnsiTheme="majorEastAsia" w:eastAsiaTheme="majorEastAsia" w:cstheme="majorEastAsia"/>
                <w:b/>
                <w:bCs/>
                <w:color w:val="auto"/>
                <w:kern w:val="0"/>
                <w:sz w:val="21"/>
                <w:szCs w:val="21"/>
                <w:lang w:val="ru-RU" w:eastAsia="ru-RU"/>
              </w:rPr>
            </w:pPr>
            <w:r>
              <w:rPr>
                <w:rFonts w:hint="eastAsia" w:asciiTheme="majorEastAsia" w:hAnsiTheme="majorEastAsia" w:eastAsiaTheme="majorEastAsia" w:cstheme="majorEastAsia"/>
                <w:b/>
                <w:bCs/>
                <w:color w:val="auto"/>
                <w:kern w:val="0"/>
                <w:sz w:val="21"/>
                <w:szCs w:val="21"/>
                <w:lang w:val="ru-RU" w:eastAsia="ru-RU"/>
              </w:rPr>
              <w:t>权值的取值</w:t>
            </w:r>
          </w:p>
        </w:tc>
      </w:tr>
      <w:tr w14:paraId="2568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96" w:type="dxa"/>
            <w:noWrap w:val="0"/>
            <w:vAlign w:val="center"/>
          </w:tcPr>
          <w:p w14:paraId="429A6D10">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ru-RU" w:eastAsia="ru-RU"/>
              </w:rPr>
            </w:pPr>
            <w:r>
              <w:rPr>
                <w:rFonts w:hint="eastAsia" w:asciiTheme="majorEastAsia" w:hAnsiTheme="majorEastAsia" w:eastAsiaTheme="majorEastAsia" w:cstheme="majorEastAsia"/>
                <w:color w:val="auto"/>
                <w:kern w:val="0"/>
                <w:sz w:val="21"/>
                <w:szCs w:val="21"/>
                <w:lang w:val="ru-RU" w:eastAsia="ru-RU"/>
              </w:rPr>
              <w:t>1</w:t>
            </w:r>
          </w:p>
        </w:tc>
        <w:tc>
          <w:tcPr>
            <w:tcW w:w="4680" w:type="dxa"/>
            <w:noWrap w:val="0"/>
            <w:vAlign w:val="center"/>
          </w:tcPr>
          <w:p w14:paraId="6038CF6E">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ru-RU" w:eastAsia="ru-RU"/>
              </w:rPr>
              <w:t>报价</w:t>
            </w:r>
            <w:r>
              <w:rPr>
                <w:rFonts w:hint="eastAsia" w:asciiTheme="majorEastAsia" w:hAnsiTheme="majorEastAsia" w:eastAsiaTheme="majorEastAsia" w:cstheme="majorEastAsia"/>
                <w:color w:val="auto"/>
                <w:kern w:val="0"/>
                <w:sz w:val="21"/>
                <w:szCs w:val="21"/>
                <w:lang w:val="en-US" w:eastAsia="zh-CN"/>
              </w:rPr>
              <w:t>部分</w:t>
            </w:r>
          </w:p>
        </w:tc>
        <w:tc>
          <w:tcPr>
            <w:tcW w:w="3420" w:type="dxa"/>
            <w:noWrap w:val="0"/>
            <w:vAlign w:val="center"/>
          </w:tcPr>
          <w:p w14:paraId="12A66563">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0.2</w:t>
            </w:r>
          </w:p>
        </w:tc>
      </w:tr>
      <w:tr w14:paraId="3201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96" w:type="dxa"/>
            <w:noWrap w:val="0"/>
            <w:vAlign w:val="center"/>
          </w:tcPr>
          <w:p w14:paraId="77BEB2E2">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ru-RU" w:eastAsia="ru-RU"/>
              </w:rPr>
            </w:pPr>
            <w:r>
              <w:rPr>
                <w:rFonts w:hint="eastAsia" w:asciiTheme="majorEastAsia" w:hAnsiTheme="majorEastAsia" w:eastAsiaTheme="majorEastAsia" w:cstheme="majorEastAsia"/>
                <w:color w:val="auto"/>
                <w:kern w:val="0"/>
                <w:sz w:val="21"/>
                <w:szCs w:val="21"/>
                <w:lang w:val="ru-RU" w:eastAsia="ru-RU"/>
              </w:rPr>
              <w:t>2</w:t>
            </w:r>
          </w:p>
        </w:tc>
        <w:tc>
          <w:tcPr>
            <w:tcW w:w="4680" w:type="dxa"/>
            <w:noWrap w:val="0"/>
            <w:vAlign w:val="center"/>
          </w:tcPr>
          <w:p w14:paraId="7B2FD854">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ru-RU" w:eastAsia="ru-RU"/>
              </w:rPr>
              <w:t>技术</w:t>
            </w:r>
            <w:r>
              <w:rPr>
                <w:rFonts w:hint="eastAsia" w:asciiTheme="majorEastAsia" w:hAnsiTheme="majorEastAsia" w:eastAsiaTheme="majorEastAsia" w:cstheme="majorEastAsia"/>
                <w:color w:val="auto"/>
                <w:kern w:val="0"/>
                <w:sz w:val="21"/>
                <w:szCs w:val="21"/>
                <w:lang w:val="en-US" w:eastAsia="zh-CN"/>
              </w:rPr>
              <w:t>部分</w:t>
            </w:r>
          </w:p>
        </w:tc>
        <w:tc>
          <w:tcPr>
            <w:tcW w:w="3420" w:type="dxa"/>
            <w:noWrap w:val="0"/>
            <w:vAlign w:val="center"/>
          </w:tcPr>
          <w:p w14:paraId="54280DE4">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0.6</w:t>
            </w:r>
          </w:p>
        </w:tc>
      </w:tr>
      <w:tr w14:paraId="3343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96" w:type="dxa"/>
            <w:noWrap w:val="0"/>
            <w:vAlign w:val="center"/>
          </w:tcPr>
          <w:p w14:paraId="55E7DCA5">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ru-RU" w:eastAsia="ru-RU"/>
              </w:rPr>
            </w:pPr>
            <w:r>
              <w:rPr>
                <w:rFonts w:hint="eastAsia" w:asciiTheme="majorEastAsia" w:hAnsiTheme="majorEastAsia" w:eastAsiaTheme="majorEastAsia" w:cstheme="majorEastAsia"/>
                <w:color w:val="auto"/>
                <w:kern w:val="0"/>
                <w:sz w:val="21"/>
                <w:szCs w:val="21"/>
                <w:lang w:val="ru-RU" w:eastAsia="ru-RU"/>
              </w:rPr>
              <w:t>3</w:t>
            </w:r>
          </w:p>
        </w:tc>
        <w:tc>
          <w:tcPr>
            <w:tcW w:w="4680" w:type="dxa"/>
            <w:noWrap w:val="0"/>
            <w:vAlign w:val="center"/>
          </w:tcPr>
          <w:p w14:paraId="03C69C03">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ru-RU"/>
              </w:rPr>
              <w:t>商务</w:t>
            </w:r>
            <w:r>
              <w:rPr>
                <w:rFonts w:hint="eastAsia" w:asciiTheme="majorEastAsia" w:hAnsiTheme="majorEastAsia" w:eastAsiaTheme="majorEastAsia" w:cstheme="majorEastAsia"/>
                <w:color w:val="auto"/>
                <w:kern w:val="0"/>
                <w:sz w:val="21"/>
                <w:szCs w:val="21"/>
                <w:lang w:val="en-US" w:eastAsia="zh-CN"/>
              </w:rPr>
              <w:t>部分</w:t>
            </w:r>
          </w:p>
        </w:tc>
        <w:tc>
          <w:tcPr>
            <w:tcW w:w="3420" w:type="dxa"/>
            <w:noWrap w:val="0"/>
            <w:vAlign w:val="center"/>
          </w:tcPr>
          <w:p w14:paraId="7BDFE3EB">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0.2</w:t>
            </w:r>
          </w:p>
        </w:tc>
      </w:tr>
      <w:tr w14:paraId="5C15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476" w:type="dxa"/>
            <w:gridSpan w:val="2"/>
            <w:noWrap w:val="0"/>
            <w:vAlign w:val="center"/>
          </w:tcPr>
          <w:p w14:paraId="6E772A4A">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lang w:val="ru-RU" w:eastAsia="ru-RU"/>
              </w:rPr>
            </w:pPr>
            <w:r>
              <w:rPr>
                <w:rFonts w:hint="eastAsia" w:asciiTheme="majorEastAsia" w:hAnsiTheme="majorEastAsia" w:eastAsiaTheme="majorEastAsia" w:cstheme="majorEastAsia"/>
                <w:color w:val="auto"/>
                <w:kern w:val="0"/>
                <w:sz w:val="21"/>
                <w:szCs w:val="21"/>
                <w:lang w:val="ru-RU"/>
              </w:rPr>
              <w:t>合计</w:t>
            </w:r>
          </w:p>
        </w:tc>
        <w:tc>
          <w:tcPr>
            <w:tcW w:w="3420" w:type="dxa"/>
            <w:noWrap w:val="0"/>
            <w:vAlign w:val="center"/>
          </w:tcPr>
          <w:p w14:paraId="42498383">
            <w:pPr>
              <w:adjustRightInd w:val="0"/>
              <w:snapToGrid w:val="0"/>
              <w:spacing w:line="240" w:lineRule="exact"/>
              <w:ind w:firstLine="0" w:firstLineChars="0"/>
              <w:jc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1.00</w:t>
            </w:r>
          </w:p>
        </w:tc>
      </w:tr>
    </w:tbl>
    <w:p w14:paraId="4CB649CB">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auto"/>
        <w:rPr>
          <w:rFonts w:hint="eastAsia" w:asciiTheme="minorEastAsia" w:hAnsiTheme="minorEastAsia" w:eastAsiaTheme="minorEastAsia" w:cstheme="minorEastAsia"/>
          <w:b/>
          <w:bCs/>
          <w:color w:val="auto"/>
          <w:kern w:val="0"/>
          <w:sz w:val="24"/>
          <w:szCs w:val="24"/>
          <w:highlight w:val="none"/>
          <w:u w:val="none" w:color="000000"/>
          <w:lang w:val="zh-TW" w:eastAsia="en-US"/>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544"/>
        <w:gridCol w:w="724"/>
        <w:gridCol w:w="5428"/>
      </w:tblGrid>
      <w:tr w14:paraId="5415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929" w:type="dxa"/>
            <w:gridSpan w:val="4"/>
            <w:noWrap w:val="0"/>
            <w:vAlign w:val="center"/>
          </w:tcPr>
          <w:p w14:paraId="5791F67B">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lang w:val="zh-TW" w:eastAsia="en-US"/>
              </w:rPr>
            </w:pPr>
            <w:r>
              <w:rPr>
                <w:rFonts w:hint="eastAsia" w:asciiTheme="minorEastAsia" w:hAnsiTheme="minorEastAsia" w:eastAsiaTheme="minorEastAsia" w:cstheme="minorEastAsia"/>
                <w:b/>
                <w:bCs/>
                <w:color w:val="auto"/>
                <w:kern w:val="0"/>
                <w:sz w:val="21"/>
                <w:szCs w:val="21"/>
                <w:highlight w:val="none"/>
                <w:u w:val="none" w:color="000000"/>
                <w:lang w:val="zh-TW" w:eastAsia="en-US"/>
              </w:rPr>
              <w:t>综合评分表</w:t>
            </w:r>
          </w:p>
        </w:tc>
      </w:tr>
      <w:tr w14:paraId="5BDD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33" w:type="dxa"/>
            <w:noWrap w:val="0"/>
            <w:vAlign w:val="center"/>
          </w:tcPr>
          <w:p w14:paraId="4F51CA7D">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b/>
                <w:bCs/>
                <w:color w:val="auto"/>
                <w:kern w:val="0"/>
                <w:sz w:val="21"/>
                <w:szCs w:val="21"/>
                <w:highlight w:val="none"/>
                <w:u w:val="none" w:color="000000"/>
                <w:lang w:val="zh-TW" w:eastAsia="en-US"/>
              </w:rPr>
            </w:pPr>
            <w:r>
              <w:rPr>
                <w:rFonts w:hint="eastAsia" w:asciiTheme="minorEastAsia" w:hAnsiTheme="minorEastAsia" w:eastAsiaTheme="minorEastAsia" w:cstheme="minorEastAsia"/>
                <w:b/>
                <w:bCs/>
                <w:color w:val="auto"/>
                <w:kern w:val="0"/>
                <w:sz w:val="21"/>
                <w:szCs w:val="21"/>
                <w:highlight w:val="none"/>
                <w:u w:val="none" w:color="000000"/>
                <w:lang w:val="zh-TW" w:eastAsia="en-US"/>
              </w:rPr>
              <w:t>评审因素</w:t>
            </w:r>
          </w:p>
        </w:tc>
        <w:tc>
          <w:tcPr>
            <w:tcW w:w="1544" w:type="dxa"/>
            <w:noWrap w:val="0"/>
            <w:vAlign w:val="center"/>
          </w:tcPr>
          <w:p w14:paraId="0D221767">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b/>
                <w:bCs/>
                <w:color w:val="auto"/>
                <w:kern w:val="0"/>
                <w:sz w:val="21"/>
                <w:szCs w:val="21"/>
                <w:highlight w:val="none"/>
                <w:u w:val="none" w:color="000000"/>
                <w:lang w:val="zh-TW" w:eastAsia="en-US"/>
              </w:rPr>
            </w:pPr>
            <w:r>
              <w:rPr>
                <w:rFonts w:hint="eastAsia" w:asciiTheme="minorEastAsia" w:hAnsiTheme="minorEastAsia" w:eastAsiaTheme="minorEastAsia" w:cstheme="minorEastAsia"/>
                <w:b/>
                <w:bCs/>
                <w:color w:val="auto"/>
                <w:kern w:val="0"/>
                <w:sz w:val="21"/>
                <w:szCs w:val="21"/>
                <w:highlight w:val="none"/>
                <w:u w:val="none" w:color="000000"/>
                <w:lang w:val="zh-TW" w:eastAsia="en-US"/>
              </w:rPr>
              <w:t>计分因素</w:t>
            </w:r>
          </w:p>
        </w:tc>
        <w:tc>
          <w:tcPr>
            <w:tcW w:w="724" w:type="dxa"/>
            <w:noWrap w:val="0"/>
            <w:vAlign w:val="center"/>
          </w:tcPr>
          <w:p w14:paraId="49A2B205">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b/>
                <w:bCs/>
                <w:color w:val="auto"/>
                <w:kern w:val="0"/>
                <w:sz w:val="21"/>
                <w:szCs w:val="21"/>
                <w:highlight w:val="none"/>
                <w:u w:val="none" w:color="000000"/>
                <w:lang w:val="zh-TW" w:eastAsia="en-US"/>
              </w:rPr>
            </w:pPr>
            <w:r>
              <w:rPr>
                <w:rFonts w:hint="eastAsia" w:asciiTheme="minorEastAsia" w:hAnsiTheme="minorEastAsia" w:eastAsiaTheme="minorEastAsia" w:cstheme="minorEastAsia"/>
                <w:b/>
                <w:bCs/>
                <w:color w:val="auto"/>
                <w:kern w:val="0"/>
                <w:sz w:val="21"/>
                <w:szCs w:val="21"/>
                <w:highlight w:val="none"/>
                <w:u w:val="none" w:color="000000"/>
                <w:lang w:val="zh-TW" w:eastAsia="en-US"/>
              </w:rPr>
              <w:t>分值</w:t>
            </w:r>
          </w:p>
        </w:tc>
        <w:tc>
          <w:tcPr>
            <w:tcW w:w="5428" w:type="dxa"/>
            <w:noWrap w:val="0"/>
            <w:vAlign w:val="center"/>
          </w:tcPr>
          <w:p w14:paraId="71FBD6CC">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b/>
                <w:bCs/>
                <w:color w:val="auto"/>
                <w:kern w:val="0"/>
                <w:sz w:val="21"/>
                <w:szCs w:val="21"/>
                <w:highlight w:val="none"/>
                <w:u w:val="none" w:color="000000"/>
                <w:lang w:val="zh-TW" w:eastAsia="en-US"/>
              </w:rPr>
            </w:pPr>
            <w:r>
              <w:rPr>
                <w:rFonts w:hint="eastAsia" w:asciiTheme="minorEastAsia" w:hAnsiTheme="minorEastAsia" w:eastAsiaTheme="minorEastAsia" w:cstheme="minorEastAsia"/>
                <w:b/>
                <w:bCs/>
                <w:color w:val="auto"/>
                <w:kern w:val="0"/>
                <w:sz w:val="21"/>
                <w:szCs w:val="21"/>
                <w:highlight w:val="none"/>
                <w:u w:val="none" w:color="000000"/>
                <w:lang w:val="zh-TW" w:eastAsia="en-US"/>
              </w:rPr>
              <w:t>评分标准</w:t>
            </w:r>
          </w:p>
        </w:tc>
      </w:tr>
      <w:tr w14:paraId="5F33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33" w:type="dxa"/>
            <w:noWrap w:val="0"/>
            <w:vAlign w:val="center"/>
          </w:tcPr>
          <w:p w14:paraId="45B3FD05">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价格部分</w:t>
            </w:r>
          </w:p>
          <w:p w14:paraId="272CA2D9">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权值0.2</w:t>
            </w:r>
            <w:r>
              <w:rPr>
                <w:rFonts w:hint="eastAsia" w:asciiTheme="minorEastAsia" w:hAnsiTheme="minorEastAsia" w:eastAsiaTheme="minorEastAsia" w:cstheme="minorEastAsia"/>
                <w:color w:val="auto"/>
                <w:sz w:val="21"/>
                <w:szCs w:val="21"/>
                <w:highlight w:val="none"/>
                <w:lang w:eastAsia="zh-CN"/>
              </w:rPr>
              <w:t>）</w:t>
            </w:r>
          </w:p>
        </w:tc>
        <w:tc>
          <w:tcPr>
            <w:tcW w:w="1544" w:type="dxa"/>
            <w:noWrap w:val="0"/>
            <w:vAlign w:val="center"/>
          </w:tcPr>
          <w:p w14:paraId="41A64501">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lang w:val="en-US" w:eastAsia="zh-CN"/>
              </w:rPr>
            </w:pPr>
            <w:r>
              <w:rPr>
                <w:rFonts w:hint="eastAsia" w:asciiTheme="minorEastAsia" w:hAnsiTheme="minorEastAsia" w:eastAsiaTheme="minorEastAsia" w:cstheme="minorEastAsia"/>
                <w:color w:val="auto"/>
                <w:kern w:val="0"/>
                <w:sz w:val="21"/>
                <w:szCs w:val="21"/>
                <w:highlight w:val="none"/>
                <w:u w:val="none" w:color="000000"/>
                <w:lang w:val="en-US" w:eastAsia="zh-CN"/>
              </w:rPr>
              <w:t>投标报价</w:t>
            </w:r>
          </w:p>
        </w:tc>
        <w:tc>
          <w:tcPr>
            <w:tcW w:w="724" w:type="dxa"/>
            <w:noWrap w:val="0"/>
            <w:vAlign w:val="center"/>
          </w:tcPr>
          <w:p w14:paraId="73CFCCD1">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rPr>
            </w:pPr>
            <w:r>
              <w:rPr>
                <w:rFonts w:hint="eastAsia" w:asciiTheme="minorEastAsia" w:hAnsiTheme="minorEastAsia" w:eastAsiaTheme="minorEastAsia" w:cstheme="minorEastAsia"/>
                <w:color w:val="auto"/>
                <w:kern w:val="0"/>
                <w:sz w:val="21"/>
                <w:szCs w:val="21"/>
                <w:highlight w:val="none"/>
                <w:u w:val="none" w:color="000000"/>
                <w:lang w:val="en-US" w:eastAsia="zh-CN"/>
              </w:rPr>
              <w:t>100</w:t>
            </w:r>
          </w:p>
        </w:tc>
        <w:tc>
          <w:tcPr>
            <w:tcW w:w="5428" w:type="dxa"/>
            <w:noWrap w:val="0"/>
            <w:vAlign w:val="center"/>
          </w:tcPr>
          <w:p w14:paraId="771088A7">
            <w:pPr>
              <w:keepNext w:val="0"/>
              <w:keepLines w:val="0"/>
              <w:pageBreakBefore w:val="0"/>
              <w:widowControl/>
              <w:kinsoku/>
              <w:overflowPunct/>
              <w:topLinePunct w:val="0"/>
              <w:autoSpaceDE/>
              <w:autoSpaceDN/>
              <w:bidi w:val="0"/>
              <w:adjustRightInd w:val="0"/>
              <w:snapToGrid w:val="0"/>
              <w:spacing w:line="240" w:lineRule="auto"/>
              <w:ind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经磋商小组一致认定满足磋商文件要求，</w:t>
            </w:r>
            <w:r>
              <w:rPr>
                <w:rFonts w:hint="eastAsia" w:asciiTheme="minorEastAsia" w:hAnsiTheme="minorEastAsia" w:eastAsiaTheme="minorEastAsia" w:cstheme="minorEastAsia"/>
                <w:color w:val="auto"/>
                <w:kern w:val="0"/>
                <w:sz w:val="21"/>
                <w:szCs w:val="21"/>
                <w:highlight w:val="none"/>
              </w:rPr>
              <w:t>经调整后的最后报价最低的供应商的价格为磋商基准价，其价格分为满分。其他供应商的价格分按照下列公式计算：</w:t>
            </w:r>
          </w:p>
          <w:p w14:paraId="0AA23F35">
            <w:pPr>
              <w:keepNext w:val="0"/>
              <w:keepLines w:val="0"/>
              <w:pageBreakBefore w:val="0"/>
              <w:widowControl/>
              <w:kinsoku/>
              <w:overflowPunct/>
              <w:topLinePunct w:val="0"/>
              <w:autoSpaceDE/>
              <w:autoSpaceDN/>
              <w:bidi w:val="0"/>
              <w:adjustRightInd w:val="0"/>
              <w:snapToGrid w:val="0"/>
              <w:spacing w:line="240" w:lineRule="auto"/>
              <w:ind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磋商报价得分=（磋商基准价/最后磋商报价）×</w:t>
            </w:r>
            <w:r>
              <w:rPr>
                <w:rFonts w:hint="eastAsia" w:asciiTheme="minorEastAsia" w:hAnsiTheme="minorEastAsia" w:eastAsiaTheme="minorEastAsia" w:cstheme="minorEastAsia"/>
                <w:color w:val="auto"/>
                <w:kern w:val="0"/>
                <w:sz w:val="21"/>
                <w:szCs w:val="21"/>
                <w:highlight w:val="none"/>
                <w:lang w:val="en-US" w:eastAsia="zh-CN"/>
              </w:rPr>
              <w:t>100</w:t>
            </w:r>
          </w:p>
        </w:tc>
      </w:tr>
      <w:tr w14:paraId="1186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33" w:type="dxa"/>
            <w:vMerge w:val="restart"/>
            <w:noWrap w:val="0"/>
            <w:vAlign w:val="center"/>
          </w:tcPr>
          <w:p w14:paraId="614638EB">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技术部分</w:t>
            </w:r>
          </w:p>
          <w:p w14:paraId="60524636">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（权值0.6）</w:t>
            </w:r>
          </w:p>
          <w:p w14:paraId="601D0D85">
            <w:pPr>
              <w:keepNext w:val="0"/>
              <w:keepLines w:val="0"/>
              <w:pageBreakBefore w:val="0"/>
              <w:widowControl/>
              <w:kinsoku/>
              <w:overflowPunct/>
              <w:topLinePunct w:val="0"/>
              <w:autoSpaceDE/>
              <w:autoSpaceDN/>
              <w:bidi w:val="0"/>
              <w:adjustRightInd w:val="0"/>
              <w:snapToGrid w:val="0"/>
              <w:spacing w:line="240" w:lineRule="auto"/>
              <w:ind w:firstLine="0" w:firstLineChars="0"/>
              <w:jc w:val="both"/>
              <w:textAlignment w:val="auto"/>
              <w:rPr>
                <w:rFonts w:hint="eastAsia" w:asciiTheme="minorEastAsia" w:hAnsiTheme="minorEastAsia" w:eastAsiaTheme="minorEastAsia" w:cstheme="minorEastAsia"/>
                <w:color w:val="auto"/>
                <w:sz w:val="21"/>
                <w:szCs w:val="21"/>
                <w:highlight w:val="none"/>
                <w:lang w:val="en-US" w:eastAsia="zh-CN"/>
              </w:rPr>
            </w:pPr>
          </w:p>
        </w:tc>
        <w:tc>
          <w:tcPr>
            <w:tcW w:w="1544" w:type="dxa"/>
            <w:noWrap w:val="0"/>
            <w:vAlign w:val="center"/>
          </w:tcPr>
          <w:p w14:paraId="3C1131DE">
            <w:pPr>
              <w:keepNext w:val="0"/>
              <w:keepLines w:val="0"/>
              <w:pageBreakBefore w:val="0"/>
              <w:kinsoku/>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施工方案与技术措施</w:t>
            </w:r>
          </w:p>
        </w:tc>
        <w:tc>
          <w:tcPr>
            <w:tcW w:w="724" w:type="dxa"/>
            <w:noWrap w:val="0"/>
            <w:vAlign w:val="center"/>
          </w:tcPr>
          <w:p w14:paraId="5638077B">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25</w:t>
            </w:r>
          </w:p>
        </w:tc>
        <w:tc>
          <w:tcPr>
            <w:tcW w:w="5428" w:type="dxa"/>
            <w:noWrap w:val="0"/>
            <w:vAlign w:val="center"/>
          </w:tcPr>
          <w:p w14:paraId="527B125B">
            <w:pPr>
              <w:keepNext w:val="0"/>
              <w:keepLines w:val="0"/>
              <w:pageBreakBefore w:val="0"/>
              <w:kinsoku/>
              <w:overflowPunct/>
              <w:topLinePunct w:val="0"/>
              <w:autoSpaceDE/>
              <w:autoSpaceDN/>
              <w:bidi w:val="0"/>
              <w:spacing w:line="240" w:lineRule="auto"/>
              <w:ind w:firstLine="0" w:firstLineChars="0"/>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根据供应商提供的施工方案与技术措施的先进性、可靠性、针对性等情况进行分档计分：方案完善、措施合理，且具有可行性的计25分；方案完整，措施一般，可行性一般的计20分；方案有欠缺或欠合理或可行性差的计15分；未提供计0分。</w:t>
            </w:r>
          </w:p>
        </w:tc>
      </w:tr>
      <w:tr w14:paraId="6A96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33" w:type="dxa"/>
            <w:vMerge w:val="continue"/>
            <w:noWrap w:val="0"/>
            <w:vAlign w:val="center"/>
          </w:tcPr>
          <w:p w14:paraId="21985E80">
            <w:pPr>
              <w:keepNext w:val="0"/>
              <w:keepLines w:val="0"/>
              <w:pageBreakBefore w:val="0"/>
              <w:widowControl w:val="0"/>
              <w:kinsoku/>
              <w:overflowPunct/>
              <w:topLinePunct w:val="0"/>
              <w:autoSpaceDE/>
              <w:autoSpaceDN/>
              <w:bidi w:val="0"/>
              <w:spacing w:after="120" w:line="240" w:lineRule="auto"/>
              <w:ind w:left="0" w:leftChars="0" w:firstLine="0" w:firstLineChars="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p>
        </w:tc>
        <w:tc>
          <w:tcPr>
            <w:tcW w:w="1544" w:type="dxa"/>
            <w:noWrap w:val="0"/>
            <w:vAlign w:val="center"/>
          </w:tcPr>
          <w:p w14:paraId="21CF31B9">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质量管理体系与措施</w:t>
            </w:r>
          </w:p>
        </w:tc>
        <w:tc>
          <w:tcPr>
            <w:tcW w:w="724" w:type="dxa"/>
            <w:noWrap w:val="0"/>
            <w:vAlign w:val="center"/>
          </w:tcPr>
          <w:p w14:paraId="32F2D26D">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15</w:t>
            </w:r>
          </w:p>
        </w:tc>
        <w:tc>
          <w:tcPr>
            <w:tcW w:w="5428" w:type="dxa"/>
            <w:noWrap w:val="0"/>
            <w:vAlign w:val="center"/>
          </w:tcPr>
          <w:p w14:paraId="3A325CC6">
            <w:pPr>
              <w:keepNext w:val="0"/>
              <w:keepLines w:val="0"/>
              <w:pageBreakBefore w:val="0"/>
              <w:tabs>
                <w:tab w:val="left" w:pos="1988"/>
              </w:tabs>
              <w:kinsoku/>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根据供应商提供的质量体系和工作制度的完整性、质量控制措施的科学合理性、可行程度等方面进行分档计分：质量体系和工作制度完整、质量控制措施科学合理、可行性高的计</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分；质量体系和工作制度较完整、质量控制措施较科学合理、可行性一般的计</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分；质量体系和工作制度欠完整、质量控制措施欠科学合理、可行性差的计</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分；未提供的计0分。</w:t>
            </w:r>
          </w:p>
        </w:tc>
      </w:tr>
      <w:tr w14:paraId="2F3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33" w:type="dxa"/>
            <w:vMerge w:val="continue"/>
            <w:noWrap w:val="0"/>
            <w:vAlign w:val="center"/>
          </w:tcPr>
          <w:p w14:paraId="4C0B8D2D">
            <w:pPr>
              <w:keepNext w:val="0"/>
              <w:keepLines w:val="0"/>
              <w:pageBreakBefore w:val="0"/>
              <w:widowControl w:val="0"/>
              <w:kinsoku/>
              <w:overflowPunct/>
              <w:topLinePunct w:val="0"/>
              <w:autoSpaceDE/>
              <w:autoSpaceDN/>
              <w:bidi w:val="0"/>
              <w:spacing w:after="120" w:line="240" w:lineRule="auto"/>
              <w:ind w:left="0" w:leftChars="0" w:firstLine="0" w:firstLineChars="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p>
        </w:tc>
        <w:tc>
          <w:tcPr>
            <w:tcW w:w="1544" w:type="dxa"/>
            <w:noWrap w:val="0"/>
            <w:vAlign w:val="center"/>
          </w:tcPr>
          <w:p w14:paraId="3CC72534">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安全管理体系与措施</w:t>
            </w:r>
          </w:p>
        </w:tc>
        <w:tc>
          <w:tcPr>
            <w:tcW w:w="724" w:type="dxa"/>
            <w:noWrap w:val="0"/>
            <w:vAlign w:val="center"/>
          </w:tcPr>
          <w:p w14:paraId="7A868C29">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20</w:t>
            </w:r>
          </w:p>
        </w:tc>
        <w:tc>
          <w:tcPr>
            <w:tcW w:w="5428" w:type="dxa"/>
            <w:noWrap w:val="0"/>
            <w:vAlign w:val="center"/>
          </w:tcPr>
          <w:p w14:paraId="34B35402">
            <w:pPr>
              <w:keepNext w:val="0"/>
              <w:keepLines w:val="0"/>
              <w:pageBreakBefore w:val="0"/>
              <w:tabs>
                <w:tab w:val="left" w:pos="1988"/>
              </w:tabs>
              <w:kinsoku/>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根据供应商提供的安全管理体系和工作制度的完整性、风险预防和应急处置措施等方面进行分档计分：安全体系及措施科学合理、可行性高的计</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分；安全体系及措施较科学合理、可行性一般的计</w:t>
            </w:r>
            <w:r>
              <w:rPr>
                <w:rFonts w:hint="eastAsia" w:asciiTheme="minorEastAsia" w:hAnsiTheme="minorEastAsia" w:eastAsiaTheme="minorEastAsia" w:cstheme="minorEastAsia"/>
                <w:sz w:val="21"/>
                <w:szCs w:val="21"/>
                <w:lang w:val="en-US" w:eastAsia="zh-CN"/>
              </w:rPr>
              <w:t>16</w:t>
            </w:r>
            <w:r>
              <w:rPr>
                <w:rFonts w:hint="eastAsia" w:asciiTheme="minorEastAsia" w:hAnsiTheme="minorEastAsia" w:eastAsiaTheme="minorEastAsia" w:cstheme="minorEastAsia"/>
                <w:sz w:val="21"/>
                <w:szCs w:val="21"/>
              </w:rPr>
              <w:t>分；安全体系及措施有欠缺或欠合理或可行性差的计</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分；未提供计0分。</w:t>
            </w:r>
          </w:p>
        </w:tc>
      </w:tr>
      <w:tr w14:paraId="5E68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233" w:type="dxa"/>
            <w:vMerge w:val="continue"/>
            <w:noWrap w:val="0"/>
            <w:vAlign w:val="center"/>
          </w:tcPr>
          <w:p w14:paraId="691B0EFE">
            <w:pPr>
              <w:keepNext w:val="0"/>
              <w:keepLines w:val="0"/>
              <w:pageBreakBefore w:val="0"/>
              <w:widowControl w:val="0"/>
              <w:kinsoku/>
              <w:overflowPunct/>
              <w:topLinePunct w:val="0"/>
              <w:autoSpaceDE/>
              <w:autoSpaceDN/>
              <w:bidi w:val="0"/>
              <w:spacing w:after="120" w:line="240" w:lineRule="auto"/>
              <w:ind w:left="0" w:leftChars="0" w:firstLine="0" w:firstLineChars="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p>
        </w:tc>
        <w:tc>
          <w:tcPr>
            <w:tcW w:w="1544" w:type="dxa"/>
            <w:noWrap w:val="0"/>
            <w:vAlign w:val="center"/>
          </w:tcPr>
          <w:p w14:paraId="08190EEF">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环境保护管理体系保护与措施</w:t>
            </w:r>
          </w:p>
        </w:tc>
        <w:tc>
          <w:tcPr>
            <w:tcW w:w="724" w:type="dxa"/>
            <w:noWrap w:val="0"/>
            <w:vAlign w:val="center"/>
          </w:tcPr>
          <w:p w14:paraId="7EFEA9F1">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15</w:t>
            </w:r>
          </w:p>
        </w:tc>
        <w:tc>
          <w:tcPr>
            <w:tcW w:w="5428" w:type="dxa"/>
            <w:noWrap w:val="0"/>
            <w:vAlign w:val="center"/>
          </w:tcPr>
          <w:p w14:paraId="1EB037EE">
            <w:pPr>
              <w:keepNext w:val="0"/>
              <w:keepLines w:val="0"/>
              <w:pageBreakBefore w:val="0"/>
              <w:tabs>
                <w:tab w:val="left" w:pos="1988"/>
              </w:tabs>
              <w:kinsoku/>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根据供应商提供的环境保护角度出发，对现场噪音控制、污水控制、扬尘控制，材料堆放、人员管理等环保方案等情况进行分档计分：环保体系及措施科学合理，且具有可行性的计</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分；环保体系及措施较科学合理，且可行性一般的计</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分；环保体系及措施有欠缺或欠合理或可行性差的计</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分；未提供计0分。</w:t>
            </w:r>
          </w:p>
        </w:tc>
      </w:tr>
      <w:tr w14:paraId="0048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33" w:type="dxa"/>
            <w:vMerge w:val="continue"/>
            <w:noWrap w:val="0"/>
            <w:vAlign w:val="center"/>
          </w:tcPr>
          <w:p w14:paraId="1DC7B6CF">
            <w:pPr>
              <w:keepNext w:val="0"/>
              <w:keepLines w:val="0"/>
              <w:pageBreakBefore w:val="0"/>
              <w:widowControl w:val="0"/>
              <w:kinsoku/>
              <w:overflowPunct/>
              <w:topLinePunct w:val="0"/>
              <w:autoSpaceDE/>
              <w:autoSpaceDN/>
              <w:bidi w:val="0"/>
              <w:spacing w:after="120" w:line="240" w:lineRule="auto"/>
              <w:ind w:left="0" w:leftChars="0" w:firstLine="0" w:firstLineChars="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p>
        </w:tc>
        <w:tc>
          <w:tcPr>
            <w:tcW w:w="1544" w:type="dxa"/>
            <w:noWrap w:val="0"/>
            <w:vAlign w:val="center"/>
          </w:tcPr>
          <w:p w14:paraId="1F3412D0">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工程进度计划与保证措施</w:t>
            </w:r>
          </w:p>
        </w:tc>
        <w:tc>
          <w:tcPr>
            <w:tcW w:w="724" w:type="dxa"/>
            <w:noWrap w:val="0"/>
            <w:vAlign w:val="center"/>
          </w:tcPr>
          <w:p w14:paraId="34834FBE">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15</w:t>
            </w:r>
          </w:p>
        </w:tc>
        <w:tc>
          <w:tcPr>
            <w:tcW w:w="5428" w:type="dxa"/>
            <w:noWrap w:val="0"/>
            <w:vAlign w:val="center"/>
          </w:tcPr>
          <w:p w14:paraId="40CAF191">
            <w:pPr>
              <w:keepNext w:val="0"/>
              <w:keepLines w:val="0"/>
              <w:pageBreakBefore w:val="0"/>
              <w:tabs>
                <w:tab w:val="left" w:pos="1988"/>
              </w:tabs>
              <w:kinsoku/>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根据供应商提供的工程进度计划与保证措施的可行、针对性等情况进行分档计分：方案完善、措施合理，且具有可行性的计</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分；方案完整，措施一般，可行性一般的计</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分；方案有欠缺或欠合理或可行性差的计</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分；未提供计0分。</w:t>
            </w:r>
          </w:p>
        </w:tc>
      </w:tr>
      <w:tr w14:paraId="61B7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33" w:type="dxa"/>
            <w:vMerge w:val="continue"/>
            <w:noWrap w:val="0"/>
            <w:vAlign w:val="center"/>
          </w:tcPr>
          <w:p w14:paraId="1AF315C0">
            <w:pPr>
              <w:keepNext w:val="0"/>
              <w:keepLines w:val="0"/>
              <w:pageBreakBefore w:val="0"/>
              <w:widowControl w:val="0"/>
              <w:kinsoku/>
              <w:overflowPunct/>
              <w:topLinePunct w:val="0"/>
              <w:autoSpaceDE/>
              <w:autoSpaceDN/>
              <w:bidi w:val="0"/>
              <w:spacing w:after="120" w:line="240" w:lineRule="auto"/>
              <w:ind w:left="0" w:leftChars="0" w:firstLine="0" w:firstLineChars="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p>
        </w:tc>
        <w:tc>
          <w:tcPr>
            <w:tcW w:w="1544" w:type="dxa"/>
            <w:noWrap w:val="0"/>
            <w:vAlign w:val="center"/>
          </w:tcPr>
          <w:p w14:paraId="51E5C105">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资源配备计划</w:t>
            </w:r>
          </w:p>
        </w:tc>
        <w:tc>
          <w:tcPr>
            <w:tcW w:w="724" w:type="dxa"/>
            <w:noWrap w:val="0"/>
            <w:vAlign w:val="center"/>
          </w:tcPr>
          <w:p w14:paraId="2ED98303">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10</w:t>
            </w:r>
          </w:p>
        </w:tc>
        <w:tc>
          <w:tcPr>
            <w:tcW w:w="5428" w:type="dxa"/>
            <w:noWrap w:val="0"/>
            <w:vAlign w:val="center"/>
          </w:tcPr>
          <w:p w14:paraId="546E8430">
            <w:pPr>
              <w:keepNext w:val="0"/>
              <w:keepLines w:val="0"/>
              <w:pageBreakBefore w:val="0"/>
              <w:tabs>
                <w:tab w:val="left" w:pos="360"/>
                <w:tab w:val="left" w:pos="900"/>
              </w:tabs>
              <w:kinsoku/>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根据供应商提供的资源配备计划的可行、针对性等情况进行分档计分：资源配备计划及措施科学合理、可行性高的计</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 xml:space="preserve">分；资源配备计划及措施较科学合理、可行性一般的计 </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分；资源配备计划及措施可行性差的计</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分；未提供计0分。</w:t>
            </w:r>
          </w:p>
        </w:tc>
      </w:tr>
      <w:tr w14:paraId="6E7B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restart"/>
            <w:noWrap w:val="0"/>
            <w:vAlign w:val="center"/>
          </w:tcPr>
          <w:p w14:paraId="32F57E66">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sz w:val="21"/>
                <w:szCs w:val="21"/>
                <w:highlight w:val="none"/>
                <w:lang w:val="zh-TW" w:eastAsia="en-US"/>
              </w:rPr>
            </w:pPr>
            <w:r>
              <w:rPr>
                <w:rFonts w:hint="eastAsia" w:asciiTheme="minorEastAsia" w:hAnsiTheme="minorEastAsia" w:eastAsiaTheme="minorEastAsia" w:cstheme="minorEastAsia"/>
                <w:color w:val="auto"/>
                <w:sz w:val="21"/>
                <w:szCs w:val="21"/>
                <w:highlight w:val="none"/>
                <w:lang w:val="zh-TW" w:eastAsia="en-US"/>
              </w:rPr>
              <w:t>商务部分</w:t>
            </w:r>
          </w:p>
          <w:p w14:paraId="5C2F1B3A">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sz w:val="21"/>
                <w:szCs w:val="21"/>
                <w:highlight w:val="none"/>
                <w:lang w:val="zh-TW" w:eastAsia="zh-CN"/>
              </w:rPr>
            </w:pPr>
            <w:r>
              <w:rPr>
                <w:rFonts w:hint="eastAsia" w:asciiTheme="minorEastAsia" w:hAnsiTheme="minorEastAsia" w:eastAsiaTheme="minorEastAsia" w:cstheme="minorEastAsia"/>
                <w:color w:val="auto"/>
                <w:sz w:val="21"/>
                <w:szCs w:val="21"/>
                <w:highlight w:val="none"/>
                <w:lang w:val="zh-TW" w:eastAsia="zh-CN"/>
              </w:rPr>
              <w:t>（</w:t>
            </w:r>
            <w:r>
              <w:rPr>
                <w:rFonts w:hint="eastAsia" w:asciiTheme="minorEastAsia" w:hAnsiTheme="minorEastAsia" w:eastAsiaTheme="minorEastAsia" w:cstheme="minorEastAsia"/>
                <w:color w:val="auto"/>
                <w:sz w:val="21"/>
                <w:szCs w:val="21"/>
                <w:highlight w:val="none"/>
                <w:lang w:val="en-US" w:eastAsia="zh-CN"/>
              </w:rPr>
              <w:t>权值0.2</w:t>
            </w:r>
            <w:r>
              <w:rPr>
                <w:rFonts w:hint="eastAsia" w:asciiTheme="minorEastAsia" w:hAnsiTheme="minorEastAsia" w:eastAsiaTheme="minorEastAsia" w:cstheme="minorEastAsia"/>
                <w:color w:val="auto"/>
                <w:sz w:val="21"/>
                <w:szCs w:val="21"/>
                <w:highlight w:val="none"/>
                <w:lang w:val="zh-TW" w:eastAsia="zh-CN"/>
              </w:rPr>
              <w:t>）</w:t>
            </w:r>
          </w:p>
        </w:tc>
        <w:tc>
          <w:tcPr>
            <w:tcW w:w="1544" w:type="dxa"/>
            <w:tcBorders>
              <w:top w:val="single" w:color="auto" w:sz="4" w:space="0"/>
            </w:tcBorders>
            <w:noWrap w:val="0"/>
            <w:vAlign w:val="center"/>
          </w:tcPr>
          <w:p w14:paraId="4CDE65CD">
            <w:pPr>
              <w:keepNext w:val="0"/>
              <w:keepLines w:val="0"/>
              <w:pageBreakBefore w:val="0"/>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lang w:val="en-US" w:eastAsia="zh-CN"/>
              </w:rPr>
            </w:pPr>
            <w:r>
              <w:rPr>
                <w:rFonts w:hint="eastAsia" w:asciiTheme="minorEastAsia" w:hAnsiTheme="minorEastAsia" w:eastAsiaTheme="minorEastAsia" w:cstheme="minorEastAsia"/>
                <w:color w:val="auto"/>
                <w:kern w:val="0"/>
                <w:sz w:val="21"/>
                <w:szCs w:val="21"/>
                <w:highlight w:val="none"/>
                <w:u w:val="none" w:color="000000"/>
                <w:lang w:val="en-US" w:eastAsia="zh-CN"/>
              </w:rPr>
              <w:t>项目管理团队</w:t>
            </w:r>
          </w:p>
        </w:tc>
        <w:tc>
          <w:tcPr>
            <w:tcW w:w="724" w:type="dxa"/>
            <w:tcBorders>
              <w:top w:val="single" w:color="auto" w:sz="4" w:space="0"/>
            </w:tcBorders>
            <w:noWrap w:val="0"/>
            <w:vAlign w:val="center"/>
          </w:tcPr>
          <w:p w14:paraId="0E4CA200">
            <w:pPr>
              <w:keepNext w:val="0"/>
              <w:keepLines w:val="0"/>
              <w:pageBreakBefore w:val="0"/>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lang w:val="en-US" w:eastAsia="zh-CN"/>
              </w:rPr>
            </w:pPr>
            <w:r>
              <w:rPr>
                <w:rFonts w:hint="eastAsia" w:asciiTheme="minorEastAsia" w:hAnsiTheme="minorEastAsia" w:eastAsiaTheme="minorEastAsia" w:cstheme="minorEastAsia"/>
                <w:color w:val="auto"/>
                <w:kern w:val="0"/>
                <w:sz w:val="21"/>
                <w:szCs w:val="21"/>
                <w:highlight w:val="none"/>
                <w:u w:val="none" w:color="000000"/>
                <w:lang w:val="en-US" w:eastAsia="zh-CN"/>
              </w:rPr>
              <w:t>50</w:t>
            </w:r>
          </w:p>
        </w:tc>
        <w:tc>
          <w:tcPr>
            <w:tcW w:w="5428" w:type="dxa"/>
            <w:tcBorders>
              <w:top w:val="single" w:color="auto" w:sz="4" w:space="0"/>
            </w:tcBorders>
            <w:noWrap w:val="0"/>
            <w:vAlign w:val="center"/>
          </w:tcPr>
          <w:p w14:paraId="0E509E54">
            <w:pPr>
              <w:keepNext w:val="0"/>
              <w:keepLines w:val="0"/>
              <w:pageBreakBefore w:val="0"/>
              <w:widowControl w:val="0"/>
              <w:kinsoku/>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cstheme="minorEastAsia"/>
                <w:b w:val="0"/>
                <w:bCs w:val="0"/>
                <w:spacing w:val="0"/>
                <w:kern w:val="2"/>
                <w:sz w:val="21"/>
                <w:szCs w:val="21"/>
                <w:lang w:val="en-US" w:eastAsia="zh-CN" w:bidi="ar-SA"/>
              </w:rPr>
            </w:pPr>
            <w:r>
              <w:rPr>
                <w:rFonts w:hint="eastAsia" w:asciiTheme="minorEastAsia" w:hAnsiTheme="minorEastAsia" w:eastAsiaTheme="minorEastAsia" w:cstheme="minorEastAsia"/>
                <w:b w:val="0"/>
                <w:bCs w:val="0"/>
                <w:spacing w:val="0"/>
                <w:kern w:val="2"/>
                <w:sz w:val="21"/>
                <w:szCs w:val="21"/>
                <w:lang w:val="en-US" w:eastAsia="zh-CN" w:bidi="ar-SA"/>
              </w:rPr>
              <w:t>1.拟派项目经理具备建筑工程专业一级注册建造师资格的得20分；</w:t>
            </w:r>
          </w:p>
          <w:p w14:paraId="0D7796D1">
            <w:pPr>
              <w:keepNext w:val="0"/>
              <w:keepLines w:val="0"/>
              <w:pageBreakBefore w:val="0"/>
              <w:widowControl w:val="0"/>
              <w:kinsoku/>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cstheme="minorEastAsia"/>
                <w:b w:val="0"/>
                <w:bCs w:val="0"/>
                <w:spacing w:val="0"/>
                <w:kern w:val="2"/>
                <w:sz w:val="21"/>
                <w:szCs w:val="21"/>
                <w:lang w:val="en-US" w:eastAsia="zh-CN" w:bidi="ar-SA"/>
              </w:rPr>
            </w:pPr>
            <w:r>
              <w:rPr>
                <w:rFonts w:hint="eastAsia" w:asciiTheme="minorEastAsia" w:hAnsiTheme="minorEastAsia" w:eastAsiaTheme="minorEastAsia" w:cstheme="minorEastAsia"/>
                <w:b w:val="0"/>
                <w:bCs w:val="0"/>
                <w:spacing w:val="0"/>
                <w:kern w:val="2"/>
                <w:sz w:val="21"/>
                <w:szCs w:val="21"/>
                <w:lang w:val="en-US" w:eastAsia="zh-CN" w:bidi="ar-SA"/>
              </w:rPr>
              <w:t>2.拟派技术负责人具备建筑工程相关专业高级工程师职称得20分；中级职称得10分.</w:t>
            </w:r>
          </w:p>
          <w:p w14:paraId="010F8A5D">
            <w:pPr>
              <w:keepNext w:val="0"/>
              <w:keepLines w:val="0"/>
              <w:pageBreakBefore w:val="0"/>
              <w:widowControl w:val="0"/>
              <w:kinsoku/>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cstheme="minorEastAsia"/>
                <w:b w:val="0"/>
                <w:bCs w:val="0"/>
                <w:spacing w:val="0"/>
                <w:kern w:val="2"/>
                <w:sz w:val="21"/>
                <w:szCs w:val="21"/>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w:t>
            </w:r>
            <w:r>
              <w:rPr>
                <w:rFonts w:hint="eastAsia" w:asciiTheme="minorEastAsia" w:hAnsiTheme="minorEastAsia" w:eastAsiaTheme="minorEastAsia" w:cstheme="minorEastAsia"/>
                <w:b w:val="0"/>
                <w:bCs w:val="0"/>
                <w:spacing w:val="0"/>
                <w:kern w:val="2"/>
                <w:sz w:val="21"/>
                <w:szCs w:val="21"/>
                <w:lang w:val="en-US" w:eastAsia="zh-CN" w:bidi="ar-SA"/>
              </w:rPr>
              <w:t>拟派项目经理近3年内</w:t>
            </w:r>
            <w:r>
              <w:rPr>
                <w:rFonts w:hint="eastAsia" w:asciiTheme="minorEastAsia" w:hAnsiTheme="minorEastAsia" w:eastAsiaTheme="minorEastAsia" w:cstheme="minorEastAsia"/>
                <w:bCs/>
                <w:color w:val="auto"/>
                <w:sz w:val="21"/>
                <w:szCs w:val="21"/>
                <w:lang w:val="en-US" w:eastAsia="zh-CN"/>
              </w:rPr>
              <w:t>（以签订合同时间为准）</w:t>
            </w:r>
            <w:r>
              <w:rPr>
                <w:rFonts w:hint="eastAsia" w:asciiTheme="minorEastAsia" w:hAnsiTheme="minorEastAsia" w:eastAsiaTheme="minorEastAsia" w:cstheme="minorEastAsia"/>
                <w:b w:val="0"/>
                <w:bCs w:val="0"/>
                <w:spacing w:val="0"/>
                <w:kern w:val="2"/>
                <w:sz w:val="21"/>
                <w:szCs w:val="21"/>
                <w:lang w:val="en-US" w:eastAsia="zh-CN" w:bidi="ar-SA"/>
              </w:rPr>
              <w:t>完成过类似项目业绩的得10分。</w:t>
            </w:r>
          </w:p>
          <w:p w14:paraId="0E9C3A2D">
            <w:pPr>
              <w:keepNext w:val="0"/>
              <w:keepLines w:val="0"/>
              <w:pageBreakBefore w:val="0"/>
              <w:widowControl w:val="0"/>
              <w:kinsoku/>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cstheme="minorEastAsia"/>
                <w:b w:val="0"/>
                <w:bCs w:val="0"/>
                <w:spacing w:val="0"/>
                <w:kern w:val="2"/>
                <w:sz w:val="21"/>
                <w:szCs w:val="21"/>
                <w:lang w:val="en-US" w:eastAsia="zh-CN" w:bidi="ar-SA"/>
              </w:rPr>
            </w:pPr>
            <w:r>
              <w:rPr>
                <w:rFonts w:hint="eastAsia" w:asciiTheme="minorEastAsia" w:hAnsiTheme="minorEastAsia" w:eastAsiaTheme="minorEastAsia" w:cstheme="minorEastAsia"/>
                <w:b/>
                <w:bCs/>
                <w:spacing w:val="0"/>
                <w:kern w:val="2"/>
                <w:sz w:val="21"/>
                <w:szCs w:val="21"/>
                <w:lang w:val="en-US" w:eastAsia="zh-CN" w:bidi="ar-SA"/>
              </w:rPr>
              <w:t>注：以上人员须为本单位在职员工，提供证书复印件（附官方网络查询截图）、业绩证明材料（中标通知书、合同及竣工验收资料复印件）及近三个月社保缴纳证明，未提供的对应项不得分。</w:t>
            </w:r>
          </w:p>
        </w:tc>
      </w:tr>
      <w:tr w14:paraId="5D3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noWrap w:val="0"/>
            <w:vAlign w:val="center"/>
          </w:tcPr>
          <w:p w14:paraId="7B628181">
            <w:pPr>
              <w:keepNext w:val="0"/>
              <w:keepLines w:val="0"/>
              <w:pageBreakBefore w:val="0"/>
              <w:widowControl/>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sz w:val="21"/>
                <w:szCs w:val="21"/>
                <w:highlight w:val="none"/>
                <w:lang w:val="zh-TW" w:eastAsia="zh-CN"/>
              </w:rPr>
            </w:pPr>
          </w:p>
        </w:tc>
        <w:tc>
          <w:tcPr>
            <w:tcW w:w="1544" w:type="dxa"/>
            <w:tcBorders>
              <w:top w:val="single" w:color="auto" w:sz="4" w:space="0"/>
              <w:bottom w:val="single" w:color="auto" w:sz="4" w:space="0"/>
            </w:tcBorders>
            <w:noWrap w:val="0"/>
            <w:vAlign w:val="center"/>
          </w:tcPr>
          <w:p w14:paraId="0A0179A0">
            <w:pPr>
              <w:keepNext w:val="0"/>
              <w:keepLines w:val="0"/>
              <w:pageBreakBefore w:val="0"/>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lang w:val="en-US" w:eastAsia="zh-CN"/>
              </w:rPr>
            </w:pPr>
            <w:r>
              <w:rPr>
                <w:rFonts w:hint="eastAsia" w:asciiTheme="minorEastAsia" w:hAnsiTheme="minorEastAsia" w:eastAsiaTheme="minorEastAsia" w:cstheme="minorEastAsia"/>
                <w:color w:val="auto"/>
                <w:kern w:val="0"/>
                <w:sz w:val="21"/>
                <w:szCs w:val="21"/>
                <w:highlight w:val="none"/>
                <w:u w:val="none" w:color="000000"/>
                <w:lang w:val="en-US" w:eastAsia="zh-CN"/>
              </w:rPr>
              <w:t>业绩</w:t>
            </w:r>
          </w:p>
        </w:tc>
        <w:tc>
          <w:tcPr>
            <w:tcW w:w="724" w:type="dxa"/>
            <w:tcBorders>
              <w:top w:val="single" w:color="auto" w:sz="4" w:space="0"/>
              <w:bottom w:val="single" w:color="auto" w:sz="4" w:space="0"/>
            </w:tcBorders>
            <w:noWrap w:val="0"/>
            <w:vAlign w:val="center"/>
          </w:tcPr>
          <w:p w14:paraId="382B2398">
            <w:pPr>
              <w:keepNext w:val="0"/>
              <w:keepLines w:val="0"/>
              <w:pageBreakBefore w:val="0"/>
              <w:kinsoku/>
              <w:overflowPunct/>
              <w:topLinePunct w:val="0"/>
              <w:autoSpaceDE/>
              <w:autoSpaceDN/>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color w:val="auto"/>
                <w:kern w:val="0"/>
                <w:sz w:val="21"/>
                <w:szCs w:val="21"/>
                <w:highlight w:val="none"/>
                <w:u w:val="none" w:color="000000"/>
                <w:lang w:val="en-US" w:eastAsia="zh-CN"/>
              </w:rPr>
            </w:pPr>
            <w:r>
              <w:rPr>
                <w:rFonts w:hint="eastAsia" w:asciiTheme="minorEastAsia" w:hAnsiTheme="minorEastAsia" w:eastAsiaTheme="minorEastAsia" w:cstheme="minorEastAsia"/>
                <w:color w:val="auto"/>
                <w:kern w:val="0"/>
                <w:sz w:val="21"/>
                <w:szCs w:val="21"/>
                <w:highlight w:val="none"/>
                <w:u w:val="none" w:color="000000"/>
                <w:lang w:val="en-US" w:eastAsia="zh-CN"/>
              </w:rPr>
              <w:t>50</w:t>
            </w:r>
          </w:p>
        </w:tc>
        <w:tc>
          <w:tcPr>
            <w:tcW w:w="5428" w:type="dxa"/>
            <w:tcBorders>
              <w:top w:val="single" w:color="auto" w:sz="4" w:space="0"/>
              <w:bottom w:val="single" w:color="auto" w:sz="4" w:space="0"/>
            </w:tcBorders>
            <w:noWrap w:val="0"/>
            <w:vAlign w:val="center"/>
          </w:tcPr>
          <w:p w14:paraId="06FD376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截止响应文件递交截止时间前3年内（以合同签订时间为准），供应商完成过类似项目施工业绩的，每提供一个得25分，最高得50分。</w:t>
            </w:r>
            <w:r>
              <w:rPr>
                <w:rFonts w:hint="eastAsia" w:asciiTheme="minorEastAsia" w:hAnsiTheme="minorEastAsia" w:eastAsiaTheme="minorEastAsia" w:cstheme="minorEastAsia"/>
                <w:sz w:val="21"/>
                <w:szCs w:val="21"/>
                <w:lang w:val="en-US" w:eastAsia="zh-CN"/>
              </w:rPr>
              <w:br w:type="textWrapping"/>
            </w:r>
            <w:r>
              <w:rPr>
                <w:rFonts w:hint="eastAsia" w:asciiTheme="minorEastAsia" w:hAnsiTheme="minorEastAsia" w:eastAsiaTheme="minorEastAsia" w:cstheme="minorEastAsia"/>
                <w:b/>
                <w:bCs/>
                <w:sz w:val="21"/>
                <w:szCs w:val="21"/>
                <w:lang w:val="en-US" w:eastAsia="zh-CN"/>
              </w:rPr>
              <w:t>注： 须同时提供中标（成交）通知书、合同及竣工验收证明复印件，并加盖公章。证明材料缺项或未按要求提供的，该业绩不予计分。</w:t>
            </w:r>
          </w:p>
        </w:tc>
      </w:tr>
    </w:tbl>
    <w:p w14:paraId="5E4DC60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备注：推荐成交候选人计算方法具体解释：</w:t>
      </w:r>
    </w:p>
    <w:p w14:paraId="0B25DF0C">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（1）供应商最终综合得分 = 价格得分 × 价格权值 +  技术得分×技术权值  + 商务得分 × 商务权值。</w:t>
      </w:r>
    </w:p>
    <w:p w14:paraId="7081401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（2）计算过程中，算术平均值保留2位小数（百分比亦取2位小数），第三位小数四舍五入；</w:t>
      </w:r>
    </w:p>
    <w:p w14:paraId="00B2130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（3）按评审后得分由高到低顺序排列。得分相同的，按投标报价由低到高顺序排列。得分且投标报价相同的，按技术指标优劣顺序排列；</w:t>
      </w:r>
    </w:p>
    <w:p w14:paraId="209798D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（4）本项目共推荐 3 名成交候选人，排名第一的成交候选人为预成交单位。</w:t>
      </w:r>
    </w:p>
    <w:p w14:paraId="3F15277E">
      <w:pPr>
        <w:rPr>
          <w:rFonts w:hint="eastAsia" w:ascii="黑体" w:hAnsi="黑体" w:eastAsia="黑体" w:cs="黑体"/>
          <w:b/>
          <w:bCs/>
          <w:color w:val="auto"/>
          <w:sz w:val="28"/>
          <w:szCs w:val="28"/>
          <w:lang w:val="en-US" w:eastAsia="zh-CN"/>
        </w:rPr>
      </w:pPr>
      <w:bookmarkStart w:id="55" w:name="_Toc31519"/>
      <w:r>
        <w:rPr>
          <w:rFonts w:hint="eastAsia" w:ascii="黑体" w:hAnsi="黑体" w:eastAsia="黑体" w:cs="黑体"/>
          <w:b/>
          <w:bCs/>
          <w:color w:val="auto"/>
          <w:sz w:val="21"/>
          <w:szCs w:val="21"/>
          <w:lang w:val="en-US" w:eastAsia="zh-CN"/>
        </w:rPr>
        <w:br w:type="page"/>
      </w:r>
    </w:p>
    <w:p w14:paraId="2330FB4F">
      <w:pPr>
        <w:keepNext/>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jc w:val="center"/>
        <w:textAlignment w:val="auto"/>
        <w:outlineLvl w:val="1"/>
        <w:rPr>
          <w:rFonts w:hint="eastAsia" w:ascii="黑体" w:hAnsi="黑体" w:eastAsia="黑体" w:cs="黑体"/>
          <w:b w:val="0"/>
          <w:bCs w:val="0"/>
          <w:color w:val="auto"/>
          <w:sz w:val="28"/>
          <w:szCs w:val="28"/>
          <w:lang w:val="en-US" w:eastAsia="zh-CN"/>
        </w:rPr>
      </w:pPr>
      <w:bookmarkStart w:id="56" w:name="_Toc29259"/>
      <w:r>
        <w:rPr>
          <w:rFonts w:hint="eastAsia" w:ascii="黑体" w:hAnsi="黑体" w:eastAsia="黑体" w:cs="黑体"/>
          <w:b w:val="0"/>
          <w:bCs w:val="0"/>
          <w:color w:val="auto"/>
          <w:sz w:val="28"/>
          <w:szCs w:val="28"/>
          <w:lang w:val="en-US" w:eastAsia="zh-CN"/>
        </w:rPr>
        <w:t>第二节 磋商须知正文</w:t>
      </w:r>
      <w:bookmarkEnd w:id="55"/>
      <w:bookmarkEnd w:id="56"/>
    </w:p>
    <w:p w14:paraId="46102497">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val="0"/>
          <w:bCs/>
          <w:sz w:val="28"/>
          <w:szCs w:val="28"/>
        </w:rPr>
      </w:pPr>
      <w:bookmarkStart w:id="57" w:name="_Toc18114"/>
      <w:bookmarkStart w:id="58" w:name="_Toc3573"/>
      <w:bookmarkStart w:id="59" w:name="_Toc32328"/>
      <w:bookmarkStart w:id="60" w:name="_Toc1814"/>
      <w:r>
        <w:rPr>
          <w:rFonts w:hint="default" w:ascii="Times New Roman" w:hAnsi="Times New Roman" w:eastAsia="黑体" w:cs="Times New Roman"/>
          <w:b w:val="0"/>
          <w:bCs/>
          <w:sz w:val="28"/>
          <w:szCs w:val="28"/>
        </w:rPr>
        <w:t>一、说明</w:t>
      </w:r>
      <w:bookmarkEnd w:id="57"/>
      <w:bookmarkEnd w:id="58"/>
      <w:bookmarkEnd w:id="59"/>
      <w:bookmarkEnd w:id="60"/>
    </w:p>
    <w:p w14:paraId="768A837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1.适用范围</w:t>
      </w:r>
    </w:p>
    <w:p w14:paraId="251F245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1.1本磋商文件仅适用于磋商须知前附表(以下简称</w:t>
      </w:r>
      <w:r>
        <w:rPr>
          <w:rFonts w:hint="eastAsia" w:ascii="宋体" w:hAnsi="宋体" w:eastAsia="宋体" w:cs="宋体"/>
          <w:b/>
          <w:szCs w:val="21"/>
        </w:rPr>
        <w:t>磋商须知前附表)</w:t>
      </w:r>
      <w:r>
        <w:rPr>
          <w:rFonts w:hint="eastAsia" w:ascii="宋体" w:hAnsi="宋体" w:eastAsia="宋体" w:cs="宋体"/>
          <w:szCs w:val="21"/>
        </w:rPr>
        <w:t>中所叙述的采购项目。</w:t>
      </w:r>
    </w:p>
    <w:p w14:paraId="5F1FC90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2.定义</w:t>
      </w:r>
    </w:p>
    <w:p w14:paraId="6BD505B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
          <w:szCs w:val="21"/>
        </w:rPr>
      </w:pPr>
      <w:r>
        <w:rPr>
          <w:rFonts w:hint="eastAsia" w:ascii="宋体" w:hAnsi="宋体" w:eastAsia="宋体" w:cs="宋体"/>
          <w:szCs w:val="21"/>
        </w:rPr>
        <w:t>2.1“采购人”是指依法进行政府采购的国家机关、事业单位、团体组织。本次政府采购的采购人名称、地址、电话、联系人见</w:t>
      </w:r>
      <w:r>
        <w:rPr>
          <w:rFonts w:hint="eastAsia" w:ascii="宋体" w:hAnsi="宋体" w:eastAsia="宋体" w:cs="宋体"/>
          <w:b/>
          <w:szCs w:val="21"/>
        </w:rPr>
        <w:t>磋商须知前附表</w:t>
      </w:r>
      <w:r>
        <w:rPr>
          <w:rFonts w:hint="eastAsia" w:ascii="宋体" w:hAnsi="宋体" w:eastAsia="宋体" w:cs="宋体"/>
          <w:szCs w:val="21"/>
        </w:rPr>
        <w:t>。</w:t>
      </w:r>
    </w:p>
    <w:p w14:paraId="78D16B44">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
          <w:szCs w:val="21"/>
        </w:rPr>
      </w:pPr>
      <w:r>
        <w:rPr>
          <w:rFonts w:hint="eastAsia" w:ascii="宋体" w:hAnsi="宋体" w:eastAsia="宋体" w:cs="宋体"/>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Cs w:val="21"/>
        </w:rPr>
        <w:t>磋商须知前附表。</w:t>
      </w:r>
    </w:p>
    <w:p w14:paraId="33E32D4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kern w:val="36"/>
          <w:szCs w:val="21"/>
        </w:rPr>
      </w:pPr>
      <w:r>
        <w:rPr>
          <w:rFonts w:hint="eastAsia" w:ascii="宋体" w:hAnsi="宋体" w:eastAsia="宋体" w:cs="宋体"/>
          <w:szCs w:val="21"/>
        </w:rPr>
        <w:t>2.3“供应商”是指响应磋商文件要求、参加竞争性磋商采购的法人、其他组织或者自然人。本次政府采购项目</w:t>
      </w:r>
      <w:r>
        <w:rPr>
          <w:rFonts w:hint="eastAsia" w:ascii="宋体" w:hAnsi="宋体" w:eastAsia="宋体" w:cs="宋体"/>
          <w:kern w:val="0"/>
          <w:szCs w:val="21"/>
        </w:rPr>
        <w:t>邀请</w:t>
      </w:r>
      <w:r>
        <w:rPr>
          <w:rFonts w:hint="eastAsia" w:ascii="宋体" w:hAnsi="宋体" w:eastAsia="宋体" w:cs="宋体"/>
          <w:szCs w:val="21"/>
        </w:rPr>
        <w:t>的</w:t>
      </w:r>
      <w:r>
        <w:rPr>
          <w:rFonts w:hint="eastAsia" w:ascii="宋体" w:hAnsi="宋体" w:eastAsia="宋体" w:cs="宋体"/>
          <w:kern w:val="0"/>
          <w:szCs w:val="21"/>
        </w:rPr>
        <w:t>供应商通过</w:t>
      </w:r>
      <w:r>
        <w:rPr>
          <w:rFonts w:hint="eastAsia" w:ascii="宋体" w:hAnsi="宋体" w:eastAsia="宋体" w:cs="宋体"/>
          <w:b/>
          <w:szCs w:val="21"/>
        </w:rPr>
        <w:t>磋商须知前附表</w:t>
      </w:r>
      <w:r>
        <w:rPr>
          <w:rFonts w:hint="eastAsia" w:ascii="宋体" w:hAnsi="宋体" w:eastAsia="宋体" w:cs="宋体"/>
          <w:szCs w:val="21"/>
        </w:rPr>
        <w:t>所述方式</w:t>
      </w:r>
      <w:r>
        <w:rPr>
          <w:rFonts w:hint="eastAsia" w:ascii="宋体" w:hAnsi="宋体" w:eastAsia="宋体" w:cs="宋体"/>
          <w:kern w:val="0"/>
          <w:szCs w:val="21"/>
        </w:rPr>
        <w:t>，邀请符合资格条件的供应商提交响应文件（含资格证明资料），参与竞争性磋商采购活动。</w:t>
      </w:r>
    </w:p>
    <w:p w14:paraId="18316CCA">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szCs w:val="21"/>
        </w:rPr>
        <w:t>2.4“磋商小组”是指</w:t>
      </w:r>
      <w:r>
        <w:rPr>
          <w:rFonts w:hint="eastAsia" w:ascii="宋体" w:hAnsi="宋体" w:eastAsia="宋体" w:cs="宋体"/>
          <w:kern w:val="0"/>
          <w:szCs w:val="21"/>
        </w:rPr>
        <w:t>依据财政部</w:t>
      </w:r>
      <w:r>
        <w:rPr>
          <w:rFonts w:hint="eastAsia" w:ascii="宋体" w:hAnsi="宋体" w:eastAsia="宋体" w:cs="宋体"/>
          <w:bCs/>
          <w:kern w:val="36"/>
          <w:szCs w:val="21"/>
        </w:rPr>
        <w:t>《政府采购竞争性磋商采购方式管理暂行办法》有关规定组建，依法依规</w:t>
      </w:r>
      <w:r>
        <w:rPr>
          <w:rFonts w:hint="eastAsia" w:ascii="宋体" w:hAnsi="宋体" w:eastAsia="宋体" w:cs="宋体"/>
          <w:kern w:val="0"/>
          <w:szCs w:val="21"/>
        </w:rPr>
        <w:t>履行其职责和义务的机构。</w:t>
      </w:r>
    </w:p>
    <w:p w14:paraId="6222173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2.5“货物”是指各种形态和种类的物品，包括原资料、燃料、设备、产品等，详见《政府采购品目分类目录》(</w:t>
      </w:r>
      <w:r>
        <w:rPr>
          <w:rStyle w:val="49"/>
          <w:rFonts w:hint="eastAsia" w:ascii="宋体" w:hAnsi="宋体" w:eastAsia="宋体" w:cs="宋体"/>
          <w:b w:val="0"/>
        </w:rPr>
        <w:t>财库[2013]189号</w:t>
      </w:r>
      <w:r>
        <w:rPr>
          <w:rFonts w:hint="eastAsia" w:ascii="宋体" w:hAnsi="宋体" w:eastAsia="宋体" w:cs="宋体"/>
          <w:szCs w:val="21"/>
        </w:rPr>
        <w:t>)。</w:t>
      </w:r>
    </w:p>
    <w:p w14:paraId="5C16D9CA">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2.6“工程”是指建设工程，包括建筑物和构筑物的新建、改建、扩建、装修、拆除、修缮等，详见《政府采购品目分类目录》(</w:t>
      </w:r>
      <w:r>
        <w:rPr>
          <w:rStyle w:val="49"/>
          <w:rFonts w:hint="eastAsia" w:ascii="宋体" w:hAnsi="宋体" w:eastAsia="宋体" w:cs="宋体"/>
          <w:b w:val="0"/>
        </w:rPr>
        <w:t>财库[2013]189号</w:t>
      </w:r>
      <w:r>
        <w:rPr>
          <w:rFonts w:hint="eastAsia" w:ascii="宋体" w:hAnsi="宋体" w:eastAsia="宋体" w:cs="宋体"/>
          <w:szCs w:val="21"/>
        </w:rPr>
        <w:t>)。</w:t>
      </w:r>
    </w:p>
    <w:p w14:paraId="36771C1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2.7“服务”是指除货物和工程以外的其他政府采购对象，详见《政府采购品目分类目录》(</w:t>
      </w:r>
      <w:r>
        <w:rPr>
          <w:rStyle w:val="49"/>
          <w:rFonts w:hint="eastAsia" w:ascii="宋体" w:hAnsi="宋体" w:eastAsia="宋体" w:cs="宋体"/>
          <w:b w:val="0"/>
        </w:rPr>
        <w:t>财库[2013]189号</w:t>
      </w:r>
      <w:r>
        <w:rPr>
          <w:rFonts w:hint="eastAsia" w:ascii="宋体" w:hAnsi="宋体" w:eastAsia="宋体" w:cs="宋体"/>
          <w:szCs w:val="21"/>
        </w:rPr>
        <w:t>)。</w:t>
      </w:r>
    </w:p>
    <w:p w14:paraId="297D84D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lang w:eastAsia="zh-CN"/>
        </w:rPr>
      </w:pPr>
      <w:r>
        <w:rPr>
          <w:rFonts w:hint="eastAsia" w:ascii="宋体" w:hAnsi="宋体" w:eastAsia="宋体" w:cs="宋体"/>
          <w:kern w:val="0"/>
          <w:szCs w:val="21"/>
        </w:rPr>
        <w:t>2.8</w:t>
      </w:r>
      <w:r>
        <w:rPr>
          <w:rFonts w:hint="eastAsia" w:ascii="宋体" w:hAnsi="宋体" w:eastAsia="宋体" w:cs="宋体"/>
          <w:szCs w:val="21"/>
        </w:rPr>
        <w:t>“节能产品”或者“环保产品”是指财政部发布的《节能产品政府采购清单》或者《环境标志产品政府采购清单》的产品</w:t>
      </w:r>
      <w:r>
        <w:rPr>
          <w:rFonts w:hint="eastAsia" w:cs="宋体"/>
          <w:szCs w:val="21"/>
          <w:lang w:eastAsia="zh-CN"/>
        </w:rPr>
        <w:t>。</w:t>
      </w:r>
    </w:p>
    <w:p w14:paraId="43254286">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szCs w:val="21"/>
        </w:rPr>
        <w:t>2.9</w:t>
      </w:r>
      <w:r>
        <w:rPr>
          <w:rFonts w:hint="eastAsia" w:ascii="宋体" w:hAnsi="宋体" w:eastAsia="宋体" w:cs="宋体"/>
          <w:kern w:val="0"/>
          <w:szCs w:val="21"/>
        </w:rPr>
        <w:t>“进口产品”是指通过中国海关报关验放进入中国境内且产自关境外的产品，详见《关于政府采购进口产品管理有关问题的通知》(财库[2007]119号)。</w:t>
      </w:r>
    </w:p>
    <w:p w14:paraId="0F26824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3.供应商的资格要求</w:t>
      </w:r>
    </w:p>
    <w:p w14:paraId="77122BED">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3.1供应商应当符合</w:t>
      </w:r>
      <w:r>
        <w:rPr>
          <w:rFonts w:hint="eastAsia" w:ascii="宋体" w:hAnsi="宋体" w:eastAsia="宋体" w:cs="宋体"/>
          <w:b/>
          <w:szCs w:val="21"/>
        </w:rPr>
        <w:t>磋商须知前附表</w:t>
      </w:r>
      <w:r>
        <w:rPr>
          <w:rFonts w:hint="eastAsia" w:ascii="宋体" w:hAnsi="宋体" w:eastAsia="宋体" w:cs="宋体"/>
          <w:szCs w:val="21"/>
        </w:rPr>
        <w:t>中规定的资格条件要求。</w:t>
      </w:r>
    </w:p>
    <w:p w14:paraId="3595B5D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lang w:eastAsia="zh-CN"/>
        </w:rPr>
      </w:pPr>
      <w:r>
        <w:rPr>
          <w:rFonts w:hint="eastAsia" w:ascii="宋体" w:hAnsi="宋体" w:eastAsia="宋体" w:cs="宋体"/>
          <w:szCs w:val="21"/>
        </w:rPr>
        <w:t>3.2供应商</w:t>
      </w:r>
      <w:r>
        <w:rPr>
          <w:rFonts w:hint="eastAsia" w:ascii="宋体" w:hAnsi="宋体" w:eastAsia="宋体" w:cs="宋体"/>
        </w:rPr>
        <w:t>为联合体形式的</w:t>
      </w:r>
      <w:r>
        <w:rPr>
          <w:rFonts w:hint="eastAsia" w:ascii="宋体" w:hAnsi="宋体" w:eastAsia="宋体" w:cs="宋体"/>
          <w:szCs w:val="21"/>
        </w:rPr>
        <w:t>，除应满足本章第3.1款资格条件要求及第3.3款规定外，还应遵守以下规定：</w:t>
      </w:r>
    </w:p>
    <w:p w14:paraId="51D6DB80">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val="zh-CN"/>
        </w:rPr>
      </w:pPr>
      <w:r>
        <w:rPr>
          <w:rFonts w:hint="eastAsia" w:ascii="宋体" w:hAnsi="宋体" w:eastAsia="宋体" w:cs="宋体"/>
          <w:kern w:val="0"/>
          <w:szCs w:val="21"/>
          <w:lang w:val="zh-CN"/>
        </w:rPr>
        <w:t>（1）联合体各方应按磋商文件提供的格式签订联合体协议书，明确联合体牵头人和各方权利义务(含承担工作及工作量比例)；</w:t>
      </w:r>
    </w:p>
    <w:p w14:paraId="7C3D686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val="zh-CN"/>
        </w:rPr>
      </w:pPr>
      <w:r>
        <w:rPr>
          <w:rFonts w:hint="eastAsia" w:ascii="宋体" w:hAnsi="宋体" w:eastAsia="宋体" w:cs="宋体"/>
          <w:kern w:val="0"/>
          <w:szCs w:val="21"/>
          <w:lang w:val="zh-CN"/>
        </w:rPr>
        <w:t>（2）联合体中有同类资质的供应商按照联合体分工承担相同工作的，应当按照资质等级较低的供应商确定资质等级；</w:t>
      </w:r>
    </w:p>
    <w:p w14:paraId="71AF1CE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val="zh-CN"/>
        </w:rPr>
      </w:pPr>
      <w:r>
        <w:rPr>
          <w:rFonts w:hint="eastAsia" w:ascii="宋体" w:hAnsi="宋体" w:eastAsia="宋体" w:cs="宋体"/>
          <w:kern w:val="0"/>
          <w:szCs w:val="21"/>
          <w:lang w:val="zh-CN"/>
        </w:rPr>
        <w:t>（3）以联合体形式参加政府采购活动的，联合体各方不得再单独参加或者与其他供应商另外组成联合体参加同一合同项下的政府采购活动。</w:t>
      </w:r>
    </w:p>
    <w:p w14:paraId="49E28EB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3.3供应商不得存在下列情形之一：</w:t>
      </w:r>
    </w:p>
    <w:p w14:paraId="603CED0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（l）与采购人、采购代理机构存在</w:t>
      </w:r>
      <w:r>
        <w:rPr>
          <w:rFonts w:hint="eastAsia" w:ascii="宋体" w:hAnsi="宋体" w:eastAsia="宋体" w:cs="宋体"/>
          <w:bCs/>
          <w:szCs w:val="21"/>
        </w:rPr>
        <w:t>隶属关系或者其他利害关系</w:t>
      </w:r>
      <w:r>
        <w:rPr>
          <w:rFonts w:hint="eastAsia" w:ascii="宋体" w:hAnsi="宋体" w:eastAsia="宋体" w:cs="宋体"/>
          <w:szCs w:val="21"/>
        </w:rPr>
        <w:t>。</w:t>
      </w:r>
    </w:p>
    <w:p w14:paraId="11E9294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（2）与其他供应商的法定代表人（或者负责人）为同一人，或者与其他供应商存在直接控股、管理关系。</w:t>
      </w:r>
    </w:p>
    <w:p w14:paraId="76F9B06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Cs w:val="21"/>
        </w:rPr>
        <w:t>财政部门认定的其他重大违法记录。</w:t>
      </w:r>
    </w:p>
    <w:p w14:paraId="36CEB16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lang w:eastAsia="zh-CN"/>
        </w:rPr>
      </w:pPr>
      <w:r>
        <w:rPr>
          <w:rFonts w:hint="eastAsia" w:ascii="宋体" w:hAnsi="宋体" w:eastAsia="宋体" w:cs="宋体"/>
          <w:b/>
          <w:bCs/>
          <w:sz w:val="24"/>
          <w:szCs w:val="24"/>
        </w:rPr>
        <w:t>4.参与磋商的费用</w:t>
      </w:r>
    </w:p>
    <w:p w14:paraId="647FC656">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4.1无论磋商的结果如何，供应商应自行承担所有与竞争性磋商采购活动有关的全部费用。</w:t>
      </w:r>
    </w:p>
    <w:p w14:paraId="55F00EA5">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5．授权委托</w:t>
      </w:r>
    </w:p>
    <w:p w14:paraId="46C8B491">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w:t>
      </w:r>
    </w:p>
    <w:p w14:paraId="092E319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6．联合体形式</w:t>
      </w:r>
    </w:p>
    <w:p w14:paraId="35ACA0DD">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w:t>
      </w:r>
      <w:r>
        <w:rPr>
          <w:rFonts w:hint="eastAsia" w:ascii="宋体" w:hAnsi="宋体" w:eastAsia="宋体" w:cs="宋体"/>
          <w:lang w:eastAsia="zh-CN"/>
        </w:rPr>
        <w:t>磋商</w:t>
      </w:r>
      <w:r>
        <w:rPr>
          <w:rFonts w:hint="eastAsia" w:ascii="宋体" w:hAnsi="宋体" w:eastAsia="宋体" w:cs="宋体"/>
        </w:rPr>
        <w:t>采购不接受为联合体形式的供应商。</w:t>
      </w:r>
    </w:p>
    <w:p w14:paraId="2B258F54">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6.2供应商</w:t>
      </w:r>
      <w:r>
        <w:rPr>
          <w:rFonts w:hint="eastAsia" w:ascii="宋体" w:hAnsi="宋体" w:eastAsia="宋体" w:cs="宋体"/>
        </w:rPr>
        <w:t>为联合体形式的</w:t>
      </w:r>
      <w:r>
        <w:rPr>
          <w:rFonts w:hint="eastAsia" w:ascii="宋体" w:hAnsi="宋体" w:eastAsia="宋体" w:cs="宋体"/>
          <w:szCs w:val="21"/>
        </w:rPr>
        <w:t>，除应符合本章第3条规定外，还应遵守以下规定：</w:t>
      </w:r>
    </w:p>
    <w:p w14:paraId="1DADCDE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（l）联合体各方必须签订联合体协议书，明确联合体牵头人和各方的义务、工作、合同工作量比例；</w:t>
      </w:r>
    </w:p>
    <w:p w14:paraId="3A7E25F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（2）联合体各方均应当符合本章第3.1</w:t>
      </w:r>
      <w:r>
        <w:rPr>
          <w:rFonts w:hint="eastAsia" w:ascii="宋体" w:hAnsi="宋体" w:eastAsia="宋体" w:cs="宋体"/>
          <w:kern w:val="0"/>
          <w:szCs w:val="21"/>
          <w:lang w:val="zh-CN"/>
        </w:rPr>
        <w:t>款</w:t>
      </w:r>
      <w:r>
        <w:rPr>
          <w:rFonts w:hint="eastAsia" w:ascii="宋体" w:hAnsi="宋体" w:eastAsia="宋体" w:cs="宋体"/>
          <w:szCs w:val="21"/>
        </w:rPr>
        <w:t>规定的供应商基本资格条件；</w:t>
      </w:r>
    </w:p>
    <w:p w14:paraId="2EF3037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rPr>
        <w:t>除</w:t>
      </w:r>
      <w:r>
        <w:rPr>
          <w:rFonts w:hint="eastAsia" w:ascii="宋体" w:hAnsi="宋体" w:eastAsia="宋体" w:cs="宋体"/>
          <w:b/>
        </w:rPr>
        <w:t>磋商须知前附表</w:t>
      </w:r>
      <w:r>
        <w:rPr>
          <w:rFonts w:hint="eastAsia" w:ascii="宋体" w:hAnsi="宋体" w:eastAsia="宋体" w:cs="宋体"/>
        </w:rPr>
        <w:t>中另有规定，</w:t>
      </w:r>
      <w:r>
        <w:rPr>
          <w:rFonts w:hint="eastAsia" w:ascii="宋体" w:hAnsi="宋体" w:eastAsia="宋体" w:cs="宋体"/>
          <w:szCs w:val="21"/>
        </w:rPr>
        <w:t>联合体各方中至少有一方应当符合本章第3.1</w:t>
      </w:r>
      <w:r>
        <w:rPr>
          <w:rFonts w:hint="eastAsia" w:ascii="宋体" w:hAnsi="宋体" w:eastAsia="宋体" w:cs="宋体"/>
          <w:kern w:val="0"/>
          <w:szCs w:val="21"/>
          <w:lang w:val="zh-CN"/>
        </w:rPr>
        <w:t>款</w:t>
      </w:r>
      <w:r>
        <w:rPr>
          <w:rFonts w:hint="eastAsia" w:ascii="宋体" w:hAnsi="宋体" w:eastAsia="宋体" w:cs="宋体"/>
          <w:szCs w:val="21"/>
        </w:rPr>
        <w:t>规定的供应商特定资格条件；</w:t>
      </w:r>
    </w:p>
    <w:p w14:paraId="1F56502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val="zh-CN"/>
        </w:rPr>
      </w:pPr>
      <w:r>
        <w:rPr>
          <w:rFonts w:hint="eastAsia" w:ascii="宋体" w:hAnsi="宋体" w:eastAsia="宋体" w:cs="宋体"/>
          <w:szCs w:val="21"/>
        </w:rPr>
        <w:t>（4）</w:t>
      </w:r>
      <w:r>
        <w:rPr>
          <w:rFonts w:hint="eastAsia" w:ascii="宋体" w:hAnsi="宋体" w:eastAsia="宋体" w:cs="宋体"/>
          <w:kern w:val="0"/>
          <w:szCs w:val="21"/>
          <w:lang w:val="zh-CN"/>
        </w:rPr>
        <w:t>联合体各方不得再单独或与其他供应商组成新的联合体参加同一项目的采购活动。</w:t>
      </w:r>
    </w:p>
    <w:p w14:paraId="54D71AEA">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7.现场勘察</w:t>
      </w:r>
    </w:p>
    <w:p w14:paraId="2E5240F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7.1供应商应按</w:t>
      </w:r>
      <w:r>
        <w:rPr>
          <w:rFonts w:hint="eastAsia" w:ascii="宋体" w:hAnsi="宋体" w:eastAsia="宋体" w:cs="宋体"/>
          <w:b/>
        </w:rPr>
        <w:t>磋商须知前附表</w:t>
      </w:r>
      <w:r>
        <w:rPr>
          <w:rFonts w:hint="eastAsia" w:ascii="宋体" w:hAnsi="宋体" w:eastAsia="宋体" w:cs="宋体"/>
        </w:rPr>
        <w:t>中规定</w:t>
      </w:r>
      <w:r>
        <w:rPr>
          <w:rFonts w:hint="eastAsia" w:ascii="宋体" w:hAnsi="宋体" w:eastAsia="宋体" w:cs="宋体"/>
          <w:szCs w:val="21"/>
        </w:rPr>
        <w:t>对采购项目现场和周围环境的现场考察。</w:t>
      </w:r>
    </w:p>
    <w:p w14:paraId="16E15B1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7.2勘察现场的费用由供应商自己承担，勘察期间所发生的人身伤害及财产损失由供应商自己负责。</w:t>
      </w:r>
    </w:p>
    <w:p w14:paraId="0D1164C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
          <w:szCs w:val="21"/>
        </w:rPr>
      </w:pPr>
      <w:r>
        <w:rPr>
          <w:rFonts w:hint="eastAsia" w:ascii="宋体" w:hAnsi="宋体" w:eastAsia="宋体" w:cs="宋体"/>
          <w:szCs w:val="21"/>
        </w:rPr>
        <w:t>7.3采购人不对供应商据此而做出的推论、理解和结论负责。一旦成交，供应商不得以任何借口，提出额外补偿，或延长合同期限的要求。</w:t>
      </w:r>
    </w:p>
    <w:p w14:paraId="343234F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8.采购进口产品</w:t>
      </w:r>
    </w:p>
    <w:p w14:paraId="2E8510E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szCs w:val="21"/>
        </w:rPr>
        <w:t>8.1除</w:t>
      </w:r>
      <w:r>
        <w:rPr>
          <w:rFonts w:hint="eastAsia" w:ascii="宋体" w:hAnsi="宋体" w:eastAsia="宋体" w:cs="宋体"/>
          <w:b/>
          <w:szCs w:val="21"/>
        </w:rPr>
        <w:t>磋商文件前附表</w:t>
      </w:r>
      <w:r>
        <w:rPr>
          <w:rFonts w:hint="eastAsia" w:ascii="宋体" w:hAnsi="宋体" w:eastAsia="宋体" w:cs="宋体"/>
          <w:szCs w:val="21"/>
        </w:rPr>
        <w:t>另有规定外，本项目</w:t>
      </w:r>
      <w:r>
        <w:rPr>
          <w:rFonts w:hint="eastAsia" w:ascii="宋体" w:hAnsi="宋体" w:eastAsia="宋体" w:cs="宋体"/>
          <w:kern w:val="0"/>
          <w:szCs w:val="21"/>
        </w:rPr>
        <w:t>拒绝进口产品参加</w:t>
      </w:r>
      <w:r>
        <w:rPr>
          <w:rFonts w:hint="eastAsia" w:ascii="宋体" w:hAnsi="宋体" w:eastAsia="宋体" w:cs="宋体"/>
          <w:szCs w:val="21"/>
        </w:rPr>
        <w:t>竞争性磋商采购活动</w:t>
      </w:r>
      <w:r>
        <w:rPr>
          <w:rFonts w:hint="eastAsia" w:ascii="宋体" w:hAnsi="宋体" w:eastAsia="宋体" w:cs="宋体"/>
          <w:kern w:val="0"/>
          <w:szCs w:val="21"/>
        </w:rPr>
        <w:t>。</w:t>
      </w:r>
    </w:p>
    <w:p w14:paraId="038C483D">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8.2</w:t>
      </w:r>
      <w:r>
        <w:rPr>
          <w:rFonts w:hint="eastAsia" w:ascii="宋体" w:hAnsi="宋体" w:eastAsia="宋体" w:cs="宋体"/>
          <w:szCs w:val="21"/>
        </w:rPr>
        <w:t>本章第7.1</w:t>
      </w:r>
      <w:r>
        <w:rPr>
          <w:rFonts w:hint="eastAsia" w:ascii="宋体" w:hAnsi="宋体" w:eastAsia="宋体" w:cs="宋体"/>
          <w:kern w:val="0"/>
          <w:szCs w:val="21"/>
          <w:lang w:val="zh-CN"/>
        </w:rPr>
        <w:t>款</w:t>
      </w:r>
      <w:r>
        <w:rPr>
          <w:rFonts w:hint="eastAsia" w:ascii="宋体" w:hAnsi="宋体" w:eastAsia="宋体" w:cs="宋体"/>
          <w:szCs w:val="21"/>
        </w:rPr>
        <w:t>规定</w:t>
      </w:r>
      <w:r>
        <w:rPr>
          <w:rFonts w:hint="eastAsia" w:ascii="宋体" w:hAnsi="宋体" w:eastAsia="宋体" w:cs="宋体"/>
          <w:kern w:val="0"/>
          <w:szCs w:val="21"/>
        </w:rPr>
        <w:t>同意购买进口产品的，</w:t>
      </w:r>
      <w:r>
        <w:rPr>
          <w:rFonts w:hint="eastAsia" w:ascii="宋体" w:hAnsi="宋体" w:eastAsia="宋体" w:cs="宋体"/>
          <w:szCs w:val="21"/>
        </w:rPr>
        <w:t>本项目</w:t>
      </w:r>
      <w:r>
        <w:rPr>
          <w:rFonts w:hint="eastAsia" w:ascii="宋体" w:hAnsi="宋体" w:eastAsia="宋体" w:cs="宋体"/>
          <w:kern w:val="0"/>
          <w:szCs w:val="21"/>
          <w:lang w:val="zh-CN"/>
        </w:rPr>
        <w:t>采购活动</w:t>
      </w:r>
      <w:r>
        <w:rPr>
          <w:rFonts w:hint="eastAsia" w:ascii="宋体" w:hAnsi="宋体" w:eastAsia="宋体" w:cs="宋体"/>
          <w:kern w:val="0"/>
          <w:szCs w:val="21"/>
        </w:rPr>
        <w:t>不限制满足</w:t>
      </w:r>
      <w:r>
        <w:rPr>
          <w:rFonts w:hint="eastAsia" w:ascii="宋体" w:hAnsi="宋体" w:eastAsia="宋体" w:cs="宋体"/>
          <w:szCs w:val="21"/>
        </w:rPr>
        <w:t>磋商文件要求</w:t>
      </w:r>
      <w:r>
        <w:rPr>
          <w:rFonts w:hint="eastAsia" w:ascii="宋体" w:hAnsi="宋体" w:eastAsia="宋体" w:cs="宋体"/>
          <w:kern w:val="0"/>
          <w:szCs w:val="21"/>
        </w:rPr>
        <w:t>的国内产品参与</w:t>
      </w:r>
      <w:r>
        <w:rPr>
          <w:rFonts w:hint="eastAsia" w:ascii="宋体" w:hAnsi="宋体" w:eastAsia="宋体" w:cs="宋体"/>
          <w:szCs w:val="21"/>
        </w:rPr>
        <w:t>竞争性磋商</w:t>
      </w:r>
      <w:r>
        <w:rPr>
          <w:rFonts w:hint="eastAsia" w:ascii="宋体" w:hAnsi="宋体" w:eastAsia="宋体" w:cs="宋体"/>
          <w:kern w:val="0"/>
          <w:szCs w:val="21"/>
        </w:rPr>
        <w:t>。</w:t>
      </w:r>
    </w:p>
    <w:p w14:paraId="1274EB9A">
      <w:pPr>
        <w:keepNext w:val="0"/>
        <w:keepLines w:val="0"/>
        <w:pageBreakBefore w:val="0"/>
        <w:numPr>
          <w:ilvl w:val="0"/>
          <w:numId w:val="1"/>
        </w:numPr>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政府采购政策支持</w:t>
      </w:r>
    </w:p>
    <w:p w14:paraId="59578F03">
      <w:pPr>
        <w:adjustRightInd w:val="0"/>
        <w:snapToGrid w:val="0"/>
        <w:spacing w:before="156" w:beforeLines="50" w:line="360" w:lineRule="auto"/>
        <w:ind w:firstLine="420" w:firstLineChars="200"/>
        <w:jc w:val="left"/>
        <w:rPr>
          <w:rFonts w:hint="eastAsia" w:ascii="宋体" w:hAnsi="宋体" w:cs="宋体"/>
          <w:color w:val="auto"/>
          <w:kern w:val="0"/>
        </w:rPr>
      </w:pPr>
      <w:r>
        <w:rPr>
          <w:rFonts w:hint="eastAsia" w:ascii="宋体" w:hAnsi="宋体"/>
          <w:color w:val="auto"/>
          <w:lang w:val="en-US" w:eastAsia="zh-CN"/>
        </w:rPr>
        <w:t>9.1</w:t>
      </w:r>
      <w:r>
        <w:rPr>
          <w:rFonts w:hint="eastAsia" w:ascii="宋体" w:hAnsi="宋体" w:cs="宋体"/>
          <w:color w:val="auto"/>
          <w:kern w:val="0"/>
        </w:rPr>
        <w:t>强制采购：</w:t>
      </w:r>
    </w:p>
    <w:p w14:paraId="32CAC626">
      <w:pPr>
        <w:adjustRightInd w:val="0"/>
        <w:snapToGrid w:val="0"/>
        <w:spacing w:before="156" w:beforeLines="50" w:line="360" w:lineRule="auto"/>
        <w:ind w:firstLine="420" w:firstLineChars="200"/>
        <w:jc w:val="left"/>
        <w:rPr>
          <w:rFonts w:ascii="宋体" w:hAnsi="宋体" w:cs="宋体"/>
          <w:color w:val="auto"/>
          <w:kern w:val="0"/>
        </w:rPr>
      </w:pPr>
      <w:r>
        <w:rPr>
          <w:rFonts w:hint="eastAsia" w:ascii="宋体" w:hAnsi="宋体" w:cs="宋体"/>
          <w:color w:val="auto"/>
          <w:kern w:val="0"/>
        </w:rPr>
        <w:t>（1）纳入财政部会同国务院有关部门发布的节能产品政府采购品目清单，实施政府强制采购的（品目清单标注</w:t>
      </w:r>
      <w:r>
        <w:rPr>
          <w:rFonts w:hint="eastAsia" w:ascii="宋体" w:hAnsi="宋体" w:cs="宋体"/>
          <w:color w:val="auto"/>
          <w:kern w:val="0"/>
        </w:rPr>
        <w:sym w:font="Wingdings" w:char="F0AB"/>
      </w:r>
      <w:r>
        <w:rPr>
          <w:rFonts w:hint="eastAsia" w:ascii="宋体" w:hAnsi="宋体" w:cs="宋体"/>
          <w:color w:val="auto"/>
          <w:kern w:val="0"/>
        </w:rPr>
        <w:t>符号产品），</w:t>
      </w:r>
      <w:r>
        <w:rPr>
          <w:rFonts w:hint="eastAsia" w:ascii="宋体" w:hAnsi="宋体" w:cs="宋体"/>
          <w:color w:val="auto"/>
          <w:kern w:val="0"/>
          <w:lang w:eastAsia="zh-CN"/>
        </w:rPr>
        <w:t>供应商</w:t>
      </w:r>
      <w:r>
        <w:rPr>
          <w:rFonts w:hint="eastAsia" w:ascii="宋体" w:hAnsi="宋体" w:cs="宋体"/>
          <w:color w:val="auto"/>
          <w:kern w:val="0"/>
          <w:lang w:val="en-US" w:eastAsia="zh-CN"/>
        </w:rPr>
        <w:t>提供的</w:t>
      </w:r>
      <w:r>
        <w:rPr>
          <w:rFonts w:hint="eastAsia" w:ascii="宋体" w:hAnsi="宋体" w:cs="宋体"/>
          <w:color w:val="auto"/>
          <w:kern w:val="0"/>
        </w:rPr>
        <w:t>产品应当取得国家确定的认证机构出具的、处于有效期之内的节能产品认证证书，否则其</w:t>
      </w:r>
      <w:r>
        <w:rPr>
          <w:rFonts w:hint="eastAsia" w:ascii="宋体" w:hAnsi="宋体" w:cs="宋体"/>
          <w:b/>
          <w:bCs/>
          <w:color w:val="auto"/>
          <w:kern w:val="0"/>
          <w:lang w:val="en-US" w:eastAsia="zh-CN"/>
        </w:rPr>
        <w:t>响应</w:t>
      </w:r>
      <w:r>
        <w:rPr>
          <w:rFonts w:hint="eastAsia" w:ascii="宋体" w:hAnsi="宋体" w:cs="宋体"/>
          <w:b/>
          <w:bCs/>
          <w:color w:val="auto"/>
          <w:kern w:val="0"/>
          <w:szCs w:val="21"/>
        </w:rPr>
        <w:t>无效</w:t>
      </w:r>
      <w:r>
        <w:rPr>
          <w:rFonts w:hint="eastAsia" w:ascii="宋体" w:hAnsi="宋体" w:cs="宋体"/>
          <w:color w:val="auto"/>
          <w:kern w:val="0"/>
        </w:rPr>
        <w:t>。</w:t>
      </w:r>
    </w:p>
    <w:p w14:paraId="1B810C1F">
      <w:pPr>
        <w:adjustRightInd w:val="0"/>
        <w:snapToGrid w:val="0"/>
        <w:spacing w:before="156" w:beforeLines="50" w:line="360" w:lineRule="auto"/>
        <w:ind w:firstLine="420" w:firstLineChars="200"/>
        <w:jc w:val="left"/>
        <w:rPr>
          <w:rFonts w:hint="eastAsia" w:ascii="宋体" w:hAnsi="宋体"/>
          <w:color w:val="auto"/>
          <w:lang w:val="en-US" w:eastAsia="zh-CN"/>
        </w:rPr>
      </w:pPr>
      <w:r>
        <w:rPr>
          <w:rFonts w:hint="eastAsia" w:ascii="宋体" w:hAnsi="宋体" w:cs="宋体"/>
          <w:color w:val="auto"/>
          <w:kern w:val="0"/>
          <w:lang w:val="en-US" w:eastAsia="zh-CN"/>
        </w:rPr>
        <w:t>9</w:t>
      </w:r>
      <w:r>
        <w:rPr>
          <w:rFonts w:hint="eastAsia" w:ascii="宋体" w:hAnsi="宋体" w:cs="宋体"/>
          <w:color w:val="auto"/>
          <w:kern w:val="0"/>
        </w:rPr>
        <w:t>.2</w:t>
      </w:r>
      <w:r>
        <w:rPr>
          <w:rFonts w:hint="eastAsia" w:ascii="宋体" w:hAnsi="宋体"/>
          <w:color w:val="auto"/>
          <w:lang w:val="en-US" w:eastAsia="zh-CN"/>
        </w:rPr>
        <w:t>优先采购：</w:t>
      </w:r>
    </w:p>
    <w:p w14:paraId="7E50E374">
      <w:pPr>
        <w:adjustRightInd w:val="0"/>
        <w:snapToGrid w:val="0"/>
        <w:spacing w:before="156" w:beforeLines="50" w:line="360" w:lineRule="auto"/>
        <w:ind w:firstLine="420" w:firstLineChars="200"/>
        <w:jc w:val="left"/>
        <w:rPr>
          <w:rFonts w:hint="eastAsia" w:ascii="宋体" w:hAnsi="宋体" w:eastAsia="宋体" w:cs="宋体"/>
          <w:color w:val="auto"/>
          <w:kern w:val="0"/>
          <w:lang w:eastAsia="zh-CN"/>
        </w:rPr>
      </w:pPr>
      <w:r>
        <w:rPr>
          <w:rFonts w:hint="eastAsia" w:ascii="宋体" w:hAnsi="宋体"/>
          <w:color w:val="auto"/>
        </w:rPr>
        <w:t>（1）</w:t>
      </w:r>
      <w:r>
        <w:rPr>
          <w:rFonts w:hint="eastAsia" w:ascii="宋体" w:hAnsi="宋体"/>
          <w:color w:val="auto"/>
          <w:szCs w:val="21"/>
        </w:rPr>
        <w:t>纳入财政部会同国务院有关部门发布的节能产品、环境标志产品政府采购品目清单，实施政府优先采购的，评审时按</w:t>
      </w:r>
      <w:r>
        <w:rPr>
          <w:rFonts w:hint="eastAsia" w:ascii="宋体" w:hAnsi="宋体" w:eastAsia="宋体" w:cs="宋体"/>
          <w:b/>
          <w:kern w:val="0"/>
          <w:szCs w:val="21"/>
        </w:rPr>
        <w:t>磋商文件前附表</w:t>
      </w:r>
      <w:r>
        <w:rPr>
          <w:rFonts w:hint="eastAsia" w:ascii="宋体" w:hAnsi="宋体"/>
          <w:color w:val="auto"/>
          <w:szCs w:val="21"/>
        </w:rPr>
        <w:t>对该部分产品给予一定比例的价格折扣或者加分</w:t>
      </w:r>
      <w:r>
        <w:rPr>
          <w:rFonts w:hint="eastAsia" w:ascii="宋体" w:hAnsi="宋体"/>
          <w:color w:val="auto"/>
          <w:szCs w:val="21"/>
          <w:lang w:eastAsia="zh-CN"/>
        </w:rPr>
        <w:t>。</w:t>
      </w:r>
    </w:p>
    <w:p w14:paraId="32858888">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lang w:val="en-US" w:eastAsia="zh-CN"/>
        </w:rPr>
        <w:t>9</w:t>
      </w:r>
      <w:r>
        <w:rPr>
          <w:rFonts w:hint="eastAsia" w:ascii="宋体" w:hAnsi="宋体"/>
          <w:color w:val="auto"/>
        </w:rPr>
        <w:t>.3价格评审优惠：</w:t>
      </w:r>
    </w:p>
    <w:p w14:paraId="399DAE8D">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（1）在政府采购活动中，供应商提供的货物、工程或者服务符合下列情形的：</w:t>
      </w:r>
      <w:r>
        <w:rPr>
          <w:rFonts w:hint="eastAsia" w:ascii="宋体" w:hAnsi="宋体"/>
          <w:color w:val="auto"/>
          <w:lang w:eastAsia="zh-CN"/>
        </w:rPr>
        <w:t>（</w:t>
      </w:r>
      <w:r>
        <w:rPr>
          <w:rFonts w:hint="eastAsia" w:ascii="宋体" w:hAnsi="宋体"/>
          <w:color w:val="auto"/>
          <w:lang w:val="en-US" w:eastAsia="zh-CN"/>
        </w:rPr>
        <w:t>一</w:t>
      </w:r>
      <w:r>
        <w:rPr>
          <w:rFonts w:hint="eastAsia" w:ascii="宋体" w:hAnsi="宋体"/>
          <w:color w:val="auto"/>
          <w:lang w:eastAsia="zh-CN"/>
        </w:rPr>
        <w:t>）</w:t>
      </w:r>
      <w:r>
        <w:rPr>
          <w:rFonts w:hint="eastAsia" w:ascii="宋体" w:hAnsi="宋体"/>
          <w:color w:val="auto"/>
        </w:rPr>
        <w:t>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w:t>
      </w:r>
      <w:r>
        <w:rPr>
          <w:rFonts w:hint="eastAsia" w:ascii="宋体" w:hAnsi="宋体"/>
          <w:color w:val="auto"/>
          <w:lang w:val="en-US" w:eastAsia="zh-CN"/>
        </w:rPr>
        <w:t>劳动合同法</w:t>
      </w:r>
      <w:r>
        <w:rPr>
          <w:rFonts w:hint="eastAsia" w:ascii="宋体" w:hAnsi="宋体"/>
          <w:color w:val="auto"/>
        </w:rPr>
        <w:t>》订立劳动合同的从业人员</w:t>
      </w:r>
      <w:r>
        <w:rPr>
          <w:rFonts w:hint="eastAsia" w:ascii="宋体" w:hAnsi="宋体"/>
          <w:color w:val="auto"/>
          <w:lang w:eastAsia="zh-CN"/>
        </w:rPr>
        <w:t>；</w:t>
      </w:r>
      <w:r>
        <w:rPr>
          <w:rFonts w:hint="eastAsia" w:ascii="宋体" w:hAnsi="宋体"/>
          <w:color w:val="auto"/>
        </w:rPr>
        <w:t>给予一定比例的价格折扣，用扣除后的价格参与评审；</w:t>
      </w:r>
    </w:p>
    <w:p w14:paraId="5C2F6DEE">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14E03490">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6587C4A4">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（3）符合中小企业划分标准的个体工商户视同中小企业，享受评审中价格扣除等促进中小企业发展的政府采购政策。</w:t>
      </w:r>
    </w:p>
    <w:p w14:paraId="7670EA4B">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（4）监狱企业、残疾人福利性单位视同小型、微型企业，享受评审中价格扣除等促进中小企业发展的政府采购政策。</w:t>
      </w:r>
    </w:p>
    <w:p w14:paraId="538BCC60">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 xml:space="preserve">（5）与大企业的负责人为同一人，或者与大企业存在直接控股、管理关系的中小企业，不享受评审中价格扣除等促进中小企业发展的政府采购政策。 </w:t>
      </w:r>
    </w:p>
    <w:p w14:paraId="495B9B20">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（6）本章第1.2款规定采购项目或者采购包属于“预留采购份额”的，预留部分不再享受本款“价格评审优惠”的小微企业扶持政策。</w:t>
      </w:r>
    </w:p>
    <w:p w14:paraId="7A27D1A5">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lang w:val="en-US" w:eastAsia="zh-CN"/>
        </w:rPr>
        <w:t>9</w:t>
      </w:r>
      <w:r>
        <w:rPr>
          <w:rFonts w:hint="eastAsia" w:ascii="宋体" w:hAnsi="宋体"/>
          <w:color w:val="auto"/>
        </w:rPr>
        <w:t>.4政府采购政策交叉与叠加</w:t>
      </w:r>
    </w:p>
    <w:p w14:paraId="06EB1C15">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hint="eastAsia" w:ascii="宋体" w:hAnsi="宋体"/>
          <w:color w:val="auto"/>
          <w:lang w:val="en-US" w:eastAsia="zh-CN"/>
        </w:rPr>
        <w:t>供应商</w:t>
      </w:r>
      <w:r>
        <w:rPr>
          <w:rFonts w:hint="eastAsia" w:ascii="宋体" w:hAnsi="宋体"/>
          <w:color w:val="auto"/>
        </w:rPr>
        <w:t>产品取得两个及以上优先采购产品认证的，评审时只有其中一项产品能享受优先采购优惠（</w:t>
      </w:r>
      <w:r>
        <w:rPr>
          <w:rFonts w:hint="eastAsia" w:ascii="宋体" w:hAnsi="宋体"/>
          <w:color w:val="auto"/>
          <w:lang w:eastAsia="zh-CN"/>
        </w:rPr>
        <w:t>供应商</w:t>
      </w:r>
      <w:r>
        <w:rPr>
          <w:rFonts w:hint="eastAsia" w:ascii="宋体" w:hAnsi="宋体"/>
          <w:color w:val="auto"/>
        </w:rPr>
        <w:t>自行选择，并在投标文件中并填报相关信息及数据）</w:t>
      </w:r>
    </w:p>
    <w:p w14:paraId="355A2DF4">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（2）</w:t>
      </w:r>
      <w:r>
        <w:rPr>
          <w:rFonts w:hint="eastAsia" w:ascii="宋体" w:hAnsi="宋体"/>
          <w:color w:val="auto"/>
          <w:lang w:val="en-US" w:eastAsia="zh-CN"/>
        </w:rPr>
        <w:t>供应商</w:t>
      </w:r>
      <w:r>
        <w:rPr>
          <w:rFonts w:hint="eastAsia" w:ascii="宋体" w:hAnsi="宋体"/>
          <w:color w:val="auto"/>
        </w:rPr>
        <w:t>同时符合小型、微型企业及监狱企业、残疾人福利性单位要求的，评审时只有一种类型享受价格评审优惠政策；</w:t>
      </w:r>
    </w:p>
    <w:p w14:paraId="575ECBC0">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（3）小型和微型企业的价格评审优惠可以与同时属于“节能产品”、“环境标志产品”中的一项优先采购优惠累加计算。</w:t>
      </w:r>
    </w:p>
    <w:p w14:paraId="70407B4D">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lang w:val="en-US" w:eastAsia="zh-CN"/>
        </w:rPr>
        <w:t>9</w:t>
      </w:r>
      <w:r>
        <w:rPr>
          <w:rFonts w:hint="eastAsia" w:ascii="宋体" w:hAnsi="宋体"/>
          <w:color w:val="auto"/>
        </w:rPr>
        <w:t>.5在货物采购项目中，供应商提供的货物既有中小企业制造货物，也有大型企业制造货物的，不享受政府采购中小企业扶持政策。</w:t>
      </w:r>
    </w:p>
    <w:p w14:paraId="77C28198">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lang w:val="en-US" w:eastAsia="zh-CN"/>
        </w:rPr>
        <w:t>9</w:t>
      </w:r>
      <w:r>
        <w:rPr>
          <w:rFonts w:hint="eastAsia" w:ascii="宋体" w:hAnsi="宋体"/>
          <w:color w:val="auto"/>
        </w:rPr>
        <w:t>.6</w:t>
      </w:r>
      <w:r>
        <w:rPr>
          <w:rFonts w:hint="eastAsia" w:ascii="宋体" w:hAnsi="宋体"/>
          <w:color w:val="auto"/>
          <w:lang w:val="en-US" w:eastAsia="zh-CN"/>
        </w:rPr>
        <w:t>供应商</w:t>
      </w:r>
      <w:r>
        <w:rPr>
          <w:rFonts w:hint="eastAsia" w:ascii="宋体" w:hAnsi="宋体"/>
          <w:color w:val="auto"/>
        </w:rPr>
        <w:t>符合本章第</w:t>
      </w:r>
      <w:r>
        <w:rPr>
          <w:rFonts w:hint="eastAsia" w:ascii="宋体" w:hAnsi="宋体"/>
          <w:color w:val="auto"/>
          <w:lang w:val="en-US" w:eastAsia="zh-CN"/>
        </w:rPr>
        <w:t>9</w:t>
      </w:r>
      <w:r>
        <w:rPr>
          <w:rFonts w:hint="eastAsia" w:ascii="宋体" w:hAnsi="宋体"/>
          <w:color w:val="auto"/>
        </w:rPr>
        <w:t>.1款、第</w:t>
      </w:r>
      <w:r>
        <w:rPr>
          <w:rFonts w:hint="eastAsia" w:ascii="宋体" w:hAnsi="宋体"/>
          <w:color w:val="auto"/>
          <w:lang w:val="en-US" w:eastAsia="zh-CN"/>
        </w:rPr>
        <w:t>9</w:t>
      </w:r>
      <w:r>
        <w:rPr>
          <w:rFonts w:hint="eastAsia" w:ascii="宋体" w:hAnsi="宋体"/>
          <w:color w:val="auto"/>
        </w:rPr>
        <w:t>.2款、第</w:t>
      </w:r>
      <w:r>
        <w:rPr>
          <w:rFonts w:hint="eastAsia" w:ascii="宋体" w:hAnsi="宋体"/>
          <w:color w:val="auto"/>
          <w:lang w:val="en-US" w:eastAsia="zh-CN"/>
        </w:rPr>
        <w:t>9</w:t>
      </w:r>
      <w:r>
        <w:rPr>
          <w:rFonts w:hint="eastAsia" w:ascii="宋体" w:hAnsi="宋体"/>
          <w:color w:val="auto"/>
        </w:rPr>
        <w:t>.3款规定的，应提供相关证明资料。</w:t>
      </w:r>
    </w:p>
    <w:p w14:paraId="605A77A6">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（1）节能产品、环境标志产品：提供国家确定的认证机构出具的、处于有效期之内的节能产品、环境标志产品认证证书。</w:t>
      </w:r>
    </w:p>
    <w:p w14:paraId="4BF3BCC3">
      <w:pPr>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olor w:val="auto"/>
        </w:rPr>
        <w:t>（</w:t>
      </w:r>
      <w:r>
        <w:rPr>
          <w:rFonts w:hint="eastAsia" w:ascii="宋体" w:hAnsi="宋体"/>
          <w:color w:val="auto"/>
          <w:lang w:val="en-US" w:eastAsia="zh-CN"/>
        </w:rPr>
        <w:t>2</w:t>
      </w:r>
      <w:r>
        <w:rPr>
          <w:rFonts w:hint="eastAsia" w:ascii="宋体" w:hAnsi="宋体"/>
          <w:color w:val="auto"/>
        </w:rPr>
        <w:t>）中小企业：</w:t>
      </w:r>
      <w:r>
        <w:rPr>
          <w:rFonts w:hint="eastAsia" w:ascii="宋体" w:hAnsi="宋体"/>
          <w:color w:val="auto"/>
          <w:lang w:val="en-US" w:eastAsia="zh-CN"/>
        </w:rPr>
        <w:t>货物类采购项目，</w:t>
      </w:r>
      <w:r>
        <w:rPr>
          <w:rFonts w:hint="eastAsia" w:ascii="宋体" w:hAnsi="宋体"/>
          <w:color w:val="auto"/>
        </w:rPr>
        <w:t>按《关于印发＜政府采购促进中小企业发展办法＞的通知》(财库[2020]46号) 和《关于印发中小企业划型标准规定的通知》（工信部联企业〔2011〕300号）文件规定提供中小企业声明函（格式）</w:t>
      </w:r>
      <w:r>
        <w:rPr>
          <w:rFonts w:hint="eastAsia" w:ascii="宋体" w:hAnsi="宋体"/>
          <w:color w:val="auto"/>
          <w:lang w:eastAsia="zh-CN"/>
        </w:rPr>
        <w:t>；</w:t>
      </w:r>
      <w:r>
        <w:rPr>
          <w:rFonts w:hint="eastAsia" w:ascii="宋体" w:hAnsi="宋体"/>
          <w:color w:val="auto"/>
          <w:lang w:val="en-US" w:eastAsia="zh-CN"/>
        </w:rPr>
        <w:t>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rPr>
        <w:t>。</w:t>
      </w:r>
    </w:p>
    <w:p w14:paraId="0A4FED08">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3</w:t>
      </w:r>
      <w:r>
        <w:rPr>
          <w:rFonts w:hint="eastAsia" w:ascii="宋体" w:hAnsi="宋体" w:eastAsia="宋体" w:cs="宋体"/>
          <w:color w:val="auto"/>
        </w:rPr>
        <w:t>）监狱企业：按《关于政府采购支持监狱企业发展有关问题的通知》(财库〔2014〕68号)文件规定提供证明文件。</w:t>
      </w:r>
    </w:p>
    <w:p w14:paraId="4C214F06">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4</w:t>
      </w:r>
      <w:r>
        <w:rPr>
          <w:rFonts w:hint="eastAsia" w:ascii="宋体" w:hAnsi="宋体" w:eastAsia="宋体" w:cs="宋体"/>
          <w:color w:val="auto"/>
        </w:rPr>
        <w:t>）残疾人福利性单位：按《关于促进残疾人就业政府采购政策的通知》(财库〔2017〕141号)文件规定提供《残疾人福利性单位声明函》（格式）。</w:t>
      </w:r>
    </w:p>
    <w:p w14:paraId="4DD5365C">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color w:val="auto"/>
          <w:lang w:val="en-US" w:eastAsia="zh-CN"/>
        </w:rPr>
        <w:t>9</w:t>
      </w:r>
      <w:r>
        <w:rPr>
          <w:rFonts w:hint="eastAsia" w:ascii="宋体" w:hAnsi="宋体" w:eastAsia="宋体"/>
          <w:color w:val="auto"/>
        </w:rPr>
        <w:t>.7执行中小企业预留采购份额政策的规定：</w:t>
      </w:r>
    </w:p>
    <w:p w14:paraId="739FA584">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color w:val="auto"/>
        </w:rPr>
        <w:t>（1）预留份额的采购项目或者采购包，应明确该项目或相关采购包专门面向中小企业采购，并作为供应商资格条件。</w:t>
      </w:r>
    </w:p>
    <w:p w14:paraId="588A4AB8">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color w:val="auto"/>
        </w:rPr>
        <w:t>（2）要求以联合体形式参加或者合同分包的，应明确联合协议或者分包意向协议中中小企业合同金额应当达到的比例，并作为供应商资格条件。</w:t>
      </w:r>
    </w:p>
    <w:p w14:paraId="4CF3D462">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color w:val="auto"/>
        </w:rPr>
        <w:t>（3）组成联合体或者接受分包合同的中小企业与联合体内其他企业(成员)、分包企业(</w:t>
      </w:r>
      <w:r>
        <w:rPr>
          <w:rFonts w:hint="eastAsia" w:ascii="宋体" w:hAnsi="宋体" w:eastAsia="宋体"/>
          <w:color w:val="auto"/>
          <w:lang w:eastAsia="zh-CN"/>
        </w:rPr>
        <w:t>供应商</w:t>
      </w:r>
      <w:r>
        <w:rPr>
          <w:rFonts w:hint="eastAsia" w:ascii="宋体" w:hAnsi="宋体" w:eastAsia="宋体"/>
          <w:color w:val="auto"/>
        </w:rPr>
        <w:t>)之间不得存在直接控股、管理关系。</w:t>
      </w:r>
    </w:p>
    <w:p w14:paraId="49CA3F26">
      <w:pPr>
        <w:pStyle w:val="62"/>
        <w:numPr>
          <w:ilvl w:val="0"/>
          <w:numId w:val="0"/>
        </w:numPr>
        <w:rPr>
          <w:rFonts w:hint="eastAsia"/>
        </w:rPr>
      </w:pPr>
    </w:p>
    <w:p w14:paraId="2CBB84C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sz w:val="28"/>
          <w:szCs w:val="28"/>
        </w:rPr>
      </w:pPr>
      <w:bookmarkStart w:id="61" w:name="_Toc10387"/>
      <w:bookmarkStart w:id="62" w:name="_Toc15078"/>
      <w:bookmarkStart w:id="63" w:name="_Toc15912"/>
      <w:bookmarkStart w:id="64" w:name="_Toc29485"/>
      <w:r>
        <w:rPr>
          <w:rFonts w:hint="default" w:ascii="Times New Roman" w:hAnsi="Times New Roman" w:eastAsia="黑体" w:cs="Times New Roman"/>
          <w:b/>
          <w:sz w:val="28"/>
          <w:szCs w:val="28"/>
        </w:rPr>
        <w:t>二、磋商文件</w:t>
      </w:r>
      <w:bookmarkEnd w:id="61"/>
      <w:bookmarkEnd w:id="62"/>
      <w:bookmarkEnd w:id="63"/>
      <w:bookmarkEnd w:id="64"/>
    </w:p>
    <w:p w14:paraId="0488A89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10．磋商文件的组成</w:t>
      </w:r>
    </w:p>
    <w:p w14:paraId="2433AE0F">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10.1磋商文件由下列文件组成：</w:t>
      </w:r>
    </w:p>
    <w:p w14:paraId="1E5116FB">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第一章磋商邀请</w:t>
      </w:r>
    </w:p>
    <w:p w14:paraId="5126577F">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第二章磋商须知</w:t>
      </w:r>
    </w:p>
    <w:p w14:paraId="602C016E">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第三章政府采购合同格式条款</w:t>
      </w:r>
    </w:p>
    <w:p w14:paraId="1F0DAEB7">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第四章采购需求</w:t>
      </w:r>
    </w:p>
    <w:p w14:paraId="707B975E">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第五章响应文件组成</w:t>
      </w:r>
    </w:p>
    <w:p w14:paraId="6247E9F1">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31AB816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rPr>
        <w:t>10.3</w:t>
      </w:r>
      <w:r>
        <w:rPr>
          <w:rFonts w:hint="eastAsia" w:ascii="宋体" w:hAnsi="宋体" w:eastAsia="宋体" w:cs="宋体"/>
          <w:szCs w:val="21"/>
        </w:rPr>
        <w:t>供应商应仔细阅读</w:t>
      </w:r>
      <w:r>
        <w:rPr>
          <w:rFonts w:hint="eastAsia" w:ascii="宋体" w:hAnsi="宋体" w:eastAsia="宋体" w:cs="宋体"/>
          <w:bCs/>
          <w:szCs w:val="21"/>
        </w:rPr>
        <w:t>磋商</w:t>
      </w:r>
      <w:r>
        <w:rPr>
          <w:rFonts w:hint="eastAsia" w:ascii="宋体" w:hAnsi="宋体" w:eastAsia="宋体" w:cs="宋体"/>
          <w:szCs w:val="21"/>
        </w:rPr>
        <w:t>文件的全部内容，按照</w:t>
      </w:r>
      <w:r>
        <w:rPr>
          <w:rFonts w:hint="eastAsia" w:ascii="宋体" w:hAnsi="宋体" w:eastAsia="宋体" w:cs="宋体"/>
          <w:bCs/>
          <w:szCs w:val="21"/>
        </w:rPr>
        <w:t>磋商</w:t>
      </w:r>
      <w:r>
        <w:rPr>
          <w:rFonts w:hint="eastAsia" w:ascii="宋体" w:hAnsi="宋体" w:eastAsia="宋体" w:cs="宋体"/>
          <w:szCs w:val="21"/>
        </w:rPr>
        <w:t>文件要求编制响应文件。任何对</w:t>
      </w:r>
      <w:r>
        <w:rPr>
          <w:rFonts w:hint="eastAsia" w:ascii="宋体" w:hAnsi="宋体" w:eastAsia="宋体" w:cs="宋体"/>
          <w:bCs/>
          <w:szCs w:val="21"/>
        </w:rPr>
        <w:t>磋商</w:t>
      </w:r>
      <w:r>
        <w:rPr>
          <w:rFonts w:hint="eastAsia" w:ascii="宋体" w:hAnsi="宋体" w:eastAsia="宋体" w:cs="宋体"/>
          <w:szCs w:val="21"/>
        </w:rPr>
        <w:t>文件的忽略或误解不能作为响应文件存在缺陷或瑕疵的理由，其风险由供应商承担。</w:t>
      </w:r>
    </w:p>
    <w:p w14:paraId="445A560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11.磋商文件的提供期限</w:t>
      </w:r>
    </w:p>
    <w:p w14:paraId="252485C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11.1磋商文件的提供期限自开始发出之日起不得少于五个工作日。具体提供期限见</w:t>
      </w:r>
      <w:r>
        <w:rPr>
          <w:rFonts w:hint="eastAsia" w:ascii="宋体" w:hAnsi="宋体" w:eastAsia="宋体" w:cs="宋体"/>
          <w:b/>
          <w:szCs w:val="21"/>
        </w:rPr>
        <w:t>磋商文件前附表</w:t>
      </w:r>
      <w:r>
        <w:rPr>
          <w:rFonts w:hint="eastAsia" w:ascii="宋体" w:hAnsi="宋体" w:eastAsia="宋体" w:cs="宋体"/>
          <w:szCs w:val="21"/>
        </w:rPr>
        <w:t>。</w:t>
      </w:r>
    </w:p>
    <w:p w14:paraId="6EED400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11.2供应商应持</w:t>
      </w:r>
      <w:r>
        <w:rPr>
          <w:rFonts w:hint="eastAsia" w:ascii="宋体" w:hAnsi="宋体" w:eastAsia="宋体" w:cs="宋体"/>
          <w:b/>
          <w:szCs w:val="21"/>
        </w:rPr>
        <w:t>磋商文件前附表</w:t>
      </w:r>
      <w:r>
        <w:rPr>
          <w:rFonts w:hint="eastAsia" w:ascii="宋体" w:hAnsi="宋体" w:eastAsia="宋体" w:cs="宋体"/>
          <w:szCs w:val="21"/>
        </w:rPr>
        <w:t>规定的资料领取或购买磋商文件。</w:t>
      </w:r>
    </w:p>
    <w:p w14:paraId="68DE4B8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12.提交首次响应文件的截止时间</w:t>
      </w:r>
    </w:p>
    <w:p w14:paraId="754AE0B4">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62908D1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13.磋商文件的澄清</w:t>
      </w:r>
      <w:r>
        <w:rPr>
          <w:rFonts w:hint="eastAsia" w:ascii="宋体" w:hAnsi="宋体" w:eastAsia="宋体" w:cs="宋体"/>
          <w:b/>
          <w:bCs/>
          <w:sz w:val="24"/>
          <w:szCs w:val="24"/>
          <w:lang w:val="zh-CN"/>
        </w:rPr>
        <w:t>或者</w:t>
      </w:r>
      <w:r>
        <w:rPr>
          <w:rFonts w:hint="eastAsia" w:ascii="宋体" w:hAnsi="宋体" w:eastAsia="宋体" w:cs="宋体"/>
          <w:b/>
          <w:bCs/>
          <w:sz w:val="24"/>
          <w:szCs w:val="24"/>
        </w:rPr>
        <w:t>修改</w:t>
      </w:r>
    </w:p>
    <w:p w14:paraId="3B819CF4">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eastAsia="zh-CN"/>
        </w:rPr>
      </w:pPr>
      <w:r>
        <w:rPr>
          <w:rFonts w:hint="eastAsia" w:ascii="宋体" w:hAnsi="宋体" w:eastAsia="宋体" w:cs="宋体"/>
          <w:szCs w:val="21"/>
        </w:rPr>
        <w:t>13.1在</w:t>
      </w:r>
      <w:r>
        <w:rPr>
          <w:rFonts w:hint="eastAsia" w:ascii="宋体" w:hAnsi="宋体" w:eastAsia="宋体" w:cs="宋体"/>
          <w:kern w:val="0"/>
          <w:szCs w:val="21"/>
        </w:rPr>
        <w:t>提交首次响应文件截止之日前，采购人、采购代理机构可以对已发出的磋商文件进行必要的澄清或者修改。</w:t>
      </w:r>
    </w:p>
    <w:p w14:paraId="01A57B90">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szCs w:val="21"/>
        </w:rPr>
        <w:t>13.2</w:t>
      </w:r>
      <w:r>
        <w:rPr>
          <w:rFonts w:hint="eastAsia" w:ascii="宋体" w:hAnsi="宋体" w:eastAsia="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48AB4D1B">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13.2</w:t>
      </w:r>
      <w:r>
        <w:rPr>
          <w:rFonts w:hint="eastAsia" w:ascii="宋体" w:hAnsi="宋体" w:eastAsia="宋体" w:cs="宋体"/>
          <w:kern w:val="0"/>
        </w:rPr>
        <w:t>提交首次响应文件截止时间前对磋商文件澄清或者修改内容，为磋商文件的组成部分。</w:t>
      </w:r>
    </w:p>
    <w:p w14:paraId="1680EDD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val="0"/>
          <w:bCs/>
          <w:sz w:val="28"/>
          <w:szCs w:val="28"/>
        </w:rPr>
      </w:pPr>
      <w:bookmarkStart w:id="65" w:name="_Toc25739"/>
      <w:bookmarkStart w:id="66" w:name="_Toc5264"/>
      <w:bookmarkStart w:id="67" w:name="_Toc4048"/>
      <w:bookmarkStart w:id="68" w:name="_Toc25292"/>
      <w:r>
        <w:rPr>
          <w:rFonts w:hint="default" w:ascii="Times New Roman" w:hAnsi="Times New Roman" w:eastAsia="黑体" w:cs="Times New Roman"/>
          <w:b w:val="0"/>
          <w:bCs/>
          <w:sz w:val="28"/>
          <w:szCs w:val="28"/>
        </w:rPr>
        <w:t>三、响应文件</w:t>
      </w:r>
      <w:bookmarkEnd w:id="65"/>
      <w:bookmarkEnd w:id="66"/>
      <w:bookmarkEnd w:id="67"/>
      <w:bookmarkEnd w:id="68"/>
    </w:p>
    <w:p w14:paraId="7B48104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14.一般要求</w:t>
      </w:r>
    </w:p>
    <w:p w14:paraId="4F21D99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bCs/>
          <w:szCs w:val="21"/>
        </w:rPr>
        <w:t>14.1供应商应仔细阅读磋商文件的所有内容，按磋商文件的要求编制响应文件，并保证所提供的全部资料的真实性，以使其响应文件对磋商文件做出实质性的响应。</w:t>
      </w:r>
    </w:p>
    <w:p w14:paraId="4CE0F8F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bCs/>
          <w:szCs w:val="21"/>
        </w:rPr>
        <w:t>14.2</w:t>
      </w:r>
      <w:r>
        <w:rPr>
          <w:rFonts w:hint="eastAsia" w:ascii="宋体" w:hAnsi="宋体" w:eastAsia="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38F0F8FC">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bCs/>
        </w:rPr>
        <w:t>14.3</w:t>
      </w:r>
      <w:r>
        <w:rPr>
          <w:rFonts w:hint="eastAsia" w:ascii="宋体" w:hAnsi="宋体" w:eastAsia="宋体" w:cs="宋体"/>
        </w:rPr>
        <w:t>计量单位应使用我国法定计量单位，未列明时应默认为我国法定计量单位。</w:t>
      </w:r>
    </w:p>
    <w:p w14:paraId="55115F96">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14.4响应文件应采用书面形式，电报、传真、电子邮件形式的响应文件概不接受。</w:t>
      </w:r>
    </w:p>
    <w:p w14:paraId="68229BA4">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14.5供应商应按磋商文件中提供的响应文件格式填写。</w:t>
      </w:r>
    </w:p>
    <w:p w14:paraId="0DE3273A">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15.响应文件的组成</w:t>
      </w:r>
    </w:p>
    <w:p w14:paraId="39D45C4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bookmarkStart w:id="69" w:name="_Toc18878"/>
      <w:r>
        <w:rPr>
          <w:rFonts w:hint="eastAsia" w:ascii="宋体" w:hAnsi="宋体" w:eastAsia="宋体" w:cs="宋体"/>
        </w:rPr>
        <w:t>15.1响应文件包括下列内容：</w:t>
      </w:r>
      <w:bookmarkEnd w:id="69"/>
    </w:p>
    <w:p w14:paraId="224D191A">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（1）磋商响应声明</w:t>
      </w:r>
    </w:p>
    <w:p w14:paraId="52758F4D">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（2）保证金（不需要提供）</w:t>
      </w:r>
    </w:p>
    <w:p w14:paraId="4857A879">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（3）供应商的资格证明文件</w:t>
      </w:r>
    </w:p>
    <w:p w14:paraId="74DB9D35">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（4）货物说明或者施工组织设计或者服务方案(根据项目属性编制)</w:t>
      </w:r>
    </w:p>
    <w:p w14:paraId="4C1BA07D">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（5）技术/商务响应与偏离表</w:t>
      </w:r>
    </w:p>
    <w:p w14:paraId="608EA8E6">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（6）提供享受政府采购政策的证明材料和清单表</w:t>
      </w:r>
    </w:p>
    <w:p w14:paraId="498BF279">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（7）报价一览表及报价文件，以及规定格式的首次报价的报价一览表及报价文件的电子文件</w:t>
      </w:r>
    </w:p>
    <w:p w14:paraId="7890699B">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（8）供应商认为需提供的其他资料</w:t>
      </w:r>
    </w:p>
    <w:p w14:paraId="7354F7A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15.2在磋商过程中，</w:t>
      </w:r>
      <w:r>
        <w:rPr>
          <w:rFonts w:hint="eastAsia" w:ascii="宋体" w:hAnsi="宋体" w:eastAsia="宋体" w:cs="宋体"/>
          <w:szCs w:val="21"/>
        </w:rPr>
        <w:t>供应商</w:t>
      </w:r>
      <w:r>
        <w:rPr>
          <w:rFonts w:hint="eastAsia" w:ascii="宋体" w:hAnsi="宋体" w:eastAsia="宋体" w:cs="宋体"/>
        </w:rPr>
        <w:t>根据</w:t>
      </w:r>
      <w:r>
        <w:rPr>
          <w:rFonts w:hint="eastAsia" w:ascii="宋体" w:hAnsi="宋体" w:eastAsia="宋体" w:cs="宋体"/>
          <w:kern w:val="0"/>
          <w:szCs w:val="21"/>
        </w:rPr>
        <w:t>磋商小组</w:t>
      </w:r>
      <w:r>
        <w:rPr>
          <w:rFonts w:hint="eastAsia" w:ascii="宋体" w:hAnsi="宋体" w:eastAsia="宋体" w:cs="宋体"/>
          <w:bCs/>
          <w:szCs w:val="21"/>
        </w:rPr>
        <w:t>书面形式要求</w:t>
      </w:r>
      <w:r>
        <w:rPr>
          <w:rFonts w:hint="eastAsia" w:ascii="宋体" w:hAnsi="宋体" w:eastAsia="宋体" w:cs="宋体"/>
          <w:kern w:val="0"/>
          <w:szCs w:val="21"/>
        </w:rPr>
        <w:t>提交的</w:t>
      </w:r>
      <w:r>
        <w:rPr>
          <w:rFonts w:hint="eastAsia" w:ascii="宋体" w:hAnsi="宋体" w:eastAsia="宋体" w:cs="宋体"/>
        </w:rPr>
        <w:t>最后报价(或者</w:t>
      </w:r>
      <w:r>
        <w:rPr>
          <w:rFonts w:hint="eastAsia" w:ascii="宋体" w:hAnsi="宋体" w:eastAsia="宋体" w:cs="宋体"/>
          <w:bCs/>
          <w:szCs w:val="21"/>
        </w:rPr>
        <w:t>重</w:t>
      </w:r>
      <w:r>
        <w:rPr>
          <w:rFonts w:hint="eastAsia" w:ascii="宋体" w:hAnsi="宋体" w:eastAsia="宋体" w:cs="宋体"/>
          <w:kern w:val="0"/>
          <w:szCs w:val="21"/>
        </w:rPr>
        <w:t>新提交的响应文件和</w:t>
      </w:r>
      <w:r>
        <w:rPr>
          <w:rFonts w:hint="eastAsia" w:ascii="宋体" w:hAnsi="宋体" w:eastAsia="宋体" w:cs="宋体"/>
        </w:rPr>
        <w:t>最后报价)是</w:t>
      </w:r>
      <w:r>
        <w:rPr>
          <w:rFonts w:hint="eastAsia" w:ascii="宋体" w:hAnsi="宋体" w:eastAsia="宋体" w:cs="宋体"/>
          <w:szCs w:val="21"/>
        </w:rPr>
        <w:t>响应文件</w:t>
      </w:r>
      <w:r>
        <w:rPr>
          <w:rFonts w:hint="eastAsia" w:ascii="宋体" w:hAnsi="宋体" w:eastAsia="宋体" w:cs="宋体"/>
        </w:rPr>
        <w:t>的有效组成部分。</w:t>
      </w:r>
    </w:p>
    <w:p w14:paraId="7295F65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szCs w:val="21"/>
        </w:rPr>
        <w:t>磋商文件规定可能发生实质性变动的，供应商应当在</w:t>
      </w:r>
      <w:r>
        <w:rPr>
          <w:rFonts w:hint="eastAsia" w:ascii="宋体" w:hAnsi="宋体" w:eastAsia="宋体" w:cs="宋体"/>
        </w:rPr>
        <w:t>《技术/商务响应与偏离表》中对应内容注明。</w:t>
      </w:r>
    </w:p>
    <w:p w14:paraId="606C2AA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rPr>
        <w:t>15.4</w:t>
      </w:r>
      <w:r>
        <w:rPr>
          <w:rFonts w:hint="eastAsia" w:ascii="宋体" w:hAnsi="宋体" w:eastAsia="宋体" w:cs="宋体"/>
          <w:szCs w:val="21"/>
        </w:rPr>
        <w:t>根据《政府采购法》第四十二条的规定，供应商无论成交与否，其响应文件不予退还。</w:t>
      </w:r>
    </w:p>
    <w:p w14:paraId="04026B10">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16.报价</w:t>
      </w:r>
    </w:p>
    <w:p w14:paraId="572FD11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16.1供应商应当根据磋商文件要求和范围，以</w:t>
      </w:r>
      <w:r>
        <w:rPr>
          <w:rFonts w:hint="eastAsia" w:ascii="宋体" w:hAnsi="宋体" w:eastAsia="宋体" w:cs="宋体"/>
          <w:bCs/>
          <w:szCs w:val="21"/>
        </w:rPr>
        <w:t>人民币</w:t>
      </w:r>
      <w:r>
        <w:rPr>
          <w:rFonts w:hint="eastAsia" w:ascii="宋体" w:hAnsi="宋体" w:eastAsia="宋体" w:cs="宋体"/>
          <w:szCs w:val="21"/>
        </w:rPr>
        <w:t>报价，以元为单位，保留小数点后两位。</w:t>
      </w:r>
    </w:p>
    <w:p w14:paraId="0A824DB7">
      <w:pPr>
        <w:pStyle w:val="139"/>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16.2供应商应按第五章响应文件组成格式填写。</w:t>
      </w:r>
    </w:p>
    <w:p w14:paraId="48AC67B3">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0EFB75E6">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7C2F5BD5">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82" w:firstLineChars="200"/>
        <w:jc w:val="left"/>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17.供应商符合磋商文件规定的证明文件</w:t>
      </w:r>
    </w:p>
    <w:p w14:paraId="0994294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3432F30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0626561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17.3除</w:t>
      </w:r>
      <w:r>
        <w:rPr>
          <w:rFonts w:hint="eastAsia" w:ascii="宋体" w:hAnsi="宋体" w:eastAsia="宋体" w:cs="宋体"/>
          <w:b/>
          <w:szCs w:val="21"/>
        </w:rPr>
        <w:t>磋商须知前附表</w:t>
      </w:r>
      <w:r>
        <w:rPr>
          <w:rFonts w:hint="eastAsia" w:ascii="宋体" w:hAnsi="宋体" w:eastAsia="宋体" w:cs="宋体"/>
          <w:szCs w:val="21"/>
        </w:rPr>
        <w:t>另有规定外，供应商提供的货物及服务不是供应商制造或拥有的，则必须提供经销、或代理采购货物、或采购货物提供售后服务的证明文件。</w:t>
      </w:r>
    </w:p>
    <w:p w14:paraId="0606F80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18．样品提供</w:t>
      </w:r>
    </w:p>
    <w:p w14:paraId="58B5663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18.1</w:t>
      </w:r>
      <w:r>
        <w:rPr>
          <w:rFonts w:hint="eastAsia" w:ascii="宋体" w:hAnsi="宋体" w:eastAsia="宋体" w:cs="宋体"/>
          <w:b/>
        </w:rPr>
        <w:t>磋商须知前附表</w:t>
      </w:r>
      <w:r>
        <w:rPr>
          <w:rFonts w:hint="eastAsia" w:ascii="宋体" w:hAnsi="宋体" w:eastAsia="宋体" w:cs="宋体"/>
          <w:szCs w:val="21"/>
        </w:rPr>
        <w:t>规定</w:t>
      </w:r>
      <w:r>
        <w:rPr>
          <w:rFonts w:hint="eastAsia" w:ascii="宋体" w:hAnsi="宋体" w:eastAsia="宋体" w:cs="宋体"/>
          <w:bCs/>
        </w:rPr>
        <w:t>供应商</w:t>
      </w:r>
      <w:r>
        <w:rPr>
          <w:rFonts w:hint="eastAsia" w:ascii="宋体" w:hAnsi="宋体" w:eastAsia="宋体" w:cs="宋体"/>
          <w:szCs w:val="21"/>
        </w:rPr>
        <w:t>在</w:t>
      </w:r>
      <w:r>
        <w:rPr>
          <w:rFonts w:hint="eastAsia" w:ascii="宋体" w:hAnsi="宋体" w:eastAsia="宋体" w:cs="宋体"/>
        </w:rPr>
        <w:t>磋商</w:t>
      </w:r>
      <w:r>
        <w:rPr>
          <w:rFonts w:hint="eastAsia" w:ascii="宋体" w:hAnsi="宋体" w:eastAsia="宋体" w:cs="宋体"/>
          <w:szCs w:val="21"/>
        </w:rPr>
        <w:t>时提供样品的，</w:t>
      </w:r>
      <w:r>
        <w:rPr>
          <w:rFonts w:hint="eastAsia" w:ascii="宋体" w:hAnsi="宋体" w:eastAsia="宋体" w:cs="宋体"/>
          <w:bCs/>
        </w:rPr>
        <w:t>供应商</w:t>
      </w:r>
      <w:r>
        <w:rPr>
          <w:rFonts w:hint="eastAsia" w:ascii="宋体" w:hAnsi="宋体" w:eastAsia="宋体" w:cs="宋体"/>
          <w:szCs w:val="21"/>
        </w:rPr>
        <w:t>有以下情形之一的，在评审时将其视为无效响应。</w:t>
      </w:r>
    </w:p>
    <w:p w14:paraId="292EF68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（1）未在</w:t>
      </w:r>
      <w:r>
        <w:rPr>
          <w:rFonts w:hint="eastAsia" w:ascii="宋体" w:hAnsi="宋体" w:eastAsia="宋体" w:cs="宋体"/>
          <w:b/>
        </w:rPr>
        <w:t>磋商须知前附表</w:t>
      </w:r>
      <w:r>
        <w:rPr>
          <w:rFonts w:hint="eastAsia" w:ascii="宋体" w:hAnsi="宋体" w:eastAsia="宋体" w:cs="宋体"/>
          <w:szCs w:val="21"/>
        </w:rPr>
        <w:t>规定的提交时间、地点提交的；</w:t>
      </w:r>
    </w:p>
    <w:p w14:paraId="4EDF6556">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bCs/>
        </w:rPr>
        <w:t>供应商</w:t>
      </w:r>
      <w:r>
        <w:rPr>
          <w:rFonts w:hint="eastAsia" w:ascii="宋体" w:hAnsi="宋体" w:eastAsia="宋体" w:cs="宋体"/>
          <w:szCs w:val="21"/>
        </w:rPr>
        <w:t>提供的样品与响应文件中提供样品的型号、规格不一致的。</w:t>
      </w:r>
    </w:p>
    <w:p w14:paraId="17AD1D66">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19.磋商保证金</w:t>
      </w:r>
    </w:p>
    <w:p w14:paraId="06386D13">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rPr>
      </w:pPr>
      <w:r>
        <w:rPr>
          <w:rFonts w:hint="eastAsia" w:ascii="宋体" w:hAnsi="宋体" w:eastAsia="宋体" w:cs="宋体"/>
        </w:rPr>
        <w:t>19.</w:t>
      </w:r>
      <w:r>
        <w:rPr>
          <w:rFonts w:hint="eastAsia" w:ascii="宋体" w:hAnsi="宋体" w:eastAsia="宋体" w:cs="宋体"/>
          <w:lang w:val="en-US" w:eastAsia="zh-CN"/>
        </w:rPr>
        <w:t>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00AC609D">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
          <w:szCs w:val="21"/>
        </w:rPr>
      </w:pPr>
      <w:r>
        <w:rPr>
          <w:rFonts w:hint="eastAsia" w:ascii="宋体" w:hAnsi="宋体" w:eastAsia="宋体" w:cs="宋体"/>
          <w:szCs w:val="21"/>
        </w:rPr>
        <w:t>19.2</w:t>
      </w:r>
      <w:r>
        <w:rPr>
          <w:rFonts w:hint="eastAsia" w:ascii="宋体" w:hAnsi="宋体" w:eastAsia="宋体" w:cs="宋体"/>
          <w:kern w:val="0"/>
          <w:szCs w:val="21"/>
          <w:lang w:val="zh-CN"/>
        </w:rPr>
        <w:t>供应商为联合体的，可以由联合体中的一方或者共同交纳磋商保证金，其交纳的磋商保证金，对联合体各方均具有约束力。</w:t>
      </w:r>
    </w:p>
    <w:p w14:paraId="771BF0DE">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19.3供应商未按照磋商文件要求提交磋商保证金的，响应无效。</w:t>
      </w:r>
    </w:p>
    <w:p w14:paraId="2862F430">
      <w:pPr>
        <w:pStyle w:val="24"/>
        <w:keepNext w:val="0"/>
        <w:keepLines w:val="0"/>
        <w:pageBreakBefore w:val="0"/>
        <w:tabs>
          <w:tab w:val="left" w:pos="630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7BE076B">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rPr>
      </w:pPr>
      <w:r>
        <w:rPr>
          <w:rFonts w:hint="eastAsia" w:ascii="宋体" w:hAnsi="宋体" w:eastAsia="宋体" w:cs="宋体"/>
        </w:rPr>
        <w:t>19.5</w:t>
      </w:r>
      <w:r>
        <w:rPr>
          <w:rFonts w:hint="eastAsia" w:ascii="宋体" w:hAnsi="宋体" w:eastAsia="宋体" w:cs="宋体"/>
          <w:kern w:val="0"/>
        </w:rPr>
        <w:t>有下列情形之一的，磋商保证金不予退还，并上缴本级财政国库：</w:t>
      </w:r>
    </w:p>
    <w:p w14:paraId="7CD4C16C">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（1）供应商在提交首次响应文件截止时间后撤回响应文件的；</w:t>
      </w:r>
    </w:p>
    <w:p w14:paraId="00D275EB">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rPr>
      </w:pPr>
      <w:r>
        <w:rPr>
          <w:rFonts w:hint="eastAsia" w:ascii="宋体" w:hAnsi="宋体" w:eastAsia="宋体" w:cs="宋体"/>
          <w:kern w:val="0"/>
        </w:rPr>
        <w:t>（2）供应商在响应文件中提供虚假资料的；</w:t>
      </w:r>
    </w:p>
    <w:p w14:paraId="4D5F61AB">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5CC61ED8">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rPr>
      </w:pPr>
      <w:r>
        <w:rPr>
          <w:rFonts w:hint="eastAsia" w:ascii="宋体" w:hAnsi="宋体" w:eastAsia="宋体" w:cs="宋体"/>
          <w:kern w:val="0"/>
          <w:lang w:eastAsia="zh-CN"/>
        </w:rPr>
        <w:t>（</w:t>
      </w:r>
      <w:r>
        <w:rPr>
          <w:rFonts w:hint="eastAsia" w:ascii="宋体" w:hAnsi="宋体" w:eastAsia="宋体" w:cs="宋体"/>
          <w:kern w:val="0"/>
          <w:lang w:val="en-US" w:eastAsia="zh-CN"/>
        </w:rPr>
        <w:t>4</w:t>
      </w:r>
      <w:r>
        <w:rPr>
          <w:rFonts w:hint="eastAsia" w:ascii="宋体" w:hAnsi="宋体" w:eastAsia="宋体" w:cs="宋体"/>
          <w:kern w:val="0"/>
          <w:lang w:eastAsia="zh-CN"/>
        </w:rPr>
        <w:t>）</w:t>
      </w:r>
      <w:r>
        <w:rPr>
          <w:rFonts w:hint="eastAsia" w:ascii="宋体" w:hAnsi="宋体" w:eastAsia="宋体" w:cs="宋体"/>
          <w:kern w:val="0"/>
        </w:rPr>
        <w:t>除因不可抗力或磋商文件认可的情形以外，成交供应商不与采购人签订合同的；</w:t>
      </w:r>
    </w:p>
    <w:p w14:paraId="34D6EEFB">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（5）供应商与采购人、其他供应商或者采购代理机构恶意串通的；</w:t>
      </w:r>
    </w:p>
    <w:p w14:paraId="5D30D314">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（6）磋商文件规定的其他情形。</w:t>
      </w:r>
    </w:p>
    <w:p w14:paraId="0734E9F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20.响应文件有效期</w:t>
      </w:r>
    </w:p>
    <w:p w14:paraId="1B1FFA75">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20.1响应文件</w:t>
      </w:r>
      <w:r>
        <w:rPr>
          <w:rFonts w:hint="eastAsia" w:ascii="宋体" w:hAnsi="宋体" w:eastAsia="宋体" w:cs="宋体"/>
          <w:szCs w:val="21"/>
        </w:rPr>
        <w:t>有效期见</w:t>
      </w:r>
      <w:r>
        <w:rPr>
          <w:rFonts w:hint="eastAsia" w:ascii="宋体" w:hAnsi="宋体" w:eastAsia="宋体" w:cs="宋体"/>
          <w:b/>
        </w:rPr>
        <w:t>磋商须知前附表</w:t>
      </w:r>
      <w:r>
        <w:rPr>
          <w:rFonts w:hint="eastAsia" w:ascii="宋体" w:hAnsi="宋体" w:eastAsia="宋体" w:cs="宋体"/>
          <w:szCs w:val="21"/>
        </w:rPr>
        <w:t>，在此期间</w:t>
      </w:r>
      <w:r>
        <w:rPr>
          <w:rFonts w:hint="eastAsia" w:ascii="宋体" w:hAnsi="宋体" w:eastAsia="宋体" w:cs="宋体"/>
        </w:rPr>
        <w:t>响应</w:t>
      </w:r>
      <w:r>
        <w:rPr>
          <w:rFonts w:hint="eastAsia" w:ascii="宋体" w:hAnsi="宋体" w:eastAsia="宋体" w:cs="宋体"/>
          <w:szCs w:val="21"/>
        </w:rPr>
        <w:t>文件对供应商具有法律约束力，</w:t>
      </w:r>
      <w:r>
        <w:rPr>
          <w:rFonts w:hint="eastAsia" w:ascii="宋体" w:hAnsi="宋体" w:eastAsia="宋体" w:cs="宋体"/>
        </w:rPr>
        <w:t>从</w:t>
      </w:r>
      <w:r>
        <w:rPr>
          <w:rFonts w:hint="eastAsia" w:ascii="宋体" w:hAnsi="宋体" w:eastAsia="宋体" w:cs="宋体"/>
          <w:kern w:val="0"/>
          <w:szCs w:val="21"/>
        </w:rPr>
        <w:t>提交首次响应文件截止时间</w:t>
      </w:r>
      <w:r>
        <w:rPr>
          <w:rFonts w:hint="eastAsia" w:ascii="宋体" w:hAnsi="宋体" w:eastAsia="宋体" w:cs="宋体"/>
        </w:rPr>
        <w:t>之日起计算。响应文件有效期不足的将被视为</w:t>
      </w:r>
      <w:r>
        <w:rPr>
          <w:rFonts w:hint="eastAsia" w:ascii="宋体" w:hAnsi="宋体" w:eastAsia="宋体" w:cs="宋体"/>
          <w:b/>
          <w:bCs/>
          <w:color w:val="auto"/>
        </w:rPr>
        <w:t>无效响应</w:t>
      </w:r>
      <w:r>
        <w:rPr>
          <w:rFonts w:hint="eastAsia" w:ascii="宋体" w:hAnsi="宋体" w:eastAsia="宋体" w:cs="宋体"/>
        </w:rPr>
        <w:t>。</w:t>
      </w:r>
    </w:p>
    <w:p w14:paraId="55DC85A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21.响应文件的签署及规定</w:t>
      </w:r>
    </w:p>
    <w:p w14:paraId="37228268">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21.1响应文件的正本和副本应胶装成册，正本一份，副本份数见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65453CA8">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21.2响应文件正本和副本应按磋商文件要求签章处盖单位章和由法定代表人或其委托代理人签字；任何加行、涂改、增删，应有法定代表人或其委托代理人在旁边签字。否则，将导致响应文件无效。</w:t>
      </w:r>
    </w:p>
    <w:p w14:paraId="6F1A879A">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21.3在磋商过程中，供应商按磋商文件规定和磋商小组要求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最后报价)，一式两份，可打印或用不退色墨水书写，但需经法定代表人或其委托代理人签字，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1105EB55">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val="0"/>
          <w:bCs/>
          <w:sz w:val="28"/>
          <w:szCs w:val="28"/>
        </w:rPr>
      </w:pPr>
      <w:bookmarkStart w:id="70" w:name="_Toc11072"/>
      <w:bookmarkStart w:id="71" w:name="_Toc21508"/>
      <w:bookmarkStart w:id="72" w:name="_Toc32465"/>
      <w:bookmarkStart w:id="73" w:name="_Toc24494"/>
      <w:r>
        <w:rPr>
          <w:rFonts w:hint="default" w:ascii="Times New Roman" w:hAnsi="Times New Roman" w:eastAsia="黑体" w:cs="Times New Roman"/>
          <w:b w:val="0"/>
          <w:bCs/>
          <w:sz w:val="28"/>
          <w:szCs w:val="28"/>
        </w:rPr>
        <w:t>四、响应文件的递交</w:t>
      </w:r>
      <w:bookmarkEnd w:id="70"/>
      <w:bookmarkEnd w:id="71"/>
      <w:bookmarkEnd w:id="72"/>
      <w:bookmarkEnd w:id="73"/>
    </w:p>
    <w:p w14:paraId="6D1028D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22.响应文件的密封和标记</w:t>
      </w:r>
    </w:p>
    <w:p w14:paraId="3D4BFB90">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22.1响应文件应密封包装，加贴封条，并在封套的封口处盖供应商单位章或者由法定代表人或其委托代理人签字。</w:t>
      </w:r>
    </w:p>
    <w:p w14:paraId="6AB1BACA">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22.2响应文件封套上应写明的内容见</w:t>
      </w:r>
      <w:r>
        <w:rPr>
          <w:rFonts w:hint="eastAsia" w:ascii="宋体" w:hAnsi="宋体" w:eastAsia="宋体" w:cs="宋体"/>
          <w:b/>
          <w:szCs w:val="21"/>
        </w:rPr>
        <w:t>磋商须知前附表。</w:t>
      </w:r>
    </w:p>
    <w:p w14:paraId="01F6548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22.3响应文件如果未按上述规定密封和加写标记，采购人或采购代理机构将拒绝接收。</w:t>
      </w:r>
    </w:p>
    <w:p w14:paraId="1AD0D938">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23.响应文件的</w:t>
      </w:r>
      <w:r>
        <w:rPr>
          <w:rFonts w:hint="eastAsia" w:ascii="宋体" w:hAnsi="宋体" w:eastAsia="宋体" w:cs="宋体"/>
          <w:b/>
          <w:bCs/>
          <w:sz w:val="24"/>
          <w:szCs w:val="24"/>
          <w:lang w:val="zh-CN"/>
        </w:rPr>
        <w:t>补充、修改或者撤回</w:t>
      </w:r>
    </w:p>
    <w:p w14:paraId="7F9939F6">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0C9CA98A">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49EE87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24.响应文件的递交与接收</w:t>
      </w:r>
    </w:p>
    <w:p w14:paraId="309104B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24.1供应商应在</w:t>
      </w:r>
      <w:r>
        <w:rPr>
          <w:rFonts w:hint="eastAsia" w:ascii="宋体" w:hAnsi="宋体" w:eastAsia="宋体" w:cs="宋体"/>
          <w:kern w:val="0"/>
          <w:szCs w:val="21"/>
        </w:rPr>
        <w:t>提交首次响应文件截止时间</w:t>
      </w:r>
      <w:r>
        <w:rPr>
          <w:rFonts w:hint="eastAsia" w:ascii="宋体" w:hAnsi="宋体" w:eastAsia="宋体" w:cs="宋体"/>
          <w:szCs w:val="21"/>
        </w:rPr>
        <w:t>前，将响应文件送达</w:t>
      </w:r>
      <w:r>
        <w:rPr>
          <w:rFonts w:hint="eastAsia" w:ascii="宋体" w:hAnsi="宋体" w:eastAsia="宋体" w:cs="宋体"/>
          <w:b/>
          <w:szCs w:val="21"/>
        </w:rPr>
        <w:t>磋商须知前附表</w:t>
      </w:r>
      <w:r>
        <w:rPr>
          <w:rFonts w:hint="eastAsia" w:ascii="宋体" w:hAnsi="宋体" w:eastAsia="宋体" w:cs="宋体"/>
          <w:szCs w:val="21"/>
        </w:rPr>
        <w:t>中指定的地点。</w:t>
      </w:r>
      <w:r>
        <w:rPr>
          <w:rFonts w:hint="eastAsia" w:ascii="宋体" w:hAnsi="宋体" w:eastAsia="宋体" w:cs="宋体"/>
          <w:kern w:val="0"/>
        </w:rPr>
        <w:t>在截止时间后送达的响应文件，采购人、采购代理机构或者磋商小组应当拒收。</w:t>
      </w:r>
    </w:p>
    <w:p w14:paraId="5C92CCEA">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3DC071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val="0"/>
          <w:bCs/>
          <w:sz w:val="28"/>
          <w:szCs w:val="28"/>
        </w:rPr>
      </w:pPr>
      <w:bookmarkStart w:id="74" w:name="_Toc32542"/>
      <w:bookmarkStart w:id="75" w:name="_Toc12434"/>
      <w:bookmarkStart w:id="76" w:name="_Toc16340"/>
      <w:bookmarkStart w:id="77" w:name="_Toc4039"/>
      <w:r>
        <w:rPr>
          <w:rFonts w:hint="default" w:ascii="Times New Roman" w:hAnsi="Times New Roman" w:eastAsia="黑体" w:cs="Times New Roman"/>
          <w:b w:val="0"/>
          <w:bCs/>
          <w:sz w:val="28"/>
          <w:szCs w:val="28"/>
        </w:rPr>
        <w:t>五、响应文件的磋商与评审</w:t>
      </w:r>
      <w:bookmarkEnd w:id="74"/>
      <w:bookmarkEnd w:id="75"/>
      <w:bookmarkEnd w:id="76"/>
      <w:bookmarkEnd w:id="77"/>
    </w:p>
    <w:p w14:paraId="691C448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25.磋商程序</w:t>
      </w:r>
    </w:p>
    <w:p w14:paraId="00297BCC">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kern w:val="0"/>
          <w:szCs w:val="21"/>
        </w:rPr>
        <w:t>25.1磋商程序：响应文件审查、磋商（包括澄清）、响应文件评审、</w:t>
      </w:r>
      <w:r>
        <w:rPr>
          <w:rFonts w:hint="eastAsia" w:ascii="宋体" w:hAnsi="宋体" w:eastAsia="宋体" w:cs="宋体"/>
          <w:bCs/>
          <w:szCs w:val="21"/>
        </w:rPr>
        <w:t>提出成交供应商。其中，</w:t>
      </w:r>
      <w:r>
        <w:rPr>
          <w:rFonts w:hint="eastAsia" w:ascii="宋体" w:hAnsi="宋体" w:eastAsia="宋体" w:cs="宋体"/>
          <w:kern w:val="0"/>
          <w:szCs w:val="21"/>
        </w:rPr>
        <w:t>磋商按</w:t>
      </w:r>
      <w:r>
        <w:rPr>
          <w:rFonts w:hint="eastAsia" w:ascii="宋体" w:hAnsi="宋体" w:eastAsia="宋体" w:cs="宋体"/>
          <w:szCs w:val="21"/>
        </w:rPr>
        <w:t>本章</w:t>
      </w:r>
      <w:r>
        <w:rPr>
          <w:rFonts w:hint="eastAsia" w:ascii="宋体" w:hAnsi="宋体" w:eastAsia="宋体" w:cs="宋体"/>
        </w:rPr>
        <w:t>第30.1</w:t>
      </w:r>
      <w:r>
        <w:rPr>
          <w:rFonts w:hint="eastAsia" w:ascii="宋体" w:hAnsi="宋体" w:eastAsia="宋体" w:cs="宋体"/>
          <w:kern w:val="0"/>
          <w:szCs w:val="21"/>
          <w:lang w:val="zh-CN"/>
        </w:rPr>
        <w:t>款或者</w:t>
      </w:r>
      <w:r>
        <w:rPr>
          <w:rFonts w:hint="eastAsia" w:ascii="宋体" w:hAnsi="宋体" w:eastAsia="宋体" w:cs="宋体"/>
        </w:rPr>
        <w:t>第30.2</w:t>
      </w:r>
      <w:r>
        <w:rPr>
          <w:rFonts w:hint="eastAsia" w:ascii="宋体" w:hAnsi="宋体" w:eastAsia="宋体" w:cs="宋体"/>
          <w:kern w:val="0"/>
          <w:szCs w:val="21"/>
          <w:lang w:val="zh-CN"/>
        </w:rPr>
        <w:t>款</w:t>
      </w:r>
      <w:r>
        <w:rPr>
          <w:rFonts w:hint="eastAsia" w:ascii="宋体" w:hAnsi="宋体" w:eastAsia="宋体" w:cs="宋体"/>
        </w:rPr>
        <w:t>情形</w:t>
      </w:r>
      <w:r>
        <w:rPr>
          <w:rFonts w:hint="eastAsia" w:ascii="宋体" w:hAnsi="宋体" w:eastAsia="宋体" w:cs="宋体"/>
          <w:bCs/>
          <w:szCs w:val="21"/>
        </w:rPr>
        <w:t>进行。</w:t>
      </w:r>
    </w:p>
    <w:p w14:paraId="189F528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26.响应文件审查</w:t>
      </w:r>
    </w:p>
    <w:p w14:paraId="30C3772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26.1资格性审查：根据本章第3.1项规定的供应商资格条件要求，对</w:t>
      </w:r>
      <w:r>
        <w:rPr>
          <w:rFonts w:hint="eastAsia" w:ascii="宋体" w:hAnsi="宋体" w:eastAsia="宋体" w:cs="宋体"/>
        </w:rPr>
        <w:t>响应</w:t>
      </w:r>
      <w:r>
        <w:rPr>
          <w:rFonts w:hint="eastAsia" w:ascii="宋体" w:hAnsi="宋体" w:eastAsia="宋体" w:cs="宋体"/>
          <w:szCs w:val="21"/>
        </w:rPr>
        <w:t>文件的资格证明等进行审查，以确定供应商是否具备磋商资格条件。</w:t>
      </w:r>
    </w:p>
    <w:p w14:paraId="3DCA890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26.2符合性审查:对响应文件(包括首次提交的响应文件、重新提交的响应文件)的有效性、完整性和响应程度进行审查，以确定是否对磋商文件的实质性要求作出响应。</w:t>
      </w:r>
    </w:p>
    <w:p w14:paraId="2BD12622">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26.3响应文件审查结束后，磋商小组所有成员集中与单一供应商分别进行磋商，并给予所有参加磋商的供应商平等的磋商机会。供应商应派其法定代表人或委托代理人参加磋商。</w:t>
      </w:r>
    </w:p>
    <w:p w14:paraId="126FEAA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27.实质性响应</w:t>
      </w:r>
    </w:p>
    <w:p w14:paraId="0CBD8C98">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u w:val="single"/>
        </w:rPr>
      </w:pPr>
      <w:r>
        <w:rPr>
          <w:rFonts w:hint="eastAsia" w:ascii="宋体" w:hAnsi="宋体" w:eastAsia="宋体" w:cs="宋体"/>
          <w:kern w:val="0"/>
        </w:rPr>
        <w:t>27.1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1FB4D03C">
      <w:pPr>
        <w:keepNext w:val="0"/>
        <w:keepLines w:val="0"/>
        <w:pageBreakBefore w:val="0"/>
        <w:tabs>
          <w:tab w:val="left" w:pos="0"/>
          <w:tab w:val="left" w:pos="7560"/>
          <w:tab w:val="left" w:pos="7740"/>
          <w:tab w:val="left" w:pos="792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27.2</w:t>
      </w:r>
      <w:r>
        <w:rPr>
          <w:rFonts w:hint="eastAsia" w:ascii="宋体" w:hAnsi="宋体" w:eastAsia="宋体" w:cs="宋体"/>
        </w:rPr>
        <w:t>响应文件是否实质性响应磋商文件要求由磋商小组依据磋商文件规定认定。</w:t>
      </w:r>
      <w:r>
        <w:rPr>
          <w:rFonts w:hint="eastAsia" w:ascii="宋体" w:hAnsi="宋体" w:eastAsia="宋体" w:cs="宋体"/>
          <w:kern w:val="0"/>
          <w:szCs w:val="21"/>
        </w:rPr>
        <w:t>磋商小组</w:t>
      </w:r>
      <w:r>
        <w:rPr>
          <w:rFonts w:hint="eastAsia" w:ascii="宋体" w:hAnsi="宋体" w:eastAsia="宋体" w:cs="宋体"/>
          <w:szCs w:val="21"/>
        </w:rPr>
        <w:t>决定</w:t>
      </w:r>
      <w:r>
        <w:rPr>
          <w:rFonts w:hint="eastAsia" w:ascii="宋体" w:hAnsi="宋体" w:eastAsia="宋体" w:cs="宋体"/>
        </w:rPr>
        <w:t>响应文件</w:t>
      </w:r>
      <w:r>
        <w:rPr>
          <w:rFonts w:hint="eastAsia" w:ascii="宋体" w:hAnsi="宋体" w:eastAsia="宋体" w:cs="宋体"/>
          <w:szCs w:val="21"/>
        </w:rPr>
        <w:t>的响应性只根据</w:t>
      </w:r>
      <w:r>
        <w:rPr>
          <w:rFonts w:hint="eastAsia" w:ascii="宋体" w:hAnsi="宋体" w:eastAsia="宋体" w:cs="宋体"/>
        </w:rPr>
        <w:t>响应文件</w:t>
      </w:r>
      <w:r>
        <w:rPr>
          <w:rFonts w:hint="eastAsia" w:ascii="宋体" w:hAnsi="宋体" w:eastAsia="宋体" w:cs="宋体"/>
          <w:szCs w:val="21"/>
        </w:rPr>
        <w:t>本身的真实无误的内容，而不依据外部的证据。</w:t>
      </w:r>
    </w:p>
    <w:p w14:paraId="4D5D616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lang w:eastAsia="zh-CN"/>
        </w:rPr>
      </w:pPr>
      <w:r>
        <w:rPr>
          <w:rFonts w:hint="eastAsia" w:ascii="宋体" w:hAnsi="宋体" w:eastAsia="宋体" w:cs="宋体"/>
          <w:b/>
          <w:bCs/>
          <w:sz w:val="24"/>
          <w:szCs w:val="24"/>
        </w:rPr>
        <w:t>28.无效响应</w:t>
      </w:r>
    </w:p>
    <w:p w14:paraId="0F0BBA62">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
          <w:kern w:val="0"/>
        </w:rPr>
      </w:pPr>
      <w:r>
        <w:rPr>
          <w:rFonts w:hint="eastAsia" w:ascii="宋体" w:hAnsi="宋体" w:eastAsia="宋体" w:cs="宋体"/>
          <w:kern w:val="0"/>
        </w:rPr>
        <w:t>28.1</w:t>
      </w:r>
      <w:r>
        <w:rPr>
          <w:rFonts w:hint="eastAsia" w:ascii="宋体" w:hAnsi="宋体" w:eastAsia="宋体" w:cs="宋体"/>
        </w:rPr>
        <w:t>磋商小组在对资格性和符合性进行审查时，有下列情况之一的，属</w:t>
      </w:r>
      <w:r>
        <w:rPr>
          <w:rFonts w:hint="eastAsia" w:ascii="宋体" w:hAnsi="宋体" w:eastAsia="宋体" w:cs="宋体"/>
          <w:b/>
          <w:bCs/>
        </w:rPr>
        <w:t>无效响应</w:t>
      </w:r>
      <w:r>
        <w:rPr>
          <w:rFonts w:hint="eastAsia" w:ascii="宋体" w:hAnsi="宋体" w:eastAsia="宋体" w:cs="宋体"/>
        </w:rPr>
        <w:t>，</w:t>
      </w:r>
      <w:r>
        <w:rPr>
          <w:rFonts w:hint="eastAsia" w:ascii="宋体" w:hAnsi="宋体" w:eastAsia="宋体" w:cs="宋体"/>
          <w:kern w:val="0"/>
        </w:rPr>
        <w:t>磋商小组应当告知有关供应商</w:t>
      </w:r>
      <w:r>
        <w:rPr>
          <w:rFonts w:hint="eastAsia" w:ascii="宋体" w:hAnsi="宋体" w:eastAsia="宋体" w:cs="宋体"/>
        </w:rPr>
        <w:t>：</w:t>
      </w:r>
    </w:p>
    <w:p w14:paraId="4F74B900">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（1）供应商不具备本章第3.1款规定的供应商资格条件要求，或存在本章第3.3款情形的；</w:t>
      </w:r>
    </w:p>
    <w:p w14:paraId="302A1EB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（2）联合体不符合本章第3.2款规定的；</w:t>
      </w:r>
    </w:p>
    <w:p w14:paraId="6BFE314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（3）应交未交磋商保证金或金额不足、磋商保证金缴纳形式不符合磋商文件要求的；</w:t>
      </w:r>
    </w:p>
    <w:p w14:paraId="1134077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（4）响应文件未按照磋商文件要求签署、盖章的；</w:t>
      </w:r>
    </w:p>
    <w:p w14:paraId="2FB0A1E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（4）响应文件不满足本章第27.1款规定的实质性要求的；</w:t>
      </w:r>
    </w:p>
    <w:p w14:paraId="0D55D8A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（5）报价超过采购项目预算的；</w:t>
      </w:r>
    </w:p>
    <w:p w14:paraId="68C007C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（6）响应文件有效期不足的；</w:t>
      </w:r>
    </w:p>
    <w:p w14:paraId="010EA73D">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（7）响应文件不符合法律、规章、规范性文件和磋商文件规定及要求的。</w:t>
      </w:r>
    </w:p>
    <w:p w14:paraId="1D2306F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29.澄清</w:t>
      </w:r>
    </w:p>
    <w:p w14:paraId="7B42B035">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29.1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440C7C9">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29.2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DE506A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30.磋商</w:t>
      </w:r>
    </w:p>
    <w:p w14:paraId="75D1FC18">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val="zh-CN"/>
        </w:rPr>
      </w:pPr>
      <w:r>
        <w:rPr>
          <w:rFonts w:hint="eastAsia" w:ascii="宋体" w:hAnsi="宋体" w:eastAsia="宋体" w:cs="宋体"/>
          <w:kern w:val="0"/>
          <w:szCs w:val="21"/>
        </w:rPr>
        <w:t>30.1</w:t>
      </w:r>
      <w:r>
        <w:rPr>
          <w:rFonts w:hint="eastAsia" w:ascii="宋体" w:hAnsi="宋体" w:eastAsia="宋体" w:cs="宋体"/>
        </w:rPr>
        <w:t>本章第10.2项</w:t>
      </w:r>
      <w:r>
        <w:rPr>
          <w:rFonts w:hint="eastAsia" w:ascii="宋体" w:hAnsi="宋体" w:eastAsia="宋体" w:cs="宋体"/>
          <w:kern w:val="0"/>
          <w:szCs w:val="21"/>
        </w:rPr>
        <w:t>未明确磋商文件实质性变动内容的，或者磋商文件明确了可能发生实质性变动内容，但在磋商过程中，</w:t>
      </w:r>
      <w:r>
        <w:rPr>
          <w:rFonts w:hint="eastAsia" w:ascii="宋体" w:hAnsi="宋体" w:eastAsia="宋体" w:cs="宋体"/>
          <w:bCs/>
          <w:szCs w:val="21"/>
        </w:rPr>
        <w:t>磋商小组</w:t>
      </w:r>
      <w:r>
        <w:rPr>
          <w:rFonts w:hint="eastAsia" w:ascii="宋体" w:hAnsi="宋体" w:eastAsia="宋体" w:cs="宋体"/>
          <w:kern w:val="0"/>
          <w:szCs w:val="21"/>
        </w:rPr>
        <w:t>根据磋商情况</w:t>
      </w:r>
      <w:r>
        <w:rPr>
          <w:rFonts w:hint="eastAsia" w:ascii="宋体" w:hAnsi="宋体" w:eastAsia="宋体" w:cs="宋体"/>
          <w:bCs/>
          <w:szCs w:val="21"/>
        </w:rPr>
        <w:t>认为</w:t>
      </w:r>
      <w:r>
        <w:rPr>
          <w:rFonts w:hint="eastAsia" w:ascii="宋体" w:hAnsi="宋体" w:eastAsia="宋体" w:cs="宋体"/>
          <w:kern w:val="0"/>
          <w:szCs w:val="21"/>
        </w:rPr>
        <w:t>磋商文件无需发生实质性变动的，磋商小组应当直接与响应文件审查合格的供应商就价格组织多轮磋商。</w:t>
      </w:r>
    </w:p>
    <w:p w14:paraId="6A5AE53E">
      <w:pPr>
        <w:keepNext w:val="0"/>
        <w:keepLines w:val="0"/>
        <w:pageBreakBefore w:val="0"/>
        <w:widowControl/>
        <w:tabs>
          <w:tab w:val="left" w:pos="1080"/>
          <w:tab w:val="left" w:pos="126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（1）磋商结束后，磋商小组应当要求所有继续参加磋商的供应商在磋商小组规定时间内提交最后报价。</w:t>
      </w:r>
    </w:p>
    <w:p w14:paraId="79CB726D">
      <w:pPr>
        <w:keepNext w:val="0"/>
        <w:keepLines w:val="0"/>
        <w:pageBreakBefore w:val="0"/>
        <w:widowControl/>
        <w:tabs>
          <w:tab w:val="left" w:pos="1080"/>
          <w:tab w:val="left" w:pos="126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（2）磋商文件明确可能发生实质性变动，但在磋商过程中</w:t>
      </w:r>
      <w:r>
        <w:rPr>
          <w:rFonts w:hint="eastAsia" w:ascii="宋体" w:hAnsi="宋体" w:eastAsia="宋体" w:cs="宋体"/>
          <w:bCs/>
          <w:szCs w:val="21"/>
        </w:rPr>
        <w:t>磋商小组</w:t>
      </w:r>
      <w:r>
        <w:rPr>
          <w:rFonts w:hint="eastAsia" w:ascii="宋体" w:hAnsi="宋体" w:eastAsia="宋体" w:cs="宋体"/>
          <w:kern w:val="0"/>
          <w:szCs w:val="21"/>
        </w:rPr>
        <w:t>根据磋商情况</w:t>
      </w:r>
      <w:r>
        <w:rPr>
          <w:rFonts w:hint="eastAsia" w:ascii="宋体" w:hAnsi="宋体" w:eastAsia="宋体" w:cs="宋体"/>
          <w:bCs/>
          <w:szCs w:val="21"/>
        </w:rPr>
        <w:t>认为</w:t>
      </w:r>
      <w:r>
        <w:rPr>
          <w:rFonts w:hint="eastAsia" w:ascii="宋体" w:hAnsi="宋体" w:eastAsia="宋体" w:cs="宋体"/>
          <w:kern w:val="0"/>
          <w:szCs w:val="21"/>
        </w:rPr>
        <w:t>磋商文件无需发生实质性变动的，磋商小组不另行通知。</w:t>
      </w:r>
    </w:p>
    <w:p w14:paraId="7AFCF854">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30.2</w:t>
      </w:r>
      <w:r>
        <w:rPr>
          <w:rFonts w:hint="eastAsia" w:ascii="宋体" w:hAnsi="宋体" w:eastAsia="宋体" w:cs="宋体"/>
        </w:rPr>
        <w:t>本章第10.2</w:t>
      </w:r>
      <w:r>
        <w:rPr>
          <w:rFonts w:hint="eastAsia" w:ascii="宋体" w:hAnsi="宋体" w:eastAsia="宋体" w:cs="宋体"/>
          <w:kern w:val="0"/>
          <w:szCs w:val="21"/>
          <w:lang w:val="zh-CN"/>
        </w:rPr>
        <w:t>款</w:t>
      </w:r>
      <w:r>
        <w:rPr>
          <w:rFonts w:hint="eastAsia" w:ascii="宋体" w:hAnsi="宋体" w:eastAsia="宋体" w:cs="宋体"/>
          <w:kern w:val="0"/>
          <w:szCs w:val="21"/>
        </w:rPr>
        <w:t>明确磋商文件实质性变动内容的，</w:t>
      </w:r>
      <w:r>
        <w:rPr>
          <w:rFonts w:hint="eastAsia" w:ascii="宋体" w:hAnsi="宋体" w:eastAsia="宋体" w:cs="宋体"/>
          <w:bCs/>
          <w:szCs w:val="21"/>
        </w:rPr>
        <w:t>磋商小组</w:t>
      </w:r>
      <w:r>
        <w:rPr>
          <w:rFonts w:hint="eastAsia" w:ascii="宋体" w:hAnsi="宋体" w:eastAsia="宋体" w:cs="宋体"/>
          <w:kern w:val="0"/>
          <w:szCs w:val="21"/>
        </w:rPr>
        <w:t>可以组织多轮磋商。</w:t>
      </w:r>
      <w:r>
        <w:rPr>
          <w:rFonts w:hint="eastAsia" w:ascii="宋体" w:hAnsi="宋体" w:eastAsia="宋体" w:cs="宋体"/>
          <w:bCs/>
          <w:szCs w:val="21"/>
        </w:rPr>
        <w:t>在每一轮磋商中，磋商小组</w:t>
      </w:r>
      <w:r>
        <w:rPr>
          <w:rFonts w:hint="eastAsia" w:ascii="宋体" w:hAnsi="宋体" w:eastAsia="宋体" w:cs="宋体"/>
          <w:kern w:val="0"/>
          <w:szCs w:val="21"/>
        </w:rPr>
        <w:t>可以根据磋商文件规定和磋商情况，</w:t>
      </w:r>
      <w:r>
        <w:rPr>
          <w:rFonts w:hint="eastAsia" w:ascii="宋体" w:hAnsi="宋体" w:eastAsia="宋体" w:cs="宋体"/>
          <w:bCs/>
          <w:szCs w:val="21"/>
        </w:rPr>
        <w:t>对磋商文件的</w:t>
      </w:r>
      <w:r>
        <w:rPr>
          <w:rFonts w:hint="eastAsia" w:ascii="宋体" w:hAnsi="宋体" w:eastAsia="宋体" w:cs="宋体"/>
          <w:kern w:val="0"/>
          <w:szCs w:val="21"/>
        </w:rPr>
        <w:t>采购需求中的技术、服务要求以及合同草案条款</w:t>
      </w:r>
      <w:r>
        <w:rPr>
          <w:rFonts w:hint="eastAsia" w:ascii="宋体" w:hAnsi="宋体" w:eastAsia="宋体" w:cs="宋体"/>
          <w:bCs/>
          <w:szCs w:val="21"/>
        </w:rPr>
        <w:t>作实质性变动(磋商文件的实质性变动内容为磋商文件的组成部分)，并以书面形式要求</w:t>
      </w:r>
      <w:r>
        <w:rPr>
          <w:rFonts w:hint="eastAsia" w:ascii="宋体" w:hAnsi="宋体" w:eastAsia="宋体" w:cs="宋体"/>
          <w:kern w:val="0"/>
          <w:szCs w:val="21"/>
        </w:rPr>
        <w:t>响应文件审查合格</w:t>
      </w:r>
      <w:r>
        <w:rPr>
          <w:rFonts w:hint="eastAsia" w:ascii="宋体" w:hAnsi="宋体" w:eastAsia="宋体" w:cs="宋体"/>
          <w:bCs/>
          <w:szCs w:val="21"/>
        </w:rPr>
        <w:t>的供应商，在规定的</w:t>
      </w:r>
      <w:r>
        <w:rPr>
          <w:rFonts w:hint="eastAsia" w:ascii="宋体" w:hAnsi="宋体" w:eastAsia="宋体" w:cs="宋体"/>
          <w:kern w:val="0"/>
          <w:szCs w:val="21"/>
        </w:rPr>
        <w:t>截止时间前</w:t>
      </w:r>
      <w:r>
        <w:rPr>
          <w:rFonts w:hint="eastAsia" w:ascii="宋体" w:hAnsi="宋体" w:eastAsia="宋体" w:cs="宋体"/>
          <w:bCs/>
          <w:szCs w:val="21"/>
        </w:rPr>
        <w:t>重</w:t>
      </w:r>
      <w:r>
        <w:rPr>
          <w:rFonts w:hint="eastAsia" w:ascii="宋体" w:hAnsi="宋体" w:eastAsia="宋体" w:cs="宋体"/>
          <w:kern w:val="0"/>
          <w:szCs w:val="21"/>
        </w:rPr>
        <w:t>新提交响应文件</w:t>
      </w:r>
      <w:r>
        <w:rPr>
          <w:rFonts w:hint="eastAsia" w:ascii="宋体" w:hAnsi="宋体" w:eastAsia="宋体" w:cs="宋体"/>
          <w:bCs/>
          <w:szCs w:val="21"/>
        </w:rPr>
        <w:t>。</w:t>
      </w:r>
      <w:r>
        <w:rPr>
          <w:rFonts w:hint="eastAsia" w:ascii="宋体" w:hAnsi="宋体" w:eastAsia="宋体" w:cs="宋体"/>
          <w:kern w:val="0"/>
          <w:szCs w:val="21"/>
        </w:rPr>
        <w:t>磋商小组应当</w:t>
      </w:r>
      <w:r>
        <w:rPr>
          <w:rFonts w:hint="eastAsia" w:ascii="宋体" w:hAnsi="宋体" w:eastAsia="宋体" w:cs="宋体"/>
          <w:szCs w:val="21"/>
        </w:rPr>
        <w:t>根据本章第26.2</w:t>
      </w:r>
      <w:r>
        <w:rPr>
          <w:rFonts w:hint="eastAsia" w:ascii="宋体" w:hAnsi="宋体" w:eastAsia="宋体" w:cs="宋体"/>
          <w:kern w:val="0"/>
          <w:szCs w:val="21"/>
          <w:lang w:val="zh-CN"/>
        </w:rPr>
        <w:t>款</w:t>
      </w:r>
      <w:r>
        <w:rPr>
          <w:rFonts w:hint="eastAsia" w:ascii="宋体" w:hAnsi="宋体" w:eastAsia="宋体" w:cs="宋体"/>
          <w:szCs w:val="21"/>
        </w:rPr>
        <w:t>规定</w:t>
      </w:r>
      <w:r>
        <w:rPr>
          <w:rFonts w:hint="eastAsia" w:ascii="宋体" w:hAnsi="宋体" w:eastAsia="宋体" w:cs="宋体"/>
          <w:kern w:val="0"/>
          <w:szCs w:val="21"/>
        </w:rPr>
        <w:t>对供应商重新提交的响应文件进行审查。供应商重新提交的响应文件审查不合格的，不得进入下一轮磋商，也不得要求提交最后报价。</w:t>
      </w:r>
    </w:p>
    <w:p w14:paraId="19B76B5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（1）磋商文件能够详细列明采购需求的技术、服务要求的，磋商结束后，磋商小组应当要求所有继续参加磋商的供应商在规定时间内提交最后报价。</w:t>
      </w:r>
    </w:p>
    <w:p w14:paraId="43B51B52">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C813384">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bCs/>
          <w:szCs w:val="21"/>
        </w:rPr>
        <w:t>30.3</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szCs w:val="21"/>
        </w:rPr>
        <w:t>本章第</w:t>
      </w:r>
      <w:r>
        <w:rPr>
          <w:rFonts w:hint="eastAsia" w:ascii="宋体" w:hAnsi="宋体" w:eastAsia="宋体" w:cs="宋体"/>
        </w:rPr>
        <w:t>21.3</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由其法定代表人或其委托代理人签字或者加盖</w:t>
      </w:r>
      <w:r>
        <w:rPr>
          <w:rFonts w:hint="eastAsia" w:ascii="宋体" w:hAnsi="宋体" w:eastAsia="宋体" w:cs="宋体"/>
          <w:kern w:val="0"/>
        </w:rPr>
        <w:t>供应商单位</w:t>
      </w:r>
      <w:r>
        <w:rPr>
          <w:rFonts w:hint="eastAsia" w:ascii="宋体" w:hAnsi="宋体" w:eastAsia="宋体" w:cs="宋体"/>
          <w:kern w:val="0"/>
          <w:szCs w:val="21"/>
        </w:rPr>
        <w:t>章，在规定时间内密封递交给磋商小组</w:t>
      </w:r>
      <w:r>
        <w:rPr>
          <w:rFonts w:hint="eastAsia" w:ascii="宋体" w:hAnsi="宋体" w:eastAsia="宋体" w:cs="宋体"/>
          <w:bCs/>
          <w:szCs w:val="21"/>
        </w:rPr>
        <w:t>。</w:t>
      </w:r>
    </w:p>
    <w:p w14:paraId="0DA5169E">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30.4</w:t>
      </w:r>
      <w:r>
        <w:rPr>
          <w:rFonts w:hint="eastAsia" w:ascii="宋体" w:hAnsi="宋体" w:eastAsia="宋体" w:cs="宋体"/>
          <w:kern w:val="0"/>
          <w:szCs w:val="21"/>
          <w:lang w:val="zh-CN"/>
        </w:rPr>
        <w:t>供应商的</w:t>
      </w:r>
      <w:r>
        <w:rPr>
          <w:rFonts w:hint="eastAsia" w:ascii="宋体" w:hAnsi="宋体" w:eastAsia="宋体" w:cs="宋体"/>
          <w:bCs/>
          <w:szCs w:val="21"/>
        </w:rPr>
        <w:t>最</w:t>
      </w:r>
      <w:r>
        <w:rPr>
          <w:rFonts w:hint="eastAsia" w:ascii="宋体" w:hAnsi="宋体" w:eastAsia="宋体" w:cs="宋体"/>
          <w:kern w:val="0"/>
          <w:szCs w:val="21"/>
          <w:lang w:val="zh-CN"/>
        </w:rPr>
        <w:t>后</w:t>
      </w:r>
      <w:r>
        <w:rPr>
          <w:rFonts w:hint="eastAsia" w:ascii="宋体" w:hAnsi="宋体" w:eastAsia="宋体" w:cs="宋体"/>
          <w:bCs/>
          <w:szCs w:val="21"/>
        </w:rPr>
        <w:t>报价及</w:t>
      </w:r>
      <w:r>
        <w:rPr>
          <w:rFonts w:hint="eastAsia" w:ascii="宋体" w:hAnsi="宋体" w:eastAsia="宋体" w:cs="宋体"/>
          <w:kern w:val="0"/>
          <w:szCs w:val="21"/>
        </w:rPr>
        <w:t>政府采购政策规定的价格扣除情况，磋商小组应召集所有参加最后报价的供应商当场开封</w:t>
      </w:r>
      <w:r>
        <w:rPr>
          <w:rFonts w:hint="eastAsia" w:ascii="宋体" w:hAnsi="宋体" w:eastAsia="宋体" w:cs="宋体"/>
          <w:bCs/>
          <w:szCs w:val="21"/>
        </w:rPr>
        <w:t>公布，并由供应商代表签字确认。</w:t>
      </w:r>
    </w:p>
    <w:p w14:paraId="65A49AE7">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30.5提交首次响应文件的供应商，在提交最后报价之前，可以根据磋商情况退出磋商，</w:t>
      </w:r>
      <w:r>
        <w:rPr>
          <w:rFonts w:hint="eastAsia" w:ascii="宋体" w:hAnsi="宋体" w:eastAsia="宋体" w:cs="宋体"/>
          <w:kern w:val="0"/>
        </w:rPr>
        <w:t>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szCs w:val="21"/>
        </w:rPr>
        <w:t>采购代理机构</w:t>
      </w:r>
      <w:r>
        <w:rPr>
          <w:rFonts w:hint="eastAsia" w:ascii="宋体" w:hAnsi="宋体" w:eastAsia="宋体" w:cs="宋体"/>
          <w:kern w:val="0"/>
        </w:rPr>
        <w:t>按</w:t>
      </w:r>
      <w:r>
        <w:rPr>
          <w:rFonts w:hint="eastAsia" w:ascii="宋体" w:hAnsi="宋体" w:eastAsia="宋体" w:cs="宋体"/>
          <w:kern w:val="0"/>
          <w:szCs w:val="21"/>
        </w:rPr>
        <w:t>本章第</w:t>
      </w:r>
      <w:r>
        <w:rPr>
          <w:rFonts w:hint="eastAsia" w:ascii="宋体" w:hAnsi="宋体" w:eastAsia="宋体" w:cs="宋体"/>
        </w:rPr>
        <w:t>19.4</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退还退出磋商的供应商的磋商保证金。</w:t>
      </w:r>
    </w:p>
    <w:p w14:paraId="2E966E2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bCs/>
          <w:szCs w:val="21"/>
        </w:rPr>
        <w:t>30.6</w:t>
      </w:r>
      <w:r>
        <w:rPr>
          <w:rFonts w:hint="eastAsia" w:ascii="宋体" w:hAnsi="宋体" w:eastAsia="宋体" w:cs="宋体"/>
          <w:kern w:val="0"/>
          <w:szCs w:val="21"/>
        </w:rPr>
        <w:t>提交首次响应文件的供应商，未按磋商文件规定及磋商小组要求提交最后报价(或者</w:t>
      </w:r>
      <w:r>
        <w:rPr>
          <w:rFonts w:hint="eastAsia" w:ascii="宋体" w:hAnsi="宋体" w:eastAsia="宋体" w:cs="宋体"/>
          <w:bCs/>
          <w:szCs w:val="21"/>
        </w:rPr>
        <w:t>重</w:t>
      </w:r>
      <w:r>
        <w:rPr>
          <w:rFonts w:hint="eastAsia" w:ascii="宋体" w:hAnsi="宋体" w:eastAsia="宋体" w:cs="宋体"/>
          <w:kern w:val="0"/>
          <w:szCs w:val="21"/>
        </w:rPr>
        <w:t>新提交的响应文件和最后报价)，且又</w:t>
      </w:r>
      <w:r>
        <w:rPr>
          <w:rFonts w:hint="eastAsia" w:ascii="宋体" w:hAnsi="宋体" w:eastAsia="宋体" w:cs="宋体"/>
          <w:kern w:val="0"/>
        </w:rPr>
        <w:t>未按</w:t>
      </w:r>
      <w:r>
        <w:rPr>
          <w:rFonts w:hint="eastAsia" w:ascii="宋体" w:hAnsi="宋体" w:eastAsia="宋体" w:cs="宋体"/>
          <w:kern w:val="0"/>
          <w:szCs w:val="21"/>
        </w:rPr>
        <w:t>本章第</w:t>
      </w:r>
      <w:r>
        <w:rPr>
          <w:rFonts w:hint="eastAsia" w:ascii="宋体" w:hAnsi="宋体" w:eastAsia="宋体" w:cs="宋体"/>
        </w:rPr>
        <w:t>30.5</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退出磋商的，供应商的磋商保证金不予退还。</w:t>
      </w:r>
    </w:p>
    <w:p w14:paraId="7C832540">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30.7磋商文件在磋商过程中未发生实质性变动的，参加磋商供应商的次轮报价不得高于上轮报价，否则视为无效响应。</w:t>
      </w:r>
    </w:p>
    <w:p w14:paraId="0139D6CD">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31.响应文件评审</w:t>
      </w:r>
    </w:p>
    <w:p w14:paraId="10EF733C">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bCs/>
          <w:szCs w:val="21"/>
        </w:rPr>
        <w:t>31.1经磋商确定最终采购需求和提交最后报价的供应商后，由磋商小组采用综合评分法对提交最后报价的供应商的响应文件和最后报价进行综合评价。</w:t>
      </w:r>
    </w:p>
    <w:p w14:paraId="382C78D3">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szCs w:val="21"/>
        </w:rPr>
        <w:t>磋商须知前附表。</w:t>
      </w:r>
    </w:p>
    <w:p w14:paraId="2722D69C">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kern w:val="0"/>
          <w:szCs w:val="21"/>
        </w:rPr>
        <w:t>31.3</w:t>
      </w:r>
      <w:r>
        <w:rPr>
          <w:rFonts w:hint="eastAsia" w:ascii="宋体" w:hAnsi="宋体" w:eastAsia="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szCs w:val="21"/>
        </w:rPr>
        <w:t>磋商须知前附表</w:t>
      </w:r>
      <w:r>
        <w:rPr>
          <w:rFonts w:hint="eastAsia" w:ascii="宋体" w:hAnsi="宋体" w:eastAsia="宋体" w:cs="宋体"/>
          <w:szCs w:val="21"/>
        </w:rPr>
        <w:t>。</w:t>
      </w:r>
    </w:p>
    <w:p w14:paraId="0CB2B500">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52AC93C7">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磋商报价得分=（磋商基准价/最后磋商报价）×价格权值</w:t>
      </w:r>
    </w:p>
    <w:p w14:paraId="22712642">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项目评审过程中，不得去掉最后报价中的最高报价和最低报价。</w:t>
      </w:r>
    </w:p>
    <w:p w14:paraId="7DDEC1CA">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bCs/>
          <w:szCs w:val="21"/>
        </w:rPr>
        <w:t>31.5</w:t>
      </w:r>
      <w:r>
        <w:rPr>
          <w:rFonts w:hint="eastAsia" w:ascii="宋体" w:hAnsi="宋体" w:eastAsia="宋体" w:cs="宋体"/>
          <w:szCs w:val="21"/>
        </w:rPr>
        <w:t>涉及政府采购政策优惠对供应商分值进行调整的，</w:t>
      </w:r>
      <w:r>
        <w:rPr>
          <w:rFonts w:hint="eastAsia" w:ascii="宋体" w:hAnsi="宋体" w:eastAsia="宋体" w:cs="宋体"/>
          <w:bCs/>
          <w:szCs w:val="21"/>
        </w:rPr>
        <w:t>按</w:t>
      </w:r>
      <w:r>
        <w:rPr>
          <w:rFonts w:hint="eastAsia" w:ascii="宋体" w:hAnsi="宋体" w:eastAsia="宋体" w:cs="宋体"/>
          <w:b/>
          <w:szCs w:val="21"/>
        </w:rPr>
        <w:t>磋商须知前附表</w:t>
      </w:r>
      <w:r>
        <w:rPr>
          <w:rFonts w:hint="eastAsia" w:ascii="宋体" w:hAnsi="宋体" w:eastAsia="宋体" w:cs="宋体"/>
          <w:bCs/>
          <w:szCs w:val="21"/>
        </w:rPr>
        <w:t>规定</w:t>
      </w:r>
      <w:r>
        <w:rPr>
          <w:rFonts w:hint="eastAsia" w:ascii="宋体" w:hAnsi="宋体" w:eastAsia="宋体" w:cs="宋体"/>
          <w:szCs w:val="21"/>
        </w:rPr>
        <w:t>调整供应商的技术、商务、价格</w:t>
      </w:r>
      <w:r>
        <w:rPr>
          <w:rFonts w:hint="eastAsia" w:ascii="宋体" w:hAnsi="宋体" w:eastAsia="宋体" w:cs="宋体"/>
          <w:kern w:val="0"/>
          <w:szCs w:val="21"/>
        </w:rPr>
        <w:t>得分或总得分</w:t>
      </w:r>
      <w:r>
        <w:rPr>
          <w:rFonts w:hint="eastAsia" w:ascii="宋体" w:hAnsi="宋体" w:eastAsia="宋体" w:cs="宋体"/>
          <w:szCs w:val="21"/>
        </w:rPr>
        <w:t>。</w:t>
      </w:r>
    </w:p>
    <w:p w14:paraId="20503BD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31.6涉及多处或部分获得政府采购政策优惠的，其多处或部分享受政府采购优惠政策的计算方法</w:t>
      </w:r>
      <w:r>
        <w:rPr>
          <w:rFonts w:hint="eastAsia" w:ascii="宋体" w:hAnsi="宋体" w:eastAsia="宋体" w:cs="宋体"/>
          <w:szCs w:val="21"/>
          <w:lang w:val="en-US" w:eastAsia="zh-CN"/>
        </w:rPr>
        <w:t>按磋商文件第二章9.4款有关</w:t>
      </w:r>
      <w:r>
        <w:rPr>
          <w:rFonts w:hint="eastAsia" w:ascii="宋体" w:hAnsi="宋体" w:eastAsia="宋体" w:cs="宋体"/>
          <w:szCs w:val="21"/>
        </w:rPr>
        <w:t>规定</w:t>
      </w:r>
      <w:r>
        <w:rPr>
          <w:rFonts w:hint="eastAsia" w:ascii="宋体" w:hAnsi="宋体" w:eastAsia="宋体" w:cs="宋体"/>
          <w:szCs w:val="21"/>
          <w:lang w:val="en-US" w:eastAsia="zh-CN"/>
        </w:rPr>
        <w:t>计算</w:t>
      </w:r>
      <w:r>
        <w:rPr>
          <w:rFonts w:hint="eastAsia" w:ascii="宋体" w:hAnsi="宋体" w:eastAsia="宋体" w:cs="宋体"/>
          <w:szCs w:val="21"/>
        </w:rPr>
        <w:t>。</w:t>
      </w:r>
    </w:p>
    <w:p w14:paraId="7232B7EF">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kern w:val="0"/>
          <w:szCs w:val="21"/>
        </w:rPr>
        <w:t>31.7</w:t>
      </w:r>
      <w:r>
        <w:rPr>
          <w:rFonts w:hint="eastAsia" w:ascii="宋体" w:hAnsi="宋体" w:eastAsia="宋体" w:cs="宋体"/>
          <w:szCs w:val="21"/>
        </w:rPr>
        <w:t>评审时，磋商小组各成员应当独立对每个供应商的</w:t>
      </w:r>
      <w:r>
        <w:rPr>
          <w:rFonts w:hint="eastAsia" w:ascii="宋体" w:hAnsi="宋体" w:eastAsia="宋体" w:cs="宋体"/>
          <w:bCs/>
          <w:szCs w:val="21"/>
        </w:rPr>
        <w:t>响应文件</w:t>
      </w:r>
      <w:r>
        <w:rPr>
          <w:rFonts w:hint="eastAsia" w:ascii="宋体" w:hAnsi="宋体" w:eastAsia="宋体" w:cs="宋体"/>
          <w:szCs w:val="21"/>
        </w:rPr>
        <w:t>进行评价、评分，并按照政府采购优惠政策对最后报价进行价格扣除和技术、商务、价格加分后，汇总各供应商的总得分。</w:t>
      </w:r>
    </w:p>
    <w:p w14:paraId="62C9E0E3">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32.提出成交供应商</w:t>
      </w:r>
    </w:p>
    <w:p w14:paraId="33BE23B0">
      <w:pPr>
        <w:keepNext w:val="0"/>
        <w:keepLines w:val="0"/>
        <w:pageBreakBefore w:val="0"/>
        <w:widowControl/>
        <w:kinsoku/>
        <w:wordWrap/>
        <w:overflowPunct/>
        <w:topLinePunct w:val="0"/>
        <w:autoSpaceDE/>
        <w:autoSpaceDN/>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32.1</w:t>
      </w:r>
      <w:r>
        <w:rPr>
          <w:rFonts w:hint="eastAsia" w:ascii="宋体" w:hAnsi="宋体" w:eastAsia="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szCs w:val="21"/>
        </w:rPr>
        <w:t>可以推荐2家成交候选供应商。</w:t>
      </w:r>
    </w:p>
    <w:p w14:paraId="1BE72CF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33.确定成交供应商</w:t>
      </w:r>
    </w:p>
    <w:p w14:paraId="4A4E35E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33.1采购代理机构应当在评审结束后2个工作日内将评审报告送采购人确认。</w:t>
      </w:r>
    </w:p>
    <w:p w14:paraId="19BF00D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56BE696E">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34.磋商终止</w:t>
      </w:r>
    </w:p>
    <w:p w14:paraId="663C4B33">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lang w:eastAsia="zh-CN"/>
        </w:rPr>
      </w:pPr>
      <w:r>
        <w:rPr>
          <w:rFonts w:hint="eastAsia" w:ascii="宋体" w:hAnsi="宋体" w:eastAsia="宋体" w:cs="宋体"/>
          <w:bCs/>
          <w:szCs w:val="21"/>
        </w:rPr>
        <w:t>34.1</w:t>
      </w:r>
      <w:r>
        <w:rPr>
          <w:rFonts w:hint="eastAsia" w:ascii="宋体" w:hAnsi="宋体" w:eastAsia="宋体" w:cs="宋体"/>
          <w:kern w:val="0"/>
          <w:szCs w:val="21"/>
        </w:rPr>
        <w:t>出现下列情形之一的，采购人或者采购代理机构应当终止竞争性磋商采购活动，</w:t>
      </w:r>
      <w:r>
        <w:rPr>
          <w:rFonts w:hint="eastAsia" w:ascii="宋体" w:hAnsi="宋体" w:eastAsia="宋体" w:cs="宋体"/>
        </w:rPr>
        <w:t>在本章第37.1款指定的媒体上</w:t>
      </w:r>
      <w:r>
        <w:rPr>
          <w:rFonts w:hint="eastAsia" w:ascii="宋体" w:hAnsi="宋体" w:eastAsia="宋体" w:cs="宋体"/>
          <w:kern w:val="0"/>
          <w:szCs w:val="21"/>
        </w:rPr>
        <w:t>发布项目终止公告并说明原因，重新开展采购活动：</w:t>
      </w:r>
    </w:p>
    <w:p w14:paraId="6B059534">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（1）因情况变化，不再符合规定的竞争性磋商采购方式适用情形的；</w:t>
      </w:r>
    </w:p>
    <w:p w14:paraId="7ACB240F">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（2）出现影响采购公正的违法、违规行为的；</w:t>
      </w:r>
    </w:p>
    <w:p w14:paraId="12F0CF5D">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kern w:val="0"/>
          <w:szCs w:val="21"/>
        </w:rPr>
        <w:t>（3）</w:t>
      </w:r>
      <w:r>
        <w:rPr>
          <w:rFonts w:hint="eastAsia" w:ascii="宋体" w:hAnsi="宋体" w:eastAsia="宋体" w:cs="宋体"/>
          <w:bCs/>
          <w:szCs w:val="21"/>
        </w:rPr>
        <w:t>除《政府采购竞争性磋商采购方式管理暂行办法》(财库〔2014〕214号)</w:t>
      </w:r>
      <w:r>
        <w:rPr>
          <w:rFonts w:hint="eastAsia" w:ascii="宋体" w:hAnsi="宋体" w:eastAsia="宋体" w:cs="宋体"/>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szCs w:val="21"/>
        </w:rPr>
        <w:t>情形外，在采购过程中符合要求的供应商或者报价未超过采购预算的供应商不足3家的；</w:t>
      </w:r>
    </w:p>
    <w:p w14:paraId="010787B3">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szCs w:val="21"/>
        </w:rPr>
      </w:pPr>
      <w:r>
        <w:rPr>
          <w:rFonts w:hint="eastAsia" w:ascii="宋体" w:hAnsi="宋体" w:eastAsia="宋体" w:cs="宋体"/>
          <w:kern w:val="0"/>
          <w:szCs w:val="21"/>
        </w:rPr>
        <w:t>（4）因重大变故，采购任务取消的。</w:t>
      </w:r>
    </w:p>
    <w:p w14:paraId="5DC78B4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35．重新评审</w:t>
      </w:r>
    </w:p>
    <w:p w14:paraId="4B66F535">
      <w:pPr>
        <w:keepNext w:val="0"/>
        <w:keepLines w:val="0"/>
        <w:pageBreakBefore w:val="0"/>
        <w:widowControl/>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szCs w:val="21"/>
        </w:rPr>
      </w:pPr>
      <w:r>
        <w:rPr>
          <w:rFonts w:hint="eastAsia" w:ascii="宋体" w:hAnsi="宋体" w:eastAsia="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21BB479">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36.保密及串通行为</w:t>
      </w:r>
    </w:p>
    <w:p w14:paraId="0ADE75A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36.1磋商小组成员以及与评审工作有关的人员不得泄露评审情况以及评审过程中获悉的国家秘密、商业秘密。</w:t>
      </w:r>
    </w:p>
    <w:p w14:paraId="76387CC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36.2</w:t>
      </w:r>
      <w:r>
        <w:rPr>
          <w:rFonts w:hint="eastAsia" w:ascii="宋体" w:hAnsi="宋体" w:eastAsia="宋体" w:cs="宋体"/>
          <w:kern w:val="0"/>
          <w:szCs w:val="21"/>
        </w:rPr>
        <w:t>供应商</w:t>
      </w:r>
      <w:r>
        <w:rPr>
          <w:rFonts w:hint="eastAsia" w:ascii="宋体" w:hAnsi="宋体" w:eastAsia="宋体" w:cs="宋体"/>
          <w:szCs w:val="21"/>
        </w:rPr>
        <w:t>不得与</w:t>
      </w:r>
      <w:r>
        <w:rPr>
          <w:rFonts w:hint="eastAsia" w:ascii="宋体" w:hAnsi="宋体" w:eastAsia="宋体" w:cs="宋体"/>
          <w:kern w:val="0"/>
          <w:szCs w:val="21"/>
        </w:rPr>
        <w:t>采购人、采购代理机构、其他供应商恶意</w:t>
      </w:r>
      <w:r>
        <w:rPr>
          <w:rFonts w:hint="eastAsia" w:ascii="宋体" w:hAnsi="宋体" w:eastAsia="宋体" w:cs="宋体"/>
          <w:szCs w:val="21"/>
        </w:rPr>
        <w:t>串通；不得向</w:t>
      </w:r>
      <w:r>
        <w:rPr>
          <w:rFonts w:hint="eastAsia" w:ascii="宋体" w:hAnsi="宋体" w:eastAsia="宋体" w:cs="宋体"/>
          <w:kern w:val="0"/>
          <w:szCs w:val="21"/>
        </w:rPr>
        <w:t>采购人、采购代理机构</w:t>
      </w:r>
      <w:r>
        <w:rPr>
          <w:rFonts w:hint="eastAsia" w:ascii="宋体" w:hAnsi="宋体" w:eastAsia="宋体" w:cs="宋体"/>
          <w:szCs w:val="21"/>
        </w:rPr>
        <w:t>或者磋商小组成员行贿或者提供其他不正当利益；不得提供虚假资料谋取成交；不得以任何方式干扰、影响采购工作。</w:t>
      </w:r>
    </w:p>
    <w:p w14:paraId="07F704F2">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rPr>
        <w:t>36.3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5BA0F266">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BAAF385">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43CDD588">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77A025FA">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408242CF">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1B510BF8">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79BCF3C9">
      <w:pPr>
        <w:pStyle w:val="4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outlineLvl w:val="9"/>
        <w:rPr>
          <w:rFonts w:hint="default" w:ascii="Times New Roman" w:hAnsi="Times New Roman" w:cs="Times New Roman"/>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22B8F23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sz w:val="28"/>
          <w:szCs w:val="28"/>
        </w:rPr>
      </w:pPr>
      <w:bookmarkStart w:id="78" w:name="_Toc5587"/>
      <w:bookmarkStart w:id="79" w:name="_Toc27933"/>
      <w:bookmarkStart w:id="80" w:name="_Toc30342"/>
      <w:bookmarkStart w:id="81" w:name="_Toc9790"/>
      <w:r>
        <w:rPr>
          <w:rFonts w:hint="default" w:ascii="Times New Roman" w:hAnsi="Times New Roman" w:eastAsia="黑体" w:cs="Times New Roman"/>
          <w:b/>
          <w:sz w:val="28"/>
          <w:szCs w:val="28"/>
        </w:rPr>
        <w:t>六、成交结果信息公布与授予合同</w:t>
      </w:r>
      <w:bookmarkEnd w:id="78"/>
      <w:bookmarkEnd w:id="79"/>
      <w:bookmarkEnd w:id="80"/>
      <w:bookmarkEnd w:id="81"/>
    </w:p>
    <w:p w14:paraId="000E45A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37.成交信息的公布</w:t>
      </w:r>
    </w:p>
    <w:p w14:paraId="31E7C9D3">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37.1成交供应商确定后2个工作日内，成交结果信息将在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7166C91B">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38.询问及质疑</w:t>
      </w:r>
    </w:p>
    <w:p w14:paraId="228E01A4">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szCs w:val="21"/>
        </w:rPr>
        <w:t>38.1供应商对政府采购活动事项有疑问的，可以向采购人或采购代理机构提出询问。</w:t>
      </w:r>
    </w:p>
    <w:p w14:paraId="370A928D">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38.2供应商若认为磋商文件、采购过程和成交结果使自己的权益受到损害，可以按法律、行政法规及湖南省财政厅规范性文件规定向采购人或采购代理机构提出质疑。</w:t>
      </w:r>
    </w:p>
    <w:p w14:paraId="131B2A91">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39.成交通知</w:t>
      </w:r>
    </w:p>
    <w:p w14:paraId="189A1FE7">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39.1成交供应商确定后，采购人或采购代理机构将以书面形式向成交供应商发出成交通知书。成交通知书对采购人和成交供应商具有同等法律效力。</w:t>
      </w:r>
    </w:p>
    <w:p w14:paraId="14DB342D">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39.2成交通知书是合同文件的组成部分。</w:t>
      </w:r>
    </w:p>
    <w:p w14:paraId="0623C3D3">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kern w:val="0"/>
          <w:szCs w:val="21"/>
        </w:rPr>
        <w:t>39.3</w:t>
      </w:r>
      <w:r>
        <w:rPr>
          <w:rFonts w:hint="eastAsia" w:ascii="宋体" w:hAnsi="宋体" w:eastAsia="宋体" w:cs="宋体"/>
          <w:szCs w:val="21"/>
        </w:rPr>
        <w:t>成交供应商在收到采购代理机构的成交通知书后10日内，应按照</w:t>
      </w:r>
      <w:r>
        <w:rPr>
          <w:rFonts w:hint="eastAsia" w:ascii="宋体" w:hAnsi="宋体" w:eastAsia="宋体" w:cs="宋体"/>
          <w:b/>
          <w:szCs w:val="21"/>
        </w:rPr>
        <w:t>磋商须知前附表</w:t>
      </w:r>
      <w:r>
        <w:rPr>
          <w:rFonts w:hint="eastAsia" w:ascii="宋体" w:hAnsi="宋体" w:eastAsia="宋体" w:cs="宋体"/>
          <w:szCs w:val="21"/>
        </w:rPr>
        <w:t>的规定，向采购人提交履约担保。联合体成交的，履约担保由联合体各方或联合体中牵头人的名义提交。</w:t>
      </w:r>
    </w:p>
    <w:p w14:paraId="401027BD">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39.4成交供应商</w:t>
      </w:r>
      <w:r>
        <w:rPr>
          <w:rFonts w:hint="eastAsia" w:ascii="宋体" w:hAnsi="宋体" w:eastAsia="宋体" w:cs="宋体"/>
          <w:spacing w:val="4"/>
        </w:rPr>
        <w:t>没有按照本章第39.3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11C6369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40.签订合同</w:t>
      </w:r>
    </w:p>
    <w:p w14:paraId="761851CA">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val="0"/>
          <w:sz w:val="21"/>
        </w:rPr>
      </w:pPr>
      <w:r>
        <w:rPr>
          <w:rFonts w:hint="eastAsia" w:ascii="宋体" w:hAnsi="宋体" w:eastAsia="宋体" w:cs="宋体"/>
          <w:bCs w:val="0"/>
          <w:sz w:val="21"/>
        </w:rPr>
        <w:t>40.1成交供应商应当在成交通知书发出之日起30日内与采购人签订政府采购合同。</w:t>
      </w:r>
    </w:p>
    <w:p w14:paraId="5BE106AA">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val="0"/>
          <w:sz w:val="21"/>
        </w:rPr>
      </w:pPr>
      <w:r>
        <w:rPr>
          <w:rFonts w:hint="eastAsia" w:ascii="宋体" w:hAnsi="宋体" w:eastAsia="宋体" w:cs="宋体"/>
          <w:bCs w:val="0"/>
          <w:sz w:val="21"/>
        </w:rPr>
        <w:t>40.2磋商文件、成交供应商的响应文件等均为签订政府采购合同的依据。</w:t>
      </w:r>
    </w:p>
    <w:p w14:paraId="6468D632">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val="0"/>
          <w:sz w:val="21"/>
        </w:rPr>
      </w:pPr>
      <w:r>
        <w:rPr>
          <w:rFonts w:hint="eastAsia" w:ascii="宋体" w:hAnsi="宋体" w:eastAsia="宋体" w:cs="宋体"/>
          <w:bCs w:val="0"/>
          <w:sz w:val="21"/>
        </w:rPr>
        <w:t>40.3成交供应商应当按照合同约定履行义务。成交供应商不得向他人转让成交项目，也不得将成交项目分包后分别向他人转让。</w:t>
      </w:r>
    </w:p>
    <w:p w14:paraId="0A4F4AF4">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val="0"/>
          <w:sz w:val="21"/>
        </w:rPr>
      </w:pPr>
      <w:r>
        <w:rPr>
          <w:rFonts w:hint="eastAsia" w:ascii="宋体" w:hAnsi="宋体" w:eastAsia="宋体" w:cs="宋体"/>
          <w:bCs w:val="0"/>
          <w:sz w:val="21"/>
        </w:rPr>
        <w:t>40.4成交供应商有下列情形之一的，责令限期改正，情节严重的，列入不良行为记录名单，在1至3年内禁止参加政府采购活动，并予以通报：</w:t>
      </w:r>
    </w:p>
    <w:p w14:paraId="259A3200">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bCs w:val="0"/>
          <w:sz w:val="21"/>
        </w:rPr>
      </w:pPr>
      <w:r>
        <w:rPr>
          <w:rFonts w:hint="eastAsia" w:ascii="宋体" w:hAnsi="宋体" w:eastAsia="宋体" w:cs="宋体"/>
          <w:bCs w:val="0"/>
          <w:sz w:val="21"/>
        </w:rPr>
        <w:t>（一）成交后无正当理由不与采购人签订合同的；</w:t>
      </w:r>
    </w:p>
    <w:p w14:paraId="24FECD0B">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bCs w:val="0"/>
          <w:sz w:val="21"/>
        </w:rPr>
        <w:t>（二）未按照采购文件确定的事项签订政府采购合同，或者与</w:t>
      </w:r>
      <w:r>
        <w:rPr>
          <w:rFonts w:hint="eastAsia" w:ascii="宋体" w:hAnsi="宋体" w:eastAsia="宋体" w:cs="宋体"/>
        </w:rPr>
        <w:t>采购人另行订立背离合同实质性内容的协议的；</w:t>
      </w:r>
    </w:p>
    <w:p w14:paraId="1FB41A44">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rPr>
      </w:pPr>
      <w:r>
        <w:rPr>
          <w:rFonts w:hint="eastAsia" w:ascii="宋体" w:hAnsi="宋体" w:eastAsia="宋体" w:cs="宋体"/>
        </w:rPr>
        <w:t>（三）拒绝履行合同义务的；</w:t>
      </w:r>
    </w:p>
    <w:p w14:paraId="3404A4D3">
      <w:pPr>
        <w:pStyle w:val="24"/>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403E858F">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center"/>
        <w:textAlignment w:val="auto"/>
        <w:outlineLvl w:val="2"/>
        <w:rPr>
          <w:rFonts w:hint="default" w:ascii="Times New Roman" w:hAnsi="Times New Roman" w:eastAsia="黑体" w:cs="Times New Roman"/>
          <w:b/>
          <w:sz w:val="28"/>
          <w:szCs w:val="28"/>
        </w:rPr>
      </w:pPr>
      <w:bookmarkStart w:id="82" w:name="_Toc15408"/>
      <w:bookmarkStart w:id="83" w:name="_Toc8343"/>
      <w:bookmarkStart w:id="84" w:name="_Toc1320"/>
      <w:bookmarkStart w:id="85" w:name="_Toc2443"/>
      <w:r>
        <w:rPr>
          <w:rFonts w:hint="default" w:ascii="Times New Roman" w:hAnsi="Times New Roman" w:eastAsia="黑体" w:cs="Times New Roman"/>
          <w:b/>
          <w:sz w:val="28"/>
          <w:szCs w:val="28"/>
        </w:rPr>
        <w:t>七、其他规定</w:t>
      </w:r>
      <w:bookmarkEnd w:id="82"/>
      <w:bookmarkEnd w:id="83"/>
      <w:bookmarkEnd w:id="84"/>
      <w:bookmarkEnd w:id="85"/>
    </w:p>
    <w:p w14:paraId="22BDA067">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41.采购代理服务费</w:t>
      </w:r>
    </w:p>
    <w:p w14:paraId="02AB6BEC">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41.1采购代理机构应按</w:t>
      </w:r>
      <w:r>
        <w:rPr>
          <w:rFonts w:hint="eastAsia" w:ascii="宋体" w:hAnsi="宋体" w:eastAsia="宋体" w:cs="宋体"/>
          <w:b/>
          <w:szCs w:val="21"/>
        </w:rPr>
        <w:t>磋商须知前附表</w:t>
      </w:r>
      <w:r>
        <w:rPr>
          <w:rFonts w:hint="eastAsia" w:ascii="宋体" w:hAnsi="宋体" w:eastAsia="宋体" w:cs="宋体"/>
          <w:szCs w:val="21"/>
        </w:rPr>
        <w:t>规定收取采购代理服务费。</w:t>
      </w:r>
    </w:p>
    <w:p w14:paraId="449EBEC2">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eastAsia" w:ascii="宋体" w:hAnsi="宋体" w:eastAsia="宋体" w:cs="宋体"/>
          <w:szCs w:val="21"/>
        </w:rPr>
      </w:pPr>
      <w:r>
        <w:rPr>
          <w:rFonts w:hint="eastAsia" w:ascii="宋体" w:hAnsi="宋体" w:eastAsia="宋体" w:cs="宋体"/>
          <w:szCs w:val="21"/>
        </w:rPr>
        <w:t>41.2集中采购机构不得收取采购代理服务费。</w:t>
      </w:r>
    </w:p>
    <w:p w14:paraId="358CFF2C">
      <w:pPr>
        <w:keepNext w:val="0"/>
        <w:keepLines w:val="0"/>
        <w:pageBreakBefore w:val="0"/>
        <w:kinsoku/>
        <w:wordWrap/>
        <w:overflowPunct/>
        <w:topLinePunct w:val="0"/>
        <w:autoSpaceDE/>
        <w:bidi w:val="0"/>
        <w:adjustRightInd w:val="0"/>
        <w:snapToGrid w:val="0"/>
        <w:spacing w:before="157" w:beforeLines="50" w:line="360" w:lineRule="auto"/>
        <w:ind w:left="0" w:leftChars="0" w:right="0" w:rightChars="0" w:firstLine="0" w:firstLineChars="0"/>
        <w:jc w:val="both"/>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42.其他规定</w:t>
      </w:r>
    </w:p>
    <w:p w14:paraId="0E0383E0">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before="157" w:beforeLines="50" w:line="360" w:lineRule="auto"/>
        <w:ind w:left="0" w:leftChars="0" w:right="0" w:rightChars="0" w:firstLine="420" w:firstLineChars="200"/>
        <w:jc w:val="left"/>
        <w:textAlignment w:val="auto"/>
        <w:outlineLvl w:val="9"/>
        <w:rPr>
          <w:rFonts w:hint="default" w:ascii="Times New Roman" w:hAnsi="Times New Roman" w:cs="Times New Roman"/>
          <w:szCs w:val="21"/>
        </w:rPr>
      </w:pPr>
      <w:r>
        <w:rPr>
          <w:rFonts w:hint="eastAsia" w:ascii="宋体" w:hAnsi="宋体" w:eastAsia="宋体" w:cs="宋体"/>
        </w:rPr>
        <w:t>42.1</w:t>
      </w:r>
      <w:r>
        <w:rPr>
          <w:rFonts w:hint="eastAsia" w:ascii="宋体" w:hAnsi="宋体" w:eastAsia="宋体" w:cs="宋体"/>
          <w:szCs w:val="21"/>
        </w:rPr>
        <w:t>磋商文件</w:t>
      </w:r>
      <w:r>
        <w:rPr>
          <w:rFonts w:hint="eastAsia" w:ascii="宋体" w:hAnsi="宋体" w:eastAsia="宋体" w:cs="宋体"/>
        </w:rPr>
        <w:t>的其他规定</w:t>
      </w:r>
      <w:r>
        <w:rPr>
          <w:rFonts w:hint="eastAsia" w:ascii="宋体" w:hAnsi="宋体" w:eastAsia="宋体" w:cs="宋体"/>
          <w:szCs w:val="21"/>
        </w:rPr>
        <w:t>见</w:t>
      </w:r>
      <w:r>
        <w:rPr>
          <w:rFonts w:hint="eastAsia" w:ascii="宋体" w:hAnsi="宋体" w:eastAsia="宋体" w:cs="宋体"/>
          <w:b/>
          <w:szCs w:val="21"/>
        </w:rPr>
        <w:t>磋商须知前附表</w:t>
      </w:r>
      <w:r>
        <w:rPr>
          <w:rFonts w:hint="eastAsia" w:ascii="宋体" w:hAnsi="宋体" w:eastAsia="宋体" w:cs="宋体"/>
          <w:szCs w:val="21"/>
        </w:rPr>
        <w:t>。</w:t>
      </w:r>
    </w:p>
    <w:p w14:paraId="2178B8E7">
      <w:pPr>
        <w:adjustRightInd w:val="0"/>
        <w:snapToGrid w:val="0"/>
        <w:spacing w:before="120" w:beforeLines="50" w:line="360" w:lineRule="auto"/>
        <w:jc w:val="center"/>
        <w:rPr>
          <w:rFonts w:hint="default" w:ascii="Times New Roman" w:hAnsi="Times New Roman" w:eastAsia="黑体" w:cs="Times New Roman"/>
          <w:b/>
          <w:sz w:val="32"/>
          <w:szCs w:val="32"/>
        </w:rPr>
      </w:pPr>
    </w:p>
    <w:p w14:paraId="0D1A44B0">
      <w:pPr>
        <w:pStyle w:val="66"/>
        <w:ind w:firstLine="0"/>
        <w:rPr>
          <w:rFonts w:hint="default" w:ascii="Times New Roman" w:hAnsi="Times New Roman" w:eastAsia="黑体" w:cs="Times New Roman"/>
          <w:b/>
          <w:sz w:val="32"/>
          <w:szCs w:val="32"/>
        </w:rPr>
      </w:pPr>
    </w:p>
    <w:p w14:paraId="0A7BF7BB">
      <w:pPr>
        <w:rPr>
          <w:rFonts w:hint="eastAsia" w:ascii="黑体" w:hAnsi="黑体" w:eastAsia="黑体" w:cs="黑体"/>
          <w:b/>
          <w:bCs/>
          <w:color w:val="auto"/>
          <w:sz w:val="32"/>
          <w:szCs w:val="32"/>
          <w:lang w:val="en-US" w:eastAsia="zh-CN"/>
        </w:rPr>
      </w:pPr>
      <w:bookmarkStart w:id="86" w:name="_Toc20807"/>
      <w:bookmarkStart w:id="87" w:name="_Toc8140"/>
      <w:bookmarkStart w:id="88" w:name="_Toc26895"/>
      <w:bookmarkStart w:id="89" w:name="_Toc18876"/>
      <w:r>
        <w:rPr>
          <w:rFonts w:hint="eastAsia" w:ascii="黑体" w:hAnsi="黑体" w:eastAsia="黑体" w:cs="黑体"/>
          <w:b/>
          <w:bCs/>
          <w:color w:val="auto"/>
          <w:sz w:val="32"/>
          <w:szCs w:val="32"/>
          <w:lang w:val="en-US" w:eastAsia="zh-CN"/>
        </w:rPr>
        <w:br w:type="page"/>
      </w:r>
    </w:p>
    <w:p w14:paraId="55F2CD26">
      <w:pPr>
        <w:keepNext/>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jc w:val="center"/>
        <w:textAlignment w:val="auto"/>
        <w:outlineLvl w:val="0"/>
        <w:rPr>
          <w:rFonts w:hint="eastAsia" w:ascii="黑体" w:hAnsi="黑体" w:eastAsia="黑体" w:cs="黑体"/>
          <w:b/>
          <w:bCs/>
          <w:color w:val="auto"/>
          <w:sz w:val="32"/>
          <w:szCs w:val="32"/>
        </w:rPr>
      </w:pPr>
      <w:bookmarkStart w:id="90" w:name="_Toc31366"/>
      <w:r>
        <w:rPr>
          <w:rFonts w:hint="eastAsia" w:ascii="黑体" w:hAnsi="黑体" w:eastAsia="黑体" w:cs="黑体"/>
          <w:b/>
          <w:bCs/>
          <w:color w:val="auto"/>
          <w:sz w:val="32"/>
          <w:szCs w:val="32"/>
          <w:lang w:val="en-US" w:eastAsia="zh-CN"/>
        </w:rPr>
        <w:t>第三章 合同草案条款</w:t>
      </w:r>
      <w:bookmarkEnd w:id="86"/>
      <w:bookmarkEnd w:id="87"/>
      <w:bookmarkEnd w:id="88"/>
      <w:bookmarkEnd w:id="89"/>
      <w:bookmarkEnd w:id="90"/>
    </w:p>
    <w:p w14:paraId="244D565C">
      <w:pPr>
        <w:pStyle w:val="3"/>
        <w:keepNext/>
        <w:pageBreakBefore w:val="0"/>
        <w:widowControl w:val="0"/>
        <w:kinsoku/>
        <w:wordWrap/>
        <w:overflowPunct/>
        <w:topLinePunct w:val="0"/>
        <w:autoSpaceDE/>
        <w:autoSpaceDN/>
        <w:bidi w:val="0"/>
        <w:adjustRightInd w:val="0"/>
        <w:snapToGrid w:val="0"/>
        <w:spacing w:before="157" w:beforeLines="50"/>
        <w:ind w:left="0" w:leftChars="0" w:firstLine="0" w:firstLineChars="0"/>
        <w:jc w:val="center"/>
        <w:textAlignment w:val="auto"/>
        <w:rPr>
          <w:rFonts w:ascii="黑体" w:hAnsi="华文中宋" w:eastAsia="黑体"/>
          <w:sz w:val="28"/>
          <w:szCs w:val="28"/>
        </w:rPr>
      </w:pPr>
      <w:bookmarkStart w:id="91" w:name="_Toc26891"/>
      <w:bookmarkStart w:id="92" w:name="_Toc19039"/>
      <w:r>
        <w:rPr>
          <w:rFonts w:hint="eastAsia" w:ascii="黑体" w:hAnsi="华文中宋" w:eastAsia="黑体"/>
          <w:sz w:val="28"/>
          <w:szCs w:val="28"/>
        </w:rPr>
        <w:t>第一节 政府采购合同协议书</w:t>
      </w:r>
      <w:bookmarkEnd w:id="91"/>
      <w:bookmarkEnd w:id="92"/>
    </w:p>
    <w:p w14:paraId="15F45249">
      <w:pPr>
        <w:adjustRightInd w:val="0"/>
        <w:snapToGrid w:val="0"/>
        <w:spacing w:before="156" w:beforeLines="50" w:line="360" w:lineRule="auto"/>
        <w:ind w:firstLine="5460" w:firstLineChars="2600"/>
        <w:rPr>
          <w:rFonts w:ascii="宋体" w:hAnsi="宋体"/>
          <w:b/>
          <w:szCs w:val="21"/>
        </w:rPr>
      </w:pPr>
      <w:r>
        <w:rPr>
          <w:rFonts w:hint="eastAsia" w:ascii="宋体" w:hAnsi="宋体"/>
          <w:szCs w:val="21"/>
        </w:rPr>
        <w:t>采购合同编号：</w:t>
      </w:r>
      <w:r>
        <w:rPr>
          <w:rFonts w:ascii="宋体" w:hAnsi="宋体"/>
          <w:szCs w:val="21"/>
          <w:u w:val="single"/>
        </w:rPr>
        <w:t xml:space="preserve">                 </w:t>
      </w:r>
    </w:p>
    <w:p w14:paraId="3D990A69">
      <w:pPr>
        <w:adjustRightInd w:val="0"/>
        <w:snapToGrid w:val="0"/>
        <w:spacing w:before="156" w:beforeLines="50" w:line="360" w:lineRule="auto"/>
        <w:jc w:val="center"/>
        <w:rPr>
          <w:rFonts w:ascii="宋体" w:hAnsi="宋体"/>
          <w:b/>
          <w:szCs w:val="21"/>
        </w:rPr>
      </w:pPr>
    </w:p>
    <w:p w14:paraId="18625408">
      <w:pPr>
        <w:adjustRightInd w:val="0"/>
        <w:snapToGrid w:val="0"/>
        <w:spacing w:before="156" w:beforeLines="50" w:line="360" w:lineRule="auto"/>
        <w:rPr>
          <w:rFonts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0C090C75">
      <w:pPr>
        <w:adjustRightInd w:val="0"/>
        <w:snapToGrid w:val="0"/>
        <w:spacing w:before="156" w:beforeLines="50" w:line="360" w:lineRule="auto"/>
        <w:rPr>
          <w:rFonts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50D05CD4">
      <w:pPr>
        <w:pStyle w:val="19"/>
        <w:adjustRightInd w:val="0"/>
        <w:snapToGrid w:val="0"/>
        <w:spacing w:before="156" w:beforeLines="50" w:after="0" w:line="360" w:lineRule="auto"/>
        <w:rPr>
          <w:rFonts w:ascii="宋体" w:hAnsi="宋体"/>
          <w:szCs w:val="21"/>
        </w:rPr>
      </w:pPr>
    </w:p>
    <w:p w14:paraId="04750356">
      <w:pPr>
        <w:pStyle w:val="19"/>
        <w:adjustRightInd w:val="0"/>
        <w:snapToGrid w:val="0"/>
        <w:spacing w:before="156" w:beforeLines="50" w:after="0" w:line="360" w:lineRule="auto"/>
        <w:ind w:left="0" w:leftChars="0" w:firstLine="420" w:firstLineChars="200"/>
        <w:rPr>
          <w:rFonts w:ascii="宋体" w:hAnsi="宋体"/>
          <w:szCs w:val="21"/>
        </w:rPr>
      </w:pPr>
      <w:r>
        <w:rPr>
          <w:rFonts w:hint="eastAsia" w:ascii="宋体" w:hAnsi="宋体"/>
          <w:szCs w:val="21"/>
        </w:rPr>
        <w:t>为了保护甲、乙双方合法权益，根据《中华人民共和国民法典》、《中华人民共和国政府采购法》及其他有关法律、法规、规章，双方签订本合同协议书。</w:t>
      </w:r>
    </w:p>
    <w:p w14:paraId="71177539">
      <w:pPr>
        <w:adjustRightInd w:val="0"/>
        <w:snapToGrid w:val="0"/>
        <w:spacing w:before="156" w:beforeLines="50" w:line="360" w:lineRule="auto"/>
        <w:ind w:firstLine="422" w:firstLineChars="200"/>
        <w:outlineLvl w:val="2"/>
        <w:rPr>
          <w:rFonts w:ascii="宋体" w:hAnsi="宋体"/>
          <w:b/>
          <w:szCs w:val="21"/>
        </w:rPr>
      </w:pPr>
      <w:bookmarkStart w:id="93" w:name="_Toc13203"/>
      <w:bookmarkStart w:id="94" w:name="_Toc26746"/>
      <w:bookmarkStart w:id="95" w:name="_Toc32276"/>
      <w:bookmarkStart w:id="96" w:name="_Toc24015"/>
      <w:bookmarkStart w:id="97" w:name="_Toc30075"/>
      <w:bookmarkStart w:id="98" w:name="_Toc20910"/>
      <w:r>
        <w:rPr>
          <w:rFonts w:hint="eastAsia" w:ascii="宋体" w:hAnsi="宋体"/>
          <w:b/>
          <w:szCs w:val="21"/>
        </w:rPr>
        <w:t>1.项目信息</w:t>
      </w:r>
      <w:bookmarkEnd w:id="93"/>
      <w:bookmarkEnd w:id="94"/>
      <w:bookmarkEnd w:id="95"/>
      <w:bookmarkEnd w:id="96"/>
      <w:bookmarkEnd w:id="97"/>
      <w:bookmarkEnd w:id="98"/>
    </w:p>
    <w:p w14:paraId="5F4024F4">
      <w:pPr>
        <w:pStyle w:val="19"/>
        <w:keepNext w:val="0"/>
        <w:keepLines w:val="0"/>
        <w:pageBreakBefore w:val="0"/>
        <w:widowControl w:val="0"/>
        <w:kinsoku/>
        <w:wordWrap/>
        <w:overflowPunct/>
        <w:topLinePunct w:val="0"/>
        <w:autoSpaceDE/>
        <w:autoSpaceDN/>
        <w:bidi w:val="0"/>
        <w:adjustRightInd w:val="0"/>
        <w:snapToGrid w:val="0"/>
        <w:spacing w:before="156" w:beforeLines="50" w:after="0" w:line="360" w:lineRule="auto"/>
        <w:ind w:left="0" w:leftChars="0" w:firstLine="420" w:firstLineChars="200"/>
        <w:textAlignment w:val="auto"/>
        <w:rPr>
          <w:rFonts w:ascii="宋体" w:hAnsi="宋体"/>
          <w:szCs w:val="21"/>
        </w:rPr>
      </w:pPr>
      <w:r>
        <w:rPr>
          <w:rFonts w:hint="eastAsia" w:ascii="宋体" w:hAnsi="宋体"/>
          <w:szCs w:val="21"/>
        </w:rPr>
        <w:t>（1）采购项目名称：</w:t>
      </w:r>
      <w:r>
        <w:rPr>
          <w:rFonts w:ascii="宋体" w:hAnsi="宋体"/>
          <w:szCs w:val="21"/>
          <w:u w:val="single"/>
        </w:rPr>
        <w:t xml:space="preserve">                                          </w:t>
      </w:r>
    </w:p>
    <w:p w14:paraId="4337F515">
      <w:pPr>
        <w:pStyle w:val="19"/>
        <w:keepNext w:val="0"/>
        <w:keepLines w:val="0"/>
        <w:pageBreakBefore w:val="0"/>
        <w:widowControl w:val="0"/>
        <w:kinsoku/>
        <w:wordWrap/>
        <w:overflowPunct/>
        <w:topLinePunct w:val="0"/>
        <w:autoSpaceDE/>
        <w:autoSpaceDN/>
        <w:bidi w:val="0"/>
        <w:adjustRightInd w:val="0"/>
        <w:snapToGrid w:val="0"/>
        <w:spacing w:before="156" w:beforeLines="50" w:after="0" w:line="360" w:lineRule="auto"/>
        <w:ind w:left="0" w:leftChars="0" w:firstLine="420" w:firstLineChars="200"/>
        <w:textAlignment w:val="auto"/>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ascii="宋体" w:hAnsi="宋体"/>
          <w:szCs w:val="21"/>
        </w:rPr>
        <w:t xml:space="preserve"> </w:t>
      </w:r>
    </w:p>
    <w:p w14:paraId="18DF4E53">
      <w:pPr>
        <w:keepNext w:val="0"/>
        <w:keepLines w:val="0"/>
        <w:pageBreakBefore w:val="0"/>
        <w:widowControl w:val="0"/>
        <w:kinsoku/>
        <w:wordWrap/>
        <w:overflowPunct/>
        <w:topLinePunct w:val="0"/>
        <w:autoSpaceDE/>
        <w:autoSpaceDN/>
        <w:bidi w:val="0"/>
        <w:adjustRightInd w:val="0"/>
        <w:snapToGrid w:val="0"/>
        <w:spacing w:before="156" w:beforeLines="50" w:line="360" w:lineRule="auto"/>
        <w:ind w:left="0" w:leftChars="0" w:firstLine="420" w:firstLineChars="200"/>
        <w:textAlignment w:val="auto"/>
        <w:rPr>
          <w:rFonts w:ascii="宋体" w:hAnsi="宋体"/>
          <w:szCs w:val="21"/>
        </w:rPr>
      </w:pPr>
      <w:r>
        <w:rPr>
          <w:rFonts w:hint="eastAsia" w:ascii="宋体" w:hAnsi="宋体"/>
          <w:szCs w:val="21"/>
        </w:rPr>
        <w:t>（3）项目内容：</w:t>
      </w:r>
      <w:r>
        <w:rPr>
          <w:rFonts w:hint="eastAsia" w:ascii="宋体" w:hAnsi="宋体"/>
          <w:szCs w:val="21"/>
          <w:u w:val="single"/>
        </w:rPr>
        <w:t xml:space="preserve">                             </w:t>
      </w:r>
    </w:p>
    <w:p w14:paraId="53525E27">
      <w:pPr>
        <w:keepNext w:val="0"/>
        <w:keepLines w:val="0"/>
        <w:pageBreakBefore w:val="0"/>
        <w:widowControl w:val="0"/>
        <w:kinsoku/>
        <w:wordWrap/>
        <w:overflowPunct/>
        <w:topLinePunct w:val="0"/>
        <w:autoSpaceDE/>
        <w:autoSpaceDN/>
        <w:bidi w:val="0"/>
        <w:adjustRightInd w:val="0"/>
        <w:snapToGrid w:val="0"/>
        <w:spacing w:before="156" w:beforeLines="50" w:line="360" w:lineRule="auto"/>
        <w:ind w:left="0" w:leftChars="0" w:firstLine="420" w:firstLineChars="200"/>
        <w:textAlignment w:val="auto"/>
        <w:rPr>
          <w:rFonts w:ascii="宋体" w:hAnsi="宋体"/>
          <w:szCs w:val="21"/>
        </w:rPr>
      </w:pPr>
      <w:r>
        <w:rPr>
          <w:rFonts w:hint="eastAsia" w:ascii="宋体" w:hAnsi="宋体"/>
          <w:szCs w:val="21"/>
        </w:rPr>
        <w:t>（4）是否分包：</w:t>
      </w:r>
      <w:r>
        <w:rPr>
          <w:rFonts w:hint="eastAsia" w:ascii="宋体" w:hAnsi="宋体"/>
          <w:szCs w:val="21"/>
          <w:u w:val="single"/>
        </w:rPr>
        <w:t xml:space="preserve">               </w:t>
      </w:r>
      <w:r>
        <w:rPr>
          <w:rFonts w:hint="eastAsia" w:ascii="宋体" w:hAnsi="宋体"/>
          <w:szCs w:val="21"/>
        </w:rPr>
        <w:t>。</w:t>
      </w:r>
    </w:p>
    <w:p w14:paraId="05B98CD4">
      <w:pPr>
        <w:keepNext w:val="0"/>
        <w:keepLines w:val="0"/>
        <w:pageBreakBefore w:val="0"/>
        <w:widowControl w:val="0"/>
        <w:kinsoku/>
        <w:wordWrap/>
        <w:overflowPunct/>
        <w:topLinePunct w:val="0"/>
        <w:autoSpaceDE/>
        <w:autoSpaceDN/>
        <w:bidi w:val="0"/>
        <w:adjustRightInd w:val="0"/>
        <w:snapToGrid w:val="0"/>
        <w:spacing w:before="156" w:beforeLines="50" w:line="360" w:lineRule="auto"/>
        <w:ind w:left="0" w:leftChars="0" w:firstLine="420" w:firstLineChars="200"/>
        <w:textAlignment w:val="auto"/>
        <w:rPr>
          <w:rFonts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30C25023">
      <w:pPr>
        <w:keepNext w:val="0"/>
        <w:keepLines w:val="0"/>
        <w:pageBreakBefore w:val="0"/>
        <w:widowControl w:val="0"/>
        <w:kinsoku/>
        <w:wordWrap/>
        <w:overflowPunct/>
        <w:topLinePunct w:val="0"/>
        <w:autoSpaceDE/>
        <w:autoSpaceDN/>
        <w:bidi w:val="0"/>
        <w:adjustRightInd w:val="0"/>
        <w:snapToGrid w:val="0"/>
        <w:spacing w:before="156" w:beforeLines="50" w:line="360" w:lineRule="auto"/>
        <w:ind w:left="0" w:leftChars="0" w:firstLine="420" w:firstLineChars="200"/>
        <w:textAlignment w:val="auto"/>
        <w:rPr>
          <w:rFonts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rPr>
        <w:t>。</w:t>
      </w:r>
    </w:p>
    <w:p w14:paraId="1BA85B08">
      <w:pPr>
        <w:adjustRightInd w:val="0"/>
        <w:snapToGrid w:val="0"/>
        <w:spacing w:before="156" w:beforeLines="50" w:line="360" w:lineRule="auto"/>
        <w:ind w:firstLine="413" w:firstLineChars="196"/>
        <w:outlineLvl w:val="2"/>
        <w:rPr>
          <w:rFonts w:ascii="宋体" w:hAnsi="宋体"/>
          <w:b/>
          <w:szCs w:val="21"/>
        </w:rPr>
      </w:pPr>
      <w:bookmarkStart w:id="99" w:name="_Toc23326"/>
      <w:bookmarkStart w:id="100" w:name="_Toc31495"/>
      <w:bookmarkStart w:id="101" w:name="_Toc10322"/>
      <w:bookmarkStart w:id="102" w:name="_Toc802"/>
      <w:bookmarkStart w:id="103" w:name="_Toc24984"/>
      <w:bookmarkStart w:id="104" w:name="_Toc19302"/>
      <w:r>
        <w:rPr>
          <w:rFonts w:hint="eastAsia" w:ascii="宋体" w:hAnsi="宋体"/>
          <w:b/>
          <w:szCs w:val="21"/>
        </w:rPr>
        <w:t>2.合同金额</w:t>
      </w:r>
      <w:bookmarkEnd w:id="99"/>
      <w:bookmarkEnd w:id="100"/>
      <w:bookmarkEnd w:id="101"/>
      <w:bookmarkEnd w:id="102"/>
      <w:bookmarkEnd w:id="103"/>
      <w:bookmarkEnd w:id="104"/>
    </w:p>
    <w:p w14:paraId="20D4CB2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701994A6">
      <w:pPr>
        <w:adjustRightInd w:val="0"/>
        <w:snapToGrid w:val="0"/>
        <w:spacing w:before="156" w:beforeLines="50" w:line="360" w:lineRule="auto"/>
        <w:ind w:firstLine="1260" w:firstLineChars="600"/>
        <w:rPr>
          <w:rFonts w:ascii="宋体" w:hAnsi="宋体"/>
          <w:b/>
          <w:szCs w:val="21"/>
        </w:rPr>
      </w:pPr>
      <w:r>
        <w:rPr>
          <w:rFonts w:hint="eastAsia" w:ascii="宋体" w:hAnsi="宋体"/>
          <w:szCs w:val="21"/>
        </w:rPr>
        <w:t>大写：</w:t>
      </w:r>
      <w:r>
        <w:rPr>
          <w:rFonts w:hint="eastAsia" w:ascii="宋体" w:hAnsi="宋体"/>
          <w:szCs w:val="21"/>
          <w:u w:val="single"/>
        </w:rPr>
        <w:t xml:space="preserve">                      </w:t>
      </w:r>
    </w:p>
    <w:p w14:paraId="23AB3642">
      <w:pPr>
        <w:adjustRightInd w:val="0"/>
        <w:snapToGrid w:val="0"/>
        <w:spacing w:before="156" w:beforeLines="50" w:line="360" w:lineRule="auto"/>
        <w:ind w:firstLine="420" w:firstLineChars="200"/>
        <w:outlineLvl w:val="9"/>
        <w:rPr>
          <w:rFonts w:ascii="宋体" w:hAnsi="宋体"/>
          <w:szCs w:val="21"/>
        </w:rPr>
      </w:pPr>
      <w:r>
        <w:rPr>
          <w:rFonts w:hint="eastAsia" w:ascii="宋体" w:hAnsi="宋体"/>
          <w:szCs w:val="21"/>
        </w:rPr>
        <w:t>（2）具体标的见附件。</w:t>
      </w:r>
    </w:p>
    <w:p w14:paraId="5B4A795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（3）合同定价方式：</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130DA6FA">
      <w:pPr>
        <w:adjustRightInd w:val="0"/>
        <w:snapToGrid w:val="0"/>
        <w:spacing w:before="156" w:beforeLines="50" w:line="360" w:lineRule="auto"/>
        <w:ind w:firstLine="420" w:firstLineChars="200"/>
        <w:outlineLvl w:val="9"/>
        <w:rPr>
          <w:rFonts w:hint="eastAsia" w:ascii="宋体" w:hAnsi="宋体"/>
          <w:szCs w:val="21"/>
        </w:rPr>
      </w:pPr>
      <w:r>
        <w:rPr>
          <w:rFonts w:hint="eastAsia" w:ascii="宋体" w:hAnsi="宋体"/>
          <w:szCs w:val="21"/>
        </w:rPr>
        <w:t>（4）付款方式（按项目实际勾选填写）：</w:t>
      </w:r>
    </w:p>
    <w:p w14:paraId="7BC9C258">
      <w:pPr>
        <w:adjustRightInd w:val="0"/>
        <w:snapToGrid w:val="0"/>
        <w:spacing w:before="156" w:beforeLines="50" w:line="360" w:lineRule="auto"/>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w:t>
      </w:r>
      <w:r>
        <w:rPr>
          <w:rFonts w:hint="eastAsia"/>
          <w:szCs w:val="21"/>
          <w:u w:val="single"/>
          <w:lang w:val="en-US" w:eastAsia="zh-CN"/>
        </w:rPr>
        <w:t>/</w:t>
      </w:r>
      <w:r>
        <w:rPr>
          <w:rFonts w:hint="eastAsia" w:ascii="宋体" w:hAnsi="宋体"/>
          <w:szCs w:val="21"/>
          <w:u w:val="single"/>
        </w:rPr>
        <w:t xml:space="preserve">   </w:t>
      </w:r>
    </w:p>
    <w:p w14:paraId="727E55A0">
      <w:pPr>
        <w:adjustRightInd w:val="0"/>
        <w:snapToGrid w:val="0"/>
        <w:spacing w:before="156" w:beforeLines="50" w:line="360" w:lineRule="auto"/>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预付款：</w:t>
      </w:r>
      <w:r>
        <w:rPr>
          <w:rFonts w:hint="eastAsia" w:ascii="宋体" w:hAnsi="宋体"/>
          <w:szCs w:val="21"/>
          <w:u w:val="single"/>
        </w:rPr>
        <w:t xml:space="preserve">    </w:t>
      </w:r>
      <w:r>
        <w:rPr>
          <w:rFonts w:hint="eastAsia"/>
          <w:szCs w:val="21"/>
          <w:u w:val="single"/>
          <w:lang w:val="en-US" w:eastAsia="zh-CN"/>
        </w:rPr>
        <w:t>本项目无预付款拨付</w:t>
      </w:r>
      <w:r>
        <w:rPr>
          <w:rFonts w:hint="eastAsia" w:ascii="宋体" w:hAnsi="宋体"/>
          <w:szCs w:val="21"/>
          <w:u w:val="single"/>
        </w:rPr>
        <w:t xml:space="preserve">              </w:t>
      </w:r>
    </w:p>
    <w:p w14:paraId="7AF89E66">
      <w:pPr>
        <w:adjustRightInd w:val="0"/>
        <w:snapToGrid w:val="0"/>
        <w:spacing w:before="156" w:beforeLines="50"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按照</w:t>
      </w:r>
      <w:r>
        <w:rPr>
          <w:rFonts w:hint="eastAsia"/>
          <w:szCs w:val="21"/>
          <w:u w:val="single"/>
          <w:lang w:val="en-US" w:eastAsia="zh-CN"/>
        </w:rPr>
        <w:t>形象进度</w:t>
      </w:r>
      <w:r>
        <w:rPr>
          <w:rFonts w:hint="eastAsia" w:ascii="宋体" w:hAnsi="宋体"/>
          <w:szCs w:val="21"/>
          <w:u w:val="single"/>
        </w:rPr>
        <w:t>分期支付</w:t>
      </w:r>
      <w:r>
        <w:rPr>
          <w:rFonts w:hint="eastAsia"/>
          <w:szCs w:val="21"/>
          <w:u w:val="single"/>
          <w:lang w:val="en-US" w:eastAsia="zh-CN"/>
        </w:rPr>
        <w:t>工程进度款</w:t>
      </w:r>
      <w:r>
        <w:rPr>
          <w:rFonts w:hint="eastAsia" w:ascii="宋体" w:hAnsi="宋体"/>
          <w:szCs w:val="21"/>
          <w:u w:val="single"/>
        </w:rPr>
        <w:t xml:space="preserve">        </w:t>
      </w:r>
    </w:p>
    <w:p w14:paraId="595A9F0F">
      <w:pPr>
        <w:adjustRightInd w:val="0"/>
        <w:snapToGrid w:val="0"/>
        <w:spacing w:before="156" w:beforeLines="50"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w:t>
      </w:r>
      <w:r>
        <w:rPr>
          <w:rFonts w:hint="eastAsia"/>
          <w:szCs w:val="21"/>
          <w:u w:val="single"/>
          <w:lang w:val="en-US" w:eastAsia="zh-CN"/>
        </w:rPr>
        <w:t>/</w:t>
      </w:r>
      <w:r>
        <w:rPr>
          <w:rFonts w:hint="eastAsia" w:ascii="宋体" w:hAnsi="宋体"/>
          <w:szCs w:val="21"/>
          <w:u w:val="single"/>
        </w:rPr>
        <w:t xml:space="preserve">   </w:t>
      </w:r>
    </w:p>
    <w:p w14:paraId="56048F88">
      <w:pPr>
        <w:adjustRightInd w:val="0"/>
        <w:snapToGrid w:val="0"/>
        <w:spacing w:before="156" w:beforeLines="50"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w:t>
      </w:r>
      <w:r>
        <w:rPr>
          <w:rFonts w:hint="eastAsia"/>
          <w:szCs w:val="21"/>
          <w:u w:val="single"/>
          <w:lang w:val="en-US" w:eastAsia="zh-CN"/>
        </w:rPr>
        <w:t>/</w:t>
      </w:r>
      <w:r>
        <w:rPr>
          <w:rFonts w:hint="eastAsia" w:ascii="宋体" w:hAnsi="宋体"/>
          <w:szCs w:val="21"/>
          <w:u w:val="single"/>
        </w:rPr>
        <w:t xml:space="preserve">   </w:t>
      </w:r>
    </w:p>
    <w:p w14:paraId="05BA5A42">
      <w:pPr>
        <w:adjustRightInd w:val="0"/>
        <w:snapToGrid w:val="0"/>
        <w:spacing w:before="156" w:beforeLines="50" w:line="360" w:lineRule="auto"/>
        <w:ind w:firstLine="422" w:firstLineChars="200"/>
        <w:outlineLvl w:val="2"/>
        <w:rPr>
          <w:rFonts w:ascii="宋体" w:hAnsi="宋体"/>
          <w:szCs w:val="21"/>
          <w:u w:val="single"/>
        </w:rPr>
      </w:pPr>
      <w:bookmarkStart w:id="105" w:name="_Toc21713"/>
      <w:bookmarkStart w:id="106" w:name="_Toc2599"/>
      <w:bookmarkStart w:id="107" w:name="_Toc326"/>
      <w:bookmarkStart w:id="108" w:name="_Toc23705"/>
      <w:bookmarkStart w:id="109" w:name="_Toc20223"/>
      <w:bookmarkStart w:id="110" w:name="_Toc27128"/>
      <w:r>
        <w:rPr>
          <w:rFonts w:hint="eastAsia" w:ascii="宋体" w:hAnsi="宋体"/>
          <w:b/>
          <w:szCs w:val="21"/>
        </w:rPr>
        <w:t>3.合同履行</w:t>
      </w:r>
      <w:bookmarkEnd w:id="105"/>
      <w:bookmarkEnd w:id="106"/>
      <w:bookmarkEnd w:id="107"/>
      <w:bookmarkEnd w:id="108"/>
      <w:bookmarkEnd w:id="109"/>
      <w:bookmarkEnd w:id="110"/>
    </w:p>
    <w:p w14:paraId="10D0DF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67C4F5FD">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5AA17657">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1A8B5E88">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（4）履约担保：</w:t>
      </w:r>
      <w:r>
        <w:rPr>
          <w:rFonts w:hint="eastAsia" w:ascii="宋体" w:hAnsi="宋体"/>
          <w:bCs/>
          <w:szCs w:val="21"/>
          <w:u w:val="single"/>
        </w:rPr>
        <w:t>履约担保的金额、形式和期限要求</w:t>
      </w:r>
      <w:r>
        <w:rPr>
          <w:rFonts w:hint="eastAsia" w:ascii="宋体" w:hAnsi="宋体"/>
          <w:bCs/>
          <w:szCs w:val="21"/>
        </w:rPr>
        <w:t>。</w:t>
      </w:r>
    </w:p>
    <w:p w14:paraId="07A10458">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r>
        <w:rPr>
          <w:rFonts w:hint="eastAsia" w:ascii="宋体" w:hAnsi="宋体"/>
          <w:bCs/>
          <w:szCs w:val="21"/>
        </w:rPr>
        <w:t>。</w:t>
      </w:r>
    </w:p>
    <w:p w14:paraId="31FC636E">
      <w:pPr>
        <w:adjustRightInd w:val="0"/>
        <w:snapToGrid w:val="0"/>
        <w:spacing w:before="156" w:beforeLines="50" w:line="360" w:lineRule="auto"/>
        <w:ind w:firstLine="422" w:firstLineChars="200"/>
        <w:outlineLvl w:val="2"/>
        <w:rPr>
          <w:rFonts w:ascii="宋体" w:hAnsi="宋体"/>
          <w:b/>
          <w:szCs w:val="21"/>
        </w:rPr>
      </w:pPr>
      <w:bookmarkStart w:id="111" w:name="_Toc14608"/>
      <w:bookmarkStart w:id="112" w:name="_Toc27103"/>
      <w:bookmarkStart w:id="113" w:name="_Toc10587"/>
      <w:bookmarkStart w:id="114" w:name="_Toc19977"/>
      <w:bookmarkStart w:id="115" w:name="_Toc8055"/>
      <w:bookmarkStart w:id="116" w:name="_Toc13876"/>
      <w:r>
        <w:rPr>
          <w:rFonts w:hint="eastAsia" w:ascii="宋体" w:hAnsi="宋体"/>
          <w:b/>
          <w:szCs w:val="21"/>
        </w:rPr>
        <w:t>4.合同验收</w:t>
      </w:r>
      <w:bookmarkEnd w:id="111"/>
      <w:bookmarkEnd w:id="112"/>
      <w:bookmarkEnd w:id="113"/>
      <w:bookmarkEnd w:id="114"/>
      <w:bookmarkEnd w:id="115"/>
      <w:bookmarkEnd w:id="116"/>
    </w:p>
    <w:p w14:paraId="5B633674">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（1）验收主体：</w:t>
      </w:r>
      <w:r>
        <w:rPr>
          <w:rFonts w:hint="eastAsia" w:ascii="宋体" w:hAnsi="宋体"/>
          <w:bCs/>
          <w:szCs w:val="21"/>
          <w:u w:val="single"/>
        </w:rPr>
        <w:t xml:space="preserve">                             </w:t>
      </w:r>
      <w:r>
        <w:rPr>
          <w:rFonts w:hint="eastAsia" w:ascii="宋体" w:hAnsi="宋体"/>
          <w:bCs/>
          <w:szCs w:val="21"/>
        </w:rPr>
        <w:t>。</w:t>
      </w:r>
    </w:p>
    <w:p w14:paraId="08171D98">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rPr>
        <w:t>。</w:t>
      </w:r>
    </w:p>
    <w:p w14:paraId="03EB6029">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（3）验收标准：</w:t>
      </w:r>
      <w:r>
        <w:rPr>
          <w:rFonts w:hint="eastAsia" w:ascii="宋体" w:hAnsi="宋体"/>
          <w:bCs/>
          <w:szCs w:val="21"/>
          <w:u w:val="single"/>
        </w:rPr>
        <w:t xml:space="preserve">                             </w:t>
      </w:r>
      <w:r>
        <w:rPr>
          <w:rFonts w:hint="eastAsia" w:ascii="宋体" w:hAnsi="宋体"/>
          <w:bCs/>
          <w:szCs w:val="21"/>
        </w:rPr>
        <w:t>。</w:t>
      </w:r>
    </w:p>
    <w:p w14:paraId="75856CA8">
      <w:pPr>
        <w:adjustRightInd w:val="0"/>
        <w:snapToGrid w:val="0"/>
        <w:spacing w:before="156" w:beforeLines="50" w:line="360" w:lineRule="auto"/>
        <w:ind w:firstLine="422" w:firstLineChars="200"/>
        <w:outlineLvl w:val="2"/>
        <w:rPr>
          <w:rFonts w:ascii="宋体" w:hAnsi="宋体"/>
          <w:b/>
          <w:szCs w:val="21"/>
        </w:rPr>
      </w:pPr>
      <w:bookmarkStart w:id="117" w:name="_Toc25334"/>
      <w:bookmarkStart w:id="118" w:name="_Toc7710"/>
      <w:bookmarkStart w:id="119" w:name="_Toc23418"/>
      <w:bookmarkStart w:id="120" w:name="_Toc16177"/>
      <w:bookmarkStart w:id="121" w:name="_Toc16668"/>
      <w:bookmarkStart w:id="122" w:name="_Toc630"/>
      <w:r>
        <w:rPr>
          <w:rFonts w:hint="eastAsia" w:ascii="宋体" w:hAnsi="宋体"/>
          <w:b/>
          <w:szCs w:val="21"/>
        </w:rPr>
        <w:t>5.组成合同的文件</w:t>
      </w:r>
      <w:bookmarkEnd w:id="117"/>
      <w:bookmarkEnd w:id="118"/>
      <w:bookmarkEnd w:id="119"/>
      <w:bookmarkEnd w:id="120"/>
      <w:bookmarkEnd w:id="121"/>
      <w:bookmarkEnd w:id="122"/>
    </w:p>
    <w:p w14:paraId="458CF48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38467C7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（1）在采购或合同履行过程中乙方作出的承诺以及双方协商达成的变更或补充协议</w:t>
      </w:r>
    </w:p>
    <w:p w14:paraId="307874E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（2）本合同协议书</w:t>
      </w:r>
    </w:p>
    <w:p w14:paraId="62CB03C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（3）中标通知书</w:t>
      </w:r>
    </w:p>
    <w:p w14:paraId="177696F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（4）投标文件</w:t>
      </w:r>
    </w:p>
    <w:p w14:paraId="2DE9A43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（5）政府采购合同专用条款</w:t>
      </w:r>
    </w:p>
    <w:p w14:paraId="039D20F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（6）政府采购合同通用条款</w:t>
      </w:r>
    </w:p>
    <w:p w14:paraId="3832CC3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（7）标准、规范及有关技术文件，图纸。</w:t>
      </w:r>
    </w:p>
    <w:p w14:paraId="783F115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（8）其他合同文件。</w:t>
      </w:r>
    </w:p>
    <w:p w14:paraId="33104674">
      <w:pPr>
        <w:adjustRightInd w:val="0"/>
        <w:snapToGrid w:val="0"/>
        <w:spacing w:before="156" w:beforeLines="50" w:line="360" w:lineRule="auto"/>
        <w:ind w:firstLine="310" w:firstLineChars="147"/>
        <w:outlineLvl w:val="2"/>
        <w:rPr>
          <w:rFonts w:ascii="宋体" w:hAnsi="宋体"/>
          <w:b/>
          <w:szCs w:val="21"/>
        </w:rPr>
      </w:pPr>
      <w:bookmarkStart w:id="123" w:name="_Toc8318"/>
      <w:bookmarkStart w:id="124" w:name="_Toc2798"/>
      <w:bookmarkStart w:id="125" w:name="_Toc28924"/>
      <w:bookmarkStart w:id="126" w:name="_Toc27067"/>
      <w:bookmarkStart w:id="127" w:name="_Toc21796"/>
      <w:bookmarkStart w:id="128" w:name="_Toc13380"/>
      <w:r>
        <w:rPr>
          <w:rFonts w:hint="eastAsia" w:ascii="宋体" w:hAnsi="宋体"/>
          <w:b/>
          <w:szCs w:val="21"/>
        </w:rPr>
        <w:t>6.合同生效</w:t>
      </w:r>
      <w:bookmarkEnd w:id="123"/>
      <w:bookmarkEnd w:id="124"/>
      <w:bookmarkEnd w:id="125"/>
      <w:bookmarkEnd w:id="126"/>
      <w:bookmarkEnd w:id="127"/>
      <w:bookmarkEnd w:id="128"/>
    </w:p>
    <w:p w14:paraId="743CA9B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564B5748">
      <w:pPr>
        <w:adjustRightInd w:val="0"/>
        <w:snapToGrid w:val="0"/>
        <w:spacing w:before="156" w:beforeLines="50" w:line="360" w:lineRule="auto"/>
        <w:ind w:firstLine="310" w:firstLineChars="147"/>
        <w:outlineLvl w:val="2"/>
        <w:rPr>
          <w:rFonts w:ascii="宋体" w:hAnsi="宋体"/>
          <w:b/>
          <w:szCs w:val="21"/>
        </w:rPr>
      </w:pPr>
      <w:bookmarkStart w:id="129" w:name="_Toc4084"/>
      <w:bookmarkStart w:id="130" w:name="_Toc19110"/>
      <w:bookmarkStart w:id="131" w:name="_Toc22726"/>
      <w:bookmarkStart w:id="132" w:name="_Toc14171"/>
      <w:bookmarkStart w:id="133" w:name="_Toc6868"/>
      <w:bookmarkStart w:id="134" w:name="_Toc14102"/>
      <w:r>
        <w:rPr>
          <w:rFonts w:hint="eastAsia" w:ascii="宋体" w:hAnsi="宋体"/>
          <w:b/>
          <w:szCs w:val="21"/>
        </w:rPr>
        <w:t>7.合同份数</w:t>
      </w:r>
      <w:bookmarkEnd w:id="129"/>
      <w:bookmarkEnd w:id="130"/>
      <w:bookmarkEnd w:id="131"/>
      <w:bookmarkEnd w:id="132"/>
      <w:bookmarkEnd w:id="133"/>
      <w:bookmarkEnd w:id="134"/>
    </w:p>
    <w:p w14:paraId="25AC69D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4D23C656">
      <w:pPr>
        <w:adjustRightInd w:val="0"/>
        <w:snapToGrid w:val="0"/>
        <w:spacing w:before="156" w:beforeLines="50" w:line="360" w:lineRule="auto"/>
        <w:rPr>
          <w:rFonts w:ascii="宋体" w:hAnsi="宋体"/>
          <w:szCs w:val="21"/>
        </w:rPr>
      </w:pPr>
    </w:p>
    <w:p w14:paraId="4BE1C62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14CBC6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6EC2622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附件：具体标的明细、分包合同等。    </w:t>
      </w:r>
    </w:p>
    <w:p w14:paraId="3FCCC502">
      <w:pPr>
        <w:pStyle w:val="62"/>
        <w:ind w:firstLine="480"/>
        <w:rPr>
          <w:rFonts w:ascii="宋体" w:hAnsi="宋体"/>
        </w:rPr>
      </w:pPr>
    </w:p>
    <w:p w14:paraId="15C2C395">
      <w:pPr>
        <w:pStyle w:val="62"/>
        <w:ind w:firstLine="480"/>
        <w:rPr>
          <w:rFonts w:ascii="宋体" w:hAnsi="宋体"/>
        </w:rPr>
      </w:pPr>
    </w:p>
    <w:p w14:paraId="0987C9E9">
      <w:pPr>
        <w:adjustRightInd w:val="0"/>
        <w:snapToGrid w:val="0"/>
        <w:spacing w:before="156" w:beforeLines="50" w:line="360" w:lineRule="auto"/>
        <w:rPr>
          <w:rFonts w:ascii="宋体" w:hAnsi="宋体"/>
          <w:szCs w:val="21"/>
        </w:rPr>
      </w:pPr>
      <w:r>
        <w:rPr>
          <w:rFonts w:hint="eastAsia" w:ascii="宋体" w:hAnsi="宋体"/>
          <w:szCs w:val="21"/>
        </w:rPr>
        <w:t>甲      方：（公章）                     乙      方：（公章）</w:t>
      </w:r>
    </w:p>
    <w:p w14:paraId="5E1567D8">
      <w:pPr>
        <w:adjustRightInd w:val="0"/>
        <w:snapToGrid w:val="0"/>
        <w:spacing w:before="156" w:beforeLines="50" w:line="360" w:lineRule="auto"/>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233C1AAE">
      <w:pPr>
        <w:adjustRightInd w:val="0"/>
        <w:snapToGrid w:val="0"/>
        <w:spacing w:before="156" w:beforeLines="50" w:line="360" w:lineRule="auto"/>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4549D7A2">
      <w:pPr>
        <w:adjustRightInd w:val="0"/>
        <w:snapToGrid w:val="0"/>
        <w:spacing w:before="156" w:beforeLines="50" w:line="360" w:lineRule="auto"/>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4773169C">
      <w:pPr>
        <w:adjustRightInd w:val="0"/>
        <w:snapToGrid w:val="0"/>
        <w:spacing w:before="156" w:beforeLines="50" w:line="360" w:lineRule="auto"/>
        <w:rPr>
          <w:rFonts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2F7574A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开 户 银 行：</w:t>
      </w:r>
      <w:r>
        <w:rPr>
          <w:rFonts w:hint="eastAsia" w:ascii="宋体" w:hAnsi="宋体"/>
          <w:szCs w:val="21"/>
          <w:u w:val="single"/>
        </w:rPr>
        <w:t xml:space="preserve">                   </w:t>
      </w:r>
    </w:p>
    <w:p w14:paraId="6391755F">
      <w:pPr>
        <w:adjustRightInd w:val="0"/>
        <w:snapToGrid w:val="0"/>
        <w:spacing w:before="156" w:beforeLines="50" w:line="360" w:lineRule="auto"/>
        <w:jc w:val="center"/>
        <w:rPr>
          <w:rFonts w:ascii="宋体" w:hAnsi="宋体"/>
          <w:b/>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账       号：</w:t>
      </w:r>
      <w:r>
        <w:rPr>
          <w:rFonts w:hint="eastAsia" w:ascii="宋体" w:hAnsi="宋体"/>
          <w:szCs w:val="21"/>
          <w:u w:val="single"/>
        </w:rPr>
        <w:t xml:space="preserve">                   </w:t>
      </w:r>
    </w:p>
    <w:p w14:paraId="0277E159">
      <w:pPr>
        <w:pStyle w:val="64"/>
        <w:rPr>
          <w:rFonts w:hint="default" w:ascii="Times New Roman" w:hAnsi="Times New Roman" w:cs="Times New Roman"/>
          <w:b/>
          <w:szCs w:val="21"/>
        </w:rPr>
      </w:pPr>
    </w:p>
    <w:p w14:paraId="576A2989">
      <w:pPr>
        <w:rPr>
          <w:rFonts w:hint="default" w:ascii="Times New Roman" w:hAnsi="Times New Roman" w:cs="Times New Roman"/>
        </w:rPr>
      </w:pPr>
    </w:p>
    <w:p w14:paraId="697FB253">
      <w:pPr>
        <w:pStyle w:val="2"/>
        <w:outlineLvl w:val="9"/>
        <w:rPr>
          <w:rFonts w:hint="default" w:ascii="Times New Roman" w:hAnsi="Times New Roman" w:cs="Times New Roman"/>
        </w:rPr>
      </w:pPr>
    </w:p>
    <w:p w14:paraId="1E826819">
      <w:pPr>
        <w:pStyle w:val="44"/>
        <w:rPr>
          <w:rFonts w:hint="default" w:ascii="Times New Roman" w:hAnsi="Times New Roman" w:cs="Times New Roman"/>
        </w:rPr>
      </w:pPr>
    </w:p>
    <w:p w14:paraId="348A8B44">
      <w:pPr>
        <w:rPr>
          <w:rFonts w:hint="eastAsia" w:ascii="黑体" w:hAnsi="黑体" w:eastAsia="黑体"/>
          <w:sz w:val="28"/>
          <w:szCs w:val="28"/>
        </w:rPr>
      </w:pPr>
      <w:bookmarkStart w:id="135" w:name="_Toc25353"/>
      <w:r>
        <w:rPr>
          <w:rFonts w:hint="eastAsia" w:ascii="黑体" w:hAnsi="黑体" w:eastAsia="黑体"/>
          <w:sz w:val="28"/>
          <w:szCs w:val="28"/>
        </w:rPr>
        <w:br w:type="page"/>
      </w:r>
    </w:p>
    <w:p w14:paraId="242089F3">
      <w:pPr>
        <w:pStyle w:val="3"/>
        <w:adjustRightInd w:val="0"/>
        <w:snapToGrid w:val="0"/>
        <w:spacing w:before="156" w:beforeLines="50"/>
        <w:ind w:left="0" w:leftChars="0" w:firstLine="0" w:firstLineChars="0"/>
        <w:jc w:val="center"/>
        <w:rPr>
          <w:rFonts w:hint="eastAsia" w:ascii="宋体" w:hAnsi="宋体"/>
          <w:b/>
          <w:szCs w:val="21"/>
        </w:rPr>
      </w:pPr>
      <w:bookmarkStart w:id="136" w:name="_Toc31811"/>
      <w:r>
        <w:rPr>
          <w:rFonts w:hint="eastAsia" w:ascii="黑体" w:hAnsi="黑体" w:eastAsia="黑体"/>
          <w:sz w:val="28"/>
          <w:szCs w:val="28"/>
        </w:rPr>
        <w:t>第二节 政府采购合同通用条款</w:t>
      </w:r>
      <w:bookmarkEnd w:id="135"/>
      <w:bookmarkEnd w:id="136"/>
    </w:p>
    <w:p w14:paraId="6E543FB2">
      <w:pPr>
        <w:adjustRightInd w:val="0"/>
        <w:snapToGrid w:val="0"/>
        <w:spacing w:line="360" w:lineRule="auto"/>
        <w:ind w:firstLine="420" w:firstLineChars="200"/>
        <w:rPr>
          <w:rFonts w:hint="eastAsia" w:ascii="宋体" w:hAnsi="宋体"/>
          <w:bCs/>
          <w:szCs w:val="21"/>
        </w:rPr>
      </w:pPr>
      <w:r>
        <w:rPr>
          <w:rFonts w:hint="eastAsia" w:ascii="宋体" w:hAnsi="宋体"/>
          <w:bCs/>
          <w:szCs w:val="21"/>
        </w:rPr>
        <w:t>说明：“通用合同</w:t>
      </w:r>
      <w:r>
        <w:rPr>
          <w:rFonts w:hint="eastAsia"/>
          <w:bCs/>
          <w:szCs w:val="21"/>
          <w:lang w:val="en-US" w:eastAsia="zh-CN"/>
        </w:rPr>
        <w:t>条款</w:t>
      </w:r>
      <w:r>
        <w:rPr>
          <w:rFonts w:hint="eastAsia" w:ascii="宋体" w:hAnsi="宋体"/>
          <w:bCs/>
          <w:szCs w:val="21"/>
        </w:rPr>
        <w:t>”</w:t>
      </w:r>
      <w:r>
        <w:rPr>
          <w:rFonts w:hint="eastAsia" w:ascii="宋体" w:hAnsi="宋体"/>
          <w:bCs/>
          <w:szCs w:val="21"/>
          <w:lang w:val="en-US" w:eastAsia="zh-CN"/>
        </w:rPr>
        <w:t>采用</w:t>
      </w:r>
      <w:r>
        <w:rPr>
          <w:rFonts w:hint="eastAsia" w:ascii="宋体" w:hAnsi="宋体"/>
          <w:bCs/>
          <w:szCs w:val="21"/>
          <w:lang w:eastAsia="zh-CN"/>
        </w:rPr>
        <w:t>《湖南省建设工程施工合同（示范文本）》（HNJS-2014）</w:t>
      </w:r>
      <w:r>
        <w:rPr>
          <w:rFonts w:hint="eastAsia" w:ascii="宋体" w:hAnsi="宋体"/>
          <w:bCs/>
          <w:szCs w:val="21"/>
        </w:rPr>
        <w:t>的“通用合同条件”。</w:t>
      </w:r>
    </w:p>
    <w:p w14:paraId="2469EAC7">
      <w:pPr>
        <w:pStyle w:val="29"/>
        <w:rPr>
          <w:rFonts w:hint="eastAsia" w:ascii="宋体" w:hAnsi="宋体"/>
          <w:b/>
          <w:szCs w:val="21"/>
        </w:rPr>
      </w:pPr>
    </w:p>
    <w:p w14:paraId="609465EC">
      <w:pPr>
        <w:tabs>
          <w:tab w:val="left" w:pos="8820"/>
          <w:tab w:val="left" w:pos="9345"/>
          <w:tab w:val="left" w:pos="9765"/>
        </w:tabs>
        <w:adjustRightInd w:val="0"/>
        <w:snapToGrid w:val="0"/>
        <w:spacing w:before="156" w:beforeLines="50" w:line="360" w:lineRule="auto"/>
        <w:ind w:right="384" w:rightChars="183"/>
        <w:jc w:val="center"/>
        <w:outlineLvl w:val="9"/>
        <w:rPr>
          <w:rFonts w:hint="eastAsia" w:ascii="黑体" w:hAnsi="华文中宋" w:eastAsia="黑体"/>
          <w:b/>
          <w:bCs/>
          <w:sz w:val="36"/>
          <w:szCs w:val="36"/>
        </w:rPr>
      </w:pPr>
    </w:p>
    <w:p w14:paraId="7FC2F1DA">
      <w:pPr>
        <w:pStyle w:val="29"/>
        <w:rPr>
          <w:rFonts w:hint="default" w:ascii="宋体" w:hAnsi="宋体"/>
          <w:b/>
          <w:szCs w:val="21"/>
        </w:rPr>
      </w:pPr>
    </w:p>
    <w:p w14:paraId="1A961BAC">
      <w:pPr>
        <w:rPr>
          <w:rFonts w:hint="default" w:ascii="黑体" w:hAnsi="华文中宋" w:eastAsia="黑体" w:cs="宋体"/>
          <w:b/>
          <w:bCs/>
          <w:color w:val="auto"/>
          <w:sz w:val="28"/>
          <w:szCs w:val="28"/>
          <w:lang w:val="en-US" w:eastAsia="zh-CN"/>
        </w:rPr>
      </w:pPr>
      <w:bookmarkStart w:id="137" w:name="_Toc9079"/>
      <w:bookmarkStart w:id="138" w:name="_Toc20406"/>
      <w:bookmarkStart w:id="139" w:name="_Toc31373"/>
      <w:bookmarkStart w:id="140" w:name="_Toc18858"/>
      <w:bookmarkStart w:id="141" w:name="_Toc2814"/>
      <w:bookmarkStart w:id="142" w:name="_Toc8743"/>
      <w:bookmarkStart w:id="143" w:name="_Toc12752"/>
      <w:bookmarkStart w:id="144" w:name="_Toc12091"/>
      <w:bookmarkStart w:id="145" w:name="_Toc431364761"/>
      <w:bookmarkStart w:id="146" w:name="_Toc2960"/>
      <w:r>
        <w:rPr>
          <w:rFonts w:hint="default" w:ascii="黑体" w:hAnsi="华文中宋" w:eastAsia="黑体" w:cs="宋体"/>
          <w:b/>
          <w:bCs/>
          <w:color w:val="auto"/>
          <w:sz w:val="28"/>
          <w:szCs w:val="28"/>
          <w:lang w:val="en-US" w:eastAsia="zh-CN"/>
        </w:rPr>
        <w:br w:type="page"/>
      </w:r>
    </w:p>
    <w:p w14:paraId="6D210498">
      <w:pPr>
        <w:numPr>
          <w:ilvl w:val="0"/>
          <w:numId w:val="2"/>
        </w:numPr>
        <w:ind w:left="0" w:leftChars="0" w:firstLine="0" w:firstLineChars="0"/>
        <w:jc w:val="center"/>
        <w:rPr>
          <w:rFonts w:hint="default" w:ascii="黑体" w:hAnsi="华文中宋" w:eastAsia="黑体" w:cs="宋体"/>
          <w:b/>
          <w:bCs/>
          <w:color w:val="auto"/>
          <w:sz w:val="28"/>
          <w:szCs w:val="28"/>
          <w:lang w:val="en-US" w:eastAsia="zh-CN"/>
        </w:rPr>
      </w:pPr>
      <w:r>
        <w:rPr>
          <w:rFonts w:hint="default" w:ascii="黑体" w:hAnsi="华文中宋" w:eastAsia="黑体" w:cs="宋体"/>
          <w:b/>
          <w:bCs/>
          <w:color w:val="auto"/>
          <w:sz w:val="28"/>
          <w:szCs w:val="28"/>
          <w:lang w:val="en-US" w:eastAsia="zh-CN"/>
        </w:rPr>
        <w:t>政府采购合同专用条款</w:t>
      </w:r>
      <w:bookmarkEnd w:id="137"/>
      <w:bookmarkEnd w:id="138"/>
      <w:bookmarkEnd w:id="139"/>
      <w:bookmarkEnd w:id="140"/>
      <w:bookmarkEnd w:id="141"/>
      <w:bookmarkEnd w:id="142"/>
      <w:bookmarkEnd w:id="143"/>
      <w:bookmarkEnd w:id="144"/>
      <w:bookmarkEnd w:id="145"/>
      <w:bookmarkEnd w:id="146"/>
    </w:p>
    <w:p w14:paraId="46E55B32">
      <w:pPr>
        <w:adjustRightInd w:val="0"/>
        <w:snapToGrid w:val="0"/>
        <w:spacing w:line="360" w:lineRule="auto"/>
        <w:ind w:firstLine="420" w:firstLineChars="200"/>
        <w:rPr>
          <w:rFonts w:hint="eastAsia" w:ascii="宋体" w:hAnsi="宋体"/>
          <w:bCs/>
          <w:szCs w:val="21"/>
        </w:rPr>
      </w:pPr>
      <w:r>
        <w:rPr>
          <w:rFonts w:hint="eastAsia" w:ascii="宋体" w:hAnsi="宋体"/>
          <w:bCs/>
          <w:szCs w:val="21"/>
        </w:rPr>
        <w:t>说明：“通用合同</w:t>
      </w:r>
      <w:r>
        <w:rPr>
          <w:rFonts w:hint="eastAsia"/>
          <w:bCs/>
          <w:szCs w:val="21"/>
          <w:lang w:val="en-US" w:eastAsia="zh-CN"/>
        </w:rPr>
        <w:t>条款</w:t>
      </w:r>
      <w:r>
        <w:rPr>
          <w:rFonts w:hint="eastAsia" w:ascii="宋体" w:hAnsi="宋体"/>
          <w:bCs/>
          <w:szCs w:val="21"/>
        </w:rPr>
        <w:t>”</w:t>
      </w:r>
      <w:r>
        <w:rPr>
          <w:rFonts w:hint="eastAsia" w:ascii="宋体" w:hAnsi="宋体"/>
          <w:bCs/>
          <w:szCs w:val="21"/>
          <w:lang w:val="en-US" w:eastAsia="zh-CN"/>
        </w:rPr>
        <w:t>采用</w:t>
      </w:r>
      <w:r>
        <w:rPr>
          <w:rFonts w:hint="eastAsia" w:ascii="宋体" w:hAnsi="宋体"/>
          <w:bCs/>
          <w:szCs w:val="21"/>
          <w:lang w:eastAsia="zh-CN"/>
        </w:rPr>
        <w:t>《湖南省建设工程施工合同（示范文本）》（HNJS-2014）</w:t>
      </w:r>
      <w:r>
        <w:rPr>
          <w:rFonts w:hint="eastAsia" w:ascii="宋体" w:hAnsi="宋体"/>
          <w:bCs/>
          <w:szCs w:val="21"/>
        </w:rPr>
        <w:t>的“</w:t>
      </w:r>
      <w:r>
        <w:rPr>
          <w:rFonts w:hint="eastAsia"/>
          <w:bCs/>
          <w:szCs w:val="21"/>
          <w:lang w:val="en-US" w:eastAsia="zh-CN"/>
        </w:rPr>
        <w:t>专用</w:t>
      </w:r>
      <w:r>
        <w:rPr>
          <w:rFonts w:hint="eastAsia" w:ascii="宋体" w:hAnsi="宋体"/>
          <w:bCs/>
          <w:szCs w:val="21"/>
        </w:rPr>
        <w:t>合同条件”。</w:t>
      </w:r>
    </w:p>
    <w:p w14:paraId="7195E695">
      <w:pPr>
        <w:pStyle w:val="27"/>
        <w:numPr>
          <w:ilvl w:val="0"/>
          <w:numId w:val="0"/>
        </w:numPr>
        <w:ind w:leftChars="400"/>
        <w:rPr>
          <w:rFonts w:hint="default"/>
          <w:lang w:val="en-US" w:eastAsia="zh-CN"/>
        </w:rPr>
      </w:pPr>
    </w:p>
    <w:p w14:paraId="11F80D43">
      <w:pPr>
        <w:pStyle w:val="17"/>
        <w:snapToGrid w:val="0"/>
        <w:ind w:left="105" w:leftChars="50"/>
        <w:rPr>
          <w:rFonts w:hint="default" w:ascii="Times New Roman" w:hAnsi="Times New Roman" w:cs="Times New Roman"/>
          <w:bCs/>
          <w:szCs w:val="21"/>
        </w:rPr>
      </w:pPr>
    </w:p>
    <w:p w14:paraId="04EE96AB">
      <w:pPr>
        <w:pStyle w:val="17"/>
        <w:snapToGrid w:val="0"/>
        <w:ind w:left="105" w:leftChars="50"/>
        <w:rPr>
          <w:rFonts w:hint="default" w:ascii="Times New Roman" w:hAnsi="Times New Roman" w:cs="Times New Roman"/>
          <w:bCs/>
          <w:szCs w:val="21"/>
        </w:rPr>
      </w:pPr>
    </w:p>
    <w:p w14:paraId="24F7E269">
      <w:pPr>
        <w:pStyle w:val="17"/>
        <w:snapToGrid w:val="0"/>
        <w:ind w:left="105" w:leftChars="50"/>
        <w:rPr>
          <w:rFonts w:hint="default" w:ascii="Times New Roman" w:hAnsi="Times New Roman" w:cs="Times New Roman"/>
          <w:bCs/>
          <w:szCs w:val="21"/>
        </w:rPr>
      </w:pPr>
    </w:p>
    <w:p w14:paraId="4F677BCC">
      <w:pPr>
        <w:pStyle w:val="17"/>
        <w:snapToGrid w:val="0"/>
        <w:ind w:left="105" w:leftChars="50"/>
        <w:rPr>
          <w:rFonts w:hint="default" w:ascii="Times New Roman" w:hAnsi="Times New Roman" w:cs="Times New Roman"/>
          <w:bCs/>
          <w:szCs w:val="21"/>
        </w:rPr>
      </w:pPr>
    </w:p>
    <w:p w14:paraId="1544E3B2">
      <w:pPr>
        <w:pStyle w:val="17"/>
        <w:snapToGrid w:val="0"/>
        <w:ind w:left="105" w:leftChars="50"/>
        <w:rPr>
          <w:rFonts w:hint="default" w:ascii="Times New Roman" w:hAnsi="Times New Roman" w:cs="Times New Roman"/>
          <w:bCs/>
          <w:szCs w:val="21"/>
        </w:rPr>
      </w:pPr>
    </w:p>
    <w:p w14:paraId="727B2A56">
      <w:pPr>
        <w:pStyle w:val="17"/>
        <w:snapToGrid w:val="0"/>
        <w:ind w:left="105" w:leftChars="50"/>
        <w:rPr>
          <w:rFonts w:hint="default" w:ascii="Times New Roman" w:hAnsi="Times New Roman" w:cs="Times New Roman"/>
          <w:bCs/>
          <w:szCs w:val="21"/>
        </w:rPr>
      </w:pPr>
    </w:p>
    <w:p w14:paraId="7CDB3F3A">
      <w:pPr>
        <w:pStyle w:val="17"/>
        <w:snapToGrid w:val="0"/>
        <w:ind w:left="105" w:leftChars="50"/>
        <w:rPr>
          <w:rFonts w:hint="default" w:ascii="Times New Roman" w:hAnsi="Times New Roman" w:cs="Times New Roman"/>
          <w:bCs/>
          <w:szCs w:val="21"/>
        </w:rPr>
      </w:pPr>
    </w:p>
    <w:p w14:paraId="6145983A">
      <w:pPr>
        <w:pStyle w:val="17"/>
        <w:snapToGrid w:val="0"/>
        <w:ind w:left="105" w:leftChars="50"/>
        <w:rPr>
          <w:rFonts w:hint="default" w:ascii="Times New Roman" w:hAnsi="Times New Roman" w:cs="Times New Roman"/>
          <w:bCs/>
          <w:szCs w:val="21"/>
        </w:rPr>
      </w:pPr>
    </w:p>
    <w:p w14:paraId="1A657C25">
      <w:pPr>
        <w:pStyle w:val="17"/>
        <w:snapToGrid w:val="0"/>
        <w:ind w:left="105" w:leftChars="50"/>
        <w:rPr>
          <w:rFonts w:hint="default" w:ascii="Times New Roman" w:hAnsi="Times New Roman" w:cs="Times New Roman"/>
          <w:bCs/>
          <w:szCs w:val="21"/>
        </w:rPr>
      </w:pPr>
    </w:p>
    <w:p w14:paraId="3E16C50A">
      <w:pPr>
        <w:pStyle w:val="17"/>
        <w:snapToGrid w:val="0"/>
        <w:ind w:left="105" w:leftChars="50"/>
        <w:rPr>
          <w:rFonts w:hint="default" w:ascii="Times New Roman" w:hAnsi="Times New Roman" w:cs="Times New Roman"/>
          <w:bCs/>
          <w:szCs w:val="21"/>
        </w:rPr>
      </w:pPr>
    </w:p>
    <w:p w14:paraId="5C8C49B5">
      <w:pPr>
        <w:pStyle w:val="17"/>
        <w:snapToGrid w:val="0"/>
        <w:ind w:left="105" w:leftChars="50"/>
        <w:rPr>
          <w:rFonts w:hint="default" w:ascii="Times New Roman" w:hAnsi="Times New Roman" w:cs="Times New Roman"/>
          <w:bCs/>
          <w:szCs w:val="21"/>
        </w:rPr>
      </w:pPr>
    </w:p>
    <w:p w14:paraId="3AA11275">
      <w:pPr>
        <w:pStyle w:val="17"/>
        <w:snapToGrid w:val="0"/>
        <w:ind w:left="105" w:leftChars="50"/>
        <w:rPr>
          <w:rFonts w:hint="default" w:ascii="Times New Roman" w:hAnsi="Times New Roman" w:cs="Times New Roman"/>
          <w:bCs/>
          <w:szCs w:val="21"/>
        </w:rPr>
      </w:pPr>
    </w:p>
    <w:p w14:paraId="1481CC45">
      <w:pPr>
        <w:rPr>
          <w:rFonts w:hint="eastAsia" w:ascii="黑体" w:hAnsi="黑体" w:eastAsia="黑体" w:cs="黑体"/>
          <w:b/>
          <w:bCs/>
          <w:color w:val="auto"/>
          <w:sz w:val="32"/>
          <w:szCs w:val="32"/>
          <w:lang w:val="en-US" w:eastAsia="zh-CN"/>
        </w:rPr>
      </w:pPr>
      <w:bookmarkStart w:id="147" w:name="_Toc6757"/>
      <w:bookmarkStart w:id="148" w:name="_Toc24308"/>
      <w:bookmarkStart w:id="149" w:name="_Toc11234"/>
      <w:r>
        <w:rPr>
          <w:rFonts w:hint="eastAsia" w:ascii="黑体" w:hAnsi="黑体" w:eastAsia="黑体" w:cs="黑体"/>
          <w:b/>
          <w:bCs/>
          <w:color w:val="auto"/>
          <w:sz w:val="32"/>
          <w:szCs w:val="32"/>
          <w:lang w:val="en-US" w:eastAsia="zh-CN"/>
        </w:rPr>
        <w:br w:type="page"/>
      </w:r>
    </w:p>
    <w:p w14:paraId="337E068A">
      <w:pPr>
        <w:keepNext/>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jc w:val="center"/>
        <w:textAlignment w:val="auto"/>
        <w:outlineLvl w:val="0"/>
        <w:rPr>
          <w:rFonts w:hint="eastAsia" w:ascii="黑体" w:hAnsi="黑体" w:eastAsia="黑体" w:cs="黑体"/>
          <w:b/>
          <w:bCs/>
          <w:color w:val="auto"/>
          <w:sz w:val="32"/>
          <w:szCs w:val="32"/>
          <w:lang w:val="en-US" w:eastAsia="zh-CN"/>
        </w:rPr>
      </w:pPr>
      <w:bookmarkStart w:id="150" w:name="_Toc27635"/>
      <w:r>
        <w:rPr>
          <w:rFonts w:hint="eastAsia" w:ascii="黑体" w:hAnsi="黑体" w:eastAsia="黑体" w:cs="黑体"/>
          <w:b/>
          <w:bCs/>
          <w:color w:val="auto"/>
          <w:sz w:val="32"/>
          <w:szCs w:val="32"/>
          <w:lang w:val="en-US" w:eastAsia="zh-CN"/>
        </w:rPr>
        <w:t>第四章 采购需求</w:t>
      </w:r>
      <w:bookmarkEnd w:id="147"/>
      <w:bookmarkEnd w:id="148"/>
      <w:bookmarkEnd w:id="149"/>
      <w:bookmarkEnd w:id="150"/>
    </w:p>
    <w:p w14:paraId="6FAF450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both"/>
        <w:textAlignment w:val="auto"/>
        <w:outlineLvl w:val="9"/>
        <w:rPr>
          <w:rFonts w:hint="eastAsia" w:asciiTheme="minorEastAsia" w:hAnsiTheme="minorEastAsia" w:eastAsiaTheme="minorEastAsia" w:cstheme="minorEastAsia"/>
          <w:b/>
          <w:bCs/>
          <w:iCs/>
          <w:kern w:val="0"/>
          <w:sz w:val="24"/>
          <w:szCs w:val="24"/>
          <w:lang w:val="en-US" w:eastAsia="zh-CN"/>
        </w:rPr>
      </w:pPr>
      <w:bookmarkStart w:id="151" w:name="_Toc6059"/>
      <w:bookmarkStart w:id="152" w:name="_Toc28111"/>
      <w:bookmarkStart w:id="153" w:name="_Toc10373"/>
      <w:bookmarkStart w:id="154" w:name="_Toc1852"/>
      <w:bookmarkStart w:id="155" w:name="_Toc16550_WPSOffice_Level1"/>
      <w:r>
        <w:rPr>
          <w:rFonts w:hint="eastAsia" w:asciiTheme="minorEastAsia" w:hAnsiTheme="minorEastAsia" w:eastAsiaTheme="minorEastAsia" w:cstheme="minorEastAsia"/>
          <w:b/>
          <w:bCs/>
          <w:iCs/>
          <w:kern w:val="0"/>
          <w:sz w:val="24"/>
          <w:szCs w:val="24"/>
          <w:lang w:val="en-US" w:eastAsia="zh-CN"/>
        </w:rPr>
        <w:t>一、项目基本信息</w:t>
      </w:r>
    </w:p>
    <w:p w14:paraId="11E6068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1.项目名称：岳阳县步仙镇中心学校学生宿舍及食堂维修改造项目</w:t>
      </w:r>
    </w:p>
    <w:p w14:paraId="1539D59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2.采购单位：岳阳县步仙镇中心学校</w:t>
      </w:r>
    </w:p>
    <w:p w14:paraId="21799B2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3.项目预算：1381722.00元</w:t>
      </w:r>
    </w:p>
    <w:p w14:paraId="699D4C3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4.采购方式：竞争性磋商</w:t>
      </w:r>
    </w:p>
    <w:p w14:paraId="1DAB9B6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5.资金来源：财政资金</w:t>
      </w:r>
    </w:p>
    <w:p w14:paraId="1C05B5C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both"/>
        <w:textAlignment w:val="auto"/>
        <w:outlineLvl w:val="9"/>
        <w:rPr>
          <w:rFonts w:hint="eastAsia" w:asciiTheme="minorEastAsia" w:hAnsiTheme="minorEastAsia" w:eastAsiaTheme="minorEastAsia" w:cstheme="minorEastAsia"/>
          <w:b/>
          <w:bCs/>
          <w:iCs/>
          <w:kern w:val="0"/>
          <w:sz w:val="24"/>
          <w:szCs w:val="24"/>
          <w:lang w:val="en-US" w:eastAsia="zh-CN"/>
        </w:rPr>
      </w:pPr>
      <w:r>
        <w:rPr>
          <w:rFonts w:hint="eastAsia" w:asciiTheme="minorEastAsia" w:hAnsiTheme="minorEastAsia" w:eastAsiaTheme="minorEastAsia" w:cstheme="minorEastAsia"/>
          <w:b/>
          <w:bCs/>
          <w:iCs/>
          <w:kern w:val="0"/>
          <w:sz w:val="24"/>
          <w:szCs w:val="24"/>
          <w:lang w:val="en-US" w:eastAsia="zh-CN"/>
        </w:rPr>
        <w:t>二、采购范围与工程内容</w:t>
      </w:r>
    </w:p>
    <w:p w14:paraId="6C19664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本项目为步仙镇中心学校学生宿舍及食堂维修改造工程，采用包工包料总承包模式，采购范围涵盖工程量清单内全部拆除、土建施工、装饰装修、材料设备采购、水电安装、检测验收及质保期运维等全部工作内容。主要建设内容如下：</w:t>
      </w:r>
    </w:p>
    <w:p w14:paraId="29DA8B1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1.篮球场改造：拆除原有围墙、踏步、混凝土路面并清运渣土，新建实体围墙、毛石挡土墙、排水沟及台阶，分层铺设混凝土基层、沥青找平层及5mm厚硅PU运动面层，配套场地排水、伸缩缝及场地划线。</w:t>
      </w:r>
    </w:p>
    <w:p w14:paraId="375B0F0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2.学生宿舍维修：拆除老旧门窗、厨卫面层并清运，更换铝合金门窗及纱窗，翻新地面、墙面、天棚及楼梯饰面，整体改造室内给排水系统并更换卫生器具。</w:t>
      </w:r>
    </w:p>
    <w:p w14:paraId="15386FD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3.教师公寓维修：拆除原有老旧装饰、屋面防水层及外墙面层，实施局部结构新建工程，更换各类门窗，完成室内外装饰装修、屋面防水保温及强弱电、给排水系统改造。</w:t>
      </w:r>
    </w:p>
    <w:p w14:paraId="3427258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4.食堂维修：拆除屋面及天沟老旧防水层与找平层，重做SBS卷材防水、挤塑板保温层及轻骨料混凝土找坡层，处理天沟防水节点，修复屋面排水功能。</w:t>
      </w:r>
    </w:p>
    <w:p w14:paraId="53656CD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both"/>
        <w:textAlignment w:val="auto"/>
        <w:outlineLvl w:val="9"/>
        <w:rPr>
          <w:rFonts w:hint="eastAsia" w:asciiTheme="minorEastAsia" w:hAnsiTheme="minorEastAsia" w:eastAsiaTheme="minorEastAsia" w:cstheme="minorEastAsia"/>
          <w:b/>
          <w:bCs/>
          <w:iCs/>
          <w:kern w:val="0"/>
          <w:sz w:val="24"/>
          <w:szCs w:val="24"/>
          <w:lang w:val="en-US" w:eastAsia="zh-CN"/>
        </w:rPr>
      </w:pPr>
      <w:r>
        <w:rPr>
          <w:rFonts w:hint="eastAsia" w:asciiTheme="minorEastAsia" w:hAnsiTheme="minorEastAsia" w:eastAsiaTheme="minorEastAsia" w:cstheme="minorEastAsia"/>
          <w:b/>
          <w:bCs/>
          <w:iCs/>
          <w:kern w:val="0"/>
          <w:sz w:val="24"/>
          <w:szCs w:val="24"/>
          <w:lang w:val="en-US" w:eastAsia="zh-CN"/>
        </w:rPr>
        <w:t>三、技术标准与要求</w:t>
      </w:r>
    </w:p>
    <w:p w14:paraId="2F9CF1F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both"/>
        <w:textAlignment w:val="auto"/>
        <w:outlineLvl w:val="9"/>
        <w:rPr>
          <w:rFonts w:hint="eastAsia" w:asciiTheme="minorEastAsia" w:hAnsiTheme="minorEastAsia" w:eastAsiaTheme="minorEastAsia" w:cstheme="minorEastAsia"/>
          <w:b/>
          <w:bCs/>
          <w:iCs/>
          <w:kern w:val="0"/>
          <w:sz w:val="24"/>
          <w:szCs w:val="24"/>
          <w:lang w:val="en-US" w:eastAsia="zh-CN"/>
        </w:rPr>
      </w:pPr>
      <w:r>
        <w:rPr>
          <w:rFonts w:hint="eastAsia" w:asciiTheme="minorEastAsia" w:hAnsiTheme="minorEastAsia" w:eastAsiaTheme="minorEastAsia" w:cstheme="minorEastAsia"/>
          <w:b/>
          <w:bCs/>
          <w:iCs/>
          <w:kern w:val="0"/>
          <w:sz w:val="24"/>
          <w:szCs w:val="24"/>
          <w:lang w:val="en-US" w:eastAsia="zh-CN"/>
        </w:rPr>
        <w:t>（一）通用执行标准</w:t>
      </w:r>
    </w:p>
    <w:p w14:paraId="6F4BCD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lang w:val="en-US" w:eastAsia="zh-CN" w:bidi="ar"/>
        </w:rPr>
        <w:t>本工程施工、材料、检测、验收须严格执行国家、行业及湖南省现行有效标准规范，主要包括但不限于：</w:t>
      </w:r>
    </w:p>
    <w:p w14:paraId="576038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1.</w:t>
      </w:r>
      <w:r>
        <w:rPr>
          <w:rFonts w:hint="eastAsia" w:asciiTheme="minorEastAsia" w:hAnsiTheme="minorEastAsia" w:eastAsiaTheme="minorEastAsia" w:cstheme="minorEastAsia"/>
          <w:color w:val="000000"/>
          <w:sz w:val="24"/>
          <w:szCs w:val="24"/>
        </w:rPr>
        <w:t>工程基础类：《建筑工程施工质量验收统一标准》GB 50300</w:t>
      </w:r>
      <w:r>
        <w:rPr>
          <w:rFonts w:hint="eastAsia" w:asciiTheme="minorEastAsia" w:hAnsiTheme="minorEastAsia" w:eastAsiaTheme="minorEastAsia" w:cstheme="minorEastAsia"/>
          <w:color w:val="000000"/>
          <w:sz w:val="24"/>
          <w:szCs w:val="24"/>
          <w:lang w:eastAsia="zh-CN"/>
        </w:rPr>
        <w:t>、《建筑地基基础工程施工质量验收标准》GB 50202、《砌体结构工程施工质量验收规范》GB 50203、《混凝土结构工程施工质量验收规范》GB 50204、《屋面工程质量验收规范》GB 50207、《建筑地面工程施工质量验收规范》GB 50209、《建筑装饰装修工程质量验收标准》GB 50210、《建筑给水排水及采暖工程施工质量验收规范》GB 50242、《建筑电气工程施工质量验收规范》GB 50303 等各专业现行施工质量验收规范。</w:t>
      </w:r>
    </w:p>
    <w:p w14:paraId="717243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2.</w:t>
      </w:r>
      <w:r>
        <w:rPr>
          <w:rFonts w:hint="eastAsia" w:asciiTheme="minorEastAsia" w:hAnsiTheme="minorEastAsia" w:eastAsiaTheme="minorEastAsia" w:cstheme="minorEastAsia"/>
          <w:color w:val="000000"/>
          <w:sz w:val="24"/>
          <w:szCs w:val="24"/>
        </w:rPr>
        <w:t>校舍专项类：《中小学校设计规范》GB 50099、《中小学校安全工程技术规范》GB 29309、《中小学合成材料面层运动场地》GB 36246</w:t>
      </w:r>
    </w:p>
    <w:p w14:paraId="69FDD4F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kern w:val="2"/>
          <w:sz w:val="24"/>
          <w:szCs w:val="24"/>
          <w:lang w:val="en-US" w:eastAsia="zh-CN" w:bidi="ar-SA"/>
        </w:rPr>
        <w:t>3.</w:t>
      </w:r>
      <w:r>
        <w:rPr>
          <w:rFonts w:hint="eastAsia" w:asciiTheme="minorEastAsia" w:hAnsiTheme="minorEastAsia" w:eastAsiaTheme="minorEastAsia" w:cstheme="minorEastAsia"/>
          <w:color w:val="000000"/>
          <w:sz w:val="24"/>
          <w:szCs w:val="24"/>
        </w:rPr>
        <w:t>安全文明类：《建设工程施工现场消防安全技术规范》GB 50720、《建筑施工安全检查标准》JGJ 59</w:t>
      </w:r>
      <w:r>
        <w:rPr>
          <w:rFonts w:hint="eastAsia" w:asciiTheme="minorEastAsia" w:hAnsiTheme="minorEastAsia" w:eastAsiaTheme="minorEastAsia" w:cstheme="minorEastAsia"/>
          <w:color w:val="000000"/>
          <w:sz w:val="24"/>
          <w:szCs w:val="24"/>
          <w:lang w:eastAsia="zh-CN"/>
        </w:rPr>
        <w:t>、《建筑施工高处作业安全技术规范》JGJ 80。</w:t>
      </w:r>
    </w:p>
    <w:p w14:paraId="69322F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4.</w:t>
      </w:r>
      <w:r>
        <w:rPr>
          <w:rFonts w:hint="eastAsia" w:asciiTheme="minorEastAsia" w:hAnsiTheme="minorEastAsia" w:eastAsiaTheme="minorEastAsia" w:cstheme="minorEastAsia"/>
          <w:color w:val="000000"/>
          <w:sz w:val="24"/>
          <w:szCs w:val="24"/>
        </w:rPr>
        <w:t>地方规定：湖南省绿色施工、校园安全管理、扬尘管控相关规定</w:t>
      </w:r>
    </w:p>
    <w:p w14:paraId="643F1F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本项目设计图纸、工程量清单载明的技术参数与构造要求</w:t>
      </w:r>
    </w:p>
    <w:p w14:paraId="55AD49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6.施工期内规范更新的，按最新版本执行；地方标准严于国家标准的，按地方标准执行。</w:t>
      </w:r>
    </w:p>
    <w:p w14:paraId="7F6C61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（二）通用施工管控要求</w:t>
      </w:r>
    </w:p>
    <w:p w14:paraId="2B96CD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1.拆除作业通用技术要求</w:t>
      </w:r>
    </w:p>
    <w:p w14:paraId="475BAB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（1）拆除作业遵循“自上而下、分层分段、先非承重后承重”的施工顺序，严禁掏掘式、推倒式野蛮拆除，严禁上下立体交叉作业。</w:t>
      </w:r>
    </w:p>
    <w:p w14:paraId="31D79E7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严格控制凿除深度与边界：屋面防水层、找平层凿除严禁损伤结构屋面板；室内墙面、地面面层拆除严禁扰动原有承重墙体、梁柱楼板及保留管线；室外围墙、路面拆除严禁破坏周边既有管网、绿植及道路设施。拆除后断面须修整平顺，剔除松动残渣。</w:t>
      </w:r>
    </w:p>
    <w:p w14:paraId="138683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（3）拆除作业全程采取湿法降尘措施，建筑垃圾集中密闭堆放，按工程量清单约定运距外运处置，严禁随意抛洒、倾倒渣土。</w:t>
      </w:r>
    </w:p>
    <w:p w14:paraId="5F1C4A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（4）拆除前须探明作业范围内地下管线、隐蔽构造分布，遇不明管线或结构异常立即停工上报，严禁擅自处置。</w:t>
      </w:r>
    </w:p>
    <w:p w14:paraId="19BF31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2.基层施工通用技术要求</w:t>
      </w:r>
    </w:p>
    <w:p w14:paraId="4FF299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 xml:space="preserve">（1）所有面层施工前，基层须清理洁净，无浮灰、油污、空鼓、起砂，含水率满足对应面层施工工艺要求。 </w:t>
      </w:r>
    </w:p>
    <w:p w14:paraId="732776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 xml:space="preserve">（2）找平层严格按设计配比计量、分层施工，压实抹光，平整度、坡度、强度符合设计及规范要求；屋面、卫生间、洗漱间等有水区域找坡准确，无倒坡、积水隐患。 </w:t>
      </w:r>
    </w:p>
    <w:p w14:paraId="72630E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 xml:space="preserve">（3）新旧基层交接处、不同材质界面处须按规范做界面处理或挂网抗裂，防止后期开裂、脱落。 </w:t>
      </w:r>
    </w:p>
    <w:p w14:paraId="2590CA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（4）防水基层须平整、坚实、无尖角凹坑，阴阳角按规范做成圆弧或八字角，为防水层施工提供合格基面。</w:t>
      </w:r>
    </w:p>
    <w:p w14:paraId="26E5A0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3.防水作业通用技术要求</w:t>
      </w:r>
    </w:p>
    <w:p w14:paraId="70C5CC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 xml:space="preserve">（1）防水层施工前基层须验收合格，阴阳角、天沟、泛水、管根、地漏等节点部位按规范增设防水附加层。 </w:t>
      </w:r>
    </w:p>
    <w:p w14:paraId="200245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 xml:space="preserve">（2）防水卷材铺贴、涂料涂刷厚度均匀，搭接宽度符合规范，粘结牢固，无空鼓、开裂、翘边、气泡等缺陷。 </w:t>
      </w:r>
    </w:p>
    <w:p w14:paraId="3F8B7BB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（3）防水施工完成后，须进行不少于 24 小时闭水试验，确认无渗漏、无积水后方可进入下道工序。</w:t>
      </w:r>
    </w:p>
    <w:p w14:paraId="349705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4.成品保护技术措施</w:t>
      </w:r>
    </w:p>
    <w:p w14:paraId="12CBE4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（1）已完成的装饰面层、门窗、卫生器具、电气设备，须采取覆盖、包裹、遮挡等物理防护措施，严禁施工踩踏、硬物磕碰、涂料污染。</w:t>
      </w:r>
    </w:p>
    <w:p w14:paraId="290676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 xml:space="preserve">（2）室内施工对保留墙面、地面、门窗采取防污染、防碰撞保护；屋面施工严禁损坏既有屋面设施、排水系统；室外施工严禁碾压、破坏校园既有道路、管网及绿化。 </w:t>
      </w:r>
    </w:p>
    <w:p w14:paraId="0B0EBF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（3）材料运输、机具转移沿校方指定路线通行，严禁在成品面层上拖拽重物；楼梯踏步、转角等易损部位采取专项硬质防护。</w:t>
      </w:r>
    </w:p>
    <w:p w14:paraId="68E617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5.环保作业技术要求</w:t>
      </w:r>
    </w:p>
    <w:p w14:paraId="4EB192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（1）施工场界噪声执行昼间≤70dB、夜间≤55dB限值；上课时段、午休、夜间禁止高噪声作业，拆除、破碎、切割等强噪声工序优先安排在寒暑假、法定节假日实施。 </w:t>
      </w:r>
    </w:p>
    <w:p w14:paraId="104F9C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（2）拆除、土方作业全程湿法降尘，物料规范覆盖，车辆出场冲洗干净，渣土运输全程密闭，落实施工扬尘管控要求。 </w:t>
      </w:r>
    </w:p>
    <w:p w14:paraId="1B0E6D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（3）施工废水经沉淀池沉淀达标后方可排入校园管网，严禁直接排放；建筑垃圾分类归集、及时清运，严禁随意丢弃。</w:t>
      </w:r>
    </w:p>
    <w:p w14:paraId="29BE67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（三）分部分项工程专项技术要求</w:t>
      </w:r>
    </w:p>
    <w:p w14:paraId="1D87FB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本工程各分部分项施工须符合国家、行业及湖南省现行规范标准与设计要求，工序质量达到合格标准，专项技术要求如下：</w:t>
      </w:r>
    </w:p>
    <w:p w14:paraId="7DE094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1.篮球场改造工程</w:t>
      </w:r>
    </w:p>
    <w:p w14:paraId="0B7C6D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（1）土方与挡土墙工程</w:t>
      </w:r>
    </w:p>
    <w:p w14:paraId="63BE6E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1）土方开挖按设计标高与坡度控制，严禁超挖扰动基底原土；回填土分层夯实，压实系数满足规范，余方外运运距符合工程量清单要求。</w:t>
      </w:r>
    </w:p>
    <w:p w14:paraId="230270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2）毛石挡土墙采用MU30毛石、M7.5水泥砂浆砌筑，分层错缝搭砌、砂浆饱满；按设计间距设置dn50硬塑料管泄水孔，内侧配砂石反滤包；伸缩缝间距15~20m，缝内填塞沥青麻丝密封严密。</w:t>
      </w:r>
    </w:p>
    <w:p w14:paraId="0D3725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（2）围墙及附属构筑物</w:t>
      </w:r>
    </w:p>
    <w:p w14:paraId="3F1B22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1）围墙采用MU7.5黏土砖砌筑，配套C15混凝土基础、C25混凝土圈梁与压顶，墙体拉结筋按规范设置；外墙依次做15厚水泥砂浆找平层、5厚聚合物水泥防水砂浆（配耐碱玻纤网格布）、真石漆饰面。</w:t>
      </w:r>
    </w:p>
    <w:p w14:paraId="374773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2）砖砌排水沟断面符合设计，C25混凝土底板找坡准确，内壁抹灰平整；钢筋混凝土预制沟盖板强度达标，安装坐浆饱满、稳固。砖砌台阶水泥砂浆抹面压光，踏步尺寸一致、齿角整齐。</w:t>
      </w:r>
    </w:p>
    <w:p w14:paraId="22AE36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（3）场地基层工程</w:t>
      </w:r>
    </w:p>
    <w:p w14:paraId="26662F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1）15cm厚C25水泥混凝土基层振捣密实、表面拉毛；按规范设置缩缝，塑料油膏填缝饱满。</w:t>
      </w:r>
    </w:p>
    <w:p w14:paraId="365D4D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2）5cm中粒式改性沥青混凝土（AC-16）+3cm细粒式改性沥青混凝土（AC-13）分层摊铺压实，混合料级配、摊铺及碾压温度符合规范，表面平整密实，无离析、裂缝、推挤、油包等缺陷。</w:t>
      </w:r>
    </w:p>
    <w:p w14:paraId="33340C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（4）硅PU面层工程</w:t>
      </w:r>
    </w:p>
    <w:p w14:paraId="7F4D58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1）面层总厚度不应小于 5mm，构造层次依次为：专用渗透底漆、3mm 厚聚氨酯弹性层、1.8~2mm 厚聚氨酯加强层面漆、专用运动场地划线漆。面层采用双组份全聚氨酯材料，生产过程不得人为添加无机填料等辅料降低产品性能。</w:t>
      </w:r>
    </w:p>
    <w:p w14:paraId="1A434B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2）基层须干燥、洁净、平整，含水率满足施工工艺要求后方可涂刷底漆； 各层材料按产品配比充分搅拌均匀，分层刮涂施工，每层厚度均匀可控，待上一层固化达标后方可进行下一道工序；施工环境温度、湿度须符合产品施工技术要求，严禁在雨天、大风及低温天气下露天施工。</w:t>
      </w:r>
    </w:p>
    <w:p w14:paraId="2B86C6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3）面层整体平整、色泽均匀，无起泡、脱层、起鼓、开裂等缺陷，接缝平顺无明显痕迹；场地划线采用专用划线漆，线条清晰不反光、粘结牢固，尺寸偏差符合标准篮球场地规范要求；</w:t>
      </w:r>
    </w:p>
    <w:p w14:paraId="0FF55D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p>
    <w:p w14:paraId="2F3CC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2.学生宿舍维修工程</w:t>
      </w:r>
    </w:p>
    <w:p w14:paraId="182416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（1）门窗工程</w:t>
      </w:r>
    </w:p>
    <w:p w14:paraId="540C17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1）拆除老旧门窗及顶部亮窗，修整洞口后更换成品门窗；铝合金中空玻璃窗采用6+9A+6mm双钢化中空玻璃，配套金属纱窗；铝合金平开门采用钢化安全玻璃。</w:t>
      </w:r>
    </w:p>
    <w:p w14:paraId="217C94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2）门窗安装牢固、启闭灵活、密封严密，五金配件齐全；外门窗完工后做淋水试验，无渗漏为合格。预制混凝土过梁强度符合设计，安装位置准确、坐浆饱满。</w:t>
      </w:r>
    </w:p>
    <w:p w14:paraId="66008F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（2）地面工程</w:t>
      </w:r>
    </w:p>
    <w:p w14:paraId="6EA23B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1）普通房间、楼梯做15厚水泥石子水磨石地面，分格顺直、表面光洁、磨纹均匀；楼梯踏步高度宽度一致、齿角整齐。</w:t>
      </w:r>
    </w:p>
    <w:p w14:paraId="6CDECA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2）卫生间、洗漱间做防水地砖楼面，设1.5厚聚合物防水涂料，防水层四周上翻至楼面完成面以上250mm；闭水试验合格后铺贴防滑地砖，空鼓率符合规范要求。</w:t>
      </w:r>
    </w:p>
    <w:p w14:paraId="4769CD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（3）墙面与天棚工程</w:t>
      </w:r>
    </w:p>
    <w:p w14:paraId="187672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1）卫生间、洗漱间贴釉面砖墙面，瓷砖粘贴牢固、勾缝饱满，阴阳角顺直。</w:t>
      </w:r>
    </w:p>
    <w:p w14:paraId="7774E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2）室内墙面、天棚采用904涂料翻新，基层满刮腻子、打磨平整，面层涂刷均匀，无流坠、起皮、漏刷；卫生间天棚做防潮涂料处理。</w:t>
      </w:r>
    </w:p>
    <w:p w14:paraId="2599D4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3）楼梯栏杆扶手除锈后刷漆，漆膜均匀、无流坠、无返锈。</w:t>
      </w:r>
    </w:p>
    <w:p w14:paraId="55FBA1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（4）给排水工程</w:t>
      </w:r>
    </w:p>
    <w:p w14:paraId="375152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1）室内给水采用304薄壁不锈钢管（卡压连接）+PPR给水管（热熔连接），室外采用钢丝网骨架PE复合管（电熔连接）；管道支吊架安装规范，水压试验合格，交付前完成消毒冲洗，水质符合生活饮用水标准。</w:t>
      </w:r>
    </w:p>
    <w:p w14:paraId="7BDCD5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2）排水采用PVC-U排水管（胶粘连接），横管坡度符合设计，通水、通球试验合格。</w:t>
      </w:r>
    </w:p>
    <w:p w14:paraId="70121A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3）配套安装不锈钢地漏、铜质水龙头、铜螺纹截止阀、脚踏式低水箱蹲式大便器；地漏安装低于地面5~10mm，水封深度达标，器具安装平整牢固、使用功能正常。</w:t>
      </w:r>
    </w:p>
    <w:p w14:paraId="553B7A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3.教师公寓维修工程</w:t>
      </w:r>
    </w:p>
    <w:p w14:paraId="6C0C6B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（1）结构新建工程</w:t>
      </w:r>
    </w:p>
    <w:p w14:paraId="37E39B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1）独立基础、满堂基础采用C15混凝土垫层、C30商品混凝土；矩形柱、有梁板、平板、雨蓬、挑檐天沟均采用C30泵送商品混凝土。</w:t>
      </w:r>
    </w:p>
    <w:p w14:paraId="17C184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2）钢筋采用HRB400E级，规格、数量、锚固长度符合设计，进场复检合格后方可使用。</w:t>
      </w:r>
    </w:p>
    <w:p w14:paraId="7A3FE3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3）模板支撑体系经承载力验算，安装牢固、接缝严密；混凝土按规范养护，强度达标后方可拆模，构件成型尺寸准确，无蜂窝、露筋、裂缝等缺陷。</w:t>
      </w:r>
    </w:p>
    <w:p w14:paraId="616F2E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（2）门窗工程</w:t>
      </w:r>
    </w:p>
    <w:p w14:paraId="46D550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安装不锈钢防盗窗、铝合金中空玻璃窗（6+9A+6双钢化中空玻璃）、铝合金安全玻璃平开门、高级防盗门、高级实木门；成品门窗质量符合对应标准，安装牢固、开启方向正确，缝隙均匀严密；外门窗淋水试验无渗漏。</w:t>
      </w:r>
    </w:p>
    <w:p w14:paraId="37B0E0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（3）室内装饰工程</w:t>
      </w:r>
    </w:p>
    <w:p w14:paraId="507EDB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1）普通房间铺贴地砖地面，设120mm高块料踢脚线；局部做505胶地面；卫生间做防水地砖楼面，闭水试验合格。</w:t>
      </w:r>
    </w:p>
    <w:p w14:paraId="60E5E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2）内墙做涂料墙面，厨卫做釉面砖墙面；天棚分涂料天棚与600×600石膏板吊顶，吊顶龙骨平整牢固，板缝做防开裂处理，自攻螺钉做防锈处理。</w:t>
      </w:r>
    </w:p>
    <w:p w14:paraId="38A9A6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3）楼梯做地砖面层，踏步平整、尺寸一致。</w:t>
      </w:r>
    </w:p>
    <w:p w14:paraId="2E8C90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（4）外墙工程</w:t>
      </w:r>
    </w:p>
    <w:p w14:paraId="71BE08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外墙基层做一般抹灰找平，配套聚合物防水层、抗裂砂浆+耐碱玻纤网格布，面层做真石漆饰面；质感均匀、无色差，分格缝顺直。独立柱、天沟雨蓬等零星构件抹灰平整，阴阳角顺直，防水做法到位。</w:t>
      </w:r>
    </w:p>
    <w:p w14:paraId="2ADB3E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（5）屋面工程</w:t>
      </w:r>
    </w:p>
    <w:p w14:paraId="40A85C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1）屋面分层施工：轻骨料混凝土找坡层、80厚难燃型挤塑聚苯板保温层、水泥砂浆找平层、双层3厚SBS改性沥青防水卷材；雨蓬同步做防水处理。</w:t>
      </w:r>
    </w:p>
    <w:p w14:paraId="73F541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2）阴阳角、天沟、泛水等节点增设防水附加层，卷材搭接宽度符合规范、热熔粘结牢固；完工后做24小时闭水试验，无渗漏为合格。</w:t>
      </w:r>
    </w:p>
    <w:p w14:paraId="6875E6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3）配套安装PVC屋面排水管与雨水斗，安装顺直牢固，排水通畅无堵塞。</w:t>
      </w:r>
    </w:p>
    <w:p w14:paraId="2CB490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（6）强电工程</w:t>
      </w:r>
    </w:p>
    <w:p w14:paraId="5ED836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1）拆除原有老旧电气线路后重新布线；总配电箱、户内配电箱元器件齐全、3C认证有效，回路标识清晰准确。</w:t>
      </w:r>
    </w:p>
    <w:p w14:paraId="3D5ADC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2）SC焊接钢管、PC线管暗敷，穿BV铜芯电线，相序分色规范；线路绝缘电阻测试合格后方可通电。</w:t>
      </w:r>
    </w:p>
    <w:p w14:paraId="65F00C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3）开关、插座、LED吸顶灯安装标高一致、平整牢固；潮湿区域采用防水型器件。设置局部等电位端子箱，联结可靠，接地电阻测试符合规范。</w:t>
      </w:r>
    </w:p>
    <w:p w14:paraId="33E7A5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（7）给排水工程</w:t>
      </w:r>
    </w:p>
    <w:p w14:paraId="635420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室内给水采用304薄壁不锈钢管、PPR给水管，室外采用钢丝网骨架PE复合管；排水采用PVC-U排水管，配套屋面雨水管；管道水压试验、通水通球试验合格。安装铜螺纹截止阀、蹲式大便器、洗涤盆等器具，安装平整牢固，无渗漏、无堵塞，使用功能正常。</w:t>
      </w:r>
    </w:p>
    <w:p w14:paraId="16CDA5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4.食堂维修工程</w:t>
      </w:r>
    </w:p>
    <w:p w14:paraId="3B6EA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（1）拆除工程</w:t>
      </w:r>
    </w:p>
    <w:p w14:paraId="61CAA6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凿除屋面及天沟原有防水层、找平层，严格控制凿除深度，严禁损伤结构屋面板；建筑垃圾全部清运出场，外运运距符合工程量清单要求，清理干净基层，为防水施工提供合格基面。</w:t>
      </w:r>
    </w:p>
    <w:p w14:paraId="0E6828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（2）屋面防水保温工程</w:t>
      </w:r>
    </w:p>
    <w:p w14:paraId="02C226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1）按设计构造分层施工：轻骨料混凝土找坡层（最薄处30mm，坡度2.5%）、80厚难燃型挤塑聚苯板保温层、20厚水泥砂浆找平层、双层3厚SBS改性沥青防水卷材。</w:t>
      </w:r>
    </w:p>
    <w:p w14:paraId="3E586A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2）天沟部位做专项防水加强处理，附加层设置到位，卷材收头密封严密。</w:t>
      </w:r>
    </w:p>
    <w:p w14:paraId="371056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3）完工后进行不少于24小时闭水试验，屋面无渗漏、无积水，排水系统功能完好。</w:t>
      </w:r>
    </w:p>
    <w:p w14:paraId="134972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（四）主要材料技术参数要求</w:t>
      </w:r>
    </w:p>
    <w:p w14:paraId="4F5C4C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1、通用要求</w:t>
      </w:r>
    </w:p>
    <w:p w14:paraId="52B0AA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（1）所有材料、设备、构配件必须具有产品合格证、出厂检测报告、质量保证书，规格、型号、性能符合设计及国家相关标准。</w:t>
      </w:r>
    </w:p>
    <w:p w14:paraId="47C6C8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（2）涉及安全、卫生、环保的材料须提供第三方权威检测报告；属于强制性认证的产品须提供3C认证等法定认证文件。</w:t>
      </w:r>
    </w:p>
    <w:p w14:paraId="465470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（3）所有材料进场前须向采购单位及监理单位报验，经外观检查、资料核查合格后方可进场；按规定须复检的材料，见证取样送检合格后方可使用。</w:t>
      </w:r>
    </w:p>
    <w:p w14:paraId="179525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2、主要材料技术参数要求</w:t>
      </w:r>
    </w:p>
    <w:p w14:paraId="7FAF37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硅PU面层材料：采用双组份全聚氨酯材质，成品面层总厚度≥5mm，底漆、弹性层、加强层、划线漆须为同一品牌配套产品，不得混用不同品牌材料；所有材料须具有中国环境标志产品认证证书、中国环保认证产品认证证书；材料耐人工气候老化性能、有害物质释放量、物理力学性能符合GB36246标准，提供具有CMA或CNAS标志的第三方权威机构出具的检测报告，且能在全国认证认可信息公共服务平台（http://cx.cnca.cn/）查询，提供截图。</w:t>
      </w:r>
    </w:p>
    <w:p w14:paraId="190FAB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（2）SBS改性沥青防水卷材采用聚酯胎Ⅱ型，性能符合《弹性体改性沥青防水卷材》GB 18242标准；聚合物水泥防水涂料性能符合《聚合物水泥防水涂料》GB/T23445标准；均提供有效期内的型式检验报告。</w:t>
      </w:r>
    </w:p>
    <w:p w14:paraId="61D566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门窗材料：铝合金型材采用国标6063-T5系列，壁厚符合设计及规范要求；玻璃采用6+9A+6双钢化中空玻璃，具有3C强制性认证，符合《建筑用安全玻璃第2部分：钢化玻璃》GB15763.2标准；防盗门符合《防盗安全门通用技术条件》GB17565标准，实木门符合现行行业产品质量标准。</w:t>
      </w:r>
    </w:p>
    <w:p w14:paraId="749F66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水电材料：给水管材卫生性能符合《生活饮用水输配水设备及防护材料的安全性评价标准》GB/T17219要求；电线电缆为国标铜芯，符合《额定电压450/750V及以下聚氯乙烯绝缘电缆》GB5023标准；配电箱元器件具备3C认证，参数符合设计要求。</w:t>
      </w:r>
    </w:p>
    <w:p w14:paraId="7307D1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（5）预拌材料：商品混凝土、干混砂浆采用正规生产厂家产品，强度等级、配合比严格匹配设计要求，随货提供质量证明文件。</w:t>
      </w:r>
    </w:p>
    <w:p w14:paraId="62AAF7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（6）饰面材料：地砖、釉面砖、真石漆、涂料等外观、规格、环保指标符合国家标准，无放射性、有害物超标问题。</w:t>
      </w:r>
    </w:p>
    <w:p w14:paraId="493772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3.进场复检要求</w:t>
      </w:r>
    </w:p>
    <w:p w14:paraId="18D5DD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必须进场见证取样复检的材料包括：钢筋、防水材料、保温材料、电线电缆、硅PU面层材料；商品混凝土、干混砂浆按规范批次抽样检测。复检须委托具有CMA资质的第三方检测机构，检测项目齐全，不合格材料立即清退出场，严禁使用。</w:t>
      </w:r>
    </w:p>
    <w:p w14:paraId="339500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注：本项目要求所有材料的认证证书、检测报告和认证信息查询截图等，供应商应在响应文件中提交承诺书，开标后中标人应在材料进场前向采购人提供相关资料，并提供样品给采购人选定材料。</w:t>
      </w:r>
    </w:p>
    <w:p w14:paraId="4068F8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（五）绿色施工与安全文明施工技术要求</w:t>
      </w:r>
    </w:p>
    <w:p w14:paraId="69357E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1.落实施工现场扬尘管控“六个百分百”，拆除、土方作业全程湿法施工，车辆出场冲洗干净，运输全程密闭。</w:t>
      </w:r>
    </w:p>
    <w:p w14:paraId="6B5C29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2.施工噪声执行昼间≤70dB、夜间≤55dB限值；校园内施工避开教学与师生休息时段，午休及夜间禁止高噪声作业。</w:t>
      </w:r>
    </w:p>
    <w:p w14:paraId="3C3244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3.建筑垃圾分类堆放，可回收材料资源化利用率不低于30%；施工废水经沉淀后排放，严禁直接排入校园管网。</w:t>
      </w:r>
    </w:p>
    <w:p w14:paraId="2AB9BF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4.施工现场按规范配置消防器材，临时用电符合安全规范，动火作业执行审批制度，易燃易爆材料专人专库管理。</w:t>
      </w:r>
    </w:p>
    <w:p w14:paraId="001314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5.施工区域采用硬质围挡全封闭，与教学区、生活区物理隔离；施工人员统一管理，严禁进入非施工区域、严禁接触在校学生。</w:t>
      </w:r>
    </w:p>
    <w:p w14:paraId="547C2D04">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6.优先选用节能型施工设备，淘汰高能耗老旧设备；施工现场设置节水器具，施工废水经沉淀后循环利用；优化材料下料方案，减少边角料浪费；优先选用政府采购清单内的节能、环境标志产品。</w:t>
      </w:r>
    </w:p>
    <w:p w14:paraId="039123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bCs w:val="0"/>
          <w:color w:val="000000"/>
          <w:kern w:val="2"/>
          <w:sz w:val="24"/>
          <w:szCs w:val="24"/>
          <w:lang w:val="en-US" w:eastAsia="zh-CN" w:bidi="ar-SA"/>
        </w:rPr>
      </w:pPr>
      <w:r>
        <w:rPr>
          <w:rFonts w:hint="eastAsia" w:asciiTheme="minorEastAsia" w:hAnsiTheme="minorEastAsia" w:eastAsiaTheme="minorEastAsia" w:cstheme="minorEastAsia"/>
          <w:b/>
          <w:bCs w:val="0"/>
          <w:color w:val="000000"/>
          <w:kern w:val="2"/>
          <w:sz w:val="24"/>
          <w:szCs w:val="24"/>
          <w:lang w:val="en-US" w:eastAsia="zh-CN" w:bidi="ar-SA"/>
        </w:rPr>
        <w:t>（六）项目管理要求</w:t>
      </w:r>
    </w:p>
    <w:p w14:paraId="165B8F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1.人员配备管理</w:t>
      </w:r>
    </w:p>
    <w:p w14:paraId="2345BE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（1）成交供应商须组建与项目规模匹配的现场管理团队，配备项目经理、技术负责人、施工员、质量员、专职安全员、资料员及校园协调员。</w:t>
      </w:r>
    </w:p>
    <w:p w14:paraId="24AEDC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（2）项目经理全程驻场履职，每月驻场不少于22天，离岗须提前书面请假；关键岗位人员未经采购人同意不得擅自更换，确需更换的须提供同等及以上资质人员并获批。</w:t>
      </w:r>
    </w:p>
    <w:p w14:paraId="4FD3E5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（3）所有进场人员实名制管理，报备校方后凭证出入；特种作业人员持证上岗，进场前完成安全教育与校园纪律告知。</w:t>
      </w:r>
    </w:p>
    <w:p w14:paraId="7D646C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2.施工组织管理</w:t>
      </w:r>
    </w:p>
    <w:p w14:paraId="4D62F8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（1）进场前编制施工组织设计及拆除、防水、临时用电、高处作业等专项方案，经监理、采购人审批后实施；每道工序开工前完成技术、安全双交底。</w:t>
      </w:r>
    </w:p>
    <w:p w14:paraId="1063C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（2）严格执行工序报验转序制度，上道工序验收不合格严禁转序；隐蔽工程提前24小时书面报验。</w:t>
      </w:r>
    </w:p>
    <w:p w14:paraId="46594D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（3）按校方指定区域布置临时设施与材料堆场，严禁占用消防通道与学生主干道；物料分类码放、标识清晰，每日工完场清。</w:t>
      </w:r>
    </w:p>
    <w:p w14:paraId="6CDCC5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3.进度管控机制</w:t>
      </w:r>
    </w:p>
    <w:p w14:paraId="0EE26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（1）进场3日内提交总进度计划、月度计划与周作业计划，避让教学时段，优先安排假期开展强干扰工序；每周报送进度周报。</w:t>
      </w:r>
    </w:p>
    <w:p w14:paraId="656356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（2）进度滞后时须立即提交赶工方案并落实，赶工费用自行承担，工期不予顺延；因设计变更、不可抗力导致延误的，须3日内提交工期签证申请，逾期不予认可。</w:t>
      </w:r>
    </w:p>
    <w:p w14:paraId="56F340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（3）遇学校重大活动、考试等特殊时段，须按校方要求暂停施工或调整作业计划，不得以工期为由拒绝配合。</w:t>
      </w:r>
    </w:p>
    <w:p w14:paraId="04E8DF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4.质量与资料管理</w:t>
      </w:r>
    </w:p>
    <w:p w14:paraId="505558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（1）执行班组自检、工序互检、项目部专检“三检制”；关键工序推行样板引路，样板验收合格后方可大面积施工。</w:t>
      </w:r>
    </w:p>
    <w:p w14:paraId="6B4A3F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（2）建立材料进场报验台账，不合格材料立即清退；严禁擅自更换材料品牌、降低规格。</w:t>
      </w:r>
    </w:p>
    <w:p w14:paraId="47F929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（3）工程资料与施工进度同步整理，真实完整可追溯，符合岳阳县建设工程档案归档要求；完工后提交全套竣工资料，配合财政评审。</w:t>
      </w:r>
    </w:p>
    <w:p w14:paraId="33D147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5.校园协同与应急管理</w:t>
      </w:r>
    </w:p>
    <w:p w14:paraId="3ED54B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（1）专职协调员负责对接校方，建立周对接机制，落实施工作息、通行路线、设施保护等事项；施工损坏校园设施的须无偿修复或照价赔偿。</w:t>
      </w:r>
    </w:p>
    <w:p w14:paraId="6D6459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（2）制定突发事件应急预案，与校方建立联动机制；发生管线破损、安全事故等突发情况第一时间上报并处置，严禁瞒报迟报。</w:t>
      </w:r>
    </w:p>
    <w:p w14:paraId="4D8C7C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b w:val="0"/>
          <w:bCs/>
          <w:color w:val="000000"/>
          <w:kern w:val="2"/>
          <w:sz w:val="24"/>
          <w:szCs w:val="24"/>
          <w:lang w:val="en-US" w:eastAsia="zh-CN" w:bidi="ar-SA"/>
        </w:rPr>
      </w:pPr>
      <w:r>
        <w:rPr>
          <w:rFonts w:hint="eastAsia" w:asciiTheme="minorEastAsia" w:hAnsiTheme="minorEastAsia" w:eastAsiaTheme="minorEastAsia" w:cstheme="minorEastAsia"/>
          <w:b w:val="0"/>
          <w:bCs/>
          <w:color w:val="000000"/>
          <w:kern w:val="2"/>
          <w:sz w:val="24"/>
          <w:szCs w:val="24"/>
          <w:lang w:val="en-US" w:eastAsia="zh-CN" w:bidi="ar-SA"/>
        </w:rPr>
        <w:t>（3）严格遵守校园保密规定，严禁泄露师生信息与校园管理信息；未经同意不得拍摄传播校园内部场景。</w:t>
      </w:r>
    </w:p>
    <w:p w14:paraId="16BF50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color w:val="000000"/>
          <w:kern w:val="2"/>
          <w:sz w:val="24"/>
          <w:szCs w:val="24"/>
          <w:lang w:val="en-US" w:eastAsia="zh-CN" w:bidi="ar-SA"/>
        </w:rPr>
      </w:pPr>
      <w:r>
        <w:rPr>
          <w:rFonts w:hint="eastAsia" w:asciiTheme="minorEastAsia" w:hAnsiTheme="minorEastAsia" w:eastAsiaTheme="minorEastAsia" w:cstheme="minorEastAsia"/>
          <w:b/>
          <w:color w:val="000000"/>
          <w:kern w:val="2"/>
          <w:sz w:val="24"/>
          <w:szCs w:val="24"/>
          <w:lang w:val="en-US" w:eastAsia="zh-CN" w:bidi="ar-SA"/>
        </w:rPr>
        <w:t>四、商务要求</w:t>
      </w:r>
    </w:p>
    <w:p w14:paraId="6DE820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（一）工期要求</w:t>
      </w:r>
    </w:p>
    <w:p w14:paraId="2D5067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1.总工期：60日历天，具体开工日期以采购人签发的开工通知为准。</w:t>
      </w:r>
    </w:p>
    <w:p w14:paraId="2A42E3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2.供应商须合理安排工序，优先利用假期开展强干扰工序；须充分考虑教学安排、节假日、校园重大活动等停工因素，相关费用已包含在总价中，工期不予顺延。</w:t>
      </w:r>
    </w:p>
    <w:p w14:paraId="2B7B98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3.因供应商原因造成工期延误的，按本章节违约责任条款承担责任。</w:t>
      </w:r>
    </w:p>
    <w:p w14:paraId="2DB63B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（二）施工地点</w:t>
      </w:r>
    </w:p>
    <w:p w14:paraId="544984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步仙镇中心学校校内指定区域。</w:t>
      </w:r>
    </w:p>
    <w:p w14:paraId="41101D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（三）质量标准</w:t>
      </w:r>
    </w:p>
    <w:p w14:paraId="61BC84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iCs/>
          <w:color w:val="auto"/>
          <w:kern w:val="0"/>
          <w:sz w:val="24"/>
          <w:szCs w:val="24"/>
          <w:lang w:val="en-US" w:eastAsia="zh-CN" w:bidi="ar-SA"/>
        </w:rPr>
      </w:pPr>
      <w:r>
        <w:rPr>
          <w:rFonts w:hint="eastAsia" w:asciiTheme="minorEastAsia" w:hAnsiTheme="minorEastAsia" w:eastAsiaTheme="minorEastAsia" w:cstheme="minorEastAsia"/>
          <w:b w:val="0"/>
          <w:bCs w:val="0"/>
          <w:iCs/>
          <w:color w:val="auto"/>
          <w:kern w:val="0"/>
          <w:sz w:val="24"/>
          <w:szCs w:val="24"/>
          <w:lang w:val="en-US" w:eastAsia="zh-CN" w:bidi="ar-SA"/>
        </w:rPr>
        <w:t>工程质量达到国家现行施工质量验收规范合格标准，符合设计要求及合同约定，一次性验收通过。</w:t>
      </w:r>
    </w:p>
    <w:p w14:paraId="416979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iCs/>
          <w:color w:val="auto"/>
          <w:kern w:val="0"/>
          <w:sz w:val="24"/>
          <w:szCs w:val="24"/>
          <w:lang w:val="en-US" w:eastAsia="zh-CN" w:bidi="ar-SA"/>
        </w:rPr>
      </w:pPr>
      <w:r>
        <w:rPr>
          <w:rFonts w:hint="eastAsia" w:asciiTheme="minorEastAsia" w:hAnsiTheme="minorEastAsia" w:eastAsiaTheme="minorEastAsia" w:cstheme="minorEastAsia"/>
          <w:b/>
          <w:bCs/>
          <w:iCs/>
          <w:color w:val="auto"/>
          <w:kern w:val="0"/>
          <w:sz w:val="24"/>
          <w:szCs w:val="24"/>
          <w:lang w:val="en-US" w:eastAsia="zh-CN" w:bidi="ar-SA"/>
        </w:rPr>
        <w:t>（四）报价要求</w:t>
      </w:r>
    </w:p>
    <w:p w14:paraId="6D9578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lang w:val="en-US" w:eastAsia="zh-CN"/>
        </w:rPr>
        <w:t>1.</w:t>
      </w:r>
      <w:r>
        <w:rPr>
          <w:rFonts w:hint="eastAsia" w:asciiTheme="minorEastAsia" w:hAnsiTheme="minorEastAsia" w:eastAsiaTheme="minorEastAsia" w:cstheme="minorEastAsia"/>
          <w:b w:val="0"/>
          <w:bCs w:val="0"/>
          <w:color w:val="000000"/>
          <w:sz w:val="24"/>
          <w:szCs w:val="24"/>
        </w:rPr>
        <w:t>本项目采用工程量清单综合单价计价，报价包含人工费、材料费、机械费、措施费、管理费、利润、规费、税金、检测费、保险费、质保服务费及所有风险、责任等全部费用。</w:t>
      </w:r>
    </w:p>
    <w:p w14:paraId="5B3544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lang w:val="en-US" w:eastAsia="zh-CN"/>
        </w:rPr>
        <w:t>2.</w:t>
      </w:r>
      <w:r>
        <w:rPr>
          <w:rFonts w:hint="eastAsia" w:asciiTheme="minorEastAsia" w:hAnsiTheme="minorEastAsia" w:eastAsiaTheme="minorEastAsia" w:cstheme="minorEastAsia"/>
          <w:b w:val="0"/>
          <w:bCs w:val="0"/>
          <w:color w:val="000000"/>
          <w:sz w:val="24"/>
          <w:szCs w:val="24"/>
        </w:rPr>
        <w:t>暂列金额按清单给定金额16349.00元计入报价，报价时不得调整。</w:t>
      </w:r>
    </w:p>
    <w:p w14:paraId="1E3873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lang w:val="en-US" w:eastAsia="zh-CN"/>
        </w:rPr>
        <w:t>3.</w:t>
      </w:r>
      <w:r>
        <w:rPr>
          <w:rFonts w:hint="eastAsia" w:asciiTheme="minorEastAsia" w:hAnsiTheme="minorEastAsia" w:eastAsiaTheme="minorEastAsia" w:cstheme="minorEastAsia"/>
          <w:b w:val="0"/>
          <w:bCs w:val="0"/>
          <w:color w:val="000000"/>
          <w:sz w:val="24"/>
          <w:szCs w:val="24"/>
        </w:rPr>
        <w:t>综合单价在合同期内除经审批的设计变更、政策性调整外，不因市场价格波动、施工条件变化而调整，风险由供应商自行承担。</w:t>
      </w:r>
    </w:p>
    <w:p w14:paraId="1384F1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lang w:val="en-US" w:eastAsia="zh-CN"/>
        </w:rPr>
        <w:t>4.</w:t>
      </w:r>
      <w:r>
        <w:rPr>
          <w:rFonts w:hint="eastAsia" w:asciiTheme="minorEastAsia" w:hAnsiTheme="minorEastAsia" w:eastAsiaTheme="minorEastAsia" w:cstheme="minorEastAsia"/>
          <w:b w:val="0"/>
          <w:bCs w:val="0"/>
          <w:color w:val="000000"/>
          <w:sz w:val="24"/>
          <w:szCs w:val="24"/>
        </w:rPr>
        <w:t>未填报单价或合价的项目，视为费用已包含在其他项目中，采购人不另行支付。</w:t>
      </w:r>
    </w:p>
    <w:p w14:paraId="049F2F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（五）付款方式</w:t>
      </w:r>
    </w:p>
    <w:p w14:paraId="30B3DA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本项目无须预付款，以转账方式分期支付。按形象进度拨付工程进度款，工程竣工验收并结算审定后支付至结算审定金额的97%。预留合同金额的3%留作质保金，在质保期满且无任何质量问题后一次性付清。</w:t>
      </w:r>
    </w:p>
    <w:p w14:paraId="66EC02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bCs/>
          <w:color w:val="000000"/>
          <w:sz w:val="24"/>
          <w:szCs w:val="24"/>
          <w:lang w:val="en-US" w:eastAsia="zh-CN"/>
        </w:rPr>
        <w:t>六</w:t>
      </w: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bCs/>
          <w:color w:val="000000"/>
          <w:sz w:val="24"/>
          <w:szCs w:val="24"/>
        </w:rPr>
        <w:t>变更、分包与保险管理</w:t>
      </w:r>
    </w:p>
    <w:p w14:paraId="278AFF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1.</w:t>
      </w:r>
      <w:r>
        <w:rPr>
          <w:rFonts w:hint="eastAsia" w:asciiTheme="minorEastAsia" w:hAnsiTheme="minorEastAsia" w:eastAsiaTheme="minorEastAsia" w:cstheme="minorEastAsia"/>
          <w:b/>
          <w:color w:val="000000"/>
          <w:sz w:val="24"/>
          <w:szCs w:val="24"/>
        </w:rPr>
        <w:t>变更签证</w:t>
      </w:r>
      <w:r>
        <w:rPr>
          <w:rFonts w:hint="eastAsia" w:asciiTheme="minorEastAsia" w:hAnsiTheme="minorEastAsia" w:eastAsiaTheme="minorEastAsia" w:cstheme="minorEastAsia"/>
          <w:color w:val="000000"/>
          <w:sz w:val="24"/>
          <w:szCs w:val="24"/>
        </w:rPr>
        <w:t>：所有设计变更、现场签证须按岳阳县财政及学校管理程序，经各方书面签字确认后方可实施；签证须一事一签、附完整支撑资料，严禁事后补签、笼统签认；手续不全的变更签证结算时不予认可。</w:t>
      </w:r>
    </w:p>
    <w:p w14:paraId="21F7B7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2.</w:t>
      </w:r>
      <w:r>
        <w:rPr>
          <w:rFonts w:hint="eastAsia" w:asciiTheme="minorEastAsia" w:hAnsiTheme="minorEastAsia" w:eastAsiaTheme="minorEastAsia" w:cstheme="minorEastAsia"/>
          <w:b/>
          <w:color w:val="000000"/>
          <w:sz w:val="24"/>
          <w:szCs w:val="24"/>
        </w:rPr>
        <w:t>转包分包</w:t>
      </w:r>
      <w:r>
        <w:rPr>
          <w:rFonts w:hint="eastAsia" w:asciiTheme="minorEastAsia" w:hAnsiTheme="minorEastAsia" w:eastAsiaTheme="minorEastAsia" w:cstheme="minorEastAsia"/>
          <w:color w:val="000000"/>
          <w:sz w:val="24"/>
          <w:szCs w:val="24"/>
        </w:rPr>
        <w:t>：本工程严禁转包；未经采购人书面批准不得擅自分包主体及关键性工作；经批准的分包工程，供应商承担总责。</w:t>
      </w:r>
    </w:p>
    <w:p w14:paraId="341CB0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3.</w:t>
      </w:r>
      <w:r>
        <w:rPr>
          <w:rFonts w:hint="eastAsia" w:asciiTheme="minorEastAsia" w:hAnsiTheme="minorEastAsia" w:eastAsiaTheme="minorEastAsia" w:cstheme="minorEastAsia"/>
          <w:b/>
          <w:color w:val="000000"/>
          <w:sz w:val="24"/>
          <w:szCs w:val="24"/>
        </w:rPr>
        <w:t>保险要求</w:t>
      </w:r>
      <w:r>
        <w:rPr>
          <w:rFonts w:hint="eastAsia" w:asciiTheme="minorEastAsia" w:hAnsiTheme="minorEastAsia" w:eastAsiaTheme="minorEastAsia" w:cstheme="minorEastAsia"/>
          <w:color w:val="000000"/>
          <w:sz w:val="24"/>
          <w:szCs w:val="24"/>
        </w:rPr>
        <w:t>：供应商须投保建筑工程一切险、第三者责任险，为全部施工人员购买工伤保险及意外伤害险，保险费用包含在总价中；施工期间安全事故、财产损失及第三方责任均由供应商自行承担。</w:t>
      </w:r>
    </w:p>
    <w:p w14:paraId="5649D85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lang w:val="en-US" w:eastAsia="zh-CN"/>
        </w:rPr>
        <w:t>（七）履约</w:t>
      </w:r>
      <w:r>
        <w:rPr>
          <w:rFonts w:hint="eastAsia" w:asciiTheme="minorEastAsia" w:hAnsiTheme="minorEastAsia" w:eastAsiaTheme="minorEastAsia" w:cstheme="minorEastAsia"/>
          <w:b/>
          <w:bCs/>
          <w:color w:val="000000"/>
          <w:sz w:val="24"/>
          <w:szCs w:val="24"/>
        </w:rPr>
        <w:t>验收要求</w:t>
      </w:r>
    </w:p>
    <w:p w14:paraId="03A89F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1.验收依据</w:t>
      </w:r>
    </w:p>
    <w:p w14:paraId="225DAE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国家、行业及湖南省现行工程质量验收规范标准；</w:t>
      </w:r>
    </w:p>
    <w:p w14:paraId="17CAD2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本采购需求、工程量清单、施工图纸、技术要求及答疑文件；</w:t>
      </w:r>
    </w:p>
    <w:p w14:paraId="2A3C35A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供应商响应文件、双方签订的正式合同及补充协议。</w:t>
      </w:r>
    </w:p>
    <w:p w14:paraId="57B9B0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2.验收层级</w:t>
      </w:r>
    </w:p>
    <w:p w14:paraId="558C07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执行四级验收制度，上一环节不合格严禁进入下一工序：</w:t>
      </w:r>
    </w:p>
    <w:p w14:paraId="25F5A1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材料设备进场验收：核验外观、质量证明文件及认证文件，按规定复检的材料见证取样送检合格后方可使用。</w:t>
      </w:r>
    </w:p>
    <w:p w14:paraId="69AF8FE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隐蔽工程验收：覆盖前提前24小时书面报验，验收合格签字后方可隐蔽。</w:t>
      </w:r>
    </w:p>
    <w:p w14:paraId="0A5454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分部分项工程验收：按装饰、防水、给排水、电气、运动场地等专业分部验收，主控项目全部合格，一般项目合格率符合规范。</w:t>
      </w:r>
    </w:p>
    <w:p w14:paraId="5240E8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竣工验收：工程全部完工、资料齐全、第三方功能性检测合格后，由采购人组织竣工验收，合格后签署验收文件。</w:t>
      </w:r>
    </w:p>
    <w:p w14:paraId="173A1A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3.功能性验收要求</w:t>
      </w:r>
    </w:p>
    <w:p w14:paraId="0F7942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屋面、卫生间防水24小时闭水试验无渗漏；</w:t>
      </w:r>
    </w:p>
    <w:p w14:paraId="00CAB9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给水管道水压试验合格，消毒冲洗后水质达标；排水管道通水、通球试验100%合格；</w:t>
      </w:r>
    </w:p>
    <w:p w14:paraId="7703FA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电气线路绝缘电阻、接地电阻测试合格，等电位联结导通达标；</w:t>
      </w:r>
    </w:p>
    <w:p w14:paraId="47382D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硅PU面层厚度、物理性能、有害物质限量经第三方检测符合GB36246标准。</w:t>
      </w:r>
    </w:p>
    <w:p w14:paraId="35CAF2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4.竣工资料要求</w:t>
      </w:r>
    </w:p>
    <w:p w14:paraId="20B2B3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提交完整、真实的竣工资料一式肆份（至少1份原件），包括竣工图纸、材料合格证及检测报告、复检报告、隐蔽验收记录、功能性试验记录、分部分项验收资料、结算资料等。</w:t>
      </w:r>
    </w:p>
    <w:p w14:paraId="679CCF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5.费用与不合格处置</w:t>
      </w:r>
    </w:p>
    <w:p w14:paraId="355FFE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所有验收检测费、材料复检费由供应商承担，已包含在总价中；验收发现质量问题的，须限期整改并申请复检，整改费用及损失由供应商承担。</w:t>
      </w:r>
    </w:p>
    <w:p w14:paraId="5066AB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rPr>
        <w:t>（</w:t>
      </w:r>
      <w:r>
        <w:rPr>
          <w:rFonts w:hint="eastAsia" w:asciiTheme="minorEastAsia" w:hAnsiTheme="minorEastAsia" w:eastAsiaTheme="minorEastAsia" w:cstheme="minorEastAsia"/>
          <w:b/>
          <w:bCs/>
          <w:color w:val="000000"/>
          <w:sz w:val="24"/>
          <w:szCs w:val="24"/>
          <w:lang w:val="en-US" w:eastAsia="zh-CN"/>
        </w:rPr>
        <w:t>八</w:t>
      </w:r>
      <w:r>
        <w:rPr>
          <w:rFonts w:hint="eastAsia" w:asciiTheme="minorEastAsia" w:hAnsiTheme="minorEastAsia" w:eastAsiaTheme="minorEastAsia" w:cstheme="minorEastAsia"/>
          <w:b/>
          <w:bCs/>
          <w:color w:val="000000"/>
          <w:sz w:val="24"/>
          <w:szCs w:val="24"/>
        </w:rPr>
        <w:t>）质量保修期</w:t>
      </w:r>
    </w:p>
    <w:p w14:paraId="1FE3B7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屋面防水工程、有防水要求的卫生间、房间和外墙面的防渗漏：5年。</w:t>
      </w:r>
    </w:p>
    <w:p w14:paraId="3C3716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装饰装修工程、电气管线、给排水管道、设备安装工程：2年。</w:t>
      </w:r>
    </w:p>
    <w:p w14:paraId="060797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硅PU运动面层：2年。</w:t>
      </w:r>
    </w:p>
    <w:p w14:paraId="568608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其他工程按国家《建设工程质量管理条例》及行业规定执行。</w:t>
      </w:r>
    </w:p>
    <w:p w14:paraId="59DFCD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val="en-US" w:eastAsia="zh-CN"/>
        </w:rPr>
        <w:t>5.</w:t>
      </w:r>
      <w:r>
        <w:rPr>
          <w:rFonts w:hint="eastAsia" w:asciiTheme="minorEastAsia" w:hAnsiTheme="minorEastAsia" w:eastAsiaTheme="minorEastAsia" w:cstheme="minorEastAsia"/>
          <w:b w:val="0"/>
          <w:bCs w:val="0"/>
          <w:color w:val="000000"/>
          <w:sz w:val="24"/>
          <w:szCs w:val="24"/>
          <w:lang w:eastAsia="zh-CN"/>
        </w:rPr>
        <w:t>保修期自工程竣工验收合格之日起计算，质保期内成交供应商须每季度开展一次主动回访巡检，建立质保服务台账；接到报修通知后24小时内到场维修，无偿返修至合格。</w:t>
      </w:r>
    </w:p>
    <w:p w14:paraId="60A114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bCs/>
          <w:color w:val="000000"/>
          <w:sz w:val="24"/>
          <w:szCs w:val="24"/>
          <w:lang w:val="en-US" w:eastAsia="zh-CN"/>
        </w:rPr>
        <w:t>九</w:t>
      </w: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bCs/>
          <w:color w:val="000000"/>
          <w:sz w:val="24"/>
          <w:szCs w:val="24"/>
          <w:lang w:val="en-US" w:eastAsia="zh-CN"/>
        </w:rPr>
        <w:t>违约责任</w:t>
      </w:r>
    </w:p>
    <w:p w14:paraId="7BD4F8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因成交供应商原因造成工期延误的，每逾期1日历天，成交供应商须按合同总价的0.3‰向采购人支付逾期违约金，逾期违约金累计最高不超过合同总价的5%。逾期超过15天的，采购人有权解除合同，成交供应商须承担由此造成的全部损失。</w:t>
      </w:r>
    </w:p>
    <w:p w14:paraId="1007EC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工程验收不合格的，成交供应商须在采购人要求的期限内无偿整改至合格，整改期间产生的所有费用由成交供应商自行承担；整改后仍达不到合格标准的，采购人有权解除合同，成交供应商须退还已收工程款，并按合同总价的5%向采购人支付违约金，同时承担由此造成的全部损失。</w:t>
      </w:r>
    </w:p>
    <w:p w14:paraId="1111AB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3.成交供应商擅自转包或违规分包工程的，采购人有权立即解除合同，成交供应商须按合同总价的5%向采购人支付违约金，并承担由此造成的全部损失。</w:t>
      </w:r>
    </w:p>
    <w:p w14:paraId="27B8CF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4.成交供应商违反校园施工管理规定，影响学校正常教学秩序、造成师生安全隐患或损坏校园既有设施的，须立即整改并承担相应赔偿责任；情节严重的，采购人有权追究违约责任。</w:t>
      </w:r>
    </w:p>
    <w:p w14:paraId="25F57DB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b w:val="0"/>
          <w:bCs w:val="0"/>
          <w:iCs/>
          <w:kern w:val="0"/>
          <w:sz w:val="24"/>
          <w:szCs w:val="24"/>
          <w:lang w:val="en-US" w:eastAsia="zh-CN"/>
        </w:rPr>
      </w:pPr>
      <w:r>
        <w:rPr>
          <w:rFonts w:hint="eastAsia" w:asciiTheme="minorEastAsia" w:hAnsiTheme="minorEastAsia" w:eastAsiaTheme="minorEastAsia" w:cstheme="minorEastAsia"/>
          <w:b w:val="0"/>
          <w:bCs w:val="0"/>
          <w:iCs/>
          <w:kern w:val="0"/>
          <w:sz w:val="24"/>
          <w:szCs w:val="24"/>
          <w:lang w:val="en-US" w:eastAsia="zh-CN"/>
        </w:rPr>
        <w:t>5.进场材料设备以次充好、参数不达标、认证文件虚假的，成交供应商须无条件更换合格产品，工期不予顺延，并承担由此造成的全部损失；情节严重的，采购人有权解除合同。</w:t>
      </w:r>
    </w:p>
    <w:p w14:paraId="64740B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Theme="minorEastAsia" w:hAnsiTheme="minorEastAsia" w:eastAsiaTheme="minorEastAsia" w:cstheme="minorEastAsia"/>
          <w:b/>
          <w:color w:val="000000"/>
          <w:kern w:val="2"/>
          <w:sz w:val="24"/>
          <w:szCs w:val="24"/>
          <w:lang w:val="en-US" w:eastAsia="zh-CN" w:bidi="ar-SA"/>
        </w:rPr>
      </w:pPr>
      <w:r>
        <w:rPr>
          <w:rFonts w:hint="eastAsia" w:asciiTheme="minorEastAsia" w:hAnsiTheme="minorEastAsia" w:eastAsiaTheme="minorEastAsia" w:cstheme="minorEastAsia"/>
          <w:b/>
          <w:color w:val="000000"/>
          <w:kern w:val="2"/>
          <w:sz w:val="24"/>
          <w:szCs w:val="24"/>
          <w:lang w:val="en-US" w:eastAsia="zh-CN" w:bidi="ar-SA"/>
        </w:rPr>
        <w:t>五、政府采购政策落实要求</w:t>
      </w:r>
    </w:p>
    <w:p w14:paraId="2D22CE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lang w:val="en-US" w:eastAsia="zh-CN" w:bidi="ar"/>
        </w:rPr>
        <w:t>本项目严格执行国家及湖南省政府采购相关政策，落实以下政策功能：</w:t>
      </w:r>
    </w:p>
    <w:p w14:paraId="59C8AB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1.</w:t>
      </w:r>
      <w:r>
        <w:rPr>
          <w:rFonts w:hint="eastAsia" w:asciiTheme="minorEastAsia" w:hAnsiTheme="minorEastAsia" w:eastAsiaTheme="minorEastAsia" w:cstheme="minorEastAsia"/>
          <w:color w:val="000000"/>
          <w:sz w:val="24"/>
          <w:szCs w:val="24"/>
        </w:rPr>
        <w:t>本项目落实《政府采购促进中小企业发展管理办法》，</w:t>
      </w:r>
      <w:r>
        <w:rPr>
          <w:rFonts w:hint="eastAsia" w:asciiTheme="minorEastAsia" w:hAnsiTheme="minorEastAsia" w:eastAsiaTheme="minorEastAsia" w:cstheme="minorEastAsia"/>
          <w:color w:val="000000"/>
          <w:sz w:val="24"/>
          <w:szCs w:val="24"/>
          <w:lang w:val="en-US" w:eastAsia="zh-CN"/>
        </w:rPr>
        <w:t>专门面向小微企业采购</w:t>
      </w:r>
      <w:r>
        <w:rPr>
          <w:rFonts w:hint="eastAsia" w:asciiTheme="minorEastAsia" w:hAnsiTheme="minorEastAsia" w:eastAsiaTheme="minorEastAsia" w:cstheme="minorEastAsia"/>
          <w:color w:val="000000"/>
          <w:sz w:val="24"/>
          <w:szCs w:val="24"/>
        </w:rPr>
        <w:t>；监狱企业、残疾人福利性单位视同小型、微型企业</w:t>
      </w:r>
      <w:r>
        <w:rPr>
          <w:rFonts w:hint="eastAsia" w:asciiTheme="minorEastAsia" w:hAnsiTheme="minorEastAsia" w:eastAsiaTheme="minorEastAsia" w:cstheme="minorEastAsia"/>
          <w:color w:val="000000"/>
          <w:sz w:val="24"/>
          <w:szCs w:val="24"/>
          <w:lang w:eastAsia="zh-CN"/>
        </w:rPr>
        <w:t>，供应商须出具对应声明函</w:t>
      </w:r>
      <w:r>
        <w:rPr>
          <w:rFonts w:hint="eastAsia" w:asciiTheme="minorEastAsia" w:hAnsiTheme="minorEastAsia" w:eastAsiaTheme="minorEastAsia" w:cstheme="minorEastAsia"/>
          <w:color w:val="000000"/>
          <w:sz w:val="24"/>
          <w:szCs w:val="24"/>
        </w:rPr>
        <w:t>。</w:t>
      </w:r>
    </w:p>
    <w:p w14:paraId="776C1B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2.</w:t>
      </w:r>
      <w:r>
        <w:rPr>
          <w:rFonts w:hint="eastAsia" w:asciiTheme="minorEastAsia" w:hAnsiTheme="minorEastAsia" w:eastAsiaTheme="minorEastAsia" w:cstheme="minorEastAsia"/>
          <w:color w:val="000000"/>
          <w:sz w:val="24"/>
          <w:szCs w:val="24"/>
        </w:rPr>
        <w:t>属于《节能产品政府采购品目清单》强制采购范围的产品</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须全部选用具有有效节能产品认证证书的产品；其余节能产品实行优先采购。</w:t>
      </w:r>
    </w:p>
    <w:p w14:paraId="494084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3.</w:t>
      </w:r>
      <w:r>
        <w:rPr>
          <w:rFonts w:hint="eastAsia" w:asciiTheme="minorEastAsia" w:hAnsiTheme="minorEastAsia" w:eastAsiaTheme="minorEastAsia" w:cstheme="minorEastAsia"/>
          <w:color w:val="000000"/>
          <w:sz w:val="24"/>
          <w:szCs w:val="24"/>
        </w:rPr>
        <w:t>优先采购列入《环境标志产品政府采购品目清单》的产品，包括内墙涂料、防水材料、陶瓷砖、硅PU面层材料等，降低环境污染，符合校园环保要求。</w:t>
      </w:r>
    </w:p>
    <w:p w14:paraId="11FDE211">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六、其他要求</w:t>
      </w:r>
    </w:p>
    <w:p w14:paraId="78329B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1.</w:t>
      </w:r>
      <w:r>
        <w:rPr>
          <w:rFonts w:hint="eastAsia" w:asciiTheme="minorEastAsia" w:hAnsiTheme="minorEastAsia" w:eastAsiaTheme="minorEastAsia" w:cstheme="minorEastAsia"/>
          <w:color w:val="000000"/>
          <w:sz w:val="24"/>
          <w:szCs w:val="24"/>
        </w:rPr>
        <w:t>施工全过程须服从采购人统一管理，严格遵守校园各项管理规定，在指定作业区域内开展施工，不得影响学校正常教育教学秩序。</w:t>
      </w:r>
    </w:p>
    <w:p w14:paraId="706602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2.</w:t>
      </w:r>
      <w:r>
        <w:rPr>
          <w:rFonts w:hint="eastAsia" w:asciiTheme="minorEastAsia" w:hAnsiTheme="minorEastAsia" w:eastAsiaTheme="minorEastAsia" w:cstheme="minorEastAsia"/>
          <w:color w:val="000000"/>
          <w:sz w:val="24"/>
          <w:szCs w:val="24"/>
        </w:rPr>
        <w:t>采购人在开标前不统一组织现场踏勘，供应商自行踏勘现场，了解项目的详细情况，有关费用自理，踏勘期间发生的意外自负。</w:t>
      </w:r>
    </w:p>
    <w:p w14:paraId="6316C4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3.</w:t>
      </w:r>
      <w:r>
        <w:rPr>
          <w:rFonts w:hint="eastAsia" w:asciiTheme="minorEastAsia" w:hAnsiTheme="minorEastAsia" w:eastAsiaTheme="minorEastAsia" w:cstheme="minorEastAsia"/>
          <w:color w:val="000000"/>
          <w:sz w:val="24"/>
          <w:szCs w:val="24"/>
        </w:rPr>
        <w:t>合同履行发生争议的，双方优先友好协商解决；协商不成的，可向项目所在地人民法院提起诉讼；争议处理期间，无争议部分合同条款须继续履行。</w:t>
      </w:r>
    </w:p>
    <w:p w14:paraId="25CA08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t>4.</w:t>
      </w:r>
      <w:r>
        <w:rPr>
          <w:rFonts w:hint="eastAsia" w:asciiTheme="minorEastAsia" w:hAnsiTheme="minorEastAsia" w:eastAsiaTheme="minorEastAsia" w:cstheme="minorEastAsia"/>
          <w:color w:val="000000"/>
          <w:sz w:val="24"/>
          <w:szCs w:val="24"/>
        </w:rPr>
        <w:t>本采购需求未尽事项，按国家现行法律法规、行业规范标准、湖南省及岳阳县建设工程与财政资金管理相关规定，以及双方签订的正式施工合同执行。</w:t>
      </w:r>
    </w:p>
    <w:p w14:paraId="43383368">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bidi="ar"/>
        </w:rPr>
        <w:t>注：对于上述项目要求，供应商应在响应文件中逐一回应，作出明确承诺及说明。</w:t>
      </w:r>
    </w:p>
    <w:p w14:paraId="08E62A05">
      <w:pPr>
        <w:rPr>
          <w:rFonts w:hint="eastAsia" w:hAnsi="宋体"/>
          <w:b/>
          <w:bCs/>
          <w:color w:val="auto"/>
          <w:szCs w:val="21"/>
        </w:rPr>
      </w:pPr>
      <w:r>
        <w:rPr>
          <w:rFonts w:hint="eastAsia" w:hAnsi="宋体"/>
          <w:b/>
          <w:bCs/>
          <w:color w:val="auto"/>
          <w:szCs w:val="21"/>
        </w:rPr>
        <w:br w:type="page"/>
      </w:r>
    </w:p>
    <w:p w14:paraId="486F9908">
      <w:pPr>
        <w:keepNext/>
        <w:adjustRightInd w:val="0"/>
        <w:snapToGrid w:val="0"/>
        <w:spacing w:before="156" w:beforeLines="50" w:line="360" w:lineRule="auto"/>
        <w:ind w:left="0" w:leftChars="0" w:firstLine="0" w:firstLineChars="0"/>
        <w:jc w:val="center"/>
        <w:outlineLvl w:val="0"/>
        <w:rPr>
          <w:rFonts w:hint="eastAsia" w:ascii="黑体" w:hAnsi="黑体" w:eastAsia="黑体" w:cs="黑体"/>
          <w:b/>
          <w:bCs/>
          <w:color w:val="auto"/>
          <w:sz w:val="32"/>
          <w:szCs w:val="32"/>
          <w:lang w:val="en-US" w:eastAsia="zh-CN"/>
        </w:rPr>
      </w:pPr>
      <w:bookmarkStart w:id="156" w:name="_Toc4352"/>
      <w:r>
        <w:rPr>
          <w:rFonts w:hint="eastAsia" w:ascii="黑体" w:hAnsi="黑体" w:eastAsia="黑体" w:cs="黑体"/>
          <w:b/>
          <w:bCs/>
          <w:color w:val="auto"/>
          <w:sz w:val="32"/>
          <w:szCs w:val="32"/>
          <w:lang w:val="en-US" w:eastAsia="zh-CN"/>
        </w:rPr>
        <w:t>第五章 响应文件组成</w:t>
      </w:r>
      <w:bookmarkEnd w:id="151"/>
      <w:bookmarkEnd w:id="152"/>
      <w:bookmarkEnd w:id="153"/>
      <w:bookmarkEnd w:id="154"/>
      <w:bookmarkEnd w:id="155"/>
      <w:bookmarkEnd w:id="156"/>
    </w:p>
    <w:p w14:paraId="6E275F8A">
      <w:pPr>
        <w:rPr>
          <w:rFonts w:hint="default" w:ascii="Times New Roman" w:hAnsi="Times New Roman" w:cs="Times New Roman"/>
          <w:lang w:val="en-US" w:eastAsia="zh-CN"/>
        </w:rPr>
      </w:pPr>
    </w:p>
    <w:p w14:paraId="0CD769FB">
      <w:pPr>
        <w:jc w:val="center"/>
        <w:outlineLvl w:val="9"/>
        <w:rPr>
          <w:rFonts w:hint="default" w:ascii="Times New Roman" w:hAnsi="Times New Roman" w:eastAsia="黑体" w:cs="Times New Roman"/>
          <w:b w:val="0"/>
          <w:bCs w:val="0"/>
          <w:sz w:val="28"/>
          <w:szCs w:val="28"/>
          <w:lang w:val="en-US" w:eastAsia="zh-CN"/>
        </w:rPr>
      </w:pPr>
      <w:bookmarkStart w:id="157" w:name="_Toc21932"/>
      <w:r>
        <w:rPr>
          <w:rFonts w:hint="default" w:ascii="Times New Roman" w:hAnsi="Times New Roman" w:eastAsia="黑体" w:cs="Times New Roman"/>
          <w:b w:val="0"/>
          <w:bCs w:val="0"/>
          <w:sz w:val="28"/>
          <w:szCs w:val="28"/>
          <w:lang w:val="en-US" w:eastAsia="zh-CN"/>
        </w:rPr>
        <w:t>目  录</w:t>
      </w:r>
      <w:bookmarkEnd w:id="157"/>
    </w:p>
    <w:p w14:paraId="3433D6BB">
      <w:pPr>
        <w:outlineLvl w:val="9"/>
        <w:rPr>
          <w:rFonts w:hint="default" w:ascii="Times New Roman" w:hAnsi="Times New Roman" w:cs="Times New Roman"/>
        </w:rPr>
      </w:pPr>
    </w:p>
    <w:p w14:paraId="702C5DBF">
      <w:pPr>
        <w:spacing w:line="360" w:lineRule="auto"/>
        <w:outlineLvl w:val="9"/>
        <w:rPr>
          <w:rFonts w:hint="default" w:ascii="Times New Roman" w:hAnsi="Times New Roman" w:cs="Times New Roman"/>
        </w:rPr>
      </w:pPr>
      <w:r>
        <w:rPr>
          <w:rFonts w:hint="default" w:ascii="Times New Roman" w:hAnsi="Times New Roman" w:cs="Times New Roman"/>
        </w:rPr>
        <w:t>供应商的响应文件应包含以下部分：</w:t>
      </w:r>
    </w:p>
    <w:p w14:paraId="08B9DC51">
      <w:pPr>
        <w:adjustRightInd w:val="0"/>
        <w:snapToGrid w:val="0"/>
        <w:spacing w:line="360" w:lineRule="auto"/>
        <w:jc w:val="left"/>
        <w:outlineLvl w:val="9"/>
        <w:rPr>
          <w:rFonts w:hint="default" w:ascii="Times New Roman" w:hAnsi="Times New Roman" w:cs="Times New Roman"/>
          <w:b/>
          <w:szCs w:val="21"/>
        </w:rPr>
      </w:pPr>
      <w:bookmarkStart w:id="158" w:name="_Toc16289"/>
      <w:bookmarkStart w:id="159" w:name="_Toc4014"/>
      <w:bookmarkStart w:id="160" w:name="_Toc15866"/>
      <w:r>
        <w:rPr>
          <w:rFonts w:hint="default" w:ascii="Times New Roman" w:hAnsi="Times New Roman" w:cs="Times New Roman"/>
          <w:b/>
          <w:szCs w:val="21"/>
        </w:rPr>
        <w:t>一、磋商响应声明</w:t>
      </w:r>
      <w:bookmarkEnd w:id="158"/>
      <w:bookmarkEnd w:id="159"/>
      <w:bookmarkEnd w:id="160"/>
    </w:p>
    <w:p w14:paraId="04E3A08C">
      <w:pPr>
        <w:pStyle w:val="24"/>
        <w:adjustRightInd w:val="0"/>
        <w:snapToGrid w:val="0"/>
        <w:spacing w:line="360" w:lineRule="auto"/>
        <w:ind w:firstLine="435"/>
        <w:outlineLvl w:val="9"/>
        <w:rPr>
          <w:rFonts w:hint="eastAsia" w:ascii="宋体" w:hAnsi="宋体" w:eastAsia="宋体" w:cs="宋体"/>
        </w:rPr>
      </w:pPr>
      <w:bookmarkStart w:id="161" w:name="_Toc10219"/>
      <w:bookmarkStart w:id="162" w:name="_Toc21438"/>
      <w:r>
        <w:rPr>
          <w:rFonts w:hint="eastAsia" w:ascii="宋体" w:hAnsi="宋体" w:eastAsia="宋体" w:cs="宋体"/>
        </w:rPr>
        <w:t>附件1</w:t>
      </w:r>
      <w:r>
        <w:rPr>
          <w:rFonts w:hint="eastAsia" w:ascii="宋体" w:hAnsi="宋体" w:eastAsia="宋体" w:cs="宋体"/>
          <w:lang w:val="en-US" w:eastAsia="zh-CN"/>
        </w:rPr>
        <w:t xml:space="preserve">-1 </w:t>
      </w:r>
      <w:r>
        <w:rPr>
          <w:rFonts w:hint="eastAsia" w:ascii="宋体" w:hAnsi="宋体" w:eastAsia="宋体" w:cs="宋体"/>
        </w:rPr>
        <w:t>法定代表人身份证明</w:t>
      </w:r>
      <w:bookmarkEnd w:id="161"/>
      <w:bookmarkEnd w:id="162"/>
    </w:p>
    <w:p w14:paraId="57643925">
      <w:pPr>
        <w:pStyle w:val="24"/>
        <w:adjustRightInd w:val="0"/>
        <w:snapToGrid w:val="0"/>
        <w:spacing w:line="360" w:lineRule="auto"/>
        <w:ind w:firstLine="435"/>
        <w:outlineLvl w:val="9"/>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w:t>
      </w:r>
      <w:r>
        <w:rPr>
          <w:rFonts w:hint="eastAsia" w:ascii="宋体" w:hAnsi="宋体" w:eastAsia="宋体" w:cs="宋体"/>
        </w:rPr>
        <w:t>2</w:t>
      </w:r>
      <w:r>
        <w:rPr>
          <w:rFonts w:hint="eastAsia" w:ascii="宋体" w:hAnsi="宋体" w:eastAsia="宋体" w:cs="宋体"/>
          <w:lang w:val="en-US" w:eastAsia="zh-CN"/>
        </w:rPr>
        <w:t xml:space="preserve"> </w:t>
      </w:r>
      <w:r>
        <w:rPr>
          <w:rFonts w:hint="eastAsia" w:ascii="宋体" w:hAnsi="宋体" w:eastAsia="宋体" w:cs="宋体"/>
        </w:rPr>
        <w:t>法定代表人授权委托书</w:t>
      </w:r>
    </w:p>
    <w:p w14:paraId="5872F98B">
      <w:pPr>
        <w:pStyle w:val="232"/>
        <w:numPr>
          <w:ilvl w:val="0"/>
          <w:numId w:val="0"/>
        </w:numPr>
        <w:adjustRightInd w:val="0"/>
        <w:snapToGrid w:val="0"/>
        <w:spacing w:line="360" w:lineRule="auto"/>
        <w:ind w:leftChars="0" w:firstLine="422" w:firstLineChars="200"/>
        <w:jc w:val="left"/>
        <w:outlineLvl w:val="9"/>
        <w:rPr>
          <w:rFonts w:hint="eastAsia" w:ascii="宋体" w:hAnsi="宋体" w:eastAsia="宋体" w:cs="宋体"/>
          <w:b/>
          <w:szCs w:val="21"/>
        </w:rPr>
      </w:pPr>
      <w:bookmarkStart w:id="163" w:name="_Toc1490"/>
      <w:bookmarkStart w:id="164" w:name="_Toc10118"/>
      <w:bookmarkStart w:id="165" w:name="_Toc9528"/>
      <w:r>
        <w:rPr>
          <w:rFonts w:hint="eastAsia" w:ascii="宋体" w:hAnsi="宋体" w:eastAsia="宋体" w:cs="宋体"/>
          <w:b/>
          <w:szCs w:val="21"/>
          <w:lang w:val="en-US" w:eastAsia="zh-CN"/>
        </w:rPr>
        <w:t>二、</w:t>
      </w:r>
      <w:r>
        <w:rPr>
          <w:rFonts w:hint="eastAsia" w:ascii="宋体" w:hAnsi="宋体" w:eastAsia="宋体" w:cs="宋体"/>
          <w:b/>
          <w:szCs w:val="21"/>
        </w:rPr>
        <w:t>磋商保证金缴纳证明材料</w:t>
      </w:r>
      <w:bookmarkEnd w:id="163"/>
      <w:bookmarkEnd w:id="164"/>
      <w:bookmarkEnd w:id="165"/>
    </w:p>
    <w:p w14:paraId="534992C8">
      <w:pPr>
        <w:adjustRightInd w:val="0"/>
        <w:snapToGrid w:val="0"/>
        <w:spacing w:line="360" w:lineRule="auto"/>
        <w:jc w:val="left"/>
        <w:outlineLvl w:val="9"/>
        <w:rPr>
          <w:rFonts w:hint="eastAsia" w:ascii="宋体" w:hAnsi="宋体" w:eastAsia="宋体" w:cs="宋体"/>
          <w:b/>
          <w:szCs w:val="21"/>
        </w:rPr>
      </w:pPr>
      <w:bookmarkStart w:id="166" w:name="_Toc30954"/>
      <w:bookmarkStart w:id="167" w:name="_Toc21014"/>
      <w:bookmarkStart w:id="168" w:name="_Toc1597"/>
      <w:r>
        <w:rPr>
          <w:rFonts w:hint="eastAsia" w:ascii="宋体" w:hAnsi="宋体" w:eastAsia="宋体" w:cs="宋体"/>
          <w:b/>
          <w:szCs w:val="21"/>
        </w:rPr>
        <w:t>三、供应商的资格证明资料</w:t>
      </w:r>
      <w:bookmarkEnd w:id="166"/>
      <w:bookmarkEnd w:id="167"/>
      <w:bookmarkEnd w:id="168"/>
    </w:p>
    <w:p w14:paraId="061F5F68">
      <w:pPr>
        <w:pStyle w:val="24"/>
        <w:adjustRightInd w:val="0"/>
        <w:snapToGrid w:val="0"/>
        <w:spacing w:line="360" w:lineRule="auto"/>
        <w:ind w:firstLine="435"/>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2</w:t>
      </w:r>
      <w:r>
        <w:rPr>
          <w:rFonts w:hint="eastAsia" w:ascii="宋体" w:hAnsi="宋体" w:eastAsia="宋体" w:cs="宋体"/>
          <w:lang w:val="en-US" w:eastAsia="zh-CN"/>
        </w:rPr>
        <w:t>-1</w:t>
      </w:r>
      <w:r>
        <w:rPr>
          <w:rFonts w:hint="eastAsia" w:ascii="宋体" w:hAnsi="宋体" w:eastAsia="宋体" w:cs="宋体"/>
          <w:lang w:eastAsia="zh-CN"/>
        </w:rPr>
        <w:t xml:space="preserve"> </w:t>
      </w:r>
      <w:r>
        <w:rPr>
          <w:rFonts w:hint="eastAsia" w:ascii="宋体" w:hAnsi="宋体" w:eastAsia="宋体" w:cs="宋体"/>
        </w:rPr>
        <w:t>供应商基本情况表</w:t>
      </w:r>
    </w:p>
    <w:p w14:paraId="2DB17EFE">
      <w:pPr>
        <w:pStyle w:val="24"/>
        <w:adjustRightInd w:val="0"/>
        <w:snapToGrid w:val="0"/>
        <w:spacing w:line="360" w:lineRule="auto"/>
        <w:ind w:firstLine="420" w:firstLineChars="200"/>
        <w:outlineLvl w:val="9"/>
        <w:rPr>
          <w:rFonts w:hint="eastAsia" w:ascii="宋体" w:hAnsi="宋体" w:eastAsia="宋体" w:cs="宋体"/>
        </w:rPr>
      </w:pPr>
      <w:bookmarkStart w:id="169" w:name="_Toc25635"/>
      <w:bookmarkStart w:id="170" w:name="_Toc23367"/>
      <w:r>
        <w:rPr>
          <w:rFonts w:hint="eastAsia" w:ascii="宋体" w:hAnsi="宋体" w:eastAsia="宋体" w:cs="宋体"/>
        </w:rPr>
        <w:t>附件</w:t>
      </w:r>
      <w:r>
        <w:rPr>
          <w:rFonts w:hint="eastAsia" w:hAnsi="宋体" w:cs="宋体"/>
          <w:lang w:val="en-US" w:eastAsia="zh-CN"/>
        </w:rPr>
        <w:t>2</w:t>
      </w:r>
      <w:r>
        <w:rPr>
          <w:rFonts w:hint="eastAsia" w:ascii="宋体" w:hAnsi="宋体" w:eastAsia="宋体" w:cs="宋体"/>
          <w:lang w:val="en-US" w:eastAsia="zh-CN"/>
        </w:rPr>
        <w:t>-2</w:t>
      </w:r>
      <w:r>
        <w:rPr>
          <w:rFonts w:hint="eastAsia" w:ascii="宋体" w:hAnsi="宋体" w:eastAsia="宋体" w:cs="宋体"/>
          <w:lang w:eastAsia="zh-CN"/>
        </w:rPr>
        <w:t xml:space="preserve"> </w:t>
      </w:r>
      <w:r>
        <w:rPr>
          <w:rFonts w:hint="eastAsia" w:ascii="宋体" w:hAnsi="宋体" w:eastAsia="宋体" w:cs="宋体"/>
        </w:rPr>
        <w:t>磋商文件规定的基本资格条件证明资料</w:t>
      </w:r>
      <w:bookmarkEnd w:id="169"/>
      <w:bookmarkEnd w:id="170"/>
    </w:p>
    <w:p w14:paraId="08D6FECD">
      <w:pPr>
        <w:pStyle w:val="24"/>
        <w:adjustRightInd w:val="0"/>
        <w:snapToGrid w:val="0"/>
        <w:spacing w:line="360" w:lineRule="auto"/>
        <w:ind w:firstLine="420" w:firstLineChars="200"/>
        <w:outlineLvl w:val="9"/>
        <w:rPr>
          <w:rFonts w:hint="eastAsia" w:ascii="宋体" w:hAnsi="宋体" w:eastAsia="宋体" w:cs="宋体"/>
          <w:sz w:val="20"/>
          <w:szCs w:val="20"/>
        </w:rPr>
      </w:pPr>
      <w:r>
        <w:rPr>
          <w:rFonts w:hint="eastAsia" w:ascii="宋体" w:hAnsi="宋体" w:eastAsia="宋体" w:cs="宋体"/>
        </w:rPr>
        <w:t>附件</w:t>
      </w:r>
      <w:r>
        <w:rPr>
          <w:rFonts w:hint="eastAsia" w:hAnsi="宋体" w:cs="宋体"/>
          <w:lang w:val="en-US" w:eastAsia="zh-CN"/>
        </w:rPr>
        <w:t>2</w:t>
      </w:r>
      <w:r>
        <w:rPr>
          <w:rFonts w:hint="eastAsia" w:ascii="宋体" w:hAnsi="宋体" w:eastAsia="宋体" w:cs="宋体"/>
          <w:lang w:val="en-US" w:eastAsia="zh-CN"/>
        </w:rPr>
        <w:t>-3</w:t>
      </w:r>
      <w:r>
        <w:rPr>
          <w:rFonts w:hint="eastAsia" w:ascii="宋体" w:hAnsi="宋体" w:eastAsia="宋体" w:cs="宋体"/>
          <w:lang w:eastAsia="zh-CN"/>
        </w:rPr>
        <w:t xml:space="preserve"> </w:t>
      </w:r>
      <w:r>
        <w:rPr>
          <w:rFonts w:hint="eastAsia" w:ascii="宋体" w:hAnsi="宋体" w:eastAsia="宋体" w:cs="宋体"/>
        </w:rPr>
        <w:t>湖南省政府采购供应商资格承诺函</w:t>
      </w:r>
    </w:p>
    <w:p w14:paraId="3005A766">
      <w:pPr>
        <w:pStyle w:val="24"/>
        <w:adjustRightInd w:val="0"/>
        <w:snapToGrid w:val="0"/>
        <w:spacing w:line="360" w:lineRule="auto"/>
        <w:ind w:firstLine="435"/>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2</w:t>
      </w:r>
      <w:r>
        <w:rPr>
          <w:rFonts w:hint="eastAsia" w:ascii="宋体" w:hAnsi="宋体" w:eastAsia="宋体" w:cs="宋体"/>
          <w:lang w:val="en-US" w:eastAsia="zh-CN"/>
        </w:rPr>
        <w:t>-4</w:t>
      </w:r>
      <w:r>
        <w:rPr>
          <w:rFonts w:hint="eastAsia" w:ascii="宋体" w:hAnsi="宋体" w:eastAsia="宋体" w:cs="宋体"/>
          <w:lang w:eastAsia="zh-CN"/>
        </w:rPr>
        <w:t xml:space="preserve"> </w:t>
      </w:r>
      <w:r>
        <w:rPr>
          <w:rFonts w:hint="eastAsia" w:ascii="宋体" w:hAnsi="宋体" w:eastAsia="宋体" w:cs="宋体"/>
        </w:rPr>
        <w:t>磋商文件规定的特定资格条件证明资料</w:t>
      </w:r>
    </w:p>
    <w:p w14:paraId="0D764834">
      <w:pPr>
        <w:pStyle w:val="24"/>
        <w:adjustRightInd w:val="0"/>
        <w:snapToGrid w:val="0"/>
        <w:spacing w:line="360" w:lineRule="auto"/>
        <w:ind w:firstLine="435"/>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2</w:t>
      </w:r>
      <w:r>
        <w:rPr>
          <w:rFonts w:hint="eastAsia" w:ascii="宋体" w:hAnsi="宋体" w:eastAsia="宋体" w:cs="宋体"/>
          <w:lang w:val="en-US" w:eastAsia="zh-CN"/>
        </w:rPr>
        <w:t>-5</w:t>
      </w:r>
      <w:r>
        <w:rPr>
          <w:rFonts w:hint="eastAsia" w:ascii="宋体" w:hAnsi="宋体" w:eastAsia="宋体" w:cs="宋体"/>
          <w:lang w:eastAsia="zh-CN"/>
        </w:rPr>
        <w:t xml:space="preserve"> </w:t>
      </w:r>
      <w:r>
        <w:rPr>
          <w:rFonts w:hint="eastAsia" w:ascii="宋体" w:hAnsi="宋体" w:eastAsia="宋体" w:cs="宋体"/>
        </w:rPr>
        <w:t>其他说明</w:t>
      </w:r>
    </w:p>
    <w:p w14:paraId="67A6321E">
      <w:pPr>
        <w:pStyle w:val="24"/>
        <w:adjustRightInd w:val="0"/>
        <w:snapToGrid w:val="0"/>
        <w:spacing w:line="360" w:lineRule="auto"/>
        <w:outlineLvl w:val="9"/>
        <w:rPr>
          <w:rFonts w:hint="eastAsia" w:ascii="宋体" w:hAnsi="宋体" w:eastAsia="宋体" w:cs="宋体"/>
          <w:b/>
        </w:rPr>
      </w:pPr>
      <w:bookmarkStart w:id="171" w:name="_Toc28942"/>
      <w:bookmarkStart w:id="172" w:name="_Toc29560"/>
      <w:bookmarkStart w:id="173" w:name="_Toc11062"/>
      <w:r>
        <w:rPr>
          <w:rFonts w:hint="eastAsia" w:ascii="宋体" w:hAnsi="宋体" w:eastAsia="宋体" w:cs="宋体"/>
          <w:b/>
        </w:rPr>
        <w:t>四、</w:t>
      </w:r>
      <w:bookmarkEnd w:id="171"/>
      <w:bookmarkEnd w:id="172"/>
      <w:bookmarkEnd w:id="173"/>
      <w:r>
        <w:rPr>
          <w:rFonts w:hint="eastAsia" w:hAnsi="宋体" w:cs="宋体"/>
          <w:b/>
          <w:lang w:val="en-US" w:eastAsia="zh-CN"/>
        </w:rPr>
        <w:t>施工实施方案</w:t>
      </w:r>
    </w:p>
    <w:p w14:paraId="39392EDA">
      <w:pPr>
        <w:pStyle w:val="24"/>
        <w:adjustRightInd w:val="0"/>
        <w:snapToGrid w:val="0"/>
        <w:spacing w:line="360" w:lineRule="auto"/>
        <w:ind w:firstLine="435"/>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3</w:t>
      </w:r>
      <w:r>
        <w:rPr>
          <w:rFonts w:hint="eastAsia" w:ascii="宋体" w:hAnsi="宋体" w:eastAsia="宋体" w:cs="宋体"/>
          <w:lang w:eastAsia="zh-CN"/>
        </w:rPr>
        <w:t xml:space="preserve"> </w:t>
      </w:r>
      <w:r>
        <w:rPr>
          <w:rFonts w:hint="eastAsia" w:ascii="宋体" w:hAnsi="宋体" w:eastAsia="宋体" w:cs="宋体"/>
        </w:rPr>
        <w:t>主要人员简历表</w:t>
      </w:r>
    </w:p>
    <w:p w14:paraId="6FF37648">
      <w:pPr>
        <w:adjustRightInd w:val="0"/>
        <w:snapToGrid w:val="0"/>
        <w:spacing w:line="360" w:lineRule="auto"/>
        <w:jc w:val="left"/>
        <w:outlineLvl w:val="9"/>
        <w:rPr>
          <w:rFonts w:hint="eastAsia" w:ascii="宋体" w:hAnsi="宋体" w:eastAsia="宋体" w:cs="宋体"/>
          <w:b/>
          <w:szCs w:val="21"/>
        </w:rPr>
      </w:pPr>
      <w:bookmarkStart w:id="174" w:name="_Toc6258"/>
      <w:bookmarkStart w:id="175" w:name="_Toc6498"/>
      <w:bookmarkStart w:id="176" w:name="_Toc1707"/>
      <w:r>
        <w:rPr>
          <w:rFonts w:hint="eastAsia" w:ascii="宋体" w:hAnsi="宋体" w:eastAsia="宋体" w:cs="宋体"/>
          <w:b/>
          <w:szCs w:val="21"/>
        </w:rPr>
        <w:t>五、技术/商务响应与偏离表</w:t>
      </w:r>
      <w:bookmarkEnd w:id="174"/>
      <w:bookmarkEnd w:id="175"/>
      <w:bookmarkEnd w:id="176"/>
    </w:p>
    <w:p w14:paraId="3185FB6B">
      <w:pPr>
        <w:adjustRightInd w:val="0"/>
        <w:snapToGrid w:val="0"/>
        <w:spacing w:line="360" w:lineRule="auto"/>
        <w:jc w:val="left"/>
        <w:outlineLvl w:val="9"/>
        <w:rPr>
          <w:rFonts w:hint="eastAsia" w:ascii="宋体" w:hAnsi="宋体" w:eastAsia="宋体" w:cs="宋体"/>
          <w:b/>
          <w:szCs w:val="21"/>
          <w:lang w:eastAsia="zh-CN"/>
        </w:rPr>
      </w:pPr>
      <w:bookmarkStart w:id="177" w:name="_Toc11500"/>
      <w:bookmarkStart w:id="178" w:name="_Toc6929"/>
      <w:bookmarkStart w:id="179" w:name="_Toc11552"/>
      <w:r>
        <w:rPr>
          <w:rFonts w:hint="eastAsia" w:ascii="宋体" w:hAnsi="宋体" w:eastAsia="宋体" w:cs="宋体"/>
          <w:b/>
          <w:szCs w:val="21"/>
        </w:rPr>
        <w:t>六、</w:t>
      </w:r>
      <w:bookmarkEnd w:id="177"/>
      <w:bookmarkEnd w:id="178"/>
      <w:bookmarkEnd w:id="179"/>
      <w:r>
        <w:rPr>
          <w:rFonts w:hint="eastAsia" w:cs="宋体"/>
          <w:b/>
          <w:szCs w:val="21"/>
          <w:lang w:eastAsia="zh-CN"/>
        </w:rPr>
        <w:t>享受政府采购政策优惠的证明资料</w:t>
      </w:r>
    </w:p>
    <w:p w14:paraId="585F258E">
      <w:pPr>
        <w:pStyle w:val="24"/>
        <w:adjustRightInd w:val="0"/>
        <w:snapToGrid w:val="0"/>
        <w:spacing w:line="360" w:lineRule="auto"/>
        <w:ind w:firstLine="420" w:firstLineChars="200"/>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4</w:t>
      </w:r>
      <w:r>
        <w:rPr>
          <w:rFonts w:hint="eastAsia" w:ascii="宋体" w:hAnsi="宋体" w:eastAsia="宋体" w:cs="宋体"/>
          <w:lang w:val="en-US" w:eastAsia="zh-CN"/>
        </w:rPr>
        <w:t>-1</w:t>
      </w:r>
      <w:r>
        <w:rPr>
          <w:rFonts w:hint="eastAsia" w:ascii="宋体" w:hAnsi="宋体" w:eastAsia="宋体" w:cs="宋体"/>
          <w:lang w:eastAsia="zh-CN"/>
        </w:rPr>
        <w:t xml:space="preserve"> </w:t>
      </w:r>
      <w:r>
        <w:rPr>
          <w:rFonts w:hint="eastAsia" w:ascii="宋体" w:hAnsi="宋体" w:eastAsia="宋体" w:cs="宋体"/>
        </w:rPr>
        <w:t>中小企业声明函</w:t>
      </w:r>
    </w:p>
    <w:p w14:paraId="4BAB2973">
      <w:pPr>
        <w:pStyle w:val="24"/>
        <w:adjustRightInd w:val="0"/>
        <w:snapToGrid w:val="0"/>
        <w:spacing w:line="360" w:lineRule="auto"/>
        <w:ind w:firstLine="420" w:firstLineChars="200"/>
        <w:outlineLvl w:val="9"/>
        <w:rPr>
          <w:rFonts w:hint="eastAsia" w:ascii="宋体" w:hAnsi="宋体" w:eastAsia="宋体" w:cs="宋体"/>
        </w:rPr>
      </w:pPr>
      <w:bookmarkStart w:id="180" w:name="_Toc20460"/>
      <w:bookmarkStart w:id="181" w:name="_Toc28748"/>
      <w:r>
        <w:rPr>
          <w:rFonts w:hint="eastAsia" w:ascii="宋体" w:hAnsi="宋体" w:eastAsia="宋体" w:cs="宋体"/>
        </w:rPr>
        <w:t>附件</w:t>
      </w:r>
      <w:r>
        <w:rPr>
          <w:rFonts w:hint="eastAsia" w:hAnsi="宋体" w:cs="宋体"/>
          <w:lang w:val="en-US" w:eastAsia="zh-CN"/>
        </w:rPr>
        <w:t>4</w:t>
      </w: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lang w:eastAsia="zh-CN"/>
        </w:rPr>
        <w:t xml:space="preserve"> </w:t>
      </w:r>
      <w:r>
        <w:rPr>
          <w:rFonts w:hint="eastAsia" w:ascii="宋体" w:hAnsi="宋体" w:eastAsia="宋体" w:cs="宋体"/>
        </w:rPr>
        <w:t>残疾人福利性单位声明函</w:t>
      </w:r>
      <w:bookmarkEnd w:id="180"/>
      <w:bookmarkEnd w:id="181"/>
    </w:p>
    <w:p w14:paraId="708DE510">
      <w:pPr>
        <w:pStyle w:val="24"/>
        <w:adjustRightInd w:val="0"/>
        <w:snapToGrid w:val="0"/>
        <w:spacing w:line="360" w:lineRule="auto"/>
        <w:ind w:firstLine="420" w:firstLineChars="200"/>
        <w:outlineLvl w:val="9"/>
        <w:rPr>
          <w:rFonts w:hint="eastAsia" w:ascii="宋体" w:hAnsi="宋体" w:eastAsia="宋体" w:cs="宋体"/>
        </w:rPr>
      </w:pPr>
      <w:bookmarkStart w:id="182" w:name="_Toc34637807"/>
      <w:r>
        <w:rPr>
          <w:rFonts w:hint="eastAsia" w:ascii="宋体" w:hAnsi="宋体" w:eastAsia="宋体" w:cs="宋体"/>
        </w:rPr>
        <w:t>附件</w:t>
      </w:r>
      <w:r>
        <w:rPr>
          <w:rFonts w:hint="eastAsia" w:hAnsi="宋体" w:cs="宋体"/>
          <w:lang w:val="en-US" w:eastAsia="zh-CN"/>
        </w:rPr>
        <w:t>4</w:t>
      </w: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lang w:eastAsia="zh-CN"/>
        </w:rPr>
        <w:t xml:space="preserve"> </w:t>
      </w:r>
      <w:r>
        <w:rPr>
          <w:rFonts w:hint="eastAsia" w:ascii="宋体" w:hAnsi="宋体" w:eastAsia="宋体" w:cs="宋体"/>
        </w:rPr>
        <w:t>监狱企业证明资料</w:t>
      </w:r>
      <w:bookmarkEnd w:id="182"/>
    </w:p>
    <w:p w14:paraId="4C84E607">
      <w:pPr>
        <w:adjustRightInd w:val="0"/>
        <w:snapToGrid w:val="0"/>
        <w:spacing w:line="360" w:lineRule="auto"/>
        <w:jc w:val="left"/>
        <w:outlineLvl w:val="9"/>
        <w:rPr>
          <w:rFonts w:hint="eastAsia" w:ascii="宋体" w:hAnsi="宋体" w:eastAsia="宋体" w:cs="宋体"/>
          <w:b/>
          <w:szCs w:val="21"/>
        </w:rPr>
      </w:pPr>
      <w:bookmarkStart w:id="183" w:name="_Toc26663"/>
      <w:bookmarkStart w:id="184" w:name="_Toc13925"/>
      <w:bookmarkStart w:id="185" w:name="_Toc17074"/>
      <w:r>
        <w:rPr>
          <w:rFonts w:hint="eastAsia" w:ascii="宋体" w:hAnsi="宋体" w:eastAsia="宋体" w:cs="宋体"/>
          <w:b/>
          <w:szCs w:val="21"/>
        </w:rPr>
        <w:t>七、报价一览表及分项价格表</w:t>
      </w:r>
      <w:bookmarkEnd w:id="183"/>
      <w:bookmarkEnd w:id="184"/>
      <w:bookmarkEnd w:id="185"/>
    </w:p>
    <w:p w14:paraId="6195BCFD">
      <w:pPr>
        <w:pStyle w:val="24"/>
        <w:adjustRightInd w:val="0"/>
        <w:snapToGrid w:val="0"/>
        <w:spacing w:line="360" w:lineRule="auto"/>
        <w:ind w:firstLine="420" w:firstLineChars="200"/>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5</w:t>
      </w:r>
      <w:r>
        <w:rPr>
          <w:rFonts w:hint="eastAsia" w:ascii="宋体" w:hAnsi="宋体" w:eastAsia="宋体" w:cs="宋体"/>
          <w:lang w:val="en-US" w:eastAsia="zh-CN"/>
        </w:rPr>
        <w:t>-1</w:t>
      </w:r>
      <w:r>
        <w:rPr>
          <w:rFonts w:hint="eastAsia" w:ascii="宋体" w:hAnsi="宋体" w:eastAsia="宋体" w:cs="宋体"/>
          <w:lang w:eastAsia="zh-CN"/>
        </w:rPr>
        <w:t xml:space="preserve"> </w:t>
      </w:r>
      <w:r>
        <w:rPr>
          <w:rFonts w:hint="eastAsia" w:ascii="宋体" w:hAnsi="宋体" w:eastAsia="宋体" w:cs="宋体"/>
        </w:rPr>
        <w:t>报价一览表</w:t>
      </w:r>
    </w:p>
    <w:p w14:paraId="5FF0D81C">
      <w:pPr>
        <w:pStyle w:val="24"/>
        <w:adjustRightInd w:val="0"/>
        <w:snapToGrid w:val="0"/>
        <w:spacing w:line="360" w:lineRule="auto"/>
        <w:ind w:firstLine="420" w:firstLineChars="200"/>
        <w:outlineLvl w:val="9"/>
        <w:rPr>
          <w:rFonts w:hint="eastAsia" w:ascii="宋体" w:hAnsi="宋体" w:eastAsia="宋体" w:cs="宋体"/>
        </w:rPr>
      </w:pPr>
      <w:r>
        <w:rPr>
          <w:rFonts w:hint="eastAsia" w:ascii="宋体" w:hAnsi="宋体" w:eastAsia="宋体" w:cs="宋体"/>
        </w:rPr>
        <w:t>附件</w:t>
      </w:r>
      <w:r>
        <w:rPr>
          <w:rFonts w:hint="eastAsia" w:hAnsi="宋体" w:cs="宋体"/>
          <w:lang w:val="en-US" w:eastAsia="zh-CN"/>
        </w:rPr>
        <w:t>5</w:t>
      </w:r>
      <w:r>
        <w:rPr>
          <w:rFonts w:hint="eastAsia" w:ascii="宋体" w:hAnsi="宋体" w:eastAsia="宋体" w:cs="宋体"/>
          <w:lang w:val="en-US" w:eastAsia="zh-CN"/>
        </w:rPr>
        <w:t>-2</w:t>
      </w:r>
      <w:r>
        <w:rPr>
          <w:rFonts w:hint="eastAsia" w:ascii="宋体" w:hAnsi="宋体" w:eastAsia="宋体" w:cs="宋体"/>
          <w:lang w:eastAsia="zh-CN"/>
        </w:rPr>
        <w:t xml:space="preserve"> </w:t>
      </w:r>
      <w:r>
        <w:rPr>
          <w:rFonts w:hint="eastAsia" w:ascii="宋体" w:hAnsi="宋体" w:eastAsia="宋体" w:cs="宋体"/>
        </w:rPr>
        <w:t>分项价格表</w:t>
      </w:r>
    </w:p>
    <w:p w14:paraId="3C8BE0BF">
      <w:pPr>
        <w:adjustRightInd w:val="0"/>
        <w:snapToGrid w:val="0"/>
        <w:spacing w:line="360" w:lineRule="auto"/>
        <w:jc w:val="left"/>
        <w:outlineLvl w:val="9"/>
        <w:rPr>
          <w:rFonts w:hint="default" w:ascii="Times New Roman" w:hAnsi="Times New Roman" w:cs="Times New Roman"/>
          <w:b/>
          <w:szCs w:val="21"/>
        </w:rPr>
      </w:pPr>
      <w:bookmarkStart w:id="186" w:name="_Toc31004"/>
      <w:bookmarkStart w:id="187" w:name="_Toc19721"/>
      <w:bookmarkStart w:id="188" w:name="_Toc29761"/>
      <w:r>
        <w:rPr>
          <w:rFonts w:hint="default" w:ascii="Times New Roman" w:hAnsi="Times New Roman" w:cs="Times New Roman"/>
          <w:b/>
          <w:szCs w:val="21"/>
        </w:rPr>
        <w:t>八、供应商认为需提供的其它资料</w:t>
      </w:r>
      <w:bookmarkEnd w:id="186"/>
      <w:bookmarkEnd w:id="187"/>
      <w:bookmarkEnd w:id="188"/>
    </w:p>
    <w:p w14:paraId="4404E434">
      <w:pPr>
        <w:adjustRightInd w:val="0"/>
        <w:snapToGrid w:val="0"/>
        <w:spacing w:line="360" w:lineRule="auto"/>
        <w:jc w:val="left"/>
        <w:outlineLvl w:val="9"/>
        <w:rPr>
          <w:rFonts w:hint="default" w:ascii="Times New Roman" w:hAnsi="Times New Roman" w:cs="Times New Roman"/>
          <w:b/>
          <w:szCs w:val="21"/>
        </w:rPr>
      </w:pPr>
      <w:bookmarkStart w:id="189" w:name="_Toc9730"/>
      <w:bookmarkStart w:id="190" w:name="_Toc12788"/>
      <w:bookmarkStart w:id="191" w:name="_Toc893"/>
      <w:r>
        <w:rPr>
          <w:rFonts w:hint="default" w:ascii="Times New Roman" w:hAnsi="Times New Roman" w:cs="Times New Roman"/>
          <w:b/>
          <w:szCs w:val="21"/>
        </w:rPr>
        <w:t>九、最后报价</w:t>
      </w:r>
      <w:bookmarkEnd w:id="189"/>
      <w:bookmarkEnd w:id="190"/>
      <w:bookmarkEnd w:id="191"/>
    </w:p>
    <w:p w14:paraId="1C42CFBD">
      <w:pPr>
        <w:pStyle w:val="43"/>
        <w:rPr>
          <w:rFonts w:hint="default" w:ascii="Times New Roman" w:hAnsi="Times New Roman" w:cs="Times New Roman"/>
          <w:b/>
          <w:szCs w:val="21"/>
        </w:rPr>
      </w:pPr>
    </w:p>
    <w:p w14:paraId="46A0CDF4">
      <w:pPr>
        <w:pStyle w:val="43"/>
        <w:rPr>
          <w:rFonts w:hint="default" w:ascii="Times New Roman" w:hAnsi="Times New Roman" w:cs="Times New Roman"/>
          <w:b/>
          <w:szCs w:val="21"/>
        </w:rPr>
        <w:sectPr>
          <w:headerReference r:id="rId7" w:type="default"/>
          <w:footerReference r:id="rId8" w:type="default"/>
          <w:pgSz w:w="11906" w:h="16838"/>
          <w:pgMar w:top="1474" w:right="1474" w:bottom="250" w:left="1588" w:header="851" w:footer="992" w:gutter="0"/>
          <w:pgBorders>
            <w:top w:val="none" w:sz="0" w:space="0"/>
            <w:left w:val="none" w:sz="0" w:space="0"/>
            <w:bottom w:val="none" w:sz="0" w:space="0"/>
            <w:right w:val="none" w:sz="0" w:space="0"/>
          </w:pgBorders>
          <w:pgNumType w:fmt="decimal"/>
          <w:cols w:space="720" w:num="1"/>
          <w:docGrid w:linePitch="312" w:charSpace="0"/>
        </w:sectPr>
      </w:pPr>
    </w:p>
    <w:p w14:paraId="6C8C300B">
      <w:pPr>
        <w:adjustRightInd w:val="0"/>
        <w:snapToGrid w:val="0"/>
        <w:spacing w:line="360" w:lineRule="auto"/>
        <w:ind w:firstLine="643" w:firstLineChars="200"/>
        <w:jc w:val="center"/>
        <w:rPr>
          <w:rFonts w:hint="default" w:ascii="Times New Roman" w:hAnsi="Times New Roman" w:eastAsia="黑体" w:cs="Times New Roman"/>
          <w:b/>
          <w:sz w:val="32"/>
          <w:szCs w:val="32"/>
        </w:rPr>
      </w:pPr>
    </w:p>
    <w:p w14:paraId="68EB09D6">
      <w:pPr>
        <w:rPr>
          <w:rFonts w:hint="default" w:ascii="Times New Roman" w:hAnsi="Times New Roman" w:cs="Times New Roman"/>
          <w:b/>
          <w:bCs/>
          <w:sz w:val="72"/>
          <w:szCs w:val="72"/>
        </w:rPr>
      </w:pPr>
    </w:p>
    <w:p w14:paraId="2031FCF3">
      <w:pPr>
        <w:pStyle w:val="24"/>
        <w:adjustRightInd w:val="0"/>
        <w:snapToGrid w:val="0"/>
        <w:spacing w:line="360" w:lineRule="auto"/>
        <w:ind w:left="0" w:leftChars="0" w:firstLine="0" w:firstLineChars="0"/>
        <w:jc w:val="center"/>
        <w:outlineLvl w:val="9"/>
        <w:rPr>
          <w:rFonts w:hint="default" w:ascii="Times New Roman" w:hAnsi="Times New Roman" w:cs="Times New Roman"/>
          <w:b/>
          <w:bCs/>
          <w:sz w:val="72"/>
          <w:szCs w:val="72"/>
        </w:rPr>
      </w:pPr>
      <w:bookmarkStart w:id="192" w:name="_Toc20796"/>
      <w:bookmarkStart w:id="193" w:name="_Toc2073"/>
      <w:bookmarkStart w:id="194" w:name="_Toc12780"/>
      <w:bookmarkStart w:id="195" w:name="_Toc30764"/>
      <w:bookmarkStart w:id="196" w:name="_Toc17206"/>
      <w:r>
        <w:rPr>
          <w:rFonts w:hint="default" w:ascii="Times New Roman" w:hAnsi="Times New Roman" w:cs="Times New Roman"/>
          <w:b/>
          <w:bCs/>
          <w:sz w:val="72"/>
          <w:szCs w:val="72"/>
        </w:rPr>
        <w:t>政府采购</w:t>
      </w:r>
      <w:bookmarkEnd w:id="192"/>
      <w:bookmarkEnd w:id="193"/>
      <w:bookmarkEnd w:id="194"/>
      <w:bookmarkEnd w:id="195"/>
      <w:bookmarkEnd w:id="196"/>
    </w:p>
    <w:p w14:paraId="79614945">
      <w:pPr>
        <w:adjustRightInd w:val="0"/>
        <w:snapToGrid w:val="0"/>
        <w:spacing w:line="360" w:lineRule="auto"/>
        <w:ind w:left="0" w:leftChars="0" w:firstLine="0" w:firstLineChars="0"/>
        <w:jc w:val="center"/>
        <w:outlineLvl w:val="9"/>
        <w:rPr>
          <w:rFonts w:hint="default" w:ascii="Times New Roman" w:hAnsi="Times New Roman" w:cs="Times New Roman"/>
          <w:b/>
          <w:bCs/>
          <w:sz w:val="84"/>
          <w:szCs w:val="84"/>
        </w:rPr>
      </w:pPr>
      <w:bookmarkStart w:id="197" w:name="_Toc18586"/>
      <w:bookmarkStart w:id="198" w:name="_Toc1543"/>
      <w:bookmarkStart w:id="199" w:name="_Toc14509"/>
      <w:bookmarkStart w:id="200" w:name="_Toc19368"/>
      <w:bookmarkStart w:id="201" w:name="_Toc22520"/>
      <w:r>
        <w:rPr>
          <w:rFonts w:hint="default" w:ascii="Times New Roman" w:hAnsi="Times New Roman" w:cs="Times New Roman"/>
          <w:b/>
          <w:bCs/>
          <w:sz w:val="84"/>
          <w:szCs w:val="84"/>
        </w:rPr>
        <w:t>响 应 文 件</w:t>
      </w:r>
      <w:bookmarkEnd w:id="197"/>
      <w:bookmarkEnd w:id="198"/>
      <w:bookmarkEnd w:id="199"/>
      <w:bookmarkEnd w:id="200"/>
      <w:bookmarkEnd w:id="201"/>
    </w:p>
    <w:p w14:paraId="30B83718">
      <w:pPr>
        <w:adjustRightInd w:val="0"/>
        <w:snapToGrid w:val="0"/>
        <w:spacing w:line="360" w:lineRule="auto"/>
        <w:outlineLvl w:val="9"/>
        <w:rPr>
          <w:rFonts w:hint="default" w:ascii="Times New Roman" w:hAnsi="Times New Roman" w:eastAsia="黑体" w:cs="Times New Roman"/>
          <w:b/>
          <w:color w:val="000000"/>
          <w:sz w:val="32"/>
          <w:szCs w:val="32"/>
        </w:rPr>
      </w:pPr>
    </w:p>
    <w:p w14:paraId="032E9C34">
      <w:pPr>
        <w:adjustRightInd w:val="0"/>
        <w:snapToGrid w:val="0"/>
        <w:spacing w:line="360" w:lineRule="auto"/>
        <w:outlineLvl w:val="9"/>
        <w:rPr>
          <w:rFonts w:hint="default" w:ascii="Times New Roman" w:hAnsi="Times New Roman" w:cs="Times New Roman"/>
          <w:b/>
          <w:color w:val="000000"/>
          <w:sz w:val="30"/>
          <w:szCs w:val="30"/>
        </w:rPr>
      </w:pPr>
    </w:p>
    <w:p w14:paraId="0C64B8B3">
      <w:pPr>
        <w:pStyle w:val="24"/>
        <w:adjustRightInd w:val="0"/>
        <w:snapToGrid w:val="0"/>
        <w:spacing w:line="360" w:lineRule="auto"/>
        <w:ind w:leftChars="400"/>
        <w:jc w:val="left"/>
        <w:outlineLvl w:val="9"/>
        <w:rPr>
          <w:rFonts w:hint="default" w:ascii="Times New Roman" w:hAnsi="Times New Roman" w:cs="Times New Roman"/>
          <w:b/>
          <w:bCs/>
          <w:sz w:val="30"/>
          <w:szCs w:val="30"/>
          <w:u w:val="single"/>
          <w:lang w:val="en-US" w:eastAsia="zh-CN"/>
        </w:rPr>
      </w:pPr>
      <w:bookmarkStart w:id="202" w:name="_Toc5580"/>
      <w:bookmarkStart w:id="203" w:name="_Toc16001"/>
      <w:bookmarkStart w:id="204" w:name="_Toc2266"/>
      <w:bookmarkStart w:id="205" w:name="_Toc7278"/>
      <w:bookmarkStart w:id="206" w:name="_Toc19983"/>
      <w:r>
        <w:rPr>
          <w:rFonts w:hint="default" w:ascii="Times New Roman" w:hAnsi="Times New Roman" w:cs="Times New Roman"/>
          <w:b/>
          <w:bCs/>
          <w:sz w:val="30"/>
          <w:szCs w:val="30"/>
        </w:rPr>
        <w:t>采购项目名称</w:t>
      </w:r>
      <w:bookmarkEnd w:id="202"/>
      <w:bookmarkEnd w:id="203"/>
      <w:r>
        <w:rPr>
          <w:rFonts w:hint="default" w:ascii="Times New Roman" w:hAnsi="Times New Roman" w:cs="Times New Roman"/>
          <w:b/>
          <w:bCs/>
          <w:sz w:val="30"/>
          <w:szCs w:val="30"/>
          <w:lang w:eastAsia="zh-CN"/>
        </w:rPr>
        <w:t>：</w:t>
      </w:r>
      <w:bookmarkEnd w:id="204"/>
      <w:bookmarkEnd w:id="205"/>
      <w:bookmarkEnd w:id="206"/>
      <w:bookmarkStart w:id="207" w:name="_Toc25482"/>
      <w:bookmarkStart w:id="208" w:name="_Toc5608"/>
      <w:bookmarkStart w:id="209" w:name="_Toc16838"/>
      <w:r>
        <w:rPr>
          <w:rFonts w:hint="default" w:ascii="Times New Roman" w:hAnsi="Times New Roman" w:cs="Times New Roman"/>
          <w:b/>
          <w:bCs/>
          <w:sz w:val="30"/>
          <w:szCs w:val="30"/>
          <w:u w:val="single"/>
          <w:lang w:val="en-US" w:eastAsia="zh-CN"/>
        </w:rPr>
        <w:t xml:space="preserve">                        </w:t>
      </w:r>
    </w:p>
    <w:p w14:paraId="4CBB4789">
      <w:pPr>
        <w:pStyle w:val="24"/>
        <w:adjustRightInd w:val="0"/>
        <w:snapToGrid w:val="0"/>
        <w:spacing w:line="360" w:lineRule="auto"/>
        <w:ind w:leftChars="400"/>
        <w:jc w:val="left"/>
        <w:outlineLvl w:val="9"/>
        <w:rPr>
          <w:rFonts w:hint="default" w:ascii="Times New Roman" w:hAnsi="Times New Roman" w:eastAsia="宋体" w:cs="Times New Roman"/>
          <w:b/>
          <w:bCs/>
          <w:sz w:val="30"/>
          <w:szCs w:val="30"/>
          <w:lang w:eastAsia="zh-CN"/>
        </w:rPr>
      </w:pPr>
      <w:bookmarkStart w:id="210" w:name="_Toc4832"/>
      <w:bookmarkStart w:id="211" w:name="_Toc29269"/>
      <w:r>
        <w:rPr>
          <w:rFonts w:hint="default" w:ascii="Times New Roman" w:hAnsi="Times New Roman" w:cs="Times New Roman"/>
          <w:b/>
          <w:bCs/>
          <w:sz w:val="30"/>
          <w:szCs w:val="30"/>
        </w:rPr>
        <w:t>采   购   人</w:t>
      </w:r>
      <w:bookmarkEnd w:id="207"/>
      <w:bookmarkEnd w:id="208"/>
      <w:r>
        <w:rPr>
          <w:rFonts w:hint="default" w:ascii="Times New Roman" w:hAnsi="Times New Roman" w:cs="Times New Roman"/>
          <w:b/>
          <w:bCs/>
          <w:sz w:val="30"/>
          <w:szCs w:val="30"/>
          <w:lang w:eastAsia="zh-CN"/>
        </w:rPr>
        <w:t>：</w:t>
      </w:r>
      <w:bookmarkEnd w:id="209"/>
      <w:bookmarkEnd w:id="210"/>
      <w:bookmarkEnd w:id="211"/>
      <w:r>
        <w:rPr>
          <w:rFonts w:hint="default" w:ascii="Times New Roman" w:hAnsi="Times New Roman" w:cs="Times New Roman"/>
          <w:b/>
          <w:bCs/>
          <w:sz w:val="30"/>
          <w:szCs w:val="30"/>
          <w:u w:val="single"/>
        </w:rPr>
        <w:t xml:space="preserve">                       </w:t>
      </w:r>
    </w:p>
    <w:p w14:paraId="3B12AF0D">
      <w:pPr>
        <w:pStyle w:val="24"/>
        <w:adjustRightInd w:val="0"/>
        <w:snapToGrid w:val="0"/>
        <w:spacing w:line="360" w:lineRule="auto"/>
        <w:ind w:leftChars="400"/>
        <w:jc w:val="left"/>
        <w:outlineLvl w:val="9"/>
        <w:rPr>
          <w:rFonts w:hint="default" w:ascii="Times New Roman" w:hAnsi="Times New Roman" w:cs="Times New Roman"/>
          <w:b/>
          <w:bCs/>
          <w:sz w:val="30"/>
          <w:szCs w:val="30"/>
          <w:u w:val="single"/>
        </w:rPr>
      </w:pPr>
      <w:bookmarkStart w:id="212" w:name="_Toc27110"/>
      <w:bookmarkStart w:id="213" w:name="_Toc16653"/>
      <w:bookmarkStart w:id="214" w:name="_Toc16126"/>
      <w:bookmarkStart w:id="215" w:name="_Toc22666"/>
      <w:bookmarkStart w:id="216" w:name="_Toc27932"/>
      <w:r>
        <w:rPr>
          <w:rFonts w:hint="default" w:ascii="Times New Roman" w:hAnsi="Times New Roman" w:cs="Times New Roman"/>
          <w:b/>
          <w:bCs/>
          <w:sz w:val="30"/>
          <w:szCs w:val="30"/>
          <w:lang w:val="en-US" w:eastAsia="zh-CN"/>
        </w:rPr>
        <w:t>政府采购</w:t>
      </w:r>
      <w:r>
        <w:rPr>
          <w:rFonts w:hint="eastAsia" w:ascii="Times New Roman" w:hAnsi="Times New Roman" w:cs="Times New Roman"/>
          <w:b/>
          <w:bCs/>
          <w:sz w:val="30"/>
          <w:szCs w:val="30"/>
          <w:lang w:val="en-US" w:eastAsia="zh-CN"/>
        </w:rPr>
        <w:t>计划</w:t>
      </w:r>
      <w:r>
        <w:rPr>
          <w:rFonts w:hint="default" w:ascii="Times New Roman" w:hAnsi="Times New Roman" w:cs="Times New Roman"/>
          <w:b/>
          <w:bCs/>
          <w:sz w:val="30"/>
          <w:szCs w:val="30"/>
        </w:rPr>
        <w:t>编号</w:t>
      </w:r>
      <w:bookmarkEnd w:id="212"/>
      <w:bookmarkEnd w:id="213"/>
      <w:r>
        <w:rPr>
          <w:rFonts w:hint="default" w:ascii="Times New Roman" w:hAnsi="Times New Roman" w:cs="Times New Roman"/>
          <w:b/>
          <w:bCs/>
          <w:sz w:val="30"/>
          <w:szCs w:val="30"/>
          <w:lang w:eastAsia="zh-CN"/>
        </w:rPr>
        <w:t>：</w:t>
      </w:r>
      <w:bookmarkEnd w:id="214"/>
      <w:bookmarkEnd w:id="215"/>
      <w:bookmarkEnd w:id="216"/>
      <w:r>
        <w:rPr>
          <w:rFonts w:hint="default" w:ascii="Times New Roman" w:hAnsi="Times New Roman" w:cs="Times New Roman"/>
          <w:b/>
          <w:bCs/>
          <w:sz w:val="30"/>
          <w:szCs w:val="30"/>
          <w:lang w:val="en-US" w:eastAsia="zh-CN"/>
        </w:rPr>
        <w:t xml:space="preserve"> </w:t>
      </w:r>
      <w:r>
        <w:rPr>
          <w:rFonts w:hint="default" w:ascii="Times New Roman" w:hAnsi="Times New Roman" w:cs="Times New Roman"/>
          <w:b/>
          <w:bCs/>
          <w:sz w:val="30"/>
          <w:szCs w:val="30"/>
          <w:u w:val="single"/>
        </w:rPr>
        <w:t xml:space="preserve">                      </w:t>
      </w:r>
    </w:p>
    <w:p w14:paraId="4B2E0EEC">
      <w:pPr>
        <w:pStyle w:val="24"/>
        <w:adjustRightInd w:val="0"/>
        <w:snapToGrid w:val="0"/>
        <w:spacing w:line="360" w:lineRule="auto"/>
        <w:ind w:leftChars="400"/>
        <w:jc w:val="left"/>
        <w:outlineLvl w:val="9"/>
        <w:rPr>
          <w:rFonts w:hint="default" w:ascii="Times New Roman" w:hAnsi="Times New Roman" w:cs="Times New Roman"/>
          <w:b/>
          <w:bCs/>
          <w:sz w:val="30"/>
          <w:szCs w:val="30"/>
          <w:u w:val="single"/>
        </w:rPr>
      </w:pPr>
      <w:bookmarkStart w:id="217" w:name="_Toc20947"/>
      <w:bookmarkStart w:id="218" w:name="_Toc23999"/>
      <w:bookmarkStart w:id="219" w:name="_Toc24788"/>
      <w:bookmarkStart w:id="220" w:name="_Toc20520"/>
      <w:bookmarkStart w:id="221" w:name="_Toc12666"/>
      <w:r>
        <w:rPr>
          <w:rFonts w:hint="default" w:ascii="Times New Roman" w:hAnsi="Times New Roman" w:cs="Times New Roman"/>
          <w:b/>
          <w:bCs/>
          <w:sz w:val="30"/>
          <w:szCs w:val="30"/>
        </w:rPr>
        <w:t>采购代理编号</w:t>
      </w:r>
      <w:bookmarkEnd w:id="217"/>
      <w:bookmarkEnd w:id="218"/>
      <w:r>
        <w:rPr>
          <w:rFonts w:hint="default" w:ascii="Times New Roman" w:hAnsi="Times New Roman" w:cs="Times New Roman"/>
          <w:b/>
          <w:bCs/>
          <w:sz w:val="30"/>
          <w:szCs w:val="30"/>
          <w:lang w:eastAsia="zh-CN"/>
        </w:rPr>
        <w:t>：</w:t>
      </w:r>
      <w:bookmarkEnd w:id="219"/>
      <w:bookmarkEnd w:id="220"/>
      <w:bookmarkEnd w:id="221"/>
      <w:r>
        <w:rPr>
          <w:rFonts w:hint="default" w:ascii="Times New Roman" w:hAnsi="Times New Roman" w:cs="Times New Roman"/>
          <w:b/>
          <w:bCs/>
          <w:sz w:val="30"/>
          <w:szCs w:val="30"/>
          <w:u w:val="single"/>
        </w:rPr>
        <w:t xml:space="preserve">                       </w:t>
      </w:r>
    </w:p>
    <w:p w14:paraId="461EDD7C">
      <w:pPr>
        <w:adjustRightInd w:val="0"/>
        <w:snapToGrid w:val="0"/>
        <w:spacing w:line="360" w:lineRule="auto"/>
        <w:outlineLvl w:val="9"/>
        <w:rPr>
          <w:rFonts w:hint="default" w:ascii="Times New Roman" w:hAnsi="Times New Roman" w:eastAsia="黑体" w:cs="Times New Roman"/>
          <w:color w:val="000000"/>
          <w:sz w:val="30"/>
          <w:szCs w:val="30"/>
        </w:rPr>
      </w:pPr>
    </w:p>
    <w:p w14:paraId="11783AB3">
      <w:pPr>
        <w:adjustRightInd w:val="0"/>
        <w:snapToGrid w:val="0"/>
        <w:outlineLvl w:val="9"/>
        <w:rPr>
          <w:rFonts w:hint="default" w:ascii="Times New Roman" w:hAnsi="Times New Roman" w:eastAsia="黑体" w:cs="Times New Roman"/>
          <w:color w:val="000000"/>
          <w:sz w:val="30"/>
          <w:szCs w:val="30"/>
        </w:rPr>
      </w:pPr>
    </w:p>
    <w:p w14:paraId="2E3AC9DD">
      <w:pPr>
        <w:adjustRightInd w:val="0"/>
        <w:snapToGrid w:val="0"/>
        <w:spacing w:line="360" w:lineRule="auto"/>
        <w:outlineLvl w:val="9"/>
        <w:rPr>
          <w:rFonts w:hint="default" w:ascii="Times New Roman" w:hAnsi="Times New Roman" w:eastAsia="黑体" w:cs="Times New Roman"/>
          <w:color w:val="000000"/>
          <w:sz w:val="30"/>
          <w:szCs w:val="30"/>
        </w:rPr>
      </w:pPr>
    </w:p>
    <w:p w14:paraId="044C8C7B">
      <w:pPr>
        <w:adjustRightInd w:val="0"/>
        <w:snapToGrid w:val="0"/>
        <w:spacing w:line="360" w:lineRule="auto"/>
        <w:outlineLvl w:val="9"/>
        <w:rPr>
          <w:rFonts w:hint="default" w:ascii="Times New Roman" w:hAnsi="Times New Roman" w:eastAsia="黑体" w:cs="Times New Roman"/>
          <w:color w:val="000000"/>
          <w:sz w:val="30"/>
          <w:szCs w:val="30"/>
        </w:rPr>
      </w:pPr>
    </w:p>
    <w:p w14:paraId="2B08C60C">
      <w:pPr>
        <w:adjustRightInd w:val="0"/>
        <w:snapToGrid w:val="0"/>
        <w:spacing w:line="360" w:lineRule="auto"/>
        <w:outlineLvl w:val="9"/>
        <w:rPr>
          <w:rFonts w:hint="default" w:ascii="Times New Roman" w:hAnsi="Times New Roman" w:eastAsia="黑体" w:cs="Times New Roman"/>
          <w:color w:val="000000"/>
          <w:sz w:val="30"/>
          <w:szCs w:val="30"/>
        </w:rPr>
      </w:pPr>
    </w:p>
    <w:p w14:paraId="54FFE494">
      <w:pPr>
        <w:adjustRightInd w:val="0"/>
        <w:snapToGrid w:val="0"/>
        <w:spacing w:line="360" w:lineRule="auto"/>
        <w:ind w:firstLine="1984" w:firstLineChars="620"/>
        <w:outlineLvl w:val="9"/>
        <w:rPr>
          <w:rFonts w:hint="default" w:ascii="Times New Roman" w:hAnsi="Times New Roman" w:eastAsia="黑体" w:cs="Times New Roman"/>
          <w:color w:val="000000"/>
          <w:sz w:val="32"/>
          <w:szCs w:val="32"/>
          <w:u w:val="single"/>
          <w:lang w:eastAsia="zh-CN"/>
        </w:rPr>
      </w:pPr>
      <w:bookmarkStart w:id="222" w:name="_Toc7693"/>
      <w:bookmarkStart w:id="223" w:name="_Toc12115"/>
      <w:bookmarkStart w:id="224" w:name="_Toc16558"/>
      <w:bookmarkStart w:id="225" w:name="_Toc19218"/>
      <w:bookmarkStart w:id="226" w:name="_Toc30510"/>
      <w:r>
        <w:rPr>
          <w:rFonts w:hint="default" w:ascii="Times New Roman" w:hAnsi="Times New Roman" w:eastAsia="黑体" w:cs="Times New Roman"/>
          <w:color w:val="000000"/>
          <w:sz w:val="32"/>
          <w:szCs w:val="32"/>
        </w:rPr>
        <w:t>供应商</w:t>
      </w:r>
      <w:bookmarkEnd w:id="222"/>
      <w:bookmarkEnd w:id="223"/>
      <w:r>
        <w:rPr>
          <w:rFonts w:hint="default" w:ascii="Times New Roman" w:hAnsi="Times New Roman" w:eastAsia="黑体" w:cs="Times New Roman"/>
          <w:color w:val="000000"/>
          <w:sz w:val="32"/>
          <w:szCs w:val="32"/>
          <w:lang w:eastAsia="zh-CN"/>
        </w:rPr>
        <w:t>：</w:t>
      </w:r>
      <w:bookmarkEnd w:id="224"/>
      <w:bookmarkEnd w:id="225"/>
      <w:bookmarkEnd w:id="226"/>
      <w:r>
        <w:rPr>
          <w:rFonts w:hint="default" w:ascii="Times New Roman" w:hAnsi="Times New Roman" w:cs="Times New Roman"/>
          <w:b/>
          <w:bCs/>
          <w:sz w:val="30"/>
          <w:szCs w:val="30"/>
          <w:u w:val="single"/>
        </w:rPr>
        <w:t xml:space="preserve">                       </w:t>
      </w:r>
    </w:p>
    <w:p w14:paraId="1FFEED9F">
      <w:pPr>
        <w:jc w:val="center"/>
        <w:outlineLvl w:val="9"/>
        <w:rPr>
          <w:rFonts w:hint="default" w:ascii="Times New Roman" w:hAnsi="Times New Roman" w:eastAsia="黑体" w:cs="Times New Roman"/>
          <w:sz w:val="32"/>
          <w:szCs w:val="32"/>
        </w:rPr>
      </w:pPr>
      <w:bookmarkStart w:id="227" w:name="_Toc11755"/>
      <w:bookmarkStart w:id="228" w:name="_Toc6698"/>
    </w:p>
    <w:p w14:paraId="030A8A2B">
      <w:pPr>
        <w:jc w:val="center"/>
        <w:outlineLvl w:val="9"/>
        <w:rPr>
          <w:rFonts w:hint="default" w:ascii="Times New Roman" w:hAnsi="Times New Roman" w:eastAsia="黑体" w:cs="Times New Roman"/>
          <w:sz w:val="32"/>
          <w:szCs w:val="32"/>
        </w:rPr>
      </w:pPr>
    </w:p>
    <w:p w14:paraId="0BEC33F4">
      <w:pPr>
        <w:ind w:firstLine="3520" w:firstLineChars="1100"/>
        <w:jc w:val="both"/>
        <w:outlineLvl w:val="9"/>
        <w:rPr>
          <w:rFonts w:hint="default" w:ascii="Times New Roman" w:hAnsi="Times New Roman" w:eastAsia="黑体" w:cs="Times New Roman"/>
          <w:sz w:val="32"/>
          <w:szCs w:val="32"/>
        </w:rPr>
      </w:pPr>
      <w:bookmarkStart w:id="229" w:name="_Toc5484"/>
      <w:bookmarkStart w:id="230" w:name="_Toc10120"/>
      <w:bookmarkStart w:id="231" w:name="_Toc31704"/>
      <w:r>
        <w:rPr>
          <w:rFonts w:hint="default" w:ascii="Times New Roman" w:hAnsi="Times New Roman" w:eastAsia="黑体" w:cs="Times New Roman"/>
          <w:sz w:val="32"/>
          <w:szCs w:val="32"/>
        </w:rPr>
        <w:t>年  月  日</w:t>
      </w:r>
      <w:bookmarkEnd w:id="227"/>
      <w:bookmarkEnd w:id="228"/>
      <w:bookmarkEnd w:id="229"/>
      <w:bookmarkEnd w:id="230"/>
      <w:bookmarkEnd w:id="231"/>
    </w:p>
    <w:p w14:paraId="18BCCD6E">
      <w:pPr>
        <w:adjustRightInd w:val="0"/>
        <w:snapToGrid w:val="0"/>
        <w:spacing w:line="360" w:lineRule="auto"/>
        <w:ind w:firstLine="643" w:firstLineChars="200"/>
        <w:jc w:val="center"/>
        <w:rPr>
          <w:rFonts w:hint="default" w:ascii="Times New Roman" w:hAnsi="Times New Roman" w:eastAsia="黑体" w:cs="Times New Roman"/>
          <w:b/>
          <w:sz w:val="32"/>
          <w:szCs w:val="32"/>
        </w:rPr>
      </w:pPr>
    </w:p>
    <w:p w14:paraId="06E3489D">
      <w:pPr>
        <w:outlineLvl w:val="9"/>
        <w:rPr>
          <w:rFonts w:hint="default" w:ascii="Times New Roman" w:hAnsi="Times New Roman" w:cs="Times New Roman"/>
          <w:b/>
          <w:bCs/>
        </w:rPr>
      </w:pPr>
      <w:bookmarkStart w:id="232" w:name="_Toc11811"/>
      <w:bookmarkStart w:id="233" w:name="_Toc5398"/>
      <w:bookmarkStart w:id="234" w:name="_Toc22201151"/>
      <w:bookmarkStart w:id="235" w:name="_Toc10266"/>
    </w:p>
    <w:p w14:paraId="6224A35E">
      <w:pPr>
        <w:ind w:left="0" w:leftChars="0" w:firstLine="0" w:firstLineChars="0"/>
        <w:outlineLvl w:val="2"/>
        <w:rPr>
          <w:rFonts w:hint="default" w:ascii="Times New Roman" w:hAnsi="Times New Roman" w:cs="Times New Roman"/>
          <w:b/>
          <w:bCs/>
        </w:rPr>
      </w:pPr>
      <w:bookmarkStart w:id="236" w:name="_Toc20402"/>
      <w:bookmarkStart w:id="237" w:name="_Toc29387"/>
      <w:r>
        <w:rPr>
          <w:rFonts w:hint="default" w:ascii="Times New Roman" w:hAnsi="Times New Roman" w:cs="Times New Roman"/>
          <w:b/>
          <w:bCs/>
        </w:rPr>
        <w:t>索引表 符合性审查索引表</w:t>
      </w:r>
      <w:bookmarkEnd w:id="232"/>
      <w:bookmarkEnd w:id="233"/>
      <w:bookmarkEnd w:id="234"/>
      <w:bookmarkEnd w:id="235"/>
      <w:bookmarkEnd w:id="236"/>
      <w:bookmarkEnd w:id="237"/>
    </w:p>
    <w:p w14:paraId="2A3CAF8F">
      <w:pPr>
        <w:adjustRightInd w:val="0"/>
        <w:spacing w:beforeLines="50" w:line="360" w:lineRule="auto"/>
        <w:ind w:left="0" w:leftChars="0" w:firstLine="0" w:firstLineChars="0"/>
        <w:jc w:val="center"/>
        <w:outlineLvl w:val="9"/>
        <w:rPr>
          <w:rFonts w:hint="default" w:ascii="Times New Roman" w:hAnsi="Times New Roman" w:eastAsia="黑体" w:cs="Times New Roman"/>
          <w:b/>
          <w:sz w:val="28"/>
          <w:szCs w:val="28"/>
        </w:rPr>
      </w:pPr>
      <w:bookmarkStart w:id="238" w:name="_Toc24902"/>
      <w:bookmarkStart w:id="239" w:name="_Toc10201"/>
      <w:bookmarkStart w:id="240" w:name="_Toc15105"/>
      <w:bookmarkStart w:id="241" w:name="_Toc2321"/>
      <w:bookmarkStart w:id="242" w:name="_Toc6460"/>
      <w:r>
        <w:rPr>
          <w:rFonts w:hint="default" w:ascii="Times New Roman" w:hAnsi="Times New Roman" w:eastAsia="黑体" w:cs="Times New Roman"/>
          <w:b/>
          <w:sz w:val="28"/>
          <w:szCs w:val="28"/>
        </w:rPr>
        <w:t>符合性审查索引表</w:t>
      </w:r>
      <w:bookmarkEnd w:id="238"/>
      <w:bookmarkEnd w:id="239"/>
      <w:bookmarkEnd w:id="240"/>
      <w:bookmarkEnd w:id="241"/>
      <w:bookmarkEnd w:id="242"/>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64F65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vAlign w:val="center"/>
          </w:tcPr>
          <w:p w14:paraId="6752DDD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kern w:val="0"/>
                <w:szCs w:val="21"/>
              </w:rPr>
            </w:pPr>
            <w:r>
              <w:rPr>
                <w:rFonts w:hint="default" w:ascii="Times New Roman" w:hAnsi="Times New Roman" w:cs="Times New Roman"/>
                <w:b/>
                <w:kern w:val="0"/>
                <w:szCs w:val="21"/>
              </w:rPr>
              <w:t>序号</w:t>
            </w:r>
          </w:p>
        </w:tc>
        <w:tc>
          <w:tcPr>
            <w:tcW w:w="1871" w:type="dxa"/>
            <w:tcBorders>
              <w:right w:val="single" w:color="auto" w:sz="4" w:space="0"/>
            </w:tcBorders>
            <w:shd w:val="clear" w:color="auto" w:fill="auto"/>
            <w:vAlign w:val="center"/>
          </w:tcPr>
          <w:p w14:paraId="47FCF83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kern w:val="0"/>
                <w:sz w:val="20"/>
                <w:szCs w:val="21"/>
              </w:rPr>
            </w:pPr>
            <w:r>
              <w:rPr>
                <w:rFonts w:hint="default" w:ascii="Times New Roman" w:hAnsi="Times New Roman" w:cs="Times New Roman"/>
                <w:b/>
                <w:kern w:val="0"/>
                <w:sz w:val="20"/>
                <w:szCs w:val="21"/>
                <w:lang w:eastAsia="zh-CN"/>
              </w:rPr>
              <w:t>磋商</w:t>
            </w:r>
            <w:r>
              <w:rPr>
                <w:rFonts w:hint="default" w:ascii="Times New Roman" w:hAnsi="Times New Roman" w:cs="Times New Roman"/>
                <w:b/>
                <w:kern w:val="0"/>
                <w:sz w:val="20"/>
                <w:szCs w:val="21"/>
              </w:rPr>
              <w:t>文件条款号</w:t>
            </w:r>
          </w:p>
        </w:tc>
        <w:tc>
          <w:tcPr>
            <w:tcW w:w="2410" w:type="dxa"/>
            <w:tcBorders>
              <w:left w:val="single" w:color="auto" w:sz="4" w:space="0"/>
            </w:tcBorders>
            <w:shd w:val="clear" w:color="auto" w:fill="auto"/>
            <w:vAlign w:val="center"/>
          </w:tcPr>
          <w:p w14:paraId="77AF82B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kern w:val="0"/>
                <w:sz w:val="20"/>
                <w:szCs w:val="21"/>
              </w:rPr>
            </w:pPr>
            <w:r>
              <w:rPr>
                <w:rFonts w:hint="default" w:ascii="Times New Roman" w:hAnsi="Times New Roman" w:cs="Times New Roman"/>
                <w:b/>
                <w:kern w:val="0"/>
                <w:szCs w:val="21"/>
              </w:rPr>
              <w:t>审查内容及标准</w:t>
            </w:r>
          </w:p>
        </w:tc>
        <w:tc>
          <w:tcPr>
            <w:tcW w:w="2268" w:type="dxa"/>
            <w:shd w:val="clear" w:color="auto" w:fill="auto"/>
            <w:vAlign w:val="center"/>
          </w:tcPr>
          <w:p w14:paraId="5E26747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kern w:val="0"/>
                <w:szCs w:val="21"/>
              </w:rPr>
            </w:pPr>
            <w:r>
              <w:rPr>
                <w:rFonts w:hint="default" w:ascii="Times New Roman" w:hAnsi="Times New Roman" w:cs="Times New Roman"/>
                <w:b/>
                <w:kern w:val="0"/>
                <w:szCs w:val="21"/>
              </w:rPr>
              <w:t>响应文件及证明材料</w:t>
            </w:r>
          </w:p>
        </w:tc>
        <w:tc>
          <w:tcPr>
            <w:tcW w:w="1722" w:type="dxa"/>
            <w:shd w:val="clear" w:color="auto" w:fill="auto"/>
            <w:vAlign w:val="center"/>
          </w:tcPr>
          <w:p w14:paraId="1E61FA3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kern w:val="0"/>
                <w:sz w:val="20"/>
                <w:szCs w:val="21"/>
              </w:rPr>
            </w:pPr>
            <w:r>
              <w:rPr>
                <w:rFonts w:hint="default" w:ascii="Times New Roman" w:hAnsi="Times New Roman" w:cs="Times New Roman"/>
                <w:b/>
                <w:kern w:val="0"/>
                <w:szCs w:val="21"/>
              </w:rPr>
              <w:t>响应文件对应内容的册及页码</w:t>
            </w:r>
          </w:p>
        </w:tc>
      </w:tr>
      <w:tr w14:paraId="402D4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80EF04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Cs w:val="21"/>
              </w:rPr>
            </w:pPr>
          </w:p>
        </w:tc>
        <w:tc>
          <w:tcPr>
            <w:tcW w:w="1871" w:type="dxa"/>
            <w:tcBorders>
              <w:right w:val="single" w:color="auto" w:sz="4" w:space="0"/>
            </w:tcBorders>
            <w:shd w:val="clear" w:color="auto" w:fill="auto"/>
          </w:tcPr>
          <w:p w14:paraId="627D343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41EEAFF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3D22815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Cs w:val="21"/>
              </w:rPr>
            </w:pPr>
          </w:p>
        </w:tc>
        <w:tc>
          <w:tcPr>
            <w:tcW w:w="1722" w:type="dxa"/>
            <w:shd w:val="clear" w:color="auto" w:fill="auto"/>
          </w:tcPr>
          <w:p w14:paraId="40A4D63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768512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9DD962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632A121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5BEB5F4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7736C2A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5CA63DA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41322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C5AA36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6047BC7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406E7D0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038E434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4274E09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339070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75262A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3956F55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5D9BAC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5A87A03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15CC822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47B04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E2DAC0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21C1864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0448955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78AEBF5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5F85BCC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38000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4AB6891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77F3D5F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10395AC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6814039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060AF44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65FEB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E3A26C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642C5D3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3CE54BE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62C02B2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4B98F8A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158009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0A79B6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70A3ECB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4C53957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3739989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1C2570F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10F5C0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B71505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5EE2266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2497BC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55A7684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3C16C55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54B18D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E585C2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5B67C39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2788B4C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308278B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3C7BA70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r w14:paraId="70DE40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378C40D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871" w:type="dxa"/>
            <w:tcBorders>
              <w:right w:val="single" w:color="auto" w:sz="4" w:space="0"/>
            </w:tcBorders>
            <w:shd w:val="clear" w:color="auto" w:fill="auto"/>
          </w:tcPr>
          <w:p w14:paraId="762DF51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410" w:type="dxa"/>
            <w:tcBorders>
              <w:left w:val="single" w:color="auto" w:sz="4" w:space="0"/>
            </w:tcBorders>
            <w:shd w:val="clear" w:color="auto" w:fill="auto"/>
          </w:tcPr>
          <w:p w14:paraId="4E0A518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2268" w:type="dxa"/>
            <w:shd w:val="clear" w:color="auto" w:fill="auto"/>
          </w:tcPr>
          <w:p w14:paraId="51FDC3A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c>
          <w:tcPr>
            <w:tcW w:w="1722" w:type="dxa"/>
            <w:shd w:val="clear" w:color="auto" w:fill="auto"/>
          </w:tcPr>
          <w:p w14:paraId="2850284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kern w:val="0"/>
                <w:sz w:val="20"/>
                <w:szCs w:val="21"/>
              </w:rPr>
            </w:pPr>
          </w:p>
        </w:tc>
      </w:tr>
    </w:tbl>
    <w:p w14:paraId="0FA83BEB">
      <w:pPr>
        <w:jc w:val="center"/>
        <w:rPr>
          <w:rFonts w:hint="default" w:ascii="Times New Roman" w:hAnsi="Times New Roman" w:eastAsia="黑体" w:cs="Times New Roman"/>
          <w:b/>
          <w:sz w:val="32"/>
          <w:szCs w:val="32"/>
        </w:rPr>
      </w:pPr>
    </w:p>
    <w:p w14:paraId="2BFD5501">
      <w:pPr>
        <w:bidi w:val="0"/>
        <w:rPr>
          <w:rFonts w:hint="default" w:ascii="Times New Roman" w:hAnsi="Times New Roman" w:eastAsia="宋体" w:cs="Times New Roman"/>
          <w:kern w:val="2"/>
          <w:sz w:val="21"/>
          <w:szCs w:val="24"/>
          <w:lang w:val="en-US" w:eastAsia="zh-CN" w:bidi="ar-SA"/>
        </w:rPr>
      </w:pPr>
    </w:p>
    <w:p w14:paraId="1F941BCA">
      <w:pPr>
        <w:bidi w:val="0"/>
        <w:rPr>
          <w:rFonts w:hint="default" w:ascii="Times New Roman" w:hAnsi="Times New Roman" w:cs="Times New Roman"/>
          <w:lang w:val="en-US" w:eastAsia="zh-CN"/>
        </w:rPr>
      </w:pPr>
    </w:p>
    <w:p w14:paraId="65368FA1">
      <w:pPr>
        <w:bidi w:val="0"/>
        <w:rPr>
          <w:rFonts w:hint="default" w:ascii="Times New Roman" w:hAnsi="Times New Roman" w:cs="Times New Roman"/>
          <w:lang w:val="en-US" w:eastAsia="zh-CN"/>
        </w:rPr>
      </w:pPr>
    </w:p>
    <w:p w14:paraId="77E7E718">
      <w:pPr>
        <w:bidi w:val="0"/>
        <w:rPr>
          <w:rFonts w:hint="default" w:ascii="Times New Roman" w:hAnsi="Times New Roman" w:cs="Times New Roman"/>
          <w:lang w:val="en-US" w:eastAsia="zh-CN"/>
        </w:rPr>
      </w:pPr>
    </w:p>
    <w:p w14:paraId="1F01D746">
      <w:pPr>
        <w:bidi w:val="0"/>
        <w:rPr>
          <w:rFonts w:hint="default" w:ascii="Times New Roman" w:hAnsi="Times New Roman" w:cs="Times New Roman"/>
          <w:lang w:val="en-US" w:eastAsia="zh-CN"/>
        </w:rPr>
      </w:pPr>
    </w:p>
    <w:p w14:paraId="00070AA7">
      <w:pPr>
        <w:bidi w:val="0"/>
        <w:rPr>
          <w:rFonts w:hint="default" w:ascii="Times New Roman" w:hAnsi="Times New Roman" w:cs="Times New Roman"/>
          <w:lang w:val="en-US" w:eastAsia="zh-CN"/>
        </w:rPr>
      </w:pPr>
    </w:p>
    <w:p w14:paraId="4EB7212F">
      <w:pPr>
        <w:bidi w:val="0"/>
        <w:rPr>
          <w:rFonts w:hint="default" w:ascii="Times New Roman" w:hAnsi="Times New Roman" w:cs="Times New Roman"/>
          <w:lang w:val="en-US" w:eastAsia="zh-CN"/>
        </w:rPr>
      </w:pPr>
    </w:p>
    <w:p w14:paraId="5999CD4C">
      <w:pPr>
        <w:bidi w:val="0"/>
        <w:rPr>
          <w:rFonts w:hint="default" w:ascii="Times New Roman" w:hAnsi="Times New Roman" w:cs="Times New Roman"/>
          <w:lang w:val="en-US" w:eastAsia="zh-CN"/>
        </w:rPr>
      </w:pPr>
    </w:p>
    <w:p w14:paraId="178F7F6A">
      <w:pPr>
        <w:bidi w:val="0"/>
        <w:rPr>
          <w:rFonts w:hint="default" w:ascii="Times New Roman" w:hAnsi="Times New Roman" w:cs="Times New Roman"/>
          <w:lang w:val="en-US" w:eastAsia="zh-CN"/>
        </w:rPr>
      </w:pPr>
    </w:p>
    <w:p w14:paraId="7025DBC7">
      <w:pPr>
        <w:bidi w:val="0"/>
        <w:rPr>
          <w:rFonts w:hint="default" w:ascii="Times New Roman" w:hAnsi="Times New Roman" w:cs="Times New Roman"/>
          <w:lang w:val="en-US" w:eastAsia="zh-CN"/>
        </w:rPr>
      </w:pPr>
    </w:p>
    <w:p w14:paraId="110E6322">
      <w:pPr>
        <w:bidi w:val="0"/>
        <w:rPr>
          <w:rFonts w:hint="default" w:ascii="Times New Roman" w:hAnsi="Times New Roman" w:cs="Times New Roman"/>
          <w:lang w:val="en-US" w:eastAsia="zh-CN"/>
        </w:rPr>
      </w:pPr>
    </w:p>
    <w:p w14:paraId="76544621">
      <w:pPr>
        <w:bidi w:val="0"/>
        <w:rPr>
          <w:rFonts w:hint="default" w:ascii="Times New Roman" w:hAnsi="Times New Roman" w:cs="Times New Roman"/>
          <w:lang w:val="en-US" w:eastAsia="zh-CN"/>
        </w:rPr>
      </w:pPr>
    </w:p>
    <w:p w14:paraId="4BD9B963">
      <w:pPr>
        <w:spacing w:line="360" w:lineRule="exact"/>
        <w:jc w:val="center"/>
        <w:outlineLvl w:val="9"/>
        <w:rPr>
          <w:rFonts w:hint="default" w:ascii="Times New Roman" w:hAnsi="Times New Roman" w:eastAsia="黑体" w:cs="Times New Roman"/>
          <w:b/>
          <w:sz w:val="32"/>
          <w:szCs w:val="32"/>
        </w:rPr>
      </w:pPr>
    </w:p>
    <w:p w14:paraId="09B0F7F9">
      <w:pP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br w:type="page"/>
      </w:r>
    </w:p>
    <w:p w14:paraId="23AA12DC">
      <w:pPr>
        <w:keepNext w:val="0"/>
        <w:keepLines w:val="0"/>
        <w:pageBreakBefore w:val="0"/>
        <w:widowControl w:val="0"/>
        <w:kinsoku/>
        <w:wordWrap/>
        <w:overflowPunct/>
        <w:topLinePunct w:val="0"/>
        <w:autoSpaceDE/>
        <w:autoSpaceDN/>
        <w:bidi w:val="0"/>
        <w:spacing w:line="360" w:lineRule="auto"/>
        <w:ind w:left="0" w:leftChars="0" w:right="0" w:firstLine="0" w:firstLineChars="0"/>
        <w:jc w:val="center"/>
        <w:textAlignment w:val="auto"/>
        <w:outlineLvl w:val="1"/>
        <w:rPr>
          <w:rFonts w:hint="default" w:ascii="Times New Roman" w:hAnsi="Times New Roman" w:eastAsia="黑体" w:cs="Times New Roman"/>
          <w:b/>
          <w:sz w:val="28"/>
          <w:szCs w:val="28"/>
        </w:rPr>
      </w:pPr>
      <w:bookmarkStart w:id="243" w:name="_Toc9343"/>
      <w:bookmarkStart w:id="244" w:name="_Toc3352"/>
      <w:bookmarkStart w:id="245" w:name="_Toc9374"/>
      <w:bookmarkStart w:id="246" w:name="_Toc11134"/>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7105650</wp:posOffset>
                </wp:positionH>
                <wp:positionV relativeFrom="paragraph">
                  <wp:posOffset>15240</wp:posOffset>
                </wp:positionV>
                <wp:extent cx="770255" cy="407670"/>
                <wp:effectExtent l="4445" t="4445" r="6350" b="6985"/>
                <wp:wrapNone/>
                <wp:docPr id="95" name="矩形 95"/>
                <wp:cNvGraphicFramePr/>
                <a:graphic xmlns:a="http://schemas.openxmlformats.org/drawingml/2006/main">
                  <a:graphicData uri="http://schemas.microsoft.com/office/word/2010/wordprocessingShape">
                    <wps:wsp>
                      <wps:cNvSpPr/>
                      <wps:spPr>
                        <a:xfrm>
                          <a:off x="0" y="0"/>
                          <a:ext cx="770255" cy="4076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E1E4F7"/>
                        </w:txbxContent>
                      </wps:txbx>
                      <wps:bodyPr upright="1"/>
                    </wps:wsp>
                  </a:graphicData>
                </a:graphic>
              </wp:anchor>
            </w:drawing>
          </mc:Choice>
          <mc:Fallback>
            <w:pict>
              <v:rect id="_x0000_s1026" o:spid="_x0000_s1026" o:spt="1" style="position:absolute;left:0pt;margin-left:559.5pt;margin-top:1.2pt;height:32.1pt;width:60.65pt;z-index:251660288;mso-width-relative:page;mso-height-relative:page;" fillcolor="#FFFFFF" filled="t" stroked="t" coordsize="21600,21600" o:gfxdata="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V2nzzXAAAACgEAAA8AAAAAAAAAAQAgAAAAIgAAAGRy&#10;cy9kb3ducmV2LnhtbFBLAQIUABQAAAAIAIdO4kCtTCUxBgIAADgEAAAOAAAAAAAAAAEAIAAAACYB&#10;AABkcnMvZTJvRG9jLnhtbFBLBQYAAAAABgAGAFkBAACeBQAAAAA=&#10;">
                <v:fill on="t" focussize="0,0"/>
                <v:stroke color="#000000" joinstyle="miter"/>
                <v:imagedata o:title=""/>
                <o:lock v:ext="edit" aspectratio="f"/>
                <v:textbox>
                  <w:txbxContent>
                    <w:p w14:paraId="47E1E4F7"/>
                  </w:txbxContent>
                </v:textbox>
              </v:rect>
            </w:pict>
          </mc:Fallback>
        </mc:AlternateContent>
      </w:r>
      <w:r>
        <w:rPr>
          <w:rFonts w:hint="default" w:ascii="Times New Roman" w:hAnsi="Times New Roman" w:eastAsia="黑体" w:cs="Times New Roman"/>
          <w:b/>
          <w:sz w:val="28"/>
          <w:szCs w:val="28"/>
        </w:rPr>
        <w:t>一、磋商响应声明</w:t>
      </w:r>
      <w:bookmarkEnd w:id="243"/>
      <w:bookmarkEnd w:id="244"/>
      <w:bookmarkEnd w:id="245"/>
      <w:bookmarkEnd w:id="246"/>
    </w:p>
    <w:p w14:paraId="0AB262DE">
      <w:pPr>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 xml:space="preserve"> (采购人</w:t>
      </w:r>
      <w:r>
        <w:rPr>
          <w:rFonts w:hint="eastAsia" w:ascii="宋体" w:hAnsi="宋体" w:eastAsia="宋体" w:cs="宋体"/>
          <w:szCs w:val="21"/>
          <w:lang w:val="en-US" w:eastAsia="zh-CN"/>
        </w:rPr>
        <w:t>、</w:t>
      </w:r>
      <w:r>
        <w:rPr>
          <w:rFonts w:hint="eastAsia" w:ascii="宋体" w:hAnsi="宋体" w:eastAsia="宋体" w:cs="宋体"/>
          <w:szCs w:val="21"/>
        </w:rPr>
        <w:t>采购代理机构)：</w:t>
      </w:r>
    </w:p>
    <w:p w14:paraId="708653FA">
      <w:pPr>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szCs w:val="21"/>
        </w:rPr>
      </w:pPr>
      <w:r>
        <w:rPr>
          <w:rFonts w:hint="eastAsia" w:ascii="宋体" w:hAnsi="宋体" w:eastAsia="宋体" w:cs="宋体"/>
          <w:szCs w:val="21"/>
        </w:rPr>
        <w:t>我方已仔细研究了</w:t>
      </w:r>
      <w:r>
        <w:rPr>
          <w:rFonts w:hint="eastAsia" w:ascii="宋体" w:hAnsi="宋体" w:eastAsia="宋体" w:cs="宋体"/>
          <w:szCs w:val="21"/>
          <w:u w:val="single"/>
        </w:rPr>
        <w:t xml:space="preserve">                 (</w:t>
      </w:r>
      <w:r>
        <w:rPr>
          <w:rFonts w:hint="eastAsia" w:ascii="宋体" w:hAnsi="宋体" w:eastAsia="宋体" w:cs="宋体"/>
          <w:szCs w:val="21"/>
        </w:rPr>
        <w:t>项目名称)的竞争性磋商文件（</w:t>
      </w:r>
      <w:r>
        <w:rPr>
          <w:rFonts w:hint="eastAsia" w:ascii="宋体" w:hAnsi="宋体" w:eastAsia="宋体" w:cs="宋体"/>
          <w:szCs w:val="21"/>
          <w:lang w:eastAsia="zh-CN"/>
        </w:rPr>
        <w:t>政府采购计划编号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 xml:space="preserve"> ；</w:t>
      </w:r>
      <w:r>
        <w:rPr>
          <w:rFonts w:hint="eastAsia" w:ascii="宋体" w:hAnsi="宋体" w:eastAsia="宋体" w:cs="宋体"/>
          <w:szCs w:val="21"/>
          <w:lang w:val="en-US" w:eastAsia="zh-CN"/>
        </w:rPr>
        <w:t>委托</w:t>
      </w:r>
      <w:r>
        <w:rPr>
          <w:rFonts w:hint="eastAsia" w:ascii="宋体" w:hAnsi="宋体" w:eastAsia="宋体" w:cs="宋体"/>
          <w:szCs w:val="21"/>
        </w:rPr>
        <w:t>代理编号：</w:t>
      </w:r>
      <w:r>
        <w:rPr>
          <w:rFonts w:hint="eastAsia" w:ascii="宋体" w:hAnsi="宋体" w:eastAsia="宋体" w:cs="宋体"/>
          <w:szCs w:val="21"/>
          <w:u w:val="single"/>
        </w:rPr>
        <w:t xml:space="preserve">           </w:t>
      </w:r>
      <w:r>
        <w:rPr>
          <w:rFonts w:hint="eastAsia" w:ascii="宋体" w:hAnsi="宋体" w:eastAsia="宋体" w:cs="宋体"/>
          <w:szCs w:val="21"/>
        </w:rPr>
        <w:t>）的全部内容，</w:t>
      </w:r>
      <w:r>
        <w:rPr>
          <w:rFonts w:hint="eastAsia" w:ascii="宋体" w:hAnsi="宋体" w:eastAsia="宋体" w:cs="宋体"/>
        </w:rPr>
        <w:t>知悉参加竞争性磋商的风险，我方承诺接受磋商文件的全部条款且无任何异议。</w:t>
      </w:r>
    </w:p>
    <w:p w14:paraId="6B3758A7">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2267E6E">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rPr>
        <w:t>二、我方提交响应文件正本一份和副本一式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2A250140">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09BEFC1B">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3BB58D5F">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58C90D3A">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bookmarkStart w:id="247" w:name="_Toc29581"/>
      <w:bookmarkStart w:id="248" w:name="_Toc12043"/>
      <w:r>
        <w:rPr>
          <w:rFonts w:hint="eastAsia" w:ascii="宋体" w:hAnsi="宋体" w:eastAsia="宋体" w:cs="宋体"/>
        </w:rPr>
        <w:t>六、</w:t>
      </w:r>
      <w:r>
        <w:rPr>
          <w:rFonts w:hint="eastAsia" w:ascii="宋体" w:hAnsi="宋体" w:eastAsia="宋体" w:cs="宋体"/>
          <w:color w:val="000000"/>
        </w:rPr>
        <w:t>我方在此声明：</w:t>
      </w:r>
      <w:bookmarkEnd w:id="247"/>
      <w:bookmarkEnd w:id="248"/>
      <w:r>
        <w:rPr>
          <w:rFonts w:hint="eastAsia" w:ascii="宋体" w:hAnsi="宋体" w:eastAsia="宋体" w:cs="宋体"/>
          <w:color w:val="000000"/>
        </w:rPr>
        <w:t xml:space="preserve"> </w:t>
      </w:r>
    </w:p>
    <w:p w14:paraId="479AE1A4">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（一）我方与采购人或采购代理机构不存在隶属关系或者其他利害关系。</w:t>
      </w:r>
    </w:p>
    <w:p w14:paraId="55DA6B5E">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（二）我方与参加本项目的其他供应商不存在直接控股、管理关系，或者与其他供应商法定代表人（或者负责人）为同一人。</w:t>
      </w:r>
    </w:p>
    <w:p w14:paraId="3870EB9B">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（三）我方未为本项目前期准备提供设计或咨询服务。</w:t>
      </w:r>
    </w:p>
    <w:p w14:paraId="2B7A2007">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（四）我方承诺（承诺期：成立三年以上的，为提交首次响应文件截止时间前三年内；成立不足三年的，为实际时间）：</w:t>
      </w:r>
    </w:p>
    <w:p w14:paraId="60B2F706">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1、我方依法缴纳了各项税费及各项社会保障资金，没有偷税、漏税及欠缴行为。</w:t>
      </w:r>
    </w:p>
    <w:p w14:paraId="21CD15CC">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bookmarkStart w:id="249" w:name="_Toc24535"/>
      <w:bookmarkStart w:id="250" w:name="_Toc15284"/>
      <w:r>
        <w:rPr>
          <w:rFonts w:hint="eastAsia" w:ascii="宋体" w:hAnsi="宋体" w:eastAsia="宋体" w:cs="宋体"/>
          <w:color w:val="000000"/>
        </w:rPr>
        <w:t>2、我方在经营活动中没有存在下列重大违法记录：</w:t>
      </w:r>
      <w:bookmarkEnd w:id="249"/>
      <w:bookmarkEnd w:id="250"/>
    </w:p>
    <w:p w14:paraId="6629F566">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(1)受到刑事处罚；</w:t>
      </w:r>
    </w:p>
    <w:p w14:paraId="23E91A27">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color w:val="000000"/>
        </w:rPr>
      </w:pPr>
      <w:r>
        <w:rPr>
          <w:rFonts w:hint="eastAsia" w:ascii="宋体" w:hAnsi="宋体" w:eastAsia="宋体" w:cs="宋体"/>
          <w:color w:val="000000"/>
        </w:rPr>
        <w:t>(2)受到三万元以上的罚款、责令停产停业、在一至三年内禁止参加政府采购活动、暂扣或者吊销许可证、暂扣或者吊销执照的行政处罚。</w:t>
      </w:r>
    </w:p>
    <w:p w14:paraId="1C9EA5BF">
      <w:pPr>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szCs w:val="21"/>
        </w:rPr>
      </w:pPr>
      <w:bookmarkStart w:id="251" w:name="_Toc31644"/>
      <w:bookmarkStart w:id="252" w:name="_Toc13548"/>
      <w:r>
        <w:rPr>
          <w:rFonts w:hint="eastAsia" w:ascii="宋体" w:hAnsi="宋体" w:eastAsia="宋体" w:cs="宋体"/>
          <w:bCs/>
          <w:szCs w:val="21"/>
        </w:rPr>
        <w:t>附件1：</w:t>
      </w:r>
      <w:r>
        <w:rPr>
          <w:rFonts w:hint="eastAsia" w:ascii="宋体" w:hAnsi="宋体" w:eastAsia="宋体" w:cs="宋体"/>
          <w:szCs w:val="21"/>
        </w:rPr>
        <w:t>法定代表人身份证明</w:t>
      </w:r>
      <w:bookmarkEnd w:id="251"/>
      <w:bookmarkEnd w:id="252"/>
    </w:p>
    <w:p w14:paraId="51C6A840">
      <w:pPr>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bCs/>
          <w:szCs w:val="21"/>
        </w:rPr>
        <w:t>附件2</w:t>
      </w:r>
      <w:r>
        <w:rPr>
          <w:rFonts w:hint="eastAsia" w:ascii="宋体" w:hAnsi="宋体" w:eastAsia="宋体" w:cs="宋体"/>
          <w:szCs w:val="21"/>
        </w:rPr>
        <w:t>：法定代表人授权书</w:t>
      </w:r>
    </w:p>
    <w:p w14:paraId="242DC10A">
      <w:pPr>
        <w:pStyle w:val="24"/>
        <w:keepNext w:val="0"/>
        <w:keepLines w:val="0"/>
        <w:pageBreakBefore w:val="0"/>
        <w:widowControl w:val="0"/>
        <w:kinsoku/>
        <w:wordWrap/>
        <w:overflowPunct/>
        <w:topLinePunct w:val="0"/>
        <w:autoSpaceDE/>
        <w:autoSpaceDN/>
        <w:bidi w:val="0"/>
        <w:adjustRightInd w:val="0"/>
        <w:snapToGrid w:val="0"/>
        <w:spacing w:line="360" w:lineRule="auto"/>
        <w:ind w:right="0" w:firstLine="444" w:firstLineChars="200"/>
        <w:textAlignment w:val="auto"/>
        <w:outlineLvl w:val="9"/>
        <w:rPr>
          <w:rFonts w:hint="eastAsia" w:ascii="宋体" w:hAnsi="宋体" w:eastAsia="宋体" w:cs="宋体"/>
          <w:kern w:val="21"/>
          <w:sz w:val="21"/>
        </w:rPr>
      </w:pPr>
      <w:r>
        <w:rPr>
          <w:rFonts w:hint="default" w:ascii="Times New Roman" w:hAnsi="Times New Roman" w:cs="Times New Roman"/>
          <w:spacing w:val="6"/>
          <w:kern w:val="21"/>
          <w:sz w:val="21"/>
          <w:szCs w:val="21"/>
        </w:rPr>
        <w:t>供应商名称（盖单位公章）</w:t>
      </w:r>
      <w:r>
        <w:rPr>
          <w:rFonts w:hint="eastAsia" w:ascii="宋体" w:hAnsi="宋体" w:eastAsia="宋体" w:cs="宋体"/>
          <w:kern w:val="21"/>
          <w:sz w:val="21"/>
        </w:rPr>
        <w:t>：</w:t>
      </w:r>
    </w:p>
    <w:p w14:paraId="27C997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color w:val="auto"/>
          <w:szCs w:val="21"/>
        </w:rPr>
        <w:t>或其委托代理人（签字或印章）：</w:t>
      </w:r>
      <w:r>
        <w:rPr>
          <w:rFonts w:hint="eastAsia" w:ascii="宋体" w:hAnsi="宋体"/>
          <w:color w:val="auto"/>
          <w:szCs w:val="21"/>
          <w:u w:val="single"/>
        </w:rPr>
        <w:t xml:space="preserve">       </w:t>
      </w:r>
    </w:p>
    <w:p w14:paraId="16B44C36">
      <w:pPr>
        <w:keepNext w:val="0"/>
        <w:keepLines w:val="0"/>
        <w:pageBreakBefore w:val="0"/>
        <w:widowControl w:val="0"/>
        <w:kinsoku/>
        <w:wordWrap/>
        <w:overflowPunct/>
        <w:topLinePunct w:val="0"/>
        <w:autoSpaceDE/>
        <w:autoSpaceDN/>
        <w:bidi w:val="0"/>
        <w:adjustRightInd w:val="0"/>
        <w:snapToGrid w:val="0"/>
        <w:spacing w:line="360" w:lineRule="auto"/>
        <w:ind w:right="0" w:firstLine="420" w:firstLineChars="200"/>
        <w:textAlignment w:val="auto"/>
        <w:outlineLvl w:val="9"/>
        <w:rPr>
          <w:rFonts w:hint="eastAsia" w:ascii="宋体" w:hAnsi="宋体" w:eastAsia="宋体" w:cs="宋体"/>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cs="宋体"/>
          <w:szCs w:val="21"/>
          <w:u w:val="single"/>
          <w:lang w:val="en-US" w:eastAsia="zh-CN"/>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7F63A9F0">
      <w:pPr>
        <w:rPr>
          <w:rFonts w:hint="default" w:ascii="Times New Roman" w:hAnsi="Times New Roman" w:cs="Times New Roman"/>
        </w:rPr>
      </w:pPr>
    </w:p>
    <w:p w14:paraId="2512BD9D">
      <w:pPr>
        <w:rPr>
          <w:rFonts w:hint="default" w:ascii="Times New Roman" w:hAnsi="Times New Roman" w:cs="Times New Roman"/>
        </w:rPr>
      </w:pPr>
    </w:p>
    <w:p w14:paraId="0816955B">
      <w:pPr>
        <w:adjustRightInd w:val="0"/>
        <w:snapToGrid w:val="0"/>
        <w:spacing w:line="360" w:lineRule="auto"/>
        <w:ind w:left="0" w:leftChars="0" w:right="24" w:firstLine="0" w:firstLineChars="0"/>
        <w:outlineLvl w:val="2"/>
        <w:rPr>
          <w:rFonts w:hint="eastAsia" w:asciiTheme="majorEastAsia" w:hAnsiTheme="majorEastAsia" w:eastAsiaTheme="majorEastAsia" w:cstheme="majorEastAsia"/>
          <w:b/>
          <w:bCs w:val="0"/>
          <w:sz w:val="21"/>
          <w:szCs w:val="21"/>
          <w:lang w:val="en-US" w:eastAsia="zh-CN"/>
        </w:rPr>
      </w:pPr>
      <w:bookmarkStart w:id="253" w:name="_Toc502"/>
      <w:bookmarkStart w:id="254" w:name="_Toc4603"/>
      <w:bookmarkStart w:id="255" w:name="_Toc14385"/>
      <w:bookmarkStart w:id="256" w:name="_Toc3495"/>
      <w:bookmarkStart w:id="257" w:name="_Toc11297"/>
      <w:r>
        <w:rPr>
          <w:rFonts w:hint="eastAsia" w:asciiTheme="majorEastAsia" w:hAnsiTheme="majorEastAsia" w:eastAsiaTheme="majorEastAsia" w:cstheme="majorEastAsia"/>
          <w:b/>
          <w:bCs w:val="0"/>
          <w:sz w:val="21"/>
          <w:szCs w:val="21"/>
        </w:rPr>
        <w:t>附件1</w:t>
      </w:r>
      <w:bookmarkEnd w:id="253"/>
      <w:bookmarkEnd w:id="254"/>
      <w:bookmarkEnd w:id="255"/>
      <w:r>
        <w:rPr>
          <w:rFonts w:hint="eastAsia" w:asciiTheme="majorEastAsia" w:hAnsiTheme="majorEastAsia" w:eastAsiaTheme="majorEastAsia" w:cstheme="majorEastAsia"/>
          <w:b/>
          <w:bCs w:val="0"/>
          <w:sz w:val="21"/>
          <w:szCs w:val="21"/>
          <w:lang w:val="en-US" w:eastAsia="zh-CN"/>
        </w:rPr>
        <w:t>-1 法定代表人（单位负责人）身份证明</w:t>
      </w:r>
      <w:bookmarkEnd w:id="256"/>
      <w:bookmarkEnd w:id="257"/>
    </w:p>
    <w:p w14:paraId="5509B20E">
      <w:pPr>
        <w:adjustRightInd w:val="0"/>
        <w:snapToGrid w:val="0"/>
        <w:spacing w:line="360" w:lineRule="auto"/>
        <w:ind w:right="24"/>
        <w:outlineLvl w:val="9"/>
        <w:rPr>
          <w:rFonts w:hint="eastAsia" w:asciiTheme="majorEastAsia" w:hAnsiTheme="majorEastAsia" w:eastAsiaTheme="majorEastAsia" w:cstheme="majorEastAsia"/>
          <w:bCs/>
          <w:sz w:val="21"/>
          <w:szCs w:val="21"/>
          <w:lang w:val="en-US" w:eastAsia="zh-CN"/>
        </w:rPr>
      </w:pPr>
    </w:p>
    <w:p w14:paraId="5D8775DB">
      <w:pPr>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法定代表人（单位负责人）身份证明</w:t>
      </w:r>
    </w:p>
    <w:p w14:paraId="67E058C4">
      <w:pPr>
        <w:tabs>
          <w:tab w:val="left" w:pos="3880"/>
        </w:tabs>
        <w:autoSpaceDE w:val="0"/>
        <w:autoSpaceDN w:val="0"/>
        <w:adjustRightInd w:val="0"/>
        <w:snapToGrid w:val="0"/>
        <w:spacing w:line="360" w:lineRule="auto"/>
        <w:ind w:left="100" w:right="-20"/>
        <w:jc w:val="left"/>
        <w:rPr>
          <w:rFonts w:hint="default" w:ascii="Times New Roman" w:hAnsi="Times New Roman" w:cs="Times New Roman"/>
          <w:kern w:val="0"/>
          <w:szCs w:val="21"/>
        </w:rPr>
      </w:pPr>
      <w:r>
        <w:rPr>
          <w:rFonts w:hint="default" w:ascii="Times New Roman" w:hAnsi="Times New Roman" w:cs="Times New Roman"/>
          <w:kern w:val="0"/>
          <w:position w:val="-4"/>
          <w:szCs w:val="21"/>
          <w:lang w:eastAsia="zh-CN"/>
        </w:rPr>
        <w:t>供应商</w:t>
      </w:r>
      <w:r>
        <w:rPr>
          <w:rFonts w:hint="default" w:ascii="Times New Roman" w:hAnsi="Times New Roman" w:cs="Times New Roman"/>
          <w:kern w:val="0"/>
          <w:position w:val="-4"/>
          <w:szCs w:val="21"/>
        </w:rPr>
        <w:t>名</w:t>
      </w:r>
      <w:r>
        <w:rPr>
          <w:rFonts w:hint="default" w:ascii="Times New Roman" w:hAnsi="Times New Roman" w:cs="Times New Roman"/>
          <w:spacing w:val="-2"/>
          <w:kern w:val="0"/>
          <w:position w:val="-4"/>
          <w:szCs w:val="21"/>
        </w:rPr>
        <w:t>称</w:t>
      </w:r>
      <w:r>
        <w:rPr>
          <w:rFonts w:hint="default" w:ascii="Times New Roman" w:hAnsi="Times New Roman" w:cs="Times New Roman"/>
          <w:kern w:val="0"/>
          <w:position w:val="-4"/>
          <w:szCs w:val="21"/>
        </w:rPr>
        <w:t>：</w:t>
      </w:r>
      <w:r>
        <w:rPr>
          <w:rFonts w:hint="default" w:ascii="Times New Roman" w:hAnsi="Times New Roman" w:cs="Times New Roman"/>
          <w:spacing w:val="-2"/>
          <w:kern w:val="0"/>
          <w:position w:val="-2"/>
          <w:szCs w:val="21"/>
          <w:u w:val="single"/>
        </w:rPr>
        <w:t xml:space="preserve">               </w:t>
      </w:r>
    </w:p>
    <w:p w14:paraId="043C90EB">
      <w:pPr>
        <w:tabs>
          <w:tab w:val="left" w:pos="2400"/>
          <w:tab w:val="left" w:pos="3880"/>
          <w:tab w:val="left" w:pos="5340"/>
          <w:tab w:val="left" w:pos="6820"/>
        </w:tabs>
        <w:autoSpaceDE w:val="0"/>
        <w:autoSpaceDN w:val="0"/>
        <w:adjustRightInd w:val="0"/>
        <w:snapToGrid w:val="0"/>
        <w:spacing w:line="360" w:lineRule="auto"/>
        <w:ind w:left="100" w:right="-20"/>
        <w:jc w:val="left"/>
        <w:rPr>
          <w:rFonts w:hint="default" w:ascii="Times New Roman" w:hAnsi="Times New Roman" w:cs="Times New Roman"/>
          <w:kern w:val="0"/>
          <w:position w:val="-2"/>
          <w:szCs w:val="21"/>
        </w:rPr>
      </w:pPr>
      <w:r>
        <w:rPr>
          <w:rFonts w:hint="default" w:ascii="Times New Roman" w:hAnsi="Times New Roman" w:cs="Times New Roman"/>
          <w:kern w:val="0"/>
          <w:position w:val="-2"/>
          <w:szCs w:val="21"/>
        </w:rPr>
        <w:t>统一社会信用代码：</w:t>
      </w:r>
      <w:r>
        <w:rPr>
          <w:rFonts w:hint="default" w:ascii="Times New Roman" w:hAnsi="Times New Roman" w:cs="Times New Roman"/>
          <w:spacing w:val="-2"/>
          <w:kern w:val="0"/>
          <w:position w:val="-2"/>
          <w:szCs w:val="21"/>
          <w:u w:val="single"/>
        </w:rPr>
        <w:t xml:space="preserve">                </w:t>
      </w:r>
    </w:p>
    <w:p w14:paraId="661B50D6">
      <w:pPr>
        <w:tabs>
          <w:tab w:val="left" w:pos="2400"/>
          <w:tab w:val="left" w:pos="3880"/>
          <w:tab w:val="left" w:pos="5340"/>
          <w:tab w:val="left" w:pos="6820"/>
        </w:tabs>
        <w:autoSpaceDE w:val="0"/>
        <w:autoSpaceDN w:val="0"/>
        <w:adjustRightInd w:val="0"/>
        <w:snapToGrid w:val="0"/>
        <w:spacing w:line="360" w:lineRule="auto"/>
        <w:ind w:left="100" w:right="-20"/>
        <w:jc w:val="left"/>
        <w:rPr>
          <w:rFonts w:hint="default" w:ascii="Times New Roman" w:hAnsi="Times New Roman" w:cs="Times New Roman"/>
          <w:kern w:val="0"/>
          <w:position w:val="-2"/>
          <w:szCs w:val="21"/>
        </w:rPr>
      </w:pPr>
      <w:r>
        <w:rPr>
          <w:rFonts w:hint="default" w:ascii="Times New Roman" w:hAnsi="Times New Roman" w:cs="Times New Roman"/>
          <w:kern w:val="0"/>
          <w:position w:val="-2"/>
          <w:szCs w:val="21"/>
        </w:rPr>
        <w:t>注册地址：</w:t>
      </w:r>
    </w:p>
    <w:p w14:paraId="37FA1DED">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default" w:ascii="Times New Roman" w:hAnsi="Times New Roman" w:cs="Times New Roman"/>
          <w:kern w:val="0"/>
          <w:szCs w:val="21"/>
        </w:rPr>
      </w:pPr>
      <w:r>
        <w:rPr>
          <w:rFonts w:hint="default" w:ascii="Times New Roman" w:hAnsi="Times New Roman" w:cs="Times New Roman"/>
          <w:kern w:val="0"/>
          <w:position w:val="-2"/>
          <w:szCs w:val="21"/>
        </w:rPr>
        <w:t>姓名</w:t>
      </w:r>
      <w:r>
        <w:rPr>
          <w:rFonts w:hint="default" w:ascii="Times New Roman" w:hAnsi="Times New Roman" w:cs="Times New Roman"/>
          <w:spacing w:val="-2"/>
          <w:kern w:val="0"/>
          <w:position w:val="-2"/>
          <w:szCs w:val="21"/>
        </w:rPr>
        <w:t>：</w:t>
      </w:r>
      <w:r>
        <w:rPr>
          <w:rFonts w:hint="default" w:ascii="Times New Roman" w:hAnsi="Times New Roman" w:cs="Times New Roman"/>
          <w:spacing w:val="-2"/>
          <w:kern w:val="0"/>
          <w:position w:val="-2"/>
          <w:szCs w:val="21"/>
          <w:u w:val="single"/>
        </w:rPr>
        <w:t xml:space="preserve">     </w:t>
      </w:r>
      <w:r>
        <w:rPr>
          <w:rFonts w:hint="default" w:ascii="Times New Roman" w:hAnsi="Times New Roman" w:cs="Times New Roman"/>
          <w:kern w:val="0"/>
          <w:position w:val="-2"/>
          <w:szCs w:val="21"/>
        </w:rPr>
        <w:t>性别</w:t>
      </w:r>
      <w:r>
        <w:rPr>
          <w:rFonts w:hint="default" w:ascii="Times New Roman" w:hAnsi="Times New Roman" w:cs="Times New Roman"/>
          <w:spacing w:val="-2"/>
          <w:kern w:val="0"/>
          <w:position w:val="-2"/>
          <w:szCs w:val="21"/>
        </w:rPr>
        <w:t>：</w:t>
      </w:r>
      <w:r>
        <w:rPr>
          <w:rFonts w:hint="default" w:ascii="Times New Roman" w:hAnsi="Times New Roman" w:cs="Times New Roman"/>
          <w:spacing w:val="-2"/>
          <w:kern w:val="0"/>
          <w:position w:val="-2"/>
          <w:szCs w:val="21"/>
          <w:u w:val="single"/>
        </w:rPr>
        <w:t xml:space="preserve">   </w:t>
      </w:r>
      <w:r>
        <w:rPr>
          <w:rFonts w:hint="default" w:ascii="Times New Roman" w:hAnsi="Times New Roman" w:cs="Times New Roman"/>
          <w:kern w:val="0"/>
          <w:position w:val="-2"/>
          <w:szCs w:val="21"/>
        </w:rPr>
        <w:t>年</w:t>
      </w:r>
      <w:r>
        <w:rPr>
          <w:rFonts w:hint="default" w:ascii="Times New Roman" w:hAnsi="Times New Roman" w:cs="Times New Roman"/>
          <w:spacing w:val="-2"/>
          <w:kern w:val="0"/>
          <w:position w:val="-2"/>
          <w:szCs w:val="21"/>
        </w:rPr>
        <w:t>龄</w:t>
      </w:r>
      <w:r>
        <w:rPr>
          <w:rFonts w:hint="default" w:ascii="Times New Roman" w:hAnsi="Times New Roman" w:cs="Times New Roman"/>
          <w:kern w:val="0"/>
          <w:position w:val="-2"/>
          <w:szCs w:val="21"/>
        </w:rPr>
        <w:t>：</w:t>
      </w:r>
      <w:r>
        <w:rPr>
          <w:rFonts w:hint="default" w:ascii="Times New Roman" w:hAnsi="Times New Roman" w:cs="Times New Roman"/>
          <w:spacing w:val="-2"/>
          <w:kern w:val="0"/>
          <w:position w:val="-2"/>
          <w:szCs w:val="21"/>
          <w:u w:val="single"/>
        </w:rPr>
        <w:t xml:space="preserve">   </w:t>
      </w:r>
      <w:r>
        <w:rPr>
          <w:rFonts w:hint="default" w:ascii="Times New Roman" w:hAnsi="Times New Roman" w:cs="Times New Roman"/>
          <w:kern w:val="0"/>
          <w:position w:val="-2"/>
          <w:szCs w:val="21"/>
        </w:rPr>
        <w:t xml:space="preserve">   职</w:t>
      </w:r>
      <w:r>
        <w:rPr>
          <w:rFonts w:hint="default" w:ascii="Times New Roman" w:hAnsi="Times New Roman" w:cs="Times New Roman"/>
          <w:spacing w:val="-2"/>
          <w:kern w:val="0"/>
          <w:position w:val="-2"/>
          <w:szCs w:val="21"/>
        </w:rPr>
        <w:t>务</w:t>
      </w:r>
      <w:r>
        <w:rPr>
          <w:rFonts w:hint="default" w:ascii="Times New Roman" w:hAnsi="Times New Roman" w:cs="Times New Roman"/>
          <w:kern w:val="0"/>
          <w:position w:val="-2"/>
          <w:szCs w:val="21"/>
        </w:rPr>
        <w:t>：</w:t>
      </w:r>
      <w:r>
        <w:rPr>
          <w:rFonts w:hint="default" w:ascii="Times New Roman" w:hAnsi="Times New Roman" w:cs="Times New Roman"/>
          <w:spacing w:val="-2"/>
          <w:kern w:val="0"/>
          <w:position w:val="-2"/>
          <w:szCs w:val="21"/>
          <w:u w:val="single"/>
        </w:rPr>
        <w:t xml:space="preserve">   </w:t>
      </w:r>
      <w:r>
        <w:rPr>
          <w:rFonts w:hint="default" w:ascii="Times New Roman" w:hAnsi="Times New Roman" w:cs="Times New Roman"/>
          <w:kern w:val="0"/>
          <w:position w:val="-2"/>
          <w:szCs w:val="21"/>
        </w:rPr>
        <w:t xml:space="preserve">    系</w:t>
      </w:r>
      <w:r>
        <w:rPr>
          <w:rFonts w:hint="default" w:ascii="Times New Roman" w:hAnsi="Times New Roman" w:cs="Times New Roman"/>
          <w:spacing w:val="-2"/>
          <w:kern w:val="0"/>
          <w:position w:val="-2"/>
          <w:szCs w:val="21"/>
        </w:rPr>
        <w:t>（</w:t>
      </w:r>
      <w:r>
        <w:rPr>
          <w:rFonts w:hint="default" w:ascii="Times New Roman" w:hAnsi="Times New Roman" w:cs="Times New Roman"/>
          <w:kern w:val="0"/>
          <w:position w:val="-2"/>
          <w:szCs w:val="21"/>
          <w:lang w:eastAsia="zh-CN"/>
        </w:rPr>
        <w:t>供应商</w:t>
      </w:r>
      <w:r>
        <w:rPr>
          <w:rFonts w:hint="default" w:ascii="Times New Roman" w:hAnsi="Times New Roman" w:cs="Times New Roman"/>
          <w:spacing w:val="-2"/>
          <w:kern w:val="0"/>
          <w:position w:val="-2"/>
          <w:szCs w:val="21"/>
        </w:rPr>
        <w:t>名</w:t>
      </w:r>
      <w:r>
        <w:rPr>
          <w:rFonts w:hint="default" w:ascii="Times New Roman" w:hAnsi="Times New Roman" w:cs="Times New Roman"/>
          <w:kern w:val="0"/>
          <w:position w:val="-2"/>
          <w:szCs w:val="21"/>
        </w:rPr>
        <w:t>称</w:t>
      </w:r>
      <w:r>
        <w:rPr>
          <w:rFonts w:hint="default" w:ascii="Times New Roman" w:hAnsi="Times New Roman" w:cs="Times New Roman"/>
          <w:spacing w:val="-2"/>
          <w:kern w:val="0"/>
          <w:position w:val="-2"/>
          <w:szCs w:val="21"/>
        </w:rPr>
        <w:t>）</w:t>
      </w:r>
      <w:r>
        <w:rPr>
          <w:rFonts w:hint="default" w:ascii="Times New Roman" w:hAnsi="Times New Roman" w:cs="Times New Roman"/>
          <w:kern w:val="0"/>
          <w:position w:val="-2"/>
          <w:szCs w:val="21"/>
        </w:rPr>
        <w:t>的</w:t>
      </w:r>
      <w:r>
        <w:rPr>
          <w:rFonts w:hint="default" w:ascii="Times New Roman" w:hAnsi="Times New Roman" w:cs="Times New Roman"/>
          <w:spacing w:val="-2"/>
          <w:kern w:val="0"/>
          <w:position w:val="-2"/>
          <w:szCs w:val="21"/>
        </w:rPr>
        <w:t>法定</w:t>
      </w:r>
      <w:r>
        <w:rPr>
          <w:rFonts w:hint="default" w:ascii="Times New Roman" w:hAnsi="Times New Roman" w:cs="Times New Roman"/>
          <w:kern w:val="0"/>
          <w:position w:val="-2"/>
          <w:szCs w:val="21"/>
        </w:rPr>
        <w:t>代表</w:t>
      </w:r>
      <w:r>
        <w:rPr>
          <w:rFonts w:hint="default" w:ascii="Times New Roman" w:hAnsi="Times New Roman" w:cs="Times New Roman"/>
          <w:spacing w:val="-2"/>
          <w:kern w:val="0"/>
          <w:position w:val="-2"/>
          <w:szCs w:val="21"/>
        </w:rPr>
        <w:t>人</w:t>
      </w:r>
      <w:r>
        <w:rPr>
          <w:rFonts w:hint="default" w:ascii="Times New Roman" w:hAnsi="Times New Roman" w:cs="Times New Roman"/>
          <w:kern w:val="0"/>
          <w:position w:val="-2"/>
          <w:szCs w:val="21"/>
        </w:rPr>
        <w:t>（</w:t>
      </w:r>
      <w:r>
        <w:rPr>
          <w:rFonts w:hint="default" w:ascii="Times New Roman" w:hAnsi="Times New Roman" w:cs="Times New Roman"/>
          <w:spacing w:val="-2"/>
          <w:kern w:val="0"/>
          <w:position w:val="-2"/>
          <w:szCs w:val="21"/>
        </w:rPr>
        <w:t>单</w:t>
      </w:r>
      <w:r>
        <w:rPr>
          <w:rFonts w:hint="default" w:ascii="Times New Roman" w:hAnsi="Times New Roman" w:cs="Times New Roman"/>
          <w:kern w:val="0"/>
          <w:position w:val="-2"/>
          <w:szCs w:val="21"/>
        </w:rPr>
        <w:t>位</w:t>
      </w:r>
      <w:r>
        <w:rPr>
          <w:rFonts w:hint="default" w:ascii="Times New Roman" w:hAnsi="Times New Roman" w:cs="Times New Roman"/>
          <w:spacing w:val="-2"/>
          <w:kern w:val="0"/>
          <w:position w:val="-2"/>
          <w:szCs w:val="21"/>
        </w:rPr>
        <w:t>负</w:t>
      </w:r>
      <w:r>
        <w:rPr>
          <w:rFonts w:hint="default" w:ascii="Times New Roman" w:hAnsi="Times New Roman" w:cs="Times New Roman"/>
          <w:kern w:val="0"/>
          <w:position w:val="-2"/>
          <w:szCs w:val="21"/>
        </w:rPr>
        <w:t>责</w:t>
      </w:r>
      <w:r>
        <w:rPr>
          <w:rFonts w:hint="default" w:ascii="Times New Roman" w:hAnsi="Times New Roman" w:cs="Times New Roman"/>
          <w:spacing w:val="-2"/>
          <w:kern w:val="0"/>
          <w:position w:val="-2"/>
          <w:szCs w:val="21"/>
        </w:rPr>
        <w:t>人</w:t>
      </w:r>
      <w:r>
        <w:rPr>
          <w:rFonts w:hint="default" w:ascii="Times New Roman" w:hAnsi="Times New Roman" w:cs="Times New Roman"/>
          <w:spacing w:val="-106"/>
          <w:kern w:val="0"/>
          <w:position w:val="-2"/>
          <w:szCs w:val="21"/>
        </w:rPr>
        <w:t>）</w:t>
      </w:r>
      <w:r>
        <w:rPr>
          <w:rFonts w:hint="default" w:ascii="Times New Roman" w:hAnsi="Times New Roman" w:cs="Times New Roman"/>
          <w:kern w:val="0"/>
          <w:position w:val="-2"/>
          <w:szCs w:val="21"/>
        </w:rPr>
        <w:t>。</w:t>
      </w:r>
    </w:p>
    <w:p w14:paraId="3FADE8B8">
      <w:pPr>
        <w:autoSpaceDE w:val="0"/>
        <w:autoSpaceDN w:val="0"/>
        <w:adjustRightInd w:val="0"/>
        <w:snapToGrid w:val="0"/>
        <w:spacing w:line="360" w:lineRule="auto"/>
        <w:ind w:left="520" w:right="-20"/>
        <w:jc w:val="left"/>
        <w:rPr>
          <w:rFonts w:hint="default" w:ascii="Times New Roman" w:hAnsi="Times New Roman" w:cs="Times New Roman"/>
          <w:kern w:val="0"/>
          <w:szCs w:val="21"/>
        </w:rPr>
      </w:pPr>
      <w:r>
        <w:rPr>
          <w:rFonts w:hint="default" w:ascii="Times New Roman" w:hAnsi="Times New Roman" w:cs="Times New Roman"/>
          <w:kern w:val="0"/>
          <w:szCs w:val="21"/>
        </w:rPr>
        <w:t>特此</w:t>
      </w:r>
      <w:r>
        <w:rPr>
          <w:rFonts w:hint="default" w:ascii="Times New Roman" w:hAnsi="Times New Roman" w:cs="Times New Roman"/>
          <w:spacing w:val="-2"/>
          <w:kern w:val="0"/>
          <w:szCs w:val="21"/>
        </w:rPr>
        <w:t>证</w:t>
      </w:r>
      <w:r>
        <w:rPr>
          <w:rFonts w:hint="default" w:ascii="Times New Roman" w:hAnsi="Times New Roman" w:cs="Times New Roman"/>
          <w:kern w:val="0"/>
          <w:szCs w:val="21"/>
        </w:rPr>
        <w:t>明。</w:t>
      </w:r>
    </w:p>
    <w:p w14:paraId="12176905">
      <w:pPr>
        <w:autoSpaceDE w:val="0"/>
        <w:autoSpaceDN w:val="0"/>
        <w:adjustRightInd w:val="0"/>
        <w:snapToGrid w:val="0"/>
        <w:spacing w:line="360" w:lineRule="auto"/>
        <w:ind w:left="100" w:right="4231"/>
        <w:jc w:val="left"/>
        <w:rPr>
          <w:rFonts w:hint="default" w:ascii="Times New Roman" w:hAnsi="Times New Roman" w:cs="Times New Roman"/>
          <w:kern w:val="0"/>
          <w:szCs w:val="21"/>
        </w:rPr>
      </w:pPr>
      <w:r>
        <w:rPr>
          <w:rFonts w:hint="default" w:ascii="Times New Roman" w:hAnsi="Times New Roman" w:cs="Times New Roman"/>
          <w:kern w:val="0"/>
          <w:szCs w:val="21"/>
        </w:rPr>
        <w:t>附：</w:t>
      </w:r>
      <w:r>
        <w:rPr>
          <w:rFonts w:hint="default" w:ascii="Times New Roman" w:hAnsi="Times New Roman" w:cs="Times New Roman"/>
          <w:spacing w:val="-2"/>
          <w:kern w:val="0"/>
          <w:szCs w:val="21"/>
        </w:rPr>
        <w:t>法</w:t>
      </w:r>
      <w:r>
        <w:rPr>
          <w:rFonts w:hint="default" w:ascii="Times New Roman" w:hAnsi="Times New Roman" w:cs="Times New Roman"/>
          <w:kern w:val="0"/>
          <w:szCs w:val="21"/>
        </w:rPr>
        <w:t>定</w:t>
      </w:r>
      <w:r>
        <w:rPr>
          <w:rFonts w:hint="default" w:ascii="Times New Roman" w:hAnsi="Times New Roman" w:cs="Times New Roman"/>
          <w:spacing w:val="-2"/>
          <w:kern w:val="0"/>
          <w:szCs w:val="21"/>
        </w:rPr>
        <w:t>代</w:t>
      </w:r>
      <w:r>
        <w:rPr>
          <w:rFonts w:hint="default" w:ascii="Times New Roman" w:hAnsi="Times New Roman" w:cs="Times New Roman"/>
          <w:kern w:val="0"/>
          <w:szCs w:val="21"/>
        </w:rPr>
        <w:t>表</w:t>
      </w:r>
      <w:r>
        <w:rPr>
          <w:rFonts w:hint="default" w:ascii="Times New Roman" w:hAnsi="Times New Roman" w:cs="Times New Roman"/>
          <w:spacing w:val="-2"/>
          <w:kern w:val="0"/>
          <w:szCs w:val="21"/>
        </w:rPr>
        <w:t>人</w:t>
      </w:r>
      <w:r>
        <w:rPr>
          <w:rFonts w:hint="default" w:ascii="Times New Roman" w:hAnsi="Times New Roman" w:cs="Times New Roman"/>
          <w:kern w:val="0"/>
          <w:szCs w:val="21"/>
        </w:rPr>
        <w:t>（</w:t>
      </w:r>
      <w:r>
        <w:rPr>
          <w:rFonts w:hint="default" w:ascii="Times New Roman" w:hAnsi="Times New Roman" w:cs="Times New Roman"/>
          <w:spacing w:val="-2"/>
          <w:kern w:val="0"/>
          <w:szCs w:val="21"/>
        </w:rPr>
        <w:t>单</w:t>
      </w:r>
      <w:r>
        <w:rPr>
          <w:rFonts w:hint="default" w:ascii="Times New Roman" w:hAnsi="Times New Roman" w:cs="Times New Roman"/>
          <w:kern w:val="0"/>
          <w:szCs w:val="21"/>
        </w:rPr>
        <w:t>位</w:t>
      </w:r>
      <w:r>
        <w:rPr>
          <w:rFonts w:hint="default" w:ascii="Times New Roman" w:hAnsi="Times New Roman" w:cs="Times New Roman"/>
          <w:spacing w:val="-2"/>
          <w:kern w:val="0"/>
          <w:szCs w:val="21"/>
        </w:rPr>
        <w:t>负</w:t>
      </w:r>
      <w:r>
        <w:rPr>
          <w:rFonts w:hint="default" w:ascii="Times New Roman" w:hAnsi="Times New Roman" w:cs="Times New Roman"/>
          <w:kern w:val="0"/>
          <w:szCs w:val="21"/>
        </w:rPr>
        <w:t>责人</w:t>
      </w:r>
      <w:r>
        <w:rPr>
          <w:rFonts w:hint="default" w:ascii="Times New Roman" w:hAnsi="Times New Roman" w:cs="Times New Roman"/>
          <w:spacing w:val="-2"/>
          <w:kern w:val="0"/>
          <w:szCs w:val="21"/>
        </w:rPr>
        <w:t>）</w:t>
      </w:r>
      <w:r>
        <w:rPr>
          <w:rFonts w:hint="default" w:ascii="Times New Roman" w:hAnsi="Times New Roman" w:cs="Times New Roman"/>
          <w:kern w:val="0"/>
          <w:szCs w:val="21"/>
        </w:rPr>
        <w:t>身</w:t>
      </w:r>
      <w:r>
        <w:rPr>
          <w:rFonts w:hint="default" w:ascii="Times New Roman" w:hAnsi="Times New Roman" w:cs="Times New Roman"/>
          <w:spacing w:val="-2"/>
          <w:kern w:val="0"/>
          <w:szCs w:val="21"/>
        </w:rPr>
        <w:t>份</w:t>
      </w:r>
      <w:r>
        <w:rPr>
          <w:rFonts w:hint="default" w:ascii="Times New Roman" w:hAnsi="Times New Roman" w:cs="Times New Roman"/>
          <w:kern w:val="0"/>
          <w:szCs w:val="21"/>
        </w:rPr>
        <w:t>证</w:t>
      </w:r>
      <w:r>
        <w:rPr>
          <w:rFonts w:hint="default" w:ascii="Times New Roman" w:hAnsi="Times New Roman" w:cs="Times New Roman"/>
          <w:spacing w:val="-2"/>
          <w:kern w:val="0"/>
          <w:szCs w:val="21"/>
        </w:rPr>
        <w:t>原件扫描件</w:t>
      </w:r>
      <w:r>
        <w:rPr>
          <w:rFonts w:hint="default" w:ascii="Times New Roman" w:hAnsi="Times New Roman" w:cs="Times New Roman"/>
          <w:kern w:val="0"/>
          <w:szCs w:val="21"/>
        </w:rPr>
        <w:t>。</w:t>
      </w:r>
    </w:p>
    <w:tbl>
      <w:tblPr>
        <w:tblStyle w:val="46"/>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2039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22E9E786">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520C06C1">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74C3C594">
      <w:pPr>
        <w:adjustRightInd w:val="0"/>
        <w:snapToGrid w:val="0"/>
        <w:spacing w:line="360" w:lineRule="auto"/>
        <w:ind w:firstLine="210" w:firstLineChars="100"/>
        <w:rPr>
          <w:rFonts w:hint="default" w:ascii="Times New Roman" w:hAnsi="Times New Roman" w:cs="Times New Roman"/>
          <w:szCs w:val="21"/>
        </w:rPr>
      </w:pPr>
      <w:r>
        <w:rPr>
          <w:rFonts w:hint="default" w:ascii="Times New Roman" w:hAnsi="Times New Roman" w:cs="Times New Roman"/>
          <w:szCs w:val="21"/>
        </w:rPr>
        <w:t>注：</w:t>
      </w:r>
      <w:r>
        <w:rPr>
          <w:rFonts w:hint="default" w:ascii="Times New Roman" w:hAnsi="Times New Roman" w:cs="Times New Roman"/>
          <w:szCs w:val="21"/>
          <w:lang w:eastAsia="zh-CN"/>
        </w:rPr>
        <w:t>供应商</w:t>
      </w:r>
      <w:r>
        <w:rPr>
          <w:rFonts w:hint="default" w:ascii="Times New Roman" w:hAnsi="Times New Roman" w:cs="Times New Roman"/>
          <w:szCs w:val="21"/>
        </w:rPr>
        <w:t>代表为法定代表人（单位负责人）的提供。自然人投标的无需提供。</w:t>
      </w:r>
    </w:p>
    <w:p w14:paraId="2BACB4F7">
      <w:pPr>
        <w:adjustRightInd w:val="0"/>
        <w:snapToGrid w:val="0"/>
        <w:spacing w:line="360" w:lineRule="auto"/>
        <w:rPr>
          <w:rFonts w:hint="default" w:ascii="Times New Roman" w:hAnsi="Times New Roman" w:cs="Times New Roman"/>
          <w:szCs w:val="21"/>
        </w:rPr>
      </w:pPr>
    </w:p>
    <w:p w14:paraId="69391967">
      <w:pPr>
        <w:adjustRightInd w:val="0"/>
        <w:snapToGrid w:val="0"/>
        <w:spacing w:line="360" w:lineRule="auto"/>
        <w:rPr>
          <w:rFonts w:hint="default" w:ascii="Times New Roman" w:hAnsi="Times New Roman" w:cs="Times New Roman"/>
          <w:szCs w:val="21"/>
        </w:rPr>
      </w:pPr>
    </w:p>
    <w:p w14:paraId="389BF1F8">
      <w:pPr>
        <w:adjustRightInd w:val="0"/>
        <w:snapToGrid w:val="0"/>
        <w:spacing w:line="360" w:lineRule="auto"/>
        <w:rPr>
          <w:rFonts w:hint="default" w:ascii="Times New Roman" w:hAnsi="Times New Roman" w:cs="Times New Roman"/>
          <w:szCs w:val="21"/>
        </w:rPr>
      </w:pPr>
      <w:r>
        <w:rPr>
          <w:rFonts w:hint="default" w:ascii="Times New Roman" w:hAnsi="Times New Roman" w:cs="Times New Roman"/>
          <w:spacing w:val="6"/>
          <w:kern w:val="0"/>
          <w:szCs w:val="21"/>
        </w:rPr>
        <w:t>供应商名称（盖单位公章）</w:t>
      </w:r>
      <w:r>
        <w:rPr>
          <w:rFonts w:hint="default" w:ascii="Times New Roman" w:hAnsi="Times New Roman" w:cs="Times New Roman"/>
          <w:szCs w:val="21"/>
        </w:rPr>
        <w:t>：</w:t>
      </w:r>
    </w:p>
    <w:p w14:paraId="72F4A122">
      <w:pPr>
        <w:adjustRightInd w:val="0"/>
        <w:snapToGrid w:val="0"/>
        <w:spacing w:line="360" w:lineRule="auto"/>
        <w:ind w:right="420"/>
        <w:rPr>
          <w:rFonts w:hint="default" w:ascii="Times New Roman" w:hAnsi="Times New Roman" w:cs="Times New Roman"/>
          <w:szCs w:val="21"/>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1F21409B">
      <w:pPr>
        <w:snapToGrid w:val="0"/>
        <w:spacing w:line="480" w:lineRule="auto"/>
        <w:rPr>
          <w:rFonts w:hint="default" w:ascii="Times New Roman" w:hAnsi="Times New Roman" w:cs="Times New Roman"/>
          <w:szCs w:val="21"/>
        </w:rPr>
      </w:pPr>
    </w:p>
    <w:p w14:paraId="5CC596FE">
      <w:pPr>
        <w:snapToGrid w:val="0"/>
        <w:rPr>
          <w:rFonts w:hint="default" w:ascii="Times New Roman" w:hAnsi="Times New Roman" w:cs="Times New Roman"/>
          <w:szCs w:val="21"/>
        </w:rPr>
      </w:pPr>
    </w:p>
    <w:p w14:paraId="3B72CCB9">
      <w:pPr>
        <w:snapToGrid w:val="0"/>
        <w:rPr>
          <w:rFonts w:hint="default" w:ascii="Times New Roman" w:hAnsi="Times New Roman" w:cs="Times New Roman"/>
          <w:szCs w:val="21"/>
        </w:rPr>
      </w:pPr>
    </w:p>
    <w:p w14:paraId="3CFE87C0">
      <w:pPr>
        <w:snapToGrid w:val="0"/>
        <w:rPr>
          <w:rFonts w:hint="default" w:ascii="Times New Roman" w:hAnsi="Times New Roman" w:cs="Times New Roman"/>
          <w:szCs w:val="21"/>
        </w:rPr>
      </w:pPr>
    </w:p>
    <w:p w14:paraId="01E906C2">
      <w:pPr>
        <w:snapToGrid w:val="0"/>
        <w:rPr>
          <w:rFonts w:hint="default" w:ascii="Times New Roman" w:hAnsi="Times New Roman" w:cs="Times New Roman"/>
          <w:szCs w:val="21"/>
        </w:rPr>
      </w:pPr>
    </w:p>
    <w:p w14:paraId="51684721">
      <w:pPr>
        <w:rPr>
          <w:rFonts w:hint="default" w:ascii="Times New Roman" w:hAnsi="Times New Roman" w:cs="Times New Roman"/>
        </w:rPr>
      </w:pPr>
    </w:p>
    <w:p w14:paraId="27DDAB5E">
      <w:pPr>
        <w:rPr>
          <w:rFonts w:hint="default" w:ascii="Times New Roman" w:hAnsi="Times New Roman" w:cs="Times New Roman"/>
        </w:rPr>
      </w:pPr>
    </w:p>
    <w:p w14:paraId="402E76B8">
      <w:pPr>
        <w:rPr>
          <w:rFonts w:hint="default" w:ascii="Times New Roman" w:hAnsi="Times New Roman" w:cs="Times New Roman"/>
        </w:rPr>
      </w:pPr>
    </w:p>
    <w:p w14:paraId="1FCC53D2">
      <w:pPr>
        <w:rPr>
          <w:rFonts w:hint="default" w:ascii="Times New Roman" w:hAnsi="Times New Roman" w:cs="Times New Roman"/>
        </w:rPr>
      </w:pPr>
    </w:p>
    <w:p w14:paraId="5BD18DFD">
      <w:pPr>
        <w:rPr>
          <w:rFonts w:hint="default" w:ascii="Times New Roman" w:hAnsi="Times New Roman" w:cs="Times New Roman"/>
        </w:rPr>
      </w:pPr>
    </w:p>
    <w:p w14:paraId="38BCD8A8">
      <w:pPr>
        <w:rPr>
          <w:rFonts w:hint="default" w:ascii="Times New Roman" w:hAnsi="Times New Roman" w:cs="Times New Roman"/>
        </w:rPr>
      </w:pPr>
    </w:p>
    <w:p w14:paraId="18DE1E8F">
      <w:pPr>
        <w:rPr>
          <w:rFonts w:hint="default" w:ascii="Times New Roman" w:hAnsi="Times New Roman" w:cs="Times New Roman"/>
        </w:rPr>
      </w:pPr>
    </w:p>
    <w:p w14:paraId="3DCC72CA">
      <w:pPr>
        <w:rPr>
          <w:rFonts w:hint="default" w:ascii="Times New Roman" w:hAnsi="Times New Roman" w:cs="Times New Roman"/>
        </w:rPr>
      </w:pPr>
    </w:p>
    <w:p w14:paraId="0E1F2333">
      <w:pPr>
        <w:rPr>
          <w:rFonts w:hint="default" w:ascii="Times New Roman" w:hAnsi="Times New Roman" w:cs="Times New Roman"/>
        </w:rPr>
      </w:pPr>
    </w:p>
    <w:p w14:paraId="7E50E67D">
      <w:pPr>
        <w:rPr>
          <w:rFonts w:hint="default" w:ascii="Times New Roman" w:hAnsi="Times New Roman" w:cs="Times New Roman"/>
        </w:rPr>
      </w:pPr>
    </w:p>
    <w:p w14:paraId="7350DA36">
      <w:pPr>
        <w:rPr>
          <w:rFonts w:hint="default" w:ascii="Times New Roman" w:hAnsi="Times New Roman" w:eastAsia="黑体" w:cs="Times New Roman"/>
          <w:bCs/>
          <w:sz w:val="30"/>
          <w:szCs w:val="30"/>
        </w:rPr>
      </w:pPr>
      <w:bookmarkStart w:id="258" w:name="_Toc13048"/>
      <w:r>
        <w:rPr>
          <w:rFonts w:hint="default" w:ascii="Times New Roman" w:hAnsi="Times New Roman" w:eastAsia="黑体" w:cs="Times New Roman"/>
          <w:bCs/>
          <w:sz w:val="30"/>
          <w:szCs w:val="30"/>
        </w:rPr>
        <w:br w:type="page"/>
      </w:r>
    </w:p>
    <w:p w14:paraId="7D3200CC">
      <w:pPr>
        <w:adjustRightInd w:val="0"/>
        <w:snapToGrid w:val="0"/>
        <w:spacing w:beforeLines="50" w:line="360" w:lineRule="auto"/>
        <w:ind w:left="0" w:leftChars="0" w:firstLine="0" w:firstLineChars="0"/>
        <w:outlineLvl w:val="2"/>
        <w:rPr>
          <w:rFonts w:hint="eastAsia" w:ascii="Times New Roman" w:hAnsi="Times New Roman" w:eastAsia="黑体" w:cs="Times New Roman"/>
          <w:sz w:val="30"/>
          <w:szCs w:val="30"/>
          <w:lang w:val="en-US" w:eastAsia="zh-CN"/>
        </w:rPr>
      </w:pPr>
      <w:bookmarkStart w:id="259" w:name="_Toc15367"/>
      <w:bookmarkStart w:id="260" w:name="_Toc20480"/>
      <w:bookmarkStart w:id="261" w:name="_Toc6933"/>
      <w:bookmarkStart w:id="262" w:name="_Toc23885"/>
      <w:r>
        <w:rPr>
          <w:rFonts w:hint="eastAsia" w:asciiTheme="minorEastAsia" w:hAnsiTheme="minorEastAsia" w:eastAsiaTheme="minorEastAsia" w:cstheme="minorEastAsia"/>
          <w:b/>
          <w:bCs w:val="0"/>
          <w:sz w:val="21"/>
          <w:szCs w:val="21"/>
        </w:rPr>
        <w:t>附件</w:t>
      </w:r>
      <w:r>
        <w:rPr>
          <w:rFonts w:hint="eastAsia" w:asciiTheme="majorEastAsia" w:hAnsiTheme="majorEastAsia" w:eastAsiaTheme="majorEastAsia" w:cstheme="majorEastAsia"/>
          <w:b/>
          <w:bCs w:val="0"/>
          <w:sz w:val="21"/>
          <w:szCs w:val="21"/>
          <w:lang w:val="en-US" w:eastAsia="zh-CN"/>
        </w:rPr>
        <w:t>1-</w:t>
      </w:r>
      <w:r>
        <w:rPr>
          <w:rFonts w:hint="eastAsia" w:asciiTheme="majorEastAsia" w:hAnsiTheme="majorEastAsia" w:eastAsiaTheme="majorEastAsia" w:cstheme="majorEastAsia"/>
          <w:b/>
          <w:bCs w:val="0"/>
          <w:sz w:val="21"/>
          <w:szCs w:val="21"/>
        </w:rPr>
        <w:t>2</w:t>
      </w:r>
      <w:bookmarkEnd w:id="258"/>
      <w:bookmarkEnd w:id="259"/>
      <w:bookmarkEnd w:id="260"/>
      <w:r>
        <w:rPr>
          <w:rFonts w:hint="eastAsia" w:asciiTheme="majorEastAsia" w:hAnsiTheme="majorEastAsia" w:eastAsiaTheme="majorEastAsia" w:cstheme="majorEastAsia"/>
          <w:b/>
          <w:bCs w:val="0"/>
          <w:sz w:val="21"/>
          <w:szCs w:val="21"/>
          <w:lang w:val="en-US" w:eastAsia="zh-CN"/>
        </w:rPr>
        <w:t xml:space="preserve"> 法定代表人</w:t>
      </w:r>
      <w:r>
        <w:rPr>
          <w:rFonts w:hint="default" w:ascii="Times New Roman" w:hAnsi="Times New Roman" w:cs="Times New Roman"/>
          <w:b/>
          <w:bCs w:val="0"/>
          <w:kern w:val="0"/>
          <w:szCs w:val="21"/>
        </w:rPr>
        <w:t>（</w:t>
      </w:r>
      <w:r>
        <w:rPr>
          <w:rFonts w:hint="default" w:ascii="Times New Roman" w:hAnsi="Times New Roman" w:cs="Times New Roman"/>
          <w:b/>
          <w:bCs w:val="0"/>
          <w:spacing w:val="-2"/>
          <w:kern w:val="0"/>
          <w:szCs w:val="21"/>
        </w:rPr>
        <w:t>单</w:t>
      </w:r>
      <w:r>
        <w:rPr>
          <w:rFonts w:hint="default" w:ascii="Times New Roman" w:hAnsi="Times New Roman" w:cs="Times New Roman"/>
          <w:b/>
          <w:bCs w:val="0"/>
          <w:kern w:val="0"/>
          <w:szCs w:val="21"/>
        </w:rPr>
        <w:t>位</w:t>
      </w:r>
      <w:r>
        <w:rPr>
          <w:rFonts w:hint="default" w:ascii="Times New Roman" w:hAnsi="Times New Roman" w:cs="Times New Roman"/>
          <w:b/>
          <w:bCs w:val="0"/>
          <w:spacing w:val="-2"/>
          <w:kern w:val="0"/>
          <w:szCs w:val="21"/>
        </w:rPr>
        <w:t>负</w:t>
      </w:r>
      <w:r>
        <w:rPr>
          <w:rFonts w:hint="default" w:ascii="Times New Roman" w:hAnsi="Times New Roman" w:cs="Times New Roman"/>
          <w:b/>
          <w:bCs w:val="0"/>
          <w:kern w:val="0"/>
          <w:szCs w:val="21"/>
        </w:rPr>
        <w:t>责人</w:t>
      </w:r>
      <w:r>
        <w:rPr>
          <w:rFonts w:hint="default" w:ascii="Times New Roman" w:hAnsi="Times New Roman" w:cs="Times New Roman"/>
          <w:b/>
          <w:bCs w:val="0"/>
          <w:spacing w:val="-2"/>
          <w:kern w:val="0"/>
          <w:szCs w:val="21"/>
        </w:rPr>
        <w:t>）</w:t>
      </w:r>
      <w:r>
        <w:rPr>
          <w:rFonts w:hint="eastAsia" w:asciiTheme="majorEastAsia" w:hAnsiTheme="majorEastAsia" w:eastAsiaTheme="majorEastAsia" w:cstheme="majorEastAsia"/>
          <w:b/>
          <w:bCs w:val="0"/>
          <w:sz w:val="21"/>
          <w:szCs w:val="21"/>
          <w:lang w:val="en-US" w:eastAsia="zh-CN"/>
        </w:rPr>
        <w:t>授权委托书</w:t>
      </w:r>
      <w:bookmarkEnd w:id="261"/>
      <w:bookmarkEnd w:id="262"/>
    </w:p>
    <w:p w14:paraId="4F9652EF">
      <w:pPr>
        <w:ind w:left="0" w:leftChars="0" w:firstLine="0" w:firstLineChars="0"/>
        <w:jc w:val="center"/>
        <w:rPr>
          <w:rFonts w:hint="default" w:ascii="Times New Roman" w:hAnsi="Times New Roman" w:eastAsia="黑体" w:cs="Times New Roman"/>
          <w:b/>
          <w:sz w:val="28"/>
          <w:szCs w:val="28"/>
        </w:rPr>
      </w:pPr>
    </w:p>
    <w:p w14:paraId="2C4ECF3C">
      <w:pPr>
        <w:ind w:left="0" w:leftChars="0" w:firstLine="0" w:firstLineChars="0"/>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法定代表人（单位负责人）授权委托书</w:t>
      </w:r>
    </w:p>
    <w:p w14:paraId="5B0E2EA1">
      <w:pPr>
        <w:autoSpaceDE w:val="0"/>
        <w:autoSpaceDN w:val="0"/>
        <w:adjustRightInd w:val="0"/>
        <w:snapToGrid w:val="0"/>
        <w:spacing w:line="360" w:lineRule="auto"/>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本人（姓名、职务）系（</w:t>
      </w:r>
      <w:r>
        <w:rPr>
          <w:rFonts w:hint="default" w:ascii="Times New Roman" w:hAnsi="Times New Roman" w:cs="Times New Roman"/>
          <w:szCs w:val="21"/>
          <w:lang w:eastAsia="zh-CN"/>
        </w:rPr>
        <w:t>供应商</w:t>
      </w:r>
      <w:r>
        <w:rPr>
          <w:rFonts w:hint="default" w:ascii="Times New Roman" w:hAnsi="Times New Roman" w:cs="Times New Roman"/>
          <w:kern w:val="0"/>
          <w:szCs w:val="21"/>
        </w:rPr>
        <w:t>名称）的法定代表人（</w:t>
      </w:r>
      <w:r>
        <w:rPr>
          <w:rFonts w:hint="default" w:ascii="Times New Roman" w:hAnsi="Times New Roman" w:cs="Times New Roman"/>
          <w:spacing w:val="-2"/>
          <w:kern w:val="0"/>
          <w:szCs w:val="21"/>
        </w:rPr>
        <w:t>单</w:t>
      </w:r>
      <w:r>
        <w:rPr>
          <w:rFonts w:hint="default" w:ascii="Times New Roman" w:hAnsi="Times New Roman" w:cs="Times New Roman"/>
          <w:kern w:val="0"/>
          <w:szCs w:val="21"/>
        </w:rPr>
        <w:t>位</w:t>
      </w:r>
      <w:r>
        <w:rPr>
          <w:rFonts w:hint="default" w:ascii="Times New Roman" w:hAnsi="Times New Roman" w:cs="Times New Roman"/>
          <w:spacing w:val="-2"/>
          <w:kern w:val="0"/>
          <w:szCs w:val="21"/>
        </w:rPr>
        <w:t>负</w:t>
      </w:r>
      <w:r>
        <w:rPr>
          <w:rFonts w:hint="default" w:ascii="Times New Roman" w:hAnsi="Times New Roman" w:cs="Times New Roman"/>
          <w:kern w:val="0"/>
          <w:szCs w:val="21"/>
        </w:rPr>
        <w:t>责人</w:t>
      </w:r>
      <w:r>
        <w:rPr>
          <w:rFonts w:hint="default" w:ascii="Times New Roman" w:hAnsi="Times New Roman" w:cs="Times New Roman"/>
          <w:spacing w:val="-2"/>
          <w:kern w:val="0"/>
          <w:szCs w:val="21"/>
        </w:rPr>
        <w:t>）</w:t>
      </w:r>
      <w:r>
        <w:rPr>
          <w:rFonts w:hint="default" w:ascii="Times New Roman" w:hAnsi="Times New Roman" w:cs="Times New Roman"/>
          <w:kern w:val="0"/>
          <w:szCs w:val="21"/>
        </w:rPr>
        <w:t>，现授权（姓名、职务）为我方代理人。代理人根据授权，以我方名义签署、澄清、说明、补正、递交、撤回、修改（项目名称）（</w:t>
      </w:r>
      <w:r>
        <w:rPr>
          <w:rFonts w:hint="eastAsia" w:cs="Times New Roman"/>
          <w:lang w:eastAsia="zh-CN"/>
        </w:rPr>
        <w:t>政府采购计划编号</w:t>
      </w:r>
      <w:r>
        <w:rPr>
          <w:rFonts w:hint="default" w:ascii="Times New Roman" w:hAnsi="Times New Roman" w:cs="Times New Roman"/>
          <w:iCs/>
        </w:rPr>
        <w:t>：</w:t>
      </w:r>
      <w:r>
        <w:rPr>
          <w:rFonts w:hint="default" w:ascii="Times New Roman" w:hAnsi="Times New Roman" w:cs="Times New Roman"/>
          <w:iCs/>
          <w:u w:val="single"/>
        </w:rPr>
        <w:t xml:space="preserve">      </w:t>
      </w:r>
      <w:r>
        <w:rPr>
          <w:rFonts w:hint="default" w:ascii="Times New Roman" w:hAnsi="Times New Roman" w:cs="Times New Roman"/>
          <w:iCs/>
        </w:rPr>
        <w:t>，</w:t>
      </w:r>
      <w:r>
        <w:rPr>
          <w:rFonts w:hint="default" w:ascii="Times New Roman" w:hAnsi="Times New Roman" w:cs="Times New Roman"/>
          <w:kern w:val="0"/>
          <w:szCs w:val="21"/>
        </w:rPr>
        <w:t>采购代理编号：</w:t>
      </w:r>
      <w:r>
        <w:rPr>
          <w:rFonts w:hint="default" w:ascii="Times New Roman" w:hAnsi="Times New Roman" w:cs="Times New Roman"/>
          <w:kern w:val="0"/>
          <w:szCs w:val="21"/>
          <w:u w:val="single"/>
        </w:rPr>
        <w:t xml:space="preserve">     </w:t>
      </w:r>
      <w:r>
        <w:rPr>
          <w:rFonts w:hint="default" w:ascii="Times New Roman" w:hAnsi="Times New Roman" w:cs="Times New Roman"/>
          <w:kern w:val="0"/>
          <w:szCs w:val="21"/>
        </w:rPr>
        <w:t xml:space="preserve"> ）投标文件、签订合同和处理有关事宜，其法律后果由我方承担。</w:t>
      </w:r>
    </w:p>
    <w:p w14:paraId="2BD0468B">
      <w:pPr>
        <w:autoSpaceDE w:val="0"/>
        <w:autoSpaceDN w:val="0"/>
        <w:adjustRightInd w:val="0"/>
        <w:snapToGrid w:val="0"/>
        <w:spacing w:line="360" w:lineRule="auto"/>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委托期限：</w:t>
      </w:r>
      <w:r>
        <w:rPr>
          <w:rFonts w:hint="default" w:ascii="Times New Roman" w:hAnsi="Times New Roman" w:cs="Times New Roman"/>
          <w:kern w:val="0"/>
          <w:szCs w:val="21"/>
          <w:u w:val="single"/>
        </w:rPr>
        <w:t xml:space="preserve">        </w:t>
      </w:r>
      <w:r>
        <w:rPr>
          <w:rFonts w:hint="default" w:ascii="Times New Roman" w:hAnsi="Times New Roman" w:cs="Times New Roman"/>
          <w:kern w:val="0"/>
          <w:szCs w:val="21"/>
        </w:rPr>
        <w:t>。</w:t>
      </w:r>
    </w:p>
    <w:p w14:paraId="1128EC79">
      <w:pPr>
        <w:adjustRightInd w:val="0"/>
        <w:snapToGrid w:val="0"/>
        <w:spacing w:line="360" w:lineRule="auto"/>
        <w:ind w:firstLine="435"/>
        <w:rPr>
          <w:rFonts w:hint="default" w:ascii="Times New Roman" w:hAnsi="Times New Roman" w:cs="Times New Roman"/>
          <w:kern w:val="0"/>
          <w:szCs w:val="21"/>
        </w:rPr>
      </w:pPr>
      <w:r>
        <w:rPr>
          <w:rFonts w:hint="default" w:ascii="Times New Roman" w:hAnsi="Times New Roman" w:cs="Times New Roman"/>
          <w:kern w:val="0"/>
          <w:szCs w:val="21"/>
        </w:rPr>
        <w:t>代理人无转委托权。</w:t>
      </w:r>
    </w:p>
    <w:p w14:paraId="0874FDBD">
      <w:pPr>
        <w:adjustRightInd w:val="0"/>
        <w:snapToGrid w:val="0"/>
        <w:spacing w:line="360" w:lineRule="auto"/>
        <w:ind w:firstLine="435"/>
        <w:rPr>
          <w:rFonts w:hint="default" w:ascii="Times New Roman" w:hAnsi="Times New Roman" w:cs="Times New Roman"/>
          <w:kern w:val="0"/>
          <w:szCs w:val="21"/>
        </w:rPr>
      </w:pPr>
      <w:r>
        <w:rPr>
          <w:rFonts w:hint="default" w:ascii="Times New Roman" w:hAnsi="Times New Roman" w:cs="Times New Roman"/>
          <w:szCs w:val="21"/>
        </w:rPr>
        <w:t>本授权书于年月日签字生效，特此声明。</w:t>
      </w:r>
    </w:p>
    <w:tbl>
      <w:tblPr>
        <w:tblStyle w:val="46"/>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5"/>
        <w:gridCol w:w="4324"/>
      </w:tblGrid>
      <w:tr w14:paraId="5A89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4465" w:type="dxa"/>
            <w:vAlign w:val="center"/>
          </w:tcPr>
          <w:p w14:paraId="5C72B56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lang w:val="en-US" w:eastAsia="zh-CN"/>
              </w:rPr>
              <w:t>法人</w:t>
            </w:r>
            <w:r>
              <w:rPr>
                <w:rFonts w:hint="default" w:ascii="Times New Roman" w:hAnsi="Times New Roman" w:cs="Times New Roman"/>
                <w:szCs w:val="21"/>
              </w:rPr>
              <w:t>身份证（正面）</w:t>
            </w:r>
          </w:p>
        </w:tc>
        <w:tc>
          <w:tcPr>
            <w:tcW w:w="4324" w:type="dxa"/>
            <w:vAlign w:val="center"/>
          </w:tcPr>
          <w:p w14:paraId="4BF76AED">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lang w:val="en-US" w:eastAsia="zh-CN"/>
              </w:rPr>
              <w:t>法人</w:t>
            </w:r>
            <w:r>
              <w:rPr>
                <w:rFonts w:hint="default" w:ascii="Times New Roman" w:hAnsi="Times New Roman" w:cs="Times New Roman"/>
                <w:szCs w:val="21"/>
              </w:rPr>
              <w:t>身份证（反面）</w:t>
            </w:r>
          </w:p>
        </w:tc>
      </w:tr>
      <w:tr w14:paraId="7A2E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465" w:type="dxa"/>
            <w:vAlign w:val="center"/>
          </w:tcPr>
          <w:p w14:paraId="1DB6566E">
            <w:pPr>
              <w:adjustRightInd w:val="0"/>
              <w:snapToGrid w:val="0"/>
              <w:spacing w:line="36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委托人</w:t>
            </w:r>
            <w:r>
              <w:rPr>
                <w:rFonts w:hint="default" w:ascii="Times New Roman" w:hAnsi="Times New Roman" w:cs="Times New Roman"/>
                <w:szCs w:val="21"/>
              </w:rPr>
              <w:t>身份证（正面）</w:t>
            </w:r>
          </w:p>
        </w:tc>
        <w:tc>
          <w:tcPr>
            <w:tcW w:w="4324" w:type="dxa"/>
            <w:vAlign w:val="center"/>
          </w:tcPr>
          <w:p w14:paraId="615B4692">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lang w:val="en-US" w:eastAsia="zh-CN"/>
              </w:rPr>
              <w:t>委托人</w:t>
            </w:r>
            <w:r>
              <w:rPr>
                <w:rFonts w:hint="default" w:ascii="Times New Roman" w:hAnsi="Times New Roman" w:cs="Times New Roman"/>
                <w:szCs w:val="21"/>
              </w:rPr>
              <w:t>身份证（</w:t>
            </w:r>
            <w:r>
              <w:rPr>
                <w:rFonts w:hint="default" w:ascii="Times New Roman" w:hAnsi="Times New Roman" w:cs="Times New Roman"/>
                <w:szCs w:val="21"/>
                <w:lang w:val="en-US" w:eastAsia="zh-CN"/>
              </w:rPr>
              <w:t>反</w:t>
            </w:r>
            <w:r>
              <w:rPr>
                <w:rFonts w:hint="default" w:ascii="Times New Roman" w:hAnsi="Times New Roman" w:cs="Times New Roman"/>
                <w:szCs w:val="21"/>
              </w:rPr>
              <w:t>面）</w:t>
            </w:r>
          </w:p>
        </w:tc>
      </w:tr>
    </w:tbl>
    <w:p w14:paraId="7DEC1870">
      <w:pPr>
        <w:adjustRightInd w:val="0"/>
        <w:snapToGrid w:val="0"/>
        <w:spacing w:line="360" w:lineRule="auto"/>
        <w:rPr>
          <w:rFonts w:hint="default" w:ascii="Times New Roman" w:hAnsi="Times New Roman" w:cs="Times New Roman"/>
          <w:szCs w:val="21"/>
        </w:rPr>
      </w:pPr>
      <w:r>
        <w:rPr>
          <w:rFonts w:hint="default" w:ascii="Times New Roman" w:hAnsi="Times New Roman" w:cs="Times New Roman"/>
          <w:szCs w:val="21"/>
        </w:rPr>
        <w:t>注：</w:t>
      </w:r>
      <w:r>
        <w:rPr>
          <w:rFonts w:hint="default" w:ascii="Times New Roman" w:hAnsi="Times New Roman" w:cs="Times New Roman"/>
          <w:szCs w:val="21"/>
          <w:lang w:eastAsia="zh-CN"/>
        </w:rPr>
        <w:t>供应商</w:t>
      </w:r>
      <w:r>
        <w:rPr>
          <w:rFonts w:hint="default" w:ascii="Times New Roman" w:hAnsi="Times New Roman" w:cs="Times New Roman"/>
          <w:szCs w:val="21"/>
        </w:rPr>
        <w:t>代表不是</w:t>
      </w:r>
      <w:r>
        <w:rPr>
          <w:rFonts w:hint="default" w:ascii="Times New Roman" w:hAnsi="Times New Roman" w:cs="Times New Roman"/>
          <w:szCs w:val="21"/>
          <w:lang w:eastAsia="zh-CN"/>
        </w:rPr>
        <w:t>供应商</w:t>
      </w:r>
      <w:r>
        <w:rPr>
          <w:rFonts w:hint="default" w:ascii="Times New Roman" w:hAnsi="Times New Roman" w:cs="Times New Roman"/>
          <w:szCs w:val="21"/>
        </w:rPr>
        <w:t>的法定代表人（单位负责人）的提供。自然人投标的无需提供。</w:t>
      </w:r>
    </w:p>
    <w:p w14:paraId="48563F3E">
      <w:pPr>
        <w:adjustRightInd w:val="0"/>
        <w:snapToGrid w:val="0"/>
        <w:spacing w:line="360" w:lineRule="auto"/>
        <w:ind w:firstLine="420" w:firstLineChars="200"/>
        <w:rPr>
          <w:rFonts w:hint="default" w:ascii="Times New Roman" w:hAnsi="Times New Roman" w:cs="Times New Roman"/>
          <w:szCs w:val="21"/>
        </w:rPr>
      </w:pPr>
    </w:p>
    <w:p w14:paraId="0095E29C">
      <w:pPr>
        <w:adjustRightInd w:val="0"/>
        <w:snapToGrid w:val="0"/>
        <w:spacing w:line="360" w:lineRule="auto"/>
        <w:ind w:firstLine="420" w:firstLineChars="200"/>
        <w:rPr>
          <w:rFonts w:hint="default" w:ascii="Times New Roman" w:hAnsi="Times New Roman" w:cs="Times New Roman"/>
          <w:szCs w:val="21"/>
        </w:rPr>
      </w:pPr>
    </w:p>
    <w:p w14:paraId="130C80FA">
      <w:pPr>
        <w:adjustRightInd w:val="0"/>
        <w:snapToGrid w:val="0"/>
        <w:spacing w:line="360" w:lineRule="auto"/>
        <w:rPr>
          <w:rFonts w:hint="default" w:ascii="Times New Roman" w:hAnsi="Times New Roman" w:cs="Times New Roman"/>
          <w:szCs w:val="21"/>
        </w:rPr>
      </w:pPr>
      <w:r>
        <w:rPr>
          <w:rFonts w:hint="default" w:ascii="Times New Roman" w:hAnsi="Times New Roman" w:cs="Times New Roman"/>
          <w:spacing w:val="6"/>
          <w:kern w:val="0"/>
          <w:szCs w:val="21"/>
        </w:rPr>
        <w:t>供应商名称（盖单位公章）</w:t>
      </w:r>
      <w:r>
        <w:rPr>
          <w:rFonts w:hint="default" w:ascii="Times New Roman" w:hAnsi="Times New Roman" w:cs="Times New Roman"/>
          <w:szCs w:val="21"/>
        </w:rPr>
        <w:t>：</w:t>
      </w:r>
    </w:p>
    <w:p w14:paraId="1F321A9C">
      <w:pPr>
        <w:adjustRightInd w:val="0"/>
        <w:snapToGrid w:val="0"/>
        <w:spacing w:line="360" w:lineRule="auto"/>
        <w:ind w:right="420"/>
        <w:rPr>
          <w:rFonts w:hint="default" w:ascii="Times New Roman" w:hAnsi="Times New Roman" w:cs="Times New Roman"/>
          <w:szCs w:val="21"/>
        </w:rPr>
      </w:pPr>
      <w:r>
        <w:rPr>
          <w:rFonts w:hint="default" w:ascii="Times New Roman" w:hAnsi="Times New Roman" w:cs="Times New Roman"/>
          <w:spacing w:val="-2"/>
          <w:kern w:val="0"/>
          <w:szCs w:val="21"/>
        </w:rPr>
        <w:t>法</w:t>
      </w:r>
      <w:r>
        <w:rPr>
          <w:rFonts w:hint="default" w:ascii="Times New Roman" w:hAnsi="Times New Roman" w:cs="Times New Roman"/>
          <w:kern w:val="0"/>
          <w:szCs w:val="21"/>
        </w:rPr>
        <w:t>定</w:t>
      </w:r>
      <w:r>
        <w:rPr>
          <w:rFonts w:hint="default" w:ascii="Times New Roman" w:hAnsi="Times New Roman" w:cs="Times New Roman"/>
          <w:spacing w:val="-2"/>
          <w:kern w:val="0"/>
          <w:szCs w:val="21"/>
        </w:rPr>
        <w:t>代</w:t>
      </w:r>
      <w:r>
        <w:rPr>
          <w:rFonts w:hint="default" w:ascii="Times New Roman" w:hAnsi="Times New Roman" w:cs="Times New Roman"/>
          <w:kern w:val="0"/>
          <w:szCs w:val="21"/>
        </w:rPr>
        <w:t>表</w:t>
      </w:r>
      <w:r>
        <w:rPr>
          <w:rFonts w:hint="default" w:ascii="Times New Roman" w:hAnsi="Times New Roman" w:cs="Times New Roman"/>
          <w:spacing w:val="-2"/>
          <w:kern w:val="0"/>
          <w:szCs w:val="21"/>
        </w:rPr>
        <w:t>人</w:t>
      </w:r>
      <w:r>
        <w:rPr>
          <w:rFonts w:hint="default" w:ascii="Times New Roman" w:hAnsi="Times New Roman" w:cs="Times New Roman"/>
          <w:kern w:val="0"/>
          <w:szCs w:val="21"/>
        </w:rPr>
        <w:t>（</w:t>
      </w:r>
      <w:r>
        <w:rPr>
          <w:rFonts w:hint="default" w:ascii="Times New Roman" w:hAnsi="Times New Roman" w:cs="Times New Roman"/>
          <w:spacing w:val="-2"/>
          <w:kern w:val="0"/>
          <w:szCs w:val="21"/>
        </w:rPr>
        <w:t>单</w:t>
      </w:r>
      <w:r>
        <w:rPr>
          <w:rFonts w:hint="default" w:ascii="Times New Roman" w:hAnsi="Times New Roman" w:cs="Times New Roman"/>
          <w:kern w:val="0"/>
          <w:szCs w:val="21"/>
        </w:rPr>
        <w:t>位</w:t>
      </w:r>
      <w:r>
        <w:rPr>
          <w:rFonts w:hint="default" w:ascii="Times New Roman" w:hAnsi="Times New Roman" w:cs="Times New Roman"/>
          <w:spacing w:val="-2"/>
          <w:kern w:val="0"/>
          <w:szCs w:val="21"/>
        </w:rPr>
        <w:t>负</w:t>
      </w:r>
      <w:r>
        <w:rPr>
          <w:rFonts w:hint="default" w:ascii="Times New Roman" w:hAnsi="Times New Roman" w:cs="Times New Roman"/>
          <w:kern w:val="0"/>
          <w:szCs w:val="21"/>
        </w:rPr>
        <w:t>责人</w:t>
      </w:r>
      <w:r>
        <w:rPr>
          <w:rFonts w:hint="default" w:ascii="Times New Roman" w:hAnsi="Times New Roman" w:cs="Times New Roman"/>
          <w:spacing w:val="-2"/>
          <w:kern w:val="0"/>
          <w:szCs w:val="21"/>
        </w:rPr>
        <w:t>）</w:t>
      </w:r>
      <w:r>
        <w:rPr>
          <w:rFonts w:hint="default" w:ascii="Times New Roman" w:hAnsi="Times New Roman" w:cs="Times New Roman"/>
          <w:szCs w:val="21"/>
        </w:rPr>
        <w:t>（签字或印章）：</w:t>
      </w:r>
    </w:p>
    <w:p w14:paraId="0B1288C4">
      <w:pPr>
        <w:adjustRightInd w:val="0"/>
        <w:snapToGrid w:val="0"/>
        <w:spacing w:line="360" w:lineRule="auto"/>
        <w:ind w:right="420"/>
        <w:rPr>
          <w:rFonts w:hint="default" w:ascii="Times New Roman" w:hAnsi="Times New Roman" w:cs="Times New Roman"/>
          <w:szCs w:val="21"/>
        </w:rPr>
      </w:pPr>
      <w:r>
        <w:rPr>
          <w:rFonts w:hint="default" w:ascii="Times New Roman" w:hAnsi="Times New Roman" w:cs="Times New Roman"/>
          <w:szCs w:val="21"/>
        </w:rPr>
        <w:t>委托代理人（签字或印章）：</w:t>
      </w:r>
    </w:p>
    <w:p w14:paraId="4E017A4F">
      <w:pPr>
        <w:adjustRightInd w:val="0"/>
        <w:snapToGrid w:val="0"/>
        <w:spacing w:line="360" w:lineRule="auto"/>
        <w:ind w:right="420"/>
        <w:rPr>
          <w:rFonts w:hint="default" w:ascii="Times New Roman" w:hAnsi="Times New Roman" w:cs="Times New Roman"/>
          <w:szCs w:val="21"/>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2484E141">
      <w:pPr>
        <w:rPr>
          <w:rFonts w:hint="default" w:ascii="Times New Roman" w:hAnsi="Times New Roman" w:cs="Times New Roman"/>
        </w:rPr>
      </w:pPr>
    </w:p>
    <w:p w14:paraId="54192E5A">
      <w:pPr>
        <w:rPr>
          <w:rFonts w:hint="default" w:ascii="Times New Roman" w:hAnsi="Times New Roman" w:cs="Times New Roman"/>
        </w:rPr>
      </w:pPr>
    </w:p>
    <w:p w14:paraId="5CAC2877">
      <w:pPr>
        <w:rPr>
          <w:rFonts w:hint="default" w:ascii="Times New Roman" w:hAnsi="Times New Roman" w:cs="Times New Roman"/>
        </w:rPr>
      </w:pPr>
    </w:p>
    <w:p w14:paraId="4434D87A">
      <w:pPr>
        <w:rPr>
          <w:rFonts w:hint="default" w:ascii="Times New Roman" w:hAnsi="Times New Roman" w:cs="Times New Roman"/>
        </w:rPr>
      </w:pPr>
    </w:p>
    <w:p w14:paraId="55AFAF43">
      <w:pPr>
        <w:rPr>
          <w:rFonts w:hint="default" w:ascii="Times New Roman" w:hAnsi="Times New Roman" w:cs="Times New Roman"/>
        </w:rPr>
      </w:pPr>
    </w:p>
    <w:p w14:paraId="2919AEFA">
      <w:pPr>
        <w:rPr>
          <w:rFonts w:hint="default" w:ascii="Times New Roman" w:hAnsi="Times New Roman" w:cs="Times New Roman"/>
        </w:rPr>
      </w:pPr>
    </w:p>
    <w:p w14:paraId="7C528A76">
      <w:pPr>
        <w:rPr>
          <w:rFonts w:hint="default" w:ascii="Times New Roman" w:hAnsi="Times New Roman" w:cs="Times New Roman"/>
        </w:rPr>
      </w:pPr>
    </w:p>
    <w:p w14:paraId="33A41459">
      <w:pPr>
        <w:rPr>
          <w:rFonts w:hint="default" w:ascii="Times New Roman" w:hAnsi="Times New Roman" w:cs="Times New Roman"/>
        </w:rPr>
      </w:pPr>
    </w:p>
    <w:p w14:paraId="476D36E6">
      <w:pPr>
        <w:rPr>
          <w:rFonts w:hint="default" w:ascii="Times New Roman" w:hAnsi="Times New Roman" w:cs="Times New Roman"/>
        </w:rPr>
      </w:pPr>
    </w:p>
    <w:p w14:paraId="0D3CCA63">
      <w:pPr>
        <w:rPr>
          <w:rFonts w:hint="default" w:ascii="Times New Roman" w:hAnsi="Times New Roman" w:cs="Times New Roman"/>
        </w:rPr>
      </w:pPr>
    </w:p>
    <w:p w14:paraId="0FDC202E">
      <w:pPr>
        <w:rPr>
          <w:rFonts w:hint="default" w:ascii="Times New Roman" w:hAnsi="Times New Roman" w:cs="Times New Roman"/>
        </w:rPr>
      </w:pPr>
    </w:p>
    <w:p w14:paraId="6400E7F2">
      <w:pPr>
        <w:rPr>
          <w:rFonts w:hint="default" w:ascii="Times New Roman" w:hAnsi="Times New Roman" w:eastAsia="黑体" w:cs="Times New Roman"/>
          <w:b/>
          <w:sz w:val="28"/>
          <w:szCs w:val="28"/>
        </w:rPr>
      </w:pPr>
      <w:bookmarkStart w:id="263" w:name="_Toc21680"/>
      <w:bookmarkStart w:id="264" w:name="_Toc31395"/>
      <w:bookmarkStart w:id="265" w:name="_Toc2053"/>
      <w:r>
        <w:rPr>
          <w:rFonts w:hint="default" w:ascii="Times New Roman" w:hAnsi="Times New Roman" w:eastAsia="黑体" w:cs="Times New Roman"/>
          <w:b/>
          <w:sz w:val="28"/>
          <w:szCs w:val="28"/>
        </w:rPr>
        <w:br w:type="page"/>
      </w:r>
    </w:p>
    <w:p w14:paraId="0AE9EB0D">
      <w:pPr>
        <w:spacing w:line="360" w:lineRule="exact"/>
        <w:ind w:left="0" w:leftChars="0" w:firstLine="0" w:firstLineChars="0"/>
        <w:jc w:val="center"/>
        <w:outlineLvl w:val="1"/>
        <w:rPr>
          <w:rFonts w:hint="default" w:ascii="Times New Roman" w:hAnsi="Times New Roman" w:eastAsia="黑体" w:cs="Times New Roman"/>
          <w:b/>
          <w:sz w:val="28"/>
          <w:szCs w:val="28"/>
        </w:rPr>
      </w:pPr>
      <w:bookmarkStart w:id="266" w:name="_Toc13521"/>
      <w:r>
        <w:rPr>
          <w:rFonts w:hint="default" w:ascii="Times New Roman" w:hAnsi="Times New Roman" w:eastAsia="黑体" w:cs="Times New Roman"/>
          <w:b/>
          <w:sz w:val="28"/>
          <w:szCs w:val="28"/>
        </w:rPr>
        <w:t>二、磋商保证金缴纳证明材料</w:t>
      </w:r>
      <w:bookmarkEnd w:id="263"/>
      <w:bookmarkEnd w:id="264"/>
      <w:bookmarkEnd w:id="265"/>
      <w:bookmarkEnd w:id="266"/>
    </w:p>
    <w:p w14:paraId="6A9528EF">
      <w:pPr>
        <w:pStyle w:val="24"/>
        <w:adjustRightInd w:val="0"/>
        <w:snapToGrid w:val="0"/>
        <w:spacing w:beforeLines="50" w:line="360" w:lineRule="auto"/>
        <w:rPr>
          <w:rFonts w:hint="default" w:ascii="Times New Roman" w:hAnsi="Times New Roman" w:cs="Times New Roman"/>
        </w:rPr>
      </w:pPr>
    </w:p>
    <w:p w14:paraId="393B1B88">
      <w:pPr>
        <w:adjustRightInd w:val="0"/>
        <w:snapToGrid w:val="0"/>
        <w:spacing w:beforeLines="50" w:line="360" w:lineRule="auto"/>
        <w:ind w:firstLine="422" w:firstLineChars="200"/>
        <w:jc w:val="left"/>
        <w:rPr>
          <w:rFonts w:hint="default" w:ascii="Times New Roman" w:hAnsi="Times New Roman" w:cs="Times New Roman"/>
          <w:color w:val="000000"/>
          <w:szCs w:val="21"/>
        </w:rPr>
      </w:pPr>
      <w:r>
        <w:rPr>
          <w:rFonts w:hint="default" w:ascii="Times New Roman" w:hAnsi="Times New Roman" w:cs="Times New Roman"/>
          <w:b/>
          <w:color w:val="000000"/>
          <w:szCs w:val="21"/>
        </w:rPr>
        <w:t>备注</w:t>
      </w:r>
      <w:r>
        <w:rPr>
          <w:rFonts w:hint="default" w:ascii="Times New Roman" w:hAnsi="Times New Roman" w:cs="Times New Roman"/>
          <w:color w:val="000000"/>
          <w:szCs w:val="21"/>
        </w:rPr>
        <w:t>：提供：付款凭证复印件，或金融机构、担保机构出具的保函原件。</w:t>
      </w:r>
    </w:p>
    <w:p w14:paraId="6E396570">
      <w:pPr>
        <w:adjustRightInd w:val="0"/>
        <w:snapToGrid w:val="0"/>
        <w:spacing w:beforeLines="50" w:line="360" w:lineRule="auto"/>
        <w:ind w:firstLine="420" w:firstLineChars="200"/>
        <w:jc w:val="left"/>
        <w:rPr>
          <w:rFonts w:hint="default" w:ascii="Times New Roman" w:hAnsi="Times New Roman" w:cs="Times New Roman"/>
          <w:color w:val="000000"/>
        </w:rPr>
      </w:pPr>
    </w:p>
    <w:p w14:paraId="41F11C7B">
      <w:pPr>
        <w:adjustRightInd w:val="0"/>
        <w:snapToGrid w:val="0"/>
        <w:spacing w:line="360" w:lineRule="auto"/>
        <w:rPr>
          <w:rFonts w:hint="default" w:ascii="Times New Roman" w:hAnsi="Times New Roman" w:cs="Times New Roman"/>
        </w:rPr>
      </w:pPr>
    </w:p>
    <w:p w14:paraId="21B8BC73">
      <w:pPr>
        <w:rPr>
          <w:rFonts w:hint="default" w:ascii="Times New Roman" w:hAnsi="Times New Roman" w:cs="Times New Roman"/>
        </w:rPr>
      </w:pPr>
    </w:p>
    <w:p w14:paraId="62A24A63">
      <w:pPr>
        <w:rPr>
          <w:rFonts w:hint="default" w:ascii="Times New Roman" w:hAnsi="Times New Roman" w:cs="Times New Roman"/>
        </w:rPr>
      </w:pPr>
    </w:p>
    <w:p w14:paraId="12B96434">
      <w:pPr>
        <w:rPr>
          <w:rFonts w:hint="default" w:ascii="Times New Roman" w:hAnsi="Times New Roman" w:cs="Times New Roman"/>
        </w:rPr>
      </w:pPr>
    </w:p>
    <w:p w14:paraId="32B83D31">
      <w:pPr>
        <w:rPr>
          <w:rFonts w:hint="default" w:ascii="Times New Roman" w:hAnsi="Times New Roman" w:cs="Times New Roman"/>
        </w:rPr>
      </w:pPr>
    </w:p>
    <w:p w14:paraId="5CBC0C11">
      <w:pPr>
        <w:rPr>
          <w:rFonts w:hint="default" w:ascii="Times New Roman" w:hAnsi="Times New Roman" w:cs="Times New Roman"/>
        </w:rPr>
      </w:pPr>
    </w:p>
    <w:p w14:paraId="50B1141D">
      <w:pPr>
        <w:rPr>
          <w:rFonts w:hint="default" w:ascii="Times New Roman" w:hAnsi="Times New Roman" w:cs="Times New Roman"/>
        </w:rPr>
      </w:pPr>
    </w:p>
    <w:p w14:paraId="17952C25">
      <w:pPr>
        <w:rPr>
          <w:rFonts w:hint="default" w:ascii="Times New Roman" w:hAnsi="Times New Roman" w:cs="Times New Roman"/>
        </w:rPr>
      </w:pPr>
    </w:p>
    <w:p w14:paraId="51D35DE9">
      <w:pPr>
        <w:rPr>
          <w:rFonts w:hint="default" w:ascii="Times New Roman" w:hAnsi="Times New Roman" w:cs="Times New Roman"/>
        </w:rPr>
      </w:pPr>
    </w:p>
    <w:p w14:paraId="31D0021B">
      <w:pPr>
        <w:rPr>
          <w:rFonts w:hint="default" w:ascii="Times New Roman" w:hAnsi="Times New Roman" w:cs="Times New Roman"/>
        </w:rPr>
      </w:pPr>
    </w:p>
    <w:p w14:paraId="68887362">
      <w:pPr>
        <w:spacing w:line="360" w:lineRule="exact"/>
        <w:jc w:val="center"/>
        <w:outlineLvl w:val="9"/>
        <w:rPr>
          <w:rFonts w:hint="default" w:ascii="Times New Roman" w:hAnsi="Times New Roman" w:eastAsia="黑体" w:cs="Times New Roman"/>
          <w:b/>
          <w:sz w:val="32"/>
          <w:szCs w:val="32"/>
        </w:rPr>
      </w:pPr>
    </w:p>
    <w:p w14:paraId="06B4BC10">
      <w:pPr>
        <w:spacing w:line="360" w:lineRule="exact"/>
        <w:jc w:val="center"/>
        <w:outlineLvl w:val="9"/>
        <w:rPr>
          <w:rFonts w:hint="default" w:ascii="Times New Roman" w:hAnsi="Times New Roman" w:eastAsia="黑体" w:cs="Times New Roman"/>
          <w:b/>
          <w:sz w:val="32"/>
          <w:szCs w:val="32"/>
        </w:rPr>
      </w:pPr>
    </w:p>
    <w:p w14:paraId="1CA14561">
      <w:pPr>
        <w:spacing w:line="360" w:lineRule="exact"/>
        <w:jc w:val="center"/>
        <w:outlineLvl w:val="9"/>
        <w:rPr>
          <w:rFonts w:hint="default" w:ascii="Times New Roman" w:hAnsi="Times New Roman" w:eastAsia="黑体" w:cs="Times New Roman"/>
          <w:b/>
          <w:sz w:val="32"/>
          <w:szCs w:val="32"/>
        </w:rPr>
      </w:pPr>
    </w:p>
    <w:p w14:paraId="5430FB27">
      <w:pPr>
        <w:spacing w:line="360" w:lineRule="exact"/>
        <w:jc w:val="center"/>
        <w:outlineLvl w:val="9"/>
        <w:rPr>
          <w:rFonts w:hint="default" w:ascii="Times New Roman" w:hAnsi="Times New Roman" w:eastAsia="黑体" w:cs="Times New Roman"/>
          <w:b/>
          <w:sz w:val="32"/>
          <w:szCs w:val="32"/>
        </w:rPr>
      </w:pPr>
    </w:p>
    <w:p w14:paraId="7E226055">
      <w:pPr>
        <w:spacing w:line="360" w:lineRule="exact"/>
        <w:jc w:val="center"/>
        <w:outlineLvl w:val="9"/>
        <w:rPr>
          <w:rFonts w:hint="default" w:ascii="Times New Roman" w:hAnsi="Times New Roman" w:eastAsia="黑体" w:cs="Times New Roman"/>
          <w:b/>
          <w:sz w:val="32"/>
          <w:szCs w:val="32"/>
        </w:rPr>
      </w:pPr>
    </w:p>
    <w:p w14:paraId="37030C93">
      <w:pPr>
        <w:spacing w:line="360" w:lineRule="exact"/>
        <w:jc w:val="center"/>
        <w:outlineLvl w:val="9"/>
        <w:rPr>
          <w:rFonts w:hint="default" w:ascii="Times New Roman" w:hAnsi="Times New Roman" w:eastAsia="黑体" w:cs="Times New Roman"/>
          <w:b/>
          <w:sz w:val="32"/>
          <w:szCs w:val="32"/>
        </w:rPr>
      </w:pPr>
    </w:p>
    <w:p w14:paraId="5E215B0F">
      <w:pPr>
        <w:spacing w:line="360" w:lineRule="exact"/>
        <w:jc w:val="center"/>
        <w:outlineLvl w:val="9"/>
        <w:rPr>
          <w:rFonts w:hint="default" w:ascii="Times New Roman" w:hAnsi="Times New Roman" w:eastAsia="黑体" w:cs="Times New Roman"/>
          <w:b/>
          <w:sz w:val="32"/>
          <w:szCs w:val="32"/>
        </w:rPr>
      </w:pPr>
    </w:p>
    <w:p w14:paraId="4EECEF31">
      <w:pPr>
        <w:spacing w:line="360" w:lineRule="exact"/>
        <w:jc w:val="center"/>
        <w:outlineLvl w:val="9"/>
        <w:rPr>
          <w:rFonts w:hint="default" w:ascii="Times New Roman" w:hAnsi="Times New Roman" w:eastAsia="黑体" w:cs="Times New Roman"/>
          <w:b/>
          <w:sz w:val="32"/>
          <w:szCs w:val="32"/>
        </w:rPr>
      </w:pPr>
    </w:p>
    <w:p w14:paraId="29262AF4">
      <w:pPr>
        <w:spacing w:line="360" w:lineRule="exact"/>
        <w:jc w:val="center"/>
        <w:outlineLvl w:val="9"/>
        <w:rPr>
          <w:rFonts w:hint="default" w:ascii="Times New Roman" w:hAnsi="Times New Roman" w:eastAsia="黑体" w:cs="Times New Roman"/>
          <w:b/>
          <w:sz w:val="32"/>
          <w:szCs w:val="32"/>
        </w:rPr>
      </w:pPr>
    </w:p>
    <w:p w14:paraId="1FCC4B89">
      <w:pPr>
        <w:spacing w:line="360" w:lineRule="exact"/>
        <w:jc w:val="center"/>
        <w:outlineLvl w:val="9"/>
        <w:rPr>
          <w:rFonts w:hint="default" w:ascii="Times New Roman" w:hAnsi="Times New Roman" w:eastAsia="黑体" w:cs="Times New Roman"/>
          <w:b/>
          <w:sz w:val="32"/>
          <w:szCs w:val="32"/>
        </w:rPr>
      </w:pPr>
    </w:p>
    <w:p w14:paraId="6EE7BE32">
      <w:pPr>
        <w:spacing w:line="360" w:lineRule="exact"/>
        <w:jc w:val="center"/>
        <w:outlineLvl w:val="9"/>
        <w:rPr>
          <w:rFonts w:hint="default" w:ascii="Times New Roman" w:hAnsi="Times New Roman" w:eastAsia="黑体" w:cs="Times New Roman"/>
          <w:b/>
          <w:sz w:val="32"/>
          <w:szCs w:val="32"/>
        </w:rPr>
      </w:pPr>
    </w:p>
    <w:p w14:paraId="59747A04">
      <w:pPr>
        <w:spacing w:line="360" w:lineRule="exact"/>
        <w:jc w:val="center"/>
        <w:outlineLvl w:val="9"/>
        <w:rPr>
          <w:rFonts w:hint="default" w:ascii="Times New Roman" w:hAnsi="Times New Roman" w:eastAsia="黑体" w:cs="Times New Roman"/>
          <w:b/>
          <w:sz w:val="32"/>
          <w:szCs w:val="32"/>
        </w:rPr>
      </w:pPr>
    </w:p>
    <w:p w14:paraId="005DBCE1">
      <w:pPr>
        <w:spacing w:line="360" w:lineRule="exact"/>
        <w:jc w:val="center"/>
        <w:outlineLvl w:val="9"/>
        <w:rPr>
          <w:rFonts w:hint="default" w:ascii="Times New Roman" w:hAnsi="Times New Roman" w:eastAsia="黑体" w:cs="Times New Roman"/>
          <w:b/>
          <w:sz w:val="32"/>
          <w:szCs w:val="32"/>
        </w:rPr>
      </w:pPr>
    </w:p>
    <w:p w14:paraId="77D883BC">
      <w:pPr>
        <w:spacing w:line="360" w:lineRule="exact"/>
        <w:jc w:val="center"/>
        <w:outlineLvl w:val="9"/>
        <w:rPr>
          <w:rFonts w:hint="default" w:ascii="Times New Roman" w:hAnsi="Times New Roman" w:eastAsia="黑体" w:cs="Times New Roman"/>
          <w:b/>
          <w:sz w:val="32"/>
          <w:szCs w:val="32"/>
        </w:rPr>
      </w:pPr>
    </w:p>
    <w:p w14:paraId="050A3DFD">
      <w:pPr>
        <w:spacing w:line="360" w:lineRule="exact"/>
        <w:jc w:val="center"/>
        <w:outlineLvl w:val="9"/>
        <w:rPr>
          <w:rFonts w:hint="default" w:ascii="Times New Roman" w:hAnsi="Times New Roman" w:eastAsia="黑体" w:cs="Times New Roman"/>
          <w:b/>
          <w:sz w:val="32"/>
          <w:szCs w:val="32"/>
        </w:rPr>
      </w:pPr>
    </w:p>
    <w:p w14:paraId="31E358DF">
      <w:pPr>
        <w:spacing w:line="360" w:lineRule="exact"/>
        <w:jc w:val="center"/>
        <w:outlineLvl w:val="9"/>
        <w:rPr>
          <w:rFonts w:hint="default" w:ascii="Times New Roman" w:hAnsi="Times New Roman" w:eastAsia="黑体" w:cs="Times New Roman"/>
          <w:b/>
          <w:sz w:val="32"/>
          <w:szCs w:val="32"/>
        </w:rPr>
      </w:pPr>
    </w:p>
    <w:p w14:paraId="2A1D599B">
      <w:pP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br w:type="page"/>
      </w:r>
    </w:p>
    <w:p w14:paraId="502E5155">
      <w:pPr>
        <w:spacing w:line="360" w:lineRule="exact"/>
        <w:ind w:left="0" w:leftChars="0" w:firstLine="0" w:firstLineChars="0"/>
        <w:jc w:val="center"/>
        <w:outlineLvl w:val="1"/>
        <w:rPr>
          <w:rFonts w:hint="default" w:ascii="Times New Roman" w:hAnsi="Times New Roman" w:eastAsia="黑体" w:cs="Times New Roman"/>
          <w:b/>
          <w:sz w:val="28"/>
          <w:szCs w:val="28"/>
        </w:rPr>
      </w:pPr>
      <w:bookmarkStart w:id="267" w:name="_Toc25719"/>
      <w:bookmarkStart w:id="268" w:name="_Toc23612"/>
      <w:bookmarkStart w:id="269" w:name="_Toc12389"/>
      <w:bookmarkStart w:id="270" w:name="_Toc18494"/>
      <w:r>
        <w:rPr>
          <w:rFonts w:hint="default" w:ascii="Times New Roman" w:hAnsi="Times New Roman" w:eastAsia="黑体" w:cs="Times New Roman"/>
          <w:b/>
          <w:sz w:val="28"/>
          <w:szCs w:val="28"/>
        </w:rPr>
        <w:t>三、供应商的资格证明资料</w:t>
      </w:r>
      <w:bookmarkEnd w:id="267"/>
      <w:bookmarkEnd w:id="268"/>
      <w:bookmarkEnd w:id="269"/>
      <w:bookmarkEnd w:id="270"/>
    </w:p>
    <w:p w14:paraId="6F46A055">
      <w:pPr>
        <w:spacing w:line="480" w:lineRule="exact"/>
        <w:ind w:left="0" w:leftChars="0" w:firstLine="0" w:firstLineChars="0"/>
        <w:outlineLvl w:val="2"/>
        <w:rPr>
          <w:rFonts w:hint="default" w:ascii="Times New Roman" w:hAnsi="Times New Roman" w:eastAsia="黑体" w:cs="Times New Roman"/>
          <w:sz w:val="30"/>
          <w:szCs w:val="30"/>
        </w:rPr>
      </w:pPr>
      <w:bookmarkStart w:id="271" w:name="_Toc5007"/>
      <w:bookmarkStart w:id="272" w:name="_Toc15092"/>
      <w:bookmarkStart w:id="273" w:name="_Toc5839"/>
      <w:bookmarkStart w:id="274" w:name="_Toc6274"/>
      <w:bookmarkStart w:id="275" w:name="_Toc28357"/>
      <w:bookmarkStart w:id="276" w:name="_Toc4517_WPSOffice_Level1"/>
      <w:r>
        <w:rPr>
          <w:rFonts w:hint="eastAsia" w:asciiTheme="majorEastAsia" w:hAnsiTheme="majorEastAsia" w:eastAsiaTheme="majorEastAsia" w:cstheme="majorEastAsia"/>
          <w:b/>
          <w:bCs/>
          <w:sz w:val="21"/>
          <w:szCs w:val="21"/>
        </w:rPr>
        <w:t>附件</w:t>
      </w:r>
      <w:bookmarkEnd w:id="271"/>
      <w:bookmarkEnd w:id="272"/>
      <w:bookmarkEnd w:id="273"/>
      <w:r>
        <w:rPr>
          <w:rFonts w:hint="eastAsia" w:asciiTheme="majorEastAsia" w:hAnsiTheme="majorEastAsia" w:eastAsiaTheme="majorEastAsia" w:cstheme="majorEastAsia"/>
          <w:b/>
          <w:bCs/>
          <w:sz w:val="21"/>
          <w:szCs w:val="21"/>
          <w:lang w:val="en-US" w:eastAsia="zh-CN"/>
        </w:rPr>
        <w:t xml:space="preserve">2-1 </w:t>
      </w:r>
      <w:r>
        <w:rPr>
          <w:rFonts w:hint="eastAsia" w:asciiTheme="majorEastAsia" w:hAnsiTheme="majorEastAsia" w:eastAsiaTheme="majorEastAsia" w:cstheme="majorEastAsia"/>
          <w:b/>
          <w:bCs/>
          <w:sz w:val="21"/>
          <w:szCs w:val="21"/>
        </w:rPr>
        <w:t>供应商基本情况表</w:t>
      </w:r>
      <w:bookmarkEnd w:id="274"/>
      <w:bookmarkEnd w:id="275"/>
    </w:p>
    <w:p w14:paraId="7EF651EC">
      <w:pPr>
        <w:spacing w:line="360" w:lineRule="exact"/>
        <w:ind w:left="0" w:leftChars="0" w:firstLine="0" w:firstLineChars="0"/>
        <w:jc w:val="center"/>
        <w:outlineLvl w:val="9"/>
        <w:rPr>
          <w:rFonts w:hint="default" w:ascii="Times New Roman" w:hAnsi="Times New Roman" w:eastAsia="黑体" w:cs="Times New Roman"/>
          <w:b/>
          <w:sz w:val="28"/>
          <w:szCs w:val="28"/>
          <w:lang w:val="en-US" w:eastAsia="zh-CN"/>
        </w:rPr>
      </w:pPr>
      <w:r>
        <w:rPr>
          <w:rFonts w:hint="default" w:ascii="Times New Roman" w:hAnsi="Times New Roman" w:eastAsia="黑体" w:cs="Times New Roman"/>
          <w:b/>
          <w:sz w:val="28"/>
          <w:szCs w:val="28"/>
          <w:lang w:val="en-US" w:eastAsia="zh-CN"/>
        </w:rPr>
        <w:t>供应商基本情况表</w:t>
      </w:r>
      <w:bookmarkEnd w:id="276"/>
    </w:p>
    <w:p w14:paraId="60AAF50C">
      <w:pPr>
        <w:adjustRightInd w:val="0"/>
        <w:snapToGrid w:val="0"/>
        <w:spacing w:line="360" w:lineRule="auto"/>
        <w:rPr>
          <w:rFonts w:hint="default" w:ascii="Times New Roman" w:hAnsi="Times New Roman" w:cs="Times New Roman"/>
          <w:szCs w:val="21"/>
        </w:rPr>
      </w:pPr>
      <w:r>
        <w:rPr>
          <w:rFonts w:hint="default" w:ascii="Times New Roman" w:hAnsi="Times New Roman" w:cs="Times New Roman"/>
          <w:szCs w:val="21"/>
        </w:rPr>
        <w:t>盖供应商单位章</w:t>
      </w:r>
    </w:p>
    <w:tbl>
      <w:tblPr>
        <w:tblStyle w:val="46"/>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15C2C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65ECF952">
            <w:pPr>
              <w:keepNext w:val="0"/>
              <w:keepLines w:val="0"/>
              <w:pageBreakBefore w:val="0"/>
              <w:widowControl w:val="0"/>
              <w:kinsoku/>
              <w:wordWrap/>
              <w:overflowPunct/>
              <w:topLinePunct/>
              <w:autoSpaceDE/>
              <w:autoSpaceDN/>
              <w:bidi w:val="0"/>
              <w:adjustRightInd/>
              <w:snapToGrid/>
              <w:spacing w:line="440" w:lineRule="exact"/>
              <w:ind w:left="0" w:leftChars="0" w:firstLine="0" w:firstLineChars="0"/>
              <w:jc w:val="both"/>
              <w:textAlignment w:val="auto"/>
              <w:rPr>
                <w:rFonts w:hint="default" w:ascii="Times New Roman" w:hAnsi="Times New Roman" w:cs="Times New Roman"/>
                <w:szCs w:val="21"/>
              </w:rPr>
            </w:pPr>
            <w:r>
              <w:rPr>
                <w:rFonts w:hint="default" w:ascii="Times New Roman" w:hAnsi="Times New Roman" w:cs="Times New Roman"/>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75B19FA8">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188D3FCC">
            <w:pPr>
              <w:keepNext w:val="0"/>
              <w:keepLines w:val="0"/>
              <w:pageBreakBefore w:val="0"/>
              <w:widowControl w:val="0"/>
              <w:kinsoku/>
              <w:wordWrap/>
              <w:overflowPunct/>
              <w:topLinePunct/>
              <w:autoSpaceDE/>
              <w:autoSpaceDN/>
              <w:bidi w:val="0"/>
              <w:adjustRightInd/>
              <w:snapToGrid/>
              <w:spacing w:line="440" w:lineRule="exact"/>
              <w:ind w:left="0" w:leftChars="0" w:firstLine="0" w:firstLineChars="0"/>
              <w:jc w:val="both"/>
              <w:textAlignment w:val="auto"/>
              <w:rPr>
                <w:rFonts w:hint="default" w:ascii="Times New Roman" w:hAnsi="Times New Roman" w:cs="Times New Roman"/>
                <w:szCs w:val="21"/>
              </w:rPr>
            </w:pPr>
            <w:r>
              <w:rPr>
                <w:rFonts w:hint="default" w:ascii="Times New Roman" w:hAnsi="Times New Roman" w:cs="Times New Roman"/>
                <w:szCs w:val="21"/>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565D031D">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2658B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2C0D9380">
            <w:pPr>
              <w:keepNext w:val="0"/>
              <w:keepLines w:val="0"/>
              <w:pageBreakBefore w:val="0"/>
              <w:widowControl w:val="0"/>
              <w:kinsoku/>
              <w:wordWrap/>
              <w:overflowPunct/>
              <w:topLinePunct/>
              <w:autoSpaceDE/>
              <w:autoSpaceDN/>
              <w:bidi w:val="0"/>
              <w:adjustRightInd/>
              <w:snapToGrid/>
              <w:spacing w:line="440" w:lineRule="exact"/>
              <w:ind w:left="0" w:leftChars="0" w:firstLine="0" w:firstLineChars="0"/>
              <w:jc w:val="both"/>
              <w:textAlignment w:val="auto"/>
              <w:rPr>
                <w:rFonts w:hint="default" w:ascii="Times New Roman" w:hAnsi="Times New Roman" w:cs="Times New Roman"/>
                <w:szCs w:val="21"/>
              </w:rPr>
            </w:pPr>
            <w:r>
              <w:rPr>
                <w:rFonts w:hint="default" w:ascii="Times New Roman" w:hAnsi="Times New Roman" w:cs="Times New Roman"/>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AA22705">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AF12999">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4F3F0519">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5CC76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7F4E42BD">
            <w:pPr>
              <w:keepNext w:val="0"/>
              <w:keepLines w:val="0"/>
              <w:pageBreakBefore w:val="0"/>
              <w:widowControl w:val="0"/>
              <w:kinsoku/>
              <w:wordWrap/>
              <w:overflowPunct/>
              <w:topLinePunct/>
              <w:autoSpaceDE/>
              <w:autoSpaceDN/>
              <w:bidi w:val="0"/>
              <w:adjustRightInd/>
              <w:snapToGrid/>
              <w:spacing w:line="440" w:lineRule="exact"/>
              <w:ind w:left="0" w:leftChars="0" w:firstLine="0" w:firstLineChars="0"/>
              <w:jc w:val="both"/>
              <w:textAlignment w:val="auto"/>
              <w:rPr>
                <w:rFonts w:hint="default" w:ascii="Times New Roman" w:hAnsi="Times New Roman" w:cs="Times New Roman"/>
                <w:szCs w:val="21"/>
              </w:rPr>
            </w:pPr>
            <w:r>
              <w:rPr>
                <w:rFonts w:hint="default" w:ascii="Times New Roman" w:hAnsi="Times New Roman" w:cs="Times New Roman"/>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198F34E0">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22B9586A">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71BD0F80">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3FE13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1A18B11">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02881C46">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70B1CC8E">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77C07ABA">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6DC70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405B4454">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FB311C5">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517A93">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3DFA4CB">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615ED85">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12C77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2B771C6B">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90E60C1">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43CF7A1">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399DA73">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70EC410">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035B7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280E437B">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6031DD7">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07268B3">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76200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E1D2FDB">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CDFCE02">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5111154A">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39DA9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EC28796">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79EE6038">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01205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16C775C1">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44CD00AC">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5295F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F3A118B">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1EB1E25">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7298A2EC">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552F2379">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有效期</w:t>
            </w:r>
          </w:p>
        </w:tc>
      </w:tr>
      <w:tr w14:paraId="19698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BD71B85">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952F8AC">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0457EED">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D022E4E">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4AF509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7CA258B">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463149D">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ACDF926">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7547BC63">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721FB7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33E97E9">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DA06291">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80980D4">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7830C6ED">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1AA60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4504E30">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93A6EA9">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FD42D54">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D31E550">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p>
        </w:tc>
      </w:tr>
      <w:tr w14:paraId="5C2E2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32EBFB08">
            <w:pPr>
              <w:keepNext w:val="0"/>
              <w:keepLines w:val="0"/>
              <w:pageBreakBefore w:val="0"/>
              <w:widowControl w:val="0"/>
              <w:kinsoku/>
              <w:wordWrap/>
              <w:overflowPunct/>
              <w:topLinePunct/>
              <w:autoSpaceDE/>
              <w:autoSpaceDN/>
              <w:bidi w:val="0"/>
              <w:adjustRightInd/>
              <w:snapToGrid/>
              <w:spacing w:line="440" w:lineRule="exact"/>
              <w:ind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26E35A09">
            <w:pPr>
              <w:keepNext w:val="0"/>
              <w:keepLines w:val="0"/>
              <w:pageBreakBefore w:val="0"/>
              <w:widowControl w:val="0"/>
              <w:kinsoku/>
              <w:wordWrap/>
              <w:overflowPunct/>
              <w:topLinePunct/>
              <w:autoSpaceDE/>
              <w:autoSpaceDN/>
              <w:bidi w:val="0"/>
              <w:adjustRightInd/>
              <w:snapToGrid/>
              <w:spacing w:line="440" w:lineRule="exact"/>
              <w:ind w:firstLine="0" w:firstLineChars="0"/>
              <w:textAlignment w:val="auto"/>
              <w:rPr>
                <w:rFonts w:hint="default" w:ascii="Times New Roman" w:hAnsi="Times New Roman" w:eastAsia="黑体" w:cs="Times New Roman"/>
                <w:szCs w:val="21"/>
              </w:rPr>
            </w:pPr>
          </w:p>
        </w:tc>
      </w:tr>
    </w:tbl>
    <w:p w14:paraId="6DB5707E">
      <w:pPr>
        <w:rPr>
          <w:rFonts w:hint="default" w:ascii="Times New Roman" w:hAnsi="Times New Roman" w:eastAsia="黑体" w:cs="Times New Roman"/>
          <w:sz w:val="30"/>
          <w:szCs w:val="30"/>
        </w:rPr>
      </w:pPr>
      <w:r>
        <w:rPr>
          <w:rFonts w:hint="default" w:ascii="Times New Roman" w:hAnsi="Times New Roman" w:eastAsia="黑体" w:cs="Times New Roman"/>
          <w:sz w:val="30"/>
          <w:szCs w:val="30"/>
        </w:rPr>
        <w:br w:type="page"/>
      </w:r>
    </w:p>
    <w:p w14:paraId="72DA193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Theme="majorEastAsia" w:hAnsiTheme="majorEastAsia" w:eastAsiaTheme="majorEastAsia" w:cstheme="majorEastAsia"/>
          <w:b/>
          <w:bCs/>
          <w:sz w:val="21"/>
          <w:szCs w:val="21"/>
          <w:lang w:val="en-US" w:eastAsia="zh-CN"/>
        </w:rPr>
      </w:pPr>
      <w:bookmarkStart w:id="277" w:name="_Toc16607"/>
      <w:bookmarkStart w:id="278" w:name="_Toc993"/>
      <w:bookmarkStart w:id="279" w:name="_Toc11377"/>
      <w:bookmarkStart w:id="280" w:name="_Toc4282"/>
      <w:bookmarkStart w:id="281" w:name="_Toc17068"/>
      <w:r>
        <w:rPr>
          <w:rFonts w:hint="eastAsia" w:asciiTheme="majorEastAsia" w:hAnsiTheme="majorEastAsia" w:eastAsiaTheme="majorEastAsia" w:cstheme="majorEastAsia"/>
          <w:b/>
          <w:bCs/>
          <w:sz w:val="21"/>
          <w:szCs w:val="21"/>
        </w:rPr>
        <w:t>附件</w:t>
      </w:r>
      <w:bookmarkEnd w:id="277"/>
      <w:bookmarkEnd w:id="278"/>
      <w:bookmarkEnd w:id="279"/>
      <w:r>
        <w:rPr>
          <w:rFonts w:hint="eastAsia" w:asciiTheme="majorEastAsia" w:hAnsiTheme="majorEastAsia" w:eastAsiaTheme="majorEastAsia" w:cstheme="majorEastAsia"/>
          <w:b/>
          <w:bCs/>
          <w:sz w:val="21"/>
          <w:szCs w:val="21"/>
          <w:lang w:val="en-US" w:eastAsia="zh-CN"/>
        </w:rPr>
        <w:t xml:space="preserve">2-2 </w:t>
      </w:r>
      <w:r>
        <w:rPr>
          <w:rFonts w:hint="eastAsia" w:asciiTheme="majorEastAsia" w:hAnsiTheme="majorEastAsia" w:eastAsiaTheme="majorEastAsia" w:cstheme="majorEastAsia"/>
          <w:b/>
          <w:bCs/>
          <w:sz w:val="21"/>
          <w:szCs w:val="21"/>
        </w:rPr>
        <w:t>磋商文件规定的基本资格条件证明资料</w:t>
      </w:r>
      <w:bookmarkEnd w:id="280"/>
      <w:bookmarkEnd w:id="281"/>
    </w:p>
    <w:p w14:paraId="69021118">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default" w:ascii="Times New Roman" w:hAnsi="Times New Roman" w:cs="Times New Roman"/>
          <w:b/>
          <w:bCs/>
          <w:sz w:val="28"/>
          <w:szCs w:val="28"/>
        </w:rPr>
      </w:pPr>
      <w:r>
        <w:rPr>
          <w:rFonts w:hint="default" w:ascii="Times New Roman" w:hAnsi="Times New Roman" w:eastAsia="黑体" w:cs="Times New Roman"/>
          <w:b/>
          <w:bCs/>
          <w:sz w:val="28"/>
          <w:szCs w:val="28"/>
        </w:rPr>
        <w:t>磋商文件规定的基本资格条件证明资料</w:t>
      </w:r>
    </w:p>
    <w:p w14:paraId="17530D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符合《中华人民共和国政府采购法》第二十二条规定的供应商条件，并提供以下资格证明文件</w:t>
      </w:r>
      <w:r>
        <w:rPr>
          <w:rFonts w:hint="eastAsia" w:asciiTheme="minorEastAsia" w:hAnsiTheme="minorEastAsia" w:eastAsiaTheme="minorEastAsia" w:cstheme="minorEastAsia"/>
          <w:lang w:eastAsia="zh-CN"/>
        </w:rPr>
        <w:t>：</w:t>
      </w:r>
    </w:p>
    <w:p w14:paraId="5BB255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w:t>
      </w:r>
      <w:r>
        <w:rPr>
          <w:rFonts w:hint="eastAsia" w:ascii="宋体" w:hAnsi="宋体" w:cs="宋体"/>
        </w:rPr>
        <w:t>提交企业法人营业执照副本(或者法人登记证书)以及组织机构代码证副本复印件</w:t>
      </w:r>
      <w:r>
        <w:rPr>
          <w:rFonts w:hint="eastAsia" w:cs="宋体"/>
          <w:lang w:eastAsia="zh-CN"/>
        </w:rPr>
        <w:t>。</w:t>
      </w:r>
    </w:p>
    <w:p w14:paraId="5E77F4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eastAsia="宋体"/>
          <w:lang w:eastAsia="zh-CN"/>
        </w:rPr>
      </w:pPr>
      <w:r>
        <w:rPr>
          <w:rFonts w:hint="eastAsia"/>
          <w:lang w:val="en-US" w:eastAsia="zh-CN"/>
        </w:rPr>
        <w:t>（2）提交</w:t>
      </w:r>
      <w:r>
        <w:rPr>
          <w:rFonts w:hint="default"/>
        </w:rPr>
        <w:t>《湖南省政府采购供应商资格承诺函》（格式详见附件</w:t>
      </w:r>
      <w:r>
        <w:rPr>
          <w:rFonts w:hint="eastAsia"/>
          <w:lang w:val="en-US" w:eastAsia="zh-CN"/>
        </w:rPr>
        <w:t>3</w:t>
      </w:r>
      <w:r>
        <w:rPr>
          <w:rFonts w:hint="default"/>
          <w:lang w:val="en-US" w:eastAsia="zh-CN"/>
        </w:rPr>
        <w:t>-</w:t>
      </w:r>
      <w:r>
        <w:rPr>
          <w:rFonts w:hint="eastAsia"/>
          <w:lang w:val="en-US" w:eastAsia="zh-CN"/>
        </w:rPr>
        <w:t>3</w:t>
      </w:r>
      <w:r>
        <w:rPr>
          <w:rFonts w:hint="default"/>
        </w:rPr>
        <w:t>）</w:t>
      </w:r>
      <w:r>
        <w:rPr>
          <w:rFonts w:hint="eastAsia"/>
          <w:lang w:val="en-US" w:eastAsia="zh-CN"/>
        </w:rPr>
        <w:t>。</w:t>
      </w:r>
    </w:p>
    <w:p w14:paraId="339FBC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rPr>
      </w:pPr>
      <w:r>
        <w:rPr>
          <w:rFonts w:hint="eastAsia" w:ascii="宋体" w:hAnsi="宋体" w:cs="宋体"/>
          <w:lang w:val="en-US" w:eastAsia="zh-CN"/>
        </w:rPr>
        <w:t>（3）提交法定代表人身份证明原件或者法定代表人授权委托书原件并附法定代表人身份证明原件；自然人提交身份证明复印件</w:t>
      </w:r>
      <w:r>
        <w:rPr>
          <w:rFonts w:hint="eastAsia" w:cs="宋体"/>
          <w:lang w:val="en-US" w:eastAsia="zh-CN"/>
        </w:rPr>
        <w:t>。</w:t>
      </w:r>
    </w:p>
    <w:p w14:paraId="3ED91E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eastAsia="宋体" w:cs="宋体"/>
          <w:lang w:eastAsia="zh-CN"/>
        </w:rPr>
      </w:pPr>
      <w:r>
        <w:rPr>
          <w:rFonts w:hint="eastAsia"/>
          <w:lang w:val="en-US" w:eastAsia="zh-CN"/>
        </w:rPr>
        <w:t>（4）提交“信</w:t>
      </w:r>
      <w:r>
        <w:rPr>
          <w:rFonts w:hint="default"/>
        </w:rPr>
        <w:t>用中国</w:t>
      </w:r>
      <w:r>
        <w:rPr>
          <w:rFonts w:hint="eastAsia"/>
          <w:lang w:val="en-US" w:eastAsia="zh-CN"/>
        </w:rPr>
        <w:t>”</w:t>
      </w:r>
      <w:r>
        <w:rPr>
          <w:rFonts w:hint="default"/>
        </w:rPr>
        <w:t>网（www.creditchina.gov.cn</w:t>
      </w:r>
      <w:r>
        <w:rPr>
          <w:rFonts w:hint="default"/>
          <w:lang w:eastAsia="zh-CN"/>
        </w:rPr>
        <w:t>）</w:t>
      </w:r>
      <w:r>
        <w:rPr>
          <w:rFonts w:hint="default"/>
        </w:rPr>
        <w:t>未</w:t>
      </w:r>
      <w:r>
        <w:rPr>
          <w:rFonts w:hint="default"/>
          <w:lang w:val="en-US" w:eastAsia="zh-CN"/>
        </w:rPr>
        <w:t>被</w:t>
      </w:r>
      <w:r>
        <w:rPr>
          <w:rFonts w:hint="default"/>
        </w:rPr>
        <w:t>列入失信被执行人和重大税收违法案件当事人名单</w:t>
      </w:r>
      <w:r>
        <w:rPr>
          <w:rFonts w:hint="eastAsia"/>
          <w:lang w:val="en-US" w:eastAsia="zh-CN"/>
        </w:rPr>
        <w:t>截图</w:t>
      </w:r>
      <w:r>
        <w:rPr>
          <w:rFonts w:hint="default"/>
          <w:lang w:eastAsia="zh-CN"/>
        </w:rPr>
        <w:t>，</w:t>
      </w:r>
      <w:r>
        <w:rPr>
          <w:rFonts w:hint="default"/>
        </w:rPr>
        <w:t>“中国政府采购网”</w:t>
      </w:r>
      <w:r>
        <w:rPr>
          <w:rFonts w:hint="default" w:ascii="宋体" w:hAnsi="宋体" w:eastAsia="宋体" w:cs="宋体"/>
        </w:rPr>
        <w:t>（www.ccgp.gov.cn）</w:t>
      </w:r>
      <w:r>
        <w:rPr>
          <w:rFonts w:hint="default" w:ascii="宋体" w:hAnsi="宋体" w:eastAsia="宋体" w:cs="宋体"/>
          <w:lang w:val="en-US" w:eastAsia="zh-CN"/>
        </w:rPr>
        <w:t>或</w:t>
      </w:r>
      <w:r>
        <w:rPr>
          <w:rFonts w:hint="default" w:ascii="宋体" w:hAnsi="宋体" w:eastAsia="宋体" w:cs="宋体"/>
        </w:rPr>
        <w:t>“湖南政府采购网”（www.ccgp-hunan.gov.cn) 网站未列入政府采购严重违法失信行为记录名单等被禁止投标记录</w:t>
      </w:r>
      <w:r>
        <w:rPr>
          <w:rFonts w:hint="eastAsia" w:ascii="宋体" w:hAnsi="宋体" w:eastAsia="宋体" w:cs="宋体"/>
          <w:lang w:val="en-US" w:eastAsia="zh-CN"/>
        </w:rPr>
        <w:t>截图）。</w:t>
      </w:r>
    </w:p>
    <w:p w14:paraId="5CC46A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default" w:ascii="宋体" w:hAnsi="宋体" w:eastAsia="宋体" w:cs="宋体"/>
          <w:lang w:eastAsia="zh-CN"/>
        </w:rPr>
      </w:pPr>
      <w:bookmarkStart w:id="282" w:name="_Toc27736"/>
      <w:bookmarkStart w:id="283" w:name="_Toc27548"/>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default" w:ascii="宋体" w:hAnsi="宋体" w:eastAsia="宋体" w:cs="宋体"/>
          <w:lang w:eastAsia="zh-CN"/>
        </w:rPr>
        <w:t>资格证明文件复印件须加盖供应商单位公章。</w:t>
      </w:r>
      <w:bookmarkEnd w:id="282"/>
      <w:bookmarkEnd w:id="283"/>
    </w:p>
    <w:p w14:paraId="10032A00">
      <w:pPr>
        <w:pStyle w:val="4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cs="Times New Roman"/>
          <w:b/>
          <w:bCs/>
          <w:lang w:val="en-US" w:eastAsia="zh-CN"/>
        </w:rPr>
      </w:pPr>
    </w:p>
    <w:p w14:paraId="6F07C749">
      <w:pPr>
        <w:pStyle w:val="45"/>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default" w:ascii="Times New Roman" w:hAnsi="Times New Roman" w:cs="Times New Roman"/>
          <w:b/>
          <w:bCs/>
          <w:lang w:val="en-US" w:eastAsia="zh-CN"/>
        </w:rPr>
      </w:pPr>
    </w:p>
    <w:p w14:paraId="703FD420">
      <w:pPr>
        <w:pStyle w:val="45"/>
        <w:rPr>
          <w:rFonts w:hint="default" w:ascii="Times New Roman" w:hAnsi="Times New Roman" w:cs="Times New Roman"/>
          <w:b/>
          <w:bCs/>
          <w:lang w:val="en-US" w:eastAsia="zh-CN"/>
        </w:rPr>
      </w:pPr>
    </w:p>
    <w:p w14:paraId="007F8872">
      <w:pPr>
        <w:pStyle w:val="45"/>
        <w:rPr>
          <w:rFonts w:hint="default" w:ascii="Times New Roman" w:hAnsi="Times New Roman" w:cs="Times New Roman"/>
          <w:b/>
          <w:bCs/>
          <w:lang w:val="en-US" w:eastAsia="zh-CN"/>
        </w:rPr>
      </w:pPr>
    </w:p>
    <w:p w14:paraId="20D9C650">
      <w:pPr>
        <w:pStyle w:val="45"/>
        <w:rPr>
          <w:rFonts w:hint="default" w:ascii="Times New Roman" w:hAnsi="Times New Roman" w:cs="Times New Roman"/>
          <w:b/>
          <w:bCs/>
          <w:lang w:val="en-US" w:eastAsia="zh-CN"/>
        </w:rPr>
      </w:pPr>
    </w:p>
    <w:p w14:paraId="5003475E">
      <w:pPr>
        <w:pStyle w:val="45"/>
        <w:rPr>
          <w:rFonts w:hint="default" w:ascii="Times New Roman" w:hAnsi="Times New Roman" w:cs="Times New Roman"/>
          <w:b/>
          <w:bCs/>
          <w:lang w:val="en-US" w:eastAsia="zh-CN"/>
        </w:rPr>
      </w:pPr>
    </w:p>
    <w:p w14:paraId="1236CF86">
      <w:pPr>
        <w:pStyle w:val="45"/>
        <w:rPr>
          <w:rFonts w:hint="default" w:ascii="Times New Roman" w:hAnsi="Times New Roman" w:cs="Times New Roman"/>
          <w:b/>
          <w:bCs/>
          <w:lang w:val="en-US" w:eastAsia="zh-CN"/>
        </w:rPr>
      </w:pPr>
    </w:p>
    <w:p w14:paraId="1623C6BE">
      <w:pPr>
        <w:pStyle w:val="45"/>
        <w:rPr>
          <w:rFonts w:hint="default" w:ascii="Times New Roman" w:hAnsi="Times New Roman" w:cs="Times New Roman"/>
          <w:b/>
          <w:bCs/>
          <w:lang w:val="en-US" w:eastAsia="zh-CN"/>
        </w:rPr>
        <w:sectPr>
          <w:pgSz w:w="11906" w:h="16838"/>
          <w:pgMar w:top="1474" w:right="1474" w:bottom="250" w:left="1588" w:header="851" w:footer="992" w:gutter="0"/>
          <w:pgBorders>
            <w:top w:val="none" w:sz="0" w:space="0"/>
            <w:left w:val="none" w:sz="0" w:space="0"/>
            <w:bottom w:val="none" w:sz="0" w:space="0"/>
            <w:right w:val="none" w:sz="0" w:space="0"/>
          </w:pgBorders>
          <w:pgNumType w:fmt="decimal"/>
          <w:cols w:space="720" w:num="1"/>
          <w:docGrid w:linePitch="312" w:charSpace="0"/>
        </w:sectPr>
      </w:pPr>
    </w:p>
    <w:p w14:paraId="514661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default" w:asciiTheme="majorEastAsia" w:hAnsiTheme="majorEastAsia" w:eastAsiaTheme="majorEastAsia" w:cstheme="majorEastAsia"/>
          <w:b/>
          <w:bCs/>
          <w:sz w:val="21"/>
          <w:szCs w:val="21"/>
          <w:lang w:val="en-US" w:eastAsia="zh-CN"/>
        </w:rPr>
      </w:pPr>
      <w:bookmarkStart w:id="284" w:name="_Toc24023"/>
      <w:bookmarkStart w:id="285" w:name="_Toc2031"/>
      <w:bookmarkStart w:id="286" w:name="_Toc625"/>
      <w:bookmarkStart w:id="287" w:name="_Toc24571"/>
      <w:r>
        <w:rPr>
          <w:rFonts w:hint="default" w:asciiTheme="majorEastAsia" w:hAnsiTheme="majorEastAsia" w:eastAsiaTheme="majorEastAsia" w:cstheme="majorEastAsia"/>
          <w:b/>
          <w:bCs/>
          <w:sz w:val="21"/>
          <w:szCs w:val="21"/>
        </w:rPr>
        <w:t>附件</w:t>
      </w:r>
      <w:r>
        <w:rPr>
          <w:rFonts w:hint="eastAsia" w:asciiTheme="majorEastAsia" w:hAnsiTheme="majorEastAsia" w:eastAsiaTheme="majorEastAsia" w:cstheme="majorEastAsia"/>
          <w:b/>
          <w:bCs/>
          <w:sz w:val="21"/>
          <w:szCs w:val="21"/>
          <w:lang w:val="en-US" w:eastAsia="zh-CN"/>
        </w:rPr>
        <w:t>2-</w:t>
      </w:r>
      <w:bookmarkEnd w:id="284"/>
      <w:bookmarkEnd w:id="285"/>
      <w:r>
        <w:rPr>
          <w:rFonts w:hint="eastAsia" w:asciiTheme="majorEastAsia" w:hAnsiTheme="majorEastAsia" w:eastAsiaTheme="majorEastAsia" w:cstheme="majorEastAsia"/>
          <w:b/>
          <w:bCs/>
          <w:sz w:val="21"/>
          <w:szCs w:val="21"/>
          <w:lang w:val="en-US" w:eastAsia="zh-CN"/>
        </w:rPr>
        <w:t>3 湖南省政府采购供应商资格承诺函</w:t>
      </w:r>
      <w:bookmarkEnd w:id="286"/>
      <w:bookmarkEnd w:id="287"/>
    </w:p>
    <w:p w14:paraId="53FFCD2E">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0" w:firstLineChars="0"/>
        <w:jc w:val="center"/>
        <w:textAlignment w:val="auto"/>
        <w:rPr>
          <w:rFonts w:hint="eastAsia" w:ascii="Times New Roman" w:hAnsi="Times New Roman" w:eastAsia="黑体" w:cs="Times New Roman"/>
          <w:b w:val="0"/>
          <w:bCs w:val="0"/>
          <w:sz w:val="28"/>
          <w:szCs w:val="28"/>
          <w:lang w:val="en-US" w:eastAsia="zh-CN"/>
        </w:rPr>
      </w:pPr>
      <w:r>
        <w:rPr>
          <w:rFonts w:hint="eastAsia" w:ascii="Times New Roman" w:hAnsi="Times New Roman" w:eastAsia="黑体" w:cs="Times New Roman"/>
          <w:b w:val="0"/>
          <w:bCs w:val="0"/>
          <w:sz w:val="28"/>
          <w:szCs w:val="28"/>
          <w:lang w:val="en-US" w:eastAsia="zh-CN"/>
        </w:rPr>
        <w:t>湖南省政府采购供应商资格承诺函</w:t>
      </w:r>
    </w:p>
    <w:p w14:paraId="0CE1010D">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0"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8A5DA08">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0"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t>按照《政府采购促进中小企业发展管理办法》（财库〔2020〕46号），本公司企业规模为：大型</w:t>
      </w:r>
      <w:r>
        <w:rPr>
          <w:rFonts w:hint="eastAsia" w:asciiTheme="majorEastAsia" w:hAnsiTheme="majorEastAsia" w:eastAsiaTheme="majorEastAsia" w:cstheme="majorEastAsia"/>
          <w:color w:val="000000"/>
          <w:kern w:val="0"/>
          <w:sz w:val="21"/>
          <w:szCs w:val="21"/>
          <w:lang w:val="en-US" w:eastAsia="zh-CN" w:bidi="ar"/>
        </w:rPr>
        <w:sym w:font="Wingdings 2" w:char="00A3"/>
      </w:r>
      <w:r>
        <w:rPr>
          <w:rFonts w:hint="eastAsia" w:asciiTheme="majorEastAsia" w:hAnsiTheme="majorEastAsia" w:eastAsiaTheme="majorEastAsia" w:cstheme="majorEastAsia"/>
          <w:color w:val="000000"/>
          <w:kern w:val="0"/>
          <w:sz w:val="21"/>
          <w:szCs w:val="21"/>
          <w:lang w:val="en-US" w:eastAsia="zh-CN" w:bidi="ar"/>
        </w:rPr>
        <w:t xml:space="preserve"> 中型</w:t>
      </w:r>
      <w:r>
        <w:rPr>
          <w:rFonts w:hint="eastAsia" w:asciiTheme="majorEastAsia" w:hAnsiTheme="majorEastAsia" w:eastAsiaTheme="majorEastAsia" w:cstheme="majorEastAsia"/>
          <w:color w:val="000000"/>
          <w:kern w:val="0"/>
          <w:sz w:val="21"/>
          <w:szCs w:val="21"/>
          <w:lang w:val="en-US" w:eastAsia="zh-CN" w:bidi="ar"/>
        </w:rPr>
        <w:sym w:font="Wingdings 2" w:char="00A3"/>
      </w:r>
      <w:r>
        <w:rPr>
          <w:rFonts w:hint="eastAsia" w:asciiTheme="majorEastAsia" w:hAnsiTheme="majorEastAsia" w:eastAsiaTheme="majorEastAsia" w:cstheme="majorEastAsia"/>
          <w:color w:val="000000"/>
          <w:kern w:val="0"/>
          <w:sz w:val="21"/>
          <w:szCs w:val="21"/>
          <w:lang w:val="en-US" w:eastAsia="zh-CN" w:bidi="ar"/>
        </w:rPr>
        <w:t xml:space="preserve"> 小型</w:t>
      </w:r>
      <w:r>
        <w:rPr>
          <w:rFonts w:hint="eastAsia" w:asciiTheme="majorEastAsia" w:hAnsiTheme="majorEastAsia" w:eastAsiaTheme="majorEastAsia" w:cstheme="majorEastAsia"/>
          <w:color w:val="000000"/>
          <w:kern w:val="0"/>
          <w:sz w:val="21"/>
          <w:szCs w:val="21"/>
          <w:lang w:val="en-US" w:eastAsia="zh-CN" w:bidi="ar"/>
        </w:rPr>
        <w:sym w:font="Wingdings 2" w:char="00A3"/>
      </w:r>
      <w:r>
        <w:rPr>
          <w:rFonts w:hint="eastAsia" w:asciiTheme="majorEastAsia" w:hAnsiTheme="majorEastAsia" w:eastAsiaTheme="majorEastAsia" w:cstheme="majorEastAsia"/>
          <w:color w:val="000000"/>
          <w:kern w:val="0"/>
          <w:sz w:val="21"/>
          <w:szCs w:val="21"/>
          <w:lang w:val="en-US" w:eastAsia="zh-CN" w:bidi="ar"/>
        </w:rPr>
        <w:t xml:space="preserve"> 微型 </w:t>
      </w:r>
    </w:p>
    <w:p w14:paraId="575727F0">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0"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sym w:font="Wingdings 2" w:char="00A3"/>
      </w:r>
      <w:r>
        <w:rPr>
          <w:rFonts w:hint="eastAsia" w:asciiTheme="majorEastAsia" w:hAnsiTheme="majorEastAsia" w:eastAsiaTheme="majorEastAsia" w:cstheme="majorEastAsia"/>
          <w:color w:val="000000"/>
          <w:kern w:val="0"/>
          <w:sz w:val="21"/>
          <w:szCs w:val="21"/>
          <w:lang w:val="en-US" w:eastAsia="zh-CN" w:bidi="ar"/>
        </w:rPr>
        <w:t>本公司自愿入驻湖南省政府采购电子卖场，遵守《湖南省政府采购电子卖场管理办法》（湘财购〔2019〕27号），如违反承诺，同意金融机构将增信保证划缴国库（非电子卖场采购活动项目不需勾选）。</w:t>
      </w:r>
    </w:p>
    <w:p w14:paraId="32FD1287">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0" w:firstLineChars="200"/>
        <w:jc w:val="righ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t>公司（单位）名称（盖章）</w:t>
      </w:r>
    </w:p>
    <w:p w14:paraId="4066971C">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0" w:firstLineChars="200"/>
        <w:jc w:val="righ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u w:val="single"/>
          <w:lang w:val="en-US" w:eastAsia="zh-CN" w:bidi="ar"/>
        </w:rPr>
        <w:t xml:space="preserve">      </w:t>
      </w:r>
      <w:r>
        <w:rPr>
          <w:rFonts w:hint="eastAsia" w:asciiTheme="majorEastAsia" w:hAnsiTheme="majorEastAsia" w:eastAsiaTheme="majorEastAsia" w:cstheme="majorEastAsia"/>
          <w:color w:val="000000"/>
          <w:kern w:val="0"/>
          <w:sz w:val="21"/>
          <w:szCs w:val="21"/>
          <w:lang w:val="en-US" w:eastAsia="zh-CN" w:bidi="ar"/>
        </w:rPr>
        <w:t>年</w:t>
      </w:r>
      <w:r>
        <w:rPr>
          <w:rFonts w:hint="eastAsia" w:asciiTheme="majorEastAsia" w:hAnsiTheme="majorEastAsia" w:eastAsiaTheme="majorEastAsia" w:cstheme="majorEastAsia"/>
          <w:i/>
          <w:iCs/>
          <w:color w:val="000000"/>
          <w:kern w:val="0"/>
          <w:sz w:val="21"/>
          <w:szCs w:val="21"/>
          <w:u w:val="single"/>
          <w:lang w:val="en-US" w:eastAsia="zh-CN" w:bidi="ar"/>
        </w:rPr>
        <w:t xml:space="preserve">    </w:t>
      </w:r>
      <w:r>
        <w:rPr>
          <w:rFonts w:hint="eastAsia" w:asciiTheme="majorEastAsia" w:hAnsiTheme="majorEastAsia" w:eastAsiaTheme="majorEastAsia" w:cstheme="majorEastAsia"/>
          <w:color w:val="000000"/>
          <w:kern w:val="0"/>
          <w:sz w:val="21"/>
          <w:szCs w:val="21"/>
          <w:lang w:val="en-US" w:eastAsia="zh-CN" w:bidi="ar"/>
        </w:rPr>
        <w:t>月</w:t>
      </w:r>
      <w:r>
        <w:rPr>
          <w:rFonts w:hint="eastAsia" w:asciiTheme="majorEastAsia" w:hAnsiTheme="majorEastAsia" w:eastAsiaTheme="majorEastAsia" w:cstheme="majorEastAsia"/>
          <w:color w:val="000000"/>
          <w:kern w:val="0"/>
          <w:sz w:val="21"/>
          <w:szCs w:val="21"/>
          <w:u w:val="single"/>
          <w:lang w:val="en-US" w:eastAsia="zh-CN" w:bidi="ar"/>
        </w:rPr>
        <w:t xml:space="preserve">    </w:t>
      </w:r>
      <w:r>
        <w:rPr>
          <w:rFonts w:hint="eastAsia" w:asciiTheme="majorEastAsia" w:hAnsiTheme="majorEastAsia" w:eastAsiaTheme="majorEastAsia" w:cstheme="majorEastAsia"/>
          <w:color w:val="000000"/>
          <w:kern w:val="0"/>
          <w:sz w:val="21"/>
          <w:szCs w:val="21"/>
          <w:lang w:val="en-US" w:eastAsia="zh-CN" w:bidi="ar"/>
        </w:rPr>
        <w:t>日</w:t>
      </w:r>
    </w:p>
    <w:p w14:paraId="11A2CBAA">
      <w:pPr>
        <w:keepNext w:val="0"/>
        <w:keepLines w:val="0"/>
        <w:pageBreakBefore w:val="0"/>
        <w:widowControl/>
        <w:suppressLineNumbers w:val="0"/>
        <w:kinsoku/>
        <w:wordWrap/>
        <w:overflowPunct/>
        <w:topLinePunct w:val="0"/>
        <w:autoSpaceDE/>
        <w:autoSpaceDN/>
        <w:bidi w:val="0"/>
        <w:adjustRightInd w:val="0"/>
        <w:snapToGrid/>
        <w:spacing w:line="360" w:lineRule="auto"/>
        <w:ind w:firstLine="420" w:firstLineChars="200"/>
        <w:jc w:val="both"/>
        <w:textAlignment w:val="auto"/>
        <w:rPr>
          <w:rFonts w:hint="eastAsia" w:asciiTheme="majorEastAsia" w:hAnsiTheme="majorEastAsia" w:eastAsiaTheme="majorEastAsia" w:cstheme="majorEastAsia"/>
          <w:color w:val="000000"/>
          <w:kern w:val="0"/>
          <w:sz w:val="21"/>
          <w:szCs w:val="21"/>
          <w:lang w:val="en-US" w:eastAsia="zh-CN" w:bidi="ar"/>
        </w:rPr>
      </w:pPr>
    </w:p>
    <w:p w14:paraId="38F4F77F">
      <w:pPr>
        <w:keepNext w:val="0"/>
        <w:keepLines w:val="0"/>
        <w:pageBreakBefore w:val="0"/>
        <w:widowControl/>
        <w:suppressLineNumbers w:val="0"/>
        <w:kinsoku/>
        <w:wordWrap/>
        <w:overflowPunct/>
        <w:topLinePunct w:val="0"/>
        <w:autoSpaceDE/>
        <w:autoSpaceDN/>
        <w:bidi w:val="0"/>
        <w:adjustRightInd w:val="0"/>
        <w:snapToGrid/>
        <w:spacing w:line="360" w:lineRule="auto"/>
        <w:ind w:firstLine="420" w:firstLineChars="200"/>
        <w:jc w:val="both"/>
        <w:textAlignment w:val="auto"/>
        <w:rPr>
          <w:rFonts w:hint="eastAsia" w:asciiTheme="majorEastAsia" w:hAnsiTheme="majorEastAsia" w:eastAsiaTheme="majorEastAsia" w:cstheme="majorEastAsia"/>
          <w:color w:val="000000"/>
          <w:kern w:val="0"/>
          <w:sz w:val="21"/>
          <w:szCs w:val="21"/>
          <w:lang w:val="en-US" w:eastAsia="zh-CN" w:bidi="ar"/>
        </w:rPr>
      </w:pPr>
    </w:p>
    <w:p w14:paraId="1336C87B">
      <w:pPr>
        <w:keepNext w:val="0"/>
        <w:keepLines w:val="0"/>
        <w:pageBreakBefore w:val="0"/>
        <w:widowControl/>
        <w:suppressLineNumbers w:val="0"/>
        <w:kinsoku/>
        <w:wordWrap/>
        <w:overflowPunct/>
        <w:topLinePunct w:val="0"/>
        <w:autoSpaceDE/>
        <w:autoSpaceDN/>
        <w:bidi w:val="0"/>
        <w:adjustRightInd w:val="0"/>
        <w:snapToGrid/>
        <w:spacing w:line="360" w:lineRule="auto"/>
        <w:ind w:firstLine="420"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t>机构代码、注册登记机构、日期、有效期、注册资本、地</w:t>
      </w:r>
    </w:p>
    <w:p w14:paraId="65672087">
      <w:pPr>
        <w:keepNext w:val="0"/>
        <w:keepLines w:val="0"/>
        <w:pageBreakBefore w:val="0"/>
        <w:widowControl/>
        <w:suppressLineNumbers w:val="0"/>
        <w:kinsoku/>
        <w:wordWrap/>
        <w:overflowPunct/>
        <w:topLinePunct w:val="0"/>
        <w:autoSpaceDE/>
        <w:autoSpaceDN/>
        <w:bidi w:val="0"/>
        <w:adjustRightInd w:val="0"/>
        <w:snapToGrid/>
        <w:spacing w:line="360" w:lineRule="auto"/>
        <w:ind w:firstLine="420"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t>址、经济行业、经济性质</w:t>
      </w:r>
    </w:p>
    <w:p w14:paraId="7BA9BAA6">
      <w:pPr>
        <w:keepNext w:val="0"/>
        <w:keepLines w:val="0"/>
        <w:pageBreakBefore w:val="0"/>
        <w:widowControl/>
        <w:suppressLineNumbers w:val="0"/>
        <w:kinsoku/>
        <w:wordWrap/>
        <w:overflowPunct/>
        <w:topLinePunct w:val="0"/>
        <w:autoSpaceDE/>
        <w:autoSpaceDN/>
        <w:bidi w:val="0"/>
        <w:adjustRightInd w:val="0"/>
        <w:snapToGrid/>
        <w:spacing w:line="360" w:lineRule="auto"/>
        <w:ind w:firstLine="420"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0"/>
          <w:sz w:val="21"/>
          <w:szCs w:val="21"/>
          <w:lang w:val="en-US" w:eastAsia="zh-CN" w:bidi="ar"/>
        </w:rPr>
        <w:t>法定代表人（负责人）姓名（签字）、身份证号、手机号：</w:t>
      </w:r>
    </w:p>
    <w:p w14:paraId="1F1C426A">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both"/>
        <w:textAlignment w:val="auto"/>
        <w:rPr>
          <w:rFonts w:hint="eastAsia" w:asciiTheme="majorEastAsia" w:hAnsiTheme="majorEastAsia" w:eastAsiaTheme="majorEastAsia" w:cstheme="majorEastAsia"/>
          <w:b w:val="0"/>
          <w:bCs/>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bidi="ar"/>
        </w:rPr>
        <w:t>授权代表人姓名（签字）、身份证号、手机号：</w:t>
      </w:r>
    </w:p>
    <w:p w14:paraId="1EE042AD">
      <w:pPr>
        <w:spacing w:line="480" w:lineRule="exact"/>
        <w:rPr>
          <w:rFonts w:hint="eastAsia" w:asciiTheme="majorEastAsia" w:hAnsiTheme="majorEastAsia" w:eastAsiaTheme="majorEastAsia" w:cstheme="majorEastAsia"/>
          <w:sz w:val="21"/>
          <w:szCs w:val="21"/>
        </w:rPr>
      </w:pPr>
    </w:p>
    <w:p w14:paraId="77745D41">
      <w:pPr>
        <w:spacing w:line="480" w:lineRule="exact"/>
        <w:outlineLvl w:val="9"/>
        <w:rPr>
          <w:rFonts w:hint="eastAsia" w:asciiTheme="majorEastAsia" w:hAnsiTheme="majorEastAsia" w:eastAsiaTheme="majorEastAsia" w:cstheme="majorEastAsia"/>
          <w:sz w:val="21"/>
          <w:szCs w:val="21"/>
        </w:rPr>
      </w:pPr>
      <w:bookmarkStart w:id="288" w:name="_Toc15189"/>
    </w:p>
    <w:p w14:paraId="733A14C0">
      <w:pPr>
        <w:spacing w:line="480" w:lineRule="exact"/>
        <w:outlineLvl w:val="9"/>
        <w:rPr>
          <w:rFonts w:hint="eastAsia" w:asciiTheme="majorEastAsia" w:hAnsiTheme="majorEastAsia" w:eastAsiaTheme="majorEastAsia" w:cstheme="majorEastAsia"/>
          <w:sz w:val="21"/>
          <w:szCs w:val="21"/>
        </w:rPr>
      </w:pPr>
    </w:p>
    <w:p w14:paraId="2CD6CA0D">
      <w:pPr>
        <w:spacing w:line="480" w:lineRule="exact"/>
        <w:outlineLvl w:val="9"/>
        <w:rPr>
          <w:rFonts w:hint="eastAsia" w:asciiTheme="majorEastAsia" w:hAnsiTheme="majorEastAsia" w:eastAsiaTheme="majorEastAsia" w:cstheme="majorEastAsia"/>
          <w:sz w:val="21"/>
          <w:szCs w:val="21"/>
        </w:rPr>
      </w:pPr>
    </w:p>
    <w:p w14:paraId="318D53B3">
      <w:pPr>
        <w:spacing w:line="480" w:lineRule="exact"/>
        <w:outlineLvl w:val="9"/>
        <w:rPr>
          <w:rFonts w:hint="eastAsia" w:asciiTheme="majorEastAsia" w:hAnsiTheme="majorEastAsia" w:eastAsiaTheme="majorEastAsia" w:cstheme="majorEastAsia"/>
          <w:sz w:val="21"/>
          <w:szCs w:val="21"/>
        </w:rPr>
      </w:pPr>
    </w:p>
    <w:p w14:paraId="68BF7250">
      <w:pPr>
        <w:spacing w:line="480" w:lineRule="exact"/>
        <w:outlineLvl w:val="9"/>
        <w:rPr>
          <w:rFonts w:hint="eastAsia" w:asciiTheme="majorEastAsia" w:hAnsiTheme="majorEastAsia" w:eastAsiaTheme="majorEastAsia" w:cstheme="majorEastAsia"/>
          <w:sz w:val="21"/>
          <w:szCs w:val="21"/>
        </w:rPr>
      </w:pPr>
    </w:p>
    <w:p w14:paraId="2345AE0D">
      <w:pPr>
        <w:spacing w:line="480" w:lineRule="exact"/>
        <w:outlineLvl w:val="9"/>
        <w:rPr>
          <w:rFonts w:hint="eastAsia" w:asciiTheme="majorEastAsia" w:hAnsiTheme="majorEastAsia" w:eastAsiaTheme="majorEastAsia" w:cstheme="majorEastAsia"/>
          <w:sz w:val="21"/>
          <w:szCs w:val="21"/>
        </w:rPr>
      </w:pPr>
    </w:p>
    <w:p w14:paraId="0D629B0B">
      <w:pPr>
        <w:spacing w:line="480" w:lineRule="exact"/>
        <w:outlineLvl w:val="9"/>
        <w:rPr>
          <w:rFonts w:hint="eastAsia" w:asciiTheme="majorEastAsia" w:hAnsiTheme="majorEastAsia" w:eastAsiaTheme="majorEastAsia" w:cstheme="majorEastAsia"/>
          <w:sz w:val="21"/>
          <w:szCs w:val="21"/>
        </w:rPr>
      </w:pPr>
    </w:p>
    <w:p w14:paraId="1DADBA55">
      <w:pPr>
        <w:spacing w:line="480" w:lineRule="exact"/>
        <w:outlineLvl w:val="9"/>
        <w:rPr>
          <w:rFonts w:hint="eastAsia" w:asciiTheme="majorEastAsia" w:hAnsiTheme="majorEastAsia" w:eastAsiaTheme="majorEastAsia" w:cstheme="majorEastAsia"/>
          <w:sz w:val="21"/>
          <w:szCs w:val="21"/>
        </w:rPr>
      </w:pPr>
    </w:p>
    <w:p w14:paraId="0CF87CD0">
      <w:pPr>
        <w:spacing w:line="480" w:lineRule="exact"/>
        <w:outlineLvl w:val="9"/>
        <w:rPr>
          <w:rFonts w:hint="eastAsia" w:asciiTheme="majorEastAsia" w:hAnsiTheme="majorEastAsia" w:eastAsiaTheme="majorEastAsia" w:cstheme="majorEastAsia"/>
          <w:sz w:val="21"/>
          <w:szCs w:val="21"/>
        </w:rPr>
      </w:pPr>
    </w:p>
    <w:p w14:paraId="51751589">
      <w:pPr>
        <w:spacing w:line="480" w:lineRule="exact"/>
        <w:outlineLvl w:val="9"/>
        <w:rPr>
          <w:rFonts w:hint="eastAsia" w:asciiTheme="majorEastAsia" w:hAnsiTheme="majorEastAsia" w:eastAsiaTheme="majorEastAsia" w:cstheme="majorEastAsia"/>
          <w:sz w:val="21"/>
          <w:szCs w:val="21"/>
        </w:rPr>
      </w:pPr>
    </w:p>
    <w:p w14:paraId="0388DE18">
      <w:pPr>
        <w:spacing w:line="480" w:lineRule="exact"/>
        <w:outlineLvl w:val="9"/>
        <w:rPr>
          <w:rFonts w:hint="eastAsia" w:asciiTheme="majorEastAsia" w:hAnsiTheme="majorEastAsia" w:eastAsiaTheme="majorEastAsia" w:cstheme="majorEastAsia"/>
          <w:sz w:val="21"/>
          <w:szCs w:val="21"/>
        </w:rPr>
      </w:pPr>
    </w:p>
    <w:p w14:paraId="5DD9EB15">
      <w:pPr>
        <w:rPr>
          <w:rFonts w:hint="eastAsia" w:asciiTheme="majorEastAsia" w:hAnsiTheme="majorEastAsia" w:eastAsiaTheme="majorEastAsia" w:cstheme="majorEastAsia"/>
          <w:b/>
          <w:bCs/>
          <w:sz w:val="21"/>
          <w:szCs w:val="21"/>
        </w:rPr>
      </w:pPr>
      <w:bookmarkStart w:id="289" w:name="_Toc20579"/>
      <w:bookmarkStart w:id="290" w:name="_Toc10393"/>
      <w:bookmarkStart w:id="291" w:name="_Toc6673"/>
      <w:r>
        <w:rPr>
          <w:rFonts w:hint="eastAsia" w:asciiTheme="majorEastAsia" w:hAnsiTheme="majorEastAsia" w:eastAsiaTheme="majorEastAsia" w:cstheme="majorEastAsia"/>
          <w:b/>
          <w:bCs/>
          <w:sz w:val="21"/>
          <w:szCs w:val="21"/>
        </w:rPr>
        <w:br w:type="page"/>
      </w:r>
    </w:p>
    <w:p w14:paraId="4F8290DF">
      <w:pPr>
        <w:spacing w:line="480" w:lineRule="exact"/>
        <w:ind w:left="0" w:leftChars="0" w:firstLine="0" w:firstLineChars="0"/>
        <w:outlineLvl w:val="2"/>
        <w:rPr>
          <w:rFonts w:hint="eastAsia" w:asciiTheme="majorEastAsia" w:hAnsiTheme="majorEastAsia" w:eastAsiaTheme="majorEastAsia" w:cstheme="majorEastAsia"/>
          <w:b/>
          <w:bCs/>
          <w:sz w:val="21"/>
          <w:szCs w:val="21"/>
        </w:rPr>
      </w:pPr>
      <w:bookmarkStart w:id="292" w:name="_Toc7671"/>
      <w:r>
        <w:rPr>
          <w:rFonts w:hint="eastAsia" w:asciiTheme="majorEastAsia" w:hAnsiTheme="majorEastAsia" w:eastAsiaTheme="majorEastAsia" w:cstheme="majorEastAsia"/>
          <w:b/>
          <w:bCs/>
          <w:sz w:val="21"/>
          <w:szCs w:val="21"/>
        </w:rPr>
        <w:t>附件</w:t>
      </w:r>
      <w:r>
        <w:rPr>
          <w:rFonts w:hint="eastAsia" w:asciiTheme="majorEastAsia" w:hAnsiTheme="majorEastAsia" w:eastAsiaTheme="majorEastAsia" w:cstheme="majorEastAsia"/>
          <w:b/>
          <w:bCs/>
          <w:sz w:val="21"/>
          <w:szCs w:val="21"/>
          <w:lang w:val="en-US" w:eastAsia="zh-CN"/>
        </w:rPr>
        <w:t>2-4</w:t>
      </w:r>
      <w:r>
        <w:rPr>
          <w:rFonts w:hint="eastAsia" w:asciiTheme="majorEastAsia" w:hAnsiTheme="majorEastAsia" w:eastAsiaTheme="majorEastAsia" w:cstheme="majorEastAsia"/>
          <w:b/>
          <w:bCs/>
          <w:sz w:val="21"/>
          <w:szCs w:val="21"/>
        </w:rPr>
        <w:t xml:space="preserve"> 磋商文件规定的特定资格条件证明资料</w:t>
      </w:r>
      <w:bookmarkEnd w:id="288"/>
      <w:bookmarkEnd w:id="289"/>
      <w:bookmarkEnd w:id="290"/>
      <w:bookmarkEnd w:id="291"/>
      <w:bookmarkEnd w:id="292"/>
    </w:p>
    <w:p w14:paraId="1679E114">
      <w:pPr>
        <w:spacing w:line="480" w:lineRule="exact"/>
        <w:rPr>
          <w:rFonts w:hint="eastAsia" w:asciiTheme="majorEastAsia" w:hAnsiTheme="majorEastAsia" w:eastAsiaTheme="majorEastAsia" w:cstheme="majorEastAsia"/>
          <w:sz w:val="21"/>
          <w:szCs w:val="21"/>
        </w:rPr>
      </w:pPr>
    </w:p>
    <w:p w14:paraId="36242284">
      <w:pPr>
        <w:spacing w:line="48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备注：提供第二章 磋商须知第3.1款供应商特定资格条件证明资料的复印件。</w:t>
      </w:r>
    </w:p>
    <w:p w14:paraId="4A1E891E">
      <w:pPr>
        <w:spacing w:line="480" w:lineRule="exact"/>
        <w:rPr>
          <w:rFonts w:hint="default" w:ascii="Times New Roman" w:hAnsi="Times New Roman" w:cs="Times New Roman"/>
          <w:szCs w:val="21"/>
        </w:rPr>
      </w:pPr>
    </w:p>
    <w:p w14:paraId="7735AB51">
      <w:pPr>
        <w:spacing w:line="480" w:lineRule="exact"/>
        <w:rPr>
          <w:rFonts w:hint="default" w:ascii="Times New Roman" w:hAnsi="Times New Roman" w:eastAsia="黑体" w:cs="Times New Roman"/>
          <w:sz w:val="30"/>
          <w:szCs w:val="30"/>
        </w:rPr>
      </w:pPr>
    </w:p>
    <w:p w14:paraId="6585D21A">
      <w:pPr>
        <w:adjustRightInd w:val="0"/>
        <w:snapToGrid w:val="0"/>
        <w:spacing w:line="360" w:lineRule="auto"/>
        <w:rPr>
          <w:rFonts w:hint="default" w:ascii="Times New Roman" w:hAnsi="Times New Roman" w:eastAsia="黑体" w:cs="Times New Roman"/>
          <w:b/>
          <w:sz w:val="30"/>
          <w:szCs w:val="30"/>
        </w:rPr>
      </w:pPr>
    </w:p>
    <w:p w14:paraId="22867929">
      <w:pPr>
        <w:rPr>
          <w:rFonts w:hint="default" w:ascii="Times New Roman" w:hAnsi="Times New Roman" w:cs="Times New Roman"/>
        </w:rPr>
      </w:pPr>
    </w:p>
    <w:p w14:paraId="0CE522A5">
      <w:pPr>
        <w:rPr>
          <w:rFonts w:hint="default" w:ascii="Times New Roman" w:hAnsi="Times New Roman" w:cs="Times New Roman"/>
        </w:rPr>
      </w:pPr>
    </w:p>
    <w:p w14:paraId="289A9C87">
      <w:pPr>
        <w:rPr>
          <w:rFonts w:hint="default" w:ascii="Times New Roman" w:hAnsi="Times New Roman" w:cs="Times New Roman"/>
        </w:rPr>
      </w:pPr>
    </w:p>
    <w:p w14:paraId="4A40A916">
      <w:pPr>
        <w:rPr>
          <w:rFonts w:hint="default" w:ascii="Times New Roman" w:hAnsi="Times New Roman" w:cs="Times New Roman"/>
        </w:rPr>
      </w:pPr>
    </w:p>
    <w:p w14:paraId="4514D1E9">
      <w:pPr>
        <w:rPr>
          <w:rFonts w:hint="default" w:ascii="Times New Roman" w:hAnsi="Times New Roman" w:cs="Times New Roman"/>
        </w:rPr>
      </w:pPr>
    </w:p>
    <w:p w14:paraId="79D64427">
      <w:pPr>
        <w:rPr>
          <w:rFonts w:hint="default" w:ascii="Times New Roman" w:hAnsi="Times New Roman" w:cs="Times New Roman"/>
        </w:rPr>
      </w:pPr>
    </w:p>
    <w:p w14:paraId="08D40A87">
      <w:pPr>
        <w:rPr>
          <w:rFonts w:hint="default" w:ascii="Times New Roman" w:hAnsi="Times New Roman" w:cs="Times New Roman"/>
        </w:rPr>
      </w:pPr>
    </w:p>
    <w:p w14:paraId="0DC32B3B">
      <w:pPr>
        <w:rPr>
          <w:rFonts w:hint="default" w:ascii="Times New Roman" w:hAnsi="Times New Roman" w:cs="Times New Roman"/>
        </w:rPr>
      </w:pPr>
    </w:p>
    <w:p w14:paraId="0D3FB332">
      <w:pPr>
        <w:rPr>
          <w:rFonts w:hint="default" w:ascii="Times New Roman" w:hAnsi="Times New Roman" w:cs="Times New Roman"/>
        </w:rPr>
      </w:pPr>
    </w:p>
    <w:p w14:paraId="3B2F90C3">
      <w:pPr>
        <w:rPr>
          <w:rFonts w:hint="default" w:ascii="Times New Roman" w:hAnsi="Times New Roman" w:cs="Times New Roman"/>
        </w:rPr>
      </w:pPr>
    </w:p>
    <w:p w14:paraId="492084E8">
      <w:pPr>
        <w:rPr>
          <w:rFonts w:hint="default" w:ascii="Times New Roman" w:hAnsi="Times New Roman" w:cs="Times New Roman"/>
        </w:rPr>
      </w:pPr>
    </w:p>
    <w:p w14:paraId="37B6E17B">
      <w:pPr>
        <w:rPr>
          <w:rFonts w:hint="default" w:ascii="Times New Roman" w:hAnsi="Times New Roman" w:cs="Times New Roman"/>
        </w:rPr>
      </w:pPr>
    </w:p>
    <w:p w14:paraId="59AD149A">
      <w:pPr>
        <w:spacing w:line="480" w:lineRule="exact"/>
        <w:ind w:left="0" w:leftChars="0" w:firstLine="0" w:firstLineChars="0"/>
        <w:outlineLvl w:val="2"/>
        <w:rPr>
          <w:rFonts w:hint="default" w:asciiTheme="majorEastAsia" w:hAnsiTheme="majorEastAsia" w:eastAsiaTheme="majorEastAsia" w:cstheme="majorEastAsia"/>
          <w:b/>
          <w:bCs/>
          <w:sz w:val="21"/>
          <w:szCs w:val="21"/>
        </w:rPr>
      </w:pPr>
      <w:bookmarkStart w:id="293" w:name="_Toc21431"/>
      <w:bookmarkStart w:id="294" w:name="_Toc14375"/>
      <w:bookmarkStart w:id="295" w:name="_Toc32683"/>
      <w:bookmarkStart w:id="296" w:name="_Toc20814"/>
      <w:bookmarkStart w:id="297" w:name="_Toc21269"/>
      <w:r>
        <w:rPr>
          <w:rFonts w:hint="default" w:asciiTheme="majorEastAsia" w:hAnsiTheme="majorEastAsia" w:eastAsiaTheme="majorEastAsia" w:cstheme="majorEastAsia"/>
          <w:b/>
          <w:bCs/>
          <w:sz w:val="21"/>
          <w:szCs w:val="21"/>
        </w:rPr>
        <w:t>附件</w:t>
      </w:r>
      <w:r>
        <w:rPr>
          <w:rFonts w:hint="eastAsia" w:asciiTheme="majorEastAsia" w:hAnsiTheme="majorEastAsia" w:eastAsiaTheme="majorEastAsia" w:cstheme="majorEastAsia"/>
          <w:b/>
          <w:bCs/>
          <w:sz w:val="21"/>
          <w:szCs w:val="21"/>
          <w:lang w:val="en-US" w:eastAsia="zh-CN"/>
        </w:rPr>
        <w:t>2-5</w:t>
      </w:r>
      <w:r>
        <w:rPr>
          <w:rFonts w:hint="default" w:asciiTheme="majorEastAsia" w:hAnsiTheme="majorEastAsia" w:eastAsiaTheme="majorEastAsia" w:cstheme="majorEastAsia"/>
          <w:b/>
          <w:bCs/>
          <w:sz w:val="21"/>
          <w:szCs w:val="21"/>
        </w:rPr>
        <w:t xml:space="preserve"> 其他证明资料或说明</w:t>
      </w:r>
      <w:bookmarkEnd w:id="293"/>
      <w:bookmarkEnd w:id="294"/>
      <w:bookmarkEnd w:id="295"/>
      <w:bookmarkEnd w:id="296"/>
      <w:bookmarkEnd w:id="297"/>
    </w:p>
    <w:p w14:paraId="73AEADAD">
      <w:pPr>
        <w:adjustRightInd w:val="0"/>
        <w:snapToGrid w:val="0"/>
        <w:spacing w:line="360" w:lineRule="auto"/>
        <w:rPr>
          <w:rFonts w:hint="default" w:ascii="Times New Roman" w:hAnsi="Times New Roman" w:eastAsia="黑体" w:cs="Times New Roman"/>
          <w:szCs w:val="21"/>
        </w:rPr>
      </w:pPr>
    </w:p>
    <w:p w14:paraId="0C78CDC9">
      <w:pPr>
        <w:adjustRightInd w:val="0"/>
        <w:snapToGrid w:val="0"/>
        <w:spacing w:line="360" w:lineRule="auto"/>
        <w:rPr>
          <w:rFonts w:hint="default" w:ascii="宋体" w:hAnsi="宋体" w:eastAsia="宋体"/>
          <w:color w:val="auto"/>
          <w:szCs w:val="21"/>
          <w:lang w:val="en-US" w:eastAsia="zh-CN"/>
        </w:rPr>
      </w:pPr>
      <w:r>
        <w:rPr>
          <w:rFonts w:hint="eastAsia"/>
          <w:color w:val="auto"/>
          <w:szCs w:val="21"/>
          <w:lang w:val="en-US" w:eastAsia="zh-CN"/>
        </w:rPr>
        <w:t>注：供应商认为需要提供的其他资格证明材料或说明。</w:t>
      </w:r>
    </w:p>
    <w:p w14:paraId="24378013">
      <w:pPr>
        <w:adjustRightInd w:val="0"/>
        <w:snapToGrid w:val="0"/>
        <w:spacing w:line="360" w:lineRule="auto"/>
        <w:jc w:val="center"/>
        <w:rPr>
          <w:rFonts w:hint="default" w:ascii="Times New Roman" w:hAnsi="Times New Roman" w:eastAsia="黑体" w:cs="Times New Roman"/>
          <w:b/>
          <w:sz w:val="32"/>
          <w:szCs w:val="32"/>
        </w:rPr>
      </w:pPr>
    </w:p>
    <w:p w14:paraId="4700C9E8">
      <w:pPr>
        <w:adjustRightInd w:val="0"/>
        <w:snapToGrid w:val="0"/>
        <w:spacing w:line="360" w:lineRule="auto"/>
        <w:jc w:val="center"/>
        <w:rPr>
          <w:rFonts w:hint="default" w:ascii="Times New Roman" w:hAnsi="Times New Roman" w:eastAsia="黑体" w:cs="Times New Roman"/>
          <w:b/>
          <w:sz w:val="32"/>
          <w:szCs w:val="32"/>
        </w:rPr>
      </w:pPr>
    </w:p>
    <w:p w14:paraId="51750490">
      <w:pPr>
        <w:adjustRightInd w:val="0"/>
        <w:snapToGrid w:val="0"/>
        <w:spacing w:line="360" w:lineRule="auto"/>
        <w:jc w:val="center"/>
        <w:rPr>
          <w:rFonts w:hint="default" w:ascii="Times New Roman" w:hAnsi="Times New Roman" w:eastAsia="黑体" w:cs="Times New Roman"/>
          <w:b/>
          <w:sz w:val="32"/>
          <w:szCs w:val="32"/>
        </w:rPr>
      </w:pPr>
    </w:p>
    <w:p w14:paraId="05865A99">
      <w:pPr>
        <w:adjustRightInd w:val="0"/>
        <w:snapToGrid w:val="0"/>
        <w:spacing w:line="360" w:lineRule="auto"/>
        <w:jc w:val="center"/>
        <w:rPr>
          <w:rFonts w:hint="default" w:ascii="Times New Roman" w:hAnsi="Times New Roman" w:eastAsia="黑体" w:cs="Times New Roman"/>
          <w:b/>
          <w:sz w:val="32"/>
          <w:szCs w:val="32"/>
        </w:rPr>
      </w:pPr>
    </w:p>
    <w:p w14:paraId="0EE0DBEC">
      <w:pPr>
        <w:adjustRightInd w:val="0"/>
        <w:snapToGrid w:val="0"/>
        <w:spacing w:line="360" w:lineRule="auto"/>
        <w:jc w:val="center"/>
        <w:rPr>
          <w:rFonts w:hint="default" w:ascii="Times New Roman" w:hAnsi="Times New Roman" w:eastAsia="黑体" w:cs="Times New Roman"/>
          <w:b/>
          <w:sz w:val="32"/>
          <w:szCs w:val="32"/>
        </w:rPr>
      </w:pPr>
    </w:p>
    <w:p w14:paraId="5789BC8B">
      <w:pPr>
        <w:adjustRightInd w:val="0"/>
        <w:snapToGrid w:val="0"/>
        <w:spacing w:line="360" w:lineRule="auto"/>
        <w:jc w:val="center"/>
        <w:rPr>
          <w:rFonts w:hint="default" w:ascii="Times New Roman" w:hAnsi="Times New Roman" w:eastAsia="黑体" w:cs="Times New Roman"/>
          <w:b/>
          <w:sz w:val="32"/>
          <w:szCs w:val="32"/>
        </w:rPr>
      </w:pPr>
    </w:p>
    <w:p w14:paraId="2813E23F">
      <w:pPr>
        <w:adjustRightInd w:val="0"/>
        <w:snapToGrid w:val="0"/>
        <w:spacing w:line="360" w:lineRule="auto"/>
        <w:jc w:val="center"/>
        <w:rPr>
          <w:rFonts w:hint="default" w:ascii="Times New Roman" w:hAnsi="Times New Roman" w:eastAsia="黑体" w:cs="Times New Roman"/>
          <w:b/>
          <w:sz w:val="32"/>
          <w:szCs w:val="32"/>
        </w:rPr>
      </w:pPr>
    </w:p>
    <w:p w14:paraId="1CECAD33">
      <w:pPr>
        <w:adjustRightInd w:val="0"/>
        <w:snapToGrid w:val="0"/>
        <w:spacing w:line="360" w:lineRule="auto"/>
        <w:jc w:val="center"/>
        <w:rPr>
          <w:rFonts w:hint="default" w:ascii="Times New Roman" w:hAnsi="Times New Roman" w:eastAsia="黑体" w:cs="Times New Roman"/>
          <w:b/>
          <w:sz w:val="32"/>
          <w:szCs w:val="32"/>
        </w:rPr>
      </w:pPr>
    </w:p>
    <w:p w14:paraId="6D525B8D">
      <w:pPr>
        <w:adjustRightInd w:val="0"/>
        <w:snapToGrid w:val="0"/>
        <w:spacing w:line="360" w:lineRule="auto"/>
        <w:jc w:val="center"/>
        <w:rPr>
          <w:rFonts w:hint="default" w:ascii="Times New Roman" w:hAnsi="Times New Roman" w:eastAsia="黑体" w:cs="Times New Roman"/>
          <w:b/>
          <w:sz w:val="32"/>
          <w:szCs w:val="32"/>
        </w:rPr>
      </w:pPr>
    </w:p>
    <w:p w14:paraId="1D64F077">
      <w:pPr>
        <w:adjustRightInd w:val="0"/>
        <w:snapToGrid w:val="0"/>
        <w:spacing w:line="360" w:lineRule="auto"/>
        <w:jc w:val="center"/>
        <w:rPr>
          <w:rFonts w:hint="default" w:ascii="Times New Roman" w:hAnsi="Times New Roman" w:eastAsia="黑体" w:cs="Times New Roman"/>
          <w:b/>
          <w:sz w:val="32"/>
          <w:szCs w:val="32"/>
        </w:rPr>
      </w:pPr>
    </w:p>
    <w:p w14:paraId="368FB515">
      <w:pPr>
        <w:tabs>
          <w:tab w:val="left" w:pos="1680"/>
        </w:tabs>
        <w:adjustRightInd w:val="0"/>
        <w:snapToGrid w:val="0"/>
        <w:spacing w:line="360" w:lineRule="auto"/>
        <w:ind w:left="0" w:leftChars="0" w:firstLine="0" w:firstLineChars="0"/>
        <w:jc w:val="center"/>
        <w:outlineLvl w:val="1"/>
        <w:rPr>
          <w:rFonts w:hint="eastAsia" w:ascii="黑体" w:hAnsi="黑体" w:eastAsia="黑体" w:cs="黑体"/>
          <w:b/>
          <w:color w:val="auto"/>
          <w:sz w:val="32"/>
          <w:szCs w:val="32"/>
          <w:lang w:val="en-US" w:eastAsia="zh-CN"/>
        </w:rPr>
      </w:pPr>
      <w:bookmarkStart w:id="298" w:name="_Toc21704"/>
      <w:bookmarkStart w:id="299" w:name="_Toc5862"/>
      <w:bookmarkStart w:id="300" w:name="_Toc25333"/>
      <w:bookmarkStart w:id="301" w:name="_Toc20378"/>
      <w:r>
        <w:rPr>
          <w:rFonts w:hint="eastAsia" w:ascii="黑体" w:hAnsi="黑体" w:eastAsia="黑体" w:cs="黑体"/>
          <w:b/>
          <w:color w:val="auto"/>
          <w:sz w:val="32"/>
          <w:szCs w:val="32"/>
          <w:lang w:val="en-US" w:eastAsia="zh-CN"/>
        </w:rPr>
        <w:t>四、</w:t>
      </w:r>
      <w:bookmarkEnd w:id="298"/>
      <w:bookmarkEnd w:id="299"/>
      <w:bookmarkEnd w:id="300"/>
      <w:r>
        <w:rPr>
          <w:rFonts w:hint="eastAsia" w:ascii="黑体" w:hAnsi="黑体" w:eastAsia="黑体" w:cs="黑体"/>
          <w:b/>
          <w:color w:val="auto"/>
          <w:sz w:val="32"/>
          <w:szCs w:val="32"/>
          <w:lang w:val="en-US" w:eastAsia="zh-CN"/>
        </w:rPr>
        <w:t>施工实施方案</w:t>
      </w:r>
      <w:bookmarkEnd w:id="301"/>
    </w:p>
    <w:p w14:paraId="2CD282BC">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jc w:val="left"/>
        <w:textAlignment w:val="auto"/>
        <w:outlineLvl w:val="9"/>
        <w:rPr>
          <w:rFonts w:hint="eastAsia" w:ascii="宋体" w:hAnsi="宋体" w:eastAsia="宋体" w:cs="宋体"/>
          <w:szCs w:val="21"/>
        </w:rPr>
      </w:pPr>
      <w:r>
        <w:rPr>
          <w:rFonts w:hint="eastAsia" w:ascii="宋体" w:hAnsi="宋体" w:eastAsia="宋体" w:cs="宋体"/>
          <w:szCs w:val="21"/>
        </w:rPr>
        <w:t>供应商应根据</w:t>
      </w:r>
      <w:r>
        <w:rPr>
          <w:rFonts w:hint="eastAsia" w:cs="宋体"/>
          <w:szCs w:val="21"/>
          <w:lang w:val="en-US" w:eastAsia="zh-CN"/>
        </w:rPr>
        <w:t>附页4的评分因素和标准技术部分的评分项和</w:t>
      </w:r>
      <w:r>
        <w:rPr>
          <w:rFonts w:hint="eastAsia" w:ascii="宋体" w:hAnsi="宋体" w:eastAsia="宋体" w:cs="宋体"/>
          <w:szCs w:val="21"/>
        </w:rPr>
        <w:t>第四章</w:t>
      </w:r>
      <w:r>
        <w:rPr>
          <w:rFonts w:hint="eastAsia" w:cs="宋体"/>
          <w:szCs w:val="21"/>
          <w:lang w:val="en-US" w:eastAsia="zh-CN"/>
        </w:rPr>
        <w:t>要求</w:t>
      </w:r>
      <w:r>
        <w:rPr>
          <w:rFonts w:hint="eastAsia" w:ascii="宋体" w:hAnsi="宋体" w:eastAsia="宋体" w:cs="宋体"/>
          <w:szCs w:val="21"/>
        </w:rPr>
        <w:t>编写</w:t>
      </w:r>
      <w:r>
        <w:rPr>
          <w:rFonts w:hint="eastAsia" w:cs="宋体"/>
          <w:szCs w:val="21"/>
          <w:lang w:eastAsia="zh-CN"/>
        </w:rPr>
        <w:t>施工实施方案</w:t>
      </w:r>
      <w:r>
        <w:rPr>
          <w:rFonts w:hint="eastAsia" w:ascii="宋体" w:hAnsi="宋体" w:eastAsia="宋体" w:cs="宋体"/>
          <w:szCs w:val="21"/>
        </w:rPr>
        <w:t>注：格式自拟。</w:t>
      </w:r>
    </w:p>
    <w:p w14:paraId="3FFC349E">
      <w:pPr>
        <w:adjustRightInd w:val="0"/>
        <w:snapToGrid w:val="0"/>
        <w:spacing w:line="360" w:lineRule="auto"/>
        <w:ind w:firstLine="525" w:firstLineChars="250"/>
        <w:rPr>
          <w:rFonts w:hint="default" w:ascii="Times New Roman" w:hAnsi="Times New Roman" w:cs="Times New Roman"/>
          <w:szCs w:val="21"/>
        </w:rPr>
      </w:pPr>
    </w:p>
    <w:p w14:paraId="60673A0C">
      <w:pPr>
        <w:adjustRightInd w:val="0"/>
        <w:snapToGrid w:val="0"/>
        <w:spacing w:line="360" w:lineRule="auto"/>
        <w:ind w:firstLine="525" w:firstLineChars="250"/>
        <w:rPr>
          <w:rFonts w:hint="default" w:ascii="Times New Roman" w:hAnsi="Times New Roman" w:cs="Times New Roman"/>
          <w:szCs w:val="21"/>
        </w:rPr>
      </w:pPr>
    </w:p>
    <w:p w14:paraId="5D5A5EAD">
      <w:pPr>
        <w:adjustRightInd w:val="0"/>
        <w:snapToGrid w:val="0"/>
        <w:spacing w:line="360" w:lineRule="auto"/>
        <w:ind w:firstLine="525" w:firstLineChars="250"/>
        <w:rPr>
          <w:rFonts w:hint="default" w:ascii="Times New Roman" w:hAnsi="Times New Roman" w:cs="Times New Roman"/>
          <w:szCs w:val="21"/>
        </w:rPr>
      </w:pPr>
    </w:p>
    <w:p w14:paraId="36B6A46F">
      <w:pPr>
        <w:adjustRightInd w:val="0"/>
        <w:snapToGrid w:val="0"/>
        <w:spacing w:line="360" w:lineRule="auto"/>
        <w:ind w:firstLine="525" w:firstLineChars="250"/>
        <w:rPr>
          <w:rFonts w:hint="default" w:ascii="Times New Roman" w:hAnsi="Times New Roman" w:cs="Times New Roman"/>
          <w:szCs w:val="21"/>
        </w:rPr>
      </w:pPr>
    </w:p>
    <w:p w14:paraId="21D253BD">
      <w:pPr>
        <w:adjustRightInd w:val="0"/>
        <w:snapToGrid w:val="0"/>
        <w:spacing w:line="360" w:lineRule="auto"/>
        <w:ind w:firstLine="525" w:firstLineChars="250"/>
        <w:rPr>
          <w:rFonts w:hint="default" w:ascii="Times New Roman" w:hAnsi="Times New Roman" w:cs="Times New Roman"/>
          <w:szCs w:val="21"/>
        </w:rPr>
      </w:pPr>
    </w:p>
    <w:p w14:paraId="4A117295">
      <w:pPr>
        <w:adjustRightInd w:val="0"/>
        <w:snapToGrid w:val="0"/>
        <w:spacing w:line="360" w:lineRule="auto"/>
        <w:ind w:firstLine="525" w:firstLineChars="250"/>
        <w:rPr>
          <w:rFonts w:hint="default" w:ascii="Times New Roman" w:hAnsi="Times New Roman" w:cs="Times New Roman"/>
          <w:szCs w:val="21"/>
        </w:rPr>
      </w:pPr>
    </w:p>
    <w:p w14:paraId="44CCB429">
      <w:pPr>
        <w:adjustRightInd w:val="0"/>
        <w:snapToGrid w:val="0"/>
        <w:spacing w:line="360" w:lineRule="auto"/>
        <w:ind w:firstLine="525" w:firstLineChars="250"/>
        <w:rPr>
          <w:rFonts w:hint="default" w:ascii="Times New Roman" w:hAnsi="Times New Roman" w:cs="Times New Roman"/>
          <w:szCs w:val="21"/>
        </w:rPr>
      </w:pPr>
    </w:p>
    <w:p w14:paraId="73CFDC09">
      <w:pPr>
        <w:adjustRightInd w:val="0"/>
        <w:snapToGrid w:val="0"/>
        <w:spacing w:line="360" w:lineRule="auto"/>
        <w:ind w:firstLine="525" w:firstLineChars="250"/>
        <w:rPr>
          <w:rFonts w:hint="default" w:ascii="Times New Roman" w:hAnsi="Times New Roman" w:cs="Times New Roman"/>
          <w:szCs w:val="21"/>
        </w:rPr>
      </w:pPr>
    </w:p>
    <w:p w14:paraId="7B31E95E">
      <w:pPr>
        <w:adjustRightInd w:val="0"/>
        <w:snapToGrid w:val="0"/>
        <w:spacing w:line="360" w:lineRule="auto"/>
        <w:ind w:firstLine="525" w:firstLineChars="250"/>
        <w:rPr>
          <w:rFonts w:hint="default" w:ascii="Times New Roman" w:hAnsi="Times New Roman" w:cs="Times New Roman"/>
          <w:szCs w:val="21"/>
        </w:rPr>
      </w:pPr>
    </w:p>
    <w:p w14:paraId="3BA52D98">
      <w:pPr>
        <w:adjustRightInd w:val="0"/>
        <w:snapToGrid w:val="0"/>
        <w:spacing w:line="360" w:lineRule="auto"/>
        <w:ind w:firstLine="525" w:firstLineChars="250"/>
        <w:rPr>
          <w:rFonts w:hint="default" w:ascii="Times New Roman" w:hAnsi="Times New Roman" w:cs="Times New Roman"/>
          <w:szCs w:val="21"/>
        </w:rPr>
      </w:pPr>
    </w:p>
    <w:p w14:paraId="7979167A">
      <w:pPr>
        <w:adjustRightInd w:val="0"/>
        <w:snapToGrid w:val="0"/>
        <w:spacing w:line="360" w:lineRule="auto"/>
        <w:ind w:firstLine="525" w:firstLineChars="250"/>
        <w:rPr>
          <w:rFonts w:hint="default" w:ascii="Times New Roman" w:hAnsi="Times New Roman" w:cs="Times New Roman"/>
          <w:szCs w:val="21"/>
        </w:rPr>
      </w:pPr>
    </w:p>
    <w:p w14:paraId="36BAEE73">
      <w:pPr>
        <w:adjustRightInd w:val="0"/>
        <w:snapToGrid w:val="0"/>
        <w:spacing w:line="360" w:lineRule="auto"/>
        <w:ind w:firstLine="525" w:firstLineChars="250"/>
        <w:rPr>
          <w:rFonts w:hint="default" w:ascii="Times New Roman" w:hAnsi="Times New Roman" w:cs="Times New Roman"/>
          <w:szCs w:val="21"/>
        </w:rPr>
      </w:pPr>
    </w:p>
    <w:p w14:paraId="74265B61">
      <w:pPr>
        <w:pStyle w:val="64"/>
        <w:rPr>
          <w:rFonts w:hint="default" w:ascii="Times New Roman" w:hAnsi="Times New Roman" w:cs="Times New Roman"/>
          <w:szCs w:val="21"/>
        </w:rPr>
      </w:pPr>
    </w:p>
    <w:p w14:paraId="610C8021">
      <w:pPr>
        <w:rPr>
          <w:rFonts w:hint="default" w:ascii="Times New Roman" w:hAnsi="Times New Roman" w:cs="Times New Roman"/>
          <w:szCs w:val="21"/>
        </w:rPr>
      </w:pPr>
    </w:p>
    <w:p w14:paraId="20BDE4C5">
      <w:pPr>
        <w:pStyle w:val="64"/>
        <w:rPr>
          <w:rFonts w:hint="default" w:ascii="Times New Roman" w:hAnsi="Times New Roman" w:cs="Times New Roman"/>
          <w:szCs w:val="21"/>
        </w:rPr>
      </w:pPr>
    </w:p>
    <w:p w14:paraId="0FCC1BC5">
      <w:pPr>
        <w:rPr>
          <w:rFonts w:hint="default" w:ascii="Times New Roman" w:hAnsi="Times New Roman" w:cs="Times New Roman"/>
          <w:szCs w:val="21"/>
        </w:rPr>
      </w:pPr>
    </w:p>
    <w:p w14:paraId="2031B00E">
      <w:pPr>
        <w:pStyle w:val="64"/>
        <w:rPr>
          <w:rFonts w:hint="default" w:ascii="Times New Roman" w:hAnsi="Times New Roman" w:cs="Times New Roman"/>
          <w:szCs w:val="21"/>
        </w:rPr>
      </w:pPr>
    </w:p>
    <w:p w14:paraId="5F4A2784">
      <w:pPr>
        <w:rPr>
          <w:rFonts w:hint="default" w:ascii="Times New Roman" w:hAnsi="Times New Roman" w:cs="Times New Roman"/>
          <w:szCs w:val="21"/>
        </w:rPr>
      </w:pPr>
    </w:p>
    <w:p w14:paraId="3A99A85A">
      <w:pPr>
        <w:pStyle w:val="64"/>
        <w:rPr>
          <w:rFonts w:hint="default" w:ascii="Times New Roman" w:hAnsi="Times New Roman" w:cs="Times New Roman"/>
          <w:szCs w:val="21"/>
        </w:rPr>
      </w:pPr>
    </w:p>
    <w:p w14:paraId="1913A46E">
      <w:pPr>
        <w:rPr>
          <w:rFonts w:hint="default" w:ascii="Times New Roman" w:hAnsi="Times New Roman" w:cs="Times New Roman"/>
          <w:szCs w:val="21"/>
        </w:rPr>
      </w:pPr>
    </w:p>
    <w:p w14:paraId="7AE5B341">
      <w:pPr>
        <w:pStyle w:val="64"/>
        <w:rPr>
          <w:rFonts w:hint="default" w:ascii="Times New Roman" w:hAnsi="Times New Roman" w:cs="Times New Roman"/>
          <w:szCs w:val="21"/>
        </w:rPr>
      </w:pPr>
    </w:p>
    <w:p w14:paraId="340C77B9">
      <w:pPr>
        <w:rPr>
          <w:rFonts w:hint="default" w:ascii="Times New Roman" w:hAnsi="Times New Roman" w:cs="Times New Roman"/>
          <w:szCs w:val="21"/>
        </w:rPr>
      </w:pPr>
    </w:p>
    <w:p w14:paraId="41815EF1">
      <w:pPr>
        <w:pStyle w:val="64"/>
        <w:rPr>
          <w:rFonts w:hint="default" w:ascii="Times New Roman" w:hAnsi="Times New Roman" w:cs="Times New Roman"/>
          <w:szCs w:val="21"/>
        </w:rPr>
      </w:pPr>
    </w:p>
    <w:p w14:paraId="33176ABC">
      <w:pPr>
        <w:rPr>
          <w:rFonts w:hint="default" w:ascii="Times New Roman" w:hAnsi="Times New Roman" w:cs="Times New Roman"/>
          <w:szCs w:val="21"/>
        </w:rPr>
      </w:pPr>
    </w:p>
    <w:p w14:paraId="18425B3D">
      <w:pPr>
        <w:pStyle w:val="64"/>
        <w:rPr>
          <w:rFonts w:hint="default" w:ascii="Times New Roman" w:hAnsi="Times New Roman" w:cs="Times New Roman"/>
          <w:szCs w:val="21"/>
        </w:rPr>
      </w:pPr>
    </w:p>
    <w:p w14:paraId="4AFAFF75">
      <w:pPr>
        <w:rPr>
          <w:rFonts w:hint="default" w:ascii="Times New Roman" w:hAnsi="Times New Roman" w:cs="Times New Roman"/>
        </w:rPr>
      </w:pPr>
    </w:p>
    <w:p w14:paraId="7C8BA8E2">
      <w:pPr>
        <w:rPr>
          <w:rFonts w:hint="eastAsia" w:asciiTheme="minorEastAsia" w:hAnsiTheme="minorEastAsia" w:eastAsiaTheme="minorEastAsia" w:cstheme="minorEastAsia"/>
          <w:b/>
          <w:bCs/>
          <w:sz w:val="21"/>
          <w:szCs w:val="21"/>
        </w:rPr>
      </w:pPr>
      <w:bookmarkStart w:id="302" w:name="_Toc24441"/>
      <w:bookmarkStart w:id="303" w:name="_Toc214"/>
      <w:bookmarkStart w:id="304" w:name="_Toc4191"/>
      <w:bookmarkStart w:id="305" w:name="_Toc32387"/>
      <w:r>
        <w:rPr>
          <w:rFonts w:hint="eastAsia" w:asciiTheme="minorEastAsia" w:hAnsiTheme="minorEastAsia" w:eastAsiaTheme="minorEastAsia" w:cstheme="minorEastAsia"/>
          <w:b/>
          <w:bCs/>
          <w:sz w:val="21"/>
          <w:szCs w:val="21"/>
        </w:rPr>
        <w:br w:type="page"/>
      </w:r>
    </w:p>
    <w:p w14:paraId="7EBBDC66">
      <w:pPr>
        <w:spacing w:line="360" w:lineRule="auto"/>
        <w:ind w:left="0" w:leftChars="0" w:firstLine="0" w:firstLineChars="0"/>
        <w:outlineLvl w:val="2"/>
        <w:rPr>
          <w:rFonts w:hint="eastAsia" w:asciiTheme="minorEastAsia" w:hAnsiTheme="minorEastAsia" w:eastAsiaTheme="minorEastAsia" w:cstheme="minorEastAsia"/>
          <w:b/>
          <w:bCs/>
          <w:sz w:val="21"/>
          <w:szCs w:val="21"/>
          <w:lang w:val="en-US" w:eastAsia="zh-CN"/>
        </w:rPr>
      </w:pPr>
      <w:bookmarkStart w:id="306" w:name="_Toc11676"/>
      <w:r>
        <w:rPr>
          <w:rFonts w:hint="eastAsia" w:asciiTheme="minorEastAsia" w:hAnsiTheme="minorEastAsia" w:eastAsiaTheme="minorEastAsia" w:cstheme="minorEastAsia"/>
          <w:b/>
          <w:bCs/>
          <w:sz w:val="21"/>
          <w:szCs w:val="21"/>
        </w:rPr>
        <w:t>附件</w:t>
      </w:r>
      <w:bookmarkEnd w:id="302"/>
      <w:bookmarkEnd w:id="303"/>
      <w:r>
        <w:rPr>
          <w:rFonts w:hint="eastAsia" w:asciiTheme="minorEastAsia" w:hAnsiTheme="minorEastAsia" w:eastAsiaTheme="minorEastAsia" w:cstheme="minorEastAsia"/>
          <w:b/>
          <w:bCs/>
          <w:sz w:val="21"/>
          <w:szCs w:val="21"/>
          <w:lang w:val="en-US" w:eastAsia="zh-CN"/>
        </w:rPr>
        <w:t xml:space="preserve">3 </w:t>
      </w:r>
      <w:r>
        <w:rPr>
          <w:rFonts w:hint="eastAsia" w:asciiTheme="minorEastAsia" w:hAnsiTheme="minorEastAsia" w:eastAsiaTheme="minorEastAsia" w:cstheme="minorEastAsia"/>
          <w:b/>
          <w:bCs/>
          <w:sz w:val="21"/>
          <w:szCs w:val="21"/>
        </w:rPr>
        <w:t>主要人员简历表</w:t>
      </w:r>
      <w:bookmarkEnd w:id="304"/>
      <w:bookmarkEnd w:id="306"/>
    </w:p>
    <w:bookmarkEnd w:id="305"/>
    <w:p w14:paraId="07D0A577">
      <w:pPr>
        <w:spacing w:line="360" w:lineRule="atLeast"/>
        <w:ind w:left="0" w:leftChars="0" w:firstLine="0" w:firstLineChars="0"/>
        <w:jc w:val="center"/>
        <w:outlineLvl w:val="9"/>
        <w:rPr>
          <w:rFonts w:hint="default" w:ascii="Times New Roman" w:hAnsi="Times New Roman" w:eastAsia="黑体" w:cs="Times New Roman"/>
          <w:sz w:val="30"/>
          <w:szCs w:val="30"/>
        </w:rPr>
      </w:pPr>
      <w:bookmarkStart w:id="307" w:name="_Toc23368"/>
      <w:r>
        <w:rPr>
          <w:rFonts w:hint="eastAsia" w:ascii="Times New Roman" w:hAnsi="Times New Roman" w:eastAsia="黑体" w:cs="Times New Roman"/>
          <w:sz w:val="30"/>
          <w:szCs w:val="30"/>
          <w:lang w:val="en-US" w:eastAsia="zh-CN"/>
        </w:rPr>
        <w:t>施工</w:t>
      </w:r>
      <w:r>
        <w:rPr>
          <w:rFonts w:hint="default" w:ascii="Times New Roman" w:hAnsi="Times New Roman" w:eastAsia="黑体" w:cs="Times New Roman"/>
          <w:sz w:val="30"/>
          <w:szCs w:val="30"/>
        </w:rPr>
        <w:t>主要人员简历表</w:t>
      </w:r>
      <w:bookmarkEnd w:id="307"/>
    </w:p>
    <w:p w14:paraId="09133E9D">
      <w:pPr>
        <w:spacing w:line="360" w:lineRule="atLeast"/>
        <w:jc w:val="center"/>
        <w:rPr>
          <w:rFonts w:hint="default" w:ascii="Times New Roman" w:hAnsi="Times New Roman" w:cs="Times New Roman"/>
          <w:sz w:val="28"/>
          <w:szCs w:val="28"/>
        </w:rPr>
      </w:pPr>
    </w:p>
    <w:tbl>
      <w:tblPr>
        <w:tblStyle w:val="4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02379A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0"/>
            <w:vAlign w:val="center"/>
          </w:tcPr>
          <w:p w14:paraId="7ED1DD6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姓名</w:t>
            </w:r>
          </w:p>
        </w:tc>
        <w:tc>
          <w:tcPr>
            <w:tcW w:w="2468" w:type="dxa"/>
            <w:noWrap w:val="0"/>
            <w:vAlign w:val="center"/>
          </w:tcPr>
          <w:p w14:paraId="582E85E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340" w:type="dxa"/>
            <w:gridSpan w:val="3"/>
            <w:noWrap w:val="0"/>
            <w:vAlign w:val="center"/>
          </w:tcPr>
          <w:p w14:paraId="2126E12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性别</w:t>
            </w:r>
          </w:p>
        </w:tc>
        <w:tc>
          <w:tcPr>
            <w:tcW w:w="1663" w:type="dxa"/>
            <w:noWrap w:val="0"/>
            <w:vAlign w:val="center"/>
          </w:tcPr>
          <w:p w14:paraId="3C8A80D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595AC4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0"/>
            <w:vAlign w:val="center"/>
          </w:tcPr>
          <w:p w14:paraId="2032BF4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职务</w:t>
            </w:r>
          </w:p>
        </w:tc>
        <w:tc>
          <w:tcPr>
            <w:tcW w:w="2468" w:type="dxa"/>
            <w:noWrap w:val="0"/>
            <w:vAlign w:val="center"/>
          </w:tcPr>
          <w:p w14:paraId="795F51A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340" w:type="dxa"/>
            <w:gridSpan w:val="3"/>
            <w:noWrap w:val="0"/>
            <w:vAlign w:val="center"/>
          </w:tcPr>
          <w:p w14:paraId="5758B25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职称</w:t>
            </w:r>
          </w:p>
        </w:tc>
        <w:tc>
          <w:tcPr>
            <w:tcW w:w="1663" w:type="dxa"/>
            <w:noWrap w:val="0"/>
            <w:vAlign w:val="center"/>
          </w:tcPr>
          <w:p w14:paraId="7D1A388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3DB8AB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0"/>
            <w:vAlign w:val="center"/>
          </w:tcPr>
          <w:p w14:paraId="400AAF8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毕业学校、专业</w:t>
            </w:r>
          </w:p>
        </w:tc>
        <w:tc>
          <w:tcPr>
            <w:tcW w:w="6471" w:type="dxa"/>
            <w:gridSpan w:val="5"/>
            <w:noWrap w:val="0"/>
            <w:vAlign w:val="center"/>
          </w:tcPr>
          <w:p w14:paraId="28312C9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26802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3CC807D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身份证号</w:t>
            </w:r>
          </w:p>
        </w:tc>
        <w:tc>
          <w:tcPr>
            <w:tcW w:w="2468" w:type="dxa"/>
            <w:noWrap w:val="0"/>
            <w:vAlign w:val="center"/>
          </w:tcPr>
          <w:p w14:paraId="683A179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340" w:type="dxa"/>
            <w:gridSpan w:val="3"/>
            <w:noWrap w:val="0"/>
            <w:vAlign w:val="center"/>
          </w:tcPr>
          <w:p w14:paraId="0CD5BC4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拟在本合同任职</w:t>
            </w:r>
          </w:p>
        </w:tc>
        <w:tc>
          <w:tcPr>
            <w:tcW w:w="1663" w:type="dxa"/>
            <w:noWrap w:val="0"/>
            <w:vAlign w:val="center"/>
          </w:tcPr>
          <w:p w14:paraId="4C6E996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3B126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5AD9F2B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执业资格证</w:t>
            </w:r>
          </w:p>
        </w:tc>
        <w:tc>
          <w:tcPr>
            <w:tcW w:w="2468" w:type="dxa"/>
            <w:noWrap w:val="0"/>
            <w:vAlign w:val="center"/>
          </w:tcPr>
          <w:p w14:paraId="4EFF73A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340" w:type="dxa"/>
            <w:gridSpan w:val="3"/>
            <w:noWrap w:val="0"/>
            <w:vAlign w:val="center"/>
          </w:tcPr>
          <w:p w14:paraId="712B74E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执业资格证书号</w:t>
            </w:r>
          </w:p>
        </w:tc>
        <w:tc>
          <w:tcPr>
            <w:tcW w:w="1663" w:type="dxa"/>
            <w:noWrap w:val="0"/>
            <w:vAlign w:val="center"/>
          </w:tcPr>
          <w:p w14:paraId="3B10876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544B75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0"/>
            <w:vAlign w:val="center"/>
          </w:tcPr>
          <w:p w14:paraId="2AF8DFC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近三年承担项目情况</w:t>
            </w:r>
          </w:p>
        </w:tc>
      </w:tr>
      <w:tr w14:paraId="23E70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52EF44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时间</w:t>
            </w:r>
          </w:p>
        </w:tc>
        <w:tc>
          <w:tcPr>
            <w:tcW w:w="3636" w:type="dxa"/>
            <w:gridSpan w:val="3"/>
            <w:noWrap w:val="0"/>
            <w:vAlign w:val="center"/>
          </w:tcPr>
          <w:p w14:paraId="0DB70B7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类似项目名称</w:t>
            </w:r>
          </w:p>
        </w:tc>
        <w:tc>
          <w:tcPr>
            <w:tcW w:w="1404" w:type="dxa"/>
            <w:noWrap w:val="0"/>
            <w:vAlign w:val="center"/>
          </w:tcPr>
          <w:p w14:paraId="451930E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担任职务</w:t>
            </w:r>
          </w:p>
        </w:tc>
        <w:tc>
          <w:tcPr>
            <w:tcW w:w="2203" w:type="dxa"/>
            <w:gridSpan w:val="2"/>
            <w:noWrap w:val="0"/>
            <w:vAlign w:val="center"/>
          </w:tcPr>
          <w:p w14:paraId="6BC936F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r>
              <w:rPr>
                <w:rFonts w:hint="eastAsia" w:ascii="宋体"/>
              </w:rPr>
              <w:t>项目单位名称及电话</w:t>
            </w:r>
          </w:p>
        </w:tc>
      </w:tr>
      <w:tr w14:paraId="6641E8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4501BD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01096A3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44DFF15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1E0AB07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38021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AA255A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6F8824E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2F655A3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13ECEA3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13370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08670F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1DFEB12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678E3C5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279BCE3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117FA9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73BB59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5AD117F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203EBAB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7A0C52C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15A548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760E4A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283B027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6466EE9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25E3E6F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7FC915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603406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2F207A5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0CBDD2F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1EFD465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27614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3AA96C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2B1A847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154B26A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59A4523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5F686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D59C4B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257D8C2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2709B1D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6A685BC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r w14:paraId="305317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E56734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3636" w:type="dxa"/>
            <w:gridSpan w:val="3"/>
            <w:noWrap w:val="0"/>
            <w:vAlign w:val="center"/>
          </w:tcPr>
          <w:p w14:paraId="5F9A433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1404" w:type="dxa"/>
            <w:noWrap w:val="0"/>
            <w:vAlign w:val="center"/>
          </w:tcPr>
          <w:p w14:paraId="519D7E9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c>
          <w:tcPr>
            <w:tcW w:w="2203" w:type="dxa"/>
            <w:gridSpan w:val="2"/>
            <w:noWrap w:val="0"/>
            <w:vAlign w:val="center"/>
          </w:tcPr>
          <w:p w14:paraId="53D89E2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宋体"/>
              </w:rPr>
            </w:pPr>
          </w:p>
        </w:tc>
      </w:tr>
    </w:tbl>
    <w:p w14:paraId="73C0CE49">
      <w:pPr>
        <w:rPr>
          <w:rFonts w:hint="default" w:ascii="Times New Roman" w:hAnsi="Times New Roman" w:cs="Times New Roman"/>
          <w:szCs w:val="21"/>
        </w:rPr>
      </w:pPr>
    </w:p>
    <w:p w14:paraId="15CC59CE">
      <w:pPr>
        <w:rPr>
          <w:rFonts w:hint="default" w:ascii="Times New Roman" w:hAnsi="Times New Roman" w:cs="Times New Roman"/>
          <w:szCs w:val="21"/>
        </w:rPr>
      </w:pPr>
    </w:p>
    <w:p w14:paraId="055EE8A2">
      <w:pPr>
        <w:pStyle w:val="26"/>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eastAsia="宋体" w:cs="Times New Roman"/>
          <w:bCs/>
          <w:sz w:val="21"/>
          <w:szCs w:val="21"/>
          <w:u w:val="single"/>
          <w:lang w:val="en-US" w:eastAsia="zh-CN"/>
        </w:rPr>
      </w:pPr>
      <w:bookmarkStart w:id="308" w:name="_Toc25359"/>
      <w:bookmarkStart w:id="309" w:name="_Toc20043"/>
      <w:bookmarkStart w:id="310" w:name="_Toc15007"/>
      <w:r>
        <w:rPr>
          <w:rFonts w:hint="default" w:ascii="Times New Roman" w:hAnsi="Times New Roman" w:cs="Times New Roman"/>
          <w:sz w:val="21"/>
          <w:szCs w:val="21"/>
        </w:rPr>
        <w:t>供应商名称（盖单位公章）：</w:t>
      </w:r>
      <w:bookmarkEnd w:id="308"/>
      <w:bookmarkEnd w:id="309"/>
      <w:bookmarkEnd w:id="310"/>
      <w:r>
        <w:rPr>
          <w:rFonts w:hint="eastAsia" w:ascii="Times New Roman" w:hAnsi="Times New Roman" w:cs="Times New Roman"/>
          <w:sz w:val="21"/>
          <w:szCs w:val="21"/>
          <w:u w:val="single"/>
          <w:lang w:val="en-US" w:eastAsia="zh-CN"/>
        </w:rPr>
        <w:t xml:space="preserve">     </w:t>
      </w:r>
    </w:p>
    <w:p w14:paraId="66A2E776">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eastAsia" w:ascii="Times New Roman" w:hAnsi="Times New Roman" w:cs="Times New Roman"/>
          <w:szCs w:val="21"/>
          <w:u w:val="single"/>
          <w:lang w:val="en-US" w:eastAsia="zh-CN"/>
        </w:rPr>
      </w:pPr>
      <w:r>
        <w:rPr>
          <w:rFonts w:hint="eastAsia" w:ascii="Times New Roman" w:hAnsi="Times New Roman" w:cs="Times New Roman"/>
          <w:lang w:eastAsia="zh-CN"/>
        </w:rPr>
        <w:t>法定代表人（单位负责人）或其委托代理人（签字或印章）：</w:t>
      </w:r>
      <w:r>
        <w:rPr>
          <w:rFonts w:hint="eastAsia" w:ascii="Times New Roman" w:hAnsi="Times New Roman" w:cs="Times New Roman"/>
          <w:szCs w:val="21"/>
          <w:u w:val="single"/>
          <w:lang w:val="en-US" w:eastAsia="zh-CN"/>
        </w:rPr>
        <w:t xml:space="preserve">    </w:t>
      </w:r>
    </w:p>
    <w:p w14:paraId="57A43227">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cs="Times New Roman"/>
          <w:szCs w:val="21"/>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2D684409">
      <w:pPr>
        <w:rPr>
          <w:rFonts w:hint="default" w:ascii="Times New Roman" w:hAnsi="Times New Roman" w:cs="Times New Roman"/>
          <w:szCs w:val="21"/>
        </w:rPr>
      </w:pPr>
      <w:r>
        <w:rPr>
          <w:rFonts w:hint="default" w:ascii="Times New Roman" w:hAnsi="Times New Roman" w:cs="Times New Roman"/>
          <w:szCs w:val="21"/>
        </w:rPr>
        <w:br w:type="page"/>
      </w:r>
    </w:p>
    <w:p w14:paraId="79FFD944">
      <w:pPr>
        <w:spacing w:line="360" w:lineRule="auto"/>
        <w:ind w:left="0" w:leftChars="0" w:firstLine="0" w:firstLineChars="0"/>
        <w:jc w:val="center"/>
        <w:outlineLvl w:val="1"/>
        <w:rPr>
          <w:rFonts w:hint="default" w:ascii="Times New Roman" w:hAnsi="Times New Roman" w:eastAsia="黑体" w:cs="Times New Roman"/>
          <w:b/>
          <w:sz w:val="32"/>
          <w:szCs w:val="32"/>
        </w:rPr>
      </w:pPr>
      <w:bookmarkStart w:id="311" w:name="_Toc23983"/>
      <w:bookmarkStart w:id="312" w:name="_Toc7739"/>
      <w:bookmarkStart w:id="313" w:name="_Toc4082"/>
      <w:bookmarkStart w:id="314" w:name="_Toc25430"/>
      <w:r>
        <w:rPr>
          <w:rFonts w:hint="default" w:ascii="Times New Roman" w:hAnsi="Times New Roman" w:eastAsia="黑体" w:cs="Times New Roman"/>
          <w:b/>
          <w:sz w:val="32"/>
          <w:szCs w:val="32"/>
        </w:rPr>
        <w:t>五、技术/商务响应与偏离表</w:t>
      </w:r>
      <w:bookmarkEnd w:id="311"/>
      <w:bookmarkEnd w:id="312"/>
      <w:bookmarkEnd w:id="313"/>
      <w:bookmarkEnd w:id="314"/>
    </w:p>
    <w:tbl>
      <w:tblPr>
        <w:tblStyle w:val="46"/>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329EFB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9" w:hRule="atLeast"/>
          <w:jc w:val="center"/>
        </w:trPr>
        <w:tc>
          <w:tcPr>
            <w:tcW w:w="634" w:type="dxa"/>
            <w:vAlign w:val="center"/>
          </w:tcPr>
          <w:p w14:paraId="5B6E803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bCs/>
                <w:szCs w:val="21"/>
              </w:rPr>
            </w:pPr>
            <w:r>
              <w:rPr>
                <w:rFonts w:hint="eastAsia" w:ascii="宋体" w:hAnsi="宋体" w:eastAsia="宋体" w:cs="宋体"/>
                <w:bCs/>
                <w:szCs w:val="21"/>
              </w:rPr>
              <w:t>序号</w:t>
            </w:r>
          </w:p>
        </w:tc>
        <w:tc>
          <w:tcPr>
            <w:tcW w:w="1685" w:type="dxa"/>
            <w:vAlign w:val="center"/>
          </w:tcPr>
          <w:p w14:paraId="2304948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szCs w:val="21"/>
              </w:rPr>
            </w:pPr>
            <w:r>
              <w:rPr>
                <w:rFonts w:hint="eastAsia" w:ascii="宋体" w:hAnsi="宋体" w:eastAsia="宋体" w:cs="宋体"/>
                <w:szCs w:val="21"/>
              </w:rPr>
              <w:t>磋商文件条目号</w:t>
            </w:r>
          </w:p>
        </w:tc>
        <w:tc>
          <w:tcPr>
            <w:tcW w:w="1948" w:type="dxa"/>
            <w:vAlign w:val="center"/>
          </w:tcPr>
          <w:p w14:paraId="368CD6F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szCs w:val="21"/>
              </w:rPr>
            </w:pPr>
            <w:r>
              <w:rPr>
                <w:rFonts w:hint="eastAsia" w:ascii="宋体" w:hAnsi="宋体" w:eastAsia="宋体" w:cs="宋体"/>
                <w:szCs w:val="21"/>
              </w:rPr>
              <w:t>采购要求/商务技术条款</w:t>
            </w:r>
          </w:p>
        </w:tc>
        <w:tc>
          <w:tcPr>
            <w:tcW w:w="2600" w:type="dxa"/>
            <w:vAlign w:val="center"/>
          </w:tcPr>
          <w:p w14:paraId="635EB20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szCs w:val="21"/>
              </w:rPr>
            </w:pPr>
            <w:r>
              <w:rPr>
                <w:rFonts w:hint="eastAsia" w:ascii="宋体" w:hAnsi="宋体" w:eastAsia="宋体" w:cs="宋体"/>
                <w:szCs w:val="21"/>
              </w:rPr>
              <w:t>响应文件的规格/商务技术条款</w:t>
            </w:r>
          </w:p>
        </w:tc>
        <w:tc>
          <w:tcPr>
            <w:tcW w:w="1214" w:type="dxa"/>
            <w:vAlign w:val="center"/>
          </w:tcPr>
          <w:p w14:paraId="656CF8B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szCs w:val="21"/>
              </w:rPr>
            </w:pPr>
            <w:r>
              <w:rPr>
                <w:rFonts w:hint="eastAsia" w:ascii="宋体" w:hAnsi="宋体" w:eastAsia="宋体" w:cs="宋体"/>
                <w:szCs w:val="21"/>
              </w:rPr>
              <w:t>响应与偏离</w:t>
            </w:r>
          </w:p>
        </w:tc>
        <w:tc>
          <w:tcPr>
            <w:tcW w:w="661" w:type="dxa"/>
            <w:vAlign w:val="center"/>
          </w:tcPr>
          <w:p w14:paraId="5CDEE69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szCs w:val="21"/>
              </w:rPr>
            </w:pPr>
            <w:r>
              <w:rPr>
                <w:rFonts w:hint="eastAsia" w:ascii="宋体" w:hAnsi="宋体" w:eastAsia="宋体" w:cs="宋体"/>
                <w:szCs w:val="21"/>
              </w:rPr>
              <w:t>说明</w:t>
            </w:r>
          </w:p>
        </w:tc>
      </w:tr>
      <w:tr w14:paraId="15217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141E8C1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685" w:type="dxa"/>
            <w:vAlign w:val="center"/>
          </w:tcPr>
          <w:p w14:paraId="2F1B844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948" w:type="dxa"/>
            <w:vAlign w:val="center"/>
          </w:tcPr>
          <w:p w14:paraId="6EFE294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2600" w:type="dxa"/>
            <w:vAlign w:val="center"/>
          </w:tcPr>
          <w:p w14:paraId="730FF25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214" w:type="dxa"/>
            <w:vAlign w:val="center"/>
          </w:tcPr>
          <w:p w14:paraId="65D242E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661" w:type="dxa"/>
            <w:vAlign w:val="center"/>
          </w:tcPr>
          <w:p w14:paraId="23EFD7F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r>
      <w:tr w14:paraId="5B53CB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41D3D0E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685" w:type="dxa"/>
            <w:vAlign w:val="center"/>
          </w:tcPr>
          <w:p w14:paraId="58C9817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948" w:type="dxa"/>
            <w:vAlign w:val="center"/>
          </w:tcPr>
          <w:p w14:paraId="5A04D44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2600" w:type="dxa"/>
            <w:vAlign w:val="center"/>
          </w:tcPr>
          <w:p w14:paraId="292CD0A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214" w:type="dxa"/>
            <w:vAlign w:val="center"/>
          </w:tcPr>
          <w:p w14:paraId="3ACCF30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661" w:type="dxa"/>
            <w:vAlign w:val="center"/>
          </w:tcPr>
          <w:p w14:paraId="28FF31A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r>
      <w:tr w14:paraId="61694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03860C3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685" w:type="dxa"/>
            <w:vAlign w:val="center"/>
          </w:tcPr>
          <w:p w14:paraId="1F3A9AD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948" w:type="dxa"/>
            <w:vAlign w:val="center"/>
          </w:tcPr>
          <w:p w14:paraId="5CA49E7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2600" w:type="dxa"/>
            <w:vAlign w:val="center"/>
          </w:tcPr>
          <w:p w14:paraId="189613E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214" w:type="dxa"/>
            <w:vAlign w:val="center"/>
          </w:tcPr>
          <w:p w14:paraId="15A25E8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661" w:type="dxa"/>
            <w:vAlign w:val="center"/>
          </w:tcPr>
          <w:p w14:paraId="3D2D06C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r>
      <w:tr w14:paraId="69D890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27F2FA1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685" w:type="dxa"/>
            <w:vAlign w:val="center"/>
          </w:tcPr>
          <w:p w14:paraId="0262CDB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948" w:type="dxa"/>
            <w:vAlign w:val="center"/>
          </w:tcPr>
          <w:p w14:paraId="56A5465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2600" w:type="dxa"/>
            <w:vAlign w:val="center"/>
          </w:tcPr>
          <w:p w14:paraId="17181B5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214" w:type="dxa"/>
            <w:vAlign w:val="center"/>
          </w:tcPr>
          <w:p w14:paraId="2AEDD11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661" w:type="dxa"/>
            <w:vAlign w:val="center"/>
          </w:tcPr>
          <w:p w14:paraId="4042B15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r>
      <w:tr w14:paraId="61AE26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E5FDBB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685" w:type="dxa"/>
            <w:vAlign w:val="center"/>
          </w:tcPr>
          <w:p w14:paraId="382D34E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948" w:type="dxa"/>
            <w:vAlign w:val="center"/>
          </w:tcPr>
          <w:p w14:paraId="0391BB5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2600" w:type="dxa"/>
            <w:vAlign w:val="center"/>
          </w:tcPr>
          <w:p w14:paraId="3BD865F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1214" w:type="dxa"/>
            <w:vAlign w:val="center"/>
          </w:tcPr>
          <w:p w14:paraId="458A44B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c>
          <w:tcPr>
            <w:tcW w:w="661" w:type="dxa"/>
            <w:vAlign w:val="center"/>
          </w:tcPr>
          <w:p w14:paraId="5BFFD89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szCs w:val="21"/>
              </w:rPr>
            </w:pPr>
          </w:p>
        </w:tc>
      </w:tr>
    </w:tbl>
    <w:p w14:paraId="0B079F6E">
      <w:pPr>
        <w:adjustRightInd w:val="0"/>
        <w:snapToGrid w:val="0"/>
        <w:spacing w:line="360" w:lineRule="auto"/>
        <w:ind w:left="-88" w:leftChars="-42"/>
        <w:rPr>
          <w:rFonts w:hint="default" w:ascii="Times New Roman" w:hAnsi="Times New Roman" w:eastAsia="FangSong_GB2312" w:cs="Times New Roman"/>
          <w:szCs w:val="21"/>
        </w:rPr>
      </w:pPr>
      <w:r>
        <w:rPr>
          <w:rFonts w:hint="default" w:ascii="Times New Roman" w:hAnsi="Times New Roman" w:eastAsia="FangSong_GB2312" w:cs="Times New Roman"/>
          <w:szCs w:val="21"/>
        </w:rPr>
        <w:t>说明：</w:t>
      </w:r>
    </w:p>
    <w:p w14:paraId="3DC4BFEE">
      <w:pPr>
        <w:adjustRightInd w:val="0"/>
        <w:snapToGrid w:val="0"/>
        <w:spacing w:line="360" w:lineRule="auto"/>
        <w:rPr>
          <w:rFonts w:hint="default" w:ascii="Times New Roman" w:hAnsi="Times New Roman" w:eastAsia="FangSong_GB2312" w:cs="Times New Roman"/>
          <w:szCs w:val="21"/>
        </w:rPr>
      </w:pPr>
      <w:r>
        <w:rPr>
          <w:rFonts w:hint="default" w:ascii="Times New Roman" w:hAnsi="Times New Roman" w:eastAsia="FangSong_GB2312" w:cs="Times New Roman"/>
          <w:szCs w:val="21"/>
        </w:rPr>
        <w:t>1、“响应与偏离”应注明“响应”或“偏离”。</w:t>
      </w:r>
    </w:p>
    <w:p w14:paraId="7A241B0C">
      <w:pPr>
        <w:adjustRightInd w:val="0"/>
        <w:snapToGrid w:val="0"/>
        <w:spacing w:line="360" w:lineRule="auto"/>
        <w:outlineLvl w:val="9"/>
        <w:rPr>
          <w:rFonts w:hint="default" w:ascii="Times New Roman" w:hAnsi="Times New Roman" w:eastAsia="FangSong_GB2312" w:cs="Times New Roman"/>
          <w:szCs w:val="21"/>
        </w:rPr>
      </w:pPr>
      <w:bookmarkStart w:id="315" w:name="_Toc27211"/>
      <w:bookmarkStart w:id="316" w:name="_Toc5603"/>
      <w:r>
        <w:rPr>
          <w:rFonts w:hint="default" w:ascii="Times New Roman" w:hAnsi="Times New Roman" w:eastAsia="FangSong_GB2312" w:cs="Times New Roman"/>
          <w:szCs w:val="21"/>
        </w:rPr>
        <w:t>2、磋商文件规定可能变动的内容在“说明”栏中注明。</w:t>
      </w:r>
      <w:bookmarkEnd w:id="315"/>
      <w:bookmarkEnd w:id="316"/>
    </w:p>
    <w:p w14:paraId="60877A43">
      <w:pPr>
        <w:pStyle w:val="26"/>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cs="Times New Roman"/>
          <w:sz w:val="21"/>
          <w:szCs w:val="21"/>
        </w:rPr>
      </w:pPr>
    </w:p>
    <w:p w14:paraId="742B1C2D">
      <w:pPr>
        <w:pStyle w:val="26"/>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cs="Times New Roman"/>
          <w:sz w:val="21"/>
          <w:szCs w:val="21"/>
        </w:rPr>
      </w:pPr>
    </w:p>
    <w:p w14:paraId="10B9C838">
      <w:pPr>
        <w:pStyle w:val="26"/>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eastAsia="宋体" w:cs="Times New Roman"/>
          <w:bCs/>
          <w:sz w:val="21"/>
          <w:szCs w:val="21"/>
          <w:u w:val="single"/>
          <w:lang w:val="en-US" w:eastAsia="zh-CN"/>
        </w:rPr>
      </w:pPr>
      <w:r>
        <w:rPr>
          <w:rFonts w:hint="default" w:ascii="Times New Roman" w:hAnsi="Times New Roman" w:cs="Times New Roman"/>
          <w:sz w:val="21"/>
          <w:szCs w:val="21"/>
        </w:rPr>
        <w:t>供应商名称（盖单位公章）：</w:t>
      </w:r>
      <w:r>
        <w:rPr>
          <w:rFonts w:hint="eastAsia" w:ascii="Times New Roman" w:hAnsi="Times New Roman" w:cs="Times New Roman"/>
          <w:sz w:val="21"/>
          <w:szCs w:val="21"/>
          <w:u w:val="single"/>
          <w:lang w:val="en-US" w:eastAsia="zh-CN"/>
        </w:rPr>
        <w:t xml:space="preserve">     </w:t>
      </w:r>
    </w:p>
    <w:p w14:paraId="6EE912B6">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eastAsia" w:ascii="Times New Roman" w:hAnsi="Times New Roman" w:cs="Times New Roman"/>
          <w:szCs w:val="21"/>
          <w:u w:val="single"/>
          <w:lang w:val="en-US" w:eastAsia="zh-CN"/>
        </w:rPr>
      </w:pPr>
      <w:r>
        <w:rPr>
          <w:rFonts w:hint="eastAsia" w:ascii="Times New Roman" w:hAnsi="Times New Roman" w:cs="Times New Roman"/>
          <w:lang w:eastAsia="zh-CN"/>
        </w:rPr>
        <w:t>法定代表人（单位负责人）或其委托代理人（签字或印章）：</w:t>
      </w:r>
      <w:r>
        <w:rPr>
          <w:rFonts w:hint="eastAsia" w:ascii="Times New Roman" w:hAnsi="Times New Roman" w:cs="Times New Roman"/>
          <w:szCs w:val="21"/>
          <w:u w:val="single"/>
          <w:lang w:val="en-US" w:eastAsia="zh-CN"/>
        </w:rPr>
        <w:t xml:space="preserve">    </w:t>
      </w:r>
    </w:p>
    <w:p w14:paraId="1EDBB6F6">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cs="Times New Roman"/>
          <w:szCs w:val="21"/>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5C6FA5A4">
      <w:pPr>
        <w:adjustRightInd w:val="0"/>
        <w:snapToGrid w:val="0"/>
        <w:spacing w:line="360" w:lineRule="auto"/>
        <w:rPr>
          <w:rFonts w:hint="default" w:ascii="Times New Roman" w:hAnsi="Times New Roman" w:cs="Times New Roman"/>
          <w:szCs w:val="21"/>
        </w:rPr>
      </w:pPr>
    </w:p>
    <w:p w14:paraId="40CC2F9C">
      <w:pPr>
        <w:tabs>
          <w:tab w:val="left" w:pos="3600"/>
        </w:tabs>
        <w:adjustRightInd w:val="0"/>
        <w:snapToGrid w:val="0"/>
        <w:jc w:val="center"/>
        <w:rPr>
          <w:rFonts w:hint="default" w:ascii="Times New Roman" w:hAnsi="Times New Roman" w:eastAsia="黑体" w:cs="Times New Roman"/>
          <w:b/>
          <w:sz w:val="32"/>
          <w:szCs w:val="32"/>
        </w:rPr>
      </w:pPr>
    </w:p>
    <w:p w14:paraId="7C338EF9">
      <w:pPr>
        <w:tabs>
          <w:tab w:val="left" w:pos="3600"/>
        </w:tabs>
        <w:adjustRightInd w:val="0"/>
        <w:snapToGrid w:val="0"/>
        <w:jc w:val="center"/>
        <w:rPr>
          <w:rFonts w:hint="default" w:ascii="Times New Roman" w:hAnsi="Times New Roman" w:eastAsia="黑体" w:cs="Times New Roman"/>
          <w:b/>
          <w:sz w:val="32"/>
          <w:szCs w:val="32"/>
        </w:rPr>
      </w:pPr>
    </w:p>
    <w:p w14:paraId="09CBBB46">
      <w:pPr>
        <w:tabs>
          <w:tab w:val="left" w:pos="3600"/>
        </w:tabs>
        <w:adjustRightInd w:val="0"/>
        <w:snapToGrid w:val="0"/>
        <w:jc w:val="center"/>
        <w:rPr>
          <w:rFonts w:hint="default" w:ascii="Times New Roman" w:hAnsi="Times New Roman" w:eastAsia="黑体" w:cs="Times New Roman"/>
          <w:b/>
          <w:sz w:val="32"/>
          <w:szCs w:val="32"/>
        </w:rPr>
      </w:pPr>
    </w:p>
    <w:p w14:paraId="2DA76B4F">
      <w:pPr>
        <w:tabs>
          <w:tab w:val="left" w:pos="3600"/>
        </w:tabs>
        <w:adjustRightInd w:val="0"/>
        <w:snapToGrid w:val="0"/>
        <w:jc w:val="center"/>
        <w:rPr>
          <w:rFonts w:hint="default" w:ascii="Times New Roman" w:hAnsi="Times New Roman" w:eastAsia="黑体" w:cs="Times New Roman"/>
          <w:b/>
          <w:sz w:val="32"/>
          <w:szCs w:val="32"/>
        </w:rPr>
      </w:pPr>
    </w:p>
    <w:p w14:paraId="295C36AC">
      <w:pPr>
        <w:tabs>
          <w:tab w:val="left" w:pos="3600"/>
        </w:tabs>
        <w:adjustRightInd w:val="0"/>
        <w:snapToGrid w:val="0"/>
        <w:jc w:val="center"/>
        <w:rPr>
          <w:rFonts w:hint="default" w:ascii="Times New Roman" w:hAnsi="Times New Roman" w:eastAsia="黑体" w:cs="Times New Roman"/>
          <w:b/>
          <w:sz w:val="32"/>
          <w:szCs w:val="32"/>
        </w:rPr>
      </w:pPr>
    </w:p>
    <w:p w14:paraId="5C087F05">
      <w:pPr>
        <w:tabs>
          <w:tab w:val="left" w:pos="3600"/>
        </w:tabs>
        <w:adjustRightInd w:val="0"/>
        <w:snapToGrid w:val="0"/>
        <w:jc w:val="center"/>
        <w:rPr>
          <w:rFonts w:hint="default" w:ascii="Times New Roman" w:hAnsi="Times New Roman" w:eastAsia="黑体" w:cs="Times New Roman"/>
          <w:b/>
          <w:sz w:val="32"/>
          <w:szCs w:val="32"/>
        </w:rPr>
      </w:pPr>
    </w:p>
    <w:p w14:paraId="692E8253">
      <w:pPr>
        <w:tabs>
          <w:tab w:val="left" w:pos="3600"/>
        </w:tabs>
        <w:adjustRightInd w:val="0"/>
        <w:snapToGrid w:val="0"/>
        <w:jc w:val="center"/>
        <w:rPr>
          <w:rFonts w:hint="default" w:ascii="Times New Roman" w:hAnsi="Times New Roman" w:eastAsia="黑体" w:cs="Times New Roman"/>
          <w:b/>
          <w:sz w:val="32"/>
          <w:szCs w:val="32"/>
        </w:rPr>
      </w:pPr>
    </w:p>
    <w:p w14:paraId="5A7AAD6A">
      <w:pPr>
        <w:rPr>
          <w:rFonts w:hint="default" w:ascii="Times New Roman" w:hAnsi="Times New Roman" w:eastAsia="黑体" w:cs="Times New Roman"/>
          <w:b/>
          <w:sz w:val="28"/>
          <w:szCs w:val="28"/>
        </w:rPr>
      </w:pPr>
      <w:bookmarkStart w:id="317" w:name="_Toc14272"/>
      <w:bookmarkStart w:id="318" w:name="_Toc15502"/>
      <w:bookmarkStart w:id="319" w:name="_Toc11505"/>
      <w:r>
        <w:rPr>
          <w:rFonts w:hint="default" w:ascii="Times New Roman" w:hAnsi="Times New Roman" w:eastAsia="黑体" w:cs="Times New Roman"/>
          <w:b/>
          <w:sz w:val="28"/>
          <w:szCs w:val="28"/>
        </w:rPr>
        <w:br w:type="page"/>
      </w:r>
    </w:p>
    <w:p w14:paraId="19FC8909">
      <w:pPr>
        <w:spacing w:line="360" w:lineRule="auto"/>
        <w:ind w:left="0" w:leftChars="0" w:firstLine="0" w:firstLineChars="0"/>
        <w:jc w:val="center"/>
        <w:outlineLvl w:val="1"/>
        <w:rPr>
          <w:rFonts w:hint="default" w:ascii="Times New Roman" w:hAnsi="Times New Roman" w:eastAsia="黑体" w:cs="Times New Roman"/>
          <w:b/>
          <w:sz w:val="28"/>
          <w:szCs w:val="28"/>
        </w:rPr>
      </w:pPr>
      <w:bookmarkStart w:id="320" w:name="_Toc13207"/>
      <w:r>
        <w:rPr>
          <w:rFonts w:hint="default" w:ascii="Times New Roman" w:hAnsi="Times New Roman" w:eastAsia="黑体" w:cs="Times New Roman"/>
          <w:b/>
          <w:sz w:val="28"/>
          <w:szCs w:val="28"/>
        </w:rPr>
        <w:t>六、</w:t>
      </w:r>
      <w:bookmarkEnd w:id="317"/>
      <w:bookmarkEnd w:id="318"/>
      <w:bookmarkEnd w:id="319"/>
      <w:r>
        <w:rPr>
          <w:rFonts w:hint="default" w:ascii="Times New Roman" w:hAnsi="Times New Roman" w:eastAsia="黑体" w:cs="Times New Roman"/>
          <w:b/>
          <w:sz w:val="28"/>
          <w:szCs w:val="28"/>
        </w:rPr>
        <w:t>享受政府采购政策优惠的证明资料</w:t>
      </w:r>
      <w:bookmarkEnd w:id="320"/>
    </w:p>
    <w:p w14:paraId="1714D7EF">
      <w:pPr>
        <w:widowControl/>
        <w:adjustRightInd w:val="0"/>
        <w:snapToGrid w:val="0"/>
        <w:spacing w:line="360" w:lineRule="auto"/>
        <w:ind w:left="0" w:leftChars="0" w:firstLine="0" w:firstLineChars="0"/>
        <w:jc w:val="both"/>
        <w:outlineLvl w:val="2"/>
        <w:rPr>
          <w:rFonts w:hint="eastAsia" w:asciiTheme="majorEastAsia" w:hAnsiTheme="majorEastAsia" w:eastAsiaTheme="majorEastAsia" w:cstheme="majorEastAsia"/>
          <w:b/>
          <w:bCs/>
          <w:spacing w:val="6"/>
          <w:kern w:val="0"/>
          <w:sz w:val="21"/>
          <w:szCs w:val="21"/>
        </w:rPr>
      </w:pPr>
      <w:bookmarkStart w:id="321" w:name="_Toc22880"/>
      <w:bookmarkStart w:id="322" w:name="_Toc19046"/>
      <w:bookmarkStart w:id="323" w:name="_Toc5348"/>
      <w:bookmarkStart w:id="324" w:name="_Toc10558"/>
      <w:bookmarkStart w:id="325" w:name="_Toc3190"/>
      <w:r>
        <w:rPr>
          <w:rFonts w:hint="eastAsia" w:asciiTheme="majorEastAsia" w:hAnsiTheme="majorEastAsia" w:eastAsiaTheme="majorEastAsia" w:cstheme="majorEastAsia"/>
          <w:b/>
          <w:bCs/>
          <w:sz w:val="21"/>
          <w:szCs w:val="21"/>
        </w:rPr>
        <w:t>附件</w:t>
      </w:r>
      <w:bookmarkEnd w:id="321"/>
      <w:bookmarkEnd w:id="322"/>
      <w:bookmarkEnd w:id="323"/>
      <w:r>
        <w:rPr>
          <w:rFonts w:hint="eastAsia" w:asciiTheme="majorEastAsia" w:hAnsiTheme="majorEastAsia" w:eastAsiaTheme="majorEastAsia" w:cstheme="majorEastAsia"/>
          <w:b/>
          <w:bCs/>
          <w:sz w:val="21"/>
          <w:szCs w:val="21"/>
          <w:lang w:val="en-US" w:eastAsia="zh-CN"/>
        </w:rPr>
        <w:t xml:space="preserve">4-1 </w:t>
      </w:r>
      <w:r>
        <w:rPr>
          <w:rFonts w:hint="eastAsia" w:asciiTheme="majorEastAsia" w:hAnsiTheme="majorEastAsia" w:eastAsiaTheme="majorEastAsia" w:cstheme="majorEastAsia"/>
          <w:b/>
          <w:bCs/>
          <w:spacing w:val="6"/>
          <w:kern w:val="0"/>
          <w:sz w:val="21"/>
          <w:szCs w:val="21"/>
        </w:rPr>
        <w:t>中小企业声明函</w:t>
      </w:r>
      <w:bookmarkEnd w:id="324"/>
      <w:bookmarkEnd w:id="325"/>
    </w:p>
    <w:p w14:paraId="1606C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spacing w:val="6"/>
          <w:kern w:val="0"/>
          <w:sz w:val="30"/>
          <w:szCs w:val="30"/>
        </w:rPr>
      </w:pPr>
      <w:r>
        <w:rPr>
          <w:rFonts w:hint="default" w:ascii="Times New Roman" w:hAnsi="Times New Roman" w:eastAsia="黑体" w:cs="Times New Roman"/>
          <w:b w:val="0"/>
          <w:bCs w:val="0"/>
          <w:spacing w:val="6"/>
          <w:kern w:val="0"/>
          <w:sz w:val="30"/>
          <w:szCs w:val="30"/>
        </w:rPr>
        <w:t>中小企业声明函（工程</w:t>
      </w:r>
      <w:r>
        <w:rPr>
          <w:rFonts w:hint="eastAsia" w:ascii="Times New Roman" w:hAnsi="Times New Roman" w:eastAsia="黑体" w:cs="Times New Roman"/>
          <w:b w:val="0"/>
          <w:bCs w:val="0"/>
          <w:spacing w:val="6"/>
          <w:kern w:val="0"/>
          <w:sz w:val="30"/>
          <w:szCs w:val="30"/>
          <w:lang w:eastAsia="zh-CN"/>
        </w:rPr>
        <w:t>、</w:t>
      </w:r>
      <w:r>
        <w:rPr>
          <w:rFonts w:hint="eastAsia" w:ascii="Times New Roman" w:hAnsi="Times New Roman" w:eastAsia="黑体" w:cs="Times New Roman"/>
          <w:b w:val="0"/>
          <w:bCs w:val="0"/>
          <w:spacing w:val="6"/>
          <w:kern w:val="0"/>
          <w:sz w:val="30"/>
          <w:szCs w:val="30"/>
          <w:lang w:val="en-US" w:eastAsia="zh-CN"/>
        </w:rPr>
        <w:t>服务</w:t>
      </w:r>
      <w:r>
        <w:rPr>
          <w:rFonts w:hint="default" w:ascii="Times New Roman" w:hAnsi="Times New Roman" w:eastAsia="黑体" w:cs="Times New Roman"/>
          <w:b w:val="0"/>
          <w:bCs w:val="0"/>
          <w:spacing w:val="6"/>
          <w:kern w:val="0"/>
          <w:sz w:val="30"/>
          <w:szCs w:val="30"/>
        </w:rPr>
        <w:t>）</w:t>
      </w:r>
    </w:p>
    <w:p w14:paraId="76E789D6">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b w:val="0"/>
          <w:bCs/>
          <w:color w:val="auto"/>
          <w:spacing w:val="6"/>
          <w:szCs w:val="21"/>
        </w:rPr>
      </w:pPr>
      <w:r>
        <w:rPr>
          <w:rFonts w:hint="eastAsia" w:ascii="宋体" w:hAnsi="宋体"/>
          <w:b w:val="0"/>
          <w:bCs/>
          <w:color w:val="auto"/>
          <w:spacing w:val="6"/>
          <w:szCs w:val="21"/>
        </w:rPr>
        <w:t>(不符合政策要求的无需提供)</w:t>
      </w:r>
    </w:p>
    <w:p w14:paraId="4AD44EE6">
      <w:pPr>
        <w:keepNext w:val="0"/>
        <w:keepLines w:val="0"/>
        <w:pageBreakBefore w:val="0"/>
        <w:widowControl/>
        <w:kinsoku/>
        <w:wordWrap/>
        <w:overflowPunct/>
        <w:topLinePunct w:val="0"/>
        <w:autoSpaceDE/>
        <w:autoSpaceDN/>
        <w:bidi w:val="0"/>
        <w:adjustRightInd/>
        <w:snapToGrid/>
        <w:spacing w:line="360" w:lineRule="auto"/>
        <w:ind w:left="0" w:leftChars="0"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本公司（联合体）郑重声明，根据《政府采购促进中小企业发展管理办法》（财库﹝2020﹞46 号）的规定，本公司（联合体）参加 </w:t>
      </w:r>
      <w:r>
        <w:rPr>
          <w:rFonts w:hint="default" w:ascii="Times New Roman" w:hAnsi="Times New Roman" w:cs="Times New Roman"/>
          <w:spacing w:val="6"/>
          <w:kern w:val="0"/>
          <w:szCs w:val="21"/>
          <w:u w:val="single"/>
        </w:rPr>
        <w:t>（单位名称）</w:t>
      </w:r>
      <w:r>
        <w:rPr>
          <w:rFonts w:hint="default" w:ascii="Times New Roman" w:hAnsi="Times New Roman" w:cs="Times New Roman"/>
          <w:spacing w:val="6"/>
          <w:kern w:val="0"/>
          <w:szCs w:val="21"/>
        </w:rPr>
        <w:t xml:space="preserve"> 的</w:t>
      </w:r>
      <w:r>
        <w:rPr>
          <w:rFonts w:hint="default" w:ascii="Times New Roman" w:hAnsi="Times New Roman" w:cs="Times New Roman"/>
          <w:spacing w:val="6"/>
          <w:kern w:val="0"/>
          <w:szCs w:val="21"/>
          <w:u w:val="single"/>
        </w:rPr>
        <w:t xml:space="preserve"> （项目名称） </w:t>
      </w:r>
      <w:r>
        <w:rPr>
          <w:rFonts w:hint="default" w:ascii="Times New Roman" w:hAnsi="Times New Roman" w:cs="Times New Roman"/>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57BE3879">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1.</w:t>
      </w:r>
      <w:r>
        <w:rPr>
          <w:rFonts w:hint="default" w:ascii="Times New Roman" w:hAnsi="Times New Roman" w:cs="Times New Roman"/>
          <w:spacing w:val="6"/>
          <w:kern w:val="0"/>
          <w:szCs w:val="21"/>
          <w:u w:val="single"/>
        </w:rPr>
        <w:t xml:space="preserve"> （标的名称）</w:t>
      </w:r>
      <w:r>
        <w:rPr>
          <w:rFonts w:hint="default" w:ascii="Times New Roman" w:hAnsi="Times New Roman" w:cs="Times New Roman"/>
          <w:spacing w:val="6"/>
          <w:kern w:val="0"/>
          <w:szCs w:val="21"/>
        </w:rPr>
        <w:t xml:space="preserve"> ，属于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 </w:t>
      </w:r>
      <w:r>
        <w:rPr>
          <w:rFonts w:hint="default" w:ascii="Times New Roman" w:hAnsi="Times New Roman" w:cs="Times New Roman"/>
          <w:spacing w:val="6"/>
          <w:kern w:val="0"/>
          <w:szCs w:val="21"/>
        </w:rPr>
        <w:t>，从业人员人，营业收入为</w:t>
      </w:r>
      <w:r>
        <w:rPr>
          <w:rFonts w:hint="eastAsia" w:ascii="Times New Roman" w:hAnsi="Times New Roman" w:cs="Times New Roman"/>
          <w:spacing w:val="6"/>
          <w:kern w:val="0"/>
          <w:szCs w:val="21"/>
          <w:u w:val="single"/>
          <w:lang w:val="en-US" w:eastAsia="zh-CN"/>
        </w:rPr>
        <w:t xml:space="preserve">       </w:t>
      </w:r>
      <w:r>
        <w:rPr>
          <w:rFonts w:hint="default" w:ascii="Times New Roman" w:hAnsi="Times New Roman" w:cs="Times New Roman"/>
          <w:spacing w:val="6"/>
          <w:kern w:val="0"/>
          <w:szCs w:val="21"/>
        </w:rPr>
        <w:t>万元，资产总额为</w:t>
      </w:r>
      <w:r>
        <w:rPr>
          <w:rFonts w:hint="eastAsia" w:ascii="Times New Roman" w:hAnsi="Times New Roman" w:cs="Times New Roman"/>
          <w:spacing w:val="6"/>
          <w:kern w:val="0"/>
          <w:szCs w:val="21"/>
          <w:u w:val="single"/>
          <w:lang w:val="en-US" w:eastAsia="zh-CN"/>
        </w:rPr>
        <w:t xml:space="preserve">      </w:t>
      </w:r>
      <w:r>
        <w:rPr>
          <w:rFonts w:hint="default" w:ascii="Times New Roman" w:hAnsi="Times New Roman" w:cs="Times New Roman"/>
          <w:spacing w:val="6"/>
          <w:kern w:val="0"/>
          <w:szCs w:val="21"/>
        </w:rPr>
        <w:t>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36C6AC98">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2.</w:t>
      </w:r>
      <w:r>
        <w:rPr>
          <w:rFonts w:hint="default" w:ascii="Times New Roman" w:hAnsi="Times New Roman" w:cs="Times New Roman"/>
          <w:spacing w:val="6"/>
          <w:kern w:val="0"/>
          <w:szCs w:val="21"/>
          <w:u w:val="single"/>
        </w:rPr>
        <w:t xml:space="preserve"> （标的名称）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w:t>
      </w:r>
      <w:r>
        <w:rPr>
          <w:rFonts w:hint="default" w:ascii="Times New Roman" w:hAnsi="Times New Roman" w:cs="Times New Roman"/>
          <w:spacing w:val="6"/>
          <w:kern w:val="0"/>
          <w:szCs w:val="21"/>
        </w:rPr>
        <w:t xml:space="preserve"> ，从业人员人，营业收入为万元，资产总额为万元，属于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69390EEB">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w:t>
      </w:r>
    </w:p>
    <w:p w14:paraId="21DF90D2">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以上企业，不属于大企业的分支机构，不存在控股股东为大企业的情形，也不存在与大企业的负责人为同一人的情形。</w:t>
      </w:r>
    </w:p>
    <w:p w14:paraId="687051AF">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本企业对上述声明内容的真实性负责。如有虚假，将依法承担相应责任。</w:t>
      </w:r>
    </w:p>
    <w:p w14:paraId="33DD136D">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6F1C47F1">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3C5372A7">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26C71AE3">
      <w:pPr>
        <w:widowControl/>
        <w:wordWrap w:val="0"/>
        <w:adjustRightInd w:val="0"/>
        <w:snapToGrid w:val="0"/>
        <w:spacing w:line="360" w:lineRule="auto"/>
        <w:ind w:firstLine="444" w:firstLineChars="200"/>
        <w:jc w:val="right"/>
        <w:rPr>
          <w:rFonts w:hint="default" w:ascii="Times New Roman" w:hAnsi="Times New Roman" w:eastAsia="宋体" w:cs="Times New Roman"/>
          <w:spacing w:val="6"/>
          <w:kern w:val="0"/>
          <w:szCs w:val="21"/>
          <w:u w:val="single"/>
          <w:lang w:val="en-US" w:eastAsia="zh-CN"/>
        </w:rPr>
      </w:pPr>
      <w:r>
        <w:rPr>
          <w:rFonts w:hint="default" w:ascii="Times New Roman" w:hAnsi="Times New Roman" w:cs="Times New Roman"/>
          <w:spacing w:val="6"/>
          <w:kern w:val="0"/>
          <w:szCs w:val="21"/>
        </w:rPr>
        <w:t xml:space="preserve">                        供应商名称（盖单位公章）：</w:t>
      </w:r>
      <w:r>
        <w:rPr>
          <w:rFonts w:hint="eastAsia" w:ascii="Times New Roman" w:hAnsi="Times New Roman" w:cs="Times New Roman"/>
          <w:spacing w:val="6"/>
          <w:kern w:val="0"/>
          <w:szCs w:val="21"/>
          <w:u w:val="single"/>
          <w:lang w:val="en-US" w:eastAsia="zh-CN"/>
        </w:rPr>
        <w:t xml:space="preserve">      </w:t>
      </w:r>
    </w:p>
    <w:p w14:paraId="6CCDE207">
      <w:pPr>
        <w:spacing w:line="360" w:lineRule="auto"/>
        <w:jc w:val="right"/>
        <w:rPr>
          <w:rFonts w:hint="default" w:ascii="Times New Roman" w:hAnsi="Times New Roman" w:cs="Times New Roman"/>
        </w:rPr>
      </w:pPr>
      <w:r>
        <w:rPr>
          <w:rFonts w:hint="default" w:ascii="Times New Roman" w:hAnsi="Times New Roman" w:cs="Times New Roman"/>
          <w:spacing w:val="6"/>
          <w:kern w:val="0"/>
          <w:szCs w:val="21"/>
        </w:rPr>
        <w:t xml:space="preserve">                                     日期：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77FDE625">
      <w:pPr>
        <w:widowControl/>
        <w:adjustRightInd w:val="0"/>
        <w:snapToGrid w:val="0"/>
        <w:spacing w:line="360" w:lineRule="auto"/>
        <w:ind w:firstLine="444" w:firstLineChars="200"/>
        <w:jc w:val="center"/>
        <w:rPr>
          <w:rFonts w:hint="default" w:ascii="Times New Roman" w:hAnsi="Times New Roman" w:cs="Times New Roman"/>
          <w:spacing w:val="6"/>
          <w:kern w:val="0"/>
          <w:szCs w:val="21"/>
          <w:u w:val="single"/>
        </w:rPr>
      </w:pPr>
    </w:p>
    <w:p w14:paraId="0D5F1C2F">
      <w:pPr>
        <w:widowControl/>
        <w:adjustRightInd w:val="0"/>
        <w:snapToGrid w:val="0"/>
        <w:spacing w:line="360" w:lineRule="auto"/>
        <w:ind w:firstLine="420" w:firstLineChars="200"/>
        <w:jc w:val="right"/>
        <w:rPr>
          <w:rFonts w:hint="default" w:ascii="Times New Roman" w:hAnsi="Times New Roman" w:cs="Times New Roman"/>
          <w:szCs w:val="21"/>
        </w:rPr>
      </w:pPr>
    </w:p>
    <w:p w14:paraId="18541BF7">
      <w:pPr>
        <w:widowControl/>
        <w:adjustRightInd w:val="0"/>
        <w:snapToGrid w:val="0"/>
        <w:spacing w:line="360" w:lineRule="auto"/>
        <w:ind w:firstLine="420" w:firstLineChars="200"/>
        <w:jc w:val="center"/>
        <w:rPr>
          <w:rFonts w:hint="default" w:ascii="Times New Roman" w:hAnsi="Times New Roman" w:cs="Times New Roman"/>
          <w:szCs w:val="21"/>
        </w:rPr>
      </w:pPr>
    </w:p>
    <w:p w14:paraId="623BA288">
      <w:pPr>
        <w:adjustRightInd w:val="0"/>
        <w:snapToGrid w:val="0"/>
        <w:spacing w:line="360" w:lineRule="auto"/>
        <w:rPr>
          <w:rFonts w:hint="default" w:ascii="Times New Roman" w:hAnsi="Times New Roman" w:eastAsia="FangSong_GB2312" w:cs="Times New Roman"/>
          <w:szCs w:val="21"/>
        </w:rPr>
      </w:pPr>
    </w:p>
    <w:p w14:paraId="2C02661E">
      <w:pPr>
        <w:adjustRightInd w:val="0"/>
        <w:snapToGrid w:val="0"/>
        <w:spacing w:line="360" w:lineRule="auto"/>
        <w:rPr>
          <w:rFonts w:hint="default" w:ascii="Times New Roman" w:hAnsi="Times New Roman" w:eastAsia="FangSong_GB2312" w:cs="Times New Roman"/>
          <w:szCs w:val="21"/>
        </w:rPr>
      </w:pPr>
    </w:p>
    <w:p w14:paraId="51599079">
      <w:pPr>
        <w:rPr>
          <w:rFonts w:hint="default" w:ascii="Times New Roman" w:hAnsi="Times New Roman" w:cs="Times New Roman"/>
        </w:rPr>
      </w:pPr>
    </w:p>
    <w:p w14:paraId="4E92DD42">
      <w:pPr>
        <w:rPr>
          <w:rFonts w:hint="default" w:ascii="Times New Roman" w:hAnsi="Times New Roman" w:cs="Times New Roman"/>
        </w:rPr>
        <w:sectPr>
          <w:pgSz w:w="11906" w:h="16838"/>
          <w:pgMar w:top="1474" w:right="1474" w:bottom="250" w:left="1588" w:header="851" w:footer="992" w:gutter="0"/>
          <w:pgBorders>
            <w:top w:val="none" w:sz="0" w:space="0"/>
            <w:left w:val="none" w:sz="0" w:space="0"/>
            <w:bottom w:val="none" w:sz="0" w:space="0"/>
            <w:right w:val="none" w:sz="0" w:space="0"/>
          </w:pgBorders>
          <w:pgNumType w:fmt="decimal"/>
          <w:cols w:space="720" w:num="1"/>
          <w:docGrid w:linePitch="312" w:charSpace="0"/>
        </w:sectPr>
      </w:pPr>
    </w:p>
    <w:p w14:paraId="4280038D">
      <w:pPr>
        <w:rPr>
          <w:rFonts w:hint="default" w:asciiTheme="majorEastAsia" w:hAnsiTheme="majorEastAsia" w:eastAsiaTheme="majorEastAsia" w:cstheme="majorEastAsia"/>
          <w:b/>
          <w:bCs/>
          <w:sz w:val="21"/>
          <w:szCs w:val="21"/>
        </w:rPr>
      </w:pPr>
      <w:bookmarkStart w:id="326" w:name="_Toc14417"/>
      <w:bookmarkStart w:id="327" w:name="_Toc16434"/>
      <w:bookmarkStart w:id="328" w:name="_Toc12690"/>
      <w:bookmarkStart w:id="329" w:name="_Toc1830"/>
      <w:r>
        <w:rPr>
          <w:rFonts w:hint="default" w:asciiTheme="majorEastAsia" w:hAnsiTheme="majorEastAsia" w:eastAsiaTheme="majorEastAsia" w:cstheme="majorEastAsia"/>
          <w:b/>
          <w:bCs/>
          <w:sz w:val="21"/>
          <w:szCs w:val="21"/>
        </w:rPr>
        <w:br w:type="page"/>
      </w:r>
    </w:p>
    <w:p w14:paraId="0AC9351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outlineLvl w:val="2"/>
        <w:rPr>
          <w:rFonts w:hint="default" w:asciiTheme="majorEastAsia" w:hAnsiTheme="majorEastAsia" w:eastAsiaTheme="majorEastAsia" w:cstheme="majorEastAsia"/>
          <w:b/>
          <w:bCs/>
          <w:sz w:val="21"/>
          <w:szCs w:val="21"/>
        </w:rPr>
      </w:pPr>
      <w:bookmarkStart w:id="330" w:name="_Toc2846"/>
      <w:r>
        <w:rPr>
          <w:rFonts w:hint="default" w:asciiTheme="majorEastAsia" w:hAnsiTheme="majorEastAsia" w:eastAsiaTheme="majorEastAsia" w:cstheme="majorEastAsia"/>
          <w:b/>
          <w:bCs/>
          <w:sz w:val="21"/>
          <w:szCs w:val="21"/>
        </w:rPr>
        <w:t>附件</w:t>
      </w:r>
      <w:r>
        <w:rPr>
          <w:rFonts w:hint="eastAsia" w:asciiTheme="majorEastAsia" w:hAnsiTheme="majorEastAsia" w:eastAsiaTheme="majorEastAsia" w:cstheme="majorEastAsia"/>
          <w:b/>
          <w:bCs/>
          <w:sz w:val="21"/>
          <w:szCs w:val="21"/>
          <w:lang w:val="en-US" w:eastAsia="zh-CN"/>
        </w:rPr>
        <w:t>4-2</w:t>
      </w:r>
      <w:bookmarkEnd w:id="326"/>
      <w:bookmarkEnd w:id="327"/>
      <w:bookmarkEnd w:id="328"/>
      <w:r>
        <w:rPr>
          <w:rFonts w:hint="eastAsia" w:asciiTheme="majorEastAsia" w:hAnsiTheme="majorEastAsia" w:eastAsiaTheme="majorEastAsia" w:cstheme="majorEastAsia"/>
          <w:b/>
          <w:bCs/>
          <w:sz w:val="21"/>
          <w:szCs w:val="21"/>
          <w:lang w:val="en-US" w:eastAsia="zh-CN"/>
        </w:rPr>
        <w:t xml:space="preserve"> </w:t>
      </w:r>
      <w:r>
        <w:rPr>
          <w:rFonts w:hint="default" w:asciiTheme="majorEastAsia" w:hAnsiTheme="majorEastAsia" w:eastAsiaTheme="majorEastAsia" w:cstheme="majorEastAsia"/>
          <w:b/>
          <w:bCs/>
          <w:sz w:val="21"/>
          <w:szCs w:val="21"/>
        </w:rPr>
        <w:t>残疾人福利性单位声明函</w:t>
      </w:r>
      <w:bookmarkEnd w:id="329"/>
      <w:bookmarkEnd w:id="330"/>
    </w:p>
    <w:p w14:paraId="576E571C">
      <w:pPr>
        <w:keepNext w:val="0"/>
        <w:keepLines w:val="0"/>
        <w:pageBreakBefore w:val="0"/>
        <w:tabs>
          <w:tab w:val="left" w:pos="3600"/>
        </w:tabs>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黑体" w:cs="Times New Roman"/>
          <w:b w:val="0"/>
          <w:bCs/>
          <w:spacing w:val="6"/>
          <w:kern w:val="0"/>
          <w:sz w:val="28"/>
          <w:szCs w:val="28"/>
        </w:rPr>
      </w:pPr>
      <w:r>
        <w:rPr>
          <w:rFonts w:hint="default" w:ascii="Times New Roman" w:hAnsi="Times New Roman" w:eastAsia="黑体" w:cs="Times New Roman"/>
          <w:b w:val="0"/>
          <w:bCs/>
          <w:spacing w:val="6"/>
          <w:kern w:val="0"/>
          <w:sz w:val="28"/>
          <w:szCs w:val="28"/>
        </w:rPr>
        <w:t>残疾人福利性单位声明函</w:t>
      </w:r>
    </w:p>
    <w:p w14:paraId="18B01695">
      <w:pPr>
        <w:keepNext w:val="0"/>
        <w:keepLines w:val="0"/>
        <w:pageBreakBefore w:val="0"/>
        <w:tabs>
          <w:tab w:val="left" w:pos="3600"/>
        </w:tabs>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b/>
          <w:sz w:val="32"/>
          <w:szCs w:val="32"/>
        </w:rPr>
      </w:pPr>
      <w:r>
        <w:rPr>
          <w:rFonts w:hint="eastAsia" w:ascii="Times New Roman" w:hAnsi="Times New Roman" w:cs="Times New Roman"/>
          <w:spacing w:val="6"/>
          <w:kern w:val="0"/>
          <w:szCs w:val="21"/>
          <w:lang w:eastAsia="zh-CN"/>
        </w:rPr>
        <w:t>（</w:t>
      </w:r>
      <w:r>
        <w:rPr>
          <w:rFonts w:hint="default" w:ascii="Times New Roman" w:hAnsi="Times New Roman" w:cs="Times New Roman"/>
          <w:spacing w:val="6"/>
          <w:kern w:val="0"/>
          <w:szCs w:val="21"/>
        </w:rPr>
        <w:t>不属于残疾人福利性单位的无需填写</w:t>
      </w:r>
      <w:r>
        <w:rPr>
          <w:rFonts w:hint="eastAsia" w:ascii="Times New Roman" w:hAnsi="Times New Roman" w:cs="Times New Roman"/>
          <w:spacing w:val="6"/>
          <w:kern w:val="0"/>
          <w:szCs w:val="21"/>
          <w:lang w:eastAsia="zh-CN"/>
        </w:rPr>
        <w:t>）</w:t>
      </w:r>
    </w:p>
    <w:p w14:paraId="507BFC86">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本单位郑重声明，根据《财政部 民政部 中国残疾人联合会关于促进残疾人就业政府采购政策的通知》（财库〔2017〕141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319C1146">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rPr>
      </w:pPr>
      <w:r>
        <w:rPr>
          <w:rFonts w:hint="default" w:ascii="Times New Roman" w:hAnsi="Times New Roman" w:cs="Times New Roman"/>
          <w:spacing w:val="6"/>
          <w:kern w:val="0"/>
          <w:szCs w:val="21"/>
        </w:rPr>
        <w:t>本单位对上述声明的真实性负责。如有虚假，将依法承担相应责任。</w:t>
      </w:r>
    </w:p>
    <w:p w14:paraId="52185D15">
      <w:pPr>
        <w:keepNext w:val="0"/>
        <w:keepLines w:val="0"/>
        <w:pageBreakBefore w:val="0"/>
        <w:tabs>
          <w:tab w:val="left" w:pos="3600"/>
        </w:tabs>
        <w:kinsoku/>
        <w:wordWrap/>
        <w:overflowPunct/>
        <w:topLinePunct w:val="0"/>
        <w:autoSpaceDE/>
        <w:autoSpaceDN/>
        <w:bidi w:val="0"/>
        <w:adjustRightInd/>
        <w:snapToGrid/>
        <w:spacing w:line="360" w:lineRule="auto"/>
        <w:jc w:val="right"/>
        <w:textAlignment w:val="auto"/>
        <w:rPr>
          <w:rFonts w:hint="default" w:ascii="Times New Roman" w:hAnsi="Times New Roman" w:eastAsia="黑体" w:cs="Times New Roman"/>
          <w:b/>
          <w:sz w:val="32"/>
          <w:szCs w:val="32"/>
        </w:rPr>
      </w:pPr>
    </w:p>
    <w:p w14:paraId="23C34525">
      <w:pPr>
        <w:keepNext w:val="0"/>
        <w:keepLines w:val="0"/>
        <w:pageBreakBefore w:val="0"/>
        <w:widowControl/>
        <w:kinsoku/>
        <w:wordWrap w:val="0"/>
        <w:overflowPunct/>
        <w:topLinePunct w:val="0"/>
        <w:autoSpaceDE/>
        <w:autoSpaceDN/>
        <w:bidi w:val="0"/>
        <w:adjustRightInd/>
        <w:snapToGrid/>
        <w:spacing w:line="360" w:lineRule="auto"/>
        <w:ind w:firstLine="444" w:firstLineChars="200"/>
        <w:jc w:val="right"/>
        <w:textAlignment w:val="auto"/>
        <w:rPr>
          <w:rFonts w:hint="default" w:ascii="Times New Roman" w:hAnsi="Times New Roman" w:eastAsia="宋体" w:cs="Times New Roman"/>
          <w:spacing w:val="6"/>
          <w:kern w:val="0"/>
          <w:szCs w:val="21"/>
          <w:u w:val="single"/>
          <w:lang w:val="en-US" w:eastAsia="zh-CN"/>
        </w:rPr>
      </w:pPr>
      <w:r>
        <w:rPr>
          <w:rFonts w:hint="default" w:ascii="Times New Roman" w:hAnsi="Times New Roman" w:cs="Times New Roman"/>
          <w:spacing w:val="6"/>
          <w:kern w:val="0"/>
          <w:szCs w:val="21"/>
        </w:rPr>
        <w:t>供应商名称（盖单位公章）：</w:t>
      </w:r>
      <w:r>
        <w:rPr>
          <w:rFonts w:hint="eastAsia" w:ascii="Times New Roman" w:hAnsi="Times New Roman" w:cs="Times New Roman"/>
          <w:spacing w:val="6"/>
          <w:kern w:val="0"/>
          <w:szCs w:val="21"/>
          <w:u w:val="single"/>
          <w:lang w:val="en-US" w:eastAsia="zh-CN"/>
        </w:rPr>
        <w:t xml:space="preserve">    </w:t>
      </w:r>
    </w:p>
    <w:p w14:paraId="1A57C689">
      <w:pPr>
        <w:keepNext w:val="0"/>
        <w:keepLines w:val="0"/>
        <w:pageBreakBefore w:val="0"/>
        <w:widowControl/>
        <w:kinsoku/>
        <w:wordWrap/>
        <w:overflowPunct/>
        <w:topLinePunct w:val="0"/>
        <w:autoSpaceDE/>
        <w:autoSpaceDN/>
        <w:bidi w:val="0"/>
        <w:adjustRightInd/>
        <w:snapToGrid/>
        <w:spacing w:line="360" w:lineRule="auto"/>
        <w:ind w:firstLine="444" w:firstLineChars="200"/>
        <w:jc w:val="righ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                     日  期：___年___月___日</w:t>
      </w:r>
    </w:p>
    <w:p w14:paraId="0D4A1D6F">
      <w:pPr>
        <w:keepNext w:val="0"/>
        <w:keepLines w:val="0"/>
        <w:pageBreakBefore w:val="0"/>
        <w:widowControl/>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黑体" w:cs="Times New Roman"/>
          <w:sz w:val="30"/>
          <w:szCs w:val="30"/>
        </w:rPr>
      </w:pPr>
    </w:p>
    <w:p w14:paraId="2D594CB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outlineLvl w:val="2"/>
        <w:rPr>
          <w:rFonts w:hint="default" w:asciiTheme="majorEastAsia" w:hAnsiTheme="majorEastAsia" w:eastAsiaTheme="majorEastAsia" w:cstheme="majorEastAsia"/>
          <w:b/>
          <w:bCs/>
          <w:sz w:val="21"/>
          <w:szCs w:val="21"/>
        </w:rPr>
      </w:pPr>
      <w:bookmarkStart w:id="331" w:name="_Toc21613"/>
      <w:bookmarkStart w:id="332" w:name="_Toc9323"/>
      <w:bookmarkStart w:id="333" w:name="_Toc11814"/>
      <w:bookmarkStart w:id="334" w:name="_Toc20212"/>
      <w:bookmarkStart w:id="335" w:name="_Toc201"/>
      <w:r>
        <w:rPr>
          <w:rFonts w:hint="default" w:asciiTheme="majorEastAsia" w:hAnsiTheme="majorEastAsia" w:eastAsiaTheme="majorEastAsia" w:cstheme="majorEastAsia"/>
          <w:b/>
          <w:bCs/>
          <w:sz w:val="21"/>
          <w:szCs w:val="21"/>
        </w:rPr>
        <w:t>附件</w:t>
      </w:r>
      <w:r>
        <w:rPr>
          <w:rFonts w:hint="eastAsia" w:asciiTheme="majorEastAsia" w:hAnsiTheme="majorEastAsia" w:eastAsiaTheme="majorEastAsia" w:cstheme="majorEastAsia"/>
          <w:b/>
          <w:bCs/>
          <w:sz w:val="21"/>
          <w:szCs w:val="21"/>
          <w:lang w:val="en-US" w:eastAsia="zh-CN"/>
        </w:rPr>
        <w:t>4</w:t>
      </w:r>
      <w:r>
        <w:rPr>
          <w:rFonts w:hint="default" w:asciiTheme="majorEastAsia" w:hAnsiTheme="majorEastAsia" w:eastAsiaTheme="majorEastAsia" w:cstheme="majorEastAsia"/>
          <w:b/>
          <w:bCs/>
          <w:sz w:val="21"/>
          <w:szCs w:val="21"/>
        </w:rPr>
        <w:t>-</w:t>
      </w:r>
      <w:bookmarkEnd w:id="331"/>
      <w:bookmarkEnd w:id="332"/>
      <w:bookmarkEnd w:id="333"/>
      <w:r>
        <w:rPr>
          <w:rFonts w:hint="eastAsia" w:asciiTheme="majorEastAsia" w:hAnsiTheme="majorEastAsia" w:eastAsiaTheme="majorEastAsia" w:cstheme="majorEastAsia"/>
          <w:b/>
          <w:bCs/>
          <w:sz w:val="21"/>
          <w:szCs w:val="21"/>
          <w:lang w:val="en-US" w:eastAsia="zh-CN"/>
        </w:rPr>
        <w:t xml:space="preserve">3 </w:t>
      </w:r>
      <w:r>
        <w:rPr>
          <w:rFonts w:hint="default" w:asciiTheme="majorEastAsia" w:hAnsiTheme="majorEastAsia" w:eastAsiaTheme="majorEastAsia" w:cstheme="majorEastAsia"/>
          <w:b/>
          <w:bCs/>
          <w:sz w:val="21"/>
          <w:szCs w:val="21"/>
        </w:rPr>
        <w:t>监狱企业证明资料</w:t>
      </w:r>
      <w:bookmarkEnd w:id="334"/>
      <w:bookmarkEnd w:id="335"/>
    </w:p>
    <w:p w14:paraId="6A897871">
      <w:pPr>
        <w:keepNext w:val="0"/>
        <w:keepLines w:val="0"/>
        <w:pageBreakBefore w:val="0"/>
        <w:widowControl/>
        <w:kinsoku/>
        <w:wordWrap/>
        <w:overflowPunct/>
        <w:topLinePunct w:val="0"/>
        <w:autoSpaceDE/>
        <w:autoSpaceDN/>
        <w:bidi w:val="0"/>
        <w:adjustRightInd/>
        <w:snapToGrid/>
        <w:spacing w:line="360" w:lineRule="auto"/>
        <w:ind w:firstLine="600" w:firstLineChars="200"/>
        <w:jc w:val="left"/>
        <w:textAlignment w:val="auto"/>
        <w:outlineLvl w:val="9"/>
        <w:rPr>
          <w:rFonts w:hint="default" w:ascii="Times New Roman" w:hAnsi="Times New Roman" w:eastAsia="黑体" w:cs="Times New Roman"/>
          <w:sz w:val="30"/>
          <w:szCs w:val="30"/>
          <w:lang w:val="en-US" w:eastAsia="zh-CN"/>
        </w:rPr>
      </w:pPr>
    </w:p>
    <w:p w14:paraId="34D9620E">
      <w:pPr>
        <w:keepNext w:val="0"/>
        <w:keepLines w:val="0"/>
        <w:pageBreakBefore w:val="0"/>
        <w:tabs>
          <w:tab w:val="left" w:pos="3600"/>
        </w:tabs>
        <w:kinsoku/>
        <w:wordWrap/>
        <w:overflowPunct/>
        <w:topLinePunct w:val="0"/>
        <w:autoSpaceDE/>
        <w:autoSpaceDN/>
        <w:bidi w:val="0"/>
        <w:adjustRightInd/>
        <w:snapToGrid/>
        <w:spacing w:line="360" w:lineRule="auto"/>
        <w:ind w:firstLine="420"/>
        <w:jc w:val="center"/>
        <w:textAlignment w:val="auto"/>
        <w:rPr>
          <w:rFonts w:hint="default" w:ascii="Times New Roman" w:hAnsi="Times New Roman" w:eastAsia="黑体" w:cs="Times New Roman"/>
          <w:b w:val="0"/>
          <w:bCs/>
          <w:spacing w:val="6"/>
          <w:kern w:val="0"/>
          <w:sz w:val="28"/>
          <w:szCs w:val="28"/>
        </w:rPr>
      </w:pPr>
      <w:r>
        <w:rPr>
          <w:rFonts w:hint="default" w:ascii="Times New Roman" w:hAnsi="Times New Roman" w:eastAsia="黑体" w:cs="Times New Roman"/>
          <w:b w:val="0"/>
          <w:bCs/>
          <w:spacing w:val="6"/>
          <w:kern w:val="0"/>
          <w:sz w:val="28"/>
          <w:szCs w:val="28"/>
        </w:rPr>
        <w:t>监狱企业证明资料</w:t>
      </w:r>
    </w:p>
    <w:p w14:paraId="5045977D">
      <w:pPr>
        <w:keepNext w:val="0"/>
        <w:keepLines w:val="0"/>
        <w:pageBreakBefore w:val="0"/>
        <w:tabs>
          <w:tab w:val="left" w:pos="3600"/>
        </w:tabs>
        <w:kinsoku/>
        <w:wordWrap/>
        <w:overflowPunct/>
        <w:topLinePunct w:val="0"/>
        <w:autoSpaceDE/>
        <w:autoSpaceDN/>
        <w:bidi w:val="0"/>
        <w:adjustRightInd/>
        <w:snapToGrid/>
        <w:jc w:val="center"/>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(不属于监狱企业的无需提供)</w:t>
      </w:r>
    </w:p>
    <w:p w14:paraId="6CEB4A39">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p>
    <w:p w14:paraId="5642DF49">
      <w:pPr>
        <w:keepNext w:val="0"/>
        <w:keepLines w:val="0"/>
        <w:pageBreakBefore w:val="0"/>
        <w:widowControl/>
        <w:kinsoku/>
        <w:wordWrap/>
        <w:overflowPunct/>
        <w:topLinePunct w:val="0"/>
        <w:autoSpaceDE/>
        <w:autoSpaceDN/>
        <w:bidi w:val="0"/>
        <w:adjustRightInd/>
        <w:snapToGrid/>
        <w:spacing w:line="360" w:lineRule="auto"/>
        <w:ind w:firstLine="444" w:firstLineChars="200"/>
        <w:jc w:val="lef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备注：按《财政部 司法部关于政府采购支持监狱企业发展有关问题的通知》(财库〔2014〕68号)文件规定提供证明文件（复印件）。</w:t>
      </w:r>
    </w:p>
    <w:p w14:paraId="66AAD364">
      <w:pPr>
        <w:keepNext w:val="0"/>
        <w:keepLines w:val="0"/>
        <w:pageBreakBefore w:val="0"/>
        <w:widowControl/>
        <w:kinsoku/>
        <w:wordWrap/>
        <w:overflowPunct/>
        <w:topLinePunct w:val="0"/>
        <w:autoSpaceDE/>
        <w:autoSpaceDN/>
        <w:bidi w:val="0"/>
        <w:adjustRightInd/>
        <w:snapToGrid/>
        <w:spacing w:line="360" w:lineRule="auto"/>
        <w:ind w:firstLine="444" w:firstLineChars="200"/>
        <w:jc w:val="right"/>
        <w:textAlignment w:val="auto"/>
        <w:rPr>
          <w:rFonts w:hint="default" w:ascii="Times New Roman" w:hAnsi="Times New Roman" w:cs="Times New Roman"/>
          <w:spacing w:val="6"/>
          <w:kern w:val="0"/>
          <w:szCs w:val="21"/>
        </w:rPr>
      </w:pPr>
    </w:p>
    <w:p w14:paraId="0545C36C">
      <w:pPr>
        <w:keepNext w:val="0"/>
        <w:keepLines w:val="0"/>
        <w:pageBreakBefore w:val="0"/>
        <w:widowControl/>
        <w:kinsoku/>
        <w:wordWrap/>
        <w:overflowPunct/>
        <w:topLinePunct w:val="0"/>
        <w:autoSpaceDE/>
        <w:autoSpaceDN/>
        <w:bidi w:val="0"/>
        <w:adjustRightInd/>
        <w:snapToGrid/>
        <w:spacing w:line="360" w:lineRule="auto"/>
        <w:ind w:firstLine="444" w:firstLineChars="200"/>
        <w:jc w:val="right"/>
        <w:textAlignment w:val="auto"/>
        <w:rPr>
          <w:rFonts w:hint="default" w:ascii="Times New Roman" w:hAnsi="Times New Roman" w:cs="Times New Roman"/>
          <w:spacing w:val="6"/>
          <w:kern w:val="0"/>
          <w:szCs w:val="21"/>
        </w:rPr>
      </w:pPr>
    </w:p>
    <w:p w14:paraId="70190E95">
      <w:pPr>
        <w:keepNext w:val="0"/>
        <w:keepLines w:val="0"/>
        <w:pageBreakBefore w:val="0"/>
        <w:widowControl/>
        <w:kinsoku/>
        <w:wordWrap w:val="0"/>
        <w:overflowPunct/>
        <w:topLinePunct w:val="0"/>
        <w:autoSpaceDE/>
        <w:autoSpaceDN/>
        <w:bidi w:val="0"/>
        <w:adjustRightInd/>
        <w:snapToGrid/>
        <w:spacing w:line="360" w:lineRule="auto"/>
        <w:ind w:firstLine="444" w:firstLineChars="200"/>
        <w:jc w:val="right"/>
        <w:textAlignment w:val="auto"/>
        <w:rPr>
          <w:rFonts w:hint="default" w:ascii="Times New Roman" w:hAnsi="Times New Roman" w:eastAsia="宋体" w:cs="Times New Roman"/>
          <w:spacing w:val="6"/>
          <w:kern w:val="0"/>
          <w:szCs w:val="21"/>
          <w:u w:val="single"/>
          <w:lang w:val="en-US" w:eastAsia="zh-CN"/>
        </w:rPr>
      </w:pPr>
      <w:r>
        <w:rPr>
          <w:rFonts w:hint="default" w:ascii="Times New Roman" w:hAnsi="Times New Roman" w:cs="Times New Roman"/>
          <w:spacing w:val="6"/>
          <w:kern w:val="0"/>
          <w:szCs w:val="21"/>
        </w:rPr>
        <w:t>供应商名称（盖单位公章）：</w:t>
      </w:r>
      <w:r>
        <w:rPr>
          <w:rFonts w:hint="eastAsia" w:ascii="Times New Roman" w:hAnsi="Times New Roman" w:cs="Times New Roman"/>
          <w:spacing w:val="6"/>
          <w:kern w:val="0"/>
          <w:szCs w:val="21"/>
          <w:u w:val="single"/>
          <w:lang w:val="en-US" w:eastAsia="zh-CN"/>
        </w:rPr>
        <w:t xml:space="preserve">     </w:t>
      </w:r>
    </w:p>
    <w:p w14:paraId="48D20B20">
      <w:pPr>
        <w:keepNext w:val="0"/>
        <w:keepLines w:val="0"/>
        <w:pageBreakBefore w:val="0"/>
        <w:widowControl/>
        <w:kinsoku/>
        <w:wordWrap/>
        <w:overflowPunct/>
        <w:topLinePunct w:val="0"/>
        <w:autoSpaceDE/>
        <w:autoSpaceDN/>
        <w:bidi w:val="0"/>
        <w:adjustRightInd/>
        <w:snapToGrid/>
        <w:spacing w:line="360" w:lineRule="auto"/>
        <w:ind w:firstLine="444" w:firstLineChars="200"/>
        <w:jc w:val="right"/>
        <w:textAlignment w:val="auto"/>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                     日  期：___年___月___日</w:t>
      </w:r>
    </w:p>
    <w:p w14:paraId="64AD28C1">
      <w:pPr>
        <w:pStyle w:val="291"/>
        <w:rPr>
          <w:rFonts w:hint="default" w:ascii="Times New Roman" w:hAnsi="Times New Roman" w:cs="Times New Roman"/>
          <w:spacing w:val="6"/>
          <w:kern w:val="0"/>
          <w:szCs w:val="21"/>
        </w:rPr>
      </w:pPr>
    </w:p>
    <w:p w14:paraId="1DBDA708">
      <w:pPr>
        <w:adjustRightInd w:val="0"/>
        <w:snapToGrid w:val="0"/>
        <w:spacing w:line="360" w:lineRule="auto"/>
        <w:jc w:val="center"/>
        <w:rPr>
          <w:rFonts w:hint="eastAsia" w:ascii="黑体" w:hAnsi="宋体" w:eastAsia="黑体"/>
          <w:sz w:val="30"/>
          <w:szCs w:val="30"/>
        </w:rPr>
      </w:pPr>
    </w:p>
    <w:p w14:paraId="64B7197C">
      <w:pPr>
        <w:rPr>
          <w:rFonts w:hint="default" w:ascii="Times New Roman" w:hAnsi="Times New Roman" w:eastAsia="黑体" w:cs="Times New Roman"/>
          <w:b/>
          <w:sz w:val="32"/>
          <w:szCs w:val="32"/>
        </w:rPr>
      </w:pPr>
      <w:bookmarkStart w:id="336" w:name="_Toc13266"/>
      <w:bookmarkStart w:id="337" w:name="_Toc2530"/>
      <w:bookmarkStart w:id="338" w:name="_Toc1318"/>
      <w:r>
        <w:rPr>
          <w:rFonts w:hint="default" w:ascii="Times New Roman" w:hAnsi="Times New Roman" w:eastAsia="黑体" w:cs="Times New Roman"/>
          <w:b/>
          <w:sz w:val="32"/>
          <w:szCs w:val="32"/>
        </w:rPr>
        <w:br w:type="page"/>
      </w:r>
    </w:p>
    <w:p w14:paraId="4ADC49EA">
      <w:pPr>
        <w:ind w:left="0" w:leftChars="0" w:firstLine="0" w:firstLineChars="0"/>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七、报价一览表及分项价格表</w:t>
      </w:r>
      <w:bookmarkEnd w:id="336"/>
      <w:bookmarkEnd w:id="337"/>
      <w:bookmarkEnd w:id="338"/>
    </w:p>
    <w:p w14:paraId="7AF874C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outlineLvl w:val="2"/>
        <w:rPr>
          <w:rFonts w:hint="default" w:asciiTheme="majorEastAsia" w:hAnsiTheme="majorEastAsia" w:eastAsiaTheme="majorEastAsia" w:cstheme="majorEastAsia"/>
          <w:b/>
          <w:bCs/>
          <w:sz w:val="21"/>
          <w:szCs w:val="21"/>
        </w:rPr>
      </w:pPr>
      <w:bookmarkStart w:id="339" w:name="_Toc13657"/>
      <w:bookmarkStart w:id="340" w:name="_Toc11304"/>
      <w:bookmarkStart w:id="341" w:name="_Toc15243"/>
      <w:bookmarkStart w:id="342" w:name="_Toc25391"/>
      <w:bookmarkStart w:id="343" w:name="_Toc25234"/>
      <w:r>
        <w:rPr>
          <w:rFonts w:hint="default" w:asciiTheme="majorEastAsia" w:hAnsiTheme="majorEastAsia" w:eastAsiaTheme="majorEastAsia" w:cstheme="majorEastAsia"/>
          <w:b/>
          <w:bCs/>
          <w:sz w:val="21"/>
          <w:szCs w:val="21"/>
        </w:rPr>
        <w:t>附件</w:t>
      </w:r>
      <w:bookmarkEnd w:id="339"/>
      <w:bookmarkEnd w:id="340"/>
      <w:bookmarkEnd w:id="341"/>
      <w:r>
        <w:rPr>
          <w:rFonts w:hint="eastAsia" w:asciiTheme="majorEastAsia" w:hAnsiTheme="majorEastAsia" w:eastAsiaTheme="majorEastAsia" w:cstheme="majorEastAsia"/>
          <w:b/>
          <w:bCs/>
          <w:sz w:val="21"/>
          <w:szCs w:val="21"/>
          <w:lang w:val="en-US" w:eastAsia="zh-CN"/>
        </w:rPr>
        <w:t xml:space="preserve">5-1 </w:t>
      </w:r>
      <w:r>
        <w:rPr>
          <w:rFonts w:hint="default" w:asciiTheme="majorEastAsia" w:hAnsiTheme="majorEastAsia" w:eastAsiaTheme="majorEastAsia" w:cstheme="majorEastAsia"/>
          <w:b/>
          <w:bCs/>
          <w:sz w:val="21"/>
          <w:szCs w:val="21"/>
        </w:rPr>
        <w:t>报价一览表</w:t>
      </w:r>
      <w:bookmarkEnd w:id="342"/>
      <w:bookmarkEnd w:id="343"/>
    </w:p>
    <w:p w14:paraId="44A03F25">
      <w:pPr>
        <w:keepNext w:val="0"/>
        <w:keepLines w:val="0"/>
        <w:pageBreakBefore w:val="0"/>
        <w:tabs>
          <w:tab w:val="left" w:pos="3600"/>
        </w:tabs>
        <w:kinsoku/>
        <w:wordWrap/>
        <w:overflowPunct/>
        <w:topLinePunct w:val="0"/>
        <w:autoSpaceDE/>
        <w:autoSpaceDN/>
        <w:bidi w:val="0"/>
        <w:adjustRightInd/>
        <w:snapToGrid/>
        <w:spacing w:line="360" w:lineRule="auto"/>
        <w:ind w:firstLine="420"/>
        <w:jc w:val="center"/>
        <w:textAlignment w:val="auto"/>
        <w:rPr>
          <w:rFonts w:hint="eastAsia" w:ascii="Times New Roman" w:hAnsi="Times New Roman" w:eastAsia="黑体" w:cs="Times New Roman"/>
          <w:b/>
          <w:bCs w:val="0"/>
          <w:spacing w:val="6"/>
          <w:kern w:val="0"/>
          <w:sz w:val="28"/>
          <w:szCs w:val="28"/>
          <w:lang w:eastAsia="zh-CN"/>
        </w:rPr>
      </w:pPr>
      <w:r>
        <w:rPr>
          <w:rFonts w:hint="default" w:ascii="Times New Roman" w:hAnsi="Times New Roman" w:eastAsia="黑体" w:cs="Times New Roman"/>
          <w:b/>
          <w:bCs w:val="0"/>
          <w:spacing w:val="6"/>
          <w:kern w:val="0"/>
          <w:sz w:val="28"/>
          <w:szCs w:val="28"/>
        </w:rPr>
        <w:t>报价一览表</w:t>
      </w:r>
      <w:r>
        <w:rPr>
          <w:rFonts w:hint="eastAsia" w:ascii="Times New Roman" w:hAnsi="Times New Roman" w:eastAsia="黑体" w:cs="Times New Roman"/>
          <w:b/>
          <w:bCs w:val="0"/>
          <w:spacing w:val="6"/>
          <w:kern w:val="0"/>
          <w:sz w:val="28"/>
          <w:szCs w:val="28"/>
          <w:lang w:eastAsia="zh-CN"/>
        </w:rPr>
        <w:t>（</w:t>
      </w:r>
      <w:r>
        <w:rPr>
          <w:rFonts w:hint="eastAsia" w:ascii="Times New Roman" w:hAnsi="Times New Roman" w:eastAsia="黑体" w:cs="Times New Roman"/>
          <w:b/>
          <w:bCs w:val="0"/>
          <w:spacing w:val="6"/>
          <w:kern w:val="0"/>
          <w:sz w:val="28"/>
          <w:szCs w:val="28"/>
          <w:lang w:val="en-US" w:eastAsia="zh-CN"/>
        </w:rPr>
        <w:t>工程类适用</w:t>
      </w:r>
      <w:r>
        <w:rPr>
          <w:rFonts w:hint="eastAsia" w:ascii="Times New Roman" w:hAnsi="Times New Roman" w:eastAsia="黑体" w:cs="Times New Roman"/>
          <w:b/>
          <w:bCs w:val="0"/>
          <w:spacing w:val="6"/>
          <w:kern w:val="0"/>
          <w:sz w:val="28"/>
          <w:szCs w:val="28"/>
          <w:lang w:eastAsia="zh-CN"/>
        </w:rPr>
        <w:t>）</w:t>
      </w:r>
    </w:p>
    <w:tbl>
      <w:tblPr>
        <w:tblStyle w:val="46"/>
        <w:tblW w:w="8920" w:type="dxa"/>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2346"/>
        <w:gridCol w:w="3154"/>
        <w:gridCol w:w="1602"/>
        <w:gridCol w:w="1818"/>
      </w:tblGrid>
      <w:tr w14:paraId="313FC67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restart"/>
            <w:tcBorders>
              <w:top w:val="double" w:color="auto" w:sz="4" w:space="0"/>
              <w:left w:val="double" w:color="auto" w:sz="4" w:space="0"/>
              <w:bottom w:val="single" w:color="auto" w:sz="4" w:space="0"/>
              <w:right w:val="single" w:color="auto" w:sz="4" w:space="0"/>
            </w:tcBorders>
            <w:noWrap w:val="0"/>
            <w:vAlign w:val="center"/>
          </w:tcPr>
          <w:p w14:paraId="33986117">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项目名称</w:t>
            </w:r>
          </w:p>
        </w:tc>
        <w:tc>
          <w:tcPr>
            <w:tcW w:w="3154" w:type="dxa"/>
            <w:vMerge w:val="restart"/>
            <w:tcBorders>
              <w:top w:val="double" w:color="auto" w:sz="4" w:space="0"/>
              <w:left w:val="single" w:color="auto" w:sz="4" w:space="0"/>
              <w:bottom w:val="single" w:color="auto" w:sz="4" w:space="0"/>
              <w:right w:val="single" w:color="auto" w:sz="4" w:space="0"/>
            </w:tcBorders>
            <w:noWrap w:val="0"/>
            <w:vAlign w:val="center"/>
          </w:tcPr>
          <w:p w14:paraId="6F054897">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c>
          <w:tcPr>
            <w:tcW w:w="1602" w:type="dxa"/>
            <w:tcBorders>
              <w:top w:val="double" w:color="auto" w:sz="4" w:space="0"/>
              <w:left w:val="single" w:color="auto" w:sz="4" w:space="0"/>
              <w:bottom w:val="single" w:color="auto" w:sz="4" w:space="0"/>
              <w:right w:val="single" w:color="auto" w:sz="4" w:space="0"/>
            </w:tcBorders>
            <w:noWrap w:val="0"/>
            <w:vAlign w:val="center"/>
          </w:tcPr>
          <w:p w14:paraId="0FFC33DD">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eastAsia" w:ascii="Times New Roman" w:hAnsi="Times New Roman" w:eastAsia="宋体" w:cs="Times New Roman"/>
                <w:szCs w:val="21"/>
                <w:lang w:eastAsia="zh-CN"/>
              </w:rPr>
            </w:pPr>
            <w:r>
              <w:rPr>
                <w:rFonts w:hint="eastAsia" w:cs="Times New Roman"/>
                <w:szCs w:val="21"/>
                <w:lang w:eastAsia="zh-CN"/>
              </w:rPr>
              <w:t>政府采购计划编号</w:t>
            </w:r>
          </w:p>
        </w:tc>
        <w:tc>
          <w:tcPr>
            <w:tcW w:w="1818" w:type="dxa"/>
            <w:tcBorders>
              <w:top w:val="double" w:color="auto" w:sz="4" w:space="0"/>
              <w:left w:val="single" w:color="auto" w:sz="4" w:space="0"/>
              <w:bottom w:val="single" w:color="auto" w:sz="4" w:space="0"/>
              <w:right w:val="double" w:color="auto" w:sz="4" w:space="0"/>
            </w:tcBorders>
            <w:noWrap w:val="0"/>
            <w:vAlign w:val="center"/>
          </w:tcPr>
          <w:p w14:paraId="4E6EE754">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eastAsia="宋体" w:cs="Times New Roman"/>
                <w:szCs w:val="21"/>
                <w:lang w:val="en-US" w:eastAsia="zh-CN"/>
              </w:rPr>
            </w:pPr>
          </w:p>
        </w:tc>
      </w:tr>
      <w:tr w14:paraId="1837E9B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continue"/>
            <w:tcBorders>
              <w:top w:val="single" w:color="auto" w:sz="4" w:space="0"/>
              <w:left w:val="double" w:color="auto" w:sz="4" w:space="0"/>
              <w:bottom w:val="single" w:color="auto" w:sz="4" w:space="0"/>
              <w:right w:val="single" w:color="auto" w:sz="4" w:space="0"/>
            </w:tcBorders>
            <w:noWrap w:val="0"/>
            <w:vAlign w:val="center"/>
          </w:tcPr>
          <w:p w14:paraId="29B26080">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c>
          <w:tcPr>
            <w:tcW w:w="3154" w:type="dxa"/>
            <w:vMerge w:val="continue"/>
            <w:tcBorders>
              <w:top w:val="single" w:color="auto" w:sz="4" w:space="0"/>
              <w:left w:val="single" w:color="auto" w:sz="4" w:space="0"/>
              <w:bottom w:val="single" w:color="auto" w:sz="4" w:space="0"/>
              <w:right w:val="single" w:color="auto" w:sz="4" w:space="0"/>
            </w:tcBorders>
            <w:noWrap w:val="0"/>
            <w:vAlign w:val="center"/>
          </w:tcPr>
          <w:p w14:paraId="4D5F3283">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53ACD324">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采购代理编号</w:t>
            </w:r>
          </w:p>
        </w:tc>
        <w:tc>
          <w:tcPr>
            <w:tcW w:w="1818" w:type="dxa"/>
            <w:tcBorders>
              <w:top w:val="single" w:color="auto" w:sz="4" w:space="0"/>
              <w:left w:val="single" w:color="auto" w:sz="4" w:space="0"/>
              <w:bottom w:val="single" w:color="auto" w:sz="4" w:space="0"/>
              <w:right w:val="double" w:color="auto" w:sz="4" w:space="0"/>
            </w:tcBorders>
            <w:noWrap w:val="0"/>
            <w:vAlign w:val="center"/>
          </w:tcPr>
          <w:p w14:paraId="4CDAC202">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r w14:paraId="062E91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125651C7">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品目代码</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383EA904">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w:t>
            </w:r>
          </w:p>
        </w:tc>
      </w:tr>
      <w:tr w14:paraId="2ADAB5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66"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00CE9D2A">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工程总报价</w:t>
            </w:r>
          </w:p>
        </w:tc>
        <w:tc>
          <w:tcPr>
            <w:tcW w:w="6574" w:type="dxa"/>
            <w:gridSpan w:val="3"/>
            <w:tcBorders>
              <w:top w:val="single" w:color="auto" w:sz="4" w:space="0"/>
              <w:left w:val="single" w:color="auto" w:sz="4" w:space="0"/>
              <w:bottom w:val="single" w:color="auto" w:sz="4" w:space="0"/>
              <w:right w:val="double" w:color="auto" w:sz="4" w:space="0"/>
            </w:tcBorders>
            <w:noWrap w:val="0"/>
            <w:vAlign w:val="bottom"/>
          </w:tcPr>
          <w:p w14:paraId="0D9B302B">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textAlignment w:val="auto"/>
              <w:rPr>
                <w:rFonts w:hint="default" w:ascii="Times New Roman" w:hAnsi="Times New Roman" w:cs="Times New Roman"/>
                <w:szCs w:val="21"/>
              </w:rPr>
            </w:pPr>
          </w:p>
          <w:p w14:paraId="18457E8A">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textAlignment w:val="auto"/>
              <w:rPr>
                <w:rFonts w:hint="default" w:ascii="Times New Roman" w:hAnsi="Times New Roman" w:cs="Times New Roman"/>
                <w:szCs w:val="21"/>
              </w:rPr>
            </w:pPr>
            <w:r>
              <w:rPr>
                <w:rFonts w:hint="default" w:ascii="Times New Roman" w:hAnsi="Times New Roman" w:cs="Times New Roman"/>
                <w:szCs w:val="21"/>
              </w:rPr>
              <w:t>大写：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p w14:paraId="6A7F38A0">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textAlignment w:val="auto"/>
              <w:rPr>
                <w:rFonts w:hint="default" w:ascii="Times New Roman" w:hAnsi="Times New Roman" w:cs="Times New Roman"/>
                <w:szCs w:val="21"/>
              </w:rPr>
            </w:pPr>
            <w:r>
              <w:rPr>
                <w:rFonts w:hint="default" w:ascii="Times New Roman" w:hAnsi="Times New Roman" w:cs="Times New Roman"/>
                <w:szCs w:val="21"/>
              </w:rPr>
              <w:t>小写：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tc>
      </w:tr>
      <w:tr w14:paraId="381B17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1A8DA3F5">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工期（日历天）</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5038446B">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天</w:t>
            </w:r>
          </w:p>
        </w:tc>
      </w:tr>
      <w:tr w14:paraId="03C1AC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060E1DA5">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质量等级</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717731D9">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r w14:paraId="43FAE1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13B7CB77">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保修承诺</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38BEE1AD">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r w14:paraId="63A143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double" w:color="auto" w:sz="4" w:space="0"/>
              <w:right w:val="single" w:color="auto" w:sz="4" w:space="0"/>
            </w:tcBorders>
            <w:noWrap w:val="0"/>
            <w:vAlign w:val="center"/>
          </w:tcPr>
          <w:p w14:paraId="514A5D22">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项目负责人</w:t>
            </w:r>
          </w:p>
        </w:tc>
        <w:tc>
          <w:tcPr>
            <w:tcW w:w="6574" w:type="dxa"/>
            <w:gridSpan w:val="3"/>
            <w:tcBorders>
              <w:top w:val="single" w:color="auto" w:sz="4" w:space="0"/>
              <w:left w:val="single" w:color="auto" w:sz="4" w:space="0"/>
              <w:bottom w:val="double" w:color="auto" w:sz="4" w:space="0"/>
              <w:right w:val="double" w:color="auto" w:sz="4" w:space="0"/>
            </w:tcBorders>
            <w:noWrap w:val="0"/>
            <w:vAlign w:val="center"/>
          </w:tcPr>
          <w:p w14:paraId="6E05565B">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bl>
    <w:p w14:paraId="60C52B85">
      <w:pPr>
        <w:pStyle w:val="64"/>
        <w:rPr>
          <w:rFonts w:hint="eastAsia"/>
          <w:lang w:eastAsia="zh-CN"/>
        </w:rPr>
      </w:pPr>
    </w:p>
    <w:p w14:paraId="1896CE05">
      <w:pPr>
        <w:pStyle w:val="26"/>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default" w:ascii="Times New Roman" w:hAnsi="Times New Roman" w:eastAsia="宋体" w:cs="Times New Roman"/>
          <w:bCs/>
          <w:sz w:val="21"/>
          <w:szCs w:val="21"/>
          <w:u w:val="single"/>
          <w:lang w:val="en-US" w:eastAsia="zh-CN"/>
        </w:rPr>
      </w:pPr>
      <w:r>
        <w:rPr>
          <w:rFonts w:hint="default" w:ascii="Times New Roman" w:hAnsi="Times New Roman" w:cs="Times New Roman"/>
          <w:sz w:val="21"/>
          <w:szCs w:val="21"/>
        </w:rPr>
        <w:t>供应商名称（盖单位公章）：</w:t>
      </w:r>
      <w:r>
        <w:rPr>
          <w:rFonts w:hint="eastAsia" w:ascii="Times New Roman" w:hAnsi="Times New Roman" w:cs="Times New Roman"/>
          <w:sz w:val="21"/>
          <w:szCs w:val="21"/>
          <w:u w:val="single"/>
          <w:lang w:val="en-US" w:eastAsia="zh-CN"/>
        </w:rPr>
        <w:t xml:space="preserve">     </w:t>
      </w:r>
    </w:p>
    <w:p w14:paraId="68486737">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eastAsia" w:ascii="Times New Roman" w:hAnsi="Times New Roman" w:cs="Times New Roman"/>
          <w:szCs w:val="21"/>
          <w:u w:val="single"/>
          <w:lang w:val="en-US" w:eastAsia="zh-CN"/>
        </w:rPr>
      </w:pPr>
      <w:r>
        <w:rPr>
          <w:rFonts w:hint="eastAsia" w:ascii="Times New Roman" w:hAnsi="Times New Roman" w:cs="Times New Roman"/>
          <w:lang w:eastAsia="zh-CN"/>
        </w:rPr>
        <w:t>法定代表人（单位负责人）或其委托代理人（签字或印章）：</w:t>
      </w:r>
      <w:r>
        <w:rPr>
          <w:rFonts w:hint="eastAsia" w:ascii="Times New Roman" w:hAnsi="Times New Roman" w:cs="Times New Roman"/>
          <w:szCs w:val="21"/>
          <w:u w:val="single"/>
          <w:lang w:val="en-US" w:eastAsia="zh-CN"/>
        </w:rPr>
        <w:t xml:space="preserve">    </w:t>
      </w:r>
    </w:p>
    <w:p w14:paraId="3A4ABFE4">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default" w:ascii="Times New Roman" w:hAnsi="Times New Roman" w:cs="Times New Roman"/>
          <w:szCs w:val="21"/>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5CB9D76B">
      <w:pPr>
        <w:pStyle w:val="26"/>
        <w:adjustRightInd w:val="0"/>
        <w:snapToGrid w:val="0"/>
        <w:spacing w:line="480" w:lineRule="auto"/>
        <w:outlineLvl w:val="9"/>
        <w:rPr>
          <w:rFonts w:hint="default" w:ascii="Times New Roman" w:hAnsi="Times New Roman" w:cs="Times New Roman"/>
          <w:sz w:val="21"/>
          <w:szCs w:val="21"/>
        </w:rPr>
      </w:pPr>
    </w:p>
    <w:p w14:paraId="7EE9F3CD">
      <w:pPr>
        <w:adjustRightInd w:val="0"/>
        <w:snapToGrid w:val="0"/>
        <w:rPr>
          <w:rFonts w:hint="default" w:ascii="Times New Roman" w:hAnsi="Times New Roman" w:eastAsia="黑体" w:cs="Times New Roman"/>
          <w:sz w:val="30"/>
          <w:szCs w:val="30"/>
        </w:rPr>
      </w:pPr>
    </w:p>
    <w:p w14:paraId="459ED7D2">
      <w:pPr>
        <w:rPr>
          <w:rFonts w:hint="default" w:ascii="Times New Roman" w:hAnsi="Times New Roman" w:eastAsia="黑体" w:cs="Times New Roman"/>
          <w:sz w:val="28"/>
          <w:szCs w:val="28"/>
        </w:rPr>
      </w:pPr>
      <w:r>
        <w:rPr>
          <w:rFonts w:hint="default" w:ascii="Times New Roman" w:hAnsi="Times New Roman" w:eastAsia="黑体" w:cs="Times New Roman"/>
          <w:sz w:val="28"/>
          <w:szCs w:val="28"/>
        </w:rPr>
        <w:br w:type="page"/>
      </w:r>
    </w:p>
    <w:p w14:paraId="65D0D60B">
      <w:pPr>
        <w:pStyle w:val="62"/>
        <w:rPr>
          <w:rFonts w:hint="default"/>
        </w:rPr>
        <w:sectPr>
          <w:headerReference r:id="rId9" w:type="default"/>
          <w:footerReference r:id="rId10"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857719F">
      <w:pPr>
        <w:ind w:left="0" w:leftChars="0" w:firstLine="0" w:firstLineChars="0"/>
        <w:outlineLvl w:val="2"/>
        <w:rPr>
          <w:rFonts w:hint="eastAsia"/>
          <w:b/>
          <w:bCs/>
          <w:lang w:val="en-US" w:eastAsia="zh-CN"/>
        </w:rPr>
      </w:pPr>
      <w:bookmarkStart w:id="344" w:name="_Toc7696"/>
      <w:bookmarkStart w:id="345" w:name="_Toc9062"/>
      <w:bookmarkStart w:id="346" w:name="_Toc4849"/>
      <w:bookmarkStart w:id="347" w:name="_Toc12619_WPSOffice_Level1"/>
      <w:bookmarkStart w:id="348" w:name="_Toc2796"/>
      <w:bookmarkStart w:id="349" w:name="_Toc28106"/>
      <w:r>
        <w:rPr>
          <w:rFonts w:hint="eastAsia"/>
          <w:b/>
          <w:bCs/>
        </w:rPr>
        <w:t>附件</w:t>
      </w:r>
      <w:r>
        <w:rPr>
          <w:rFonts w:hint="eastAsia"/>
          <w:b/>
          <w:bCs/>
          <w:lang w:val="en-US" w:eastAsia="zh-CN"/>
        </w:rPr>
        <w:t>5</w:t>
      </w:r>
      <w:r>
        <w:rPr>
          <w:rFonts w:hint="eastAsia"/>
          <w:b/>
          <w:bCs/>
        </w:rPr>
        <w:t>-</w:t>
      </w:r>
      <w:bookmarkEnd w:id="344"/>
      <w:bookmarkEnd w:id="345"/>
      <w:bookmarkEnd w:id="346"/>
      <w:bookmarkEnd w:id="347"/>
      <w:r>
        <w:rPr>
          <w:rFonts w:hint="eastAsia"/>
          <w:b/>
          <w:bCs/>
          <w:lang w:val="en-US" w:eastAsia="zh-CN"/>
        </w:rPr>
        <w:t xml:space="preserve">2 </w:t>
      </w:r>
      <w:r>
        <w:rPr>
          <w:rFonts w:hint="eastAsia"/>
          <w:b/>
          <w:bCs/>
        </w:rPr>
        <w:t>分项价格表</w:t>
      </w:r>
      <w:bookmarkEnd w:id="348"/>
      <w:bookmarkEnd w:id="349"/>
      <w:r>
        <w:rPr>
          <w:rFonts w:hint="eastAsia"/>
          <w:b/>
          <w:bCs/>
        </w:rPr>
        <w:t xml:space="preserve"> </w:t>
      </w:r>
    </w:p>
    <w:p w14:paraId="09DACBF6">
      <w:pPr>
        <w:keepNext w:val="0"/>
        <w:keepLines w:val="0"/>
        <w:pageBreakBefore w:val="0"/>
        <w:tabs>
          <w:tab w:val="left" w:pos="3600"/>
        </w:tabs>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黑体" w:cs="Times New Roman"/>
          <w:b/>
          <w:bCs w:val="0"/>
          <w:spacing w:val="6"/>
          <w:kern w:val="0"/>
          <w:sz w:val="28"/>
          <w:szCs w:val="28"/>
        </w:rPr>
      </w:pPr>
      <w:bookmarkStart w:id="350" w:name="_Toc12651"/>
      <w:bookmarkStart w:id="351" w:name="_Toc29902"/>
      <w:bookmarkStart w:id="352" w:name="_Toc28824"/>
      <w:bookmarkStart w:id="353" w:name="_Toc25515"/>
      <w:bookmarkStart w:id="354" w:name="_Toc826"/>
      <w:bookmarkStart w:id="355" w:name="_Toc17180"/>
      <w:r>
        <w:rPr>
          <w:rFonts w:hint="eastAsia" w:ascii="Times New Roman" w:hAnsi="Times New Roman" w:eastAsia="黑体" w:cs="Times New Roman"/>
          <w:b/>
          <w:bCs w:val="0"/>
          <w:spacing w:val="6"/>
          <w:kern w:val="0"/>
          <w:sz w:val="28"/>
          <w:szCs w:val="28"/>
        </w:rPr>
        <w:t>分项价格表</w:t>
      </w:r>
      <w:bookmarkEnd w:id="350"/>
      <w:bookmarkEnd w:id="351"/>
      <w:bookmarkEnd w:id="352"/>
    </w:p>
    <w:p w14:paraId="1DE7C7BF">
      <w:pPr>
        <w:rPr>
          <w:rFonts w:hint="default"/>
        </w:rPr>
      </w:pPr>
      <w:r>
        <w:rPr>
          <w:rFonts w:hint="default"/>
        </w:rPr>
        <w:t>按采购文件提供的工程量清单报价并符合以下要求：</w:t>
      </w:r>
    </w:p>
    <w:p w14:paraId="7E88C9CD">
      <w:pPr>
        <w:rPr>
          <w:rFonts w:hint="default"/>
        </w:rPr>
      </w:pPr>
      <w:bookmarkStart w:id="356" w:name="_Toc4113"/>
      <w:bookmarkStart w:id="357" w:name="_Toc12847"/>
      <w:r>
        <w:rPr>
          <w:rFonts w:hint="default"/>
        </w:rPr>
        <w:t>1、报价未超过采购文件规定的最高采购预算和最高限价；</w:t>
      </w:r>
      <w:bookmarkEnd w:id="356"/>
      <w:bookmarkEnd w:id="357"/>
    </w:p>
    <w:p w14:paraId="0A7DCD28">
      <w:pPr>
        <w:rPr>
          <w:rFonts w:hint="default"/>
        </w:rPr>
      </w:pPr>
      <w:r>
        <w:rPr>
          <w:rFonts w:hint="default"/>
        </w:rPr>
        <w:t>2、报价中的安全文明施工措施费、规费或税金按照国家或省规定计取；</w:t>
      </w:r>
    </w:p>
    <w:p w14:paraId="061C9F45">
      <w:pPr>
        <w:rPr>
          <w:rFonts w:hint="default"/>
        </w:rPr>
      </w:pPr>
      <w:r>
        <w:rPr>
          <w:rFonts w:hint="default"/>
        </w:rPr>
        <w:t>3、报价符合经财政评审的“工程量清单”规定的项目编码、项目名称、项目特征、计量单位或工程数量；</w:t>
      </w:r>
    </w:p>
    <w:p w14:paraId="0F489665">
      <w:pPr>
        <w:rPr>
          <w:rFonts w:hint="default"/>
        </w:rPr>
      </w:pPr>
      <w:r>
        <w:rPr>
          <w:rFonts w:hint="default"/>
        </w:rPr>
        <w:t>4、报价中的暂估价或暂列金额与招标人公布的暂估价或暂列金额保持一致。</w:t>
      </w:r>
    </w:p>
    <w:p w14:paraId="57154DDC">
      <w:pPr>
        <w:keepNext w:val="0"/>
        <w:keepLines w:val="0"/>
        <w:pageBreakBefore w:val="0"/>
        <w:widowControl w:val="0"/>
        <w:kinsoku/>
        <w:wordWrap/>
        <w:overflowPunct/>
        <w:topLinePunct w:val="0"/>
        <w:autoSpaceDE/>
        <w:autoSpaceDN/>
        <w:bidi w:val="0"/>
        <w:adjustRightInd/>
        <w:snapToGrid/>
        <w:ind w:left="0" w:leftChars="0" w:firstLine="422" w:firstLineChars="200"/>
        <w:textAlignment w:val="auto"/>
        <w:rPr>
          <w:rFonts w:hint="eastAsia" w:ascii="仿宋" w:hAnsi="仿宋" w:eastAsia="仿宋" w:cs="仿宋"/>
          <w:b/>
          <w:sz w:val="21"/>
          <w:szCs w:val="21"/>
        </w:rPr>
      </w:pPr>
    </w:p>
    <w:p w14:paraId="1908385F">
      <w:pPr>
        <w:pStyle w:val="27"/>
        <w:rPr>
          <w:rFonts w:hint="eastAsi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9E73B57">
      <w:pPr>
        <w:rPr>
          <w:rFonts w:hint="default" w:ascii="Times New Roman" w:hAnsi="Times New Roman" w:eastAsia="黑体" w:cs="Times New Roman"/>
          <w:b/>
          <w:sz w:val="28"/>
          <w:szCs w:val="28"/>
        </w:rPr>
      </w:pPr>
    </w:p>
    <w:p w14:paraId="7AFBD77A">
      <w:pPr>
        <w:spacing w:line="360" w:lineRule="exact"/>
        <w:ind w:left="0" w:leftChars="0" w:firstLine="0" w:firstLineChars="0"/>
        <w:jc w:val="center"/>
        <w:outlineLvl w:val="1"/>
        <w:rPr>
          <w:rFonts w:hint="default" w:ascii="Times New Roman" w:hAnsi="Times New Roman" w:eastAsia="黑体" w:cs="Times New Roman"/>
          <w:b/>
          <w:sz w:val="28"/>
          <w:szCs w:val="28"/>
        </w:rPr>
      </w:pPr>
      <w:bookmarkStart w:id="358" w:name="_Toc3991"/>
      <w:r>
        <w:rPr>
          <w:rFonts w:hint="default" w:ascii="Times New Roman" w:hAnsi="Times New Roman" w:eastAsia="黑体" w:cs="Times New Roman"/>
          <w:b/>
          <w:sz w:val="28"/>
          <w:szCs w:val="28"/>
        </w:rPr>
        <w:t>八、供应商认为需要提供的其它资料</w:t>
      </w:r>
      <w:bookmarkEnd w:id="353"/>
      <w:bookmarkEnd w:id="354"/>
      <w:bookmarkEnd w:id="355"/>
      <w:bookmarkEnd w:id="358"/>
    </w:p>
    <w:p w14:paraId="6BE7B8C7">
      <w:pPr>
        <w:adjustRightInd w:val="0"/>
        <w:snapToGrid w:val="0"/>
        <w:spacing w:beforeLines="50" w:line="360" w:lineRule="auto"/>
        <w:rPr>
          <w:rFonts w:hint="default" w:ascii="Times New Roman" w:hAnsi="Times New Roman" w:cs="Times New Roman"/>
        </w:rPr>
      </w:pPr>
    </w:p>
    <w:p w14:paraId="4A399880">
      <w:pPr>
        <w:adjustRightInd w:val="0"/>
        <w:snapToGrid w:val="0"/>
        <w:spacing w:beforeLines="50" w:line="360" w:lineRule="auto"/>
        <w:rPr>
          <w:rFonts w:hint="default" w:ascii="Times New Roman" w:hAnsi="Times New Roman" w:cs="Times New Roman"/>
        </w:rPr>
      </w:pPr>
      <w:r>
        <w:rPr>
          <w:rFonts w:hint="default" w:ascii="Times New Roman" w:hAnsi="Times New Roman" w:cs="Times New Roman"/>
        </w:rPr>
        <w:t>备注：</w:t>
      </w:r>
      <w:r>
        <w:rPr>
          <w:rFonts w:hint="default" w:ascii="Times New Roman" w:hAnsi="Times New Roman" w:cs="Times New Roman"/>
          <w:lang w:val="en-US" w:eastAsia="zh-CN"/>
        </w:rPr>
        <w:t>供应商</w:t>
      </w:r>
      <w:r>
        <w:rPr>
          <w:rFonts w:hint="default" w:ascii="Times New Roman" w:hAnsi="Times New Roman" w:cs="Times New Roman"/>
        </w:rPr>
        <w:t>认为需提供的其他资料包括：</w:t>
      </w:r>
    </w:p>
    <w:p w14:paraId="3D5F85CC">
      <w:pPr>
        <w:adjustRightInd w:val="0"/>
        <w:snapToGrid w:val="0"/>
        <w:spacing w:beforeLines="50" w:line="360" w:lineRule="auto"/>
        <w:ind w:firstLine="420" w:firstLineChars="2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1</w:t>
      </w:r>
      <w:r>
        <w:rPr>
          <w:rFonts w:hint="default" w:ascii="Times New Roman" w:hAnsi="Times New Roman" w:cs="Times New Roman"/>
        </w:rPr>
        <w:t>）磋商文件第二章</w:t>
      </w:r>
      <w:r>
        <w:rPr>
          <w:rFonts w:hint="eastAsia" w:ascii="Times New Roman" w:hAnsi="Times New Roman" w:cs="Times New Roman"/>
          <w:lang w:val="en-US" w:eastAsia="zh-CN"/>
        </w:rPr>
        <w:t>附表4</w:t>
      </w:r>
      <w:r>
        <w:rPr>
          <w:rFonts w:hint="eastAsia" w:ascii="Times New Roman" w:hAnsi="Times New Roman" w:cs="Times New Roman"/>
          <w:highlight w:val="none"/>
          <w:lang w:val="en-US" w:eastAsia="zh-CN"/>
        </w:rPr>
        <w:t xml:space="preserve"> 评分因素</w:t>
      </w:r>
      <w:r>
        <w:rPr>
          <w:rFonts w:hint="default" w:ascii="Times New Roman" w:hAnsi="Times New Roman" w:cs="Times New Roman"/>
          <w:highlight w:val="none"/>
        </w:rPr>
        <w:t>及标准</w:t>
      </w:r>
      <w:r>
        <w:rPr>
          <w:rFonts w:hint="default" w:ascii="Times New Roman" w:hAnsi="Times New Roman" w:cs="Times New Roman"/>
        </w:rPr>
        <w:t>要求提供的相关评分资料。</w:t>
      </w:r>
    </w:p>
    <w:p w14:paraId="0A829B74">
      <w:pPr>
        <w:adjustRightInd w:val="0"/>
        <w:snapToGrid w:val="0"/>
        <w:ind w:left="0" w:leftChars="0" w:firstLine="0" w:firstLineChars="0"/>
        <w:jc w:val="center"/>
        <w:outlineLvl w:val="1"/>
        <w:rPr>
          <w:rFonts w:hint="default" w:ascii="Times New Roman" w:hAnsi="Times New Roman" w:eastAsia="黑体" w:cs="Times New Roman"/>
          <w:b/>
          <w:sz w:val="28"/>
          <w:szCs w:val="28"/>
        </w:rPr>
      </w:pPr>
      <w:r>
        <w:rPr>
          <w:rFonts w:hint="default" w:ascii="Times New Roman" w:hAnsi="Times New Roman" w:eastAsia="黑体" w:cs="Times New Roman"/>
          <w:sz w:val="28"/>
          <w:szCs w:val="28"/>
        </w:rPr>
        <w:br w:type="page"/>
      </w:r>
      <w:bookmarkStart w:id="359" w:name="_Toc7768"/>
      <w:bookmarkStart w:id="360" w:name="_Toc15658"/>
      <w:bookmarkStart w:id="361" w:name="_Toc8257"/>
      <w:bookmarkStart w:id="362" w:name="_Toc28039"/>
      <w:r>
        <w:rPr>
          <w:rFonts w:hint="default" w:ascii="Times New Roman" w:hAnsi="Times New Roman" w:eastAsia="黑体" w:cs="Times New Roman"/>
          <w:b/>
          <w:bCs w:val="0"/>
          <w:spacing w:val="6"/>
          <w:kern w:val="0"/>
          <w:sz w:val="28"/>
          <w:szCs w:val="28"/>
        </w:rPr>
        <w:t>九、最后报价</w:t>
      </w:r>
      <w:bookmarkEnd w:id="359"/>
      <w:bookmarkEnd w:id="360"/>
      <w:bookmarkEnd w:id="361"/>
      <w:bookmarkEnd w:id="362"/>
    </w:p>
    <w:p w14:paraId="7FCE63A6">
      <w:pPr>
        <w:adjustRightInd w:val="0"/>
        <w:snapToGrid w:val="0"/>
        <w:spacing w:line="360" w:lineRule="auto"/>
        <w:ind w:left="-88" w:leftChars="-42" w:firstLine="527" w:firstLineChars="250"/>
        <w:rPr>
          <w:rFonts w:ascii="宋体" w:hAnsi="宋体" w:cs="宋体"/>
          <w:color w:val="auto"/>
          <w:kern w:val="0"/>
          <w:szCs w:val="21"/>
        </w:rPr>
      </w:pPr>
      <w:r>
        <w:rPr>
          <w:rFonts w:hint="eastAsia" w:ascii="宋体" w:hAnsi="宋体" w:cs="宋体"/>
          <w:b/>
          <w:bCs/>
          <w:color w:val="auto"/>
          <w:kern w:val="0"/>
          <w:szCs w:val="21"/>
          <w:lang w:val="en-US" w:eastAsia="zh-CN"/>
        </w:rPr>
        <w:t>说明</w:t>
      </w:r>
      <w:r>
        <w:rPr>
          <w:rFonts w:hint="eastAsia" w:ascii="宋体" w:hAnsi="宋体" w:cs="宋体"/>
          <w:b/>
          <w:bCs/>
          <w:color w:val="auto"/>
          <w:kern w:val="0"/>
          <w:szCs w:val="21"/>
        </w:rPr>
        <w:t>：最后报价</w:t>
      </w:r>
      <w:r>
        <w:rPr>
          <w:rFonts w:hint="eastAsia" w:ascii="宋体" w:hAnsi="宋体" w:cs="宋体"/>
          <w:b/>
          <w:bCs/>
          <w:color w:val="auto"/>
          <w:kern w:val="0"/>
          <w:szCs w:val="21"/>
          <w:lang w:val="en-US" w:eastAsia="zh-CN"/>
        </w:rPr>
        <w:t>相关内容和</w:t>
      </w:r>
      <w:r>
        <w:rPr>
          <w:rFonts w:hint="eastAsia" w:ascii="宋体" w:hAnsi="宋体" w:cs="宋体"/>
          <w:b/>
          <w:bCs/>
          <w:color w:val="auto"/>
          <w:kern w:val="0"/>
          <w:szCs w:val="21"/>
        </w:rPr>
        <w:t>表格不得装订在响应文件中，供应商需单独准备，</w:t>
      </w:r>
      <w:r>
        <w:rPr>
          <w:rFonts w:hint="eastAsia" w:cs="宋体"/>
          <w:b/>
          <w:bCs/>
          <w:color w:val="auto"/>
          <w:kern w:val="0"/>
          <w:szCs w:val="21"/>
          <w:lang w:val="en-US" w:eastAsia="zh-CN"/>
        </w:rPr>
        <w:t>磋商</w:t>
      </w:r>
      <w:r>
        <w:rPr>
          <w:rFonts w:hint="eastAsia" w:ascii="宋体" w:hAnsi="宋体" w:cs="宋体"/>
          <w:b/>
          <w:bCs/>
          <w:color w:val="auto"/>
          <w:kern w:val="0"/>
          <w:szCs w:val="21"/>
        </w:rPr>
        <w:t>现场进行最后报价</w:t>
      </w:r>
      <w:r>
        <w:rPr>
          <w:rFonts w:hint="eastAsia" w:ascii="宋体" w:hAnsi="宋体" w:cs="宋体"/>
          <w:color w:val="auto"/>
          <w:kern w:val="0"/>
          <w:szCs w:val="21"/>
        </w:rPr>
        <w:t>。</w:t>
      </w:r>
    </w:p>
    <w:p w14:paraId="517C3D23">
      <w:pPr>
        <w:pStyle w:val="43"/>
        <w:rPr>
          <w:rFonts w:hint="default"/>
        </w:rPr>
      </w:pPr>
    </w:p>
    <w:p w14:paraId="22F8FDBC">
      <w:pPr>
        <w:tabs>
          <w:tab w:val="left" w:pos="1680"/>
        </w:tabs>
        <w:adjustRightInd w:val="0"/>
        <w:snapToGrid w:val="0"/>
        <w:spacing w:line="360" w:lineRule="auto"/>
        <w:ind w:left="0" w:leftChars="0" w:firstLine="0" w:firstLineChars="0"/>
        <w:jc w:val="both"/>
        <w:outlineLvl w:val="2"/>
        <w:rPr>
          <w:rFonts w:hint="eastAsia" w:asciiTheme="majorEastAsia" w:hAnsiTheme="majorEastAsia" w:eastAsiaTheme="majorEastAsia" w:cstheme="majorEastAsia"/>
          <w:b/>
          <w:color w:val="auto"/>
          <w:sz w:val="21"/>
          <w:szCs w:val="21"/>
        </w:rPr>
      </w:pPr>
      <w:bookmarkStart w:id="363" w:name="_Toc4545"/>
      <w:bookmarkStart w:id="364" w:name="_Toc2755"/>
      <w:r>
        <w:rPr>
          <w:rFonts w:hint="eastAsia" w:asciiTheme="majorEastAsia" w:hAnsiTheme="majorEastAsia" w:eastAsiaTheme="majorEastAsia" w:cstheme="majorEastAsia"/>
          <w:b/>
          <w:sz w:val="21"/>
          <w:szCs w:val="21"/>
          <w:lang w:val="en-US" w:eastAsia="zh-CN"/>
        </w:rPr>
        <w:t xml:space="preserve">附件6 </w:t>
      </w:r>
      <w:r>
        <w:rPr>
          <w:rFonts w:hint="eastAsia" w:asciiTheme="majorEastAsia" w:hAnsiTheme="majorEastAsia" w:eastAsiaTheme="majorEastAsia" w:cstheme="majorEastAsia"/>
          <w:b/>
          <w:color w:val="auto"/>
          <w:sz w:val="21"/>
          <w:szCs w:val="21"/>
        </w:rPr>
        <w:t>报价表（最后报价）</w:t>
      </w:r>
      <w:bookmarkEnd w:id="363"/>
      <w:bookmarkEnd w:id="364"/>
    </w:p>
    <w:p w14:paraId="0FFEF6D4">
      <w:pPr>
        <w:adjustRightInd w:val="0"/>
        <w:snapToGrid w:val="0"/>
        <w:ind w:firstLine="420"/>
        <w:jc w:val="center"/>
        <w:outlineLvl w:val="9"/>
        <w:rPr>
          <w:rFonts w:hint="default" w:ascii="Times New Roman" w:hAnsi="Times New Roman" w:eastAsia="黑体" w:cs="Times New Roman"/>
          <w:b/>
          <w:bCs w:val="0"/>
          <w:spacing w:val="6"/>
          <w:kern w:val="0"/>
          <w:sz w:val="28"/>
          <w:szCs w:val="28"/>
        </w:rPr>
      </w:pPr>
      <w:r>
        <w:rPr>
          <w:rFonts w:hint="eastAsia" w:ascii="Times New Roman" w:hAnsi="Times New Roman" w:eastAsia="黑体" w:cs="Times New Roman"/>
          <w:b/>
          <w:bCs w:val="0"/>
          <w:spacing w:val="6"/>
          <w:kern w:val="0"/>
          <w:sz w:val="28"/>
          <w:szCs w:val="28"/>
        </w:rPr>
        <w:t>报价表（最后报价）</w:t>
      </w:r>
    </w:p>
    <w:tbl>
      <w:tblPr>
        <w:tblStyle w:val="46"/>
        <w:tblW w:w="8920" w:type="dxa"/>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2346"/>
        <w:gridCol w:w="3154"/>
        <w:gridCol w:w="1602"/>
        <w:gridCol w:w="1818"/>
      </w:tblGrid>
      <w:tr w14:paraId="493DAA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restart"/>
            <w:tcBorders>
              <w:top w:val="double" w:color="auto" w:sz="4" w:space="0"/>
              <w:left w:val="double" w:color="auto" w:sz="4" w:space="0"/>
              <w:bottom w:val="single" w:color="auto" w:sz="4" w:space="0"/>
              <w:right w:val="single" w:color="auto" w:sz="4" w:space="0"/>
            </w:tcBorders>
            <w:noWrap w:val="0"/>
            <w:vAlign w:val="center"/>
          </w:tcPr>
          <w:p w14:paraId="143C4FC0">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项目名称</w:t>
            </w:r>
          </w:p>
        </w:tc>
        <w:tc>
          <w:tcPr>
            <w:tcW w:w="3154" w:type="dxa"/>
            <w:vMerge w:val="restart"/>
            <w:tcBorders>
              <w:top w:val="double" w:color="auto" w:sz="4" w:space="0"/>
              <w:left w:val="single" w:color="auto" w:sz="4" w:space="0"/>
              <w:bottom w:val="single" w:color="auto" w:sz="4" w:space="0"/>
              <w:right w:val="single" w:color="auto" w:sz="4" w:space="0"/>
            </w:tcBorders>
            <w:noWrap w:val="0"/>
            <w:vAlign w:val="center"/>
          </w:tcPr>
          <w:p w14:paraId="7AAECE3B">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c>
          <w:tcPr>
            <w:tcW w:w="1602" w:type="dxa"/>
            <w:tcBorders>
              <w:top w:val="double" w:color="auto" w:sz="4" w:space="0"/>
              <w:left w:val="single" w:color="auto" w:sz="4" w:space="0"/>
              <w:bottom w:val="single" w:color="auto" w:sz="4" w:space="0"/>
              <w:right w:val="single" w:color="auto" w:sz="4" w:space="0"/>
            </w:tcBorders>
            <w:noWrap w:val="0"/>
            <w:vAlign w:val="center"/>
          </w:tcPr>
          <w:p w14:paraId="4E993240">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eastAsia" w:ascii="Times New Roman" w:hAnsi="Times New Roman" w:eastAsia="宋体" w:cs="Times New Roman"/>
                <w:szCs w:val="21"/>
                <w:lang w:eastAsia="zh-CN"/>
              </w:rPr>
            </w:pPr>
            <w:r>
              <w:rPr>
                <w:rFonts w:hint="eastAsia" w:cs="Times New Roman"/>
                <w:szCs w:val="21"/>
                <w:lang w:eastAsia="zh-CN"/>
              </w:rPr>
              <w:t>政府采购计划编号</w:t>
            </w:r>
          </w:p>
        </w:tc>
        <w:tc>
          <w:tcPr>
            <w:tcW w:w="1818" w:type="dxa"/>
            <w:tcBorders>
              <w:top w:val="double" w:color="auto" w:sz="4" w:space="0"/>
              <w:left w:val="single" w:color="auto" w:sz="4" w:space="0"/>
              <w:bottom w:val="single" w:color="auto" w:sz="4" w:space="0"/>
              <w:right w:val="double" w:color="auto" w:sz="4" w:space="0"/>
            </w:tcBorders>
            <w:noWrap w:val="0"/>
            <w:vAlign w:val="center"/>
          </w:tcPr>
          <w:p w14:paraId="6707BDA4">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eastAsia="宋体" w:cs="Times New Roman"/>
                <w:szCs w:val="21"/>
                <w:lang w:val="en-US" w:eastAsia="zh-CN"/>
              </w:rPr>
            </w:pPr>
          </w:p>
        </w:tc>
      </w:tr>
      <w:tr w14:paraId="35D31F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continue"/>
            <w:tcBorders>
              <w:top w:val="single" w:color="auto" w:sz="4" w:space="0"/>
              <w:left w:val="double" w:color="auto" w:sz="4" w:space="0"/>
              <w:bottom w:val="single" w:color="auto" w:sz="4" w:space="0"/>
              <w:right w:val="single" w:color="auto" w:sz="4" w:space="0"/>
            </w:tcBorders>
            <w:noWrap w:val="0"/>
            <w:vAlign w:val="center"/>
          </w:tcPr>
          <w:p w14:paraId="738F2986">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c>
          <w:tcPr>
            <w:tcW w:w="3154" w:type="dxa"/>
            <w:vMerge w:val="continue"/>
            <w:tcBorders>
              <w:top w:val="single" w:color="auto" w:sz="4" w:space="0"/>
              <w:left w:val="single" w:color="auto" w:sz="4" w:space="0"/>
              <w:bottom w:val="single" w:color="auto" w:sz="4" w:space="0"/>
              <w:right w:val="single" w:color="auto" w:sz="4" w:space="0"/>
            </w:tcBorders>
            <w:noWrap w:val="0"/>
            <w:vAlign w:val="center"/>
          </w:tcPr>
          <w:p w14:paraId="51A2E08A">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279604EF">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采购代理编号</w:t>
            </w:r>
          </w:p>
        </w:tc>
        <w:tc>
          <w:tcPr>
            <w:tcW w:w="1818" w:type="dxa"/>
            <w:tcBorders>
              <w:top w:val="single" w:color="auto" w:sz="4" w:space="0"/>
              <w:left w:val="single" w:color="auto" w:sz="4" w:space="0"/>
              <w:bottom w:val="single" w:color="auto" w:sz="4" w:space="0"/>
              <w:right w:val="double" w:color="auto" w:sz="4" w:space="0"/>
            </w:tcBorders>
            <w:noWrap w:val="0"/>
            <w:vAlign w:val="center"/>
          </w:tcPr>
          <w:p w14:paraId="2820A5DE">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r w14:paraId="30920C5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38833740">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品目代码</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381AAA0F">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w:t>
            </w:r>
          </w:p>
        </w:tc>
      </w:tr>
      <w:tr w14:paraId="22C1F1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66"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69E729DF">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工程总报价</w:t>
            </w:r>
          </w:p>
        </w:tc>
        <w:tc>
          <w:tcPr>
            <w:tcW w:w="6574" w:type="dxa"/>
            <w:gridSpan w:val="3"/>
            <w:tcBorders>
              <w:top w:val="single" w:color="auto" w:sz="4" w:space="0"/>
              <w:left w:val="single" w:color="auto" w:sz="4" w:space="0"/>
              <w:bottom w:val="single" w:color="auto" w:sz="4" w:space="0"/>
              <w:right w:val="double" w:color="auto" w:sz="4" w:space="0"/>
            </w:tcBorders>
            <w:noWrap w:val="0"/>
            <w:vAlign w:val="bottom"/>
          </w:tcPr>
          <w:p w14:paraId="3DBBE80F">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textAlignment w:val="auto"/>
              <w:rPr>
                <w:rFonts w:hint="default" w:ascii="Times New Roman" w:hAnsi="Times New Roman" w:cs="Times New Roman"/>
                <w:szCs w:val="21"/>
              </w:rPr>
            </w:pPr>
          </w:p>
          <w:p w14:paraId="0DF7ADCB">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textAlignment w:val="auto"/>
              <w:rPr>
                <w:rFonts w:hint="default" w:ascii="Times New Roman" w:hAnsi="Times New Roman" w:cs="Times New Roman"/>
                <w:szCs w:val="21"/>
              </w:rPr>
            </w:pPr>
            <w:r>
              <w:rPr>
                <w:rFonts w:hint="default" w:ascii="Times New Roman" w:hAnsi="Times New Roman" w:cs="Times New Roman"/>
                <w:szCs w:val="21"/>
              </w:rPr>
              <w:t>大写：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p w14:paraId="27BD6471">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textAlignment w:val="auto"/>
              <w:rPr>
                <w:rFonts w:hint="default" w:ascii="Times New Roman" w:hAnsi="Times New Roman" w:cs="Times New Roman"/>
                <w:szCs w:val="21"/>
              </w:rPr>
            </w:pPr>
            <w:r>
              <w:rPr>
                <w:rFonts w:hint="default" w:ascii="Times New Roman" w:hAnsi="Times New Roman" w:cs="Times New Roman"/>
                <w:szCs w:val="21"/>
              </w:rPr>
              <w:t>小写：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tc>
      </w:tr>
      <w:tr w14:paraId="10BFB9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327EB64C">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工期（日历天）</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25028FDB">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天</w:t>
            </w:r>
          </w:p>
        </w:tc>
      </w:tr>
      <w:tr w14:paraId="00616EB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5203D7C5">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质量等级</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046AA9D5">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r w14:paraId="23C4772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391CC210">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保修承诺</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1D6FA765">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r w14:paraId="72C307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double" w:color="auto" w:sz="4" w:space="0"/>
              <w:right w:val="single" w:color="auto" w:sz="4" w:space="0"/>
            </w:tcBorders>
            <w:noWrap w:val="0"/>
            <w:vAlign w:val="center"/>
          </w:tcPr>
          <w:p w14:paraId="519A32A7">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r>
              <w:rPr>
                <w:rFonts w:hint="default" w:ascii="Times New Roman" w:hAnsi="Times New Roman" w:cs="Times New Roman"/>
                <w:szCs w:val="21"/>
              </w:rPr>
              <w:t>项目负责人</w:t>
            </w:r>
          </w:p>
        </w:tc>
        <w:tc>
          <w:tcPr>
            <w:tcW w:w="6574" w:type="dxa"/>
            <w:gridSpan w:val="3"/>
            <w:tcBorders>
              <w:top w:val="single" w:color="auto" w:sz="4" w:space="0"/>
              <w:left w:val="single" w:color="auto" w:sz="4" w:space="0"/>
              <w:bottom w:val="double" w:color="auto" w:sz="4" w:space="0"/>
              <w:right w:val="double" w:color="auto" w:sz="4" w:space="0"/>
            </w:tcBorders>
            <w:noWrap w:val="0"/>
            <w:vAlign w:val="center"/>
          </w:tcPr>
          <w:p w14:paraId="65624CD9">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default" w:ascii="Times New Roman" w:hAnsi="Times New Roman" w:cs="Times New Roman"/>
                <w:szCs w:val="21"/>
              </w:rPr>
            </w:pPr>
          </w:p>
        </w:tc>
      </w:tr>
    </w:tbl>
    <w:p w14:paraId="0F9D35DE">
      <w:pPr>
        <w:adjustRightInd w:val="0"/>
        <w:snapToGrid w:val="0"/>
        <w:spacing w:before="156" w:beforeLines="50" w:line="360" w:lineRule="auto"/>
        <w:ind w:firstLine="420" w:firstLineChars="200"/>
        <w:rPr>
          <w:rFonts w:ascii="宋体" w:hAnsi="宋体"/>
          <w:color w:val="auto"/>
          <w:szCs w:val="21"/>
        </w:rPr>
      </w:pPr>
    </w:p>
    <w:p w14:paraId="404B445A">
      <w:pPr>
        <w:adjustRightInd w:val="0"/>
        <w:snapToGrid w:val="0"/>
        <w:spacing w:before="156" w:beforeLines="50" w:line="360" w:lineRule="auto"/>
        <w:ind w:firstLine="420" w:firstLineChars="200"/>
        <w:rPr>
          <w:rFonts w:ascii="宋体" w:hAnsi="宋体"/>
          <w:color w:val="auto"/>
          <w:szCs w:val="21"/>
        </w:rPr>
      </w:pPr>
    </w:p>
    <w:p w14:paraId="2DD67951">
      <w:pPr>
        <w:pStyle w:val="26"/>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default" w:ascii="Times New Roman" w:hAnsi="Times New Roman" w:eastAsia="宋体" w:cs="Times New Roman"/>
          <w:bCs/>
          <w:sz w:val="21"/>
          <w:szCs w:val="21"/>
          <w:u w:val="single"/>
          <w:lang w:val="en-US" w:eastAsia="zh-CN"/>
        </w:rPr>
      </w:pPr>
      <w:r>
        <w:rPr>
          <w:rFonts w:hint="default" w:ascii="Times New Roman" w:hAnsi="Times New Roman" w:cs="Times New Roman"/>
          <w:sz w:val="21"/>
          <w:szCs w:val="21"/>
        </w:rPr>
        <w:t>供应商名称（盖单位公章）：</w:t>
      </w:r>
      <w:r>
        <w:rPr>
          <w:rFonts w:hint="eastAsia" w:ascii="Times New Roman" w:hAnsi="Times New Roman" w:cs="Times New Roman"/>
          <w:sz w:val="21"/>
          <w:szCs w:val="21"/>
          <w:u w:val="single"/>
          <w:lang w:val="en-US" w:eastAsia="zh-CN"/>
        </w:rPr>
        <w:t xml:space="preserve">     </w:t>
      </w:r>
    </w:p>
    <w:p w14:paraId="4D5C27BF">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eastAsia" w:ascii="Times New Roman" w:hAnsi="Times New Roman" w:cs="Times New Roman"/>
          <w:szCs w:val="21"/>
          <w:u w:val="single"/>
          <w:lang w:val="en-US" w:eastAsia="zh-CN"/>
        </w:rPr>
      </w:pPr>
      <w:r>
        <w:rPr>
          <w:rFonts w:hint="eastAsia" w:ascii="Times New Roman" w:hAnsi="Times New Roman" w:cs="Times New Roman"/>
          <w:lang w:eastAsia="zh-CN"/>
        </w:rPr>
        <w:t>法定代表人（单位负责人）或其委托代理人（签字或印章）：</w:t>
      </w:r>
      <w:r>
        <w:rPr>
          <w:rFonts w:hint="eastAsia" w:ascii="Times New Roman" w:hAnsi="Times New Roman" w:cs="Times New Roman"/>
          <w:szCs w:val="21"/>
          <w:u w:val="single"/>
          <w:lang w:val="en-US" w:eastAsia="zh-CN"/>
        </w:rPr>
        <w:t xml:space="preserve">    </w:t>
      </w:r>
    </w:p>
    <w:p w14:paraId="25CA71B4">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default" w:ascii="Times New Roman" w:hAnsi="Times New Roman" w:cs="Times New Roman"/>
          <w:szCs w:val="21"/>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7A7D643E">
      <w:pPr>
        <w:adjustRightInd w:val="0"/>
        <w:snapToGrid w:val="0"/>
        <w:spacing w:before="156" w:beforeLines="50" w:line="360" w:lineRule="auto"/>
        <w:ind w:firstLine="420" w:firstLineChars="200"/>
        <w:rPr>
          <w:rFonts w:ascii="宋体" w:hAnsi="宋体"/>
          <w:color w:val="auto"/>
          <w:szCs w:val="21"/>
        </w:rPr>
      </w:pPr>
    </w:p>
    <w:p w14:paraId="400AAAA4">
      <w:pPr>
        <w:adjustRightInd w:val="0"/>
        <w:snapToGrid w:val="0"/>
        <w:spacing w:line="360" w:lineRule="auto"/>
        <w:ind w:left="0" w:leftChars="0" w:firstLine="0" w:firstLineChars="0"/>
        <w:rPr>
          <w:rFonts w:hint="default" w:ascii="宋体" w:hAnsi="宋体"/>
          <w:color w:val="auto"/>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D21D7D8-1A2B-4EC4-B88B-E8573CDCD1E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ECF925C-91EB-47BE-A43B-2166192741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FangSong_GB2312">
    <w:altName w:val="仿宋"/>
    <w:panose1 w:val="02010609030101010101"/>
    <w:charset w:val="86"/>
    <w:family w:val="modern"/>
    <w:pitch w:val="default"/>
    <w:sig w:usb0="00000000" w:usb1="00000000" w:usb2="00000000" w:usb3="00000000" w:csb0="00040000" w:csb1="00000000"/>
    <w:embedRegular r:id="rId3" w:fontKey="{4F508DF9-95E3-4031-BA8D-0A0116CD4632}"/>
  </w:font>
  <w:font w:name="仿宋">
    <w:panose1 w:val="02010609060101010101"/>
    <w:charset w:val="86"/>
    <w:family w:val="auto"/>
    <w:pitch w:val="default"/>
    <w:sig w:usb0="800002BF" w:usb1="38CF7CFA" w:usb2="00000016" w:usb3="00000000" w:csb0="00040001" w:csb1="00000000"/>
    <w:embedRegular r:id="rId4" w:fontKey="{16374A39-03B9-499D-9F61-9C77AAB0908E}"/>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5" w:fontKey="{2A5F8AEC-1070-4E9F-95EF-229758282989}"/>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7FFAEFF" w:usb1="F9DFFFFF" w:usb2="0000007F" w:usb3="00000000" w:csb0="203F01FF" w:csb1="DFFF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embedRegular r:id="rId6" w:fontKey="{12B5419C-93FF-4DF2-8E50-623974C35B4A}"/>
  </w:font>
  <w:font w:name="Wingdings 2">
    <w:panose1 w:val="05020102010507070707"/>
    <w:charset w:val="00"/>
    <w:family w:val="auto"/>
    <w:pitch w:val="default"/>
    <w:sig w:usb0="00000000" w:usb1="00000000" w:usb2="00000000" w:usb3="00000000" w:csb0="80000000" w:csb1="00000000"/>
    <w:embedRegular r:id="rId7" w:fontKey="{34464E00-14BF-4458-AC89-D6E0B79207E4}"/>
  </w:font>
  <w:font w:name="WPSEMBED1">
    <w:panose1 w:val="05020102010507070707"/>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BC82D">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79B2">
    <w:pPr>
      <w:pStyle w:val="2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60604">
                          <w:pPr>
                            <w:pStyle w:val="2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AA60604">
                    <w:pPr>
                      <w:pStyle w:val="2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F1620">
    <w:pPr>
      <w:pStyle w:val="2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88343">
                          <w:pPr>
                            <w:pStyle w:val="2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E488343">
                    <w:pPr>
                      <w:pStyle w:val="2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05956">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B9688">
    <w:pPr>
      <w:pStyle w:val="30"/>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75933">
    <w:pPr>
      <w:pStyle w:val="24"/>
      <w:rPr>
        <w:rFonts w:ascii="FangSong_GB2312" w:eastAsia="FangSong_GB2312"/>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EB39E"/>
    <w:multiLevelType w:val="singleLevel"/>
    <w:tmpl w:val="973EB39E"/>
    <w:lvl w:ilvl="0" w:tentative="0">
      <w:start w:val="9"/>
      <w:numFmt w:val="decimal"/>
      <w:lvlText w:val="%1."/>
      <w:lvlJc w:val="left"/>
      <w:pPr>
        <w:tabs>
          <w:tab w:val="left" w:pos="312"/>
        </w:tabs>
      </w:pPr>
    </w:lvl>
  </w:abstractNum>
  <w:abstractNum w:abstractNumId="1">
    <w:nsid w:val="502CD74A"/>
    <w:multiLevelType w:val="singleLevel"/>
    <w:tmpl w:val="502CD74A"/>
    <w:lvl w:ilvl="0" w:tentative="0">
      <w:start w:val="3"/>
      <w:numFmt w:val="chineseCounting"/>
      <w:suff w:val="space"/>
      <w:lvlText w:val="第%1节"/>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06"/>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NjE2YWNlYzEwNjYwMGJmMDk2N2I4ZDI4MzRlMTMifQ=="/>
  </w:docVars>
  <w:rsids>
    <w:rsidRoot w:val="00496D5A"/>
    <w:rsid w:val="000156E2"/>
    <w:rsid w:val="00022302"/>
    <w:rsid w:val="000240B9"/>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629E6"/>
    <w:rsid w:val="000640EC"/>
    <w:rsid w:val="000641A5"/>
    <w:rsid w:val="00074700"/>
    <w:rsid w:val="000749E3"/>
    <w:rsid w:val="00076988"/>
    <w:rsid w:val="000818D8"/>
    <w:rsid w:val="00081FA6"/>
    <w:rsid w:val="00086A97"/>
    <w:rsid w:val="000952E7"/>
    <w:rsid w:val="000A25F2"/>
    <w:rsid w:val="000A2941"/>
    <w:rsid w:val="000A3E58"/>
    <w:rsid w:val="000A604E"/>
    <w:rsid w:val="000A7150"/>
    <w:rsid w:val="000B422C"/>
    <w:rsid w:val="000B6963"/>
    <w:rsid w:val="000C2B71"/>
    <w:rsid w:val="000C3661"/>
    <w:rsid w:val="000C5109"/>
    <w:rsid w:val="000C5BDA"/>
    <w:rsid w:val="000D4C09"/>
    <w:rsid w:val="000E1E33"/>
    <w:rsid w:val="000E4167"/>
    <w:rsid w:val="000E430C"/>
    <w:rsid w:val="000F23B9"/>
    <w:rsid w:val="000F6CDC"/>
    <w:rsid w:val="00100878"/>
    <w:rsid w:val="00105DDE"/>
    <w:rsid w:val="00106CB3"/>
    <w:rsid w:val="00107232"/>
    <w:rsid w:val="0011494C"/>
    <w:rsid w:val="001256EF"/>
    <w:rsid w:val="00127819"/>
    <w:rsid w:val="00131074"/>
    <w:rsid w:val="001324C6"/>
    <w:rsid w:val="0013430F"/>
    <w:rsid w:val="001344E3"/>
    <w:rsid w:val="001361CA"/>
    <w:rsid w:val="001364C1"/>
    <w:rsid w:val="00137DF6"/>
    <w:rsid w:val="001416D5"/>
    <w:rsid w:val="00142746"/>
    <w:rsid w:val="0014700D"/>
    <w:rsid w:val="00147E27"/>
    <w:rsid w:val="00154ED0"/>
    <w:rsid w:val="00157E73"/>
    <w:rsid w:val="00160437"/>
    <w:rsid w:val="001652A3"/>
    <w:rsid w:val="00167D4D"/>
    <w:rsid w:val="00167E36"/>
    <w:rsid w:val="0017108F"/>
    <w:rsid w:val="00172007"/>
    <w:rsid w:val="00172683"/>
    <w:rsid w:val="00172AC1"/>
    <w:rsid w:val="00174093"/>
    <w:rsid w:val="00174AD2"/>
    <w:rsid w:val="0017639C"/>
    <w:rsid w:val="00176706"/>
    <w:rsid w:val="001849D2"/>
    <w:rsid w:val="0018787D"/>
    <w:rsid w:val="00190F87"/>
    <w:rsid w:val="00194E27"/>
    <w:rsid w:val="00197DB3"/>
    <w:rsid w:val="001A0051"/>
    <w:rsid w:val="001A27C7"/>
    <w:rsid w:val="001A6190"/>
    <w:rsid w:val="001A6A2C"/>
    <w:rsid w:val="001B229F"/>
    <w:rsid w:val="001B50BA"/>
    <w:rsid w:val="001B56C9"/>
    <w:rsid w:val="001B6E2A"/>
    <w:rsid w:val="001B7F3D"/>
    <w:rsid w:val="001C1815"/>
    <w:rsid w:val="001C30E6"/>
    <w:rsid w:val="001C598A"/>
    <w:rsid w:val="001C6863"/>
    <w:rsid w:val="001C7DB0"/>
    <w:rsid w:val="001C7EEC"/>
    <w:rsid w:val="001D1504"/>
    <w:rsid w:val="001D23F4"/>
    <w:rsid w:val="001D6192"/>
    <w:rsid w:val="001E0AF2"/>
    <w:rsid w:val="001F0E77"/>
    <w:rsid w:val="001F2E45"/>
    <w:rsid w:val="001F3061"/>
    <w:rsid w:val="00200EA4"/>
    <w:rsid w:val="0020200C"/>
    <w:rsid w:val="002037B4"/>
    <w:rsid w:val="002037DB"/>
    <w:rsid w:val="00205190"/>
    <w:rsid w:val="002068F3"/>
    <w:rsid w:val="00206968"/>
    <w:rsid w:val="00206FCE"/>
    <w:rsid w:val="00207162"/>
    <w:rsid w:val="00211C0E"/>
    <w:rsid w:val="002131F5"/>
    <w:rsid w:val="0021675C"/>
    <w:rsid w:val="00220F7C"/>
    <w:rsid w:val="0022181C"/>
    <w:rsid w:val="002223E0"/>
    <w:rsid w:val="00223AAF"/>
    <w:rsid w:val="00226977"/>
    <w:rsid w:val="002270C6"/>
    <w:rsid w:val="00227CB6"/>
    <w:rsid w:val="0023455F"/>
    <w:rsid w:val="00234E98"/>
    <w:rsid w:val="002355BB"/>
    <w:rsid w:val="00237E61"/>
    <w:rsid w:val="00242EFF"/>
    <w:rsid w:val="00243709"/>
    <w:rsid w:val="002444AB"/>
    <w:rsid w:val="00245A92"/>
    <w:rsid w:val="002502DD"/>
    <w:rsid w:val="00260F02"/>
    <w:rsid w:val="00266E91"/>
    <w:rsid w:val="00271164"/>
    <w:rsid w:val="00281493"/>
    <w:rsid w:val="00282EDF"/>
    <w:rsid w:val="00285665"/>
    <w:rsid w:val="002859F6"/>
    <w:rsid w:val="00285C9D"/>
    <w:rsid w:val="0029027F"/>
    <w:rsid w:val="00290F35"/>
    <w:rsid w:val="00291946"/>
    <w:rsid w:val="00291C33"/>
    <w:rsid w:val="002930B4"/>
    <w:rsid w:val="002942E2"/>
    <w:rsid w:val="00295E49"/>
    <w:rsid w:val="002A03CB"/>
    <w:rsid w:val="002A41F5"/>
    <w:rsid w:val="002A6ED0"/>
    <w:rsid w:val="002B4521"/>
    <w:rsid w:val="002B469E"/>
    <w:rsid w:val="002B5F66"/>
    <w:rsid w:val="002B7325"/>
    <w:rsid w:val="002B7BD5"/>
    <w:rsid w:val="002C79BB"/>
    <w:rsid w:val="002D54FC"/>
    <w:rsid w:val="002E04A9"/>
    <w:rsid w:val="002E2AB7"/>
    <w:rsid w:val="002E2BB7"/>
    <w:rsid w:val="002E356B"/>
    <w:rsid w:val="002E6042"/>
    <w:rsid w:val="002F0EFC"/>
    <w:rsid w:val="002F42D5"/>
    <w:rsid w:val="00301B5A"/>
    <w:rsid w:val="003072D6"/>
    <w:rsid w:val="00311078"/>
    <w:rsid w:val="003136E5"/>
    <w:rsid w:val="00313BC8"/>
    <w:rsid w:val="0031417B"/>
    <w:rsid w:val="00316527"/>
    <w:rsid w:val="00317CD3"/>
    <w:rsid w:val="00321C75"/>
    <w:rsid w:val="003303DC"/>
    <w:rsid w:val="00331A2E"/>
    <w:rsid w:val="00332937"/>
    <w:rsid w:val="003333D7"/>
    <w:rsid w:val="00333943"/>
    <w:rsid w:val="00336155"/>
    <w:rsid w:val="00340105"/>
    <w:rsid w:val="003412D4"/>
    <w:rsid w:val="00342089"/>
    <w:rsid w:val="0034572F"/>
    <w:rsid w:val="003469E4"/>
    <w:rsid w:val="0035131B"/>
    <w:rsid w:val="0035295E"/>
    <w:rsid w:val="0035331E"/>
    <w:rsid w:val="00357B2A"/>
    <w:rsid w:val="003610D2"/>
    <w:rsid w:val="0037058A"/>
    <w:rsid w:val="0037162D"/>
    <w:rsid w:val="003723D3"/>
    <w:rsid w:val="00372BD6"/>
    <w:rsid w:val="00374E53"/>
    <w:rsid w:val="00376191"/>
    <w:rsid w:val="00381EE7"/>
    <w:rsid w:val="00382374"/>
    <w:rsid w:val="003914B4"/>
    <w:rsid w:val="00391A73"/>
    <w:rsid w:val="003948FD"/>
    <w:rsid w:val="00395A22"/>
    <w:rsid w:val="003A6117"/>
    <w:rsid w:val="003B0AFE"/>
    <w:rsid w:val="003B1744"/>
    <w:rsid w:val="003B4B9C"/>
    <w:rsid w:val="003B5E4B"/>
    <w:rsid w:val="003B6A76"/>
    <w:rsid w:val="003B780B"/>
    <w:rsid w:val="003C3A5C"/>
    <w:rsid w:val="003C3EAB"/>
    <w:rsid w:val="003C448B"/>
    <w:rsid w:val="003C454A"/>
    <w:rsid w:val="003C57EF"/>
    <w:rsid w:val="003C6100"/>
    <w:rsid w:val="003C7959"/>
    <w:rsid w:val="003C7B08"/>
    <w:rsid w:val="003D1521"/>
    <w:rsid w:val="003E18E1"/>
    <w:rsid w:val="003E1EFA"/>
    <w:rsid w:val="003E62E2"/>
    <w:rsid w:val="003E7B33"/>
    <w:rsid w:val="003F472F"/>
    <w:rsid w:val="003F4843"/>
    <w:rsid w:val="003F4E1C"/>
    <w:rsid w:val="003F6A20"/>
    <w:rsid w:val="003F7BE0"/>
    <w:rsid w:val="003F7D02"/>
    <w:rsid w:val="00410033"/>
    <w:rsid w:val="0041158C"/>
    <w:rsid w:val="004117F0"/>
    <w:rsid w:val="00411C9F"/>
    <w:rsid w:val="004149E4"/>
    <w:rsid w:val="00427DBC"/>
    <w:rsid w:val="00430191"/>
    <w:rsid w:val="0043107F"/>
    <w:rsid w:val="00431725"/>
    <w:rsid w:val="00432850"/>
    <w:rsid w:val="004409B2"/>
    <w:rsid w:val="00440D7E"/>
    <w:rsid w:val="00441209"/>
    <w:rsid w:val="0044199B"/>
    <w:rsid w:val="00460C83"/>
    <w:rsid w:val="00465ED5"/>
    <w:rsid w:val="00476DA5"/>
    <w:rsid w:val="00477642"/>
    <w:rsid w:val="004808F3"/>
    <w:rsid w:val="004836CC"/>
    <w:rsid w:val="00483C76"/>
    <w:rsid w:val="00483D0A"/>
    <w:rsid w:val="00485D13"/>
    <w:rsid w:val="00485D3C"/>
    <w:rsid w:val="00486663"/>
    <w:rsid w:val="0048677F"/>
    <w:rsid w:val="004934D5"/>
    <w:rsid w:val="004937F7"/>
    <w:rsid w:val="00494277"/>
    <w:rsid w:val="0049529F"/>
    <w:rsid w:val="00496D5A"/>
    <w:rsid w:val="004A0502"/>
    <w:rsid w:val="004A5608"/>
    <w:rsid w:val="004A7B3D"/>
    <w:rsid w:val="004B299A"/>
    <w:rsid w:val="004B7380"/>
    <w:rsid w:val="004C3F73"/>
    <w:rsid w:val="004D1DC5"/>
    <w:rsid w:val="004E0863"/>
    <w:rsid w:val="004E26FE"/>
    <w:rsid w:val="004E581E"/>
    <w:rsid w:val="004E735E"/>
    <w:rsid w:val="004F46DF"/>
    <w:rsid w:val="004F5E12"/>
    <w:rsid w:val="00504192"/>
    <w:rsid w:val="00504385"/>
    <w:rsid w:val="00507DC4"/>
    <w:rsid w:val="00510199"/>
    <w:rsid w:val="0051402F"/>
    <w:rsid w:val="00515059"/>
    <w:rsid w:val="005218A6"/>
    <w:rsid w:val="00522A24"/>
    <w:rsid w:val="0052705B"/>
    <w:rsid w:val="00530025"/>
    <w:rsid w:val="005325DA"/>
    <w:rsid w:val="005327B1"/>
    <w:rsid w:val="00540AA0"/>
    <w:rsid w:val="005426AC"/>
    <w:rsid w:val="00542ECB"/>
    <w:rsid w:val="00546417"/>
    <w:rsid w:val="00550DB2"/>
    <w:rsid w:val="00553640"/>
    <w:rsid w:val="00554044"/>
    <w:rsid w:val="00554C89"/>
    <w:rsid w:val="0056199A"/>
    <w:rsid w:val="00561B44"/>
    <w:rsid w:val="00563F1D"/>
    <w:rsid w:val="00566DDF"/>
    <w:rsid w:val="005718EB"/>
    <w:rsid w:val="00571AB3"/>
    <w:rsid w:val="00574D73"/>
    <w:rsid w:val="00575C2F"/>
    <w:rsid w:val="00575F19"/>
    <w:rsid w:val="00576E30"/>
    <w:rsid w:val="005770DF"/>
    <w:rsid w:val="005822D7"/>
    <w:rsid w:val="00582329"/>
    <w:rsid w:val="00583097"/>
    <w:rsid w:val="00586507"/>
    <w:rsid w:val="00596362"/>
    <w:rsid w:val="00596918"/>
    <w:rsid w:val="005A10FE"/>
    <w:rsid w:val="005A22A2"/>
    <w:rsid w:val="005A2A0F"/>
    <w:rsid w:val="005A3897"/>
    <w:rsid w:val="005B1A4E"/>
    <w:rsid w:val="005B38E7"/>
    <w:rsid w:val="005B6E25"/>
    <w:rsid w:val="005C02DC"/>
    <w:rsid w:val="005C23A1"/>
    <w:rsid w:val="005D3F38"/>
    <w:rsid w:val="005D7ECA"/>
    <w:rsid w:val="005E4458"/>
    <w:rsid w:val="005F1351"/>
    <w:rsid w:val="005F23F3"/>
    <w:rsid w:val="005F5268"/>
    <w:rsid w:val="005F5575"/>
    <w:rsid w:val="005F6857"/>
    <w:rsid w:val="00601F43"/>
    <w:rsid w:val="006032E0"/>
    <w:rsid w:val="00604017"/>
    <w:rsid w:val="00605A59"/>
    <w:rsid w:val="00612E59"/>
    <w:rsid w:val="0061371E"/>
    <w:rsid w:val="00615D25"/>
    <w:rsid w:val="00616D05"/>
    <w:rsid w:val="00621D98"/>
    <w:rsid w:val="00621E4F"/>
    <w:rsid w:val="00622F0C"/>
    <w:rsid w:val="006246A7"/>
    <w:rsid w:val="0063170F"/>
    <w:rsid w:val="006328FF"/>
    <w:rsid w:val="00633421"/>
    <w:rsid w:val="00635DFA"/>
    <w:rsid w:val="006365A2"/>
    <w:rsid w:val="0063686A"/>
    <w:rsid w:val="00636A24"/>
    <w:rsid w:val="0064250B"/>
    <w:rsid w:val="00650AFD"/>
    <w:rsid w:val="0065196E"/>
    <w:rsid w:val="006525B1"/>
    <w:rsid w:val="00654F84"/>
    <w:rsid w:val="00654FCD"/>
    <w:rsid w:val="006564CF"/>
    <w:rsid w:val="00657A60"/>
    <w:rsid w:val="00657D26"/>
    <w:rsid w:val="00660C14"/>
    <w:rsid w:val="006627D5"/>
    <w:rsid w:val="006650B1"/>
    <w:rsid w:val="00672F09"/>
    <w:rsid w:val="00673AC8"/>
    <w:rsid w:val="00674A68"/>
    <w:rsid w:val="006751BE"/>
    <w:rsid w:val="00677930"/>
    <w:rsid w:val="006804D3"/>
    <w:rsid w:val="00682494"/>
    <w:rsid w:val="00682EB1"/>
    <w:rsid w:val="00682FA0"/>
    <w:rsid w:val="00687880"/>
    <w:rsid w:val="00687C90"/>
    <w:rsid w:val="00692D3C"/>
    <w:rsid w:val="006931C3"/>
    <w:rsid w:val="00693615"/>
    <w:rsid w:val="00693CB4"/>
    <w:rsid w:val="00695533"/>
    <w:rsid w:val="006956F6"/>
    <w:rsid w:val="006A095E"/>
    <w:rsid w:val="006A1FCD"/>
    <w:rsid w:val="006A2A23"/>
    <w:rsid w:val="006A4B81"/>
    <w:rsid w:val="006B0A67"/>
    <w:rsid w:val="006B1413"/>
    <w:rsid w:val="006B1E81"/>
    <w:rsid w:val="006C1E31"/>
    <w:rsid w:val="006C5BCC"/>
    <w:rsid w:val="006C6DB0"/>
    <w:rsid w:val="006D1534"/>
    <w:rsid w:val="006D2B6F"/>
    <w:rsid w:val="006D7616"/>
    <w:rsid w:val="006D7E6E"/>
    <w:rsid w:val="006E5CF1"/>
    <w:rsid w:val="006E6E9D"/>
    <w:rsid w:val="006F1452"/>
    <w:rsid w:val="006F6654"/>
    <w:rsid w:val="006F7F14"/>
    <w:rsid w:val="00705812"/>
    <w:rsid w:val="00710D5A"/>
    <w:rsid w:val="0071222D"/>
    <w:rsid w:val="007145A9"/>
    <w:rsid w:val="007145DE"/>
    <w:rsid w:val="00715886"/>
    <w:rsid w:val="00721C4F"/>
    <w:rsid w:val="0072365F"/>
    <w:rsid w:val="00725169"/>
    <w:rsid w:val="00725B82"/>
    <w:rsid w:val="00725F9F"/>
    <w:rsid w:val="00733079"/>
    <w:rsid w:val="00733841"/>
    <w:rsid w:val="007352B2"/>
    <w:rsid w:val="007410F1"/>
    <w:rsid w:val="00741768"/>
    <w:rsid w:val="0074301E"/>
    <w:rsid w:val="00745F3E"/>
    <w:rsid w:val="0075074F"/>
    <w:rsid w:val="00752992"/>
    <w:rsid w:val="00754BFA"/>
    <w:rsid w:val="00754D46"/>
    <w:rsid w:val="007576C6"/>
    <w:rsid w:val="00762A46"/>
    <w:rsid w:val="007637D7"/>
    <w:rsid w:val="00763F0D"/>
    <w:rsid w:val="00767A67"/>
    <w:rsid w:val="0077024A"/>
    <w:rsid w:val="007706BA"/>
    <w:rsid w:val="007708C1"/>
    <w:rsid w:val="00771233"/>
    <w:rsid w:val="007749B5"/>
    <w:rsid w:val="00776B96"/>
    <w:rsid w:val="0078006E"/>
    <w:rsid w:val="007856CC"/>
    <w:rsid w:val="00786EE8"/>
    <w:rsid w:val="00786F67"/>
    <w:rsid w:val="0078768E"/>
    <w:rsid w:val="00793F05"/>
    <w:rsid w:val="007940D5"/>
    <w:rsid w:val="00794207"/>
    <w:rsid w:val="00795612"/>
    <w:rsid w:val="007970D6"/>
    <w:rsid w:val="0079791B"/>
    <w:rsid w:val="007A2780"/>
    <w:rsid w:val="007A49E7"/>
    <w:rsid w:val="007A6607"/>
    <w:rsid w:val="007A780F"/>
    <w:rsid w:val="007B0AD1"/>
    <w:rsid w:val="007B0B37"/>
    <w:rsid w:val="007C01D7"/>
    <w:rsid w:val="007C0604"/>
    <w:rsid w:val="007C0A90"/>
    <w:rsid w:val="007C29EF"/>
    <w:rsid w:val="007C5020"/>
    <w:rsid w:val="007C504D"/>
    <w:rsid w:val="007D6AEC"/>
    <w:rsid w:val="007E25E2"/>
    <w:rsid w:val="007E397C"/>
    <w:rsid w:val="007E5C36"/>
    <w:rsid w:val="007E6442"/>
    <w:rsid w:val="007E72DD"/>
    <w:rsid w:val="007F3167"/>
    <w:rsid w:val="007F34A8"/>
    <w:rsid w:val="007F769F"/>
    <w:rsid w:val="00800C3F"/>
    <w:rsid w:val="00801BA0"/>
    <w:rsid w:val="00803C70"/>
    <w:rsid w:val="00805DF3"/>
    <w:rsid w:val="00805FC3"/>
    <w:rsid w:val="00807CE3"/>
    <w:rsid w:val="008109A2"/>
    <w:rsid w:val="00817C22"/>
    <w:rsid w:val="00820B50"/>
    <w:rsid w:val="008262E8"/>
    <w:rsid w:val="0083151A"/>
    <w:rsid w:val="00833F9F"/>
    <w:rsid w:val="008358F5"/>
    <w:rsid w:val="008424A4"/>
    <w:rsid w:val="00842ACB"/>
    <w:rsid w:val="0084421C"/>
    <w:rsid w:val="00845C9E"/>
    <w:rsid w:val="008572CB"/>
    <w:rsid w:val="00861C90"/>
    <w:rsid w:val="00862398"/>
    <w:rsid w:val="008631CD"/>
    <w:rsid w:val="008632AC"/>
    <w:rsid w:val="00866962"/>
    <w:rsid w:val="008708E7"/>
    <w:rsid w:val="00870E11"/>
    <w:rsid w:val="008717C0"/>
    <w:rsid w:val="00880173"/>
    <w:rsid w:val="008827A6"/>
    <w:rsid w:val="008842E6"/>
    <w:rsid w:val="00893F57"/>
    <w:rsid w:val="00894431"/>
    <w:rsid w:val="00895459"/>
    <w:rsid w:val="00897135"/>
    <w:rsid w:val="008A393D"/>
    <w:rsid w:val="008A4DF5"/>
    <w:rsid w:val="008A638A"/>
    <w:rsid w:val="008A7CC6"/>
    <w:rsid w:val="008B3AFA"/>
    <w:rsid w:val="008B6DC9"/>
    <w:rsid w:val="008C53E1"/>
    <w:rsid w:val="008C594B"/>
    <w:rsid w:val="008D0766"/>
    <w:rsid w:val="008D37A6"/>
    <w:rsid w:val="008D6372"/>
    <w:rsid w:val="008E0FD8"/>
    <w:rsid w:val="008E4EE3"/>
    <w:rsid w:val="008F07F0"/>
    <w:rsid w:val="008F0AD3"/>
    <w:rsid w:val="008F4153"/>
    <w:rsid w:val="008F588B"/>
    <w:rsid w:val="00900000"/>
    <w:rsid w:val="009022CB"/>
    <w:rsid w:val="00902444"/>
    <w:rsid w:val="00905608"/>
    <w:rsid w:val="00907F19"/>
    <w:rsid w:val="009115DA"/>
    <w:rsid w:val="00914B0C"/>
    <w:rsid w:val="00914CDC"/>
    <w:rsid w:val="009214D1"/>
    <w:rsid w:val="00927AE0"/>
    <w:rsid w:val="009324A1"/>
    <w:rsid w:val="00934080"/>
    <w:rsid w:val="00934EC2"/>
    <w:rsid w:val="00935D10"/>
    <w:rsid w:val="009446CE"/>
    <w:rsid w:val="00945FD8"/>
    <w:rsid w:val="009523FD"/>
    <w:rsid w:val="009532D2"/>
    <w:rsid w:val="0095494C"/>
    <w:rsid w:val="00955E56"/>
    <w:rsid w:val="009562F0"/>
    <w:rsid w:val="00956526"/>
    <w:rsid w:val="00956A8A"/>
    <w:rsid w:val="0095726E"/>
    <w:rsid w:val="00957320"/>
    <w:rsid w:val="00965B6A"/>
    <w:rsid w:val="00967FB4"/>
    <w:rsid w:val="00971556"/>
    <w:rsid w:val="00976258"/>
    <w:rsid w:val="00980F91"/>
    <w:rsid w:val="00981256"/>
    <w:rsid w:val="00984576"/>
    <w:rsid w:val="00984D12"/>
    <w:rsid w:val="009864CB"/>
    <w:rsid w:val="009874F9"/>
    <w:rsid w:val="00991273"/>
    <w:rsid w:val="009914BD"/>
    <w:rsid w:val="0099340D"/>
    <w:rsid w:val="009A13B3"/>
    <w:rsid w:val="009A13E7"/>
    <w:rsid w:val="009A5828"/>
    <w:rsid w:val="009A5857"/>
    <w:rsid w:val="009A590C"/>
    <w:rsid w:val="009A5BF8"/>
    <w:rsid w:val="009A751B"/>
    <w:rsid w:val="009B1053"/>
    <w:rsid w:val="009B1107"/>
    <w:rsid w:val="009B129A"/>
    <w:rsid w:val="009B4D48"/>
    <w:rsid w:val="009B630B"/>
    <w:rsid w:val="009B7D14"/>
    <w:rsid w:val="009C0915"/>
    <w:rsid w:val="009C1C6C"/>
    <w:rsid w:val="009C2C09"/>
    <w:rsid w:val="009C337D"/>
    <w:rsid w:val="009C50E0"/>
    <w:rsid w:val="009C6E82"/>
    <w:rsid w:val="009D2117"/>
    <w:rsid w:val="009D24B2"/>
    <w:rsid w:val="009D3302"/>
    <w:rsid w:val="009D52D1"/>
    <w:rsid w:val="009D5A8E"/>
    <w:rsid w:val="009E51AA"/>
    <w:rsid w:val="009E7630"/>
    <w:rsid w:val="009F2A1B"/>
    <w:rsid w:val="009F2B85"/>
    <w:rsid w:val="009F3049"/>
    <w:rsid w:val="009F588C"/>
    <w:rsid w:val="009F6488"/>
    <w:rsid w:val="009F64B9"/>
    <w:rsid w:val="00A026F0"/>
    <w:rsid w:val="00A04145"/>
    <w:rsid w:val="00A125C0"/>
    <w:rsid w:val="00A135C2"/>
    <w:rsid w:val="00A16084"/>
    <w:rsid w:val="00A16BE5"/>
    <w:rsid w:val="00A17285"/>
    <w:rsid w:val="00A23A01"/>
    <w:rsid w:val="00A27EAB"/>
    <w:rsid w:val="00A316DA"/>
    <w:rsid w:val="00A332E1"/>
    <w:rsid w:val="00A375C1"/>
    <w:rsid w:val="00A40014"/>
    <w:rsid w:val="00A40CB1"/>
    <w:rsid w:val="00A42E55"/>
    <w:rsid w:val="00A44026"/>
    <w:rsid w:val="00A4677E"/>
    <w:rsid w:val="00A47F15"/>
    <w:rsid w:val="00A55375"/>
    <w:rsid w:val="00A62BE8"/>
    <w:rsid w:val="00A64DD9"/>
    <w:rsid w:val="00A65CC0"/>
    <w:rsid w:val="00A73333"/>
    <w:rsid w:val="00A74A2F"/>
    <w:rsid w:val="00A81FC6"/>
    <w:rsid w:val="00A84EB2"/>
    <w:rsid w:val="00A91454"/>
    <w:rsid w:val="00A952D4"/>
    <w:rsid w:val="00A97BF2"/>
    <w:rsid w:val="00A97EE9"/>
    <w:rsid w:val="00AA1061"/>
    <w:rsid w:val="00AA232A"/>
    <w:rsid w:val="00AA3B30"/>
    <w:rsid w:val="00AA5262"/>
    <w:rsid w:val="00AA5990"/>
    <w:rsid w:val="00AA5C6A"/>
    <w:rsid w:val="00AB10B3"/>
    <w:rsid w:val="00AB22F3"/>
    <w:rsid w:val="00AB2C4F"/>
    <w:rsid w:val="00AB3800"/>
    <w:rsid w:val="00AB5B42"/>
    <w:rsid w:val="00AB6907"/>
    <w:rsid w:val="00AB7D38"/>
    <w:rsid w:val="00AC06D6"/>
    <w:rsid w:val="00AC3E7C"/>
    <w:rsid w:val="00AC542B"/>
    <w:rsid w:val="00AC56AC"/>
    <w:rsid w:val="00AC70FF"/>
    <w:rsid w:val="00AC7D43"/>
    <w:rsid w:val="00AC7D59"/>
    <w:rsid w:val="00AD0E2F"/>
    <w:rsid w:val="00AE1C63"/>
    <w:rsid w:val="00AE4E5E"/>
    <w:rsid w:val="00AE77E6"/>
    <w:rsid w:val="00AE7FA6"/>
    <w:rsid w:val="00AF0FF0"/>
    <w:rsid w:val="00AF1518"/>
    <w:rsid w:val="00AF19A1"/>
    <w:rsid w:val="00AF24AE"/>
    <w:rsid w:val="00AF4888"/>
    <w:rsid w:val="00B10E7A"/>
    <w:rsid w:val="00B11E3E"/>
    <w:rsid w:val="00B15ACE"/>
    <w:rsid w:val="00B17CED"/>
    <w:rsid w:val="00B210CD"/>
    <w:rsid w:val="00B248F8"/>
    <w:rsid w:val="00B2494E"/>
    <w:rsid w:val="00B2517F"/>
    <w:rsid w:val="00B26B9C"/>
    <w:rsid w:val="00B273FE"/>
    <w:rsid w:val="00B3052D"/>
    <w:rsid w:val="00B308C9"/>
    <w:rsid w:val="00B30C84"/>
    <w:rsid w:val="00B3336F"/>
    <w:rsid w:val="00B34456"/>
    <w:rsid w:val="00B35724"/>
    <w:rsid w:val="00B369DC"/>
    <w:rsid w:val="00B40087"/>
    <w:rsid w:val="00B428A4"/>
    <w:rsid w:val="00B55645"/>
    <w:rsid w:val="00B57BDF"/>
    <w:rsid w:val="00B63832"/>
    <w:rsid w:val="00B66CC1"/>
    <w:rsid w:val="00B728A0"/>
    <w:rsid w:val="00B812C2"/>
    <w:rsid w:val="00B81660"/>
    <w:rsid w:val="00B82290"/>
    <w:rsid w:val="00B83F92"/>
    <w:rsid w:val="00B841F8"/>
    <w:rsid w:val="00B850DE"/>
    <w:rsid w:val="00B93134"/>
    <w:rsid w:val="00B94CA9"/>
    <w:rsid w:val="00BA0304"/>
    <w:rsid w:val="00BA1D6B"/>
    <w:rsid w:val="00BA221A"/>
    <w:rsid w:val="00BA2C52"/>
    <w:rsid w:val="00BA4F58"/>
    <w:rsid w:val="00BA5499"/>
    <w:rsid w:val="00BB1202"/>
    <w:rsid w:val="00BB3D55"/>
    <w:rsid w:val="00BB403C"/>
    <w:rsid w:val="00BB4140"/>
    <w:rsid w:val="00BB4701"/>
    <w:rsid w:val="00BB75B7"/>
    <w:rsid w:val="00BC0183"/>
    <w:rsid w:val="00BC21EC"/>
    <w:rsid w:val="00BC33E0"/>
    <w:rsid w:val="00BC55C8"/>
    <w:rsid w:val="00BC55F7"/>
    <w:rsid w:val="00BC6FB5"/>
    <w:rsid w:val="00BD22C9"/>
    <w:rsid w:val="00BD4483"/>
    <w:rsid w:val="00BD4AA2"/>
    <w:rsid w:val="00BD4E66"/>
    <w:rsid w:val="00BD5625"/>
    <w:rsid w:val="00BD6233"/>
    <w:rsid w:val="00BD79AE"/>
    <w:rsid w:val="00BE01C4"/>
    <w:rsid w:val="00BE2D5E"/>
    <w:rsid w:val="00BE3D6A"/>
    <w:rsid w:val="00BE6F2A"/>
    <w:rsid w:val="00BE7979"/>
    <w:rsid w:val="00BF2EA9"/>
    <w:rsid w:val="00BF3B2D"/>
    <w:rsid w:val="00BF463D"/>
    <w:rsid w:val="00BF69A1"/>
    <w:rsid w:val="00C0044D"/>
    <w:rsid w:val="00C060F5"/>
    <w:rsid w:val="00C1377A"/>
    <w:rsid w:val="00C13B20"/>
    <w:rsid w:val="00C15122"/>
    <w:rsid w:val="00C21AFB"/>
    <w:rsid w:val="00C23032"/>
    <w:rsid w:val="00C2392D"/>
    <w:rsid w:val="00C25F04"/>
    <w:rsid w:val="00C260B7"/>
    <w:rsid w:val="00C33117"/>
    <w:rsid w:val="00C373CF"/>
    <w:rsid w:val="00C41F91"/>
    <w:rsid w:val="00C42477"/>
    <w:rsid w:val="00C44A49"/>
    <w:rsid w:val="00C468AF"/>
    <w:rsid w:val="00C522DF"/>
    <w:rsid w:val="00C5342B"/>
    <w:rsid w:val="00C53721"/>
    <w:rsid w:val="00C56C51"/>
    <w:rsid w:val="00C57C3C"/>
    <w:rsid w:val="00C60CEB"/>
    <w:rsid w:val="00C61250"/>
    <w:rsid w:val="00C62431"/>
    <w:rsid w:val="00C636D6"/>
    <w:rsid w:val="00C65B62"/>
    <w:rsid w:val="00C712A7"/>
    <w:rsid w:val="00C7679B"/>
    <w:rsid w:val="00C778B3"/>
    <w:rsid w:val="00C81ABB"/>
    <w:rsid w:val="00C83481"/>
    <w:rsid w:val="00C852BE"/>
    <w:rsid w:val="00C92ECE"/>
    <w:rsid w:val="00CA084D"/>
    <w:rsid w:val="00CA1109"/>
    <w:rsid w:val="00CA41FC"/>
    <w:rsid w:val="00CA455D"/>
    <w:rsid w:val="00CA46B8"/>
    <w:rsid w:val="00CB46B9"/>
    <w:rsid w:val="00CC03CB"/>
    <w:rsid w:val="00CC248F"/>
    <w:rsid w:val="00CC315C"/>
    <w:rsid w:val="00CC3BE6"/>
    <w:rsid w:val="00CC4D47"/>
    <w:rsid w:val="00CD0E59"/>
    <w:rsid w:val="00CE14C1"/>
    <w:rsid w:val="00CE7E88"/>
    <w:rsid w:val="00CF349B"/>
    <w:rsid w:val="00CF3704"/>
    <w:rsid w:val="00CF6AD7"/>
    <w:rsid w:val="00D013F6"/>
    <w:rsid w:val="00D01C2F"/>
    <w:rsid w:val="00D05F96"/>
    <w:rsid w:val="00D06BB5"/>
    <w:rsid w:val="00D13454"/>
    <w:rsid w:val="00D16841"/>
    <w:rsid w:val="00D16B05"/>
    <w:rsid w:val="00D208D1"/>
    <w:rsid w:val="00D20F37"/>
    <w:rsid w:val="00D2381F"/>
    <w:rsid w:val="00D23CD8"/>
    <w:rsid w:val="00D24208"/>
    <w:rsid w:val="00D25042"/>
    <w:rsid w:val="00D34318"/>
    <w:rsid w:val="00D352E7"/>
    <w:rsid w:val="00D363F3"/>
    <w:rsid w:val="00D37F48"/>
    <w:rsid w:val="00D4038E"/>
    <w:rsid w:val="00D41A53"/>
    <w:rsid w:val="00D42453"/>
    <w:rsid w:val="00D46B61"/>
    <w:rsid w:val="00D47185"/>
    <w:rsid w:val="00D501B5"/>
    <w:rsid w:val="00D57AE7"/>
    <w:rsid w:val="00D64D31"/>
    <w:rsid w:val="00D65F4C"/>
    <w:rsid w:val="00D660DE"/>
    <w:rsid w:val="00D67805"/>
    <w:rsid w:val="00D72DDF"/>
    <w:rsid w:val="00D734A0"/>
    <w:rsid w:val="00D739BE"/>
    <w:rsid w:val="00D8155D"/>
    <w:rsid w:val="00D81E99"/>
    <w:rsid w:val="00D87130"/>
    <w:rsid w:val="00D90BFB"/>
    <w:rsid w:val="00D90CEE"/>
    <w:rsid w:val="00D91DF3"/>
    <w:rsid w:val="00D97374"/>
    <w:rsid w:val="00D97FB8"/>
    <w:rsid w:val="00DA00DE"/>
    <w:rsid w:val="00DA3822"/>
    <w:rsid w:val="00DA5406"/>
    <w:rsid w:val="00DA5ED4"/>
    <w:rsid w:val="00DB4FC9"/>
    <w:rsid w:val="00DB591E"/>
    <w:rsid w:val="00DC1B7E"/>
    <w:rsid w:val="00DC35CA"/>
    <w:rsid w:val="00DC3616"/>
    <w:rsid w:val="00DC3754"/>
    <w:rsid w:val="00DC4295"/>
    <w:rsid w:val="00DC448F"/>
    <w:rsid w:val="00DC5D3F"/>
    <w:rsid w:val="00DC612D"/>
    <w:rsid w:val="00DD07D9"/>
    <w:rsid w:val="00DD2ACC"/>
    <w:rsid w:val="00DD2D55"/>
    <w:rsid w:val="00DD2D71"/>
    <w:rsid w:val="00DD534A"/>
    <w:rsid w:val="00DD71E2"/>
    <w:rsid w:val="00DD7982"/>
    <w:rsid w:val="00DE180A"/>
    <w:rsid w:val="00DE2A57"/>
    <w:rsid w:val="00DE3DE8"/>
    <w:rsid w:val="00DE70C9"/>
    <w:rsid w:val="00DF1A93"/>
    <w:rsid w:val="00DF5EEE"/>
    <w:rsid w:val="00DF6442"/>
    <w:rsid w:val="00E01D63"/>
    <w:rsid w:val="00E05E12"/>
    <w:rsid w:val="00E11B41"/>
    <w:rsid w:val="00E15F46"/>
    <w:rsid w:val="00E237A4"/>
    <w:rsid w:val="00E2441B"/>
    <w:rsid w:val="00E25A4D"/>
    <w:rsid w:val="00E266D6"/>
    <w:rsid w:val="00E2722A"/>
    <w:rsid w:val="00E30E6B"/>
    <w:rsid w:val="00E33411"/>
    <w:rsid w:val="00E3428B"/>
    <w:rsid w:val="00E37A52"/>
    <w:rsid w:val="00E407B4"/>
    <w:rsid w:val="00E40880"/>
    <w:rsid w:val="00E408B8"/>
    <w:rsid w:val="00E429CE"/>
    <w:rsid w:val="00E433B8"/>
    <w:rsid w:val="00E4489A"/>
    <w:rsid w:val="00E4608F"/>
    <w:rsid w:val="00E46FE9"/>
    <w:rsid w:val="00E50550"/>
    <w:rsid w:val="00E60E3D"/>
    <w:rsid w:val="00E6289C"/>
    <w:rsid w:val="00E6314B"/>
    <w:rsid w:val="00E71D13"/>
    <w:rsid w:val="00E75528"/>
    <w:rsid w:val="00E80736"/>
    <w:rsid w:val="00E871D1"/>
    <w:rsid w:val="00E8777E"/>
    <w:rsid w:val="00E91F92"/>
    <w:rsid w:val="00E9215C"/>
    <w:rsid w:val="00E95E80"/>
    <w:rsid w:val="00E965C5"/>
    <w:rsid w:val="00EA02F3"/>
    <w:rsid w:val="00EA3A50"/>
    <w:rsid w:val="00EA5BB4"/>
    <w:rsid w:val="00EA5F90"/>
    <w:rsid w:val="00EA7928"/>
    <w:rsid w:val="00EB441B"/>
    <w:rsid w:val="00EB6998"/>
    <w:rsid w:val="00EB6A3C"/>
    <w:rsid w:val="00EC358A"/>
    <w:rsid w:val="00EC3DD9"/>
    <w:rsid w:val="00EC73E2"/>
    <w:rsid w:val="00ED0EAD"/>
    <w:rsid w:val="00ED0F8F"/>
    <w:rsid w:val="00ED3E23"/>
    <w:rsid w:val="00EE0379"/>
    <w:rsid w:val="00EE04A0"/>
    <w:rsid w:val="00EE1CAC"/>
    <w:rsid w:val="00EE48CF"/>
    <w:rsid w:val="00EE5FF0"/>
    <w:rsid w:val="00EE6864"/>
    <w:rsid w:val="00EE692B"/>
    <w:rsid w:val="00EE796F"/>
    <w:rsid w:val="00EF0DCF"/>
    <w:rsid w:val="00EF16E9"/>
    <w:rsid w:val="00EF3179"/>
    <w:rsid w:val="00EF6B61"/>
    <w:rsid w:val="00F008A6"/>
    <w:rsid w:val="00F056B0"/>
    <w:rsid w:val="00F06375"/>
    <w:rsid w:val="00F07586"/>
    <w:rsid w:val="00F076A2"/>
    <w:rsid w:val="00F11A54"/>
    <w:rsid w:val="00F12723"/>
    <w:rsid w:val="00F13587"/>
    <w:rsid w:val="00F146A1"/>
    <w:rsid w:val="00F156A1"/>
    <w:rsid w:val="00F2096E"/>
    <w:rsid w:val="00F20AF0"/>
    <w:rsid w:val="00F22952"/>
    <w:rsid w:val="00F22CF7"/>
    <w:rsid w:val="00F24C96"/>
    <w:rsid w:val="00F25602"/>
    <w:rsid w:val="00F27C91"/>
    <w:rsid w:val="00F32D01"/>
    <w:rsid w:val="00F40707"/>
    <w:rsid w:val="00F4072F"/>
    <w:rsid w:val="00F40F33"/>
    <w:rsid w:val="00F4215A"/>
    <w:rsid w:val="00F4629B"/>
    <w:rsid w:val="00F463BD"/>
    <w:rsid w:val="00F52B9E"/>
    <w:rsid w:val="00F52E4A"/>
    <w:rsid w:val="00F57737"/>
    <w:rsid w:val="00F57B52"/>
    <w:rsid w:val="00F60ADE"/>
    <w:rsid w:val="00F620DD"/>
    <w:rsid w:val="00F70AAC"/>
    <w:rsid w:val="00F71C06"/>
    <w:rsid w:val="00F724DF"/>
    <w:rsid w:val="00F730D1"/>
    <w:rsid w:val="00F735A7"/>
    <w:rsid w:val="00F75F80"/>
    <w:rsid w:val="00F855E0"/>
    <w:rsid w:val="00F85688"/>
    <w:rsid w:val="00F857EE"/>
    <w:rsid w:val="00F901DE"/>
    <w:rsid w:val="00F902AA"/>
    <w:rsid w:val="00F90AEF"/>
    <w:rsid w:val="00F942F9"/>
    <w:rsid w:val="00F94D3D"/>
    <w:rsid w:val="00FA10A5"/>
    <w:rsid w:val="00FA1877"/>
    <w:rsid w:val="00FA3041"/>
    <w:rsid w:val="00FA58BB"/>
    <w:rsid w:val="00FB31BF"/>
    <w:rsid w:val="00FB3A4E"/>
    <w:rsid w:val="00FB747D"/>
    <w:rsid w:val="00FB76EB"/>
    <w:rsid w:val="00FB7B9F"/>
    <w:rsid w:val="00FC1685"/>
    <w:rsid w:val="00FC1687"/>
    <w:rsid w:val="00FC6B39"/>
    <w:rsid w:val="00FD019B"/>
    <w:rsid w:val="00FD04F4"/>
    <w:rsid w:val="00FD397D"/>
    <w:rsid w:val="00FD7EB6"/>
    <w:rsid w:val="00FE05AD"/>
    <w:rsid w:val="00FE0768"/>
    <w:rsid w:val="00FE1CF8"/>
    <w:rsid w:val="00FE2A2C"/>
    <w:rsid w:val="00FE397A"/>
    <w:rsid w:val="00FE7F23"/>
    <w:rsid w:val="00FF56B6"/>
    <w:rsid w:val="010401AD"/>
    <w:rsid w:val="010F0633"/>
    <w:rsid w:val="011473B7"/>
    <w:rsid w:val="014C1209"/>
    <w:rsid w:val="014F6463"/>
    <w:rsid w:val="015233E3"/>
    <w:rsid w:val="01527EDF"/>
    <w:rsid w:val="017F6E14"/>
    <w:rsid w:val="018900B6"/>
    <w:rsid w:val="01890C57"/>
    <w:rsid w:val="018E5AC3"/>
    <w:rsid w:val="019C2363"/>
    <w:rsid w:val="019D63A6"/>
    <w:rsid w:val="019E0F71"/>
    <w:rsid w:val="01B1500F"/>
    <w:rsid w:val="01CC70CA"/>
    <w:rsid w:val="01D35E86"/>
    <w:rsid w:val="01D717A4"/>
    <w:rsid w:val="01EA46C0"/>
    <w:rsid w:val="01ED2BF3"/>
    <w:rsid w:val="01EF2A95"/>
    <w:rsid w:val="01F071B3"/>
    <w:rsid w:val="01F20EFE"/>
    <w:rsid w:val="01F419B5"/>
    <w:rsid w:val="01FE3B56"/>
    <w:rsid w:val="01FE5971"/>
    <w:rsid w:val="021A27AB"/>
    <w:rsid w:val="0224362A"/>
    <w:rsid w:val="022A4F79"/>
    <w:rsid w:val="0230542C"/>
    <w:rsid w:val="02342468"/>
    <w:rsid w:val="023575E5"/>
    <w:rsid w:val="023F4471"/>
    <w:rsid w:val="024041AC"/>
    <w:rsid w:val="02465780"/>
    <w:rsid w:val="024A7761"/>
    <w:rsid w:val="02581365"/>
    <w:rsid w:val="0287199B"/>
    <w:rsid w:val="028A629F"/>
    <w:rsid w:val="02A300C1"/>
    <w:rsid w:val="02AD1871"/>
    <w:rsid w:val="02B726F0"/>
    <w:rsid w:val="02B80216"/>
    <w:rsid w:val="02D50C22"/>
    <w:rsid w:val="02D84EFD"/>
    <w:rsid w:val="02EB05EB"/>
    <w:rsid w:val="02EF0D6F"/>
    <w:rsid w:val="02F96864"/>
    <w:rsid w:val="02FB020F"/>
    <w:rsid w:val="030376E3"/>
    <w:rsid w:val="030B4515"/>
    <w:rsid w:val="030F6088"/>
    <w:rsid w:val="03186DE9"/>
    <w:rsid w:val="031A220C"/>
    <w:rsid w:val="03241BE1"/>
    <w:rsid w:val="03247CE2"/>
    <w:rsid w:val="0325578C"/>
    <w:rsid w:val="033B6E7D"/>
    <w:rsid w:val="034026E5"/>
    <w:rsid w:val="034F0B7A"/>
    <w:rsid w:val="035237F7"/>
    <w:rsid w:val="035E700F"/>
    <w:rsid w:val="036363D4"/>
    <w:rsid w:val="0364342E"/>
    <w:rsid w:val="03656CD8"/>
    <w:rsid w:val="036D4EAF"/>
    <w:rsid w:val="037E6C09"/>
    <w:rsid w:val="038A7BB5"/>
    <w:rsid w:val="03991DF6"/>
    <w:rsid w:val="03A10CAA"/>
    <w:rsid w:val="03AA620B"/>
    <w:rsid w:val="03B2599D"/>
    <w:rsid w:val="03C52BEB"/>
    <w:rsid w:val="03D33559"/>
    <w:rsid w:val="03E77005"/>
    <w:rsid w:val="03EB5B65"/>
    <w:rsid w:val="03F82248"/>
    <w:rsid w:val="040175AF"/>
    <w:rsid w:val="04066036"/>
    <w:rsid w:val="04272627"/>
    <w:rsid w:val="042953BC"/>
    <w:rsid w:val="04343B88"/>
    <w:rsid w:val="0447557C"/>
    <w:rsid w:val="04594533"/>
    <w:rsid w:val="0461636B"/>
    <w:rsid w:val="04754153"/>
    <w:rsid w:val="048900BC"/>
    <w:rsid w:val="04910D1F"/>
    <w:rsid w:val="04A35730"/>
    <w:rsid w:val="04A4119D"/>
    <w:rsid w:val="04A870D3"/>
    <w:rsid w:val="04AB1DE0"/>
    <w:rsid w:val="04D7215E"/>
    <w:rsid w:val="04EE7063"/>
    <w:rsid w:val="04F274B7"/>
    <w:rsid w:val="04FA291F"/>
    <w:rsid w:val="05015EA4"/>
    <w:rsid w:val="05047743"/>
    <w:rsid w:val="0516573A"/>
    <w:rsid w:val="052051DB"/>
    <w:rsid w:val="05243BBE"/>
    <w:rsid w:val="052A5965"/>
    <w:rsid w:val="052D4EEB"/>
    <w:rsid w:val="053F1946"/>
    <w:rsid w:val="054D10EA"/>
    <w:rsid w:val="0552412D"/>
    <w:rsid w:val="055542DB"/>
    <w:rsid w:val="055A1A85"/>
    <w:rsid w:val="05600A22"/>
    <w:rsid w:val="05662D56"/>
    <w:rsid w:val="056C4B45"/>
    <w:rsid w:val="0572181A"/>
    <w:rsid w:val="057523EE"/>
    <w:rsid w:val="0591547A"/>
    <w:rsid w:val="05972365"/>
    <w:rsid w:val="059C42D4"/>
    <w:rsid w:val="05B945AD"/>
    <w:rsid w:val="05BE041F"/>
    <w:rsid w:val="05C07B0D"/>
    <w:rsid w:val="05C81FAD"/>
    <w:rsid w:val="05C96278"/>
    <w:rsid w:val="05CD3FD8"/>
    <w:rsid w:val="05D61032"/>
    <w:rsid w:val="05D77B36"/>
    <w:rsid w:val="05EB4AAB"/>
    <w:rsid w:val="060567E0"/>
    <w:rsid w:val="06090798"/>
    <w:rsid w:val="06161D2A"/>
    <w:rsid w:val="06190FCC"/>
    <w:rsid w:val="062639CE"/>
    <w:rsid w:val="06273DDA"/>
    <w:rsid w:val="062C51A3"/>
    <w:rsid w:val="0639341C"/>
    <w:rsid w:val="0644429B"/>
    <w:rsid w:val="064A73D7"/>
    <w:rsid w:val="064C543A"/>
    <w:rsid w:val="064E5119"/>
    <w:rsid w:val="064F2CD7"/>
    <w:rsid w:val="067E3047"/>
    <w:rsid w:val="068648B3"/>
    <w:rsid w:val="068A4E6D"/>
    <w:rsid w:val="068D1614"/>
    <w:rsid w:val="06963406"/>
    <w:rsid w:val="06C64076"/>
    <w:rsid w:val="06DB57B4"/>
    <w:rsid w:val="06DC457E"/>
    <w:rsid w:val="06E15F8D"/>
    <w:rsid w:val="06F37A6F"/>
    <w:rsid w:val="06F43891"/>
    <w:rsid w:val="06FF4665"/>
    <w:rsid w:val="07024943"/>
    <w:rsid w:val="070E192C"/>
    <w:rsid w:val="07237076"/>
    <w:rsid w:val="07322345"/>
    <w:rsid w:val="0750482F"/>
    <w:rsid w:val="075524D7"/>
    <w:rsid w:val="07585B24"/>
    <w:rsid w:val="07671EB0"/>
    <w:rsid w:val="076B0225"/>
    <w:rsid w:val="076B3AA9"/>
    <w:rsid w:val="076F17EB"/>
    <w:rsid w:val="07812A3C"/>
    <w:rsid w:val="07822BCF"/>
    <w:rsid w:val="078E1545"/>
    <w:rsid w:val="078F726A"/>
    <w:rsid w:val="07901C95"/>
    <w:rsid w:val="079E5C2C"/>
    <w:rsid w:val="07A01BFC"/>
    <w:rsid w:val="07A23BA4"/>
    <w:rsid w:val="07A611D5"/>
    <w:rsid w:val="07AF1DEE"/>
    <w:rsid w:val="07BA6793"/>
    <w:rsid w:val="07C51ACA"/>
    <w:rsid w:val="07C90157"/>
    <w:rsid w:val="07E07A3F"/>
    <w:rsid w:val="07EE17CE"/>
    <w:rsid w:val="07F129BC"/>
    <w:rsid w:val="080C5B86"/>
    <w:rsid w:val="08187EB9"/>
    <w:rsid w:val="08202AE5"/>
    <w:rsid w:val="08242AC3"/>
    <w:rsid w:val="08252440"/>
    <w:rsid w:val="083C5603"/>
    <w:rsid w:val="08510EF1"/>
    <w:rsid w:val="08512218"/>
    <w:rsid w:val="08575270"/>
    <w:rsid w:val="08597DA5"/>
    <w:rsid w:val="087A5BA5"/>
    <w:rsid w:val="08870603"/>
    <w:rsid w:val="0895137D"/>
    <w:rsid w:val="08977F0F"/>
    <w:rsid w:val="08991AD4"/>
    <w:rsid w:val="089F0C9C"/>
    <w:rsid w:val="08A13E3F"/>
    <w:rsid w:val="08A1787D"/>
    <w:rsid w:val="08BB21F2"/>
    <w:rsid w:val="08C06411"/>
    <w:rsid w:val="08C61576"/>
    <w:rsid w:val="08D15660"/>
    <w:rsid w:val="08D35DAA"/>
    <w:rsid w:val="08DA2F82"/>
    <w:rsid w:val="08E04023"/>
    <w:rsid w:val="08EB110F"/>
    <w:rsid w:val="08EB3A63"/>
    <w:rsid w:val="09033605"/>
    <w:rsid w:val="0904791A"/>
    <w:rsid w:val="091B371D"/>
    <w:rsid w:val="092646F2"/>
    <w:rsid w:val="092B63E5"/>
    <w:rsid w:val="09320D22"/>
    <w:rsid w:val="094C3466"/>
    <w:rsid w:val="096362CA"/>
    <w:rsid w:val="09641DC0"/>
    <w:rsid w:val="097D1708"/>
    <w:rsid w:val="097F55EA"/>
    <w:rsid w:val="099217C1"/>
    <w:rsid w:val="0992716B"/>
    <w:rsid w:val="099472E7"/>
    <w:rsid w:val="09960859"/>
    <w:rsid w:val="09C15C02"/>
    <w:rsid w:val="09C76C6F"/>
    <w:rsid w:val="09CA0F5B"/>
    <w:rsid w:val="09E322B9"/>
    <w:rsid w:val="09F92AB7"/>
    <w:rsid w:val="09FE6E56"/>
    <w:rsid w:val="0A0323C9"/>
    <w:rsid w:val="0A043E81"/>
    <w:rsid w:val="0A1515E5"/>
    <w:rsid w:val="0A1A18F5"/>
    <w:rsid w:val="0A222BA8"/>
    <w:rsid w:val="0A4C120D"/>
    <w:rsid w:val="0A4D75C8"/>
    <w:rsid w:val="0A595E3B"/>
    <w:rsid w:val="0A64315D"/>
    <w:rsid w:val="0A656E85"/>
    <w:rsid w:val="0A6A5922"/>
    <w:rsid w:val="0A777CC7"/>
    <w:rsid w:val="0A7E5203"/>
    <w:rsid w:val="0A946017"/>
    <w:rsid w:val="0A9A6B7F"/>
    <w:rsid w:val="0AB508C2"/>
    <w:rsid w:val="0ABB4D47"/>
    <w:rsid w:val="0AC97464"/>
    <w:rsid w:val="0ACA6D38"/>
    <w:rsid w:val="0ACB5574"/>
    <w:rsid w:val="0AD5691D"/>
    <w:rsid w:val="0AE37DDF"/>
    <w:rsid w:val="0AE47DFA"/>
    <w:rsid w:val="0AF509FF"/>
    <w:rsid w:val="0AFF19D8"/>
    <w:rsid w:val="0AFF2C5A"/>
    <w:rsid w:val="0B022592"/>
    <w:rsid w:val="0B022976"/>
    <w:rsid w:val="0B0B21F5"/>
    <w:rsid w:val="0B222FBA"/>
    <w:rsid w:val="0B266665"/>
    <w:rsid w:val="0B3115BB"/>
    <w:rsid w:val="0B40681A"/>
    <w:rsid w:val="0B425A17"/>
    <w:rsid w:val="0B462071"/>
    <w:rsid w:val="0B610D74"/>
    <w:rsid w:val="0B643DFD"/>
    <w:rsid w:val="0B6B2B57"/>
    <w:rsid w:val="0B8D66E4"/>
    <w:rsid w:val="0B9510F4"/>
    <w:rsid w:val="0B9C2483"/>
    <w:rsid w:val="0B9D7F39"/>
    <w:rsid w:val="0BBC2B25"/>
    <w:rsid w:val="0BC04770"/>
    <w:rsid w:val="0BC05C8C"/>
    <w:rsid w:val="0BC706AB"/>
    <w:rsid w:val="0BCA581B"/>
    <w:rsid w:val="0BCE6E97"/>
    <w:rsid w:val="0BF422BF"/>
    <w:rsid w:val="0C026A20"/>
    <w:rsid w:val="0C063DA0"/>
    <w:rsid w:val="0C087606"/>
    <w:rsid w:val="0C1722D9"/>
    <w:rsid w:val="0C32639D"/>
    <w:rsid w:val="0C3703FE"/>
    <w:rsid w:val="0C476893"/>
    <w:rsid w:val="0C481BD2"/>
    <w:rsid w:val="0C5122EC"/>
    <w:rsid w:val="0C5B535B"/>
    <w:rsid w:val="0C5E3BDC"/>
    <w:rsid w:val="0C600706"/>
    <w:rsid w:val="0C776A4C"/>
    <w:rsid w:val="0C7B02EA"/>
    <w:rsid w:val="0C823159"/>
    <w:rsid w:val="0C877CDB"/>
    <w:rsid w:val="0C8925FB"/>
    <w:rsid w:val="0C992E66"/>
    <w:rsid w:val="0C9E045E"/>
    <w:rsid w:val="0CA330E4"/>
    <w:rsid w:val="0CA645A3"/>
    <w:rsid w:val="0CAA3D28"/>
    <w:rsid w:val="0CB63F57"/>
    <w:rsid w:val="0CBB6090"/>
    <w:rsid w:val="0CBD4084"/>
    <w:rsid w:val="0CC00650"/>
    <w:rsid w:val="0CC02DAC"/>
    <w:rsid w:val="0CC52908"/>
    <w:rsid w:val="0CD143AE"/>
    <w:rsid w:val="0CE20AD8"/>
    <w:rsid w:val="0CEA2C99"/>
    <w:rsid w:val="0CEF2A86"/>
    <w:rsid w:val="0CF479F7"/>
    <w:rsid w:val="0CF72B0B"/>
    <w:rsid w:val="0D051CD8"/>
    <w:rsid w:val="0D0B144E"/>
    <w:rsid w:val="0D1A3FA7"/>
    <w:rsid w:val="0D1D10F7"/>
    <w:rsid w:val="0D3504E0"/>
    <w:rsid w:val="0D441024"/>
    <w:rsid w:val="0D4F355A"/>
    <w:rsid w:val="0D5432F6"/>
    <w:rsid w:val="0D55543E"/>
    <w:rsid w:val="0D5A5719"/>
    <w:rsid w:val="0D6D3FB4"/>
    <w:rsid w:val="0D703BC7"/>
    <w:rsid w:val="0D841421"/>
    <w:rsid w:val="0D8D1680"/>
    <w:rsid w:val="0D925D63"/>
    <w:rsid w:val="0DA1250E"/>
    <w:rsid w:val="0DAF0B93"/>
    <w:rsid w:val="0DBA0C95"/>
    <w:rsid w:val="0DD106FB"/>
    <w:rsid w:val="0DD37B6E"/>
    <w:rsid w:val="0DDD6D83"/>
    <w:rsid w:val="0DE325EB"/>
    <w:rsid w:val="0DE36DA0"/>
    <w:rsid w:val="0DE51D01"/>
    <w:rsid w:val="0DEC0DC7"/>
    <w:rsid w:val="0DF60E64"/>
    <w:rsid w:val="0DFF7C81"/>
    <w:rsid w:val="0E1108FE"/>
    <w:rsid w:val="0E2826F4"/>
    <w:rsid w:val="0E3C7F4D"/>
    <w:rsid w:val="0E4A0AB5"/>
    <w:rsid w:val="0E4A4E9B"/>
    <w:rsid w:val="0E53558B"/>
    <w:rsid w:val="0E567031"/>
    <w:rsid w:val="0E583F26"/>
    <w:rsid w:val="0E611762"/>
    <w:rsid w:val="0E614DB7"/>
    <w:rsid w:val="0E7D2A40"/>
    <w:rsid w:val="0E800B3E"/>
    <w:rsid w:val="0E87566C"/>
    <w:rsid w:val="0E8D2557"/>
    <w:rsid w:val="0E8E16E6"/>
    <w:rsid w:val="0E8F472D"/>
    <w:rsid w:val="0E9438E5"/>
    <w:rsid w:val="0E950BFC"/>
    <w:rsid w:val="0E9A2E45"/>
    <w:rsid w:val="0E9E29B6"/>
    <w:rsid w:val="0EA61E1C"/>
    <w:rsid w:val="0EB320F5"/>
    <w:rsid w:val="0EB65F51"/>
    <w:rsid w:val="0EBB3568"/>
    <w:rsid w:val="0EC86F86"/>
    <w:rsid w:val="0ECC5CD4"/>
    <w:rsid w:val="0ED43E7F"/>
    <w:rsid w:val="0EDE70F7"/>
    <w:rsid w:val="0EF425D6"/>
    <w:rsid w:val="0EFD148A"/>
    <w:rsid w:val="0F0274E4"/>
    <w:rsid w:val="0F087E2F"/>
    <w:rsid w:val="0F1B7B63"/>
    <w:rsid w:val="0F3A0931"/>
    <w:rsid w:val="0F4A2811"/>
    <w:rsid w:val="0F4A2A50"/>
    <w:rsid w:val="0F511DB3"/>
    <w:rsid w:val="0F655F88"/>
    <w:rsid w:val="0F670FFA"/>
    <w:rsid w:val="0F6834C1"/>
    <w:rsid w:val="0F706100"/>
    <w:rsid w:val="0F7F617C"/>
    <w:rsid w:val="0F8145C3"/>
    <w:rsid w:val="0F88759C"/>
    <w:rsid w:val="0F8D597D"/>
    <w:rsid w:val="0F9242C9"/>
    <w:rsid w:val="0F9266FB"/>
    <w:rsid w:val="0F977B31"/>
    <w:rsid w:val="0FA13C51"/>
    <w:rsid w:val="0FA97864"/>
    <w:rsid w:val="0FBE2B5A"/>
    <w:rsid w:val="0FCC498E"/>
    <w:rsid w:val="0FCD1B41"/>
    <w:rsid w:val="0FD17A37"/>
    <w:rsid w:val="0FE15F8B"/>
    <w:rsid w:val="0FE43B1D"/>
    <w:rsid w:val="0FF036ED"/>
    <w:rsid w:val="100B64F2"/>
    <w:rsid w:val="10190546"/>
    <w:rsid w:val="101D4F1D"/>
    <w:rsid w:val="102325D8"/>
    <w:rsid w:val="10245A43"/>
    <w:rsid w:val="102745C3"/>
    <w:rsid w:val="102858E0"/>
    <w:rsid w:val="103154BD"/>
    <w:rsid w:val="10346044"/>
    <w:rsid w:val="10502938"/>
    <w:rsid w:val="1051053E"/>
    <w:rsid w:val="105C3161"/>
    <w:rsid w:val="10772B6A"/>
    <w:rsid w:val="10790550"/>
    <w:rsid w:val="108B4E92"/>
    <w:rsid w:val="108F25B6"/>
    <w:rsid w:val="10A06571"/>
    <w:rsid w:val="10B4026F"/>
    <w:rsid w:val="10BD493A"/>
    <w:rsid w:val="10C04F40"/>
    <w:rsid w:val="10C20BDE"/>
    <w:rsid w:val="10C25C28"/>
    <w:rsid w:val="10CD432E"/>
    <w:rsid w:val="10D269B3"/>
    <w:rsid w:val="10D97ED1"/>
    <w:rsid w:val="10DB1C9F"/>
    <w:rsid w:val="10DC6EE1"/>
    <w:rsid w:val="10EA0134"/>
    <w:rsid w:val="10EC7A09"/>
    <w:rsid w:val="11021A8D"/>
    <w:rsid w:val="110D5062"/>
    <w:rsid w:val="11160F29"/>
    <w:rsid w:val="111A3040"/>
    <w:rsid w:val="111E4175"/>
    <w:rsid w:val="11295A20"/>
    <w:rsid w:val="1134138F"/>
    <w:rsid w:val="113628ED"/>
    <w:rsid w:val="113875FC"/>
    <w:rsid w:val="113F396A"/>
    <w:rsid w:val="114333A1"/>
    <w:rsid w:val="11452B1A"/>
    <w:rsid w:val="115E4E0F"/>
    <w:rsid w:val="117C2C8C"/>
    <w:rsid w:val="11814C5B"/>
    <w:rsid w:val="118F2F35"/>
    <w:rsid w:val="1190161C"/>
    <w:rsid w:val="119D4909"/>
    <w:rsid w:val="11A3745A"/>
    <w:rsid w:val="11C233F6"/>
    <w:rsid w:val="11DB2E96"/>
    <w:rsid w:val="11ED1C8A"/>
    <w:rsid w:val="11F72B09"/>
    <w:rsid w:val="11FC2994"/>
    <w:rsid w:val="12042B30"/>
    <w:rsid w:val="12064AFA"/>
    <w:rsid w:val="121F68AB"/>
    <w:rsid w:val="122659EB"/>
    <w:rsid w:val="122B27B2"/>
    <w:rsid w:val="123E5BC4"/>
    <w:rsid w:val="124E66A8"/>
    <w:rsid w:val="12536C7B"/>
    <w:rsid w:val="1255654E"/>
    <w:rsid w:val="125924FA"/>
    <w:rsid w:val="125A02B1"/>
    <w:rsid w:val="125B32E6"/>
    <w:rsid w:val="126857B5"/>
    <w:rsid w:val="127F2E11"/>
    <w:rsid w:val="1288647B"/>
    <w:rsid w:val="12930F4F"/>
    <w:rsid w:val="12957C2C"/>
    <w:rsid w:val="129B6365"/>
    <w:rsid w:val="129C6773"/>
    <w:rsid w:val="129E32AD"/>
    <w:rsid w:val="129E61F5"/>
    <w:rsid w:val="12AB48F3"/>
    <w:rsid w:val="12B66520"/>
    <w:rsid w:val="12BE5E09"/>
    <w:rsid w:val="12C10FFD"/>
    <w:rsid w:val="12CE578F"/>
    <w:rsid w:val="12D740AF"/>
    <w:rsid w:val="12EE7F7F"/>
    <w:rsid w:val="12F8619E"/>
    <w:rsid w:val="12FC2ED8"/>
    <w:rsid w:val="13021765"/>
    <w:rsid w:val="13196AAF"/>
    <w:rsid w:val="131A6BB9"/>
    <w:rsid w:val="131C6001"/>
    <w:rsid w:val="131D790E"/>
    <w:rsid w:val="1329324B"/>
    <w:rsid w:val="1331143C"/>
    <w:rsid w:val="134203FD"/>
    <w:rsid w:val="13453087"/>
    <w:rsid w:val="134E05A4"/>
    <w:rsid w:val="13500FF4"/>
    <w:rsid w:val="1356385F"/>
    <w:rsid w:val="1360023A"/>
    <w:rsid w:val="136321F4"/>
    <w:rsid w:val="136D25DA"/>
    <w:rsid w:val="136F2FDE"/>
    <w:rsid w:val="136F66CF"/>
    <w:rsid w:val="13722A67"/>
    <w:rsid w:val="137C48B0"/>
    <w:rsid w:val="137D719C"/>
    <w:rsid w:val="13822C41"/>
    <w:rsid w:val="13840BAB"/>
    <w:rsid w:val="138D19B6"/>
    <w:rsid w:val="139C56E1"/>
    <w:rsid w:val="139D148E"/>
    <w:rsid w:val="13A1293A"/>
    <w:rsid w:val="13A32386"/>
    <w:rsid w:val="13A51F3C"/>
    <w:rsid w:val="13BB1DCA"/>
    <w:rsid w:val="13BF4726"/>
    <w:rsid w:val="13D6674E"/>
    <w:rsid w:val="13F866C4"/>
    <w:rsid w:val="14096514"/>
    <w:rsid w:val="140E2149"/>
    <w:rsid w:val="141B23B3"/>
    <w:rsid w:val="14283366"/>
    <w:rsid w:val="142E3000"/>
    <w:rsid w:val="14373691"/>
    <w:rsid w:val="1437543F"/>
    <w:rsid w:val="143D7EDA"/>
    <w:rsid w:val="144105DB"/>
    <w:rsid w:val="14424A3B"/>
    <w:rsid w:val="144415AB"/>
    <w:rsid w:val="14466E74"/>
    <w:rsid w:val="144A50C0"/>
    <w:rsid w:val="145315F0"/>
    <w:rsid w:val="145703A2"/>
    <w:rsid w:val="145E607B"/>
    <w:rsid w:val="14620BFA"/>
    <w:rsid w:val="147B1174"/>
    <w:rsid w:val="14902DA1"/>
    <w:rsid w:val="14926B19"/>
    <w:rsid w:val="14AB1989"/>
    <w:rsid w:val="14B940A6"/>
    <w:rsid w:val="14C447F8"/>
    <w:rsid w:val="14D66CCC"/>
    <w:rsid w:val="14F265C9"/>
    <w:rsid w:val="15026292"/>
    <w:rsid w:val="150426E8"/>
    <w:rsid w:val="151508C6"/>
    <w:rsid w:val="151A3CF7"/>
    <w:rsid w:val="151B54D7"/>
    <w:rsid w:val="15202377"/>
    <w:rsid w:val="152245DE"/>
    <w:rsid w:val="15253CE4"/>
    <w:rsid w:val="152F3911"/>
    <w:rsid w:val="15567100"/>
    <w:rsid w:val="155902AC"/>
    <w:rsid w:val="155F086C"/>
    <w:rsid w:val="155F216C"/>
    <w:rsid w:val="156C1A16"/>
    <w:rsid w:val="15704C2A"/>
    <w:rsid w:val="1574621E"/>
    <w:rsid w:val="15875F52"/>
    <w:rsid w:val="159D3D21"/>
    <w:rsid w:val="15AC3C0A"/>
    <w:rsid w:val="15BD7BC5"/>
    <w:rsid w:val="15C31568"/>
    <w:rsid w:val="15CF1123"/>
    <w:rsid w:val="15D942D4"/>
    <w:rsid w:val="15DB44F0"/>
    <w:rsid w:val="15E50ECA"/>
    <w:rsid w:val="15EF3AF7"/>
    <w:rsid w:val="15FE270B"/>
    <w:rsid w:val="1602323B"/>
    <w:rsid w:val="16105F47"/>
    <w:rsid w:val="16114CC3"/>
    <w:rsid w:val="16133C89"/>
    <w:rsid w:val="161C1F83"/>
    <w:rsid w:val="162068B0"/>
    <w:rsid w:val="16230020"/>
    <w:rsid w:val="162C38CF"/>
    <w:rsid w:val="162D02AE"/>
    <w:rsid w:val="162E0AC3"/>
    <w:rsid w:val="16367B47"/>
    <w:rsid w:val="163E5154"/>
    <w:rsid w:val="16431EEB"/>
    <w:rsid w:val="165D6CB3"/>
    <w:rsid w:val="165F2A2B"/>
    <w:rsid w:val="166E0EC0"/>
    <w:rsid w:val="16726C02"/>
    <w:rsid w:val="167453B3"/>
    <w:rsid w:val="167A5AB7"/>
    <w:rsid w:val="168C7C83"/>
    <w:rsid w:val="168D3A3C"/>
    <w:rsid w:val="168E6363"/>
    <w:rsid w:val="16945039"/>
    <w:rsid w:val="16957E5C"/>
    <w:rsid w:val="1699418F"/>
    <w:rsid w:val="169A132F"/>
    <w:rsid w:val="169D602E"/>
    <w:rsid w:val="169F376F"/>
    <w:rsid w:val="16A5504B"/>
    <w:rsid w:val="16A668AC"/>
    <w:rsid w:val="16AD5AC3"/>
    <w:rsid w:val="16B32332"/>
    <w:rsid w:val="16BF3133"/>
    <w:rsid w:val="16C4115D"/>
    <w:rsid w:val="16CE195E"/>
    <w:rsid w:val="16E00FCD"/>
    <w:rsid w:val="16E15B36"/>
    <w:rsid w:val="16EA58A7"/>
    <w:rsid w:val="17005140"/>
    <w:rsid w:val="17064158"/>
    <w:rsid w:val="17116285"/>
    <w:rsid w:val="172961BE"/>
    <w:rsid w:val="172C2B7A"/>
    <w:rsid w:val="1732013F"/>
    <w:rsid w:val="17345C65"/>
    <w:rsid w:val="17364892"/>
    <w:rsid w:val="17467C1C"/>
    <w:rsid w:val="174D4F79"/>
    <w:rsid w:val="17580A4C"/>
    <w:rsid w:val="17612417"/>
    <w:rsid w:val="176E3033"/>
    <w:rsid w:val="17712A16"/>
    <w:rsid w:val="177249E0"/>
    <w:rsid w:val="17780248"/>
    <w:rsid w:val="1780342C"/>
    <w:rsid w:val="1787048B"/>
    <w:rsid w:val="179F06C8"/>
    <w:rsid w:val="17B91E87"/>
    <w:rsid w:val="17B9616B"/>
    <w:rsid w:val="17BE64CA"/>
    <w:rsid w:val="17D24A27"/>
    <w:rsid w:val="17DF7B99"/>
    <w:rsid w:val="17E21DCE"/>
    <w:rsid w:val="17E458DD"/>
    <w:rsid w:val="17E742B5"/>
    <w:rsid w:val="17E86A50"/>
    <w:rsid w:val="17EE4066"/>
    <w:rsid w:val="17F95422"/>
    <w:rsid w:val="17FD074D"/>
    <w:rsid w:val="180968B5"/>
    <w:rsid w:val="180D1CF8"/>
    <w:rsid w:val="18267CA4"/>
    <w:rsid w:val="182B630C"/>
    <w:rsid w:val="1845512D"/>
    <w:rsid w:val="184719C8"/>
    <w:rsid w:val="18512847"/>
    <w:rsid w:val="185443E6"/>
    <w:rsid w:val="185540E5"/>
    <w:rsid w:val="18635AD1"/>
    <w:rsid w:val="186E164B"/>
    <w:rsid w:val="18704C0C"/>
    <w:rsid w:val="188624F1"/>
    <w:rsid w:val="18866995"/>
    <w:rsid w:val="189C60B9"/>
    <w:rsid w:val="18A045E2"/>
    <w:rsid w:val="18A137CE"/>
    <w:rsid w:val="18A64941"/>
    <w:rsid w:val="18AB3C5C"/>
    <w:rsid w:val="18C0143A"/>
    <w:rsid w:val="18C54754"/>
    <w:rsid w:val="18C7166E"/>
    <w:rsid w:val="18C85F48"/>
    <w:rsid w:val="18D019BE"/>
    <w:rsid w:val="18D74616"/>
    <w:rsid w:val="18DA45EA"/>
    <w:rsid w:val="18DC6A11"/>
    <w:rsid w:val="18E813AA"/>
    <w:rsid w:val="18EB272B"/>
    <w:rsid w:val="18F37025"/>
    <w:rsid w:val="18F8683F"/>
    <w:rsid w:val="19000AAD"/>
    <w:rsid w:val="19067820"/>
    <w:rsid w:val="190E13F0"/>
    <w:rsid w:val="191E46D7"/>
    <w:rsid w:val="193B7ED8"/>
    <w:rsid w:val="194221BD"/>
    <w:rsid w:val="19512AB7"/>
    <w:rsid w:val="19515E8B"/>
    <w:rsid w:val="195E521C"/>
    <w:rsid w:val="195F5C2B"/>
    <w:rsid w:val="196A2745"/>
    <w:rsid w:val="197210C7"/>
    <w:rsid w:val="19744BBA"/>
    <w:rsid w:val="19744E81"/>
    <w:rsid w:val="19800B61"/>
    <w:rsid w:val="19843232"/>
    <w:rsid w:val="19855E4D"/>
    <w:rsid w:val="198D1B8E"/>
    <w:rsid w:val="199F125E"/>
    <w:rsid w:val="19A277FE"/>
    <w:rsid w:val="19AA66B3"/>
    <w:rsid w:val="19C2019A"/>
    <w:rsid w:val="19DD2B4C"/>
    <w:rsid w:val="19E576EB"/>
    <w:rsid w:val="19EB43CB"/>
    <w:rsid w:val="19EC47A6"/>
    <w:rsid w:val="19EC6C78"/>
    <w:rsid w:val="19F416DC"/>
    <w:rsid w:val="1A002DB1"/>
    <w:rsid w:val="1A0E07CE"/>
    <w:rsid w:val="1A14446F"/>
    <w:rsid w:val="1A18361C"/>
    <w:rsid w:val="1A1A2D54"/>
    <w:rsid w:val="1A2A221B"/>
    <w:rsid w:val="1A345156"/>
    <w:rsid w:val="1A3674DF"/>
    <w:rsid w:val="1A390444"/>
    <w:rsid w:val="1A3908A8"/>
    <w:rsid w:val="1A3F70E3"/>
    <w:rsid w:val="1A51383C"/>
    <w:rsid w:val="1A5253FC"/>
    <w:rsid w:val="1A5E29B4"/>
    <w:rsid w:val="1A6515CA"/>
    <w:rsid w:val="1A676352"/>
    <w:rsid w:val="1A7501E8"/>
    <w:rsid w:val="1A7E203A"/>
    <w:rsid w:val="1A7E2A45"/>
    <w:rsid w:val="1A7F5449"/>
    <w:rsid w:val="1A9E7E47"/>
    <w:rsid w:val="1AAB6EB9"/>
    <w:rsid w:val="1ABE71D3"/>
    <w:rsid w:val="1AC35C7E"/>
    <w:rsid w:val="1AC400EC"/>
    <w:rsid w:val="1AC71354"/>
    <w:rsid w:val="1ACF7FE9"/>
    <w:rsid w:val="1AE77B0C"/>
    <w:rsid w:val="1AEF2C9F"/>
    <w:rsid w:val="1AF6164B"/>
    <w:rsid w:val="1B06750C"/>
    <w:rsid w:val="1B0C263C"/>
    <w:rsid w:val="1B125105"/>
    <w:rsid w:val="1B154000"/>
    <w:rsid w:val="1B155291"/>
    <w:rsid w:val="1B15744B"/>
    <w:rsid w:val="1B1C090D"/>
    <w:rsid w:val="1B1E0F9C"/>
    <w:rsid w:val="1B1F09DB"/>
    <w:rsid w:val="1B263F1D"/>
    <w:rsid w:val="1B3347D3"/>
    <w:rsid w:val="1B391A9C"/>
    <w:rsid w:val="1B3C2F0E"/>
    <w:rsid w:val="1B466AA1"/>
    <w:rsid w:val="1B4A1EFB"/>
    <w:rsid w:val="1B5413EA"/>
    <w:rsid w:val="1B577DA2"/>
    <w:rsid w:val="1B6075DC"/>
    <w:rsid w:val="1B612DA1"/>
    <w:rsid w:val="1B636B19"/>
    <w:rsid w:val="1B724A47"/>
    <w:rsid w:val="1B7D6991"/>
    <w:rsid w:val="1B856849"/>
    <w:rsid w:val="1B932335"/>
    <w:rsid w:val="1B937A0D"/>
    <w:rsid w:val="1B997ADF"/>
    <w:rsid w:val="1B9C64CF"/>
    <w:rsid w:val="1BA23AE5"/>
    <w:rsid w:val="1BA3696F"/>
    <w:rsid w:val="1BA36ACA"/>
    <w:rsid w:val="1BA55384"/>
    <w:rsid w:val="1BA861DD"/>
    <w:rsid w:val="1BA921A5"/>
    <w:rsid w:val="1BB245A4"/>
    <w:rsid w:val="1BB67AE8"/>
    <w:rsid w:val="1BC02022"/>
    <w:rsid w:val="1BCD0942"/>
    <w:rsid w:val="1BDA5771"/>
    <w:rsid w:val="1BDA7105"/>
    <w:rsid w:val="1BDB35E8"/>
    <w:rsid w:val="1BE22360"/>
    <w:rsid w:val="1BE375FC"/>
    <w:rsid w:val="1BED4878"/>
    <w:rsid w:val="1BEE6D2B"/>
    <w:rsid w:val="1BFE2CE6"/>
    <w:rsid w:val="1C033E58"/>
    <w:rsid w:val="1C0B7651"/>
    <w:rsid w:val="1C0F4EF3"/>
    <w:rsid w:val="1C1077F8"/>
    <w:rsid w:val="1C1531DB"/>
    <w:rsid w:val="1C266030"/>
    <w:rsid w:val="1C2E5379"/>
    <w:rsid w:val="1C2F7F77"/>
    <w:rsid w:val="1C35145D"/>
    <w:rsid w:val="1C3C4068"/>
    <w:rsid w:val="1C40656F"/>
    <w:rsid w:val="1C55210D"/>
    <w:rsid w:val="1C5A38B6"/>
    <w:rsid w:val="1C5B6CAC"/>
    <w:rsid w:val="1C675EB2"/>
    <w:rsid w:val="1C6A166A"/>
    <w:rsid w:val="1C706191"/>
    <w:rsid w:val="1CA4563B"/>
    <w:rsid w:val="1CA7512B"/>
    <w:rsid w:val="1CAC44F0"/>
    <w:rsid w:val="1CAC6D99"/>
    <w:rsid w:val="1CB00640"/>
    <w:rsid w:val="1CB20104"/>
    <w:rsid w:val="1CB57E73"/>
    <w:rsid w:val="1CBC0BD7"/>
    <w:rsid w:val="1CBC4A3B"/>
    <w:rsid w:val="1CC90935"/>
    <w:rsid w:val="1CCE7DBD"/>
    <w:rsid w:val="1CDB00B0"/>
    <w:rsid w:val="1CE04199"/>
    <w:rsid w:val="1CE960B7"/>
    <w:rsid w:val="1D0A0FEB"/>
    <w:rsid w:val="1D0B1216"/>
    <w:rsid w:val="1D1A76AB"/>
    <w:rsid w:val="1D1D0F4A"/>
    <w:rsid w:val="1D236587"/>
    <w:rsid w:val="1D427753"/>
    <w:rsid w:val="1D4E1969"/>
    <w:rsid w:val="1D4F7BF9"/>
    <w:rsid w:val="1D5052F0"/>
    <w:rsid w:val="1D532BBD"/>
    <w:rsid w:val="1D5801D4"/>
    <w:rsid w:val="1D5804C5"/>
    <w:rsid w:val="1D5F5A06"/>
    <w:rsid w:val="1D5F6B81"/>
    <w:rsid w:val="1D6467D4"/>
    <w:rsid w:val="1D7160DC"/>
    <w:rsid w:val="1D790876"/>
    <w:rsid w:val="1D7E7C3A"/>
    <w:rsid w:val="1D813BCE"/>
    <w:rsid w:val="1D994A74"/>
    <w:rsid w:val="1DA0641B"/>
    <w:rsid w:val="1DA13929"/>
    <w:rsid w:val="1DA6442D"/>
    <w:rsid w:val="1DAE3F9A"/>
    <w:rsid w:val="1DB36CC6"/>
    <w:rsid w:val="1DBD1371"/>
    <w:rsid w:val="1DBE44DB"/>
    <w:rsid w:val="1DCD0BC2"/>
    <w:rsid w:val="1DDA0080"/>
    <w:rsid w:val="1DDE2D97"/>
    <w:rsid w:val="1DE0617B"/>
    <w:rsid w:val="1DE20E4B"/>
    <w:rsid w:val="1DE57613"/>
    <w:rsid w:val="1DEF28E6"/>
    <w:rsid w:val="1DFE0D7B"/>
    <w:rsid w:val="1DFE71E1"/>
    <w:rsid w:val="1E0102F8"/>
    <w:rsid w:val="1E0740D4"/>
    <w:rsid w:val="1E0B5246"/>
    <w:rsid w:val="1E111D67"/>
    <w:rsid w:val="1E135098"/>
    <w:rsid w:val="1E175276"/>
    <w:rsid w:val="1E205195"/>
    <w:rsid w:val="1E223DF9"/>
    <w:rsid w:val="1E350CB4"/>
    <w:rsid w:val="1E380731"/>
    <w:rsid w:val="1E3C0ECB"/>
    <w:rsid w:val="1E505222"/>
    <w:rsid w:val="1E5C4BF8"/>
    <w:rsid w:val="1E805C34"/>
    <w:rsid w:val="1E8A260F"/>
    <w:rsid w:val="1E941136"/>
    <w:rsid w:val="1EA2204E"/>
    <w:rsid w:val="1EA24FE1"/>
    <w:rsid w:val="1EA305EF"/>
    <w:rsid w:val="1EAE09F3"/>
    <w:rsid w:val="1EC65D3D"/>
    <w:rsid w:val="1EDF295B"/>
    <w:rsid w:val="1EE933D5"/>
    <w:rsid w:val="1EF87E98"/>
    <w:rsid w:val="1EFB16BD"/>
    <w:rsid w:val="1F106553"/>
    <w:rsid w:val="1F146462"/>
    <w:rsid w:val="1F301408"/>
    <w:rsid w:val="1F3F164B"/>
    <w:rsid w:val="1F461286"/>
    <w:rsid w:val="1F495D13"/>
    <w:rsid w:val="1F4C5B16"/>
    <w:rsid w:val="1F5046EB"/>
    <w:rsid w:val="1F533349"/>
    <w:rsid w:val="1F646872"/>
    <w:rsid w:val="1F7915EB"/>
    <w:rsid w:val="1F8B2AE2"/>
    <w:rsid w:val="1F971487"/>
    <w:rsid w:val="1F9A5044"/>
    <w:rsid w:val="1FA77B14"/>
    <w:rsid w:val="1FAA128A"/>
    <w:rsid w:val="1FAF2323"/>
    <w:rsid w:val="1FBA5176"/>
    <w:rsid w:val="1FC80960"/>
    <w:rsid w:val="1FC85AE5"/>
    <w:rsid w:val="1FCC58FB"/>
    <w:rsid w:val="1FDA4068"/>
    <w:rsid w:val="1FDF3693"/>
    <w:rsid w:val="1FE65F6B"/>
    <w:rsid w:val="1FFF56DF"/>
    <w:rsid w:val="2001415D"/>
    <w:rsid w:val="20085EE1"/>
    <w:rsid w:val="200A7BB4"/>
    <w:rsid w:val="200E45BB"/>
    <w:rsid w:val="20127824"/>
    <w:rsid w:val="2027280B"/>
    <w:rsid w:val="202A2AF5"/>
    <w:rsid w:val="202A40A9"/>
    <w:rsid w:val="20317BA4"/>
    <w:rsid w:val="20322F5E"/>
    <w:rsid w:val="203727AF"/>
    <w:rsid w:val="203D63DC"/>
    <w:rsid w:val="2041079C"/>
    <w:rsid w:val="20464723"/>
    <w:rsid w:val="206B1B50"/>
    <w:rsid w:val="20713EC3"/>
    <w:rsid w:val="20815038"/>
    <w:rsid w:val="208A69E4"/>
    <w:rsid w:val="208B7348"/>
    <w:rsid w:val="208F4E42"/>
    <w:rsid w:val="20A61D0E"/>
    <w:rsid w:val="20A7453F"/>
    <w:rsid w:val="20AD0B0D"/>
    <w:rsid w:val="20B322F1"/>
    <w:rsid w:val="20B41BC5"/>
    <w:rsid w:val="20B94930"/>
    <w:rsid w:val="20BB11A5"/>
    <w:rsid w:val="20BF5AA4"/>
    <w:rsid w:val="20C02051"/>
    <w:rsid w:val="20D766AE"/>
    <w:rsid w:val="20DA4DB9"/>
    <w:rsid w:val="20DA787E"/>
    <w:rsid w:val="20EB4EDE"/>
    <w:rsid w:val="20ED60C3"/>
    <w:rsid w:val="20F6042F"/>
    <w:rsid w:val="20FF1C9F"/>
    <w:rsid w:val="210937B1"/>
    <w:rsid w:val="210F295C"/>
    <w:rsid w:val="212E4139"/>
    <w:rsid w:val="21515EB6"/>
    <w:rsid w:val="215B2910"/>
    <w:rsid w:val="21621621"/>
    <w:rsid w:val="217F7756"/>
    <w:rsid w:val="218D1028"/>
    <w:rsid w:val="2197751D"/>
    <w:rsid w:val="21A40497"/>
    <w:rsid w:val="21A47E8B"/>
    <w:rsid w:val="21D679DF"/>
    <w:rsid w:val="21DD6E7E"/>
    <w:rsid w:val="21E76768"/>
    <w:rsid w:val="21E8700B"/>
    <w:rsid w:val="21E95DD9"/>
    <w:rsid w:val="21EF55AB"/>
    <w:rsid w:val="21F4496F"/>
    <w:rsid w:val="21F664BF"/>
    <w:rsid w:val="21FA6AA7"/>
    <w:rsid w:val="22020ACD"/>
    <w:rsid w:val="2212098A"/>
    <w:rsid w:val="22165EE2"/>
    <w:rsid w:val="221B28B1"/>
    <w:rsid w:val="2229782D"/>
    <w:rsid w:val="22387B97"/>
    <w:rsid w:val="223E1F22"/>
    <w:rsid w:val="22440FB8"/>
    <w:rsid w:val="224513FB"/>
    <w:rsid w:val="22521696"/>
    <w:rsid w:val="22605054"/>
    <w:rsid w:val="226F5814"/>
    <w:rsid w:val="227B4CD2"/>
    <w:rsid w:val="228F5B46"/>
    <w:rsid w:val="22925F36"/>
    <w:rsid w:val="229C6999"/>
    <w:rsid w:val="22AD6D9B"/>
    <w:rsid w:val="22B12860"/>
    <w:rsid w:val="22B42350"/>
    <w:rsid w:val="22B717AA"/>
    <w:rsid w:val="22B91715"/>
    <w:rsid w:val="22B9517A"/>
    <w:rsid w:val="22BA5BB9"/>
    <w:rsid w:val="22C53076"/>
    <w:rsid w:val="22CE3412"/>
    <w:rsid w:val="22D30A28"/>
    <w:rsid w:val="22D632DA"/>
    <w:rsid w:val="22E04EF3"/>
    <w:rsid w:val="22EB0F80"/>
    <w:rsid w:val="23145C21"/>
    <w:rsid w:val="232C1EE7"/>
    <w:rsid w:val="23341641"/>
    <w:rsid w:val="233578A3"/>
    <w:rsid w:val="235A0180"/>
    <w:rsid w:val="237B69CA"/>
    <w:rsid w:val="237D5F70"/>
    <w:rsid w:val="238A7EA7"/>
    <w:rsid w:val="238B1DA2"/>
    <w:rsid w:val="238D1D74"/>
    <w:rsid w:val="239D7097"/>
    <w:rsid w:val="23AE4FF1"/>
    <w:rsid w:val="23B3078E"/>
    <w:rsid w:val="23BD161F"/>
    <w:rsid w:val="23BD6FE3"/>
    <w:rsid w:val="23C10881"/>
    <w:rsid w:val="23C60DF7"/>
    <w:rsid w:val="23C86623"/>
    <w:rsid w:val="23D42CAA"/>
    <w:rsid w:val="23D55435"/>
    <w:rsid w:val="23E20B82"/>
    <w:rsid w:val="23EC6A1C"/>
    <w:rsid w:val="23F22574"/>
    <w:rsid w:val="23F35E85"/>
    <w:rsid w:val="23F724F4"/>
    <w:rsid w:val="23F91212"/>
    <w:rsid w:val="24013925"/>
    <w:rsid w:val="240510B5"/>
    <w:rsid w:val="240770B2"/>
    <w:rsid w:val="2412732E"/>
    <w:rsid w:val="24172B97"/>
    <w:rsid w:val="241F37F9"/>
    <w:rsid w:val="24477E2B"/>
    <w:rsid w:val="2467493C"/>
    <w:rsid w:val="246B49F7"/>
    <w:rsid w:val="246C2EE2"/>
    <w:rsid w:val="246F652F"/>
    <w:rsid w:val="24707B88"/>
    <w:rsid w:val="24726696"/>
    <w:rsid w:val="247A4741"/>
    <w:rsid w:val="248E2062"/>
    <w:rsid w:val="248F74E2"/>
    <w:rsid w:val="24954DF0"/>
    <w:rsid w:val="249B3BCC"/>
    <w:rsid w:val="24A67D23"/>
    <w:rsid w:val="24C3645D"/>
    <w:rsid w:val="24CA149F"/>
    <w:rsid w:val="24D57081"/>
    <w:rsid w:val="24D90223"/>
    <w:rsid w:val="24E32E04"/>
    <w:rsid w:val="24E4778F"/>
    <w:rsid w:val="24E94533"/>
    <w:rsid w:val="24EA2059"/>
    <w:rsid w:val="24F4656C"/>
    <w:rsid w:val="250A26FB"/>
    <w:rsid w:val="250A6257"/>
    <w:rsid w:val="2522492D"/>
    <w:rsid w:val="25274927"/>
    <w:rsid w:val="25287D17"/>
    <w:rsid w:val="254135F9"/>
    <w:rsid w:val="254E31B2"/>
    <w:rsid w:val="255310D4"/>
    <w:rsid w:val="25541EB2"/>
    <w:rsid w:val="25555A22"/>
    <w:rsid w:val="25597FFC"/>
    <w:rsid w:val="257336E7"/>
    <w:rsid w:val="257A6826"/>
    <w:rsid w:val="25803D3A"/>
    <w:rsid w:val="25873D81"/>
    <w:rsid w:val="25981AB5"/>
    <w:rsid w:val="259B3353"/>
    <w:rsid w:val="259C35A3"/>
    <w:rsid w:val="25A450EF"/>
    <w:rsid w:val="25AA108C"/>
    <w:rsid w:val="25AC462B"/>
    <w:rsid w:val="25AD0F48"/>
    <w:rsid w:val="25B52667"/>
    <w:rsid w:val="25B6170A"/>
    <w:rsid w:val="25C603D0"/>
    <w:rsid w:val="25D23219"/>
    <w:rsid w:val="25D37972"/>
    <w:rsid w:val="25D4192E"/>
    <w:rsid w:val="25D9766F"/>
    <w:rsid w:val="25E53A11"/>
    <w:rsid w:val="25FD2A6E"/>
    <w:rsid w:val="25FE2D55"/>
    <w:rsid w:val="260053A6"/>
    <w:rsid w:val="26075247"/>
    <w:rsid w:val="261C63DC"/>
    <w:rsid w:val="26213859"/>
    <w:rsid w:val="26287BFB"/>
    <w:rsid w:val="263129AE"/>
    <w:rsid w:val="263D2198"/>
    <w:rsid w:val="263E266D"/>
    <w:rsid w:val="26403CB6"/>
    <w:rsid w:val="26535278"/>
    <w:rsid w:val="26597496"/>
    <w:rsid w:val="265A61FF"/>
    <w:rsid w:val="265C6D9E"/>
    <w:rsid w:val="265C7C7F"/>
    <w:rsid w:val="266876DA"/>
    <w:rsid w:val="267267AA"/>
    <w:rsid w:val="267B38E1"/>
    <w:rsid w:val="267C4F33"/>
    <w:rsid w:val="268838D8"/>
    <w:rsid w:val="268C34BE"/>
    <w:rsid w:val="269F3FA4"/>
    <w:rsid w:val="26AC056A"/>
    <w:rsid w:val="26B96187"/>
    <w:rsid w:val="26BA70C9"/>
    <w:rsid w:val="26BC54B1"/>
    <w:rsid w:val="26BD3BFD"/>
    <w:rsid w:val="26CF7FC9"/>
    <w:rsid w:val="26D14D86"/>
    <w:rsid w:val="26D66D39"/>
    <w:rsid w:val="26D703BB"/>
    <w:rsid w:val="26D82637"/>
    <w:rsid w:val="26DE0981"/>
    <w:rsid w:val="26E054C2"/>
    <w:rsid w:val="26F23447"/>
    <w:rsid w:val="26FF1042"/>
    <w:rsid w:val="27063C3F"/>
    <w:rsid w:val="2709752E"/>
    <w:rsid w:val="27326899"/>
    <w:rsid w:val="273B588C"/>
    <w:rsid w:val="27402404"/>
    <w:rsid w:val="27421CD9"/>
    <w:rsid w:val="27484E85"/>
    <w:rsid w:val="27502247"/>
    <w:rsid w:val="275068CA"/>
    <w:rsid w:val="27537B5D"/>
    <w:rsid w:val="275F6D2E"/>
    <w:rsid w:val="27661C4E"/>
    <w:rsid w:val="27681344"/>
    <w:rsid w:val="276D56B7"/>
    <w:rsid w:val="276F59B1"/>
    <w:rsid w:val="276F6F14"/>
    <w:rsid w:val="277060EF"/>
    <w:rsid w:val="27761936"/>
    <w:rsid w:val="278E4F1E"/>
    <w:rsid w:val="27960276"/>
    <w:rsid w:val="27962287"/>
    <w:rsid w:val="27987B12"/>
    <w:rsid w:val="279D33B3"/>
    <w:rsid w:val="27A36B43"/>
    <w:rsid w:val="27AB3D22"/>
    <w:rsid w:val="27B54BA0"/>
    <w:rsid w:val="27B84691"/>
    <w:rsid w:val="27CB0983"/>
    <w:rsid w:val="27EC05D9"/>
    <w:rsid w:val="27ED3DE7"/>
    <w:rsid w:val="27F23390"/>
    <w:rsid w:val="28095F37"/>
    <w:rsid w:val="280A36D9"/>
    <w:rsid w:val="282835C4"/>
    <w:rsid w:val="282A34FA"/>
    <w:rsid w:val="282B4C86"/>
    <w:rsid w:val="282E424F"/>
    <w:rsid w:val="282E4CB3"/>
    <w:rsid w:val="28414686"/>
    <w:rsid w:val="284303FE"/>
    <w:rsid w:val="284566FB"/>
    <w:rsid w:val="285857A7"/>
    <w:rsid w:val="286E3F18"/>
    <w:rsid w:val="287103DB"/>
    <w:rsid w:val="288F7729"/>
    <w:rsid w:val="289360AA"/>
    <w:rsid w:val="289A7DDE"/>
    <w:rsid w:val="289C4061"/>
    <w:rsid w:val="28A8200F"/>
    <w:rsid w:val="28B66606"/>
    <w:rsid w:val="28DA4766"/>
    <w:rsid w:val="28DE3C83"/>
    <w:rsid w:val="28E12E21"/>
    <w:rsid w:val="28EF3AAA"/>
    <w:rsid w:val="29022526"/>
    <w:rsid w:val="290532A7"/>
    <w:rsid w:val="29057462"/>
    <w:rsid w:val="291114AB"/>
    <w:rsid w:val="292373AC"/>
    <w:rsid w:val="292C08CA"/>
    <w:rsid w:val="293027CD"/>
    <w:rsid w:val="293073E9"/>
    <w:rsid w:val="294C078D"/>
    <w:rsid w:val="29542197"/>
    <w:rsid w:val="295E2B6D"/>
    <w:rsid w:val="29654BFF"/>
    <w:rsid w:val="29657F00"/>
    <w:rsid w:val="29711FD4"/>
    <w:rsid w:val="29797455"/>
    <w:rsid w:val="298244EE"/>
    <w:rsid w:val="298A0B02"/>
    <w:rsid w:val="299C32E5"/>
    <w:rsid w:val="29A273A6"/>
    <w:rsid w:val="29A91D28"/>
    <w:rsid w:val="29AC55DD"/>
    <w:rsid w:val="29AD2F55"/>
    <w:rsid w:val="29C1790B"/>
    <w:rsid w:val="29C3221B"/>
    <w:rsid w:val="29C70BBB"/>
    <w:rsid w:val="29CD4C31"/>
    <w:rsid w:val="29CD5749"/>
    <w:rsid w:val="29D41951"/>
    <w:rsid w:val="29E11498"/>
    <w:rsid w:val="29E614D2"/>
    <w:rsid w:val="29E72555"/>
    <w:rsid w:val="29F14929"/>
    <w:rsid w:val="29F8663A"/>
    <w:rsid w:val="2A017794"/>
    <w:rsid w:val="2A02031C"/>
    <w:rsid w:val="2A047719"/>
    <w:rsid w:val="2A056724"/>
    <w:rsid w:val="2A0B6CFA"/>
    <w:rsid w:val="2A0C2A72"/>
    <w:rsid w:val="2A0D4321"/>
    <w:rsid w:val="2A123AFF"/>
    <w:rsid w:val="2A272825"/>
    <w:rsid w:val="2A322633"/>
    <w:rsid w:val="2A3C5105"/>
    <w:rsid w:val="2A4456C9"/>
    <w:rsid w:val="2A530D92"/>
    <w:rsid w:val="2A585A67"/>
    <w:rsid w:val="2A5D7B1A"/>
    <w:rsid w:val="2A6308E4"/>
    <w:rsid w:val="2A743DB6"/>
    <w:rsid w:val="2A7F4677"/>
    <w:rsid w:val="2A9750DC"/>
    <w:rsid w:val="2AA8279A"/>
    <w:rsid w:val="2AAF2E0D"/>
    <w:rsid w:val="2AB43B94"/>
    <w:rsid w:val="2ABD7C6A"/>
    <w:rsid w:val="2ABE1FBE"/>
    <w:rsid w:val="2AC045A7"/>
    <w:rsid w:val="2AC11AAE"/>
    <w:rsid w:val="2ACB19DA"/>
    <w:rsid w:val="2ACC5CA8"/>
    <w:rsid w:val="2ACF32E3"/>
    <w:rsid w:val="2AD05060"/>
    <w:rsid w:val="2AD57DEE"/>
    <w:rsid w:val="2AD86063"/>
    <w:rsid w:val="2AE87E60"/>
    <w:rsid w:val="2AEA2022"/>
    <w:rsid w:val="2AF858CA"/>
    <w:rsid w:val="2AF86E01"/>
    <w:rsid w:val="2AFC5DE4"/>
    <w:rsid w:val="2AFD108B"/>
    <w:rsid w:val="2AFE098F"/>
    <w:rsid w:val="2B0562AF"/>
    <w:rsid w:val="2B087E3A"/>
    <w:rsid w:val="2B0A4EE8"/>
    <w:rsid w:val="2B2112CD"/>
    <w:rsid w:val="2B22214A"/>
    <w:rsid w:val="2B287437"/>
    <w:rsid w:val="2B2C4D0A"/>
    <w:rsid w:val="2B331151"/>
    <w:rsid w:val="2B39306E"/>
    <w:rsid w:val="2B3A07C8"/>
    <w:rsid w:val="2B3C6C7B"/>
    <w:rsid w:val="2B402A14"/>
    <w:rsid w:val="2B403280"/>
    <w:rsid w:val="2B477C5D"/>
    <w:rsid w:val="2B482DD1"/>
    <w:rsid w:val="2B572741"/>
    <w:rsid w:val="2B596716"/>
    <w:rsid w:val="2B5B4633"/>
    <w:rsid w:val="2B6C7A30"/>
    <w:rsid w:val="2B6D0EA0"/>
    <w:rsid w:val="2B6F5066"/>
    <w:rsid w:val="2B7C75CA"/>
    <w:rsid w:val="2B820EE4"/>
    <w:rsid w:val="2B856638"/>
    <w:rsid w:val="2B9351F9"/>
    <w:rsid w:val="2B996587"/>
    <w:rsid w:val="2B9A6040"/>
    <w:rsid w:val="2BA016C4"/>
    <w:rsid w:val="2BA24AC5"/>
    <w:rsid w:val="2BB04BC3"/>
    <w:rsid w:val="2BB158CC"/>
    <w:rsid w:val="2BB4440B"/>
    <w:rsid w:val="2BC74EA2"/>
    <w:rsid w:val="2BD13B0C"/>
    <w:rsid w:val="2BED496C"/>
    <w:rsid w:val="2BEE60E5"/>
    <w:rsid w:val="2BEF3496"/>
    <w:rsid w:val="2BF043F9"/>
    <w:rsid w:val="2BF17A51"/>
    <w:rsid w:val="2C144FDB"/>
    <w:rsid w:val="2C2108F2"/>
    <w:rsid w:val="2C22688D"/>
    <w:rsid w:val="2C387B4E"/>
    <w:rsid w:val="2C3F7F1C"/>
    <w:rsid w:val="2C5A3D39"/>
    <w:rsid w:val="2C610E53"/>
    <w:rsid w:val="2C7A3409"/>
    <w:rsid w:val="2C7A714B"/>
    <w:rsid w:val="2C7B5C51"/>
    <w:rsid w:val="2C9A4F6D"/>
    <w:rsid w:val="2C9C76AF"/>
    <w:rsid w:val="2CB61A5F"/>
    <w:rsid w:val="2CC43190"/>
    <w:rsid w:val="2CD7205C"/>
    <w:rsid w:val="2CED22F7"/>
    <w:rsid w:val="2CEE5473"/>
    <w:rsid w:val="2CEF00EF"/>
    <w:rsid w:val="2CFE1D6E"/>
    <w:rsid w:val="2CFF066C"/>
    <w:rsid w:val="2D172712"/>
    <w:rsid w:val="2D1A325F"/>
    <w:rsid w:val="2D1B3AFA"/>
    <w:rsid w:val="2D2105E2"/>
    <w:rsid w:val="2D217CEA"/>
    <w:rsid w:val="2D336CD0"/>
    <w:rsid w:val="2D415DC3"/>
    <w:rsid w:val="2D524F3E"/>
    <w:rsid w:val="2D5E261A"/>
    <w:rsid w:val="2D7352E2"/>
    <w:rsid w:val="2D753F69"/>
    <w:rsid w:val="2D96530F"/>
    <w:rsid w:val="2DAE1C1A"/>
    <w:rsid w:val="2DCC2C44"/>
    <w:rsid w:val="2DDB2D8A"/>
    <w:rsid w:val="2DE31132"/>
    <w:rsid w:val="2DED0030"/>
    <w:rsid w:val="2DEE09C8"/>
    <w:rsid w:val="2DEF06E0"/>
    <w:rsid w:val="2DFF51EF"/>
    <w:rsid w:val="2E014517"/>
    <w:rsid w:val="2E0660FB"/>
    <w:rsid w:val="2E0758C2"/>
    <w:rsid w:val="2E0C6EE3"/>
    <w:rsid w:val="2E113916"/>
    <w:rsid w:val="2E20089A"/>
    <w:rsid w:val="2E2A34C6"/>
    <w:rsid w:val="2E3615D0"/>
    <w:rsid w:val="2E3A71F6"/>
    <w:rsid w:val="2E400F3C"/>
    <w:rsid w:val="2E440655"/>
    <w:rsid w:val="2E627418"/>
    <w:rsid w:val="2E651759"/>
    <w:rsid w:val="2E6B6B05"/>
    <w:rsid w:val="2E6F5A1E"/>
    <w:rsid w:val="2E9E1201"/>
    <w:rsid w:val="2EAE2349"/>
    <w:rsid w:val="2EB21E3A"/>
    <w:rsid w:val="2EB43DB9"/>
    <w:rsid w:val="2EC53854"/>
    <w:rsid w:val="2ED94819"/>
    <w:rsid w:val="2EEB5B35"/>
    <w:rsid w:val="2EEF6BEA"/>
    <w:rsid w:val="2EFE6F26"/>
    <w:rsid w:val="2F0D7022"/>
    <w:rsid w:val="2F215A85"/>
    <w:rsid w:val="2F2209A6"/>
    <w:rsid w:val="2F407596"/>
    <w:rsid w:val="2F4E64CD"/>
    <w:rsid w:val="2F5A0BB0"/>
    <w:rsid w:val="2F6440CA"/>
    <w:rsid w:val="2F6E0ECD"/>
    <w:rsid w:val="2F7C5FA4"/>
    <w:rsid w:val="2F822BF1"/>
    <w:rsid w:val="2F8434EE"/>
    <w:rsid w:val="2F87159D"/>
    <w:rsid w:val="2F9D4EC9"/>
    <w:rsid w:val="2FA15A0A"/>
    <w:rsid w:val="2FAD2601"/>
    <w:rsid w:val="2FAF5689"/>
    <w:rsid w:val="2FB054D4"/>
    <w:rsid w:val="2FB45454"/>
    <w:rsid w:val="2FC260AC"/>
    <w:rsid w:val="2FC46D35"/>
    <w:rsid w:val="2FCC6F2B"/>
    <w:rsid w:val="2FD758A9"/>
    <w:rsid w:val="2FD960EE"/>
    <w:rsid w:val="2FDA302C"/>
    <w:rsid w:val="2FE9308B"/>
    <w:rsid w:val="2FF10740"/>
    <w:rsid w:val="2FF124EE"/>
    <w:rsid w:val="2FF73956"/>
    <w:rsid w:val="2FF8225E"/>
    <w:rsid w:val="2FFF61F5"/>
    <w:rsid w:val="30093ADE"/>
    <w:rsid w:val="300E38DC"/>
    <w:rsid w:val="301B402A"/>
    <w:rsid w:val="303A1923"/>
    <w:rsid w:val="306925E3"/>
    <w:rsid w:val="307D37FE"/>
    <w:rsid w:val="307F4CBF"/>
    <w:rsid w:val="30847806"/>
    <w:rsid w:val="308C6F84"/>
    <w:rsid w:val="309317F7"/>
    <w:rsid w:val="3093495C"/>
    <w:rsid w:val="30980B68"/>
    <w:rsid w:val="30C8448F"/>
    <w:rsid w:val="30D003B7"/>
    <w:rsid w:val="30DF00C0"/>
    <w:rsid w:val="30E405DC"/>
    <w:rsid w:val="30E43E01"/>
    <w:rsid w:val="30E8538C"/>
    <w:rsid w:val="30F05C48"/>
    <w:rsid w:val="30F2476F"/>
    <w:rsid w:val="30F66C88"/>
    <w:rsid w:val="311C1421"/>
    <w:rsid w:val="31276A5E"/>
    <w:rsid w:val="314174A5"/>
    <w:rsid w:val="31466869"/>
    <w:rsid w:val="31510669"/>
    <w:rsid w:val="315B3433"/>
    <w:rsid w:val="315C7DFC"/>
    <w:rsid w:val="315E1E05"/>
    <w:rsid w:val="315F16D9"/>
    <w:rsid w:val="3161596C"/>
    <w:rsid w:val="3163202B"/>
    <w:rsid w:val="31647A1E"/>
    <w:rsid w:val="31707702"/>
    <w:rsid w:val="3170793B"/>
    <w:rsid w:val="31726E06"/>
    <w:rsid w:val="318A2BFA"/>
    <w:rsid w:val="31A137AE"/>
    <w:rsid w:val="31B13106"/>
    <w:rsid w:val="31B47C77"/>
    <w:rsid w:val="31BB1CA7"/>
    <w:rsid w:val="31D122CD"/>
    <w:rsid w:val="31E56082"/>
    <w:rsid w:val="31EC5663"/>
    <w:rsid w:val="31F27779"/>
    <w:rsid w:val="31F75BE8"/>
    <w:rsid w:val="31FE5396"/>
    <w:rsid w:val="3207424B"/>
    <w:rsid w:val="321150C9"/>
    <w:rsid w:val="321C7E7D"/>
    <w:rsid w:val="322C49FC"/>
    <w:rsid w:val="323210A3"/>
    <w:rsid w:val="323F1C36"/>
    <w:rsid w:val="324C5552"/>
    <w:rsid w:val="324F2253"/>
    <w:rsid w:val="32513718"/>
    <w:rsid w:val="325354D5"/>
    <w:rsid w:val="325823B4"/>
    <w:rsid w:val="3273368E"/>
    <w:rsid w:val="3276317E"/>
    <w:rsid w:val="32A016AF"/>
    <w:rsid w:val="32A61CB5"/>
    <w:rsid w:val="32B31CDC"/>
    <w:rsid w:val="32C97752"/>
    <w:rsid w:val="32D02752"/>
    <w:rsid w:val="32DA54BB"/>
    <w:rsid w:val="32DF6F75"/>
    <w:rsid w:val="32EE5DA1"/>
    <w:rsid w:val="33052F80"/>
    <w:rsid w:val="3316226B"/>
    <w:rsid w:val="331A1F09"/>
    <w:rsid w:val="331B5409"/>
    <w:rsid w:val="3321133C"/>
    <w:rsid w:val="33294694"/>
    <w:rsid w:val="333170A5"/>
    <w:rsid w:val="333504EE"/>
    <w:rsid w:val="33387AA1"/>
    <w:rsid w:val="333C13C1"/>
    <w:rsid w:val="333E05AF"/>
    <w:rsid w:val="334071FA"/>
    <w:rsid w:val="334119DE"/>
    <w:rsid w:val="33446DD8"/>
    <w:rsid w:val="3345056A"/>
    <w:rsid w:val="33650454"/>
    <w:rsid w:val="337068B0"/>
    <w:rsid w:val="33763220"/>
    <w:rsid w:val="337B6B3F"/>
    <w:rsid w:val="338609E1"/>
    <w:rsid w:val="33920C9B"/>
    <w:rsid w:val="33996FD7"/>
    <w:rsid w:val="339C5061"/>
    <w:rsid w:val="33A14DE5"/>
    <w:rsid w:val="33B26438"/>
    <w:rsid w:val="33B43F5E"/>
    <w:rsid w:val="33CA5530"/>
    <w:rsid w:val="33CC656D"/>
    <w:rsid w:val="33D12D62"/>
    <w:rsid w:val="33FE1022"/>
    <w:rsid w:val="34002433"/>
    <w:rsid w:val="3410525B"/>
    <w:rsid w:val="34120C85"/>
    <w:rsid w:val="34156EA7"/>
    <w:rsid w:val="341744ED"/>
    <w:rsid w:val="341C4BD5"/>
    <w:rsid w:val="34380747"/>
    <w:rsid w:val="343D15F3"/>
    <w:rsid w:val="344409A5"/>
    <w:rsid w:val="344C52A2"/>
    <w:rsid w:val="34594B05"/>
    <w:rsid w:val="345E036E"/>
    <w:rsid w:val="34790FFC"/>
    <w:rsid w:val="347B2CCE"/>
    <w:rsid w:val="347F740C"/>
    <w:rsid w:val="34837EC4"/>
    <w:rsid w:val="34861A07"/>
    <w:rsid w:val="34904279"/>
    <w:rsid w:val="349F4C0E"/>
    <w:rsid w:val="34A42DD3"/>
    <w:rsid w:val="34A72D33"/>
    <w:rsid w:val="34B14942"/>
    <w:rsid w:val="34BA1470"/>
    <w:rsid w:val="34CE54F3"/>
    <w:rsid w:val="34D136C0"/>
    <w:rsid w:val="34D754F0"/>
    <w:rsid w:val="34EC4BC8"/>
    <w:rsid w:val="34F07218"/>
    <w:rsid w:val="34FA0097"/>
    <w:rsid w:val="34FA62E8"/>
    <w:rsid w:val="350258BB"/>
    <w:rsid w:val="35052490"/>
    <w:rsid w:val="352471F2"/>
    <w:rsid w:val="352A5DFE"/>
    <w:rsid w:val="352B46F4"/>
    <w:rsid w:val="352F3436"/>
    <w:rsid w:val="352F77C3"/>
    <w:rsid w:val="35334170"/>
    <w:rsid w:val="35394A23"/>
    <w:rsid w:val="353D61D5"/>
    <w:rsid w:val="353E6734"/>
    <w:rsid w:val="35521C81"/>
    <w:rsid w:val="35690E38"/>
    <w:rsid w:val="3569521C"/>
    <w:rsid w:val="357065AB"/>
    <w:rsid w:val="35780FBB"/>
    <w:rsid w:val="358A22E5"/>
    <w:rsid w:val="35935DF5"/>
    <w:rsid w:val="359B742E"/>
    <w:rsid w:val="35A02B5B"/>
    <w:rsid w:val="35A65B28"/>
    <w:rsid w:val="35B06324"/>
    <w:rsid w:val="35B65B5C"/>
    <w:rsid w:val="35B72BD3"/>
    <w:rsid w:val="35C076D1"/>
    <w:rsid w:val="35C60C37"/>
    <w:rsid w:val="35CD1307"/>
    <w:rsid w:val="35DB7EC8"/>
    <w:rsid w:val="35DD2FBF"/>
    <w:rsid w:val="35EA149C"/>
    <w:rsid w:val="35EC6B09"/>
    <w:rsid w:val="35F1677D"/>
    <w:rsid w:val="360835CA"/>
    <w:rsid w:val="360867E3"/>
    <w:rsid w:val="360A568E"/>
    <w:rsid w:val="361138EA"/>
    <w:rsid w:val="361433DA"/>
    <w:rsid w:val="362A1482"/>
    <w:rsid w:val="362C28E4"/>
    <w:rsid w:val="36356A9E"/>
    <w:rsid w:val="36445382"/>
    <w:rsid w:val="36486BBD"/>
    <w:rsid w:val="365D2222"/>
    <w:rsid w:val="36624145"/>
    <w:rsid w:val="366854D4"/>
    <w:rsid w:val="36690F3C"/>
    <w:rsid w:val="366A5626"/>
    <w:rsid w:val="366C6AC7"/>
    <w:rsid w:val="36895E80"/>
    <w:rsid w:val="368A37CC"/>
    <w:rsid w:val="36910587"/>
    <w:rsid w:val="369D1D15"/>
    <w:rsid w:val="36AE3981"/>
    <w:rsid w:val="36C22B9E"/>
    <w:rsid w:val="36C7044C"/>
    <w:rsid w:val="36D30BE3"/>
    <w:rsid w:val="36D45E7C"/>
    <w:rsid w:val="36DC09F4"/>
    <w:rsid w:val="36E27034"/>
    <w:rsid w:val="3701395E"/>
    <w:rsid w:val="370A0339"/>
    <w:rsid w:val="37197B36"/>
    <w:rsid w:val="37286336"/>
    <w:rsid w:val="372D2E6E"/>
    <w:rsid w:val="37335AE2"/>
    <w:rsid w:val="37387FB2"/>
    <w:rsid w:val="373F09C2"/>
    <w:rsid w:val="374E6478"/>
    <w:rsid w:val="375453ED"/>
    <w:rsid w:val="375B08D6"/>
    <w:rsid w:val="376B32D1"/>
    <w:rsid w:val="3780137B"/>
    <w:rsid w:val="37816CF5"/>
    <w:rsid w:val="37826772"/>
    <w:rsid w:val="378C369C"/>
    <w:rsid w:val="378E1492"/>
    <w:rsid w:val="3795318A"/>
    <w:rsid w:val="379E67E0"/>
    <w:rsid w:val="37B3452D"/>
    <w:rsid w:val="37BC7885"/>
    <w:rsid w:val="37C61E05"/>
    <w:rsid w:val="37D632E8"/>
    <w:rsid w:val="37D75160"/>
    <w:rsid w:val="37DA45CD"/>
    <w:rsid w:val="37E17AB5"/>
    <w:rsid w:val="37E456D8"/>
    <w:rsid w:val="37EB7C62"/>
    <w:rsid w:val="37F04080"/>
    <w:rsid w:val="37FF7772"/>
    <w:rsid w:val="380562C5"/>
    <w:rsid w:val="38107BD1"/>
    <w:rsid w:val="3811340B"/>
    <w:rsid w:val="38260DAA"/>
    <w:rsid w:val="382707CE"/>
    <w:rsid w:val="38295D87"/>
    <w:rsid w:val="38312021"/>
    <w:rsid w:val="383E1329"/>
    <w:rsid w:val="384254EE"/>
    <w:rsid w:val="384855BD"/>
    <w:rsid w:val="38511017"/>
    <w:rsid w:val="385D643C"/>
    <w:rsid w:val="385F6E45"/>
    <w:rsid w:val="387168C2"/>
    <w:rsid w:val="38721645"/>
    <w:rsid w:val="387E12C5"/>
    <w:rsid w:val="388D617D"/>
    <w:rsid w:val="38926838"/>
    <w:rsid w:val="38975632"/>
    <w:rsid w:val="38985854"/>
    <w:rsid w:val="389D0128"/>
    <w:rsid w:val="38A327F3"/>
    <w:rsid w:val="38A5656B"/>
    <w:rsid w:val="38AF2A08"/>
    <w:rsid w:val="38BD297B"/>
    <w:rsid w:val="38C7787E"/>
    <w:rsid w:val="38D26C34"/>
    <w:rsid w:val="38D41F14"/>
    <w:rsid w:val="38D4638D"/>
    <w:rsid w:val="38D621FE"/>
    <w:rsid w:val="38DD08FE"/>
    <w:rsid w:val="38E5105E"/>
    <w:rsid w:val="38F63AD7"/>
    <w:rsid w:val="38FD0155"/>
    <w:rsid w:val="390E2362"/>
    <w:rsid w:val="390E5EBF"/>
    <w:rsid w:val="3930052B"/>
    <w:rsid w:val="393F35F2"/>
    <w:rsid w:val="395138A8"/>
    <w:rsid w:val="39574BC0"/>
    <w:rsid w:val="395F0FA5"/>
    <w:rsid w:val="397B0657"/>
    <w:rsid w:val="397F0B6A"/>
    <w:rsid w:val="39974106"/>
    <w:rsid w:val="399E269E"/>
    <w:rsid w:val="39BA4C32"/>
    <w:rsid w:val="39BA6F74"/>
    <w:rsid w:val="39BD2467"/>
    <w:rsid w:val="39C0500B"/>
    <w:rsid w:val="39D24E37"/>
    <w:rsid w:val="39D37108"/>
    <w:rsid w:val="39E00D11"/>
    <w:rsid w:val="39E3560E"/>
    <w:rsid w:val="39F23A32"/>
    <w:rsid w:val="39F257E0"/>
    <w:rsid w:val="39F5707E"/>
    <w:rsid w:val="39FB6F2E"/>
    <w:rsid w:val="39FD32DA"/>
    <w:rsid w:val="3A045513"/>
    <w:rsid w:val="3A055B0F"/>
    <w:rsid w:val="3A09302F"/>
    <w:rsid w:val="3A0D261A"/>
    <w:rsid w:val="3A184B8A"/>
    <w:rsid w:val="3A1957AC"/>
    <w:rsid w:val="3A1C126E"/>
    <w:rsid w:val="3A2F57D1"/>
    <w:rsid w:val="3A3A7D13"/>
    <w:rsid w:val="3A3B7A62"/>
    <w:rsid w:val="3A464B75"/>
    <w:rsid w:val="3A4F6CE8"/>
    <w:rsid w:val="3A5C264F"/>
    <w:rsid w:val="3A6701BF"/>
    <w:rsid w:val="3A81336E"/>
    <w:rsid w:val="3A8A3A90"/>
    <w:rsid w:val="3A8A77C7"/>
    <w:rsid w:val="3A9932B0"/>
    <w:rsid w:val="3AA274AE"/>
    <w:rsid w:val="3AA36ADA"/>
    <w:rsid w:val="3AD817D6"/>
    <w:rsid w:val="3ADE3F7E"/>
    <w:rsid w:val="3ADF3A39"/>
    <w:rsid w:val="3B0529DF"/>
    <w:rsid w:val="3B0C4680"/>
    <w:rsid w:val="3B141786"/>
    <w:rsid w:val="3B192406"/>
    <w:rsid w:val="3B1E4680"/>
    <w:rsid w:val="3B2A0FAA"/>
    <w:rsid w:val="3B2D43E9"/>
    <w:rsid w:val="3B304316"/>
    <w:rsid w:val="3B3B412E"/>
    <w:rsid w:val="3B407F79"/>
    <w:rsid w:val="3B473BE7"/>
    <w:rsid w:val="3B551553"/>
    <w:rsid w:val="3B6B584A"/>
    <w:rsid w:val="3B7566C9"/>
    <w:rsid w:val="3B7D557D"/>
    <w:rsid w:val="3B80223C"/>
    <w:rsid w:val="3B803DE4"/>
    <w:rsid w:val="3B8763FC"/>
    <w:rsid w:val="3B8A37F6"/>
    <w:rsid w:val="3B8C30C5"/>
    <w:rsid w:val="3B8D0C06"/>
    <w:rsid w:val="3B9A49EF"/>
    <w:rsid w:val="3BB53172"/>
    <w:rsid w:val="3BCA63C3"/>
    <w:rsid w:val="3BD203C6"/>
    <w:rsid w:val="3BD36F4E"/>
    <w:rsid w:val="3BED322B"/>
    <w:rsid w:val="3BF0662D"/>
    <w:rsid w:val="3BF50A91"/>
    <w:rsid w:val="3BFA4677"/>
    <w:rsid w:val="3BFA56DB"/>
    <w:rsid w:val="3BFA6BCE"/>
    <w:rsid w:val="3C024908"/>
    <w:rsid w:val="3C092B06"/>
    <w:rsid w:val="3C204DD9"/>
    <w:rsid w:val="3C245ED1"/>
    <w:rsid w:val="3C25608E"/>
    <w:rsid w:val="3C4D31A2"/>
    <w:rsid w:val="3C5E36F7"/>
    <w:rsid w:val="3C5F2FF7"/>
    <w:rsid w:val="3C6329C5"/>
    <w:rsid w:val="3C683636"/>
    <w:rsid w:val="3C6B187A"/>
    <w:rsid w:val="3C6E4B61"/>
    <w:rsid w:val="3C7544A7"/>
    <w:rsid w:val="3C814CEF"/>
    <w:rsid w:val="3C94492D"/>
    <w:rsid w:val="3CA27DBE"/>
    <w:rsid w:val="3CBF0783"/>
    <w:rsid w:val="3CD00DCC"/>
    <w:rsid w:val="3CD840E3"/>
    <w:rsid w:val="3CDC62D4"/>
    <w:rsid w:val="3CE447AC"/>
    <w:rsid w:val="3CE63342"/>
    <w:rsid w:val="3CF0021D"/>
    <w:rsid w:val="3CF51E92"/>
    <w:rsid w:val="3D04596E"/>
    <w:rsid w:val="3D1B40FE"/>
    <w:rsid w:val="3D1E069A"/>
    <w:rsid w:val="3D204412"/>
    <w:rsid w:val="3D2C2DB7"/>
    <w:rsid w:val="3D332398"/>
    <w:rsid w:val="3D365C44"/>
    <w:rsid w:val="3D3B5D72"/>
    <w:rsid w:val="3D41637D"/>
    <w:rsid w:val="3D4A76E1"/>
    <w:rsid w:val="3D52271E"/>
    <w:rsid w:val="3D5A1989"/>
    <w:rsid w:val="3D5E4F3B"/>
    <w:rsid w:val="3D6267D9"/>
    <w:rsid w:val="3D6427BC"/>
    <w:rsid w:val="3D6B26D7"/>
    <w:rsid w:val="3D6D157E"/>
    <w:rsid w:val="3D7A14EE"/>
    <w:rsid w:val="3D813C77"/>
    <w:rsid w:val="3D962707"/>
    <w:rsid w:val="3DA07301"/>
    <w:rsid w:val="3DA271D2"/>
    <w:rsid w:val="3DA37BAD"/>
    <w:rsid w:val="3DA53805"/>
    <w:rsid w:val="3DB334D8"/>
    <w:rsid w:val="3DBD7EB3"/>
    <w:rsid w:val="3DD82F3F"/>
    <w:rsid w:val="3DD97850"/>
    <w:rsid w:val="3DDD0555"/>
    <w:rsid w:val="3DE018F4"/>
    <w:rsid w:val="3DEB4A20"/>
    <w:rsid w:val="3DFE088B"/>
    <w:rsid w:val="3E017EED"/>
    <w:rsid w:val="3E0F33CA"/>
    <w:rsid w:val="3E210442"/>
    <w:rsid w:val="3E234869"/>
    <w:rsid w:val="3E253D79"/>
    <w:rsid w:val="3E2A763C"/>
    <w:rsid w:val="3E350391"/>
    <w:rsid w:val="3E395C74"/>
    <w:rsid w:val="3E3D4A72"/>
    <w:rsid w:val="3E4B278F"/>
    <w:rsid w:val="3E4D1237"/>
    <w:rsid w:val="3E5F540E"/>
    <w:rsid w:val="3E6E7810"/>
    <w:rsid w:val="3E822BB0"/>
    <w:rsid w:val="3E871CC9"/>
    <w:rsid w:val="3E88487C"/>
    <w:rsid w:val="3E8F51FF"/>
    <w:rsid w:val="3E9167AC"/>
    <w:rsid w:val="3E962299"/>
    <w:rsid w:val="3E9957A5"/>
    <w:rsid w:val="3EA13686"/>
    <w:rsid w:val="3EA95792"/>
    <w:rsid w:val="3EAC5FB7"/>
    <w:rsid w:val="3EAD1CD6"/>
    <w:rsid w:val="3EC3599D"/>
    <w:rsid w:val="3EC531FD"/>
    <w:rsid w:val="3ED10598"/>
    <w:rsid w:val="3ED81E60"/>
    <w:rsid w:val="3ED94336"/>
    <w:rsid w:val="3EE53B65"/>
    <w:rsid w:val="3EE6168C"/>
    <w:rsid w:val="3EF45B57"/>
    <w:rsid w:val="3EF87478"/>
    <w:rsid w:val="3EF913BF"/>
    <w:rsid w:val="3EFE4C27"/>
    <w:rsid w:val="3F054C11"/>
    <w:rsid w:val="3F08368F"/>
    <w:rsid w:val="3F10773B"/>
    <w:rsid w:val="3F114434"/>
    <w:rsid w:val="3F141D55"/>
    <w:rsid w:val="3F177654"/>
    <w:rsid w:val="3F1C16D3"/>
    <w:rsid w:val="3F2D1069"/>
    <w:rsid w:val="3F402B4A"/>
    <w:rsid w:val="3F451BF3"/>
    <w:rsid w:val="3F591E5E"/>
    <w:rsid w:val="3F6A2E3E"/>
    <w:rsid w:val="3F764534"/>
    <w:rsid w:val="3F7B6278"/>
    <w:rsid w:val="3F8F3FC4"/>
    <w:rsid w:val="3F953C63"/>
    <w:rsid w:val="3F9614BE"/>
    <w:rsid w:val="3FAF7CCF"/>
    <w:rsid w:val="3FB14142"/>
    <w:rsid w:val="3FBF6165"/>
    <w:rsid w:val="3FC52C55"/>
    <w:rsid w:val="3FCA68B7"/>
    <w:rsid w:val="3FCE63A8"/>
    <w:rsid w:val="3FEF631E"/>
    <w:rsid w:val="3FF9504A"/>
    <w:rsid w:val="3FFA1DF3"/>
    <w:rsid w:val="3FFD6511"/>
    <w:rsid w:val="4001677D"/>
    <w:rsid w:val="400530AD"/>
    <w:rsid w:val="400943E7"/>
    <w:rsid w:val="401875DF"/>
    <w:rsid w:val="401B4B48"/>
    <w:rsid w:val="40205908"/>
    <w:rsid w:val="40210BCD"/>
    <w:rsid w:val="40300E10"/>
    <w:rsid w:val="40386E3C"/>
    <w:rsid w:val="404843AC"/>
    <w:rsid w:val="404E6916"/>
    <w:rsid w:val="40507467"/>
    <w:rsid w:val="40521A68"/>
    <w:rsid w:val="406231BA"/>
    <w:rsid w:val="40644F5E"/>
    <w:rsid w:val="406C20F8"/>
    <w:rsid w:val="406C5D89"/>
    <w:rsid w:val="40717952"/>
    <w:rsid w:val="407526A9"/>
    <w:rsid w:val="407916AB"/>
    <w:rsid w:val="40814CB1"/>
    <w:rsid w:val="408178BE"/>
    <w:rsid w:val="40862607"/>
    <w:rsid w:val="40872000"/>
    <w:rsid w:val="40A10DE7"/>
    <w:rsid w:val="40AD2461"/>
    <w:rsid w:val="40BC6B48"/>
    <w:rsid w:val="40DD3E4C"/>
    <w:rsid w:val="40E47A68"/>
    <w:rsid w:val="40F3110D"/>
    <w:rsid w:val="40FE26CE"/>
    <w:rsid w:val="41006F09"/>
    <w:rsid w:val="41036F80"/>
    <w:rsid w:val="410C67A1"/>
    <w:rsid w:val="41165C65"/>
    <w:rsid w:val="411E510D"/>
    <w:rsid w:val="41246CA7"/>
    <w:rsid w:val="41285F8B"/>
    <w:rsid w:val="412D224A"/>
    <w:rsid w:val="413A36FE"/>
    <w:rsid w:val="414035F3"/>
    <w:rsid w:val="414323CD"/>
    <w:rsid w:val="41474664"/>
    <w:rsid w:val="41481B2B"/>
    <w:rsid w:val="415A660F"/>
    <w:rsid w:val="416A4CA9"/>
    <w:rsid w:val="41A82FF6"/>
    <w:rsid w:val="41A90335"/>
    <w:rsid w:val="41B220EF"/>
    <w:rsid w:val="41B3303E"/>
    <w:rsid w:val="41B42908"/>
    <w:rsid w:val="41CF67A3"/>
    <w:rsid w:val="41D66708"/>
    <w:rsid w:val="41D7234B"/>
    <w:rsid w:val="41DB2FFE"/>
    <w:rsid w:val="41DC5AB1"/>
    <w:rsid w:val="41FB36A0"/>
    <w:rsid w:val="421545D9"/>
    <w:rsid w:val="421952FE"/>
    <w:rsid w:val="422A16A8"/>
    <w:rsid w:val="424E4C95"/>
    <w:rsid w:val="42731488"/>
    <w:rsid w:val="427E1069"/>
    <w:rsid w:val="42806FDA"/>
    <w:rsid w:val="428B0580"/>
    <w:rsid w:val="428D4036"/>
    <w:rsid w:val="428E733F"/>
    <w:rsid w:val="42937435"/>
    <w:rsid w:val="429733C9"/>
    <w:rsid w:val="42AA111E"/>
    <w:rsid w:val="42B67CE3"/>
    <w:rsid w:val="42D00689"/>
    <w:rsid w:val="42EC155D"/>
    <w:rsid w:val="430F0ADF"/>
    <w:rsid w:val="43111EEE"/>
    <w:rsid w:val="43195B8C"/>
    <w:rsid w:val="43267E62"/>
    <w:rsid w:val="43297406"/>
    <w:rsid w:val="433504EC"/>
    <w:rsid w:val="434075BC"/>
    <w:rsid w:val="43417EBB"/>
    <w:rsid w:val="43437F24"/>
    <w:rsid w:val="434A043B"/>
    <w:rsid w:val="434A7716"/>
    <w:rsid w:val="434E0E6D"/>
    <w:rsid w:val="434E7724"/>
    <w:rsid w:val="43607C5E"/>
    <w:rsid w:val="43614241"/>
    <w:rsid w:val="43674A58"/>
    <w:rsid w:val="439231B3"/>
    <w:rsid w:val="439F41C6"/>
    <w:rsid w:val="43A324A6"/>
    <w:rsid w:val="43A713E9"/>
    <w:rsid w:val="43A85E50"/>
    <w:rsid w:val="43BB4E95"/>
    <w:rsid w:val="43BC0209"/>
    <w:rsid w:val="43C51C49"/>
    <w:rsid w:val="43DD305D"/>
    <w:rsid w:val="43DD4CA6"/>
    <w:rsid w:val="43E01CA1"/>
    <w:rsid w:val="43E02257"/>
    <w:rsid w:val="43E91A02"/>
    <w:rsid w:val="43F822ED"/>
    <w:rsid w:val="43FC50D7"/>
    <w:rsid w:val="440721FA"/>
    <w:rsid w:val="44114AB5"/>
    <w:rsid w:val="441B05F2"/>
    <w:rsid w:val="4429359A"/>
    <w:rsid w:val="443248E8"/>
    <w:rsid w:val="44354C47"/>
    <w:rsid w:val="4439400C"/>
    <w:rsid w:val="443A0A15"/>
    <w:rsid w:val="44412933"/>
    <w:rsid w:val="444943B9"/>
    <w:rsid w:val="444F3B74"/>
    <w:rsid w:val="445B21D4"/>
    <w:rsid w:val="44646F08"/>
    <w:rsid w:val="446A3CB4"/>
    <w:rsid w:val="447A6AFE"/>
    <w:rsid w:val="447D5515"/>
    <w:rsid w:val="44827A4B"/>
    <w:rsid w:val="44831482"/>
    <w:rsid w:val="44873D87"/>
    <w:rsid w:val="4487773C"/>
    <w:rsid w:val="44987F46"/>
    <w:rsid w:val="44A676BE"/>
    <w:rsid w:val="44A703AC"/>
    <w:rsid w:val="44AD6847"/>
    <w:rsid w:val="44B1130C"/>
    <w:rsid w:val="44BA38C4"/>
    <w:rsid w:val="44C241A2"/>
    <w:rsid w:val="44CE29A6"/>
    <w:rsid w:val="44CF4CC8"/>
    <w:rsid w:val="44D02BC2"/>
    <w:rsid w:val="44DD744C"/>
    <w:rsid w:val="44DE708D"/>
    <w:rsid w:val="44ED5522"/>
    <w:rsid w:val="44F91C62"/>
    <w:rsid w:val="45091B37"/>
    <w:rsid w:val="45297926"/>
    <w:rsid w:val="452D43FA"/>
    <w:rsid w:val="453F2562"/>
    <w:rsid w:val="45485FD0"/>
    <w:rsid w:val="454B2248"/>
    <w:rsid w:val="455F7341"/>
    <w:rsid w:val="45684BA8"/>
    <w:rsid w:val="45694D0A"/>
    <w:rsid w:val="45730AF9"/>
    <w:rsid w:val="45790B64"/>
    <w:rsid w:val="4585154E"/>
    <w:rsid w:val="45947182"/>
    <w:rsid w:val="45965CFE"/>
    <w:rsid w:val="459A4240"/>
    <w:rsid w:val="459B5914"/>
    <w:rsid w:val="45AA75D1"/>
    <w:rsid w:val="45B24076"/>
    <w:rsid w:val="45B57A28"/>
    <w:rsid w:val="45B66329"/>
    <w:rsid w:val="45C3763E"/>
    <w:rsid w:val="45CC3389"/>
    <w:rsid w:val="45D43FEC"/>
    <w:rsid w:val="45D466E2"/>
    <w:rsid w:val="45D77C06"/>
    <w:rsid w:val="45EF0E26"/>
    <w:rsid w:val="45F16636"/>
    <w:rsid w:val="45FD187B"/>
    <w:rsid w:val="4602687F"/>
    <w:rsid w:val="460D74FE"/>
    <w:rsid w:val="46127BB6"/>
    <w:rsid w:val="46146ADE"/>
    <w:rsid w:val="46274A64"/>
    <w:rsid w:val="464007D6"/>
    <w:rsid w:val="464A088B"/>
    <w:rsid w:val="464E1DE3"/>
    <w:rsid w:val="464F2A85"/>
    <w:rsid w:val="46503FBA"/>
    <w:rsid w:val="465D1C4F"/>
    <w:rsid w:val="465D66D7"/>
    <w:rsid w:val="466018BA"/>
    <w:rsid w:val="46671883"/>
    <w:rsid w:val="46717A8D"/>
    <w:rsid w:val="46A41C10"/>
    <w:rsid w:val="46CD5E38"/>
    <w:rsid w:val="46DD13C5"/>
    <w:rsid w:val="46E62229"/>
    <w:rsid w:val="46E94D29"/>
    <w:rsid w:val="46EE37D3"/>
    <w:rsid w:val="46FE1EDD"/>
    <w:rsid w:val="47053186"/>
    <w:rsid w:val="471A69C9"/>
    <w:rsid w:val="47372A84"/>
    <w:rsid w:val="47421DAD"/>
    <w:rsid w:val="47446FF4"/>
    <w:rsid w:val="47643C7B"/>
    <w:rsid w:val="47731D29"/>
    <w:rsid w:val="47744E9B"/>
    <w:rsid w:val="47745A86"/>
    <w:rsid w:val="477A2E85"/>
    <w:rsid w:val="477B4DB0"/>
    <w:rsid w:val="477F4B17"/>
    <w:rsid w:val="478B4B7E"/>
    <w:rsid w:val="47921E66"/>
    <w:rsid w:val="479A09F6"/>
    <w:rsid w:val="479E5A69"/>
    <w:rsid w:val="47A735E5"/>
    <w:rsid w:val="47B10A89"/>
    <w:rsid w:val="47C634A0"/>
    <w:rsid w:val="47C702AC"/>
    <w:rsid w:val="47CE682C"/>
    <w:rsid w:val="47CF264E"/>
    <w:rsid w:val="47CF53B3"/>
    <w:rsid w:val="47E76DB2"/>
    <w:rsid w:val="47E80223"/>
    <w:rsid w:val="47E979D7"/>
    <w:rsid w:val="47F62D7A"/>
    <w:rsid w:val="47FD5DF2"/>
    <w:rsid w:val="4805359A"/>
    <w:rsid w:val="480B000A"/>
    <w:rsid w:val="480F755D"/>
    <w:rsid w:val="481C651B"/>
    <w:rsid w:val="48240939"/>
    <w:rsid w:val="482A083B"/>
    <w:rsid w:val="482A53D6"/>
    <w:rsid w:val="48403BBB"/>
    <w:rsid w:val="48404343"/>
    <w:rsid w:val="48457423"/>
    <w:rsid w:val="484A67E7"/>
    <w:rsid w:val="484A6EEA"/>
    <w:rsid w:val="48637D5E"/>
    <w:rsid w:val="48645AFB"/>
    <w:rsid w:val="487B5A68"/>
    <w:rsid w:val="487F0120"/>
    <w:rsid w:val="4886052E"/>
    <w:rsid w:val="488A12DA"/>
    <w:rsid w:val="48931F3C"/>
    <w:rsid w:val="48947E12"/>
    <w:rsid w:val="48985AF3"/>
    <w:rsid w:val="48A05277"/>
    <w:rsid w:val="48B50FFB"/>
    <w:rsid w:val="48B819A3"/>
    <w:rsid w:val="48B85E47"/>
    <w:rsid w:val="48C20A74"/>
    <w:rsid w:val="48D46A2D"/>
    <w:rsid w:val="48D63213"/>
    <w:rsid w:val="48D95E07"/>
    <w:rsid w:val="48F43FBF"/>
    <w:rsid w:val="48F563C0"/>
    <w:rsid w:val="48FD5F50"/>
    <w:rsid w:val="490279F1"/>
    <w:rsid w:val="490868D4"/>
    <w:rsid w:val="49087613"/>
    <w:rsid w:val="490E5C39"/>
    <w:rsid w:val="49155047"/>
    <w:rsid w:val="49171082"/>
    <w:rsid w:val="49211C3E"/>
    <w:rsid w:val="492B0B9D"/>
    <w:rsid w:val="492B486B"/>
    <w:rsid w:val="492D6733"/>
    <w:rsid w:val="49311708"/>
    <w:rsid w:val="49341C23"/>
    <w:rsid w:val="493962EA"/>
    <w:rsid w:val="493F20C4"/>
    <w:rsid w:val="495F59AD"/>
    <w:rsid w:val="497526AF"/>
    <w:rsid w:val="497A3114"/>
    <w:rsid w:val="498112FB"/>
    <w:rsid w:val="49992446"/>
    <w:rsid w:val="49A03A49"/>
    <w:rsid w:val="49A563CB"/>
    <w:rsid w:val="49B860FF"/>
    <w:rsid w:val="49C56BA9"/>
    <w:rsid w:val="49CE6D23"/>
    <w:rsid w:val="49D95F6B"/>
    <w:rsid w:val="49DC0AFB"/>
    <w:rsid w:val="49DE5B2D"/>
    <w:rsid w:val="49EB4F0C"/>
    <w:rsid w:val="49F72097"/>
    <w:rsid w:val="49F7474D"/>
    <w:rsid w:val="49FD6207"/>
    <w:rsid w:val="4A01583A"/>
    <w:rsid w:val="4A0975F4"/>
    <w:rsid w:val="4A0C3094"/>
    <w:rsid w:val="4A265482"/>
    <w:rsid w:val="4A286FFC"/>
    <w:rsid w:val="4A314103"/>
    <w:rsid w:val="4A332FF8"/>
    <w:rsid w:val="4A347F6C"/>
    <w:rsid w:val="4A361719"/>
    <w:rsid w:val="4A3819E8"/>
    <w:rsid w:val="4A524CE4"/>
    <w:rsid w:val="4A572337"/>
    <w:rsid w:val="4A594F69"/>
    <w:rsid w:val="4A7162AD"/>
    <w:rsid w:val="4A734EDD"/>
    <w:rsid w:val="4A7B014E"/>
    <w:rsid w:val="4A7F5CBF"/>
    <w:rsid w:val="4A800BE6"/>
    <w:rsid w:val="4A83494B"/>
    <w:rsid w:val="4A895CED"/>
    <w:rsid w:val="4A8C396A"/>
    <w:rsid w:val="4A930919"/>
    <w:rsid w:val="4A9621B8"/>
    <w:rsid w:val="4A993A56"/>
    <w:rsid w:val="4A9D28FF"/>
    <w:rsid w:val="4AA14808"/>
    <w:rsid w:val="4AC42386"/>
    <w:rsid w:val="4AD36A27"/>
    <w:rsid w:val="4ADF6FC1"/>
    <w:rsid w:val="4AE04797"/>
    <w:rsid w:val="4AEF4970"/>
    <w:rsid w:val="4B0B461C"/>
    <w:rsid w:val="4B0C5C86"/>
    <w:rsid w:val="4B2417CC"/>
    <w:rsid w:val="4B29302C"/>
    <w:rsid w:val="4B314FE4"/>
    <w:rsid w:val="4B460089"/>
    <w:rsid w:val="4B4F5D43"/>
    <w:rsid w:val="4B571947"/>
    <w:rsid w:val="4B5C52BD"/>
    <w:rsid w:val="4B5F2A0F"/>
    <w:rsid w:val="4B6F528A"/>
    <w:rsid w:val="4B721CEB"/>
    <w:rsid w:val="4B837148"/>
    <w:rsid w:val="4B9416E6"/>
    <w:rsid w:val="4B9C1A50"/>
    <w:rsid w:val="4BA85A3E"/>
    <w:rsid w:val="4BBC17AA"/>
    <w:rsid w:val="4BBE3069"/>
    <w:rsid w:val="4BC14F76"/>
    <w:rsid w:val="4BC62629"/>
    <w:rsid w:val="4BCC79C4"/>
    <w:rsid w:val="4BD41542"/>
    <w:rsid w:val="4BD525C4"/>
    <w:rsid w:val="4BD66E16"/>
    <w:rsid w:val="4BE37D3E"/>
    <w:rsid w:val="4BE979D8"/>
    <w:rsid w:val="4BFD64D0"/>
    <w:rsid w:val="4C0D35DE"/>
    <w:rsid w:val="4C0E77DF"/>
    <w:rsid w:val="4C285035"/>
    <w:rsid w:val="4C393AEB"/>
    <w:rsid w:val="4C431ECB"/>
    <w:rsid w:val="4C5217F8"/>
    <w:rsid w:val="4C550243"/>
    <w:rsid w:val="4C5E4F57"/>
    <w:rsid w:val="4C7A24D7"/>
    <w:rsid w:val="4C96649F"/>
    <w:rsid w:val="4CAB59F5"/>
    <w:rsid w:val="4CAD5597"/>
    <w:rsid w:val="4CB46925"/>
    <w:rsid w:val="4CC76658"/>
    <w:rsid w:val="4CD66BC2"/>
    <w:rsid w:val="4CD81EDF"/>
    <w:rsid w:val="4CDF0AE0"/>
    <w:rsid w:val="4CE0771A"/>
    <w:rsid w:val="4CEC2563"/>
    <w:rsid w:val="4CF24CCA"/>
    <w:rsid w:val="4CF65190"/>
    <w:rsid w:val="4D067B4C"/>
    <w:rsid w:val="4D106251"/>
    <w:rsid w:val="4D3968BD"/>
    <w:rsid w:val="4D5048A0"/>
    <w:rsid w:val="4D5277B1"/>
    <w:rsid w:val="4D607A39"/>
    <w:rsid w:val="4D641FBA"/>
    <w:rsid w:val="4D774011"/>
    <w:rsid w:val="4D7B4B97"/>
    <w:rsid w:val="4D810C89"/>
    <w:rsid w:val="4D9E1AAF"/>
    <w:rsid w:val="4D9F2236"/>
    <w:rsid w:val="4DA81276"/>
    <w:rsid w:val="4DAD7A29"/>
    <w:rsid w:val="4DD52FF7"/>
    <w:rsid w:val="4DD806E6"/>
    <w:rsid w:val="4DDD6A1E"/>
    <w:rsid w:val="4DEB7471"/>
    <w:rsid w:val="4DF06083"/>
    <w:rsid w:val="4DF2620B"/>
    <w:rsid w:val="4E081082"/>
    <w:rsid w:val="4E12173A"/>
    <w:rsid w:val="4E2163FF"/>
    <w:rsid w:val="4E257ADB"/>
    <w:rsid w:val="4E2A7A69"/>
    <w:rsid w:val="4E2B0E69"/>
    <w:rsid w:val="4E2F5300"/>
    <w:rsid w:val="4E346BBE"/>
    <w:rsid w:val="4E3C5E84"/>
    <w:rsid w:val="4E4200AF"/>
    <w:rsid w:val="4E43384C"/>
    <w:rsid w:val="4E4D5283"/>
    <w:rsid w:val="4E54289B"/>
    <w:rsid w:val="4E547C30"/>
    <w:rsid w:val="4E7E1AB8"/>
    <w:rsid w:val="4E8174ED"/>
    <w:rsid w:val="4E883785"/>
    <w:rsid w:val="4E8D2E04"/>
    <w:rsid w:val="4EA07161"/>
    <w:rsid w:val="4EA63D16"/>
    <w:rsid w:val="4EA77960"/>
    <w:rsid w:val="4EAC3C89"/>
    <w:rsid w:val="4EAC3D12"/>
    <w:rsid w:val="4EB47AF7"/>
    <w:rsid w:val="4EBC01D7"/>
    <w:rsid w:val="4EBC4FD5"/>
    <w:rsid w:val="4ED71797"/>
    <w:rsid w:val="4EDD6607"/>
    <w:rsid w:val="4EE759F5"/>
    <w:rsid w:val="4EE77256"/>
    <w:rsid w:val="4EEC627F"/>
    <w:rsid w:val="4EF15C0F"/>
    <w:rsid w:val="4F0F14A5"/>
    <w:rsid w:val="4F1813ED"/>
    <w:rsid w:val="4F1D37ED"/>
    <w:rsid w:val="4F264677"/>
    <w:rsid w:val="4F346466"/>
    <w:rsid w:val="4F400944"/>
    <w:rsid w:val="4F42240D"/>
    <w:rsid w:val="4F57157C"/>
    <w:rsid w:val="4F632BA8"/>
    <w:rsid w:val="4F860B05"/>
    <w:rsid w:val="4F98252E"/>
    <w:rsid w:val="4F9B5B7A"/>
    <w:rsid w:val="4F9D7E5D"/>
    <w:rsid w:val="4FA221B2"/>
    <w:rsid w:val="4FB419BC"/>
    <w:rsid w:val="4FD0061B"/>
    <w:rsid w:val="4FDD6193"/>
    <w:rsid w:val="500E48AA"/>
    <w:rsid w:val="50120532"/>
    <w:rsid w:val="50145586"/>
    <w:rsid w:val="50265397"/>
    <w:rsid w:val="503009B9"/>
    <w:rsid w:val="50494DC1"/>
    <w:rsid w:val="50702DBA"/>
    <w:rsid w:val="50772144"/>
    <w:rsid w:val="50795EBC"/>
    <w:rsid w:val="507E7A1A"/>
    <w:rsid w:val="507F724A"/>
    <w:rsid w:val="508036EE"/>
    <w:rsid w:val="508D1967"/>
    <w:rsid w:val="50901457"/>
    <w:rsid w:val="509C305B"/>
    <w:rsid w:val="50AB7F7F"/>
    <w:rsid w:val="50C734F3"/>
    <w:rsid w:val="50C80BF1"/>
    <w:rsid w:val="50D56148"/>
    <w:rsid w:val="50DD23FB"/>
    <w:rsid w:val="50E0510A"/>
    <w:rsid w:val="50E1457B"/>
    <w:rsid w:val="50EC0D83"/>
    <w:rsid w:val="50F86735"/>
    <w:rsid w:val="51007BB2"/>
    <w:rsid w:val="51051E45"/>
    <w:rsid w:val="511410E9"/>
    <w:rsid w:val="51167BAE"/>
    <w:rsid w:val="511B6F73"/>
    <w:rsid w:val="513748EB"/>
    <w:rsid w:val="513F5082"/>
    <w:rsid w:val="51422751"/>
    <w:rsid w:val="51433511"/>
    <w:rsid w:val="51451007"/>
    <w:rsid w:val="51502B40"/>
    <w:rsid w:val="51547E98"/>
    <w:rsid w:val="515626A1"/>
    <w:rsid w:val="515B7CB7"/>
    <w:rsid w:val="51776B62"/>
    <w:rsid w:val="51804432"/>
    <w:rsid w:val="51861C76"/>
    <w:rsid w:val="518C66BB"/>
    <w:rsid w:val="518C7D66"/>
    <w:rsid w:val="51903ADB"/>
    <w:rsid w:val="51907961"/>
    <w:rsid w:val="519136D9"/>
    <w:rsid w:val="519345B2"/>
    <w:rsid w:val="519B13A8"/>
    <w:rsid w:val="51A0391C"/>
    <w:rsid w:val="51A35B7E"/>
    <w:rsid w:val="51A76A58"/>
    <w:rsid w:val="51A96C75"/>
    <w:rsid w:val="51AB6549"/>
    <w:rsid w:val="51AE7DE7"/>
    <w:rsid w:val="51DA0248"/>
    <w:rsid w:val="51DE12B3"/>
    <w:rsid w:val="51E01EAB"/>
    <w:rsid w:val="51E643D3"/>
    <w:rsid w:val="51E8779D"/>
    <w:rsid w:val="51EE0B2B"/>
    <w:rsid w:val="520C2D5F"/>
    <w:rsid w:val="52104F50"/>
    <w:rsid w:val="522D51B0"/>
    <w:rsid w:val="523646CD"/>
    <w:rsid w:val="523A2E32"/>
    <w:rsid w:val="523C5D36"/>
    <w:rsid w:val="52423E63"/>
    <w:rsid w:val="52437513"/>
    <w:rsid w:val="52481FEA"/>
    <w:rsid w:val="52487199"/>
    <w:rsid w:val="524B3576"/>
    <w:rsid w:val="52556A4B"/>
    <w:rsid w:val="525F7333"/>
    <w:rsid w:val="528374C6"/>
    <w:rsid w:val="52862B12"/>
    <w:rsid w:val="528B1ED6"/>
    <w:rsid w:val="529B6C78"/>
    <w:rsid w:val="52B76009"/>
    <w:rsid w:val="52C3746A"/>
    <w:rsid w:val="52D56189"/>
    <w:rsid w:val="52F21F55"/>
    <w:rsid w:val="52FC5C5D"/>
    <w:rsid w:val="530711EA"/>
    <w:rsid w:val="531A2245"/>
    <w:rsid w:val="532347AD"/>
    <w:rsid w:val="532B3763"/>
    <w:rsid w:val="53490DC2"/>
    <w:rsid w:val="53500DE4"/>
    <w:rsid w:val="535A5F48"/>
    <w:rsid w:val="536077E8"/>
    <w:rsid w:val="5370484D"/>
    <w:rsid w:val="537A08C9"/>
    <w:rsid w:val="539F20DD"/>
    <w:rsid w:val="539F56A4"/>
    <w:rsid w:val="53A276CC"/>
    <w:rsid w:val="53AD0657"/>
    <w:rsid w:val="53AF2487"/>
    <w:rsid w:val="53B51901"/>
    <w:rsid w:val="53B611D5"/>
    <w:rsid w:val="53CB23D2"/>
    <w:rsid w:val="53E1503E"/>
    <w:rsid w:val="53F817ED"/>
    <w:rsid w:val="53F90041"/>
    <w:rsid w:val="5402441A"/>
    <w:rsid w:val="54091A6F"/>
    <w:rsid w:val="54273E81"/>
    <w:rsid w:val="542813F0"/>
    <w:rsid w:val="542A07E4"/>
    <w:rsid w:val="5430135B"/>
    <w:rsid w:val="544335C6"/>
    <w:rsid w:val="54451EC0"/>
    <w:rsid w:val="544868DE"/>
    <w:rsid w:val="54521371"/>
    <w:rsid w:val="54534C76"/>
    <w:rsid w:val="545729B8"/>
    <w:rsid w:val="545C6243"/>
    <w:rsid w:val="545F2967"/>
    <w:rsid w:val="54640021"/>
    <w:rsid w:val="546A35D2"/>
    <w:rsid w:val="547A66A6"/>
    <w:rsid w:val="547C2257"/>
    <w:rsid w:val="548955E5"/>
    <w:rsid w:val="549C661D"/>
    <w:rsid w:val="549E264E"/>
    <w:rsid w:val="54AA0D3A"/>
    <w:rsid w:val="54AE00FE"/>
    <w:rsid w:val="54B24092"/>
    <w:rsid w:val="54BE0B40"/>
    <w:rsid w:val="54C33BA9"/>
    <w:rsid w:val="54C46DF7"/>
    <w:rsid w:val="54C55B73"/>
    <w:rsid w:val="54C805D4"/>
    <w:rsid w:val="54DE4835"/>
    <w:rsid w:val="54E83B2A"/>
    <w:rsid w:val="54F2623D"/>
    <w:rsid w:val="54F82ABF"/>
    <w:rsid w:val="55020B76"/>
    <w:rsid w:val="55222FC6"/>
    <w:rsid w:val="552C6636"/>
    <w:rsid w:val="553027F9"/>
    <w:rsid w:val="553D4BCF"/>
    <w:rsid w:val="554241E8"/>
    <w:rsid w:val="554747DA"/>
    <w:rsid w:val="5552317F"/>
    <w:rsid w:val="55562C6F"/>
    <w:rsid w:val="555869E7"/>
    <w:rsid w:val="555E1B7D"/>
    <w:rsid w:val="55621CEF"/>
    <w:rsid w:val="55676C2B"/>
    <w:rsid w:val="556F4D27"/>
    <w:rsid w:val="557C66F9"/>
    <w:rsid w:val="55903525"/>
    <w:rsid w:val="55946B86"/>
    <w:rsid w:val="55967840"/>
    <w:rsid w:val="559E021B"/>
    <w:rsid w:val="55A27C63"/>
    <w:rsid w:val="55A8516B"/>
    <w:rsid w:val="55BF5D3A"/>
    <w:rsid w:val="55C027DF"/>
    <w:rsid w:val="55C23ED0"/>
    <w:rsid w:val="55C968A1"/>
    <w:rsid w:val="55CC2337"/>
    <w:rsid w:val="55D021CE"/>
    <w:rsid w:val="55D12837"/>
    <w:rsid w:val="55DC686E"/>
    <w:rsid w:val="55E77179"/>
    <w:rsid w:val="55F761C0"/>
    <w:rsid w:val="55F7664B"/>
    <w:rsid w:val="55FA6A75"/>
    <w:rsid w:val="56004B7D"/>
    <w:rsid w:val="56091A90"/>
    <w:rsid w:val="56101068"/>
    <w:rsid w:val="56116A28"/>
    <w:rsid w:val="56175849"/>
    <w:rsid w:val="56243BCC"/>
    <w:rsid w:val="563551AF"/>
    <w:rsid w:val="56404134"/>
    <w:rsid w:val="56411509"/>
    <w:rsid w:val="56416DD9"/>
    <w:rsid w:val="564275D8"/>
    <w:rsid w:val="56501F08"/>
    <w:rsid w:val="56536E4C"/>
    <w:rsid w:val="56552F27"/>
    <w:rsid w:val="56583C63"/>
    <w:rsid w:val="565A6FAE"/>
    <w:rsid w:val="565B44A2"/>
    <w:rsid w:val="56723AD9"/>
    <w:rsid w:val="56810B43"/>
    <w:rsid w:val="568B6BE0"/>
    <w:rsid w:val="569B7F96"/>
    <w:rsid w:val="56A04E77"/>
    <w:rsid w:val="56A10098"/>
    <w:rsid w:val="56A41832"/>
    <w:rsid w:val="56A87127"/>
    <w:rsid w:val="56B22658"/>
    <w:rsid w:val="56B23C2C"/>
    <w:rsid w:val="56CE25B0"/>
    <w:rsid w:val="56EF3078"/>
    <w:rsid w:val="56F22703"/>
    <w:rsid w:val="56FE711B"/>
    <w:rsid w:val="570235A6"/>
    <w:rsid w:val="571428B9"/>
    <w:rsid w:val="571526B6"/>
    <w:rsid w:val="57186F13"/>
    <w:rsid w:val="572528F9"/>
    <w:rsid w:val="57291412"/>
    <w:rsid w:val="572B4CD4"/>
    <w:rsid w:val="57304168"/>
    <w:rsid w:val="574F3E1A"/>
    <w:rsid w:val="57525044"/>
    <w:rsid w:val="575530B0"/>
    <w:rsid w:val="579A4486"/>
    <w:rsid w:val="579E445A"/>
    <w:rsid w:val="57A67CB8"/>
    <w:rsid w:val="57AC4B6F"/>
    <w:rsid w:val="57AF6A97"/>
    <w:rsid w:val="57B035A5"/>
    <w:rsid w:val="57B603C6"/>
    <w:rsid w:val="57C6549F"/>
    <w:rsid w:val="57E23E8E"/>
    <w:rsid w:val="57E2425F"/>
    <w:rsid w:val="57EA3B43"/>
    <w:rsid w:val="58023023"/>
    <w:rsid w:val="580309FC"/>
    <w:rsid w:val="580368F4"/>
    <w:rsid w:val="5814296E"/>
    <w:rsid w:val="5816094C"/>
    <w:rsid w:val="581C2F61"/>
    <w:rsid w:val="58233265"/>
    <w:rsid w:val="58240E03"/>
    <w:rsid w:val="582C5F09"/>
    <w:rsid w:val="583316D3"/>
    <w:rsid w:val="5838665C"/>
    <w:rsid w:val="58434292"/>
    <w:rsid w:val="58445C23"/>
    <w:rsid w:val="58580AAD"/>
    <w:rsid w:val="5870229A"/>
    <w:rsid w:val="58710D40"/>
    <w:rsid w:val="58721B1C"/>
    <w:rsid w:val="58767185"/>
    <w:rsid w:val="5878684A"/>
    <w:rsid w:val="587C29ED"/>
    <w:rsid w:val="58856D1A"/>
    <w:rsid w:val="58862ECD"/>
    <w:rsid w:val="58951D01"/>
    <w:rsid w:val="58990369"/>
    <w:rsid w:val="589917F1"/>
    <w:rsid w:val="58AD47DD"/>
    <w:rsid w:val="58BD5714"/>
    <w:rsid w:val="58C15DD4"/>
    <w:rsid w:val="58CD4FF7"/>
    <w:rsid w:val="58DF2211"/>
    <w:rsid w:val="58E6430A"/>
    <w:rsid w:val="58EE6D79"/>
    <w:rsid w:val="58F0272A"/>
    <w:rsid w:val="58FF2E99"/>
    <w:rsid w:val="59011144"/>
    <w:rsid w:val="59035258"/>
    <w:rsid w:val="591744DE"/>
    <w:rsid w:val="59450261"/>
    <w:rsid w:val="594651C8"/>
    <w:rsid w:val="5947124D"/>
    <w:rsid w:val="594869A2"/>
    <w:rsid w:val="594D721D"/>
    <w:rsid w:val="59520643"/>
    <w:rsid w:val="595870E6"/>
    <w:rsid w:val="596209A6"/>
    <w:rsid w:val="5964386B"/>
    <w:rsid w:val="597554DF"/>
    <w:rsid w:val="597D6FAF"/>
    <w:rsid w:val="598D61AB"/>
    <w:rsid w:val="598F6750"/>
    <w:rsid w:val="599535E2"/>
    <w:rsid w:val="59A214D7"/>
    <w:rsid w:val="59A95B72"/>
    <w:rsid w:val="59B30D78"/>
    <w:rsid w:val="59B74671"/>
    <w:rsid w:val="59BD64AC"/>
    <w:rsid w:val="59CA6DFB"/>
    <w:rsid w:val="59D04961"/>
    <w:rsid w:val="59D14816"/>
    <w:rsid w:val="59EA60AA"/>
    <w:rsid w:val="59EF5A03"/>
    <w:rsid w:val="5A1B4D97"/>
    <w:rsid w:val="5A290952"/>
    <w:rsid w:val="5A2E01D2"/>
    <w:rsid w:val="5A51401E"/>
    <w:rsid w:val="5A53777D"/>
    <w:rsid w:val="5A5602CA"/>
    <w:rsid w:val="5A56101C"/>
    <w:rsid w:val="5A6104A6"/>
    <w:rsid w:val="5A643739"/>
    <w:rsid w:val="5A71551C"/>
    <w:rsid w:val="5A7840A0"/>
    <w:rsid w:val="5A902908"/>
    <w:rsid w:val="5A9F4452"/>
    <w:rsid w:val="5AB346C0"/>
    <w:rsid w:val="5ABE1607"/>
    <w:rsid w:val="5AD240D0"/>
    <w:rsid w:val="5ADA5D82"/>
    <w:rsid w:val="5AEE56F8"/>
    <w:rsid w:val="5AF80C1D"/>
    <w:rsid w:val="5AF820D3"/>
    <w:rsid w:val="5AFC7E15"/>
    <w:rsid w:val="5B022743"/>
    <w:rsid w:val="5B027FD6"/>
    <w:rsid w:val="5B120984"/>
    <w:rsid w:val="5B123918"/>
    <w:rsid w:val="5B183C41"/>
    <w:rsid w:val="5B231846"/>
    <w:rsid w:val="5B2626BE"/>
    <w:rsid w:val="5B33135D"/>
    <w:rsid w:val="5B5215AC"/>
    <w:rsid w:val="5B5C4D58"/>
    <w:rsid w:val="5B5E1FC2"/>
    <w:rsid w:val="5B610C1F"/>
    <w:rsid w:val="5B67008B"/>
    <w:rsid w:val="5B6A4B13"/>
    <w:rsid w:val="5B7243B0"/>
    <w:rsid w:val="5B72720F"/>
    <w:rsid w:val="5B7377AF"/>
    <w:rsid w:val="5B7C4AB2"/>
    <w:rsid w:val="5B8A0BEC"/>
    <w:rsid w:val="5B9261ED"/>
    <w:rsid w:val="5BA62D70"/>
    <w:rsid w:val="5BB10966"/>
    <w:rsid w:val="5BBE45E4"/>
    <w:rsid w:val="5BC21C93"/>
    <w:rsid w:val="5BE72873"/>
    <w:rsid w:val="5BE84965"/>
    <w:rsid w:val="5BF8682E"/>
    <w:rsid w:val="5BF92B78"/>
    <w:rsid w:val="5BF95423"/>
    <w:rsid w:val="5BFB00CD"/>
    <w:rsid w:val="5C161EB9"/>
    <w:rsid w:val="5C180C7F"/>
    <w:rsid w:val="5C1D6295"/>
    <w:rsid w:val="5C1F4C32"/>
    <w:rsid w:val="5C232C28"/>
    <w:rsid w:val="5C237623"/>
    <w:rsid w:val="5C29365C"/>
    <w:rsid w:val="5C423F4D"/>
    <w:rsid w:val="5C425CFC"/>
    <w:rsid w:val="5C46074B"/>
    <w:rsid w:val="5C557E8A"/>
    <w:rsid w:val="5C58260D"/>
    <w:rsid w:val="5C5E30D8"/>
    <w:rsid w:val="5C7646CB"/>
    <w:rsid w:val="5C7F0CFE"/>
    <w:rsid w:val="5C997836"/>
    <w:rsid w:val="5CA73DB1"/>
    <w:rsid w:val="5CAC5847"/>
    <w:rsid w:val="5CB03A50"/>
    <w:rsid w:val="5CB07109"/>
    <w:rsid w:val="5CBA4AB1"/>
    <w:rsid w:val="5CC0462F"/>
    <w:rsid w:val="5CCB02D4"/>
    <w:rsid w:val="5CCF14F4"/>
    <w:rsid w:val="5CD874B5"/>
    <w:rsid w:val="5CE53D02"/>
    <w:rsid w:val="5CE648D9"/>
    <w:rsid w:val="5CF36FF6"/>
    <w:rsid w:val="5CFD2008"/>
    <w:rsid w:val="5CFE1ADB"/>
    <w:rsid w:val="5D0C00B7"/>
    <w:rsid w:val="5D153410"/>
    <w:rsid w:val="5D2E44D2"/>
    <w:rsid w:val="5D3F4A3A"/>
    <w:rsid w:val="5D41118A"/>
    <w:rsid w:val="5D423AD9"/>
    <w:rsid w:val="5D442B3B"/>
    <w:rsid w:val="5D450B06"/>
    <w:rsid w:val="5D5020A1"/>
    <w:rsid w:val="5D5135B6"/>
    <w:rsid w:val="5D5C103F"/>
    <w:rsid w:val="5D5F2DE6"/>
    <w:rsid w:val="5D6E290D"/>
    <w:rsid w:val="5D753342"/>
    <w:rsid w:val="5D7F43D2"/>
    <w:rsid w:val="5D84157F"/>
    <w:rsid w:val="5D883BE2"/>
    <w:rsid w:val="5D8F0FB9"/>
    <w:rsid w:val="5D911DB3"/>
    <w:rsid w:val="5D944335"/>
    <w:rsid w:val="5D99752D"/>
    <w:rsid w:val="5DA86032"/>
    <w:rsid w:val="5DAF73C1"/>
    <w:rsid w:val="5DB70023"/>
    <w:rsid w:val="5DBB2511"/>
    <w:rsid w:val="5DBE5856"/>
    <w:rsid w:val="5DDA3E2A"/>
    <w:rsid w:val="5DE40889"/>
    <w:rsid w:val="5DF23751"/>
    <w:rsid w:val="5DF63241"/>
    <w:rsid w:val="5DF82331"/>
    <w:rsid w:val="5DFB0858"/>
    <w:rsid w:val="5E055233"/>
    <w:rsid w:val="5E100FD9"/>
    <w:rsid w:val="5E1772E5"/>
    <w:rsid w:val="5E276AD2"/>
    <w:rsid w:val="5E322113"/>
    <w:rsid w:val="5E39312E"/>
    <w:rsid w:val="5E4775F9"/>
    <w:rsid w:val="5E54098B"/>
    <w:rsid w:val="5E555A9A"/>
    <w:rsid w:val="5E6463FD"/>
    <w:rsid w:val="5E6879BA"/>
    <w:rsid w:val="5E7005EF"/>
    <w:rsid w:val="5E7B069C"/>
    <w:rsid w:val="5E815B61"/>
    <w:rsid w:val="5E9A4CBA"/>
    <w:rsid w:val="5EA031AD"/>
    <w:rsid w:val="5EAA39AC"/>
    <w:rsid w:val="5EB131EC"/>
    <w:rsid w:val="5EB50A07"/>
    <w:rsid w:val="5EC21BA8"/>
    <w:rsid w:val="5EC65064"/>
    <w:rsid w:val="5EC6535E"/>
    <w:rsid w:val="5EE96902"/>
    <w:rsid w:val="5EEC01A1"/>
    <w:rsid w:val="5EF14313"/>
    <w:rsid w:val="5F01554E"/>
    <w:rsid w:val="5F090D52"/>
    <w:rsid w:val="5F0A08D8"/>
    <w:rsid w:val="5F0C446A"/>
    <w:rsid w:val="5F141469"/>
    <w:rsid w:val="5F160B34"/>
    <w:rsid w:val="5F1A4D0E"/>
    <w:rsid w:val="5F264A7B"/>
    <w:rsid w:val="5F2913F5"/>
    <w:rsid w:val="5F294F51"/>
    <w:rsid w:val="5F2E07B9"/>
    <w:rsid w:val="5F3D27AA"/>
    <w:rsid w:val="5F415C53"/>
    <w:rsid w:val="5F434264"/>
    <w:rsid w:val="5F481AFA"/>
    <w:rsid w:val="5F4C33F1"/>
    <w:rsid w:val="5F510F8A"/>
    <w:rsid w:val="5F603AC2"/>
    <w:rsid w:val="5F6F47EF"/>
    <w:rsid w:val="5F797C86"/>
    <w:rsid w:val="5F7A63F7"/>
    <w:rsid w:val="5F9C5723"/>
    <w:rsid w:val="5FB567E4"/>
    <w:rsid w:val="5FC345BF"/>
    <w:rsid w:val="5FCC2465"/>
    <w:rsid w:val="5FD16066"/>
    <w:rsid w:val="5FD37DBD"/>
    <w:rsid w:val="5FF4730D"/>
    <w:rsid w:val="5FF97FD7"/>
    <w:rsid w:val="5FFD1FD6"/>
    <w:rsid w:val="5FFD73A2"/>
    <w:rsid w:val="60132695"/>
    <w:rsid w:val="601F3304"/>
    <w:rsid w:val="602538D1"/>
    <w:rsid w:val="602E35F0"/>
    <w:rsid w:val="60376342"/>
    <w:rsid w:val="604810F7"/>
    <w:rsid w:val="60517035"/>
    <w:rsid w:val="605534F3"/>
    <w:rsid w:val="60553502"/>
    <w:rsid w:val="606918E5"/>
    <w:rsid w:val="606B172E"/>
    <w:rsid w:val="607F4AFF"/>
    <w:rsid w:val="60810AF0"/>
    <w:rsid w:val="60815459"/>
    <w:rsid w:val="608518BB"/>
    <w:rsid w:val="608F708F"/>
    <w:rsid w:val="60924A0D"/>
    <w:rsid w:val="6098191D"/>
    <w:rsid w:val="609B59DA"/>
    <w:rsid w:val="609B60EB"/>
    <w:rsid w:val="60A4375B"/>
    <w:rsid w:val="60A82A3E"/>
    <w:rsid w:val="60B16E66"/>
    <w:rsid w:val="60C110F2"/>
    <w:rsid w:val="60C420B6"/>
    <w:rsid w:val="60D1481F"/>
    <w:rsid w:val="60DC2CC3"/>
    <w:rsid w:val="60DF4F9F"/>
    <w:rsid w:val="60E530F9"/>
    <w:rsid w:val="60F264E5"/>
    <w:rsid w:val="60F72902"/>
    <w:rsid w:val="61002057"/>
    <w:rsid w:val="61007F33"/>
    <w:rsid w:val="6109328C"/>
    <w:rsid w:val="610D1DB7"/>
    <w:rsid w:val="610E0521"/>
    <w:rsid w:val="61185D13"/>
    <w:rsid w:val="61280ADF"/>
    <w:rsid w:val="61291238"/>
    <w:rsid w:val="613377E7"/>
    <w:rsid w:val="6138092A"/>
    <w:rsid w:val="61481506"/>
    <w:rsid w:val="61580538"/>
    <w:rsid w:val="61682BD1"/>
    <w:rsid w:val="616E7593"/>
    <w:rsid w:val="61750921"/>
    <w:rsid w:val="6175447D"/>
    <w:rsid w:val="61774699"/>
    <w:rsid w:val="617E4B22"/>
    <w:rsid w:val="61880654"/>
    <w:rsid w:val="619863BE"/>
    <w:rsid w:val="61A134C4"/>
    <w:rsid w:val="61B442E6"/>
    <w:rsid w:val="61BF3EDA"/>
    <w:rsid w:val="61C6470F"/>
    <w:rsid w:val="61C827FF"/>
    <w:rsid w:val="61CB6793"/>
    <w:rsid w:val="61DC49CE"/>
    <w:rsid w:val="61DE4348"/>
    <w:rsid w:val="61F45CEA"/>
    <w:rsid w:val="61F65784"/>
    <w:rsid w:val="61F71336"/>
    <w:rsid w:val="61FB42CF"/>
    <w:rsid w:val="62060558"/>
    <w:rsid w:val="62127F1E"/>
    <w:rsid w:val="62145252"/>
    <w:rsid w:val="621505FF"/>
    <w:rsid w:val="621A6DD3"/>
    <w:rsid w:val="621F4154"/>
    <w:rsid w:val="6223037D"/>
    <w:rsid w:val="622A170C"/>
    <w:rsid w:val="6230263F"/>
    <w:rsid w:val="62402CDD"/>
    <w:rsid w:val="624B3AF6"/>
    <w:rsid w:val="62513687"/>
    <w:rsid w:val="625642AF"/>
    <w:rsid w:val="625915CC"/>
    <w:rsid w:val="625C563D"/>
    <w:rsid w:val="62783C0B"/>
    <w:rsid w:val="627D7A8D"/>
    <w:rsid w:val="62954ED7"/>
    <w:rsid w:val="629D7E7C"/>
    <w:rsid w:val="62A212A2"/>
    <w:rsid w:val="62A71561"/>
    <w:rsid w:val="62D358FF"/>
    <w:rsid w:val="62D44C49"/>
    <w:rsid w:val="62D6719E"/>
    <w:rsid w:val="62E573E1"/>
    <w:rsid w:val="62EC3512"/>
    <w:rsid w:val="62FA7330"/>
    <w:rsid w:val="62FE5D89"/>
    <w:rsid w:val="630A1AD1"/>
    <w:rsid w:val="630A6E47"/>
    <w:rsid w:val="63152639"/>
    <w:rsid w:val="632077B4"/>
    <w:rsid w:val="63220635"/>
    <w:rsid w:val="632A1619"/>
    <w:rsid w:val="63302D52"/>
    <w:rsid w:val="63342381"/>
    <w:rsid w:val="634935B5"/>
    <w:rsid w:val="6372336A"/>
    <w:rsid w:val="63845631"/>
    <w:rsid w:val="638F7952"/>
    <w:rsid w:val="639E60E3"/>
    <w:rsid w:val="63AB5BF7"/>
    <w:rsid w:val="63C856F4"/>
    <w:rsid w:val="63CF4671"/>
    <w:rsid w:val="63D556A7"/>
    <w:rsid w:val="63E27B04"/>
    <w:rsid w:val="63E334FE"/>
    <w:rsid w:val="63EC3C2E"/>
    <w:rsid w:val="63F81D46"/>
    <w:rsid w:val="63F91396"/>
    <w:rsid w:val="63FF0976"/>
    <w:rsid w:val="640269BB"/>
    <w:rsid w:val="64065861"/>
    <w:rsid w:val="6411743B"/>
    <w:rsid w:val="64121E57"/>
    <w:rsid w:val="641A130C"/>
    <w:rsid w:val="64243EEB"/>
    <w:rsid w:val="642559F9"/>
    <w:rsid w:val="64277E74"/>
    <w:rsid w:val="644509E7"/>
    <w:rsid w:val="645405A3"/>
    <w:rsid w:val="64584A4D"/>
    <w:rsid w:val="645E3048"/>
    <w:rsid w:val="6466598A"/>
    <w:rsid w:val="64724393"/>
    <w:rsid w:val="647A4AC8"/>
    <w:rsid w:val="648340A3"/>
    <w:rsid w:val="6495344A"/>
    <w:rsid w:val="649B069F"/>
    <w:rsid w:val="64AA6B34"/>
    <w:rsid w:val="64AF7CA6"/>
    <w:rsid w:val="64B204D8"/>
    <w:rsid w:val="64B32E59"/>
    <w:rsid w:val="64BA34FF"/>
    <w:rsid w:val="64BB489D"/>
    <w:rsid w:val="64BD0615"/>
    <w:rsid w:val="64BF6B8F"/>
    <w:rsid w:val="64CC543C"/>
    <w:rsid w:val="64D21BE7"/>
    <w:rsid w:val="64D52A7C"/>
    <w:rsid w:val="64D616D7"/>
    <w:rsid w:val="64D70FAB"/>
    <w:rsid w:val="64DC4F3F"/>
    <w:rsid w:val="64E505DA"/>
    <w:rsid w:val="650360F3"/>
    <w:rsid w:val="650414C0"/>
    <w:rsid w:val="6509385A"/>
    <w:rsid w:val="65162626"/>
    <w:rsid w:val="651B5828"/>
    <w:rsid w:val="651E0AB8"/>
    <w:rsid w:val="652A3E61"/>
    <w:rsid w:val="654A5C21"/>
    <w:rsid w:val="654D7EE3"/>
    <w:rsid w:val="6566293B"/>
    <w:rsid w:val="656E32C8"/>
    <w:rsid w:val="656F20F9"/>
    <w:rsid w:val="657B6143"/>
    <w:rsid w:val="657F58CB"/>
    <w:rsid w:val="65896749"/>
    <w:rsid w:val="658B0713"/>
    <w:rsid w:val="658B3D29"/>
    <w:rsid w:val="65934CA2"/>
    <w:rsid w:val="659A004F"/>
    <w:rsid w:val="65A66023"/>
    <w:rsid w:val="65A77734"/>
    <w:rsid w:val="65B33439"/>
    <w:rsid w:val="65C57872"/>
    <w:rsid w:val="65CD7447"/>
    <w:rsid w:val="65D11D0B"/>
    <w:rsid w:val="65D7040A"/>
    <w:rsid w:val="65DC0944"/>
    <w:rsid w:val="65E71F59"/>
    <w:rsid w:val="65E97FD6"/>
    <w:rsid w:val="65F324E2"/>
    <w:rsid w:val="66005EDD"/>
    <w:rsid w:val="66064875"/>
    <w:rsid w:val="660D063C"/>
    <w:rsid w:val="66126DBE"/>
    <w:rsid w:val="661C75BD"/>
    <w:rsid w:val="662221DB"/>
    <w:rsid w:val="664A412A"/>
    <w:rsid w:val="66593F6C"/>
    <w:rsid w:val="66613222"/>
    <w:rsid w:val="66666A8A"/>
    <w:rsid w:val="66734968"/>
    <w:rsid w:val="667351D1"/>
    <w:rsid w:val="66772A46"/>
    <w:rsid w:val="66796BC2"/>
    <w:rsid w:val="668B7F72"/>
    <w:rsid w:val="668C3B5D"/>
    <w:rsid w:val="669435F8"/>
    <w:rsid w:val="669E7FD2"/>
    <w:rsid w:val="66A53171"/>
    <w:rsid w:val="66A81E50"/>
    <w:rsid w:val="66C347C1"/>
    <w:rsid w:val="66C538C1"/>
    <w:rsid w:val="66D9725C"/>
    <w:rsid w:val="66DF7576"/>
    <w:rsid w:val="66E209E1"/>
    <w:rsid w:val="66FB3677"/>
    <w:rsid w:val="67050051"/>
    <w:rsid w:val="670E13F5"/>
    <w:rsid w:val="6712193D"/>
    <w:rsid w:val="67141D0B"/>
    <w:rsid w:val="6719264F"/>
    <w:rsid w:val="67207643"/>
    <w:rsid w:val="67246FAB"/>
    <w:rsid w:val="675542EB"/>
    <w:rsid w:val="676236F6"/>
    <w:rsid w:val="676365E2"/>
    <w:rsid w:val="676F4B55"/>
    <w:rsid w:val="67871415"/>
    <w:rsid w:val="67AA5031"/>
    <w:rsid w:val="67BB4BB4"/>
    <w:rsid w:val="67D4147B"/>
    <w:rsid w:val="67D756F1"/>
    <w:rsid w:val="67DF2BEF"/>
    <w:rsid w:val="67E112A3"/>
    <w:rsid w:val="67E1286C"/>
    <w:rsid w:val="67E22067"/>
    <w:rsid w:val="67F646BC"/>
    <w:rsid w:val="67FD76C1"/>
    <w:rsid w:val="68036093"/>
    <w:rsid w:val="681A18DB"/>
    <w:rsid w:val="682210BA"/>
    <w:rsid w:val="68311993"/>
    <w:rsid w:val="68312E78"/>
    <w:rsid w:val="68384A7E"/>
    <w:rsid w:val="68444BA9"/>
    <w:rsid w:val="684D7205"/>
    <w:rsid w:val="68555008"/>
    <w:rsid w:val="68690C4B"/>
    <w:rsid w:val="68692862"/>
    <w:rsid w:val="68733660"/>
    <w:rsid w:val="68810835"/>
    <w:rsid w:val="688A4CB2"/>
    <w:rsid w:val="688C6BE9"/>
    <w:rsid w:val="688D4D1E"/>
    <w:rsid w:val="68934D62"/>
    <w:rsid w:val="68954610"/>
    <w:rsid w:val="689A7AF0"/>
    <w:rsid w:val="689B5D0C"/>
    <w:rsid w:val="689D7E07"/>
    <w:rsid w:val="68A815DC"/>
    <w:rsid w:val="68BE2BAE"/>
    <w:rsid w:val="68C25CBE"/>
    <w:rsid w:val="68CC52CB"/>
    <w:rsid w:val="68CE6246"/>
    <w:rsid w:val="68D36EFB"/>
    <w:rsid w:val="68EB3277"/>
    <w:rsid w:val="68ED3493"/>
    <w:rsid w:val="690F74C6"/>
    <w:rsid w:val="691722BE"/>
    <w:rsid w:val="691C2E1D"/>
    <w:rsid w:val="6920161F"/>
    <w:rsid w:val="692B3394"/>
    <w:rsid w:val="692C7B17"/>
    <w:rsid w:val="692E7453"/>
    <w:rsid w:val="69362E46"/>
    <w:rsid w:val="693D620F"/>
    <w:rsid w:val="69416EAD"/>
    <w:rsid w:val="69425262"/>
    <w:rsid w:val="69543C66"/>
    <w:rsid w:val="696270BD"/>
    <w:rsid w:val="696F11C6"/>
    <w:rsid w:val="697B45FB"/>
    <w:rsid w:val="698F3FC6"/>
    <w:rsid w:val="69A40294"/>
    <w:rsid w:val="69A578CA"/>
    <w:rsid w:val="69AF6AE8"/>
    <w:rsid w:val="69B10716"/>
    <w:rsid w:val="69B13FD8"/>
    <w:rsid w:val="69B31C00"/>
    <w:rsid w:val="69C0327E"/>
    <w:rsid w:val="69C07CDF"/>
    <w:rsid w:val="69C207E6"/>
    <w:rsid w:val="69E76134"/>
    <w:rsid w:val="69EB79D2"/>
    <w:rsid w:val="69EF070B"/>
    <w:rsid w:val="69F442E5"/>
    <w:rsid w:val="6A022F6E"/>
    <w:rsid w:val="6A035297"/>
    <w:rsid w:val="6A070584"/>
    <w:rsid w:val="6A072AEB"/>
    <w:rsid w:val="6A143022"/>
    <w:rsid w:val="6A2276DF"/>
    <w:rsid w:val="6A26162F"/>
    <w:rsid w:val="6A32120A"/>
    <w:rsid w:val="6A330664"/>
    <w:rsid w:val="6A3325D6"/>
    <w:rsid w:val="6A3C3D88"/>
    <w:rsid w:val="6A412964"/>
    <w:rsid w:val="6A460276"/>
    <w:rsid w:val="6A4B66C3"/>
    <w:rsid w:val="6A4F6E29"/>
    <w:rsid w:val="6A5C442C"/>
    <w:rsid w:val="6A5C5C28"/>
    <w:rsid w:val="6A63455B"/>
    <w:rsid w:val="6A661C94"/>
    <w:rsid w:val="6A793230"/>
    <w:rsid w:val="6A7D0F8A"/>
    <w:rsid w:val="6A7F636D"/>
    <w:rsid w:val="6A856DC1"/>
    <w:rsid w:val="6A8948DB"/>
    <w:rsid w:val="6A8A7D73"/>
    <w:rsid w:val="6A8B46D2"/>
    <w:rsid w:val="6A954981"/>
    <w:rsid w:val="6A985BD3"/>
    <w:rsid w:val="6A995363"/>
    <w:rsid w:val="6AA32240"/>
    <w:rsid w:val="6AB75B07"/>
    <w:rsid w:val="6ABA1153"/>
    <w:rsid w:val="6AD634AC"/>
    <w:rsid w:val="6ADE7566"/>
    <w:rsid w:val="6AE50E73"/>
    <w:rsid w:val="6AF12E1B"/>
    <w:rsid w:val="6B073AF4"/>
    <w:rsid w:val="6B0745CF"/>
    <w:rsid w:val="6B0B11B3"/>
    <w:rsid w:val="6B1C1E0E"/>
    <w:rsid w:val="6B225231"/>
    <w:rsid w:val="6B23319C"/>
    <w:rsid w:val="6B257422"/>
    <w:rsid w:val="6B2667E8"/>
    <w:rsid w:val="6B3C7DBA"/>
    <w:rsid w:val="6B3D493A"/>
    <w:rsid w:val="6B412472"/>
    <w:rsid w:val="6B4E7143"/>
    <w:rsid w:val="6B6643D7"/>
    <w:rsid w:val="6B727614"/>
    <w:rsid w:val="6B741C4A"/>
    <w:rsid w:val="6B7D526B"/>
    <w:rsid w:val="6B857D96"/>
    <w:rsid w:val="6B8A6C42"/>
    <w:rsid w:val="6B9D0D31"/>
    <w:rsid w:val="6BAA763E"/>
    <w:rsid w:val="6BC02799"/>
    <w:rsid w:val="6BD3513D"/>
    <w:rsid w:val="6BDA7CFF"/>
    <w:rsid w:val="6BE2124F"/>
    <w:rsid w:val="6BF32B6E"/>
    <w:rsid w:val="6BF8170F"/>
    <w:rsid w:val="6BF905D1"/>
    <w:rsid w:val="6C0150AE"/>
    <w:rsid w:val="6C060AF4"/>
    <w:rsid w:val="6C07486C"/>
    <w:rsid w:val="6C156246"/>
    <w:rsid w:val="6C176F49"/>
    <w:rsid w:val="6C2E004A"/>
    <w:rsid w:val="6C2F2F24"/>
    <w:rsid w:val="6C353187"/>
    <w:rsid w:val="6C5506F2"/>
    <w:rsid w:val="6C6770B8"/>
    <w:rsid w:val="6C691082"/>
    <w:rsid w:val="6C7472BA"/>
    <w:rsid w:val="6C811BF6"/>
    <w:rsid w:val="6C832108"/>
    <w:rsid w:val="6C910945"/>
    <w:rsid w:val="6CAB1467"/>
    <w:rsid w:val="6CB00A5F"/>
    <w:rsid w:val="6CD25159"/>
    <w:rsid w:val="6CE16A55"/>
    <w:rsid w:val="6CEE5300"/>
    <w:rsid w:val="6CF26E2B"/>
    <w:rsid w:val="6CFF4053"/>
    <w:rsid w:val="6D0F1C2A"/>
    <w:rsid w:val="6D110C83"/>
    <w:rsid w:val="6D13080A"/>
    <w:rsid w:val="6D18512F"/>
    <w:rsid w:val="6D203E37"/>
    <w:rsid w:val="6D425CCF"/>
    <w:rsid w:val="6D4D4500"/>
    <w:rsid w:val="6D611D5A"/>
    <w:rsid w:val="6D666FD4"/>
    <w:rsid w:val="6D6C154A"/>
    <w:rsid w:val="6D746C5F"/>
    <w:rsid w:val="6D7A38A3"/>
    <w:rsid w:val="6D7C21C8"/>
    <w:rsid w:val="6D7D3037"/>
    <w:rsid w:val="6D80350C"/>
    <w:rsid w:val="6D855A48"/>
    <w:rsid w:val="6D973569"/>
    <w:rsid w:val="6D9E4D5C"/>
    <w:rsid w:val="6DC66C53"/>
    <w:rsid w:val="6DC85463"/>
    <w:rsid w:val="6DD90FD0"/>
    <w:rsid w:val="6DE4018A"/>
    <w:rsid w:val="6DE966E9"/>
    <w:rsid w:val="6DEA1D4F"/>
    <w:rsid w:val="6DF146C9"/>
    <w:rsid w:val="6DF332FA"/>
    <w:rsid w:val="6DF606F4"/>
    <w:rsid w:val="6DF826BE"/>
    <w:rsid w:val="6DFC7958"/>
    <w:rsid w:val="6E014356"/>
    <w:rsid w:val="6E1F5E9D"/>
    <w:rsid w:val="6E233706"/>
    <w:rsid w:val="6E363E4D"/>
    <w:rsid w:val="6E366170"/>
    <w:rsid w:val="6E391F20"/>
    <w:rsid w:val="6E4362DB"/>
    <w:rsid w:val="6E447668"/>
    <w:rsid w:val="6E463322"/>
    <w:rsid w:val="6E475935"/>
    <w:rsid w:val="6E5A6ED5"/>
    <w:rsid w:val="6E5B01F7"/>
    <w:rsid w:val="6E5D4C17"/>
    <w:rsid w:val="6E6155D7"/>
    <w:rsid w:val="6E667013"/>
    <w:rsid w:val="6E6B54BC"/>
    <w:rsid w:val="6E70046B"/>
    <w:rsid w:val="6E7117DA"/>
    <w:rsid w:val="6E82642B"/>
    <w:rsid w:val="6E8E69EC"/>
    <w:rsid w:val="6E91666F"/>
    <w:rsid w:val="6E9B129F"/>
    <w:rsid w:val="6EBB1D37"/>
    <w:rsid w:val="6EBE032E"/>
    <w:rsid w:val="6EBE0FAE"/>
    <w:rsid w:val="6EBE1382"/>
    <w:rsid w:val="6EC7660D"/>
    <w:rsid w:val="6ED50C51"/>
    <w:rsid w:val="6ED53956"/>
    <w:rsid w:val="6ED62ED9"/>
    <w:rsid w:val="6EE13152"/>
    <w:rsid w:val="6EE66F8A"/>
    <w:rsid w:val="6EEE3AC1"/>
    <w:rsid w:val="6EF01055"/>
    <w:rsid w:val="6EF94940"/>
    <w:rsid w:val="6F0158EE"/>
    <w:rsid w:val="6F0311BD"/>
    <w:rsid w:val="6F060E0B"/>
    <w:rsid w:val="6F1C23DC"/>
    <w:rsid w:val="6F1C7596"/>
    <w:rsid w:val="6F1D6514"/>
    <w:rsid w:val="6F2030BB"/>
    <w:rsid w:val="6F2D21F5"/>
    <w:rsid w:val="6F323685"/>
    <w:rsid w:val="6F34175B"/>
    <w:rsid w:val="6F410095"/>
    <w:rsid w:val="6F704DD5"/>
    <w:rsid w:val="6F7F4719"/>
    <w:rsid w:val="6F83245B"/>
    <w:rsid w:val="6F8561D3"/>
    <w:rsid w:val="6F881820"/>
    <w:rsid w:val="6F8F2BAE"/>
    <w:rsid w:val="6F983B5E"/>
    <w:rsid w:val="6F9D3BEC"/>
    <w:rsid w:val="6F9E1043"/>
    <w:rsid w:val="6FA50623"/>
    <w:rsid w:val="6FAA41EF"/>
    <w:rsid w:val="6FD40F09"/>
    <w:rsid w:val="6FD77B69"/>
    <w:rsid w:val="6FDA294C"/>
    <w:rsid w:val="6FEB1A68"/>
    <w:rsid w:val="6FF356A3"/>
    <w:rsid w:val="6FFF3775"/>
    <w:rsid w:val="7007308C"/>
    <w:rsid w:val="7028385F"/>
    <w:rsid w:val="702C48A1"/>
    <w:rsid w:val="702F613F"/>
    <w:rsid w:val="7044390C"/>
    <w:rsid w:val="70484A87"/>
    <w:rsid w:val="705209DB"/>
    <w:rsid w:val="705E48CC"/>
    <w:rsid w:val="70795447"/>
    <w:rsid w:val="707E585B"/>
    <w:rsid w:val="70805D84"/>
    <w:rsid w:val="709D754D"/>
    <w:rsid w:val="70AA16A4"/>
    <w:rsid w:val="70B663BF"/>
    <w:rsid w:val="70B76860"/>
    <w:rsid w:val="70B836C6"/>
    <w:rsid w:val="70BA3C5B"/>
    <w:rsid w:val="70BA41A4"/>
    <w:rsid w:val="70C10C1B"/>
    <w:rsid w:val="70D77694"/>
    <w:rsid w:val="70DF6EFB"/>
    <w:rsid w:val="70E1438C"/>
    <w:rsid w:val="70F03091"/>
    <w:rsid w:val="70F85065"/>
    <w:rsid w:val="70F97914"/>
    <w:rsid w:val="70FC2C1E"/>
    <w:rsid w:val="7104137A"/>
    <w:rsid w:val="711002EC"/>
    <w:rsid w:val="711F6EC3"/>
    <w:rsid w:val="71302058"/>
    <w:rsid w:val="71325434"/>
    <w:rsid w:val="713F5FBC"/>
    <w:rsid w:val="71467BE4"/>
    <w:rsid w:val="71470D84"/>
    <w:rsid w:val="71566079"/>
    <w:rsid w:val="71584194"/>
    <w:rsid w:val="716167CC"/>
    <w:rsid w:val="716500E8"/>
    <w:rsid w:val="71775A02"/>
    <w:rsid w:val="717C0C66"/>
    <w:rsid w:val="71805B23"/>
    <w:rsid w:val="71826B1C"/>
    <w:rsid w:val="7186461F"/>
    <w:rsid w:val="718F158B"/>
    <w:rsid w:val="7190214B"/>
    <w:rsid w:val="7193132F"/>
    <w:rsid w:val="71991A8D"/>
    <w:rsid w:val="719D7D25"/>
    <w:rsid w:val="71A30B93"/>
    <w:rsid w:val="71B44B4E"/>
    <w:rsid w:val="71B45596"/>
    <w:rsid w:val="71B50A2A"/>
    <w:rsid w:val="71C24152"/>
    <w:rsid w:val="71D00A9E"/>
    <w:rsid w:val="71DB032D"/>
    <w:rsid w:val="71EC7119"/>
    <w:rsid w:val="71FB277D"/>
    <w:rsid w:val="71FD4747"/>
    <w:rsid w:val="72200435"/>
    <w:rsid w:val="722F6687"/>
    <w:rsid w:val="72587BCF"/>
    <w:rsid w:val="72606A84"/>
    <w:rsid w:val="726310A6"/>
    <w:rsid w:val="72717524"/>
    <w:rsid w:val="7278413F"/>
    <w:rsid w:val="727B566C"/>
    <w:rsid w:val="727F515C"/>
    <w:rsid w:val="728D1203"/>
    <w:rsid w:val="72916C3D"/>
    <w:rsid w:val="72A42E14"/>
    <w:rsid w:val="72A50E51"/>
    <w:rsid w:val="72AE439F"/>
    <w:rsid w:val="72B15531"/>
    <w:rsid w:val="72B51591"/>
    <w:rsid w:val="72B56DCF"/>
    <w:rsid w:val="72BC18DB"/>
    <w:rsid w:val="72C01A51"/>
    <w:rsid w:val="72C43D93"/>
    <w:rsid w:val="72C81EB8"/>
    <w:rsid w:val="72C830E4"/>
    <w:rsid w:val="72C8476B"/>
    <w:rsid w:val="72CA436E"/>
    <w:rsid w:val="72CC4119"/>
    <w:rsid w:val="72D74F98"/>
    <w:rsid w:val="72D76034"/>
    <w:rsid w:val="72DF5BFA"/>
    <w:rsid w:val="730166C4"/>
    <w:rsid w:val="730860CE"/>
    <w:rsid w:val="731A76E0"/>
    <w:rsid w:val="7324340A"/>
    <w:rsid w:val="732857F3"/>
    <w:rsid w:val="73383970"/>
    <w:rsid w:val="734704D0"/>
    <w:rsid w:val="734A3C51"/>
    <w:rsid w:val="734A60ED"/>
    <w:rsid w:val="735E1215"/>
    <w:rsid w:val="735F7E80"/>
    <w:rsid w:val="736856FA"/>
    <w:rsid w:val="736B6686"/>
    <w:rsid w:val="738F7621"/>
    <w:rsid w:val="739862FF"/>
    <w:rsid w:val="73A32B9F"/>
    <w:rsid w:val="73B47087"/>
    <w:rsid w:val="73B93EE5"/>
    <w:rsid w:val="73CA47F0"/>
    <w:rsid w:val="73D04950"/>
    <w:rsid w:val="73F01B2B"/>
    <w:rsid w:val="74006D99"/>
    <w:rsid w:val="7400729B"/>
    <w:rsid w:val="74046EC7"/>
    <w:rsid w:val="740A0E8A"/>
    <w:rsid w:val="74127B2E"/>
    <w:rsid w:val="74143FCA"/>
    <w:rsid w:val="7419411D"/>
    <w:rsid w:val="741C2333"/>
    <w:rsid w:val="743A1F17"/>
    <w:rsid w:val="744620EA"/>
    <w:rsid w:val="7447142D"/>
    <w:rsid w:val="744A0A36"/>
    <w:rsid w:val="744D4DE6"/>
    <w:rsid w:val="744E0060"/>
    <w:rsid w:val="745F446B"/>
    <w:rsid w:val="74630CA8"/>
    <w:rsid w:val="746565D3"/>
    <w:rsid w:val="74685100"/>
    <w:rsid w:val="746C5BB4"/>
    <w:rsid w:val="7477209D"/>
    <w:rsid w:val="74880A8D"/>
    <w:rsid w:val="74890514"/>
    <w:rsid w:val="748C1DB2"/>
    <w:rsid w:val="74911B2D"/>
    <w:rsid w:val="749249A3"/>
    <w:rsid w:val="749621C3"/>
    <w:rsid w:val="74B14E2F"/>
    <w:rsid w:val="74B17A6A"/>
    <w:rsid w:val="74D26581"/>
    <w:rsid w:val="74E03EAC"/>
    <w:rsid w:val="750E1A2C"/>
    <w:rsid w:val="75143B34"/>
    <w:rsid w:val="751C3813"/>
    <w:rsid w:val="75241EE8"/>
    <w:rsid w:val="752913AF"/>
    <w:rsid w:val="752A6815"/>
    <w:rsid w:val="75385D85"/>
    <w:rsid w:val="753E53F8"/>
    <w:rsid w:val="75410B55"/>
    <w:rsid w:val="7544443B"/>
    <w:rsid w:val="754449AA"/>
    <w:rsid w:val="75493FA0"/>
    <w:rsid w:val="754B774E"/>
    <w:rsid w:val="755631FD"/>
    <w:rsid w:val="755B5E72"/>
    <w:rsid w:val="7563404D"/>
    <w:rsid w:val="756B17C2"/>
    <w:rsid w:val="75752CBC"/>
    <w:rsid w:val="757840E4"/>
    <w:rsid w:val="758C505A"/>
    <w:rsid w:val="758E1150"/>
    <w:rsid w:val="759C4277"/>
    <w:rsid w:val="75A35605"/>
    <w:rsid w:val="75BF12C2"/>
    <w:rsid w:val="75C92068"/>
    <w:rsid w:val="75CD4430"/>
    <w:rsid w:val="75E2374B"/>
    <w:rsid w:val="75EA76E6"/>
    <w:rsid w:val="760B5BA4"/>
    <w:rsid w:val="76125DC8"/>
    <w:rsid w:val="76157B85"/>
    <w:rsid w:val="761A68BF"/>
    <w:rsid w:val="761C31CE"/>
    <w:rsid w:val="761E678D"/>
    <w:rsid w:val="761F17AF"/>
    <w:rsid w:val="7625601A"/>
    <w:rsid w:val="762A59BC"/>
    <w:rsid w:val="762E0629"/>
    <w:rsid w:val="76365202"/>
    <w:rsid w:val="76377EBF"/>
    <w:rsid w:val="7641097A"/>
    <w:rsid w:val="76465A9E"/>
    <w:rsid w:val="764A782F"/>
    <w:rsid w:val="766F7295"/>
    <w:rsid w:val="76740B28"/>
    <w:rsid w:val="767C0520"/>
    <w:rsid w:val="767D591C"/>
    <w:rsid w:val="768A0D13"/>
    <w:rsid w:val="768A0F6F"/>
    <w:rsid w:val="769008A6"/>
    <w:rsid w:val="76960CC6"/>
    <w:rsid w:val="76A048AC"/>
    <w:rsid w:val="76A96C4B"/>
    <w:rsid w:val="76B25166"/>
    <w:rsid w:val="76BA0E58"/>
    <w:rsid w:val="76BD6253"/>
    <w:rsid w:val="76BF646F"/>
    <w:rsid w:val="76CA6BC2"/>
    <w:rsid w:val="76D04465"/>
    <w:rsid w:val="76D17F50"/>
    <w:rsid w:val="76DE7CF4"/>
    <w:rsid w:val="76E53691"/>
    <w:rsid w:val="76E94580"/>
    <w:rsid w:val="76F667DF"/>
    <w:rsid w:val="770E7A76"/>
    <w:rsid w:val="770F2826"/>
    <w:rsid w:val="771B741D"/>
    <w:rsid w:val="772C33D8"/>
    <w:rsid w:val="77304C77"/>
    <w:rsid w:val="77334767"/>
    <w:rsid w:val="7739014D"/>
    <w:rsid w:val="773C53F2"/>
    <w:rsid w:val="774145B5"/>
    <w:rsid w:val="774207F9"/>
    <w:rsid w:val="77572FE5"/>
    <w:rsid w:val="775D7A36"/>
    <w:rsid w:val="77635FFB"/>
    <w:rsid w:val="776502A1"/>
    <w:rsid w:val="7765243C"/>
    <w:rsid w:val="776E39F1"/>
    <w:rsid w:val="77770AF7"/>
    <w:rsid w:val="777750FD"/>
    <w:rsid w:val="777976C6"/>
    <w:rsid w:val="777F40F1"/>
    <w:rsid w:val="77895BD7"/>
    <w:rsid w:val="778C10EB"/>
    <w:rsid w:val="778D0A0C"/>
    <w:rsid w:val="779109C2"/>
    <w:rsid w:val="7795357A"/>
    <w:rsid w:val="77976AA4"/>
    <w:rsid w:val="77A317DE"/>
    <w:rsid w:val="77C32DB7"/>
    <w:rsid w:val="77D47CF8"/>
    <w:rsid w:val="77E50B56"/>
    <w:rsid w:val="77EB7AA5"/>
    <w:rsid w:val="77F71C38"/>
    <w:rsid w:val="77FE4A83"/>
    <w:rsid w:val="78116641"/>
    <w:rsid w:val="781520BE"/>
    <w:rsid w:val="78202F3D"/>
    <w:rsid w:val="78306EF8"/>
    <w:rsid w:val="7834401B"/>
    <w:rsid w:val="783B1B25"/>
    <w:rsid w:val="78443BB5"/>
    <w:rsid w:val="786C7F30"/>
    <w:rsid w:val="786D3CA8"/>
    <w:rsid w:val="788447F1"/>
    <w:rsid w:val="78845529"/>
    <w:rsid w:val="78864F46"/>
    <w:rsid w:val="78931D82"/>
    <w:rsid w:val="78964BF4"/>
    <w:rsid w:val="7899575F"/>
    <w:rsid w:val="789D523F"/>
    <w:rsid w:val="78A024F9"/>
    <w:rsid w:val="78A15FD9"/>
    <w:rsid w:val="78A53466"/>
    <w:rsid w:val="78AA2E61"/>
    <w:rsid w:val="78AD0B69"/>
    <w:rsid w:val="78AE5333"/>
    <w:rsid w:val="78B96EEE"/>
    <w:rsid w:val="78C55DFD"/>
    <w:rsid w:val="78C567A6"/>
    <w:rsid w:val="78C60314"/>
    <w:rsid w:val="78CB776D"/>
    <w:rsid w:val="78DB6E64"/>
    <w:rsid w:val="78E7643C"/>
    <w:rsid w:val="78EA0EF4"/>
    <w:rsid w:val="78EE2F7E"/>
    <w:rsid w:val="78F87F4B"/>
    <w:rsid w:val="79012A35"/>
    <w:rsid w:val="790E548B"/>
    <w:rsid w:val="79154BF7"/>
    <w:rsid w:val="791800B8"/>
    <w:rsid w:val="79227CA0"/>
    <w:rsid w:val="79281F0D"/>
    <w:rsid w:val="792A173C"/>
    <w:rsid w:val="792D2865"/>
    <w:rsid w:val="79305A4F"/>
    <w:rsid w:val="79390991"/>
    <w:rsid w:val="79392125"/>
    <w:rsid w:val="793A26E6"/>
    <w:rsid w:val="793D0209"/>
    <w:rsid w:val="793F5645"/>
    <w:rsid w:val="79440201"/>
    <w:rsid w:val="794762A8"/>
    <w:rsid w:val="794A1AFD"/>
    <w:rsid w:val="79644E7A"/>
    <w:rsid w:val="79690928"/>
    <w:rsid w:val="797352EE"/>
    <w:rsid w:val="79742119"/>
    <w:rsid w:val="79865565"/>
    <w:rsid w:val="79982FA7"/>
    <w:rsid w:val="79A11E5C"/>
    <w:rsid w:val="79A603DD"/>
    <w:rsid w:val="79A8143C"/>
    <w:rsid w:val="79BA2F1D"/>
    <w:rsid w:val="79C8157F"/>
    <w:rsid w:val="79D51E89"/>
    <w:rsid w:val="79E20E75"/>
    <w:rsid w:val="79F049B2"/>
    <w:rsid w:val="79FF6B82"/>
    <w:rsid w:val="7A0A3F6B"/>
    <w:rsid w:val="7A0A5C53"/>
    <w:rsid w:val="7A0D7620"/>
    <w:rsid w:val="7A0F14BB"/>
    <w:rsid w:val="7A2471F6"/>
    <w:rsid w:val="7A2A1C30"/>
    <w:rsid w:val="7A3740A0"/>
    <w:rsid w:val="7A37631C"/>
    <w:rsid w:val="7A434FE1"/>
    <w:rsid w:val="7A513882"/>
    <w:rsid w:val="7A553A21"/>
    <w:rsid w:val="7A567942"/>
    <w:rsid w:val="7A6102D5"/>
    <w:rsid w:val="7A660A22"/>
    <w:rsid w:val="7A6E36DB"/>
    <w:rsid w:val="7A7E03EF"/>
    <w:rsid w:val="7A80384C"/>
    <w:rsid w:val="7A85352B"/>
    <w:rsid w:val="7A8E7006"/>
    <w:rsid w:val="7AAC4F5C"/>
    <w:rsid w:val="7ADA6977"/>
    <w:rsid w:val="7AF3424C"/>
    <w:rsid w:val="7AF64429"/>
    <w:rsid w:val="7AFB1D90"/>
    <w:rsid w:val="7B067D98"/>
    <w:rsid w:val="7B194A7F"/>
    <w:rsid w:val="7B1A7A66"/>
    <w:rsid w:val="7B1D5512"/>
    <w:rsid w:val="7B22521E"/>
    <w:rsid w:val="7B23416A"/>
    <w:rsid w:val="7B244CA7"/>
    <w:rsid w:val="7B336314"/>
    <w:rsid w:val="7B3867F0"/>
    <w:rsid w:val="7B3A6C7C"/>
    <w:rsid w:val="7B3D3B4B"/>
    <w:rsid w:val="7B4A02D1"/>
    <w:rsid w:val="7B5F5AFA"/>
    <w:rsid w:val="7B7B54C6"/>
    <w:rsid w:val="7B7D1600"/>
    <w:rsid w:val="7B827A6B"/>
    <w:rsid w:val="7B875081"/>
    <w:rsid w:val="7B964991"/>
    <w:rsid w:val="7BA70B4C"/>
    <w:rsid w:val="7BB17294"/>
    <w:rsid w:val="7BB20A57"/>
    <w:rsid w:val="7BB340C8"/>
    <w:rsid w:val="7BB51BEE"/>
    <w:rsid w:val="7BB5765B"/>
    <w:rsid w:val="7BBE695A"/>
    <w:rsid w:val="7BC40C79"/>
    <w:rsid w:val="7BC44A1E"/>
    <w:rsid w:val="7BCA404B"/>
    <w:rsid w:val="7BD61B65"/>
    <w:rsid w:val="7BDA3403"/>
    <w:rsid w:val="7C0102E1"/>
    <w:rsid w:val="7C042B76"/>
    <w:rsid w:val="7C0861C2"/>
    <w:rsid w:val="7C1F46EF"/>
    <w:rsid w:val="7C240B22"/>
    <w:rsid w:val="7C324FED"/>
    <w:rsid w:val="7C441495"/>
    <w:rsid w:val="7C4B31AD"/>
    <w:rsid w:val="7C526DF8"/>
    <w:rsid w:val="7C5347E4"/>
    <w:rsid w:val="7C536D83"/>
    <w:rsid w:val="7C574A54"/>
    <w:rsid w:val="7C596715"/>
    <w:rsid w:val="7C6929D9"/>
    <w:rsid w:val="7C7E237D"/>
    <w:rsid w:val="7C845556"/>
    <w:rsid w:val="7C9F71A0"/>
    <w:rsid w:val="7CA57EB5"/>
    <w:rsid w:val="7CB023B6"/>
    <w:rsid w:val="7CC131A3"/>
    <w:rsid w:val="7CC52305"/>
    <w:rsid w:val="7CCD3A4B"/>
    <w:rsid w:val="7CD010E3"/>
    <w:rsid w:val="7CE17DF9"/>
    <w:rsid w:val="7CE6332A"/>
    <w:rsid w:val="7CF927D8"/>
    <w:rsid w:val="7CF9504E"/>
    <w:rsid w:val="7D020E63"/>
    <w:rsid w:val="7D0C7F34"/>
    <w:rsid w:val="7D0F3580"/>
    <w:rsid w:val="7D1961AD"/>
    <w:rsid w:val="7D2012E9"/>
    <w:rsid w:val="7D20753B"/>
    <w:rsid w:val="7D25327D"/>
    <w:rsid w:val="7D306322"/>
    <w:rsid w:val="7D3357F3"/>
    <w:rsid w:val="7D3B25C7"/>
    <w:rsid w:val="7D4044DD"/>
    <w:rsid w:val="7D4633F9"/>
    <w:rsid w:val="7D485E49"/>
    <w:rsid w:val="7D4A2001"/>
    <w:rsid w:val="7D67516A"/>
    <w:rsid w:val="7D7659DE"/>
    <w:rsid w:val="7D79258E"/>
    <w:rsid w:val="7D7B0E69"/>
    <w:rsid w:val="7D800A3A"/>
    <w:rsid w:val="7D8C4BD1"/>
    <w:rsid w:val="7D9161BE"/>
    <w:rsid w:val="7D9E49CC"/>
    <w:rsid w:val="7D9F66B2"/>
    <w:rsid w:val="7DAE1F77"/>
    <w:rsid w:val="7DB6355C"/>
    <w:rsid w:val="7DBA5527"/>
    <w:rsid w:val="7DC5620E"/>
    <w:rsid w:val="7DE54F37"/>
    <w:rsid w:val="7DFA62FA"/>
    <w:rsid w:val="7E0B2A1D"/>
    <w:rsid w:val="7E0F3718"/>
    <w:rsid w:val="7E1A042F"/>
    <w:rsid w:val="7E3137AA"/>
    <w:rsid w:val="7E444DD6"/>
    <w:rsid w:val="7E5E656D"/>
    <w:rsid w:val="7E6848F8"/>
    <w:rsid w:val="7E740ADF"/>
    <w:rsid w:val="7E7E1F30"/>
    <w:rsid w:val="7E7F4735"/>
    <w:rsid w:val="7E7F4DF5"/>
    <w:rsid w:val="7E926F2F"/>
    <w:rsid w:val="7E952C57"/>
    <w:rsid w:val="7EA47CF8"/>
    <w:rsid w:val="7EA6480B"/>
    <w:rsid w:val="7EAA3560"/>
    <w:rsid w:val="7EAE5EA1"/>
    <w:rsid w:val="7EAE6F8A"/>
    <w:rsid w:val="7EB3786D"/>
    <w:rsid w:val="7ECA59B1"/>
    <w:rsid w:val="7ED25268"/>
    <w:rsid w:val="7ED54355"/>
    <w:rsid w:val="7EDB5E10"/>
    <w:rsid w:val="7EEF3669"/>
    <w:rsid w:val="7EF40C80"/>
    <w:rsid w:val="7EF46ED2"/>
    <w:rsid w:val="7EF8591E"/>
    <w:rsid w:val="7EFE38AC"/>
    <w:rsid w:val="7F007624"/>
    <w:rsid w:val="7F043127"/>
    <w:rsid w:val="7F0F5F09"/>
    <w:rsid w:val="7F3B23CC"/>
    <w:rsid w:val="7F6E0A32"/>
    <w:rsid w:val="7F7017E1"/>
    <w:rsid w:val="7F9955E2"/>
    <w:rsid w:val="7FA51346"/>
    <w:rsid w:val="7FAA57E2"/>
    <w:rsid w:val="7FB37DE5"/>
    <w:rsid w:val="7FBA0541"/>
    <w:rsid w:val="7FBC4F26"/>
    <w:rsid w:val="7FBD5515"/>
    <w:rsid w:val="7FC22B2C"/>
    <w:rsid w:val="7FC93EBA"/>
    <w:rsid w:val="7FCC39AA"/>
    <w:rsid w:val="7FD27FC2"/>
    <w:rsid w:val="7FD53BF4"/>
    <w:rsid w:val="7FE5733F"/>
    <w:rsid w:val="7FF979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宋体" w:hAnsi="宋体" w:eastAsia="宋体" w:cs="宋体"/>
      <w:kern w:val="2"/>
      <w:sz w:val="21"/>
      <w:szCs w:val="24"/>
      <w:lang w:val="en-US" w:eastAsia="zh-CN" w:bidi="ar-SA"/>
    </w:rPr>
  </w:style>
  <w:style w:type="paragraph" w:styleId="2">
    <w:name w:val="heading 1"/>
    <w:basedOn w:val="1"/>
    <w:next w:val="1"/>
    <w:link w:val="127"/>
    <w:qFormat/>
    <w:uiPriority w:val="0"/>
    <w:pPr>
      <w:keepNext/>
      <w:jc w:val="center"/>
      <w:outlineLvl w:val="0"/>
    </w:pPr>
    <w:rPr>
      <w:b/>
      <w:bCs/>
      <w:sz w:val="24"/>
      <w:szCs w:val="20"/>
    </w:rPr>
  </w:style>
  <w:style w:type="paragraph" w:styleId="3">
    <w:name w:val="heading 2"/>
    <w:basedOn w:val="1"/>
    <w:next w:val="1"/>
    <w:link w:val="8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7"/>
    <w:qFormat/>
    <w:uiPriority w:val="0"/>
    <w:pPr>
      <w:keepNext/>
      <w:keepLines/>
      <w:spacing w:before="260" w:after="260" w:line="416" w:lineRule="auto"/>
      <w:outlineLvl w:val="2"/>
    </w:pPr>
    <w:rPr>
      <w:b/>
      <w:bCs/>
      <w:sz w:val="32"/>
      <w:szCs w:val="32"/>
    </w:rPr>
  </w:style>
  <w:style w:type="paragraph" w:styleId="5">
    <w:name w:val="heading 4"/>
    <w:basedOn w:val="1"/>
    <w:next w:val="1"/>
    <w:link w:val="156"/>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9"/>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83"/>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9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95"/>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128"/>
    <w:semiHidden/>
    <w:qFormat/>
    <w:uiPriority w:val="0"/>
    <w:pPr>
      <w:jc w:val="left"/>
    </w:pPr>
  </w:style>
  <w:style w:type="paragraph" w:styleId="15">
    <w:name w:val="Salutation"/>
    <w:basedOn w:val="1"/>
    <w:next w:val="1"/>
    <w:qFormat/>
    <w:uiPriority w:val="0"/>
    <w:rPr>
      <w:rFonts w:ascii="FangSong_GB2312" w:eastAsia="FangSong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qFormat/>
    <w:uiPriority w:val="0"/>
    <w:pPr>
      <w:spacing w:after="120"/>
    </w:pPr>
  </w:style>
  <w:style w:type="paragraph" w:customStyle="1" w:styleId="1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9">
    <w:name w:val="Body Text Indent"/>
    <w:basedOn w:val="1"/>
    <w:next w:val="20"/>
    <w:link w:val="97"/>
    <w:qFormat/>
    <w:uiPriority w:val="0"/>
    <w:pPr>
      <w:spacing w:after="120"/>
      <w:ind w:left="420" w:leftChars="200"/>
    </w:pPr>
  </w:style>
  <w:style w:type="paragraph" w:styleId="20">
    <w:name w:val="annotation subject"/>
    <w:basedOn w:val="14"/>
    <w:next w:val="1"/>
    <w:link w:val="87"/>
    <w:qFormat/>
    <w:uiPriority w:val="0"/>
    <w:rPr>
      <w:b/>
      <w:bCs/>
    </w:r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0"/>
    <w:pPr>
      <w:ind w:left="1680" w:leftChars="800"/>
    </w:pPr>
    <w:rPr>
      <w:rFonts w:ascii="Calibri" w:hAnsi="Calibri"/>
      <w:szCs w:val="22"/>
    </w:rPr>
  </w:style>
  <w:style w:type="paragraph" w:styleId="23">
    <w:name w:val="toc 3"/>
    <w:basedOn w:val="1"/>
    <w:next w:val="1"/>
    <w:qFormat/>
    <w:uiPriority w:val="0"/>
    <w:pPr>
      <w:ind w:left="840" w:leftChars="400"/>
    </w:pPr>
  </w:style>
  <w:style w:type="paragraph" w:styleId="24">
    <w:name w:val="Plain Text"/>
    <w:basedOn w:val="1"/>
    <w:link w:val="152"/>
    <w:qFormat/>
    <w:uiPriority w:val="0"/>
    <w:rPr>
      <w:rFonts w:ascii="宋体" w:hAnsi="Courier New" w:cs="Courier New"/>
      <w:szCs w:val="21"/>
    </w:rPr>
  </w:style>
  <w:style w:type="paragraph" w:styleId="25">
    <w:name w:val="toc 8"/>
    <w:basedOn w:val="1"/>
    <w:next w:val="1"/>
    <w:qFormat/>
    <w:uiPriority w:val="0"/>
    <w:pPr>
      <w:ind w:left="2940" w:leftChars="1400"/>
    </w:pPr>
    <w:rPr>
      <w:rFonts w:ascii="Calibri" w:hAnsi="Calibri"/>
      <w:szCs w:val="22"/>
    </w:rPr>
  </w:style>
  <w:style w:type="paragraph" w:styleId="26">
    <w:name w:val="Date"/>
    <w:basedOn w:val="1"/>
    <w:next w:val="1"/>
    <w:link w:val="84"/>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link w:val="134"/>
    <w:qFormat/>
    <w:uiPriority w:val="0"/>
    <w:rPr>
      <w:rFonts w:ascii="Calibri" w:hAnsi="Calibri"/>
      <w:sz w:val="18"/>
      <w:szCs w:val="18"/>
    </w:rPr>
  </w:style>
  <w:style w:type="paragraph" w:styleId="29">
    <w:name w:val="footer"/>
    <w:basedOn w:val="1"/>
    <w:link w:val="160"/>
    <w:qFormat/>
    <w:uiPriority w:val="0"/>
    <w:pPr>
      <w:tabs>
        <w:tab w:val="center" w:pos="4153"/>
        <w:tab w:val="right" w:pos="8306"/>
      </w:tabs>
      <w:snapToGrid w:val="0"/>
      <w:jc w:val="left"/>
    </w:pPr>
    <w:rPr>
      <w:sz w:val="18"/>
      <w:szCs w:val="18"/>
    </w:rPr>
  </w:style>
  <w:style w:type="paragraph" w:styleId="30">
    <w:name w:val="header"/>
    <w:basedOn w:val="1"/>
    <w:link w:val="11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rPr>
      <w:rFonts w:ascii="华文中宋" w:eastAsia="华文中宋"/>
      <w:b/>
      <w:sz w:val="28"/>
      <w:szCs w:val="28"/>
    </w:rPr>
  </w:style>
  <w:style w:type="paragraph" w:styleId="32">
    <w:name w:val="toc 4"/>
    <w:basedOn w:val="1"/>
    <w:next w:val="1"/>
    <w:qFormat/>
    <w:uiPriority w:val="0"/>
    <w:pPr>
      <w:ind w:left="1260" w:leftChars="600"/>
    </w:pPr>
  </w:style>
  <w:style w:type="paragraph" w:styleId="3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34">
    <w:name w:val="toc 6"/>
    <w:basedOn w:val="1"/>
    <w:next w:val="1"/>
    <w:qFormat/>
    <w:uiPriority w:val="0"/>
    <w:pPr>
      <w:ind w:left="2100" w:leftChars="1000"/>
    </w:pPr>
    <w:rPr>
      <w:rFonts w:ascii="Calibri" w:hAnsi="Calibri"/>
      <w:szCs w:val="22"/>
    </w:rPr>
  </w:style>
  <w:style w:type="paragraph" w:styleId="35">
    <w:name w:val="Body Text Indent 3"/>
    <w:basedOn w:val="1"/>
    <w:link w:val="119"/>
    <w:qFormat/>
    <w:uiPriority w:val="0"/>
    <w:pPr>
      <w:spacing w:after="120"/>
      <w:ind w:left="420" w:leftChars="200"/>
    </w:pPr>
    <w:rPr>
      <w:sz w:val="16"/>
      <w:szCs w:val="16"/>
    </w:rPr>
  </w:style>
  <w:style w:type="paragraph" w:styleId="36">
    <w:name w:val="toc 2"/>
    <w:basedOn w:val="1"/>
    <w:next w:val="1"/>
    <w:qFormat/>
    <w:uiPriority w:val="0"/>
    <w:pPr>
      <w:ind w:left="420" w:leftChars="200"/>
    </w:pPr>
  </w:style>
  <w:style w:type="paragraph" w:styleId="37">
    <w:name w:val="toc 9"/>
    <w:basedOn w:val="1"/>
    <w:next w:val="1"/>
    <w:qFormat/>
    <w:uiPriority w:val="0"/>
    <w:pPr>
      <w:ind w:left="3360" w:leftChars="1600"/>
    </w:pPr>
    <w:rPr>
      <w:rFonts w:ascii="Calibri" w:hAnsi="Calibri"/>
      <w:szCs w:val="22"/>
    </w:rPr>
  </w:style>
  <w:style w:type="paragraph" w:styleId="38">
    <w:name w:val="Body Text 2"/>
    <w:basedOn w:val="1"/>
    <w:next w:val="1"/>
    <w:qFormat/>
    <w:uiPriority w:val="0"/>
    <w:pPr>
      <w:spacing w:after="120" w:line="480" w:lineRule="auto"/>
    </w:pPr>
  </w:style>
  <w:style w:type="paragraph" w:styleId="3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FangSong_GB2312" w:eastAsia="FangSong_GB2312"/>
      <w:szCs w:val="20"/>
    </w:rPr>
  </w:style>
  <w:style w:type="paragraph" w:styleId="42">
    <w:name w:val="Title"/>
    <w:basedOn w:val="1"/>
    <w:next w:val="1"/>
    <w:qFormat/>
    <w:uiPriority w:val="0"/>
    <w:pPr>
      <w:spacing w:before="240" w:after="60"/>
      <w:jc w:val="center"/>
      <w:outlineLvl w:val="0"/>
    </w:pPr>
    <w:rPr>
      <w:rFonts w:ascii="Cambria" w:hAnsi="Cambria"/>
      <w:b/>
      <w:sz w:val="32"/>
    </w:rPr>
  </w:style>
  <w:style w:type="paragraph" w:styleId="43">
    <w:name w:val="Body Text First Indent"/>
    <w:basedOn w:val="17"/>
    <w:qFormat/>
    <w:uiPriority w:val="0"/>
    <w:pPr>
      <w:ind w:firstLine="420" w:firstLineChars="100"/>
    </w:pPr>
  </w:style>
  <w:style w:type="paragraph" w:styleId="44">
    <w:name w:val="Body Text First Indent 2"/>
    <w:basedOn w:val="19"/>
    <w:next w:val="45"/>
    <w:qFormat/>
    <w:uiPriority w:val="0"/>
    <w:pPr>
      <w:ind w:firstLine="420" w:firstLineChars="200"/>
    </w:pPr>
  </w:style>
  <w:style w:type="paragraph" w:customStyle="1" w:styleId="45">
    <w:name w:val="正文1"/>
    <w:basedOn w:val="1"/>
    <w:qFormat/>
    <w:uiPriority w:val="0"/>
    <w:pPr>
      <w:spacing w:line="360" w:lineRule="auto"/>
      <w:ind w:firstLine="480" w:firstLineChars="200"/>
    </w:pPr>
    <w:rPr>
      <w:sz w:val="24"/>
    </w:rPr>
  </w:style>
  <w:style w:type="table" w:styleId="47">
    <w:name w:val="Table Grid"/>
    <w:basedOn w:val="4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basedOn w:val="48"/>
    <w:qFormat/>
    <w:uiPriority w:val="0"/>
    <w:rPr>
      <w:color w:val="5C5C5C"/>
      <w:u w:val="non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Acronym"/>
    <w:basedOn w:val="48"/>
    <w:qFormat/>
    <w:uiPriority w:val="0"/>
  </w:style>
  <w:style w:type="character" w:styleId="55">
    <w:name w:val="HTML Variable"/>
    <w:qFormat/>
    <w:uiPriority w:val="0"/>
    <w:rPr>
      <w:rFonts w:ascii="Times New Roman" w:hAnsi="Times New Roman" w:eastAsia="宋体"/>
    </w:rPr>
  </w:style>
  <w:style w:type="character" w:styleId="56">
    <w:name w:val="Hyperlink"/>
    <w:qFormat/>
    <w:uiPriority w:val="0"/>
    <w:rPr>
      <w:color w:val="136EC2"/>
      <w:u w:val="single"/>
    </w:rPr>
  </w:style>
  <w:style w:type="character" w:styleId="57">
    <w:name w:val="HTML Code"/>
    <w:qFormat/>
    <w:uiPriority w:val="0"/>
    <w:rPr>
      <w:rFonts w:ascii="Courier New" w:hAnsi="Courier New" w:eastAsia="Courier New" w:cs="Courier New"/>
      <w:sz w:val="20"/>
    </w:rPr>
  </w:style>
  <w:style w:type="character" w:styleId="58">
    <w:name w:val="annotation reference"/>
    <w:qFormat/>
    <w:uiPriority w:val="0"/>
    <w:rPr>
      <w:sz w:val="21"/>
      <w:szCs w:val="21"/>
    </w:rPr>
  </w:style>
  <w:style w:type="character" w:styleId="59">
    <w:name w:val="HTML Cite"/>
    <w:qFormat/>
    <w:uiPriority w:val="0"/>
    <w:rPr>
      <w:rFonts w:ascii="Times New Roman" w:hAnsi="Times New Roman" w:eastAsia="宋体"/>
    </w:rPr>
  </w:style>
  <w:style w:type="character" w:styleId="60">
    <w:name w:val="HTML Keyboard"/>
    <w:qFormat/>
    <w:uiPriority w:val="0"/>
    <w:rPr>
      <w:rFonts w:ascii="Courier New" w:hAnsi="Courier New" w:eastAsia="Courier New" w:cs="Courier New"/>
      <w:sz w:val="20"/>
    </w:rPr>
  </w:style>
  <w:style w:type="character" w:styleId="61">
    <w:name w:val="HTML Sample"/>
    <w:qFormat/>
    <w:uiPriority w:val="0"/>
    <w:rPr>
      <w:rFonts w:ascii="Courier New" w:hAnsi="Courier New" w:eastAsia="Courier New" w:cs="Courier New"/>
    </w:rPr>
  </w:style>
  <w:style w:type="paragraph" w:customStyle="1" w:styleId="62">
    <w:name w:val="列出段落1"/>
    <w:basedOn w:val="63"/>
    <w:qFormat/>
    <w:uiPriority w:val="34"/>
    <w:pPr>
      <w:ind w:firstLine="420" w:firstLineChars="200"/>
    </w:pPr>
  </w:style>
  <w:style w:type="paragraph" w:customStyle="1" w:styleId="63">
    <w:name w:val="正文_11_0"/>
    <w:next w:val="62"/>
    <w:qFormat/>
    <w:uiPriority w:val="0"/>
    <w:pPr>
      <w:widowControl w:val="0"/>
      <w:jc w:val="both"/>
    </w:pPr>
    <w:rPr>
      <w:rFonts w:ascii="Times New Roman" w:hAnsi="Times New Roman" w:eastAsia="宋体" w:cs="Times New Roman"/>
      <w:kern w:val="2"/>
      <w:sz w:val="24"/>
      <w:szCs w:val="22"/>
      <w:lang w:val="en-US" w:eastAsia="zh-CN" w:bidi="ar-SA"/>
    </w:rPr>
  </w:style>
  <w:style w:type="paragraph" w:customStyle="1" w:styleId="64">
    <w:name w:val="目录 81"/>
    <w:basedOn w:val="1"/>
    <w:next w:val="1"/>
    <w:qFormat/>
    <w:uiPriority w:val="0"/>
    <w:pPr>
      <w:ind w:left="2940"/>
    </w:pPr>
    <w:rPr>
      <w:rFonts w:ascii="Calibri"/>
    </w:rPr>
  </w:style>
  <w:style w:type="paragraph" w:customStyle="1" w:styleId="65">
    <w:name w:val="表格文字"/>
    <w:basedOn w:val="1"/>
    <w:next w:val="17"/>
    <w:qFormat/>
    <w:uiPriority w:val="0"/>
    <w:pPr>
      <w:adjustRightInd w:val="0"/>
      <w:spacing w:line="420" w:lineRule="atLeast"/>
      <w:jc w:val="left"/>
      <w:textAlignment w:val="baseline"/>
    </w:pPr>
    <w:rPr>
      <w:kern w:val="0"/>
    </w:rPr>
  </w:style>
  <w:style w:type="paragraph" w:customStyle="1" w:styleId="66">
    <w:name w:val="正文格式"/>
    <w:basedOn w:val="17"/>
    <w:next w:val="17"/>
    <w:qFormat/>
    <w:uiPriority w:val="0"/>
    <w:pPr>
      <w:widowControl/>
      <w:adjustRightInd w:val="0"/>
      <w:snapToGrid w:val="0"/>
      <w:spacing w:line="400" w:lineRule="atLeast"/>
      <w:ind w:firstLine="482"/>
      <w:textAlignment w:val="baseline"/>
    </w:pPr>
    <w:rPr>
      <w:kern w:val="0"/>
      <w:sz w:val="24"/>
    </w:rPr>
  </w:style>
  <w:style w:type="paragraph" w:customStyle="1" w:styleId="67">
    <w:name w:val="UserStyle_0"/>
    <w:basedOn w:val="1"/>
    <w:qFormat/>
    <w:uiPriority w:val="0"/>
    <w:pPr>
      <w:jc w:val="left"/>
    </w:pPr>
    <w:rPr>
      <w:color w:val="000000"/>
      <w:sz w:val="24"/>
    </w:rPr>
  </w:style>
  <w:style w:type="paragraph" w:customStyle="1" w:styleId="68">
    <w:name w:val="首行缩进"/>
    <w:basedOn w:val="1"/>
    <w:qFormat/>
    <w:uiPriority w:val="0"/>
    <w:pPr>
      <w:ind w:firstLine="480" w:firstLineChars="200"/>
    </w:pPr>
    <w:rPr>
      <w:kern w:val="0"/>
      <w:szCs w:val="20"/>
      <w:lang w:val="zh-CN"/>
    </w:rPr>
  </w:style>
  <w:style w:type="paragraph" w:customStyle="1" w:styleId="69">
    <w:name w:val="正文首行缩进1"/>
    <w:basedOn w:val="1"/>
    <w:qFormat/>
    <w:uiPriority w:val="99"/>
    <w:pPr>
      <w:spacing w:after="120"/>
      <w:ind w:firstLine="420" w:firstLineChars="100"/>
    </w:pPr>
  </w:style>
  <w:style w:type="paragraph" w:customStyle="1" w:styleId="70">
    <w:name w:val="一级条标题"/>
    <w:basedOn w:val="71"/>
    <w:next w:val="72"/>
    <w:qFormat/>
    <w:uiPriority w:val="0"/>
    <w:pPr>
      <w:spacing w:line="240" w:lineRule="auto"/>
      <w:ind w:left="420"/>
      <w:outlineLvl w:val="2"/>
    </w:pPr>
  </w:style>
  <w:style w:type="paragraph" w:customStyle="1" w:styleId="71">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72">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73">
    <w:name w:val="页眉 Char"/>
    <w:qFormat/>
    <w:uiPriority w:val="0"/>
    <w:rPr>
      <w:kern w:val="2"/>
      <w:sz w:val="18"/>
      <w:szCs w:val="18"/>
    </w:rPr>
  </w:style>
  <w:style w:type="character" w:customStyle="1" w:styleId="74">
    <w:name w:val="页脚 Char"/>
    <w:qFormat/>
    <w:uiPriority w:val="99"/>
    <w:rPr>
      <w:kern w:val="2"/>
      <w:sz w:val="18"/>
      <w:szCs w:val="18"/>
    </w:rPr>
  </w:style>
  <w:style w:type="character" w:customStyle="1" w:styleId="75">
    <w:name w:val="bds_nopic1"/>
    <w:qFormat/>
    <w:uiPriority w:val="0"/>
    <w:rPr>
      <w:rFonts w:ascii="Times New Roman" w:hAnsi="Times New Roman" w:eastAsia="宋体"/>
    </w:rPr>
  </w:style>
  <w:style w:type="character" w:customStyle="1" w:styleId="76">
    <w:name w:val="Font Style86"/>
    <w:unhideWhenUsed/>
    <w:qFormat/>
    <w:uiPriority w:val="0"/>
    <w:rPr>
      <w:rFonts w:hint="eastAsia" w:ascii="黑体" w:hAnsi="黑体" w:eastAsia="黑体"/>
      <w:spacing w:val="10"/>
      <w:sz w:val="30"/>
    </w:rPr>
  </w:style>
  <w:style w:type="character" w:customStyle="1" w:styleId="77">
    <w:name w:val="Char Char15"/>
    <w:qFormat/>
    <w:uiPriority w:val="0"/>
    <w:rPr>
      <w:b/>
      <w:bCs/>
      <w:sz w:val="24"/>
      <w:szCs w:val="24"/>
    </w:rPr>
  </w:style>
  <w:style w:type="character" w:customStyle="1" w:styleId="78">
    <w:name w:val="Font Style125"/>
    <w:unhideWhenUsed/>
    <w:qFormat/>
    <w:uiPriority w:val="0"/>
    <w:rPr>
      <w:rFonts w:hint="eastAsia" w:ascii="宋体" w:hAnsi="宋体" w:eastAsia="宋体"/>
      <w:b/>
      <w:sz w:val="26"/>
    </w:rPr>
  </w:style>
  <w:style w:type="character" w:customStyle="1" w:styleId="79">
    <w:name w:val="标题 6 Char1"/>
    <w:link w:val="7"/>
    <w:qFormat/>
    <w:uiPriority w:val="0"/>
    <w:rPr>
      <w:rFonts w:ascii="Arial" w:hAnsi="Arial" w:eastAsia="黑体"/>
      <w:b/>
      <w:bCs/>
      <w:sz w:val="24"/>
      <w:szCs w:val="24"/>
      <w:lang w:val="en-US" w:eastAsia="zh-CN" w:bidi="ar-SA"/>
    </w:rPr>
  </w:style>
  <w:style w:type="character" w:customStyle="1" w:styleId="80">
    <w:name w:val="标题 5 Char"/>
    <w:qFormat/>
    <w:uiPriority w:val="0"/>
    <w:rPr>
      <w:b/>
      <w:bCs/>
      <w:kern w:val="2"/>
      <w:sz w:val="28"/>
      <w:szCs w:val="28"/>
    </w:rPr>
  </w:style>
  <w:style w:type="character" w:customStyle="1" w:styleId="81">
    <w:name w:val="Font Style126"/>
    <w:unhideWhenUsed/>
    <w:qFormat/>
    <w:uiPriority w:val="0"/>
    <w:rPr>
      <w:rFonts w:hint="eastAsia" w:ascii="宋体" w:hAnsi="宋体" w:eastAsia="宋体"/>
      <w:b/>
      <w:spacing w:val="-30"/>
      <w:sz w:val="28"/>
    </w:rPr>
  </w:style>
  <w:style w:type="character" w:customStyle="1" w:styleId="82">
    <w:name w:val="Font Style116"/>
    <w:unhideWhenUsed/>
    <w:qFormat/>
    <w:uiPriority w:val="0"/>
    <w:rPr>
      <w:rFonts w:hint="eastAsia" w:ascii="宋体" w:hAnsi="宋体" w:eastAsia="宋体"/>
      <w:spacing w:val="-20"/>
      <w:sz w:val="24"/>
    </w:rPr>
  </w:style>
  <w:style w:type="character" w:customStyle="1" w:styleId="83">
    <w:name w:val="标题 7 Char1"/>
    <w:link w:val="8"/>
    <w:qFormat/>
    <w:uiPriority w:val="0"/>
    <w:rPr>
      <w:rFonts w:eastAsia="宋体"/>
      <w:b/>
      <w:bCs/>
      <w:sz w:val="24"/>
      <w:szCs w:val="24"/>
      <w:lang w:val="en-US" w:eastAsia="zh-CN" w:bidi="ar-SA"/>
    </w:rPr>
  </w:style>
  <w:style w:type="character" w:customStyle="1" w:styleId="84">
    <w:name w:val="日期 Char1"/>
    <w:link w:val="26"/>
    <w:qFormat/>
    <w:uiPriority w:val="0"/>
    <w:rPr>
      <w:rFonts w:eastAsia="宋体"/>
      <w:kern w:val="2"/>
      <w:sz w:val="24"/>
      <w:lang w:val="en-US" w:eastAsia="zh-CN" w:bidi="ar-SA"/>
    </w:rPr>
  </w:style>
  <w:style w:type="character" w:customStyle="1" w:styleId="85">
    <w:name w:val="标题 8 Char"/>
    <w:qFormat/>
    <w:uiPriority w:val="0"/>
    <w:rPr>
      <w:rFonts w:ascii="Arial" w:hAnsi="Arial" w:eastAsia="黑体"/>
      <w:sz w:val="24"/>
      <w:szCs w:val="24"/>
    </w:rPr>
  </w:style>
  <w:style w:type="character" w:customStyle="1" w:styleId="86">
    <w:name w:val="标题 2 Char1"/>
    <w:link w:val="3"/>
    <w:qFormat/>
    <w:uiPriority w:val="0"/>
    <w:rPr>
      <w:rFonts w:ascii="Arial" w:hAnsi="Arial" w:eastAsia="宋体"/>
      <w:b/>
      <w:bCs/>
      <w:kern w:val="2"/>
      <w:sz w:val="24"/>
      <w:szCs w:val="32"/>
      <w:lang w:val="en-US" w:eastAsia="zh-CN" w:bidi="ar-SA"/>
    </w:rPr>
  </w:style>
  <w:style w:type="character" w:customStyle="1" w:styleId="87">
    <w:name w:val="批注主题 Char1"/>
    <w:link w:val="20"/>
    <w:qFormat/>
    <w:uiPriority w:val="0"/>
    <w:rPr>
      <w:rFonts w:eastAsia="宋体"/>
      <w:b/>
      <w:bCs/>
      <w:kern w:val="2"/>
      <w:sz w:val="21"/>
      <w:szCs w:val="24"/>
      <w:lang w:val="en-US" w:eastAsia="zh-CN" w:bidi="ar-SA"/>
    </w:rPr>
  </w:style>
  <w:style w:type="character" w:customStyle="1" w:styleId="88">
    <w:name w:val="标题 3 Char"/>
    <w:qFormat/>
    <w:uiPriority w:val="0"/>
    <w:rPr>
      <w:b/>
      <w:bCs/>
      <w:sz w:val="24"/>
      <w:szCs w:val="24"/>
    </w:rPr>
  </w:style>
  <w:style w:type="character" w:customStyle="1" w:styleId="89">
    <w:name w:val="标题 1 Char"/>
    <w:qFormat/>
    <w:uiPriority w:val="0"/>
    <w:rPr>
      <w:rFonts w:ascii="Cambria" w:hAnsi="Cambria"/>
      <w:b/>
      <w:bCs/>
      <w:kern w:val="32"/>
      <w:sz w:val="32"/>
      <w:szCs w:val="32"/>
    </w:rPr>
  </w:style>
  <w:style w:type="character" w:customStyle="1" w:styleId="90">
    <w:name w:val="Font Style119"/>
    <w:unhideWhenUsed/>
    <w:qFormat/>
    <w:uiPriority w:val="0"/>
    <w:rPr>
      <w:rFonts w:hint="eastAsia" w:ascii="宋体" w:hAnsi="宋体" w:eastAsia="宋体"/>
      <w:sz w:val="24"/>
    </w:rPr>
  </w:style>
  <w:style w:type="character" w:customStyle="1" w:styleId="91">
    <w:name w:val="标题 8 Char1"/>
    <w:link w:val="9"/>
    <w:qFormat/>
    <w:uiPriority w:val="0"/>
    <w:rPr>
      <w:rFonts w:ascii="Arial" w:hAnsi="Arial" w:eastAsia="黑体"/>
      <w:sz w:val="24"/>
      <w:szCs w:val="24"/>
      <w:lang w:val="en-US" w:eastAsia="zh-CN" w:bidi="ar-SA"/>
    </w:rPr>
  </w:style>
  <w:style w:type="character" w:customStyle="1" w:styleId="92">
    <w:name w:val="Font Style127"/>
    <w:unhideWhenUsed/>
    <w:qFormat/>
    <w:uiPriority w:val="0"/>
    <w:rPr>
      <w:rFonts w:hint="eastAsia" w:ascii="Times New Roman" w:hAnsi="Times New Roman" w:eastAsia="Times New Roman"/>
      <w:sz w:val="20"/>
    </w:rPr>
  </w:style>
  <w:style w:type="character" w:customStyle="1" w:styleId="93">
    <w:name w:val="标题 2 Char"/>
    <w:qFormat/>
    <w:uiPriority w:val="0"/>
    <w:rPr>
      <w:rFonts w:ascii="Cambria" w:hAnsi="Cambria" w:eastAsia="宋体" w:cs="Times New Roman"/>
      <w:b/>
      <w:bCs/>
      <w:kern w:val="2"/>
      <w:sz w:val="32"/>
      <w:szCs w:val="32"/>
    </w:rPr>
  </w:style>
  <w:style w:type="character" w:customStyle="1" w:styleId="94">
    <w:name w:val="polysemyred"/>
    <w:qFormat/>
    <w:uiPriority w:val="0"/>
    <w:rPr>
      <w:rFonts w:ascii="Times New Roman" w:hAnsi="Times New Roman" w:eastAsia="宋体"/>
      <w:color w:val="FF6666"/>
      <w:sz w:val="18"/>
      <w:szCs w:val="18"/>
    </w:rPr>
  </w:style>
  <w:style w:type="character" w:customStyle="1" w:styleId="95">
    <w:name w:val="标题 9 Char1"/>
    <w:link w:val="10"/>
    <w:qFormat/>
    <w:uiPriority w:val="0"/>
    <w:rPr>
      <w:rFonts w:ascii="Arial" w:hAnsi="Arial" w:eastAsia="黑体"/>
      <w:sz w:val="21"/>
      <w:szCs w:val="21"/>
      <w:lang w:val="en-US" w:eastAsia="zh-CN" w:bidi="ar-SA"/>
    </w:rPr>
  </w:style>
  <w:style w:type="character" w:customStyle="1" w:styleId="96">
    <w:name w:val="sidecatalog-index2"/>
    <w:qFormat/>
    <w:uiPriority w:val="0"/>
    <w:rPr>
      <w:rFonts w:ascii="Arail" w:hAnsi="Arail" w:eastAsia="Arail" w:cs="Arail"/>
      <w:color w:val="999999"/>
      <w:sz w:val="21"/>
      <w:szCs w:val="21"/>
    </w:rPr>
  </w:style>
  <w:style w:type="character" w:customStyle="1" w:styleId="97">
    <w:name w:val="正文文本缩进 Char"/>
    <w:link w:val="19"/>
    <w:qFormat/>
    <w:uiPriority w:val="0"/>
    <w:rPr>
      <w:rFonts w:eastAsia="宋体"/>
      <w:kern w:val="2"/>
      <w:sz w:val="21"/>
      <w:szCs w:val="24"/>
      <w:lang w:val="en-US" w:eastAsia="zh-CN" w:bidi="ar-SA"/>
    </w:rPr>
  </w:style>
  <w:style w:type="character" w:customStyle="1" w:styleId="98">
    <w:name w:val="Char Char14"/>
    <w:qFormat/>
    <w:uiPriority w:val="0"/>
    <w:rPr>
      <w:rFonts w:ascii="Arial" w:hAnsi="Arial" w:eastAsia="黑体"/>
      <w:b/>
      <w:bCs/>
      <w:sz w:val="28"/>
      <w:szCs w:val="28"/>
      <w:lang w:val="en-US" w:eastAsia="zh-CN" w:bidi="ar-SA"/>
    </w:rPr>
  </w:style>
  <w:style w:type="character" w:customStyle="1" w:styleId="99">
    <w:name w:val="lemmatitleh12"/>
    <w:qFormat/>
    <w:uiPriority w:val="0"/>
    <w:rPr>
      <w:rFonts w:ascii="Times New Roman" w:hAnsi="Times New Roman" w:eastAsia="宋体"/>
    </w:rPr>
  </w:style>
  <w:style w:type="character" w:customStyle="1" w:styleId="100">
    <w:name w:val="标题 4 Char Char"/>
    <w:qFormat/>
    <w:uiPriority w:val="0"/>
    <w:rPr>
      <w:rFonts w:ascii="Arial" w:hAnsi="Arial" w:eastAsia="宋体"/>
      <w:b/>
      <w:bCs/>
      <w:kern w:val="2"/>
      <w:sz w:val="21"/>
      <w:szCs w:val="28"/>
      <w:lang w:val="en-US" w:eastAsia="zh-CN" w:bidi="ar-SA"/>
    </w:rPr>
  </w:style>
  <w:style w:type="character" w:customStyle="1" w:styleId="101">
    <w:name w:val="sidecatalog-dot"/>
    <w:qFormat/>
    <w:uiPriority w:val="0"/>
    <w:rPr>
      <w:rFonts w:ascii="Times New Roman" w:hAnsi="Times New Roman" w:eastAsia="宋体"/>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plus"/>
    <w:qFormat/>
    <w:uiPriority w:val="0"/>
    <w:rPr>
      <w:rFonts w:ascii="Times New Roman" w:hAnsi="Times New Roman" w:eastAsia="宋体"/>
      <w:b/>
      <w:vanish/>
      <w:color w:val="1F8DEF"/>
      <w:sz w:val="24"/>
      <w:szCs w:val="24"/>
    </w:rPr>
  </w:style>
  <w:style w:type="character" w:customStyle="1" w:styleId="104">
    <w:name w:val="Font Style121"/>
    <w:unhideWhenUsed/>
    <w:qFormat/>
    <w:uiPriority w:val="0"/>
    <w:rPr>
      <w:rFonts w:hint="eastAsia" w:ascii="宋体" w:hAnsi="宋体" w:eastAsia="宋体"/>
      <w:spacing w:val="-10"/>
      <w:sz w:val="30"/>
    </w:rPr>
  </w:style>
  <w:style w:type="character" w:customStyle="1" w:styleId="105">
    <w:name w:val="标题 6 Char"/>
    <w:qFormat/>
    <w:uiPriority w:val="0"/>
    <w:rPr>
      <w:rFonts w:ascii="Arial" w:hAnsi="Arial" w:eastAsia="黑体"/>
      <w:b/>
      <w:bCs/>
      <w:sz w:val="24"/>
      <w:szCs w:val="24"/>
    </w:rPr>
  </w:style>
  <w:style w:type="character" w:customStyle="1" w:styleId="106">
    <w:name w:val="纯文本 Char2"/>
    <w:qFormat/>
    <w:uiPriority w:val="0"/>
    <w:rPr>
      <w:rFonts w:ascii="宋体" w:hAnsi="Courier New" w:eastAsia="宋体"/>
      <w:kern w:val="2"/>
      <w:sz w:val="21"/>
      <w:szCs w:val="21"/>
      <w:lang w:val="en-US" w:eastAsia="zh-CN" w:bidi="ar-SA"/>
    </w:rPr>
  </w:style>
  <w:style w:type="character" w:customStyle="1" w:styleId="107">
    <w:name w:val="标题 3 Char1"/>
    <w:link w:val="4"/>
    <w:qFormat/>
    <w:uiPriority w:val="0"/>
    <w:rPr>
      <w:rFonts w:eastAsia="宋体"/>
      <w:b/>
      <w:bCs/>
      <w:kern w:val="2"/>
      <w:sz w:val="32"/>
      <w:szCs w:val="32"/>
      <w:lang w:val="en-US" w:eastAsia="zh-CN" w:bidi="ar-SA"/>
    </w:rPr>
  </w:style>
  <w:style w:type="character" w:customStyle="1" w:styleId="108">
    <w:name w:val="正文文本缩进 3 Char"/>
    <w:qFormat/>
    <w:uiPriority w:val="0"/>
    <w:rPr>
      <w:rFonts w:ascii="宋体" w:hAnsi="MS Sans Serif"/>
      <w:color w:val="000000"/>
      <w:sz w:val="24"/>
    </w:rPr>
  </w:style>
  <w:style w:type="character" w:customStyle="1" w:styleId="109">
    <w:name w:val="Char Char16"/>
    <w:qFormat/>
    <w:uiPriority w:val="0"/>
    <w:rPr>
      <w:rFonts w:ascii="宋体" w:hAnsi="Times New Roman" w:eastAsia="宋体"/>
      <w:b/>
      <w:sz w:val="24"/>
      <w:lang w:val="en-US" w:eastAsia="zh-CN" w:bidi="ar-SA"/>
    </w:rPr>
  </w:style>
  <w:style w:type="character" w:customStyle="1" w:styleId="110">
    <w:name w:val="页眉 Char1"/>
    <w:link w:val="30"/>
    <w:qFormat/>
    <w:uiPriority w:val="0"/>
    <w:rPr>
      <w:rFonts w:eastAsia="宋体"/>
      <w:kern w:val="2"/>
      <w:sz w:val="18"/>
      <w:szCs w:val="18"/>
      <w:lang w:val="en-US" w:eastAsia="zh-CN" w:bidi="ar-SA"/>
    </w:rPr>
  </w:style>
  <w:style w:type="character" w:customStyle="1" w:styleId="111">
    <w:name w:val="polysemyexp"/>
    <w:qFormat/>
    <w:uiPriority w:val="0"/>
    <w:rPr>
      <w:rFonts w:ascii="Times New Roman" w:hAnsi="Times New Roman" w:eastAsia="宋体"/>
      <w:color w:val="AAAAAA"/>
      <w:sz w:val="18"/>
      <w:szCs w:val="18"/>
    </w:rPr>
  </w:style>
  <w:style w:type="character" w:customStyle="1" w:styleId="112">
    <w:name w:val="Font Style124"/>
    <w:unhideWhenUsed/>
    <w:qFormat/>
    <w:uiPriority w:val="0"/>
    <w:rPr>
      <w:rFonts w:hint="eastAsia" w:ascii="宋体" w:hAnsi="宋体" w:eastAsia="宋体"/>
      <w:spacing w:val="30"/>
      <w:sz w:val="24"/>
    </w:rPr>
  </w:style>
  <w:style w:type="character" w:customStyle="1" w:styleId="113">
    <w:name w:val="p0 Char Char"/>
    <w:qFormat/>
    <w:uiPriority w:val="0"/>
    <w:rPr>
      <w:rFonts w:eastAsia="宋体"/>
      <w:kern w:val="2"/>
      <w:sz w:val="21"/>
      <w:szCs w:val="21"/>
      <w:lang w:val="en-US" w:eastAsia="zh-CN" w:bidi="ar-SA"/>
    </w:rPr>
  </w:style>
  <w:style w:type="character" w:customStyle="1" w:styleId="114">
    <w:name w:val="标题 Char"/>
    <w:qFormat/>
    <w:uiPriority w:val="0"/>
    <w:rPr>
      <w:rFonts w:ascii="Cambria" w:hAnsi="Cambria"/>
      <w:b/>
      <w:kern w:val="2"/>
      <w:sz w:val="32"/>
      <w:szCs w:val="24"/>
    </w:rPr>
  </w:style>
  <w:style w:type="character" w:customStyle="1" w:styleId="115">
    <w:name w:val="sidecatalog-dot1"/>
    <w:qFormat/>
    <w:uiPriority w:val="0"/>
    <w:rPr>
      <w:rFonts w:ascii="Times New Roman" w:hAnsi="Times New Roman" w:eastAsia="宋体"/>
    </w:rPr>
  </w:style>
  <w:style w:type="character" w:customStyle="1" w:styleId="116">
    <w:name w:val="标题 9 Char"/>
    <w:qFormat/>
    <w:uiPriority w:val="0"/>
    <w:rPr>
      <w:rFonts w:ascii="Arial" w:hAnsi="Arial" w:eastAsia="黑体"/>
      <w:sz w:val="21"/>
      <w:szCs w:val="21"/>
    </w:rPr>
  </w:style>
  <w:style w:type="character" w:customStyle="1" w:styleId="117">
    <w:name w:val="日期 Char"/>
    <w:qFormat/>
    <w:uiPriority w:val="0"/>
    <w:rPr>
      <w:kern w:val="2"/>
      <w:sz w:val="21"/>
      <w:szCs w:val="24"/>
    </w:rPr>
  </w:style>
  <w:style w:type="character" w:customStyle="1" w:styleId="118">
    <w:name w:val="bds_more7"/>
    <w:qFormat/>
    <w:uiPriority w:val="0"/>
    <w:rPr>
      <w:rFonts w:ascii="Times New Roman" w:hAnsi="Times New Roman" w:eastAsia="宋体"/>
    </w:rPr>
  </w:style>
  <w:style w:type="character" w:customStyle="1" w:styleId="119">
    <w:name w:val="正文文本缩进 3 Char1"/>
    <w:link w:val="35"/>
    <w:qFormat/>
    <w:uiPriority w:val="0"/>
    <w:rPr>
      <w:rFonts w:eastAsia="宋体"/>
      <w:kern w:val="2"/>
      <w:sz w:val="16"/>
      <w:szCs w:val="16"/>
      <w:lang w:val="en-US" w:eastAsia="zh-CN" w:bidi="ar-SA"/>
    </w:rPr>
  </w:style>
  <w:style w:type="character" w:customStyle="1" w:styleId="120">
    <w:name w:val="sort"/>
    <w:qFormat/>
    <w:uiPriority w:val="0"/>
    <w:rPr>
      <w:rFonts w:ascii="Times New Roman" w:hAnsi="Times New Roman" w:eastAsia="宋体"/>
      <w:color w:val="FFFFFF"/>
      <w:bdr w:val="single" w:color="auto" w:sz="24" w:space="0"/>
    </w:rPr>
  </w:style>
  <w:style w:type="character" w:customStyle="1" w:styleId="121">
    <w:name w:val="Font Style123"/>
    <w:unhideWhenUsed/>
    <w:qFormat/>
    <w:uiPriority w:val="0"/>
    <w:rPr>
      <w:rFonts w:hint="eastAsia" w:ascii="宋体" w:hAnsi="宋体" w:eastAsia="宋体"/>
      <w:b/>
      <w:sz w:val="32"/>
    </w:rPr>
  </w:style>
  <w:style w:type="character" w:customStyle="1" w:styleId="122">
    <w:name w:val="标题 7 Char"/>
    <w:qFormat/>
    <w:uiPriority w:val="0"/>
    <w:rPr>
      <w:b/>
      <w:bCs/>
      <w:sz w:val="24"/>
      <w:szCs w:val="24"/>
    </w:rPr>
  </w:style>
  <w:style w:type="character" w:customStyle="1" w:styleId="123">
    <w:name w:val="Font Style94"/>
    <w:unhideWhenUsed/>
    <w:qFormat/>
    <w:uiPriority w:val="0"/>
    <w:rPr>
      <w:rFonts w:hint="eastAsia" w:ascii="Times New Roman" w:hAnsi="Times New Roman" w:eastAsia="Times New Roman"/>
      <w:sz w:val="28"/>
    </w:rPr>
  </w:style>
  <w:style w:type="character" w:customStyle="1" w:styleId="124">
    <w:name w:val="标题 4 Char"/>
    <w:qFormat/>
    <w:uiPriority w:val="0"/>
    <w:rPr>
      <w:rFonts w:ascii="Arial" w:hAnsi="Arial" w:eastAsia="宋体" w:cs="Times New Roman"/>
      <w:b/>
      <w:bCs/>
      <w:szCs w:val="28"/>
    </w:rPr>
  </w:style>
  <w:style w:type="character" w:customStyle="1" w:styleId="125">
    <w:name w:val="Font Style133"/>
    <w:unhideWhenUsed/>
    <w:qFormat/>
    <w:uiPriority w:val="0"/>
    <w:rPr>
      <w:rFonts w:hint="eastAsia" w:ascii="宋体" w:hAnsi="宋体" w:eastAsia="宋体"/>
      <w:spacing w:val="30"/>
      <w:sz w:val="24"/>
    </w:rPr>
  </w:style>
  <w:style w:type="character" w:customStyle="1" w:styleId="126">
    <w:name w:val="bds_more9"/>
    <w:qFormat/>
    <w:uiPriority w:val="0"/>
    <w:rPr>
      <w:rFonts w:ascii="Times New Roman" w:hAnsi="Times New Roman" w:eastAsia="宋体"/>
    </w:rPr>
  </w:style>
  <w:style w:type="character" w:customStyle="1" w:styleId="127">
    <w:name w:val="标题 1 Char1"/>
    <w:link w:val="2"/>
    <w:qFormat/>
    <w:uiPriority w:val="0"/>
    <w:rPr>
      <w:rFonts w:eastAsia="宋体"/>
      <w:b/>
      <w:bCs/>
      <w:kern w:val="2"/>
      <w:sz w:val="24"/>
      <w:lang w:val="en-US" w:eastAsia="zh-CN" w:bidi="ar-SA"/>
    </w:rPr>
  </w:style>
  <w:style w:type="character" w:customStyle="1" w:styleId="128">
    <w:name w:val="批注文字 Char1"/>
    <w:link w:val="14"/>
    <w:qFormat/>
    <w:uiPriority w:val="0"/>
    <w:rPr>
      <w:rFonts w:eastAsia="宋体"/>
      <w:kern w:val="2"/>
      <w:sz w:val="21"/>
      <w:szCs w:val="24"/>
      <w:lang w:val="en-US" w:eastAsia="zh-CN" w:bidi="ar-SA"/>
    </w:rPr>
  </w:style>
  <w:style w:type="character" w:customStyle="1" w:styleId="129">
    <w:name w:val="Char Char17"/>
    <w:qFormat/>
    <w:uiPriority w:val="0"/>
    <w:rPr>
      <w:rFonts w:ascii="宋体" w:hAnsi="Times New Roman" w:eastAsia="宋体"/>
      <w:b/>
      <w:sz w:val="28"/>
      <w:lang w:val="en-US" w:eastAsia="zh-CN" w:bidi="ar-SA"/>
    </w:rPr>
  </w:style>
  <w:style w:type="character" w:customStyle="1" w:styleId="130">
    <w:name w:val="morelink-item"/>
    <w:qFormat/>
    <w:uiPriority w:val="0"/>
    <w:rPr>
      <w:rFonts w:ascii="Times New Roman" w:hAnsi="Times New Roman" w:eastAsia="宋体"/>
    </w:rPr>
  </w:style>
  <w:style w:type="character" w:customStyle="1" w:styleId="131">
    <w:name w:val="Font Style128"/>
    <w:unhideWhenUsed/>
    <w:qFormat/>
    <w:uiPriority w:val="0"/>
    <w:rPr>
      <w:rFonts w:hint="eastAsia" w:ascii="Times New Roman" w:hAnsi="Times New Roman" w:eastAsia="Times New Roman"/>
      <w:sz w:val="16"/>
    </w:rPr>
  </w:style>
  <w:style w:type="character" w:customStyle="1" w:styleId="132">
    <w:name w:val="Font Style117"/>
    <w:unhideWhenUsed/>
    <w:qFormat/>
    <w:uiPriority w:val="0"/>
    <w:rPr>
      <w:rFonts w:hint="eastAsia" w:ascii="宋体" w:hAnsi="宋体" w:eastAsia="宋体"/>
      <w:spacing w:val="20"/>
      <w:sz w:val="24"/>
    </w:rPr>
  </w:style>
  <w:style w:type="character" w:customStyle="1" w:styleId="133">
    <w:name w:val="批注框文本 Char"/>
    <w:qFormat/>
    <w:uiPriority w:val="0"/>
    <w:rPr>
      <w:kern w:val="2"/>
      <w:sz w:val="18"/>
      <w:szCs w:val="18"/>
    </w:rPr>
  </w:style>
  <w:style w:type="character" w:customStyle="1" w:styleId="134">
    <w:name w:val="批注框文本 Char1"/>
    <w:link w:val="28"/>
    <w:semiHidden/>
    <w:qFormat/>
    <w:locked/>
    <w:uiPriority w:val="0"/>
    <w:rPr>
      <w:rFonts w:ascii="Calibri" w:hAnsi="Calibri" w:eastAsia="宋体"/>
      <w:kern w:val="2"/>
      <w:sz w:val="18"/>
      <w:szCs w:val="18"/>
      <w:lang w:val="en-US" w:eastAsia="zh-CN" w:bidi="ar-SA"/>
    </w:rPr>
  </w:style>
  <w:style w:type="character" w:customStyle="1" w:styleId="135">
    <w:name w:val="sort1"/>
    <w:qFormat/>
    <w:uiPriority w:val="0"/>
    <w:rPr>
      <w:rFonts w:ascii="Times New Roman" w:hAnsi="Times New Roman" w:eastAsia="宋体"/>
    </w:rPr>
  </w:style>
  <w:style w:type="character" w:customStyle="1" w:styleId="136">
    <w:name w:val="bds_more6"/>
    <w:qFormat/>
    <w:uiPriority w:val="0"/>
    <w:rPr>
      <w:rFonts w:hint="eastAsia" w:ascii="宋体" w:hAnsi="宋体" w:eastAsia="宋体" w:cs="宋体"/>
    </w:rPr>
  </w:style>
  <w:style w:type="character" w:customStyle="1" w:styleId="137">
    <w:name w:val="sidecatalog-index1"/>
    <w:qFormat/>
    <w:uiPriority w:val="0"/>
    <w:rPr>
      <w:rFonts w:ascii="Arial" w:hAnsi="Arial" w:eastAsia="宋体" w:cs="Arial"/>
      <w:b/>
      <w:color w:val="999999"/>
      <w:sz w:val="21"/>
      <w:szCs w:val="21"/>
    </w:rPr>
  </w:style>
  <w:style w:type="character" w:customStyle="1" w:styleId="138">
    <w:name w:val="p0 Char"/>
    <w:link w:val="139"/>
    <w:qFormat/>
    <w:uiPriority w:val="0"/>
    <w:rPr>
      <w:rFonts w:eastAsia="宋体"/>
      <w:sz w:val="21"/>
      <w:szCs w:val="21"/>
      <w:lang w:val="en-US" w:eastAsia="zh-CN" w:bidi="ar-SA"/>
    </w:rPr>
  </w:style>
  <w:style w:type="paragraph" w:customStyle="1" w:styleId="139">
    <w:name w:val="p0"/>
    <w:basedOn w:val="1"/>
    <w:link w:val="138"/>
    <w:qFormat/>
    <w:uiPriority w:val="0"/>
    <w:pPr>
      <w:widowControl/>
    </w:pPr>
    <w:rPr>
      <w:kern w:val="0"/>
      <w:szCs w:val="21"/>
    </w:rPr>
  </w:style>
  <w:style w:type="character" w:customStyle="1" w:styleId="140">
    <w:name w:val="Font Style104"/>
    <w:unhideWhenUsed/>
    <w:qFormat/>
    <w:uiPriority w:val="0"/>
    <w:rPr>
      <w:rFonts w:hint="eastAsia" w:ascii="宋体" w:hAnsi="宋体" w:eastAsia="宋体"/>
      <w:spacing w:val="30"/>
      <w:sz w:val="18"/>
    </w:rPr>
  </w:style>
  <w:style w:type="character" w:customStyle="1" w:styleId="141">
    <w:name w:val="desc"/>
    <w:qFormat/>
    <w:uiPriority w:val="0"/>
    <w:rPr>
      <w:rFonts w:ascii="Times New Roman" w:hAnsi="Times New Roman" w:eastAsia="宋体"/>
      <w:color w:val="000000"/>
      <w:sz w:val="18"/>
      <w:szCs w:val="18"/>
    </w:rPr>
  </w:style>
  <w:style w:type="character" w:customStyle="1" w:styleId="142">
    <w:name w:val="标题 5 Char1"/>
    <w:link w:val="6"/>
    <w:qFormat/>
    <w:uiPriority w:val="0"/>
    <w:rPr>
      <w:rFonts w:eastAsia="宋体"/>
      <w:b/>
      <w:bCs/>
      <w:sz w:val="28"/>
      <w:szCs w:val="28"/>
      <w:lang w:val="en-US" w:eastAsia="zh-CN" w:bidi="ar-SA"/>
    </w:rPr>
  </w:style>
  <w:style w:type="character" w:customStyle="1" w:styleId="143">
    <w:name w:val="bds_more10"/>
    <w:qFormat/>
    <w:uiPriority w:val="0"/>
    <w:rPr>
      <w:rFonts w:ascii="Times New Roman" w:hAnsi="Times New Roman" w:eastAsia="宋体"/>
    </w:rPr>
  </w:style>
  <w:style w:type="character" w:customStyle="1" w:styleId="144">
    <w:name w:val="Font Style131"/>
    <w:unhideWhenUsed/>
    <w:qFormat/>
    <w:uiPriority w:val="0"/>
    <w:rPr>
      <w:rFonts w:hint="eastAsia" w:ascii="Times New Roman" w:hAnsi="Times New Roman" w:eastAsia="Times New Roman"/>
      <w:sz w:val="18"/>
    </w:rPr>
  </w:style>
  <w:style w:type="character" w:customStyle="1" w:styleId="145">
    <w:name w:val="批注文字 Char"/>
    <w:qFormat/>
    <w:uiPriority w:val="0"/>
    <w:rPr>
      <w:kern w:val="2"/>
      <w:sz w:val="21"/>
      <w:szCs w:val="24"/>
    </w:rPr>
  </w:style>
  <w:style w:type="character" w:customStyle="1" w:styleId="146">
    <w:name w:val="bds_more8"/>
    <w:qFormat/>
    <w:uiPriority w:val="0"/>
    <w:rPr>
      <w:rFonts w:ascii="Times New Roman" w:hAnsi="Times New Roman" w:eastAsia="宋体"/>
    </w:rPr>
  </w:style>
  <w:style w:type="character" w:customStyle="1" w:styleId="147">
    <w:name w:val="批注文字 Char Char"/>
    <w:qFormat/>
    <w:uiPriority w:val="0"/>
    <w:rPr>
      <w:kern w:val="2"/>
      <w:sz w:val="21"/>
      <w:szCs w:val="24"/>
      <w:lang w:bidi="ar-SA"/>
    </w:rPr>
  </w:style>
  <w:style w:type="character" w:customStyle="1" w:styleId="148">
    <w:name w:val="Font Style115"/>
    <w:unhideWhenUsed/>
    <w:qFormat/>
    <w:uiPriority w:val="0"/>
    <w:rPr>
      <w:rFonts w:hint="eastAsia" w:ascii="Times New Roman" w:hAnsi="Times New Roman" w:eastAsia="Times New Roman"/>
      <w:sz w:val="16"/>
    </w:rPr>
  </w:style>
  <w:style w:type="character" w:customStyle="1" w:styleId="149">
    <w:name w:val="bds_nopic"/>
    <w:qFormat/>
    <w:uiPriority w:val="0"/>
    <w:rPr>
      <w:rFonts w:ascii="Times New Roman" w:hAnsi="Times New Roman" w:eastAsia="宋体"/>
    </w:rPr>
  </w:style>
  <w:style w:type="character" w:customStyle="1" w:styleId="150">
    <w:name w:val="Font Style105"/>
    <w:unhideWhenUsed/>
    <w:qFormat/>
    <w:uiPriority w:val="0"/>
    <w:rPr>
      <w:rFonts w:hint="eastAsia" w:ascii="Times New Roman" w:hAnsi="Times New Roman" w:eastAsia="Times New Roman"/>
      <w:w w:val="60"/>
      <w:sz w:val="26"/>
    </w:rPr>
  </w:style>
  <w:style w:type="character" w:customStyle="1" w:styleId="151">
    <w:name w:val="标题 Char1"/>
    <w:qFormat/>
    <w:uiPriority w:val="0"/>
    <w:rPr>
      <w:rFonts w:ascii="Cambria" w:hAnsi="Cambria" w:eastAsia="宋体" w:cs="Times New Roman"/>
      <w:b/>
      <w:bCs/>
      <w:sz w:val="32"/>
      <w:szCs w:val="32"/>
    </w:rPr>
  </w:style>
  <w:style w:type="character" w:customStyle="1" w:styleId="152">
    <w:name w:val="纯文本 Char"/>
    <w:link w:val="24"/>
    <w:qFormat/>
    <w:locked/>
    <w:uiPriority w:val="0"/>
    <w:rPr>
      <w:rFonts w:ascii="宋体" w:hAnsi="Courier New" w:eastAsia="宋体" w:cs="Courier New"/>
      <w:kern w:val="2"/>
      <w:sz w:val="21"/>
      <w:szCs w:val="21"/>
      <w:lang w:val="en-US" w:eastAsia="zh-CN" w:bidi="ar-SA"/>
    </w:rPr>
  </w:style>
  <w:style w:type="character" w:customStyle="1" w:styleId="153">
    <w:name w:val="Font Style90"/>
    <w:unhideWhenUsed/>
    <w:qFormat/>
    <w:uiPriority w:val="0"/>
    <w:rPr>
      <w:rFonts w:hint="eastAsia" w:ascii="宋体" w:hAnsi="宋体" w:eastAsia="宋体"/>
      <w:b/>
      <w:spacing w:val="-20"/>
      <w:sz w:val="40"/>
    </w:rPr>
  </w:style>
  <w:style w:type="character" w:customStyle="1" w:styleId="154">
    <w:name w:val="Font Style134"/>
    <w:unhideWhenUsed/>
    <w:qFormat/>
    <w:uiPriority w:val="0"/>
    <w:rPr>
      <w:rFonts w:hint="eastAsia" w:ascii="宋体" w:hAnsi="宋体" w:eastAsia="宋体"/>
      <w:spacing w:val="20"/>
      <w:sz w:val="22"/>
    </w:rPr>
  </w:style>
  <w:style w:type="character" w:customStyle="1" w:styleId="155">
    <w:name w:val="Char Char6"/>
    <w:qFormat/>
    <w:uiPriority w:val="0"/>
    <w:rPr>
      <w:rFonts w:ascii="Arial" w:hAnsi="Arial" w:eastAsia="黑体"/>
      <w:sz w:val="24"/>
      <w:szCs w:val="24"/>
      <w:lang w:val="en-US" w:eastAsia="zh-CN" w:bidi="ar-SA"/>
    </w:rPr>
  </w:style>
  <w:style w:type="character" w:customStyle="1" w:styleId="156">
    <w:name w:val="标题 4 Char1"/>
    <w:link w:val="5"/>
    <w:qFormat/>
    <w:uiPriority w:val="0"/>
    <w:rPr>
      <w:rFonts w:ascii="Arial" w:hAnsi="Arial" w:eastAsia="黑体"/>
      <w:b/>
      <w:bCs/>
      <w:kern w:val="2"/>
      <w:sz w:val="28"/>
      <w:szCs w:val="28"/>
      <w:lang w:val="en-US" w:eastAsia="zh-CN" w:bidi="ar-SA"/>
    </w:rPr>
  </w:style>
  <w:style w:type="character" w:customStyle="1" w:styleId="157">
    <w:name w:val="批注主题 Char"/>
    <w:qFormat/>
    <w:uiPriority w:val="0"/>
    <w:rPr>
      <w:b/>
      <w:bCs/>
      <w:kern w:val="2"/>
      <w:sz w:val="21"/>
      <w:szCs w:val="24"/>
    </w:rPr>
  </w:style>
  <w:style w:type="character" w:customStyle="1" w:styleId="158">
    <w:name w:val="样式2 Char Char"/>
    <w:qFormat/>
    <w:uiPriority w:val="0"/>
    <w:rPr>
      <w:rFonts w:eastAsia="宋体"/>
      <w:kern w:val="2"/>
      <w:sz w:val="18"/>
      <w:szCs w:val="18"/>
      <w:lang w:val="en-US" w:eastAsia="zh-CN" w:bidi="ar-SA"/>
    </w:rPr>
  </w:style>
  <w:style w:type="character" w:customStyle="1" w:styleId="159">
    <w:name w:val="bds_nopic2"/>
    <w:qFormat/>
    <w:uiPriority w:val="0"/>
    <w:rPr>
      <w:rFonts w:ascii="Times New Roman" w:hAnsi="Times New Roman" w:eastAsia="宋体"/>
    </w:rPr>
  </w:style>
  <w:style w:type="character" w:customStyle="1" w:styleId="160">
    <w:name w:val="页脚 Char1"/>
    <w:link w:val="29"/>
    <w:qFormat/>
    <w:uiPriority w:val="0"/>
    <w:rPr>
      <w:rFonts w:eastAsia="宋体"/>
      <w:kern w:val="2"/>
      <w:sz w:val="18"/>
      <w:szCs w:val="18"/>
      <w:lang w:val="en-US" w:eastAsia="zh-CN" w:bidi="ar-SA"/>
    </w:rPr>
  </w:style>
  <w:style w:type="paragraph" w:customStyle="1" w:styleId="161">
    <w:name w:val="标题 7_0"/>
    <w:basedOn w:val="162"/>
    <w:next w:val="162"/>
    <w:unhideWhenUsed/>
    <w:qFormat/>
    <w:uiPriority w:val="9"/>
    <w:pPr>
      <w:keepNext/>
      <w:keepLines/>
      <w:adjustRightInd w:val="0"/>
      <w:spacing w:before="240" w:after="64" w:line="320" w:lineRule="atLeast"/>
      <w:jc w:val="left"/>
      <w:textAlignment w:val="baseline"/>
      <w:outlineLvl w:val="6"/>
    </w:pPr>
    <w:rPr>
      <w:b/>
      <w:bCs/>
      <w:kern w:val="0"/>
      <w:sz w:val="24"/>
    </w:rPr>
  </w:style>
  <w:style w:type="paragraph" w:customStyle="1" w:styleId="162">
    <w:name w:val="正文_37"/>
    <w:next w:val="1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标题 2_37"/>
    <w:basedOn w:val="162"/>
    <w:next w:val="162"/>
    <w:unhideWhenUsed/>
    <w:qFormat/>
    <w:uiPriority w:val="9"/>
    <w:pPr>
      <w:keepNext/>
      <w:keepLines/>
      <w:spacing w:line="360" w:lineRule="auto"/>
      <w:outlineLvl w:val="1"/>
    </w:pPr>
    <w:rPr>
      <w:rFonts w:ascii="Arial" w:hAnsi="Arial"/>
      <w:b/>
      <w:bCs/>
      <w:sz w:val="24"/>
      <w:szCs w:val="32"/>
    </w:rPr>
  </w:style>
  <w:style w:type="paragraph" w:customStyle="1" w:styleId="164">
    <w:name w:val="Style54"/>
    <w:basedOn w:val="1"/>
    <w:unhideWhenUsed/>
    <w:qFormat/>
    <w:uiPriority w:val="0"/>
  </w:style>
  <w:style w:type="paragraph" w:customStyle="1" w:styleId="165">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66">
    <w:name w:val="Char Char Char Char Char Char Char"/>
    <w:basedOn w:val="1"/>
    <w:qFormat/>
    <w:uiPriority w:val="0"/>
    <w:pPr>
      <w:snapToGrid w:val="0"/>
      <w:spacing w:line="360" w:lineRule="auto"/>
      <w:ind w:firstLine="200" w:firstLineChars="200"/>
    </w:pPr>
    <w:rPr>
      <w:rFonts w:eastAsia="FangSong_GB2312"/>
      <w:sz w:val="24"/>
    </w:rPr>
  </w:style>
  <w:style w:type="paragraph" w:customStyle="1" w:styleId="167">
    <w:name w:val="Style50"/>
    <w:basedOn w:val="1"/>
    <w:unhideWhenUsed/>
    <w:qFormat/>
    <w:uiPriority w:val="0"/>
  </w:style>
  <w:style w:type="paragraph" w:customStyle="1" w:styleId="168">
    <w:name w:val="Char Char1 Char Char Char Char Char1 Char Char Char Char"/>
    <w:basedOn w:val="13"/>
    <w:qFormat/>
    <w:uiPriority w:val="0"/>
    <w:rPr>
      <w:rFonts w:ascii="Tahoma" w:hAnsi="Tahoma"/>
    </w:rPr>
  </w:style>
  <w:style w:type="paragraph" w:customStyle="1" w:styleId="16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0">
    <w:name w:val="Style21"/>
    <w:basedOn w:val="1"/>
    <w:unhideWhenUsed/>
    <w:qFormat/>
    <w:uiPriority w:val="0"/>
    <w:pPr>
      <w:spacing w:line="566" w:lineRule="exact"/>
      <w:ind w:firstLine="682"/>
    </w:pPr>
  </w:style>
  <w:style w:type="paragraph" w:customStyle="1" w:styleId="171">
    <w:name w:val="Style42"/>
    <w:basedOn w:val="1"/>
    <w:unhideWhenUsed/>
    <w:qFormat/>
    <w:uiPriority w:val="0"/>
    <w:pPr>
      <w:spacing w:line="542" w:lineRule="exact"/>
      <w:ind w:firstLine="547"/>
    </w:pPr>
  </w:style>
  <w:style w:type="paragraph" w:customStyle="1" w:styleId="172">
    <w:name w:val="Style34"/>
    <w:basedOn w:val="1"/>
    <w:unhideWhenUsed/>
    <w:qFormat/>
    <w:uiPriority w:val="0"/>
    <w:pPr>
      <w:spacing w:line="375" w:lineRule="exact"/>
    </w:pPr>
  </w:style>
  <w:style w:type="paragraph" w:customStyle="1" w:styleId="173">
    <w:name w:val="Style56"/>
    <w:basedOn w:val="1"/>
    <w:unhideWhenUsed/>
    <w:qFormat/>
    <w:uiPriority w:val="0"/>
  </w:style>
  <w:style w:type="paragraph" w:customStyle="1" w:styleId="174">
    <w:name w:val="Style9"/>
    <w:basedOn w:val="1"/>
    <w:unhideWhenUsed/>
    <w:qFormat/>
    <w:uiPriority w:val="0"/>
  </w:style>
  <w:style w:type="paragraph" w:customStyle="1" w:styleId="175">
    <w:name w:val="Char Char Char Char Char Char Char1"/>
    <w:basedOn w:val="1"/>
    <w:qFormat/>
    <w:uiPriority w:val="0"/>
    <w:pPr>
      <w:snapToGrid w:val="0"/>
      <w:spacing w:line="360" w:lineRule="auto"/>
      <w:ind w:firstLine="200" w:firstLineChars="200"/>
    </w:pPr>
    <w:rPr>
      <w:rFonts w:eastAsia="FangSong_GB2312"/>
      <w:sz w:val="24"/>
    </w:rPr>
  </w:style>
  <w:style w:type="paragraph" w:customStyle="1" w:styleId="176">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7">
    <w:name w:val="Style48"/>
    <w:basedOn w:val="1"/>
    <w:unhideWhenUsed/>
    <w:qFormat/>
    <w:uiPriority w:val="0"/>
    <w:pPr>
      <w:spacing w:line="542" w:lineRule="exact"/>
      <w:jc w:val="right"/>
    </w:pPr>
  </w:style>
  <w:style w:type="paragraph" w:customStyle="1" w:styleId="178">
    <w:name w:val="Char Char1 Char Char Char Char Char Char Char"/>
    <w:basedOn w:val="1"/>
    <w:qFormat/>
    <w:uiPriority w:val="0"/>
    <w:pPr>
      <w:widowControl/>
      <w:spacing w:after="160" w:line="240" w:lineRule="exact"/>
      <w:jc w:val="left"/>
    </w:pPr>
  </w:style>
  <w:style w:type="paragraph" w:customStyle="1" w:styleId="179">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80">
    <w:name w:val="Style26"/>
    <w:basedOn w:val="1"/>
    <w:unhideWhenUsed/>
    <w:qFormat/>
    <w:uiPriority w:val="0"/>
  </w:style>
  <w:style w:type="paragraph" w:customStyle="1" w:styleId="181">
    <w:name w:val="Style62"/>
    <w:basedOn w:val="1"/>
    <w:unhideWhenUsed/>
    <w:qFormat/>
    <w:uiPriority w:val="0"/>
  </w:style>
  <w:style w:type="paragraph" w:customStyle="1" w:styleId="182">
    <w:name w:val="Style76"/>
    <w:basedOn w:val="1"/>
    <w:unhideWhenUsed/>
    <w:qFormat/>
    <w:uiPriority w:val="0"/>
  </w:style>
  <w:style w:type="paragraph" w:customStyle="1" w:styleId="183">
    <w:name w:val="Style64"/>
    <w:basedOn w:val="1"/>
    <w:unhideWhenUsed/>
    <w:qFormat/>
    <w:uiPriority w:val="0"/>
  </w:style>
  <w:style w:type="paragraph" w:customStyle="1" w:styleId="184">
    <w:name w:val="Style16"/>
    <w:basedOn w:val="1"/>
    <w:unhideWhenUsed/>
    <w:qFormat/>
    <w:uiPriority w:val="0"/>
    <w:pPr>
      <w:jc w:val="right"/>
    </w:pPr>
  </w:style>
  <w:style w:type="paragraph" w:customStyle="1" w:styleId="185">
    <w:name w:val="1"/>
    <w:basedOn w:val="1"/>
    <w:qFormat/>
    <w:uiPriority w:val="0"/>
    <w:pPr>
      <w:spacing w:afterLines="50" w:line="360" w:lineRule="auto"/>
    </w:pPr>
    <w:rPr>
      <w:rFonts w:ascii="宋体" w:hAnsi="宋体"/>
      <w:b/>
      <w:sz w:val="30"/>
      <w:szCs w:val="21"/>
    </w:rPr>
  </w:style>
  <w:style w:type="paragraph" w:customStyle="1" w:styleId="186">
    <w:name w:val="Style60"/>
    <w:basedOn w:val="1"/>
    <w:unhideWhenUsed/>
    <w:qFormat/>
    <w:uiPriority w:val="0"/>
    <w:pPr>
      <w:spacing w:line="566" w:lineRule="exact"/>
    </w:pPr>
  </w:style>
  <w:style w:type="paragraph" w:customStyle="1" w:styleId="187">
    <w:name w:val="Style71"/>
    <w:basedOn w:val="1"/>
    <w:unhideWhenUsed/>
    <w:qFormat/>
    <w:uiPriority w:val="0"/>
    <w:pPr>
      <w:spacing w:line="538" w:lineRule="exact"/>
      <w:ind w:firstLine="101"/>
    </w:pPr>
  </w:style>
  <w:style w:type="paragraph" w:customStyle="1" w:styleId="188">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9">
    <w:name w:val="正文文本缩进 3 New New"/>
    <w:basedOn w:val="1"/>
    <w:qFormat/>
    <w:uiPriority w:val="0"/>
    <w:pPr>
      <w:spacing w:line="400" w:lineRule="exact"/>
      <w:ind w:left="2" w:leftChars="1"/>
    </w:pPr>
    <w:rPr>
      <w:rFonts w:ascii="宋体" w:hAnsi="宋体"/>
    </w:rPr>
  </w:style>
  <w:style w:type="paragraph" w:customStyle="1" w:styleId="190">
    <w:name w:val="Char Char"/>
    <w:basedOn w:val="1"/>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191">
    <w:name w:val="Style11"/>
    <w:basedOn w:val="1"/>
    <w:unhideWhenUsed/>
    <w:qFormat/>
    <w:uiPriority w:val="0"/>
    <w:pPr>
      <w:spacing w:line="559" w:lineRule="exact"/>
      <w:ind w:firstLine="590"/>
    </w:pPr>
  </w:style>
  <w:style w:type="paragraph" w:customStyle="1" w:styleId="192">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93">
    <w:name w:val="附录标识"/>
    <w:basedOn w:val="194"/>
    <w:qFormat/>
    <w:uiPriority w:val="0"/>
    <w:pPr>
      <w:tabs>
        <w:tab w:val="left" w:pos="360"/>
        <w:tab w:val="left" w:pos="720"/>
        <w:tab w:val="left" w:pos="6405"/>
      </w:tabs>
      <w:spacing w:after="200"/>
    </w:pPr>
    <w:rPr>
      <w:sz w:val="21"/>
    </w:rPr>
  </w:style>
  <w:style w:type="paragraph" w:customStyle="1" w:styleId="194">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95">
    <w:name w:val="默认段落字体 Para Char Char Char Char Char Char Char Char Char Char Char Char Char Char Char Char Char Char Char"/>
    <w:basedOn w:val="1"/>
    <w:qFormat/>
    <w:uiPriority w:val="0"/>
  </w:style>
  <w:style w:type="paragraph" w:customStyle="1" w:styleId="196">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Style15"/>
    <w:basedOn w:val="1"/>
    <w:unhideWhenUsed/>
    <w:qFormat/>
    <w:uiPriority w:val="0"/>
    <w:pPr>
      <w:spacing w:line="557" w:lineRule="exact"/>
      <w:ind w:firstLine="672"/>
    </w:pPr>
  </w:style>
  <w:style w:type="paragraph" w:customStyle="1" w:styleId="199">
    <w:name w:val="Style8"/>
    <w:basedOn w:val="1"/>
    <w:unhideWhenUsed/>
    <w:qFormat/>
    <w:uiPriority w:val="0"/>
    <w:pPr>
      <w:spacing w:line="566" w:lineRule="exact"/>
      <w:jc w:val="center"/>
    </w:pPr>
  </w:style>
  <w:style w:type="paragraph" w:customStyle="1" w:styleId="200">
    <w:name w:val="Style13"/>
    <w:basedOn w:val="1"/>
    <w:unhideWhenUsed/>
    <w:qFormat/>
    <w:uiPriority w:val="0"/>
  </w:style>
  <w:style w:type="paragraph" w:customStyle="1" w:styleId="201">
    <w:name w:val="Style52"/>
    <w:basedOn w:val="1"/>
    <w:unhideWhenUsed/>
    <w:qFormat/>
    <w:uiPriority w:val="0"/>
    <w:pPr>
      <w:spacing w:line="682" w:lineRule="exact"/>
      <w:ind w:firstLine="557"/>
    </w:pPr>
  </w:style>
  <w:style w:type="paragraph" w:customStyle="1" w:styleId="202">
    <w:name w:val="Style28"/>
    <w:basedOn w:val="1"/>
    <w:unhideWhenUsed/>
    <w:qFormat/>
    <w:uiPriority w:val="0"/>
    <w:pPr>
      <w:spacing w:line="552" w:lineRule="exact"/>
      <w:ind w:firstLine="547"/>
    </w:pPr>
  </w:style>
  <w:style w:type="paragraph" w:customStyle="1" w:styleId="203">
    <w:name w:val="Style27"/>
    <w:basedOn w:val="1"/>
    <w:unhideWhenUsed/>
    <w:qFormat/>
    <w:uiPriority w:val="0"/>
  </w:style>
  <w:style w:type="paragraph" w:customStyle="1" w:styleId="204">
    <w:name w:val="Style70"/>
    <w:basedOn w:val="1"/>
    <w:unhideWhenUsed/>
    <w:qFormat/>
    <w:uiPriority w:val="0"/>
    <w:pPr>
      <w:spacing w:line="549" w:lineRule="exact"/>
      <w:ind w:firstLine="686"/>
    </w:pPr>
  </w:style>
  <w:style w:type="paragraph" w:customStyle="1" w:styleId="205">
    <w:name w:val="表格内容"/>
    <w:basedOn w:val="17"/>
    <w:qFormat/>
    <w:uiPriority w:val="0"/>
    <w:pPr>
      <w:suppressLineNumbers/>
      <w:suppressAutoHyphens/>
      <w:jc w:val="left"/>
    </w:pPr>
    <w:rPr>
      <w:rFonts w:cs="Tahoma"/>
      <w:kern w:val="0"/>
      <w:sz w:val="24"/>
    </w:rPr>
  </w:style>
  <w:style w:type="paragraph" w:customStyle="1" w:styleId="206">
    <w:name w:val="Style23"/>
    <w:basedOn w:val="1"/>
    <w:unhideWhenUsed/>
    <w:qFormat/>
    <w:uiPriority w:val="0"/>
  </w:style>
  <w:style w:type="paragraph" w:customStyle="1" w:styleId="20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Char1 Char Char Char 字元 Char Char 字元 Char 字元 Char1 Char Char Char"/>
    <w:basedOn w:val="1"/>
    <w:qFormat/>
    <w:uiPriority w:val="0"/>
    <w:rPr>
      <w:szCs w:val="20"/>
    </w:rPr>
  </w:style>
  <w:style w:type="paragraph" w:customStyle="1" w:styleId="209">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10">
    <w:name w:val="Style58"/>
    <w:basedOn w:val="1"/>
    <w:unhideWhenUsed/>
    <w:qFormat/>
    <w:uiPriority w:val="0"/>
    <w:pPr>
      <w:spacing w:line="413" w:lineRule="exact"/>
    </w:pPr>
  </w:style>
  <w:style w:type="paragraph" w:customStyle="1" w:styleId="211">
    <w:name w:val="Style36"/>
    <w:basedOn w:val="1"/>
    <w:unhideWhenUsed/>
    <w:qFormat/>
    <w:uiPriority w:val="0"/>
  </w:style>
  <w:style w:type="paragraph" w:customStyle="1" w:styleId="212">
    <w:name w:val="p15"/>
    <w:basedOn w:val="1"/>
    <w:qFormat/>
    <w:uiPriority w:val="0"/>
    <w:pPr>
      <w:widowControl/>
      <w:spacing w:line="220" w:lineRule="atLeast"/>
      <w:jc w:val="center"/>
    </w:pPr>
    <w:rPr>
      <w:rFonts w:ascii="FangSong_GB2312" w:hAnsi="宋体" w:eastAsia="FangSong_GB2312" w:cs="宋体"/>
      <w:kern w:val="0"/>
      <w:szCs w:val="21"/>
    </w:rPr>
  </w:style>
  <w:style w:type="paragraph" w:customStyle="1" w:styleId="213">
    <w:name w:val="Style81"/>
    <w:basedOn w:val="1"/>
    <w:unhideWhenUsed/>
    <w:qFormat/>
    <w:uiPriority w:val="0"/>
    <w:pPr>
      <w:spacing w:line="547" w:lineRule="exact"/>
    </w:pPr>
  </w:style>
  <w:style w:type="paragraph" w:customStyle="1" w:styleId="214">
    <w:name w:val="Style72"/>
    <w:basedOn w:val="1"/>
    <w:unhideWhenUsed/>
    <w:qFormat/>
    <w:uiPriority w:val="0"/>
  </w:style>
  <w:style w:type="paragraph" w:customStyle="1" w:styleId="215">
    <w:name w:val="Style4"/>
    <w:basedOn w:val="1"/>
    <w:unhideWhenUsed/>
    <w:qFormat/>
    <w:uiPriority w:val="0"/>
  </w:style>
  <w:style w:type="paragraph" w:customStyle="1" w:styleId="216">
    <w:name w:val="Style74"/>
    <w:basedOn w:val="1"/>
    <w:unhideWhenUsed/>
    <w:qFormat/>
    <w:uiPriority w:val="0"/>
    <w:pPr>
      <w:spacing w:line="437" w:lineRule="exact"/>
    </w:pPr>
  </w:style>
  <w:style w:type="paragraph" w:customStyle="1" w:styleId="217">
    <w:name w:val="Style78"/>
    <w:basedOn w:val="1"/>
    <w:unhideWhenUsed/>
    <w:qFormat/>
    <w:uiPriority w:val="0"/>
  </w:style>
  <w:style w:type="paragraph" w:customStyle="1" w:styleId="218">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19">
    <w:name w:val="Style45"/>
    <w:basedOn w:val="1"/>
    <w:unhideWhenUsed/>
    <w:qFormat/>
    <w:uiPriority w:val="0"/>
  </w:style>
  <w:style w:type="paragraph" w:customStyle="1" w:styleId="220">
    <w:name w:val="Style24"/>
    <w:basedOn w:val="1"/>
    <w:unhideWhenUsed/>
    <w:qFormat/>
    <w:uiPriority w:val="0"/>
  </w:style>
  <w:style w:type="paragraph" w:customStyle="1" w:styleId="221">
    <w:name w:val="Style41"/>
    <w:basedOn w:val="1"/>
    <w:unhideWhenUsed/>
    <w:qFormat/>
    <w:uiPriority w:val="0"/>
    <w:pPr>
      <w:spacing w:line="542" w:lineRule="exact"/>
      <w:ind w:firstLine="125"/>
    </w:pPr>
  </w:style>
  <w:style w:type="paragraph" w:customStyle="1" w:styleId="222">
    <w:name w:val="Style10"/>
    <w:basedOn w:val="1"/>
    <w:unhideWhenUsed/>
    <w:qFormat/>
    <w:uiPriority w:val="0"/>
    <w:pPr>
      <w:spacing w:line="538" w:lineRule="exact"/>
    </w:pPr>
  </w:style>
  <w:style w:type="paragraph" w:customStyle="1" w:styleId="223">
    <w:name w:val="Char1 Char Char Char Char Char Char Char Char Char"/>
    <w:basedOn w:val="1"/>
    <w:qFormat/>
    <w:uiPriority w:val="0"/>
    <w:rPr>
      <w:szCs w:val="20"/>
    </w:rPr>
  </w:style>
  <w:style w:type="paragraph" w:customStyle="1" w:styleId="224">
    <w:name w:val="修订1"/>
    <w:qFormat/>
    <w:uiPriority w:val="0"/>
    <w:rPr>
      <w:rFonts w:ascii="Times New Roman" w:hAnsi="Times New Roman" w:eastAsia="宋体" w:cs="Times New Roman"/>
      <w:kern w:val="2"/>
      <w:sz w:val="21"/>
      <w:szCs w:val="24"/>
      <w:lang w:val="en-US" w:eastAsia="zh-CN" w:bidi="ar-SA"/>
    </w:rPr>
  </w:style>
  <w:style w:type="paragraph" w:customStyle="1" w:styleId="225">
    <w:name w:val="Style63"/>
    <w:basedOn w:val="1"/>
    <w:unhideWhenUsed/>
    <w:qFormat/>
    <w:uiPriority w:val="0"/>
    <w:pPr>
      <w:spacing w:line="564" w:lineRule="exact"/>
      <w:ind w:firstLine="682"/>
    </w:pPr>
  </w:style>
  <w:style w:type="paragraph" w:customStyle="1" w:styleId="22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7">
    <w:name w:val="Style77"/>
    <w:basedOn w:val="1"/>
    <w:unhideWhenUsed/>
    <w:qFormat/>
    <w:uiPriority w:val="0"/>
  </w:style>
  <w:style w:type="paragraph" w:customStyle="1" w:styleId="228">
    <w:name w:val="Char Char1 Char Char Char"/>
    <w:basedOn w:val="1"/>
    <w:qFormat/>
    <w:uiPriority w:val="0"/>
    <w:rPr>
      <w:kern w:val="0"/>
      <w:sz w:val="20"/>
      <w:szCs w:val="20"/>
    </w:rPr>
  </w:style>
  <w:style w:type="paragraph" w:customStyle="1" w:styleId="229">
    <w:name w:val="列出段落2"/>
    <w:basedOn w:val="1"/>
    <w:qFormat/>
    <w:uiPriority w:val="0"/>
    <w:pPr>
      <w:ind w:firstLine="420" w:firstLineChars="200"/>
    </w:pPr>
    <w:rPr>
      <w:rFonts w:ascii="Calibri" w:hAnsi="Calibri" w:cs="Calibri"/>
      <w:szCs w:val="21"/>
    </w:rPr>
  </w:style>
  <w:style w:type="paragraph" w:customStyle="1" w:styleId="230">
    <w:name w:val="Style59"/>
    <w:basedOn w:val="1"/>
    <w:unhideWhenUsed/>
    <w:qFormat/>
    <w:uiPriority w:val="0"/>
  </w:style>
  <w:style w:type="paragraph" w:customStyle="1" w:styleId="231">
    <w:name w:val="Style73"/>
    <w:basedOn w:val="1"/>
    <w:unhideWhenUsed/>
    <w:qFormat/>
    <w:uiPriority w:val="0"/>
    <w:pPr>
      <w:spacing w:line="538" w:lineRule="exact"/>
      <w:ind w:firstLine="533"/>
    </w:pPr>
  </w:style>
  <w:style w:type="paragraph" w:customStyle="1" w:styleId="232">
    <w:name w:val="列出段落3"/>
    <w:basedOn w:val="1"/>
    <w:qFormat/>
    <w:uiPriority w:val="34"/>
    <w:pPr>
      <w:ind w:firstLine="420" w:firstLineChars="200"/>
    </w:pPr>
    <w:rPr>
      <w:rFonts w:ascii="Calibri" w:hAnsi="Calibri"/>
      <w:szCs w:val="22"/>
    </w:rPr>
  </w:style>
  <w:style w:type="paragraph" w:customStyle="1" w:styleId="23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34">
    <w:name w:val="Style44"/>
    <w:basedOn w:val="1"/>
    <w:unhideWhenUsed/>
    <w:qFormat/>
    <w:uiPriority w:val="0"/>
  </w:style>
  <w:style w:type="paragraph" w:customStyle="1" w:styleId="235">
    <w:name w:val="Style5"/>
    <w:basedOn w:val="1"/>
    <w:unhideWhenUsed/>
    <w:qFormat/>
    <w:uiPriority w:val="0"/>
  </w:style>
  <w:style w:type="paragraph" w:customStyle="1" w:styleId="236">
    <w:name w:val="Char Char Char"/>
    <w:basedOn w:val="1"/>
    <w:qFormat/>
    <w:uiPriority w:val="0"/>
    <w:rPr>
      <w:rFonts w:ascii="宋体" w:hAnsi="宋体"/>
      <w:b/>
      <w:sz w:val="28"/>
      <w:szCs w:val="28"/>
    </w:rPr>
  </w:style>
  <w:style w:type="paragraph" w:customStyle="1" w:styleId="237">
    <w:name w:val="Style46"/>
    <w:basedOn w:val="1"/>
    <w:unhideWhenUsed/>
    <w:qFormat/>
    <w:uiPriority w:val="0"/>
    <w:pPr>
      <w:spacing w:line="672" w:lineRule="exact"/>
    </w:pPr>
  </w:style>
  <w:style w:type="paragraph" w:customStyle="1" w:styleId="238">
    <w:name w:val="Style29"/>
    <w:basedOn w:val="1"/>
    <w:unhideWhenUsed/>
    <w:qFormat/>
    <w:uiPriority w:val="0"/>
    <w:pPr>
      <w:spacing w:line="547" w:lineRule="exact"/>
      <w:ind w:firstLine="547"/>
    </w:pPr>
  </w:style>
  <w:style w:type="paragraph" w:customStyle="1" w:styleId="239">
    <w:name w:val="Char1 Char Char Char"/>
    <w:basedOn w:val="1"/>
    <w:qFormat/>
    <w:uiPriority w:val="0"/>
    <w:pPr>
      <w:widowControl/>
      <w:spacing w:after="160" w:line="240" w:lineRule="exact"/>
      <w:jc w:val="left"/>
    </w:pPr>
    <w:rPr>
      <w:kern w:val="0"/>
      <w:sz w:val="24"/>
      <w:szCs w:val="20"/>
    </w:rPr>
  </w:style>
  <w:style w:type="paragraph" w:customStyle="1" w:styleId="240">
    <w:name w:val="Style47"/>
    <w:basedOn w:val="1"/>
    <w:unhideWhenUsed/>
    <w:qFormat/>
    <w:uiPriority w:val="0"/>
  </w:style>
  <w:style w:type="paragraph" w:customStyle="1" w:styleId="241">
    <w:name w:val="Style80"/>
    <w:basedOn w:val="1"/>
    <w:unhideWhenUsed/>
    <w:qFormat/>
    <w:uiPriority w:val="0"/>
  </w:style>
  <w:style w:type="paragraph" w:customStyle="1" w:styleId="242">
    <w:name w:val="Style67"/>
    <w:basedOn w:val="1"/>
    <w:unhideWhenUsed/>
    <w:qFormat/>
    <w:uiPriority w:val="0"/>
    <w:pPr>
      <w:spacing w:line="566" w:lineRule="exact"/>
      <w:ind w:firstLine="552"/>
    </w:pPr>
  </w:style>
  <w:style w:type="paragraph" w:customStyle="1" w:styleId="243">
    <w:name w:val="Style53"/>
    <w:basedOn w:val="1"/>
    <w:unhideWhenUsed/>
    <w:qFormat/>
    <w:uiPriority w:val="0"/>
    <w:pPr>
      <w:spacing w:line="533" w:lineRule="exact"/>
      <w:ind w:firstLine="581"/>
    </w:pPr>
  </w:style>
  <w:style w:type="paragraph" w:customStyle="1" w:styleId="244">
    <w:name w:val="标题3"/>
    <w:basedOn w:val="2"/>
    <w:qFormat/>
    <w:uiPriority w:val="0"/>
    <w:pPr>
      <w:spacing w:beforeLines="50" w:afterLines="50" w:line="400" w:lineRule="exact"/>
      <w:jc w:val="both"/>
    </w:pPr>
    <w:rPr>
      <w:rFonts w:ascii="宋体" w:hAnsi="宋体"/>
      <w:kern w:val="32"/>
      <w:szCs w:val="32"/>
    </w:rPr>
  </w:style>
  <w:style w:type="paragraph" w:customStyle="1" w:styleId="245">
    <w:name w:val="1 Char Char Char Char"/>
    <w:basedOn w:val="1"/>
    <w:qFormat/>
    <w:uiPriority w:val="0"/>
  </w:style>
  <w:style w:type="paragraph" w:customStyle="1" w:styleId="246">
    <w:name w:val="Style65"/>
    <w:basedOn w:val="1"/>
    <w:unhideWhenUsed/>
    <w:qFormat/>
    <w:uiPriority w:val="0"/>
  </w:style>
  <w:style w:type="paragraph" w:customStyle="1" w:styleId="247">
    <w:name w:val="NO3"/>
    <w:basedOn w:val="1"/>
    <w:qFormat/>
    <w:uiPriority w:val="0"/>
    <w:pPr>
      <w:tabs>
        <w:tab w:val="left" w:pos="907"/>
      </w:tabs>
      <w:spacing w:line="360" w:lineRule="auto"/>
    </w:pPr>
    <w:rPr>
      <w:rFonts w:ascii="宋体" w:hAnsi="宋体"/>
      <w:sz w:val="24"/>
    </w:rPr>
  </w:style>
  <w:style w:type="paragraph" w:customStyle="1" w:styleId="248">
    <w:name w:val="_Style 39"/>
    <w:basedOn w:val="207"/>
    <w:qFormat/>
    <w:uiPriority w:val="0"/>
  </w:style>
  <w:style w:type="paragraph" w:customStyle="1" w:styleId="249">
    <w:name w:val="Char2"/>
    <w:basedOn w:val="1"/>
    <w:qFormat/>
    <w:uiPriority w:val="0"/>
    <w:pPr>
      <w:tabs>
        <w:tab w:val="left" w:pos="360"/>
      </w:tabs>
      <w:ind w:left="360" w:hanging="360" w:hangingChars="200"/>
    </w:pPr>
    <w:rPr>
      <w:sz w:val="24"/>
    </w:rPr>
  </w:style>
  <w:style w:type="paragraph" w:customStyle="1" w:styleId="250">
    <w:name w:val="p16"/>
    <w:basedOn w:val="1"/>
    <w:qFormat/>
    <w:uiPriority w:val="0"/>
    <w:pPr>
      <w:widowControl/>
      <w:jc w:val="left"/>
    </w:pPr>
    <w:rPr>
      <w:kern w:val="0"/>
      <w:szCs w:val="21"/>
    </w:rPr>
  </w:style>
  <w:style w:type="paragraph" w:customStyle="1" w:styleId="25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52">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53">
    <w:name w:val="Style69"/>
    <w:basedOn w:val="1"/>
    <w:unhideWhenUsed/>
    <w:qFormat/>
    <w:uiPriority w:val="0"/>
    <w:pPr>
      <w:spacing w:line="557" w:lineRule="exact"/>
      <w:ind w:firstLine="1666"/>
    </w:pPr>
  </w:style>
  <w:style w:type="paragraph" w:customStyle="1" w:styleId="254">
    <w:name w:val="Style12"/>
    <w:basedOn w:val="1"/>
    <w:unhideWhenUsed/>
    <w:qFormat/>
    <w:uiPriority w:val="0"/>
    <w:pPr>
      <w:spacing w:line="564" w:lineRule="exact"/>
      <w:ind w:hanging="115"/>
    </w:pPr>
  </w:style>
  <w:style w:type="paragraph" w:customStyle="1" w:styleId="255">
    <w:name w:val="Style61"/>
    <w:basedOn w:val="1"/>
    <w:unhideWhenUsed/>
    <w:qFormat/>
    <w:uiPriority w:val="0"/>
  </w:style>
  <w:style w:type="paragraph" w:customStyle="1" w:styleId="256">
    <w:name w:val="标题2"/>
    <w:basedOn w:val="42"/>
    <w:qFormat/>
    <w:uiPriority w:val="0"/>
    <w:pPr>
      <w:spacing w:after="240"/>
      <w:jc w:val="left"/>
    </w:pPr>
    <w:rPr>
      <w:sz w:val="30"/>
    </w:rPr>
  </w:style>
  <w:style w:type="paragraph" w:customStyle="1" w:styleId="257">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58">
    <w:name w:val="Char Char Char1 Char"/>
    <w:basedOn w:val="1"/>
    <w:qFormat/>
    <w:uiPriority w:val="0"/>
    <w:pPr>
      <w:tabs>
        <w:tab w:val="left" w:pos="360"/>
      </w:tabs>
      <w:snapToGrid w:val="0"/>
      <w:spacing w:line="360" w:lineRule="auto"/>
    </w:pPr>
    <w:rPr>
      <w:rFonts w:eastAsia="FangSong_GB2312" w:cs="宋体"/>
      <w:sz w:val="24"/>
    </w:rPr>
  </w:style>
  <w:style w:type="paragraph" w:customStyle="1" w:styleId="259">
    <w:name w:val="Style68"/>
    <w:basedOn w:val="1"/>
    <w:unhideWhenUsed/>
    <w:qFormat/>
    <w:uiPriority w:val="0"/>
    <w:pPr>
      <w:spacing w:line="547" w:lineRule="exact"/>
    </w:pPr>
  </w:style>
  <w:style w:type="paragraph" w:customStyle="1" w:styleId="260">
    <w:name w:val="标题 1 +"/>
    <w:basedOn w:val="2"/>
    <w:next w:val="1"/>
    <w:qFormat/>
    <w:uiPriority w:val="0"/>
    <w:pPr>
      <w:keepLines/>
      <w:spacing w:line="600" w:lineRule="auto"/>
    </w:pPr>
    <w:rPr>
      <w:rFonts w:eastAsia="黑体"/>
      <w:kern w:val="0"/>
      <w:sz w:val="32"/>
      <w:szCs w:val="32"/>
    </w:rPr>
  </w:style>
  <w:style w:type="character" w:customStyle="1" w:styleId="261">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262">
    <w:name w:val="font112"/>
    <w:basedOn w:val="48"/>
    <w:qFormat/>
    <w:uiPriority w:val="0"/>
    <w:rPr>
      <w:rFonts w:hint="default" w:ascii="Times New Roman" w:hAnsi="Times New Roman" w:cs="Times New Roman"/>
      <w:i/>
      <w:color w:val="000000"/>
      <w:sz w:val="20"/>
      <w:szCs w:val="20"/>
      <w:u w:val="none"/>
    </w:rPr>
  </w:style>
  <w:style w:type="character" w:customStyle="1" w:styleId="263">
    <w:name w:val="font101"/>
    <w:basedOn w:val="48"/>
    <w:qFormat/>
    <w:uiPriority w:val="0"/>
    <w:rPr>
      <w:rFonts w:hint="default" w:ascii="Times New Roman" w:hAnsi="Times New Roman" w:cs="Times New Roman"/>
      <w:color w:val="000000"/>
      <w:sz w:val="20"/>
      <w:szCs w:val="20"/>
      <w:u w:val="none"/>
    </w:rPr>
  </w:style>
  <w:style w:type="character" w:customStyle="1" w:styleId="264">
    <w:name w:val="font91"/>
    <w:basedOn w:val="48"/>
    <w:qFormat/>
    <w:uiPriority w:val="0"/>
    <w:rPr>
      <w:rFonts w:hint="eastAsia" w:ascii="宋体" w:hAnsi="宋体" w:eastAsia="宋体" w:cs="宋体"/>
      <w:color w:val="000000"/>
      <w:sz w:val="20"/>
      <w:szCs w:val="20"/>
      <w:u w:val="none"/>
    </w:rPr>
  </w:style>
  <w:style w:type="character" w:customStyle="1" w:styleId="265">
    <w:name w:val="l-btn-left"/>
    <w:basedOn w:val="48"/>
    <w:qFormat/>
    <w:uiPriority w:val="0"/>
  </w:style>
  <w:style w:type="character" w:customStyle="1" w:styleId="266">
    <w:name w:val="l-btn-left1"/>
    <w:basedOn w:val="48"/>
    <w:qFormat/>
    <w:uiPriority w:val="0"/>
  </w:style>
  <w:style w:type="character" w:customStyle="1" w:styleId="267">
    <w:name w:val="l-btn-left2"/>
    <w:basedOn w:val="48"/>
    <w:qFormat/>
    <w:uiPriority w:val="0"/>
  </w:style>
  <w:style w:type="character" w:customStyle="1" w:styleId="268">
    <w:name w:val="l-btn-left3"/>
    <w:basedOn w:val="48"/>
    <w:qFormat/>
    <w:uiPriority w:val="0"/>
  </w:style>
  <w:style w:type="character" w:customStyle="1" w:styleId="269">
    <w:name w:val="l-btn-text"/>
    <w:basedOn w:val="48"/>
    <w:qFormat/>
    <w:uiPriority w:val="0"/>
    <w:rPr>
      <w:sz w:val="18"/>
      <w:szCs w:val="18"/>
      <w:vertAlign w:val="baseline"/>
    </w:rPr>
  </w:style>
  <w:style w:type="character" w:customStyle="1" w:styleId="270">
    <w:name w:val="l-btn-icon-left"/>
    <w:basedOn w:val="48"/>
    <w:qFormat/>
    <w:uiPriority w:val="0"/>
  </w:style>
  <w:style w:type="character" w:customStyle="1" w:styleId="271">
    <w:name w:val="l-btn-icon-right"/>
    <w:basedOn w:val="48"/>
    <w:qFormat/>
    <w:uiPriority w:val="0"/>
  </w:style>
  <w:style w:type="character" w:customStyle="1" w:styleId="272">
    <w:name w:val="l-btn-empty"/>
    <w:basedOn w:val="48"/>
    <w:qFormat/>
    <w:uiPriority w:val="0"/>
  </w:style>
  <w:style w:type="character" w:customStyle="1" w:styleId="273">
    <w:name w:val="resizedivclass"/>
    <w:basedOn w:val="48"/>
    <w:qFormat/>
    <w:uiPriority w:val="0"/>
  </w:style>
  <w:style w:type="character" w:customStyle="1" w:styleId="274">
    <w:name w:val="no-border"/>
    <w:basedOn w:val="48"/>
    <w:qFormat/>
    <w:uiPriority w:val="0"/>
  </w:style>
  <w:style w:type="character" w:customStyle="1" w:styleId="275">
    <w:name w:val="textlabel"/>
    <w:basedOn w:val="48"/>
    <w:qFormat/>
    <w:uiPriority w:val="0"/>
  </w:style>
  <w:style w:type="character" w:customStyle="1" w:styleId="276">
    <w:name w:val="textcontent"/>
    <w:basedOn w:val="48"/>
    <w:qFormat/>
    <w:uiPriority w:val="0"/>
  </w:style>
  <w:style w:type="character" w:customStyle="1" w:styleId="277">
    <w:name w:val="must"/>
    <w:basedOn w:val="48"/>
    <w:qFormat/>
    <w:uiPriority w:val="0"/>
    <w:rPr>
      <w:color w:val="FF0000"/>
    </w:rPr>
  </w:style>
  <w:style w:type="character" w:customStyle="1" w:styleId="278">
    <w:name w:val="tablecontent2"/>
    <w:basedOn w:val="48"/>
    <w:qFormat/>
    <w:uiPriority w:val="0"/>
    <w:rPr>
      <w:shd w:val="clear" w:color="auto" w:fill="FFFFFF"/>
    </w:rPr>
  </w:style>
  <w:style w:type="character" w:customStyle="1" w:styleId="279">
    <w:name w:val="header-ico"/>
    <w:basedOn w:val="48"/>
    <w:qFormat/>
    <w:uiPriority w:val="0"/>
    <w:rPr>
      <w:sz w:val="21"/>
      <w:szCs w:val="21"/>
    </w:rPr>
  </w:style>
  <w:style w:type="paragraph" w:customStyle="1" w:styleId="280">
    <w:name w:val="样式2"/>
    <w:basedOn w:val="1"/>
    <w:next w:val="1"/>
    <w:qFormat/>
    <w:uiPriority w:val="0"/>
  </w:style>
  <w:style w:type="paragraph" w:customStyle="1" w:styleId="281">
    <w:name w:val="WPSOffice手动目录 1"/>
    <w:qFormat/>
    <w:uiPriority w:val="0"/>
    <w:rPr>
      <w:rFonts w:ascii="Times New Roman" w:hAnsi="Times New Roman" w:eastAsia="宋体" w:cs="Times New Roman"/>
      <w:lang w:val="en-US" w:eastAsia="zh-CN" w:bidi="ar-SA"/>
    </w:rPr>
  </w:style>
  <w:style w:type="paragraph" w:customStyle="1" w:styleId="282">
    <w:name w:val="正文首行缩进 211"/>
    <w:basedOn w:val="19"/>
    <w:unhideWhenUsed/>
    <w:qFormat/>
    <w:uiPriority w:val="99"/>
    <w:pPr>
      <w:ind w:firstLine="420"/>
    </w:pPr>
  </w:style>
  <w:style w:type="character" w:customStyle="1" w:styleId="283">
    <w:name w:val="15"/>
    <w:basedOn w:val="48"/>
    <w:qFormat/>
    <w:uiPriority w:val="0"/>
    <w:rPr>
      <w:rFonts w:hint="default" w:ascii="Times New Roman" w:hAnsi="Times New Roman" w:cs="Times New Roman"/>
      <w:color w:val="0563C1"/>
      <w:sz w:val="20"/>
      <w:szCs w:val="20"/>
      <w:u w:val="single"/>
    </w:rPr>
  </w:style>
  <w:style w:type="character" w:customStyle="1" w:styleId="284">
    <w:name w:val="Heading 2 Hidden Char"/>
    <w:qFormat/>
    <w:uiPriority w:val="0"/>
    <w:rPr>
      <w:rFonts w:ascii="Arial" w:hAnsi="Arial" w:eastAsia="宋体"/>
      <w:b/>
      <w:bCs/>
      <w:kern w:val="2"/>
      <w:sz w:val="28"/>
      <w:szCs w:val="32"/>
      <w:lang w:val="en-US" w:eastAsia="zh-CN" w:bidi="ar-SA"/>
    </w:rPr>
  </w:style>
  <w:style w:type="paragraph" w:customStyle="1" w:styleId="285">
    <w:name w:val="Body text|1"/>
    <w:basedOn w:val="1"/>
    <w:qFormat/>
    <w:uiPriority w:val="0"/>
    <w:pPr>
      <w:widowControl w:val="0"/>
      <w:shd w:val="clear" w:color="auto" w:fill="auto"/>
      <w:spacing w:after="180" w:line="420" w:lineRule="auto"/>
    </w:pPr>
    <w:rPr>
      <w:rFonts w:ascii="宋体" w:hAnsi="宋体" w:eastAsia="宋体" w:cs="宋体"/>
      <w:sz w:val="26"/>
      <w:szCs w:val="26"/>
      <w:u w:val="none"/>
      <w:shd w:val="clear" w:color="auto" w:fill="auto"/>
      <w:lang w:val="zh-TW" w:eastAsia="zh-TW" w:bidi="zh-TW"/>
    </w:rPr>
  </w:style>
  <w:style w:type="paragraph" w:customStyle="1" w:styleId="286">
    <w:name w:val="CM91"/>
    <w:basedOn w:val="1"/>
    <w:next w:val="1"/>
    <w:qFormat/>
    <w:uiPriority w:val="0"/>
    <w:pPr>
      <w:autoSpaceDE w:val="0"/>
      <w:autoSpaceDN w:val="0"/>
      <w:adjustRightInd w:val="0"/>
      <w:spacing w:after="160"/>
      <w:jc w:val="left"/>
    </w:pPr>
    <w:rPr>
      <w:rFonts w:ascii="宋体" w:cs="宋体"/>
      <w:kern w:val="0"/>
      <w:sz w:val="24"/>
    </w:rPr>
  </w:style>
  <w:style w:type="paragraph" w:customStyle="1" w:styleId="287">
    <w:name w:val="List Paragraph"/>
    <w:basedOn w:val="1"/>
    <w:qFormat/>
    <w:uiPriority w:val="34"/>
    <w:pPr>
      <w:ind w:firstLine="420" w:firstLineChars="200"/>
    </w:pPr>
    <w:rPr>
      <w:rFonts w:ascii="Calibri" w:hAnsi="Calibri"/>
      <w:szCs w:val="22"/>
    </w:rPr>
  </w:style>
  <w:style w:type="paragraph" w:customStyle="1" w:styleId="288">
    <w:name w:val="WPSOffice手动目录 2"/>
    <w:qFormat/>
    <w:uiPriority w:val="0"/>
    <w:pPr>
      <w:ind w:leftChars="200"/>
    </w:pPr>
    <w:rPr>
      <w:rFonts w:ascii="Times New Roman" w:hAnsi="Times New Roman" w:eastAsia="宋体" w:cs="Times New Roman"/>
      <w:sz w:val="20"/>
      <w:szCs w:val="20"/>
    </w:rPr>
  </w:style>
  <w:style w:type="paragraph" w:customStyle="1" w:styleId="289">
    <w:name w:val="WPSOffice手动目录 3"/>
    <w:qFormat/>
    <w:uiPriority w:val="0"/>
    <w:pPr>
      <w:ind w:leftChars="400"/>
    </w:pPr>
    <w:rPr>
      <w:rFonts w:ascii="Times New Roman" w:hAnsi="Times New Roman" w:eastAsia="宋体" w:cs="Times New Roman"/>
      <w:sz w:val="20"/>
      <w:szCs w:val="20"/>
    </w:rPr>
  </w:style>
  <w:style w:type="table" w:customStyle="1" w:styleId="290">
    <w:name w:val="Table Normal"/>
    <w:semiHidden/>
    <w:unhideWhenUsed/>
    <w:qFormat/>
    <w:uiPriority w:val="0"/>
    <w:tblPr>
      <w:tblCellMar>
        <w:top w:w="0" w:type="dxa"/>
        <w:left w:w="0" w:type="dxa"/>
        <w:bottom w:w="0" w:type="dxa"/>
        <w:right w:w="0" w:type="dxa"/>
      </w:tblCellMar>
    </w:tblPr>
  </w:style>
  <w:style w:type="paragraph" w:customStyle="1" w:styleId="291">
    <w:name w:val="No Spacing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92">
    <w:name w:val="正文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2013</Words>
  <Characters>2222</Characters>
  <Lines>51</Lines>
  <Paragraphs>66</Paragraphs>
  <TotalTime>16</TotalTime>
  <ScaleCrop>false</ScaleCrop>
  <LinksUpToDate>false</LinksUpToDate>
  <CharactersWithSpaces>2450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2019-02-22T03:27:00Z</dcterms:created>
  <dc:creator>admin</dc:creator>
  <cp:lastModifiedBy>Administrator</cp:lastModifiedBy>
  <cp:lastPrinted>2026-08-10T05:50:00Z</cp:lastPrinted>
  <dcterms:modified xsi:type="dcterms:W3CDTF">2026-08-17T02:26:56Z</dcterms:modified>
  <dc:title>附件十一</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E7D8292D7D3D4085A03F66B73B3952F1_13</vt:lpwstr>
  </property>
  <property fmtid="{D5CDD505-2E9C-101B-9397-08002B2CF9AE}" pid="4" name="KSOTemplateDocerSaveRecord">
    <vt:lpwstr>eyJoZGlkIjoiYTBkNjE2YWNlYzEwNjYwMGJmMDk2N2I4ZDI4MzRlMTMiLCJ1c2VySWQiOiI4NDIwMTIwNDAifQ==</vt:lpwstr>
  </property>
</Properties>
</file>