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245BB">
      <w:pPr>
        <w:keepNext/>
        <w:jc w:val="center"/>
        <w:outlineLvl w:val="0"/>
        <w:rPr>
          <w:rFonts w:hint="eastAsia" w:ascii="宋体" w:hAnsi="宋体" w:eastAsia="宋体" w:cs="宋体"/>
          <w:b/>
          <w:bCs/>
          <w:color w:val="auto"/>
          <w:sz w:val="32"/>
          <w:szCs w:val="32"/>
        </w:rPr>
      </w:pPr>
      <w:bookmarkStart w:id="0" w:name="_Toc25776"/>
      <w:r>
        <w:rPr>
          <w:rFonts w:hint="eastAsia" w:ascii="宋体" w:hAnsi="宋体" w:eastAsia="宋体" w:cs="宋体"/>
          <w:b/>
          <w:bCs/>
          <w:color w:val="auto"/>
          <w:sz w:val="32"/>
          <w:szCs w:val="32"/>
        </w:rPr>
        <w:t>采购需求</w:t>
      </w:r>
      <w:bookmarkEnd w:id="0"/>
    </w:p>
    <w:p w14:paraId="0BB40486">
      <w:pPr>
        <w:keepNext/>
        <w:keepLines/>
        <w:adjustRightInd w:val="0"/>
        <w:snapToGrid w:val="0"/>
        <w:spacing w:before="156" w:beforeLines="50" w:line="360" w:lineRule="auto"/>
        <w:jc w:val="center"/>
        <w:outlineLvl w:val="1"/>
        <w:rPr>
          <w:rFonts w:ascii="黑体" w:hAnsi="黑体" w:eastAsia="黑体" w:cs="Times New Roman"/>
          <w:b/>
          <w:bCs/>
          <w:color w:val="auto"/>
          <w:sz w:val="28"/>
          <w:szCs w:val="28"/>
        </w:rPr>
      </w:pPr>
      <w:bookmarkStart w:id="1" w:name="_Toc31588"/>
      <w:r>
        <w:rPr>
          <w:rFonts w:hint="eastAsia" w:ascii="黑体" w:hAnsi="黑体" w:eastAsia="黑体" w:cs="Times New Roman"/>
          <w:b/>
          <w:bCs/>
          <w:color w:val="auto"/>
          <w:sz w:val="28"/>
          <w:szCs w:val="28"/>
        </w:rPr>
        <w:t>第一节 采购清单一览表</w:t>
      </w:r>
      <w:bookmarkEnd w:id="1"/>
    </w:p>
    <w:tbl>
      <w:tblPr>
        <w:tblStyle w:val="12"/>
        <w:tblW w:w="9096" w:type="dxa"/>
        <w:tblInd w:w="5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73"/>
        <w:gridCol w:w="2045"/>
        <w:gridCol w:w="1991"/>
        <w:gridCol w:w="1759"/>
        <w:gridCol w:w="819"/>
        <w:gridCol w:w="804"/>
        <w:gridCol w:w="805"/>
      </w:tblGrid>
      <w:tr w14:paraId="1FA63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1" w:hRule="atLeast"/>
        </w:trPr>
        <w:tc>
          <w:tcPr>
            <w:tcW w:w="873" w:type="dxa"/>
            <w:noWrap w:val="0"/>
            <w:vAlign w:val="center"/>
          </w:tcPr>
          <w:p w14:paraId="6467F4AF">
            <w:pPr>
              <w:adjustRightInd w:val="0"/>
              <w:snapToGrid w:val="0"/>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 xml:space="preserve">包号 </w:t>
            </w:r>
          </w:p>
        </w:tc>
        <w:tc>
          <w:tcPr>
            <w:tcW w:w="2045" w:type="dxa"/>
            <w:noWrap w:val="0"/>
            <w:vAlign w:val="center"/>
          </w:tcPr>
          <w:p w14:paraId="115356A5">
            <w:pPr>
              <w:adjustRightInd w:val="0"/>
              <w:snapToGrid w:val="0"/>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包名称</w:t>
            </w:r>
          </w:p>
        </w:tc>
        <w:tc>
          <w:tcPr>
            <w:tcW w:w="1991" w:type="dxa"/>
            <w:noWrap w:val="0"/>
            <w:vAlign w:val="center"/>
          </w:tcPr>
          <w:p w14:paraId="50A59E14">
            <w:pPr>
              <w:adjustRightInd w:val="0"/>
              <w:snapToGrid w:val="0"/>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标的名称</w:t>
            </w:r>
          </w:p>
        </w:tc>
        <w:tc>
          <w:tcPr>
            <w:tcW w:w="1759" w:type="dxa"/>
            <w:tcBorders>
              <w:left w:val="single" w:color="auto" w:sz="4" w:space="0"/>
            </w:tcBorders>
            <w:noWrap w:val="0"/>
            <w:vAlign w:val="center"/>
          </w:tcPr>
          <w:p w14:paraId="7D1B0849">
            <w:pPr>
              <w:adjustRightInd w:val="0"/>
              <w:snapToGrid w:val="0"/>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简要技术要求</w:t>
            </w:r>
          </w:p>
        </w:tc>
        <w:tc>
          <w:tcPr>
            <w:tcW w:w="819" w:type="dxa"/>
            <w:tcBorders>
              <w:left w:val="single" w:color="auto" w:sz="4" w:space="0"/>
            </w:tcBorders>
            <w:noWrap w:val="0"/>
            <w:vAlign w:val="center"/>
          </w:tcPr>
          <w:p w14:paraId="3D5C61DA">
            <w:pPr>
              <w:adjustRightInd w:val="0"/>
              <w:snapToGrid w:val="0"/>
              <w:jc w:val="center"/>
              <w:rPr>
                <w:rFonts w:ascii="宋体" w:hAnsi="宋体" w:eastAsia="宋体" w:cs="宋体"/>
                <w:color w:val="auto"/>
                <w:kern w:val="0"/>
                <w:szCs w:val="21"/>
              </w:rPr>
            </w:pPr>
            <w:r>
              <w:rPr>
                <w:rFonts w:hint="eastAsia" w:ascii="Times New Roman" w:hAnsi="Times New Roman" w:eastAsia="宋体" w:cs="Times New Roman"/>
                <w:color w:val="auto"/>
                <w:szCs w:val="21"/>
              </w:rPr>
              <w:t>数量</w:t>
            </w:r>
          </w:p>
        </w:tc>
        <w:tc>
          <w:tcPr>
            <w:tcW w:w="804" w:type="dxa"/>
            <w:noWrap w:val="0"/>
            <w:vAlign w:val="center"/>
          </w:tcPr>
          <w:p w14:paraId="72460F8E">
            <w:pPr>
              <w:adjustRightInd w:val="0"/>
              <w:snapToGrid w:val="0"/>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节能产品</w:t>
            </w:r>
          </w:p>
        </w:tc>
        <w:tc>
          <w:tcPr>
            <w:tcW w:w="805" w:type="dxa"/>
            <w:noWrap w:val="0"/>
            <w:vAlign w:val="center"/>
          </w:tcPr>
          <w:p w14:paraId="191B3EB1">
            <w:pPr>
              <w:adjustRightInd w:val="0"/>
              <w:snapToGrid w:val="0"/>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进口产品</w:t>
            </w:r>
          </w:p>
        </w:tc>
      </w:tr>
      <w:tr w14:paraId="0105A3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16" w:hRule="atLeast"/>
        </w:trPr>
        <w:tc>
          <w:tcPr>
            <w:tcW w:w="873" w:type="dxa"/>
            <w:noWrap w:val="0"/>
            <w:vAlign w:val="center"/>
          </w:tcPr>
          <w:p w14:paraId="236A5AD5">
            <w:pPr>
              <w:adjustRightInd w:val="0"/>
              <w:snapToGrid w:val="0"/>
              <w:spacing w:before="156" w:beforeLines="50" w:line="360" w:lineRule="auto"/>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1</w:t>
            </w:r>
          </w:p>
        </w:tc>
        <w:tc>
          <w:tcPr>
            <w:tcW w:w="2045" w:type="dxa"/>
            <w:noWrap w:val="0"/>
            <w:vAlign w:val="center"/>
          </w:tcPr>
          <w:p w14:paraId="28947380">
            <w:pPr>
              <w:adjustRightInd w:val="0"/>
              <w:snapToGrid w:val="0"/>
              <w:spacing w:before="156" w:beforeLines="50" w:line="360" w:lineRule="auto"/>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株洲市第一中学运动场扩容工程</w:t>
            </w:r>
          </w:p>
        </w:tc>
        <w:tc>
          <w:tcPr>
            <w:tcW w:w="1991" w:type="dxa"/>
            <w:noWrap w:val="0"/>
            <w:vAlign w:val="center"/>
          </w:tcPr>
          <w:p w14:paraId="138AD853">
            <w:pPr>
              <w:adjustRightInd w:val="0"/>
              <w:snapToGrid w:val="0"/>
              <w:spacing w:before="156" w:beforeLines="50" w:line="360" w:lineRule="auto"/>
              <w:jc w:val="center"/>
              <w:rPr>
                <w:rFonts w:hint="eastAsia" w:ascii="Times New Roman" w:hAnsi="Times New Roman" w:eastAsia="宋体" w:cs="Times New Roman"/>
                <w:color w:val="auto"/>
                <w:szCs w:val="21"/>
                <w:lang w:eastAsia="zh-CN"/>
              </w:rPr>
            </w:pPr>
            <w:r>
              <w:rPr>
                <w:rFonts w:hint="eastAsia" w:ascii="Times New Roman" w:hAnsi="Times New Roman" w:eastAsia="宋体" w:cs="Times New Roman"/>
                <w:color w:val="auto"/>
                <w:szCs w:val="21"/>
                <w:lang w:eastAsia="zh-CN"/>
              </w:rPr>
              <w:t>株洲市第一中学运动场扩容工程</w:t>
            </w:r>
          </w:p>
        </w:tc>
        <w:tc>
          <w:tcPr>
            <w:tcW w:w="1759" w:type="dxa"/>
            <w:tcBorders>
              <w:left w:val="single" w:color="auto" w:sz="4" w:space="0"/>
            </w:tcBorders>
            <w:noWrap w:val="0"/>
            <w:vAlign w:val="center"/>
          </w:tcPr>
          <w:p w14:paraId="671E5E11">
            <w:pPr>
              <w:adjustRightInd w:val="0"/>
              <w:snapToGrid w:val="0"/>
              <w:spacing w:before="156" w:beforeLines="50" w:line="360" w:lineRule="auto"/>
              <w:jc w:val="center"/>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详见采购需求</w:t>
            </w:r>
          </w:p>
        </w:tc>
        <w:tc>
          <w:tcPr>
            <w:tcW w:w="819" w:type="dxa"/>
            <w:tcBorders>
              <w:left w:val="single" w:color="auto" w:sz="4" w:space="0"/>
            </w:tcBorders>
            <w:noWrap w:val="0"/>
            <w:vAlign w:val="center"/>
          </w:tcPr>
          <w:p w14:paraId="6C983B93">
            <w:pPr>
              <w:adjustRightInd w:val="0"/>
              <w:snapToGrid w:val="0"/>
              <w:spacing w:before="156" w:beforeLines="50" w:line="360" w:lineRule="auto"/>
              <w:jc w:val="center"/>
              <w:rPr>
                <w:rFonts w:ascii="Times New Roman" w:hAnsi="Times New Roman" w:eastAsia="宋体" w:cs="Times New Roman"/>
                <w:color w:val="auto"/>
                <w:szCs w:val="21"/>
              </w:rPr>
            </w:pPr>
            <w:r>
              <w:rPr>
                <w:rFonts w:hint="eastAsia" w:ascii="Times New Roman" w:hAnsi="Times New Roman" w:eastAsia="宋体" w:cs="Times New Roman"/>
                <w:color w:val="auto"/>
                <w:szCs w:val="21"/>
              </w:rPr>
              <w:t>1</w:t>
            </w:r>
          </w:p>
        </w:tc>
        <w:tc>
          <w:tcPr>
            <w:tcW w:w="804" w:type="dxa"/>
            <w:noWrap w:val="0"/>
            <w:vAlign w:val="center"/>
          </w:tcPr>
          <w:p w14:paraId="73F48300">
            <w:pPr>
              <w:adjustRightInd w:val="0"/>
              <w:snapToGrid w:val="0"/>
              <w:spacing w:before="156" w:beforeLines="50" w:line="360" w:lineRule="auto"/>
              <w:jc w:val="center"/>
              <w:rPr>
                <w:rFonts w:ascii="Times New Roman" w:hAnsi="Times New Roman" w:eastAsia="宋体" w:cs="Times New Roman"/>
                <w:color w:val="auto"/>
                <w:szCs w:val="21"/>
              </w:rPr>
            </w:pPr>
            <w:r>
              <w:rPr>
                <w:rFonts w:hint="eastAsia" w:ascii="宋体" w:hAnsi="宋体" w:eastAsia="宋体" w:cs="Times New Roman"/>
                <w:iCs/>
                <w:color w:val="auto"/>
                <w:szCs w:val="21"/>
              </w:rPr>
              <w:sym w:font="Wingdings" w:char="00A8"/>
            </w:r>
          </w:p>
        </w:tc>
        <w:tc>
          <w:tcPr>
            <w:tcW w:w="805" w:type="dxa"/>
            <w:noWrap w:val="0"/>
            <w:vAlign w:val="center"/>
          </w:tcPr>
          <w:p w14:paraId="6D7BA86E">
            <w:pPr>
              <w:adjustRightInd w:val="0"/>
              <w:snapToGrid w:val="0"/>
              <w:spacing w:before="156" w:beforeLines="50" w:line="360" w:lineRule="auto"/>
              <w:jc w:val="center"/>
              <w:rPr>
                <w:rFonts w:ascii="Times New Roman" w:hAnsi="Times New Roman" w:eastAsia="宋体" w:cs="Times New Roman"/>
                <w:color w:val="auto"/>
                <w:szCs w:val="21"/>
              </w:rPr>
            </w:pPr>
            <w:r>
              <w:rPr>
                <w:rFonts w:hint="eastAsia" w:ascii="宋体" w:hAnsi="宋体" w:eastAsia="宋体" w:cs="Times New Roman"/>
                <w:iCs/>
                <w:color w:val="auto"/>
                <w:szCs w:val="21"/>
              </w:rPr>
              <w:sym w:font="Wingdings" w:char="00A8"/>
            </w:r>
          </w:p>
        </w:tc>
      </w:tr>
    </w:tbl>
    <w:p w14:paraId="6682D601">
      <w:pPr>
        <w:adjustRightInd w:val="0"/>
        <w:snapToGrid w:val="0"/>
        <w:spacing w:before="156" w:beforeLines="50" w:line="360" w:lineRule="auto"/>
        <w:rPr>
          <w:rFonts w:ascii="宋体" w:hAnsi="宋体" w:eastAsia="宋体" w:cs="Times New Roman"/>
          <w:color w:val="auto"/>
          <w:szCs w:val="21"/>
        </w:rPr>
      </w:pPr>
      <w:r>
        <w:rPr>
          <w:rFonts w:hint="eastAsia" w:ascii="宋体" w:hAnsi="宋体" w:eastAsia="宋体" w:cs="Times New Roman"/>
          <w:color w:val="auto"/>
          <w:szCs w:val="21"/>
        </w:rPr>
        <w:t>注：1.“包”为最小合同单位。每“包”内容应细化到具体的标的。</w:t>
      </w:r>
    </w:p>
    <w:p w14:paraId="30A1803C">
      <w:pPr>
        <w:adjustRightInd w:val="0"/>
        <w:snapToGrid w:val="0"/>
        <w:spacing w:before="156" w:beforeLines="50" w:line="360" w:lineRule="auto"/>
        <w:ind w:firstLine="420" w:firstLineChars="200"/>
        <w:rPr>
          <w:rFonts w:ascii="宋体" w:hAnsi="宋体" w:eastAsia="宋体" w:cs="宋体"/>
          <w:color w:val="auto"/>
          <w:kern w:val="0"/>
          <w:szCs w:val="21"/>
        </w:rPr>
      </w:pPr>
      <w:r>
        <w:rPr>
          <w:rFonts w:hint="eastAsia" w:ascii="宋体" w:hAnsi="宋体" w:eastAsia="宋体" w:cs="Times New Roman"/>
          <w:color w:val="auto"/>
          <w:szCs w:val="21"/>
        </w:rPr>
        <w:t>2.货物的主要技术参数或规格：</w:t>
      </w:r>
      <w:r>
        <w:rPr>
          <w:rFonts w:ascii="宋体" w:hAnsi="宋体" w:eastAsia="宋体" w:cs="宋体"/>
          <w:color w:val="auto"/>
          <w:kern w:val="0"/>
          <w:szCs w:val="21"/>
        </w:rPr>
        <w:t>详见“技术要求”中的具体技术参数</w:t>
      </w:r>
      <w:r>
        <w:rPr>
          <w:rFonts w:hint="eastAsia" w:ascii="宋体" w:hAnsi="宋体" w:eastAsia="宋体" w:cs="宋体"/>
          <w:color w:val="auto"/>
          <w:kern w:val="0"/>
          <w:szCs w:val="21"/>
        </w:rPr>
        <w:t>。</w:t>
      </w:r>
    </w:p>
    <w:p w14:paraId="2142E5FE">
      <w:pPr>
        <w:adjustRightInd w:val="0"/>
        <w:snapToGrid w:val="0"/>
        <w:spacing w:before="156" w:beforeLines="50" w:line="360" w:lineRule="auto"/>
        <w:ind w:firstLine="420" w:firstLineChars="200"/>
        <w:rPr>
          <w:rFonts w:ascii="宋体" w:hAnsi="宋体" w:eastAsia="宋体" w:cs="宋体"/>
          <w:color w:val="auto"/>
          <w:kern w:val="0"/>
          <w:szCs w:val="21"/>
        </w:rPr>
      </w:pPr>
      <w:r>
        <w:rPr>
          <w:rFonts w:hint="eastAsia" w:ascii="宋体" w:hAnsi="宋体" w:eastAsia="宋体" w:cs="宋体"/>
          <w:bCs/>
          <w:color w:val="auto"/>
          <w:kern w:val="0"/>
          <w:szCs w:val="21"/>
        </w:rPr>
        <w:t>3.供应商应</w:t>
      </w:r>
      <w:r>
        <w:rPr>
          <w:rFonts w:hint="eastAsia" w:ascii="宋体" w:hAnsi="宋体" w:eastAsia="宋体" w:cs="宋体"/>
          <w:color w:val="auto"/>
          <w:kern w:val="0"/>
          <w:szCs w:val="21"/>
        </w:rPr>
        <w:t>在响应文件</w:t>
      </w:r>
      <w:r>
        <w:rPr>
          <w:rFonts w:hint="eastAsia" w:ascii="华文中宋" w:hAnsi="华文中宋" w:eastAsia="华文中宋" w:cs="宋体"/>
          <w:color w:val="auto"/>
          <w:kern w:val="0"/>
          <w:szCs w:val="21"/>
        </w:rPr>
        <w:t>“</w:t>
      </w:r>
      <w:r>
        <w:rPr>
          <w:rFonts w:hint="eastAsia" w:ascii="宋体" w:hAnsi="宋体" w:eastAsia="宋体" w:cs="宋体"/>
          <w:color w:val="auto"/>
          <w:kern w:val="0"/>
          <w:szCs w:val="21"/>
        </w:rPr>
        <w:t>分项报价明细表</w:t>
      </w:r>
      <w:r>
        <w:rPr>
          <w:rFonts w:hint="eastAsia" w:ascii="华文中宋" w:hAnsi="华文中宋" w:eastAsia="华文中宋" w:cs="宋体"/>
          <w:color w:val="auto"/>
          <w:kern w:val="0"/>
          <w:szCs w:val="21"/>
        </w:rPr>
        <w:t>”</w:t>
      </w:r>
      <w:r>
        <w:rPr>
          <w:rFonts w:hint="eastAsia" w:ascii="宋体" w:hAnsi="宋体" w:eastAsia="宋体" w:cs="宋体"/>
          <w:color w:val="auto"/>
          <w:kern w:val="0"/>
          <w:szCs w:val="21"/>
        </w:rPr>
        <w:t>中按</w:t>
      </w:r>
      <w:r>
        <w:rPr>
          <w:rFonts w:hint="eastAsia" w:ascii="宋体" w:hAnsi="宋体" w:eastAsia="宋体" w:cs="Times New Roman"/>
          <w:color w:val="auto"/>
          <w:szCs w:val="21"/>
        </w:rPr>
        <w:t>标的名称</w:t>
      </w:r>
      <w:r>
        <w:rPr>
          <w:rFonts w:hint="eastAsia" w:ascii="宋体" w:hAnsi="宋体" w:eastAsia="宋体" w:cs="宋体"/>
          <w:color w:val="auto"/>
          <w:kern w:val="0"/>
          <w:szCs w:val="21"/>
        </w:rPr>
        <w:t>顺序逐项填写，且每个标的均需按谈判文件规定报价。如有缺项、漏项，其</w:t>
      </w:r>
      <w:r>
        <w:rPr>
          <w:rFonts w:hint="eastAsia" w:ascii="宋体" w:hAnsi="宋体" w:eastAsia="宋体" w:cs="宋体"/>
          <w:b/>
          <w:color w:val="auto"/>
          <w:kern w:val="0"/>
          <w:szCs w:val="21"/>
        </w:rPr>
        <w:t>响应无效</w:t>
      </w:r>
      <w:r>
        <w:rPr>
          <w:rFonts w:hint="eastAsia" w:ascii="宋体" w:hAnsi="宋体" w:eastAsia="宋体" w:cs="宋体"/>
          <w:color w:val="auto"/>
          <w:kern w:val="0"/>
          <w:szCs w:val="21"/>
        </w:rPr>
        <w:t>。</w:t>
      </w:r>
    </w:p>
    <w:p w14:paraId="7B012E1B">
      <w:pPr>
        <w:adjustRightInd w:val="0"/>
        <w:snapToGrid w:val="0"/>
        <w:spacing w:before="156" w:beforeLines="50" w:line="360" w:lineRule="auto"/>
        <w:ind w:firstLine="420" w:firstLineChars="200"/>
        <w:rPr>
          <w:rFonts w:ascii="宋体" w:hAnsi="宋体" w:cs="宋体"/>
          <w:color w:val="auto"/>
          <w:kern w:val="0"/>
          <w:szCs w:val="21"/>
        </w:rPr>
        <w:sectPr>
          <w:pgSz w:w="11906" w:h="16838"/>
          <w:pgMar w:top="1474" w:right="1278" w:bottom="1474" w:left="1388" w:header="851" w:footer="992" w:gutter="0"/>
          <w:cols w:space="720" w:num="1"/>
          <w:docGrid w:type="lines" w:linePitch="312" w:charSpace="0"/>
        </w:sectPr>
      </w:pPr>
    </w:p>
    <w:p w14:paraId="0385F988">
      <w:pPr>
        <w:keepNext/>
        <w:keepLines/>
        <w:adjustRightInd w:val="0"/>
        <w:snapToGrid w:val="0"/>
        <w:spacing w:before="156" w:beforeLines="50" w:line="360" w:lineRule="auto"/>
        <w:jc w:val="center"/>
        <w:outlineLvl w:val="1"/>
        <w:rPr>
          <w:rFonts w:ascii="黑体" w:hAnsi="黑体" w:eastAsia="黑体" w:cs="Times New Roman"/>
          <w:b/>
          <w:bCs/>
          <w:color w:val="auto"/>
          <w:sz w:val="28"/>
          <w:szCs w:val="28"/>
        </w:rPr>
      </w:pPr>
      <w:bookmarkStart w:id="2" w:name="_Toc702"/>
      <w:r>
        <w:rPr>
          <w:rFonts w:hint="eastAsia" w:ascii="黑体" w:hAnsi="黑体" w:eastAsia="黑体" w:cs="Times New Roman"/>
          <w:b/>
          <w:bCs/>
          <w:color w:val="auto"/>
          <w:sz w:val="28"/>
          <w:szCs w:val="28"/>
        </w:rPr>
        <w:t xml:space="preserve">第二节 </w:t>
      </w:r>
      <w:r>
        <w:rPr>
          <w:rFonts w:ascii="黑体" w:hAnsi="黑体" w:eastAsia="黑体" w:cs="Times New Roman"/>
          <w:b/>
          <w:bCs/>
          <w:color w:val="auto"/>
          <w:sz w:val="28"/>
          <w:szCs w:val="28"/>
        </w:rPr>
        <w:t>技术要求</w:t>
      </w:r>
      <w:bookmarkEnd w:id="2"/>
    </w:p>
    <w:p w14:paraId="5D3FBB9C">
      <w:pPr>
        <w:wordWrap w:val="0"/>
        <w:overflowPunct w:val="0"/>
        <w:topLinePunct/>
        <w:spacing w:line="480" w:lineRule="exact"/>
        <w:ind w:right="-92" w:rightChars="-44"/>
        <w:jc w:val="left"/>
        <w:textAlignment w:val="top"/>
        <w:rPr>
          <w:rFonts w:hint="eastAsia" w:ascii="宋体" w:hAnsi="宋体" w:eastAsia="宋体" w:cs="宋体"/>
          <w:b/>
          <w:bCs/>
          <w:color w:val="auto"/>
          <w:szCs w:val="21"/>
        </w:rPr>
      </w:pPr>
      <w:bookmarkStart w:id="3" w:name="_Toc457320062"/>
      <w:bookmarkStart w:id="4" w:name="_Toc433839634"/>
      <w:r>
        <w:rPr>
          <w:rFonts w:hint="eastAsia" w:ascii="宋体" w:hAnsi="宋体" w:eastAsia="宋体" w:cs="宋体"/>
          <w:b/>
          <w:bCs/>
          <w:color w:val="auto"/>
          <w:szCs w:val="21"/>
        </w:rPr>
        <w:t>一、建设内容及规模</w:t>
      </w:r>
    </w:p>
    <w:p w14:paraId="2DB4901B">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lang w:eastAsia="zh-CN"/>
        </w:rPr>
      </w:pPr>
      <w:r>
        <w:rPr>
          <w:rFonts w:hint="eastAsia" w:ascii="Times New Roman" w:hAnsi="Times New Roman" w:eastAsia="宋体" w:cs="Times New Roman"/>
          <w:color w:val="auto"/>
          <w:szCs w:val="21"/>
        </w:rPr>
        <w:t>项目主要建设内容及规模：</w:t>
      </w:r>
      <w:r>
        <w:rPr>
          <w:rFonts w:hint="eastAsia" w:ascii="Times New Roman" w:hAnsi="Times New Roman" w:eastAsia="宋体" w:cs="Times New Roman"/>
          <w:color w:val="auto"/>
          <w:szCs w:val="21"/>
          <w:lang w:eastAsia="zh-CN"/>
        </w:rPr>
        <w:t>主要内容包括足球场人造草坪翻新改造</w:t>
      </w:r>
      <w:r>
        <w:rPr>
          <w:rFonts w:hint="eastAsia" w:ascii="Times New Roman" w:hAnsi="Times New Roman" w:eastAsia="宋体" w:cs="Times New Roman"/>
          <w:color w:val="auto"/>
          <w:szCs w:val="21"/>
          <w:lang w:val="en-US" w:eastAsia="zh-CN"/>
        </w:rPr>
        <w:t>2105平方米，塑胶主跑道及配套辅助区修缮2557.9平方米，篮球场、排球场硅PU运动面层翻新改造3749平方米，排水系统修缮；同步实施全场标准运动标线施划工程，配套完成拆除建筑垃圾分类清运</w:t>
      </w:r>
      <w:r>
        <w:rPr>
          <w:rFonts w:hint="eastAsia" w:ascii="Times New Roman" w:hAnsi="Times New Roman" w:eastAsia="宋体" w:cs="Times New Roman"/>
          <w:color w:val="auto"/>
          <w:szCs w:val="21"/>
          <w:lang w:eastAsia="zh-CN"/>
        </w:rPr>
        <w:t>。</w:t>
      </w:r>
    </w:p>
    <w:bookmarkEnd w:id="3"/>
    <w:bookmarkEnd w:id="4"/>
    <w:p w14:paraId="1021FE06">
      <w:pPr>
        <w:wordWrap w:val="0"/>
        <w:overflowPunct w:val="0"/>
        <w:topLinePunct/>
        <w:spacing w:line="480" w:lineRule="exact"/>
        <w:ind w:right="-92" w:rightChars="-44"/>
        <w:jc w:val="left"/>
        <w:textAlignment w:val="top"/>
        <w:rPr>
          <w:rFonts w:hint="eastAsia" w:ascii="宋体" w:hAnsi="宋体" w:eastAsia="宋体" w:cs="宋体"/>
          <w:b/>
          <w:bCs/>
          <w:color w:val="auto"/>
          <w:szCs w:val="21"/>
        </w:rPr>
      </w:pPr>
      <w:r>
        <w:rPr>
          <w:rFonts w:hint="eastAsia" w:ascii="宋体" w:hAnsi="宋体" w:eastAsia="宋体" w:cs="宋体"/>
          <w:b/>
          <w:bCs/>
          <w:color w:val="auto"/>
          <w:szCs w:val="21"/>
        </w:rPr>
        <w:t>二、编制依据</w:t>
      </w:r>
    </w:p>
    <w:p w14:paraId="050C345B">
      <w:pPr>
        <w:wordWrap w:val="0"/>
        <w:overflowPunct w:val="0"/>
        <w:topLinePunct/>
        <w:spacing w:line="480" w:lineRule="exact"/>
        <w:ind w:right="-92" w:rightChars="-44" w:firstLine="420" w:firstLineChars="200"/>
        <w:jc w:val="left"/>
        <w:textAlignment w:val="top"/>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 本预算是根据《株洲市第一中学运动场扩容工程》设计（2026.7）编制。</w:t>
      </w:r>
    </w:p>
    <w:p w14:paraId="510EE233">
      <w:pPr>
        <w:wordWrap w:val="0"/>
        <w:overflowPunct w:val="0"/>
        <w:topLinePunct/>
        <w:spacing w:line="480" w:lineRule="exact"/>
        <w:ind w:right="-92" w:rightChars="-44"/>
        <w:jc w:val="left"/>
        <w:textAlignment w:val="top"/>
        <w:rPr>
          <w:rFonts w:hint="eastAsia" w:ascii="宋体" w:hAnsi="宋体" w:eastAsia="宋体" w:cs="宋体"/>
          <w:b/>
          <w:bCs/>
          <w:color w:val="auto"/>
          <w:szCs w:val="21"/>
        </w:rPr>
      </w:pPr>
      <w:r>
        <w:rPr>
          <w:rFonts w:hint="eastAsia" w:ascii="宋体" w:hAnsi="宋体" w:eastAsia="宋体" w:cs="宋体"/>
          <w:b/>
          <w:bCs/>
          <w:color w:val="auto"/>
          <w:szCs w:val="21"/>
        </w:rPr>
        <w:t>三、取费依据</w:t>
      </w:r>
    </w:p>
    <w:p w14:paraId="1E3BB0BA">
      <w:pPr>
        <w:wordWrap w:val="0"/>
        <w:overflowPunct w:val="0"/>
        <w:topLinePunct/>
        <w:spacing w:line="480" w:lineRule="exact"/>
        <w:ind w:right="-92" w:rightChars="-44" w:firstLine="420" w:firstLineChars="200"/>
        <w:jc w:val="left"/>
        <w:textAlignment w:val="top"/>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1、计量按照GB/T 50500-2024《建设工程工程量清单计价标准》、GB/T50854-2024《房屋建筑与装饰工程工程量清单计算标准》等执行；</w:t>
      </w:r>
    </w:p>
    <w:p w14:paraId="036FC628">
      <w:pPr>
        <w:wordWrap w:val="0"/>
        <w:overflowPunct w:val="0"/>
        <w:topLinePunct/>
        <w:spacing w:line="480" w:lineRule="exact"/>
        <w:ind w:right="-92" w:rightChars="-44" w:firstLine="420" w:firstLineChars="200"/>
        <w:jc w:val="left"/>
        <w:textAlignment w:val="top"/>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2、综合单价应按湖南省建设行政主管部门颁发的建设工程消耗量标准，取费标准、计费程序、人工工资单价确定；</w:t>
      </w:r>
    </w:p>
    <w:p w14:paraId="6356D425">
      <w:pPr>
        <w:wordWrap w:val="0"/>
        <w:overflowPunct w:val="0"/>
        <w:topLinePunct/>
        <w:spacing w:line="480" w:lineRule="exact"/>
        <w:ind w:right="-92" w:rightChars="-44" w:firstLine="420" w:firstLineChars="200"/>
        <w:jc w:val="left"/>
        <w:textAlignment w:val="top"/>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3、湘建科函(2025)150号文湖南省住房和城乡建设厅关于执行《建设工程工程量清单计价标准》及配套工程量计算标准的通知及其学习交底资料；</w:t>
      </w:r>
    </w:p>
    <w:p w14:paraId="1FC5FD53">
      <w:pPr>
        <w:wordWrap w:val="0"/>
        <w:overflowPunct w:val="0"/>
        <w:topLinePunct/>
        <w:spacing w:line="480" w:lineRule="exact"/>
        <w:ind w:right="-92" w:rightChars="-44" w:firstLine="420" w:firstLineChars="200"/>
        <w:jc w:val="left"/>
        <w:textAlignment w:val="top"/>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湘建价建(2026)20号文人工工资单价按照施工期间建设行政主管部门发布的文件标准执行；</w:t>
      </w:r>
    </w:p>
    <w:p w14:paraId="342956E6">
      <w:pPr>
        <w:wordWrap w:val="0"/>
        <w:overflowPunct w:val="0"/>
        <w:topLinePunct/>
        <w:spacing w:line="480" w:lineRule="exact"/>
        <w:ind w:right="-92" w:rightChars="-44" w:firstLine="420" w:firstLineChars="200"/>
        <w:jc w:val="left"/>
        <w:textAlignment w:val="top"/>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4、湘建科函(2025)151号湖南省住房和城乡建设厅关于发布2025《湖南省建设工程消耗量标准》的通知及其学习交底资料；</w:t>
      </w:r>
    </w:p>
    <w:p w14:paraId="331F93B0">
      <w:pPr>
        <w:wordWrap w:val="0"/>
        <w:overflowPunct w:val="0"/>
        <w:topLinePunct/>
        <w:spacing w:line="480" w:lineRule="exact"/>
        <w:ind w:right="-92" w:rightChars="-44" w:firstLine="420" w:firstLineChars="200"/>
        <w:jc w:val="left"/>
        <w:textAlignment w:val="top"/>
        <w:rPr>
          <w:rFonts w:hint="eastAsia"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 xml:space="preserve">5、相关标准、规范、图集及其他相关资料。 </w:t>
      </w:r>
    </w:p>
    <w:p w14:paraId="059A836C">
      <w:pPr>
        <w:wordWrap w:val="0"/>
        <w:overflowPunct w:val="0"/>
        <w:topLinePunct/>
        <w:spacing w:line="480" w:lineRule="exact"/>
        <w:ind w:right="-92" w:rightChars="-44"/>
        <w:jc w:val="left"/>
        <w:textAlignment w:val="top"/>
        <w:rPr>
          <w:rFonts w:hint="eastAsia" w:ascii="宋体" w:hAnsi="宋体" w:eastAsia="宋体" w:cs="宋体"/>
          <w:color w:val="auto"/>
          <w:szCs w:val="21"/>
          <w:lang w:eastAsia="zh-CN"/>
        </w:rPr>
      </w:pPr>
      <w:r>
        <w:rPr>
          <w:rFonts w:hint="eastAsia" w:ascii="宋体" w:hAnsi="宋体" w:eastAsia="宋体" w:cs="宋体"/>
          <w:b/>
          <w:bCs/>
          <w:color w:val="auto"/>
          <w:szCs w:val="21"/>
          <w:lang w:eastAsia="zh-CN"/>
        </w:rPr>
        <w:t>四</w:t>
      </w:r>
      <w:r>
        <w:rPr>
          <w:rFonts w:hint="eastAsia" w:ascii="宋体" w:hAnsi="宋体" w:eastAsia="宋体" w:cs="宋体"/>
          <w:b/>
          <w:bCs/>
          <w:color w:val="auto"/>
          <w:szCs w:val="21"/>
        </w:rPr>
        <w:t>、项目工期：</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个月（自开工之日起）</w:t>
      </w:r>
    </w:p>
    <w:p w14:paraId="6A865EFA">
      <w:pPr>
        <w:wordWrap w:val="0"/>
        <w:overflowPunct w:val="0"/>
        <w:topLinePunct/>
        <w:spacing w:line="480" w:lineRule="exact"/>
        <w:ind w:right="-92" w:rightChars="-44"/>
        <w:jc w:val="left"/>
        <w:textAlignment w:val="top"/>
        <w:rPr>
          <w:rFonts w:hint="eastAsia" w:ascii="宋体" w:hAnsi="宋体" w:eastAsia="宋体" w:cs="宋体"/>
          <w:b/>
          <w:bCs/>
          <w:color w:val="auto"/>
          <w:szCs w:val="21"/>
        </w:rPr>
      </w:pPr>
      <w:r>
        <w:rPr>
          <w:rFonts w:hint="eastAsia" w:ascii="宋体" w:hAnsi="宋体" w:eastAsia="宋体" w:cs="宋体"/>
          <w:b/>
          <w:bCs/>
          <w:color w:val="auto"/>
          <w:szCs w:val="21"/>
          <w:lang w:eastAsia="zh-CN"/>
        </w:rPr>
        <w:t>五</w:t>
      </w:r>
      <w:r>
        <w:rPr>
          <w:rFonts w:hint="eastAsia" w:ascii="宋体" w:hAnsi="宋体" w:eastAsia="宋体" w:cs="宋体"/>
          <w:b/>
          <w:bCs/>
          <w:color w:val="auto"/>
          <w:szCs w:val="21"/>
        </w:rPr>
        <w:t>、</w:t>
      </w:r>
      <w:r>
        <w:rPr>
          <w:rFonts w:hint="eastAsia" w:ascii="宋体" w:hAnsi="宋体" w:eastAsia="宋体" w:cs="宋体"/>
          <w:b/>
          <w:bCs/>
          <w:color w:val="auto"/>
          <w:szCs w:val="21"/>
          <w:lang w:val="en-US" w:eastAsia="zh-CN"/>
        </w:rPr>
        <w:t>项目实施技术参数要求</w:t>
      </w:r>
      <w:r>
        <w:rPr>
          <w:rFonts w:hint="eastAsia" w:ascii="宋体" w:hAnsi="宋体" w:eastAsia="宋体" w:cs="宋体"/>
          <w:b/>
          <w:bCs/>
          <w:color w:val="auto"/>
          <w:szCs w:val="21"/>
        </w:rPr>
        <w:t>：</w:t>
      </w:r>
    </w:p>
    <w:p w14:paraId="45B70083">
      <w:pPr>
        <w:overflowPunct w:val="0"/>
        <w:topLinePunct/>
        <w:spacing w:line="360" w:lineRule="auto"/>
        <w:jc w:val="left"/>
        <w:textAlignment w:val="top"/>
        <w:rPr>
          <w:rFonts w:hint="eastAsia" w:ascii="宋体" w:hAnsi="宋体" w:eastAsia="宋体" w:cs="宋体"/>
          <w:color w:val="auto"/>
          <w:szCs w:val="21"/>
          <w:lang w:bidi="ar"/>
        </w:rPr>
      </w:pPr>
      <w:bookmarkStart w:id="5" w:name="_Toc17648"/>
      <w:bookmarkStart w:id="6" w:name="_Toc4468"/>
      <w:r>
        <w:rPr>
          <w:rFonts w:hint="eastAsia" w:ascii="宋体" w:hAnsi="宋体" w:eastAsia="宋体" w:cs="宋体"/>
          <w:color w:val="auto"/>
          <w:szCs w:val="21"/>
          <w:lang w:val="en-US" w:eastAsia="zh-CN" w:bidi="ar"/>
        </w:rPr>
        <w:t>（一）、GDPU无缝预制塑胶跑道面层规格要求</w:t>
      </w:r>
      <w:r>
        <w:rPr>
          <w:rFonts w:hint="eastAsia" w:ascii="宋体" w:hAnsi="宋体" w:eastAsia="宋体" w:cs="宋体"/>
          <w:color w:val="auto"/>
          <w:szCs w:val="21"/>
          <w:lang w:bidi="ar"/>
        </w:rPr>
        <w:t>和参数要求</w:t>
      </w:r>
    </w:p>
    <w:p w14:paraId="148A9801">
      <w:pPr>
        <w:keepNext w:val="0"/>
        <w:keepLines w:val="0"/>
        <w:widowControl w:val="0"/>
        <w:numPr>
          <w:ilvl w:val="0"/>
          <w:numId w:val="0"/>
        </w:numPr>
        <w:shd w:val="clear" w:color="auto" w:fill="auto"/>
        <w:tabs>
          <w:tab w:val="left" w:pos="417"/>
        </w:tabs>
        <w:bidi w:val="0"/>
        <w:spacing w:before="0" w:after="0" w:line="360" w:lineRule="auto"/>
        <w:ind w:left="0" w:leftChars="0" w:right="0" w:rightChars="0" w:firstLine="420" w:firstLineChars="200"/>
        <w:jc w:val="left"/>
        <w:rPr>
          <w:rFonts w:hint="eastAsia"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厚度要求：除需加厚区域外，场地面层平均厚</w:t>
      </w:r>
      <w:r>
        <w:rPr>
          <w:rFonts w:hint="eastAsia" w:ascii="宋体" w:hAnsi="宋体" w:eastAsia="宋体" w:cs="宋体"/>
          <w:color w:val="auto"/>
          <w:kern w:val="2"/>
          <w:sz w:val="21"/>
          <w:szCs w:val="21"/>
          <w:u w:val="none"/>
          <w:shd w:val="clear" w:color="auto" w:fill="auto"/>
          <w:lang w:val="zh-CN" w:eastAsia="zh-CN" w:bidi="ar"/>
        </w:rPr>
        <w:t>度应</w:t>
      </w:r>
      <w:r>
        <w:rPr>
          <w:rFonts w:hint="eastAsia" w:ascii="宋体" w:hAnsi="宋体" w:eastAsia="宋体" w:cs="宋体"/>
          <w:color w:val="auto"/>
          <w:kern w:val="2"/>
          <w:sz w:val="21"/>
          <w:szCs w:val="21"/>
          <w:u w:val="none"/>
          <w:shd w:val="clear" w:color="auto" w:fill="auto"/>
          <w:lang w:val="en-US" w:eastAsia="zh-CN" w:bidi="ar"/>
        </w:rPr>
        <w:t>≥13mm，低于规定厚度10%的面积应≤总面积的10%,任何区域的厚度都应≥10mm。</w:t>
      </w:r>
    </w:p>
    <w:p w14:paraId="6AF73C77">
      <w:pPr>
        <w:spacing w:line="360" w:lineRule="auto"/>
        <w:jc w:val="center"/>
        <w:rPr>
          <w:rFonts w:hint="eastAsia" w:ascii="宋体" w:hAnsi="宋体" w:eastAsia="宋体" w:cs="宋体"/>
          <w:b/>
          <w:bCs/>
          <w:color w:val="auto"/>
          <w:kern w:val="2"/>
          <w:sz w:val="21"/>
          <w:szCs w:val="21"/>
          <w:u w:val="none"/>
          <w:shd w:val="clear" w:color="auto" w:fill="auto"/>
          <w:lang w:val="en-US" w:eastAsia="zh-CN" w:bidi="ar"/>
        </w:rPr>
      </w:pPr>
      <w:r>
        <w:rPr>
          <w:rFonts w:hint="default" w:ascii="宋体" w:hAnsi="宋体" w:eastAsia="宋体" w:cs="宋体"/>
          <w:b/>
          <w:bCs/>
          <w:color w:val="auto"/>
          <w:kern w:val="2"/>
          <w:sz w:val="21"/>
          <w:szCs w:val="21"/>
          <w:u w:val="none"/>
          <w:shd w:val="clear" w:color="auto" w:fill="auto"/>
          <w:lang w:val="en-US" w:eastAsia="zh-CN" w:bidi="ar"/>
        </w:rPr>
        <w:t>表1 塑胶面层成品中</w:t>
      </w:r>
      <w:r>
        <w:rPr>
          <w:rFonts w:hint="eastAsia" w:ascii="宋体" w:hAnsi="宋体" w:eastAsia="宋体" w:cs="宋体"/>
          <w:b/>
          <w:bCs/>
          <w:color w:val="auto"/>
          <w:kern w:val="2"/>
          <w:sz w:val="21"/>
          <w:szCs w:val="21"/>
          <w:u w:val="none"/>
          <w:shd w:val="clear" w:color="auto" w:fill="auto"/>
          <w:lang w:val="en-US" w:eastAsia="zh-CN" w:bidi="ar"/>
        </w:rPr>
        <w:t>物理性能、</w:t>
      </w:r>
      <w:r>
        <w:rPr>
          <w:rFonts w:hint="default" w:ascii="宋体" w:hAnsi="宋体" w:eastAsia="宋体" w:cs="宋体"/>
          <w:b/>
          <w:bCs/>
          <w:color w:val="auto"/>
          <w:kern w:val="2"/>
          <w:sz w:val="21"/>
          <w:szCs w:val="21"/>
          <w:u w:val="none"/>
          <w:shd w:val="clear" w:color="auto" w:fill="auto"/>
          <w:lang w:val="en-US" w:eastAsia="zh-CN" w:bidi="ar"/>
        </w:rPr>
        <w:t>有害物质限量及</w:t>
      </w:r>
      <w:r>
        <w:rPr>
          <w:rFonts w:hint="eastAsia" w:ascii="宋体" w:hAnsi="宋体" w:eastAsia="宋体" w:cs="宋体"/>
          <w:b/>
          <w:bCs/>
          <w:color w:val="auto"/>
          <w:kern w:val="2"/>
          <w:sz w:val="21"/>
          <w:szCs w:val="21"/>
          <w:u w:val="none"/>
          <w:shd w:val="clear" w:color="auto" w:fill="auto"/>
          <w:lang w:val="en-US" w:eastAsia="zh-CN" w:bidi="ar"/>
        </w:rPr>
        <w:t>气味</w:t>
      </w:r>
      <w:r>
        <w:rPr>
          <w:rFonts w:hint="default" w:ascii="宋体" w:hAnsi="宋体" w:eastAsia="宋体" w:cs="宋体"/>
          <w:b/>
          <w:bCs/>
          <w:color w:val="auto"/>
          <w:kern w:val="2"/>
          <w:sz w:val="21"/>
          <w:szCs w:val="21"/>
          <w:u w:val="none"/>
          <w:shd w:val="clear" w:color="auto" w:fill="auto"/>
          <w:lang w:val="en-US" w:eastAsia="zh-CN" w:bidi="ar"/>
        </w:rPr>
        <w:t>要求</w:t>
      </w:r>
    </w:p>
    <w:tbl>
      <w:tblPr>
        <w:tblStyle w:val="12"/>
        <w:tblW w:w="93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03"/>
        <w:gridCol w:w="3310"/>
        <w:gridCol w:w="2024"/>
        <w:gridCol w:w="2024"/>
      </w:tblGrid>
      <w:tr w14:paraId="11BD0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313" w:type="dxa"/>
            <w:gridSpan w:val="2"/>
            <w:tcBorders>
              <w:top w:val="single" w:color="000000" w:sz="4" w:space="0"/>
              <w:left w:val="single" w:color="000000" w:sz="4" w:space="0"/>
              <w:bottom w:val="single" w:color="000000" w:sz="4" w:space="0"/>
              <w:right w:val="single" w:color="000000" w:sz="4" w:space="0"/>
            </w:tcBorders>
            <w:noWrap w:val="0"/>
            <w:vAlign w:val="center"/>
          </w:tcPr>
          <w:p w14:paraId="4A243490">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检验项目</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4F9A2FDF">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技术参数</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551C4B2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备注</w:t>
            </w:r>
          </w:p>
        </w:tc>
      </w:tr>
      <w:tr w14:paraId="61E79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2907395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面层物理性能</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666D404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冲击吸收（%）</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42127DA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35-50</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21B3FAE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3C87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573533">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6BB3866B">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垂直变形（mm)</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418DC5C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0.6-3.0</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50AC924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7D73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32EAF58">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0D3EF5D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拉伸强度(Mpa)</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0F6D9B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≥0.5</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F9EEC66">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A5E8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EA14260">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51F99A7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拉断伸长率(%)</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050B909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≥40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9BFF21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66B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618703">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2892A595">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阻燃性能(级）</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B679055">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I</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DE0F94C">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E045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E5A896">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25C195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抗滑值（BPN,20℃）（湿测）</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D31267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≥47</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AFB828F">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75EFC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7B8DBD4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有害物质含量</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7A04EF1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3种邻苯二甲酸酯类化合物（DBP、BBP、DEHP）总和（g/kg）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BE8276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550B099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6C72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73DE14">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53046BE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3种邻苯二甲酸酯类化合物（DNOP、DINP、DIDP）总和（g/kg）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509FFF80">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253CF6B">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2A9D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C21216">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5FAD563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18种多环芳烃总和（mg/kg）（整体）</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915909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≤50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C8DE8B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421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0B229">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5944682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苯并｛a｝芘 （mg/kg）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05162130">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2F22C9E">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42A0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92D770">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972083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短链氯化石蜡（g/kg）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3F8E7C0B">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≤1.5</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571A98B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7D84C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6EF622">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380D4CB">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4，4’-二氨基-3，3’-二氯二苯甲烷（MOCA）（g/kg）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0D72B0C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DCCD2D8">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42E5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D25C52">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2AC21B7B">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游离甲苯二异氰酸酯（TDI）和游离六亚甲基二异氰酸酯（HDI）总和（g/kg）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32C2334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≤0.2</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1129923">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56F4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92657">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7F34E48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游离二苯基甲烷二异氰酸酯（MDI）（g/kg）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081339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AA5B633">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34229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1AAF319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重金属含量</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5AA61FB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可溶性铅（mg/kg）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3129320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≤50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59CDFB5C">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A04C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D8F9F39">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6E369830">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可溶性镉（mg/kg）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D857F8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7C2CA77">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AFEA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CAE291">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66AED03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可溶性铬（mg/kg）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8D3E93F">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DD2C89E">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0754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39D77E">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217E6A3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可溶性汞（mg/kg）</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90BE96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≤2</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E3A4F6B">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20FFB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7E0D166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有害物质释放量</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25FDAFDD">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总挥发性有机化合物（TVOC）mg/（㎡·h）</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0D09EBFF">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≤5.0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8E3B9F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C7C1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2B1297">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3BEFE8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甲醛 mg/（㎡·h）</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E11577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≤0.4</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33046AC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FCE5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D2BBFE">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26B640F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苯 mg/（㎡·h）</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0763E2E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≤0.1</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711072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9E04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6E48E6">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210E66A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甲苯、二甲苯和乙苯总和 mg/㎡·h</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69C67B9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5BC2253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178D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FC311F">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04AC95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二硫化碳，mg/㎡·h</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4D8478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≤7.0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B8815F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5D86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1B15814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其他</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03E9F19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无机填料(%)</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458D61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≤65</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22D15B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2ADF4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1AB167">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14FFB62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气味等级(级)</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FC1CFD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9DB31B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C0CD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6134590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面层耐久性（336h）</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222276E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冲击吸收（%）</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24EEB98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35-50</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1D76FA87">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506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811FE7">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43B9EC1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垂直变形（mm）</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2F0C7DE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0.6-2.5</w:t>
            </w:r>
          </w:p>
        </w:tc>
        <w:tc>
          <w:tcPr>
            <w:tcW w:w="2024" w:type="dxa"/>
            <w:tcBorders>
              <w:top w:val="single" w:color="000000" w:sz="4" w:space="0"/>
              <w:left w:val="single" w:color="000000" w:sz="4" w:space="0"/>
              <w:bottom w:val="single" w:color="000000" w:sz="4" w:space="0"/>
              <w:right w:val="single" w:color="000000" w:sz="4" w:space="0"/>
            </w:tcBorders>
            <w:noWrap/>
            <w:vAlign w:val="center"/>
          </w:tcPr>
          <w:p w14:paraId="450E1C6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9445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E86F11">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C10844D">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拉伸强度（Mpa）</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5DBBEDF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≥0.5</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B9125E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492D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A24CB8">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C0CC74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拉断伸长率（%）</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79407E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≥50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1D675F5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25555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restart"/>
            <w:tcBorders>
              <w:top w:val="single" w:color="000000" w:sz="4" w:space="0"/>
              <w:left w:val="single" w:color="000000" w:sz="4" w:space="0"/>
              <w:bottom w:val="single" w:color="000000" w:sz="4" w:space="0"/>
              <w:right w:val="single" w:color="000000" w:sz="4" w:space="0"/>
            </w:tcBorders>
            <w:noWrap w:val="0"/>
            <w:vAlign w:val="center"/>
          </w:tcPr>
          <w:p w14:paraId="6D63E3E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耐老化性能（500h）</w:t>
            </w: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604F38C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拉伸强度（MPa）</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4B5B873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≥0.5</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73D6CB46">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6F2F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3" w:hRule="atLeast"/>
        </w:trPr>
        <w:tc>
          <w:tcPr>
            <w:tcW w:w="2003"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CA4BEB">
            <w:pPr>
              <w:jc w:val="center"/>
              <w:rPr>
                <w:rFonts w:hint="eastAsia" w:ascii="新宋体" w:hAnsi="新宋体" w:eastAsia="新宋体" w:cs="新宋体"/>
                <w:i w:val="0"/>
                <w:iCs w:val="0"/>
                <w:color w:val="000000"/>
                <w:sz w:val="18"/>
                <w:szCs w:val="18"/>
                <w:u w:val="none"/>
              </w:rPr>
            </w:pPr>
          </w:p>
        </w:tc>
        <w:tc>
          <w:tcPr>
            <w:tcW w:w="3310" w:type="dxa"/>
            <w:tcBorders>
              <w:top w:val="single" w:color="000000" w:sz="4" w:space="0"/>
              <w:left w:val="single" w:color="000000" w:sz="4" w:space="0"/>
              <w:bottom w:val="single" w:color="000000" w:sz="4" w:space="0"/>
              <w:right w:val="single" w:color="000000" w:sz="4" w:space="0"/>
            </w:tcBorders>
            <w:noWrap w:val="0"/>
            <w:vAlign w:val="center"/>
          </w:tcPr>
          <w:p w14:paraId="3F22739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拉断伸长率（%）</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268CC21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≥40</w:t>
            </w:r>
          </w:p>
        </w:tc>
        <w:tc>
          <w:tcPr>
            <w:tcW w:w="2024" w:type="dxa"/>
            <w:tcBorders>
              <w:top w:val="single" w:color="000000" w:sz="4" w:space="0"/>
              <w:left w:val="single" w:color="000000" w:sz="4" w:space="0"/>
              <w:bottom w:val="single" w:color="000000" w:sz="4" w:space="0"/>
              <w:right w:val="single" w:color="000000" w:sz="4" w:space="0"/>
            </w:tcBorders>
            <w:noWrap w:val="0"/>
            <w:vAlign w:val="center"/>
          </w:tcPr>
          <w:p w14:paraId="3AB9B445">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bl>
    <w:p w14:paraId="5E8AEECD">
      <w:pPr>
        <w:numPr>
          <w:ilvl w:val="0"/>
          <w:numId w:val="0"/>
        </w:numPr>
        <w:spacing w:line="360" w:lineRule="auto"/>
        <w:ind w:firstLine="420" w:firstLineChars="200"/>
        <w:jc w:val="both"/>
        <w:rPr>
          <w:rFonts w:hint="eastAsia" w:ascii="宋体" w:hAnsi="宋体" w:eastAsia="宋体" w:cs="宋体"/>
          <w:color w:val="auto"/>
          <w:kern w:val="2"/>
          <w:sz w:val="21"/>
          <w:szCs w:val="21"/>
          <w:u w:val="none"/>
          <w:shd w:val="clear" w:color="auto" w:fill="auto"/>
          <w:lang w:val="en-US" w:eastAsia="zh-CN" w:bidi="ar"/>
        </w:rPr>
      </w:pPr>
      <w:r>
        <w:rPr>
          <w:rFonts w:hint="default" w:ascii="Times New Roman" w:hAnsi="Times New Roman" w:eastAsia="楷体" w:cs="Times New Roman"/>
          <w:bCs/>
          <w:color w:val="auto"/>
          <w:szCs w:val="21"/>
          <w:highlight w:val="none"/>
        </w:rPr>
        <w:t>★</w:t>
      </w:r>
      <w:r>
        <w:rPr>
          <w:rFonts w:hint="eastAsia" w:ascii="Times New Roman" w:hAnsi="Times New Roman" w:eastAsia="楷体" w:cs="Times New Roman"/>
          <w:bCs/>
          <w:color w:val="auto"/>
          <w:szCs w:val="21"/>
          <w:highlight w:val="none"/>
          <w:lang w:eastAsia="zh-CN"/>
        </w:rPr>
        <w:t>（</w:t>
      </w:r>
      <w:r>
        <w:rPr>
          <w:rFonts w:hint="eastAsia" w:ascii="Times New Roman" w:hAnsi="Times New Roman" w:eastAsia="楷体" w:cs="Times New Roman"/>
          <w:bCs/>
          <w:color w:val="auto"/>
          <w:szCs w:val="21"/>
          <w:highlight w:val="none"/>
          <w:lang w:val="en-US" w:eastAsia="zh-CN"/>
        </w:rPr>
        <w:t>1</w:t>
      </w:r>
      <w:r>
        <w:rPr>
          <w:rFonts w:hint="eastAsia" w:ascii="Times New Roman" w:hAnsi="Times New Roman" w:eastAsia="楷体" w:cs="Times New Roman"/>
          <w:bCs/>
          <w:color w:val="auto"/>
          <w:szCs w:val="21"/>
          <w:highlight w:val="none"/>
          <w:lang w:eastAsia="zh-CN"/>
        </w:rPr>
        <w:t>）、</w:t>
      </w:r>
      <w:r>
        <w:rPr>
          <w:rFonts w:hint="eastAsia" w:ascii="宋体" w:hAnsi="宋体" w:eastAsia="宋体" w:cs="宋体"/>
          <w:color w:val="auto"/>
          <w:kern w:val="2"/>
          <w:sz w:val="21"/>
          <w:szCs w:val="21"/>
          <w:u w:val="none"/>
          <w:shd w:val="clear" w:color="auto" w:fill="auto"/>
          <w:lang w:val="en-US" w:eastAsia="zh-CN" w:bidi="ar"/>
        </w:rPr>
        <w:t>所投GDPU无缝预制塑胶跑道面层产品提供依据GB/T14833-2020、GB36246-2018标准出具的检测报告，产品的有害物质含量、物理机械性能以及气味等级等检测结果均符合标准要求并加盖供应商公章。</w:t>
      </w:r>
    </w:p>
    <w:p w14:paraId="162CCF7B">
      <w:pPr>
        <w:numPr>
          <w:ilvl w:val="0"/>
          <w:numId w:val="0"/>
        </w:numPr>
        <w:spacing w:line="360" w:lineRule="auto"/>
        <w:ind w:firstLine="420" w:firstLineChars="200"/>
        <w:jc w:val="both"/>
        <w:rPr>
          <w:rFonts w:hint="eastAsia" w:ascii="宋体" w:hAnsi="宋体" w:eastAsia="宋体" w:cs="宋体"/>
          <w:color w:val="auto"/>
          <w:kern w:val="2"/>
          <w:sz w:val="21"/>
          <w:szCs w:val="21"/>
          <w:u w:val="none"/>
          <w:shd w:val="clear" w:color="auto" w:fill="auto"/>
          <w:lang w:val="en-US" w:eastAsia="zh-CN" w:bidi="ar"/>
        </w:rPr>
      </w:pPr>
      <w:r>
        <w:rPr>
          <w:rFonts w:hint="default" w:ascii="Times New Roman" w:hAnsi="Times New Roman" w:eastAsia="楷体" w:cs="Times New Roman"/>
          <w:bCs/>
          <w:color w:val="auto"/>
          <w:szCs w:val="21"/>
          <w:highlight w:val="none"/>
        </w:rPr>
        <w:t>★</w:t>
      </w:r>
      <w:r>
        <w:rPr>
          <w:rFonts w:hint="eastAsia" w:ascii="Times New Roman" w:hAnsi="Times New Roman" w:eastAsia="楷体" w:cs="Times New Roman"/>
          <w:bCs/>
          <w:color w:val="auto"/>
          <w:szCs w:val="21"/>
          <w:highlight w:val="none"/>
          <w:lang w:eastAsia="zh-CN"/>
        </w:rPr>
        <w:t>（</w:t>
      </w:r>
      <w:r>
        <w:rPr>
          <w:rFonts w:hint="eastAsia" w:ascii="Times New Roman" w:hAnsi="Times New Roman" w:eastAsia="楷体" w:cs="Times New Roman"/>
          <w:bCs/>
          <w:color w:val="auto"/>
          <w:szCs w:val="21"/>
          <w:highlight w:val="none"/>
          <w:lang w:val="en-US" w:eastAsia="zh-CN"/>
        </w:rPr>
        <w:t>2</w:t>
      </w:r>
      <w:r>
        <w:rPr>
          <w:rFonts w:hint="eastAsia" w:ascii="Times New Roman" w:hAnsi="Times New Roman" w:eastAsia="楷体" w:cs="Times New Roman"/>
          <w:bCs/>
          <w:color w:val="auto"/>
          <w:szCs w:val="21"/>
          <w:highlight w:val="none"/>
          <w:lang w:eastAsia="zh-CN"/>
        </w:rPr>
        <w:t>）、</w:t>
      </w:r>
      <w:r>
        <w:rPr>
          <w:rFonts w:hint="eastAsia" w:ascii="宋体" w:hAnsi="宋体" w:eastAsia="宋体" w:cs="宋体"/>
          <w:color w:val="auto"/>
          <w:kern w:val="2"/>
          <w:sz w:val="21"/>
          <w:szCs w:val="21"/>
          <w:u w:val="none"/>
          <w:shd w:val="clear" w:color="auto" w:fill="auto"/>
          <w:lang w:val="en-US" w:eastAsia="zh-CN" w:bidi="ar"/>
        </w:rPr>
        <w:t>所投GDPU无缝预制塑胶跑道面层产品所用预制聚氨酯弹性层，提供依据GB36246-2018、GB/T14833-2020标准出具的检测报告，产品的有害物质含量、挥发性有机化合物、环保限值等关键指标均符合标准要求并加盖供应商公章。</w:t>
      </w:r>
    </w:p>
    <w:p w14:paraId="3DDBB528">
      <w:pPr>
        <w:numPr>
          <w:ilvl w:val="0"/>
          <w:numId w:val="0"/>
        </w:numPr>
        <w:jc w:val="both"/>
        <w:rPr>
          <w:rFonts w:hint="eastAsia" w:ascii="宋体" w:hAnsi="宋体" w:eastAsia="宋体" w:cs="宋体"/>
          <w:color w:val="auto"/>
          <w:szCs w:val="21"/>
          <w:lang w:bidi="ar"/>
        </w:rPr>
      </w:pPr>
      <w:r>
        <w:rPr>
          <w:rFonts w:hint="eastAsia" w:ascii="宋体" w:hAnsi="宋体" w:eastAsia="宋体" w:cs="宋体"/>
          <w:color w:val="auto"/>
          <w:kern w:val="2"/>
          <w:sz w:val="21"/>
          <w:szCs w:val="21"/>
          <w:lang w:val="en-US" w:eastAsia="zh-CN" w:bidi="ar"/>
        </w:rPr>
        <w:t>（二）</w:t>
      </w:r>
      <w:r>
        <w:rPr>
          <w:rFonts w:hint="eastAsia" w:ascii="宋体" w:hAnsi="宋体" w:eastAsia="宋体" w:cs="宋体"/>
          <w:color w:val="auto"/>
          <w:kern w:val="2"/>
          <w:sz w:val="21"/>
          <w:szCs w:val="21"/>
          <w:u w:val="none"/>
          <w:shd w:val="clear" w:color="auto" w:fill="auto"/>
          <w:lang w:val="en-US" w:eastAsia="zh-CN" w:bidi="ar"/>
        </w:rPr>
        <w:t>、</w:t>
      </w:r>
      <w:r>
        <w:rPr>
          <w:rFonts w:hint="eastAsia" w:ascii="宋体" w:hAnsi="宋体" w:eastAsia="宋体" w:cs="宋体"/>
          <w:color w:val="auto"/>
          <w:szCs w:val="21"/>
          <w:lang w:val="en-US" w:eastAsia="zh-CN" w:bidi="ar"/>
        </w:rPr>
        <w:t>硅PU球场面层规格要求</w:t>
      </w:r>
      <w:r>
        <w:rPr>
          <w:rFonts w:hint="eastAsia" w:ascii="宋体" w:hAnsi="宋体" w:eastAsia="宋体" w:cs="宋体"/>
          <w:color w:val="auto"/>
          <w:szCs w:val="21"/>
          <w:lang w:bidi="ar"/>
        </w:rPr>
        <w:t>和参数要求</w:t>
      </w:r>
    </w:p>
    <w:p w14:paraId="528E6359">
      <w:pPr>
        <w:keepNext w:val="0"/>
        <w:keepLines w:val="0"/>
        <w:widowControl w:val="0"/>
        <w:numPr>
          <w:ilvl w:val="0"/>
          <w:numId w:val="0"/>
        </w:numPr>
        <w:shd w:val="clear" w:color="auto" w:fill="auto"/>
        <w:tabs>
          <w:tab w:val="left" w:pos="417"/>
        </w:tabs>
        <w:bidi w:val="0"/>
        <w:spacing w:before="0" w:after="0" w:line="360" w:lineRule="auto"/>
        <w:ind w:right="0" w:rightChars="0" w:firstLine="420" w:firstLineChars="200"/>
        <w:jc w:val="left"/>
        <w:rPr>
          <w:rFonts w:hint="default" w:ascii="宋体" w:hAnsi="宋体" w:eastAsia="宋体" w:cs="宋体"/>
          <w:color w:val="auto"/>
          <w:kern w:val="2"/>
          <w:sz w:val="13"/>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厚度要求：场地面层平均厚</w:t>
      </w:r>
      <w:r>
        <w:rPr>
          <w:rFonts w:hint="eastAsia" w:ascii="宋体" w:hAnsi="宋体" w:eastAsia="宋体" w:cs="宋体"/>
          <w:color w:val="auto"/>
          <w:kern w:val="2"/>
          <w:sz w:val="21"/>
          <w:szCs w:val="21"/>
          <w:u w:val="none"/>
          <w:shd w:val="clear" w:color="auto" w:fill="auto"/>
          <w:lang w:val="zh-CN" w:eastAsia="zh-CN" w:bidi="ar"/>
        </w:rPr>
        <w:t>度应</w:t>
      </w:r>
      <w:r>
        <w:rPr>
          <w:rFonts w:hint="eastAsia" w:ascii="宋体" w:hAnsi="宋体" w:eastAsia="宋体" w:cs="宋体"/>
          <w:color w:val="auto"/>
          <w:kern w:val="2"/>
          <w:sz w:val="21"/>
          <w:szCs w:val="21"/>
          <w:u w:val="none"/>
          <w:shd w:val="clear" w:color="auto" w:fill="auto"/>
          <w:lang w:val="en-US" w:eastAsia="zh-CN" w:bidi="ar"/>
        </w:rPr>
        <w:t>≥8mm，低于规定厚度10%的面积应≤总面积的10%,任何区域的厚度都应≥6mm。</w:t>
      </w:r>
    </w:p>
    <w:p w14:paraId="0339B49C">
      <w:pPr>
        <w:spacing w:line="360" w:lineRule="auto"/>
        <w:jc w:val="center"/>
        <w:rPr>
          <w:rFonts w:hint="default" w:ascii="宋体" w:hAnsi="宋体" w:eastAsia="宋体" w:cs="宋体"/>
          <w:b/>
          <w:bCs/>
          <w:color w:val="auto"/>
          <w:kern w:val="2"/>
          <w:sz w:val="21"/>
          <w:szCs w:val="21"/>
          <w:u w:val="none"/>
          <w:shd w:val="clear" w:color="auto" w:fill="auto"/>
          <w:lang w:val="en-US" w:eastAsia="zh-CN" w:bidi="ar"/>
        </w:rPr>
      </w:pPr>
      <w:r>
        <w:rPr>
          <w:rFonts w:hint="default" w:ascii="宋体" w:hAnsi="宋体" w:eastAsia="宋体" w:cs="宋体"/>
          <w:b/>
          <w:bCs/>
          <w:color w:val="auto"/>
          <w:kern w:val="2"/>
          <w:sz w:val="21"/>
          <w:szCs w:val="21"/>
          <w:u w:val="none"/>
          <w:shd w:val="clear" w:color="auto" w:fill="auto"/>
          <w:lang w:val="en-US" w:eastAsia="zh-CN" w:bidi="ar"/>
        </w:rPr>
        <w:t>表2</w:t>
      </w:r>
      <w:r>
        <w:rPr>
          <w:rFonts w:hint="eastAsia" w:ascii="宋体" w:hAnsi="宋体" w:eastAsia="宋体" w:cs="宋体"/>
          <w:b/>
          <w:bCs/>
          <w:color w:val="auto"/>
          <w:kern w:val="2"/>
          <w:sz w:val="21"/>
          <w:szCs w:val="21"/>
          <w:u w:val="none"/>
          <w:shd w:val="clear" w:color="auto" w:fill="auto"/>
          <w:lang w:val="en-US" w:eastAsia="zh-CN" w:bidi="ar"/>
        </w:rPr>
        <w:t xml:space="preserve"> 硅PU</w:t>
      </w:r>
      <w:r>
        <w:rPr>
          <w:rFonts w:hint="default" w:ascii="宋体" w:hAnsi="宋体" w:eastAsia="宋体" w:cs="宋体"/>
          <w:b/>
          <w:bCs/>
          <w:color w:val="auto"/>
          <w:kern w:val="2"/>
          <w:sz w:val="21"/>
          <w:szCs w:val="21"/>
          <w:u w:val="none"/>
          <w:shd w:val="clear" w:color="auto" w:fill="auto"/>
          <w:lang w:val="en-US" w:eastAsia="zh-CN" w:bidi="ar"/>
        </w:rPr>
        <w:t>面层</w:t>
      </w:r>
      <w:r>
        <w:rPr>
          <w:rFonts w:hint="eastAsia" w:ascii="宋体" w:hAnsi="宋体" w:eastAsia="宋体" w:cs="宋体"/>
          <w:b/>
          <w:bCs/>
          <w:color w:val="auto"/>
          <w:kern w:val="2"/>
          <w:sz w:val="21"/>
          <w:szCs w:val="21"/>
          <w:u w:val="none"/>
          <w:shd w:val="clear" w:color="auto" w:fill="auto"/>
          <w:lang w:val="en-US" w:eastAsia="zh-CN" w:bidi="ar"/>
        </w:rPr>
        <w:t>技术参数标准</w:t>
      </w:r>
    </w:p>
    <w:tbl>
      <w:tblPr>
        <w:tblStyle w:val="12"/>
        <w:tblW w:w="97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81"/>
        <w:gridCol w:w="4425"/>
        <w:gridCol w:w="1817"/>
        <w:gridCol w:w="1622"/>
      </w:tblGrid>
      <w:tr w14:paraId="00224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6306" w:type="dxa"/>
            <w:gridSpan w:val="2"/>
            <w:tcBorders>
              <w:top w:val="single" w:color="000000" w:sz="4" w:space="0"/>
              <w:left w:val="single" w:color="000000" w:sz="4" w:space="0"/>
              <w:bottom w:val="single" w:color="000000" w:sz="4" w:space="0"/>
              <w:right w:val="single" w:color="000000" w:sz="4" w:space="0"/>
            </w:tcBorders>
            <w:noWrap w:val="0"/>
            <w:vAlign w:val="center"/>
          </w:tcPr>
          <w:p w14:paraId="4594BD2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检验项目</w:t>
            </w:r>
          </w:p>
        </w:tc>
        <w:tc>
          <w:tcPr>
            <w:tcW w:w="1817" w:type="dxa"/>
            <w:tcBorders>
              <w:top w:val="single" w:color="000000" w:sz="4" w:space="0"/>
              <w:left w:val="single" w:color="000000" w:sz="4" w:space="0"/>
              <w:bottom w:val="single" w:color="000000" w:sz="4" w:space="0"/>
              <w:right w:val="single" w:color="000000" w:sz="4" w:space="0"/>
            </w:tcBorders>
            <w:noWrap/>
            <w:vAlign w:val="center"/>
          </w:tcPr>
          <w:p w14:paraId="3B51A0A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技术要求</w:t>
            </w:r>
          </w:p>
        </w:tc>
        <w:tc>
          <w:tcPr>
            <w:tcW w:w="1622" w:type="dxa"/>
            <w:tcBorders>
              <w:top w:val="single" w:color="000000" w:sz="4" w:space="0"/>
              <w:left w:val="single" w:color="000000" w:sz="4" w:space="0"/>
              <w:bottom w:val="single" w:color="000000" w:sz="4" w:space="0"/>
              <w:right w:val="single" w:color="000000" w:sz="4" w:space="0"/>
            </w:tcBorders>
            <w:noWrap/>
            <w:vAlign w:val="center"/>
          </w:tcPr>
          <w:p w14:paraId="00202DE0">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备注</w:t>
            </w:r>
          </w:p>
        </w:tc>
      </w:tr>
      <w:tr w14:paraId="5329F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1" w:type="dxa"/>
            <w:vMerge w:val="restart"/>
            <w:tcBorders>
              <w:top w:val="nil"/>
              <w:left w:val="single" w:color="000000" w:sz="4" w:space="0"/>
              <w:right w:val="single" w:color="000000" w:sz="4" w:space="0"/>
            </w:tcBorders>
            <w:noWrap w:val="0"/>
            <w:vAlign w:val="center"/>
          </w:tcPr>
          <w:p w14:paraId="4A048C8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物理机械性能</w:t>
            </w: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3389DA73">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球反弹率（%）</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8A1857E">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≥75</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1DB6A281">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34FC0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1" w:type="dxa"/>
            <w:vMerge w:val="continue"/>
            <w:tcBorders>
              <w:left w:val="single" w:color="000000" w:sz="4" w:space="0"/>
              <w:right w:val="single" w:color="000000" w:sz="4" w:space="0"/>
            </w:tcBorders>
            <w:noWrap w:val="0"/>
            <w:vAlign w:val="center"/>
          </w:tcPr>
          <w:p w14:paraId="4F56509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031392D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冲击吸收（%）</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21461640">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20-50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2CC67E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0EF9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right w:val="single" w:color="000000" w:sz="4" w:space="0"/>
            </w:tcBorders>
            <w:noWrap w:val="0"/>
            <w:vAlign w:val="center"/>
          </w:tcPr>
          <w:p w14:paraId="1536B930">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37BF6ED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垂直变形（mm）</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5919201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0.6-3.0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4229DA5E">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4A82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right w:val="single" w:color="000000" w:sz="4" w:space="0"/>
            </w:tcBorders>
            <w:noWrap w:val="0"/>
            <w:vAlign w:val="center"/>
          </w:tcPr>
          <w:p w14:paraId="67DB2BC8">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3B7E8D34">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摩擦系数（μ）</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68E3D02D">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0.4-0.7</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3B0C451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CB44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right w:val="single" w:color="000000" w:sz="4" w:space="0"/>
            </w:tcBorders>
            <w:noWrap w:val="0"/>
            <w:vAlign w:val="center"/>
          </w:tcPr>
          <w:p w14:paraId="60AC2491">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0183E87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拉伸强度（MPa)</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630C70D">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lang w:val="en-US"/>
              </w:rPr>
            </w:pPr>
            <w:r>
              <w:rPr>
                <w:rFonts w:hint="eastAsia" w:ascii="新宋体" w:hAnsi="新宋体" w:eastAsia="新宋体" w:cs="新宋体"/>
                <w:i w:val="0"/>
                <w:iCs w:val="0"/>
                <w:color w:val="000000"/>
                <w:kern w:val="0"/>
                <w:sz w:val="18"/>
                <w:szCs w:val="18"/>
                <w:u w:val="none"/>
                <w:lang w:val="en-US" w:eastAsia="zh-CN" w:bidi="ar"/>
              </w:rPr>
              <w:t>≥0.4</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28208C61">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BC5F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right w:val="single" w:color="000000" w:sz="4" w:space="0"/>
            </w:tcBorders>
            <w:noWrap w:val="0"/>
            <w:vAlign w:val="center"/>
          </w:tcPr>
          <w:p w14:paraId="5D46E8E6">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4B57317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拉断伸长率(%)</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07EBDF5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lang w:val="en-US"/>
              </w:rPr>
            </w:pPr>
            <w:r>
              <w:rPr>
                <w:rFonts w:hint="eastAsia" w:ascii="新宋体" w:hAnsi="新宋体" w:eastAsia="新宋体" w:cs="新宋体"/>
                <w:i w:val="0"/>
                <w:iCs w:val="0"/>
                <w:color w:val="000000"/>
                <w:kern w:val="0"/>
                <w:sz w:val="18"/>
                <w:szCs w:val="18"/>
                <w:u w:val="none"/>
                <w:lang w:val="en-US" w:eastAsia="zh-CN" w:bidi="ar"/>
              </w:rPr>
              <w:t>≥40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3DA655E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183F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right w:val="single" w:color="000000" w:sz="4" w:space="0"/>
            </w:tcBorders>
            <w:noWrap w:val="0"/>
            <w:vAlign w:val="center"/>
          </w:tcPr>
          <w:p w14:paraId="3373D614">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0E4227A1">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撕裂强度（kN/m）</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25CCD4D1">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≥5</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7205CB5C">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103A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right w:val="single" w:color="000000" w:sz="4" w:space="0"/>
            </w:tcBorders>
            <w:noWrap w:val="0"/>
            <w:vAlign w:val="center"/>
          </w:tcPr>
          <w:p w14:paraId="3E48853E">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1E331D5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阻燃性能(级）</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7B282E9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I</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31476A3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693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bottom w:val="single" w:color="000000" w:sz="4" w:space="0"/>
              <w:right w:val="single" w:color="000000" w:sz="4" w:space="0"/>
            </w:tcBorders>
            <w:noWrap w:val="0"/>
            <w:vAlign w:val="center"/>
          </w:tcPr>
          <w:p w14:paraId="100B5089">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1C5B04C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抗滑值（BPN,20%)（干测）</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73E96DA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80-110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0B8542BC">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71B1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1" w:type="dxa"/>
            <w:vMerge w:val="restart"/>
            <w:tcBorders>
              <w:top w:val="single" w:color="000000" w:sz="4" w:space="0"/>
              <w:left w:val="single" w:color="000000" w:sz="4" w:space="0"/>
              <w:bottom w:val="single" w:color="000000" w:sz="4" w:space="0"/>
              <w:right w:val="single" w:color="000000" w:sz="4" w:space="0"/>
            </w:tcBorders>
            <w:noWrap w:val="0"/>
            <w:vAlign w:val="center"/>
          </w:tcPr>
          <w:p w14:paraId="3B2D51D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有害物质含量</w:t>
            </w: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18B44DF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3种邻苯二甲酸酯类化合物（DBP、BBP、DEHP）总和，（g/kg）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23A7EE00">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0327039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329CA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23E5D8">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69FE223E">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3种邻苯二甲酸酯类化合物（DNOP、DINP、DIDP）总和，（g/kg）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6CB89D3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0EC6EB78">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24CF3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E0336C">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34A193AF">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18种多环芳烃总和（mg/kg）（整体）</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147D715D">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≤50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3E7CE350">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1719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AB67B5">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5D0A58B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苯并｛a｝芘 （mg/kg）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39D03D8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2943A4BC">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2565B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06C496">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42BB19C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短链氯化石蜡（C10-C13）（g/kg）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2449AF9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≤1.5</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345A6A6E">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6CCB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C7F86F">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23B8A8B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4，4’-二氨基-3，3’-二氯二苯甲烷（MOCA）（g/kg）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7C2CA5A">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1126C17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4093A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07386A">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07B5DEC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游离甲苯二异氰酸酯（TDI）和游离六亚甲基二异氰酸酯（HDI）总和（g/kg）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1F57E39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≤0.2</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545F47B">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6B30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F3ACC1">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09E566A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游离二苯基甲烷二异氰酸酯（MDI）（g/kg）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73A4065">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214297AB">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3C7B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restart"/>
            <w:tcBorders>
              <w:top w:val="single" w:color="000000" w:sz="4" w:space="0"/>
              <w:left w:val="single" w:color="000000" w:sz="4" w:space="0"/>
              <w:bottom w:val="single" w:color="000000" w:sz="4" w:space="0"/>
              <w:right w:val="single" w:color="000000" w:sz="4" w:space="0"/>
            </w:tcBorders>
            <w:noWrap w:val="0"/>
            <w:vAlign w:val="center"/>
          </w:tcPr>
          <w:p w14:paraId="15808A0F">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重金属含量</w:t>
            </w: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0CFBA69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可溶性铅（mg/kg）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5F7501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≤50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C09A29E">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3B0D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121758">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6248D5AF">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可溶性镉（mg/kg）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B9E3BC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97F2767">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3DE39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4F6F2FF">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288B8741">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可溶性铬（mg/kg）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69598193">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2352301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041C3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CDD6DE">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0B01C0C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可溶性汞（mg/kg）</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61D6D3DB">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≤2</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7BFDE791">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5B38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8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7A34BD2">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有害物质释放量</w:t>
            </w: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4A02C31F">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总挥发性有机化合物（TVOC）mg/（㎡·h）</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17256326">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≤5.0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0BA4A9F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22FCA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5DAC19">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1377953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甲醛，mg/（㎡·h）</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4E0D2D0">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≤0.4</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1F63393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82D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3F6882">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25D2FA0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苯，mg/（㎡·h）</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79B9BFE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≤0.1</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3C6822F">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1B48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53E749">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397F8A3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甲苯、二甲苯和乙苯总和，mg/㎡·h</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431F57C4">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≤1.0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6DFD77F3">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2255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17C3E">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3C77F72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二硫化碳，mg/㎡·h</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5D463C2C">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≤7.0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BF4FFA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111A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restart"/>
            <w:tcBorders>
              <w:top w:val="single" w:color="000000" w:sz="4" w:space="0"/>
              <w:left w:val="single" w:color="000000" w:sz="4" w:space="0"/>
              <w:right w:val="single" w:color="000000" w:sz="4" w:space="0"/>
            </w:tcBorders>
            <w:noWrap w:val="0"/>
            <w:vAlign w:val="center"/>
          </w:tcPr>
          <w:p w14:paraId="5CFD801B">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耐老化性能（500h）</w:t>
            </w: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50F1E5EF">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拉伸强度（MPa）</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237494D4">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≥0.4</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519F4F7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7A57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1881" w:type="dxa"/>
            <w:vMerge w:val="continue"/>
            <w:tcBorders>
              <w:left w:val="single" w:color="000000" w:sz="4" w:space="0"/>
              <w:bottom w:val="single" w:color="000000" w:sz="4" w:space="0"/>
              <w:right w:val="single" w:color="000000" w:sz="4" w:space="0"/>
            </w:tcBorders>
            <w:noWrap w:val="0"/>
            <w:vAlign w:val="center"/>
          </w:tcPr>
          <w:p w14:paraId="1563F1C2">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2A9E6CFF">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拉断伸长率（%）</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0D5A5DB2">
            <w:pPr>
              <w:keepNext w:val="0"/>
              <w:keepLines w:val="0"/>
              <w:widowControl/>
              <w:suppressLineNumbers w:val="0"/>
              <w:jc w:val="center"/>
              <w:textAlignment w:val="center"/>
              <w:rPr>
                <w:rFonts w:hint="eastAsia" w:ascii="新宋体" w:hAnsi="新宋体" w:eastAsia="新宋体" w:cs="新宋体"/>
                <w:i w:val="0"/>
                <w:iCs w:val="0"/>
                <w:color w:val="000000"/>
                <w:kern w:val="2"/>
                <w:sz w:val="18"/>
                <w:szCs w:val="18"/>
                <w:u w:val="none"/>
                <w:lang w:val="en-US" w:eastAsia="zh-CN" w:bidi="ar-SA"/>
              </w:rPr>
            </w:pPr>
            <w:r>
              <w:rPr>
                <w:rFonts w:hint="eastAsia" w:ascii="新宋体" w:hAnsi="新宋体" w:eastAsia="新宋体" w:cs="新宋体"/>
                <w:i w:val="0"/>
                <w:iCs w:val="0"/>
                <w:color w:val="000000"/>
                <w:kern w:val="0"/>
                <w:sz w:val="18"/>
                <w:szCs w:val="18"/>
                <w:u w:val="none"/>
                <w:lang w:val="en-US" w:eastAsia="zh-CN" w:bidi="ar"/>
              </w:rPr>
              <w:t>≥40</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0A9CAE0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25304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1881" w:type="dxa"/>
            <w:vMerge w:val="restart"/>
            <w:tcBorders>
              <w:top w:val="single" w:color="000000" w:sz="4" w:space="0"/>
              <w:left w:val="single" w:color="000000" w:sz="4" w:space="0"/>
              <w:bottom w:val="single" w:color="000000" w:sz="4" w:space="0"/>
              <w:right w:val="single" w:color="000000" w:sz="4" w:space="0"/>
            </w:tcBorders>
            <w:noWrap w:val="0"/>
            <w:vAlign w:val="center"/>
          </w:tcPr>
          <w:p w14:paraId="5A48CC38">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其他</w:t>
            </w: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65526E7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无机填料（%）</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29E9F32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≤65</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2FA1A513">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1C110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188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026F5E">
            <w:pPr>
              <w:jc w:val="center"/>
              <w:rPr>
                <w:rFonts w:hint="eastAsia" w:ascii="新宋体" w:hAnsi="新宋体" w:eastAsia="新宋体" w:cs="新宋体"/>
                <w:i w:val="0"/>
                <w:iCs w:val="0"/>
                <w:color w:val="000000"/>
                <w:sz w:val="18"/>
                <w:szCs w:val="18"/>
                <w:u w:val="none"/>
              </w:rPr>
            </w:pPr>
          </w:p>
        </w:tc>
        <w:tc>
          <w:tcPr>
            <w:tcW w:w="4425" w:type="dxa"/>
            <w:tcBorders>
              <w:top w:val="single" w:color="000000" w:sz="4" w:space="0"/>
              <w:left w:val="single" w:color="000000" w:sz="4" w:space="0"/>
              <w:bottom w:val="single" w:color="000000" w:sz="4" w:space="0"/>
              <w:right w:val="single" w:color="000000" w:sz="4" w:space="0"/>
            </w:tcBorders>
            <w:noWrap w:val="0"/>
            <w:vAlign w:val="center"/>
          </w:tcPr>
          <w:p w14:paraId="495D8E19">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气味等级（级）</w:t>
            </w:r>
          </w:p>
        </w:tc>
        <w:tc>
          <w:tcPr>
            <w:tcW w:w="1817" w:type="dxa"/>
            <w:tcBorders>
              <w:top w:val="single" w:color="000000" w:sz="4" w:space="0"/>
              <w:left w:val="single" w:color="000000" w:sz="4" w:space="0"/>
              <w:bottom w:val="single" w:color="000000" w:sz="4" w:space="0"/>
              <w:right w:val="single" w:color="000000" w:sz="4" w:space="0"/>
            </w:tcBorders>
            <w:noWrap w:val="0"/>
            <w:vAlign w:val="center"/>
          </w:tcPr>
          <w:p w14:paraId="52A11117">
            <w:pPr>
              <w:keepNext w:val="0"/>
              <w:keepLines w:val="0"/>
              <w:widowControl/>
              <w:suppressLineNumbers w:val="0"/>
              <w:jc w:val="center"/>
              <w:textAlignment w:val="center"/>
              <w:rPr>
                <w:rFonts w:hint="eastAsia" w:ascii="新宋体" w:hAnsi="新宋体" w:eastAsia="新宋体" w:cs="新宋体"/>
                <w:i w:val="0"/>
                <w:iCs w:val="0"/>
                <w:color w:val="000000"/>
                <w:sz w:val="18"/>
                <w:szCs w:val="18"/>
                <w:u w:val="none"/>
              </w:rPr>
            </w:pPr>
            <w:r>
              <w:rPr>
                <w:rFonts w:hint="eastAsia" w:ascii="新宋体" w:hAnsi="新宋体" w:eastAsia="新宋体" w:cs="新宋体"/>
                <w:i w:val="0"/>
                <w:iCs w:val="0"/>
                <w:color w:val="000000"/>
                <w:kern w:val="0"/>
                <w:sz w:val="18"/>
                <w:szCs w:val="18"/>
                <w:u w:val="none"/>
                <w:lang w:val="en-US" w:eastAsia="zh-CN" w:bidi="ar"/>
              </w:rPr>
              <w:t>≤3</w:t>
            </w:r>
          </w:p>
        </w:tc>
        <w:tc>
          <w:tcPr>
            <w:tcW w:w="1622" w:type="dxa"/>
            <w:tcBorders>
              <w:top w:val="single" w:color="000000" w:sz="4" w:space="0"/>
              <w:left w:val="single" w:color="000000" w:sz="4" w:space="0"/>
              <w:bottom w:val="single" w:color="000000" w:sz="4" w:space="0"/>
              <w:right w:val="single" w:color="000000" w:sz="4" w:space="0"/>
            </w:tcBorders>
            <w:noWrap w:val="0"/>
            <w:vAlign w:val="center"/>
          </w:tcPr>
          <w:p w14:paraId="6914583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bl>
    <w:p w14:paraId="1231EA33">
      <w:pPr>
        <w:numPr>
          <w:ilvl w:val="0"/>
          <w:numId w:val="0"/>
        </w:numPr>
        <w:spacing w:line="360" w:lineRule="auto"/>
        <w:ind w:firstLine="420" w:firstLineChars="200"/>
        <w:jc w:val="both"/>
        <w:rPr>
          <w:rFonts w:hint="default" w:ascii="宋体" w:hAnsi="宋体" w:eastAsia="宋体" w:cs="宋体"/>
          <w:color w:val="auto"/>
          <w:kern w:val="2"/>
          <w:sz w:val="21"/>
          <w:szCs w:val="21"/>
          <w:u w:val="none"/>
          <w:shd w:val="clear" w:color="auto" w:fill="auto"/>
          <w:lang w:val="en-US" w:eastAsia="zh-CN" w:bidi="ar"/>
        </w:rPr>
      </w:pPr>
      <w:r>
        <w:rPr>
          <w:rFonts w:hint="default" w:ascii="Times New Roman" w:hAnsi="Times New Roman" w:eastAsia="楷体" w:cs="Times New Roman"/>
          <w:bCs/>
          <w:color w:val="auto"/>
          <w:szCs w:val="21"/>
          <w:highlight w:val="none"/>
        </w:rPr>
        <w:t>★</w:t>
      </w:r>
      <w:r>
        <w:rPr>
          <w:rFonts w:hint="eastAsia" w:ascii="宋体" w:hAnsi="宋体" w:eastAsia="宋体" w:cs="宋体"/>
          <w:color w:val="auto"/>
          <w:kern w:val="2"/>
          <w:sz w:val="21"/>
          <w:szCs w:val="21"/>
          <w:u w:val="none"/>
          <w:shd w:val="clear" w:color="auto" w:fill="auto"/>
          <w:lang w:val="en-US" w:eastAsia="zh-CN" w:bidi="ar"/>
        </w:rPr>
        <w:t>（1）、所投产品提供依据GB/T14833-2020、GB36246-2018标准出具的检测报告，产品的有害物质含量、物理机械性能、气味等级、耐人工气候老化性能等检测结果均符合标准要求并加盖供应商公章。</w:t>
      </w:r>
    </w:p>
    <w:p w14:paraId="63A91A87">
      <w:pPr>
        <w:numPr>
          <w:ilvl w:val="0"/>
          <w:numId w:val="0"/>
        </w:numPr>
        <w:spacing w:line="360" w:lineRule="auto"/>
        <w:ind w:firstLine="420" w:firstLineChars="200"/>
        <w:jc w:val="both"/>
        <w:rPr>
          <w:rFonts w:hint="eastAsia" w:ascii="宋体" w:hAnsi="宋体" w:eastAsia="宋体" w:cs="宋体"/>
          <w:color w:val="auto"/>
          <w:kern w:val="2"/>
          <w:sz w:val="21"/>
          <w:szCs w:val="21"/>
          <w:u w:val="none"/>
          <w:shd w:val="clear" w:color="auto" w:fill="auto"/>
          <w:lang w:val="en-US" w:eastAsia="zh-CN" w:bidi="ar"/>
        </w:rPr>
      </w:pPr>
      <w:r>
        <w:rPr>
          <w:rFonts w:hint="default" w:ascii="Times New Roman" w:hAnsi="Times New Roman" w:eastAsia="楷体" w:cs="Times New Roman"/>
          <w:bCs/>
          <w:color w:val="auto"/>
          <w:szCs w:val="21"/>
          <w:highlight w:val="none"/>
        </w:rPr>
        <w:t>★</w:t>
      </w:r>
      <w:r>
        <w:rPr>
          <w:rFonts w:hint="eastAsia" w:ascii="宋体" w:hAnsi="宋体" w:eastAsia="宋体" w:cs="宋体"/>
          <w:color w:val="auto"/>
          <w:kern w:val="2"/>
          <w:sz w:val="21"/>
          <w:szCs w:val="21"/>
          <w:u w:val="none"/>
          <w:shd w:val="clear" w:color="auto" w:fill="auto"/>
          <w:lang w:val="en-US" w:eastAsia="zh-CN" w:bidi="ar"/>
        </w:rPr>
        <w:t>（2）、所投产品提供依据GB36246-2018标准出具的耐久性检测报告：经20KG负荷压载24小时后，在无重力负荷条件下静置24小时，以此为一个完整检测循环，累计完成70次循环（总计3360小时）后，对产品冲击吸收、垂直变形两项指标进行检测，检测结果均符合标准要求的检测报告并加盖供应商公章。</w:t>
      </w:r>
    </w:p>
    <w:p w14:paraId="5E2C5279">
      <w:pPr>
        <w:numPr>
          <w:ilvl w:val="0"/>
          <w:numId w:val="0"/>
        </w:numPr>
        <w:jc w:val="both"/>
        <w:rPr>
          <w:rFonts w:hint="eastAsia" w:ascii="宋体" w:hAnsi="宋体" w:eastAsia="宋体" w:cs="宋体"/>
          <w:color w:val="auto"/>
          <w:szCs w:val="21"/>
          <w:lang w:bidi="ar"/>
        </w:rPr>
      </w:pPr>
      <w:r>
        <w:rPr>
          <w:rFonts w:hint="eastAsia" w:ascii="宋体" w:hAnsi="宋体" w:eastAsia="宋体" w:cs="宋体"/>
          <w:color w:val="auto"/>
          <w:kern w:val="2"/>
          <w:sz w:val="21"/>
          <w:szCs w:val="21"/>
          <w:lang w:val="en-US" w:eastAsia="zh-CN" w:bidi="ar"/>
        </w:rPr>
        <w:t>（三）</w:t>
      </w:r>
      <w:r>
        <w:rPr>
          <w:rFonts w:hint="eastAsia" w:ascii="宋体" w:hAnsi="宋体" w:eastAsia="宋体" w:cs="宋体"/>
          <w:color w:val="auto"/>
          <w:kern w:val="2"/>
          <w:sz w:val="21"/>
          <w:szCs w:val="21"/>
          <w:u w:val="none"/>
          <w:shd w:val="clear" w:color="auto" w:fill="auto"/>
          <w:lang w:val="en-US" w:eastAsia="zh-CN" w:bidi="ar"/>
        </w:rPr>
        <w:t>、</w:t>
      </w:r>
      <w:r>
        <w:rPr>
          <w:rFonts w:hint="eastAsia" w:ascii="宋体" w:hAnsi="宋体" w:eastAsia="宋体" w:cs="宋体"/>
          <w:color w:val="auto"/>
          <w:szCs w:val="21"/>
          <w:lang w:val="en-US" w:eastAsia="zh-CN" w:bidi="ar"/>
        </w:rPr>
        <w:t>人造草坪规格要求</w:t>
      </w:r>
      <w:r>
        <w:rPr>
          <w:rFonts w:hint="eastAsia" w:ascii="宋体" w:hAnsi="宋体" w:eastAsia="宋体" w:cs="宋体"/>
          <w:color w:val="auto"/>
          <w:szCs w:val="21"/>
          <w:lang w:bidi="ar"/>
        </w:rPr>
        <w:t>和参数要求</w:t>
      </w:r>
    </w:p>
    <w:tbl>
      <w:tblPr>
        <w:tblStyle w:val="12"/>
        <w:tblpPr w:leftFromText="180" w:rightFromText="180" w:vertAnchor="text" w:horzAnchor="page" w:tblpX="1590" w:tblpY="486"/>
        <w:tblOverlap w:val="never"/>
        <w:tblW w:w="8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4"/>
        <w:gridCol w:w="3995"/>
        <w:gridCol w:w="2087"/>
      </w:tblGrid>
      <w:tr w14:paraId="6B0C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2E575DA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类别</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3C1DABC1">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要求</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200FA4BB">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备注</w:t>
            </w:r>
          </w:p>
        </w:tc>
      </w:tr>
      <w:tr w14:paraId="32B2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3A6C8CE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名称</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2BE60C31">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高耐磨加筋单丝草坪</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4C02035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45D20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4066B4B7">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走针方式</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1BC8F27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“一”字型</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209263D0">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6DE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13047F64">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草纤度</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282E1F3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PE1</w:t>
            </w:r>
            <w:r>
              <w:rPr>
                <w:rFonts w:hint="default" w:ascii="新宋体" w:hAnsi="新宋体" w:eastAsia="新宋体" w:cs="新宋体"/>
                <w:i w:val="0"/>
                <w:iCs w:val="0"/>
                <w:color w:val="000000"/>
                <w:kern w:val="0"/>
                <w:sz w:val="18"/>
                <w:szCs w:val="18"/>
                <w:u w:val="none"/>
                <w:lang w:val="en-US" w:eastAsia="zh-CN" w:bidi="ar"/>
              </w:rPr>
              <w:t>2</w:t>
            </w:r>
            <w:r>
              <w:rPr>
                <w:rFonts w:hint="eastAsia" w:ascii="新宋体" w:hAnsi="新宋体" w:eastAsia="新宋体" w:cs="新宋体"/>
                <w:i w:val="0"/>
                <w:iCs w:val="0"/>
                <w:color w:val="000000"/>
                <w:kern w:val="0"/>
                <w:sz w:val="18"/>
                <w:szCs w:val="18"/>
                <w:u w:val="none"/>
                <w:lang w:val="en-US" w:eastAsia="zh-CN" w:bidi="ar"/>
              </w:rPr>
              <w:t>000</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68C432DF">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B45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42F3BEBF">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行距</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379A3B0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5/8</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649F5DA3">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760B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2A2F0075">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密度</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4B48C1C5">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&gt;10500针/m</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1CCEFAA6">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369C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4D1202B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草高</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652D1FD5">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50mm</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41635151">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9F2F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1D41AAE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草坪底布</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09BA2BC0">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PP+纱罗</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5FDD18E5">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53A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6F1FBB7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草丝宽度厚度</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47F3FBFD">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纤维宽度：1.</w:t>
            </w:r>
            <w:r>
              <w:rPr>
                <w:rFonts w:hint="default" w:ascii="新宋体" w:hAnsi="新宋体" w:eastAsia="新宋体" w:cs="新宋体"/>
                <w:i w:val="0"/>
                <w:iCs w:val="0"/>
                <w:color w:val="000000"/>
                <w:kern w:val="0"/>
                <w:sz w:val="18"/>
                <w:szCs w:val="18"/>
                <w:u w:val="none"/>
                <w:lang w:val="en-US" w:eastAsia="zh-CN" w:bidi="ar"/>
              </w:rPr>
              <w:t>4</w:t>
            </w:r>
            <w:r>
              <w:rPr>
                <w:rFonts w:hint="eastAsia" w:ascii="新宋体" w:hAnsi="新宋体" w:eastAsia="新宋体" w:cs="新宋体"/>
                <w:i w:val="0"/>
                <w:iCs w:val="0"/>
                <w:color w:val="000000"/>
                <w:kern w:val="0"/>
                <w:sz w:val="18"/>
                <w:szCs w:val="18"/>
                <w:u w:val="none"/>
                <w:lang w:val="en-US" w:eastAsia="zh-CN" w:bidi="ar"/>
              </w:rPr>
              <w:t>±0.1mm</w:t>
            </w:r>
          </w:p>
          <w:p w14:paraId="0BBAA40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纤维厚度：2</w:t>
            </w:r>
            <w:r>
              <w:rPr>
                <w:rFonts w:hint="default" w:ascii="新宋体" w:hAnsi="新宋体" w:eastAsia="新宋体" w:cs="新宋体"/>
                <w:i w:val="0"/>
                <w:iCs w:val="0"/>
                <w:color w:val="000000"/>
                <w:kern w:val="0"/>
                <w:sz w:val="18"/>
                <w:szCs w:val="18"/>
                <w:u w:val="none"/>
                <w:lang w:val="en-US" w:eastAsia="zh-CN" w:bidi="ar"/>
              </w:rPr>
              <w:t>9</w:t>
            </w:r>
            <w:r>
              <w:rPr>
                <w:rFonts w:hint="eastAsia" w:ascii="新宋体" w:hAnsi="新宋体" w:eastAsia="新宋体" w:cs="新宋体"/>
                <w:i w:val="0"/>
                <w:iCs w:val="0"/>
                <w:color w:val="000000"/>
                <w:kern w:val="0"/>
                <w:sz w:val="18"/>
                <w:szCs w:val="18"/>
                <w:u w:val="none"/>
                <w:lang w:val="en-US" w:eastAsia="zh-CN" w:bidi="ar"/>
              </w:rPr>
              <w:t>0±30µm</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5080BA6C">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675E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4CEE4968">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颜色</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20C49A69">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墨绿、橄榄绿</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414FE0B1">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r w14:paraId="5AA2D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2754" w:type="dxa"/>
            <w:tcBorders>
              <w:top w:val="single" w:color="auto" w:sz="4" w:space="0"/>
              <w:left w:val="single" w:color="auto" w:sz="4" w:space="0"/>
              <w:bottom w:val="single" w:color="auto" w:sz="4" w:space="0"/>
              <w:right w:val="single" w:color="auto" w:sz="4" w:space="0"/>
            </w:tcBorders>
            <w:noWrap w:val="0"/>
            <w:vAlign w:val="center"/>
          </w:tcPr>
          <w:p w14:paraId="14778D85">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背胶材质</w:t>
            </w:r>
          </w:p>
        </w:tc>
        <w:tc>
          <w:tcPr>
            <w:tcW w:w="3995" w:type="dxa"/>
            <w:tcBorders>
              <w:top w:val="single" w:color="auto" w:sz="4" w:space="0"/>
              <w:left w:val="single" w:color="auto" w:sz="4" w:space="0"/>
              <w:bottom w:val="single" w:color="auto" w:sz="4" w:space="0"/>
              <w:right w:val="single" w:color="auto" w:sz="4" w:space="0"/>
            </w:tcBorders>
            <w:noWrap w:val="0"/>
            <w:vAlign w:val="center"/>
          </w:tcPr>
          <w:p w14:paraId="41C2A74C">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r>
              <w:rPr>
                <w:rFonts w:hint="eastAsia" w:ascii="新宋体" w:hAnsi="新宋体" w:eastAsia="新宋体" w:cs="新宋体"/>
                <w:i w:val="0"/>
                <w:iCs w:val="0"/>
                <w:color w:val="000000"/>
                <w:kern w:val="0"/>
                <w:sz w:val="18"/>
                <w:szCs w:val="18"/>
                <w:u w:val="none"/>
                <w:lang w:val="en-US" w:eastAsia="zh-CN" w:bidi="ar"/>
              </w:rPr>
              <w:t>丁苯乳胶</w:t>
            </w:r>
          </w:p>
        </w:tc>
        <w:tc>
          <w:tcPr>
            <w:tcW w:w="2087" w:type="dxa"/>
            <w:tcBorders>
              <w:top w:val="single" w:color="auto" w:sz="4" w:space="0"/>
              <w:left w:val="single" w:color="auto" w:sz="4" w:space="0"/>
              <w:bottom w:val="single" w:color="auto" w:sz="4" w:space="0"/>
              <w:right w:val="single" w:color="auto" w:sz="4" w:space="0"/>
            </w:tcBorders>
            <w:noWrap w:val="0"/>
            <w:vAlign w:val="center"/>
          </w:tcPr>
          <w:p w14:paraId="46A0C9AA">
            <w:pPr>
              <w:keepNext w:val="0"/>
              <w:keepLines w:val="0"/>
              <w:widowControl/>
              <w:suppressLineNumbers w:val="0"/>
              <w:jc w:val="center"/>
              <w:textAlignment w:val="center"/>
              <w:rPr>
                <w:rFonts w:hint="eastAsia" w:ascii="新宋体" w:hAnsi="新宋体" w:eastAsia="新宋体" w:cs="新宋体"/>
                <w:i w:val="0"/>
                <w:iCs w:val="0"/>
                <w:color w:val="000000"/>
                <w:kern w:val="0"/>
                <w:sz w:val="18"/>
                <w:szCs w:val="18"/>
                <w:u w:val="none"/>
                <w:lang w:val="en-US" w:eastAsia="zh-CN" w:bidi="ar"/>
              </w:rPr>
            </w:pPr>
          </w:p>
        </w:tc>
      </w:tr>
    </w:tbl>
    <w:p w14:paraId="2FE7E1B4">
      <w:pPr>
        <w:numPr>
          <w:ilvl w:val="0"/>
          <w:numId w:val="0"/>
        </w:numPr>
        <w:jc w:val="both"/>
        <w:rPr>
          <w:rFonts w:hint="default" w:ascii="宋体" w:hAnsi="宋体" w:eastAsia="宋体" w:cs="宋体"/>
          <w:color w:val="auto"/>
          <w:kern w:val="2"/>
          <w:sz w:val="21"/>
          <w:szCs w:val="21"/>
          <w:u w:val="none"/>
          <w:shd w:val="clear" w:color="auto" w:fill="auto"/>
          <w:lang w:val="en-US" w:eastAsia="zh-CN" w:bidi="ar"/>
        </w:rPr>
      </w:pPr>
    </w:p>
    <w:p w14:paraId="6057D991">
      <w:pPr>
        <w:numPr>
          <w:ilvl w:val="0"/>
          <w:numId w:val="0"/>
        </w:numPr>
        <w:spacing w:line="360" w:lineRule="auto"/>
        <w:ind w:firstLine="420" w:firstLineChars="200"/>
        <w:jc w:val="both"/>
        <w:rPr>
          <w:rFonts w:hint="eastAsia" w:ascii="宋体" w:hAnsi="宋体" w:eastAsia="宋体" w:cs="宋体"/>
          <w:color w:val="auto"/>
          <w:kern w:val="2"/>
          <w:sz w:val="21"/>
          <w:szCs w:val="21"/>
          <w:u w:val="none"/>
          <w:shd w:val="clear" w:color="auto" w:fill="auto"/>
          <w:lang w:val="en-US" w:eastAsia="zh-CN" w:bidi="ar"/>
        </w:rPr>
      </w:pPr>
      <w:r>
        <w:rPr>
          <w:rFonts w:hint="default" w:ascii="Times New Roman" w:hAnsi="Times New Roman" w:eastAsia="楷体" w:cs="Times New Roman"/>
          <w:bCs/>
          <w:color w:val="auto"/>
          <w:szCs w:val="21"/>
          <w:highlight w:val="none"/>
        </w:rPr>
        <w:t>★</w:t>
      </w:r>
      <w:r>
        <w:rPr>
          <w:rFonts w:hint="eastAsia" w:ascii="宋体" w:hAnsi="宋体" w:eastAsia="宋体" w:cs="宋体"/>
          <w:color w:val="auto"/>
          <w:kern w:val="2"/>
          <w:sz w:val="21"/>
          <w:szCs w:val="21"/>
          <w:u w:val="none"/>
          <w:shd w:val="clear" w:color="auto" w:fill="auto"/>
          <w:lang w:val="en-US" w:eastAsia="zh-CN" w:bidi="ar"/>
        </w:rPr>
        <w:t>（1）、人造草坪质量要求：为保证人造草坪的质量要求，草坪供应商须提供人造草坪经自然气候老化60天后，依据GB 36246-2018、GB/T 43566-2023、QB/T 5591-2021标准检测总挥发性有机化合物（TVOC）释放量，甲醛释放量，苯释放量，甲苯、二甲苯和乙苯总和释放量检测合格的检测报告并加盖供应商公章。</w:t>
      </w:r>
    </w:p>
    <w:p w14:paraId="5C62AA27">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default" w:ascii="宋体" w:hAnsi="宋体" w:eastAsia="宋体" w:cs="宋体"/>
          <w:color w:val="auto"/>
          <w:kern w:val="2"/>
          <w:sz w:val="21"/>
          <w:szCs w:val="21"/>
          <w:u w:val="none"/>
          <w:shd w:val="clear" w:color="auto" w:fill="auto"/>
          <w:lang w:val="en-US" w:eastAsia="zh-CN" w:bidi="ar"/>
        </w:rPr>
        <w:t>★</w:t>
      </w:r>
      <w:r>
        <w:rPr>
          <w:rFonts w:hint="eastAsia" w:ascii="宋体" w:hAnsi="宋体" w:eastAsia="宋体" w:cs="宋体"/>
          <w:color w:val="auto"/>
          <w:kern w:val="2"/>
          <w:sz w:val="21"/>
          <w:szCs w:val="21"/>
          <w:u w:val="none"/>
          <w:shd w:val="clear" w:color="auto" w:fill="auto"/>
          <w:lang w:val="en-US" w:eastAsia="zh-CN" w:bidi="ar"/>
        </w:rPr>
        <w:t>（2）、人造草坪质量要求：</w:t>
      </w:r>
      <w:r>
        <w:rPr>
          <w:rFonts w:hint="default" w:ascii="宋体" w:hAnsi="宋体" w:eastAsia="宋体" w:cs="宋体"/>
          <w:color w:val="auto"/>
          <w:kern w:val="2"/>
          <w:sz w:val="21"/>
          <w:szCs w:val="21"/>
          <w:u w:val="none"/>
          <w:shd w:val="clear" w:color="auto" w:fill="auto"/>
          <w:lang w:val="en-US" w:eastAsia="zh-CN" w:bidi="ar"/>
        </w:rPr>
        <w:t>为保证人造草坪的使用年限，草坪供应商须提供具有第三方检测机构依据判定标准GB/T 22517.5-2024出具的冲击吸收、垂直变形、旋转扭矩、球滚动距离、垂直球反弹检测结果全部为符合的检测报告</w:t>
      </w:r>
      <w:r>
        <w:rPr>
          <w:rFonts w:hint="eastAsia" w:ascii="宋体" w:hAnsi="宋体" w:eastAsia="宋体" w:cs="宋体"/>
          <w:color w:val="auto"/>
          <w:kern w:val="2"/>
          <w:sz w:val="21"/>
          <w:szCs w:val="21"/>
          <w:u w:val="none"/>
          <w:shd w:val="clear" w:color="auto" w:fill="auto"/>
          <w:lang w:val="en-US" w:eastAsia="zh-CN" w:bidi="ar"/>
        </w:rPr>
        <w:t>并加盖供应商公章</w:t>
      </w:r>
      <w:r>
        <w:rPr>
          <w:rFonts w:hint="default" w:ascii="宋体" w:hAnsi="宋体" w:eastAsia="宋体" w:cs="宋体"/>
          <w:color w:val="auto"/>
          <w:kern w:val="2"/>
          <w:sz w:val="21"/>
          <w:szCs w:val="21"/>
          <w:u w:val="none"/>
          <w:shd w:val="clear" w:color="auto" w:fill="auto"/>
          <w:lang w:val="en-US" w:eastAsia="zh-CN" w:bidi="ar"/>
        </w:rPr>
        <w:t>。</w:t>
      </w:r>
    </w:p>
    <w:p w14:paraId="72E2FFE5">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供应商须在响应文件中承诺：所供产品完全符合上述标准，进场后采购人有权抽样复检，复检不合格无条件退货并承担违约责任。</w:t>
      </w:r>
    </w:p>
    <w:p w14:paraId="35A78185">
      <w:pPr>
        <w:wordWrap w:val="0"/>
        <w:overflowPunct w:val="0"/>
        <w:topLinePunct/>
        <w:spacing w:line="480" w:lineRule="exact"/>
        <w:ind w:right="-92" w:rightChars="-44"/>
        <w:jc w:val="left"/>
        <w:textAlignment w:val="top"/>
        <w:rPr>
          <w:rFonts w:hint="eastAsia" w:ascii="Times New Roman" w:hAnsi="Times New Roman" w:eastAsia="宋体" w:cs="Times New Roman"/>
          <w:color w:val="auto"/>
        </w:rPr>
      </w:pPr>
      <w:r>
        <w:rPr>
          <w:rFonts w:hint="eastAsia" w:ascii="宋体" w:hAnsi="宋体" w:eastAsia="宋体" w:cs="宋体"/>
          <w:b/>
          <w:bCs/>
          <w:color w:val="auto"/>
          <w:szCs w:val="21"/>
          <w:lang w:eastAsia="zh-CN"/>
        </w:rPr>
        <w:t>六</w:t>
      </w:r>
      <w:r>
        <w:rPr>
          <w:rFonts w:hint="eastAsia" w:ascii="宋体" w:hAnsi="宋体" w:eastAsia="宋体" w:cs="宋体"/>
          <w:b/>
          <w:bCs/>
          <w:color w:val="auto"/>
          <w:szCs w:val="21"/>
        </w:rPr>
        <w:t>、工程量清单：</w:t>
      </w:r>
      <w:bookmarkEnd w:id="5"/>
      <w:bookmarkEnd w:id="6"/>
      <w:r>
        <w:rPr>
          <w:rFonts w:hint="eastAsia" w:ascii="Times New Roman" w:hAnsi="Times New Roman" w:eastAsia="宋体" w:cs="Times New Roman"/>
          <w:color w:val="auto"/>
        </w:rPr>
        <w:t xml:space="preserve"> </w:t>
      </w:r>
    </w:p>
    <w:p w14:paraId="2E388FF7">
      <w:pPr>
        <w:wordWrap w:val="0"/>
        <w:overflowPunct w:val="0"/>
        <w:topLinePunct/>
        <w:spacing w:line="480" w:lineRule="exact"/>
        <w:ind w:right="-92" w:rightChars="-44"/>
        <w:jc w:val="left"/>
        <w:textAlignment w:val="top"/>
        <w:rPr>
          <w:rFonts w:hint="eastAsia" w:ascii="Times New Roman" w:hAnsi="Times New Roman" w:eastAsia="宋体" w:cs="Times New Roman"/>
          <w:color w:val="auto"/>
        </w:rPr>
      </w:pPr>
      <w:r>
        <w:rPr>
          <w:rFonts w:hint="eastAsia" w:ascii="Times New Roman" w:hAnsi="Times New Roman" w:eastAsia="宋体" w:cs="Times New Roman"/>
          <w:color w:val="auto"/>
        </w:rPr>
        <w:t>表E.1.2  单位工程清单汇总表</w:t>
      </w:r>
    </w:p>
    <w:p w14:paraId="7D9C220B">
      <w:pPr>
        <w:wordWrap w:val="0"/>
        <w:overflowPunct w:val="0"/>
        <w:topLinePunct/>
        <w:spacing w:line="480" w:lineRule="exact"/>
        <w:ind w:right="-92" w:rightChars="-44"/>
        <w:jc w:val="left"/>
        <w:textAlignment w:val="top"/>
        <w:rPr>
          <w:rFonts w:hint="eastAsia" w:ascii="宋体" w:hAnsi="宋体" w:eastAsia="宋体" w:cs="宋体"/>
          <w:color w:val="auto"/>
          <w:sz w:val="21"/>
          <w:szCs w:val="21"/>
        </w:rPr>
      </w:pPr>
      <w:r>
        <w:rPr>
          <w:rFonts w:hint="eastAsia" w:ascii="宋体" w:hAnsi="宋体" w:eastAsia="宋体" w:cs="宋体"/>
          <w:color w:val="auto"/>
          <w:sz w:val="21"/>
          <w:szCs w:val="21"/>
        </w:rPr>
        <w:t>工程名称：运动场修缮</w:t>
      </w:r>
    </w:p>
    <w:tbl>
      <w:tblPr>
        <w:tblStyle w:val="12"/>
        <w:tblW w:w="94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1"/>
        <w:gridCol w:w="3669"/>
        <w:gridCol w:w="2157"/>
        <w:gridCol w:w="1333"/>
        <w:gridCol w:w="1420"/>
      </w:tblGrid>
      <w:tr w14:paraId="1F15A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1296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780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项目内容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4AB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计费基础说明</w:t>
            </w: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1C37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费率 %</w:t>
            </w: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65CBF">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备注</w:t>
            </w:r>
          </w:p>
        </w:tc>
      </w:tr>
      <w:tr w14:paraId="42CF6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E2C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F1D3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分部分项工程费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3727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分部分项费用合计</w:t>
            </w: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F25BD">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D3DB5">
            <w:pPr>
              <w:jc w:val="right"/>
              <w:rPr>
                <w:rFonts w:hint="eastAsia" w:ascii="宋体" w:hAnsi="宋体" w:eastAsia="宋体" w:cs="宋体"/>
                <w:i w:val="0"/>
                <w:iCs w:val="0"/>
                <w:color w:val="000000"/>
                <w:sz w:val="21"/>
                <w:szCs w:val="21"/>
                <w:u w:val="none"/>
              </w:rPr>
            </w:pPr>
          </w:p>
        </w:tc>
      </w:tr>
      <w:tr w14:paraId="59C5E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070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38A4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分部分项工程项目清单列项的分部分项工程费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E5929">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C1F38">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BD730">
            <w:pPr>
              <w:jc w:val="right"/>
              <w:rPr>
                <w:rFonts w:hint="eastAsia" w:ascii="宋体" w:hAnsi="宋体" w:eastAsia="宋体" w:cs="宋体"/>
                <w:i w:val="0"/>
                <w:iCs w:val="0"/>
                <w:color w:val="000000"/>
                <w:sz w:val="21"/>
                <w:szCs w:val="21"/>
                <w:u w:val="none"/>
              </w:rPr>
            </w:pPr>
          </w:p>
        </w:tc>
      </w:tr>
      <w:tr w14:paraId="50A76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12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1.1.1</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FDC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F4AE64">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97901">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BFD96">
            <w:pPr>
              <w:jc w:val="right"/>
              <w:rPr>
                <w:rFonts w:hint="eastAsia" w:ascii="宋体" w:hAnsi="宋体" w:eastAsia="宋体" w:cs="宋体"/>
                <w:i w:val="0"/>
                <w:iCs w:val="0"/>
                <w:color w:val="000000"/>
                <w:sz w:val="21"/>
                <w:szCs w:val="21"/>
                <w:u w:val="none"/>
              </w:rPr>
            </w:pPr>
          </w:p>
        </w:tc>
      </w:tr>
      <w:tr w14:paraId="0460B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E3B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5F31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材料费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5BBD1">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D0BFB">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A3021">
            <w:pPr>
              <w:jc w:val="right"/>
              <w:rPr>
                <w:rFonts w:hint="eastAsia" w:ascii="宋体" w:hAnsi="宋体" w:eastAsia="宋体" w:cs="宋体"/>
                <w:i w:val="0"/>
                <w:iCs w:val="0"/>
                <w:color w:val="000000"/>
                <w:sz w:val="21"/>
                <w:szCs w:val="21"/>
                <w:u w:val="none"/>
              </w:rPr>
            </w:pPr>
          </w:p>
        </w:tc>
      </w:tr>
      <w:tr w14:paraId="562CD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A79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1.1.2.1</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D2E7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其中：工程设备费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1D87AA">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D20D7">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E783C">
            <w:pPr>
              <w:jc w:val="right"/>
              <w:rPr>
                <w:rFonts w:hint="eastAsia" w:ascii="宋体" w:hAnsi="宋体" w:eastAsia="宋体" w:cs="宋体"/>
                <w:i w:val="0"/>
                <w:iCs w:val="0"/>
                <w:color w:val="000000"/>
                <w:sz w:val="21"/>
                <w:szCs w:val="21"/>
                <w:u w:val="none"/>
              </w:rPr>
            </w:pPr>
          </w:p>
        </w:tc>
      </w:tr>
      <w:tr w14:paraId="6AC7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FDE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1.1.3</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9F76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381AF5">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AD504">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94768">
            <w:pPr>
              <w:jc w:val="right"/>
              <w:rPr>
                <w:rFonts w:hint="eastAsia" w:ascii="宋体" w:hAnsi="宋体" w:eastAsia="宋体" w:cs="宋体"/>
                <w:i w:val="0"/>
                <w:iCs w:val="0"/>
                <w:color w:val="000000"/>
                <w:sz w:val="21"/>
                <w:szCs w:val="21"/>
                <w:u w:val="none"/>
              </w:rPr>
            </w:pPr>
          </w:p>
        </w:tc>
      </w:tr>
      <w:tr w14:paraId="334C6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F83D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1.1.4</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F2A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管理费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32420">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DE8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15.15</w:t>
            </w: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619D6B">
            <w:pPr>
              <w:jc w:val="right"/>
              <w:rPr>
                <w:rFonts w:hint="eastAsia" w:ascii="宋体" w:hAnsi="宋体" w:eastAsia="宋体" w:cs="宋体"/>
                <w:i w:val="0"/>
                <w:iCs w:val="0"/>
                <w:color w:val="000000"/>
                <w:sz w:val="21"/>
                <w:szCs w:val="21"/>
                <w:u w:val="none"/>
              </w:rPr>
            </w:pPr>
          </w:p>
        </w:tc>
      </w:tr>
      <w:tr w14:paraId="3AEF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670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1.1.5</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148A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利润</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EBF00">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CCF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13.91</w:t>
            </w: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FA6FC">
            <w:pPr>
              <w:jc w:val="right"/>
              <w:rPr>
                <w:rFonts w:hint="eastAsia" w:ascii="宋体" w:hAnsi="宋体" w:eastAsia="宋体" w:cs="宋体"/>
                <w:i w:val="0"/>
                <w:iCs w:val="0"/>
                <w:color w:val="000000"/>
                <w:sz w:val="21"/>
                <w:szCs w:val="21"/>
                <w:u w:val="none"/>
              </w:rPr>
            </w:pPr>
          </w:p>
        </w:tc>
      </w:tr>
      <w:tr w14:paraId="4CA6F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168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5277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分部分项工程项目清单列项的措施项目费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0EDFA4">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790EB">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E6671">
            <w:pPr>
              <w:jc w:val="right"/>
              <w:rPr>
                <w:rFonts w:hint="eastAsia" w:ascii="宋体" w:hAnsi="宋体" w:eastAsia="宋体" w:cs="宋体"/>
                <w:i w:val="0"/>
                <w:iCs w:val="0"/>
                <w:color w:val="000000"/>
                <w:sz w:val="21"/>
                <w:szCs w:val="21"/>
                <w:u w:val="none"/>
              </w:rPr>
            </w:pPr>
          </w:p>
        </w:tc>
      </w:tr>
      <w:tr w14:paraId="2E58D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25E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207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措施项目费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2F7489">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4B441">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0F4877">
            <w:pPr>
              <w:jc w:val="right"/>
              <w:rPr>
                <w:rFonts w:hint="eastAsia" w:ascii="宋体" w:hAnsi="宋体" w:eastAsia="宋体" w:cs="宋体"/>
                <w:i w:val="0"/>
                <w:iCs w:val="0"/>
                <w:color w:val="000000"/>
                <w:sz w:val="21"/>
                <w:szCs w:val="21"/>
                <w:u w:val="none"/>
              </w:rPr>
            </w:pPr>
          </w:p>
        </w:tc>
      </w:tr>
      <w:tr w14:paraId="2793D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10C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A58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其中：安全生产措施项目费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3850D4">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9E9C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3.69</w:t>
            </w: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717B8B">
            <w:pPr>
              <w:jc w:val="right"/>
              <w:rPr>
                <w:rFonts w:hint="eastAsia" w:ascii="宋体" w:hAnsi="宋体" w:eastAsia="宋体" w:cs="宋体"/>
                <w:i w:val="0"/>
                <w:iCs w:val="0"/>
                <w:color w:val="000000"/>
                <w:sz w:val="21"/>
                <w:szCs w:val="21"/>
                <w:u w:val="none"/>
              </w:rPr>
            </w:pPr>
          </w:p>
        </w:tc>
      </w:tr>
      <w:tr w14:paraId="1D6DF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9CC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D849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其他项目费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3F53B">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A447F">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4C313">
            <w:pPr>
              <w:jc w:val="right"/>
              <w:rPr>
                <w:rFonts w:hint="eastAsia" w:ascii="宋体" w:hAnsi="宋体" w:eastAsia="宋体" w:cs="宋体"/>
                <w:i w:val="0"/>
                <w:iCs w:val="0"/>
                <w:color w:val="000000"/>
                <w:sz w:val="21"/>
                <w:szCs w:val="21"/>
                <w:u w:val="none"/>
              </w:rPr>
            </w:pPr>
          </w:p>
        </w:tc>
      </w:tr>
      <w:tr w14:paraId="35E3F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BC6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635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其中：暂列金额</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CBB3D">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2706C">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0C652">
            <w:pPr>
              <w:jc w:val="right"/>
              <w:rPr>
                <w:rFonts w:hint="eastAsia" w:ascii="宋体" w:hAnsi="宋体" w:eastAsia="宋体" w:cs="宋体"/>
                <w:i w:val="0"/>
                <w:iCs w:val="0"/>
                <w:color w:val="000000"/>
                <w:sz w:val="21"/>
                <w:szCs w:val="21"/>
                <w:u w:val="none"/>
              </w:rPr>
            </w:pPr>
          </w:p>
        </w:tc>
      </w:tr>
      <w:tr w14:paraId="5867B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E87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44D2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其中：专业工程暂估价</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E3A31F">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82BC8">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B35E7">
            <w:pPr>
              <w:jc w:val="right"/>
              <w:rPr>
                <w:rFonts w:hint="eastAsia" w:ascii="宋体" w:hAnsi="宋体" w:eastAsia="宋体" w:cs="宋体"/>
                <w:i w:val="0"/>
                <w:iCs w:val="0"/>
                <w:color w:val="000000"/>
                <w:sz w:val="21"/>
                <w:szCs w:val="21"/>
                <w:u w:val="none"/>
              </w:rPr>
            </w:pPr>
          </w:p>
        </w:tc>
      </w:tr>
      <w:tr w14:paraId="2A61D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8F0E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3D8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其中：计日工</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FA36A">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1B805">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D7620">
            <w:pPr>
              <w:jc w:val="right"/>
              <w:rPr>
                <w:rFonts w:hint="eastAsia" w:ascii="宋体" w:hAnsi="宋体" w:eastAsia="宋体" w:cs="宋体"/>
                <w:i w:val="0"/>
                <w:iCs w:val="0"/>
                <w:color w:val="000000"/>
                <w:sz w:val="21"/>
                <w:szCs w:val="21"/>
                <w:u w:val="none"/>
              </w:rPr>
            </w:pPr>
          </w:p>
        </w:tc>
      </w:tr>
      <w:tr w14:paraId="33720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EAD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BE2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其中：总承包服务费</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BAF92">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47474">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A4652">
            <w:pPr>
              <w:jc w:val="right"/>
              <w:rPr>
                <w:rFonts w:hint="eastAsia" w:ascii="宋体" w:hAnsi="宋体" w:eastAsia="宋体" w:cs="宋体"/>
                <w:i w:val="0"/>
                <w:iCs w:val="0"/>
                <w:color w:val="000000"/>
                <w:sz w:val="21"/>
                <w:szCs w:val="21"/>
                <w:u w:val="none"/>
              </w:rPr>
            </w:pPr>
          </w:p>
        </w:tc>
      </w:tr>
      <w:tr w14:paraId="053FC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15BD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F46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其中：合同中约定的其他项目</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6F2AC">
            <w:pPr>
              <w:jc w:val="center"/>
              <w:rPr>
                <w:rFonts w:hint="eastAsia" w:ascii="宋体" w:hAnsi="宋体" w:eastAsia="宋体" w:cs="宋体"/>
                <w:i w:val="0"/>
                <w:iCs w:val="0"/>
                <w:color w:val="000000"/>
                <w:sz w:val="21"/>
                <w:szCs w:val="21"/>
                <w:u w:val="none"/>
              </w:rPr>
            </w:pP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20064">
            <w:pPr>
              <w:jc w:val="center"/>
              <w:rPr>
                <w:rFonts w:hint="eastAsia" w:ascii="宋体" w:hAnsi="宋体" w:eastAsia="宋体" w:cs="宋体"/>
                <w:i w:val="0"/>
                <w:iCs w:val="0"/>
                <w:color w:val="000000"/>
                <w:sz w:val="21"/>
                <w:szCs w:val="21"/>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5915C">
            <w:pPr>
              <w:jc w:val="right"/>
              <w:rPr>
                <w:rFonts w:hint="eastAsia" w:ascii="宋体" w:hAnsi="宋体" w:eastAsia="宋体" w:cs="宋体"/>
                <w:i w:val="0"/>
                <w:iCs w:val="0"/>
                <w:color w:val="000000"/>
                <w:sz w:val="21"/>
                <w:szCs w:val="21"/>
                <w:u w:val="none"/>
              </w:rPr>
            </w:pPr>
          </w:p>
        </w:tc>
      </w:tr>
      <w:tr w14:paraId="4EC5F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1B4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36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F9C2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增值税</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E28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1+2+3-3.2</w:t>
            </w:r>
          </w:p>
        </w:tc>
        <w:tc>
          <w:tcPr>
            <w:tcW w:w="13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98A9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9.00</w:t>
            </w:r>
          </w:p>
        </w:tc>
        <w:tc>
          <w:tcPr>
            <w:tcW w:w="142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C9990">
            <w:pPr>
              <w:jc w:val="right"/>
              <w:rPr>
                <w:rFonts w:hint="eastAsia" w:ascii="宋体" w:hAnsi="宋体" w:eastAsia="宋体" w:cs="宋体"/>
                <w:i w:val="0"/>
                <w:iCs w:val="0"/>
                <w:color w:val="000000"/>
                <w:sz w:val="21"/>
                <w:szCs w:val="21"/>
                <w:u w:val="none"/>
              </w:rPr>
            </w:pPr>
          </w:p>
        </w:tc>
      </w:tr>
      <w:tr w14:paraId="02F61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456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115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单位工程建安造价</w:t>
            </w:r>
          </w:p>
        </w:tc>
        <w:tc>
          <w:tcPr>
            <w:tcW w:w="215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025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1+2+3+4</w:t>
            </w:r>
          </w:p>
        </w:tc>
        <w:tc>
          <w:tcPr>
            <w:tcW w:w="275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C1E9D">
            <w:pPr>
              <w:jc w:val="right"/>
              <w:rPr>
                <w:rFonts w:hint="eastAsia" w:ascii="宋体" w:hAnsi="宋体" w:eastAsia="宋体" w:cs="宋体"/>
                <w:i w:val="0"/>
                <w:iCs w:val="0"/>
                <w:color w:val="000000"/>
                <w:sz w:val="21"/>
                <w:szCs w:val="21"/>
                <w:u w:val="none"/>
              </w:rPr>
            </w:pPr>
          </w:p>
        </w:tc>
      </w:tr>
    </w:tbl>
    <w:p w14:paraId="79E538C3">
      <w:pPr>
        <w:wordWrap w:val="0"/>
        <w:overflowPunct w:val="0"/>
        <w:topLinePunct/>
        <w:spacing w:line="480" w:lineRule="exact"/>
        <w:ind w:right="-92" w:rightChars="-44"/>
        <w:jc w:val="left"/>
        <w:textAlignment w:val="top"/>
        <w:rPr>
          <w:rFonts w:hint="eastAsia" w:ascii="宋体" w:hAnsi="宋体" w:eastAsia="宋体" w:cs="宋体"/>
          <w:color w:val="auto"/>
          <w:sz w:val="21"/>
          <w:szCs w:val="21"/>
        </w:rPr>
      </w:pPr>
      <w:r>
        <w:rPr>
          <w:rFonts w:hint="eastAsia" w:ascii="宋体" w:hAnsi="宋体" w:eastAsia="宋体" w:cs="宋体"/>
          <w:color w:val="auto"/>
          <w:sz w:val="21"/>
          <w:szCs w:val="21"/>
        </w:rPr>
        <w:t>表E.2.1-1 分部分项工程项目清单计价表</w:t>
      </w:r>
    </w:p>
    <w:p w14:paraId="7304AA0A">
      <w:pPr>
        <w:wordWrap w:val="0"/>
        <w:overflowPunct w:val="0"/>
        <w:topLinePunct/>
        <w:spacing w:line="480" w:lineRule="exact"/>
        <w:ind w:right="-92" w:rightChars="-44"/>
        <w:jc w:val="left"/>
        <w:textAlignment w:val="top"/>
        <w:rPr>
          <w:rFonts w:hint="eastAsia" w:ascii="宋体" w:hAnsi="宋体" w:eastAsia="宋体" w:cs="宋体"/>
          <w:color w:val="auto"/>
          <w:sz w:val="21"/>
          <w:szCs w:val="21"/>
        </w:rPr>
      </w:pPr>
      <w:r>
        <w:rPr>
          <w:rFonts w:hint="eastAsia" w:ascii="宋体" w:hAnsi="宋体" w:eastAsia="宋体" w:cs="宋体"/>
          <w:color w:val="auto"/>
          <w:sz w:val="21"/>
          <w:szCs w:val="21"/>
        </w:rPr>
        <w:t>工程名称：运动场修缮</w:t>
      </w:r>
    </w:p>
    <w:tbl>
      <w:tblPr>
        <w:tblStyle w:val="12"/>
        <w:tblW w:w="948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5"/>
        <w:gridCol w:w="1577"/>
        <w:gridCol w:w="1989"/>
        <w:gridCol w:w="2959"/>
        <w:gridCol w:w="847"/>
        <w:gridCol w:w="1186"/>
      </w:tblGrid>
      <w:tr w14:paraId="53E05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6EFE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577"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5CF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项目编码</w:t>
            </w:r>
          </w:p>
        </w:tc>
        <w:tc>
          <w:tcPr>
            <w:tcW w:w="198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E3F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295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6AE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项目特征描述</w:t>
            </w:r>
          </w:p>
        </w:tc>
        <w:tc>
          <w:tcPr>
            <w:tcW w:w="8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D90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计量</w:t>
            </w:r>
          </w:p>
          <w:p w14:paraId="586FC2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118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B62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工程量</w:t>
            </w:r>
          </w:p>
        </w:tc>
      </w:tr>
      <w:tr w14:paraId="02C3C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92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E873D">
            <w:pPr>
              <w:jc w:val="center"/>
              <w:rPr>
                <w:rFonts w:hint="eastAsia" w:ascii="宋体" w:hAnsi="宋体" w:eastAsia="宋体" w:cs="宋体"/>
                <w:i w:val="0"/>
                <w:iCs w:val="0"/>
                <w:color w:val="000000"/>
                <w:sz w:val="21"/>
                <w:szCs w:val="21"/>
                <w:u w:val="none"/>
              </w:rPr>
            </w:pPr>
          </w:p>
        </w:tc>
        <w:tc>
          <w:tcPr>
            <w:tcW w:w="1577"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CE6E5A">
            <w:pPr>
              <w:jc w:val="center"/>
              <w:rPr>
                <w:rFonts w:hint="eastAsia" w:ascii="宋体" w:hAnsi="宋体" w:eastAsia="宋体" w:cs="宋体"/>
                <w:i w:val="0"/>
                <w:iCs w:val="0"/>
                <w:color w:val="000000"/>
                <w:sz w:val="21"/>
                <w:szCs w:val="21"/>
                <w:u w:val="none"/>
              </w:rPr>
            </w:pPr>
          </w:p>
        </w:tc>
        <w:tc>
          <w:tcPr>
            <w:tcW w:w="198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C1B0D">
            <w:pPr>
              <w:jc w:val="center"/>
              <w:rPr>
                <w:rFonts w:hint="eastAsia" w:ascii="宋体" w:hAnsi="宋体" w:eastAsia="宋体" w:cs="宋体"/>
                <w:i w:val="0"/>
                <w:iCs w:val="0"/>
                <w:color w:val="000000"/>
                <w:sz w:val="21"/>
                <w:szCs w:val="21"/>
                <w:u w:val="none"/>
              </w:rPr>
            </w:pPr>
          </w:p>
        </w:tc>
        <w:tc>
          <w:tcPr>
            <w:tcW w:w="295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C273B">
            <w:pPr>
              <w:jc w:val="center"/>
              <w:rPr>
                <w:rFonts w:hint="eastAsia" w:ascii="宋体" w:hAnsi="宋体" w:eastAsia="宋体" w:cs="宋体"/>
                <w:i w:val="0"/>
                <w:iCs w:val="0"/>
                <w:color w:val="000000"/>
                <w:sz w:val="21"/>
                <w:szCs w:val="21"/>
                <w:u w:val="none"/>
              </w:rPr>
            </w:pPr>
          </w:p>
        </w:tc>
        <w:tc>
          <w:tcPr>
            <w:tcW w:w="847"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9D86D7">
            <w:pPr>
              <w:jc w:val="center"/>
              <w:rPr>
                <w:rFonts w:hint="eastAsia" w:ascii="宋体" w:hAnsi="宋体" w:eastAsia="宋体" w:cs="宋体"/>
                <w:i w:val="0"/>
                <w:iCs w:val="0"/>
                <w:color w:val="000000"/>
                <w:sz w:val="21"/>
                <w:szCs w:val="21"/>
                <w:u w:val="none"/>
              </w:rPr>
            </w:pPr>
          </w:p>
        </w:tc>
        <w:tc>
          <w:tcPr>
            <w:tcW w:w="118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0DC53A">
            <w:pPr>
              <w:jc w:val="center"/>
              <w:rPr>
                <w:rFonts w:hint="eastAsia" w:ascii="宋体" w:hAnsi="宋体" w:eastAsia="宋体" w:cs="宋体"/>
                <w:i w:val="0"/>
                <w:iCs w:val="0"/>
                <w:color w:val="000000"/>
                <w:sz w:val="21"/>
                <w:szCs w:val="21"/>
                <w:u w:val="none"/>
              </w:rPr>
            </w:pPr>
          </w:p>
        </w:tc>
      </w:tr>
      <w:tr w14:paraId="2D4A4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5D28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B67C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011605001001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9A3C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人造草坪拆除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069B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1.拆除饰面材料种类:人造草坪;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D3B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F5F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2105</w:t>
            </w:r>
          </w:p>
        </w:tc>
      </w:tr>
      <w:tr w14:paraId="0A71B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5A5D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168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011605001002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66A7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跑道混合型塑胶面层拆除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F9D2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1.拆除饰面材料种类:13mm厚跑道混合型塑胶面层;</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358E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795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2294.9</w:t>
            </w:r>
          </w:p>
        </w:tc>
      </w:tr>
      <w:tr w14:paraId="4607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73E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CE9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011605001003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1D59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辅助区混合型塑胶面层拆除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655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1.拆除饰面材料种类:13mm厚跑道混合型塑胶面层;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BBFB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763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r>
      <w:tr w14:paraId="34A6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7C9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334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011605001004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AD2B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篮球场/排球场硅PU面层拆除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52F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1.饰面材料种类:篮球场硅PU面层拆除;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22B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05BB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3457</w:t>
            </w:r>
          </w:p>
        </w:tc>
      </w:tr>
      <w:tr w14:paraId="2D0B1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8"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A7A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8D5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010103002001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E4C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建筑垃圾外运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923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1.名称:建筑垃圾装车及外运;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2.运距:投标人自行考虑，结算时候不予调整;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3.其他:含垃圾处置费、城管卫生费;</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F99D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m3</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C612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88.505</w:t>
            </w:r>
          </w:p>
        </w:tc>
      </w:tr>
      <w:tr w14:paraId="4EF18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93D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B14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011103003001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F907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人造草坪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5AEB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1.基层:10厚合成材料减震垫;</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2.面层材料品种、规格:50厚人造草皮;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D3E8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671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2105</w:t>
            </w:r>
          </w:p>
        </w:tc>
      </w:tr>
      <w:tr w14:paraId="12A45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901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5245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011103003002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D5F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GDPU无缝预制跑道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413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1.面层材料品种、规格:13mm厚GDPU无缝预制跑道;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2.防水涂料两遍:JS聚合物水泥基防水涂料 1.5mm厚;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DED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D7C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2294.9</w:t>
            </w:r>
          </w:p>
        </w:tc>
      </w:tr>
      <w:tr w14:paraId="5F97D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EB5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E69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011103003003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BEF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辅助区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5D8A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面层材料品种、规格:10mm厚混合型塑胶面层;</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669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CAA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r>
      <w:tr w14:paraId="5B303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549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C24D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040203006001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D88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沥青混凝土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ED3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1.AC-10沥青砼5cm厚;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1BFA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A32D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263</w:t>
            </w:r>
          </w:p>
        </w:tc>
      </w:tr>
      <w:tr w14:paraId="4B4B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2C5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137B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011101005001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85D0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篮球场/排球场地面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77AB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1.面胶种类、厚度:8mm厚硅PU面层;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63E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536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3457</w:t>
            </w:r>
          </w:p>
        </w:tc>
      </w:tr>
      <w:tr w14:paraId="18096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3F5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57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6CE4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040205007001 </w:t>
            </w:r>
          </w:p>
        </w:tc>
        <w:tc>
          <w:tcPr>
            <w:tcW w:w="198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A6E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标线 </w:t>
            </w:r>
          </w:p>
        </w:tc>
        <w:tc>
          <w:tcPr>
            <w:tcW w:w="29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CC7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 </w:t>
            </w:r>
          </w:p>
        </w:tc>
        <w:tc>
          <w:tcPr>
            <w:tcW w:w="84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AF1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m2</w:t>
            </w:r>
          </w:p>
        </w:tc>
        <w:tc>
          <w:tcPr>
            <w:tcW w:w="118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4920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r>
    </w:tbl>
    <w:p w14:paraId="5B91847C">
      <w:pPr>
        <w:wordWrap w:val="0"/>
        <w:overflowPunct w:val="0"/>
        <w:topLinePunct/>
        <w:spacing w:line="480" w:lineRule="exact"/>
        <w:ind w:right="-92" w:rightChars="-44"/>
        <w:jc w:val="left"/>
        <w:textAlignment w:val="top"/>
        <w:rPr>
          <w:rFonts w:hint="eastAsia" w:ascii="宋体" w:hAnsi="宋体" w:eastAsia="宋体" w:cs="宋体"/>
          <w:color w:val="auto"/>
          <w:sz w:val="21"/>
          <w:szCs w:val="21"/>
        </w:rPr>
      </w:pPr>
      <w:r>
        <w:rPr>
          <w:rFonts w:hint="eastAsia" w:ascii="宋体" w:hAnsi="宋体" w:eastAsia="宋体" w:cs="宋体"/>
          <w:color w:val="auto"/>
          <w:sz w:val="21"/>
          <w:szCs w:val="21"/>
        </w:rPr>
        <w:t>表E.3.1 措施项目清单计价表</w:t>
      </w:r>
    </w:p>
    <w:tbl>
      <w:tblPr>
        <w:tblStyle w:val="12"/>
        <w:tblW w:w="963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1476"/>
        <w:gridCol w:w="2246"/>
        <w:gridCol w:w="4227"/>
        <w:gridCol w:w="913"/>
      </w:tblGrid>
      <w:tr w14:paraId="06FA5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8D8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7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A61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项目编码</w:t>
            </w:r>
          </w:p>
        </w:tc>
        <w:tc>
          <w:tcPr>
            <w:tcW w:w="224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FEA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42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4CC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工作内容</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2D5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70089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D03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8AA4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011601009001</w:t>
            </w:r>
          </w:p>
        </w:tc>
        <w:tc>
          <w:tcPr>
            <w:tcW w:w="22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579A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安全生产</w:t>
            </w:r>
          </w:p>
        </w:tc>
        <w:tc>
          <w:tcPr>
            <w:tcW w:w="4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790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施工现场安全施工所需的各项措施</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B8F8E">
            <w:pPr>
              <w:jc w:val="left"/>
              <w:rPr>
                <w:rFonts w:hint="eastAsia" w:ascii="宋体" w:hAnsi="宋体" w:eastAsia="宋体" w:cs="宋体"/>
                <w:i w:val="0"/>
                <w:iCs w:val="0"/>
                <w:color w:val="000000"/>
                <w:sz w:val="21"/>
                <w:szCs w:val="21"/>
                <w:u w:val="none"/>
              </w:rPr>
            </w:pPr>
          </w:p>
        </w:tc>
      </w:tr>
      <w:tr w14:paraId="57220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4A1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0D0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011601008001</w:t>
            </w:r>
          </w:p>
        </w:tc>
        <w:tc>
          <w:tcPr>
            <w:tcW w:w="22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E42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环境保护</w:t>
            </w:r>
          </w:p>
        </w:tc>
        <w:tc>
          <w:tcPr>
            <w:tcW w:w="4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396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施工现场为达到环保要求所需的各项措施</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4AAF4">
            <w:pPr>
              <w:jc w:val="left"/>
              <w:rPr>
                <w:rFonts w:hint="eastAsia" w:ascii="宋体" w:hAnsi="宋体" w:eastAsia="宋体" w:cs="宋体"/>
                <w:i w:val="0"/>
                <w:iCs w:val="0"/>
                <w:color w:val="000000"/>
                <w:sz w:val="21"/>
                <w:szCs w:val="21"/>
                <w:u w:val="none"/>
              </w:rPr>
            </w:pPr>
          </w:p>
        </w:tc>
      </w:tr>
      <w:tr w14:paraId="1E4AE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EE0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1C1B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011601007001</w:t>
            </w:r>
          </w:p>
        </w:tc>
        <w:tc>
          <w:tcPr>
            <w:tcW w:w="22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AE58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文明施工</w:t>
            </w:r>
          </w:p>
        </w:tc>
        <w:tc>
          <w:tcPr>
            <w:tcW w:w="4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20C101">
            <w:pPr>
              <w:jc w:val="left"/>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F6FF9">
            <w:pPr>
              <w:jc w:val="left"/>
              <w:rPr>
                <w:rFonts w:hint="eastAsia" w:ascii="宋体" w:hAnsi="宋体" w:eastAsia="宋体" w:cs="宋体"/>
                <w:i w:val="0"/>
                <w:iCs w:val="0"/>
                <w:color w:val="000000"/>
                <w:sz w:val="21"/>
                <w:szCs w:val="21"/>
                <w:u w:val="none"/>
              </w:rPr>
            </w:pPr>
          </w:p>
        </w:tc>
      </w:tr>
      <w:tr w14:paraId="3D349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5455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50BE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011601006001</w:t>
            </w:r>
          </w:p>
        </w:tc>
        <w:tc>
          <w:tcPr>
            <w:tcW w:w="22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7944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临时设施</w:t>
            </w:r>
          </w:p>
        </w:tc>
        <w:tc>
          <w:tcPr>
            <w:tcW w:w="4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40124">
            <w:pPr>
              <w:jc w:val="left"/>
              <w:rPr>
                <w:rFonts w:hint="eastAsia" w:ascii="宋体" w:hAnsi="宋体" w:eastAsia="宋体" w:cs="宋体"/>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A843CE">
            <w:pPr>
              <w:jc w:val="left"/>
              <w:rPr>
                <w:rFonts w:hint="eastAsia" w:ascii="宋体" w:hAnsi="宋体" w:eastAsia="宋体" w:cs="宋体"/>
                <w:i w:val="0"/>
                <w:iCs w:val="0"/>
                <w:color w:val="000000"/>
                <w:sz w:val="21"/>
                <w:szCs w:val="21"/>
                <w:u w:val="none"/>
              </w:rPr>
            </w:pPr>
          </w:p>
        </w:tc>
      </w:tr>
      <w:tr w14:paraId="59E9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7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6F0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D36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011601010001</w:t>
            </w:r>
          </w:p>
        </w:tc>
        <w:tc>
          <w:tcPr>
            <w:tcW w:w="224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2452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冬雨季施工增加费</w:t>
            </w:r>
          </w:p>
        </w:tc>
        <w:tc>
          <w:tcPr>
            <w:tcW w:w="422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C040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在冬季或雨季施工，引起防寒、保温、防滑、防潮和排除雨雪等措施的增加，人工、施工机械效率的降低等内容</w:t>
            </w:r>
          </w:p>
        </w:tc>
        <w:tc>
          <w:tcPr>
            <w:tcW w:w="91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F3502C">
            <w:pPr>
              <w:jc w:val="left"/>
              <w:rPr>
                <w:rFonts w:hint="eastAsia" w:ascii="宋体" w:hAnsi="宋体" w:eastAsia="宋体" w:cs="宋体"/>
                <w:i w:val="0"/>
                <w:iCs w:val="0"/>
                <w:color w:val="000000"/>
                <w:sz w:val="21"/>
                <w:szCs w:val="21"/>
                <w:u w:val="none"/>
              </w:rPr>
            </w:pPr>
          </w:p>
        </w:tc>
      </w:tr>
    </w:tbl>
    <w:p w14:paraId="3DFD43AB">
      <w:pPr>
        <w:tabs>
          <w:tab w:val="left" w:pos="0"/>
        </w:tabs>
        <w:adjustRightInd w:val="0"/>
        <w:snapToGrid w:val="0"/>
        <w:spacing w:line="480" w:lineRule="exact"/>
        <w:outlineLvl w:val="1"/>
        <w:rPr>
          <w:rFonts w:ascii="Times New Roman" w:hAnsi="Times New Roman" w:eastAsia="宋体" w:cs="Times New Roman"/>
          <w:color w:val="auto"/>
        </w:rPr>
      </w:pPr>
      <w:bookmarkStart w:id="7" w:name="_Toc955"/>
      <w:bookmarkStart w:id="8" w:name="_Toc20196"/>
      <w:r>
        <w:rPr>
          <w:rFonts w:hint="eastAsia" w:ascii="宋体" w:hAnsi="宋体" w:eastAsia="宋体" w:cs="宋体"/>
          <w:b/>
          <w:color w:val="auto"/>
          <w:sz w:val="22"/>
          <w:szCs w:val="22"/>
          <w:lang w:eastAsia="zh-CN"/>
        </w:rPr>
        <w:t>七</w:t>
      </w:r>
      <w:r>
        <w:rPr>
          <w:rFonts w:hint="eastAsia" w:ascii="宋体" w:hAnsi="宋体" w:eastAsia="宋体" w:cs="宋体"/>
          <w:b/>
          <w:color w:val="auto"/>
          <w:sz w:val="22"/>
          <w:szCs w:val="22"/>
        </w:rPr>
        <w:t>、其他要求：</w:t>
      </w:r>
      <w:bookmarkEnd w:id="7"/>
      <w:bookmarkEnd w:id="8"/>
    </w:p>
    <w:p w14:paraId="660C21BB">
      <w:pPr>
        <w:wordWrap w:val="0"/>
        <w:overflowPunct w:val="0"/>
        <w:topLinePunct/>
        <w:spacing w:line="480" w:lineRule="exact"/>
        <w:ind w:right="-92" w:rightChars="-44"/>
        <w:jc w:val="left"/>
        <w:textAlignment w:val="top"/>
        <w:rPr>
          <w:rFonts w:hint="default" w:ascii="宋体" w:hAnsi="宋体" w:eastAsia="宋体" w:cs="宋体"/>
          <w:b/>
          <w:bCs/>
          <w:color w:val="auto"/>
          <w:kern w:val="2"/>
          <w:sz w:val="21"/>
          <w:szCs w:val="21"/>
          <w:u w:val="none"/>
          <w:shd w:val="clear" w:color="auto" w:fill="auto"/>
          <w:lang w:val="en-US" w:eastAsia="zh-CN" w:bidi="ar"/>
        </w:rPr>
      </w:pPr>
      <w:bookmarkStart w:id="9" w:name="_Toc107998022"/>
      <w:bookmarkStart w:id="10" w:name="_Toc11134"/>
      <w:r>
        <w:rPr>
          <w:rFonts w:hint="eastAsia" w:ascii="宋体" w:hAnsi="宋体" w:eastAsia="宋体" w:cs="宋体"/>
          <w:b/>
          <w:bCs/>
          <w:color w:val="auto"/>
          <w:kern w:val="2"/>
          <w:sz w:val="21"/>
          <w:szCs w:val="21"/>
          <w:u w:val="none"/>
          <w:shd w:val="clear" w:color="auto" w:fill="auto"/>
          <w:lang w:val="en-US" w:eastAsia="zh-CN" w:bidi="ar"/>
        </w:rPr>
        <w:t xml:space="preserve">1、人员配备要求 </w:t>
      </w:r>
    </w:p>
    <w:p w14:paraId="7D14C120">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1.1 供应商应确保投标（响应）、合同签订时所配备的施工项目部关键岗位人员与实际现场施 工项目部关键岗位人员一致，如需更换人员须经采购人批准。 </w:t>
      </w:r>
    </w:p>
    <w:p w14:paraId="65C2C2FD">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1.2 施工项目部关键岗位人员在合同履行过程中必须持有相应的注册执业资格或岗位证书，且 </w:t>
      </w:r>
    </w:p>
    <w:p w14:paraId="3E14EFC3">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必须为承包人正式聘用的员工并缴纳社保，采购人可以随时检查，一经发现现场人员与证书人员不一致或不在岗情况的的，采购人有权追究承包人每人次1000元违约责任，如超过3次采购人有权终止合同并由违约方承担相应责任。 </w:t>
      </w:r>
      <w:bookmarkStart w:id="11" w:name="_GoBack"/>
      <w:bookmarkEnd w:id="11"/>
    </w:p>
    <w:p w14:paraId="187A84E8">
      <w:pPr>
        <w:wordWrap w:val="0"/>
        <w:overflowPunct w:val="0"/>
        <w:topLinePunct/>
        <w:spacing w:line="480" w:lineRule="exact"/>
        <w:ind w:right="-92" w:rightChars="-44"/>
        <w:jc w:val="left"/>
        <w:textAlignment w:val="top"/>
        <w:rPr>
          <w:rFonts w:hint="default" w:ascii="宋体" w:hAnsi="宋体" w:eastAsia="宋体" w:cs="宋体"/>
          <w:b/>
          <w:bCs/>
          <w:color w:val="auto"/>
          <w:kern w:val="2"/>
          <w:sz w:val="21"/>
          <w:szCs w:val="21"/>
          <w:u w:val="none"/>
          <w:shd w:val="clear" w:color="auto" w:fill="auto"/>
          <w:lang w:val="en-US" w:eastAsia="zh-CN" w:bidi="ar"/>
        </w:rPr>
      </w:pPr>
      <w:r>
        <w:rPr>
          <w:rFonts w:hint="eastAsia" w:ascii="宋体" w:hAnsi="宋体" w:eastAsia="宋体" w:cs="宋体"/>
          <w:b/>
          <w:bCs/>
          <w:color w:val="auto"/>
          <w:kern w:val="2"/>
          <w:sz w:val="21"/>
          <w:szCs w:val="21"/>
          <w:u w:val="none"/>
          <w:shd w:val="clear" w:color="auto" w:fill="auto"/>
          <w:lang w:val="en-US" w:eastAsia="zh-CN" w:bidi="ar"/>
        </w:rPr>
        <w:t xml:space="preserve">2、建筑材料运输、保管及保险 </w:t>
      </w:r>
    </w:p>
    <w:p w14:paraId="7FA80465">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2.1 供应商负责建筑材料到施工地点的全部运输，包括装卸及现场搬运等。 </w:t>
      </w:r>
    </w:p>
    <w:p w14:paraId="0174D401">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2.2 供应商负责建筑材料在施工地点的保管，直至项目验收合格。 </w:t>
      </w:r>
    </w:p>
    <w:p w14:paraId="608C4070">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2.3 供应商负责其派出的施工人员的人身意外保险。 </w:t>
      </w:r>
    </w:p>
    <w:p w14:paraId="54FDCA4E">
      <w:pPr>
        <w:wordWrap w:val="0"/>
        <w:overflowPunct w:val="0"/>
        <w:topLinePunct/>
        <w:spacing w:line="480" w:lineRule="exact"/>
        <w:ind w:right="-92" w:rightChars="-44"/>
        <w:jc w:val="left"/>
        <w:textAlignment w:val="top"/>
        <w:rPr>
          <w:rFonts w:hint="default" w:ascii="宋体" w:hAnsi="宋体" w:eastAsia="宋体" w:cs="宋体"/>
          <w:b/>
          <w:bCs/>
          <w:color w:val="auto"/>
          <w:kern w:val="2"/>
          <w:sz w:val="21"/>
          <w:szCs w:val="21"/>
          <w:u w:val="none"/>
          <w:shd w:val="clear" w:color="auto" w:fill="auto"/>
          <w:lang w:val="en-US" w:eastAsia="zh-CN" w:bidi="ar"/>
        </w:rPr>
      </w:pPr>
      <w:r>
        <w:rPr>
          <w:rFonts w:hint="eastAsia" w:ascii="宋体" w:hAnsi="宋体" w:eastAsia="宋体" w:cs="宋体"/>
          <w:b/>
          <w:bCs/>
          <w:color w:val="auto"/>
          <w:kern w:val="2"/>
          <w:sz w:val="21"/>
          <w:szCs w:val="21"/>
          <w:u w:val="none"/>
          <w:shd w:val="clear" w:color="auto" w:fill="auto"/>
          <w:lang w:val="en-US" w:eastAsia="zh-CN" w:bidi="ar"/>
        </w:rPr>
        <w:t xml:space="preserve">3、施工要求 </w:t>
      </w:r>
    </w:p>
    <w:p w14:paraId="2918A1C2">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3.1 供应商须加强施工的组织管理，所有施工人员须遵守文明安全施工的有关规章制度，持证 </w:t>
      </w:r>
    </w:p>
    <w:p w14:paraId="5D19AE1E">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上岗。 </w:t>
      </w:r>
    </w:p>
    <w:p w14:paraId="10F4F727">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3.2 供应商不得擅自变更拟派项目组成员，否则采购人有权取消其成交资格。主要施工管理人 </w:t>
      </w:r>
    </w:p>
    <w:p w14:paraId="3276075C">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员离开施工现场须经采购人书面批准，否则按合同约定向采购人支付违约金。 </w:t>
      </w:r>
    </w:p>
    <w:p w14:paraId="4E670B3E">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3.3 供应商应根据《湖南省工资支付监督管理办法》的规定，健全农民工工资支付制度和工资 </w:t>
      </w:r>
    </w:p>
    <w:p w14:paraId="76F19D59">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支付的基础管理体系，建立按月支付工资制度，编制工资支付表（包括支付单位、支付时间、支付 </w:t>
      </w:r>
    </w:p>
    <w:p w14:paraId="70C3B699">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对象的姓名、工作天数、加班时间、应发的项目和金额、扣除的项目和金额等），向农民工提供工 </w:t>
      </w:r>
    </w:p>
    <w:p w14:paraId="78A40597">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资支付清单，办理工资支付的签收手续，并将工资支付记录按规定予以保存。 </w:t>
      </w:r>
    </w:p>
    <w:p w14:paraId="4DFB5B01">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3.4 供应商负责在工程施工、竣工及保修的整个过程中施工现场全部人员的安全。供应商必须 </w:t>
      </w:r>
    </w:p>
    <w:p w14:paraId="3243400E">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为其雇佣的所有人员购买意外伤亡保险及工伤保险，供应商所雇佣人员发生意外伤、亡时，由供应 </w:t>
      </w:r>
    </w:p>
    <w:p w14:paraId="229DAAE3">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商负责赔偿，与采购人无关。供应商施工中如出现安全事故，供应商应承担全部责任。若造成采购 </w:t>
      </w:r>
    </w:p>
    <w:p w14:paraId="30B02EEF">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人或者第三方损失的，由供应商负责赔偿。 </w:t>
      </w:r>
    </w:p>
    <w:p w14:paraId="4A096D0D">
      <w:pPr>
        <w:wordWrap w:val="0"/>
        <w:overflowPunct w:val="0"/>
        <w:topLinePunct/>
        <w:spacing w:line="480" w:lineRule="exact"/>
        <w:ind w:right="-92" w:rightChars="-44"/>
        <w:jc w:val="left"/>
        <w:textAlignment w:val="top"/>
        <w:rPr>
          <w:rFonts w:hint="default" w:ascii="宋体" w:hAnsi="宋体" w:eastAsia="宋体" w:cs="宋体"/>
          <w:b/>
          <w:bCs/>
          <w:color w:val="auto"/>
          <w:kern w:val="2"/>
          <w:sz w:val="21"/>
          <w:szCs w:val="21"/>
          <w:u w:val="none"/>
          <w:shd w:val="clear" w:color="auto" w:fill="auto"/>
          <w:lang w:val="en-US" w:eastAsia="zh-CN" w:bidi="ar"/>
        </w:rPr>
      </w:pPr>
      <w:r>
        <w:rPr>
          <w:rFonts w:hint="eastAsia" w:ascii="宋体" w:hAnsi="宋体" w:eastAsia="宋体" w:cs="宋体"/>
          <w:b/>
          <w:bCs/>
          <w:color w:val="auto"/>
          <w:kern w:val="2"/>
          <w:sz w:val="21"/>
          <w:szCs w:val="21"/>
          <w:u w:val="none"/>
          <w:shd w:val="clear" w:color="auto" w:fill="auto"/>
          <w:lang w:val="en-US" w:eastAsia="zh-CN" w:bidi="ar"/>
        </w:rPr>
        <w:t xml:space="preserve">4、付款要求及方式： </w:t>
      </w:r>
    </w:p>
    <w:p w14:paraId="56135D7E">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（1）付款采用银行转账方式，凭正式税务发票。 </w:t>
      </w:r>
    </w:p>
    <w:p w14:paraId="0F4B4B7A">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（2）付款方式:双方合同签订后，工程竣工验收合格支付至合同金额的 80%。项目结算经审定后，按终审金额的97%支付工程款。3%质保金待竣工验收之日起计算，1年内付清。</w:t>
      </w:r>
    </w:p>
    <w:p w14:paraId="4B0DCDD8">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（3）在施工中如发生设计变更及工程隐蔽前，事先通知相关部门共同核定，按程序及规定呈报 </w:t>
      </w:r>
    </w:p>
    <w:p w14:paraId="61609BD7">
      <w:pPr>
        <w:wordWrap w:val="0"/>
        <w:overflowPunct w:val="0"/>
        <w:topLinePunct/>
        <w:spacing w:line="480" w:lineRule="exact"/>
        <w:ind w:right="-92" w:rightChars="-44"/>
        <w:jc w:val="left"/>
        <w:textAlignment w:val="top"/>
        <w:rPr>
          <w:rFonts w:hint="eastAsia"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相应部门及领导批示后才能作为结算依据。 </w:t>
      </w:r>
    </w:p>
    <w:p w14:paraId="742C1FF7">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5、验收要求：采购人根据《株洲市政府采购项目履约验收管理暂行办法》株财发【2020】9 号的相关规定自行组织验收。 </w:t>
      </w:r>
    </w:p>
    <w:p w14:paraId="37CEB0B8">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6、本工程采用固定单价合同方式，工程量清单中所列工程数量是估算的预计数量，仅作为响应</w:t>
      </w:r>
    </w:p>
    <w:p w14:paraId="30936B41">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报价的共同基础，不能作为最终结算与支付的依据。竣工结算的工程量按合同双方在合同中约定应 </w:t>
      </w:r>
    </w:p>
    <w:p w14:paraId="2261AFEB">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予计量且实际完成的工程量确定。供应商响应文件中出现清单综合单价异低，按响应文件清单价格 </w:t>
      </w:r>
    </w:p>
    <w:p w14:paraId="18CC9DE7">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执行，采购人不做调整。 </w:t>
      </w:r>
    </w:p>
    <w:p w14:paraId="0C632E71">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7、本项目的竣工结算金额最终以相关行政职能部门的审定金额为准。 </w:t>
      </w:r>
    </w:p>
    <w:p w14:paraId="5C7439A8">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8、供应商不得挂靠，不得将承包的工程对外转包，也不得以肢解方式将承包的全部工程对外分包。 </w:t>
      </w:r>
    </w:p>
    <w:p w14:paraId="2E11870B">
      <w:pPr>
        <w:wordWrap w:val="0"/>
        <w:overflowPunct w:val="0"/>
        <w:topLinePunct/>
        <w:spacing w:line="480" w:lineRule="exact"/>
        <w:ind w:right="-92" w:rightChars="-44" w:firstLine="420" w:firstLineChars="200"/>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9、为有效杜绝以次充好、虚假响应等行为，采购人有权保留对供应商提供的相关证明材料进 </w:t>
      </w:r>
    </w:p>
    <w:p w14:paraId="01CF3F15">
      <w:pPr>
        <w:wordWrap w:val="0"/>
        <w:overflowPunct w:val="0"/>
        <w:topLinePunct/>
        <w:spacing w:line="480" w:lineRule="exact"/>
        <w:ind w:right="-92" w:rightChars="-44"/>
        <w:jc w:val="left"/>
        <w:textAlignment w:val="top"/>
        <w:rPr>
          <w:rFonts w:hint="default"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 xml:space="preserve">行验证的权利；如提供虚假材料谋取成交或成交后供应商拒绝与采购人签订合同的、无不可抗力放弃成交。 </w:t>
      </w:r>
    </w:p>
    <w:p w14:paraId="6D78F68F">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kern w:val="2"/>
          <w:sz w:val="21"/>
          <w:szCs w:val="21"/>
          <w:u w:val="none"/>
          <w:shd w:val="clear" w:color="auto" w:fill="auto"/>
          <w:lang w:val="en-US" w:eastAsia="zh-CN" w:bidi="ar"/>
        </w:rPr>
      </w:pPr>
      <w:r>
        <w:rPr>
          <w:rFonts w:hint="eastAsia" w:ascii="宋体" w:hAnsi="宋体" w:eastAsia="宋体" w:cs="宋体"/>
          <w:color w:val="auto"/>
          <w:kern w:val="2"/>
          <w:sz w:val="21"/>
          <w:szCs w:val="21"/>
          <w:u w:val="none"/>
          <w:shd w:val="clear" w:color="auto" w:fill="auto"/>
          <w:lang w:val="en-US" w:eastAsia="zh-CN" w:bidi="ar"/>
        </w:rPr>
        <w:t>注：对于上述项目要求，供应商应在响应文件中进行回应，作出承诺及说明。</w:t>
      </w:r>
    </w:p>
    <w:p w14:paraId="3BB4B07E">
      <w:pPr>
        <w:keepNext/>
        <w:keepLines/>
        <w:spacing w:line="360" w:lineRule="auto"/>
        <w:jc w:val="center"/>
        <w:outlineLvl w:val="1"/>
        <w:rPr>
          <w:rFonts w:ascii="黑体" w:hAnsi="黑体" w:eastAsia="黑体" w:cs="Times New Roman"/>
          <w:b/>
          <w:bCs/>
          <w:color w:val="auto"/>
          <w:sz w:val="24"/>
          <w:szCs w:val="32"/>
        </w:rPr>
      </w:pPr>
      <w:r>
        <w:rPr>
          <w:rFonts w:hint="eastAsia" w:ascii="黑体" w:hAnsi="黑体" w:eastAsia="黑体" w:cs="Times New Roman"/>
          <w:b/>
          <w:bCs/>
          <w:color w:val="auto"/>
          <w:sz w:val="28"/>
          <w:szCs w:val="28"/>
        </w:rPr>
        <w:br w:type="page"/>
      </w:r>
      <w:r>
        <w:rPr>
          <w:rFonts w:hint="eastAsia" w:ascii="黑体" w:hAnsi="黑体" w:eastAsia="黑体" w:cs="Times New Roman"/>
          <w:b/>
          <w:bCs/>
          <w:color w:val="auto"/>
          <w:sz w:val="28"/>
          <w:szCs w:val="28"/>
        </w:rPr>
        <w:t>第三节 商务</w:t>
      </w:r>
      <w:r>
        <w:rPr>
          <w:rFonts w:ascii="黑体" w:hAnsi="黑体" w:eastAsia="黑体" w:cs="Times New Roman"/>
          <w:b/>
          <w:bCs/>
          <w:color w:val="auto"/>
          <w:sz w:val="28"/>
          <w:szCs w:val="28"/>
        </w:rPr>
        <w:t>要求</w:t>
      </w:r>
      <w:bookmarkEnd w:id="9"/>
      <w:bookmarkEnd w:id="10"/>
    </w:p>
    <w:p w14:paraId="241AAB61">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lang w:eastAsia="zh-CN"/>
        </w:rPr>
      </w:pPr>
      <w:r>
        <w:rPr>
          <w:rFonts w:hint="eastAsia" w:ascii="宋体" w:hAnsi="宋体" w:eastAsia="宋体" w:cs="宋体"/>
          <w:color w:val="auto"/>
          <w:szCs w:val="21"/>
        </w:rPr>
        <w:t>1、工程名称:</w:t>
      </w:r>
      <w:r>
        <w:rPr>
          <w:rFonts w:hint="eastAsia" w:ascii="Times New Roman" w:hAnsi="Times New Roman" w:eastAsia="宋体" w:cs="Times New Roman"/>
          <w:color w:val="auto"/>
          <w:szCs w:val="21"/>
        </w:rPr>
        <w:t xml:space="preserve"> </w:t>
      </w:r>
      <w:r>
        <w:rPr>
          <w:rFonts w:hint="eastAsia" w:ascii="Times New Roman" w:hAnsi="Times New Roman" w:eastAsia="宋体" w:cs="Times New Roman"/>
          <w:color w:val="auto"/>
          <w:szCs w:val="21"/>
          <w:lang w:eastAsia="zh-CN"/>
        </w:rPr>
        <w:t>株洲市第一中学运动场扩容工程</w:t>
      </w:r>
    </w:p>
    <w:p w14:paraId="56ACF733">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2、建设地点：项目位于株洲市芦淞区解放街99号（株洲市第一中学校园内）</w:t>
      </w:r>
    </w:p>
    <w:p w14:paraId="49B5F590">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3、建设单位：株洲市第一中学</w:t>
      </w:r>
    </w:p>
    <w:p w14:paraId="4681F12D">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4、工程概况：</w:t>
      </w:r>
    </w:p>
    <w:p w14:paraId="53A1B097">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Times New Roman" w:hAnsi="Times New Roman" w:eastAsia="宋体" w:cs="Times New Roman"/>
          <w:color w:val="auto"/>
          <w:szCs w:val="21"/>
        </w:rPr>
        <w:t>项目主要建设内容及规模：</w:t>
      </w:r>
      <w:r>
        <w:rPr>
          <w:rFonts w:hint="eastAsia" w:ascii="Times New Roman" w:hAnsi="Times New Roman" w:eastAsia="宋体" w:cs="Times New Roman"/>
          <w:color w:val="auto"/>
          <w:szCs w:val="21"/>
          <w:lang w:eastAsia="zh-CN"/>
        </w:rPr>
        <w:t>主要内容包括足球场人造草坪翻新改造</w:t>
      </w:r>
      <w:r>
        <w:rPr>
          <w:rFonts w:hint="eastAsia" w:ascii="Times New Roman" w:hAnsi="Times New Roman" w:eastAsia="宋体" w:cs="Times New Roman"/>
          <w:color w:val="auto"/>
          <w:szCs w:val="21"/>
          <w:lang w:val="en-US" w:eastAsia="zh-CN"/>
        </w:rPr>
        <w:t>2105平方米，塑胶主跑道及配套辅助区修缮2557.9平方米，篮球场、排球场硅PU运动面层翻新改造3749平方米，排水系统修缮；同步实施全场标准运动标线施划工程，配套完成拆除建筑垃圾分类清运</w:t>
      </w:r>
      <w:r>
        <w:rPr>
          <w:rFonts w:hint="eastAsia" w:ascii="Times New Roman" w:hAnsi="Times New Roman" w:eastAsia="宋体" w:cs="Times New Roman"/>
          <w:color w:val="auto"/>
          <w:szCs w:val="21"/>
          <w:lang w:eastAsia="zh-CN"/>
        </w:rPr>
        <w:t>。</w:t>
      </w:r>
    </w:p>
    <w:p w14:paraId="2133F6ED">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5、招标范围：本项目施工图范围内的全部工程，具体详见采购人提供的工程量清单为准；</w:t>
      </w:r>
    </w:p>
    <w:p w14:paraId="359499B5">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lang w:eastAsia="zh-CN"/>
        </w:rPr>
      </w:pPr>
      <w:r>
        <w:rPr>
          <w:rFonts w:hint="eastAsia" w:ascii="宋体" w:hAnsi="宋体" w:eastAsia="宋体" w:cs="宋体"/>
          <w:color w:val="auto"/>
          <w:szCs w:val="21"/>
        </w:rPr>
        <w:t>6、工期要求：</w:t>
      </w:r>
      <w:r>
        <w:rPr>
          <w:rFonts w:hint="eastAsia" w:ascii="宋体" w:hAnsi="宋体" w:eastAsia="宋体" w:cs="宋体"/>
          <w:color w:val="auto"/>
          <w:szCs w:val="21"/>
          <w:lang w:val="en-US" w:eastAsia="zh-CN"/>
        </w:rPr>
        <w:t>1</w:t>
      </w:r>
      <w:r>
        <w:rPr>
          <w:rFonts w:hint="eastAsia" w:ascii="宋体" w:hAnsi="宋体" w:eastAsia="宋体" w:cs="宋体"/>
          <w:color w:val="auto"/>
          <w:szCs w:val="21"/>
          <w:lang w:eastAsia="zh-CN"/>
        </w:rPr>
        <w:t>个月（自开工之日起）</w:t>
      </w:r>
    </w:p>
    <w:p w14:paraId="6E97328A">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7、质量要求：达到国家工程施工质量验收规范合格工程标准，一次交验合格。</w:t>
      </w:r>
    </w:p>
    <w:p w14:paraId="6AC6BF3C">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8、保修要求：按国务院279号院令及国家建设部第80号部令及国家有关规定实行工程保修。</w:t>
      </w:r>
    </w:p>
    <w:p w14:paraId="42E33916">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9、售后要求：</w:t>
      </w:r>
    </w:p>
    <w:p w14:paraId="115FB031">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（一）地基基础和主体结构工程，为设计文件规定的工程的合理使用年限；</w:t>
      </w:r>
    </w:p>
    <w:p w14:paraId="1640438F">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（二）屋面防水工程、有防水要求的卫生间、房间和外墙面的防渗漏为5年；</w:t>
      </w:r>
    </w:p>
    <w:p w14:paraId="66999170">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（三）供热与供冷系統，为2个采暖明、供冷期；</w:t>
      </w:r>
    </w:p>
    <w:p w14:paraId="7E832938">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lang w:eastAsia="zh-CN"/>
        </w:rPr>
      </w:pPr>
      <w:r>
        <w:rPr>
          <w:rFonts w:hint="eastAsia" w:ascii="宋体" w:hAnsi="宋体" w:eastAsia="宋体" w:cs="宋体"/>
          <w:color w:val="auto"/>
          <w:szCs w:val="21"/>
        </w:rPr>
        <w:t>（四）电气系统、給排水管道、设备安装为2年</w:t>
      </w:r>
      <w:r>
        <w:rPr>
          <w:rFonts w:hint="eastAsia" w:ascii="宋体" w:hAnsi="宋体" w:eastAsia="宋体" w:cs="宋体"/>
          <w:color w:val="auto"/>
          <w:szCs w:val="21"/>
          <w:lang w:eastAsia="zh-CN"/>
        </w:rPr>
        <w:t>；</w:t>
      </w:r>
    </w:p>
    <w:p w14:paraId="48D738E8">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（五）装修工程为2年。</w:t>
      </w:r>
    </w:p>
    <w:p w14:paraId="59CEED36">
      <w:pPr>
        <w:wordWrap w:val="0"/>
        <w:overflowPunct w:val="0"/>
        <w:topLinePunct/>
        <w:spacing w:line="480" w:lineRule="exact"/>
        <w:ind w:right="-92" w:rightChars="-44" w:firstLine="420" w:firstLineChars="200"/>
        <w:jc w:val="left"/>
        <w:textAlignment w:val="top"/>
        <w:rPr>
          <w:rFonts w:hint="eastAsia" w:ascii="宋体" w:hAnsi="宋体" w:eastAsia="宋体" w:cs="宋体"/>
          <w:color w:val="auto"/>
          <w:szCs w:val="21"/>
        </w:rPr>
      </w:pPr>
      <w:r>
        <w:rPr>
          <w:rFonts w:hint="eastAsia" w:ascii="宋体" w:hAnsi="宋体" w:eastAsia="宋体" w:cs="宋体"/>
          <w:color w:val="auto"/>
          <w:szCs w:val="21"/>
        </w:rPr>
        <w:t>（六）其他项目的保修期限根据建设单位和施工单位具体约定来确定。</w:t>
      </w:r>
    </w:p>
    <w:p w14:paraId="07DD78C4">
      <w:pPr>
        <w:numPr>
          <w:ilvl w:val="0"/>
          <w:numId w:val="0"/>
        </w:numPr>
        <w:adjustRightInd w:val="0"/>
        <w:snapToGrid w:val="0"/>
        <w:spacing w:line="440" w:lineRule="exact"/>
        <w:ind w:firstLine="420" w:firstLineChars="200"/>
        <w:rPr>
          <w:rFonts w:hint="eastAsia" w:ascii="宋体" w:hAnsi="宋体" w:eastAsia="宋体" w:cs="Times New Roman"/>
          <w:b/>
          <w:color w:val="auto"/>
          <w:szCs w:val="21"/>
          <w:lang w:val="en-US" w:eastAsia="zh-CN"/>
        </w:rPr>
      </w:pPr>
      <w:r>
        <w:rPr>
          <w:rFonts w:hint="eastAsia" w:ascii="宋体" w:hAnsi="宋体" w:eastAsia="宋体" w:cs="宋体"/>
          <w:color w:val="auto"/>
          <w:szCs w:val="21"/>
          <w:lang w:eastAsia="zh-CN"/>
        </w:rPr>
        <w:t>（七）响应时间：投标人需在发生故障时间</w:t>
      </w:r>
      <w:r>
        <w:rPr>
          <w:rFonts w:hint="eastAsia" w:ascii="宋体" w:hAnsi="宋体" w:eastAsia="宋体" w:cs="宋体"/>
          <w:color w:val="auto"/>
          <w:szCs w:val="21"/>
          <w:lang w:val="en-US" w:eastAsia="zh-CN"/>
        </w:rPr>
        <w:t>30分钟内到达故障地点，24小时内修复故障。（供应商需在项目施工地有售后服务机构并提供售后服务场所房产证明或租赁凭证）</w:t>
      </w:r>
    </w:p>
    <w:p w14:paraId="6E0EFB7B"/>
    <w:sectPr>
      <w:footerReference r:id="rId3" w:type="default"/>
      <w:pgSz w:w="11906" w:h="16838"/>
      <w:pgMar w:top="1240" w:right="14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70FD7">
    <w:pPr>
      <w:pStyle w:val="8"/>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joinstyle="miter"/>
          <v:imagedata o:title=""/>
          <o:lock v:ext="edit"/>
          <v:textbox inset="0mm,0mm,0mm,0mm" style="mso-fit-shape-to-text:t;">
            <w:txbxContent>
              <w:p w14:paraId="2334C0E5">
                <w:pPr>
                  <w:pStyle w:val="8"/>
                </w:pPr>
                <w:r>
                  <w:rPr>
                    <w:rFonts w:hint="eastAsia"/>
                  </w:rPr>
                  <w:fldChar w:fldCharType="begin"/>
                </w:r>
                <w:r>
                  <w:rPr>
                    <w:rFonts w:hint="eastAsia"/>
                  </w:rPr>
                  <w:instrText xml:space="preserve"> PAGE  \* MERGEFORMAT </w:instrText>
                </w:r>
                <w:r>
                  <w:rPr>
                    <w:rFonts w:hint="eastAsia"/>
                  </w:rPr>
                  <w:fldChar w:fldCharType="separate"/>
                </w:r>
                <w:r>
                  <w:t>7</w:t>
                </w:r>
                <w:r>
                  <w:rPr>
                    <w:rFonts w:hint="eastAsia"/>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I3NDRkNjYwNDNkMTc0MGNmMDQ5ZTMzZTY0NmFkZGUifQ=="/>
  </w:docVars>
  <w:rsids>
    <w:rsidRoot w:val="008B7DA3"/>
    <w:rsid w:val="00177F8D"/>
    <w:rsid w:val="00520854"/>
    <w:rsid w:val="008B7DA3"/>
    <w:rsid w:val="00D7723F"/>
    <w:rsid w:val="00E9097E"/>
    <w:rsid w:val="06BB3648"/>
    <w:rsid w:val="06E43CEA"/>
    <w:rsid w:val="07C65126"/>
    <w:rsid w:val="08831169"/>
    <w:rsid w:val="10CC13C6"/>
    <w:rsid w:val="1A5D1977"/>
    <w:rsid w:val="1AD04585"/>
    <w:rsid w:val="1C777E46"/>
    <w:rsid w:val="1DBE533C"/>
    <w:rsid w:val="2FE421C6"/>
    <w:rsid w:val="34E43881"/>
    <w:rsid w:val="36DD241D"/>
    <w:rsid w:val="3F9F157F"/>
    <w:rsid w:val="408C4AF5"/>
    <w:rsid w:val="46A30E78"/>
    <w:rsid w:val="54003A1B"/>
    <w:rsid w:val="541A5AA6"/>
    <w:rsid w:val="5D6A58AB"/>
    <w:rsid w:val="5EB9262E"/>
    <w:rsid w:val="72A715BA"/>
    <w:rsid w:val="7B4471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jc w:val="center"/>
      <w:outlineLvl w:val="0"/>
    </w:pPr>
    <w:rPr>
      <w:b/>
      <w:bCs/>
      <w:sz w:val="28"/>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widowControl/>
      <w:ind w:firstLine="420"/>
      <w:jc w:val="left"/>
    </w:pPr>
    <w:rPr>
      <w:kern w:val="0"/>
      <w:sz w:val="20"/>
      <w:szCs w:val="20"/>
    </w:rPr>
  </w:style>
  <w:style w:type="paragraph" w:styleId="5">
    <w:name w:val="Body Text"/>
    <w:basedOn w:val="1"/>
    <w:qFormat/>
    <w:uiPriority w:val="0"/>
    <w:pPr>
      <w:spacing w:after="120"/>
    </w:pPr>
    <w:rPr>
      <w:lang w:val="zh-CN"/>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4"/>
    <w:qFormat/>
    <w:uiPriority w:val="0"/>
    <w:pPr>
      <w:ind w:firstLine="420" w:firstLine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spacing w:after="120" w:line="480" w:lineRule="auto"/>
    </w:pPr>
  </w:style>
  <w:style w:type="paragraph" w:styleId="11">
    <w:name w:val="Body Text First Indent"/>
    <w:basedOn w:val="5"/>
    <w:qFormat/>
    <w:uiPriority w:val="0"/>
    <w:pPr>
      <w:autoSpaceDE w:val="0"/>
      <w:autoSpaceDN w:val="0"/>
      <w:adjustRightInd w:val="0"/>
      <w:spacing w:line="360" w:lineRule="auto"/>
      <w:ind w:firstLine="420" w:firstLineChars="200"/>
      <w:jc w:val="left"/>
      <w:textAlignment w:val="baseline"/>
    </w:pPr>
    <w:rPr>
      <w:rFonts w:ascii="宋体"/>
      <w:kern w:val="0"/>
      <w:sz w:val="34"/>
      <w:szCs w:val="20"/>
    </w:rPr>
  </w:style>
  <w:style w:type="paragraph" w:customStyle="1" w:styleId="14">
    <w:name w:val="样式 宋体 小四 行距: 1.5 倍行距 首行缩进:  2 字符"/>
    <w:basedOn w:val="1"/>
    <w:qFormat/>
    <w:uiPriority w:val="0"/>
    <w:pPr>
      <w:spacing w:line="360" w:lineRule="auto"/>
    </w:pPr>
    <w:rPr>
      <w:rFonts w:ascii="宋体" w:hAnsi="宋体" w:cs="宋体"/>
      <w:szCs w:val="20"/>
    </w:rPr>
  </w:style>
  <w:style w:type="paragraph" w:customStyle="1" w:styleId="15">
    <w:name w:val="列出段落1"/>
    <w:basedOn w:val="1"/>
    <w:qFormat/>
    <w:uiPriority w:val="0"/>
    <w:pPr>
      <w:ind w:firstLine="420" w:firstLineChars="200"/>
    </w:pPr>
    <w:rPr>
      <w:szCs w:val="21"/>
    </w:rPr>
  </w:style>
  <w:style w:type="character" w:customStyle="1" w:styleId="16">
    <w:name w:val="标题 1 Char"/>
    <w:link w:val="2"/>
    <w:qFormat/>
    <w:uiPriority w:val="0"/>
    <w:rPr>
      <w:rFonts w:ascii="Times New Roman" w:hAnsi="Times New Roman" w:eastAsia="宋体"/>
      <w:b/>
      <w:bCs/>
      <w:sz w:val="28"/>
      <w:szCs w:val="20"/>
    </w:rPr>
  </w:style>
  <w:style w:type="paragraph" w:customStyle="1" w:styleId="17">
    <w:name w:val="首行缩进"/>
    <w:basedOn w:val="1"/>
    <w:qFormat/>
    <w:uiPriority w:val="0"/>
    <w:pPr>
      <w:ind w:firstLine="720"/>
      <w:jc w:val="left"/>
    </w:pPr>
    <w:rPr>
      <w:sz w:val="24"/>
    </w:rPr>
  </w:style>
  <w:style w:type="character" w:customStyle="1" w:styleId="18">
    <w:name w:val="页眉 Char"/>
    <w:basedOn w:val="13"/>
    <w:link w:val="9"/>
    <w:qFormat/>
    <w:uiPriority w:val="0"/>
    <w:rPr>
      <w:rFonts w:ascii="Times New Roman" w:hAnsi="Times New Roman" w:eastAsia="宋体" w:cs="Times New Roman"/>
      <w:kern w:val="2"/>
      <w:sz w:val="18"/>
      <w:szCs w:val="18"/>
    </w:rPr>
  </w:style>
  <w:style w:type="paragraph" w:styleId="19">
    <w:name w:val="List Paragraph"/>
    <w:basedOn w:val="1"/>
    <w:qFormat/>
    <w:uiPriority w:val="0"/>
    <w:pPr>
      <w:ind w:firstLine="420" w:firstLineChars="200"/>
    </w:pPr>
    <w:rPr>
      <w:rFonts w:ascii="Calibri" w:hAnsi="Calibri"/>
      <w:szCs w:val="22"/>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5386</Words>
  <Characters>6386</Characters>
  <Lines>28</Lines>
  <Paragraphs>8</Paragraphs>
  <TotalTime>6</TotalTime>
  <ScaleCrop>false</ScaleCrop>
  <LinksUpToDate>false</LinksUpToDate>
  <CharactersWithSpaces>6403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2023-06-21T09:47:00Z</dcterms:created>
  <dc:creator>Administrator</dc:creator>
  <cp:lastModifiedBy>Administrator</cp:lastModifiedBy>
  <dcterms:modified xsi:type="dcterms:W3CDTF">2026-08-26T01:29:58Z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0A827F9703BF43CBAA045C0A7714E7A7_12</vt:lpwstr>
  </property>
  <property fmtid="{D5CDD505-2E9C-101B-9397-08002B2CF9AE}" pid="4" name="KSOTemplateDocerSaveRecord">
    <vt:lpwstr>eyJoZGlkIjoiOWI3NDRkNjYwNDNkMTc0MGNmMDQ5ZTMzZTY0NmFkZGUiLCJ1c2VySWQiOiI2MzUwNjc2MjQifQ==</vt:lpwstr>
  </property>
</Properties>
</file>