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F2F70FE">
      <w:pPr>
        <w:rPr>
          <w:color w:val="auto"/>
        </w:rPr>
      </w:pPr>
    </w:p>
    <w:p w14:paraId="2601F1F9">
      <w:pPr>
        <w:rPr>
          <w:color w:val="auto"/>
        </w:rPr>
      </w:pPr>
    </w:p>
    <w:p w14:paraId="0610291F">
      <w:pPr>
        <w:rPr>
          <w:color w:val="auto"/>
        </w:rPr>
      </w:pPr>
    </w:p>
    <w:p w14:paraId="3BADAAEC">
      <w:pPr>
        <w:rPr>
          <w:color w:val="auto"/>
        </w:rPr>
      </w:pPr>
      <w:r>
        <w:rPr>
          <w:rFonts w:hint="eastAsia"/>
          <w:color w:val="auto"/>
        </w:rPr>
        <w:t xml:space="preserve"> </w:t>
      </w:r>
    </w:p>
    <w:p w14:paraId="766E73CF">
      <w:pPr>
        <w:widowControl/>
        <w:shd w:val="clear" w:color="auto" w:fill="FFFFFF"/>
        <w:adjustRightInd w:val="0"/>
        <w:snapToGrid w:val="0"/>
        <w:jc w:val="center"/>
        <w:rPr>
          <w:rFonts w:ascii="华文中宋" w:hAnsi="华文中宋" w:eastAsia="华文中宋" w:cs="华文中宋"/>
          <w:b/>
          <w:color w:val="auto"/>
          <w:kern w:val="0"/>
          <w:sz w:val="84"/>
          <w:szCs w:val="84"/>
        </w:rPr>
      </w:pPr>
      <w:r>
        <w:rPr>
          <w:rFonts w:hint="eastAsia" w:ascii="华文中宋" w:hAnsi="华文中宋" w:eastAsia="华文中宋" w:cs="华文中宋"/>
          <w:b/>
          <w:color w:val="auto"/>
          <w:kern w:val="0"/>
          <w:sz w:val="84"/>
          <w:szCs w:val="84"/>
        </w:rPr>
        <w:t>政府采购</w:t>
      </w:r>
    </w:p>
    <w:p w14:paraId="6EDD5C46">
      <w:pPr>
        <w:widowControl/>
        <w:shd w:val="clear" w:color="auto" w:fill="FFFFFF"/>
        <w:adjustRightInd w:val="0"/>
        <w:snapToGrid w:val="0"/>
        <w:spacing w:line="360" w:lineRule="auto"/>
        <w:jc w:val="center"/>
        <w:rPr>
          <w:rFonts w:ascii="方正大标宋简体" w:hAnsi="宋体" w:eastAsia="华文中宋" w:cs="宋体"/>
          <w:bCs/>
          <w:color w:val="auto"/>
          <w:kern w:val="0"/>
          <w:sz w:val="96"/>
          <w:szCs w:val="96"/>
        </w:rPr>
      </w:pPr>
      <w:r>
        <w:rPr>
          <w:rFonts w:hint="eastAsia" w:ascii="华文中宋" w:hAnsi="华文中宋" w:eastAsia="华文中宋" w:cs="华文中宋"/>
          <w:b/>
          <w:color w:val="auto"/>
          <w:kern w:val="0"/>
          <w:sz w:val="96"/>
          <w:szCs w:val="96"/>
        </w:rPr>
        <w:t>竞争性磋商文件</w:t>
      </w:r>
    </w:p>
    <w:p w14:paraId="0B7B01CF">
      <w:pPr>
        <w:rPr>
          <w:color w:val="auto"/>
        </w:rPr>
      </w:pPr>
    </w:p>
    <w:p w14:paraId="38C4CE31">
      <w:pPr>
        <w:rPr>
          <w:color w:val="auto"/>
        </w:rPr>
      </w:pPr>
    </w:p>
    <w:p w14:paraId="2C783AF2">
      <w:pPr>
        <w:widowControl/>
        <w:shd w:val="clear" w:color="auto" w:fill="FFFFFF"/>
        <w:adjustRightInd w:val="0"/>
        <w:spacing w:line="480" w:lineRule="auto"/>
        <w:ind w:left="2515" w:leftChars="171" w:hanging="2156" w:hangingChars="716"/>
        <w:jc w:val="left"/>
        <w:rPr>
          <w:rFonts w:ascii="宋体" w:hAnsi="宋体" w:cs="宋体"/>
          <w:b/>
          <w:bCs/>
          <w:color w:val="auto"/>
          <w:kern w:val="0"/>
          <w:sz w:val="30"/>
          <w:szCs w:val="30"/>
          <w:u w:val="single"/>
        </w:rPr>
      </w:pPr>
      <w:r>
        <w:rPr>
          <w:rFonts w:hint="eastAsia" w:ascii="宋体" w:hAnsi="宋体" w:cs="宋体"/>
          <w:b/>
          <w:bCs/>
          <w:color w:val="auto"/>
          <w:kern w:val="0"/>
          <w:sz w:val="30"/>
          <w:szCs w:val="30"/>
        </w:rPr>
        <w:t>采购项目名称：</w:t>
      </w:r>
      <w:r>
        <w:rPr>
          <w:rFonts w:hint="eastAsia" w:ascii="宋体" w:hAnsi="宋体" w:cs="宋体"/>
          <w:b/>
          <w:bCs/>
          <w:color w:val="auto"/>
          <w:sz w:val="30"/>
          <w:szCs w:val="30"/>
          <w:u w:val="single"/>
          <w:shd w:val="clear" w:color="auto" w:fill="FFFFFF"/>
          <w:lang w:eastAsia="zh-CN"/>
        </w:rPr>
        <w:t>湖南文理学院东校区监控技防系统升级改造项目</w:t>
      </w:r>
      <w:r>
        <w:rPr>
          <w:rFonts w:hint="eastAsia" w:ascii="宋体" w:hAnsi="宋体" w:cs="宋体"/>
          <w:b/>
          <w:bCs/>
          <w:color w:val="auto"/>
          <w:kern w:val="0"/>
          <w:sz w:val="30"/>
          <w:szCs w:val="30"/>
          <w:u w:val="single"/>
        </w:rPr>
        <w:t xml:space="preserve">                                          </w:t>
      </w:r>
    </w:p>
    <w:p w14:paraId="4B41A909">
      <w:pPr>
        <w:widowControl/>
        <w:shd w:val="clear" w:color="auto" w:fill="FFFFFF"/>
        <w:adjustRightInd w:val="0"/>
        <w:spacing w:line="480" w:lineRule="auto"/>
        <w:ind w:firstLine="301" w:firstLineChars="100"/>
        <w:jc w:val="left"/>
        <w:rPr>
          <w:rFonts w:hint="default" w:ascii="宋体" w:hAnsi="宋体" w:eastAsia="宋体" w:cs="宋体"/>
          <w:b/>
          <w:bCs/>
          <w:color w:val="auto"/>
          <w:kern w:val="0"/>
          <w:sz w:val="30"/>
          <w:szCs w:val="30"/>
          <w:highlight w:val="red"/>
          <w:u w:val="single"/>
          <w:lang w:val="en-US" w:eastAsia="zh-CN"/>
        </w:rPr>
      </w:pPr>
      <w:r>
        <w:rPr>
          <w:rFonts w:hint="eastAsia" w:ascii="宋体" w:hAnsi="宋体" w:cs="宋体"/>
          <w:b/>
          <w:bCs/>
          <w:color w:val="auto"/>
          <w:kern w:val="0"/>
          <w:sz w:val="30"/>
          <w:szCs w:val="30"/>
          <w:lang w:eastAsia="zh-CN"/>
        </w:rPr>
        <w:t>政府采购编号</w:t>
      </w:r>
      <w:r>
        <w:rPr>
          <w:rFonts w:hint="eastAsia" w:ascii="宋体" w:hAnsi="宋体" w:cs="宋体"/>
          <w:b/>
          <w:bCs/>
          <w:color w:val="auto"/>
          <w:kern w:val="0"/>
          <w:sz w:val="30"/>
          <w:szCs w:val="30"/>
        </w:rPr>
        <w:t>：</w:t>
      </w:r>
      <w:r>
        <w:rPr>
          <w:rFonts w:hint="eastAsia" w:ascii="宋体" w:hAnsi="宋体" w:cs="宋体"/>
          <w:b/>
          <w:bCs/>
          <w:color w:val="auto"/>
          <w:kern w:val="0"/>
          <w:sz w:val="30"/>
          <w:szCs w:val="30"/>
          <w:u w:val="single"/>
          <w:lang w:eastAsia="zh-CN"/>
        </w:rPr>
        <w:t>CGXM2026430000001358</w:t>
      </w:r>
      <w:r>
        <w:rPr>
          <w:rFonts w:hint="eastAsia" w:ascii="宋体" w:hAnsi="宋体" w:cs="宋体"/>
          <w:b/>
          <w:bCs/>
          <w:color w:val="auto"/>
          <w:kern w:val="0"/>
          <w:sz w:val="30"/>
          <w:szCs w:val="30"/>
          <w:u w:val="single"/>
        </w:rPr>
        <w:t xml:space="preserve">               </w:t>
      </w:r>
      <w:r>
        <w:rPr>
          <w:rFonts w:hint="eastAsia" w:ascii="宋体" w:hAnsi="宋体" w:cs="宋体"/>
          <w:b/>
          <w:bCs/>
          <w:color w:val="auto"/>
          <w:kern w:val="0"/>
          <w:sz w:val="30"/>
          <w:szCs w:val="30"/>
          <w:highlight w:val="none"/>
          <w:u w:val="single"/>
        </w:rPr>
        <w:t xml:space="preserve">     </w:t>
      </w:r>
      <w:r>
        <w:rPr>
          <w:rFonts w:hint="eastAsia" w:ascii="宋体" w:hAnsi="宋体" w:cs="宋体"/>
          <w:b/>
          <w:bCs/>
          <w:color w:val="auto"/>
          <w:kern w:val="0"/>
          <w:sz w:val="30"/>
          <w:szCs w:val="30"/>
          <w:highlight w:val="none"/>
          <w:u w:val="single"/>
          <w:lang w:val="en-US" w:eastAsia="zh-CN"/>
        </w:rPr>
        <w:t xml:space="preserve">  </w:t>
      </w:r>
    </w:p>
    <w:p w14:paraId="2D4E3092">
      <w:pPr>
        <w:widowControl/>
        <w:shd w:val="clear" w:color="auto" w:fill="FFFFFF"/>
        <w:adjustRightInd w:val="0"/>
        <w:spacing w:line="480" w:lineRule="auto"/>
        <w:ind w:firstLine="301" w:firstLineChars="100"/>
        <w:jc w:val="left"/>
        <w:rPr>
          <w:rFonts w:ascii="宋体" w:hAnsi="宋体" w:cs="宋体"/>
          <w:b/>
          <w:bCs/>
          <w:color w:val="auto"/>
          <w:kern w:val="0"/>
          <w:sz w:val="30"/>
          <w:szCs w:val="30"/>
          <w:u w:val="single"/>
        </w:rPr>
      </w:pPr>
      <w:r>
        <w:rPr>
          <w:rFonts w:hint="eastAsia" w:ascii="宋体" w:hAnsi="宋体" w:cs="宋体"/>
          <w:b/>
          <w:bCs/>
          <w:color w:val="auto"/>
          <w:kern w:val="0"/>
          <w:sz w:val="30"/>
          <w:szCs w:val="30"/>
        </w:rPr>
        <w:t>委托代理编号：</w:t>
      </w:r>
      <w:r>
        <w:rPr>
          <w:rFonts w:hint="eastAsia" w:ascii="宋体" w:hAnsi="宋体" w:cs="宋体"/>
          <w:b/>
          <w:bCs/>
          <w:color w:val="auto"/>
          <w:kern w:val="0"/>
          <w:sz w:val="30"/>
          <w:szCs w:val="30"/>
          <w:u w:val="single"/>
          <w:lang w:eastAsia="zh-CN"/>
        </w:rPr>
        <w:t>CDZYZB2026-C-75</w:t>
      </w:r>
      <w:r>
        <w:rPr>
          <w:rFonts w:hint="eastAsia" w:ascii="宋体" w:hAnsi="宋体" w:cs="宋体"/>
          <w:b/>
          <w:bCs/>
          <w:color w:val="auto"/>
          <w:kern w:val="0"/>
          <w:sz w:val="30"/>
          <w:szCs w:val="30"/>
          <w:u w:val="single"/>
        </w:rPr>
        <w:t xml:space="preserve">                                  </w:t>
      </w:r>
    </w:p>
    <w:p w14:paraId="1B30FCF1">
      <w:pPr>
        <w:widowControl/>
        <w:shd w:val="clear" w:color="auto" w:fill="FFFFFF"/>
        <w:adjustRightInd w:val="0"/>
        <w:spacing w:line="480" w:lineRule="auto"/>
        <w:ind w:firstLine="301" w:firstLineChars="100"/>
        <w:jc w:val="left"/>
        <w:rPr>
          <w:rFonts w:ascii="微软雅黑" w:hAnsi="微软雅黑" w:eastAsia="微软雅黑" w:cs="微软雅黑"/>
          <w:b/>
          <w:bCs/>
          <w:color w:val="auto"/>
          <w:kern w:val="0"/>
          <w:sz w:val="28"/>
          <w:szCs w:val="28"/>
          <w:u w:val="single"/>
        </w:rPr>
      </w:pPr>
      <w:r>
        <w:rPr>
          <w:rFonts w:hint="eastAsia" w:ascii="宋体" w:hAnsi="宋体" w:cs="宋体"/>
          <w:b/>
          <w:bCs/>
          <w:color w:val="auto"/>
          <w:kern w:val="0"/>
          <w:sz w:val="30"/>
          <w:szCs w:val="30"/>
        </w:rPr>
        <w:t>采    购  人：</w:t>
      </w:r>
      <w:r>
        <w:rPr>
          <w:rFonts w:hint="eastAsia" w:ascii="宋体" w:hAnsi="宋体" w:cs="宋体"/>
          <w:b/>
          <w:bCs/>
          <w:color w:val="auto"/>
          <w:kern w:val="0"/>
          <w:sz w:val="30"/>
          <w:szCs w:val="30"/>
          <w:u w:val="single"/>
        </w:rPr>
        <w:t xml:space="preserve">湖南文理学院                          </w:t>
      </w:r>
      <w:r>
        <w:rPr>
          <w:rFonts w:hint="eastAsia" w:ascii="宋体" w:hAnsi="宋体" w:cs="宋体"/>
          <w:b/>
          <w:bCs/>
          <w:color w:val="auto"/>
          <w:kern w:val="0"/>
          <w:sz w:val="36"/>
          <w:szCs w:val="36"/>
          <w:u w:val="single"/>
        </w:rPr>
        <w:t xml:space="preserve">     </w:t>
      </w:r>
      <w:r>
        <w:rPr>
          <w:rFonts w:hint="eastAsia" w:ascii="宋体" w:hAnsi="宋体" w:cs="宋体"/>
          <w:b/>
          <w:bCs/>
          <w:color w:val="auto"/>
          <w:kern w:val="0"/>
          <w:sz w:val="28"/>
          <w:szCs w:val="28"/>
          <w:u w:val="single"/>
        </w:rPr>
        <w:t xml:space="preserve">     </w:t>
      </w:r>
    </w:p>
    <w:p w14:paraId="16504100">
      <w:pPr>
        <w:rPr>
          <w:color w:val="auto"/>
        </w:rPr>
      </w:pPr>
    </w:p>
    <w:p w14:paraId="68856805">
      <w:pPr>
        <w:rPr>
          <w:color w:val="auto"/>
        </w:rPr>
      </w:pPr>
    </w:p>
    <w:p w14:paraId="0127CB33">
      <w:pPr>
        <w:rPr>
          <w:color w:val="auto"/>
        </w:rPr>
      </w:pPr>
    </w:p>
    <w:p w14:paraId="238F70F2">
      <w:pPr>
        <w:pStyle w:val="67"/>
        <w:rPr>
          <w:color w:val="auto"/>
        </w:rPr>
      </w:pPr>
    </w:p>
    <w:p w14:paraId="4CE3B225">
      <w:pPr>
        <w:pStyle w:val="67"/>
        <w:rPr>
          <w:color w:val="auto"/>
        </w:rPr>
      </w:pPr>
    </w:p>
    <w:p w14:paraId="4580AB2E">
      <w:pPr>
        <w:rPr>
          <w:color w:val="auto"/>
        </w:rPr>
      </w:pPr>
    </w:p>
    <w:p w14:paraId="4C724B0F">
      <w:pPr>
        <w:widowControl/>
        <w:shd w:val="clear" w:color="auto" w:fill="FFFFFF"/>
        <w:adjustRightInd w:val="0"/>
        <w:snapToGrid w:val="0"/>
        <w:jc w:val="center"/>
        <w:rPr>
          <w:rFonts w:ascii="华文中宋" w:hAnsi="华文中宋" w:eastAsia="华文中宋" w:cs="华文中宋"/>
          <w:color w:val="auto"/>
          <w:kern w:val="0"/>
          <w:sz w:val="36"/>
          <w:szCs w:val="36"/>
        </w:rPr>
      </w:pPr>
      <w:r>
        <w:rPr>
          <w:rFonts w:hint="eastAsia"/>
          <w:color w:val="auto"/>
        </w:rPr>
        <w:drawing>
          <wp:inline distT="0" distB="0" distL="114300" distR="114300">
            <wp:extent cx="3799840" cy="1419225"/>
            <wp:effectExtent l="0" t="0" r="10160" b="9525"/>
            <wp:docPr id="1" name="图片 1" descr="5983eae036fa4a235b8c6bcd9892d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983eae036fa4a235b8c6bcd9892d66"/>
                    <pic:cNvPicPr>
                      <a:picLocks noChangeAspect="1"/>
                    </pic:cNvPicPr>
                  </pic:nvPicPr>
                  <pic:blipFill>
                    <a:blip r:embed="rId11" cstate="print"/>
                    <a:stretch>
                      <a:fillRect/>
                    </a:stretch>
                  </pic:blipFill>
                  <pic:spPr>
                    <a:xfrm>
                      <a:off x="0" y="0"/>
                      <a:ext cx="3799840" cy="1419225"/>
                    </a:xfrm>
                    <a:prstGeom prst="rect">
                      <a:avLst/>
                    </a:prstGeom>
                    <a:noFill/>
                    <a:ln>
                      <a:noFill/>
                    </a:ln>
                  </pic:spPr>
                </pic:pic>
              </a:graphicData>
            </a:graphic>
          </wp:inline>
        </w:drawing>
      </w:r>
    </w:p>
    <w:p w14:paraId="162D5419">
      <w:pPr>
        <w:widowControl/>
        <w:shd w:val="clear" w:color="auto" w:fill="FFFFFF"/>
        <w:adjustRightInd w:val="0"/>
        <w:snapToGrid w:val="0"/>
        <w:jc w:val="center"/>
        <w:rPr>
          <w:rFonts w:ascii="黑体" w:hAnsi="黑体" w:eastAsia="黑体" w:cs="黑体"/>
          <w:color w:val="auto"/>
          <w:sz w:val="44"/>
          <w:szCs w:val="44"/>
        </w:rPr>
      </w:pPr>
      <w:r>
        <w:rPr>
          <w:rFonts w:hint="eastAsia" w:ascii="黑体" w:hAnsi="黑体" w:eastAsia="黑体" w:cs="黑体"/>
          <w:color w:val="auto"/>
          <w:kern w:val="0"/>
          <w:sz w:val="40"/>
          <w:szCs w:val="40"/>
        </w:rPr>
        <w:t>2026年</w:t>
      </w:r>
      <w:r>
        <w:rPr>
          <w:rFonts w:hint="eastAsia" w:ascii="黑体" w:hAnsi="黑体" w:eastAsia="黑体" w:cs="黑体"/>
          <w:color w:val="auto"/>
          <w:kern w:val="0"/>
          <w:sz w:val="40"/>
          <w:szCs w:val="40"/>
          <w:lang w:val="en-US" w:eastAsia="zh-CN"/>
        </w:rPr>
        <w:t>8</w:t>
      </w:r>
      <w:r>
        <w:rPr>
          <w:rFonts w:hint="eastAsia" w:ascii="黑体" w:hAnsi="黑体" w:eastAsia="黑体" w:cs="黑体"/>
          <w:color w:val="auto"/>
          <w:kern w:val="0"/>
          <w:sz w:val="40"/>
          <w:szCs w:val="40"/>
        </w:rPr>
        <w:t>月</w:t>
      </w:r>
    </w:p>
    <w:p w14:paraId="4C88D6F6">
      <w:pPr>
        <w:pStyle w:val="28"/>
        <w:adjustRightInd w:val="0"/>
        <w:snapToGrid w:val="0"/>
        <w:spacing w:line="360" w:lineRule="auto"/>
        <w:rPr>
          <w:color w:val="auto"/>
        </w:rPr>
        <w:sectPr>
          <w:headerReference r:id="rId3" w:type="first"/>
          <w:pgSz w:w="11906" w:h="16838"/>
          <w:pgMar w:top="1474" w:right="1531" w:bottom="1474" w:left="1531" w:header="851" w:footer="992" w:gutter="0"/>
          <w:pgBorders>
            <w:top w:val="none" w:sz="0" w:space="0"/>
            <w:left w:val="none" w:sz="0" w:space="0"/>
            <w:bottom w:val="none" w:sz="0" w:space="0"/>
            <w:right w:val="none" w:sz="0" w:space="0"/>
          </w:pgBorders>
          <w:pgNumType w:fmt="numberInDash" w:start="1"/>
          <w:cols w:space="720" w:num="1"/>
          <w:titlePg/>
          <w:docGrid w:type="lines" w:linePitch="312" w:charSpace="0"/>
        </w:sectPr>
      </w:pPr>
    </w:p>
    <w:sdt>
      <w:sdtPr>
        <w:rPr>
          <w:rFonts w:hint="eastAsia" w:ascii="宋体" w:hAnsi="宋体" w:eastAsia="华文中宋"/>
          <w:b/>
          <w:color w:val="auto"/>
          <w:sz w:val="36"/>
          <w:szCs w:val="40"/>
        </w:rPr>
        <w:id w:val="147458047"/>
        <w:docPartObj>
          <w:docPartGallery w:val="Table of Contents"/>
          <w:docPartUnique/>
        </w:docPartObj>
      </w:sdtPr>
      <w:sdtEndPr>
        <w:rPr>
          <w:rFonts w:hint="eastAsia" w:ascii="宋体" w:hAnsi="宋体" w:eastAsia="华文中宋"/>
          <w:b/>
          <w:color w:val="auto"/>
          <w:sz w:val="36"/>
          <w:szCs w:val="40"/>
        </w:rPr>
      </w:sdtEndPr>
      <w:sdtContent>
        <w:p w14:paraId="686C5DC8">
          <w:pPr>
            <w:jc w:val="center"/>
            <w:rPr>
              <w:rFonts w:ascii="宋体" w:hAnsi="宋体" w:eastAsia="华文中宋"/>
              <w:b/>
              <w:color w:val="auto"/>
              <w:sz w:val="36"/>
              <w:szCs w:val="40"/>
            </w:rPr>
          </w:pPr>
          <w:r>
            <w:rPr>
              <w:rFonts w:hint="eastAsia" w:ascii="宋体" w:hAnsi="宋体" w:eastAsia="华文中宋"/>
              <w:b/>
              <w:color w:val="auto"/>
              <w:sz w:val="40"/>
              <w:szCs w:val="44"/>
            </w:rPr>
            <w:t>目  录</w:t>
          </w:r>
        </w:p>
        <w:p w14:paraId="01807985">
          <w:pPr>
            <w:rPr>
              <w:color w:val="auto"/>
            </w:rPr>
          </w:pPr>
        </w:p>
        <w:p w14:paraId="65730513">
          <w:pPr>
            <w:pStyle w:val="36"/>
            <w:tabs>
              <w:tab w:val="right" w:leader="dot" w:pos="8844"/>
            </w:tabs>
            <w:rPr>
              <w:color w:val="auto"/>
            </w:rPr>
          </w:pPr>
          <w:r>
            <w:rPr>
              <w:rFonts w:hAnsi="宋体"/>
              <w:color w:val="auto"/>
              <w:sz w:val="36"/>
              <w:szCs w:val="36"/>
            </w:rPr>
            <w:fldChar w:fldCharType="begin"/>
          </w:r>
          <w:r>
            <w:rPr>
              <w:rFonts w:hAnsi="宋体"/>
              <w:color w:val="auto"/>
              <w:sz w:val="36"/>
              <w:szCs w:val="36"/>
            </w:rPr>
            <w:instrText xml:space="preserve">TOC \o "1-3" \h \u </w:instrText>
          </w:r>
          <w:r>
            <w:rPr>
              <w:rFonts w:hAnsi="宋体"/>
              <w:color w:val="auto"/>
              <w:sz w:val="36"/>
              <w:szCs w:val="36"/>
            </w:rPr>
            <w:fldChar w:fldCharType="separate"/>
          </w:r>
          <w:r>
            <w:rPr>
              <w:color w:val="auto"/>
            </w:rPr>
            <w:fldChar w:fldCharType="begin"/>
          </w:r>
          <w:r>
            <w:rPr>
              <w:color w:val="auto"/>
            </w:rPr>
            <w:instrText xml:space="preserve"> HYPERLINK \l "_Toc8068" </w:instrText>
          </w:r>
          <w:r>
            <w:rPr>
              <w:color w:val="auto"/>
            </w:rPr>
            <w:fldChar w:fldCharType="separate"/>
          </w:r>
          <w:r>
            <w:rPr>
              <w:rFonts w:hint="eastAsia" w:ascii="宋体" w:hAnsi="宋体"/>
              <w:color w:val="auto"/>
              <w:szCs w:val="32"/>
            </w:rPr>
            <w:t>第一章 磋商通知</w:t>
          </w:r>
          <w:r>
            <w:rPr>
              <w:color w:val="auto"/>
            </w:rPr>
            <w:tab/>
          </w:r>
          <w:r>
            <w:rPr>
              <w:color w:val="auto"/>
            </w:rPr>
            <w:fldChar w:fldCharType="begin"/>
          </w:r>
          <w:r>
            <w:rPr>
              <w:color w:val="auto"/>
            </w:rPr>
            <w:instrText xml:space="preserve"> PAGEREF _Toc8068 \h </w:instrText>
          </w:r>
          <w:r>
            <w:rPr>
              <w:color w:val="auto"/>
            </w:rPr>
            <w:fldChar w:fldCharType="separate"/>
          </w:r>
          <w:r>
            <w:rPr>
              <w:color w:val="auto"/>
            </w:rPr>
            <w:t>- 2 -</w:t>
          </w:r>
          <w:r>
            <w:rPr>
              <w:color w:val="auto"/>
            </w:rPr>
            <w:fldChar w:fldCharType="end"/>
          </w:r>
          <w:r>
            <w:rPr>
              <w:color w:val="auto"/>
            </w:rPr>
            <w:fldChar w:fldCharType="end"/>
          </w:r>
        </w:p>
        <w:p w14:paraId="32975A1E">
          <w:pPr>
            <w:pStyle w:val="36"/>
            <w:tabs>
              <w:tab w:val="right" w:leader="dot" w:pos="8844"/>
            </w:tabs>
            <w:rPr>
              <w:color w:val="auto"/>
            </w:rPr>
          </w:pPr>
          <w:r>
            <w:rPr>
              <w:color w:val="auto"/>
            </w:rPr>
            <w:fldChar w:fldCharType="begin"/>
          </w:r>
          <w:r>
            <w:rPr>
              <w:color w:val="auto"/>
            </w:rPr>
            <w:instrText xml:space="preserve"> HYPERLINK \l "_Toc14647" </w:instrText>
          </w:r>
          <w:r>
            <w:rPr>
              <w:color w:val="auto"/>
            </w:rPr>
            <w:fldChar w:fldCharType="separate"/>
          </w:r>
          <w:r>
            <w:rPr>
              <w:rFonts w:hint="eastAsia" w:hAnsi="宋体"/>
              <w:color w:val="auto"/>
              <w:szCs w:val="32"/>
            </w:rPr>
            <w:t>第二章</w:t>
          </w:r>
          <w:r>
            <w:rPr>
              <w:rFonts w:hAnsi="宋体"/>
              <w:color w:val="auto"/>
              <w:szCs w:val="32"/>
            </w:rPr>
            <w:t xml:space="preserve"> </w:t>
          </w:r>
          <w:r>
            <w:rPr>
              <w:rFonts w:hint="eastAsia" w:hAnsi="宋体"/>
              <w:color w:val="auto"/>
              <w:szCs w:val="32"/>
            </w:rPr>
            <w:t>磋商须知</w:t>
          </w:r>
          <w:r>
            <w:rPr>
              <w:color w:val="auto"/>
            </w:rPr>
            <w:tab/>
          </w:r>
          <w:r>
            <w:rPr>
              <w:color w:val="auto"/>
            </w:rPr>
            <w:fldChar w:fldCharType="begin"/>
          </w:r>
          <w:r>
            <w:rPr>
              <w:color w:val="auto"/>
            </w:rPr>
            <w:instrText xml:space="preserve"> PAGEREF _Toc14647 \h </w:instrText>
          </w:r>
          <w:r>
            <w:rPr>
              <w:color w:val="auto"/>
            </w:rPr>
            <w:fldChar w:fldCharType="separate"/>
          </w:r>
          <w:r>
            <w:rPr>
              <w:color w:val="auto"/>
            </w:rPr>
            <w:t>- 5 -</w:t>
          </w:r>
          <w:r>
            <w:rPr>
              <w:color w:val="auto"/>
            </w:rPr>
            <w:fldChar w:fldCharType="end"/>
          </w:r>
          <w:r>
            <w:rPr>
              <w:color w:val="auto"/>
            </w:rPr>
            <w:fldChar w:fldCharType="end"/>
          </w:r>
        </w:p>
        <w:p w14:paraId="5E2067D7">
          <w:pPr>
            <w:pStyle w:val="42"/>
            <w:tabs>
              <w:tab w:val="right" w:leader="dot" w:pos="8844"/>
            </w:tabs>
            <w:rPr>
              <w:color w:val="auto"/>
            </w:rPr>
          </w:pPr>
          <w:r>
            <w:rPr>
              <w:color w:val="auto"/>
            </w:rPr>
            <w:fldChar w:fldCharType="begin"/>
          </w:r>
          <w:r>
            <w:rPr>
              <w:color w:val="auto"/>
            </w:rPr>
            <w:instrText xml:space="preserve"> HYPERLINK \l "_Toc581" </w:instrText>
          </w:r>
          <w:r>
            <w:rPr>
              <w:color w:val="auto"/>
            </w:rPr>
            <w:fldChar w:fldCharType="separate"/>
          </w:r>
          <w:r>
            <w:rPr>
              <w:rFonts w:hint="eastAsia" w:hAnsi="宋体"/>
              <w:color w:val="auto"/>
            </w:rPr>
            <w:t>磋商须知前附表</w:t>
          </w:r>
          <w:r>
            <w:rPr>
              <w:color w:val="auto"/>
            </w:rPr>
            <w:tab/>
          </w:r>
          <w:r>
            <w:rPr>
              <w:color w:val="auto"/>
            </w:rPr>
            <w:fldChar w:fldCharType="begin"/>
          </w:r>
          <w:r>
            <w:rPr>
              <w:color w:val="auto"/>
            </w:rPr>
            <w:instrText xml:space="preserve"> PAGEREF _Toc581 \h </w:instrText>
          </w:r>
          <w:r>
            <w:rPr>
              <w:color w:val="auto"/>
            </w:rPr>
            <w:fldChar w:fldCharType="separate"/>
          </w:r>
          <w:r>
            <w:rPr>
              <w:color w:val="auto"/>
            </w:rPr>
            <w:t>- 5 -</w:t>
          </w:r>
          <w:r>
            <w:rPr>
              <w:color w:val="auto"/>
            </w:rPr>
            <w:fldChar w:fldCharType="end"/>
          </w:r>
          <w:r>
            <w:rPr>
              <w:color w:val="auto"/>
            </w:rPr>
            <w:fldChar w:fldCharType="end"/>
          </w:r>
        </w:p>
        <w:p w14:paraId="253F0C20">
          <w:pPr>
            <w:pStyle w:val="42"/>
            <w:tabs>
              <w:tab w:val="right" w:leader="dot" w:pos="8844"/>
            </w:tabs>
            <w:rPr>
              <w:color w:val="auto"/>
            </w:rPr>
          </w:pPr>
          <w:r>
            <w:rPr>
              <w:color w:val="auto"/>
            </w:rPr>
            <w:fldChar w:fldCharType="begin"/>
          </w:r>
          <w:r>
            <w:rPr>
              <w:color w:val="auto"/>
            </w:rPr>
            <w:instrText xml:space="preserve"> HYPERLINK \l "_Toc13851" </w:instrText>
          </w:r>
          <w:r>
            <w:rPr>
              <w:color w:val="auto"/>
            </w:rPr>
            <w:fldChar w:fldCharType="separate"/>
          </w:r>
          <w:r>
            <w:rPr>
              <w:rFonts w:hint="eastAsia" w:ascii="宋体" w:hAnsi="宋体"/>
              <w:color w:val="auto"/>
              <w:szCs w:val="32"/>
            </w:rPr>
            <w:t>磋商须知正文</w:t>
          </w:r>
          <w:r>
            <w:rPr>
              <w:color w:val="auto"/>
            </w:rPr>
            <w:tab/>
          </w:r>
          <w:r>
            <w:rPr>
              <w:color w:val="auto"/>
            </w:rPr>
            <w:fldChar w:fldCharType="begin"/>
          </w:r>
          <w:r>
            <w:rPr>
              <w:color w:val="auto"/>
            </w:rPr>
            <w:instrText xml:space="preserve"> PAGEREF _Toc13851 \h </w:instrText>
          </w:r>
          <w:r>
            <w:rPr>
              <w:color w:val="auto"/>
            </w:rPr>
            <w:fldChar w:fldCharType="separate"/>
          </w:r>
          <w:r>
            <w:rPr>
              <w:color w:val="auto"/>
            </w:rPr>
            <w:t>- 10 -</w:t>
          </w:r>
          <w:r>
            <w:rPr>
              <w:color w:val="auto"/>
            </w:rPr>
            <w:fldChar w:fldCharType="end"/>
          </w:r>
          <w:r>
            <w:rPr>
              <w:color w:val="auto"/>
            </w:rPr>
            <w:fldChar w:fldCharType="end"/>
          </w:r>
        </w:p>
        <w:p w14:paraId="44E0F212">
          <w:pPr>
            <w:pStyle w:val="36"/>
            <w:tabs>
              <w:tab w:val="right" w:leader="dot" w:pos="8844"/>
            </w:tabs>
            <w:rPr>
              <w:color w:val="auto"/>
            </w:rPr>
          </w:pPr>
          <w:r>
            <w:rPr>
              <w:color w:val="auto"/>
            </w:rPr>
            <w:fldChar w:fldCharType="begin"/>
          </w:r>
          <w:r>
            <w:rPr>
              <w:color w:val="auto"/>
            </w:rPr>
            <w:instrText xml:space="preserve"> HYPERLINK \l "_Toc14666" </w:instrText>
          </w:r>
          <w:r>
            <w:rPr>
              <w:color w:val="auto"/>
            </w:rPr>
            <w:fldChar w:fldCharType="separate"/>
          </w:r>
          <w:r>
            <w:rPr>
              <w:rFonts w:hint="eastAsia" w:ascii="宋体" w:hAnsi="宋体"/>
              <w:bCs/>
              <w:color w:val="auto"/>
              <w:szCs w:val="36"/>
            </w:rPr>
            <w:t>第三章 磋商办法</w:t>
          </w:r>
          <w:r>
            <w:rPr>
              <w:color w:val="auto"/>
            </w:rPr>
            <w:tab/>
          </w:r>
          <w:r>
            <w:rPr>
              <w:color w:val="auto"/>
            </w:rPr>
            <w:fldChar w:fldCharType="begin"/>
          </w:r>
          <w:r>
            <w:rPr>
              <w:color w:val="auto"/>
            </w:rPr>
            <w:instrText xml:space="preserve"> PAGEREF _Toc14666 \h </w:instrText>
          </w:r>
          <w:r>
            <w:rPr>
              <w:color w:val="auto"/>
            </w:rPr>
            <w:fldChar w:fldCharType="separate"/>
          </w:r>
          <w:r>
            <w:rPr>
              <w:color w:val="auto"/>
            </w:rPr>
            <w:t>- 22 -</w:t>
          </w:r>
          <w:r>
            <w:rPr>
              <w:color w:val="auto"/>
            </w:rPr>
            <w:fldChar w:fldCharType="end"/>
          </w:r>
          <w:r>
            <w:rPr>
              <w:color w:val="auto"/>
            </w:rPr>
            <w:fldChar w:fldCharType="end"/>
          </w:r>
        </w:p>
        <w:p w14:paraId="121A1EA3">
          <w:pPr>
            <w:pStyle w:val="42"/>
            <w:tabs>
              <w:tab w:val="right" w:leader="dot" w:pos="8844"/>
            </w:tabs>
            <w:rPr>
              <w:color w:val="auto"/>
            </w:rPr>
          </w:pPr>
          <w:r>
            <w:rPr>
              <w:color w:val="auto"/>
            </w:rPr>
            <w:fldChar w:fldCharType="begin"/>
          </w:r>
          <w:r>
            <w:rPr>
              <w:color w:val="auto"/>
            </w:rPr>
            <w:instrText xml:space="preserve"> HYPERLINK \l "_Toc12439" </w:instrText>
          </w:r>
          <w:r>
            <w:rPr>
              <w:color w:val="auto"/>
            </w:rPr>
            <w:fldChar w:fldCharType="separate"/>
          </w:r>
          <w:r>
            <w:rPr>
              <w:rFonts w:hint="eastAsia" w:ascii="宋体" w:hAnsi="宋体" w:cs="宋体"/>
              <w:color w:val="auto"/>
            </w:rPr>
            <w:t>1：</w:t>
          </w:r>
          <w:r>
            <w:rPr>
              <w:rFonts w:hint="eastAsia" w:ascii="宋体" w:hAnsi="宋体" w:cs="宋体"/>
              <w:color w:val="auto"/>
              <w:lang w:val="zh-CN"/>
            </w:rPr>
            <w:t>资格性检查表</w:t>
          </w:r>
          <w:r>
            <w:rPr>
              <w:color w:val="auto"/>
            </w:rPr>
            <w:tab/>
          </w:r>
          <w:r>
            <w:rPr>
              <w:color w:val="auto"/>
            </w:rPr>
            <w:fldChar w:fldCharType="begin"/>
          </w:r>
          <w:r>
            <w:rPr>
              <w:color w:val="auto"/>
            </w:rPr>
            <w:instrText xml:space="preserve"> PAGEREF _Toc12439 \h </w:instrText>
          </w:r>
          <w:r>
            <w:rPr>
              <w:color w:val="auto"/>
            </w:rPr>
            <w:fldChar w:fldCharType="separate"/>
          </w:r>
          <w:r>
            <w:rPr>
              <w:color w:val="auto"/>
            </w:rPr>
            <w:t>- 24 -</w:t>
          </w:r>
          <w:r>
            <w:rPr>
              <w:color w:val="auto"/>
            </w:rPr>
            <w:fldChar w:fldCharType="end"/>
          </w:r>
          <w:r>
            <w:rPr>
              <w:color w:val="auto"/>
            </w:rPr>
            <w:fldChar w:fldCharType="end"/>
          </w:r>
        </w:p>
        <w:p w14:paraId="66B365E2">
          <w:pPr>
            <w:pStyle w:val="42"/>
            <w:tabs>
              <w:tab w:val="right" w:leader="dot" w:pos="8844"/>
            </w:tabs>
            <w:rPr>
              <w:color w:val="auto"/>
            </w:rPr>
          </w:pPr>
          <w:r>
            <w:rPr>
              <w:color w:val="auto"/>
            </w:rPr>
            <w:fldChar w:fldCharType="begin"/>
          </w:r>
          <w:r>
            <w:rPr>
              <w:color w:val="auto"/>
            </w:rPr>
            <w:instrText xml:space="preserve"> HYPERLINK \l "_Toc29013" </w:instrText>
          </w:r>
          <w:r>
            <w:rPr>
              <w:color w:val="auto"/>
            </w:rPr>
            <w:fldChar w:fldCharType="separate"/>
          </w:r>
          <w:r>
            <w:rPr>
              <w:rFonts w:hint="eastAsia" w:ascii="宋体" w:hAnsi="宋体"/>
              <w:color w:val="auto"/>
            </w:rPr>
            <w:t>2：响应文件符合性检查表</w:t>
          </w:r>
          <w:r>
            <w:rPr>
              <w:color w:val="auto"/>
            </w:rPr>
            <w:tab/>
          </w:r>
          <w:r>
            <w:rPr>
              <w:color w:val="auto"/>
            </w:rPr>
            <w:fldChar w:fldCharType="begin"/>
          </w:r>
          <w:r>
            <w:rPr>
              <w:color w:val="auto"/>
            </w:rPr>
            <w:instrText xml:space="preserve"> PAGEREF _Toc29013 \h </w:instrText>
          </w:r>
          <w:r>
            <w:rPr>
              <w:color w:val="auto"/>
            </w:rPr>
            <w:fldChar w:fldCharType="separate"/>
          </w:r>
          <w:r>
            <w:rPr>
              <w:color w:val="auto"/>
            </w:rPr>
            <w:t>- 25 -</w:t>
          </w:r>
          <w:r>
            <w:rPr>
              <w:color w:val="auto"/>
            </w:rPr>
            <w:fldChar w:fldCharType="end"/>
          </w:r>
          <w:r>
            <w:rPr>
              <w:color w:val="auto"/>
            </w:rPr>
            <w:fldChar w:fldCharType="end"/>
          </w:r>
        </w:p>
        <w:p w14:paraId="6A0D39AF">
          <w:pPr>
            <w:pStyle w:val="42"/>
            <w:tabs>
              <w:tab w:val="right" w:leader="dot" w:pos="8844"/>
            </w:tabs>
            <w:rPr>
              <w:color w:val="auto"/>
            </w:rPr>
          </w:pPr>
          <w:r>
            <w:rPr>
              <w:color w:val="auto"/>
            </w:rPr>
            <w:fldChar w:fldCharType="begin"/>
          </w:r>
          <w:r>
            <w:rPr>
              <w:color w:val="auto"/>
            </w:rPr>
            <w:instrText xml:space="preserve"> HYPERLINK \l "_Toc32663" </w:instrText>
          </w:r>
          <w:r>
            <w:rPr>
              <w:color w:val="auto"/>
            </w:rPr>
            <w:fldChar w:fldCharType="separate"/>
          </w:r>
          <w:r>
            <w:rPr>
              <w:rFonts w:hint="eastAsia" w:ascii="宋体" w:cs="宋体"/>
              <w:bCs/>
              <w:color w:val="auto"/>
              <w:kern w:val="0"/>
              <w:lang w:val="zh-CN"/>
            </w:rPr>
            <w:t>3：澄清、说明、补正事项纪要表</w:t>
          </w:r>
          <w:r>
            <w:rPr>
              <w:color w:val="auto"/>
            </w:rPr>
            <w:tab/>
          </w:r>
          <w:r>
            <w:rPr>
              <w:color w:val="auto"/>
            </w:rPr>
            <w:fldChar w:fldCharType="begin"/>
          </w:r>
          <w:r>
            <w:rPr>
              <w:color w:val="auto"/>
            </w:rPr>
            <w:instrText xml:space="preserve"> PAGEREF _Toc32663 \h </w:instrText>
          </w:r>
          <w:r>
            <w:rPr>
              <w:color w:val="auto"/>
            </w:rPr>
            <w:fldChar w:fldCharType="separate"/>
          </w:r>
          <w:r>
            <w:rPr>
              <w:color w:val="auto"/>
            </w:rPr>
            <w:t>- 26 -</w:t>
          </w:r>
          <w:r>
            <w:rPr>
              <w:color w:val="auto"/>
            </w:rPr>
            <w:fldChar w:fldCharType="end"/>
          </w:r>
          <w:r>
            <w:rPr>
              <w:color w:val="auto"/>
            </w:rPr>
            <w:fldChar w:fldCharType="end"/>
          </w:r>
        </w:p>
        <w:p w14:paraId="27CEDF88">
          <w:pPr>
            <w:pStyle w:val="42"/>
            <w:tabs>
              <w:tab w:val="right" w:leader="dot" w:pos="8844"/>
            </w:tabs>
            <w:rPr>
              <w:color w:val="auto"/>
            </w:rPr>
          </w:pPr>
          <w:r>
            <w:rPr>
              <w:color w:val="auto"/>
            </w:rPr>
            <w:fldChar w:fldCharType="begin"/>
          </w:r>
          <w:r>
            <w:rPr>
              <w:color w:val="auto"/>
            </w:rPr>
            <w:instrText xml:space="preserve"> HYPERLINK \l "_Toc22026" </w:instrText>
          </w:r>
          <w:r>
            <w:rPr>
              <w:color w:val="auto"/>
            </w:rPr>
            <w:fldChar w:fldCharType="separate"/>
          </w:r>
          <w:r>
            <w:rPr>
              <w:rFonts w:hint="eastAsia" w:ascii="宋体" w:cs="宋体"/>
              <w:bCs/>
              <w:color w:val="auto"/>
              <w:lang w:val="zh-CN"/>
            </w:rPr>
            <w:t>4：进入详细评审的合格供应商表</w:t>
          </w:r>
          <w:r>
            <w:rPr>
              <w:color w:val="auto"/>
            </w:rPr>
            <w:tab/>
          </w:r>
          <w:r>
            <w:rPr>
              <w:color w:val="auto"/>
            </w:rPr>
            <w:fldChar w:fldCharType="begin"/>
          </w:r>
          <w:r>
            <w:rPr>
              <w:color w:val="auto"/>
            </w:rPr>
            <w:instrText xml:space="preserve"> PAGEREF _Toc22026 \h </w:instrText>
          </w:r>
          <w:r>
            <w:rPr>
              <w:color w:val="auto"/>
            </w:rPr>
            <w:fldChar w:fldCharType="separate"/>
          </w:r>
          <w:r>
            <w:rPr>
              <w:color w:val="auto"/>
            </w:rPr>
            <w:t>- 27 -</w:t>
          </w:r>
          <w:r>
            <w:rPr>
              <w:color w:val="auto"/>
            </w:rPr>
            <w:fldChar w:fldCharType="end"/>
          </w:r>
          <w:r>
            <w:rPr>
              <w:color w:val="auto"/>
            </w:rPr>
            <w:fldChar w:fldCharType="end"/>
          </w:r>
        </w:p>
        <w:p w14:paraId="171B2810">
          <w:pPr>
            <w:pStyle w:val="42"/>
            <w:tabs>
              <w:tab w:val="right" w:leader="dot" w:pos="8844"/>
            </w:tabs>
            <w:rPr>
              <w:color w:val="auto"/>
            </w:rPr>
          </w:pPr>
          <w:r>
            <w:rPr>
              <w:color w:val="auto"/>
            </w:rPr>
            <w:fldChar w:fldCharType="begin"/>
          </w:r>
          <w:r>
            <w:rPr>
              <w:color w:val="auto"/>
            </w:rPr>
            <w:instrText xml:space="preserve"> HYPERLINK \l "_Toc14070" </w:instrText>
          </w:r>
          <w:r>
            <w:rPr>
              <w:color w:val="auto"/>
            </w:rPr>
            <w:fldChar w:fldCharType="separate"/>
          </w:r>
          <w:r>
            <w:rPr>
              <w:rFonts w:hint="eastAsia" w:ascii="宋体" w:cs="宋体"/>
              <w:bCs/>
              <w:color w:val="auto"/>
              <w:lang w:val="zh-CN"/>
            </w:rPr>
            <w:t>5：不合格供应商表</w:t>
          </w:r>
          <w:r>
            <w:rPr>
              <w:color w:val="auto"/>
            </w:rPr>
            <w:tab/>
          </w:r>
          <w:r>
            <w:rPr>
              <w:color w:val="auto"/>
            </w:rPr>
            <w:fldChar w:fldCharType="begin"/>
          </w:r>
          <w:r>
            <w:rPr>
              <w:color w:val="auto"/>
            </w:rPr>
            <w:instrText xml:space="preserve"> PAGEREF _Toc14070 \h </w:instrText>
          </w:r>
          <w:r>
            <w:rPr>
              <w:color w:val="auto"/>
            </w:rPr>
            <w:fldChar w:fldCharType="separate"/>
          </w:r>
          <w:r>
            <w:rPr>
              <w:color w:val="auto"/>
            </w:rPr>
            <w:t>- 28 -</w:t>
          </w:r>
          <w:r>
            <w:rPr>
              <w:color w:val="auto"/>
            </w:rPr>
            <w:fldChar w:fldCharType="end"/>
          </w:r>
          <w:r>
            <w:rPr>
              <w:color w:val="auto"/>
            </w:rPr>
            <w:fldChar w:fldCharType="end"/>
          </w:r>
        </w:p>
        <w:p w14:paraId="7027DA24">
          <w:pPr>
            <w:pStyle w:val="42"/>
            <w:tabs>
              <w:tab w:val="right" w:leader="dot" w:pos="8844"/>
            </w:tabs>
            <w:rPr>
              <w:color w:val="auto"/>
            </w:rPr>
          </w:pPr>
          <w:r>
            <w:rPr>
              <w:color w:val="auto"/>
            </w:rPr>
            <w:fldChar w:fldCharType="begin"/>
          </w:r>
          <w:r>
            <w:rPr>
              <w:color w:val="auto"/>
            </w:rPr>
            <w:instrText xml:space="preserve"> HYPERLINK \l "_Toc28566" </w:instrText>
          </w:r>
          <w:r>
            <w:rPr>
              <w:color w:val="auto"/>
            </w:rPr>
            <w:fldChar w:fldCharType="separate"/>
          </w:r>
          <w:r>
            <w:rPr>
              <w:rFonts w:hint="eastAsia" w:ascii="宋体" w:cs="宋体"/>
              <w:bCs/>
              <w:color w:val="auto"/>
            </w:rPr>
            <w:t>6</w:t>
          </w:r>
          <w:r>
            <w:rPr>
              <w:rFonts w:hint="eastAsia" w:ascii="宋体" w:cs="宋体"/>
              <w:bCs/>
              <w:color w:val="auto"/>
              <w:lang w:val="zh-CN"/>
            </w:rPr>
            <w:t>：磋商标准（100分）</w:t>
          </w:r>
          <w:r>
            <w:rPr>
              <w:color w:val="auto"/>
            </w:rPr>
            <w:tab/>
          </w:r>
          <w:r>
            <w:rPr>
              <w:color w:val="auto"/>
            </w:rPr>
            <w:fldChar w:fldCharType="begin"/>
          </w:r>
          <w:r>
            <w:rPr>
              <w:color w:val="auto"/>
            </w:rPr>
            <w:instrText xml:space="preserve"> PAGEREF _Toc28566 \h </w:instrText>
          </w:r>
          <w:r>
            <w:rPr>
              <w:color w:val="auto"/>
            </w:rPr>
            <w:fldChar w:fldCharType="separate"/>
          </w:r>
          <w:r>
            <w:rPr>
              <w:color w:val="auto"/>
            </w:rPr>
            <w:t>- 29 -</w:t>
          </w:r>
          <w:r>
            <w:rPr>
              <w:color w:val="auto"/>
            </w:rPr>
            <w:fldChar w:fldCharType="end"/>
          </w:r>
          <w:r>
            <w:rPr>
              <w:color w:val="auto"/>
            </w:rPr>
            <w:fldChar w:fldCharType="end"/>
          </w:r>
        </w:p>
        <w:p w14:paraId="24CA3CFD">
          <w:pPr>
            <w:pStyle w:val="42"/>
            <w:tabs>
              <w:tab w:val="right" w:leader="dot" w:pos="8844"/>
            </w:tabs>
            <w:rPr>
              <w:color w:val="auto"/>
            </w:rPr>
          </w:pPr>
          <w:r>
            <w:rPr>
              <w:color w:val="auto"/>
            </w:rPr>
            <w:fldChar w:fldCharType="begin"/>
          </w:r>
          <w:r>
            <w:rPr>
              <w:color w:val="auto"/>
            </w:rPr>
            <w:instrText xml:space="preserve"> HYPERLINK \l "_Toc23294" </w:instrText>
          </w:r>
          <w:r>
            <w:rPr>
              <w:color w:val="auto"/>
            </w:rPr>
            <w:fldChar w:fldCharType="separate"/>
          </w:r>
          <w:r>
            <w:rPr>
              <w:rFonts w:hint="eastAsia" w:ascii="宋体" w:hAnsi="宋体"/>
              <w:bCs/>
              <w:color w:val="auto"/>
            </w:rPr>
            <w:t>7：供应商</w:t>
          </w:r>
          <w:r>
            <w:rPr>
              <w:rFonts w:hint="eastAsia"/>
              <w:color w:val="auto"/>
              <w:spacing w:val="26"/>
            </w:rPr>
            <w:t>得分汇总计算表</w:t>
          </w:r>
          <w:r>
            <w:rPr>
              <w:color w:val="auto"/>
            </w:rPr>
            <w:tab/>
          </w:r>
          <w:r>
            <w:rPr>
              <w:color w:val="auto"/>
            </w:rPr>
            <w:fldChar w:fldCharType="begin"/>
          </w:r>
          <w:r>
            <w:rPr>
              <w:color w:val="auto"/>
            </w:rPr>
            <w:instrText xml:space="preserve"> PAGEREF _Toc23294 \h </w:instrText>
          </w:r>
          <w:r>
            <w:rPr>
              <w:color w:val="auto"/>
            </w:rPr>
            <w:fldChar w:fldCharType="separate"/>
          </w:r>
          <w:r>
            <w:rPr>
              <w:color w:val="auto"/>
            </w:rPr>
            <w:t>- 31 -</w:t>
          </w:r>
          <w:r>
            <w:rPr>
              <w:color w:val="auto"/>
            </w:rPr>
            <w:fldChar w:fldCharType="end"/>
          </w:r>
          <w:r>
            <w:rPr>
              <w:color w:val="auto"/>
            </w:rPr>
            <w:fldChar w:fldCharType="end"/>
          </w:r>
        </w:p>
        <w:p w14:paraId="2381484B">
          <w:pPr>
            <w:pStyle w:val="42"/>
            <w:tabs>
              <w:tab w:val="right" w:leader="dot" w:pos="8844"/>
            </w:tabs>
            <w:rPr>
              <w:color w:val="auto"/>
            </w:rPr>
          </w:pPr>
          <w:r>
            <w:rPr>
              <w:color w:val="auto"/>
            </w:rPr>
            <w:fldChar w:fldCharType="begin"/>
          </w:r>
          <w:r>
            <w:rPr>
              <w:color w:val="auto"/>
            </w:rPr>
            <w:instrText xml:space="preserve"> HYPERLINK \l "_Toc8865" </w:instrText>
          </w:r>
          <w:r>
            <w:rPr>
              <w:color w:val="auto"/>
            </w:rPr>
            <w:fldChar w:fldCharType="separate"/>
          </w:r>
          <w:r>
            <w:rPr>
              <w:rFonts w:hint="eastAsia" w:ascii="宋体" w:hAnsi="宋体"/>
              <w:bCs/>
              <w:color w:val="auto"/>
              <w:szCs w:val="32"/>
            </w:rPr>
            <w:t>8：</w:t>
          </w:r>
          <w:r>
            <w:rPr>
              <w:rFonts w:hint="eastAsia" w:ascii="宋体" w:hAnsi="宋体"/>
              <w:color w:val="auto"/>
            </w:rPr>
            <w:t>经评审的供应商排序表</w:t>
          </w:r>
          <w:r>
            <w:rPr>
              <w:color w:val="auto"/>
            </w:rPr>
            <w:tab/>
          </w:r>
          <w:r>
            <w:rPr>
              <w:color w:val="auto"/>
            </w:rPr>
            <w:fldChar w:fldCharType="begin"/>
          </w:r>
          <w:r>
            <w:rPr>
              <w:color w:val="auto"/>
            </w:rPr>
            <w:instrText xml:space="preserve"> PAGEREF _Toc8865 \h </w:instrText>
          </w:r>
          <w:r>
            <w:rPr>
              <w:color w:val="auto"/>
            </w:rPr>
            <w:fldChar w:fldCharType="separate"/>
          </w:r>
          <w:r>
            <w:rPr>
              <w:color w:val="auto"/>
            </w:rPr>
            <w:t>- 32 -</w:t>
          </w:r>
          <w:r>
            <w:rPr>
              <w:color w:val="auto"/>
            </w:rPr>
            <w:fldChar w:fldCharType="end"/>
          </w:r>
          <w:r>
            <w:rPr>
              <w:color w:val="auto"/>
            </w:rPr>
            <w:fldChar w:fldCharType="end"/>
          </w:r>
        </w:p>
        <w:p w14:paraId="5A5A6626">
          <w:pPr>
            <w:pStyle w:val="42"/>
            <w:tabs>
              <w:tab w:val="right" w:leader="dot" w:pos="8844"/>
            </w:tabs>
            <w:rPr>
              <w:color w:val="auto"/>
            </w:rPr>
          </w:pPr>
          <w:r>
            <w:rPr>
              <w:color w:val="auto"/>
            </w:rPr>
            <w:fldChar w:fldCharType="begin"/>
          </w:r>
          <w:r>
            <w:rPr>
              <w:color w:val="auto"/>
            </w:rPr>
            <w:instrText xml:space="preserve"> HYPERLINK \l "_Toc4373" </w:instrText>
          </w:r>
          <w:r>
            <w:rPr>
              <w:color w:val="auto"/>
            </w:rPr>
            <w:fldChar w:fldCharType="separate"/>
          </w:r>
          <w:r>
            <w:rPr>
              <w:rFonts w:hint="eastAsia" w:ascii="宋体" w:hAnsi="宋体"/>
              <w:color w:val="auto"/>
              <w:szCs w:val="21"/>
            </w:rPr>
            <w:t>9：推荐成交候选供应商名单</w:t>
          </w:r>
          <w:r>
            <w:rPr>
              <w:color w:val="auto"/>
            </w:rPr>
            <w:tab/>
          </w:r>
          <w:r>
            <w:rPr>
              <w:color w:val="auto"/>
            </w:rPr>
            <w:fldChar w:fldCharType="begin"/>
          </w:r>
          <w:r>
            <w:rPr>
              <w:color w:val="auto"/>
            </w:rPr>
            <w:instrText xml:space="preserve"> PAGEREF _Toc4373 \h </w:instrText>
          </w:r>
          <w:r>
            <w:rPr>
              <w:color w:val="auto"/>
            </w:rPr>
            <w:fldChar w:fldCharType="separate"/>
          </w:r>
          <w:r>
            <w:rPr>
              <w:color w:val="auto"/>
            </w:rPr>
            <w:t>- 33 -</w:t>
          </w:r>
          <w:r>
            <w:rPr>
              <w:color w:val="auto"/>
            </w:rPr>
            <w:fldChar w:fldCharType="end"/>
          </w:r>
          <w:r>
            <w:rPr>
              <w:color w:val="auto"/>
            </w:rPr>
            <w:fldChar w:fldCharType="end"/>
          </w:r>
        </w:p>
        <w:p w14:paraId="6AE85641">
          <w:pPr>
            <w:pStyle w:val="36"/>
            <w:tabs>
              <w:tab w:val="right" w:leader="dot" w:pos="8844"/>
            </w:tabs>
            <w:rPr>
              <w:color w:val="auto"/>
            </w:rPr>
          </w:pPr>
          <w:r>
            <w:rPr>
              <w:color w:val="auto"/>
            </w:rPr>
            <w:fldChar w:fldCharType="begin"/>
          </w:r>
          <w:r>
            <w:rPr>
              <w:color w:val="auto"/>
            </w:rPr>
            <w:instrText xml:space="preserve"> HYPERLINK \l "_Toc3285" </w:instrText>
          </w:r>
          <w:r>
            <w:rPr>
              <w:color w:val="auto"/>
            </w:rPr>
            <w:fldChar w:fldCharType="separate"/>
          </w:r>
          <w:r>
            <w:rPr>
              <w:rFonts w:hint="eastAsia" w:ascii="宋体" w:hAnsi="宋体"/>
              <w:color w:val="auto"/>
              <w:szCs w:val="32"/>
            </w:rPr>
            <w:t xml:space="preserve">第四章 </w:t>
          </w:r>
          <w:r>
            <w:rPr>
              <w:rFonts w:hint="eastAsia" w:ascii="宋体" w:hAnsi="宋体"/>
              <w:bCs/>
              <w:color w:val="auto"/>
              <w:szCs w:val="32"/>
            </w:rPr>
            <w:t>合同格式条款</w:t>
          </w:r>
          <w:r>
            <w:rPr>
              <w:color w:val="auto"/>
            </w:rPr>
            <w:tab/>
          </w:r>
          <w:r>
            <w:rPr>
              <w:color w:val="auto"/>
            </w:rPr>
            <w:fldChar w:fldCharType="begin"/>
          </w:r>
          <w:r>
            <w:rPr>
              <w:color w:val="auto"/>
            </w:rPr>
            <w:instrText xml:space="preserve"> PAGEREF _Toc3285 \h </w:instrText>
          </w:r>
          <w:r>
            <w:rPr>
              <w:color w:val="auto"/>
            </w:rPr>
            <w:fldChar w:fldCharType="separate"/>
          </w:r>
          <w:r>
            <w:rPr>
              <w:color w:val="auto"/>
            </w:rPr>
            <w:t>- 34 -</w:t>
          </w:r>
          <w:r>
            <w:rPr>
              <w:color w:val="auto"/>
            </w:rPr>
            <w:fldChar w:fldCharType="end"/>
          </w:r>
          <w:r>
            <w:rPr>
              <w:color w:val="auto"/>
            </w:rPr>
            <w:fldChar w:fldCharType="end"/>
          </w:r>
        </w:p>
        <w:p w14:paraId="44F58532">
          <w:pPr>
            <w:pStyle w:val="36"/>
            <w:tabs>
              <w:tab w:val="right" w:leader="dot" w:pos="8844"/>
            </w:tabs>
            <w:rPr>
              <w:color w:val="auto"/>
            </w:rPr>
          </w:pPr>
          <w:r>
            <w:rPr>
              <w:color w:val="auto"/>
            </w:rPr>
            <w:fldChar w:fldCharType="begin"/>
          </w:r>
          <w:r>
            <w:rPr>
              <w:color w:val="auto"/>
            </w:rPr>
            <w:instrText xml:space="preserve"> HYPERLINK \l "_Toc21986" </w:instrText>
          </w:r>
          <w:r>
            <w:rPr>
              <w:color w:val="auto"/>
            </w:rPr>
            <w:fldChar w:fldCharType="separate"/>
          </w:r>
          <w:r>
            <w:rPr>
              <w:rFonts w:hint="eastAsia" w:ascii="宋体" w:hAnsi="宋体"/>
              <w:bCs/>
              <w:color w:val="auto"/>
              <w:szCs w:val="32"/>
            </w:rPr>
            <w:t xml:space="preserve">第五章 </w:t>
          </w:r>
          <w:r>
            <w:rPr>
              <w:rFonts w:hint="eastAsia" w:ascii="宋体" w:hAnsi="宋体"/>
              <w:color w:val="auto"/>
              <w:szCs w:val="32"/>
            </w:rPr>
            <w:t>采购需求</w:t>
          </w:r>
          <w:r>
            <w:rPr>
              <w:color w:val="auto"/>
            </w:rPr>
            <w:tab/>
          </w:r>
          <w:r>
            <w:rPr>
              <w:color w:val="auto"/>
            </w:rPr>
            <w:fldChar w:fldCharType="begin"/>
          </w:r>
          <w:r>
            <w:rPr>
              <w:color w:val="auto"/>
            </w:rPr>
            <w:instrText xml:space="preserve"> PAGEREF _Toc21986 \h </w:instrText>
          </w:r>
          <w:r>
            <w:rPr>
              <w:color w:val="auto"/>
            </w:rPr>
            <w:fldChar w:fldCharType="separate"/>
          </w:r>
          <w:r>
            <w:rPr>
              <w:color w:val="auto"/>
            </w:rPr>
            <w:t>- 39 -</w:t>
          </w:r>
          <w:r>
            <w:rPr>
              <w:color w:val="auto"/>
            </w:rPr>
            <w:fldChar w:fldCharType="end"/>
          </w:r>
          <w:r>
            <w:rPr>
              <w:color w:val="auto"/>
            </w:rPr>
            <w:fldChar w:fldCharType="end"/>
          </w:r>
        </w:p>
        <w:p w14:paraId="78CBB203">
          <w:pPr>
            <w:pStyle w:val="42"/>
            <w:tabs>
              <w:tab w:val="right" w:leader="dot" w:pos="8844"/>
            </w:tabs>
            <w:rPr>
              <w:color w:val="auto"/>
            </w:rPr>
          </w:pPr>
          <w:r>
            <w:rPr>
              <w:color w:val="auto"/>
            </w:rPr>
            <w:fldChar w:fldCharType="begin"/>
          </w:r>
          <w:r>
            <w:rPr>
              <w:color w:val="auto"/>
            </w:rPr>
            <w:instrText xml:space="preserve"> HYPERLINK \l "_Toc31507" </w:instrText>
          </w:r>
          <w:r>
            <w:rPr>
              <w:color w:val="auto"/>
            </w:rPr>
            <w:fldChar w:fldCharType="separate"/>
          </w:r>
          <w:r>
            <w:rPr>
              <w:rFonts w:hint="eastAsia" w:ascii="黑体" w:hAnsi="黑体" w:eastAsia="黑体"/>
              <w:color w:val="auto"/>
              <w:szCs w:val="28"/>
            </w:rPr>
            <w:t>第一节 采购清单</w:t>
          </w:r>
          <w:r>
            <w:rPr>
              <w:color w:val="auto"/>
            </w:rPr>
            <w:tab/>
          </w:r>
          <w:r>
            <w:rPr>
              <w:color w:val="auto"/>
            </w:rPr>
            <w:fldChar w:fldCharType="begin"/>
          </w:r>
          <w:r>
            <w:rPr>
              <w:color w:val="auto"/>
            </w:rPr>
            <w:instrText xml:space="preserve"> PAGEREF _Toc31507 \h </w:instrText>
          </w:r>
          <w:r>
            <w:rPr>
              <w:color w:val="auto"/>
            </w:rPr>
            <w:fldChar w:fldCharType="separate"/>
          </w:r>
          <w:r>
            <w:rPr>
              <w:color w:val="auto"/>
            </w:rPr>
            <w:t>- 39 -</w:t>
          </w:r>
          <w:r>
            <w:rPr>
              <w:color w:val="auto"/>
            </w:rPr>
            <w:fldChar w:fldCharType="end"/>
          </w:r>
          <w:r>
            <w:rPr>
              <w:color w:val="auto"/>
            </w:rPr>
            <w:fldChar w:fldCharType="end"/>
          </w:r>
        </w:p>
        <w:p w14:paraId="0EC71866">
          <w:pPr>
            <w:pStyle w:val="42"/>
            <w:tabs>
              <w:tab w:val="right" w:leader="dot" w:pos="8844"/>
            </w:tabs>
            <w:rPr>
              <w:color w:val="auto"/>
            </w:rPr>
          </w:pPr>
          <w:r>
            <w:rPr>
              <w:color w:val="auto"/>
            </w:rPr>
            <w:fldChar w:fldCharType="begin"/>
          </w:r>
          <w:r>
            <w:rPr>
              <w:color w:val="auto"/>
            </w:rPr>
            <w:instrText xml:space="preserve"> HYPERLINK \l "_Toc30709" </w:instrText>
          </w:r>
          <w:r>
            <w:rPr>
              <w:color w:val="auto"/>
            </w:rPr>
            <w:fldChar w:fldCharType="separate"/>
          </w:r>
          <w:r>
            <w:rPr>
              <w:rFonts w:hint="eastAsia" w:ascii="黑体" w:hAnsi="黑体" w:eastAsia="黑体"/>
              <w:color w:val="auto"/>
              <w:szCs w:val="28"/>
            </w:rPr>
            <w:t>第二节 实施</w:t>
          </w:r>
          <w:r>
            <w:rPr>
              <w:rFonts w:ascii="黑体" w:hAnsi="黑体" w:eastAsia="黑体"/>
              <w:color w:val="auto"/>
              <w:szCs w:val="28"/>
            </w:rPr>
            <w:t>要求</w:t>
          </w:r>
          <w:r>
            <w:rPr>
              <w:color w:val="auto"/>
            </w:rPr>
            <w:tab/>
          </w:r>
          <w:r>
            <w:rPr>
              <w:color w:val="auto"/>
            </w:rPr>
            <w:fldChar w:fldCharType="begin"/>
          </w:r>
          <w:r>
            <w:rPr>
              <w:color w:val="auto"/>
            </w:rPr>
            <w:instrText xml:space="preserve"> PAGEREF _Toc30709 \h </w:instrText>
          </w:r>
          <w:r>
            <w:rPr>
              <w:color w:val="auto"/>
            </w:rPr>
            <w:fldChar w:fldCharType="separate"/>
          </w:r>
          <w:r>
            <w:rPr>
              <w:color w:val="auto"/>
            </w:rPr>
            <w:t>- 53 -</w:t>
          </w:r>
          <w:r>
            <w:rPr>
              <w:color w:val="auto"/>
            </w:rPr>
            <w:fldChar w:fldCharType="end"/>
          </w:r>
          <w:r>
            <w:rPr>
              <w:color w:val="auto"/>
            </w:rPr>
            <w:fldChar w:fldCharType="end"/>
          </w:r>
        </w:p>
        <w:p w14:paraId="2C9CA668">
          <w:pPr>
            <w:pStyle w:val="36"/>
            <w:tabs>
              <w:tab w:val="right" w:leader="dot" w:pos="8844"/>
            </w:tabs>
            <w:rPr>
              <w:color w:val="auto"/>
            </w:rPr>
          </w:pPr>
          <w:r>
            <w:rPr>
              <w:color w:val="auto"/>
            </w:rPr>
            <w:fldChar w:fldCharType="begin"/>
          </w:r>
          <w:r>
            <w:rPr>
              <w:color w:val="auto"/>
            </w:rPr>
            <w:instrText xml:space="preserve"> HYPERLINK \l "_Toc25823" </w:instrText>
          </w:r>
          <w:r>
            <w:rPr>
              <w:color w:val="auto"/>
            </w:rPr>
            <w:fldChar w:fldCharType="separate"/>
          </w:r>
          <w:r>
            <w:rPr>
              <w:rFonts w:hint="eastAsia"/>
              <w:color w:val="auto"/>
              <w:szCs w:val="32"/>
            </w:rPr>
            <w:t>第六章 响应文件组成</w:t>
          </w:r>
          <w:r>
            <w:rPr>
              <w:color w:val="auto"/>
            </w:rPr>
            <w:tab/>
          </w:r>
          <w:r>
            <w:rPr>
              <w:color w:val="auto"/>
            </w:rPr>
            <w:fldChar w:fldCharType="begin"/>
          </w:r>
          <w:r>
            <w:rPr>
              <w:color w:val="auto"/>
            </w:rPr>
            <w:instrText xml:space="preserve"> PAGEREF _Toc25823 \h </w:instrText>
          </w:r>
          <w:r>
            <w:rPr>
              <w:color w:val="auto"/>
            </w:rPr>
            <w:fldChar w:fldCharType="separate"/>
          </w:r>
          <w:r>
            <w:rPr>
              <w:color w:val="auto"/>
            </w:rPr>
            <w:t>- 57 -</w:t>
          </w:r>
          <w:r>
            <w:rPr>
              <w:color w:val="auto"/>
            </w:rPr>
            <w:fldChar w:fldCharType="end"/>
          </w:r>
          <w:r>
            <w:rPr>
              <w:color w:val="auto"/>
            </w:rPr>
            <w:fldChar w:fldCharType="end"/>
          </w:r>
        </w:p>
        <w:p w14:paraId="09E5C87E">
          <w:pPr>
            <w:pStyle w:val="42"/>
            <w:tabs>
              <w:tab w:val="right" w:leader="dot" w:pos="8844"/>
            </w:tabs>
            <w:rPr>
              <w:color w:val="auto"/>
            </w:rPr>
          </w:pPr>
          <w:r>
            <w:rPr>
              <w:color w:val="auto"/>
            </w:rPr>
            <w:fldChar w:fldCharType="begin"/>
          </w:r>
          <w:r>
            <w:rPr>
              <w:color w:val="auto"/>
            </w:rPr>
            <w:instrText xml:space="preserve"> HYPERLINK \l "_Toc14497" </w:instrText>
          </w:r>
          <w:r>
            <w:rPr>
              <w:color w:val="auto"/>
            </w:rPr>
            <w:fldChar w:fldCharType="separate"/>
          </w:r>
          <w:r>
            <w:rPr>
              <w:rFonts w:hint="eastAsia" w:ascii="宋体" w:hAnsi="宋体"/>
              <w:color w:val="auto"/>
              <w:szCs w:val="32"/>
            </w:rPr>
            <w:t>一、磋商响应声明</w:t>
          </w:r>
          <w:r>
            <w:rPr>
              <w:color w:val="auto"/>
            </w:rPr>
            <w:tab/>
          </w:r>
          <w:r>
            <w:rPr>
              <w:color w:val="auto"/>
            </w:rPr>
            <w:fldChar w:fldCharType="begin"/>
          </w:r>
          <w:r>
            <w:rPr>
              <w:color w:val="auto"/>
            </w:rPr>
            <w:instrText xml:space="preserve"> PAGEREF _Toc14497 \h </w:instrText>
          </w:r>
          <w:r>
            <w:rPr>
              <w:color w:val="auto"/>
            </w:rPr>
            <w:fldChar w:fldCharType="separate"/>
          </w:r>
          <w:r>
            <w:rPr>
              <w:color w:val="auto"/>
            </w:rPr>
            <w:t>- 58 -</w:t>
          </w:r>
          <w:r>
            <w:rPr>
              <w:color w:val="auto"/>
            </w:rPr>
            <w:fldChar w:fldCharType="end"/>
          </w:r>
          <w:r>
            <w:rPr>
              <w:color w:val="auto"/>
            </w:rPr>
            <w:fldChar w:fldCharType="end"/>
          </w:r>
        </w:p>
        <w:p w14:paraId="08755B00">
          <w:pPr>
            <w:pStyle w:val="42"/>
            <w:tabs>
              <w:tab w:val="right" w:leader="dot" w:pos="8844"/>
            </w:tabs>
            <w:rPr>
              <w:color w:val="auto"/>
            </w:rPr>
          </w:pPr>
          <w:r>
            <w:rPr>
              <w:color w:val="auto"/>
            </w:rPr>
            <w:fldChar w:fldCharType="begin"/>
          </w:r>
          <w:r>
            <w:rPr>
              <w:color w:val="auto"/>
            </w:rPr>
            <w:instrText xml:space="preserve"> HYPERLINK \l "_Toc24136" </w:instrText>
          </w:r>
          <w:r>
            <w:rPr>
              <w:color w:val="auto"/>
            </w:rPr>
            <w:fldChar w:fldCharType="separate"/>
          </w:r>
          <w:r>
            <w:rPr>
              <w:rFonts w:hint="eastAsia" w:ascii="宋体" w:hAnsi="宋体"/>
              <w:color w:val="auto"/>
              <w:szCs w:val="32"/>
            </w:rPr>
            <w:t>二、保证金</w:t>
          </w:r>
          <w:r>
            <w:rPr>
              <w:color w:val="auto"/>
            </w:rPr>
            <w:tab/>
          </w:r>
          <w:r>
            <w:rPr>
              <w:color w:val="auto"/>
            </w:rPr>
            <w:fldChar w:fldCharType="begin"/>
          </w:r>
          <w:r>
            <w:rPr>
              <w:color w:val="auto"/>
            </w:rPr>
            <w:instrText xml:space="preserve"> PAGEREF _Toc24136 \h </w:instrText>
          </w:r>
          <w:r>
            <w:rPr>
              <w:color w:val="auto"/>
            </w:rPr>
            <w:fldChar w:fldCharType="separate"/>
          </w:r>
          <w:r>
            <w:rPr>
              <w:color w:val="auto"/>
            </w:rPr>
            <w:t>- 62 -</w:t>
          </w:r>
          <w:r>
            <w:rPr>
              <w:color w:val="auto"/>
            </w:rPr>
            <w:fldChar w:fldCharType="end"/>
          </w:r>
          <w:r>
            <w:rPr>
              <w:color w:val="auto"/>
            </w:rPr>
            <w:fldChar w:fldCharType="end"/>
          </w:r>
        </w:p>
        <w:p w14:paraId="6E6EB147">
          <w:pPr>
            <w:pStyle w:val="42"/>
            <w:tabs>
              <w:tab w:val="right" w:leader="dot" w:pos="8844"/>
            </w:tabs>
            <w:rPr>
              <w:color w:val="auto"/>
            </w:rPr>
          </w:pPr>
          <w:r>
            <w:rPr>
              <w:color w:val="auto"/>
            </w:rPr>
            <w:fldChar w:fldCharType="begin"/>
          </w:r>
          <w:r>
            <w:rPr>
              <w:color w:val="auto"/>
            </w:rPr>
            <w:instrText xml:space="preserve"> HYPERLINK \l "_Toc31039" </w:instrText>
          </w:r>
          <w:r>
            <w:rPr>
              <w:color w:val="auto"/>
            </w:rPr>
            <w:fldChar w:fldCharType="separate"/>
          </w:r>
          <w:r>
            <w:rPr>
              <w:rFonts w:hint="eastAsia" w:ascii="宋体" w:hAnsi="宋体"/>
              <w:color w:val="auto"/>
              <w:szCs w:val="32"/>
            </w:rPr>
            <w:t>三、供应商</w:t>
          </w:r>
          <w:r>
            <w:rPr>
              <w:rFonts w:hint="eastAsia" w:ascii="宋体" w:hAnsi="宋体"/>
              <w:bCs/>
              <w:color w:val="auto"/>
              <w:szCs w:val="32"/>
            </w:rPr>
            <w:t>的资格证明材料</w:t>
          </w:r>
          <w:r>
            <w:rPr>
              <w:color w:val="auto"/>
            </w:rPr>
            <w:tab/>
          </w:r>
          <w:r>
            <w:rPr>
              <w:color w:val="auto"/>
            </w:rPr>
            <w:fldChar w:fldCharType="begin"/>
          </w:r>
          <w:r>
            <w:rPr>
              <w:color w:val="auto"/>
            </w:rPr>
            <w:instrText xml:space="preserve"> PAGEREF _Toc31039 \h </w:instrText>
          </w:r>
          <w:r>
            <w:rPr>
              <w:color w:val="auto"/>
            </w:rPr>
            <w:fldChar w:fldCharType="separate"/>
          </w:r>
          <w:r>
            <w:rPr>
              <w:color w:val="auto"/>
            </w:rPr>
            <w:t>- 64 -</w:t>
          </w:r>
          <w:r>
            <w:rPr>
              <w:color w:val="auto"/>
            </w:rPr>
            <w:fldChar w:fldCharType="end"/>
          </w:r>
          <w:r>
            <w:rPr>
              <w:color w:val="auto"/>
            </w:rPr>
            <w:fldChar w:fldCharType="end"/>
          </w:r>
        </w:p>
        <w:p w14:paraId="05B84F1E">
          <w:pPr>
            <w:pStyle w:val="42"/>
            <w:tabs>
              <w:tab w:val="right" w:leader="dot" w:pos="8844"/>
            </w:tabs>
            <w:rPr>
              <w:color w:val="auto"/>
            </w:rPr>
          </w:pPr>
          <w:r>
            <w:rPr>
              <w:color w:val="auto"/>
            </w:rPr>
            <w:fldChar w:fldCharType="begin"/>
          </w:r>
          <w:r>
            <w:rPr>
              <w:color w:val="auto"/>
            </w:rPr>
            <w:instrText xml:space="preserve"> HYPERLINK \l "_Toc30854" </w:instrText>
          </w:r>
          <w:r>
            <w:rPr>
              <w:color w:val="auto"/>
            </w:rPr>
            <w:fldChar w:fldCharType="separate"/>
          </w:r>
          <w:r>
            <w:rPr>
              <w:rFonts w:hint="eastAsia" w:ascii="宋体" w:hAnsi="宋体"/>
              <w:color w:val="auto"/>
              <w:szCs w:val="32"/>
            </w:rPr>
            <w:t>四、服务方案</w:t>
          </w:r>
          <w:r>
            <w:rPr>
              <w:color w:val="auto"/>
            </w:rPr>
            <w:tab/>
          </w:r>
          <w:r>
            <w:rPr>
              <w:color w:val="auto"/>
            </w:rPr>
            <w:fldChar w:fldCharType="begin"/>
          </w:r>
          <w:r>
            <w:rPr>
              <w:color w:val="auto"/>
            </w:rPr>
            <w:instrText xml:space="preserve"> PAGEREF _Toc30854 \h </w:instrText>
          </w:r>
          <w:r>
            <w:rPr>
              <w:color w:val="auto"/>
            </w:rPr>
            <w:fldChar w:fldCharType="separate"/>
          </w:r>
          <w:r>
            <w:rPr>
              <w:color w:val="auto"/>
            </w:rPr>
            <w:t>- 69 -</w:t>
          </w:r>
          <w:r>
            <w:rPr>
              <w:color w:val="auto"/>
            </w:rPr>
            <w:fldChar w:fldCharType="end"/>
          </w:r>
          <w:r>
            <w:rPr>
              <w:color w:val="auto"/>
            </w:rPr>
            <w:fldChar w:fldCharType="end"/>
          </w:r>
        </w:p>
        <w:p w14:paraId="6B2AE9EF">
          <w:pPr>
            <w:pStyle w:val="42"/>
            <w:tabs>
              <w:tab w:val="right" w:leader="dot" w:pos="8844"/>
            </w:tabs>
            <w:rPr>
              <w:color w:val="auto"/>
            </w:rPr>
          </w:pPr>
          <w:r>
            <w:rPr>
              <w:color w:val="auto"/>
            </w:rPr>
            <w:fldChar w:fldCharType="begin"/>
          </w:r>
          <w:r>
            <w:rPr>
              <w:color w:val="auto"/>
            </w:rPr>
            <w:instrText xml:space="preserve"> HYPERLINK \l "_Toc28254" </w:instrText>
          </w:r>
          <w:r>
            <w:rPr>
              <w:color w:val="auto"/>
            </w:rPr>
            <w:fldChar w:fldCharType="separate"/>
          </w:r>
          <w:r>
            <w:rPr>
              <w:rFonts w:hint="eastAsia" w:ascii="宋体" w:hAnsi="宋体"/>
              <w:color w:val="auto"/>
              <w:szCs w:val="32"/>
            </w:rPr>
            <w:t>五、技术/商务响应与偏离表</w:t>
          </w:r>
          <w:r>
            <w:rPr>
              <w:color w:val="auto"/>
            </w:rPr>
            <w:tab/>
          </w:r>
          <w:r>
            <w:rPr>
              <w:color w:val="auto"/>
            </w:rPr>
            <w:fldChar w:fldCharType="begin"/>
          </w:r>
          <w:r>
            <w:rPr>
              <w:color w:val="auto"/>
            </w:rPr>
            <w:instrText xml:space="preserve"> PAGEREF _Toc28254 \h </w:instrText>
          </w:r>
          <w:r>
            <w:rPr>
              <w:color w:val="auto"/>
            </w:rPr>
            <w:fldChar w:fldCharType="separate"/>
          </w:r>
          <w:r>
            <w:rPr>
              <w:color w:val="auto"/>
            </w:rPr>
            <w:t>- 70 -</w:t>
          </w:r>
          <w:r>
            <w:rPr>
              <w:color w:val="auto"/>
            </w:rPr>
            <w:fldChar w:fldCharType="end"/>
          </w:r>
          <w:r>
            <w:rPr>
              <w:color w:val="auto"/>
            </w:rPr>
            <w:fldChar w:fldCharType="end"/>
          </w:r>
        </w:p>
        <w:p w14:paraId="12B4697B">
          <w:pPr>
            <w:pStyle w:val="42"/>
            <w:tabs>
              <w:tab w:val="right" w:leader="dot" w:pos="8844"/>
            </w:tabs>
            <w:rPr>
              <w:color w:val="auto"/>
            </w:rPr>
          </w:pPr>
          <w:r>
            <w:rPr>
              <w:color w:val="auto"/>
            </w:rPr>
            <w:fldChar w:fldCharType="begin"/>
          </w:r>
          <w:r>
            <w:rPr>
              <w:color w:val="auto"/>
            </w:rPr>
            <w:instrText xml:space="preserve"> HYPERLINK \l "_Toc17725" </w:instrText>
          </w:r>
          <w:r>
            <w:rPr>
              <w:color w:val="auto"/>
            </w:rPr>
            <w:fldChar w:fldCharType="separate"/>
          </w:r>
          <w:r>
            <w:rPr>
              <w:rFonts w:hint="eastAsia" w:ascii="宋体" w:hAnsi="宋体"/>
              <w:bCs/>
              <w:color w:val="auto"/>
              <w:szCs w:val="32"/>
            </w:rPr>
            <w:t>七、</w:t>
          </w:r>
          <w:r>
            <w:rPr>
              <w:rFonts w:hint="eastAsia" w:ascii="宋体" w:hAnsi="宋体"/>
              <w:color w:val="auto"/>
              <w:szCs w:val="32"/>
            </w:rPr>
            <w:t>报价一览表及报价文件</w:t>
          </w:r>
          <w:r>
            <w:rPr>
              <w:color w:val="auto"/>
            </w:rPr>
            <w:tab/>
          </w:r>
          <w:r>
            <w:rPr>
              <w:color w:val="auto"/>
            </w:rPr>
            <w:fldChar w:fldCharType="begin"/>
          </w:r>
          <w:r>
            <w:rPr>
              <w:color w:val="auto"/>
            </w:rPr>
            <w:instrText xml:space="preserve"> PAGEREF _Toc17725 \h </w:instrText>
          </w:r>
          <w:r>
            <w:rPr>
              <w:color w:val="auto"/>
            </w:rPr>
            <w:fldChar w:fldCharType="separate"/>
          </w:r>
          <w:r>
            <w:rPr>
              <w:color w:val="auto"/>
            </w:rPr>
            <w:t>- 75 -</w:t>
          </w:r>
          <w:r>
            <w:rPr>
              <w:color w:val="auto"/>
            </w:rPr>
            <w:fldChar w:fldCharType="end"/>
          </w:r>
          <w:r>
            <w:rPr>
              <w:color w:val="auto"/>
            </w:rPr>
            <w:fldChar w:fldCharType="end"/>
          </w:r>
        </w:p>
        <w:p w14:paraId="37FF6924">
          <w:pPr>
            <w:pStyle w:val="42"/>
            <w:tabs>
              <w:tab w:val="right" w:leader="dot" w:pos="8844"/>
            </w:tabs>
            <w:rPr>
              <w:color w:val="auto"/>
            </w:rPr>
          </w:pPr>
          <w:r>
            <w:rPr>
              <w:color w:val="auto"/>
            </w:rPr>
            <w:fldChar w:fldCharType="begin"/>
          </w:r>
          <w:r>
            <w:rPr>
              <w:color w:val="auto"/>
            </w:rPr>
            <w:instrText xml:space="preserve"> HYPERLINK \l "_Toc7455" </w:instrText>
          </w:r>
          <w:r>
            <w:rPr>
              <w:color w:val="auto"/>
            </w:rPr>
            <w:fldChar w:fldCharType="separate"/>
          </w:r>
          <w:r>
            <w:rPr>
              <w:rFonts w:hint="eastAsia" w:ascii="宋体" w:hAnsi="宋体"/>
              <w:color w:val="auto"/>
              <w:szCs w:val="32"/>
            </w:rPr>
            <w:t>八</w:t>
          </w:r>
          <w:r>
            <w:rPr>
              <w:rFonts w:hint="eastAsia" w:ascii="宋体" w:hAnsi="宋体"/>
              <w:bCs/>
              <w:color w:val="auto"/>
              <w:szCs w:val="32"/>
            </w:rPr>
            <w:t>、供应商认为需要提供的其它资料</w:t>
          </w:r>
          <w:r>
            <w:rPr>
              <w:color w:val="auto"/>
            </w:rPr>
            <w:tab/>
          </w:r>
          <w:r>
            <w:rPr>
              <w:color w:val="auto"/>
            </w:rPr>
            <w:fldChar w:fldCharType="begin"/>
          </w:r>
          <w:r>
            <w:rPr>
              <w:color w:val="auto"/>
            </w:rPr>
            <w:instrText xml:space="preserve"> PAGEREF _Toc7455 \h </w:instrText>
          </w:r>
          <w:r>
            <w:rPr>
              <w:color w:val="auto"/>
            </w:rPr>
            <w:fldChar w:fldCharType="separate"/>
          </w:r>
          <w:r>
            <w:rPr>
              <w:color w:val="auto"/>
            </w:rPr>
            <w:t>- 77 -</w:t>
          </w:r>
          <w:r>
            <w:rPr>
              <w:color w:val="auto"/>
            </w:rPr>
            <w:fldChar w:fldCharType="end"/>
          </w:r>
          <w:r>
            <w:rPr>
              <w:color w:val="auto"/>
            </w:rPr>
            <w:fldChar w:fldCharType="end"/>
          </w:r>
        </w:p>
        <w:p w14:paraId="038AEAA1">
          <w:pPr>
            <w:pStyle w:val="42"/>
            <w:tabs>
              <w:tab w:val="right" w:leader="dot" w:pos="8844"/>
            </w:tabs>
            <w:rPr>
              <w:color w:val="auto"/>
            </w:rPr>
          </w:pPr>
          <w:r>
            <w:rPr>
              <w:color w:val="auto"/>
            </w:rPr>
            <w:fldChar w:fldCharType="begin"/>
          </w:r>
          <w:r>
            <w:rPr>
              <w:color w:val="auto"/>
            </w:rPr>
            <w:instrText xml:space="preserve"> HYPERLINK \l "_Toc12010" </w:instrText>
          </w:r>
          <w:r>
            <w:rPr>
              <w:color w:val="auto"/>
            </w:rPr>
            <w:fldChar w:fldCharType="separate"/>
          </w:r>
          <w:r>
            <w:rPr>
              <w:rFonts w:hint="eastAsia" w:ascii="宋体" w:hAnsi="宋体"/>
              <w:color w:val="auto"/>
              <w:szCs w:val="32"/>
            </w:rPr>
            <w:t>九、最后报价</w:t>
          </w:r>
          <w:r>
            <w:rPr>
              <w:color w:val="auto"/>
            </w:rPr>
            <w:tab/>
          </w:r>
          <w:r>
            <w:rPr>
              <w:color w:val="auto"/>
            </w:rPr>
            <w:fldChar w:fldCharType="begin"/>
          </w:r>
          <w:r>
            <w:rPr>
              <w:color w:val="auto"/>
            </w:rPr>
            <w:instrText xml:space="preserve"> PAGEREF _Toc12010 \h </w:instrText>
          </w:r>
          <w:r>
            <w:rPr>
              <w:color w:val="auto"/>
            </w:rPr>
            <w:fldChar w:fldCharType="separate"/>
          </w:r>
          <w:r>
            <w:rPr>
              <w:color w:val="auto"/>
            </w:rPr>
            <w:t>- 78 -</w:t>
          </w:r>
          <w:r>
            <w:rPr>
              <w:color w:val="auto"/>
            </w:rPr>
            <w:fldChar w:fldCharType="end"/>
          </w:r>
          <w:r>
            <w:rPr>
              <w:color w:val="auto"/>
            </w:rPr>
            <w:fldChar w:fldCharType="end"/>
          </w:r>
        </w:p>
        <w:p w14:paraId="257F86E2">
          <w:pPr>
            <w:rPr>
              <w:color w:val="auto"/>
            </w:rPr>
          </w:pPr>
          <w:r>
            <w:rPr>
              <w:rFonts w:hAnsi="宋体"/>
              <w:color w:val="auto"/>
              <w:szCs w:val="36"/>
            </w:rPr>
            <w:fldChar w:fldCharType="end"/>
          </w:r>
        </w:p>
      </w:sdtContent>
    </w:sdt>
    <w:p w14:paraId="49F4DC45">
      <w:pPr>
        <w:rPr>
          <w:rFonts w:hAnsi="宋体"/>
          <w:b/>
          <w:color w:val="auto"/>
          <w:szCs w:val="32"/>
        </w:rPr>
      </w:pPr>
      <w:r>
        <w:rPr>
          <w:rFonts w:hint="eastAsia"/>
          <w:color w:val="auto"/>
        </w:rPr>
        <w:br w:type="page"/>
      </w:r>
    </w:p>
    <w:p w14:paraId="2C9ACB68">
      <w:pPr>
        <w:tabs>
          <w:tab w:val="left" w:pos="1380"/>
          <w:tab w:val="center" w:pos="4153"/>
          <w:tab w:val="left" w:pos="6720"/>
        </w:tabs>
        <w:jc w:val="center"/>
        <w:outlineLvl w:val="0"/>
        <w:rPr>
          <w:rFonts w:ascii="宋体" w:hAnsi="宋体"/>
          <w:b/>
          <w:color w:val="auto"/>
          <w:sz w:val="32"/>
          <w:szCs w:val="32"/>
        </w:rPr>
      </w:pPr>
      <w:bookmarkStart w:id="0" w:name="_Toc8068"/>
      <w:r>
        <w:rPr>
          <w:rFonts w:hint="eastAsia" w:ascii="宋体" w:hAnsi="宋体"/>
          <w:b/>
          <w:color w:val="auto"/>
          <w:sz w:val="32"/>
          <w:szCs w:val="32"/>
        </w:rPr>
        <w:t>第一章 磋商通知</w:t>
      </w:r>
      <w:bookmarkEnd w:id="0"/>
    </w:p>
    <w:p w14:paraId="0E15271D">
      <w:pPr>
        <w:tabs>
          <w:tab w:val="center" w:pos="4153"/>
          <w:tab w:val="left" w:pos="6720"/>
        </w:tabs>
        <w:spacing w:line="240" w:lineRule="exact"/>
        <w:jc w:val="left"/>
        <w:rPr>
          <w:rFonts w:ascii="宋体" w:hAnsi="宋体"/>
          <w:b/>
          <w:color w:val="auto"/>
          <w:sz w:val="32"/>
          <w:szCs w:val="32"/>
        </w:rPr>
      </w:pPr>
      <w:r>
        <w:rPr>
          <w:rFonts w:hint="eastAsia" w:ascii="宋体" w:hAnsi="宋体"/>
          <w:b/>
          <w:color w:val="auto"/>
          <w:sz w:val="32"/>
          <w:szCs w:val="32"/>
        </w:rPr>
        <w:tab/>
      </w:r>
    </w:p>
    <w:p w14:paraId="08FBBA49">
      <w:pPr>
        <w:adjustRightInd w:val="0"/>
        <w:snapToGrid w:val="0"/>
        <w:spacing w:line="460" w:lineRule="exact"/>
        <w:ind w:firstLine="480" w:firstLineChars="200"/>
        <w:rPr>
          <w:rFonts w:ascii="宋体" w:hAnsi="宋体"/>
          <w:color w:val="auto"/>
          <w:sz w:val="24"/>
        </w:rPr>
      </w:pPr>
      <w:r>
        <w:rPr>
          <w:rFonts w:hint="eastAsia" w:ascii="宋体" w:hAnsi="宋体"/>
          <w:color w:val="auto"/>
          <w:sz w:val="24"/>
          <w:shd w:val="clear" w:color="auto" w:fill="FFFFFF"/>
        </w:rPr>
        <w:t>受</w:t>
      </w:r>
      <w:r>
        <w:rPr>
          <w:rFonts w:hint="eastAsia" w:ascii="宋体" w:hAnsi="宋体"/>
          <w:color w:val="auto"/>
          <w:sz w:val="24"/>
          <w:u w:val="single"/>
          <w:shd w:val="clear" w:color="auto" w:fill="FFFFFF"/>
        </w:rPr>
        <w:t xml:space="preserve"> </w:t>
      </w:r>
      <w:r>
        <w:rPr>
          <w:rFonts w:hint="eastAsia" w:ascii="宋体" w:hAnsi="宋体"/>
          <w:color w:val="auto"/>
          <w:sz w:val="24"/>
          <w:u w:val="single"/>
        </w:rPr>
        <w:t xml:space="preserve">湖南文理学院 </w:t>
      </w:r>
      <w:r>
        <w:rPr>
          <w:rFonts w:hint="eastAsia" w:ascii="宋体" w:hAnsi="宋体"/>
          <w:color w:val="auto"/>
          <w:sz w:val="24"/>
          <w:shd w:val="clear" w:color="auto" w:fill="FFFFFF"/>
        </w:rPr>
        <w:t>的委托，本代理机构对其所需的</w:t>
      </w:r>
      <w:r>
        <w:rPr>
          <w:rFonts w:hint="eastAsia" w:ascii="宋体" w:hAnsi="宋体"/>
          <w:color w:val="auto"/>
          <w:sz w:val="24"/>
          <w:u w:val="single"/>
          <w:shd w:val="clear" w:color="auto" w:fill="FFFFFF"/>
        </w:rPr>
        <w:t xml:space="preserve"> </w:t>
      </w:r>
      <w:r>
        <w:rPr>
          <w:rFonts w:hint="eastAsia" w:ascii="宋体" w:hAnsi="宋体"/>
          <w:color w:val="auto"/>
          <w:sz w:val="24"/>
          <w:u w:val="single"/>
          <w:shd w:val="clear" w:color="auto" w:fill="FFFFFF"/>
          <w:lang w:eastAsia="zh-CN"/>
        </w:rPr>
        <w:t>湖南文理学院东校区监控技防系统升级改造项目</w:t>
      </w:r>
      <w:r>
        <w:rPr>
          <w:rFonts w:hint="eastAsia" w:ascii="宋体" w:hAnsi="宋体"/>
          <w:color w:val="auto"/>
          <w:sz w:val="24"/>
          <w:u w:val="single"/>
          <w:shd w:val="clear" w:color="auto" w:fill="FFFFFF"/>
        </w:rPr>
        <w:t xml:space="preserve"> </w:t>
      </w:r>
      <w:r>
        <w:rPr>
          <w:rFonts w:hint="eastAsia" w:ascii="宋体" w:hAnsi="宋体"/>
          <w:color w:val="auto"/>
          <w:sz w:val="24"/>
          <w:shd w:val="clear" w:color="auto" w:fill="FFFFFF"/>
        </w:rPr>
        <w:t>进行</w:t>
      </w:r>
      <w:r>
        <w:rPr>
          <w:rFonts w:hint="eastAsia" w:ascii="宋体" w:hAnsi="宋体"/>
          <w:color w:val="auto"/>
          <w:sz w:val="24"/>
        </w:rPr>
        <w:t>竞争性磋商采购</w:t>
      </w:r>
      <w:r>
        <w:rPr>
          <w:rFonts w:hint="eastAsia" w:ascii="宋体" w:hAnsi="宋体"/>
          <w:color w:val="auto"/>
          <w:sz w:val="24"/>
          <w:shd w:val="clear" w:color="auto" w:fill="FFFFFF"/>
        </w:rPr>
        <w:t>，</w:t>
      </w:r>
      <w:r>
        <w:rPr>
          <w:rFonts w:hint="eastAsia" w:ascii="宋体" w:hAnsi="宋体"/>
          <w:color w:val="auto"/>
          <w:sz w:val="24"/>
        </w:rPr>
        <w:t>现采用发布公告方式，邀请符合资格条件的供应商参与竞争性磋商采购活动。</w:t>
      </w:r>
    </w:p>
    <w:p w14:paraId="0F82929F">
      <w:pPr>
        <w:widowControl/>
        <w:shd w:val="clear" w:color="auto" w:fill="FFFFFF"/>
        <w:adjustRightInd w:val="0"/>
        <w:snapToGrid w:val="0"/>
        <w:spacing w:line="460" w:lineRule="exact"/>
        <w:jc w:val="left"/>
        <w:rPr>
          <w:rFonts w:ascii="宋体" w:hAnsi="宋体" w:cs="宋体"/>
          <w:color w:val="auto"/>
          <w:kern w:val="0"/>
          <w:sz w:val="24"/>
        </w:rPr>
      </w:pPr>
      <w:r>
        <w:rPr>
          <w:rFonts w:hint="eastAsia" w:ascii="宋体" w:hAnsi="宋体" w:cs="宋体"/>
          <w:b/>
          <w:bCs/>
          <w:color w:val="auto"/>
          <w:kern w:val="0"/>
          <w:sz w:val="24"/>
        </w:rPr>
        <w:t>一、项目概况：</w:t>
      </w:r>
    </w:p>
    <w:p w14:paraId="34346658">
      <w:pPr>
        <w:widowControl/>
        <w:shd w:val="clear" w:color="auto" w:fill="FFFFFF"/>
        <w:adjustRightInd w:val="0"/>
        <w:snapToGrid w:val="0"/>
        <w:spacing w:line="460" w:lineRule="exact"/>
        <w:jc w:val="left"/>
        <w:rPr>
          <w:rFonts w:hint="eastAsia" w:ascii="宋体" w:hAnsi="宋体" w:eastAsia="宋体" w:cs="宋体"/>
          <w:color w:val="auto"/>
          <w:kern w:val="0"/>
          <w:sz w:val="24"/>
          <w:lang w:eastAsia="zh-CN"/>
        </w:rPr>
      </w:pPr>
      <w:r>
        <w:rPr>
          <w:rFonts w:hint="eastAsia" w:ascii="宋体" w:hAnsi="宋体" w:cs="宋体"/>
          <w:color w:val="auto"/>
          <w:kern w:val="0"/>
          <w:sz w:val="24"/>
        </w:rPr>
        <w:t>1.采购项目名称：</w:t>
      </w:r>
      <w:r>
        <w:rPr>
          <w:rFonts w:hint="eastAsia" w:ascii="宋体" w:hAnsi="宋体" w:cs="宋体"/>
          <w:color w:val="auto"/>
          <w:kern w:val="0"/>
          <w:sz w:val="24"/>
          <w:lang w:eastAsia="zh-CN"/>
        </w:rPr>
        <w:t>湖南文理学院东校区监控技防系统升级改造项目</w:t>
      </w:r>
    </w:p>
    <w:p w14:paraId="5642A99A">
      <w:pPr>
        <w:widowControl/>
        <w:shd w:val="clear" w:color="auto" w:fill="FFFFFF"/>
        <w:adjustRightInd w:val="0"/>
        <w:snapToGrid w:val="0"/>
        <w:spacing w:line="460" w:lineRule="exact"/>
        <w:jc w:val="left"/>
        <w:rPr>
          <w:rFonts w:hint="eastAsia" w:ascii="宋体" w:hAnsi="宋体" w:eastAsia="宋体" w:cs="宋体"/>
          <w:color w:val="auto"/>
          <w:kern w:val="0"/>
          <w:sz w:val="24"/>
          <w:lang w:eastAsia="zh-CN"/>
        </w:rPr>
      </w:pPr>
      <w:r>
        <w:rPr>
          <w:rFonts w:hint="eastAsia" w:ascii="宋体" w:hAnsi="宋体" w:cs="宋体"/>
          <w:color w:val="auto"/>
          <w:kern w:val="0"/>
          <w:sz w:val="24"/>
        </w:rPr>
        <w:t>2.</w:t>
      </w:r>
      <w:r>
        <w:rPr>
          <w:rFonts w:hint="eastAsia" w:ascii="宋体" w:hAnsi="宋体" w:cs="宋体"/>
          <w:color w:val="auto"/>
          <w:kern w:val="0"/>
          <w:sz w:val="24"/>
          <w:lang w:eastAsia="zh-CN"/>
        </w:rPr>
        <w:t>政府采购编号</w:t>
      </w:r>
      <w:r>
        <w:rPr>
          <w:rFonts w:hint="eastAsia" w:ascii="宋体" w:hAnsi="宋体" w:cs="宋体"/>
          <w:color w:val="auto"/>
          <w:kern w:val="0"/>
          <w:sz w:val="24"/>
        </w:rPr>
        <w:t>：</w:t>
      </w:r>
      <w:r>
        <w:rPr>
          <w:rFonts w:hint="eastAsia" w:ascii="宋体" w:hAnsi="宋体" w:cs="宋体"/>
          <w:color w:val="auto"/>
          <w:kern w:val="0"/>
          <w:sz w:val="24"/>
          <w:lang w:eastAsia="zh-CN"/>
        </w:rPr>
        <w:t>CGXM2026430000001358</w:t>
      </w:r>
    </w:p>
    <w:p w14:paraId="568A0E34">
      <w:pPr>
        <w:widowControl/>
        <w:shd w:val="clear" w:color="auto" w:fill="FFFFFF"/>
        <w:adjustRightInd w:val="0"/>
        <w:snapToGrid w:val="0"/>
        <w:spacing w:line="460" w:lineRule="exact"/>
        <w:ind w:firstLine="240" w:firstLineChars="100"/>
        <w:jc w:val="left"/>
        <w:rPr>
          <w:rFonts w:hint="eastAsia" w:ascii="宋体" w:hAnsi="宋体" w:eastAsia="宋体" w:cs="宋体"/>
          <w:color w:val="auto"/>
          <w:kern w:val="0"/>
          <w:sz w:val="24"/>
          <w:lang w:eastAsia="zh-CN"/>
        </w:rPr>
      </w:pPr>
      <w:r>
        <w:rPr>
          <w:rFonts w:hint="eastAsia" w:ascii="宋体" w:hAnsi="宋体" w:cs="宋体"/>
          <w:color w:val="auto"/>
          <w:kern w:val="0"/>
          <w:sz w:val="24"/>
        </w:rPr>
        <w:t>委托代理编号：</w:t>
      </w:r>
      <w:r>
        <w:rPr>
          <w:rFonts w:hint="eastAsia" w:ascii="宋体" w:hAnsi="宋体" w:cs="宋体"/>
          <w:color w:val="auto"/>
          <w:kern w:val="0"/>
          <w:sz w:val="24"/>
          <w:lang w:eastAsia="zh-CN"/>
        </w:rPr>
        <w:t>CDZYZB2026-C-75</w:t>
      </w:r>
    </w:p>
    <w:p w14:paraId="46ED56EF">
      <w:pPr>
        <w:widowControl/>
        <w:shd w:val="clear" w:color="auto" w:fill="FFFFFF"/>
        <w:adjustRightInd w:val="0"/>
        <w:snapToGrid w:val="0"/>
        <w:spacing w:line="460" w:lineRule="exact"/>
        <w:jc w:val="left"/>
        <w:rPr>
          <w:rFonts w:ascii="宋体" w:hAnsi="宋体" w:cs="宋体"/>
          <w:color w:val="auto"/>
          <w:kern w:val="0"/>
          <w:sz w:val="24"/>
        </w:rPr>
      </w:pPr>
      <w:r>
        <w:rPr>
          <w:rFonts w:hint="eastAsia" w:ascii="宋体" w:hAnsi="宋体" w:cs="宋体"/>
          <w:color w:val="auto"/>
          <w:kern w:val="0"/>
          <w:sz w:val="24"/>
        </w:rPr>
        <w:t>3.采购项目用途、技术要求、名称及预算：</w:t>
      </w:r>
    </w:p>
    <w:tbl>
      <w:tblPr>
        <w:tblStyle w:val="51"/>
        <w:tblW w:w="4893" w:type="pct"/>
        <w:tblInd w:w="77" w:type="dxa"/>
        <w:shd w:val="clear" w:color="auto" w:fill="FFFFFF"/>
        <w:tblLayout w:type="autofit"/>
        <w:tblCellMar>
          <w:top w:w="15" w:type="dxa"/>
          <w:left w:w="15" w:type="dxa"/>
          <w:bottom w:w="15" w:type="dxa"/>
          <w:right w:w="15" w:type="dxa"/>
        </w:tblCellMar>
      </w:tblPr>
      <w:tblGrid>
        <w:gridCol w:w="1942"/>
        <w:gridCol w:w="4202"/>
        <w:gridCol w:w="898"/>
        <w:gridCol w:w="1848"/>
      </w:tblGrid>
      <w:tr w14:paraId="5A5A2432">
        <w:tblPrEx>
          <w:shd w:val="clear" w:color="auto" w:fill="FFFFFF"/>
          <w:tblCellMar>
            <w:top w:w="15" w:type="dxa"/>
            <w:left w:w="15" w:type="dxa"/>
            <w:bottom w:w="15" w:type="dxa"/>
            <w:right w:w="15" w:type="dxa"/>
          </w:tblCellMar>
        </w:tblPrEx>
        <w:trPr>
          <w:trHeight w:val="295" w:hRule="atLeast"/>
        </w:trPr>
        <w:tc>
          <w:tcPr>
            <w:tcW w:w="1092" w:type="pct"/>
            <w:tcBorders>
              <w:top w:val="single" w:color="666666" w:sz="6" w:space="0"/>
              <w:left w:val="single" w:color="666666" w:sz="6" w:space="0"/>
              <w:bottom w:val="single" w:color="666666" w:sz="6" w:space="0"/>
              <w:right w:val="single" w:color="666666" w:sz="6" w:space="0"/>
            </w:tcBorders>
            <w:shd w:val="clear" w:color="auto" w:fill="DEDEDE"/>
            <w:tcMar>
              <w:top w:w="120" w:type="dxa"/>
              <w:left w:w="120" w:type="dxa"/>
              <w:bottom w:w="120" w:type="dxa"/>
              <w:right w:w="120" w:type="dxa"/>
            </w:tcMar>
            <w:vAlign w:val="center"/>
          </w:tcPr>
          <w:p w14:paraId="3ED22693">
            <w:pPr>
              <w:widowControl/>
              <w:adjustRightInd w:val="0"/>
              <w:snapToGrid w:val="0"/>
              <w:jc w:val="center"/>
              <w:rPr>
                <w:rFonts w:ascii="宋体" w:hAnsi="宋体" w:cs="宋体"/>
                <w:b/>
                <w:color w:val="auto"/>
                <w:sz w:val="24"/>
              </w:rPr>
            </w:pPr>
            <w:r>
              <w:rPr>
                <w:rFonts w:hint="eastAsia" w:ascii="宋体" w:hAnsi="宋体" w:cs="宋体"/>
                <w:b/>
                <w:color w:val="auto"/>
                <w:kern w:val="0"/>
                <w:sz w:val="24"/>
              </w:rPr>
              <w:t>包号</w:t>
            </w:r>
          </w:p>
        </w:tc>
        <w:tc>
          <w:tcPr>
            <w:tcW w:w="2363" w:type="pct"/>
            <w:tcBorders>
              <w:top w:val="single" w:color="666666" w:sz="6" w:space="0"/>
              <w:left w:val="single" w:color="666666" w:sz="6" w:space="0"/>
              <w:bottom w:val="single" w:color="666666" w:sz="6" w:space="0"/>
              <w:right w:val="single" w:color="666666" w:sz="6" w:space="0"/>
            </w:tcBorders>
            <w:shd w:val="clear" w:color="auto" w:fill="DEDEDE"/>
            <w:tcMar>
              <w:top w:w="120" w:type="dxa"/>
              <w:left w:w="120" w:type="dxa"/>
              <w:bottom w:w="120" w:type="dxa"/>
              <w:right w:w="120" w:type="dxa"/>
            </w:tcMar>
            <w:vAlign w:val="center"/>
          </w:tcPr>
          <w:p w14:paraId="5C9C8EAA">
            <w:pPr>
              <w:widowControl/>
              <w:adjustRightInd w:val="0"/>
              <w:snapToGrid w:val="0"/>
              <w:jc w:val="center"/>
              <w:rPr>
                <w:rFonts w:ascii="宋体" w:hAnsi="宋体" w:cs="宋体"/>
                <w:b/>
                <w:color w:val="auto"/>
                <w:sz w:val="24"/>
              </w:rPr>
            </w:pPr>
            <w:r>
              <w:rPr>
                <w:rFonts w:hint="eastAsia" w:ascii="宋体" w:hAnsi="宋体" w:cs="宋体"/>
                <w:b/>
                <w:color w:val="auto"/>
                <w:kern w:val="0"/>
                <w:sz w:val="24"/>
              </w:rPr>
              <w:t>品目名称</w:t>
            </w:r>
          </w:p>
        </w:tc>
        <w:tc>
          <w:tcPr>
            <w:tcW w:w="505" w:type="pct"/>
            <w:tcBorders>
              <w:top w:val="single" w:color="666666" w:sz="6" w:space="0"/>
              <w:left w:val="single" w:color="666666" w:sz="6" w:space="0"/>
              <w:bottom w:val="single" w:color="666666" w:sz="6" w:space="0"/>
              <w:right w:val="single" w:color="666666" w:sz="6" w:space="0"/>
            </w:tcBorders>
            <w:shd w:val="clear" w:color="auto" w:fill="DEDEDE"/>
            <w:tcMar>
              <w:top w:w="120" w:type="dxa"/>
              <w:left w:w="120" w:type="dxa"/>
              <w:bottom w:w="120" w:type="dxa"/>
              <w:right w:w="120" w:type="dxa"/>
            </w:tcMar>
            <w:vAlign w:val="center"/>
          </w:tcPr>
          <w:p w14:paraId="6B65E5C6">
            <w:pPr>
              <w:widowControl/>
              <w:adjustRightInd w:val="0"/>
              <w:snapToGrid w:val="0"/>
              <w:jc w:val="center"/>
              <w:rPr>
                <w:rFonts w:ascii="宋体" w:hAnsi="宋体" w:cs="宋体"/>
                <w:b/>
                <w:color w:val="auto"/>
                <w:sz w:val="24"/>
              </w:rPr>
            </w:pPr>
            <w:r>
              <w:rPr>
                <w:rFonts w:hint="eastAsia" w:ascii="宋体" w:hAnsi="宋体" w:cs="宋体"/>
                <w:b/>
                <w:color w:val="auto"/>
                <w:kern w:val="0"/>
                <w:sz w:val="24"/>
              </w:rPr>
              <w:t>单位</w:t>
            </w:r>
          </w:p>
        </w:tc>
        <w:tc>
          <w:tcPr>
            <w:tcW w:w="1039" w:type="pct"/>
            <w:tcBorders>
              <w:top w:val="single" w:color="666666" w:sz="6" w:space="0"/>
              <w:left w:val="single" w:color="666666" w:sz="6" w:space="0"/>
              <w:bottom w:val="single" w:color="666666" w:sz="6" w:space="0"/>
              <w:right w:val="single" w:color="666666" w:sz="6" w:space="0"/>
            </w:tcBorders>
            <w:shd w:val="clear" w:color="auto" w:fill="DEDEDE"/>
            <w:tcMar>
              <w:top w:w="120" w:type="dxa"/>
              <w:left w:w="120" w:type="dxa"/>
              <w:bottom w:w="120" w:type="dxa"/>
              <w:right w:w="120" w:type="dxa"/>
            </w:tcMar>
            <w:vAlign w:val="center"/>
          </w:tcPr>
          <w:p w14:paraId="69320756">
            <w:pPr>
              <w:widowControl/>
              <w:adjustRightInd w:val="0"/>
              <w:snapToGrid w:val="0"/>
              <w:jc w:val="center"/>
              <w:rPr>
                <w:rFonts w:ascii="宋体" w:hAnsi="宋体" w:cs="宋体"/>
                <w:b/>
                <w:color w:val="auto"/>
                <w:sz w:val="24"/>
              </w:rPr>
            </w:pPr>
            <w:r>
              <w:rPr>
                <w:rFonts w:hint="eastAsia" w:ascii="宋体" w:hAnsi="宋体" w:cs="宋体"/>
                <w:b/>
                <w:color w:val="auto"/>
                <w:kern w:val="0"/>
                <w:sz w:val="24"/>
              </w:rPr>
              <w:t>预算金额</w:t>
            </w:r>
          </w:p>
        </w:tc>
      </w:tr>
      <w:tr w14:paraId="6E97674E">
        <w:tblPrEx>
          <w:shd w:val="clear" w:color="auto" w:fill="FFFFFF"/>
          <w:tblCellMar>
            <w:top w:w="15" w:type="dxa"/>
            <w:left w:w="15" w:type="dxa"/>
            <w:bottom w:w="15" w:type="dxa"/>
            <w:right w:w="15" w:type="dxa"/>
          </w:tblCellMar>
        </w:tblPrEx>
        <w:tc>
          <w:tcPr>
            <w:tcW w:w="1092" w:type="pct"/>
            <w:tcBorders>
              <w:top w:val="single" w:color="666666" w:sz="6" w:space="0"/>
              <w:left w:val="single" w:color="666666" w:sz="6" w:space="0"/>
              <w:bottom w:val="single" w:color="666666" w:sz="6" w:space="0"/>
              <w:right w:val="single" w:color="666666" w:sz="6" w:space="0"/>
            </w:tcBorders>
            <w:shd w:val="clear" w:color="auto" w:fill="FFFFFF"/>
            <w:tcMar>
              <w:top w:w="120" w:type="dxa"/>
              <w:left w:w="120" w:type="dxa"/>
              <w:bottom w:w="120" w:type="dxa"/>
              <w:right w:w="120" w:type="dxa"/>
            </w:tcMar>
            <w:vAlign w:val="center"/>
          </w:tcPr>
          <w:p w14:paraId="7C871560">
            <w:pPr>
              <w:jc w:val="center"/>
              <w:rPr>
                <w:rFonts w:ascii="宋体" w:hAnsi="宋体" w:cs="宋体"/>
                <w:color w:val="auto"/>
                <w:sz w:val="24"/>
              </w:rPr>
            </w:pPr>
            <w:r>
              <w:rPr>
                <w:rFonts w:hint="eastAsia" w:ascii="宋体" w:hAnsi="宋体" w:cs="宋体"/>
                <w:color w:val="auto"/>
                <w:sz w:val="24"/>
              </w:rPr>
              <w:t>1</w:t>
            </w:r>
          </w:p>
        </w:tc>
        <w:tc>
          <w:tcPr>
            <w:tcW w:w="2363" w:type="pct"/>
            <w:tcBorders>
              <w:top w:val="single" w:color="666666" w:sz="6" w:space="0"/>
              <w:left w:val="single" w:color="666666" w:sz="6" w:space="0"/>
              <w:bottom w:val="single" w:color="666666" w:sz="6" w:space="0"/>
              <w:right w:val="single" w:color="666666" w:sz="6" w:space="0"/>
            </w:tcBorders>
            <w:shd w:val="clear" w:color="auto" w:fill="FFFFFF"/>
            <w:tcMar>
              <w:top w:w="120" w:type="dxa"/>
              <w:left w:w="120" w:type="dxa"/>
              <w:bottom w:w="120" w:type="dxa"/>
              <w:right w:w="120" w:type="dxa"/>
            </w:tcMar>
            <w:vAlign w:val="center"/>
          </w:tcPr>
          <w:p w14:paraId="1786AE8B">
            <w:pPr>
              <w:widowControl/>
              <w:adjustRightInd w:val="0"/>
              <w:snapToGrid w:val="0"/>
              <w:jc w:val="center"/>
              <w:rPr>
                <w:rFonts w:ascii="宋体" w:hAnsi="宋体" w:cs="宋体"/>
                <w:color w:val="auto"/>
                <w:sz w:val="24"/>
              </w:rPr>
            </w:pPr>
            <w:r>
              <w:rPr>
                <w:rFonts w:ascii="宋体" w:hAnsi="宋体" w:cs="宋体"/>
                <w:color w:val="auto"/>
                <w:sz w:val="24"/>
              </w:rPr>
              <w:t>A02010299-其他网络设备</w:t>
            </w:r>
          </w:p>
        </w:tc>
        <w:tc>
          <w:tcPr>
            <w:tcW w:w="505" w:type="pct"/>
            <w:tcBorders>
              <w:top w:val="single" w:color="666666" w:sz="6" w:space="0"/>
              <w:left w:val="single" w:color="666666" w:sz="6" w:space="0"/>
              <w:bottom w:val="single" w:color="666666" w:sz="6" w:space="0"/>
              <w:right w:val="single" w:color="666666" w:sz="6" w:space="0"/>
            </w:tcBorders>
            <w:shd w:val="clear" w:color="auto" w:fill="FFFFFF"/>
            <w:tcMar>
              <w:top w:w="120" w:type="dxa"/>
              <w:left w:w="120" w:type="dxa"/>
              <w:bottom w:w="120" w:type="dxa"/>
              <w:right w:w="120" w:type="dxa"/>
            </w:tcMar>
            <w:vAlign w:val="center"/>
          </w:tcPr>
          <w:p w14:paraId="2517B058">
            <w:pPr>
              <w:widowControl/>
              <w:adjustRightInd w:val="0"/>
              <w:snapToGrid w:val="0"/>
              <w:jc w:val="center"/>
              <w:rPr>
                <w:rFonts w:ascii="宋体" w:hAnsi="宋体" w:cs="宋体"/>
                <w:color w:val="auto"/>
                <w:sz w:val="24"/>
              </w:rPr>
            </w:pPr>
            <w:r>
              <w:rPr>
                <w:rFonts w:hint="eastAsia" w:ascii="宋体" w:hAnsi="宋体" w:cs="宋体"/>
                <w:color w:val="auto"/>
                <w:sz w:val="24"/>
              </w:rPr>
              <w:t>1批</w:t>
            </w:r>
          </w:p>
        </w:tc>
        <w:tc>
          <w:tcPr>
            <w:tcW w:w="1039" w:type="pct"/>
            <w:tcBorders>
              <w:top w:val="single" w:color="666666" w:sz="6" w:space="0"/>
              <w:left w:val="single" w:color="666666" w:sz="6" w:space="0"/>
              <w:bottom w:val="single" w:color="666666" w:sz="6" w:space="0"/>
              <w:right w:val="single" w:color="666666" w:sz="6" w:space="0"/>
            </w:tcBorders>
            <w:shd w:val="clear" w:color="auto" w:fill="FFFFFF"/>
            <w:tcMar>
              <w:top w:w="120" w:type="dxa"/>
              <w:left w:w="120" w:type="dxa"/>
              <w:bottom w:w="120" w:type="dxa"/>
              <w:right w:w="120" w:type="dxa"/>
            </w:tcMar>
            <w:vAlign w:val="center"/>
          </w:tcPr>
          <w:p w14:paraId="5DA0B034">
            <w:pPr>
              <w:jc w:val="center"/>
              <w:rPr>
                <w:rFonts w:hint="eastAsia" w:ascii="宋体" w:hAnsi="宋体" w:eastAsia="宋体" w:cs="宋体"/>
                <w:color w:val="auto"/>
                <w:sz w:val="24"/>
                <w:lang w:eastAsia="zh-CN"/>
              </w:rPr>
            </w:pPr>
            <w:r>
              <w:rPr>
                <w:rFonts w:hint="eastAsia" w:ascii="宋体" w:hAnsi="宋体" w:cs="宋体"/>
                <w:color w:val="auto"/>
                <w:sz w:val="24"/>
                <w:lang w:eastAsia="zh-CN"/>
              </w:rPr>
              <w:t>1560835.44元</w:t>
            </w:r>
          </w:p>
        </w:tc>
      </w:tr>
    </w:tbl>
    <w:p w14:paraId="1240AEBE">
      <w:pPr>
        <w:widowControl/>
        <w:shd w:val="clear" w:color="auto" w:fill="FFFFFF"/>
        <w:adjustRightInd w:val="0"/>
        <w:snapToGrid w:val="0"/>
        <w:spacing w:line="460" w:lineRule="exact"/>
        <w:ind w:firstLine="240" w:firstLineChars="100"/>
        <w:jc w:val="left"/>
        <w:rPr>
          <w:rFonts w:ascii="宋体" w:hAnsi="宋体" w:cs="宋体"/>
          <w:color w:val="auto"/>
          <w:kern w:val="0"/>
          <w:sz w:val="24"/>
        </w:rPr>
      </w:pPr>
      <w:r>
        <w:rPr>
          <w:rFonts w:hint="eastAsia" w:ascii="宋体" w:hAnsi="宋体" w:cs="宋体"/>
          <w:color w:val="auto"/>
          <w:kern w:val="0"/>
          <w:sz w:val="24"/>
        </w:rPr>
        <w:t>采购项目的主要需求及磋商可能实质性变动内容:</w:t>
      </w:r>
    </w:p>
    <w:tbl>
      <w:tblPr>
        <w:tblStyle w:val="51"/>
        <w:tblW w:w="4997" w:type="pct"/>
        <w:tblInd w:w="0" w:type="dxa"/>
        <w:tblBorders>
          <w:top w:val="single" w:color="7E7E7E" w:sz="6" w:space="0"/>
          <w:left w:val="single" w:color="7E7E7E" w:sz="6" w:space="0"/>
          <w:bottom w:val="single" w:color="7E7E7E" w:sz="6" w:space="0"/>
          <w:right w:val="single" w:color="7E7E7E" w:sz="6" w:space="0"/>
          <w:insideH w:val="single" w:color="7E7E7E" w:sz="6" w:space="0"/>
          <w:insideV w:val="single" w:color="7E7E7E" w:sz="6" w:space="0"/>
        </w:tblBorders>
        <w:tblLayout w:type="autofit"/>
        <w:tblCellMar>
          <w:top w:w="15" w:type="dxa"/>
          <w:left w:w="15" w:type="dxa"/>
          <w:bottom w:w="15" w:type="dxa"/>
          <w:right w:w="15" w:type="dxa"/>
        </w:tblCellMar>
      </w:tblPr>
      <w:tblGrid>
        <w:gridCol w:w="877"/>
        <w:gridCol w:w="4653"/>
        <w:gridCol w:w="1131"/>
        <w:gridCol w:w="1132"/>
        <w:gridCol w:w="1136"/>
      </w:tblGrid>
      <w:tr w14:paraId="6AFA3EBB">
        <w:tblPrEx>
          <w:tblBorders>
            <w:top w:val="single" w:color="7E7E7E" w:sz="6" w:space="0"/>
            <w:left w:val="single" w:color="7E7E7E" w:sz="6" w:space="0"/>
            <w:bottom w:val="single" w:color="7E7E7E" w:sz="6" w:space="0"/>
            <w:right w:val="single" w:color="7E7E7E" w:sz="6" w:space="0"/>
            <w:insideH w:val="single" w:color="7E7E7E" w:sz="6" w:space="0"/>
            <w:insideV w:val="single" w:color="7E7E7E" w:sz="6" w:space="0"/>
          </w:tblBorders>
          <w:tblCellMar>
            <w:top w:w="15" w:type="dxa"/>
            <w:left w:w="15" w:type="dxa"/>
            <w:bottom w:w="15" w:type="dxa"/>
            <w:right w:w="15" w:type="dxa"/>
          </w:tblCellMar>
        </w:tblPrEx>
        <w:trPr>
          <w:trHeight w:val="250" w:hRule="atLeast"/>
        </w:trPr>
        <w:tc>
          <w:tcPr>
            <w:tcW w:w="491" w:type="pct"/>
            <w:vMerge w:val="restart"/>
            <w:shd w:val="clear" w:color="auto" w:fill="E3E3E3"/>
            <w:tcMar>
              <w:top w:w="45" w:type="dxa"/>
              <w:left w:w="45" w:type="dxa"/>
              <w:bottom w:w="45" w:type="dxa"/>
              <w:right w:w="45" w:type="dxa"/>
            </w:tcMar>
            <w:vAlign w:val="center"/>
          </w:tcPr>
          <w:p w14:paraId="0CBD7E29">
            <w:pPr>
              <w:widowControl/>
              <w:adjustRightInd w:val="0"/>
              <w:snapToGrid w:val="0"/>
              <w:spacing w:line="460" w:lineRule="exact"/>
              <w:jc w:val="center"/>
              <w:rPr>
                <w:rFonts w:ascii="宋体" w:hAnsi="宋体" w:cs="宋体"/>
                <w:b/>
                <w:bCs/>
                <w:color w:val="auto"/>
                <w:kern w:val="0"/>
                <w:sz w:val="24"/>
              </w:rPr>
            </w:pPr>
            <w:r>
              <w:rPr>
                <w:rFonts w:hint="eastAsia" w:ascii="宋体" w:hAnsi="宋体" w:cs="宋体"/>
                <w:b/>
                <w:bCs/>
                <w:color w:val="auto"/>
                <w:kern w:val="0"/>
                <w:sz w:val="24"/>
              </w:rPr>
              <w:t>分</w:t>
            </w:r>
            <w:r>
              <w:rPr>
                <w:rFonts w:ascii="宋体" w:hAnsi="宋体" w:cs="宋体"/>
                <w:b/>
                <w:bCs/>
                <w:color w:val="auto"/>
                <w:kern w:val="0"/>
                <w:sz w:val="24"/>
              </w:rPr>
              <w:t>包</w:t>
            </w:r>
            <w:r>
              <w:rPr>
                <w:rFonts w:hint="eastAsia" w:ascii="宋体" w:hAnsi="宋体" w:cs="宋体"/>
                <w:b/>
                <w:bCs/>
                <w:color w:val="auto"/>
                <w:kern w:val="0"/>
                <w:sz w:val="24"/>
              </w:rPr>
              <w:t>号</w:t>
            </w:r>
          </w:p>
        </w:tc>
        <w:tc>
          <w:tcPr>
            <w:tcW w:w="2605" w:type="pct"/>
            <w:vMerge w:val="restart"/>
            <w:shd w:val="clear" w:color="auto" w:fill="E3E3E3"/>
            <w:tcMar>
              <w:top w:w="45" w:type="dxa"/>
              <w:left w:w="45" w:type="dxa"/>
              <w:bottom w:w="45" w:type="dxa"/>
              <w:right w:w="45" w:type="dxa"/>
            </w:tcMar>
            <w:vAlign w:val="center"/>
          </w:tcPr>
          <w:p w14:paraId="099BB8AD">
            <w:pPr>
              <w:widowControl/>
              <w:adjustRightInd w:val="0"/>
              <w:snapToGrid w:val="0"/>
              <w:spacing w:line="460" w:lineRule="exact"/>
              <w:jc w:val="center"/>
              <w:rPr>
                <w:rFonts w:ascii="宋体" w:hAnsi="宋体" w:cs="宋体"/>
                <w:b/>
                <w:bCs/>
                <w:color w:val="auto"/>
                <w:kern w:val="0"/>
                <w:sz w:val="24"/>
              </w:rPr>
            </w:pPr>
            <w:r>
              <w:rPr>
                <w:rFonts w:ascii="宋体" w:hAnsi="宋体" w:cs="宋体"/>
                <w:b/>
                <w:bCs/>
                <w:color w:val="auto"/>
                <w:kern w:val="0"/>
                <w:sz w:val="24"/>
              </w:rPr>
              <w:t>标的物名称</w:t>
            </w:r>
          </w:p>
        </w:tc>
        <w:tc>
          <w:tcPr>
            <w:tcW w:w="1903" w:type="pct"/>
            <w:gridSpan w:val="3"/>
            <w:shd w:val="clear" w:color="auto" w:fill="E3E3E3"/>
            <w:tcMar>
              <w:top w:w="45" w:type="dxa"/>
              <w:left w:w="45" w:type="dxa"/>
              <w:bottom w:w="45" w:type="dxa"/>
              <w:right w:w="45" w:type="dxa"/>
            </w:tcMar>
            <w:vAlign w:val="center"/>
          </w:tcPr>
          <w:p w14:paraId="6C88B582">
            <w:pPr>
              <w:widowControl/>
              <w:adjustRightInd w:val="0"/>
              <w:snapToGrid w:val="0"/>
              <w:spacing w:line="460" w:lineRule="exact"/>
              <w:jc w:val="center"/>
              <w:rPr>
                <w:rFonts w:ascii="宋体" w:hAnsi="宋体" w:cs="宋体"/>
                <w:b/>
                <w:bCs/>
                <w:color w:val="auto"/>
                <w:kern w:val="0"/>
                <w:sz w:val="24"/>
              </w:rPr>
            </w:pPr>
            <w:r>
              <w:rPr>
                <w:rFonts w:ascii="宋体" w:hAnsi="宋体" w:cs="宋体"/>
                <w:b/>
                <w:bCs/>
                <w:color w:val="auto"/>
                <w:kern w:val="0"/>
                <w:sz w:val="24"/>
              </w:rPr>
              <w:t>标的主要需求</w:t>
            </w:r>
          </w:p>
        </w:tc>
      </w:tr>
      <w:tr w14:paraId="142518F0">
        <w:tblPrEx>
          <w:tblBorders>
            <w:top w:val="single" w:color="7E7E7E" w:sz="6" w:space="0"/>
            <w:left w:val="single" w:color="7E7E7E" w:sz="6" w:space="0"/>
            <w:bottom w:val="single" w:color="7E7E7E" w:sz="6" w:space="0"/>
            <w:right w:val="single" w:color="7E7E7E" w:sz="6" w:space="0"/>
            <w:insideH w:val="single" w:color="7E7E7E" w:sz="6" w:space="0"/>
            <w:insideV w:val="single" w:color="7E7E7E" w:sz="6" w:space="0"/>
          </w:tblBorders>
          <w:tblCellMar>
            <w:top w:w="15" w:type="dxa"/>
            <w:left w:w="15" w:type="dxa"/>
            <w:bottom w:w="15" w:type="dxa"/>
            <w:right w:w="15" w:type="dxa"/>
          </w:tblCellMar>
        </w:tblPrEx>
        <w:trPr>
          <w:trHeight w:val="90" w:hRule="atLeast"/>
        </w:trPr>
        <w:tc>
          <w:tcPr>
            <w:tcW w:w="491" w:type="pct"/>
            <w:vMerge w:val="continue"/>
            <w:shd w:val="clear" w:color="auto" w:fill="E3E3E3"/>
            <w:vAlign w:val="center"/>
          </w:tcPr>
          <w:p w14:paraId="30F51B61">
            <w:pPr>
              <w:widowControl/>
              <w:adjustRightInd w:val="0"/>
              <w:snapToGrid w:val="0"/>
              <w:spacing w:line="460" w:lineRule="exact"/>
              <w:jc w:val="left"/>
              <w:rPr>
                <w:rFonts w:ascii="宋体" w:hAnsi="宋体" w:cs="宋体"/>
                <w:b/>
                <w:bCs/>
                <w:color w:val="auto"/>
                <w:kern w:val="0"/>
                <w:sz w:val="24"/>
              </w:rPr>
            </w:pPr>
          </w:p>
        </w:tc>
        <w:tc>
          <w:tcPr>
            <w:tcW w:w="2605" w:type="pct"/>
            <w:vMerge w:val="continue"/>
            <w:shd w:val="clear" w:color="auto" w:fill="E3E3E3"/>
            <w:vAlign w:val="center"/>
          </w:tcPr>
          <w:p w14:paraId="1AAEBCD6">
            <w:pPr>
              <w:widowControl/>
              <w:adjustRightInd w:val="0"/>
              <w:snapToGrid w:val="0"/>
              <w:spacing w:line="460" w:lineRule="exact"/>
              <w:jc w:val="left"/>
              <w:rPr>
                <w:rFonts w:ascii="宋体" w:hAnsi="宋体" w:cs="宋体"/>
                <w:b/>
                <w:bCs/>
                <w:color w:val="auto"/>
                <w:kern w:val="0"/>
                <w:sz w:val="24"/>
              </w:rPr>
            </w:pPr>
          </w:p>
        </w:tc>
        <w:tc>
          <w:tcPr>
            <w:tcW w:w="633" w:type="pct"/>
            <w:shd w:val="clear" w:color="auto" w:fill="E3E3E3"/>
            <w:tcMar>
              <w:top w:w="45" w:type="dxa"/>
              <w:left w:w="45" w:type="dxa"/>
              <w:bottom w:w="45" w:type="dxa"/>
              <w:right w:w="45" w:type="dxa"/>
            </w:tcMar>
            <w:vAlign w:val="center"/>
          </w:tcPr>
          <w:p w14:paraId="3CB0EF6F">
            <w:pPr>
              <w:widowControl/>
              <w:adjustRightInd w:val="0"/>
              <w:snapToGrid w:val="0"/>
              <w:spacing w:line="460" w:lineRule="exact"/>
              <w:jc w:val="center"/>
              <w:rPr>
                <w:rFonts w:ascii="宋体" w:hAnsi="宋体" w:cs="宋体"/>
                <w:b/>
                <w:bCs/>
                <w:color w:val="auto"/>
                <w:kern w:val="0"/>
                <w:sz w:val="24"/>
              </w:rPr>
            </w:pPr>
            <w:r>
              <w:rPr>
                <w:rFonts w:ascii="宋体" w:hAnsi="宋体" w:cs="宋体"/>
                <w:b/>
                <w:bCs/>
                <w:color w:val="auto"/>
                <w:kern w:val="0"/>
                <w:sz w:val="24"/>
              </w:rPr>
              <w:t>技术</w:t>
            </w:r>
          </w:p>
        </w:tc>
        <w:tc>
          <w:tcPr>
            <w:tcW w:w="633" w:type="pct"/>
            <w:shd w:val="clear" w:color="auto" w:fill="E3E3E3"/>
            <w:tcMar>
              <w:top w:w="45" w:type="dxa"/>
              <w:left w:w="45" w:type="dxa"/>
              <w:bottom w:w="45" w:type="dxa"/>
              <w:right w:w="45" w:type="dxa"/>
            </w:tcMar>
            <w:vAlign w:val="center"/>
          </w:tcPr>
          <w:p w14:paraId="130AD258">
            <w:pPr>
              <w:widowControl/>
              <w:adjustRightInd w:val="0"/>
              <w:snapToGrid w:val="0"/>
              <w:spacing w:line="460" w:lineRule="exact"/>
              <w:jc w:val="center"/>
              <w:rPr>
                <w:rFonts w:ascii="宋体" w:hAnsi="宋体" w:cs="宋体"/>
                <w:b/>
                <w:bCs/>
                <w:color w:val="auto"/>
                <w:kern w:val="0"/>
                <w:sz w:val="24"/>
              </w:rPr>
            </w:pPr>
            <w:r>
              <w:rPr>
                <w:rFonts w:ascii="宋体" w:hAnsi="宋体" w:cs="宋体"/>
                <w:b/>
                <w:bCs/>
                <w:color w:val="auto"/>
                <w:kern w:val="0"/>
                <w:sz w:val="24"/>
              </w:rPr>
              <w:t>服务</w:t>
            </w:r>
          </w:p>
        </w:tc>
        <w:tc>
          <w:tcPr>
            <w:tcW w:w="636" w:type="pct"/>
            <w:shd w:val="clear" w:color="auto" w:fill="E3E3E3"/>
            <w:tcMar>
              <w:top w:w="45" w:type="dxa"/>
              <w:left w:w="45" w:type="dxa"/>
              <w:bottom w:w="45" w:type="dxa"/>
              <w:right w:w="45" w:type="dxa"/>
            </w:tcMar>
            <w:vAlign w:val="center"/>
          </w:tcPr>
          <w:p w14:paraId="0061D8E4">
            <w:pPr>
              <w:widowControl/>
              <w:adjustRightInd w:val="0"/>
              <w:snapToGrid w:val="0"/>
              <w:spacing w:line="460" w:lineRule="exact"/>
              <w:jc w:val="center"/>
              <w:rPr>
                <w:rFonts w:ascii="宋体" w:hAnsi="宋体" w:cs="宋体"/>
                <w:b/>
                <w:bCs/>
                <w:color w:val="auto"/>
                <w:kern w:val="0"/>
                <w:sz w:val="24"/>
              </w:rPr>
            </w:pPr>
            <w:r>
              <w:rPr>
                <w:rFonts w:ascii="宋体" w:hAnsi="宋体" w:cs="宋体"/>
                <w:b/>
                <w:bCs/>
                <w:color w:val="auto"/>
                <w:kern w:val="0"/>
                <w:sz w:val="24"/>
              </w:rPr>
              <w:t>合同条款</w:t>
            </w:r>
          </w:p>
        </w:tc>
      </w:tr>
      <w:tr w14:paraId="73922CD1">
        <w:tblPrEx>
          <w:tblBorders>
            <w:top w:val="single" w:color="7E7E7E" w:sz="6" w:space="0"/>
            <w:left w:val="single" w:color="7E7E7E" w:sz="6" w:space="0"/>
            <w:bottom w:val="single" w:color="7E7E7E" w:sz="6" w:space="0"/>
            <w:right w:val="single" w:color="7E7E7E" w:sz="6" w:space="0"/>
            <w:insideH w:val="single" w:color="7E7E7E" w:sz="6" w:space="0"/>
            <w:insideV w:val="single" w:color="7E7E7E" w:sz="6" w:space="0"/>
          </w:tblBorders>
          <w:tblCellMar>
            <w:top w:w="15" w:type="dxa"/>
            <w:left w:w="15" w:type="dxa"/>
            <w:bottom w:w="15" w:type="dxa"/>
            <w:right w:w="15" w:type="dxa"/>
          </w:tblCellMar>
        </w:tblPrEx>
        <w:trPr>
          <w:trHeight w:val="303" w:hRule="atLeast"/>
        </w:trPr>
        <w:tc>
          <w:tcPr>
            <w:tcW w:w="491" w:type="pct"/>
            <w:tcMar>
              <w:top w:w="45" w:type="dxa"/>
              <w:left w:w="45" w:type="dxa"/>
              <w:bottom w:w="45" w:type="dxa"/>
              <w:right w:w="45" w:type="dxa"/>
            </w:tcMar>
            <w:vAlign w:val="center"/>
          </w:tcPr>
          <w:p w14:paraId="0EF9D753">
            <w:pPr>
              <w:widowControl/>
              <w:adjustRightInd w:val="0"/>
              <w:snapToGrid w:val="0"/>
              <w:spacing w:line="460" w:lineRule="exact"/>
              <w:jc w:val="center"/>
              <w:rPr>
                <w:rFonts w:ascii="宋体" w:hAnsi="宋体" w:cs="宋体"/>
                <w:color w:val="auto"/>
                <w:kern w:val="0"/>
                <w:sz w:val="24"/>
              </w:rPr>
            </w:pPr>
            <w:r>
              <w:rPr>
                <w:rFonts w:hint="eastAsia" w:ascii="宋体" w:hAnsi="宋体" w:cs="宋体"/>
                <w:color w:val="auto"/>
                <w:sz w:val="24"/>
              </w:rPr>
              <w:t>1</w:t>
            </w:r>
          </w:p>
        </w:tc>
        <w:tc>
          <w:tcPr>
            <w:tcW w:w="2605" w:type="pct"/>
            <w:tcMar>
              <w:top w:w="45" w:type="dxa"/>
              <w:left w:w="45" w:type="dxa"/>
              <w:bottom w:w="45" w:type="dxa"/>
              <w:right w:w="45" w:type="dxa"/>
            </w:tcMar>
            <w:vAlign w:val="center"/>
          </w:tcPr>
          <w:p w14:paraId="0485B734">
            <w:pPr>
              <w:jc w:val="center"/>
              <w:rPr>
                <w:rFonts w:ascii="宋体" w:hAnsi="宋体" w:cs="宋体"/>
                <w:color w:val="auto"/>
                <w:kern w:val="0"/>
                <w:sz w:val="24"/>
              </w:rPr>
            </w:pPr>
            <w:r>
              <w:rPr>
                <w:rFonts w:hint="eastAsia" w:ascii="宋体" w:hAnsi="宋体" w:cs="宋体"/>
                <w:color w:val="auto"/>
                <w:kern w:val="0"/>
                <w:sz w:val="24"/>
              </w:rPr>
              <w:t>综合大楼信息化和安防设备项目</w:t>
            </w:r>
          </w:p>
        </w:tc>
        <w:tc>
          <w:tcPr>
            <w:tcW w:w="1903" w:type="pct"/>
            <w:gridSpan w:val="3"/>
            <w:tcMar>
              <w:top w:w="45" w:type="dxa"/>
              <w:left w:w="45" w:type="dxa"/>
              <w:bottom w:w="45" w:type="dxa"/>
              <w:right w:w="45" w:type="dxa"/>
            </w:tcMar>
            <w:vAlign w:val="center"/>
          </w:tcPr>
          <w:p w14:paraId="315A7D14">
            <w:pPr>
              <w:widowControl/>
              <w:adjustRightInd w:val="0"/>
              <w:snapToGrid w:val="0"/>
              <w:spacing w:line="460" w:lineRule="exact"/>
              <w:jc w:val="center"/>
              <w:rPr>
                <w:rFonts w:ascii="宋体" w:hAnsi="宋体" w:cs="宋体"/>
                <w:color w:val="auto"/>
                <w:kern w:val="0"/>
                <w:sz w:val="24"/>
              </w:rPr>
            </w:pPr>
            <w:r>
              <w:rPr>
                <w:rFonts w:hint="eastAsia" w:ascii="宋体" w:hAnsi="宋体" w:cs="宋体"/>
                <w:color w:val="auto"/>
                <w:kern w:val="0"/>
                <w:sz w:val="24"/>
              </w:rPr>
              <w:t>详见磋商文件</w:t>
            </w:r>
          </w:p>
        </w:tc>
      </w:tr>
      <w:tr w14:paraId="4B4A2173">
        <w:tblPrEx>
          <w:tblBorders>
            <w:top w:val="single" w:color="7E7E7E" w:sz="6" w:space="0"/>
            <w:left w:val="single" w:color="7E7E7E" w:sz="6" w:space="0"/>
            <w:bottom w:val="single" w:color="7E7E7E" w:sz="6" w:space="0"/>
            <w:right w:val="single" w:color="7E7E7E" w:sz="6" w:space="0"/>
            <w:insideH w:val="single" w:color="7E7E7E" w:sz="6" w:space="0"/>
            <w:insideV w:val="single" w:color="7E7E7E" w:sz="6" w:space="0"/>
          </w:tblBorders>
          <w:tblCellMar>
            <w:top w:w="15" w:type="dxa"/>
            <w:left w:w="15" w:type="dxa"/>
            <w:bottom w:w="15" w:type="dxa"/>
            <w:right w:w="15" w:type="dxa"/>
          </w:tblCellMar>
        </w:tblPrEx>
        <w:trPr>
          <w:trHeight w:val="476" w:hRule="atLeast"/>
        </w:trPr>
        <w:tc>
          <w:tcPr>
            <w:tcW w:w="3096" w:type="pct"/>
            <w:gridSpan w:val="2"/>
            <w:vAlign w:val="center"/>
          </w:tcPr>
          <w:p w14:paraId="4F1D1839">
            <w:pPr>
              <w:widowControl/>
              <w:adjustRightInd w:val="0"/>
              <w:snapToGrid w:val="0"/>
              <w:jc w:val="center"/>
              <w:rPr>
                <w:rFonts w:ascii="宋体" w:hAnsi="宋体" w:cs="宋体"/>
                <w:color w:val="auto"/>
                <w:kern w:val="0"/>
                <w:sz w:val="24"/>
              </w:rPr>
            </w:pPr>
            <w:r>
              <w:rPr>
                <w:rFonts w:hint="eastAsia" w:ascii="宋体" w:hAnsi="宋体" w:cs="宋体"/>
                <w:color w:val="auto"/>
                <w:kern w:val="0"/>
                <w:sz w:val="24"/>
              </w:rPr>
              <w:t>竞争性磋商项目可能实质性变动内容</w:t>
            </w:r>
          </w:p>
        </w:tc>
        <w:tc>
          <w:tcPr>
            <w:tcW w:w="633" w:type="pct"/>
            <w:tcMar>
              <w:top w:w="45" w:type="dxa"/>
              <w:left w:w="45" w:type="dxa"/>
              <w:bottom w:w="45" w:type="dxa"/>
              <w:right w:w="45" w:type="dxa"/>
            </w:tcMar>
            <w:vAlign w:val="center"/>
          </w:tcPr>
          <w:p w14:paraId="52EA3647">
            <w:pPr>
              <w:widowControl/>
              <w:adjustRightInd w:val="0"/>
              <w:snapToGrid w:val="0"/>
              <w:jc w:val="center"/>
              <w:rPr>
                <w:rFonts w:ascii="宋体" w:hAnsi="宋体" w:cs="宋体"/>
                <w:color w:val="auto"/>
                <w:kern w:val="0"/>
                <w:sz w:val="24"/>
              </w:rPr>
            </w:pPr>
            <w:r>
              <w:rPr>
                <w:rFonts w:ascii="宋体" w:hAnsi="宋体" w:cs="宋体"/>
                <w:color w:val="auto"/>
                <w:kern w:val="0"/>
                <w:sz w:val="24"/>
              </w:rPr>
              <w:t>否</w:t>
            </w:r>
          </w:p>
        </w:tc>
        <w:tc>
          <w:tcPr>
            <w:tcW w:w="634" w:type="pct"/>
            <w:tcMar>
              <w:top w:w="45" w:type="dxa"/>
              <w:left w:w="45" w:type="dxa"/>
              <w:bottom w:w="45" w:type="dxa"/>
              <w:right w:w="45" w:type="dxa"/>
            </w:tcMar>
            <w:vAlign w:val="center"/>
          </w:tcPr>
          <w:p w14:paraId="1BC462B0">
            <w:pPr>
              <w:widowControl/>
              <w:adjustRightInd w:val="0"/>
              <w:snapToGrid w:val="0"/>
              <w:jc w:val="center"/>
              <w:rPr>
                <w:rFonts w:ascii="宋体" w:hAnsi="宋体" w:cs="宋体"/>
                <w:color w:val="auto"/>
                <w:kern w:val="0"/>
                <w:sz w:val="24"/>
              </w:rPr>
            </w:pPr>
            <w:r>
              <w:rPr>
                <w:rFonts w:ascii="宋体" w:hAnsi="宋体" w:cs="宋体"/>
                <w:color w:val="auto"/>
                <w:kern w:val="0"/>
                <w:sz w:val="24"/>
              </w:rPr>
              <w:t>否</w:t>
            </w:r>
          </w:p>
        </w:tc>
        <w:tc>
          <w:tcPr>
            <w:tcW w:w="635" w:type="pct"/>
            <w:tcMar>
              <w:top w:w="45" w:type="dxa"/>
              <w:left w:w="45" w:type="dxa"/>
              <w:bottom w:w="45" w:type="dxa"/>
              <w:right w:w="45" w:type="dxa"/>
            </w:tcMar>
            <w:vAlign w:val="center"/>
          </w:tcPr>
          <w:p w14:paraId="260CD042">
            <w:pPr>
              <w:widowControl/>
              <w:adjustRightInd w:val="0"/>
              <w:snapToGrid w:val="0"/>
              <w:jc w:val="center"/>
              <w:rPr>
                <w:rFonts w:ascii="宋体" w:hAnsi="宋体" w:cs="宋体"/>
                <w:color w:val="auto"/>
                <w:kern w:val="0"/>
                <w:sz w:val="24"/>
              </w:rPr>
            </w:pPr>
            <w:r>
              <w:rPr>
                <w:rFonts w:ascii="宋体" w:hAnsi="宋体" w:cs="宋体"/>
                <w:color w:val="auto"/>
                <w:kern w:val="0"/>
                <w:sz w:val="24"/>
              </w:rPr>
              <w:t>否</w:t>
            </w:r>
          </w:p>
        </w:tc>
      </w:tr>
    </w:tbl>
    <w:p w14:paraId="7AB07C54">
      <w:pPr>
        <w:widowControl/>
        <w:shd w:val="clear" w:color="auto" w:fill="FFFFFF"/>
        <w:adjustRightInd w:val="0"/>
        <w:snapToGrid w:val="0"/>
        <w:spacing w:line="360" w:lineRule="auto"/>
        <w:jc w:val="left"/>
        <w:rPr>
          <w:rFonts w:ascii="宋体" w:hAnsi="宋体" w:cs="宋体"/>
          <w:color w:val="auto"/>
          <w:kern w:val="0"/>
          <w:sz w:val="24"/>
        </w:rPr>
      </w:pPr>
      <w:r>
        <w:rPr>
          <w:rFonts w:hint="eastAsia" w:ascii="宋体" w:hAnsi="宋体" w:cs="宋体"/>
          <w:b/>
          <w:bCs/>
          <w:color w:val="auto"/>
          <w:kern w:val="0"/>
          <w:sz w:val="24"/>
        </w:rPr>
        <w:t>二、供应商资格要求：</w:t>
      </w:r>
    </w:p>
    <w:p w14:paraId="6142E376">
      <w:pPr>
        <w:widowControl/>
        <w:shd w:val="clear" w:color="auto" w:fill="FFFFFF"/>
        <w:adjustRightInd w:val="0"/>
        <w:snapToGrid w:val="0"/>
        <w:spacing w:line="360" w:lineRule="auto"/>
        <w:jc w:val="left"/>
        <w:rPr>
          <w:rFonts w:ascii="宋体" w:hAnsi="宋体" w:cs="宋体"/>
          <w:color w:val="auto"/>
          <w:kern w:val="0"/>
          <w:sz w:val="24"/>
        </w:rPr>
      </w:pPr>
      <w:r>
        <w:rPr>
          <w:rFonts w:hint="eastAsia" w:ascii="宋体" w:hAnsi="宋体" w:cs="宋体"/>
          <w:b/>
          <w:bCs/>
          <w:color w:val="auto"/>
          <w:kern w:val="0"/>
          <w:sz w:val="24"/>
        </w:rPr>
        <w:t>2.1供应商基本资格要求：</w:t>
      </w:r>
    </w:p>
    <w:p w14:paraId="00095F19">
      <w:pPr>
        <w:widowControl/>
        <w:shd w:val="clear" w:color="auto" w:fill="FFFFFF"/>
        <w:adjustRightInd w:val="0"/>
        <w:snapToGrid w:val="0"/>
        <w:spacing w:line="360" w:lineRule="auto"/>
        <w:jc w:val="left"/>
        <w:rPr>
          <w:rFonts w:ascii="宋体" w:hAnsi="宋体" w:cs="宋体"/>
          <w:color w:val="auto"/>
          <w:kern w:val="0"/>
          <w:sz w:val="24"/>
        </w:rPr>
      </w:pPr>
      <w:r>
        <w:rPr>
          <w:rFonts w:hint="eastAsia" w:ascii="宋体" w:hAnsi="宋体" w:cs="宋体"/>
          <w:color w:val="auto"/>
          <w:kern w:val="0"/>
          <w:sz w:val="24"/>
        </w:rPr>
        <w:t>1.具有独立承担民事责任的能力；</w:t>
      </w:r>
    </w:p>
    <w:p w14:paraId="3158D0C1">
      <w:pPr>
        <w:widowControl/>
        <w:shd w:val="clear" w:color="auto" w:fill="FFFFFF"/>
        <w:tabs>
          <w:tab w:val="left" w:pos="5250"/>
        </w:tabs>
        <w:adjustRightInd w:val="0"/>
        <w:snapToGrid w:val="0"/>
        <w:spacing w:line="360" w:lineRule="auto"/>
        <w:jc w:val="left"/>
        <w:rPr>
          <w:rFonts w:ascii="宋体" w:hAnsi="宋体" w:cs="宋体"/>
          <w:color w:val="auto"/>
          <w:kern w:val="0"/>
          <w:sz w:val="24"/>
        </w:rPr>
      </w:pPr>
      <w:r>
        <w:rPr>
          <w:rFonts w:hint="eastAsia" w:ascii="宋体" w:hAnsi="宋体" w:cs="宋体"/>
          <w:color w:val="auto"/>
          <w:kern w:val="0"/>
          <w:sz w:val="24"/>
        </w:rPr>
        <w:t>2.具有良好的商业信誉和健全的财务会计制度；</w:t>
      </w:r>
    </w:p>
    <w:p w14:paraId="3B695C40">
      <w:pPr>
        <w:widowControl/>
        <w:shd w:val="clear" w:color="auto" w:fill="FFFFFF"/>
        <w:adjustRightInd w:val="0"/>
        <w:snapToGrid w:val="0"/>
        <w:spacing w:line="360" w:lineRule="auto"/>
        <w:jc w:val="left"/>
        <w:rPr>
          <w:rFonts w:ascii="宋体" w:hAnsi="宋体" w:cs="宋体"/>
          <w:color w:val="auto"/>
          <w:kern w:val="0"/>
          <w:sz w:val="24"/>
        </w:rPr>
      </w:pPr>
      <w:r>
        <w:rPr>
          <w:rFonts w:hint="eastAsia" w:ascii="宋体" w:hAnsi="宋体" w:cs="宋体"/>
          <w:color w:val="auto"/>
          <w:kern w:val="0"/>
          <w:sz w:val="24"/>
        </w:rPr>
        <w:t>3.具有履行合同所必需的设备和专业技术能力；</w:t>
      </w:r>
    </w:p>
    <w:p w14:paraId="2EF8EC23">
      <w:pPr>
        <w:widowControl/>
        <w:shd w:val="clear" w:color="auto" w:fill="FFFFFF"/>
        <w:adjustRightInd w:val="0"/>
        <w:snapToGrid w:val="0"/>
        <w:spacing w:line="360" w:lineRule="auto"/>
        <w:jc w:val="left"/>
        <w:rPr>
          <w:rFonts w:ascii="宋体" w:hAnsi="宋体" w:cs="宋体"/>
          <w:color w:val="auto"/>
          <w:kern w:val="0"/>
          <w:sz w:val="24"/>
        </w:rPr>
      </w:pPr>
      <w:r>
        <w:rPr>
          <w:rFonts w:hint="eastAsia" w:ascii="宋体" w:hAnsi="宋体" w:cs="宋体"/>
          <w:color w:val="auto"/>
          <w:kern w:val="0"/>
          <w:sz w:val="24"/>
        </w:rPr>
        <w:t>4.有依法缴纳税收和社会保障资金的良好记录；</w:t>
      </w:r>
    </w:p>
    <w:p w14:paraId="749DFCF0">
      <w:pPr>
        <w:widowControl/>
        <w:shd w:val="clear" w:color="auto" w:fill="FFFFFF"/>
        <w:adjustRightInd w:val="0"/>
        <w:snapToGrid w:val="0"/>
        <w:spacing w:line="360" w:lineRule="auto"/>
        <w:jc w:val="left"/>
        <w:rPr>
          <w:rFonts w:ascii="宋体" w:hAnsi="宋体" w:cs="宋体"/>
          <w:color w:val="auto"/>
          <w:kern w:val="0"/>
          <w:sz w:val="24"/>
        </w:rPr>
      </w:pPr>
      <w:r>
        <w:rPr>
          <w:rFonts w:hint="eastAsia" w:ascii="宋体" w:hAnsi="宋体" w:cs="宋体"/>
          <w:color w:val="auto"/>
          <w:kern w:val="0"/>
          <w:sz w:val="24"/>
        </w:rPr>
        <w:t>5.参加政府采购活动前三年内，在经营活动中没有重大违法记录；</w:t>
      </w:r>
    </w:p>
    <w:p w14:paraId="640392B6">
      <w:pPr>
        <w:widowControl/>
        <w:shd w:val="clear" w:color="auto" w:fill="FFFFFF"/>
        <w:adjustRightInd w:val="0"/>
        <w:snapToGrid w:val="0"/>
        <w:spacing w:line="360" w:lineRule="auto"/>
        <w:jc w:val="left"/>
        <w:rPr>
          <w:rFonts w:ascii="宋体" w:hAnsi="宋体" w:cs="宋体"/>
          <w:color w:val="auto"/>
          <w:kern w:val="0"/>
          <w:sz w:val="24"/>
        </w:rPr>
      </w:pPr>
      <w:r>
        <w:rPr>
          <w:rFonts w:hint="eastAsia" w:ascii="宋体" w:hAnsi="宋体" w:cs="宋体"/>
          <w:color w:val="auto"/>
          <w:kern w:val="0"/>
          <w:sz w:val="24"/>
        </w:rPr>
        <w:t>6.法律、行政法规规定的其他条件。</w:t>
      </w:r>
    </w:p>
    <w:p w14:paraId="5EB6C8B9">
      <w:pPr>
        <w:widowControl/>
        <w:shd w:val="clear" w:color="auto" w:fill="FFFFFF"/>
        <w:adjustRightInd w:val="0"/>
        <w:snapToGrid w:val="0"/>
        <w:spacing w:line="360" w:lineRule="auto"/>
        <w:jc w:val="left"/>
        <w:rPr>
          <w:rFonts w:ascii="宋体" w:hAnsi="宋体" w:cs="宋体"/>
          <w:color w:val="auto"/>
          <w:kern w:val="0"/>
          <w:sz w:val="24"/>
        </w:rPr>
      </w:pPr>
      <w:r>
        <w:rPr>
          <w:rFonts w:hint="eastAsia" w:ascii="宋体" w:hAnsi="宋体" w:cs="宋体"/>
          <w:b/>
          <w:bCs/>
          <w:color w:val="auto"/>
          <w:kern w:val="0"/>
          <w:sz w:val="24"/>
        </w:rPr>
        <w:t>2.2供应商特定资格要求：</w:t>
      </w:r>
      <w:r>
        <w:rPr>
          <w:rFonts w:hint="eastAsia" w:ascii="宋体" w:hAnsi="宋体" w:cs="宋体"/>
          <w:color w:val="auto"/>
          <w:kern w:val="0"/>
          <w:sz w:val="24"/>
        </w:rPr>
        <w:t>无。</w:t>
      </w:r>
    </w:p>
    <w:p w14:paraId="07971153">
      <w:pPr>
        <w:widowControl/>
        <w:shd w:val="clear" w:color="auto" w:fill="FFFFFF"/>
        <w:adjustRightInd w:val="0"/>
        <w:snapToGrid w:val="0"/>
        <w:spacing w:line="360" w:lineRule="auto"/>
        <w:jc w:val="left"/>
        <w:rPr>
          <w:rFonts w:ascii="宋体" w:hAnsi="宋体" w:cs="宋体"/>
          <w:color w:val="auto"/>
          <w:kern w:val="0"/>
          <w:sz w:val="24"/>
        </w:rPr>
      </w:pPr>
      <w:r>
        <w:rPr>
          <w:rFonts w:hint="eastAsia" w:ascii="宋体" w:hAnsi="宋体" w:cs="宋体"/>
          <w:b/>
          <w:bCs/>
          <w:color w:val="auto"/>
          <w:sz w:val="24"/>
          <w:szCs w:val="32"/>
        </w:rPr>
        <w:t>2.3落实政府采购政策需满足的资格要求：</w:t>
      </w:r>
      <w:r>
        <w:rPr>
          <w:rFonts w:hint="eastAsia" w:ascii="宋体" w:hAnsi="宋体" w:cs="宋体"/>
          <w:color w:val="auto"/>
          <w:sz w:val="24"/>
          <w:szCs w:val="32"/>
        </w:rPr>
        <w:t>无。</w:t>
      </w:r>
    </w:p>
    <w:p w14:paraId="2C5FC9DD">
      <w:pPr>
        <w:widowControl/>
        <w:shd w:val="clear" w:color="auto" w:fill="FFFFFF"/>
        <w:adjustRightInd w:val="0"/>
        <w:snapToGrid w:val="0"/>
        <w:spacing w:line="360" w:lineRule="auto"/>
        <w:jc w:val="left"/>
        <w:rPr>
          <w:rFonts w:hint="eastAsia" w:ascii="宋体" w:hAnsi="宋体" w:cs="宋体"/>
          <w:color w:val="auto"/>
          <w:kern w:val="0"/>
          <w:sz w:val="24"/>
        </w:rPr>
      </w:pPr>
      <w:r>
        <w:rPr>
          <w:rFonts w:hint="eastAsia" w:ascii="宋体" w:hAnsi="宋体" w:cs="宋体"/>
          <w:b/>
          <w:bCs/>
          <w:color w:val="auto"/>
          <w:kern w:val="0"/>
          <w:sz w:val="24"/>
        </w:rPr>
        <w:t>3.本项目对联合体的要求：</w:t>
      </w:r>
      <w:r>
        <w:rPr>
          <w:rFonts w:hint="eastAsia" w:ascii="宋体" w:hAnsi="宋体" w:cs="宋体"/>
          <w:color w:val="auto"/>
          <w:kern w:val="0"/>
          <w:sz w:val="24"/>
        </w:rPr>
        <w:t>本项目不接受联合体。</w:t>
      </w:r>
    </w:p>
    <w:p w14:paraId="452C85D8">
      <w:pPr>
        <w:widowControl/>
        <w:shd w:val="clear" w:color="auto" w:fill="FFFFFF"/>
        <w:adjustRightInd w:val="0"/>
        <w:snapToGrid w:val="0"/>
        <w:spacing w:line="360" w:lineRule="auto"/>
        <w:jc w:val="left"/>
        <w:rPr>
          <w:rFonts w:ascii="宋体" w:hAnsi="宋体" w:cs="宋体"/>
          <w:color w:val="auto"/>
          <w:kern w:val="0"/>
          <w:sz w:val="24"/>
        </w:rPr>
      </w:pPr>
      <w:r>
        <w:rPr>
          <w:rFonts w:hint="eastAsia" w:ascii="宋体" w:hAnsi="宋体" w:cs="宋体"/>
          <w:b/>
          <w:bCs/>
          <w:color w:val="auto"/>
          <w:kern w:val="0"/>
          <w:sz w:val="24"/>
        </w:rPr>
        <w:t>4.资格特别说明：</w:t>
      </w:r>
      <w:r>
        <w:rPr>
          <w:rFonts w:hint="eastAsia" w:ascii="宋体" w:hAnsi="宋体" w:cs="宋体"/>
          <w:color w:val="auto"/>
          <w:kern w:val="0"/>
          <w:sz w:val="24"/>
        </w:rPr>
        <w:t>（1）按照《政府采购法实施条例释义》，法人的分支机构由于其不能独立承担民事责任，不能以分支机构的身份参加政府采购，只能以法人身份参加。但银行、保险、石油石化、电力、电信等有行业特殊情况的，可以分支机构参加政府采购和签订合同。（2）本项目接受银行、保险、石油石化、电力、电信等行业的地级市及以上分支机构参与投标，但需遵循以下条件：①分支机构参与投标的出具总公司的授权文件或制度文件等能够证明总公司授权其参与项目投标及履约，并为分支机构的履约行为承担民事责任；②同一总公司的不同分支机构不得同时参与本项目的投标，总公司自身不得与其下属分支机构同时参与本</w:t>
      </w:r>
      <w:r>
        <w:rPr>
          <w:rFonts w:hint="eastAsia" w:ascii="宋体" w:hAnsi="宋体" w:cs="宋体"/>
          <w:color w:val="auto"/>
          <w:kern w:val="0"/>
          <w:sz w:val="24"/>
          <w:lang w:eastAsia="zh-CN"/>
        </w:rPr>
        <w:t>项目</w:t>
      </w:r>
      <w:r>
        <w:rPr>
          <w:rFonts w:hint="eastAsia" w:ascii="宋体" w:hAnsi="宋体" w:cs="宋体"/>
          <w:color w:val="auto"/>
          <w:kern w:val="0"/>
          <w:sz w:val="24"/>
        </w:rPr>
        <w:t>的投标，否则相关投标均无效。③分支机构或其省级分公司或所属的总公司的资格材料均予以认可。</w:t>
      </w:r>
    </w:p>
    <w:p w14:paraId="27A2A2C2">
      <w:pPr>
        <w:widowControl/>
        <w:shd w:val="clear" w:color="auto" w:fill="FFFFFF"/>
        <w:adjustRightInd w:val="0"/>
        <w:snapToGrid w:val="0"/>
        <w:spacing w:line="360" w:lineRule="auto"/>
        <w:jc w:val="left"/>
        <w:rPr>
          <w:rFonts w:ascii="宋体" w:hAnsi="宋体" w:cs="宋体"/>
          <w:b/>
          <w:bCs/>
          <w:color w:val="auto"/>
          <w:kern w:val="0"/>
          <w:sz w:val="24"/>
        </w:rPr>
      </w:pPr>
      <w:r>
        <w:rPr>
          <w:rFonts w:hint="eastAsia" w:ascii="宋体" w:hAnsi="宋体" w:cs="宋体"/>
          <w:b/>
          <w:bCs/>
          <w:color w:val="auto"/>
          <w:kern w:val="0"/>
          <w:sz w:val="24"/>
        </w:rPr>
        <w:t>三、竞争性磋商文件发售方式、时间及文件售价：</w:t>
      </w:r>
    </w:p>
    <w:p w14:paraId="0E88FEBA">
      <w:pPr>
        <w:shd w:val="clear" w:color="auto" w:fill="FFFFFF"/>
        <w:adjustRightInd w:val="0"/>
        <w:snapToGrid w:val="0"/>
        <w:spacing w:line="360" w:lineRule="auto"/>
        <w:rPr>
          <w:rFonts w:ascii="宋体" w:hAnsi="宋体" w:cs="仿宋_GB2312"/>
          <w:b/>
          <w:bCs/>
          <w:color w:val="auto"/>
          <w:kern w:val="0"/>
          <w:sz w:val="24"/>
        </w:rPr>
      </w:pPr>
      <w:r>
        <w:rPr>
          <w:rFonts w:hint="eastAsia" w:ascii="宋体" w:hAnsi="宋体" w:cs="仿宋_GB2312"/>
          <w:color w:val="auto"/>
          <w:kern w:val="0"/>
          <w:sz w:val="24"/>
        </w:rPr>
        <w:t>3.1获取磋商文件时间（法定工作时间）：2026年</w:t>
      </w:r>
      <w:r>
        <w:rPr>
          <w:rFonts w:hint="eastAsia" w:ascii="宋体" w:hAnsi="宋体" w:cs="仿宋_GB2312"/>
          <w:color w:val="auto"/>
          <w:kern w:val="0"/>
          <w:sz w:val="24"/>
          <w:lang w:val="en-US" w:eastAsia="zh-CN"/>
        </w:rPr>
        <w:t>8</w:t>
      </w:r>
      <w:r>
        <w:rPr>
          <w:rFonts w:hint="eastAsia" w:ascii="宋体" w:hAnsi="宋体" w:cs="仿宋_GB2312"/>
          <w:color w:val="auto"/>
          <w:kern w:val="0"/>
          <w:sz w:val="24"/>
        </w:rPr>
        <w:t>月</w:t>
      </w:r>
      <w:r>
        <w:rPr>
          <w:rFonts w:hint="eastAsia" w:ascii="宋体" w:hAnsi="宋体" w:cs="仿宋_GB2312"/>
          <w:color w:val="auto"/>
          <w:kern w:val="0"/>
          <w:sz w:val="24"/>
          <w:lang w:val="en-US" w:eastAsia="zh-CN"/>
        </w:rPr>
        <w:t>14</w:t>
      </w:r>
      <w:r>
        <w:rPr>
          <w:rFonts w:hint="eastAsia" w:ascii="宋体" w:hAnsi="宋体" w:cs="仿宋_GB2312"/>
          <w:color w:val="auto"/>
          <w:kern w:val="0"/>
          <w:sz w:val="24"/>
        </w:rPr>
        <w:t>日至2026年</w:t>
      </w:r>
      <w:r>
        <w:rPr>
          <w:rFonts w:hint="eastAsia" w:ascii="宋体" w:hAnsi="宋体" w:cs="仿宋_GB2312"/>
          <w:color w:val="auto"/>
          <w:kern w:val="0"/>
          <w:sz w:val="24"/>
          <w:lang w:val="en-US" w:eastAsia="zh-CN"/>
        </w:rPr>
        <w:t>8</w:t>
      </w:r>
      <w:r>
        <w:rPr>
          <w:rFonts w:hint="eastAsia" w:ascii="宋体" w:hAnsi="宋体" w:cs="仿宋_GB2312"/>
          <w:color w:val="auto"/>
          <w:kern w:val="0"/>
          <w:sz w:val="24"/>
        </w:rPr>
        <w:t>月</w:t>
      </w:r>
      <w:r>
        <w:rPr>
          <w:rFonts w:hint="eastAsia" w:ascii="宋体" w:hAnsi="宋体" w:cs="仿宋_GB2312"/>
          <w:color w:val="auto"/>
          <w:kern w:val="0"/>
          <w:sz w:val="24"/>
          <w:lang w:val="en-US" w:eastAsia="zh-CN"/>
        </w:rPr>
        <w:t>21</w:t>
      </w:r>
      <w:r>
        <w:rPr>
          <w:rFonts w:hint="eastAsia" w:ascii="宋体" w:hAnsi="宋体" w:cs="仿宋_GB2312"/>
          <w:color w:val="auto"/>
          <w:kern w:val="0"/>
          <w:sz w:val="24"/>
        </w:rPr>
        <w:t>日。</w:t>
      </w:r>
    </w:p>
    <w:p w14:paraId="29B2E931">
      <w:pPr>
        <w:tabs>
          <w:tab w:val="left" w:pos="4700"/>
          <w:tab w:val="left" w:pos="6000"/>
          <w:tab w:val="left" w:pos="7160"/>
          <w:tab w:val="left" w:pos="8520"/>
        </w:tabs>
        <w:autoSpaceDE w:val="0"/>
        <w:autoSpaceDN w:val="0"/>
        <w:adjustRightInd w:val="0"/>
        <w:snapToGrid w:val="0"/>
        <w:spacing w:line="360" w:lineRule="auto"/>
        <w:jc w:val="left"/>
        <w:rPr>
          <w:rFonts w:cs="微软雅黑" w:asciiTheme="minorEastAsia" w:hAnsiTheme="minorEastAsia" w:eastAsiaTheme="minorEastAsia"/>
          <w:color w:val="auto"/>
          <w:kern w:val="0"/>
          <w:sz w:val="24"/>
        </w:rPr>
      </w:pPr>
      <w:r>
        <w:rPr>
          <w:rFonts w:hint="eastAsia" w:cs="微软雅黑" w:asciiTheme="minorEastAsia" w:hAnsiTheme="minorEastAsia" w:eastAsiaTheme="minorEastAsia"/>
          <w:color w:val="auto"/>
          <w:kern w:val="0"/>
          <w:sz w:val="24"/>
        </w:rPr>
        <w:t>3.2获取磋商文件方式：凡符合投标资格要求并有意参加投标者请在《中国湖南政府采购网》下载竞争性磋商文件，其下载的磋商文件与书面磋商文件具有同等法律效力。</w:t>
      </w:r>
    </w:p>
    <w:p w14:paraId="1A61FA5F">
      <w:pPr>
        <w:widowControl/>
        <w:shd w:val="clear" w:color="auto" w:fill="FFFFFF"/>
        <w:adjustRightInd w:val="0"/>
        <w:snapToGrid w:val="0"/>
        <w:spacing w:line="360" w:lineRule="auto"/>
        <w:jc w:val="left"/>
        <w:rPr>
          <w:rFonts w:cs="微软雅黑" w:asciiTheme="minorEastAsia" w:hAnsiTheme="minorEastAsia" w:eastAsiaTheme="minorEastAsia"/>
          <w:color w:val="auto"/>
          <w:kern w:val="0"/>
          <w:sz w:val="24"/>
        </w:rPr>
      </w:pPr>
      <w:r>
        <w:rPr>
          <w:rFonts w:hint="eastAsia" w:cs="微软雅黑" w:asciiTheme="minorEastAsia" w:hAnsiTheme="minorEastAsia" w:eastAsiaTheme="minorEastAsia"/>
          <w:color w:val="auto"/>
          <w:kern w:val="0"/>
          <w:sz w:val="24"/>
        </w:rPr>
        <w:t>3.3磋商文件售价：免费。</w:t>
      </w:r>
    </w:p>
    <w:p w14:paraId="431177F5">
      <w:pPr>
        <w:widowControl/>
        <w:shd w:val="clear" w:color="auto" w:fill="FFFFFF"/>
        <w:adjustRightInd w:val="0"/>
        <w:snapToGrid w:val="0"/>
        <w:spacing w:line="360" w:lineRule="auto"/>
        <w:jc w:val="left"/>
        <w:rPr>
          <w:rFonts w:ascii="宋体" w:hAnsi="宋体" w:cs="宋体"/>
          <w:b/>
          <w:bCs/>
          <w:color w:val="auto"/>
          <w:kern w:val="0"/>
          <w:sz w:val="24"/>
        </w:rPr>
      </w:pPr>
      <w:r>
        <w:rPr>
          <w:rFonts w:hint="eastAsia" w:cs="微软雅黑" w:asciiTheme="minorEastAsia" w:hAnsiTheme="minorEastAsia" w:eastAsiaTheme="minorEastAsia"/>
          <w:color w:val="auto"/>
          <w:kern w:val="0"/>
          <w:sz w:val="24"/>
        </w:rPr>
        <w:t>3.4澄清更正采用“网上澄清更正”方式。采购人或采购代理机构对磋商文件的澄清更正均会在指定公告媒体上发布，请供应商自行获取。其获取的澄清更正内容与书面澄清更正具有同等法律效力。</w:t>
      </w:r>
    </w:p>
    <w:p w14:paraId="6FB81B4C">
      <w:pPr>
        <w:widowControl/>
        <w:shd w:val="clear" w:color="auto" w:fill="FFFFFF"/>
        <w:adjustRightInd w:val="0"/>
        <w:snapToGrid w:val="0"/>
        <w:spacing w:line="360" w:lineRule="auto"/>
        <w:jc w:val="left"/>
        <w:rPr>
          <w:rFonts w:ascii="宋体" w:hAnsi="宋体" w:cs="宋体"/>
          <w:color w:val="auto"/>
          <w:kern w:val="0"/>
          <w:sz w:val="24"/>
        </w:rPr>
      </w:pPr>
      <w:r>
        <w:rPr>
          <w:rFonts w:hint="eastAsia" w:ascii="宋体" w:hAnsi="宋体" w:cs="宋体"/>
          <w:b/>
          <w:bCs/>
          <w:color w:val="auto"/>
          <w:kern w:val="0"/>
          <w:sz w:val="24"/>
        </w:rPr>
        <w:t>四、递交响应文件的截止时间和地点：</w:t>
      </w:r>
    </w:p>
    <w:p w14:paraId="5C2672B4">
      <w:pPr>
        <w:shd w:val="clear" w:color="auto" w:fill="FFFFFF"/>
        <w:adjustRightInd w:val="0"/>
        <w:snapToGrid w:val="0"/>
        <w:spacing w:line="360" w:lineRule="auto"/>
        <w:rPr>
          <w:rFonts w:ascii="宋体" w:hAnsi="宋体" w:cs="宋体"/>
          <w:color w:val="auto"/>
          <w:kern w:val="0"/>
          <w:sz w:val="24"/>
        </w:rPr>
      </w:pPr>
      <w:r>
        <w:rPr>
          <w:rFonts w:hint="eastAsia" w:ascii="宋体" w:hAnsi="宋体" w:cs="宋体"/>
          <w:color w:val="auto"/>
          <w:kern w:val="0"/>
          <w:sz w:val="24"/>
        </w:rPr>
        <w:t>4.1竞争性磋商响应截止、开标时间：</w:t>
      </w:r>
      <w:r>
        <w:rPr>
          <w:rFonts w:hint="eastAsia" w:ascii="宋体" w:hAnsi="宋体" w:cs="仿宋_GB2312"/>
          <w:b/>
          <w:bCs/>
          <w:color w:val="auto"/>
          <w:kern w:val="0"/>
          <w:sz w:val="24"/>
          <w:lang w:eastAsia="zh-CN"/>
        </w:rPr>
        <w:t>2026年8月26日09时30分</w:t>
      </w:r>
      <w:r>
        <w:rPr>
          <w:rFonts w:hint="eastAsia" w:ascii="宋体" w:hAnsi="宋体" w:cs="仿宋_GB2312"/>
          <w:b/>
          <w:bCs/>
          <w:color w:val="auto"/>
          <w:kern w:val="0"/>
          <w:sz w:val="24"/>
        </w:rPr>
        <w:t>（北京时间）</w:t>
      </w:r>
    </w:p>
    <w:p w14:paraId="038EDAA3">
      <w:pPr>
        <w:widowControl/>
        <w:shd w:val="clear" w:color="auto" w:fill="FFFFFF"/>
        <w:adjustRightInd w:val="0"/>
        <w:snapToGrid w:val="0"/>
        <w:spacing w:line="360" w:lineRule="auto"/>
        <w:jc w:val="left"/>
        <w:rPr>
          <w:rFonts w:ascii="宋体" w:hAnsi="宋体" w:cs="宋体"/>
          <w:color w:val="auto"/>
          <w:kern w:val="0"/>
          <w:sz w:val="24"/>
        </w:rPr>
      </w:pPr>
      <w:r>
        <w:rPr>
          <w:rFonts w:hint="eastAsia" w:ascii="宋体" w:hAnsi="宋体" w:cs="宋体"/>
          <w:color w:val="auto"/>
          <w:kern w:val="0"/>
          <w:sz w:val="24"/>
        </w:rPr>
        <w:t>4.2 竞争性磋商地点：常德众益项目管理咨询有限公司开标室（常德市武陵区上川四季酒店6楼）</w:t>
      </w:r>
    </w:p>
    <w:p w14:paraId="42F6CDC1">
      <w:pPr>
        <w:widowControl/>
        <w:shd w:val="clear" w:color="auto" w:fill="FFFFFF"/>
        <w:adjustRightInd w:val="0"/>
        <w:snapToGrid w:val="0"/>
        <w:spacing w:line="360" w:lineRule="auto"/>
        <w:jc w:val="left"/>
        <w:rPr>
          <w:rFonts w:ascii="宋体" w:hAnsi="宋体" w:cs="宋体"/>
          <w:color w:val="auto"/>
          <w:kern w:val="0"/>
          <w:sz w:val="24"/>
        </w:rPr>
      </w:pPr>
      <w:r>
        <w:rPr>
          <w:rFonts w:hint="eastAsia" w:ascii="宋体" w:hAnsi="宋体" w:cs="宋体"/>
          <w:color w:val="auto"/>
          <w:kern w:val="0"/>
          <w:sz w:val="24"/>
        </w:rPr>
        <w:t>4.3 响应文件送至常德众益项目管理咨询有限公司开标室（常德市武陵区上川四季酒店6楼）。逾期送达或者不按磋商文件要求密封或者不按磋商文件的要求提供保证金的的响应文件，采购代理机构将拒绝接收。</w:t>
      </w:r>
    </w:p>
    <w:p w14:paraId="149B5DBD">
      <w:pPr>
        <w:widowControl/>
        <w:shd w:val="clear" w:color="auto" w:fill="FFFFFF"/>
        <w:adjustRightInd w:val="0"/>
        <w:snapToGrid w:val="0"/>
        <w:spacing w:line="360" w:lineRule="auto"/>
        <w:jc w:val="left"/>
        <w:rPr>
          <w:rFonts w:ascii="宋体" w:hAnsi="宋体"/>
          <w:b/>
          <w:bCs/>
          <w:color w:val="auto"/>
          <w:kern w:val="0"/>
          <w:sz w:val="24"/>
        </w:rPr>
      </w:pPr>
      <w:r>
        <w:rPr>
          <w:rFonts w:hint="eastAsia" w:ascii="宋体" w:hAnsi="宋体" w:cs="宋体"/>
          <w:b/>
          <w:bCs/>
          <w:color w:val="auto"/>
          <w:kern w:val="0"/>
          <w:sz w:val="24"/>
        </w:rPr>
        <w:t>五、投标保证金：</w:t>
      </w:r>
      <w:r>
        <w:rPr>
          <w:rFonts w:hint="eastAsia" w:ascii="宋体" w:hAnsi="宋体"/>
          <w:color w:val="auto"/>
          <w:kern w:val="0"/>
          <w:sz w:val="24"/>
        </w:rPr>
        <w:t>不要求提供。</w:t>
      </w:r>
    </w:p>
    <w:p w14:paraId="2A2FB018">
      <w:pPr>
        <w:widowControl/>
        <w:adjustRightInd w:val="0"/>
        <w:snapToGrid w:val="0"/>
        <w:spacing w:line="360" w:lineRule="auto"/>
        <w:ind w:right="-153" w:rightChars="-73"/>
        <w:jc w:val="left"/>
        <w:rPr>
          <w:rFonts w:ascii="宋体" w:hAnsi="宋体"/>
          <w:color w:val="auto"/>
          <w:kern w:val="0"/>
          <w:sz w:val="24"/>
        </w:rPr>
      </w:pPr>
      <w:r>
        <w:rPr>
          <w:rFonts w:hint="eastAsia" w:ascii="宋体" w:hAnsi="宋体"/>
          <w:b/>
          <w:bCs/>
          <w:color w:val="auto"/>
          <w:kern w:val="0"/>
          <w:sz w:val="24"/>
        </w:rPr>
        <w:t>六、公告期限：</w:t>
      </w:r>
    </w:p>
    <w:p w14:paraId="62B1BB9B">
      <w:pPr>
        <w:widowControl/>
        <w:adjustRightInd w:val="0"/>
        <w:snapToGrid w:val="0"/>
        <w:spacing w:line="360" w:lineRule="auto"/>
        <w:ind w:right="-153" w:rightChars="-73"/>
        <w:jc w:val="left"/>
        <w:rPr>
          <w:rFonts w:ascii="宋体" w:hAnsi="宋体"/>
          <w:color w:val="auto"/>
          <w:kern w:val="0"/>
          <w:sz w:val="24"/>
        </w:rPr>
      </w:pPr>
      <w:r>
        <w:rPr>
          <w:rFonts w:hint="eastAsia" w:ascii="宋体" w:hAnsi="宋体"/>
          <w:color w:val="auto"/>
          <w:kern w:val="0"/>
          <w:sz w:val="24"/>
        </w:rPr>
        <w:t>6.1公告期限从本磋商公告发布之日起3个工作日。</w:t>
      </w:r>
    </w:p>
    <w:p w14:paraId="50838335">
      <w:pPr>
        <w:widowControl/>
        <w:adjustRightInd w:val="0"/>
        <w:snapToGrid w:val="0"/>
        <w:spacing w:line="360" w:lineRule="auto"/>
        <w:ind w:right="-153" w:rightChars="-73"/>
        <w:jc w:val="left"/>
        <w:rPr>
          <w:rFonts w:ascii="宋体" w:hAnsi="宋体"/>
          <w:color w:val="auto"/>
          <w:kern w:val="0"/>
          <w:sz w:val="24"/>
        </w:rPr>
      </w:pPr>
      <w:r>
        <w:rPr>
          <w:rFonts w:hint="eastAsia" w:ascii="宋体" w:hAnsi="宋体"/>
          <w:color w:val="auto"/>
          <w:kern w:val="0"/>
          <w:sz w:val="24"/>
        </w:rPr>
        <w:t>6.2本项目公告指定在《</w:t>
      </w:r>
      <w:r>
        <w:rPr>
          <w:rFonts w:hint="eastAsia" w:asciiTheme="minorEastAsia" w:hAnsiTheme="minorEastAsia" w:eastAsiaTheme="minorEastAsia"/>
          <w:color w:val="auto"/>
          <w:sz w:val="24"/>
        </w:rPr>
        <w:t>中国湖南政府采购网</w:t>
      </w:r>
      <w:r>
        <w:rPr>
          <w:rFonts w:hint="eastAsia" w:ascii="宋体" w:hAnsi="宋体"/>
          <w:color w:val="auto"/>
          <w:kern w:val="0"/>
          <w:sz w:val="24"/>
        </w:rPr>
        <w:t>》</w:t>
      </w:r>
      <w:r>
        <w:rPr>
          <w:rFonts w:hint="eastAsia" w:asciiTheme="minorEastAsia" w:hAnsiTheme="minorEastAsia" w:eastAsiaTheme="minorEastAsia"/>
          <w:color w:val="auto"/>
          <w:sz w:val="24"/>
        </w:rPr>
        <w:t>(www.ccgp-hunan.gov.cn)</w:t>
      </w:r>
      <w:r>
        <w:rPr>
          <w:rFonts w:hint="eastAsia" w:ascii="宋体" w:hAnsi="宋体"/>
          <w:color w:val="auto"/>
          <w:kern w:val="0"/>
          <w:sz w:val="24"/>
        </w:rPr>
        <w:t>发布，在其他媒体发布的公告，公告内容以指定媒体发布的公告为准；公告期限自指定媒体最先发布之日起算。</w:t>
      </w:r>
    </w:p>
    <w:p w14:paraId="30CA69C9">
      <w:pPr>
        <w:adjustRightInd w:val="0"/>
        <w:snapToGrid w:val="0"/>
        <w:spacing w:line="360" w:lineRule="auto"/>
        <w:rPr>
          <w:rFonts w:asciiTheme="minorEastAsia" w:hAnsiTheme="minorEastAsia" w:eastAsiaTheme="minorEastAsia"/>
          <w:color w:val="auto"/>
          <w:sz w:val="24"/>
        </w:rPr>
      </w:pPr>
      <w:r>
        <w:rPr>
          <w:rFonts w:hint="eastAsia" w:asciiTheme="minorEastAsia" w:hAnsiTheme="minorEastAsia" w:eastAsiaTheme="minorEastAsia"/>
          <w:b/>
          <w:color w:val="auto"/>
          <w:sz w:val="24"/>
        </w:rPr>
        <w:t>七、疑问及质疑</w:t>
      </w:r>
      <w:r>
        <w:rPr>
          <w:rFonts w:hint="eastAsia" w:asciiTheme="minorEastAsia" w:hAnsiTheme="minorEastAsia" w:eastAsiaTheme="minorEastAsia"/>
          <w:color w:val="auto"/>
          <w:sz w:val="24"/>
        </w:rPr>
        <w:t>：</w:t>
      </w:r>
    </w:p>
    <w:p w14:paraId="468FA1D8">
      <w:pPr>
        <w:adjustRightInd w:val="0"/>
        <w:snapToGrid w:val="0"/>
        <w:spacing w:line="360" w:lineRule="auto"/>
        <w:rPr>
          <w:rFonts w:asciiTheme="minorEastAsia" w:hAnsiTheme="minorEastAsia" w:eastAsiaTheme="minorEastAsia"/>
          <w:color w:val="auto"/>
          <w:sz w:val="24"/>
        </w:rPr>
      </w:pPr>
      <w:r>
        <w:rPr>
          <w:rFonts w:hint="eastAsia" w:asciiTheme="minorEastAsia" w:hAnsiTheme="minorEastAsia" w:eastAsiaTheme="minorEastAsia"/>
          <w:color w:val="auto"/>
          <w:sz w:val="24"/>
        </w:rPr>
        <w:t>7.1供应商对政府采购活动事项如有疑问的，可以向采购人、采购代理机构提出书面询问。采购人、采购代理机构将在3个工作日内作出答复。</w:t>
      </w:r>
    </w:p>
    <w:p w14:paraId="79DA1DA8">
      <w:pPr>
        <w:widowControl/>
        <w:shd w:val="clear" w:color="auto" w:fill="FFFFFF"/>
        <w:adjustRightInd w:val="0"/>
        <w:snapToGrid w:val="0"/>
        <w:spacing w:line="360" w:lineRule="auto"/>
        <w:jc w:val="left"/>
        <w:rPr>
          <w:rFonts w:ascii="宋体" w:hAnsi="宋体" w:cs="宋体"/>
          <w:b/>
          <w:bCs/>
          <w:color w:val="auto"/>
          <w:kern w:val="0"/>
          <w:sz w:val="24"/>
        </w:rPr>
      </w:pPr>
      <w:r>
        <w:rPr>
          <w:rFonts w:hint="eastAsia" w:asciiTheme="minorEastAsia" w:hAnsiTheme="minorEastAsia" w:eastAsiaTheme="minorEastAsia"/>
          <w:color w:val="auto"/>
          <w:sz w:val="24"/>
        </w:rPr>
        <w:t>7.2潜在供应商认为磋商文件或磋商公告使自己的合法权益受到损害的，可以在知道或者应知其权益受到损害之日起7个工作日内，按湖南省财政厅关于印发《政府采购质疑答复和投诉处理操作规程》的通知（湘财购〔2024〕67号）规定，以书面形式向采购人、采购代理机构提出质疑。</w:t>
      </w:r>
    </w:p>
    <w:p w14:paraId="2E2A82B0">
      <w:pPr>
        <w:widowControl/>
        <w:shd w:val="clear" w:color="auto" w:fill="FFFFFF"/>
        <w:adjustRightInd w:val="0"/>
        <w:snapToGrid w:val="0"/>
        <w:spacing w:line="360" w:lineRule="auto"/>
        <w:jc w:val="left"/>
        <w:rPr>
          <w:rFonts w:ascii="宋体" w:hAnsi="宋体" w:cs="宋体"/>
          <w:color w:val="auto"/>
          <w:kern w:val="0"/>
          <w:sz w:val="24"/>
        </w:rPr>
      </w:pPr>
      <w:r>
        <w:rPr>
          <w:rFonts w:hint="eastAsia" w:ascii="宋体" w:hAnsi="宋体" w:cs="宋体"/>
          <w:b/>
          <w:bCs/>
          <w:color w:val="auto"/>
          <w:kern w:val="0"/>
          <w:sz w:val="24"/>
        </w:rPr>
        <w:t>八、与本次采购相关联系方式：</w:t>
      </w:r>
    </w:p>
    <w:p w14:paraId="096D4C13">
      <w:pPr>
        <w:widowControl/>
        <w:shd w:val="clear" w:color="auto" w:fill="FFFFFF"/>
        <w:adjustRightInd w:val="0"/>
        <w:snapToGrid w:val="0"/>
        <w:spacing w:line="360" w:lineRule="auto"/>
        <w:jc w:val="left"/>
        <w:rPr>
          <w:rFonts w:ascii="宋体" w:hAnsi="宋体" w:cs="宋体"/>
          <w:color w:val="auto"/>
          <w:kern w:val="0"/>
          <w:sz w:val="24"/>
        </w:rPr>
      </w:pPr>
      <w:r>
        <w:rPr>
          <w:rFonts w:hint="eastAsia" w:ascii="宋体" w:hAnsi="宋体" w:cs="宋体"/>
          <w:b/>
          <w:bCs/>
          <w:color w:val="auto"/>
          <w:kern w:val="0"/>
          <w:sz w:val="24"/>
        </w:rPr>
        <w:t>采 购 人：</w:t>
      </w:r>
      <w:r>
        <w:rPr>
          <w:rFonts w:hint="eastAsia" w:ascii="宋体" w:hAnsi="宋体" w:cs="宋体"/>
          <w:color w:val="auto"/>
          <w:kern w:val="0"/>
          <w:sz w:val="24"/>
        </w:rPr>
        <w:t>湖南文理学院</w:t>
      </w:r>
    </w:p>
    <w:p w14:paraId="55F4C5CF">
      <w:pPr>
        <w:widowControl/>
        <w:shd w:val="clear" w:color="auto" w:fill="FFFFFF"/>
        <w:adjustRightInd w:val="0"/>
        <w:snapToGrid w:val="0"/>
        <w:spacing w:line="360" w:lineRule="auto"/>
        <w:jc w:val="left"/>
        <w:rPr>
          <w:rFonts w:ascii="宋体" w:hAnsi="宋体" w:cs="宋体"/>
          <w:color w:val="auto"/>
          <w:kern w:val="0"/>
          <w:sz w:val="24"/>
        </w:rPr>
      </w:pPr>
      <w:r>
        <w:rPr>
          <w:rFonts w:hint="eastAsia" w:ascii="宋体" w:hAnsi="宋体" w:cs="宋体"/>
          <w:color w:val="auto"/>
          <w:kern w:val="0"/>
          <w:sz w:val="24"/>
        </w:rPr>
        <w:t>联 系 人：</w:t>
      </w:r>
      <w:r>
        <w:rPr>
          <w:rFonts w:hint="eastAsia" w:ascii="宋体" w:hAnsi="宋体" w:cs="宋体"/>
          <w:color w:val="auto"/>
          <w:kern w:val="0"/>
          <w:sz w:val="24"/>
          <w:lang w:eastAsia="zh-CN"/>
        </w:rPr>
        <w:t>胡老师</w:t>
      </w:r>
      <w:r>
        <w:rPr>
          <w:rFonts w:hint="eastAsia" w:ascii="宋体" w:hAnsi="宋体" w:cs="宋体"/>
          <w:color w:val="auto"/>
          <w:kern w:val="0"/>
          <w:sz w:val="24"/>
        </w:rPr>
        <w:t xml:space="preserve">                  电 话：0736-7186063</w:t>
      </w:r>
    </w:p>
    <w:p w14:paraId="33AF8C62">
      <w:pPr>
        <w:widowControl/>
        <w:shd w:val="clear" w:color="auto" w:fill="FFFFFF"/>
        <w:adjustRightInd w:val="0"/>
        <w:snapToGrid w:val="0"/>
        <w:spacing w:line="360" w:lineRule="auto"/>
        <w:jc w:val="left"/>
        <w:rPr>
          <w:rFonts w:ascii="宋体" w:hAnsi="宋体" w:cs="宋体"/>
          <w:color w:val="auto"/>
          <w:kern w:val="0"/>
          <w:sz w:val="24"/>
        </w:rPr>
      </w:pPr>
      <w:r>
        <w:rPr>
          <w:rFonts w:hint="eastAsia" w:ascii="宋体" w:hAnsi="宋体" w:cs="宋体"/>
          <w:color w:val="auto"/>
          <w:kern w:val="0"/>
          <w:sz w:val="24"/>
        </w:rPr>
        <w:t>地   址：常德市洞庭大道3150号</w:t>
      </w:r>
    </w:p>
    <w:p w14:paraId="39860222">
      <w:pPr>
        <w:widowControl/>
        <w:shd w:val="clear" w:color="auto" w:fill="FFFFFF"/>
        <w:adjustRightInd w:val="0"/>
        <w:snapToGrid w:val="0"/>
        <w:spacing w:line="360" w:lineRule="auto"/>
        <w:jc w:val="left"/>
        <w:rPr>
          <w:rFonts w:ascii="宋体" w:hAnsi="宋体" w:cs="宋体"/>
          <w:color w:val="auto"/>
          <w:kern w:val="0"/>
          <w:sz w:val="24"/>
        </w:rPr>
      </w:pPr>
      <w:r>
        <w:rPr>
          <w:rFonts w:hint="eastAsia" w:ascii="宋体" w:hAnsi="宋体" w:cs="宋体"/>
          <w:b/>
          <w:bCs/>
          <w:color w:val="auto"/>
          <w:kern w:val="0"/>
          <w:sz w:val="24"/>
        </w:rPr>
        <w:t>采购代理机构：</w:t>
      </w:r>
      <w:r>
        <w:rPr>
          <w:rFonts w:hint="eastAsia" w:ascii="宋体" w:hAnsi="宋体" w:cs="宋体"/>
          <w:color w:val="auto"/>
          <w:kern w:val="0"/>
          <w:sz w:val="24"/>
        </w:rPr>
        <w:t>常德众益项目管理咨询有限公司</w:t>
      </w:r>
    </w:p>
    <w:p w14:paraId="77454C2E">
      <w:pPr>
        <w:widowControl/>
        <w:shd w:val="clear" w:color="auto" w:fill="FFFFFF"/>
        <w:adjustRightInd w:val="0"/>
        <w:snapToGrid w:val="0"/>
        <w:spacing w:line="360" w:lineRule="auto"/>
        <w:jc w:val="left"/>
        <w:rPr>
          <w:rFonts w:ascii="宋体" w:hAnsi="宋体" w:cs="宋体"/>
          <w:color w:val="auto"/>
          <w:kern w:val="0"/>
          <w:sz w:val="24"/>
        </w:rPr>
      </w:pPr>
      <w:r>
        <w:rPr>
          <w:rFonts w:hint="eastAsia" w:ascii="宋体" w:hAnsi="宋体" w:cs="宋体"/>
          <w:color w:val="auto"/>
          <w:kern w:val="0"/>
          <w:sz w:val="24"/>
        </w:rPr>
        <w:t>联 系 人：王先强/袁巧玲           电 话：0736-7232568</w:t>
      </w:r>
    </w:p>
    <w:p w14:paraId="2FDE5145">
      <w:pPr>
        <w:widowControl/>
        <w:shd w:val="clear" w:color="auto" w:fill="FFFFFF"/>
        <w:adjustRightInd w:val="0"/>
        <w:snapToGrid w:val="0"/>
        <w:spacing w:line="360" w:lineRule="auto"/>
        <w:jc w:val="left"/>
        <w:rPr>
          <w:rFonts w:ascii="宋体" w:hAnsi="宋体" w:cs="宋体"/>
          <w:color w:val="auto"/>
          <w:kern w:val="0"/>
          <w:sz w:val="24"/>
        </w:rPr>
      </w:pPr>
      <w:r>
        <w:rPr>
          <w:rFonts w:hint="eastAsia" w:ascii="宋体" w:hAnsi="宋体" w:cs="宋体"/>
          <w:color w:val="auto"/>
          <w:kern w:val="0"/>
          <w:sz w:val="24"/>
        </w:rPr>
        <w:t>公司地址：常德市武陵区丹阳路上川四季酒店6楼</w:t>
      </w:r>
    </w:p>
    <w:p w14:paraId="131C8635">
      <w:pPr>
        <w:widowControl/>
        <w:shd w:val="clear" w:color="auto" w:fill="FFFFFF"/>
        <w:spacing w:line="360" w:lineRule="auto"/>
        <w:jc w:val="center"/>
        <w:outlineLvl w:val="0"/>
        <w:rPr>
          <w:rFonts w:hAnsi="宋体"/>
          <w:b/>
          <w:color w:val="auto"/>
          <w:sz w:val="32"/>
          <w:szCs w:val="32"/>
        </w:rPr>
      </w:pPr>
      <w:r>
        <w:rPr>
          <w:rFonts w:hAnsi="宋体"/>
          <w:b/>
          <w:color w:val="auto"/>
          <w:sz w:val="32"/>
          <w:szCs w:val="32"/>
        </w:rPr>
        <w:br w:type="page"/>
      </w:r>
      <w:bookmarkStart w:id="1" w:name="_Toc14647"/>
      <w:r>
        <w:rPr>
          <w:rFonts w:hint="eastAsia" w:hAnsi="宋体"/>
          <w:b/>
          <w:color w:val="auto"/>
          <w:sz w:val="32"/>
          <w:szCs w:val="32"/>
        </w:rPr>
        <w:t>第二章</w:t>
      </w:r>
      <w:r>
        <w:rPr>
          <w:rFonts w:hAnsi="宋体"/>
          <w:b/>
          <w:color w:val="auto"/>
          <w:sz w:val="32"/>
          <w:szCs w:val="32"/>
        </w:rPr>
        <w:t xml:space="preserve"> </w:t>
      </w:r>
      <w:r>
        <w:rPr>
          <w:rFonts w:hint="eastAsia" w:hAnsi="宋体"/>
          <w:b/>
          <w:color w:val="auto"/>
          <w:sz w:val="32"/>
          <w:szCs w:val="32"/>
        </w:rPr>
        <w:t>磋商须知</w:t>
      </w:r>
      <w:bookmarkEnd w:id="1"/>
    </w:p>
    <w:p w14:paraId="3AE0761E">
      <w:pPr>
        <w:pStyle w:val="28"/>
        <w:rPr>
          <w:rFonts w:hAnsi="宋体"/>
          <w:b/>
          <w:color w:val="auto"/>
          <w:sz w:val="24"/>
          <w:szCs w:val="24"/>
        </w:rPr>
      </w:pPr>
    </w:p>
    <w:p w14:paraId="6FA9C2E3">
      <w:pPr>
        <w:pStyle w:val="28"/>
        <w:jc w:val="center"/>
        <w:outlineLvl w:val="1"/>
        <w:rPr>
          <w:rFonts w:hAnsi="宋体"/>
          <w:b/>
          <w:color w:val="auto"/>
          <w:sz w:val="24"/>
          <w:szCs w:val="24"/>
        </w:rPr>
      </w:pPr>
      <w:bookmarkStart w:id="2" w:name="_Toc581"/>
      <w:r>
        <w:rPr>
          <w:rFonts w:hint="eastAsia" w:hAnsi="宋体"/>
          <w:b/>
          <w:color w:val="auto"/>
          <w:sz w:val="24"/>
          <w:szCs w:val="24"/>
        </w:rPr>
        <w:t>磋商须知前附表</w:t>
      </w:r>
      <w:bookmarkEnd w:id="2"/>
    </w:p>
    <w:tbl>
      <w:tblPr>
        <w:tblStyle w:val="51"/>
        <w:tblW w:w="934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52"/>
        <w:gridCol w:w="2130"/>
        <w:gridCol w:w="5466"/>
      </w:tblGrid>
      <w:tr w14:paraId="724D3A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2" w:hRule="atLeast"/>
          <w:tblHeader/>
          <w:jc w:val="center"/>
        </w:trPr>
        <w:tc>
          <w:tcPr>
            <w:tcW w:w="1752" w:type="dxa"/>
            <w:tcBorders>
              <w:top w:val="double" w:color="auto" w:sz="4" w:space="0"/>
              <w:left w:val="double" w:color="auto" w:sz="4" w:space="0"/>
              <w:bottom w:val="single" w:color="auto" w:sz="6" w:space="0"/>
              <w:right w:val="single" w:color="auto" w:sz="6" w:space="0"/>
            </w:tcBorders>
            <w:vAlign w:val="center"/>
          </w:tcPr>
          <w:p w14:paraId="74002D39">
            <w:pPr>
              <w:adjustRightInd w:val="0"/>
              <w:snapToGrid w:val="0"/>
              <w:jc w:val="center"/>
              <w:rPr>
                <w:rFonts w:ascii="宋体" w:hAnsi="宋体"/>
                <w:b/>
                <w:color w:val="auto"/>
                <w:szCs w:val="21"/>
              </w:rPr>
            </w:pPr>
            <w:r>
              <w:rPr>
                <w:rFonts w:hint="eastAsia" w:ascii="宋体" w:hAnsi="宋体"/>
                <w:b/>
                <w:color w:val="auto"/>
                <w:szCs w:val="21"/>
              </w:rPr>
              <w:t>条款号</w:t>
            </w:r>
          </w:p>
        </w:tc>
        <w:tc>
          <w:tcPr>
            <w:tcW w:w="2130" w:type="dxa"/>
            <w:tcBorders>
              <w:top w:val="double" w:color="auto" w:sz="4" w:space="0"/>
              <w:left w:val="single" w:color="auto" w:sz="6" w:space="0"/>
              <w:bottom w:val="single" w:color="auto" w:sz="6" w:space="0"/>
              <w:right w:val="single" w:color="auto" w:sz="6" w:space="0"/>
            </w:tcBorders>
            <w:vAlign w:val="center"/>
          </w:tcPr>
          <w:p w14:paraId="694C6391">
            <w:pPr>
              <w:adjustRightInd w:val="0"/>
              <w:snapToGrid w:val="0"/>
              <w:jc w:val="center"/>
              <w:rPr>
                <w:rFonts w:ascii="宋体" w:hAnsi="宋体"/>
                <w:b/>
                <w:color w:val="auto"/>
                <w:szCs w:val="21"/>
              </w:rPr>
            </w:pPr>
            <w:r>
              <w:rPr>
                <w:rFonts w:hint="eastAsia" w:ascii="宋体" w:hAnsi="宋体"/>
                <w:b/>
                <w:color w:val="auto"/>
                <w:szCs w:val="21"/>
              </w:rPr>
              <w:t>条款名称</w:t>
            </w:r>
          </w:p>
        </w:tc>
        <w:tc>
          <w:tcPr>
            <w:tcW w:w="5466" w:type="dxa"/>
            <w:tcBorders>
              <w:top w:val="double" w:color="auto" w:sz="4" w:space="0"/>
              <w:left w:val="single" w:color="auto" w:sz="6" w:space="0"/>
              <w:bottom w:val="single" w:color="auto" w:sz="6" w:space="0"/>
              <w:right w:val="double" w:color="auto" w:sz="4" w:space="0"/>
            </w:tcBorders>
            <w:vAlign w:val="center"/>
          </w:tcPr>
          <w:p w14:paraId="264DBCE0">
            <w:pPr>
              <w:adjustRightInd w:val="0"/>
              <w:snapToGrid w:val="0"/>
              <w:jc w:val="center"/>
              <w:rPr>
                <w:rFonts w:ascii="宋体" w:hAnsi="宋体"/>
                <w:b/>
                <w:color w:val="auto"/>
                <w:szCs w:val="21"/>
              </w:rPr>
            </w:pPr>
            <w:r>
              <w:rPr>
                <w:rFonts w:hint="eastAsia" w:ascii="宋体" w:hAnsi="宋体"/>
                <w:b/>
                <w:color w:val="auto"/>
                <w:szCs w:val="21"/>
              </w:rPr>
              <w:t>编列内容规定</w:t>
            </w:r>
          </w:p>
        </w:tc>
      </w:tr>
      <w:tr w14:paraId="5823AF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7" w:hRule="atLeast"/>
          <w:jc w:val="center"/>
        </w:trPr>
        <w:tc>
          <w:tcPr>
            <w:tcW w:w="9348" w:type="dxa"/>
            <w:gridSpan w:val="3"/>
            <w:tcBorders>
              <w:top w:val="single" w:color="auto" w:sz="6" w:space="0"/>
              <w:left w:val="double" w:color="auto" w:sz="4" w:space="0"/>
              <w:bottom w:val="single" w:color="auto" w:sz="6" w:space="0"/>
              <w:right w:val="double" w:color="auto" w:sz="4" w:space="0"/>
            </w:tcBorders>
            <w:vAlign w:val="center"/>
          </w:tcPr>
          <w:p w14:paraId="27EA5AB4">
            <w:pPr>
              <w:adjustRightInd w:val="0"/>
              <w:snapToGrid w:val="0"/>
              <w:rPr>
                <w:rFonts w:ascii="宋体" w:hAnsi="宋体"/>
                <w:color w:val="auto"/>
                <w:szCs w:val="21"/>
              </w:rPr>
            </w:pPr>
            <w:r>
              <w:rPr>
                <w:rFonts w:hint="eastAsia" w:ascii="宋体" w:hAnsi="宋体"/>
                <w:b/>
                <w:color w:val="auto"/>
                <w:szCs w:val="21"/>
              </w:rPr>
              <w:t>一、说明</w:t>
            </w:r>
          </w:p>
        </w:tc>
      </w:tr>
      <w:tr w14:paraId="15CC8E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242A0EE1">
            <w:pPr>
              <w:adjustRightInd w:val="0"/>
              <w:snapToGrid w:val="0"/>
              <w:jc w:val="center"/>
              <w:rPr>
                <w:rFonts w:ascii="宋体" w:hAnsi="宋体"/>
                <w:color w:val="auto"/>
                <w:szCs w:val="21"/>
              </w:rPr>
            </w:pPr>
            <w:r>
              <w:rPr>
                <w:rFonts w:hint="eastAsia" w:ascii="宋体" w:hAnsi="宋体"/>
                <w:color w:val="auto"/>
                <w:szCs w:val="21"/>
              </w:rPr>
              <w:t>第二章第1.1款</w:t>
            </w:r>
          </w:p>
        </w:tc>
        <w:tc>
          <w:tcPr>
            <w:tcW w:w="2130" w:type="dxa"/>
            <w:tcBorders>
              <w:top w:val="single" w:color="auto" w:sz="6" w:space="0"/>
              <w:left w:val="single" w:color="auto" w:sz="6" w:space="0"/>
              <w:bottom w:val="single" w:color="auto" w:sz="6" w:space="0"/>
              <w:right w:val="single" w:color="auto" w:sz="6" w:space="0"/>
            </w:tcBorders>
            <w:vAlign w:val="center"/>
          </w:tcPr>
          <w:p w14:paraId="02C7E522">
            <w:pPr>
              <w:adjustRightInd w:val="0"/>
              <w:snapToGrid w:val="0"/>
              <w:jc w:val="center"/>
              <w:rPr>
                <w:rFonts w:ascii="宋体" w:hAnsi="宋体"/>
                <w:color w:val="auto"/>
                <w:szCs w:val="21"/>
              </w:rPr>
            </w:pPr>
            <w:r>
              <w:rPr>
                <w:rFonts w:hint="eastAsia" w:ascii="宋体" w:hAnsi="宋体"/>
                <w:color w:val="auto"/>
                <w:szCs w:val="21"/>
              </w:rPr>
              <w:t>采购项目</w:t>
            </w:r>
          </w:p>
        </w:tc>
        <w:tc>
          <w:tcPr>
            <w:tcW w:w="5466" w:type="dxa"/>
            <w:tcBorders>
              <w:top w:val="single" w:color="auto" w:sz="6" w:space="0"/>
              <w:left w:val="single" w:color="auto" w:sz="6" w:space="0"/>
              <w:bottom w:val="single" w:color="auto" w:sz="6" w:space="0"/>
              <w:right w:val="double" w:color="auto" w:sz="4" w:space="0"/>
            </w:tcBorders>
            <w:vAlign w:val="center"/>
          </w:tcPr>
          <w:p w14:paraId="4579EF91">
            <w:pPr>
              <w:adjustRightInd w:val="0"/>
              <w:snapToGrid w:val="0"/>
              <w:rPr>
                <w:rFonts w:hint="eastAsia" w:ascii="宋体" w:hAnsi="宋体" w:eastAsia="宋体"/>
                <w:color w:val="auto"/>
                <w:szCs w:val="21"/>
                <w:lang w:eastAsia="zh-CN"/>
              </w:rPr>
            </w:pPr>
            <w:r>
              <w:rPr>
                <w:rFonts w:hint="eastAsia" w:ascii="宋体" w:hAnsi="宋体"/>
                <w:bCs/>
                <w:iCs/>
                <w:color w:val="auto"/>
                <w:szCs w:val="21"/>
                <w:lang w:eastAsia="zh-CN"/>
              </w:rPr>
              <w:t>湖南文理学院东校区监控技防系统升级改造项目</w:t>
            </w:r>
          </w:p>
        </w:tc>
      </w:tr>
      <w:tr w14:paraId="75C7D1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2"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10199432">
            <w:pPr>
              <w:adjustRightInd w:val="0"/>
              <w:snapToGrid w:val="0"/>
              <w:jc w:val="center"/>
              <w:rPr>
                <w:rFonts w:ascii="宋体" w:hAnsi="宋体"/>
                <w:color w:val="auto"/>
                <w:szCs w:val="21"/>
              </w:rPr>
            </w:pPr>
            <w:r>
              <w:rPr>
                <w:rFonts w:hint="eastAsia" w:ascii="宋体" w:hAnsi="宋体"/>
                <w:color w:val="auto"/>
                <w:szCs w:val="21"/>
              </w:rPr>
              <w:t>第二章第2.1款</w:t>
            </w:r>
          </w:p>
        </w:tc>
        <w:tc>
          <w:tcPr>
            <w:tcW w:w="2130" w:type="dxa"/>
            <w:tcBorders>
              <w:top w:val="single" w:color="auto" w:sz="6" w:space="0"/>
              <w:left w:val="single" w:color="auto" w:sz="6" w:space="0"/>
              <w:bottom w:val="single" w:color="auto" w:sz="6" w:space="0"/>
              <w:right w:val="single" w:color="auto" w:sz="6" w:space="0"/>
            </w:tcBorders>
            <w:vAlign w:val="center"/>
          </w:tcPr>
          <w:p w14:paraId="30DD05F8">
            <w:pPr>
              <w:adjustRightInd w:val="0"/>
              <w:snapToGrid w:val="0"/>
              <w:jc w:val="center"/>
              <w:rPr>
                <w:rFonts w:ascii="宋体" w:hAnsi="宋体"/>
                <w:color w:val="auto"/>
                <w:szCs w:val="21"/>
              </w:rPr>
            </w:pPr>
            <w:r>
              <w:rPr>
                <w:rFonts w:hint="eastAsia" w:ascii="宋体" w:hAnsi="宋体"/>
                <w:color w:val="auto"/>
                <w:szCs w:val="21"/>
              </w:rPr>
              <w:t>采购人</w:t>
            </w:r>
          </w:p>
        </w:tc>
        <w:tc>
          <w:tcPr>
            <w:tcW w:w="5466" w:type="dxa"/>
            <w:tcBorders>
              <w:top w:val="single" w:color="auto" w:sz="6" w:space="0"/>
              <w:left w:val="single" w:color="auto" w:sz="6" w:space="0"/>
              <w:bottom w:val="single" w:color="auto" w:sz="6" w:space="0"/>
              <w:right w:val="double" w:color="auto" w:sz="4" w:space="0"/>
            </w:tcBorders>
            <w:vAlign w:val="center"/>
          </w:tcPr>
          <w:p w14:paraId="687CDD38">
            <w:pPr>
              <w:adjustRightInd w:val="0"/>
              <w:snapToGrid w:val="0"/>
              <w:rPr>
                <w:rFonts w:ascii="宋体" w:hAnsi="宋体"/>
                <w:color w:val="auto"/>
                <w:szCs w:val="21"/>
              </w:rPr>
            </w:pPr>
            <w:r>
              <w:rPr>
                <w:rFonts w:hint="eastAsia" w:ascii="宋体" w:hAnsi="宋体"/>
                <w:bCs/>
                <w:iCs/>
                <w:color w:val="auto"/>
                <w:szCs w:val="21"/>
              </w:rPr>
              <w:t>湖南文理学院</w:t>
            </w:r>
          </w:p>
        </w:tc>
      </w:tr>
      <w:tr w14:paraId="3DA4B9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2"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69884146">
            <w:pPr>
              <w:adjustRightInd w:val="0"/>
              <w:snapToGrid w:val="0"/>
              <w:jc w:val="center"/>
              <w:rPr>
                <w:rFonts w:ascii="宋体" w:hAnsi="宋体"/>
                <w:color w:val="auto"/>
                <w:szCs w:val="21"/>
              </w:rPr>
            </w:pPr>
            <w:r>
              <w:rPr>
                <w:rFonts w:hint="eastAsia" w:ascii="宋体" w:hAnsi="宋体"/>
                <w:color w:val="auto"/>
                <w:szCs w:val="21"/>
              </w:rPr>
              <w:t>第二章第2.2款</w:t>
            </w:r>
          </w:p>
        </w:tc>
        <w:tc>
          <w:tcPr>
            <w:tcW w:w="2130" w:type="dxa"/>
            <w:tcBorders>
              <w:top w:val="single" w:color="auto" w:sz="6" w:space="0"/>
              <w:left w:val="single" w:color="auto" w:sz="6" w:space="0"/>
              <w:bottom w:val="single" w:color="auto" w:sz="6" w:space="0"/>
              <w:right w:val="single" w:color="auto" w:sz="6" w:space="0"/>
            </w:tcBorders>
            <w:vAlign w:val="center"/>
          </w:tcPr>
          <w:p w14:paraId="79C8C5AF">
            <w:pPr>
              <w:adjustRightInd w:val="0"/>
              <w:snapToGrid w:val="0"/>
              <w:jc w:val="center"/>
              <w:rPr>
                <w:rFonts w:ascii="宋体" w:hAnsi="宋体"/>
                <w:color w:val="auto"/>
                <w:szCs w:val="21"/>
              </w:rPr>
            </w:pPr>
            <w:r>
              <w:rPr>
                <w:rFonts w:hint="eastAsia" w:ascii="宋体" w:hAnsi="宋体"/>
                <w:color w:val="auto"/>
                <w:szCs w:val="21"/>
              </w:rPr>
              <w:t>采购代理机构</w:t>
            </w:r>
          </w:p>
        </w:tc>
        <w:tc>
          <w:tcPr>
            <w:tcW w:w="5466" w:type="dxa"/>
            <w:tcBorders>
              <w:top w:val="single" w:color="auto" w:sz="6" w:space="0"/>
              <w:left w:val="single" w:color="auto" w:sz="6" w:space="0"/>
              <w:bottom w:val="single" w:color="auto" w:sz="6" w:space="0"/>
              <w:right w:val="double" w:color="auto" w:sz="4" w:space="0"/>
            </w:tcBorders>
            <w:vAlign w:val="center"/>
          </w:tcPr>
          <w:p w14:paraId="62D9FB00">
            <w:pPr>
              <w:adjustRightInd w:val="0"/>
              <w:snapToGrid w:val="0"/>
              <w:rPr>
                <w:rFonts w:ascii="宋体" w:hAnsi="宋体"/>
                <w:color w:val="auto"/>
                <w:szCs w:val="21"/>
              </w:rPr>
            </w:pPr>
            <w:r>
              <w:rPr>
                <w:rFonts w:hint="eastAsia" w:ascii="宋体" w:hAnsi="宋体"/>
                <w:color w:val="auto"/>
                <w:szCs w:val="21"/>
              </w:rPr>
              <w:t>常德众益项目管理咨询有限公司</w:t>
            </w:r>
          </w:p>
        </w:tc>
      </w:tr>
      <w:tr w14:paraId="0503E1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7" w:hRule="atLeast"/>
          <w:jc w:val="center"/>
        </w:trPr>
        <w:tc>
          <w:tcPr>
            <w:tcW w:w="1752" w:type="dxa"/>
            <w:vMerge w:val="restart"/>
            <w:tcBorders>
              <w:top w:val="single" w:color="auto" w:sz="6" w:space="0"/>
              <w:left w:val="double" w:color="auto" w:sz="4" w:space="0"/>
              <w:bottom w:val="single" w:color="auto" w:sz="6" w:space="0"/>
              <w:right w:val="single" w:color="auto" w:sz="6" w:space="0"/>
            </w:tcBorders>
            <w:vAlign w:val="center"/>
          </w:tcPr>
          <w:p w14:paraId="12626F19">
            <w:pPr>
              <w:adjustRightInd w:val="0"/>
              <w:snapToGrid w:val="0"/>
              <w:jc w:val="center"/>
              <w:rPr>
                <w:rFonts w:ascii="宋体" w:hAnsi="宋体"/>
                <w:color w:val="auto"/>
                <w:szCs w:val="21"/>
              </w:rPr>
            </w:pPr>
            <w:r>
              <w:rPr>
                <w:rFonts w:hint="eastAsia" w:ascii="宋体" w:hAnsi="宋体"/>
                <w:color w:val="auto"/>
                <w:szCs w:val="21"/>
              </w:rPr>
              <w:t>第二章第2.3款</w:t>
            </w:r>
          </w:p>
        </w:tc>
        <w:tc>
          <w:tcPr>
            <w:tcW w:w="2130" w:type="dxa"/>
            <w:tcBorders>
              <w:top w:val="single" w:color="auto" w:sz="6" w:space="0"/>
              <w:left w:val="single" w:color="auto" w:sz="6" w:space="0"/>
              <w:bottom w:val="single" w:color="auto" w:sz="6" w:space="0"/>
              <w:right w:val="single" w:color="auto" w:sz="6" w:space="0"/>
            </w:tcBorders>
            <w:vAlign w:val="center"/>
          </w:tcPr>
          <w:p w14:paraId="648D7436">
            <w:pPr>
              <w:adjustRightInd w:val="0"/>
              <w:snapToGrid w:val="0"/>
              <w:jc w:val="center"/>
              <w:rPr>
                <w:rFonts w:ascii="宋体" w:hAnsi="宋体"/>
                <w:bCs/>
                <w:color w:val="auto"/>
                <w:szCs w:val="21"/>
              </w:rPr>
            </w:pPr>
            <w:r>
              <w:rPr>
                <w:rFonts w:hint="eastAsia" w:ascii="宋体" w:hAnsi="宋体" w:cs="宋体"/>
                <w:color w:val="auto"/>
                <w:kern w:val="0"/>
                <w:szCs w:val="21"/>
              </w:rPr>
              <w:t>供应商的</w:t>
            </w:r>
            <w:r>
              <w:rPr>
                <w:rFonts w:hint="eastAsia" w:ascii="宋体" w:hAnsi="宋体"/>
                <w:color w:val="auto"/>
                <w:szCs w:val="21"/>
              </w:rPr>
              <w:t>邀请方式</w:t>
            </w:r>
          </w:p>
        </w:tc>
        <w:tc>
          <w:tcPr>
            <w:tcW w:w="5466" w:type="dxa"/>
            <w:tcBorders>
              <w:top w:val="single" w:color="auto" w:sz="6" w:space="0"/>
              <w:left w:val="single" w:color="auto" w:sz="6" w:space="0"/>
              <w:bottom w:val="single" w:color="auto" w:sz="6" w:space="0"/>
              <w:right w:val="double" w:color="auto" w:sz="4" w:space="0"/>
            </w:tcBorders>
            <w:vAlign w:val="center"/>
          </w:tcPr>
          <w:p w14:paraId="11BC8CA7">
            <w:pPr>
              <w:adjustRightInd w:val="0"/>
              <w:snapToGrid w:val="0"/>
              <w:rPr>
                <w:rFonts w:ascii="宋体" w:hAnsi="宋体"/>
                <w:color w:val="auto"/>
                <w:szCs w:val="21"/>
              </w:rPr>
            </w:pPr>
            <w:r>
              <w:rPr>
                <w:rFonts w:hint="eastAsia" w:ascii="宋体" w:hAnsi="宋体"/>
                <w:iCs/>
                <w:color w:val="auto"/>
                <w:szCs w:val="21"/>
              </w:rPr>
              <w:t>发布邀请公告</w:t>
            </w:r>
          </w:p>
        </w:tc>
      </w:tr>
      <w:tr w14:paraId="02C2F3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4" w:hRule="atLeast"/>
          <w:jc w:val="center"/>
        </w:trPr>
        <w:tc>
          <w:tcPr>
            <w:tcW w:w="1752" w:type="dxa"/>
            <w:vMerge w:val="continue"/>
            <w:tcBorders>
              <w:top w:val="single" w:color="auto" w:sz="6" w:space="0"/>
              <w:left w:val="double" w:color="auto" w:sz="4" w:space="0"/>
              <w:bottom w:val="single" w:color="auto" w:sz="6" w:space="0"/>
              <w:right w:val="single" w:color="auto" w:sz="6" w:space="0"/>
            </w:tcBorders>
            <w:vAlign w:val="center"/>
          </w:tcPr>
          <w:p w14:paraId="2869F5D8">
            <w:pPr>
              <w:widowControl/>
              <w:jc w:val="left"/>
              <w:rPr>
                <w:rFonts w:ascii="宋体" w:hAnsi="宋体"/>
                <w:color w:val="auto"/>
                <w:szCs w:val="21"/>
              </w:rPr>
            </w:pPr>
          </w:p>
        </w:tc>
        <w:tc>
          <w:tcPr>
            <w:tcW w:w="2130" w:type="dxa"/>
            <w:tcBorders>
              <w:top w:val="single" w:color="auto" w:sz="6" w:space="0"/>
              <w:left w:val="single" w:color="auto" w:sz="6" w:space="0"/>
              <w:bottom w:val="single" w:color="auto" w:sz="6" w:space="0"/>
              <w:right w:val="single" w:color="auto" w:sz="6" w:space="0"/>
            </w:tcBorders>
            <w:vAlign w:val="center"/>
          </w:tcPr>
          <w:p w14:paraId="13BEBF84">
            <w:pPr>
              <w:adjustRightInd w:val="0"/>
              <w:snapToGrid w:val="0"/>
              <w:jc w:val="center"/>
              <w:rPr>
                <w:rFonts w:ascii="宋体" w:hAnsi="宋体"/>
                <w:color w:val="auto"/>
                <w:szCs w:val="21"/>
              </w:rPr>
            </w:pPr>
            <w:r>
              <w:rPr>
                <w:rFonts w:hint="eastAsia" w:ascii="宋体" w:hAnsi="宋体"/>
                <w:color w:val="auto"/>
                <w:szCs w:val="21"/>
              </w:rPr>
              <w:t>磋商文件获取方式</w:t>
            </w:r>
          </w:p>
        </w:tc>
        <w:tc>
          <w:tcPr>
            <w:tcW w:w="5466" w:type="dxa"/>
            <w:tcBorders>
              <w:top w:val="single" w:color="auto" w:sz="6" w:space="0"/>
              <w:left w:val="single" w:color="auto" w:sz="6" w:space="0"/>
              <w:bottom w:val="single" w:color="auto" w:sz="6" w:space="0"/>
              <w:right w:val="double" w:color="auto" w:sz="4" w:space="0"/>
            </w:tcBorders>
            <w:vAlign w:val="center"/>
          </w:tcPr>
          <w:p w14:paraId="42D1888E">
            <w:pPr>
              <w:adjustRightInd w:val="0"/>
              <w:snapToGrid w:val="0"/>
              <w:jc w:val="left"/>
              <w:rPr>
                <w:rFonts w:ascii="宋体" w:hAnsi="宋体"/>
                <w:color w:val="auto"/>
                <w:szCs w:val="21"/>
              </w:rPr>
            </w:pPr>
            <w:r>
              <w:rPr>
                <w:rFonts w:hint="eastAsia" w:ascii="宋体" w:hAnsi="宋体"/>
                <w:color w:val="auto"/>
                <w:szCs w:val="21"/>
              </w:rPr>
              <w:t>获取时间、方式及要求：详见磋商公告。</w:t>
            </w:r>
          </w:p>
        </w:tc>
      </w:tr>
      <w:tr w14:paraId="7335E9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43"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4B1F3614">
            <w:pPr>
              <w:adjustRightInd w:val="0"/>
              <w:snapToGrid w:val="0"/>
              <w:jc w:val="center"/>
              <w:rPr>
                <w:rFonts w:ascii="宋体" w:hAnsi="宋体"/>
                <w:color w:val="auto"/>
                <w:szCs w:val="21"/>
              </w:rPr>
            </w:pPr>
            <w:r>
              <w:rPr>
                <w:rFonts w:hint="eastAsia" w:ascii="宋体" w:hAnsi="宋体"/>
                <w:color w:val="auto"/>
                <w:szCs w:val="21"/>
              </w:rPr>
              <w:t>第二章第3.1款</w:t>
            </w:r>
          </w:p>
        </w:tc>
        <w:tc>
          <w:tcPr>
            <w:tcW w:w="2130" w:type="dxa"/>
            <w:tcBorders>
              <w:top w:val="single" w:color="auto" w:sz="6" w:space="0"/>
              <w:left w:val="single" w:color="auto" w:sz="6" w:space="0"/>
              <w:bottom w:val="single" w:color="auto" w:sz="6" w:space="0"/>
              <w:right w:val="single" w:color="auto" w:sz="6" w:space="0"/>
            </w:tcBorders>
            <w:vAlign w:val="center"/>
          </w:tcPr>
          <w:p w14:paraId="7F874951">
            <w:pPr>
              <w:adjustRightInd w:val="0"/>
              <w:snapToGrid w:val="0"/>
              <w:jc w:val="center"/>
              <w:rPr>
                <w:rFonts w:ascii="宋体" w:hAnsi="宋体"/>
                <w:color w:val="auto"/>
                <w:szCs w:val="21"/>
              </w:rPr>
            </w:pPr>
            <w:r>
              <w:rPr>
                <w:rFonts w:hint="eastAsia" w:ascii="宋体" w:hAnsi="宋体"/>
                <w:bCs/>
                <w:color w:val="auto"/>
                <w:szCs w:val="21"/>
              </w:rPr>
              <w:t>供应商</w:t>
            </w:r>
            <w:r>
              <w:rPr>
                <w:rFonts w:hint="eastAsia" w:ascii="宋体" w:hAnsi="宋体"/>
                <w:color w:val="auto"/>
                <w:szCs w:val="21"/>
              </w:rPr>
              <w:t>资格条件</w:t>
            </w:r>
          </w:p>
        </w:tc>
        <w:tc>
          <w:tcPr>
            <w:tcW w:w="5466" w:type="dxa"/>
            <w:tcBorders>
              <w:top w:val="single" w:color="auto" w:sz="6" w:space="0"/>
              <w:left w:val="single" w:color="auto" w:sz="6" w:space="0"/>
              <w:bottom w:val="single" w:color="auto" w:sz="6" w:space="0"/>
              <w:right w:val="double" w:color="auto" w:sz="4" w:space="0"/>
            </w:tcBorders>
            <w:vAlign w:val="center"/>
          </w:tcPr>
          <w:p w14:paraId="0AB7F894">
            <w:pPr>
              <w:pStyle w:val="46"/>
              <w:adjustRightInd w:val="0"/>
              <w:snapToGrid w:val="0"/>
              <w:spacing w:before="0" w:beforeAutospacing="0" w:after="0" w:afterAutospacing="0"/>
              <w:rPr>
                <w:color w:val="auto"/>
                <w:sz w:val="21"/>
                <w:szCs w:val="21"/>
              </w:rPr>
            </w:pPr>
            <w:r>
              <w:rPr>
                <w:rFonts w:hint="eastAsia"/>
                <w:color w:val="auto"/>
                <w:sz w:val="21"/>
                <w:szCs w:val="21"/>
              </w:rPr>
              <w:t xml:space="preserve">1.基本资格条件： </w:t>
            </w:r>
          </w:p>
          <w:p w14:paraId="036970FB">
            <w:pPr>
              <w:adjustRightInd w:val="0"/>
              <w:snapToGrid w:val="0"/>
              <w:rPr>
                <w:rFonts w:ascii="宋体" w:hAnsi="宋体" w:cs="宋体"/>
                <w:color w:val="auto"/>
                <w:szCs w:val="21"/>
              </w:rPr>
            </w:pPr>
            <w:r>
              <w:rPr>
                <w:rFonts w:hint="eastAsia" w:ascii="宋体" w:hAnsi="宋体" w:cs="宋体"/>
                <w:color w:val="auto"/>
                <w:szCs w:val="21"/>
              </w:rPr>
              <w:t>①具有独立承担民事责任的能力；</w:t>
            </w:r>
          </w:p>
          <w:p w14:paraId="4B66284A">
            <w:pPr>
              <w:adjustRightInd w:val="0"/>
              <w:snapToGrid w:val="0"/>
              <w:rPr>
                <w:rFonts w:ascii="宋体" w:hAnsi="宋体" w:cs="宋体"/>
                <w:color w:val="auto"/>
                <w:szCs w:val="21"/>
              </w:rPr>
            </w:pPr>
            <w:r>
              <w:rPr>
                <w:rFonts w:hint="eastAsia" w:ascii="宋体" w:hAnsi="宋体" w:cs="宋体"/>
                <w:color w:val="auto"/>
                <w:szCs w:val="21"/>
              </w:rPr>
              <w:t>②具有良好的商业信誉和健全的财务会计制度；</w:t>
            </w:r>
          </w:p>
          <w:p w14:paraId="24B3B857">
            <w:pPr>
              <w:adjustRightInd w:val="0"/>
              <w:snapToGrid w:val="0"/>
              <w:rPr>
                <w:rFonts w:ascii="宋体" w:hAnsi="宋体" w:cs="宋体"/>
                <w:color w:val="auto"/>
                <w:szCs w:val="21"/>
              </w:rPr>
            </w:pPr>
            <w:r>
              <w:rPr>
                <w:rFonts w:hint="eastAsia" w:ascii="宋体" w:hAnsi="宋体" w:cs="宋体"/>
                <w:color w:val="auto"/>
                <w:szCs w:val="21"/>
              </w:rPr>
              <w:t>③具有履行合同所必需的设备和专业技术能力；</w:t>
            </w:r>
          </w:p>
          <w:p w14:paraId="795B4F63">
            <w:pPr>
              <w:adjustRightInd w:val="0"/>
              <w:snapToGrid w:val="0"/>
              <w:rPr>
                <w:rFonts w:ascii="宋体" w:hAnsi="宋体" w:cs="宋体"/>
                <w:color w:val="auto"/>
                <w:szCs w:val="21"/>
              </w:rPr>
            </w:pPr>
            <w:r>
              <w:rPr>
                <w:rFonts w:hint="eastAsia" w:ascii="宋体" w:hAnsi="宋体" w:cs="宋体"/>
                <w:color w:val="auto"/>
                <w:szCs w:val="21"/>
              </w:rPr>
              <w:t>④有依法缴纳税收和社会保障资金的良好记录；</w:t>
            </w:r>
          </w:p>
          <w:p w14:paraId="3FF16F66">
            <w:pPr>
              <w:adjustRightInd w:val="0"/>
              <w:snapToGrid w:val="0"/>
              <w:rPr>
                <w:rFonts w:ascii="宋体" w:hAnsi="宋体" w:cs="宋体"/>
                <w:color w:val="auto"/>
                <w:szCs w:val="21"/>
              </w:rPr>
            </w:pPr>
            <w:r>
              <w:rPr>
                <w:rFonts w:hint="eastAsia" w:ascii="宋体" w:hAnsi="宋体" w:cs="宋体"/>
                <w:color w:val="auto"/>
                <w:szCs w:val="21"/>
              </w:rPr>
              <w:t>⑤参加政府采购活动前三年内，在经营活动中没有重大违法记录；</w:t>
            </w:r>
          </w:p>
          <w:p w14:paraId="4071996F">
            <w:pPr>
              <w:adjustRightInd w:val="0"/>
              <w:snapToGrid w:val="0"/>
              <w:rPr>
                <w:rFonts w:ascii="宋体" w:hAnsi="宋体" w:cs="宋体"/>
                <w:color w:val="auto"/>
                <w:szCs w:val="21"/>
              </w:rPr>
            </w:pPr>
            <w:r>
              <w:rPr>
                <w:rFonts w:hint="eastAsia" w:ascii="宋体" w:hAnsi="宋体" w:cs="宋体"/>
                <w:color w:val="auto"/>
                <w:szCs w:val="21"/>
              </w:rPr>
              <w:t>⑥法律、行政法规规定的其他条件。</w:t>
            </w:r>
          </w:p>
          <w:p w14:paraId="11CB747E">
            <w:pPr>
              <w:adjustRightInd w:val="0"/>
              <w:snapToGrid w:val="0"/>
              <w:rPr>
                <w:rFonts w:ascii="宋体" w:hAnsi="宋体" w:cs="宋体"/>
                <w:color w:val="auto"/>
                <w:szCs w:val="21"/>
              </w:rPr>
            </w:pPr>
            <w:r>
              <w:rPr>
                <w:rFonts w:hint="eastAsia" w:ascii="宋体" w:hAnsi="宋体" w:cs="宋体"/>
                <w:color w:val="auto"/>
                <w:szCs w:val="21"/>
              </w:rPr>
              <w:t>2.特定资格条件：无。</w:t>
            </w:r>
          </w:p>
          <w:p w14:paraId="4A27EB95">
            <w:pPr>
              <w:adjustRightInd w:val="0"/>
              <w:snapToGrid w:val="0"/>
              <w:rPr>
                <w:rFonts w:hint="eastAsia" w:ascii="宋体" w:hAnsi="宋体" w:cs="宋体"/>
                <w:color w:val="auto"/>
                <w:szCs w:val="21"/>
              </w:rPr>
            </w:pPr>
            <w:r>
              <w:rPr>
                <w:rFonts w:hint="eastAsia" w:ascii="宋体" w:hAnsi="宋体" w:cs="宋体"/>
                <w:color w:val="auto"/>
                <w:szCs w:val="21"/>
              </w:rPr>
              <w:t>3.落实政府采购政策需满足的资格要求：无。</w:t>
            </w:r>
          </w:p>
          <w:p w14:paraId="5BA945F7">
            <w:pPr>
              <w:adjustRightInd w:val="0"/>
              <w:snapToGrid w:val="0"/>
              <w:rPr>
                <w:rFonts w:ascii="宋体" w:hAnsi="宋体"/>
                <w:b/>
                <w:color w:val="auto"/>
                <w:szCs w:val="21"/>
              </w:rPr>
            </w:pPr>
            <w:r>
              <w:rPr>
                <w:rFonts w:hint="eastAsia" w:ascii="宋体" w:hAnsi="宋体" w:cs="宋体"/>
                <w:color w:val="auto"/>
                <w:szCs w:val="21"/>
              </w:rPr>
              <w:t>4.资格特别说明：（1）按照《政府采购法实施条例释义》，法人的分支机构由于其不能独立承担民事责任，不能以分支机构的身份参加政府采购，只能以法人身份参加。但银行、保险、石油石化、电力、电信等有行业特殊情况的，可以分支机构参加政府采购和签订合同。（2）本项目接受银行、保险、石油石化、电力、电信等行业的地级市及以上分支机构参与投标，但需遵循以下条件：①分支机构参与投标的出具总公司的授权文件或制度文件等能够证明总公司授权其参与项目投标及履约，并为分支机构的履约行为承担民事责任；②同一总公司的不同分支机构不得同时参与本项目的投标，总公司自身不得与其下属分支机构同时参与本项目的投标，否则相关投标均无效。③分支机构或其省级分公司或所属的总公司的资格材料均予以认可。</w:t>
            </w:r>
          </w:p>
        </w:tc>
      </w:tr>
      <w:tr w14:paraId="72349D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7"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5B53C372">
            <w:pPr>
              <w:adjustRightInd w:val="0"/>
              <w:snapToGrid w:val="0"/>
              <w:jc w:val="center"/>
              <w:rPr>
                <w:rFonts w:ascii="宋体" w:hAnsi="宋体"/>
                <w:color w:val="auto"/>
                <w:szCs w:val="21"/>
              </w:rPr>
            </w:pPr>
            <w:r>
              <w:rPr>
                <w:rFonts w:hint="eastAsia" w:ascii="宋体" w:hAnsi="宋体"/>
                <w:color w:val="auto"/>
                <w:szCs w:val="21"/>
              </w:rPr>
              <w:t>第二章第6.1款</w:t>
            </w:r>
          </w:p>
        </w:tc>
        <w:tc>
          <w:tcPr>
            <w:tcW w:w="2130" w:type="dxa"/>
            <w:tcBorders>
              <w:top w:val="single" w:color="auto" w:sz="6" w:space="0"/>
              <w:left w:val="single" w:color="auto" w:sz="6" w:space="0"/>
              <w:bottom w:val="single" w:color="auto" w:sz="6" w:space="0"/>
              <w:right w:val="single" w:color="auto" w:sz="6" w:space="0"/>
            </w:tcBorders>
            <w:vAlign w:val="center"/>
          </w:tcPr>
          <w:p w14:paraId="549F0523">
            <w:pPr>
              <w:adjustRightInd w:val="0"/>
              <w:snapToGrid w:val="0"/>
              <w:jc w:val="center"/>
              <w:rPr>
                <w:rFonts w:ascii="宋体" w:hAnsi="宋体"/>
                <w:color w:val="auto"/>
                <w:szCs w:val="21"/>
              </w:rPr>
            </w:pPr>
            <w:r>
              <w:rPr>
                <w:rFonts w:hint="eastAsia" w:ascii="宋体" w:hAnsi="宋体"/>
                <w:color w:val="auto"/>
                <w:szCs w:val="21"/>
              </w:rPr>
              <w:t>联合体形式</w:t>
            </w:r>
          </w:p>
        </w:tc>
        <w:tc>
          <w:tcPr>
            <w:tcW w:w="5466" w:type="dxa"/>
            <w:tcBorders>
              <w:top w:val="single" w:color="auto" w:sz="6" w:space="0"/>
              <w:left w:val="single" w:color="auto" w:sz="6" w:space="0"/>
              <w:bottom w:val="single" w:color="auto" w:sz="6" w:space="0"/>
              <w:right w:val="double" w:color="auto" w:sz="4" w:space="0"/>
            </w:tcBorders>
            <w:vAlign w:val="center"/>
          </w:tcPr>
          <w:p w14:paraId="6EE684B7">
            <w:pPr>
              <w:adjustRightInd w:val="0"/>
              <w:snapToGrid w:val="0"/>
              <w:rPr>
                <w:rFonts w:ascii="宋体" w:hAnsi="宋体"/>
                <w:color w:val="auto"/>
                <w:szCs w:val="21"/>
              </w:rPr>
            </w:pPr>
            <w:r>
              <w:rPr>
                <w:rFonts w:hint="eastAsia" w:ascii="宋体" w:hAnsi="宋体"/>
                <w:color w:val="auto"/>
                <w:szCs w:val="21"/>
              </w:rPr>
              <w:t>本采购项目不接受联合体</w:t>
            </w:r>
          </w:p>
        </w:tc>
      </w:tr>
      <w:tr w14:paraId="00E044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7"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323F1267">
            <w:pPr>
              <w:adjustRightInd w:val="0"/>
              <w:snapToGrid w:val="0"/>
              <w:jc w:val="center"/>
              <w:rPr>
                <w:rFonts w:ascii="宋体" w:hAnsi="宋体"/>
                <w:color w:val="auto"/>
                <w:szCs w:val="21"/>
              </w:rPr>
            </w:pPr>
            <w:r>
              <w:rPr>
                <w:rFonts w:hint="eastAsia" w:ascii="宋体" w:hAnsi="宋体"/>
                <w:color w:val="auto"/>
                <w:szCs w:val="21"/>
              </w:rPr>
              <w:t>第二章第6.2款</w:t>
            </w:r>
          </w:p>
        </w:tc>
        <w:tc>
          <w:tcPr>
            <w:tcW w:w="2130" w:type="dxa"/>
            <w:tcBorders>
              <w:top w:val="single" w:color="auto" w:sz="6" w:space="0"/>
              <w:left w:val="single" w:color="auto" w:sz="6" w:space="0"/>
              <w:bottom w:val="single" w:color="auto" w:sz="6" w:space="0"/>
              <w:right w:val="single" w:color="auto" w:sz="6" w:space="0"/>
            </w:tcBorders>
            <w:vAlign w:val="center"/>
          </w:tcPr>
          <w:p w14:paraId="5F506833">
            <w:pPr>
              <w:jc w:val="center"/>
              <w:rPr>
                <w:rFonts w:ascii="宋体" w:hAnsi="宋体"/>
                <w:color w:val="auto"/>
                <w:szCs w:val="21"/>
              </w:rPr>
            </w:pPr>
            <w:r>
              <w:rPr>
                <w:rFonts w:hint="eastAsia" w:ascii="宋体" w:hAnsi="宋体"/>
                <w:color w:val="auto"/>
                <w:szCs w:val="21"/>
              </w:rPr>
              <w:t>对联合体各方的要求</w:t>
            </w:r>
          </w:p>
        </w:tc>
        <w:tc>
          <w:tcPr>
            <w:tcW w:w="5466" w:type="dxa"/>
            <w:tcBorders>
              <w:top w:val="single" w:color="auto" w:sz="6" w:space="0"/>
              <w:left w:val="single" w:color="auto" w:sz="6" w:space="0"/>
              <w:bottom w:val="single" w:color="auto" w:sz="6" w:space="0"/>
              <w:right w:val="double" w:color="auto" w:sz="4" w:space="0"/>
            </w:tcBorders>
            <w:vAlign w:val="center"/>
          </w:tcPr>
          <w:p w14:paraId="78AC0DF4">
            <w:pPr>
              <w:adjustRightInd w:val="0"/>
              <w:snapToGrid w:val="0"/>
              <w:rPr>
                <w:rFonts w:ascii="宋体" w:hAnsi="宋体"/>
                <w:color w:val="auto"/>
                <w:szCs w:val="21"/>
              </w:rPr>
            </w:pPr>
            <w:r>
              <w:rPr>
                <w:rFonts w:hint="eastAsia" w:ascii="宋体" w:hAnsi="宋体"/>
                <w:color w:val="auto"/>
                <w:szCs w:val="21"/>
              </w:rPr>
              <w:t>本采购项目不接受联合体</w:t>
            </w:r>
          </w:p>
        </w:tc>
      </w:tr>
      <w:tr w14:paraId="4C011C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27"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0E17D679">
            <w:pPr>
              <w:adjustRightInd w:val="0"/>
              <w:snapToGrid w:val="0"/>
              <w:jc w:val="center"/>
              <w:rPr>
                <w:rFonts w:ascii="宋体" w:hAnsi="宋体"/>
                <w:color w:val="auto"/>
                <w:szCs w:val="21"/>
              </w:rPr>
            </w:pPr>
            <w:r>
              <w:rPr>
                <w:rFonts w:hint="eastAsia" w:ascii="宋体" w:hAnsi="宋体"/>
                <w:color w:val="auto"/>
                <w:szCs w:val="21"/>
              </w:rPr>
              <w:t>第二章第7.1款</w:t>
            </w:r>
          </w:p>
        </w:tc>
        <w:tc>
          <w:tcPr>
            <w:tcW w:w="2130" w:type="dxa"/>
            <w:tcBorders>
              <w:top w:val="single" w:color="auto" w:sz="6" w:space="0"/>
              <w:left w:val="single" w:color="auto" w:sz="6" w:space="0"/>
              <w:bottom w:val="single" w:color="auto" w:sz="6" w:space="0"/>
              <w:right w:val="single" w:color="auto" w:sz="6" w:space="0"/>
            </w:tcBorders>
            <w:vAlign w:val="center"/>
          </w:tcPr>
          <w:p w14:paraId="23E7291B">
            <w:pPr>
              <w:adjustRightInd w:val="0"/>
              <w:snapToGrid w:val="0"/>
              <w:jc w:val="center"/>
              <w:rPr>
                <w:rFonts w:ascii="宋体" w:hAnsi="宋体"/>
                <w:color w:val="auto"/>
                <w:szCs w:val="21"/>
              </w:rPr>
            </w:pPr>
            <w:r>
              <w:rPr>
                <w:rFonts w:hint="eastAsia" w:ascii="宋体" w:hAnsi="宋体"/>
                <w:color w:val="auto"/>
                <w:szCs w:val="21"/>
              </w:rPr>
              <w:t>现场勘察</w:t>
            </w:r>
          </w:p>
        </w:tc>
        <w:tc>
          <w:tcPr>
            <w:tcW w:w="5466" w:type="dxa"/>
            <w:tcBorders>
              <w:top w:val="single" w:color="auto" w:sz="6" w:space="0"/>
              <w:left w:val="single" w:color="auto" w:sz="6" w:space="0"/>
              <w:bottom w:val="single" w:color="auto" w:sz="6" w:space="0"/>
              <w:right w:val="double" w:color="auto" w:sz="4" w:space="0"/>
            </w:tcBorders>
            <w:vAlign w:val="center"/>
          </w:tcPr>
          <w:p w14:paraId="389BC318">
            <w:pPr>
              <w:adjustRightInd w:val="0"/>
              <w:snapToGrid w:val="0"/>
              <w:rPr>
                <w:rFonts w:ascii="宋体" w:hAnsi="宋体"/>
                <w:color w:val="auto"/>
                <w:szCs w:val="21"/>
              </w:rPr>
            </w:pPr>
            <w:r>
              <w:rPr>
                <w:rFonts w:hint="eastAsia" w:ascii="宋体" w:hAnsi="宋体"/>
                <w:color w:val="auto"/>
                <w:szCs w:val="21"/>
              </w:rPr>
              <w:t>本次招标不组织统一踏勘现场活动，供应商应根据项目的实际情况自行组织踏勘现场，供应商因没有踏勘现场而给自身带来的损失，供应商自行负责。</w:t>
            </w:r>
          </w:p>
        </w:tc>
      </w:tr>
      <w:tr w14:paraId="6DE3E1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77"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476DF108">
            <w:pPr>
              <w:rPr>
                <w:rFonts w:ascii="宋体" w:hAnsi="宋体"/>
                <w:color w:val="auto"/>
                <w:szCs w:val="21"/>
              </w:rPr>
            </w:pPr>
            <w:r>
              <w:rPr>
                <w:rFonts w:hint="eastAsia" w:ascii="宋体" w:hAnsi="宋体"/>
                <w:color w:val="auto"/>
                <w:szCs w:val="21"/>
              </w:rPr>
              <w:t>第二章第8.1款</w:t>
            </w:r>
          </w:p>
        </w:tc>
        <w:tc>
          <w:tcPr>
            <w:tcW w:w="2130" w:type="dxa"/>
            <w:tcBorders>
              <w:top w:val="single" w:color="auto" w:sz="6" w:space="0"/>
              <w:left w:val="single" w:color="auto" w:sz="6" w:space="0"/>
              <w:bottom w:val="single" w:color="auto" w:sz="6" w:space="0"/>
              <w:right w:val="single" w:color="auto" w:sz="6" w:space="0"/>
            </w:tcBorders>
            <w:vAlign w:val="center"/>
          </w:tcPr>
          <w:p w14:paraId="415FC37B">
            <w:pPr>
              <w:jc w:val="center"/>
              <w:rPr>
                <w:rFonts w:ascii="宋体" w:hAnsi="宋体"/>
                <w:color w:val="auto"/>
                <w:szCs w:val="21"/>
              </w:rPr>
            </w:pPr>
            <w:r>
              <w:rPr>
                <w:rFonts w:hint="eastAsia" w:ascii="宋体" w:hAnsi="宋体"/>
                <w:color w:val="auto"/>
                <w:szCs w:val="21"/>
              </w:rPr>
              <w:t>采购进口产品</w:t>
            </w:r>
          </w:p>
        </w:tc>
        <w:tc>
          <w:tcPr>
            <w:tcW w:w="5466" w:type="dxa"/>
            <w:tcBorders>
              <w:top w:val="single" w:color="auto" w:sz="6" w:space="0"/>
              <w:left w:val="single" w:color="auto" w:sz="6" w:space="0"/>
              <w:bottom w:val="single" w:color="auto" w:sz="6" w:space="0"/>
              <w:right w:val="double" w:color="auto" w:sz="4" w:space="0"/>
            </w:tcBorders>
            <w:vAlign w:val="center"/>
          </w:tcPr>
          <w:p w14:paraId="2F3600FA">
            <w:pPr>
              <w:rPr>
                <w:rFonts w:ascii="宋体" w:hAnsi="宋体"/>
                <w:color w:val="auto"/>
                <w:szCs w:val="21"/>
              </w:rPr>
            </w:pPr>
            <w:r>
              <w:rPr>
                <w:rFonts w:hint="eastAsia" w:ascii="宋体" w:hAnsi="宋体"/>
                <w:color w:val="auto"/>
                <w:szCs w:val="21"/>
              </w:rPr>
              <w:t>拒绝</w:t>
            </w:r>
          </w:p>
        </w:tc>
      </w:tr>
      <w:tr w14:paraId="7F81D6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59" w:hRule="atLeast"/>
          <w:jc w:val="center"/>
        </w:trPr>
        <w:tc>
          <w:tcPr>
            <w:tcW w:w="1752" w:type="dxa"/>
            <w:vMerge w:val="restart"/>
            <w:tcBorders>
              <w:top w:val="single" w:color="auto" w:sz="6" w:space="0"/>
              <w:left w:val="double" w:color="auto" w:sz="4" w:space="0"/>
              <w:bottom w:val="single" w:color="auto" w:sz="6" w:space="0"/>
              <w:right w:val="single" w:color="auto" w:sz="6" w:space="0"/>
            </w:tcBorders>
            <w:vAlign w:val="center"/>
          </w:tcPr>
          <w:p w14:paraId="4C3AA127">
            <w:pPr>
              <w:rPr>
                <w:rFonts w:ascii="宋体" w:hAnsi="宋体"/>
                <w:color w:val="auto"/>
                <w:szCs w:val="21"/>
              </w:rPr>
            </w:pPr>
            <w:r>
              <w:rPr>
                <w:rFonts w:hint="eastAsia" w:ascii="宋体" w:hAnsi="宋体"/>
                <w:color w:val="auto"/>
                <w:szCs w:val="21"/>
              </w:rPr>
              <w:t>第二章第9.1款</w:t>
            </w:r>
          </w:p>
        </w:tc>
        <w:tc>
          <w:tcPr>
            <w:tcW w:w="2130" w:type="dxa"/>
            <w:tcBorders>
              <w:top w:val="single" w:color="auto" w:sz="6" w:space="0"/>
              <w:left w:val="single" w:color="auto" w:sz="6" w:space="0"/>
              <w:bottom w:val="single" w:color="auto" w:sz="6" w:space="0"/>
              <w:right w:val="single" w:color="auto" w:sz="6" w:space="0"/>
            </w:tcBorders>
            <w:vAlign w:val="center"/>
          </w:tcPr>
          <w:p w14:paraId="3918CD77">
            <w:pPr>
              <w:adjustRightInd w:val="0"/>
              <w:snapToGrid w:val="0"/>
              <w:spacing w:before="156" w:beforeLines="50"/>
              <w:jc w:val="center"/>
              <w:rPr>
                <w:rFonts w:ascii="宋体" w:hAnsi="宋体"/>
                <w:color w:val="auto"/>
                <w:szCs w:val="21"/>
              </w:rPr>
            </w:pPr>
            <w:r>
              <w:rPr>
                <w:rFonts w:hint="eastAsia" w:ascii="宋体" w:hAnsi="宋体"/>
                <w:color w:val="auto"/>
                <w:szCs w:val="21"/>
              </w:rPr>
              <w:t>政府采购强制采购节能产品</w:t>
            </w:r>
          </w:p>
        </w:tc>
        <w:tc>
          <w:tcPr>
            <w:tcW w:w="5466" w:type="dxa"/>
            <w:tcBorders>
              <w:top w:val="single" w:color="auto" w:sz="6" w:space="0"/>
              <w:left w:val="single" w:color="auto" w:sz="6" w:space="0"/>
              <w:bottom w:val="single" w:color="auto" w:sz="6" w:space="0"/>
              <w:right w:val="double" w:color="auto" w:sz="4" w:space="0"/>
            </w:tcBorders>
            <w:vAlign w:val="center"/>
          </w:tcPr>
          <w:p w14:paraId="57D8B592">
            <w:pPr>
              <w:adjustRightInd w:val="0"/>
              <w:snapToGrid w:val="0"/>
              <w:spacing w:before="156" w:beforeLines="50"/>
              <w:rPr>
                <w:rFonts w:ascii="宋体" w:hAnsi="宋体"/>
                <w:color w:val="auto"/>
                <w:szCs w:val="21"/>
              </w:rPr>
            </w:pPr>
            <w:r>
              <w:rPr>
                <w:rFonts w:hint="eastAsia" w:ascii="宋体" w:hAnsi="宋体"/>
                <w:color w:val="auto"/>
                <w:szCs w:val="21"/>
              </w:rPr>
              <w:t>■ 否</w:t>
            </w:r>
          </w:p>
          <w:p w14:paraId="5B40240F">
            <w:pPr>
              <w:adjustRightInd w:val="0"/>
              <w:snapToGrid w:val="0"/>
              <w:spacing w:before="156" w:beforeLines="50"/>
              <w:rPr>
                <w:rFonts w:ascii="宋体" w:hAnsi="宋体"/>
                <w:color w:val="auto"/>
                <w:szCs w:val="21"/>
              </w:rPr>
            </w:pPr>
            <w:r>
              <w:rPr>
                <w:rFonts w:hint="eastAsia" w:ascii="宋体" w:hAnsi="宋体"/>
                <w:color w:val="auto"/>
                <w:szCs w:val="21"/>
              </w:rPr>
              <w:t>□ 是，采购《节能产品政府采购品目清单》(第</w:t>
            </w:r>
            <w:r>
              <w:rPr>
                <w:rFonts w:hint="eastAsia" w:ascii="宋体" w:hAnsi="宋体"/>
                <w:color w:val="auto"/>
                <w:szCs w:val="21"/>
                <w:u w:val="single"/>
              </w:rPr>
              <w:t xml:space="preserve"> 最新 </w:t>
            </w:r>
            <w:r>
              <w:rPr>
                <w:rFonts w:hint="eastAsia" w:ascii="宋体" w:hAnsi="宋体"/>
                <w:color w:val="auto"/>
                <w:szCs w:val="21"/>
              </w:rPr>
              <w:t>期) 内的产品（应同时在招标公告中注明）。</w:t>
            </w:r>
          </w:p>
        </w:tc>
      </w:tr>
      <w:tr w14:paraId="7D138A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97" w:hRule="atLeast"/>
          <w:jc w:val="center"/>
        </w:trPr>
        <w:tc>
          <w:tcPr>
            <w:tcW w:w="1752" w:type="dxa"/>
            <w:vMerge w:val="continue"/>
            <w:tcBorders>
              <w:top w:val="single" w:color="auto" w:sz="6" w:space="0"/>
              <w:left w:val="double" w:color="auto" w:sz="4" w:space="0"/>
              <w:bottom w:val="single" w:color="auto" w:sz="6" w:space="0"/>
              <w:right w:val="single" w:color="auto" w:sz="6" w:space="0"/>
            </w:tcBorders>
            <w:vAlign w:val="center"/>
          </w:tcPr>
          <w:p w14:paraId="44215996">
            <w:pPr>
              <w:widowControl/>
              <w:jc w:val="left"/>
              <w:rPr>
                <w:rFonts w:ascii="宋体" w:hAnsi="宋体"/>
                <w:color w:val="auto"/>
                <w:szCs w:val="21"/>
              </w:rPr>
            </w:pPr>
          </w:p>
        </w:tc>
        <w:tc>
          <w:tcPr>
            <w:tcW w:w="2130" w:type="dxa"/>
            <w:tcBorders>
              <w:top w:val="single" w:color="auto" w:sz="6" w:space="0"/>
              <w:left w:val="single" w:color="auto" w:sz="6" w:space="0"/>
              <w:bottom w:val="single" w:color="auto" w:sz="4" w:space="0"/>
              <w:right w:val="single" w:color="auto" w:sz="6" w:space="0"/>
            </w:tcBorders>
            <w:vAlign w:val="center"/>
          </w:tcPr>
          <w:p w14:paraId="14E7B48C">
            <w:pPr>
              <w:adjustRightInd w:val="0"/>
              <w:snapToGrid w:val="0"/>
              <w:jc w:val="center"/>
              <w:rPr>
                <w:rFonts w:ascii="宋体" w:hAnsi="宋体"/>
                <w:color w:val="auto"/>
                <w:szCs w:val="21"/>
              </w:rPr>
            </w:pPr>
            <w:r>
              <w:rPr>
                <w:rFonts w:hint="eastAsia" w:ascii="宋体" w:hAnsi="宋体"/>
                <w:color w:val="auto"/>
                <w:szCs w:val="21"/>
              </w:rPr>
              <w:t>政府采购优先采购非标记★符号的节能产品</w:t>
            </w:r>
          </w:p>
        </w:tc>
        <w:tc>
          <w:tcPr>
            <w:tcW w:w="5466" w:type="dxa"/>
            <w:tcBorders>
              <w:top w:val="single" w:color="auto" w:sz="6" w:space="0"/>
              <w:left w:val="single" w:color="auto" w:sz="6" w:space="0"/>
              <w:bottom w:val="single" w:color="auto" w:sz="4" w:space="0"/>
              <w:right w:val="double" w:color="auto" w:sz="4" w:space="0"/>
            </w:tcBorders>
            <w:vAlign w:val="center"/>
          </w:tcPr>
          <w:p w14:paraId="029AD58B">
            <w:pPr>
              <w:adjustRightInd w:val="0"/>
              <w:snapToGrid w:val="0"/>
              <w:spacing w:before="156" w:beforeLines="50"/>
              <w:rPr>
                <w:rFonts w:ascii="宋体" w:hAnsi="宋体"/>
                <w:color w:val="auto"/>
                <w:szCs w:val="21"/>
              </w:rPr>
            </w:pPr>
            <w:r>
              <w:rPr>
                <w:rFonts w:hint="eastAsia" w:ascii="宋体" w:hAnsi="宋体"/>
                <w:color w:val="auto"/>
                <w:szCs w:val="21"/>
              </w:rPr>
              <w:t>■ 是，采购产品为《节能产品政府采购品目清单》(第</w:t>
            </w:r>
            <w:r>
              <w:rPr>
                <w:rFonts w:hint="eastAsia" w:ascii="宋体" w:hAnsi="宋体"/>
                <w:color w:val="auto"/>
                <w:szCs w:val="21"/>
                <w:u w:val="single"/>
              </w:rPr>
              <w:t xml:space="preserve"> 最新 </w:t>
            </w:r>
            <w:r>
              <w:rPr>
                <w:rFonts w:hint="eastAsia" w:ascii="宋体" w:hAnsi="宋体"/>
                <w:color w:val="auto"/>
                <w:szCs w:val="21"/>
              </w:rPr>
              <w:t>期)内非标记★符号的：</w:t>
            </w:r>
          </w:p>
          <w:p w14:paraId="4D9F3BF4">
            <w:pPr>
              <w:adjustRightInd w:val="0"/>
              <w:snapToGrid w:val="0"/>
              <w:spacing w:before="156" w:beforeLines="50"/>
              <w:rPr>
                <w:rFonts w:ascii="宋体" w:hAnsi="宋体"/>
                <w:color w:val="auto"/>
                <w:szCs w:val="21"/>
              </w:rPr>
            </w:pPr>
            <w:r>
              <w:rPr>
                <w:rFonts w:hint="eastAsia" w:ascii="宋体" w:hAnsi="宋体"/>
                <w:color w:val="auto"/>
                <w:szCs w:val="21"/>
              </w:rPr>
              <w:t>(1)采用最低评标价法时，应给予相应政策比例的价格扣除。本项目具体扣除比例为</w:t>
            </w:r>
            <w:r>
              <w:rPr>
                <w:rFonts w:hint="eastAsia" w:ascii="宋体" w:hAnsi="宋体"/>
                <w:color w:val="auto"/>
                <w:szCs w:val="21"/>
                <w:u w:val="single"/>
              </w:rPr>
              <w:t xml:space="preserve">  6 </w:t>
            </w:r>
            <w:r>
              <w:rPr>
                <w:rFonts w:hint="eastAsia" w:ascii="宋体" w:hAnsi="宋体"/>
                <w:color w:val="auto"/>
                <w:szCs w:val="21"/>
              </w:rPr>
              <w:t>％；</w:t>
            </w:r>
          </w:p>
          <w:p w14:paraId="47125D42">
            <w:pPr>
              <w:adjustRightInd w:val="0"/>
              <w:snapToGrid w:val="0"/>
              <w:spacing w:before="156" w:beforeLines="50"/>
              <w:rPr>
                <w:rFonts w:ascii="宋体" w:hAnsi="宋体"/>
                <w:color w:val="auto"/>
                <w:szCs w:val="21"/>
                <w:highlight w:val="yellow"/>
              </w:rPr>
            </w:pPr>
            <w:r>
              <w:rPr>
                <w:rFonts w:hint="eastAsia" w:ascii="宋体" w:hAnsi="宋体"/>
                <w:color w:val="auto"/>
                <w:szCs w:val="21"/>
              </w:rPr>
              <w:t>(2)采用综合评分法时，对于技术和价格分，应分别给予总分值相应政策比例的加分。本项目具体加分比例分别为 ：技术</w:t>
            </w:r>
            <w:r>
              <w:rPr>
                <w:rFonts w:hint="eastAsia" w:ascii="宋体" w:hAnsi="宋体"/>
                <w:color w:val="auto"/>
                <w:szCs w:val="21"/>
                <w:u w:val="single"/>
              </w:rPr>
              <w:t xml:space="preserve">  6  </w:t>
            </w:r>
            <w:r>
              <w:rPr>
                <w:rFonts w:hint="eastAsia" w:ascii="宋体" w:hAnsi="宋体"/>
                <w:color w:val="auto"/>
                <w:szCs w:val="21"/>
              </w:rPr>
              <w:t>%、价格</w:t>
            </w:r>
            <w:r>
              <w:rPr>
                <w:rFonts w:hint="eastAsia" w:ascii="宋体" w:hAnsi="宋体"/>
                <w:color w:val="auto"/>
                <w:szCs w:val="21"/>
                <w:u w:val="single"/>
              </w:rPr>
              <w:t xml:space="preserve">  6  </w:t>
            </w:r>
            <w:r>
              <w:rPr>
                <w:rFonts w:hint="eastAsia" w:ascii="宋体" w:hAnsi="宋体"/>
                <w:color w:val="auto"/>
                <w:szCs w:val="21"/>
              </w:rPr>
              <w:t>%。</w:t>
            </w:r>
          </w:p>
        </w:tc>
      </w:tr>
      <w:tr w14:paraId="703E16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16" w:hRule="atLeast"/>
          <w:jc w:val="center"/>
        </w:trPr>
        <w:tc>
          <w:tcPr>
            <w:tcW w:w="1752" w:type="dxa"/>
            <w:vMerge w:val="continue"/>
            <w:tcBorders>
              <w:top w:val="single" w:color="auto" w:sz="6" w:space="0"/>
              <w:left w:val="double" w:color="auto" w:sz="4" w:space="0"/>
              <w:bottom w:val="single" w:color="auto" w:sz="6" w:space="0"/>
              <w:right w:val="single" w:color="auto" w:sz="6" w:space="0"/>
            </w:tcBorders>
            <w:vAlign w:val="center"/>
          </w:tcPr>
          <w:p w14:paraId="3CA9FAF8">
            <w:pPr>
              <w:widowControl/>
              <w:jc w:val="left"/>
              <w:rPr>
                <w:rFonts w:ascii="宋体" w:hAnsi="宋体"/>
                <w:color w:val="auto"/>
                <w:szCs w:val="21"/>
              </w:rPr>
            </w:pPr>
          </w:p>
        </w:tc>
        <w:tc>
          <w:tcPr>
            <w:tcW w:w="2130" w:type="dxa"/>
            <w:vMerge w:val="restart"/>
            <w:tcBorders>
              <w:top w:val="single" w:color="auto" w:sz="6" w:space="0"/>
              <w:left w:val="single" w:color="auto" w:sz="6" w:space="0"/>
              <w:right w:val="single" w:color="auto" w:sz="6" w:space="0"/>
            </w:tcBorders>
            <w:vAlign w:val="center"/>
          </w:tcPr>
          <w:p w14:paraId="2DCFDFC7">
            <w:pPr>
              <w:adjustRightInd w:val="0"/>
              <w:snapToGrid w:val="0"/>
              <w:spacing w:before="156" w:beforeLines="50"/>
              <w:jc w:val="center"/>
              <w:rPr>
                <w:rFonts w:ascii="宋体" w:hAnsi="宋体"/>
                <w:color w:val="auto"/>
                <w:szCs w:val="21"/>
              </w:rPr>
            </w:pPr>
            <w:r>
              <w:rPr>
                <w:rFonts w:hint="eastAsia" w:ascii="宋体" w:hAnsi="宋体"/>
                <w:color w:val="auto"/>
                <w:szCs w:val="21"/>
              </w:rPr>
              <w:t>政府采购优先采购环境标志产品</w:t>
            </w:r>
          </w:p>
        </w:tc>
        <w:tc>
          <w:tcPr>
            <w:tcW w:w="5466" w:type="dxa"/>
            <w:tcBorders>
              <w:top w:val="single" w:color="auto" w:sz="6" w:space="0"/>
              <w:left w:val="single" w:color="auto" w:sz="6" w:space="0"/>
              <w:bottom w:val="single" w:color="auto" w:sz="4" w:space="0"/>
              <w:right w:val="double" w:color="auto" w:sz="4" w:space="0"/>
            </w:tcBorders>
            <w:vAlign w:val="center"/>
          </w:tcPr>
          <w:p w14:paraId="71D9F64F">
            <w:pPr>
              <w:adjustRightInd w:val="0"/>
              <w:snapToGrid w:val="0"/>
              <w:spacing w:before="156" w:beforeLines="50"/>
              <w:rPr>
                <w:rFonts w:ascii="宋体" w:hAnsi="宋体"/>
                <w:color w:val="auto"/>
                <w:szCs w:val="21"/>
              </w:rPr>
            </w:pPr>
            <w:r>
              <w:rPr>
                <w:rFonts w:hint="eastAsia" w:ascii="宋体" w:hAnsi="宋体"/>
                <w:color w:val="auto"/>
                <w:szCs w:val="21"/>
              </w:rPr>
              <w:t>■ 是，采购产品为《环境标志产品政府采购品目清单》(第</w:t>
            </w:r>
            <w:r>
              <w:rPr>
                <w:rFonts w:hint="eastAsia" w:ascii="宋体" w:hAnsi="宋体"/>
                <w:color w:val="auto"/>
                <w:szCs w:val="21"/>
                <w:u w:val="single"/>
              </w:rPr>
              <w:t xml:space="preserve"> 最新 </w:t>
            </w:r>
            <w:r>
              <w:rPr>
                <w:rFonts w:hint="eastAsia" w:ascii="宋体" w:hAnsi="宋体"/>
                <w:color w:val="auto"/>
                <w:szCs w:val="21"/>
              </w:rPr>
              <w:t>期)内的：</w:t>
            </w:r>
          </w:p>
          <w:p w14:paraId="6DE3B4C9">
            <w:pPr>
              <w:adjustRightInd w:val="0"/>
              <w:snapToGrid w:val="0"/>
              <w:spacing w:before="156" w:beforeLines="50"/>
              <w:rPr>
                <w:rFonts w:ascii="宋体" w:hAnsi="宋体"/>
                <w:color w:val="auto"/>
                <w:szCs w:val="21"/>
              </w:rPr>
            </w:pPr>
            <w:r>
              <w:rPr>
                <w:rFonts w:hint="eastAsia" w:ascii="宋体" w:hAnsi="宋体"/>
                <w:color w:val="auto"/>
                <w:szCs w:val="21"/>
              </w:rPr>
              <w:t xml:space="preserve">(1)采用最低评标价法时，应给予相应政策比例的价格扣除。本项目具体扣除比例为 </w:t>
            </w:r>
            <w:r>
              <w:rPr>
                <w:rFonts w:hint="eastAsia" w:ascii="宋体" w:hAnsi="宋体"/>
                <w:color w:val="auto"/>
                <w:szCs w:val="21"/>
                <w:u w:val="single"/>
              </w:rPr>
              <w:t xml:space="preserve">  6  </w:t>
            </w:r>
            <w:r>
              <w:rPr>
                <w:rFonts w:hint="eastAsia" w:ascii="宋体" w:hAnsi="宋体"/>
                <w:color w:val="auto"/>
                <w:szCs w:val="21"/>
              </w:rPr>
              <w:t xml:space="preserve"> ％；</w:t>
            </w:r>
          </w:p>
          <w:p w14:paraId="0CE59E9E">
            <w:pPr>
              <w:adjustRightInd w:val="0"/>
              <w:snapToGrid w:val="0"/>
              <w:spacing w:before="156" w:beforeLines="50"/>
              <w:rPr>
                <w:rFonts w:ascii="宋体" w:hAnsi="宋体"/>
                <w:color w:val="auto"/>
                <w:szCs w:val="21"/>
              </w:rPr>
            </w:pPr>
            <w:r>
              <w:rPr>
                <w:rFonts w:hint="eastAsia" w:ascii="宋体" w:hAnsi="宋体"/>
                <w:color w:val="auto"/>
                <w:szCs w:val="21"/>
              </w:rPr>
              <w:t>(2)采用综合评分法时，对于技术和价格分，应分别给予总分值相应政策比例的加分。本项目具体加分比例分别为 ：技术</w:t>
            </w:r>
            <w:r>
              <w:rPr>
                <w:rFonts w:hint="eastAsia" w:ascii="宋体" w:hAnsi="宋体"/>
                <w:color w:val="auto"/>
                <w:szCs w:val="21"/>
                <w:u w:val="single"/>
              </w:rPr>
              <w:t xml:space="preserve">  6  </w:t>
            </w:r>
            <w:r>
              <w:rPr>
                <w:rFonts w:hint="eastAsia" w:ascii="宋体" w:hAnsi="宋体"/>
                <w:color w:val="auto"/>
                <w:szCs w:val="21"/>
              </w:rPr>
              <w:t>%、价格</w:t>
            </w:r>
            <w:r>
              <w:rPr>
                <w:rFonts w:hint="eastAsia" w:ascii="宋体" w:hAnsi="宋体"/>
                <w:color w:val="auto"/>
                <w:szCs w:val="21"/>
                <w:u w:val="single"/>
              </w:rPr>
              <w:t xml:space="preserve">  6  </w:t>
            </w:r>
            <w:r>
              <w:rPr>
                <w:rFonts w:hint="eastAsia" w:ascii="宋体" w:hAnsi="宋体"/>
                <w:color w:val="auto"/>
                <w:szCs w:val="21"/>
              </w:rPr>
              <w:t>%；</w:t>
            </w:r>
          </w:p>
        </w:tc>
      </w:tr>
      <w:tr w14:paraId="7EEB1F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7" w:hRule="atLeast"/>
          <w:jc w:val="center"/>
        </w:trPr>
        <w:tc>
          <w:tcPr>
            <w:tcW w:w="1752" w:type="dxa"/>
            <w:vMerge w:val="continue"/>
            <w:tcBorders>
              <w:top w:val="single" w:color="auto" w:sz="6" w:space="0"/>
              <w:left w:val="double" w:color="auto" w:sz="4" w:space="0"/>
              <w:bottom w:val="single" w:color="auto" w:sz="6" w:space="0"/>
              <w:right w:val="single" w:color="auto" w:sz="6" w:space="0"/>
            </w:tcBorders>
            <w:vAlign w:val="center"/>
          </w:tcPr>
          <w:p w14:paraId="1E472245">
            <w:pPr>
              <w:widowControl/>
              <w:jc w:val="left"/>
              <w:rPr>
                <w:rFonts w:ascii="宋体" w:hAnsi="宋体"/>
                <w:color w:val="auto"/>
                <w:szCs w:val="21"/>
              </w:rPr>
            </w:pPr>
          </w:p>
        </w:tc>
        <w:tc>
          <w:tcPr>
            <w:tcW w:w="2130" w:type="dxa"/>
            <w:vMerge w:val="restart"/>
            <w:tcBorders>
              <w:top w:val="single" w:color="auto" w:sz="4" w:space="0"/>
              <w:left w:val="single" w:color="auto" w:sz="6" w:space="0"/>
              <w:right w:val="single" w:color="auto" w:sz="6" w:space="0"/>
            </w:tcBorders>
            <w:vAlign w:val="center"/>
          </w:tcPr>
          <w:p w14:paraId="0D693841">
            <w:pPr>
              <w:adjustRightInd w:val="0"/>
              <w:snapToGrid w:val="0"/>
              <w:spacing w:before="156" w:beforeLines="50"/>
              <w:jc w:val="center"/>
              <w:rPr>
                <w:rFonts w:ascii="宋体" w:hAnsi="宋体"/>
                <w:color w:val="auto"/>
                <w:szCs w:val="21"/>
              </w:rPr>
            </w:pPr>
            <w:r>
              <w:rPr>
                <w:rFonts w:hint="eastAsia" w:ascii="宋体" w:hAnsi="宋体"/>
                <w:color w:val="auto"/>
                <w:szCs w:val="21"/>
              </w:rPr>
              <w:t>政府采购</w:t>
            </w:r>
            <w:r>
              <w:rPr>
                <w:rFonts w:hint="eastAsia" w:ascii="宋体" w:hAnsi="宋体" w:cs="宋体"/>
                <w:bCs/>
                <w:color w:val="auto"/>
                <w:kern w:val="0"/>
                <w:szCs w:val="21"/>
              </w:rPr>
              <w:t>支持</w:t>
            </w:r>
            <w:r>
              <w:rPr>
                <w:rFonts w:hint="eastAsia" w:ascii="宋体" w:hAnsi="宋体"/>
                <w:color w:val="auto"/>
                <w:szCs w:val="21"/>
              </w:rPr>
              <w:t>中小企业发展</w:t>
            </w:r>
          </w:p>
        </w:tc>
        <w:tc>
          <w:tcPr>
            <w:tcW w:w="5466" w:type="dxa"/>
            <w:tcBorders>
              <w:top w:val="single" w:color="auto" w:sz="4" w:space="0"/>
              <w:left w:val="single" w:color="auto" w:sz="6" w:space="0"/>
              <w:bottom w:val="single" w:color="auto" w:sz="4" w:space="0"/>
              <w:right w:val="double" w:color="auto" w:sz="4" w:space="0"/>
            </w:tcBorders>
            <w:vAlign w:val="center"/>
          </w:tcPr>
          <w:p w14:paraId="25517820">
            <w:pPr>
              <w:adjustRightInd w:val="0"/>
              <w:snapToGrid w:val="0"/>
              <w:rPr>
                <w:rFonts w:ascii="宋体" w:hAnsi="宋体"/>
                <w:color w:val="auto"/>
                <w:szCs w:val="21"/>
              </w:rPr>
            </w:pPr>
            <w:r>
              <w:rPr>
                <w:rFonts w:hint="eastAsia" w:ascii="宋体" w:hAnsi="宋体"/>
                <w:color w:val="auto"/>
                <w:szCs w:val="21"/>
              </w:rPr>
              <w:t>本项目中小企业划分标准所属行业：工业</w:t>
            </w:r>
          </w:p>
        </w:tc>
      </w:tr>
      <w:tr w14:paraId="6AB5F4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7" w:hRule="atLeast"/>
          <w:jc w:val="center"/>
        </w:trPr>
        <w:tc>
          <w:tcPr>
            <w:tcW w:w="1752" w:type="dxa"/>
            <w:vMerge w:val="continue"/>
            <w:tcBorders>
              <w:top w:val="single" w:color="auto" w:sz="6" w:space="0"/>
              <w:left w:val="double" w:color="auto" w:sz="4" w:space="0"/>
              <w:bottom w:val="single" w:color="auto" w:sz="6" w:space="0"/>
              <w:right w:val="single" w:color="auto" w:sz="6" w:space="0"/>
            </w:tcBorders>
            <w:vAlign w:val="center"/>
          </w:tcPr>
          <w:p w14:paraId="5803981D">
            <w:pPr>
              <w:widowControl/>
              <w:jc w:val="left"/>
              <w:rPr>
                <w:rFonts w:ascii="宋体" w:hAnsi="宋体"/>
                <w:color w:val="auto"/>
                <w:szCs w:val="21"/>
              </w:rPr>
            </w:pPr>
          </w:p>
        </w:tc>
        <w:tc>
          <w:tcPr>
            <w:tcW w:w="2130" w:type="dxa"/>
            <w:vMerge w:val="continue"/>
            <w:tcBorders>
              <w:left w:val="single" w:color="auto" w:sz="6" w:space="0"/>
              <w:right w:val="single" w:color="auto" w:sz="6" w:space="0"/>
            </w:tcBorders>
            <w:vAlign w:val="center"/>
          </w:tcPr>
          <w:p w14:paraId="29880FF3">
            <w:pPr>
              <w:adjustRightInd w:val="0"/>
              <w:snapToGrid w:val="0"/>
              <w:spacing w:before="156" w:beforeLines="50"/>
              <w:jc w:val="center"/>
              <w:rPr>
                <w:rFonts w:ascii="宋体" w:hAnsi="宋体"/>
                <w:color w:val="auto"/>
                <w:szCs w:val="21"/>
              </w:rPr>
            </w:pPr>
          </w:p>
        </w:tc>
        <w:tc>
          <w:tcPr>
            <w:tcW w:w="5466" w:type="dxa"/>
            <w:tcBorders>
              <w:top w:val="single" w:color="auto" w:sz="4" w:space="0"/>
              <w:left w:val="single" w:color="auto" w:sz="6" w:space="0"/>
              <w:bottom w:val="single" w:color="auto" w:sz="4" w:space="0"/>
              <w:right w:val="double" w:color="auto" w:sz="4" w:space="0"/>
            </w:tcBorders>
            <w:vAlign w:val="center"/>
          </w:tcPr>
          <w:p w14:paraId="1A3A20DD">
            <w:pPr>
              <w:adjustRightInd w:val="0"/>
              <w:snapToGrid w:val="0"/>
              <w:rPr>
                <w:rFonts w:ascii="宋体" w:hAnsi="宋体"/>
                <w:color w:val="auto"/>
                <w:szCs w:val="21"/>
              </w:rPr>
            </w:pPr>
            <w:r>
              <w:rPr>
                <w:rFonts w:hint="eastAsia" w:ascii="宋体" w:hAnsi="宋体"/>
                <w:color w:val="auto"/>
                <w:szCs w:val="21"/>
              </w:rPr>
              <w:t>□ 专门面向中小企业采购：专门面向中小企业采购的项目包不再进行价格评审优惠。</w:t>
            </w:r>
          </w:p>
        </w:tc>
      </w:tr>
      <w:tr w14:paraId="22012D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79" w:hRule="atLeast"/>
          <w:jc w:val="center"/>
        </w:trPr>
        <w:tc>
          <w:tcPr>
            <w:tcW w:w="1752" w:type="dxa"/>
            <w:vMerge w:val="continue"/>
            <w:tcBorders>
              <w:top w:val="single" w:color="auto" w:sz="6" w:space="0"/>
              <w:left w:val="double" w:color="auto" w:sz="4" w:space="0"/>
              <w:bottom w:val="single" w:color="auto" w:sz="6" w:space="0"/>
              <w:right w:val="single" w:color="auto" w:sz="6" w:space="0"/>
            </w:tcBorders>
            <w:vAlign w:val="center"/>
          </w:tcPr>
          <w:p w14:paraId="4814313A">
            <w:pPr>
              <w:widowControl/>
              <w:jc w:val="left"/>
              <w:rPr>
                <w:rFonts w:ascii="宋体" w:hAnsi="宋体"/>
                <w:color w:val="auto"/>
                <w:szCs w:val="21"/>
              </w:rPr>
            </w:pPr>
          </w:p>
        </w:tc>
        <w:tc>
          <w:tcPr>
            <w:tcW w:w="2130" w:type="dxa"/>
            <w:vMerge w:val="continue"/>
            <w:tcBorders>
              <w:left w:val="single" w:color="auto" w:sz="6" w:space="0"/>
              <w:right w:val="single" w:color="auto" w:sz="6" w:space="0"/>
            </w:tcBorders>
            <w:vAlign w:val="center"/>
          </w:tcPr>
          <w:p w14:paraId="790AB53C">
            <w:pPr>
              <w:adjustRightInd w:val="0"/>
              <w:snapToGrid w:val="0"/>
              <w:spacing w:before="156" w:beforeLines="50"/>
              <w:jc w:val="center"/>
              <w:rPr>
                <w:rFonts w:ascii="宋体" w:hAnsi="宋体"/>
                <w:color w:val="auto"/>
                <w:szCs w:val="21"/>
              </w:rPr>
            </w:pPr>
          </w:p>
        </w:tc>
        <w:tc>
          <w:tcPr>
            <w:tcW w:w="5466" w:type="dxa"/>
            <w:tcBorders>
              <w:top w:val="single" w:color="auto" w:sz="4" w:space="0"/>
              <w:left w:val="single" w:color="auto" w:sz="6" w:space="0"/>
              <w:bottom w:val="single" w:color="auto" w:sz="4" w:space="0"/>
              <w:right w:val="double" w:color="auto" w:sz="4" w:space="0"/>
            </w:tcBorders>
            <w:vAlign w:val="center"/>
          </w:tcPr>
          <w:p w14:paraId="57DF5193">
            <w:pPr>
              <w:adjustRightInd w:val="0"/>
              <w:snapToGrid w:val="0"/>
              <w:rPr>
                <w:rFonts w:ascii="宋体" w:hAnsi="宋体"/>
                <w:color w:val="auto"/>
                <w:szCs w:val="21"/>
              </w:rPr>
            </w:pPr>
            <w:r>
              <w:rPr>
                <w:rFonts w:hint="eastAsia" w:ascii="宋体" w:hAnsi="宋体"/>
                <w:color w:val="auto"/>
                <w:szCs w:val="21"/>
              </w:rPr>
              <w:t>■ 非专门面向中小企业采购：</w:t>
            </w:r>
          </w:p>
          <w:p w14:paraId="00DCAFBC">
            <w:pPr>
              <w:adjustRightInd w:val="0"/>
              <w:snapToGrid w:val="0"/>
              <w:rPr>
                <w:rFonts w:ascii="宋体" w:hAnsi="宋体"/>
                <w:color w:val="auto"/>
                <w:szCs w:val="21"/>
              </w:rPr>
            </w:pPr>
            <w:r>
              <w:rPr>
                <w:rFonts w:hint="eastAsia" w:ascii="宋体" w:hAnsi="宋体"/>
                <w:color w:val="auto"/>
                <w:szCs w:val="21"/>
              </w:rPr>
              <w:t xml:space="preserve">1、对小型和微型企业产品的价格给予相应政策比例的扣除，用扣除后的价格参与评审，本项目具体扣除比例为 </w:t>
            </w:r>
            <w:r>
              <w:rPr>
                <w:rFonts w:hint="eastAsia" w:ascii="宋体" w:hAnsi="宋体"/>
                <w:color w:val="auto"/>
                <w:szCs w:val="21"/>
                <w:u w:val="single"/>
              </w:rPr>
              <w:t xml:space="preserve">  10  </w:t>
            </w:r>
            <w:r>
              <w:rPr>
                <w:rFonts w:hint="eastAsia" w:ascii="宋体" w:hAnsi="宋体"/>
                <w:color w:val="auto"/>
                <w:szCs w:val="21"/>
              </w:rPr>
              <w:t>％。</w:t>
            </w:r>
          </w:p>
        </w:tc>
      </w:tr>
      <w:tr w14:paraId="49FAF5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83" w:hRule="atLeast"/>
          <w:jc w:val="center"/>
        </w:trPr>
        <w:tc>
          <w:tcPr>
            <w:tcW w:w="1752" w:type="dxa"/>
            <w:vMerge w:val="continue"/>
            <w:tcBorders>
              <w:top w:val="single" w:color="auto" w:sz="6" w:space="0"/>
              <w:left w:val="double" w:color="auto" w:sz="4" w:space="0"/>
              <w:bottom w:val="single" w:color="auto" w:sz="6" w:space="0"/>
              <w:right w:val="single" w:color="auto" w:sz="6" w:space="0"/>
            </w:tcBorders>
            <w:vAlign w:val="center"/>
          </w:tcPr>
          <w:p w14:paraId="7CC0F330">
            <w:pPr>
              <w:widowControl/>
              <w:jc w:val="left"/>
              <w:rPr>
                <w:rFonts w:ascii="宋体" w:hAnsi="宋体"/>
                <w:color w:val="auto"/>
                <w:szCs w:val="21"/>
              </w:rPr>
            </w:pPr>
          </w:p>
        </w:tc>
        <w:tc>
          <w:tcPr>
            <w:tcW w:w="2130" w:type="dxa"/>
            <w:tcBorders>
              <w:top w:val="single" w:color="auto" w:sz="4" w:space="0"/>
              <w:left w:val="single" w:color="auto" w:sz="6" w:space="0"/>
              <w:bottom w:val="single" w:color="auto" w:sz="6" w:space="0"/>
              <w:right w:val="single" w:color="auto" w:sz="6" w:space="0"/>
            </w:tcBorders>
            <w:vAlign w:val="center"/>
          </w:tcPr>
          <w:p w14:paraId="2B46EAB9">
            <w:pPr>
              <w:adjustRightInd w:val="0"/>
              <w:snapToGrid w:val="0"/>
              <w:spacing w:before="156" w:beforeLines="50"/>
              <w:jc w:val="center"/>
              <w:rPr>
                <w:rFonts w:ascii="宋体" w:hAnsi="宋体"/>
                <w:color w:val="auto"/>
                <w:szCs w:val="21"/>
              </w:rPr>
            </w:pPr>
            <w:r>
              <w:rPr>
                <w:rFonts w:hint="eastAsia" w:ascii="宋体" w:hAnsi="宋体"/>
                <w:color w:val="auto"/>
                <w:szCs w:val="21"/>
              </w:rPr>
              <w:t>政府采购</w:t>
            </w:r>
            <w:r>
              <w:rPr>
                <w:rFonts w:hint="eastAsia" w:ascii="宋体" w:hAnsi="宋体" w:cs="宋体"/>
                <w:bCs/>
                <w:color w:val="auto"/>
                <w:kern w:val="0"/>
                <w:szCs w:val="21"/>
              </w:rPr>
              <w:t>支持</w:t>
            </w:r>
            <w:r>
              <w:rPr>
                <w:rFonts w:hint="eastAsia" w:ascii="宋体" w:hAnsi="宋体"/>
                <w:color w:val="auto"/>
                <w:szCs w:val="21"/>
              </w:rPr>
              <w:t>残疾人福利性单位发展</w:t>
            </w:r>
          </w:p>
        </w:tc>
        <w:tc>
          <w:tcPr>
            <w:tcW w:w="5466" w:type="dxa"/>
            <w:tcBorders>
              <w:top w:val="single" w:color="auto" w:sz="4" w:space="0"/>
              <w:left w:val="single" w:color="auto" w:sz="6" w:space="0"/>
              <w:bottom w:val="single" w:color="auto" w:sz="6" w:space="0"/>
              <w:right w:val="double" w:color="auto" w:sz="4" w:space="0"/>
            </w:tcBorders>
            <w:vAlign w:val="center"/>
          </w:tcPr>
          <w:p w14:paraId="326C4156">
            <w:pPr>
              <w:adjustRightInd w:val="0"/>
              <w:snapToGrid w:val="0"/>
              <w:rPr>
                <w:rFonts w:ascii="宋体" w:hAnsi="宋体"/>
                <w:color w:val="auto"/>
                <w:szCs w:val="21"/>
              </w:rPr>
            </w:pPr>
            <w:r>
              <w:rPr>
                <w:rFonts w:hint="eastAsia" w:ascii="宋体" w:hAnsi="宋体"/>
                <w:color w:val="auto"/>
                <w:szCs w:val="21"/>
              </w:rPr>
              <w:t xml:space="preserve">1、对残疾人福利性单位产品的价格给予相应政策比例的扣除，用扣除后的价格参与评审，本项目具体扣除比例为 </w:t>
            </w:r>
            <w:r>
              <w:rPr>
                <w:rFonts w:hint="eastAsia" w:ascii="宋体" w:hAnsi="宋体"/>
                <w:color w:val="auto"/>
                <w:szCs w:val="21"/>
                <w:u w:val="single"/>
              </w:rPr>
              <w:t xml:space="preserve">  10  </w:t>
            </w:r>
            <w:r>
              <w:rPr>
                <w:rFonts w:hint="eastAsia" w:ascii="宋体" w:hAnsi="宋体"/>
                <w:color w:val="auto"/>
                <w:szCs w:val="21"/>
              </w:rPr>
              <w:t>％。</w:t>
            </w:r>
          </w:p>
          <w:p w14:paraId="3A795523">
            <w:pPr>
              <w:adjustRightInd w:val="0"/>
              <w:snapToGrid w:val="0"/>
              <w:spacing w:before="156" w:beforeLines="50"/>
              <w:rPr>
                <w:rFonts w:ascii="宋体" w:hAnsi="宋体"/>
                <w:color w:val="auto"/>
                <w:szCs w:val="21"/>
              </w:rPr>
            </w:pPr>
            <w:r>
              <w:rPr>
                <w:rFonts w:hint="eastAsia" w:ascii="宋体" w:hAnsi="宋体"/>
                <w:color w:val="auto"/>
                <w:szCs w:val="21"/>
              </w:rPr>
              <w:t>2、残疾人福利性单位视同小型、微型企业，不重复享受优惠政策。</w:t>
            </w:r>
          </w:p>
        </w:tc>
      </w:tr>
      <w:tr w14:paraId="3A8A80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78" w:hRule="atLeast"/>
          <w:jc w:val="center"/>
        </w:trPr>
        <w:tc>
          <w:tcPr>
            <w:tcW w:w="1752" w:type="dxa"/>
            <w:vMerge w:val="continue"/>
            <w:tcBorders>
              <w:top w:val="single" w:color="auto" w:sz="6" w:space="0"/>
              <w:left w:val="double" w:color="auto" w:sz="4" w:space="0"/>
              <w:bottom w:val="single" w:color="auto" w:sz="6" w:space="0"/>
              <w:right w:val="single" w:color="auto" w:sz="6" w:space="0"/>
            </w:tcBorders>
            <w:vAlign w:val="center"/>
          </w:tcPr>
          <w:p w14:paraId="71801938">
            <w:pPr>
              <w:widowControl/>
              <w:jc w:val="left"/>
              <w:rPr>
                <w:rFonts w:ascii="宋体" w:hAnsi="宋体"/>
                <w:color w:val="auto"/>
                <w:szCs w:val="21"/>
              </w:rPr>
            </w:pPr>
          </w:p>
        </w:tc>
        <w:tc>
          <w:tcPr>
            <w:tcW w:w="2130" w:type="dxa"/>
            <w:tcBorders>
              <w:top w:val="single" w:color="auto" w:sz="4" w:space="0"/>
              <w:left w:val="single" w:color="auto" w:sz="6" w:space="0"/>
              <w:bottom w:val="single" w:color="auto" w:sz="6" w:space="0"/>
              <w:right w:val="single" w:color="auto" w:sz="6" w:space="0"/>
            </w:tcBorders>
            <w:vAlign w:val="center"/>
          </w:tcPr>
          <w:p w14:paraId="1A887DC2">
            <w:pPr>
              <w:adjustRightInd w:val="0"/>
              <w:snapToGrid w:val="0"/>
              <w:spacing w:before="156" w:beforeLines="50"/>
              <w:jc w:val="center"/>
              <w:rPr>
                <w:rFonts w:ascii="宋体" w:hAnsi="宋体"/>
                <w:color w:val="auto"/>
                <w:szCs w:val="21"/>
              </w:rPr>
            </w:pPr>
            <w:r>
              <w:rPr>
                <w:rFonts w:hint="eastAsia" w:ascii="宋体" w:hAnsi="宋体"/>
                <w:color w:val="auto"/>
                <w:szCs w:val="21"/>
              </w:rPr>
              <w:t>政府采购支持监狱企业发展</w:t>
            </w:r>
          </w:p>
        </w:tc>
        <w:tc>
          <w:tcPr>
            <w:tcW w:w="5466" w:type="dxa"/>
            <w:tcBorders>
              <w:top w:val="single" w:color="auto" w:sz="4" w:space="0"/>
              <w:left w:val="single" w:color="auto" w:sz="6" w:space="0"/>
              <w:bottom w:val="single" w:color="auto" w:sz="6" w:space="0"/>
              <w:right w:val="double" w:color="auto" w:sz="4" w:space="0"/>
            </w:tcBorders>
            <w:vAlign w:val="center"/>
          </w:tcPr>
          <w:p w14:paraId="018B1061">
            <w:pPr>
              <w:adjustRightInd w:val="0"/>
              <w:snapToGrid w:val="0"/>
              <w:rPr>
                <w:rFonts w:ascii="宋体" w:hAnsi="宋体"/>
                <w:color w:val="auto"/>
                <w:szCs w:val="21"/>
              </w:rPr>
            </w:pPr>
            <w:r>
              <w:rPr>
                <w:rFonts w:hint="eastAsia" w:ascii="宋体" w:hAnsi="宋体"/>
                <w:color w:val="auto"/>
                <w:szCs w:val="21"/>
              </w:rPr>
              <w:t xml:space="preserve">1、对监狱企业产品的价格给予相应政策比例的扣除，用扣除后的价格参与评审，本项目具体扣除比例为 </w:t>
            </w:r>
            <w:r>
              <w:rPr>
                <w:rFonts w:hint="eastAsia" w:ascii="宋体" w:hAnsi="宋体"/>
                <w:color w:val="auto"/>
                <w:szCs w:val="21"/>
                <w:u w:val="single"/>
              </w:rPr>
              <w:t xml:space="preserve">  10  </w:t>
            </w:r>
            <w:r>
              <w:rPr>
                <w:rFonts w:hint="eastAsia" w:ascii="宋体" w:hAnsi="宋体"/>
                <w:color w:val="auto"/>
                <w:szCs w:val="21"/>
              </w:rPr>
              <w:t>％。</w:t>
            </w:r>
          </w:p>
          <w:p w14:paraId="19360648">
            <w:pPr>
              <w:adjustRightInd w:val="0"/>
              <w:snapToGrid w:val="0"/>
              <w:spacing w:before="156" w:beforeLines="50"/>
              <w:rPr>
                <w:rFonts w:ascii="宋体" w:hAnsi="宋体"/>
                <w:color w:val="auto"/>
                <w:szCs w:val="21"/>
              </w:rPr>
            </w:pPr>
            <w:r>
              <w:rPr>
                <w:rFonts w:hint="eastAsia" w:ascii="宋体" w:hAnsi="宋体"/>
                <w:color w:val="auto"/>
                <w:szCs w:val="21"/>
              </w:rPr>
              <w:t>2、监狱企业视同小型、微型企业，不重复享受优惠政策。</w:t>
            </w:r>
          </w:p>
        </w:tc>
      </w:tr>
      <w:tr w14:paraId="5614EC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9" w:hRule="atLeast"/>
          <w:jc w:val="center"/>
        </w:trPr>
        <w:tc>
          <w:tcPr>
            <w:tcW w:w="1752" w:type="dxa"/>
            <w:vMerge w:val="continue"/>
            <w:tcBorders>
              <w:top w:val="single" w:color="auto" w:sz="6" w:space="0"/>
              <w:left w:val="double" w:color="auto" w:sz="4" w:space="0"/>
              <w:bottom w:val="single" w:color="auto" w:sz="6" w:space="0"/>
              <w:right w:val="single" w:color="auto" w:sz="6" w:space="0"/>
            </w:tcBorders>
            <w:vAlign w:val="center"/>
          </w:tcPr>
          <w:p w14:paraId="49C241CF">
            <w:pPr>
              <w:widowControl/>
              <w:jc w:val="left"/>
              <w:rPr>
                <w:rFonts w:ascii="宋体" w:hAnsi="宋体"/>
                <w:color w:val="auto"/>
                <w:szCs w:val="21"/>
              </w:rPr>
            </w:pPr>
          </w:p>
        </w:tc>
        <w:tc>
          <w:tcPr>
            <w:tcW w:w="2130" w:type="dxa"/>
            <w:tcBorders>
              <w:top w:val="single" w:color="auto" w:sz="6" w:space="0"/>
              <w:left w:val="single" w:color="auto" w:sz="6" w:space="0"/>
              <w:bottom w:val="single" w:color="auto" w:sz="6" w:space="0"/>
              <w:right w:val="single" w:color="auto" w:sz="6" w:space="0"/>
            </w:tcBorders>
            <w:vAlign w:val="center"/>
          </w:tcPr>
          <w:p w14:paraId="350A5465">
            <w:pPr>
              <w:jc w:val="center"/>
              <w:rPr>
                <w:rFonts w:ascii="宋体" w:hAnsi="宋体"/>
                <w:color w:val="auto"/>
                <w:szCs w:val="21"/>
              </w:rPr>
            </w:pPr>
            <w:r>
              <w:rPr>
                <w:rFonts w:hint="eastAsia" w:ascii="宋体" w:hAnsi="宋体" w:cs="宋体"/>
                <w:bCs/>
                <w:color w:val="auto"/>
                <w:kern w:val="0"/>
                <w:szCs w:val="21"/>
              </w:rPr>
              <w:t>政府采购支持中小企业融资</w:t>
            </w:r>
          </w:p>
        </w:tc>
        <w:tc>
          <w:tcPr>
            <w:tcW w:w="5466" w:type="dxa"/>
            <w:tcBorders>
              <w:top w:val="single" w:color="auto" w:sz="6" w:space="0"/>
              <w:left w:val="single" w:color="auto" w:sz="6" w:space="0"/>
              <w:bottom w:val="single" w:color="auto" w:sz="6" w:space="0"/>
              <w:right w:val="double" w:color="auto" w:sz="4" w:space="0"/>
            </w:tcBorders>
            <w:vAlign w:val="center"/>
          </w:tcPr>
          <w:p w14:paraId="0FC9A48B">
            <w:pPr>
              <w:rPr>
                <w:rFonts w:ascii="宋体" w:hAnsi="宋体"/>
                <w:color w:val="auto"/>
                <w:szCs w:val="21"/>
              </w:rPr>
            </w:pPr>
            <w:r>
              <w:rPr>
                <w:rFonts w:hint="eastAsia" w:ascii="宋体" w:hAnsi="宋体"/>
                <w:color w:val="auto"/>
                <w:szCs w:val="21"/>
              </w:rPr>
              <w:t>有融资需求的，可查询中国湖南政府采购网</w:t>
            </w:r>
            <w:r>
              <w:rPr>
                <w:rFonts w:hint="eastAsia" w:ascii="宋体" w:hAnsi="宋体" w:cs="宋体"/>
                <w:color w:val="auto"/>
                <w:szCs w:val="21"/>
              </w:rPr>
              <w:t>办事指南专栏中相关业务简介。</w:t>
            </w:r>
          </w:p>
        </w:tc>
      </w:tr>
      <w:tr w14:paraId="5AFB24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1752" w:type="dxa"/>
            <w:vMerge w:val="continue"/>
            <w:tcBorders>
              <w:top w:val="single" w:color="auto" w:sz="6" w:space="0"/>
              <w:left w:val="double" w:color="auto" w:sz="4" w:space="0"/>
              <w:bottom w:val="single" w:color="auto" w:sz="6" w:space="0"/>
              <w:right w:val="single" w:color="auto" w:sz="6" w:space="0"/>
            </w:tcBorders>
            <w:vAlign w:val="center"/>
          </w:tcPr>
          <w:p w14:paraId="3866C89C">
            <w:pPr>
              <w:widowControl/>
              <w:jc w:val="left"/>
              <w:rPr>
                <w:rFonts w:ascii="宋体" w:hAnsi="宋体"/>
                <w:color w:val="auto"/>
                <w:szCs w:val="21"/>
              </w:rPr>
            </w:pPr>
          </w:p>
        </w:tc>
        <w:tc>
          <w:tcPr>
            <w:tcW w:w="2130" w:type="dxa"/>
            <w:tcBorders>
              <w:top w:val="single" w:color="auto" w:sz="6" w:space="0"/>
              <w:left w:val="single" w:color="auto" w:sz="6" w:space="0"/>
              <w:bottom w:val="single" w:color="auto" w:sz="6" w:space="0"/>
              <w:right w:val="single" w:color="auto" w:sz="6" w:space="0"/>
            </w:tcBorders>
            <w:vAlign w:val="center"/>
          </w:tcPr>
          <w:p w14:paraId="3F66ED87">
            <w:pPr>
              <w:jc w:val="center"/>
              <w:rPr>
                <w:rFonts w:ascii="宋体" w:hAnsi="宋体"/>
                <w:color w:val="auto"/>
                <w:szCs w:val="21"/>
              </w:rPr>
            </w:pPr>
            <w:r>
              <w:rPr>
                <w:rFonts w:hint="eastAsia" w:ascii="宋体" w:hAnsi="宋体" w:cs="宋体"/>
                <w:bCs/>
                <w:color w:val="auto"/>
                <w:kern w:val="0"/>
                <w:szCs w:val="21"/>
              </w:rPr>
              <w:t>政府采购信用担保</w:t>
            </w:r>
          </w:p>
        </w:tc>
        <w:tc>
          <w:tcPr>
            <w:tcW w:w="5466" w:type="dxa"/>
            <w:tcBorders>
              <w:top w:val="single" w:color="auto" w:sz="6" w:space="0"/>
              <w:left w:val="single" w:color="auto" w:sz="6" w:space="0"/>
              <w:bottom w:val="single" w:color="auto" w:sz="6" w:space="0"/>
              <w:right w:val="double" w:color="auto" w:sz="4" w:space="0"/>
            </w:tcBorders>
            <w:vAlign w:val="center"/>
          </w:tcPr>
          <w:p w14:paraId="5CCA2F91">
            <w:pPr>
              <w:rPr>
                <w:rFonts w:ascii="宋体" w:hAnsi="宋体"/>
                <w:color w:val="auto"/>
                <w:szCs w:val="21"/>
              </w:rPr>
            </w:pPr>
            <w:r>
              <w:rPr>
                <w:rFonts w:hint="eastAsia" w:ascii="宋体" w:hAnsi="宋体"/>
                <w:color w:val="auto"/>
                <w:szCs w:val="21"/>
              </w:rPr>
              <w:t>有担保需求的，可查询中国湖南政府采购网</w:t>
            </w:r>
            <w:r>
              <w:rPr>
                <w:rFonts w:hint="eastAsia" w:ascii="宋体" w:hAnsi="宋体" w:cs="宋体"/>
                <w:color w:val="auto"/>
                <w:szCs w:val="21"/>
              </w:rPr>
              <w:t>办事指南专栏中相关业务简介。</w:t>
            </w:r>
          </w:p>
        </w:tc>
      </w:tr>
      <w:tr w14:paraId="71C23F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52" w:type="dxa"/>
            <w:vMerge w:val="continue"/>
            <w:tcBorders>
              <w:top w:val="single" w:color="auto" w:sz="6" w:space="0"/>
              <w:left w:val="double" w:color="auto" w:sz="4" w:space="0"/>
              <w:bottom w:val="single" w:color="auto" w:sz="6" w:space="0"/>
              <w:right w:val="single" w:color="auto" w:sz="6" w:space="0"/>
            </w:tcBorders>
            <w:vAlign w:val="center"/>
          </w:tcPr>
          <w:p w14:paraId="011CFCFA">
            <w:pPr>
              <w:widowControl/>
              <w:jc w:val="left"/>
              <w:rPr>
                <w:rFonts w:ascii="宋体" w:hAnsi="宋体"/>
                <w:color w:val="auto"/>
                <w:szCs w:val="21"/>
              </w:rPr>
            </w:pPr>
          </w:p>
        </w:tc>
        <w:tc>
          <w:tcPr>
            <w:tcW w:w="2130" w:type="dxa"/>
            <w:tcBorders>
              <w:top w:val="single" w:color="auto" w:sz="6" w:space="0"/>
              <w:left w:val="single" w:color="auto" w:sz="6" w:space="0"/>
              <w:bottom w:val="single" w:color="auto" w:sz="6" w:space="0"/>
              <w:right w:val="single" w:color="auto" w:sz="6" w:space="0"/>
            </w:tcBorders>
            <w:vAlign w:val="center"/>
          </w:tcPr>
          <w:p w14:paraId="1B3B1F5F">
            <w:pPr>
              <w:jc w:val="center"/>
              <w:rPr>
                <w:rFonts w:ascii="宋体" w:hAnsi="宋体"/>
                <w:color w:val="auto"/>
                <w:szCs w:val="21"/>
              </w:rPr>
            </w:pPr>
            <w:r>
              <w:rPr>
                <w:rFonts w:hint="eastAsia" w:ascii="宋体" w:hAnsi="宋体"/>
                <w:color w:val="auto"/>
                <w:szCs w:val="21"/>
              </w:rPr>
              <w:t>法律、法规、规章和省级以上财政部门规定的其他内容</w:t>
            </w:r>
          </w:p>
        </w:tc>
        <w:tc>
          <w:tcPr>
            <w:tcW w:w="5466" w:type="dxa"/>
            <w:tcBorders>
              <w:top w:val="single" w:color="auto" w:sz="6" w:space="0"/>
              <w:left w:val="single" w:color="auto" w:sz="6" w:space="0"/>
              <w:bottom w:val="single" w:color="auto" w:sz="6" w:space="0"/>
              <w:right w:val="double" w:color="auto" w:sz="4" w:space="0"/>
            </w:tcBorders>
            <w:vAlign w:val="center"/>
          </w:tcPr>
          <w:p w14:paraId="463C88BC">
            <w:pPr>
              <w:rPr>
                <w:rFonts w:ascii="宋体" w:hAnsi="宋体"/>
                <w:color w:val="auto"/>
                <w:szCs w:val="21"/>
              </w:rPr>
            </w:pPr>
            <w:r>
              <w:rPr>
                <w:rFonts w:hint="eastAsia" w:ascii="宋体" w:hAnsi="宋体"/>
                <w:color w:val="auto"/>
                <w:szCs w:val="21"/>
              </w:rPr>
              <w:t>/</w:t>
            </w:r>
          </w:p>
        </w:tc>
      </w:tr>
      <w:tr w14:paraId="5853DF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10"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3593F094">
            <w:pPr>
              <w:widowControl/>
              <w:jc w:val="left"/>
              <w:rPr>
                <w:rFonts w:ascii="宋体" w:hAnsi="宋体"/>
                <w:color w:val="auto"/>
                <w:szCs w:val="21"/>
              </w:rPr>
            </w:pPr>
            <w:r>
              <w:rPr>
                <w:rFonts w:hint="eastAsia" w:ascii="宋体" w:hAnsi="宋体"/>
                <w:color w:val="auto"/>
                <w:szCs w:val="21"/>
              </w:rPr>
              <w:t>第二章第30.5款</w:t>
            </w:r>
          </w:p>
        </w:tc>
        <w:tc>
          <w:tcPr>
            <w:tcW w:w="2130" w:type="dxa"/>
            <w:tcBorders>
              <w:top w:val="single" w:color="auto" w:sz="6" w:space="0"/>
              <w:left w:val="single" w:color="auto" w:sz="6" w:space="0"/>
              <w:bottom w:val="single" w:color="auto" w:sz="6" w:space="0"/>
              <w:right w:val="single" w:color="auto" w:sz="6" w:space="0"/>
            </w:tcBorders>
            <w:vAlign w:val="center"/>
          </w:tcPr>
          <w:p w14:paraId="477A0771">
            <w:pPr>
              <w:jc w:val="center"/>
              <w:rPr>
                <w:rFonts w:ascii="宋体" w:hAnsi="宋体"/>
                <w:color w:val="auto"/>
                <w:szCs w:val="21"/>
              </w:rPr>
            </w:pPr>
            <w:r>
              <w:rPr>
                <w:rFonts w:hint="eastAsia" w:ascii="宋体" w:hAnsi="宋体"/>
                <w:color w:val="auto"/>
                <w:szCs w:val="21"/>
              </w:rPr>
              <w:t>政府采购政策优惠调整</w:t>
            </w:r>
          </w:p>
        </w:tc>
        <w:tc>
          <w:tcPr>
            <w:tcW w:w="5466" w:type="dxa"/>
            <w:tcBorders>
              <w:top w:val="single" w:color="auto" w:sz="6" w:space="0"/>
              <w:left w:val="single" w:color="auto" w:sz="6" w:space="0"/>
              <w:bottom w:val="single" w:color="auto" w:sz="6" w:space="0"/>
              <w:right w:val="double" w:color="auto" w:sz="4" w:space="0"/>
            </w:tcBorders>
            <w:vAlign w:val="center"/>
          </w:tcPr>
          <w:p w14:paraId="16C586AD">
            <w:pPr>
              <w:adjustRightInd w:val="0"/>
              <w:snapToGrid w:val="0"/>
              <w:rPr>
                <w:rFonts w:ascii="宋体" w:hAnsi="宋体"/>
                <w:color w:val="auto"/>
                <w:szCs w:val="21"/>
              </w:rPr>
            </w:pPr>
            <w:r>
              <w:rPr>
                <w:rFonts w:hint="eastAsia" w:ascii="宋体" w:hAnsi="宋体"/>
                <w:color w:val="auto"/>
                <w:szCs w:val="21"/>
              </w:rPr>
              <w:t>1、符合政府采购优先采购政策的，产品只能享受节能产品、环境标志产品等产品优惠中的一项(由供应商在响应文件中选择并填报政策功能编码，评审时进行加分) 。</w:t>
            </w:r>
          </w:p>
          <w:p w14:paraId="74DB356B">
            <w:pPr>
              <w:adjustRightInd w:val="0"/>
              <w:snapToGrid w:val="0"/>
              <w:rPr>
                <w:rFonts w:ascii="宋体" w:hAnsi="宋体"/>
                <w:color w:val="auto"/>
                <w:szCs w:val="21"/>
              </w:rPr>
            </w:pPr>
            <w:r>
              <w:rPr>
                <w:rFonts w:hint="eastAsia" w:ascii="宋体" w:hAnsi="宋体"/>
                <w:color w:val="auto"/>
                <w:szCs w:val="21"/>
              </w:rPr>
              <w:t>2、供应商享受支持中小企业发展政策优惠的，可以与同时享受节能产品、环境标志产品等产品优惠中的一项累加。</w:t>
            </w:r>
          </w:p>
          <w:p w14:paraId="47179519">
            <w:pPr>
              <w:adjustRightInd w:val="0"/>
              <w:snapToGrid w:val="0"/>
              <w:rPr>
                <w:rFonts w:ascii="宋体" w:hAnsi="宋体"/>
                <w:color w:val="auto"/>
                <w:szCs w:val="21"/>
              </w:rPr>
            </w:pPr>
            <w:r>
              <w:rPr>
                <w:rFonts w:hint="eastAsia" w:ascii="宋体" w:hAnsi="宋体"/>
                <w:color w:val="auto"/>
                <w:szCs w:val="21"/>
              </w:rPr>
              <w:t>3、残疾人福利性单位、监狱企业视同为小微企业，不重复计算。</w:t>
            </w:r>
          </w:p>
          <w:p w14:paraId="45FDAD0C">
            <w:pPr>
              <w:adjustRightInd w:val="0"/>
              <w:snapToGrid w:val="0"/>
              <w:rPr>
                <w:rFonts w:ascii="宋体" w:hAnsi="宋体"/>
                <w:color w:val="auto"/>
                <w:szCs w:val="21"/>
              </w:rPr>
            </w:pPr>
            <w:r>
              <w:rPr>
                <w:rFonts w:hint="eastAsia" w:ascii="宋体" w:hAnsi="宋体"/>
                <w:color w:val="auto"/>
                <w:szCs w:val="21"/>
              </w:rPr>
              <w:t>4、同一项目中部分产品属于优先采购政策的，评审时只对该部分产品的报价实行加分。</w:t>
            </w:r>
          </w:p>
        </w:tc>
      </w:tr>
      <w:tr w14:paraId="53BBFA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7" w:hRule="atLeast"/>
          <w:jc w:val="center"/>
        </w:trPr>
        <w:tc>
          <w:tcPr>
            <w:tcW w:w="9348" w:type="dxa"/>
            <w:gridSpan w:val="3"/>
            <w:tcBorders>
              <w:top w:val="single" w:color="auto" w:sz="6" w:space="0"/>
              <w:left w:val="double" w:color="auto" w:sz="4" w:space="0"/>
              <w:bottom w:val="single" w:color="auto" w:sz="6" w:space="0"/>
              <w:right w:val="double" w:color="auto" w:sz="4" w:space="0"/>
            </w:tcBorders>
            <w:vAlign w:val="center"/>
          </w:tcPr>
          <w:p w14:paraId="1C3709FB">
            <w:pPr>
              <w:adjustRightInd w:val="0"/>
              <w:snapToGrid w:val="0"/>
              <w:rPr>
                <w:rFonts w:ascii="宋体" w:hAnsi="宋体"/>
                <w:b/>
                <w:color w:val="auto"/>
                <w:szCs w:val="21"/>
              </w:rPr>
            </w:pPr>
            <w:r>
              <w:rPr>
                <w:rFonts w:hint="eastAsia" w:ascii="宋体" w:hAnsi="宋体"/>
                <w:b/>
                <w:color w:val="auto"/>
                <w:szCs w:val="21"/>
              </w:rPr>
              <w:t>二、磋商文件</w:t>
            </w:r>
          </w:p>
        </w:tc>
      </w:tr>
      <w:tr w14:paraId="4FAB94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9"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7B704242">
            <w:pPr>
              <w:adjustRightInd w:val="0"/>
              <w:snapToGrid w:val="0"/>
              <w:jc w:val="center"/>
              <w:rPr>
                <w:rFonts w:ascii="宋体" w:hAnsi="宋体"/>
                <w:color w:val="auto"/>
                <w:szCs w:val="21"/>
              </w:rPr>
            </w:pPr>
            <w:r>
              <w:rPr>
                <w:rFonts w:hint="eastAsia" w:ascii="宋体" w:hAnsi="宋体"/>
                <w:color w:val="auto"/>
                <w:szCs w:val="21"/>
              </w:rPr>
              <w:t>第二章第11.3款</w:t>
            </w:r>
          </w:p>
        </w:tc>
        <w:tc>
          <w:tcPr>
            <w:tcW w:w="2130" w:type="dxa"/>
            <w:tcBorders>
              <w:top w:val="single" w:color="auto" w:sz="6" w:space="0"/>
              <w:left w:val="single" w:color="auto" w:sz="6" w:space="0"/>
              <w:bottom w:val="single" w:color="auto" w:sz="6" w:space="0"/>
              <w:right w:val="single" w:color="auto" w:sz="6" w:space="0"/>
            </w:tcBorders>
            <w:vAlign w:val="center"/>
          </w:tcPr>
          <w:p w14:paraId="0DAE31F5">
            <w:pPr>
              <w:adjustRightInd w:val="0"/>
              <w:snapToGrid w:val="0"/>
              <w:jc w:val="center"/>
              <w:rPr>
                <w:rFonts w:ascii="宋体" w:hAnsi="宋体"/>
                <w:color w:val="auto"/>
                <w:szCs w:val="21"/>
              </w:rPr>
            </w:pPr>
            <w:r>
              <w:rPr>
                <w:rFonts w:hint="eastAsia" w:ascii="宋体" w:hAnsi="宋体"/>
                <w:color w:val="auto"/>
                <w:szCs w:val="21"/>
              </w:rPr>
              <w:t>磋商文件的可能实质性变动内容</w:t>
            </w:r>
          </w:p>
        </w:tc>
        <w:tc>
          <w:tcPr>
            <w:tcW w:w="5466" w:type="dxa"/>
            <w:tcBorders>
              <w:top w:val="single" w:color="auto" w:sz="6" w:space="0"/>
              <w:left w:val="single" w:color="auto" w:sz="6" w:space="0"/>
              <w:bottom w:val="single" w:color="auto" w:sz="6" w:space="0"/>
              <w:right w:val="double" w:color="auto" w:sz="4" w:space="0"/>
            </w:tcBorders>
            <w:vAlign w:val="center"/>
          </w:tcPr>
          <w:p w14:paraId="087CA1EF">
            <w:pPr>
              <w:rPr>
                <w:rFonts w:ascii="宋体" w:hAnsi="宋体"/>
                <w:color w:val="auto"/>
                <w:szCs w:val="21"/>
              </w:rPr>
            </w:pPr>
            <w:r>
              <w:rPr>
                <w:rFonts w:hint="eastAsia" w:ascii="宋体" w:hAnsi="宋体"/>
                <w:color w:val="auto"/>
                <w:szCs w:val="21"/>
              </w:rPr>
              <w:t>无</w:t>
            </w:r>
          </w:p>
        </w:tc>
      </w:tr>
      <w:tr w14:paraId="589B8D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9"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28586CA2">
            <w:pPr>
              <w:adjustRightInd w:val="0"/>
              <w:snapToGrid w:val="0"/>
              <w:jc w:val="center"/>
              <w:rPr>
                <w:rFonts w:ascii="宋体" w:hAnsi="宋体"/>
                <w:color w:val="auto"/>
                <w:szCs w:val="21"/>
              </w:rPr>
            </w:pPr>
            <w:r>
              <w:rPr>
                <w:rFonts w:hint="eastAsia" w:ascii="宋体" w:hAnsi="宋体"/>
                <w:color w:val="auto"/>
                <w:szCs w:val="21"/>
              </w:rPr>
              <w:t>第二章第10.3款</w:t>
            </w:r>
          </w:p>
        </w:tc>
        <w:tc>
          <w:tcPr>
            <w:tcW w:w="2130" w:type="dxa"/>
            <w:tcBorders>
              <w:top w:val="single" w:color="auto" w:sz="6" w:space="0"/>
              <w:left w:val="single" w:color="auto" w:sz="6" w:space="0"/>
              <w:bottom w:val="single" w:color="auto" w:sz="6" w:space="0"/>
              <w:right w:val="single" w:color="auto" w:sz="6" w:space="0"/>
            </w:tcBorders>
            <w:vAlign w:val="center"/>
          </w:tcPr>
          <w:p w14:paraId="3CE2DDC5">
            <w:pPr>
              <w:adjustRightInd w:val="0"/>
              <w:snapToGrid w:val="0"/>
              <w:jc w:val="center"/>
              <w:rPr>
                <w:rFonts w:ascii="宋体" w:hAnsi="宋体"/>
                <w:color w:val="auto"/>
                <w:szCs w:val="21"/>
              </w:rPr>
            </w:pPr>
            <w:r>
              <w:rPr>
                <w:rFonts w:hint="eastAsia" w:ascii="宋体" w:hAnsi="宋体"/>
                <w:color w:val="auto"/>
                <w:szCs w:val="21"/>
              </w:rPr>
              <w:t>最高允许偏离项数</w:t>
            </w:r>
          </w:p>
        </w:tc>
        <w:tc>
          <w:tcPr>
            <w:tcW w:w="5466" w:type="dxa"/>
            <w:tcBorders>
              <w:top w:val="single" w:color="auto" w:sz="6" w:space="0"/>
              <w:left w:val="single" w:color="auto" w:sz="6" w:space="0"/>
              <w:bottom w:val="single" w:color="auto" w:sz="6" w:space="0"/>
              <w:right w:val="double" w:color="auto" w:sz="4" w:space="0"/>
            </w:tcBorders>
          </w:tcPr>
          <w:p w14:paraId="316B6EFF">
            <w:pPr>
              <w:tabs>
                <w:tab w:val="left" w:pos="0"/>
              </w:tabs>
              <w:adjustRightInd w:val="0"/>
              <w:snapToGrid w:val="0"/>
              <w:rPr>
                <w:rFonts w:ascii="宋体" w:hAnsi="宋体"/>
                <w:b/>
                <w:color w:val="auto"/>
                <w:szCs w:val="21"/>
              </w:rPr>
            </w:pPr>
            <w:r>
              <w:rPr>
                <w:rFonts w:hint="eastAsia" w:ascii="宋体" w:hAnsi="宋体"/>
                <w:color w:val="auto"/>
                <w:szCs w:val="21"/>
              </w:rPr>
              <w:t>一般商务和技术条款（参数），偏离项数之和≥</w:t>
            </w:r>
            <w:r>
              <w:rPr>
                <w:rFonts w:hint="eastAsia" w:ascii="宋体" w:hAnsi="宋体"/>
                <w:color w:val="auto"/>
                <w:szCs w:val="21"/>
                <w:u w:val="single"/>
              </w:rPr>
              <w:t>10</w:t>
            </w:r>
            <w:r>
              <w:rPr>
                <w:rFonts w:hint="eastAsia" w:ascii="宋体" w:hAnsi="宋体"/>
                <w:color w:val="auto"/>
                <w:szCs w:val="21"/>
              </w:rPr>
              <w:t>项将导致无效响应。</w:t>
            </w:r>
          </w:p>
        </w:tc>
      </w:tr>
      <w:tr w14:paraId="48254B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49"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598066B7">
            <w:pPr>
              <w:adjustRightInd w:val="0"/>
              <w:snapToGrid w:val="0"/>
              <w:jc w:val="center"/>
              <w:rPr>
                <w:rFonts w:ascii="宋体" w:hAnsi="宋体"/>
                <w:color w:val="auto"/>
                <w:szCs w:val="21"/>
              </w:rPr>
            </w:pPr>
            <w:r>
              <w:rPr>
                <w:rFonts w:hint="eastAsia" w:ascii="宋体" w:hAnsi="宋体"/>
                <w:color w:val="auto"/>
                <w:szCs w:val="21"/>
              </w:rPr>
              <w:t>第二章第12.1款</w:t>
            </w:r>
          </w:p>
        </w:tc>
        <w:tc>
          <w:tcPr>
            <w:tcW w:w="2130" w:type="dxa"/>
            <w:tcBorders>
              <w:top w:val="single" w:color="auto" w:sz="6" w:space="0"/>
              <w:left w:val="single" w:color="auto" w:sz="6" w:space="0"/>
              <w:bottom w:val="single" w:color="auto" w:sz="6" w:space="0"/>
              <w:right w:val="single" w:color="auto" w:sz="4" w:space="0"/>
            </w:tcBorders>
            <w:vAlign w:val="center"/>
          </w:tcPr>
          <w:p w14:paraId="0DEDAD5F">
            <w:pPr>
              <w:adjustRightInd w:val="0"/>
              <w:snapToGrid w:val="0"/>
              <w:jc w:val="center"/>
              <w:rPr>
                <w:rFonts w:ascii="宋体" w:hAnsi="宋体"/>
                <w:color w:val="auto"/>
                <w:szCs w:val="21"/>
              </w:rPr>
            </w:pPr>
            <w:r>
              <w:rPr>
                <w:rFonts w:hint="eastAsia" w:ascii="宋体" w:hAnsi="宋体"/>
                <w:color w:val="auto"/>
                <w:szCs w:val="21"/>
              </w:rPr>
              <w:t>递交响应文件的截止时间</w:t>
            </w:r>
          </w:p>
        </w:tc>
        <w:tc>
          <w:tcPr>
            <w:tcW w:w="5466" w:type="dxa"/>
            <w:tcBorders>
              <w:top w:val="single" w:color="auto" w:sz="6" w:space="0"/>
              <w:left w:val="single" w:color="auto" w:sz="4" w:space="0"/>
              <w:bottom w:val="single" w:color="auto" w:sz="6" w:space="0"/>
              <w:right w:val="double" w:color="auto" w:sz="4" w:space="0"/>
            </w:tcBorders>
            <w:vAlign w:val="center"/>
          </w:tcPr>
          <w:p w14:paraId="372D1DE0">
            <w:pPr>
              <w:adjustRightInd w:val="0"/>
              <w:snapToGrid w:val="0"/>
              <w:jc w:val="left"/>
              <w:rPr>
                <w:rFonts w:ascii="宋体" w:hAnsi="宋体"/>
                <w:color w:val="auto"/>
                <w:szCs w:val="21"/>
              </w:rPr>
            </w:pPr>
            <w:r>
              <w:rPr>
                <w:rFonts w:hint="eastAsia" w:ascii="宋体" w:hAnsi="宋体" w:cs="仿宋_GB2312"/>
                <w:b/>
                <w:bCs/>
                <w:color w:val="auto"/>
                <w:kern w:val="0"/>
                <w:sz w:val="24"/>
                <w:lang w:eastAsia="zh-CN"/>
              </w:rPr>
              <w:t>2026年8月26日09时30分</w:t>
            </w:r>
            <w:r>
              <w:rPr>
                <w:rFonts w:hint="eastAsia" w:ascii="宋体" w:hAnsi="宋体"/>
                <w:b/>
                <w:bCs/>
                <w:color w:val="auto"/>
                <w:sz w:val="22"/>
                <w:szCs w:val="22"/>
              </w:rPr>
              <w:t>（北京时间)</w:t>
            </w:r>
          </w:p>
        </w:tc>
      </w:tr>
      <w:tr w14:paraId="2875B6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jc w:val="center"/>
        </w:trPr>
        <w:tc>
          <w:tcPr>
            <w:tcW w:w="9348" w:type="dxa"/>
            <w:gridSpan w:val="3"/>
            <w:tcBorders>
              <w:top w:val="single" w:color="auto" w:sz="6" w:space="0"/>
              <w:left w:val="double" w:color="auto" w:sz="4" w:space="0"/>
              <w:bottom w:val="single" w:color="auto" w:sz="6" w:space="0"/>
              <w:right w:val="double" w:color="auto" w:sz="4" w:space="0"/>
            </w:tcBorders>
            <w:vAlign w:val="center"/>
          </w:tcPr>
          <w:p w14:paraId="72B5E4E4">
            <w:pPr>
              <w:adjustRightInd w:val="0"/>
              <w:snapToGrid w:val="0"/>
              <w:rPr>
                <w:rFonts w:ascii="宋体" w:hAnsi="宋体"/>
                <w:b/>
                <w:color w:val="auto"/>
                <w:szCs w:val="21"/>
              </w:rPr>
            </w:pPr>
            <w:r>
              <w:rPr>
                <w:rFonts w:hint="eastAsia" w:ascii="宋体" w:hAnsi="宋体"/>
                <w:b/>
                <w:color w:val="auto"/>
                <w:szCs w:val="21"/>
              </w:rPr>
              <w:t>三、评标办法</w:t>
            </w:r>
          </w:p>
        </w:tc>
      </w:tr>
      <w:tr w14:paraId="7C6A18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05" w:hRule="atLeast"/>
          <w:jc w:val="center"/>
        </w:trPr>
        <w:tc>
          <w:tcPr>
            <w:tcW w:w="1752" w:type="dxa"/>
            <w:tcBorders>
              <w:top w:val="single" w:color="auto" w:sz="6" w:space="0"/>
              <w:left w:val="double" w:color="auto" w:sz="4" w:space="0"/>
              <w:bottom w:val="single" w:color="auto" w:sz="6" w:space="0"/>
              <w:right w:val="single" w:color="auto" w:sz="4" w:space="0"/>
            </w:tcBorders>
            <w:vAlign w:val="center"/>
          </w:tcPr>
          <w:p w14:paraId="243FE6D1">
            <w:pPr>
              <w:adjustRightInd w:val="0"/>
              <w:snapToGrid w:val="0"/>
              <w:rPr>
                <w:rFonts w:ascii="宋体" w:hAnsi="宋体"/>
                <w:b/>
                <w:color w:val="auto"/>
                <w:szCs w:val="21"/>
              </w:rPr>
            </w:pPr>
            <w:r>
              <w:rPr>
                <w:rFonts w:hint="eastAsia" w:ascii="宋体" w:hAnsi="宋体"/>
                <w:bCs/>
                <w:color w:val="auto"/>
                <w:szCs w:val="21"/>
              </w:rPr>
              <w:t>第二章第30.1款</w:t>
            </w:r>
          </w:p>
        </w:tc>
        <w:tc>
          <w:tcPr>
            <w:tcW w:w="2130" w:type="dxa"/>
            <w:tcBorders>
              <w:top w:val="single" w:color="auto" w:sz="6" w:space="0"/>
              <w:left w:val="single" w:color="auto" w:sz="4" w:space="0"/>
              <w:bottom w:val="single" w:color="auto" w:sz="6" w:space="0"/>
              <w:right w:val="single" w:color="auto" w:sz="4" w:space="0"/>
            </w:tcBorders>
            <w:vAlign w:val="center"/>
          </w:tcPr>
          <w:p w14:paraId="12E85270">
            <w:pPr>
              <w:adjustRightInd w:val="0"/>
              <w:snapToGrid w:val="0"/>
              <w:jc w:val="center"/>
              <w:rPr>
                <w:rFonts w:ascii="宋体" w:hAnsi="宋体"/>
                <w:b/>
                <w:color w:val="auto"/>
                <w:szCs w:val="21"/>
              </w:rPr>
            </w:pPr>
            <w:r>
              <w:rPr>
                <w:rFonts w:hint="eastAsia" w:ascii="宋体" w:hAnsi="宋体"/>
                <w:bCs/>
                <w:color w:val="auto"/>
                <w:szCs w:val="21"/>
              </w:rPr>
              <w:t>综合评分法</w:t>
            </w:r>
          </w:p>
        </w:tc>
        <w:tc>
          <w:tcPr>
            <w:tcW w:w="5466" w:type="dxa"/>
            <w:tcBorders>
              <w:top w:val="single" w:color="auto" w:sz="6" w:space="0"/>
              <w:left w:val="single" w:color="auto" w:sz="4" w:space="0"/>
              <w:bottom w:val="single" w:color="auto" w:sz="4" w:space="0"/>
              <w:right w:val="double" w:color="auto" w:sz="4" w:space="0"/>
            </w:tcBorders>
            <w:vAlign w:val="center"/>
          </w:tcPr>
          <w:p w14:paraId="04481D08">
            <w:pPr>
              <w:adjustRightInd w:val="0"/>
              <w:snapToGrid w:val="0"/>
              <w:jc w:val="left"/>
              <w:rPr>
                <w:rFonts w:ascii="宋体" w:hAnsi="宋体"/>
                <w:color w:val="auto"/>
                <w:szCs w:val="21"/>
              </w:rPr>
            </w:pPr>
            <w:r>
              <w:rPr>
                <w:rFonts w:hint="eastAsia" w:ascii="宋体" w:hAnsi="宋体"/>
                <w:color w:val="auto"/>
                <w:szCs w:val="21"/>
              </w:rPr>
              <w:t>响应文件满足磋商文件全部实质性要求且按磋商因素的量化指标评审得分由高到低的前3名供应商为成交候选人的评审方法。本项目确定排名第一的成交候选人为中标人。</w:t>
            </w:r>
          </w:p>
        </w:tc>
      </w:tr>
      <w:tr w14:paraId="656650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2" w:hRule="atLeast"/>
          <w:jc w:val="center"/>
        </w:trPr>
        <w:tc>
          <w:tcPr>
            <w:tcW w:w="9348" w:type="dxa"/>
            <w:gridSpan w:val="3"/>
            <w:tcBorders>
              <w:top w:val="single" w:color="auto" w:sz="6" w:space="0"/>
              <w:left w:val="double" w:color="auto" w:sz="4" w:space="0"/>
              <w:bottom w:val="single" w:color="auto" w:sz="6" w:space="0"/>
              <w:right w:val="double" w:color="auto" w:sz="4" w:space="0"/>
            </w:tcBorders>
            <w:vAlign w:val="center"/>
          </w:tcPr>
          <w:p w14:paraId="64D71442">
            <w:pPr>
              <w:adjustRightInd w:val="0"/>
              <w:snapToGrid w:val="0"/>
              <w:rPr>
                <w:rFonts w:ascii="宋体" w:hAnsi="宋体"/>
                <w:color w:val="auto"/>
                <w:szCs w:val="21"/>
              </w:rPr>
            </w:pPr>
            <w:r>
              <w:rPr>
                <w:rFonts w:hint="eastAsia" w:ascii="宋体" w:hAnsi="宋体"/>
                <w:b/>
                <w:color w:val="auto"/>
                <w:szCs w:val="21"/>
              </w:rPr>
              <w:t>四、响应文件的编写</w:t>
            </w:r>
          </w:p>
        </w:tc>
      </w:tr>
      <w:tr w14:paraId="341A59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5F441553">
            <w:pPr>
              <w:adjustRightInd w:val="0"/>
              <w:snapToGrid w:val="0"/>
              <w:jc w:val="center"/>
              <w:rPr>
                <w:rFonts w:ascii="宋体" w:hAnsi="宋体"/>
                <w:color w:val="auto"/>
                <w:szCs w:val="21"/>
              </w:rPr>
            </w:pPr>
            <w:r>
              <w:rPr>
                <w:rFonts w:hint="eastAsia" w:ascii="宋体" w:hAnsi="宋体"/>
                <w:color w:val="auto"/>
                <w:szCs w:val="21"/>
              </w:rPr>
              <w:t>第二章第16.4款</w:t>
            </w:r>
          </w:p>
        </w:tc>
        <w:tc>
          <w:tcPr>
            <w:tcW w:w="2130" w:type="dxa"/>
            <w:tcBorders>
              <w:top w:val="single" w:color="auto" w:sz="6" w:space="0"/>
              <w:left w:val="single" w:color="auto" w:sz="6" w:space="0"/>
              <w:bottom w:val="single" w:color="auto" w:sz="6" w:space="0"/>
              <w:right w:val="single" w:color="auto" w:sz="6" w:space="0"/>
            </w:tcBorders>
            <w:vAlign w:val="center"/>
          </w:tcPr>
          <w:p w14:paraId="1D5153A7">
            <w:pPr>
              <w:adjustRightInd w:val="0"/>
              <w:snapToGrid w:val="0"/>
              <w:jc w:val="center"/>
              <w:rPr>
                <w:rFonts w:ascii="宋体" w:hAnsi="宋体"/>
                <w:color w:val="auto"/>
                <w:szCs w:val="21"/>
              </w:rPr>
            </w:pPr>
            <w:r>
              <w:rPr>
                <w:rFonts w:hint="eastAsia" w:ascii="宋体" w:hAnsi="宋体"/>
                <w:color w:val="auto"/>
                <w:szCs w:val="21"/>
              </w:rPr>
              <w:t>采购项目预算</w:t>
            </w:r>
          </w:p>
        </w:tc>
        <w:tc>
          <w:tcPr>
            <w:tcW w:w="5466" w:type="dxa"/>
            <w:tcBorders>
              <w:top w:val="single" w:color="auto" w:sz="6" w:space="0"/>
              <w:left w:val="single" w:color="auto" w:sz="6" w:space="0"/>
              <w:bottom w:val="single" w:color="auto" w:sz="6" w:space="0"/>
              <w:right w:val="double" w:color="auto" w:sz="4" w:space="0"/>
            </w:tcBorders>
            <w:vAlign w:val="center"/>
          </w:tcPr>
          <w:p w14:paraId="1477622C">
            <w:pPr>
              <w:adjustRightInd w:val="0"/>
              <w:snapToGrid w:val="0"/>
              <w:rPr>
                <w:rFonts w:hint="eastAsia" w:ascii="宋体" w:hAnsi="宋体" w:eastAsiaTheme="minorEastAsia"/>
                <w:color w:val="auto"/>
                <w:szCs w:val="21"/>
                <w:lang w:eastAsia="zh-CN"/>
              </w:rPr>
            </w:pPr>
            <w:r>
              <w:rPr>
                <w:rFonts w:hint="eastAsia" w:ascii="宋体" w:hAnsi="宋体" w:eastAsiaTheme="minorEastAsia"/>
                <w:color w:val="auto"/>
                <w:szCs w:val="21"/>
                <w:lang w:eastAsia="zh-CN"/>
              </w:rPr>
              <w:t>1560835.44元</w:t>
            </w:r>
          </w:p>
        </w:tc>
      </w:tr>
      <w:tr w14:paraId="4186B4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2"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61D11EDE">
            <w:pPr>
              <w:adjustRightInd w:val="0"/>
              <w:snapToGrid w:val="0"/>
              <w:jc w:val="center"/>
              <w:rPr>
                <w:rFonts w:ascii="宋体" w:hAnsi="宋体"/>
                <w:color w:val="auto"/>
                <w:szCs w:val="21"/>
              </w:rPr>
            </w:pPr>
            <w:r>
              <w:rPr>
                <w:rFonts w:hint="eastAsia" w:ascii="宋体" w:hAnsi="宋体"/>
                <w:color w:val="auto"/>
                <w:szCs w:val="21"/>
              </w:rPr>
              <w:t>第二章第18.1款</w:t>
            </w:r>
          </w:p>
        </w:tc>
        <w:tc>
          <w:tcPr>
            <w:tcW w:w="2130" w:type="dxa"/>
            <w:tcBorders>
              <w:top w:val="single" w:color="auto" w:sz="6" w:space="0"/>
              <w:left w:val="single" w:color="auto" w:sz="6" w:space="0"/>
              <w:bottom w:val="single" w:color="auto" w:sz="6" w:space="0"/>
              <w:right w:val="single" w:color="auto" w:sz="6" w:space="0"/>
            </w:tcBorders>
            <w:vAlign w:val="center"/>
          </w:tcPr>
          <w:p w14:paraId="07F4E96E">
            <w:pPr>
              <w:adjustRightInd w:val="0"/>
              <w:snapToGrid w:val="0"/>
              <w:ind w:left="-533" w:leftChars="-254" w:firstLine="533" w:firstLineChars="254"/>
              <w:jc w:val="center"/>
              <w:rPr>
                <w:rFonts w:ascii="宋体" w:hAnsi="宋体"/>
                <w:color w:val="auto"/>
                <w:szCs w:val="21"/>
              </w:rPr>
            </w:pPr>
            <w:r>
              <w:rPr>
                <w:rFonts w:hint="eastAsia" w:ascii="宋体" w:hAnsi="宋体"/>
                <w:color w:val="auto"/>
                <w:szCs w:val="21"/>
              </w:rPr>
              <w:t>保证金</w:t>
            </w:r>
          </w:p>
        </w:tc>
        <w:tc>
          <w:tcPr>
            <w:tcW w:w="5466" w:type="dxa"/>
            <w:tcBorders>
              <w:top w:val="single" w:color="auto" w:sz="6" w:space="0"/>
              <w:left w:val="single" w:color="auto" w:sz="6" w:space="0"/>
              <w:bottom w:val="single" w:color="auto" w:sz="6" w:space="0"/>
              <w:right w:val="double" w:color="auto" w:sz="4" w:space="0"/>
            </w:tcBorders>
            <w:vAlign w:val="center"/>
          </w:tcPr>
          <w:p w14:paraId="1EB4FC7E">
            <w:pPr>
              <w:widowControl/>
              <w:adjustRightInd w:val="0"/>
              <w:snapToGrid w:val="0"/>
              <w:jc w:val="left"/>
              <w:rPr>
                <w:rFonts w:ascii="宋体" w:hAnsi="宋体"/>
                <w:bCs/>
                <w:snapToGrid w:val="0"/>
                <w:color w:val="auto"/>
                <w:kern w:val="0"/>
              </w:rPr>
            </w:pPr>
            <w:r>
              <w:rPr>
                <w:rFonts w:hint="eastAsia" w:asciiTheme="minorEastAsia" w:hAnsiTheme="minorEastAsia" w:eastAsiaTheme="minorEastAsia" w:cstheme="minorEastAsia"/>
                <w:color w:val="auto"/>
                <w:szCs w:val="21"/>
              </w:rPr>
              <w:t>■ 不要求提供</w:t>
            </w:r>
          </w:p>
        </w:tc>
      </w:tr>
      <w:tr w14:paraId="0C86A0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3"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4BE40708">
            <w:pPr>
              <w:adjustRightInd w:val="0"/>
              <w:snapToGrid w:val="0"/>
              <w:jc w:val="center"/>
              <w:rPr>
                <w:rFonts w:ascii="宋体" w:hAnsi="宋体"/>
                <w:color w:val="auto"/>
                <w:szCs w:val="21"/>
              </w:rPr>
            </w:pPr>
            <w:r>
              <w:rPr>
                <w:rFonts w:hint="eastAsia" w:ascii="宋体" w:hAnsi="宋体"/>
                <w:color w:val="auto"/>
                <w:szCs w:val="21"/>
              </w:rPr>
              <w:t>第二章第19.1款</w:t>
            </w:r>
          </w:p>
        </w:tc>
        <w:tc>
          <w:tcPr>
            <w:tcW w:w="2130" w:type="dxa"/>
            <w:tcBorders>
              <w:top w:val="single" w:color="auto" w:sz="6" w:space="0"/>
              <w:left w:val="single" w:color="auto" w:sz="6" w:space="0"/>
              <w:bottom w:val="single" w:color="auto" w:sz="6" w:space="0"/>
              <w:right w:val="single" w:color="auto" w:sz="6" w:space="0"/>
            </w:tcBorders>
            <w:vAlign w:val="center"/>
          </w:tcPr>
          <w:p w14:paraId="7EF369D6">
            <w:pPr>
              <w:adjustRightInd w:val="0"/>
              <w:snapToGrid w:val="0"/>
              <w:jc w:val="center"/>
              <w:rPr>
                <w:rFonts w:ascii="宋体" w:hAnsi="宋体"/>
                <w:bCs/>
                <w:color w:val="auto"/>
                <w:szCs w:val="21"/>
              </w:rPr>
            </w:pPr>
            <w:r>
              <w:rPr>
                <w:rFonts w:hint="eastAsia" w:ascii="宋体" w:hAnsi="宋体"/>
                <w:bCs/>
                <w:color w:val="auto"/>
                <w:szCs w:val="21"/>
              </w:rPr>
              <w:t>响应文件有效期</w:t>
            </w:r>
          </w:p>
        </w:tc>
        <w:tc>
          <w:tcPr>
            <w:tcW w:w="5466" w:type="dxa"/>
            <w:tcBorders>
              <w:top w:val="single" w:color="auto" w:sz="6" w:space="0"/>
              <w:left w:val="single" w:color="auto" w:sz="6" w:space="0"/>
              <w:bottom w:val="single" w:color="auto" w:sz="6" w:space="0"/>
              <w:right w:val="double" w:color="auto" w:sz="4" w:space="0"/>
            </w:tcBorders>
            <w:vAlign w:val="center"/>
          </w:tcPr>
          <w:p w14:paraId="1D5C7D40">
            <w:pPr>
              <w:adjustRightInd w:val="0"/>
              <w:snapToGrid w:val="0"/>
              <w:rPr>
                <w:rFonts w:ascii="宋体" w:hAnsi="宋体"/>
                <w:bCs/>
                <w:color w:val="auto"/>
                <w:szCs w:val="21"/>
              </w:rPr>
            </w:pPr>
            <w:r>
              <w:rPr>
                <w:rFonts w:hint="eastAsia" w:ascii="宋体" w:hAnsi="宋体"/>
                <w:color w:val="auto"/>
                <w:szCs w:val="21"/>
                <w:u w:val="single"/>
              </w:rPr>
              <w:t xml:space="preserve">  60  </w:t>
            </w:r>
            <w:r>
              <w:rPr>
                <w:rFonts w:hint="eastAsia" w:ascii="宋体" w:hAnsi="宋体"/>
                <w:color w:val="auto"/>
                <w:szCs w:val="21"/>
              </w:rPr>
              <w:t>日（日历日）</w:t>
            </w:r>
          </w:p>
        </w:tc>
      </w:tr>
      <w:tr w14:paraId="4DB7F0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4"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271C3AAC">
            <w:pPr>
              <w:adjustRightInd w:val="0"/>
              <w:snapToGrid w:val="0"/>
              <w:jc w:val="center"/>
              <w:rPr>
                <w:rFonts w:ascii="宋体" w:hAnsi="宋体"/>
                <w:color w:val="auto"/>
                <w:szCs w:val="21"/>
              </w:rPr>
            </w:pPr>
            <w:r>
              <w:rPr>
                <w:rFonts w:hint="eastAsia" w:ascii="宋体" w:hAnsi="宋体"/>
                <w:color w:val="auto"/>
                <w:szCs w:val="21"/>
              </w:rPr>
              <w:t>第二章第20.1款</w:t>
            </w:r>
          </w:p>
        </w:tc>
        <w:tc>
          <w:tcPr>
            <w:tcW w:w="2130" w:type="dxa"/>
            <w:tcBorders>
              <w:top w:val="single" w:color="auto" w:sz="6" w:space="0"/>
              <w:left w:val="single" w:color="auto" w:sz="6" w:space="0"/>
              <w:bottom w:val="single" w:color="auto" w:sz="6" w:space="0"/>
              <w:right w:val="single" w:color="auto" w:sz="6" w:space="0"/>
            </w:tcBorders>
            <w:vAlign w:val="center"/>
          </w:tcPr>
          <w:p w14:paraId="6597C4B5">
            <w:pPr>
              <w:adjustRightInd w:val="0"/>
              <w:snapToGrid w:val="0"/>
              <w:jc w:val="center"/>
              <w:rPr>
                <w:rFonts w:ascii="宋体" w:hAnsi="宋体"/>
                <w:color w:val="auto"/>
                <w:szCs w:val="21"/>
              </w:rPr>
            </w:pPr>
            <w:r>
              <w:rPr>
                <w:rFonts w:hint="eastAsia" w:ascii="宋体" w:hAnsi="宋体"/>
                <w:bCs/>
                <w:color w:val="auto"/>
                <w:szCs w:val="21"/>
              </w:rPr>
              <w:t>响应</w:t>
            </w:r>
            <w:r>
              <w:rPr>
                <w:rFonts w:hint="eastAsia" w:ascii="宋体" w:hAnsi="宋体"/>
                <w:color w:val="auto"/>
                <w:szCs w:val="21"/>
              </w:rPr>
              <w:t>文件份数</w:t>
            </w:r>
          </w:p>
        </w:tc>
        <w:tc>
          <w:tcPr>
            <w:tcW w:w="5466" w:type="dxa"/>
            <w:tcBorders>
              <w:top w:val="single" w:color="auto" w:sz="6" w:space="0"/>
              <w:left w:val="single" w:color="auto" w:sz="6" w:space="0"/>
              <w:bottom w:val="single" w:color="auto" w:sz="6" w:space="0"/>
              <w:right w:val="double" w:color="auto" w:sz="4" w:space="0"/>
            </w:tcBorders>
            <w:vAlign w:val="center"/>
          </w:tcPr>
          <w:p w14:paraId="3E9679C2">
            <w:pPr>
              <w:adjustRightInd w:val="0"/>
              <w:snapToGrid w:val="0"/>
              <w:rPr>
                <w:rFonts w:ascii="宋体" w:hAnsi="宋体"/>
                <w:color w:val="auto"/>
                <w:szCs w:val="21"/>
              </w:rPr>
            </w:pPr>
            <w:r>
              <w:rPr>
                <w:rFonts w:hint="eastAsia" w:ascii="宋体" w:hAnsi="宋体"/>
                <w:color w:val="auto"/>
                <w:szCs w:val="21"/>
              </w:rPr>
              <w:t>正本一份；副本贰份；电子文件一份（PDF格式U盘存储，与正本一致）。</w:t>
            </w:r>
          </w:p>
        </w:tc>
      </w:tr>
      <w:tr w14:paraId="7A75FE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2" w:hRule="atLeast"/>
          <w:jc w:val="center"/>
        </w:trPr>
        <w:tc>
          <w:tcPr>
            <w:tcW w:w="9348" w:type="dxa"/>
            <w:gridSpan w:val="3"/>
            <w:tcBorders>
              <w:top w:val="single" w:color="auto" w:sz="6" w:space="0"/>
              <w:left w:val="double" w:color="auto" w:sz="4" w:space="0"/>
              <w:bottom w:val="single" w:color="auto" w:sz="6" w:space="0"/>
              <w:right w:val="double" w:color="auto" w:sz="4" w:space="0"/>
            </w:tcBorders>
            <w:vAlign w:val="center"/>
          </w:tcPr>
          <w:p w14:paraId="4CCF831D">
            <w:pPr>
              <w:adjustRightInd w:val="0"/>
              <w:snapToGrid w:val="0"/>
              <w:rPr>
                <w:rFonts w:ascii="宋体" w:hAnsi="宋体"/>
                <w:b/>
                <w:bCs/>
                <w:color w:val="auto"/>
                <w:szCs w:val="21"/>
              </w:rPr>
            </w:pPr>
            <w:r>
              <w:rPr>
                <w:rFonts w:hint="eastAsia" w:ascii="宋体" w:hAnsi="宋体"/>
                <w:b/>
                <w:color w:val="auto"/>
                <w:szCs w:val="21"/>
              </w:rPr>
              <w:t>五、响应文件的递交</w:t>
            </w:r>
          </w:p>
        </w:tc>
      </w:tr>
      <w:tr w14:paraId="203088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94"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017307CA">
            <w:pPr>
              <w:adjustRightInd w:val="0"/>
              <w:snapToGrid w:val="0"/>
              <w:jc w:val="center"/>
              <w:rPr>
                <w:rFonts w:ascii="宋体" w:hAnsi="宋体"/>
                <w:color w:val="auto"/>
                <w:szCs w:val="21"/>
              </w:rPr>
            </w:pPr>
            <w:r>
              <w:rPr>
                <w:rFonts w:hint="eastAsia" w:ascii="宋体" w:hAnsi="宋体"/>
                <w:color w:val="auto"/>
                <w:szCs w:val="21"/>
              </w:rPr>
              <w:t>第二章第21.3款</w:t>
            </w:r>
          </w:p>
        </w:tc>
        <w:tc>
          <w:tcPr>
            <w:tcW w:w="2130" w:type="dxa"/>
            <w:tcBorders>
              <w:top w:val="single" w:color="auto" w:sz="6" w:space="0"/>
              <w:left w:val="single" w:color="auto" w:sz="6" w:space="0"/>
              <w:bottom w:val="single" w:color="auto" w:sz="6" w:space="0"/>
              <w:right w:val="single" w:color="auto" w:sz="6" w:space="0"/>
            </w:tcBorders>
            <w:vAlign w:val="center"/>
          </w:tcPr>
          <w:p w14:paraId="708692F3">
            <w:pPr>
              <w:adjustRightInd w:val="0"/>
              <w:snapToGrid w:val="0"/>
              <w:rPr>
                <w:rFonts w:ascii="宋体" w:hAnsi="宋体"/>
                <w:color w:val="auto"/>
                <w:szCs w:val="21"/>
              </w:rPr>
            </w:pPr>
            <w:r>
              <w:rPr>
                <w:rFonts w:hint="eastAsia" w:ascii="宋体" w:hAnsi="宋体"/>
                <w:color w:val="auto"/>
                <w:szCs w:val="21"/>
              </w:rPr>
              <w:t>封套上应载明的信息</w:t>
            </w:r>
          </w:p>
        </w:tc>
        <w:tc>
          <w:tcPr>
            <w:tcW w:w="5466" w:type="dxa"/>
            <w:tcBorders>
              <w:top w:val="single" w:color="auto" w:sz="6" w:space="0"/>
              <w:left w:val="single" w:color="auto" w:sz="6" w:space="0"/>
              <w:bottom w:val="single" w:color="auto" w:sz="6" w:space="0"/>
              <w:right w:val="double" w:color="auto" w:sz="4" w:space="0"/>
            </w:tcBorders>
            <w:vAlign w:val="center"/>
          </w:tcPr>
          <w:p w14:paraId="15021FC0">
            <w:pPr>
              <w:adjustRightInd w:val="0"/>
              <w:snapToGrid w:val="0"/>
              <w:rPr>
                <w:rFonts w:ascii="宋体" w:hAnsi="宋体" w:cs="黑体"/>
                <w:color w:val="auto"/>
                <w:szCs w:val="21"/>
              </w:rPr>
            </w:pPr>
            <w:r>
              <w:rPr>
                <w:rFonts w:hint="eastAsia" w:ascii="宋体" w:hAnsi="宋体"/>
                <w:color w:val="auto"/>
                <w:szCs w:val="21"/>
                <w:u w:val="single"/>
                <w:lang w:eastAsia="zh-CN"/>
              </w:rPr>
              <w:t>湖南文理学院东校区监控技防系统升级改造项目</w:t>
            </w:r>
            <w:r>
              <w:rPr>
                <w:rFonts w:hint="eastAsia" w:ascii="宋体" w:hAnsi="宋体"/>
                <w:color w:val="auto"/>
                <w:szCs w:val="21"/>
              </w:rPr>
              <w:t>响应文件</w:t>
            </w:r>
          </w:p>
          <w:p w14:paraId="38CD3FEA">
            <w:pPr>
              <w:adjustRightInd w:val="0"/>
              <w:snapToGrid w:val="0"/>
              <w:rPr>
                <w:rFonts w:ascii="宋体" w:hAnsi="宋体"/>
                <w:color w:val="auto"/>
                <w:szCs w:val="21"/>
                <w:u w:val="single"/>
              </w:rPr>
            </w:pPr>
            <w:r>
              <w:rPr>
                <w:rFonts w:hint="eastAsia" w:ascii="宋体" w:hAnsi="宋体"/>
                <w:color w:val="auto"/>
                <w:szCs w:val="21"/>
                <w:lang w:eastAsia="zh-CN"/>
              </w:rPr>
              <w:t>政府采购编号</w:t>
            </w:r>
            <w:r>
              <w:rPr>
                <w:rFonts w:hint="eastAsia" w:ascii="宋体" w:hAnsi="宋体"/>
                <w:color w:val="auto"/>
                <w:szCs w:val="21"/>
              </w:rPr>
              <w:t xml:space="preserve">: </w:t>
            </w:r>
            <w:r>
              <w:rPr>
                <w:rFonts w:hint="eastAsia" w:ascii="宋体" w:hAnsi="宋体"/>
                <w:color w:val="auto"/>
                <w:szCs w:val="21"/>
                <w:u w:val="single"/>
              </w:rPr>
              <w:t xml:space="preserve">                     </w:t>
            </w:r>
          </w:p>
          <w:p w14:paraId="75EB7A88">
            <w:pPr>
              <w:adjustRightInd w:val="0"/>
              <w:snapToGrid w:val="0"/>
              <w:rPr>
                <w:rFonts w:ascii="宋体" w:hAnsi="宋体"/>
                <w:color w:val="auto"/>
                <w:szCs w:val="21"/>
                <w:u w:val="single"/>
              </w:rPr>
            </w:pPr>
            <w:r>
              <w:rPr>
                <w:rFonts w:hint="eastAsia" w:ascii="宋体" w:hAnsi="宋体"/>
                <w:color w:val="auto"/>
                <w:szCs w:val="21"/>
              </w:rPr>
              <w:t xml:space="preserve">委托代理编号: </w:t>
            </w:r>
            <w:r>
              <w:rPr>
                <w:rFonts w:hint="eastAsia" w:ascii="宋体" w:hAnsi="宋体"/>
                <w:color w:val="auto"/>
                <w:szCs w:val="21"/>
                <w:u w:val="single"/>
              </w:rPr>
              <w:t xml:space="preserve">                     </w:t>
            </w:r>
          </w:p>
          <w:p w14:paraId="6C84A98B">
            <w:pPr>
              <w:adjustRightInd w:val="0"/>
              <w:snapToGrid w:val="0"/>
              <w:rPr>
                <w:rFonts w:ascii="宋体" w:hAnsi="宋体"/>
                <w:color w:val="auto"/>
                <w:szCs w:val="21"/>
              </w:rPr>
            </w:pPr>
            <w:r>
              <w:rPr>
                <w:rFonts w:hint="eastAsia" w:ascii="宋体" w:hAnsi="宋体"/>
                <w:color w:val="auto"/>
                <w:szCs w:val="21"/>
              </w:rPr>
              <w:t>在   年   月  日    时   分之前不得启封</w:t>
            </w:r>
          </w:p>
          <w:p w14:paraId="2FF3CD8E">
            <w:pPr>
              <w:adjustRightInd w:val="0"/>
              <w:snapToGrid w:val="0"/>
              <w:rPr>
                <w:rFonts w:ascii="宋体" w:hAnsi="宋体"/>
                <w:color w:val="auto"/>
                <w:szCs w:val="21"/>
              </w:rPr>
            </w:pPr>
            <w:r>
              <w:rPr>
                <w:rFonts w:hint="eastAsia" w:ascii="宋体" w:hAnsi="宋体"/>
                <w:color w:val="auto"/>
                <w:szCs w:val="21"/>
              </w:rPr>
              <w:t>供应商名称：</w:t>
            </w:r>
            <w:r>
              <w:rPr>
                <w:rFonts w:hint="eastAsia" w:ascii="宋体" w:hAnsi="宋体"/>
                <w:color w:val="auto"/>
                <w:szCs w:val="21"/>
                <w:u w:val="single"/>
              </w:rPr>
              <w:t xml:space="preserve">             </w:t>
            </w:r>
          </w:p>
        </w:tc>
      </w:tr>
      <w:tr w14:paraId="685384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4"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7571C898">
            <w:pPr>
              <w:adjustRightInd w:val="0"/>
              <w:snapToGrid w:val="0"/>
              <w:jc w:val="center"/>
              <w:rPr>
                <w:rFonts w:ascii="宋体" w:hAnsi="宋体"/>
                <w:color w:val="auto"/>
                <w:szCs w:val="21"/>
              </w:rPr>
            </w:pPr>
            <w:r>
              <w:rPr>
                <w:rFonts w:hint="eastAsia" w:ascii="宋体" w:hAnsi="宋体"/>
                <w:color w:val="auto"/>
                <w:szCs w:val="21"/>
              </w:rPr>
              <w:t>第二章第23.1款</w:t>
            </w:r>
          </w:p>
        </w:tc>
        <w:tc>
          <w:tcPr>
            <w:tcW w:w="2130" w:type="dxa"/>
            <w:tcBorders>
              <w:top w:val="single" w:color="auto" w:sz="6" w:space="0"/>
              <w:left w:val="single" w:color="auto" w:sz="6" w:space="0"/>
              <w:bottom w:val="single" w:color="auto" w:sz="6" w:space="0"/>
              <w:right w:val="single" w:color="auto" w:sz="6" w:space="0"/>
            </w:tcBorders>
            <w:vAlign w:val="center"/>
          </w:tcPr>
          <w:p w14:paraId="6334B1C3">
            <w:pPr>
              <w:adjustRightInd w:val="0"/>
              <w:snapToGrid w:val="0"/>
              <w:rPr>
                <w:rFonts w:ascii="宋体" w:hAnsi="宋体"/>
                <w:color w:val="auto"/>
                <w:szCs w:val="21"/>
              </w:rPr>
            </w:pPr>
            <w:r>
              <w:rPr>
                <w:rFonts w:hint="eastAsia" w:ascii="宋体" w:hAnsi="宋体"/>
                <w:color w:val="auto"/>
                <w:szCs w:val="21"/>
              </w:rPr>
              <w:t>响应文件的递交地点</w:t>
            </w:r>
          </w:p>
        </w:tc>
        <w:tc>
          <w:tcPr>
            <w:tcW w:w="5466" w:type="dxa"/>
            <w:tcBorders>
              <w:top w:val="single" w:color="auto" w:sz="6" w:space="0"/>
              <w:left w:val="single" w:color="auto" w:sz="6" w:space="0"/>
              <w:bottom w:val="single" w:color="auto" w:sz="6" w:space="0"/>
              <w:right w:val="double" w:color="auto" w:sz="4" w:space="0"/>
            </w:tcBorders>
            <w:vAlign w:val="center"/>
          </w:tcPr>
          <w:p w14:paraId="25FAEE58">
            <w:pPr>
              <w:adjustRightInd w:val="0"/>
              <w:snapToGrid w:val="0"/>
              <w:rPr>
                <w:rFonts w:ascii="宋体" w:hAnsi="宋体"/>
                <w:bCs/>
                <w:color w:val="auto"/>
                <w:szCs w:val="21"/>
              </w:rPr>
            </w:pPr>
            <w:r>
              <w:rPr>
                <w:rFonts w:hint="eastAsia" w:ascii="宋体" w:hAnsi="宋体"/>
                <w:bCs/>
                <w:color w:val="auto"/>
                <w:szCs w:val="21"/>
              </w:rPr>
              <w:t>常德众益项目管理咨询有限公司开标室（常德市武陵区上川四季酒店6楼）</w:t>
            </w:r>
          </w:p>
        </w:tc>
      </w:tr>
      <w:tr w14:paraId="3D45E1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2" w:hRule="atLeast"/>
          <w:jc w:val="center"/>
        </w:trPr>
        <w:tc>
          <w:tcPr>
            <w:tcW w:w="9348" w:type="dxa"/>
            <w:gridSpan w:val="3"/>
            <w:tcBorders>
              <w:top w:val="single" w:color="auto" w:sz="6" w:space="0"/>
              <w:left w:val="double" w:color="auto" w:sz="4" w:space="0"/>
              <w:bottom w:val="single" w:color="auto" w:sz="6" w:space="0"/>
              <w:right w:val="double" w:color="auto" w:sz="4" w:space="0"/>
            </w:tcBorders>
            <w:vAlign w:val="center"/>
          </w:tcPr>
          <w:p w14:paraId="5FBC8384">
            <w:pPr>
              <w:adjustRightInd w:val="0"/>
              <w:snapToGrid w:val="0"/>
              <w:rPr>
                <w:rFonts w:ascii="宋体" w:hAnsi="宋体"/>
                <w:color w:val="auto"/>
                <w:szCs w:val="21"/>
              </w:rPr>
            </w:pPr>
            <w:r>
              <w:rPr>
                <w:rFonts w:hint="eastAsia" w:ascii="宋体" w:hAnsi="宋体"/>
                <w:b/>
                <w:color w:val="auto"/>
                <w:szCs w:val="21"/>
              </w:rPr>
              <w:t>六、成交结果信息公布与供应商质疑</w:t>
            </w:r>
          </w:p>
        </w:tc>
      </w:tr>
      <w:tr w14:paraId="08E132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4"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18932954">
            <w:pPr>
              <w:adjustRightInd w:val="0"/>
              <w:snapToGrid w:val="0"/>
              <w:jc w:val="center"/>
              <w:rPr>
                <w:rFonts w:ascii="宋体" w:hAnsi="宋体"/>
                <w:color w:val="auto"/>
                <w:szCs w:val="21"/>
              </w:rPr>
            </w:pPr>
            <w:r>
              <w:rPr>
                <w:rFonts w:hint="eastAsia" w:ascii="宋体" w:hAnsi="宋体"/>
                <w:color w:val="auto"/>
                <w:szCs w:val="21"/>
              </w:rPr>
              <w:t>第二章第37.1款</w:t>
            </w:r>
          </w:p>
        </w:tc>
        <w:tc>
          <w:tcPr>
            <w:tcW w:w="2130" w:type="dxa"/>
            <w:tcBorders>
              <w:top w:val="single" w:color="auto" w:sz="6" w:space="0"/>
              <w:left w:val="single" w:color="auto" w:sz="6" w:space="0"/>
              <w:bottom w:val="single" w:color="auto" w:sz="6" w:space="0"/>
              <w:right w:val="single" w:color="auto" w:sz="6" w:space="0"/>
            </w:tcBorders>
            <w:vAlign w:val="center"/>
          </w:tcPr>
          <w:p w14:paraId="693C58F1">
            <w:pPr>
              <w:adjustRightInd w:val="0"/>
              <w:snapToGrid w:val="0"/>
              <w:rPr>
                <w:rFonts w:ascii="宋体" w:hAnsi="宋体"/>
                <w:color w:val="auto"/>
                <w:szCs w:val="21"/>
              </w:rPr>
            </w:pPr>
            <w:r>
              <w:rPr>
                <w:rFonts w:hint="eastAsia" w:ascii="宋体" w:hAnsi="宋体"/>
                <w:color w:val="auto"/>
                <w:szCs w:val="21"/>
              </w:rPr>
              <w:t>指定公告媒体</w:t>
            </w:r>
          </w:p>
        </w:tc>
        <w:tc>
          <w:tcPr>
            <w:tcW w:w="5466" w:type="dxa"/>
            <w:tcBorders>
              <w:top w:val="single" w:color="auto" w:sz="6" w:space="0"/>
              <w:left w:val="single" w:color="auto" w:sz="6" w:space="0"/>
              <w:bottom w:val="single" w:color="auto" w:sz="6" w:space="0"/>
              <w:right w:val="double" w:color="auto" w:sz="4" w:space="0"/>
            </w:tcBorders>
            <w:vAlign w:val="center"/>
          </w:tcPr>
          <w:p w14:paraId="07F02108">
            <w:pPr>
              <w:adjustRightInd w:val="0"/>
              <w:snapToGrid w:val="0"/>
              <w:jc w:val="left"/>
              <w:rPr>
                <w:rFonts w:ascii="宋体" w:hAnsi="宋体" w:cs="黑体"/>
                <w:color w:val="auto"/>
                <w:szCs w:val="21"/>
                <w:u w:val="single"/>
              </w:rPr>
            </w:pPr>
            <w:r>
              <w:rPr>
                <w:rFonts w:hint="eastAsia" w:ascii="宋体" w:hAnsi="宋体" w:cs="黑体"/>
                <w:color w:val="auto"/>
                <w:szCs w:val="21"/>
              </w:rPr>
              <w:t>中国湖南政府采购网(www.ccgp-hunan.gov.cn)</w:t>
            </w:r>
          </w:p>
        </w:tc>
      </w:tr>
      <w:tr w14:paraId="6CCC75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47"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64AB7F04">
            <w:pPr>
              <w:adjustRightInd w:val="0"/>
              <w:snapToGrid w:val="0"/>
              <w:jc w:val="center"/>
              <w:rPr>
                <w:rFonts w:ascii="宋体" w:hAnsi="宋体"/>
                <w:color w:val="auto"/>
                <w:szCs w:val="21"/>
              </w:rPr>
            </w:pPr>
            <w:r>
              <w:rPr>
                <w:rFonts w:hint="eastAsia" w:ascii="宋体" w:hAnsi="宋体"/>
                <w:color w:val="auto"/>
                <w:szCs w:val="21"/>
              </w:rPr>
              <w:t>第二章第39.3款</w:t>
            </w:r>
          </w:p>
        </w:tc>
        <w:tc>
          <w:tcPr>
            <w:tcW w:w="2130" w:type="dxa"/>
            <w:tcBorders>
              <w:top w:val="single" w:color="auto" w:sz="6" w:space="0"/>
              <w:left w:val="single" w:color="auto" w:sz="6" w:space="0"/>
              <w:bottom w:val="single" w:color="auto" w:sz="6" w:space="0"/>
              <w:right w:val="single" w:color="auto" w:sz="6" w:space="0"/>
            </w:tcBorders>
            <w:vAlign w:val="center"/>
          </w:tcPr>
          <w:p w14:paraId="70F96026">
            <w:pPr>
              <w:adjustRightInd w:val="0"/>
              <w:snapToGrid w:val="0"/>
              <w:rPr>
                <w:rFonts w:ascii="宋体" w:hAnsi="宋体"/>
                <w:color w:val="auto"/>
                <w:szCs w:val="21"/>
              </w:rPr>
            </w:pPr>
            <w:r>
              <w:rPr>
                <w:rFonts w:hint="eastAsia" w:ascii="宋体" w:hAnsi="宋体"/>
                <w:color w:val="auto"/>
                <w:szCs w:val="21"/>
              </w:rPr>
              <w:t>履约担保</w:t>
            </w:r>
          </w:p>
        </w:tc>
        <w:tc>
          <w:tcPr>
            <w:tcW w:w="5466" w:type="dxa"/>
            <w:tcBorders>
              <w:top w:val="single" w:color="auto" w:sz="6" w:space="0"/>
              <w:left w:val="single" w:color="auto" w:sz="6" w:space="0"/>
              <w:bottom w:val="single" w:color="auto" w:sz="6" w:space="0"/>
              <w:right w:val="double" w:color="auto" w:sz="4" w:space="0"/>
            </w:tcBorders>
            <w:vAlign w:val="center"/>
          </w:tcPr>
          <w:p w14:paraId="2BEA44DE">
            <w:pPr>
              <w:adjustRightInd w:val="0"/>
              <w:snapToGrid w:val="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☑不要求提供</w:t>
            </w:r>
          </w:p>
          <w:p w14:paraId="7D73F0C2">
            <w:pPr>
              <w:adjustRightInd w:val="0"/>
              <w:snapToGrid w:val="0"/>
              <w:rPr>
                <w:rFonts w:ascii="宋体" w:hAnsi="宋体"/>
                <w:color w:val="auto"/>
                <w:szCs w:val="21"/>
              </w:rPr>
            </w:pPr>
            <w:r>
              <w:rPr>
                <w:rFonts w:hint="eastAsia" w:asciiTheme="minorEastAsia" w:hAnsiTheme="minorEastAsia" w:eastAsiaTheme="minorEastAsia" w:cstheme="minorEastAsia"/>
                <w:color w:val="auto"/>
                <w:szCs w:val="21"/>
              </w:rPr>
              <w:t>□ 要求提供，履约担保的金额为：</w:t>
            </w:r>
          </w:p>
        </w:tc>
      </w:tr>
      <w:tr w14:paraId="084D66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2" w:hRule="atLeast"/>
          <w:jc w:val="center"/>
        </w:trPr>
        <w:tc>
          <w:tcPr>
            <w:tcW w:w="9348" w:type="dxa"/>
            <w:gridSpan w:val="3"/>
            <w:tcBorders>
              <w:top w:val="single" w:color="auto" w:sz="6" w:space="0"/>
              <w:left w:val="double" w:color="auto" w:sz="4" w:space="0"/>
              <w:bottom w:val="single" w:color="auto" w:sz="6" w:space="0"/>
              <w:right w:val="double" w:color="auto" w:sz="4" w:space="0"/>
            </w:tcBorders>
            <w:vAlign w:val="center"/>
          </w:tcPr>
          <w:p w14:paraId="2A015CDD">
            <w:pPr>
              <w:adjustRightInd w:val="0"/>
              <w:snapToGrid w:val="0"/>
              <w:rPr>
                <w:rFonts w:ascii="宋体" w:hAnsi="宋体"/>
                <w:b/>
                <w:color w:val="auto"/>
                <w:szCs w:val="21"/>
              </w:rPr>
            </w:pPr>
            <w:r>
              <w:rPr>
                <w:rFonts w:hint="eastAsia" w:ascii="宋体" w:hAnsi="宋体"/>
                <w:b/>
                <w:color w:val="auto"/>
                <w:szCs w:val="21"/>
              </w:rPr>
              <w:t>七、其他规定</w:t>
            </w:r>
          </w:p>
        </w:tc>
      </w:tr>
      <w:tr w14:paraId="0AA57A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21"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693DB1F5">
            <w:pPr>
              <w:adjustRightInd w:val="0"/>
              <w:snapToGrid w:val="0"/>
              <w:jc w:val="center"/>
              <w:rPr>
                <w:rFonts w:ascii="宋体" w:hAnsi="宋体"/>
                <w:color w:val="auto"/>
                <w:szCs w:val="21"/>
              </w:rPr>
            </w:pPr>
            <w:r>
              <w:rPr>
                <w:rFonts w:hint="eastAsia" w:ascii="宋体" w:hAnsi="宋体"/>
                <w:color w:val="auto"/>
                <w:szCs w:val="21"/>
              </w:rPr>
              <w:t>第二章第41.1款</w:t>
            </w:r>
          </w:p>
        </w:tc>
        <w:tc>
          <w:tcPr>
            <w:tcW w:w="2130" w:type="dxa"/>
            <w:tcBorders>
              <w:top w:val="single" w:color="auto" w:sz="6" w:space="0"/>
              <w:left w:val="single" w:color="auto" w:sz="6" w:space="0"/>
              <w:bottom w:val="single" w:color="auto" w:sz="6" w:space="0"/>
              <w:right w:val="single" w:color="auto" w:sz="6" w:space="0"/>
            </w:tcBorders>
            <w:vAlign w:val="center"/>
          </w:tcPr>
          <w:p w14:paraId="52158B63">
            <w:pPr>
              <w:adjustRightInd w:val="0"/>
              <w:snapToGrid w:val="0"/>
              <w:jc w:val="center"/>
              <w:rPr>
                <w:rFonts w:ascii="宋体" w:hAnsi="宋体" w:cs="宋体"/>
                <w:color w:val="auto"/>
                <w:szCs w:val="21"/>
              </w:rPr>
            </w:pPr>
            <w:r>
              <w:rPr>
                <w:rFonts w:hint="eastAsia" w:ascii="宋体" w:hAnsi="宋体" w:cs="宋体"/>
                <w:color w:val="auto"/>
                <w:szCs w:val="21"/>
              </w:rPr>
              <w:t>采购代理服务费</w:t>
            </w:r>
          </w:p>
        </w:tc>
        <w:tc>
          <w:tcPr>
            <w:tcW w:w="5466" w:type="dxa"/>
            <w:tcBorders>
              <w:top w:val="single" w:color="auto" w:sz="6" w:space="0"/>
              <w:left w:val="single" w:color="auto" w:sz="6" w:space="0"/>
              <w:bottom w:val="single" w:color="auto" w:sz="6" w:space="0"/>
              <w:right w:val="double" w:color="auto" w:sz="4" w:space="0"/>
            </w:tcBorders>
            <w:vAlign w:val="center"/>
          </w:tcPr>
          <w:p w14:paraId="376051DB">
            <w:pPr>
              <w:adjustRightInd w:val="0"/>
              <w:snapToGrid w:val="0"/>
              <w:rPr>
                <w:rFonts w:ascii="宋体" w:hAnsi="宋体" w:cs="宋体"/>
                <w:color w:val="auto"/>
                <w:szCs w:val="21"/>
              </w:rPr>
            </w:pPr>
            <w:r>
              <w:rPr>
                <w:rFonts w:hint="eastAsia" w:ascii="宋体" w:hAnsi="宋体" w:cs="宋体"/>
                <w:color w:val="auto"/>
                <w:szCs w:val="21"/>
              </w:rPr>
              <w:t>根据采购代理机构与采购人的协议，本项目采购代理服务费由采购人支付，采购代理服务费收费标准（以项目的中标额为基础，按照《湖南省招标采购行业规范收取代理服务费倡议书》取费标准×66.67%进行收取），自中标（成交）公告之日起10个工作日内按程序向代理机构支付。</w:t>
            </w:r>
          </w:p>
        </w:tc>
      </w:tr>
      <w:tr w14:paraId="55F9C8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5"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7A56ACF6">
            <w:pPr>
              <w:adjustRightInd w:val="0"/>
              <w:snapToGrid w:val="0"/>
              <w:jc w:val="center"/>
              <w:rPr>
                <w:rFonts w:ascii="宋体" w:hAnsi="宋体"/>
                <w:color w:val="auto"/>
                <w:szCs w:val="21"/>
              </w:rPr>
            </w:pPr>
            <w:r>
              <w:rPr>
                <w:rFonts w:hint="eastAsia" w:ascii="宋体" w:hAnsi="宋体"/>
                <w:color w:val="auto"/>
                <w:szCs w:val="21"/>
              </w:rPr>
              <w:t>第二章第42.1款</w:t>
            </w:r>
          </w:p>
        </w:tc>
        <w:tc>
          <w:tcPr>
            <w:tcW w:w="2130" w:type="dxa"/>
            <w:tcBorders>
              <w:top w:val="single" w:color="auto" w:sz="6" w:space="0"/>
              <w:left w:val="single" w:color="auto" w:sz="6" w:space="0"/>
              <w:bottom w:val="single" w:color="auto" w:sz="6" w:space="0"/>
              <w:right w:val="single" w:color="auto" w:sz="6" w:space="0"/>
            </w:tcBorders>
            <w:vAlign w:val="center"/>
          </w:tcPr>
          <w:p w14:paraId="4116E1D3">
            <w:pPr>
              <w:adjustRightInd w:val="0"/>
              <w:snapToGrid w:val="0"/>
              <w:jc w:val="center"/>
              <w:rPr>
                <w:rFonts w:ascii="宋体" w:hAnsi="宋体" w:cs="宋体"/>
                <w:color w:val="auto"/>
                <w:szCs w:val="21"/>
              </w:rPr>
            </w:pPr>
            <w:r>
              <w:rPr>
                <w:rFonts w:hint="eastAsia" w:ascii="宋体" w:hAnsi="宋体" w:cs="宋体"/>
                <w:color w:val="auto"/>
                <w:szCs w:val="21"/>
              </w:rPr>
              <w:t>样品提供的规定</w:t>
            </w:r>
          </w:p>
        </w:tc>
        <w:tc>
          <w:tcPr>
            <w:tcW w:w="5466" w:type="dxa"/>
            <w:tcBorders>
              <w:top w:val="single" w:color="auto" w:sz="6" w:space="0"/>
              <w:left w:val="single" w:color="auto" w:sz="6" w:space="0"/>
              <w:bottom w:val="single" w:color="auto" w:sz="6" w:space="0"/>
              <w:right w:val="double" w:color="auto" w:sz="4" w:space="0"/>
            </w:tcBorders>
            <w:vAlign w:val="center"/>
          </w:tcPr>
          <w:p w14:paraId="30685001">
            <w:pPr>
              <w:adjustRightInd w:val="0"/>
              <w:snapToGrid w:val="0"/>
              <w:rPr>
                <w:rFonts w:ascii="宋体" w:hAnsi="宋体" w:cs="宋体"/>
                <w:color w:val="auto"/>
                <w:szCs w:val="21"/>
              </w:rPr>
            </w:pPr>
            <w:r>
              <w:rPr>
                <w:rFonts w:hint="eastAsia" w:ascii="宋体" w:hAnsi="宋体" w:cs="宋体"/>
                <w:color w:val="auto"/>
              </w:rPr>
              <w:t>■ 不要求提供</w:t>
            </w:r>
          </w:p>
        </w:tc>
      </w:tr>
      <w:tr w14:paraId="72C17D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93"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7B3E094B">
            <w:pPr>
              <w:adjustRightInd w:val="0"/>
              <w:snapToGrid w:val="0"/>
              <w:jc w:val="center"/>
              <w:rPr>
                <w:rFonts w:ascii="宋体" w:hAnsi="宋体"/>
                <w:color w:val="auto"/>
                <w:szCs w:val="21"/>
              </w:rPr>
            </w:pPr>
            <w:r>
              <w:rPr>
                <w:rFonts w:hint="eastAsia" w:ascii="宋体" w:hAnsi="宋体"/>
                <w:color w:val="auto"/>
                <w:szCs w:val="21"/>
              </w:rPr>
              <w:t>第二章第42.2款</w:t>
            </w:r>
          </w:p>
        </w:tc>
        <w:tc>
          <w:tcPr>
            <w:tcW w:w="2130" w:type="dxa"/>
            <w:tcBorders>
              <w:top w:val="single" w:color="auto" w:sz="6" w:space="0"/>
              <w:left w:val="single" w:color="auto" w:sz="6" w:space="0"/>
              <w:bottom w:val="single" w:color="auto" w:sz="6" w:space="0"/>
              <w:right w:val="single" w:color="auto" w:sz="6" w:space="0"/>
            </w:tcBorders>
            <w:vAlign w:val="center"/>
          </w:tcPr>
          <w:p w14:paraId="7DB09CCE">
            <w:pPr>
              <w:jc w:val="center"/>
              <w:rPr>
                <w:rFonts w:ascii="宋体" w:hAnsi="宋体" w:cs="宋体"/>
                <w:color w:val="auto"/>
              </w:rPr>
            </w:pPr>
            <w:r>
              <w:rPr>
                <w:rFonts w:hint="eastAsia" w:ascii="宋体" w:hAnsi="宋体" w:cs="宋体"/>
                <w:color w:val="auto"/>
              </w:rPr>
              <w:t>供应商</w:t>
            </w:r>
          </w:p>
          <w:p w14:paraId="2527BA90">
            <w:pPr>
              <w:jc w:val="center"/>
              <w:rPr>
                <w:rFonts w:ascii="宋体" w:hAnsi="宋体" w:cs="宋体"/>
                <w:color w:val="auto"/>
                <w:szCs w:val="21"/>
              </w:rPr>
            </w:pPr>
            <w:r>
              <w:rPr>
                <w:rFonts w:hint="eastAsia" w:ascii="宋体" w:hAnsi="宋体" w:cs="宋体"/>
                <w:color w:val="auto"/>
              </w:rPr>
              <w:t>信用信息查询</w:t>
            </w:r>
          </w:p>
        </w:tc>
        <w:tc>
          <w:tcPr>
            <w:tcW w:w="5466" w:type="dxa"/>
            <w:tcBorders>
              <w:top w:val="single" w:color="auto" w:sz="6" w:space="0"/>
              <w:left w:val="single" w:color="auto" w:sz="6" w:space="0"/>
              <w:bottom w:val="single" w:color="auto" w:sz="6" w:space="0"/>
              <w:right w:val="double" w:color="auto" w:sz="4" w:space="0"/>
            </w:tcBorders>
            <w:vAlign w:val="center"/>
          </w:tcPr>
          <w:p w14:paraId="07F63CB2">
            <w:pPr>
              <w:rPr>
                <w:rFonts w:ascii="宋体" w:hAnsi="宋体" w:cs="宋体"/>
                <w:color w:val="auto"/>
              </w:rPr>
            </w:pPr>
            <w:r>
              <w:rPr>
                <w:rFonts w:hint="eastAsia" w:ascii="宋体" w:hAnsi="宋体" w:cs="宋体"/>
                <w:color w:val="auto"/>
                <w:szCs w:val="21"/>
                <w:shd w:val="clear" w:color="auto" w:fill="FFFFFF"/>
              </w:rPr>
              <w:t>1、按照《财政部关于在政府采购活动中查询及使用信用记录有关问题的通知》（财库〔2016〕125号）的要求。</w:t>
            </w:r>
            <w:r>
              <w:rPr>
                <w:rFonts w:hint="eastAsia" w:ascii="宋体" w:hAnsi="宋体" w:cs="宋体"/>
                <w:color w:val="auto"/>
              </w:rPr>
              <w:t>采购人、采购代理机构通过信用中国网站（www.creditchina.gov.cn）和中国政府采购网（www.ccgp.gov.cn）查询相关主体信用记录，并采取网页打印方式做好信用信息查询记录和证据留存，信用信息查询记录及相关证据应当与其他磋商文件一并保存。采购人或者采购代理机构应当对供应商信用记录进行甄别，对列入失信被执行人、重大税收违法案件当事人名单、严重违法失信行为记录名单及其他不符合相关法律法规规定条件的供应商，应当拒绝其参与投标活动。</w:t>
            </w:r>
          </w:p>
          <w:p w14:paraId="483F3629">
            <w:pPr>
              <w:rPr>
                <w:rFonts w:ascii="宋体" w:hAnsi="宋体" w:cs="宋体"/>
                <w:color w:val="auto"/>
              </w:rPr>
            </w:pPr>
            <w:r>
              <w:rPr>
                <w:rFonts w:hint="eastAsia" w:ascii="宋体" w:hAnsi="宋体" w:cs="宋体"/>
                <w:color w:val="auto"/>
              </w:rPr>
              <w:t>2、信用信息查询截止时间：投标截止时间。</w:t>
            </w:r>
          </w:p>
          <w:p w14:paraId="2DA243C6">
            <w:pPr>
              <w:adjustRightInd w:val="0"/>
              <w:snapToGrid w:val="0"/>
              <w:spacing w:before="156" w:beforeLines="50"/>
              <w:rPr>
                <w:rFonts w:ascii="宋体" w:hAnsi="宋体" w:cs="宋体"/>
                <w:color w:val="auto"/>
              </w:rPr>
            </w:pPr>
            <w:r>
              <w:rPr>
                <w:rFonts w:hint="eastAsia" w:ascii="宋体" w:hAnsi="宋体" w:cs="宋体"/>
                <w:color w:val="auto"/>
              </w:rPr>
              <w:t>3、供应商需按要求提供信用中国网站（www.creditchina.gov.cn）未被列入失信被执行人和重大税收违法案件当事人名单查询清单和中国政府采购网（www.ccgp.gov.cn）未被列入有效期的政府采购严重违法失信行为记录查询清单。</w:t>
            </w:r>
          </w:p>
        </w:tc>
      </w:tr>
      <w:tr w14:paraId="7783A9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49" w:hRule="atLeast"/>
          <w:jc w:val="center"/>
        </w:trPr>
        <w:tc>
          <w:tcPr>
            <w:tcW w:w="1752" w:type="dxa"/>
            <w:tcBorders>
              <w:top w:val="single" w:color="auto" w:sz="6" w:space="0"/>
              <w:left w:val="double" w:color="auto" w:sz="4" w:space="0"/>
              <w:right w:val="single" w:color="auto" w:sz="6" w:space="0"/>
            </w:tcBorders>
            <w:vAlign w:val="center"/>
          </w:tcPr>
          <w:p w14:paraId="51FCBD75">
            <w:pPr>
              <w:adjustRightInd w:val="0"/>
              <w:snapToGrid w:val="0"/>
              <w:jc w:val="center"/>
              <w:rPr>
                <w:rFonts w:ascii="宋体" w:hAnsi="宋体"/>
                <w:color w:val="auto"/>
                <w:szCs w:val="21"/>
              </w:rPr>
            </w:pPr>
            <w:r>
              <w:rPr>
                <w:rFonts w:hint="eastAsia" w:ascii="宋体" w:hAnsi="宋体"/>
                <w:color w:val="auto"/>
                <w:szCs w:val="21"/>
              </w:rPr>
              <w:t>第二章第42.2款</w:t>
            </w:r>
          </w:p>
        </w:tc>
        <w:tc>
          <w:tcPr>
            <w:tcW w:w="2130" w:type="dxa"/>
            <w:tcBorders>
              <w:top w:val="single" w:color="auto" w:sz="6" w:space="0"/>
              <w:left w:val="single" w:color="auto" w:sz="6" w:space="0"/>
              <w:right w:val="single" w:color="auto" w:sz="6" w:space="0"/>
            </w:tcBorders>
            <w:vAlign w:val="center"/>
          </w:tcPr>
          <w:p w14:paraId="4CA3E968">
            <w:pPr>
              <w:jc w:val="center"/>
              <w:rPr>
                <w:rFonts w:ascii="宋体" w:hAnsi="宋体"/>
                <w:color w:val="auto"/>
                <w:szCs w:val="21"/>
              </w:rPr>
            </w:pPr>
            <w:r>
              <w:rPr>
                <w:rFonts w:hint="eastAsia" w:ascii="宋体" w:hAnsi="宋体"/>
                <w:color w:val="auto"/>
                <w:szCs w:val="21"/>
              </w:rPr>
              <w:t>其他要求</w:t>
            </w:r>
          </w:p>
        </w:tc>
        <w:tc>
          <w:tcPr>
            <w:tcW w:w="5466" w:type="dxa"/>
            <w:tcBorders>
              <w:top w:val="single" w:color="auto" w:sz="6" w:space="0"/>
              <w:left w:val="single" w:color="auto" w:sz="6" w:space="0"/>
              <w:bottom w:val="double" w:color="auto" w:sz="4" w:space="0"/>
              <w:right w:val="double" w:color="auto" w:sz="4" w:space="0"/>
            </w:tcBorders>
            <w:vAlign w:val="center"/>
          </w:tcPr>
          <w:p w14:paraId="56AEF600">
            <w:pPr>
              <w:adjustRightInd w:val="0"/>
              <w:snapToGrid w:val="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一、供应商投标代表递交响应文件的，须持下列资料：</w:t>
            </w:r>
          </w:p>
          <w:p w14:paraId="3FAF2766">
            <w:pPr>
              <w:adjustRightInd w:val="0"/>
              <w:snapToGrid w:val="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（1）法定代表人(或负责人)递交的，持法定代表人(或负责人)身份证明及本人身份证原件；</w:t>
            </w:r>
          </w:p>
          <w:p w14:paraId="5FF1A21A">
            <w:pPr>
              <w:adjustRightInd w:val="0"/>
              <w:snapToGrid w:val="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（2）委托代理人递交的，持附法定代表人(或负责人)身份证明的授权委托书原件和本人身份证原件。</w:t>
            </w:r>
          </w:p>
          <w:p w14:paraId="17A98A28">
            <w:pPr>
              <w:adjustRightInd w:val="0"/>
              <w:snapToGrid w:val="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以上资料仅做身份验证使用，供应商因没有按要求提供而给自身带来的损失由供应商自己负责。</w:t>
            </w:r>
          </w:p>
          <w:p w14:paraId="4AA357FC">
            <w:pPr>
              <w:adjustRightInd w:val="0"/>
              <w:snapToGrid w:val="0"/>
              <w:spacing w:before="156" w:beforeLines="50"/>
              <w:rPr>
                <w:rFonts w:ascii="宋体" w:hAnsi="宋体" w:eastAsiaTheme="minorEastAsia"/>
                <w:color w:val="auto"/>
                <w:szCs w:val="21"/>
              </w:rPr>
            </w:pPr>
            <w:r>
              <w:rPr>
                <w:rFonts w:hint="eastAsia" w:asciiTheme="minorEastAsia" w:hAnsiTheme="minorEastAsia" w:eastAsiaTheme="minorEastAsia" w:cstheme="minorEastAsia"/>
                <w:color w:val="auto"/>
                <w:szCs w:val="21"/>
              </w:rPr>
              <w:t>二、磋商文件中所涉及要求提供的原件，应与响应文件同时递交，供应商因没有按要求提供而给自身带来的损失由供应商自己负责。</w:t>
            </w:r>
          </w:p>
        </w:tc>
      </w:tr>
    </w:tbl>
    <w:p w14:paraId="6FFC9DA4">
      <w:pPr>
        <w:jc w:val="center"/>
        <w:outlineLvl w:val="1"/>
        <w:rPr>
          <w:rFonts w:ascii="宋体" w:hAnsi="宋体"/>
          <w:b/>
          <w:color w:val="auto"/>
          <w:sz w:val="32"/>
          <w:szCs w:val="32"/>
        </w:rPr>
      </w:pPr>
      <w:r>
        <w:rPr>
          <w:rFonts w:hint="eastAsia" w:ascii="宋体" w:hAnsi="宋体"/>
          <w:b/>
          <w:color w:val="auto"/>
          <w:sz w:val="32"/>
          <w:szCs w:val="32"/>
        </w:rPr>
        <w:br w:type="page"/>
      </w:r>
      <w:bookmarkStart w:id="3" w:name="_Toc13851"/>
      <w:r>
        <w:rPr>
          <w:rFonts w:hint="eastAsia" w:ascii="宋体" w:hAnsi="宋体"/>
          <w:b/>
          <w:color w:val="auto"/>
          <w:sz w:val="32"/>
          <w:szCs w:val="32"/>
        </w:rPr>
        <w:t>磋商须知正文</w:t>
      </w:r>
      <w:bookmarkEnd w:id="3"/>
    </w:p>
    <w:p w14:paraId="496FD2E7">
      <w:pPr>
        <w:adjustRightInd w:val="0"/>
        <w:snapToGrid w:val="0"/>
        <w:spacing w:line="360" w:lineRule="auto"/>
        <w:rPr>
          <w:rFonts w:ascii="宋体" w:hAnsi="宋体"/>
          <w:b/>
          <w:color w:val="auto"/>
          <w:sz w:val="24"/>
        </w:rPr>
      </w:pPr>
      <w:r>
        <w:rPr>
          <w:rFonts w:hint="eastAsia" w:ascii="宋体" w:hAnsi="宋体"/>
          <w:b/>
          <w:color w:val="auto"/>
          <w:sz w:val="24"/>
        </w:rPr>
        <w:t>一、说明</w:t>
      </w:r>
    </w:p>
    <w:p w14:paraId="17DF769B">
      <w:pPr>
        <w:adjustRightInd w:val="0"/>
        <w:snapToGrid w:val="0"/>
        <w:spacing w:line="360" w:lineRule="auto"/>
        <w:rPr>
          <w:rFonts w:ascii="宋体" w:hAnsi="宋体"/>
          <w:b/>
          <w:bCs/>
          <w:color w:val="auto"/>
          <w:szCs w:val="21"/>
        </w:rPr>
      </w:pPr>
      <w:r>
        <w:rPr>
          <w:rFonts w:hint="eastAsia" w:ascii="宋体" w:hAnsi="宋体"/>
          <w:b/>
          <w:bCs/>
          <w:color w:val="auto"/>
          <w:szCs w:val="21"/>
        </w:rPr>
        <w:t>1.适用范围</w:t>
      </w:r>
    </w:p>
    <w:p w14:paraId="3ADA668B">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1.1 本磋商文件仅适用于磋商须知前附表(以下简称</w:t>
      </w:r>
      <w:r>
        <w:rPr>
          <w:rFonts w:hint="eastAsia" w:ascii="宋体" w:hAnsi="宋体"/>
          <w:b/>
          <w:color w:val="auto"/>
          <w:szCs w:val="21"/>
        </w:rPr>
        <w:t>磋商须知前附表)</w:t>
      </w:r>
      <w:r>
        <w:rPr>
          <w:rFonts w:hint="eastAsia" w:ascii="宋体" w:hAnsi="宋体"/>
          <w:color w:val="auto"/>
          <w:szCs w:val="21"/>
        </w:rPr>
        <w:t>中所叙述的采购项目。</w:t>
      </w:r>
    </w:p>
    <w:p w14:paraId="700D8AAA">
      <w:pPr>
        <w:adjustRightInd w:val="0"/>
        <w:snapToGrid w:val="0"/>
        <w:spacing w:line="360" w:lineRule="auto"/>
        <w:rPr>
          <w:rFonts w:ascii="宋体" w:hAnsi="宋体"/>
          <w:b/>
          <w:bCs/>
          <w:color w:val="auto"/>
          <w:szCs w:val="21"/>
        </w:rPr>
      </w:pPr>
      <w:r>
        <w:rPr>
          <w:rFonts w:hint="eastAsia" w:ascii="宋体" w:hAnsi="宋体"/>
          <w:b/>
          <w:bCs/>
          <w:color w:val="auto"/>
          <w:szCs w:val="21"/>
        </w:rPr>
        <w:t>2.定义</w:t>
      </w:r>
    </w:p>
    <w:p w14:paraId="4D2B62E8">
      <w:pPr>
        <w:adjustRightInd w:val="0"/>
        <w:snapToGrid w:val="0"/>
        <w:spacing w:line="360" w:lineRule="auto"/>
        <w:ind w:firstLine="420" w:firstLineChars="200"/>
        <w:rPr>
          <w:rFonts w:ascii="宋体" w:hAnsi="宋体"/>
          <w:b/>
          <w:color w:val="auto"/>
          <w:szCs w:val="21"/>
        </w:rPr>
      </w:pPr>
      <w:r>
        <w:rPr>
          <w:rFonts w:hint="eastAsia" w:ascii="宋体" w:hAnsi="宋体"/>
          <w:color w:val="auto"/>
          <w:szCs w:val="21"/>
        </w:rPr>
        <w:t>2.1 “采购人”是指依法进行政府采购的国家机关、事业单位、团体组织。本次政府采购的采购人名称、地址、电话、联系人见</w:t>
      </w:r>
      <w:r>
        <w:rPr>
          <w:rFonts w:hint="eastAsia" w:ascii="宋体" w:hAnsi="宋体"/>
          <w:b/>
          <w:color w:val="auto"/>
          <w:szCs w:val="21"/>
        </w:rPr>
        <w:t>磋商须知前附表</w:t>
      </w:r>
      <w:r>
        <w:rPr>
          <w:rFonts w:hint="eastAsia" w:ascii="宋体" w:hAnsi="宋体"/>
          <w:color w:val="auto"/>
          <w:szCs w:val="21"/>
        </w:rPr>
        <w:t>。</w:t>
      </w:r>
    </w:p>
    <w:p w14:paraId="7274B9B5">
      <w:pPr>
        <w:adjustRightInd w:val="0"/>
        <w:snapToGrid w:val="0"/>
        <w:spacing w:line="360" w:lineRule="auto"/>
        <w:ind w:firstLine="420" w:firstLineChars="200"/>
        <w:rPr>
          <w:rFonts w:ascii="宋体" w:hAnsi="宋体"/>
          <w:b/>
          <w:color w:val="auto"/>
          <w:szCs w:val="21"/>
        </w:rPr>
      </w:pPr>
      <w:r>
        <w:rPr>
          <w:rFonts w:hint="eastAsia" w:ascii="宋体" w:hAnsi="宋体"/>
          <w:color w:val="auto"/>
          <w:szCs w:val="21"/>
        </w:rPr>
        <w:t>2.2 “采购代理机构”是指接受采购人委托，代理采购项目的集中采购机构和其他采购代理机构。本次政府采购的采购代理机构名称、地址、电话、联系人见</w:t>
      </w:r>
      <w:r>
        <w:rPr>
          <w:rFonts w:hint="eastAsia" w:ascii="宋体" w:hAnsi="宋体"/>
          <w:b/>
          <w:color w:val="auto"/>
          <w:szCs w:val="21"/>
        </w:rPr>
        <w:t>磋商须知前附表。</w:t>
      </w:r>
    </w:p>
    <w:p w14:paraId="7A2836FC">
      <w:pPr>
        <w:adjustRightInd w:val="0"/>
        <w:snapToGrid w:val="0"/>
        <w:spacing w:line="360" w:lineRule="auto"/>
        <w:ind w:firstLine="420" w:firstLineChars="200"/>
        <w:rPr>
          <w:rFonts w:ascii="宋体" w:hAnsi="宋体" w:cs="宋体"/>
          <w:bCs/>
          <w:color w:val="auto"/>
          <w:kern w:val="36"/>
          <w:szCs w:val="21"/>
        </w:rPr>
      </w:pPr>
      <w:r>
        <w:rPr>
          <w:rFonts w:hint="eastAsia" w:ascii="宋体" w:hAnsi="宋体"/>
          <w:color w:val="auto"/>
          <w:szCs w:val="21"/>
        </w:rPr>
        <w:t>2.3 “供应商”是指响应磋商文件要求、参加竞争性磋商采购的法人、其他组织或者自然人。</w:t>
      </w:r>
    </w:p>
    <w:p w14:paraId="390CD583">
      <w:pPr>
        <w:adjustRightInd w:val="0"/>
        <w:snapToGrid w:val="0"/>
        <w:spacing w:line="360" w:lineRule="auto"/>
        <w:ind w:firstLine="420" w:firstLineChars="200"/>
        <w:rPr>
          <w:rFonts w:ascii="宋体" w:hAnsi="宋体" w:cs="宋体"/>
          <w:color w:val="auto"/>
          <w:kern w:val="0"/>
          <w:szCs w:val="21"/>
        </w:rPr>
      </w:pPr>
      <w:r>
        <w:rPr>
          <w:rFonts w:hint="eastAsia" w:ascii="宋体" w:hAnsi="宋体"/>
          <w:color w:val="auto"/>
          <w:szCs w:val="21"/>
        </w:rPr>
        <w:t>2.4 “磋商小组”是指</w:t>
      </w:r>
      <w:r>
        <w:rPr>
          <w:rFonts w:hint="eastAsia" w:ascii="宋体" w:hAnsi="宋体" w:cs="宋体"/>
          <w:color w:val="auto"/>
          <w:kern w:val="0"/>
          <w:szCs w:val="21"/>
        </w:rPr>
        <w:t>依据《中华人民共和国政府采购法》和财政部</w:t>
      </w:r>
      <w:r>
        <w:rPr>
          <w:rFonts w:hint="eastAsia" w:ascii="宋体" w:hAnsi="宋体" w:cs="宋体"/>
          <w:bCs/>
          <w:color w:val="auto"/>
          <w:kern w:val="36"/>
          <w:szCs w:val="21"/>
        </w:rPr>
        <w:t>《政府采购非招标采购方式管理办法》有关规定组建，依法依规</w:t>
      </w:r>
      <w:r>
        <w:rPr>
          <w:rFonts w:hint="eastAsia" w:ascii="宋体" w:hAnsi="宋体" w:cs="宋体"/>
          <w:color w:val="auto"/>
          <w:kern w:val="0"/>
          <w:szCs w:val="21"/>
        </w:rPr>
        <w:t>履行其职责和义务的机构。</w:t>
      </w:r>
    </w:p>
    <w:p w14:paraId="2E011F56">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2.5 “货物”是指各种形态和种类的物品，包括原材料、燃料、设备、产品等，详见《政府采购品目分类目录》(</w:t>
      </w:r>
      <w:r>
        <w:rPr>
          <w:rStyle w:val="54"/>
          <w:rFonts w:hint="eastAsia" w:ascii="宋体" w:hAnsi="宋体"/>
          <w:b w:val="0"/>
          <w:color w:val="auto"/>
        </w:rPr>
        <w:t>财库[2013]189号</w:t>
      </w:r>
      <w:r>
        <w:rPr>
          <w:rFonts w:hint="eastAsia" w:ascii="宋体" w:hAnsi="宋体"/>
          <w:color w:val="auto"/>
          <w:szCs w:val="21"/>
        </w:rPr>
        <w:t>)。</w:t>
      </w:r>
    </w:p>
    <w:p w14:paraId="6F819AD2">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2.6 “工程”是指建设工程，包括建筑物和构筑物的新建、改建、扩建、装修、拆除、修缮等，详见《政府采购品目分类目录》(</w:t>
      </w:r>
      <w:r>
        <w:rPr>
          <w:rStyle w:val="54"/>
          <w:rFonts w:hint="eastAsia" w:ascii="宋体" w:hAnsi="宋体"/>
          <w:b w:val="0"/>
          <w:color w:val="auto"/>
        </w:rPr>
        <w:t>财库[2013]189号</w:t>
      </w:r>
      <w:r>
        <w:rPr>
          <w:rFonts w:hint="eastAsia" w:ascii="宋体" w:hAnsi="宋体"/>
          <w:color w:val="auto"/>
          <w:szCs w:val="21"/>
        </w:rPr>
        <w:t>)。</w:t>
      </w:r>
    </w:p>
    <w:p w14:paraId="60E97F26">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2.7 “服务”是指除货物和工程以外的其他政府采购对象，详见《政府采购品目分类目录》(</w:t>
      </w:r>
      <w:r>
        <w:rPr>
          <w:rStyle w:val="54"/>
          <w:rFonts w:hint="eastAsia" w:ascii="宋体" w:hAnsi="宋体"/>
          <w:b w:val="0"/>
          <w:color w:val="auto"/>
        </w:rPr>
        <w:t>财库[2013]189号</w:t>
      </w:r>
      <w:r>
        <w:rPr>
          <w:rFonts w:hint="eastAsia" w:ascii="宋体" w:hAnsi="宋体"/>
          <w:color w:val="auto"/>
          <w:szCs w:val="21"/>
        </w:rPr>
        <w:t>)。</w:t>
      </w:r>
    </w:p>
    <w:p w14:paraId="5056460C">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2.8 “节能产品”或者“环保产品”是指财政部发布的《节能产品政府采购品目清单》或者《环境标志产品政府采购品目清单》的产品。</w:t>
      </w:r>
    </w:p>
    <w:p w14:paraId="6C843E4D">
      <w:pPr>
        <w:adjustRightInd w:val="0"/>
        <w:snapToGrid w:val="0"/>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2.9 “进口产品”是指通过中国海关报关验放进入中国境内且产自关境外的产品，详见《关于政府采购进口产品管理有关问题的通知》(财库[2007]119号)。</w:t>
      </w:r>
    </w:p>
    <w:p w14:paraId="63439F67">
      <w:pPr>
        <w:adjustRightInd w:val="0"/>
        <w:snapToGrid w:val="0"/>
        <w:spacing w:line="360" w:lineRule="auto"/>
        <w:rPr>
          <w:rFonts w:ascii="宋体" w:hAnsi="宋体"/>
          <w:b/>
          <w:bCs/>
          <w:color w:val="auto"/>
          <w:szCs w:val="21"/>
        </w:rPr>
      </w:pPr>
      <w:r>
        <w:rPr>
          <w:rFonts w:hint="eastAsia" w:ascii="宋体" w:hAnsi="宋体"/>
          <w:b/>
          <w:bCs/>
          <w:color w:val="auto"/>
          <w:szCs w:val="21"/>
        </w:rPr>
        <w:t>3.供应商的资格要求</w:t>
      </w:r>
    </w:p>
    <w:p w14:paraId="7785477E">
      <w:pPr>
        <w:tabs>
          <w:tab w:val="left" w:pos="726"/>
        </w:tabs>
        <w:adjustRightInd w:val="0"/>
        <w:snapToGrid w:val="0"/>
        <w:spacing w:line="360" w:lineRule="auto"/>
        <w:ind w:firstLine="413" w:firstLineChars="196"/>
        <w:rPr>
          <w:rFonts w:ascii="宋体" w:hAnsi="宋体"/>
          <w:b/>
          <w:color w:val="auto"/>
          <w:szCs w:val="21"/>
        </w:rPr>
      </w:pPr>
      <w:r>
        <w:rPr>
          <w:rFonts w:hint="eastAsia" w:ascii="宋体" w:hAnsi="宋体"/>
          <w:b/>
          <w:color w:val="auto"/>
          <w:szCs w:val="21"/>
        </w:rPr>
        <w:t xml:space="preserve">3.1供应商基本资质要求： </w:t>
      </w:r>
    </w:p>
    <w:p w14:paraId="68512033">
      <w:pPr>
        <w:adjustRightInd w:val="0"/>
        <w:snapToGrid w:val="0"/>
        <w:spacing w:line="360" w:lineRule="auto"/>
        <w:ind w:firstLine="450"/>
        <w:rPr>
          <w:rFonts w:ascii="宋体" w:hAnsi="宋体"/>
          <w:color w:val="auto"/>
          <w:szCs w:val="21"/>
        </w:rPr>
      </w:pPr>
      <w:r>
        <w:rPr>
          <w:rFonts w:hint="eastAsia" w:ascii="宋体" w:hAnsi="宋体"/>
          <w:color w:val="auto"/>
          <w:szCs w:val="21"/>
        </w:rPr>
        <w:t>3.1.1具有独立承担民事责任的能力；</w:t>
      </w:r>
    </w:p>
    <w:p w14:paraId="45502390">
      <w:pPr>
        <w:adjustRightInd w:val="0"/>
        <w:snapToGrid w:val="0"/>
        <w:spacing w:line="360" w:lineRule="auto"/>
        <w:ind w:firstLine="450"/>
        <w:rPr>
          <w:rFonts w:ascii="宋体" w:hAnsi="宋体"/>
          <w:color w:val="auto"/>
          <w:szCs w:val="21"/>
        </w:rPr>
      </w:pPr>
      <w:r>
        <w:rPr>
          <w:rFonts w:hint="eastAsia" w:ascii="宋体" w:hAnsi="宋体"/>
          <w:color w:val="auto"/>
          <w:szCs w:val="21"/>
        </w:rPr>
        <w:t>3.1.2具有良好的商业信誉和健全的财务会计制度；</w:t>
      </w:r>
    </w:p>
    <w:p w14:paraId="3AA3968B">
      <w:pPr>
        <w:adjustRightInd w:val="0"/>
        <w:snapToGrid w:val="0"/>
        <w:spacing w:line="360" w:lineRule="auto"/>
        <w:ind w:firstLine="450"/>
        <w:rPr>
          <w:rFonts w:ascii="宋体" w:hAnsi="宋体"/>
          <w:color w:val="auto"/>
          <w:szCs w:val="21"/>
        </w:rPr>
      </w:pPr>
      <w:r>
        <w:rPr>
          <w:rFonts w:hint="eastAsia" w:ascii="宋体" w:hAnsi="宋体"/>
          <w:color w:val="auto"/>
          <w:szCs w:val="21"/>
        </w:rPr>
        <w:t>3.1.3具有履行合同所必需的设备和专业技术能力；</w:t>
      </w:r>
    </w:p>
    <w:p w14:paraId="434172E5">
      <w:pPr>
        <w:adjustRightInd w:val="0"/>
        <w:snapToGrid w:val="0"/>
        <w:spacing w:line="360" w:lineRule="auto"/>
        <w:ind w:firstLine="450"/>
        <w:rPr>
          <w:rFonts w:ascii="宋体" w:hAnsi="宋体"/>
          <w:color w:val="auto"/>
          <w:szCs w:val="21"/>
        </w:rPr>
      </w:pPr>
      <w:r>
        <w:rPr>
          <w:rFonts w:hint="eastAsia" w:ascii="宋体" w:hAnsi="宋体"/>
          <w:color w:val="auto"/>
          <w:szCs w:val="21"/>
        </w:rPr>
        <w:t>3.1.4有依法缴纳税收和社会保障资金的良好记录；</w:t>
      </w:r>
    </w:p>
    <w:p w14:paraId="00ED7F93">
      <w:pPr>
        <w:adjustRightInd w:val="0"/>
        <w:snapToGrid w:val="0"/>
        <w:spacing w:line="360" w:lineRule="auto"/>
        <w:ind w:firstLine="450"/>
        <w:rPr>
          <w:rFonts w:ascii="宋体" w:hAnsi="宋体"/>
          <w:color w:val="auto"/>
          <w:szCs w:val="21"/>
        </w:rPr>
      </w:pPr>
      <w:r>
        <w:rPr>
          <w:rFonts w:hint="eastAsia" w:ascii="宋体" w:hAnsi="宋体"/>
          <w:color w:val="auto"/>
          <w:szCs w:val="21"/>
        </w:rPr>
        <w:t>3.1.5参加政府采购活动前三年内，在经营活动中没有重大违法记录；</w:t>
      </w:r>
    </w:p>
    <w:p w14:paraId="5D15D58E">
      <w:pPr>
        <w:adjustRightInd w:val="0"/>
        <w:snapToGrid w:val="0"/>
        <w:spacing w:line="360" w:lineRule="auto"/>
        <w:ind w:firstLine="450"/>
        <w:rPr>
          <w:rFonts w:ascii="宋体" w:hAnsi="宋体"/>
          <w:color w:val="auto"/>
          <w:szCs w:val="21"/>
        </w:rPr>
      </w:pPr>
      <w:r>
        <w:rPr>
          <w:rFonts w:hint="eastAsia" w:ascii="宋体" w:hAnsi="宋体"/>
          <w:color w:val="auto"/>
          <w:szCs w:val="21"/>
        </w:rPr>
        <w:t>3.1.6法律、行政法规规定的其他条件。</w:t>
      </w:r>
    </w:p>
    <w:p w14:paraId="5EBBCF7A">
      <w:pPr>
        <w:adjustRightInd w:val="0"/>
        <w:snapToGrid w:val="0"/>
        <w:spacing w:line="360" w:lineRule="auto"/>
        <w:ind w:firstLine="450"/>
        <w:rPr>
          <w:b/>
          <w:color w:val="auto"/>
          <w:szCs w:val="21"/>
        </w:rPr>
      </w:pPr>
      <w:r>
        <w:rPr>
          <w:rFonts w:hint="eastAsia" w:ascii="宋体" w:hAnsi="宋体"/>
          <w:b/>
          <w:color w:val="auto"/>
          <w:szCs w:val="21"/>
        </w:rPr>
        <w:t>3.2供应商特定资格要求：见磋商须知前附表</w:t>
      </w:r>
      <w:r>
        <w:rPr>
          <w:rFonts w:hint="eastAsia"/>
          <w:b/>
          <w:color w:val="auto"/>
          <w:szCs w:val="21"/>
        </w:rPr>
        <w:t>。</w:t>
      </w:r>
    </w:p>
    <w:p w14:paraId="796C422D">
      <w:pPr>
        <w:adjustRightInd w:val="0"/>
        <w:snapToGrid w:val="0"/>
        <w:spacing w:line="360" w:lineRule="auto"/>
        <w:ind w:firstLine="450"/>
        <w:rPr>
          <w:rFonts w:ascii="宋体" w:hAnsi="宋体"/>
          <w:b/>
          <w:color w:val="auto"/>
          <w:szCs w:val="21"/>
        </w:rPr>
      </w:pPr>
      <w:r>
        <w:rPr>
          <w:rFonts w:hint="eastAsia" w:ascii="宋体" w:hAnsi="宋体"/>
          <w:b/>
          <w:color w:val="auto"/>
          <w:szCs w:val="21"/>
        </w:rPr>
        <w:t>3.3落实政府采购政策需满足的资格要求：见磋商须知前附表。</w:t>
      </w:r>
    </w:p>
    <w:p w14:paraId="3FA0B2FD">
      <w:pPr>
        <w:adjustRightInd w:val="0"/>
        <w:snapToGrid w:val="0"/>
        <w:spacing w:line="360" w:lineRule="auto"/>
        <w:ind w:firstLine="450"/>
        <w:rPr>
          <w:rFonts w:ascii="宋体" w:hAnsi="宋体"/>
          <w:b/>
          <w:bCs/>
          <w:color w:val="auto"/>
          <w:szCs w:val="21"/>
        </w:rPr>
      </w:pPr>
      <w:r>
        <w:rPr>
          <w:rFonts w:hint="eastAsia" w:ascii="宋体" w:hAnsi="宋体"/>
          <w:b/>
          <w:bCs/>
          <w:color w:val="auto"/>
          <w:szCs w:val="21"/>
        </w:rPr>
        <w:t xml:space="preserve">4.参与竞争性磋商采购活动的费用 </w:t>
      </w:r>
    </w:p>
    <w:p w14:paraId="6C74A2A2">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4.1 无论</w:t>
      </w:r>
      <w:r>
        <w:rPr>
          <w:rFonts w:hint="eastAsia" w:ascii="宋体" w:hAnsi="宋体"/>
          <w:bCs/>
          <w:color w:val="auto"/>
          <w:szCs w:val="21"/>
        </w:rPr>
        <w:t>竞争性磋商采购活动</w:t>
      </w:r>
      <w:r>
        <w:rPr>
          <w:rFonts w:hint="eastAsia" w:ascii="宋体" w:hAnsi="宋体"/>
          <w:color w:val="auto"/>
          <w:szCs w:val="21"/>
        </w:rPr>
        <w:t>的结果如何，供应商应自行承担所有与本次竞争性磋商采购活动有关的全部费用。</w:t>
      </w:r>
    </w:p>
    <w:p w14:paraId="384E83B5">
      <w:pPr>
        <w:pStyle w:val="28"/>
        <w:adjustRightInd w:val="0"/>
        <w:snapToGrid w:val="0"/>
        <w:spacing w:line="360" w:lineRule="auto"/>
        <w:rPr>
          <w:rFonts w:hAnsi="宋体"/>
          <w:b/>
          <w:bCs/>
          <w:color w:val="auto"/>
        </w:rPr>
      </w:pPr>
      <w:r>
        <w:rPr>
          <w:rFonts w:hint="eastAsia" w:hAnsi="宋体"/>
          <w:b/>
          <w:color w:val="auto"/>
        </w:rPr>
        <w:t>5．</w:t>
      </w:r>
      <w:r>
        <w:rPr>
          <w:rFonts w:hint="eastAsia" w:hAnsi="宋体"/>
          <w:b/>
          <w:bCs/>
          <w:color w:val="auto"/>
        </w:rPr>
        <w:t>授权委托</w:t>
      </w:r>
    </w:p>
    <w:p w14:paraId="1C9392EF">
      <w:pPr>
        <w:pStyle w:val="28"/>
        <w:adjustRightInd w:val="0"/>
        <w:snapToGrid w:val="0"/>
        <w:spacing w:line="360" w:lineRule="auto"/>
        <w:ind w:firstLine="420" w:firstLineChars="200"/>
        <w:rPr>
          <w:rFonts w:hAnsi="宋体"/>
          <w:color w:val="auto"/>
        </w:rPr>
      </w:pPr>
      <w:r>
        <w:rPr>
          <w:rFonts w:hint="eastAsia" w:hAnsi="宋体"/>
          <w:color w:val="auto"/>
        </w:rPr>
        <w:t>5.1供应商代表不是供应商的法定代表人，应持有授权委托书，并附法定代表人身份证明。请供应商的法人代表（或授权代表）凭法人证明（或授权委托书原件）及身份证原件准时参加磋商会议，否则，其投标将被拒绝。</w:t>
      </w:r>
    </w:p>
    <w:p w14:paraId="627ADDA7">
      <w:pPr>
        <w:pStyle w:val="28"/>
        <w:adjustRightInd w:val="0"/>
        <w:snapToGrid w:val="0"/>
        <w:spacing w:line="360" w:lineRule="auto"/>
        <w:ind w:firstLine="420" w:firstLineChars="200"/>
        <w:rPr>
          <w:rFonts w:hAnsi="宋体"/>
          <w:color w:val="auto"/>
        </w:rPr>
      </w:pPr>
      <w:r>
        <w:rPr>
          <w:rFonts w:hint="eastAsia" w:hAnsi="宋体"/>
          <w:color w:val="auto"/>
        </w:rPr>
        <w:t>5.2符合政府采购法第22条规定或磋商文件特别规定的其它组织机构投标的，上述法定代表人可以为该组织主体证件上登记的负责人，响应文件中法定代表人签字处由负责人签字。</w:t>
      </w:r>
    </w:p>
    <w:p w14:paraId="36E1D03D">
      <w:pPr>
        <w:pStyle w:val="28"/>
        <w:adjustRightInd w:val="0"/>
        <w:snapToGrid w:val="0"/>
        <w:spacing w:line="360" w:lineRule="auto"/>
        <w:rPr>
          <w:rFonts w:hAnsi="宋体"/>
          <w:b/>
          <w:color w:val="auto"/>
        </w:rPr>
      </w:pPr>
      <w:r>
        <w:rPr>
          <w:rFonts w:hint="eastAsia" w:hAnsi="宋体"/>
          <w:b/>
          <w:color w:val="auto"/>
        </w:rPr>
        <w:t>6．联合体形式</w:t>
      </w:r>
    </w:p>
    <w:p w14:paraId="5DD9CB6F">
      <w:pPr>
        <w:pStyle w:val="28"/>
        <w:adjustRightInd w:val="0"/>
        <w:snapToGrid w:val="0"/>
        <w:spacing w:line="360" w:lineRule="auto"/>
        <w:ind w:firstLine="420" w:firstLineChars="200"/>
        <w:rPr>
          <w:rFonts w:hAnsi="宋体"/>
          <w:color w:val="auto"/>
        </w:rPr>
      </w:pPr>
      <w:r>
        <w:rPr>
          <w:rFonts w:hint="eastAsia" w:hAnsi="宋体"/>
          <w:color w:val="auto"/>
        </w:rPr>
        <w:t>6.1除</w:t>
      </w:r>
      <w:r>
        <w:rPr>
          <w:rFonts w:hint="eastAsia" w:hAnsi="宋体"/>
          <w:b/>
          <w:color w:val="auto"/>
        </w:rPr>
        <w:t>磋商须知前附表</w:t>
      </w:r>
      <w:r>
        <w:rPr>
          <w:rFonts w:hint="eastAsia" w:hAnsi="宋体"/>
          <w:color w:val="auto"/>
        </w:rPr>
        <w:t>中另有规定，本次磋商采购活动不接受为联合体形式的供应商。</w:t>
      </w:r>
    </w:p>
    <w:p w14:paraId="4765FDBF">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6.2供应商</w:t>
      </w:r>
      <w:r>
        <w:rPr>
          <w:rFonts w:hint="eastAsia" w:ascii="宋体" w:hAnsi="宋体"/>
          <w:color w:val="auto"/>
        </w:rPr>
        <w:t>为联合体形式的</w:t>
      </w:r>
      <w:r>
        <w:rPr>
          <w:rFonts w:hint="eastAsia" w:ascii="宋体" w:hAnsi="宋体"/>
          <w:color w:val="auto"/>
          <w:szCs w:val="21"/>
        </w:rPr>
        <w:t>，除应符合本章第3条规定外，还应遵守以下规定：</w:t>
      </w:r>
    </w:p>
    <w:p w14:paraId="3C6EB7F9">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（l）联合体各方必须签订联合体协议书，明确联合体牵头人和各方的义务、工作、合同工作量比例；</w:t>
      </w:r>
    </w:p>
    <w:p w14:paraId="2F272A18">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（2）联合体各方均应当符合本章第3.1</w:t>
      </w:r>
      <w:r>
        <w:rPr>
          <w:rFonts w:hint="eastAsia" w:ascii="宋体" w:hAnsi="宋体" w:cs="宋体"/>
          <w:color w:val="auto"/>
          <w:kern w:val="0"/>
          <w:szCs w:val="21"/>
          <w:lang w:val="zh-CN"/>
        </w:rPr>
        <w:t>款</w:t>
      </w:r>
      <w:r>
        <w:rPr>
          <w:rFonts w:hint="eastAsia" w:ascii="宋体" w:hAnsi="宋体"/>
          <w:color w:val="auto"/>
          <w:szCs w:val="21"/>
        </w:rPr>
        <w:t>规定的供应商基本资格条件；</w:t>
      </w:r>
    </w:p>
    <w:p w14:paraId="31C23AD1">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（3）</w:t>
      </w:r>
      <w:r>
        <w:rPr>
          <w:rFonts w:hint="eastAsia" w:ascii="宋体" w:hAnsi="宋体"/>
          <w:color w:val="auto"/>
        </w:rPr>
        <w:t>除</w:t>
      </w:r>
      <w:r>
        <w:rPr>
          <w:rFonts w:hint="eastAsia" w:ascii="宋体" w:hAnsi="宋体"/>
          <w:b/>
          <w:color w:val="auto"/>
        </w:rPr>
        <w:t>磋商须知前附表</w:t>
      </w:r>
      <w:r>
        <w:rPr>
          <w:rFonts w:hint="eastAsia" w:ascii="宋体" w:hAnsi="宋体"/>
          <w:color w:val="auto"/>
        </w:rPr>
        <w:t>中另有规定，</w:t>
      </w:r>
      <w:r>
        <w:rPr>
          <w:rFonts w:hint="eastAsia" w:ascii="宋体" w:hAnsi="宋体"/>
          <w:color w:val="auto"/>
          <w:szCs w:val="21"/>
        </w:rPr>
        <w:t>联合体各方中至少有一方应当符合本章第3.1</w:t>
      </w:r>
      <w:r>
        <w:rPr>
          <w:rFonts w:hint="eastAsia" w:ascii="宋体" w:hAnsi="宋体" w:cs="宋体"/>
          <w:color w:val="auto"/>
          <w:kern w:val="0"/>
          <w:szCs w:val="21"/>
          <w:lang w:val="zh-CN"/>
        </w:rPr>
        <w:t>款</w:t>
      </w:r>
      <w:r>
        <w:rPr>
          <w:rFonts w:hint="eastAsia" w:ascii="宋体" w:hAnsi="宋体"/>
          <w:color w:val="auto"/>
          <w:szCs w:val="21"/>
        </w:rPr>
        <w:t>规定的供应商特定资格条件；</w:t>
      </w:r>
    </w:p>
    <w:p w14:paraId="28394EC5">
      <w:pPr>
        <w:adjustRightInd w:val="0"/>
        <w:snapToGrid w:val="0"/>
        <w:spacing w:line="360" w:lineRule="auto"/>
        <w:ind w:firstLine="420" w:firstLineChars="200"/>
        <w:jc w:val="left"/>
        <w:rPr>
          <w:rFonts w:ascii="宋体" w:hAnsi="宋体" w:cs="宋体"/>
          <w:color w:val="auto"/>
          <w:kern w:val="0"/>
          <w:szCs w:val="21"/>
          <w:lang w:val="zh-CN"/>
        </w:rPr>
      </w:pPr>
      <w:r>
        <w:rPr>
          <w:rFonts w:hint="eastAsia" w:ascii="宋体" w:hAnsi="宋体"/>
          <w:color w:val="auto"/>
          <w:szCs w:val="21"/>
        </w:rPr>
        <w:t>（4）</w:t>
      </w:r>
      <w:r>
        <w:rPr>
          <w:rFonts w:hint="eastAsia" w:ascii="宋体" w:hAnsi="宋体" w:cs="宋体"/>
          <w:color w:val="auto"/>
          <w:kern w:val="0"/>
          <w:szCs w:val="21"/>
          <w:lang w:val="zh-CN"/>
        </w:rPr>
        <w:t>联合体各方不得再单独或与其他供应商组成新的联合体参加同一项目的采购活动。</w:t>
      </w:r>
    </w:p>
    <w:p w14:paraId="6A845CF6">
      <w:pPr>
        <w:adjustRightInd w:val="0"/>
        <w:snapToGrid w:val="0"/>
        <w:spacing w:line="360" w:lineRule="auto"/>
        <w:rPr>
          <w:rFonts w:ascii="宋体" w:hAnsi="宋体"/>
          <w:b/>
          <w:color w:val="auto"/>
          <w:szCs w:val="21"/>
        </w:rPr>
      </w:pPr>
      <w:r>
        <w:rPr>
          <w:rFonts w:hint="eastAsia" w:ascii="宋体" w:hAnsi="宋体"/>
          <w:b/>
          <w:color w:val="auto"/>
          <w:szCs w:val="21"/>
        </w:rPr>
        <w:t>7.现场勘察</w:t>
      </w:r>
    </w:p>
    <w:p w14:paraId="4F415F45">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7.1供应商应按</w:t>
      </w:r>
      <w:r>
        <w:rPr>
          <w:rFonts w:hint="eastAsia" w:ascii="宋体" w:hAnsi="宋体"/>
          <w:b/>
          <w:color w:val="auto"/>
        </w:rPr>
        <w:t>磋商须知前附表</w:t>
      </w:r>
      <w:r>
        <w:rPr>
          <w:rFonts w:hint="eastAsia" w:ascii="宋体" w:hAnsi="宋体"/>
          <w:color w:val="auto"/>
        </w:rPr>
        <w:t>中规定</w:t>
      </w:r>
      <w:r>
        <w:rPr>
          <w:rFonts w:hint="eastAsia" w:ascii="宋体" w:hAnsi="宋体"/>
          <w:color w:val="auto"/>
          <w:szCs w:val="21"/>
        </w:rPr>
        <w:t>对采购项目现场和周围环境的现场考察。</w:t>
      </w:r>
    </w:p>
    <w:p w14:paraId="72E9B89C">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7.2勘察现场的费用由供应商自己承担，勘察期间所发生的人身伤害及财产损失由供应商自己负责。</w:t>
      </w:r>
    </w:p>
    <w:p w14:paraId="1EFA142B">
      <w:pPr>
        <w:adjustRightInd w:val="0"/>
        <w:snapToGrid w:val="0"/>
        <w:spacing w:line="360" w:lineRule="auto"/>
        <w:ind w:firstLine="420" w:firstLineChars="200"/>
        <w:jc w:val="left"/>
        <w:rPr>
          <w:rFonts w:ascii="宋体" w:hAnsi="宋体"/>
          <w:b/>
          <w:color w:val="auto"/>
          <w:szCs w:val="21"/>
        </w:rPr>
      </w:pPr>
      <w:r>
        <w:rPr>
          <w:rFonts w:hint="eastAsia" w:ascii="宋体" w:hAnsi="宋体"/>
          <w:color w:val="auto"/>
          <w:szCs w:val="21"/>
        </w:rPr>
        <w:t>7.3采购人不对供应商据此而做出的推论、理解和结论负责。一旦成交，供应商不得以任何借口，提出额外补偿，或延长合同期限的要求。</w:t>
      </w:r>
    </w:p>
    <w:p w14:paraId="26A88FD9">
      <w:pPr>
        <w:adjustRightInd w:val="0"/>
        <w:snapToGrid w:val="0"/>
        <w:spacing w:line="360" w:lineRule="auto"/>
        <w:jc w:val="left"/>
        <w:rPr>
          <w:rFonts w:ascii="宋体" w:hAnsi="宋体"/>
          <w:b/>
          <w:color w:val="auto"/>
          <w:szCs w:val="21"/>
        </w:rPr>
      </w:pPr>
      <w:r>
        <w:rPr>
          <w:rFonts w:hint="eastAsia" w:ascii="宋体" w:hAnsi="宋体"/>
          <w:b/>
          <w:color w:val="auto"/>
          <w:szCs w:val="21"/>
        </w:rPr>
        <w:t>8.采购进口产品</w:t>
      </w:r>
    </w:p>
    <w:p w14:paraId="1B30F0D0">
      <w:pPr>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olor w:val="auto"/>
          <w:szCs w:val="21"/>
        </w:rPr>
        <w:t>8.1除</w:t>
      </w:r>
      <w:r>
        <w:rPr>
          <w:rFonts w:hint="eastAsia" w:ascii="宋体" w:hAnsi="宋体"/>
          <w:b/>
          <w:color w:val="auto"/>
          <w:szCs w:val="21"/>
        </w:rPr>
        <w:t>磋商文件前附表</w:t>
      </w:r>
      <w:r>
        <w:rPr>
          <w:rFonts w:hint="eastAsia" w:ascii="宋体" w:hAnsi="宋体"/>
          <w:color w:val="auto"/>
          <w:szCs w:val="21"/>
        </w:rPr>
        <w:t>另有规定外，本项目</w:t>
      </w:r>
      <w:r>
        <w:rPr>
          <w:rFonts w:hint="eastAsia" w:ascii="宋体" w:hAnsi="宋体" w:cs="宋体"/>
          <w:color w:val="auto"/>
          <w:kern w:val="0"/>
          <w:szCs w:val="21"/>
        </w:rPr>
        <w:t>拒绝进口产品参加</w:t>
      </w:r>
      <w:r>
        <w:rPr>
          <w:rFonts w:hint="eastAsia" w:ascii="宋体" w:hAnsi="宋体"/>
          <w:color w:val="auto"/>
          <w:szCs w:val="21"/>
        </w:rPr>
        <w:t>竞争性磋商采购活动</w:t>
      </w:r>
      <w:r>
        <w:rPr>
          <w:rFonts w:hint="eastAsia" w:ascii="宋体" w:hAnsi="宋体" w:cs="宋体"/>
          <w:color w:val="auto"/>
          <w:kern w:val="0"/>
          <w:szCs w:val="21"/>
        </w:rPr>
        <w:t>。</w:t>
      </w:r>
    </w:p>
    <w:p w14:paraId="74693B95">
      <w:pPr>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8.2</w:t>
      </w:r>
      <w:r>
        <w:rPr>
          <w:rFonts w:hint="eastAsia" w:ascii="宋体" w:hAnsi="宋体"/>
          <w:color w:val="auto"/>
          <w:szCs w:val="21"/>
        </w:rPr>
        <w:t>本章第8.1</w:t>
      </w:r>
      <w:r>
        <w:rPr>
          <w:rFonts w:hint="eastAsia" w:ascii="宋体" w:hAnsi="宋体" w:cs="宋体"/>
          <w:color w:val="auto"/>
          <w:kern w:val="0"/>
          <w:szCs w:val="21"/>
          <w:lang w:val="zh-CN"/>
        </w:rPr>
        <w:t>款</w:t>
      </w:r>
      <w:r>
        <w:rPr>
          <w:rFonts w:hint="eastAsia" w:ascii="宋体" w:hAnsi="宋体"/>
          <w:color w:val="auto"/>
          <w:szCs w:val="21"/>
        </w:rPr>
        <w:t>规定</w:t>
      </w:r>
      <w:r>
        <w:rPr>
          <w:rFonts w:hint="eastAsia" w:ascii="宋体" w:hAnsi="宋体" w:cs="宋体"/>
          <w:color w:val="auto"/>
          <w:kern w:val="0"/>
          <w:szCs w:val="21"/>
        </w:rPr>
        <w:t>同意购买进口产品的，</w:t>
      </w:r>
      <w:r>
        <w:rPr>
          <w:rFonts w:hint="eastAsia" w:ascii="宋体" w:hAnsi="宋体"/>
          <w:color w:val="auto"/>
          <w:szCs w:val="21"/>
        </w:rPr>
        <w:t>本项目</w:t>
      </w:r>
      <w:r>
        <w:rPr>
          <w:rFonts w:hint="eastAsia" w:ascii="宋体" w:hAnsi="宋体" w:cs="宋体"/>
          <w:color w:val="auto"/>
          <w:kern w:val="0"/>
          <w:szCs w:val="21"/>
          <w:lang w:val="zh-CN"/>
        </w:rPr>
        <w:t>采购活动</w:t>
      </w:r>
      <w:r>
        <w:rPr>
          <w:rFonts w:hint="eastAsia" w:ascii="宋体" w:hAnsi="宋体" w:cs="宋体"/>
          <w:color w:val="auto"/>
          <w:kern w:val="0"/>
          <w:szCs w:val="21"/>
        </w:rPr>
        <w:t>不限制满足</w:t>
      </w:r>
      <w:r>
        <w:rPr>
          <w:rFonts w:hint="eastAsia" w:ascii="宋体" w:hAnsi="宋体"/>
          <w:color w:val="auto"/>
          <w:szCs w:val="21"/>
        </w:rPr>
        <w:t>磋商文件要求</w:t>
      </w:r>
      <w:r>
        <w:rPr>
          <w:rFonts w:hint="eastAsia" w:ascii="宋体" w:hAnsi="宋体" w:cs="宋体"/>
          <w:color w:val="auto"/>
          <w:kern w:val="0"/>
          <w:szCs w:val="21"/>
        </w:rPr>
        <w:t>的国内产品参与</w:t>
      </w:r>
      <w:r>
        <w:rPr>
          <w:rFonts w:hint="eastAsia" w:ascii="宋体" w:hAnsi="宋体"/>
          <w:color w:val="auto"/>
          <w:szCs w:val="21"/>
        </w:rPr>
        <w:t>竞争性磋商采购活动</w:t>
      </w:r>
      <w:r>
        <w:rPr>
          <w:rFonts w:hint="eastAsia" w:ascii="宋体" w:hAnsi="宋体" w:cs="宋体"/>
          <w:color w:val="auto"/>
          <w:kern w:val="0"/>
          <w:szCs w:val="21"/>
        </w:rPr>
        <w:t>。</w:t>
      </w:r>
    </w:p>
    <w:p w14:paraId="2F8CE3A4">
      <w:pPr>
        <w:adjustRightInd w:val="0"/>
        <w:snapToGrid w:val="0"/>
        <w:spacing w:line="360" w:lineRule="auto"/>
        <w:jc w:val="left"/>
        <w:rPr>
          <w:rFonts w:ascii="宋体" w:hAnsi="宋体"/>
          <w:b/>
          <w:color w:val="auto"/>
          <w:szCs w:val="21"/>
        </w:rPr>
      </w:pPr>
      <w:r>
        <w:rPr>
          <w:rFonts w:hint="eastAsia" w:ascii="宋体" w:hAnsi="宋体"/>
          <w:b/>
          <w:bCs/>
          <w:color w:val="auto"/>
          <w:szCs w:val="21"/>
        </w:rPr>
        <w:t>9.</w:t>
      </w:r>
      <w:r>
        <w:rPr>
          <w:rFonts w:hint="eastAsia" w:ascii="宋体" w:hAnsi="宋体"/>
          <w:b/>
          <w:color w:val="auto"/>
          <w:szCs w:val="21"/>
        </w:rPr>
        <w:t xml:space="preserve"> 政府采购政策支持</w:t>
      </w:r>
    </w:p>
    <w:p w14:paraId="2B1B14DE">
      <w:pPr>
        <w:pStyle w:val="28"/>
        <w:adjustRightInd w:val="0"/>
        <w:snapToGrid w:val="0"/>
        <w:spacing w:line="360" w:lineRule="auto"/>
        <w:ind w:firstLine="420" w:firstLineChars="200"/>
        <w:rPr>
          <w:rFonts w:hAnsi="宋体"/>
          <w:color w:val="auto"/>
        </w:rPr>
      </w:pPr>
      <w:r>
        <w:rPr>
          <w:rFonts w:hint="eastAsia" w:hAnsi="宋体"/>
          <w:color w:val="auto"/>
        </w:rPr>
        <w:t>9.1产品符合政府采购强制采购政策的，实行强制采购；符合政府采购优先采购政策的，产品只能享受节能产品、环境标志产品等产品优惠中的一项(由供应商在报价文件中选择并填报政策功能编码，评审时进行</w:t>
      </w:r>
      <w:r>
        <w:rPr>
          <w:rFonts w:hint="eastAsia" w:hAnsi="宋体" w:cs="宋体"/>
          <w:color w:val="auto"/>
          <w:kern w:val="0"/>
        </w:rPr>
        <w:t>价格扣除</w:t>
      </w:r>
      <w:r>
        <w:rPr>
          <w:rFonts w:hint="eastAsia" w:hAnsi="宋体"/>
          <w:color w:val="auto"/>
        </w:rPr>
        <w:t>)；供应商享受</w:t>
      </w:r>
      <w:r>
        <w:rPr>
          <w:rFonts w:hint="eastAsia" w:hAnsi="宋体" w:cs="宋体"/>
          <w:bCs/>
          <w:color w:val="auto"/>
          <w:kern w:val="0"/>
        </w:rPr>
        <w:t>支持</w:t>
      </w:r>
      <w:r>
        <w:rPr>
          <w:rFonts w:hint="eastAsia" w:hAnsi="宋体"/>
          <w:color w:val="auto"/>
        </w:rPr>
        <w:t>中小企业发展政策优惠的，可以与同时享受节能产品、环境标志产品等产品优惠中的一项累加扣除。省级以上财政部门关于政府采购强制采购、优先采购的政策规定可在指定的公告媒体和中国政府采购网(www.ccgp.gov.cn)查询。本项目价格扣除比例见</w:t>
      </w:r>
      <w:r>
        <w:rPr>
          <w:rFonts w:hint="eastAsia" w:hAnsi="宋体"/>
          <w:b/>
          <w:color w:val="auto"/>
        </w:rPr>
        <w:t>磋商须知前附表</w:t>
      </w:r>
      <w:r>
        <w:rPr>
          <w:rFonts w:hint="eastAsia" w:hAnsi="宋体"/>
          <w:color w:val="auto"/>
        </w:rPr>
        <w:t>。</w:t>
      </w:r>
    </w:p>
    <w:p w14:paraId="3D3E9415">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9.2同一项目中部分产品属于优先采购政策的，评审时只对该部分产品的报价实行价格扣除。</w:t>
      </w:r>
    </w:p>
    <w:p w14:paraId="22A324C3">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9.3为</w:t>
      </w:r>
      <w:r>
        <w:rPr>
          <w:rFonts w:hint="eastAsia" w:ascii="宋体" w:hAnsi="宋体" w:cs="宋体"/>
          <w:color w:val="auto"/>
          <w:szCs w:val="21"/>
        </w:rPr>
        <w:t>推进政府采购诚信体系建设，</w:t>
      </w:r>
      <w:r>
        <w:rPr>
          <w:rFonts w:hint="eastAsia" w:ascii="宋体" w:hAnsi="宋体"/>
          <w:color w:val="auto"/>
          <w:szCs w:val="21"/>
        </w:rPr>
        <w:t>供应商在签署相关承诺，提供相关信息前，应认真阅读省级以上财政部门相关政策规定。符合本章第9.1</w:t>
      </w:r>
      <w:r>
        <w:rPr>
          <w:rFonts w:hint="eastAsia" w:ascii="宋体" w:hAnsi="宋体" w:cs="宋体"/>
          <w:color w:val="auto"/>
          <w:kern w:val="0"/>
          <w:szCs w:val="21"/>
          <w:lang w:val="zh-CN"/>
        </w:rPr>
        <w:t>款、</w:t>
      </w:r>
      <w:r>
        <w:rPr>
          <w:rFonts w:hint="eastAsia" w:ascii="宋体" w:hAnsi="宋体"/>
          <w:color w:val="auto"/>
          <w:szCs w:val="21"/>
        </w:rPr>
        <w:t>第9.2</w:t>
      </w:r>
      <w:r>
        <w:rPr>
          <w:rFonts w:hint="eastAsia" w:ascii="宋体" w:hAnsi="宋体" w:cs="宋体"/>
          <w:color w:val="auto"/>
          <w:kern w:val="0"/>
          <w:szCs w:val="21"/>
          <w:lang w:val="zh-CN"/>
        </w:rPr>
        <w:t>款</w:t>
      </w:r>
      <w:r>
        <w:rPr>
          <w:rFonts w:hint="eastAsia" w:ascii="宋体" w:hAnsi="宋体"/>
          <w:color w:val="auto"/>
          <w:szCs w:val="21"/>
        </w:rPr>
        <w:t>规定的，应提供相关证明材料。否则，在评审时不予以扣除。</w:t>
      </w:r>
    </w:p>
    <w:p w14:paraId="236C604E">
      <w:pPr>
        <w:pStyle w:val="28"/>
        <w:adjustRightInd w:val="0"/>
        <w:snapToGrid w:val="0"/>
        <w:spacing w:before="156" w:beforeLines="50" w:line="360" w:lineRule="auto"/>
        <w:rPr>
          <w:rFonts w:hAnsi="宋体"/>
          <w:b/>
          <w:color w:val="auto"/>
        </w:rPr>
      </w:pPr>
      <w:r>
        <w:rPr>
          <w:rFonts w:hint="eastAsia" w:hAnsi="宋体"/>
          <w:b/>
          <w:color w:val="auto"/>
        </w:rPr>
        <w:t>10. 偏离</w:t>
      </w:r>
    </w:p>
    <w:p w14:paraId="407E6527">
      <w:pPr>
        <w:pStyle w:val="46"/>
        <w:adjustRightInd w:val="0"/>
        <w:snapToGrid w:val="0"/>
        <w:spacing w:before="0" w:beforeAutospacing="0" w:after="0" w:afterAutospacing="0" w:line="360" w:lineRule="auto"/>
        <w:ind w:right="97" w:rightChars="46" w:firstLine="420" w:firstLineChars="200"/>
        <w:jc w:val="both"/>
        <w:rPr>
          <w:color w:val="auto"/>
          <w:sz w:val="21"/>
          <w:szCs w:val="21"/>
        </w:rPr>
      </w:pPr>
      <w:r>
        <w:rPr>
          <w:rFonts w:hint="eastAsia"/>
          <w:bCs/>
          <w:color w:val="auto"/>
          <w:sz w:val="21"/>
          <w:szCs w:val="21"/>
        </w:rPr>
        <w:t>10.1本条所称</w:t>
      </w:r>
      <w:r>
        <w:rPr>
          <w:rFonts w:hint="eastAsia"/>
          <w:color w:val="auto"/>
          <w:sz w:val="21"/>
          <w:szCs w:val="21"/>
        </w:rPr>
        <w:t>偏离为响应</w:t>
      </w:r>
      <w:r>
        <w:rPr>
          <w:rFonts w:hint="eastAsia"/>
          <w:bCs/>
          <w:color w:val="auto"/>
          <w:sz w:val="21"/>
          <w:szCs w:val="21"/>
        </w:rPr>
        <w:t>文件</w:t>
      </w:r>
      <w:r>
        <w:rPr>
          <w:rFonts w:hint="eastAsia"/>
          <w:color w:val="auto"/>
          <w:sz w:val="21"/>
          <w:szCs w:val="21"/>
        </w:rPr>
        <w:t>对</w:t>
      </w:r>
      <w:r>
        <w:rPr>
          <w:rFonts w:hint="eastAsia"/>
          <w:bCs/>
          <w:color w:val="auto"/>
          <w:sz w:val="21"/>
          <w:szCs w:val="21"/>
        </w:rPr>
        <w:t>磋商文件</w:t>
      </w:r>
      <w:r>
        <w:rPr>
          <w:rFonts w:hint="eastAsia"/>
          <w:color w:val="auto"/>
          <w:sz w:val="21"/>
          <w:szCs w:val="21"/>
        </w:rPr>
        <w:t>的偏离，即不满足、或不响应</w:t>
      </w:r>
      <w:r>
        <w:rPr>
          <w:rFonts w:hint="eastAsia"/>
          <w:bCs/>
          <w:color w:val="auto"/>
          <w:sz w:val="21"/>
          <w:szCs w:val="21"/>
        </w:rPr>
        <w:t>磋商文件</w:t>
      </w:r>
      <w:r>
        <w:rPr>
          <w:rFonts w:hint="eastAsia"/>
          <w:color w:val="auto"/>
          <w:sz w:val="21"/>
          <w:szCs w:val="21"/>
        </w:rPr>
        <w:t>的要求。偏离分为对</w:t>
      </w:r>
      <w:r>
        <w:rPr>
          <w:rFonts w:hint="eastAsia"/>
          <w:bCs/>
          <w:color w:val="auto"/>
          <w:sz w:val="21"/>
          <w:szCs w:val="21"/>
        </w:rPr>
        <w:t>磋商文件</w:t>
      </w:r>
      <w:r>
        <w:rPr>
          <w:rFonts w:hint="eastAsia"/>
          <w:color w:val="auto"/>
          <w:sz w:val="21"/>
          <w:szCs w:val="21"/>
        </w:rPr>
        <w:t>的实质性要求条款偏离和对</w:t>
      </w:r>
      <w:r>
        <w:rPr>
          <w:rFonts w:hint="eastAsia"/>
          <w:bCs/>
          <w:color w:val="auto"/>
          <w:sz w:val="21"/>
          <w:szCs w:val="21"/>
        </w:rPr>
        <w:t>磋商文件</w:t>
      </w:r>
      <w:r>
        <w:rPr>
          <w:rFonts w:hint="eastAsia"/>
          <w:color w:val="auto"/>
          <w:sz w:val="21"/>
          <w:szCs w:val="21"/>
        </w:rPr>
        <w:t>的一般商务和技术条款（参数）偏离。</w:t>
      </w:r>
    </w:p>
    <w:p w14:paraId="6672610F">
      <w:pPr>
        <w:tabs>
          <w:tab w:val="left" w:pos="0"/>
        </w:tabs>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10.2</w:t>
      </w:r>
      <w:r>
        <w:rPr>
          <w:rFonts w:hint="eastAsia" w:ascii="宋体" w:hAnsi="宋体"/>
          <w:bCs/>
          <w:color w:val="auto"/>
          <w:szCs w:val="21"/>
        </w:rPr>
        <w:t>除法律、法规和规章规定外，磋商文件</w:t>
      </w:r>
      <w:r>
        <w:rPr>
          <w:rFonts w:hint="eastAsia" w:ascii="宋体" w:hAnsi="宋体"/>
          <w:color w:val="auto"/>
          <w:szCs w:val="21"/>
        </w:rPr>
        <w:t>中用“拒绝”、“不接受”、“无效”、“不得”等文字规定或标注“★”符号的条款为实质性要求条款（即重要条款），对其中任何一条的偏离(即不满足、或不响应)，在评审时将其视为无效响应。未用上述文字规定或符号标注的条款为非实质性要求条款(即一般条款)。</w:t>
      </w:r>
    </w:p>
    <w:p w14:paraId="192ADB85">
      <w:pPr>
        <w:tabs>
          <w:tab w:val="left" w:pos="0"/>
        </w:tabs>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10.3一般商务和技术条款（参数），偏离项数之和超过</w:t>
      </w:r>
      <w:r>
        <w:rPr>
          <w:rFonts w:hint="eastAsia" w:hAnsi="宋体"/>
          <w:b/>
          <w:color w:val="auto"/>
        </w:rPr>
        <w:t>磋商须知前附表</w:t>
      </w:r>
      <w:r>
        <w:rPr>
          <w:rFonts w:hint="eastAsia" w:hAnsi="宋体"/>
          <w:bCs/>
          <w:color w:val="auto"/>
        </w:rPr>
        <w:t>规定</w:t>
      </w:r>
      <w:r>
        <w:rPr>
          <w:rFonts w:hint="eastAsia" w:ascii="宋体" w:hAnsi="宋体"/>
          <w:color w:val="auto"/>
          <w:szCs w:val="21"/>
        </w:rPr>
        <w:t>将导致无效响应。</w:t>
      </w:r>
    </w:p>
    <w:p w14:paraId="5356E6C7">
      <w:pPr>
        <w:adjustRightInd w:val="0"/>
        <w:snapToGrid w:val="0"/>
        <w:spacing w:line="360" w:lineRule="auto"/>
        <w:ind w:left="906" w:hanging="906" w:hangingChars="376"/>
        <w:rPr>
          <w:rFonts w:ascii="宋体" w:hAnsi="宋体"/>
          <w:b/>
          <w:color w:val="auto"/>
          <w:sz w:val="24"/>
        </w:rPr>
      </w:pPr>
      <w:r>
        <w:rPr>
          <w:rFonts w:hint="eastAsia" w:ascii="宋体" w:hAnsi="宋体"/>
          <w:b/>
          <w:color w:val="auto"/>
          <w:sz w:val="24"/>
        </w:rPr>
        <w:t>二、磋商文件</w:t>
      </w:r>
    </w:p>
    <w:p w14:paraId="46719C41">
      <w:pPr>
        <w:adjustRightInd w:val="0"/>
        <w:snapToGrid w:val="0"/>
        <w:spacing w:line="360" w:lineRule="auto"/>
        <w:rPr>
          <w:rFonts w:ascii="宋体" w:hAnsi="宋体"/>
          <w:b/>
          <w:bCs/>
          <w:color w:val="auto"/>
          <w:szCs w:val="21"/>
        </w:rPr>
      </w:pPr>
      <w:r>
        <w:rPr>
          <w:rFonts w:hint="eastAsia" w:ascii="宋体" w:hAnsi="宋体"/>
          <w:b/>
          <w:bCs/>
          <w:color w:val="auto"/>
          <w:szCs w:val="21"/>
        </w:rPr>
        <w:t>11．磋商文件的组成</w:t>
      </w:r>
    </w:p>
    <w:p w14:paraId="25A85AEB">
      <w:pPr>
        <w:pStyle w:val="28"/>
        <w:adjustRightInd w:val="0"/>
        <w:snapToGrid w:val="0"/>
        <w:spacing w:line="360" w:lineRule="auto"/>
        <w:ind w:firstLine="420" w:firstLineChars="200"/>
        <w:rPr>
          <w:rFonts w:hAnsi="宋体"/>
          <w:color w:val="auto"/>
        </w:rPr>
      </w:pPr>
      <w:r>
        <w:rPr>
          <w:rFonts w:hint="eastAsia" w:hAnsi="宋体"/>
          <w:color w:val="auto"/>
        </w:rPr>
        <w:t>11.1 磋商文件由下列文件组成：</w:t>
      </w:r>
    </w:p>
    <w:p w14:paraId="2552A0F8">
      <w:pPr>
        <w:pStyle w:val="28"/>
        <w:adjustRightInd w:val="0"/>
        <w:snapToGrid w:val="0"/>
        <w:spacing w:line="360" w:lineRule="auto"/>
        <w:ind w:firstLine="420" w:firstLineChars="200"/>
        <w:rPr>
          <w:rFonts w:hAnsi="宋体"/>
          <w:color w:val="auto"/>
        </w:rPr>
      </w:pPr>
      <w:r>
        <w:rPr>
          <w:rFonts w:hint="eastAsia" w:hAnsi="宋体"/>
          <w:color w:val="auto"/>
        </w:rPr>
        <w:t>第一章 磋商通知</w:t>
      </w:r>
    </w:p>
    <w:p w14:paraId="793BA319">
      <w:pPr>
        <w:pStyle w:val="28"/>
        <w:adjustRightInd w:val="0"/>
        <w:snapToGrid w:val="0"/>
        <w:spacing w:line="360" w:lineRule="auto"/>
        <w:ind w:firstLine="420" w:firstLineChars="200"/>
        <w:rPr>
          <w:rFonts w:hAnsi="宋体"/>
          <w:color w:val="auto"/>
        </w:rPr>
      </w:pPr>
      <w:r>
        <w:rPr>
          <w:rFonts w:hint="eastAsia" w:hAnsi="宋体"/>
          <w:color w:val="auto"/>
        </w:rPr>
        <w:t>第二章 磋商须知</w:t>
      </w:r>
    </w:p>
    <w:p w14:paraId="48DBD6E7">
      <w:pPr>
        <w:pStyle w:val="28"/>
        <w:adjustRightInd w:val="0"/>
        <w:snapToGrid w:val="0"/>
        <w:spacing w:line="360" w:lineRule="auto"/>
        <w:ind w:firstLine="420" w:firstLineChars="200"/>
        <w:rPr>
          <w:rFonts w:hAnsi="宋体"/>
          <w:color w:val="auto"/>
        </w:rPr>
      </w:pPr>
      <w:r>
        <w:rPr>
          <w:rFonts w:hint="eastAsia" w:hAnsi="宋体"/>
          <w:color w:val="auto"/>
        </w:rPr>
        <w:t>第三章 磋商办法</w:t>
      </w:r>
    </w:p>
    <w:p w14:paraId="76D1B82F">
      <w:pPr>
        <w:pStyle w:val="28"/>
        <w:adjustRightInd w:val="0"/>
        <w:snapToGrid w:val="0"/>
        <w:spacing w:line="360" w:lineRule="auto"/>
        <w:ind w:firstLine="420" w:firstLineChars="200"/>
        <w:rPr>
          <w:rFonts w:hAnsi="宋体"/>
          <w:color w:val="auto"/>
        </w:rPr>
      </w:pPr>
      <w:r>
        <w:rPr>
          <w:rFonts w:hint="eastAsia" w:hAnsi="宋体"/>
          <w:color w:val="auto"/>
        </w:rPr>
        <w:t>第四章 政府采购合同格式条款</w:t>
      </w:r>
    </w:p>
    <w:p w14:paraId="21F6AB02">
      <w:pPr>
        <w:pStyle w:val="28"/>
        <w:adjustRightInd w:val="0"/>
        <w:snapToGrid w:val="0"/>
        <w:spacing w:line="360" w:lineRule="auto"/>
        <w:ind w:firstLine="420" w:firstLineChars="200"/>
        <w:rPr>
          <w:rFonts w:hAnsi="宋体"/>
          <w:color w:val="auto"/>
        </w:rPr>
      </w:pPr>
      <w:r>
        <w:rPr>
          <w:rFonts w:hint="eastAsia" w:hAnsi="宋体"/>
          <w:color w:val="auto"/>
        </w:rPr>
        <w:t>第五章 采购需求</w:t>
      </w:r>
    </w:p>
    <w:p w14:paraId="675D6C46">
      <w:pPr>
        <w:pStyle w:val="28"/>
        <w:adjustRightInd w:val="0"/>
        <w:snapToGrid w:val="0"/>
        <w:spacing w:line="360" w:lineRule="auto"/>
        <w:ind w:firstLine="420" w:firstLineChars="200"/>
        <w:rPr>
          <w:rFonts w:hAnsi="宋体"/>
          <w:color w:val="auto"/>
        </w:rPr>
      </w:pPr>
      <w:r>
        <w:rPr>
          <w:rFonts w:hint="eastAsia" w:hAnsi="宋体"/>
          <w:color w:val="auto"/>
        </w:rPr>
        <w:t>第六章 响应文件组成</w:t>
      </w:r>
    </w:p>
    <w:p w14:paraId="7B9B3A18">
      <w:pPr>
        <w:pStyle w:val="28"/>
        <w:adjustRightInd w:val="0"/>
        <w:snapToGrid w:val="0"/>
        <w:spacing w:line="360" w:lineRule="auto"/>
        <w:ind w:firstLine="420" w:firstLineChars="200"/>
        <w:rPr>
          <w:rFonts w:hAnsi="宋体"/>
          <w:color w:val="auto"/>
        </w:rPr>
      </w:pPr>
      <w:r>
        <w:rPr>
          <w:rFonts w:hint="eastAsia" w:hAnsi="宋体"/>
          <w:color w:val="auto"/>
        </w:rPr>
        <w:t>11.2</w:t>
      </w:r>
      <w:r>
        <w:rPr>
          <w:rFonts w:hint="eastAsia" w:hAnsi="宋体"/>
          <w:bCs/>
          <w:color w:val="auto"/>
        </w:rPr>
        <w:t>本章第12.1</w:t>
      </w:r>
      <w:r>
        <w:rPr>
          <w:rFonts w:hint="eastAsia" w:hAnsi="宋体" w:cs="宋体"/>
          <w:color w:val="auto"/>
          <w:kern w:val="0"/>
          <w:lang w:val="zh-CN"/>
        </w:rPr>
        <w:t>款</w:t>
      </w:r>
      <w:r>
        <w:rPr>
          <w:rFonts w:hint="eastAsia" w:hAnsi="宋体"/>
          <w:bCs/>
          <w:color w:val="auto"/>
        </w:rPr>
        <w:t>规定的</w:t>
      </w:r>
      <w:r>
        <w:rPr>
          <w:rFonts w:hint="eastAsia" w:hAnsi="宋体" w:cs="宋体"/>
          <w:color w:val="auto"/>
          <w:kern w:val="0"/>
        </w:rPr>
        <w:t>提交首次响应文件截止时间前对磋商文件澄清或者修改内容，为磋商文件的组成部分。</w:t>
      </w:r>
    </w:p>
    <w:p w14:paraId="37BEFF3A">
      <w:pPr>
        <w:pStyle w:val="28"/>
        <w:adjustRightInd w:val="0"/>
        <w:snapToGrid w:val="0"/>
        <w:spacing w:line="360" w:lineRule="auto"/>
        <w:ind w:firstLine="420" w:firstLineChars="200"/>
        <w:rPr>
          <w:rFonts w:hAnsi="宋体" w:cs="宋体"/>
          <w:color w:val="auto"/>
          <w:kern w:val="0"/>
        </w:rPr>
      </w:pPr>
      <w:r>
        <w:rPr>
          <w:rFonts w:hint="eastAsia" w:hAnsi="宋体"/>
          <w:color w:val="auto"/>
        </w:rPr>
        <w:t>11.3</w:t>
      </w:r>
      <w:r>
        <w:rPr>
          <w:rFonts w:hint="eastAsia" w:hAnsi="宋体" w:cs="宋体"/>
          <w:color w:val="auto"/>
          <w:kern w:val="0"/>
        </w:rPr>
        <w:t>磋商小组根据与供应商磋商情况可能实质性变动的内容，包括采购需求中的技术、服务要求以及合同条款，</w:t>
      </w:r>
      <w:r>
        <w:rPr>
          <w:rFonts w:hint="eastAsia" w:hAnsi="宋体"/>
          <w:color w:val="auto"/>
        </w:rPr>
        <w:t>在</w:t>
      </w:r>
      <w:r>
        <w:rPr>
          <w:rFonts w:hint="eastAsia" w:hAnsi="宋体"/>
          <w:b/>
          <w:color w:val="auto"/>
        </w:rPr>
        <w:t>磋商须知前附表</w:t>
      </w:r>
      <w:r>
        <w:rPr>
          <w:rFonts w:hint="eastAsia" w:hAnsi="宋体"/>
          <w:color w:val="auto"/>
        </w:rPr>
        <w:t>中明确。</w:t>
      </w:r>
    </w:p>
    <w:p w14:paraId="2E24F965">
      <w:pPr>
        <w:adjustRightInd w:val="0"/>
        <w:snapToGrid w:val="0"/>
        <w:spacing w:line="360" w:lineRule="auto"/>
        <w:ind w:firstLine="420" w:firstLineChars="200"/>
        <w:rPr>
          <w:rFonts w:ascii="宋体" w:hAnsi="宋体"/>
          <w:color w:val="auto"/>
          <w:szCs w:val="21"/>
        </w:rPr>
      </w:pPr>
      <w:r>
        <w:rPr>
          <w:rFonts w:hint="eastAsia" w:ascii="宋体" w:hAnsi="宋体"/>
          <w:color w:val="auto"/>
        </w:rPr>
        <w:t>11.4</w:t>
      </w:r>
      <w:r>
        <w:rPr>
          <w:rFonts w:hint="eastAsia" w:ascii="宋体" w:hAnsi="宋体"/>
          <w:color w:val="auto"/>
          <w:szCs w:val="21"/>
        </w:rPr>
        <w:t>供应商应仔细阅读</w:t>
      </w:r>
      <w:r>
        <w:rPr>
          <w:rFonts w:hint="eastAsia" w:ascii="宋体" w:hAnsi="宋体"/>
          <w:bCs/>
          <w:color w:val="auto"/>
          <w:szCs w:val="21"/>
        </w:rPr>
        <w:t>磋商文件</w:t>
      </w:r>
      <w:r>
        <w:rPr>
          <w:rFonts w:hint="eastAsia" w:ascii="宋体" w:hAnsi="宋体"/>
          <w:color w:val="auto"/>
          <w:szCs w:val="21"/>
        </w:rPr>
        <w:t>的全部内容，按照</w:t>
      </w:r>
      <w:r>
        <w:rPr>
          <w:rFonts w:hint="eastAsia" w:ascii="宋体" w:hAnsi="宋体"/>
          <w:bCs/>
          <w:color w:val="auto"/>
          <w:szCs w:val="21"/>
        </w:rPr>
        <w:t>磋商文件</w:t>
      </w:r>
      <w:r>
        <w:rPr>
          <w:rFonts w:hint="eastAsia" w:ascii="宋体" w:hAnsi="宋体"/>
          <w:color w:val="auto"/>
          <w:szCs w:val="21"/>
        </w:rPr>
        <w:t>要求编制响应文件。任何对</w:t>
      </w:r>
      <w:r>
        <w:rPr>
          <w:rFonts w:hint="eastAsia" w:ascii="宋体" w:hAnsi="宋体"/>
          <w:bCs/>
          <w:color w:val="auto"/>
          <w:szCs w:val="21"/>
        </w:rPr>
        <w:t>磋商文件</w:t>
      </w:r>
      <w:r>
        <w:rPr>
          <w:rFonts w:hint="eastAsia" w:ascii="宋体" w:hAnsi="宋体"/>
          <w:color w:val="auto"/>
          <w:szCs w:val="21"/>
        </w:rPr>
        <w:t>的忽略或误解不能作为响应文件存在缺陷或瑕疵的理由，其风险由供应商承担。</w:t>
      </w:r>
    </w:p>
    <w:p w14:paraId="34E1A304">
      <w:pPr>
        <w:pStyle w:val="28"/>
        <w:adjustRightInd w:val="0"/>
        <w:snapToGrid w:val="0"/>
        <w:spacing w:line="360" w:lineRule="auto"/>
        <w:rPr>
          <w:rFonts w:hAnsi="宋体"/>
          <w:color w:val="auto"/>
        </w:rPr>
      </w:pPr>
      <w:r>
        <w:rPr>
          <w:rFonts w:hint="eastAsia" w:hAnsi="宋体"/>
          <w:b/>
          <w:color w:val="auto"/>
        </w:rPr>
        <w:t>12.递</w:t>
      </w:r>
      <w:r>
        <w:rPr>
          <w:rFonts w:hint="eastAsia" w:hAnsi="宋体" w:cs="宋体"/>
          <w:b/>
          <w:color w:val="auto"/>
          <w:kern w:val="0"/>
        </w:rPr>
        <w:t>交响应文件</w:t>
      </w:r>
      <w:r>
        <w:rPr>
          <w:rFonts w:hint="eastAsia" w:hAnsi="宋体"/>
          <w:b/>
          <w:color w:val="auto"/>
        </w:rPr>
        <w:t>的</w:t>
      </w:r>
      <w:r>
        <w:rPr>
          <w:rFonts w:hint="eastAsia" w:hAnsi="宋体" w:cs="宋体"/>
          <w:b/>
          <w:color w:val="auto"/>
          <w:kern w:val="0"/>
        </w:rPr>
        <w:t>截止</w:t>
      </w:r>
      <w:r>
        <w:rPr>
          <w:rFonts w:hint="eastAsia" w:hAnsi="宋体"/>
          <w:b/>
          <w:color w:val="auto"/>
        </w:rPr>
        <w:t>时间</w:t>
      </w:r>
    </w:p>
    <w:p w14:paraId="3F158433">
      <w:pPr>
        <w:pStyle w:val="28"/>
        <w:adjustRightInd w:val="0"/>
        <w:snapToGrid w:val="0"/>
        <w:spacing w:line="360" w:lineRule="auto"/>
        <w:ind w:firstLine="420" w:firstLineChars="200"/>
        <w:rPr>
          <w:rFonts w:hAnsi="宋体"/>
          <w:color w:val="auto"/>
        </w:rPr>
      </w:pPr>
      <w:r>
        <w:rPr>
          <w:rFonts w:hint="eastAsia" w:hAnsi="宋体"/>
          <w:color w:val="auto"/>
        </w:rPr>
        <w:t>12.1</w:t>
      </w:r>
      <w:r>
        <w:rPr>
          <w:rFonts w:hint="eastAsia" w:hAnsi="宋体" w:cs="宋体"/>
          <w:color w:val="auto"/>
          <w:kern w:val="0"/>
        </w:rPr>
        <w:t>供应商递交响应文件截止</w:t>
      </w:r>
      <w:r>
        <w:rPr>
          <w:rFonts w:hint="eastAsia" w:hAnsi="宋体"/>
          <w:color w:val="auto"/>
        </w:rPr>
        <w:t>时间见</w:t>
      </w:r>
      <w:r>
        <w:rPr>
          <w:rFonts w:hint="eastAsia" w:hAnsi="宋体"/>
          <w:b/>
          <w:color w:val="auto"/>
        </w:rPr>
        <w:t>磋商须知前附表</w:t>
      </w:r>
      <w:r>
        <w:rPr>
          <w:rFonts w:hint="eastAsia" w:hAnsi="宋体"/>
          <w:color w:val="auto"/>
        </w:rPr>
        <w:t>。</w:t>
      </w:r>
    </w:p>
    <w:p w14:paraId="3F1BE749">
      <w:pPr>
        <w:adjustRightInd w:val="0"/>
        <w:snapToGrid w:val="0"/>
        <w:spacing w:line="360" w:lineRule="auto"/>
        <w:rPr>
          <w:rFonts w:ascii="宋体" w:hAnsi="宋体"/>
          <w:b/>
          <w:bCs/>
          <w:color w:val="auto"/>
          <w:szCs w:val="21"/>
        </w:rPr>
      </w:pPr>
      <w:r>
        <w:rPr>
          <w:rFonts w:hint="eastAsia" w:ascii="宋体" w:hAnsi="宋体"/>
          <w:b/>
          <w:bCs/>
          <w:color w:val="auto"/>
          <w:szCs w:val="21"/>
        </w:rPr>
        <w:t>13.磋商文件的澄清</w:t>
      </w:r>
      <w:r>
        <w:rPr>
          <w:rFonts w:hint="eastAsia" w:ascii="宋体" w:hAnsi="宋体"/>
          <w:b/>
          <w:color w:val="auto"/>
          <w:kern w:val="0"/>
          <w:szCs w:val="21"/>
          <w:lang w:val="zh-CN"/>
        </w:rPr>
        <w:t>或者</w:t>
      </w:r>
      <w:r>
        <w:rPr>
          <w:rFonts w:hint="eastAsia" w:ascii="宋体" w:hAnsi="宋体"/>
          <w:b/>
          <w:bCs/>
          <w:color w:val="auto"/>
          <w:szCs w:val="21"/>
        </w:rPr>
        <w:t>修改</w:t>
      </w:r>
    </w:p>
    <w:p w14:paraId="705F07C4">
      <w:pPr>
        <w:adjustRightInd w:val="0"/>
        <w:snapToGrid w:val="0"/>
        <w:spacing w:line="360" w:lineRule="auto"/>
        <w:ind w:right="-105" w:rightChars="-50" w:firstLine="420" w:firstLineChars="200"/>
        <w:rPr>
          <w:rFonts w:ascii="宋体" w:hAnsi="宋体" w:cs="宋体"/>
          <w:color w:val="auto"/>
          <w:kern w:val="0"/>
          <w:szCs w:val="21"/>
        </w:rPr>
      </w:pPr>
      <w:r>
        <w:rPr>
          <w:rFonts w:hint="eastAsia" w:ascii="宋体" w:hAnsi="宋体"/>
          <w:color w:val="auto"/>
          <w:szCs w:val="21"/>
        </w:rPr>
        <w:t>13.1在</w:t>
      </w:r>
      <w:r>
        <w:rPr>
          <w:rFonts w:hint="eastAsia" w:ascii="宋体" w:hAnsi="宋体"/>
          <w:bCs/>
          <w:color w:val="auto"/>
          <w:szCs w:val="21"/>
        </w:rPr>
        <w:t>本章第12.1</w:t>
      </w:r>
      <w:r>
        <w:rPr>
          <w:rFonts w:hint="eastAsia" w:ascii="宋体" w:hAnsi="宋体" w:cs="宋体"/>
          <w:color w:val="auto"/>
          <w:kern w:val="0"/>
          <w:szCs w:val="21"/>
          <w:lang w:val="zh-CN"/>
        </w:rPr>
        <w:t>款</w:t>
      </w:r>
      <w:r>
        <w:rPr>
          <w:rFonts w:hint="eastAsia" w:ascii="宋体" w:hAnsi="宋体"/>
          <w:bCs/>
          <w:color w:val="auto"/>
          <w:szCs w:val="21"/>
        </w:rPr>
        <w:t>规定的递</w:t>
      </w:r>
      <w:r>
        <w:rPr>
          <w:rFonts w:hint="eastAsia" w:ascii="宋体" w:hAnsi="宋体" w:cs="宋体"/>
          <w:color w:val="auto"/>
          <w:kern w:val="0"/>
          <w:szCs w:val="21"/>
        </w:rPr>
        <w:t xml:space="preserve">交响应文件截止之日前，采购人、采购代理机构或者磋商小组可以对已发出的磋商文件进行必要的澄清或者修改。 </w:t>
      </w:r>
    </w:p>
    <w:p w14:paraId="2F9534BE">
      <w:pPr>
        <w:autoSpaceDE w:val="0"/>
        <w:autoSpaceDN w:val="0"/>
        <w:adjustRightInd w:val="0"/>
        <w:snapToGrid w:val="0"/>
        <w:spacing w:before="156" w:beforeLines="50" w:line="360" w:lineRule="auto"/>
        <w:ind w:firstLine="420" w:firstLineChars="200"/>
        <w:rPr>
          <w:rFonts w:ascii="宋体" w:hAnsi="宋体" w:cs="宋体"/>
          <w:color w:val="auto"/>
          <w:kern w:val="0"/>
          <w:szCs w:val="21"/>
        </w:rPr>
      </w:pPr>
      <w:r>
        <w:rPr>
          <w:rFonts w:hint="eastAsia" w:ascii="宋体" w:hAnsi="宋体"/>
          <w:color w:val="auto"/>
          <w:szCs w:val="21"/>
        </w:rPr>
        <w:t>13.2</w:t>
      </w:r>
      <w:r>
        <w:rPr>
          <w:rFonts w:hint="eastAsia" w:ascii="宋体" w:hAnsi="宋体" w:cs="宋体"/>
          <w:color w:val="auto"/>
          <w:kern w:val="0"/>
          <w:szCs w:val="21"/>
        </w:rPr>
        <w:t>澄清或者修改的内容可能影响响应文件编制的，采购人、采购代理机构或者磋商小组应当在</w:t>
      </w:r>
      <w:r>
        <w:rPr>
          <w:rFonts w:hint="eastAsia" w:ascii="宋体" w:hAnsi="宋体"/>
          <w:bCs/>
          <w:color w:val="auto"/>
          <w:szCs w:val="21"/>
        </w:rPr>
        <w:t>本章第12.1</w:t>
      </w:r>
      <w:r>
        <w:rPr>
          <w:rFonts w:hint="eastAsia" w:ascii="宋体" w:hAnsi="宋体" w:cs="宋体"/>
          <w:color w:val="auto"/>
          <w:kern w:val="0"/>
          <w:szCs w:val="21"/>
          <w:lang w:val="zh-CN"/>
        </w:rPr>
        <w:t>款</w:t>
      </w:r>
      <w:r>
        <w:rPr>
          <w:rFonts w:hint="eastAsia" w:ascii="宋体" w:hAnsi="宋体"/>
          <w:bCs/>
          <w:color w:val="auto"/>
          <w:szCs w:val="21"/>
        </w:rPr>
        <w:t>规定的</w:t>
      </w:r>
      <w:r>
        <w:rPr>
          <w:rFonts w:hint="eastAsia" w:ascii="宋体" w:hAnsi="宋体" w:cs="宋体"/>
          <w:color w:val="auto"/>
          <w:kern w:val="0"/>
          <w:szCs w:val="21"/>
        </w:rPr>
        <w:t>提交首次响应文件截止之日3个工作日前，以书面形式通知所有接收磋商文件的供应商，不足3个工作日的，顺延供应商提交响应文件截止时间。</w:t>
      </w:r>
      <w:r>
        <w:rPr>
          <w:rFonts w:hint="eastAsia" w:ascii="ˎ̥" w:hAnsi="ˎ̥"/>
          <w:color w:val="auto"/>
        </w:rPr>
        <w:t>澄清更正采用</w:t>
      </w:r>
      <w:r>
        <w:rPr>
          <w:rFonts w:ascii="ˎ̥" w:hAnsi="ˎ̥"/>
          <w:color w:val="auto"/>
        </w:rPr>
        <w:t>“</w:t>
      </w:r>
      <w:r>
        <w:rPr>
          <w:rFonts w:hint="eastAsia" w:ascii="ˎ̥" w:hAnsi="ˎ̥"/>
          <w:color w:val="auto"/>
        </w:rPr>
        <w:t>网上澄清更正</w:t>
      </w:r>
      <w:r>
        <w:rPr>
          <w:rFonts w:ascii="ˎ̥" w:hAnsi="ˎ̥"/>
          <w:color w:val="auto"/>
          <w:sz w:val="18"/>
          <w:szCs w:val="18"/>
        </w:rPr>
        <w:t> </w:t>
      </w:r>
      <w:r>
        <w:rPr>
          <w:rFonts w:ascii="ˎ̥" w:hAnsi="ˎ̥"/>
          <w:color w:val="auto"/>
        </w:rPr>
        <w:t>”</w:t>
      </w:r>
      <w:r>
        <w:rPr>
          <w:rFonts w:hint="eastAsia" w:ascii="ˎ̥" w:hAnsi="ˎ̥"/>
          <w:color w:val="auto"/>
        </w:rPr>
        <w:t>方式。采购代理机构对磋商文件的澄清更正将在</w:t>
      </w:r>
      <w:r>
        <w:rPr>
          <w:rFonts w:hint="eastAsia" w:hAnsi="宋体"/>
          <w:b/>
          <w:color w:val="auto"/>
        </w:rPr>
        <w:t>磋商须知前附表</w:t>
      </w:r>
      <w:r>
        <w:rPr>
          <w:rFonts w:hint="eastAsia" w:ascii="ˎ̥" w:hAnsi="ˎ̥"/>
          <w:color w:val="auto"/>
        </w:rPr>
        <w:t>指定公告媒体上发布，</w:t>
      </w:r>
      <w:r>
        <w:rPr>
          <w:rFonts w:hint="eastAsia" w:ascii="宋体" w:hAnsi="宋体"/>
          <w:color w:val="auto"/>
        </w:rPr>
        <w:t>请各供应商关注</w:t>
      </w:r>
      <w:r>
        <w:rPr>
          <w:rFonts w:hint="eastAsia" w:ascii="ˎ̥" w:hAnsi="ˎ̥"/>
          <w:color w:val="auto"/>
        </w:rPr>
        <w:t>指定公告媒体</w:t>
      </w:r>
      <w:r>
        <w:rPr>
          <w:rFonts w:hint="eastAsia" w:ascii="宋体" w:hAnsi="宋体"/>
          <w:color w:val="auto"/>
        </w:rPr>
        <w:t>上发布的</w:t>
      </w:r>
      <w:r>
        <w:rPr>
          <w:rFonts w:hint="eastAsia"/>
          <w:color w:val="auto"/>
        </w:rPr>
        <w:t>磋商文件的澄清或修改、递交响应文件截止时间的变更等相关信息，恕不另行通知。</w:t>
      </w:r>
    </w:p>
    <w:p w14:paraId="00AD9C17">
      <w:pPr>
        <w:adjustRightInd w:val="0"/>
        <w:snapToGrid w:val="0"/>
        <w:spacing w:line="360" w:lineRule="auto"/>
        <w:ind w:left="906" w:hanging="906" w:hangingChars="376"/>
        <w:rPr>
          <w:rFonts w:ascii="宋体" w:hAnsi="宋体"/>
          <w:b/>
          <w:color w:val="auto"/>
          <w:sz w:val="24"/>
        </w:rPr>
      </w:pPr>
      <w:r>
        <w:rPr>
          <w:rFonts w:hint="eastAsia" w:ascii="宋体" w:hAnsi="宋体"/>
          <w:b/>
          <w:color w:val="auto"/>
          <w:sz w:val="24"/>
        </w:rPr>
        <w:t>三、响应文件</w:t>
      </w:r>
    </w:p>
    <w:p w14:paraId="5CCBC697">
      <w:pPr>
        <w:adjustRightInd w:val="0"/>
        <w:snapToGrid w:val="0"/>
        <w:spacing w:line="360" w:lineRule="auto"/>
        <w:rPr>
          <w:rFonts w:ascii="宋体" w:hAnsi="宋体"/>
          <w:b/>
          <w:bCs/>
          <w:color w:val="auto"/>
          <w:szCs w:val="21"/>
        </w:rPr>
      </w:pPr>
      <w:r>
        <w:rPr>
          <w:rFonts w:hint="eastAsia" w:ascii="宋体" w:hAnsi="宋体"/>
          <w:b/>
          <w:bCs/>
          <w:color w:val="auto"/>
          <w:szCs w:val="21"/>
        </w:rPr>
        <w:t>14.一般要求</w:t>
      </w:r>
    </w:p>
    <w:p w14:paraId="569DD512">
      <w:pPr>
        <w:adjustRightInd w:val="0"/>
        <w:snapToGrid w:val="0"/>
        <w:spacing w:line="360" w:lineRule="auto"/>
        <w:ind w:firstLine="420" w:firstLineChars="200"/>
        <w:rPr>
          <w:rFonts w:ascii="宋体" w:hAnsi="宋体"/>
          <w:bCs/>
          <w:color w:val="auto"/>
          <w:szCs w:val="21"/>
        </w:rPr>
      </w:pPr>
      <w:r>
        <w:rPr>
          <w:rFonts w:hint="eastAsia" w:ascii="宋体" w:hAnsi="宋体"/>
          <w:bCs/>
          <w:color w:val="auto"/>
          <w:szCs w:val="21"/>
        </w:rPr>
        <w:t>14.1 供应商应仔细阅读磋商文件的所有内容，按磋商文件的要求编制响应文件，并保证所提供的全部资料的真实性，以使其响应文件对磋商文件做出实质性的响应。</w:t>
      </w:r>
    </w:p>
    <w:p w14:paraId="2348E2B3">
      <w:pPr>
        <w:adjustRightInd w:val="0"/>
        <w:snapToGrid w:val="0"/>
        <w:spacing w:line="360" w:lineRule="auto"/>
        <w:ind w:firstLine="420" w:firstLineChars="200"/>
        <w:rPr>
          <w:rFonts w:ascii="宋体" w:hAnsi="宋体"/>
          <w:bCs/>
          <w:color w:val="auto"/>
          <w:szCs w:val="21"/>
        </w:rPr>
      </w:pPr>
      <w:r>
        <w:rPr>
          <w:rFonts w:hint="eastAsia" w:ascii="宋体" w:hAnsi="宋体"/>
          <w:bCs/>
          <w:color w:val="auto"/>
          <w:szCs w:val="21"/>
        </w:rPr>
        <w:t xml:space="preserve">14.2 </w:t>
      </w:r>
      <w:r>
        <w:rPr>
          <w:rFonts w:hint="eastAsia" w:ascii="宋体" w:hAnsi="宋体"/>
          <w:color w:val="auto"/>
          <w:szCs w:val="21"/>
        </w:rPr>
        <w:t>供应商提交的响应文件及供应商与采购人或采购代理机构、磋商小组就有关磋商的所有来往函电均使用中文。供应商可以提交其它语言的资料，但应附中文注释，在有差异时以中文为准。</w:t>
      </w:r>
    </w:p>
    <w:p w14:paraId="59A4C60C">
      <w:pPr>
        <w:pStyle w:val="28"/>
        <w:adjustRightInd w:val="0"/>
        <w:snapToGrid w:val="0"/>
        <w:spacing w:line="360" w:lineRule="auto"/>
        <w:ind w:firstLine="420" w:firstLineChars="200"/>
        <w:rPr>
          <w:rFonts w:hAnsi="宋体"/>
          <w:color w:val="auto"/>
        </w:rPr>
      </w:pPr>
      <w:r>
        <w:rPr>
          <w:rFonts w:hint="eastAsia" w:hAnsi="宋体"/>
          <w:bCs/>
          <w:color w:val="auto"/>
        </w:rPr>
        <w:t xml:space="preserve">14.3 </w:t>
      </w:r>
      <w:r>
        <w:rPr>
          <w:rFonts w:hint="eastAsia" w:hAnsi="宋体"/>
          <w:color w:val="auto"/>
        </w:rPr>
        <w:t>计量单位应使用我国法定计量单位，未列明时应默认为我国法定计量单位。</w:t>
      </w:r>
    </w:p>
    <w:p w14:paraId="38DCBDC3">
      <w:pPr>
        <w:pStyle w:val="28"/>
        <w:adjustRightInd w:val="0"/>
        <w:snapToGrid w:val="0"/>
        <w:spacing w:line="360" w:lineRule="auto"/>
        <w:ind w:firstLine="420" w:firstLineChars="200"/>
        <w:rPr>
          <w:rFonts w:hAnsi="宋体"/>
          <w:color w:val="auto"/>
        </w:rPr>
      </w:pPr>
      <w:r>
        <w:rPr>
          <w:rFonts w:hint="eastAsia" w:hAnsi="宋体"/>
          <w:color w:val="auto"/>
        </w:rPr>
        <w:t>14.4 响应文件应采用书面形式，电报、传真、电子邮件形式的响应文件概不接受。</w:t>
      </w:r>
    </w:p>
    <w:p w14:paraId="72535D0F">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14.5 供应商应按磋商文件中提供的响应文件格式填写。</w:t>
      </w:r>
    </w:p>
    <w:p w14:paraId="5423AF49">
      <w:pPr>
        <w:adjustRightInd w:val="0"/>
        <w:snapToGrid w:val="0"/>
        <w:spacing w:line="360" w:lineRule="auto"/>
        <w:rPr>
          <w:rFonts w:ascii="宋体" w:hAnsi="宋体"/>
          <w:b/>
          <w:bCs/>
          <w:color w:val="auto"/>
          <w:szCs w:val="21"/>
        </w:rPr>
      </w:pPr>
      <w:r>
        <w:rPr>
          <w:rFonts w:hint="eastAsia" w:ascii="宋体" w:hAnsi="宋体"/>
          <w:b/>
          <w:bCs/>
          <w:color w:val="auto"/>
          <w:szCs w:val="21"/>
        </w:rPr>
        <w:t>15.</w:t>
      </w:r>
      <w:r>
        <w:rPr>
          <w:rFonts w:hint="eastAsia" w:ascii="宋体" w:hAnsi="宋体"/>
          <w:b/>
          <w:color w:val="auto"/>
          <w:szCs w:val="21"/>
        </w:rPr>
        <w:t>响应文件</w:t>
      </w:r>
      <w:r>
        <w:rPr>
          <w:rFonts w:hint="eastAsia" w:ascii="宋体" w:hAnsi="宋体"/>
          <w:b/>
          <w:bCs/>
          <w:color w:val="auto"/>
          <w:szCs w:val="21"/>
        </w:rPr>
        <w:t>的组成</w:t>
      </w:r>
    </w:p>
    <w:p w14:paraId="4F877182">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rPr>
        <w:t>15.1 响应文件包括下列内容：</w:t>
      </w:r>
      <w:r>
        <w:rPr>
          <w:rFonts w:hint="eastAsia" w:ascii="宋体" w:hAnsi="宋体"/>
          <w:color w:val="auto"/>
          <w:szCs w:val="21"/>
        </w:rPr>
        <w:t xml:space="preserve"> </w:t>
      </w:r>
    </w:p>
    <w:p w14:paraId="6930E7B8">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（1）磋商响应声明</w:t>
      </w:r>
    </w:p>
    <w:p w14:paraId="5CE81490">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（2）保证金</w:t>
      </w:r>
    </w:p>
    <w:p w14:paraId="3F4BD5CE">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（3）供应商的资格证明材料</w:t>
      </w:r>
    </w:p>
    <w:p w14:paraId="3B502D35">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（4）服务方案</w:t>
      </w:r>
    </w:p>
    <w:p w14:paraId="42B6AA8F">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（5）技术/商务响应与偏离表</w:t>
      </w:r>
    </w:p>
    <w:p w14:paraId="337424CF">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（6）享受政府采购政策优惠的证明资料</w:t>
      </w:r>
    </w:p>
    <w:p w14:paraId="7FCCB643">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（7）报价一览表及报价文件</w:t>
      </w:r>
    </w:p>
    <w:p w14:paraId="13B6BC5E">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（8）供应商认为需提供的其它资料</w:t>
      </w:r>
    </w:p>
    <w:p w14:paraId="50FD5F24">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（9）最后报价</w:t>
      </w:r>
    </w:p>
    <w:p w14:paraId="1D932DF1">
      <w:pPr>
        <w:adjustRightInd w:val="0"/>
        <w:snapToGrid w:val="0"/>
        <w:spacing w:line="360" w:lineRule="auto"/>
        <w:ind w:firstLine="420" w:firstLineChars="200"/>
        <w:rPr>
          <w:rFonts w:ascii="宋体" w:hAnsi="宋体"/>
          <w:color w:val="auto"/>
        </w:rPr>
      </w:pPr>
      <w:r>
        <w:rPr>
          <w:rFonts w:hint="eastAsia" w:ascii="宋体" w:hAnsi="宋体"/>
          <w:color w:val="auto"/>
        </w:rPr>
        <w:t>15.2在磋商过程中，</w:t>
      </w:r>
      <w:r>
        <w:rPr>
          <w:rFonts w:hint="eastAsia" w:ascii="宋体" w:hAnsi="宋体"/>
          <w:color w:val="auto"/>
          <w:szCs w:val="21"/>
        </w:rPr>
        <w:t>供应商</w:t>
      </w:r>
      <w:r>
        <w:rPr>
          <w:rFonts w:hint="eastAsia" w:ascii="宋体" w:hAnsi="宋体"/>
          <w:color w:val="auto"/>
        </w:rPr>
        <w:t>根据</w:t>
      </w:r>
      <w:r>
        <w:rPr>
          <w:rFonts w:hint="eastAsia" w:ascii="宋体" w:hAnsi="宋体" w:cs="宋体"/>
          <w:color w:val="auto"/>
          <w:kern w:val="0"/>
          <w:szCs w:val="21"/>
        </w:rPr>
        <w:t>磋商小组</w:t>
      </w:r>
      <w:r>
        <w:rPr>
          <w:rFonts w:hint="eastAsia" w:ascii="宋体" w:hAnsi="宋体"/>
          <w:bCs/>
          <w:color w:val="auto"/>
          <w:szCs w:val="21"/>
        </w:rPr>
        <w:t>书面形式要求</w:t>
      </w:r>
      <w:r>
        <w:rPr>
          <w:rFonts w:hint="eastAsia" w:ascii="宋体" w:hAnsi="宋体" w:cs="宋体"/>
          <w:color w:val="auto"/>
          <w:kern w:val="0"/>
          <w:szCs w:val="21"/>
        </w:rPr>
        <w:t>提交的</w:t>
      </w:r>
      <w:r>
        <w:rPr>
          <w:rFonts w:hint="eastAsia" w:ascii="宋体" w:hAnsi="宋体"/>
          <w:color w:val="auto"/>
        </w:rPr>
        <w:t>最后报价(或者</w:t>
      </w:r>
      <w:r>
        <w:rPr>
          <w:rFonts w:hint="eastAsia" w:ascii="宋体" w:hAnsi="宋体"/>
          <w:bCs/>
          <w:color w:val="auto"/>
          <w:szCs w:val="21"/>
        </w:rPr>
        <w:t>重</w:t>
      </w:r>
      <w:r>
        <w:rPr>
          <w:rFonts w:hint="eastAsia" w:ascii="宋体" w:hAnsi="宋体" w:cs="宋体"/>
          <w:color w:val="auto"/>
          <w:kern w:val="0"/>
          <w:szCs w:val="21"/>
        </w:rPr>
        <w:t>新提交的响应文件和</w:t>
      </w:r>
      <w:r>
        <w:rPr>
          <w:rFonts w:hint="eastAsia" w:ascii="宋体" w:hAnsi="宋体"/>
          <w:color w:val="auto"/>
        </w:rPr>
        <w:t>最后报价)是</w:t>
      </w:r>
      <w:r>
        <w:rPr>
          <w:rFonts w:hint="eastAsia" w:ascii="宋体" w:hAnsi="宋体"/>
          <w:color w:val="auto"/>
          <w:szCs w:val="21"/>
        </w:rPr>
        <w:t>响应文件</w:t>
      </w:r>
      <w:r>
        <w:rPr>
          <w:rFonts w:hint="eastAsia" w:ascii="宋体" w:hAnsi="宋体"/>
          <w:color w:val="auto"/>
        </w:rPr>
        <w:t>的有效组成部分。</w:t>
      </w:r>
    </w:p>
    <w:p w14:paraId="2A24004F">
      <w:pPr>
        <w:adjustRightInd w:val="0"/>
        <w:snapToGrid w:val="0"/>
        <w:spacing w:line="360" w:lineRule="auto"/>
        <w:ind w:firstLine="420" w:firstLineChars="200"/>
        <w:rPr>
          <w:rFonts w:ascii="宋体" w:hAnsi="宋体"/>
          <w:b/>
          <w:color w:val="auto"/>
        </w:rPr>
      </w:pPr>
      <w:r>
        <w:rPr>
          <w:rFonts w:hint="eastAsia" w:ascii="宋体" w:hAnsi="宋体"/>
          <w:color w:val="auto"/>
        </w:rPr>
        <w:t>15.3</w:t>
      </w:r>
      <w:r>
        <w:rPr>
          <w:rFonts w:hint="eastAsia" w:ascii="宋体" w:hAnsi="宋体" w:cs="宋体"/>
          <w:color w:val="auto"/>
          <w:kern w:val="0"/>
          <w:szCs w:val="21"/>
        </w:rPr>
        <w:t>磋商文件规定可能发生实质性变动的，供应商应当在</w:t>
      </w:r>
      <w:r>
        <w:rPr>
          <w:rFonts w:hint="eastAsia" w:ascii="宋体" w:hAnsi="宋体"/>
          <w:color w:val="auto"/>
        </w:rPr>
        <w:t>《技术/商务响应与偏离表》中对应内容注明。</w:t>
      </w:r>
    </w:p>
    <w:p w14:paraId="2433D86A">
      <w:pPr>
        <w:adjustRightInd w:val="0"/>
        <w:snapToGrid w:val="0"/>
        <w:spacing w:line="360" w:lineRule="auto"/>
        <w:ind w:firstLine="420" w:firstLineChars="200"/>
        <w:rPr>
          <w:rFonts w:ascii="宋体" w:hAnsi="宋体"/>
          <w:color w:val="auto"/>
          <w:szCs w:val="21"/>
        </w:rPr>
      </w:pPr>
      <w:r>
        <w:rPr>
          <w:rFonts w:hint="eastAsia" w:ascii="宋体" w:hAnsi="宋体"/>
          <w:color w:val="auto"/>
        </w:rPr>
        <w:t>15.4</w:t>
      </w:r>
      <w:r>
        <w:rPr>
          <w:rFonts w:hint="eastAsia" w:ascii="宋体" w:hAnsi="宋体"/>
          <w:color w:val="auto"/>
          <w:szCs w:val="21"/>
        </w:rPr>
        <w:t>根据《中华人民共和国政府采购法》相关规定，供应商无论成交与否，其响应文件不予退还。</w:t>
      </w:r>
    </w:p>
    <w:p w14:paraId="7A5250DA">
      <w:pPr>
        <w:adjustRightInd w:val="0"/>
        <w:snapToGrid w:val="0"/>
        <w:spacing w:line="360" w:lineRule="auto"/>
        <w:rPr>
          <w:rFonts w:ascii="宋体" w:hAnsi="宋体"/>
          <w:b/>
          <w:bCs/>
          <w:color w:val="auto"/>
          <w:szCs w:val="21"/>
        </w:rPr>
      </w:pPr>
    </w:p>
    <w:p w14:paraId="18CF203C">
      <w:pPr>
        <w:adjustRightInd w:val="0"/>
        <w:snapToGrid w:val="0"/>
        <w:spacing w:line="360" w:lineRule="auto"/>
        <w:rPr>
          <w:rFonts w:ascii="宋体" w:hAnsi="宋体"/>
          <w:b/>
          <w:bCs/>
          <w:color w:val="auto"/>
          <w:szCs w:val="21"/>
        </w:rPr>
      </w:pPr>
      <w:r>
        <w:rPr>
          <w:rFonts w:hint="eastAsia" w:ascii="宋体" w:hAnsi="宋体"/>
          <w:b/>
          <w:bCs/>
          <w:color w:val="auto"/>
          <w:szCs w:val="21"/>
        </w:rPr>
        <w:t>16.报价</w:t>
      </w:r>
    </w:p>
    <w:p w14:paraId="5693781E">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16.1供应商应当根据磋商文件要求和范围，以</w:t>
      </w:r>
      <w:r>
        <w:rPr>
          <w:rFonts w:hint="eastAsia" w:ascii="宋体" w:hAnsi="宋体"/>
          <w:bCs/>
          <w:color w:val="auto"/>
          <w:szCs w:val="21"/>
        </w:rPr>
        <w:t>人民币</w:t>
      </w:r>
      <w:r>
        <w:rPr>
          <w:rFonts w:hint="eastAsia" w:ascii="宋体" w:hAnsi="宋体"/>
          <w:color w:val="auto"/>
          <w:szCs w:val="21"/>
        </w:rPr>
        <w:t>报价，以元为单位，保留小数点后两位。</w:t>
      </w:r>
    </w:p>
    <w:p w14:paraId="131B2966">
      <w:pPr>
        <w:pStyle w:val="131"/>
        <w:adjustRightInd w:val="0"/>
        <w:snapToGrid w:val="0"/>
        <w:spacing w:line="360" w:lineRule="auto"/>
        <w:ind w:firstLine="420" w:firstLineChars="200"/>
        <w:rPr>
          <w:rFonts w:ascii="宋体" w:hAnsi="宋体"/>
          <w:color w:val="auto"/>
        </w:rPr>
      </w:pPr>
      <w:r>
        <w:rPr>
          <w:rFonts w:hint="eastAsia" w:ascii="宋体" w:hAnsi="宋体"/>
          <w:color w:val="auto"/>
        </w:rPr>
        <w:t>16.2供应商应按第四章“采购需求”要求及第五章“响应文件组成”格式填写。供应商在</w:t>
      </w:r>
      <w:r>
        <w:rPr>
          <w:rFonts w:hint="eastAsia" w:ascii="宋体" w:hAnsi="宋体"/>
          <w:bCs/>
          <w:color w:val="auto"/>
        </w:rPr>
        <w:t>本章第12.1</w:t>
      </w:r>
      <w:r>
        <w:rPr>
          <w:rFonts w:hint="eastAsia" w:ascii="宋体" w:hAnsi="宋体" w:cs="宋体"/>
          <w:color w:val="auto"/>
          <w:lang w:val="zh-CN"/>
        </w:rPr>
        <w:t>款</w:t>
      </w:r>
      <w:r>
        <w:rPr>
          <w:rFonts w:hint="eastAsia" w:ascii="宋体" w:hAnsi="宋体"/>
          <w:bCs/>
          <w:color w:val="auto"/>
        </w:rPr>
        <w:t>规定的</w:t>
      </w:r>
      <w:r>
        <w:rPr>
          <w:rFonts w:hint="eastAsia" w:ascii="宋体" w:hAnsi="宋体" w:cs="宋体"/>
          <w:color w:val="auto"/>
        </w:rPr>
        <w:t>提交首次响应文件截止之日前</w:t>
      </w:r>
      <w:r>
        <w:rPr>
          <w:rFonts w:hint="eastAsia" w:ascii="宋体" w:hAnsi="宋体"/>
          <w:color w:val="auto"/>
        </w:rPr>
        <w:t>修改报价一览表中的报价，应同时修改其按第五章要求填写的相应表格中的报价。此修改须符合本章第21.1款的有关要求。</w:t>
      </w:r>
    </w:p>
    <w:p w14:paraId="562580A1">
      <w:pPr>
        <w:pStyle w:val="28"/>
        <w:adjustRightInd w:val="0"/>
        <w:snapToGrid w:val="0"/>
        <w:spacing w:line="360" w:lineRule="auto"/>
        <w:ind w:firstLine="422" w:firstLineChars="200"/>
        <w:rPr>
          <w:rFonts w:hAnsi="宋体"/>
          <w:b/>
          <w:color w:val="auto"/>
        </w:rPr>
      </w:pPr>
      <w:r>
        <w:rPr>
          <w:rFonts w:hint="eastAsia" w:hAnsi="宋体"/>
          <w:b/>
          <w:color w:val="auto"/>
        </w:rPr>
        <w:t>16.3响应文件中标明的价格在合同执行过程中是固定不变的，不得以任何理由予以变更。以可变动价格提交的报价将被认为是非实质响应而被拒绝。</w:t>
      </w:r>
    </w:p>
    <w:p w14:paraId="6E5EE356">
      <w:pPr>
        <w:pStyle w:val="28"/>
        <w:adjustRightInd w:val="0"/>
        <w:snapToGrid w:val="0"/>
        <w:spacing w:line="360" w:lineRule="auto"/>
        <w:ind w:firstLine="420" w:firstLineChars="200"/>
        <w:rPr>
          <w:rFonts w:hAnsi="宋体"/>
          <w:color w:val="auto"/>
        </w:rPr>
      </w:pPr>
      <w:r>
        <w:rPr>
          <w:rFonts w:hint="eastAsia" w:hAnsi="宋体"/>
          <w:color w:val="auto"/>
        </w:rPr>
        <w:t>16.4</w:t>
      </w:r>
      <w:r>
        <w:rPr>
          <w:rFonts w:hint="eastAsia" w:hAnsi="宋体" w:cs="宋体"/>
          <w:color w:val="auto"/>
          <w:kern w:val="0"/>
          <w:lang w:val="zh-CN"/>
        </w:rPr>
        <w:t>供应商</w:t>
      </w:r>
      <w:r>
        <w:rPr>
          <w:rFonts w:hint="eastAsia" w:hAnsi="宋体"/>
          <w:color w:val="auto"/>
        </w:rPr>
        <w:t>的报价不得超过采购项目预算，超过采购预算价为无效响应。本项目采购预算见</w:t>
      </w:r>
      <w:r>
        <w:rPr>
          <w:rFonts w:hint="eastAsia" w:hAnsi="宋体"/>
          <w:b/>
          <w:color w:val="auto"/>
        </w:rPr>
        <w:t>磋商须知前附表</w:t>
      </w:r>
    </w:p>
    <w:p w14:paraId="47208ADA">
      <w:pPr>
        <w:pStyle w:val="28"/>
        <w:adjustRightInd w:val="0"/>
        <w:snapToGrid w:val="0"/>
        <w:spacing w:line="360" w:lineRule="auto"/>
        <w:rPr>
          <w:rFonts w:hAnsi="宋体"/>
          <w:b/>
          <w:color w:val="auto"/>
        </w:rPr>
      </w:pPr>
      <w:r>
        <w:rPr>
          <w:rFonts w:hint="eastAsia" w:hAnsi="宋体"/>
          <w:b/>
          <w:color w:val="auto"/>
        </w:rPr>
        <w:t>17.供应商符合磋商文件规定的证明文件</w:t>
      </w:r>
    </w:p>
    <w:p w14:paraId="028C4B9D">
      <w:pPr>
        <w:adjustRightInd w:val="0"/>
        <w:snapToGrid w:val="0"/>
        <w:spacing w:line="360" w:lineRule="auto"/>
        <w:ind w:firstLine="420" w:firstLineChars="200"/>
        <w:rPr>
          <w:rFonts w:ascii="宋体" w:hAnsi="宋体"/>
          <w:color w:val="auto"/>
          <w:szCs w:val="21"/>
        </w:rPr>
      </w:pPr>
      <w:r>
        <w:rPr>
          <w:rFonts w:hint="eastAsia" w:ascii="宋体" w:hAnsi="宋体" w:cs="宋体"/>
          <w:color w:val="auto"/>
          <w:kern w:val="0"/>
          <w:lang w:val="zh-CN"/>
        </w:rPr>
        <w:t>17.1</w:t>
      </w:r>
      <w:r>
        <w:rPr>
          <w:rFonts w:hint="eastAsia" w:ascii="宋体" w:hAnsi="宋体"/>
          <w:color w:val="auto"/>
          <w:szCs w:val="21"/>
        </w:rPr>
        <w:t>供应商提供资格证明材料，以证实其各项条件满足本章第3.1</w:t>
      </w:r>
      <w:r>
        <w:rPr>
          <w:rFonts w:hint="eastAsia" w:ascii="宋体" w:hAnsi="宋体" w:cs="宋体"/>
          <w:color w:val="auto"/>
          <w:kern w:val="0"/>
          <w:szCs w:val="21"/>
          <w:lang w:val="zh-CN"/>
        </w:rPr>
        <w:t>款</w:t>
      </w:r>
      <w:r>
        <w:rPr>
          <w:rFonts w:hint="eastAsia" w:ascii="宋体" w:hAnsi="宋体"/>
          <w:color w:val="auto"/>
          <w:szCs w:val="21"/>
        </w:rPr>
        <w:t>规定的供应商资格条件要求。</w:t>
      </w:r>
    </w:p>
    <w:p w14:paraId="1C03A240">
      <w:pPr>
        <w:adjustRightInd w:val="0"/>
        <w:snapToGrid w:val="0"/>
        <w:spacing w:line="360" w:lineRule="auto"/>
        <w:ind w:firstLine="420" w:firstLineChars="200"/>
        <w:jc w:val="left"/>
        <w:rPr>
          <w:rFonts w:ascii="宋体" w:hAnsi="宋体" w:cs="宋体"/>
          <w:color w:val="auto"/>
          <w:kern w:val="0"/>
          <w:szCs w:val="21"/>
          <w:lang w:val="zh-CN"/>
        </w:rPr>
      </w:pPr>
      <w:r>
        <w:rPr>
          <w:rFonts w:hint="eastAsia" w:ascii="宋体" w:hAnsi="宋体"/>
          <w:color w:val="auto"/>
          <w:szCs w:val="21"/>
        </w:rPr>
        <w:t>17.2</w:t>
      </w:r>
      <w:r>
        <w:rPr>
          <w:rFonts w:hint="eastAsia" w:ascii="宋体" w:hAnsi="宋体" w:cs="宋体"/>
          <w:color w:val="auto"/>
          <w:kern w:val="0"/>
          <w:lang w:val="zh-CN"/>
        </w:rPr>
        <w:t>供应商</w:t>
      </w:r>
      <w:r>
        <w:rPr>
          <w:rFonts w:hint="eastAsia" w:ascii="宋体" w:hAnsi="宋体"/>
          <w:color w:val="auto"/>
        </w:rPr>
        <w:t>为联合体形式的，则应提交联合体各方资格文件、联合体协议，否则将视为非实质响应而被拒绝。</w:t>
      </w:r>
    </w:p>
    <w:p w14:paraId="1DF60E10">
      <w:pPr>
        <w:adjustRightInd w:val="0"/>
        <w:snapToGrid w:val="0"/>
        <w:spacing w:line="360" w:lineRule="auto"/>
        <w:rPr>
          <w:rFonts w:ascii="宋体" w:hAnsi="宋体"/>
          <w:b/>
          <w:bCs/>
          <w:color w:val="auto"/>
          <w:szCs w:val="21"/>
        </w:rPr>
      </w:pPr>
      <w:r>
        <w:rPr>
          <w:rFonts w:hint="eastAsia" w:ascii="宋体" w:hAnsi="宋体"/>
          <w:b/>
          <w:bCs/>
          <w:color w:val="auto"/>
          <w:szCs w:val="21"/>
        </w:rPr>
        <w:t>18.保证金</w:t>
      </w:r>
    </w:p>
    <w:p w14:paraId="40B6A297">
      <w:pPr>
        <w:pStyle w:val="28"/>
        <w:adjustRightInd w:val="0"/>
        <w:snapToGrid w:val="0"/>
        <w:spacing w:line="360" w:lineRule="auto"/>
        <w:ind w:firstLine="420" w:firstLineChars="200"/>
        <w:rPr>
          <w:rFonts w:hAnsi="宋体"/>
          <w:bCs/>
          <w:color w:val="auto"/>
        </w:rPr>
      </w:pPr>
      <w:r>
        <w:rPr>
          <w:rFonts w:hint="eastAsia" w:hAnsi="宋体"/>
          <w:color w:val="auto"/>
        </w:rPr>
        <w:t>18.1</w:t>
      </w:r>
      <w:r>
        <w:rPr>
          <w:rFonts w:hint="eastAsia" w:hAnsi="宋体"/>
          <w:b/>
          <w:color w:val="auto"/>
        </w:rPr>
        <w:t>磋商须知前附表</w:t>
      </w:r>
      <w:r>
        <w:rPr>
          <w:rFonts w:hint="eastAsia" w:hAnsi="宋体"/>
          <w:color w:val="auto"/>
        </w:rPr>
        <w:t>规定交纳</w:t>
      </w:r>
      <w:r>
        <w:rPr>
          <w:rFonts w:hint="eastAsia" w:hAnsi="宋体"/>
          <w:bCs/>
          <w:color w:val="auto"/>
        </w:rPr>
        <w:t>保证金的</w:t>
      </w:r>
      <w:r>
        <w:rPr>
          <w:rFonts w:hint="eastAsia" w:hAnsi="宋体"/>
          <w:color w:val="auto"/>
        </w:rPr>
        <w:t>，应按</w:t>
      </w:r>
      <w:r>
        <w:rPr>
          <w:rFonts w:hint="eastAsia" w:hAnsi="宋体"/>
          <w:b/>
          <w:color w:val="auto"/>
        </w:rPr>
        <w:t>磋商须知前附表</w:t>
      </w:r>
      <w:r>
        <w:rPr>
          <w:rFonts w:hint="eastAsia" w:hAnsi="宋体"/>
          <w:color w:val="auto"/>
        </w:rPr>
        <w:t>规定的</w:t>
      </w:r>
      <w:r>
        <w:rPr>
          <w:rFonts w:hint="eastAsia" w:hAnsi="宋体"/>
          <w:bCs/>
          <w:color w:val="auto"/>
        </w:rPr>
        <w:t>保证金形式交纳，不得以现金方式交纳</w:t>
      </w:r>
      <w:r>
        <w:rPr>
          <w:rFonts w:hint="eastAsia" w:hAnsi="宋体"/>
          <w:color w:val="auto"/>
        </w:rPr>
        <w:t>，在本章第12.1</w:t>
      </w:r>
      <w:r>
        <w:rPr>
          <w:rFonts w:hint="eastAsia" w:hAnsi="宋体" w:cs="宋体"/>
          <w:color w:val="auto"/>
          <w:kern w:val="0"/>
          <w:lang w:val="zh-CN"/>
        </w:rPr>
        <w:t>款</w:t>
      </w:r>
      <w:r>
        <w:rPr>
          <w:rFonts w:hint="eastAsia" w:hAnsi="宋体"/>
          <w:color w:val="auto"/>
        </w:rPr>
        <w:t>规定的</w:t>
      </w:r>
      <w:r>
        <w:rPr>
          <w:rFonts w:hint="eastAsia" w:hAnsi="宋体" w:cs="宋体"/>
          <w:color w:val="auto"/>
          <w:kern w:val="0"/>
        </w:rPr>
        <w:t>提交首次响应文件截止时间</w:t>
      </w:r>
      <w:r>
        <w:rPr>
          <w:rFonts w:hint="eastAsia" w:hAnsi="宋体"/>
          <w:color w:val="auto"/>
        </w:rPr>
        <w:t>前，按本磋商文件第一章第8款规定交纳</w:t>
      </w:r>
      <w:r>
        <w:rPr>
          <w:rFonts w:hint="eastAsia" w:hAnsi="宋体"/>
          <w:bCs/>
          <w:color w:val="auto"/>
        </w:rPr>
        <w:t>保证金(数额采用四舍五入，计算至元)</w:t>
      </w:r>
      <w:r>
        <w:rPr>
          <w:rFonts w:hint="eastAsia" w:hAnsi="宋体"/>
          <w:color w:val="auto"/>
        </w:rPr>
        <w:t>。</w:t>
      </w:r>
      <w:r>
        <w:rPr>
          <w:rFonts w:hint="eastAsia" w:hAnsi="宋体"/>
          <w:bCs/>
          <w:color w:val="auto"/>
        </w:rPr>
        <w:t>保证金有效期应当与</w:t>
      </w:r>
      <w:r>
        <w:rPr>
          <w:rFonts w:hint="eastAsia" w:hAnsi="宋体"/>
          <w:color w:val="auto"/>
        </w:rPr>
        <w:t>本章第19.1</w:t>
      </w:r>
      <w:r>
        <w:rPr>
          <w:rFonts w:hint="eastAsia" w:hAnsi="宋体" w:cs="宋体"/>
          <w:color w:val="auto"/>
          <w:kern w:val="0"/>
          <w:lang w:val="zh-CN"/>
        </w:rPr>
        <w:t>款</w:t>
      </w:r>
      <w:r>
        <w:rPr>
          <w:rFonts w:hint="eastAsia" w:hAnsi="宋体"/>
          <w:color w:val="auto"/>
        </w:rPr>
        <w:t>规定的</w:t>
      </w:r>
      <w:r>
        <w:rPr>
          <w:rFonts w:hint="eastAsia" w:hAnsi="宋体"/>
          <w:bCs/>
          <w:color w:val="auto"/>
        </w:rPr>
        <w:t>响应文件有效期一致。</w:t>
      </w:r>
    </w:p>
    <w:p w14:paraId="58352086">
      <w:pPr>
        <w:adjustRightInd w:val="0"/>
        <w:snapToGrid w:val="0"/>
        <w:spacing w:line="360" w:lineRule="auto"/>
        <w:ind w:firstLine="420" w:firstLineChars="200"/>
        <w:rPr>
          <w:rFonts w:ascii="宋体" w:hAnsi="宋体"/>
          <w:b/>
          <w:color w:val="auto"/>
          <w:szCs w:val="21"/>
        </w:rPr>
      </w:pPr>
      <w:r>
        <w:rPr>
          <w:rFonts w:hint="eastAsia" w:ascii="宋体" w:hAnsi="宋体"/>
          <w:color w:val="auto"/>
          <w:szCs w:val="21"/>
        </w:rPr>
        <w:t>18.2</w:t>
      </w:r>
      <w:r>
        <w:rPr>
          <w:rFonts w:hint="eastAsia" w:ascii="宋体" w:hAnsi="宋体" w:cs="宋体"/>
          <w:color w:val="auto"/>
          <w:kern w:val="0"/>
          <w:szCs w:val="21"/>
          <w:lang w:val="zh-CN"/>
        </w:rPr>
        <w:t>供应商为联合体的，可以由联合体中的一方或者共同交纳保证金，其交纳的保证金，对联合体各方均具有约束力。</w:t>
      </w:r>
    </w:p>
    <w:p w14:paraId="4CBE70C6">
      <w:pPr>
        <w:pStyle w:val="28"/>
        <w:adjustRightInd w:val="0"/>
        <w:snapToGrid w:val="0"/>
        <w:spacing w:line="360" w:lineRule="auto"/>
        <w:ind w:firstLine="420" w:firstLineChars="200"/>
        <w:rPr>
          <w:rFonts w:hAnsi="宋体"/>
          <w:color w:val="auto"/>
        </w:rPr>
      </w:pPr>
      <w:r>
        <w:rPr>
          <w:rFonts w:hint="eastAsia" w:hAnsi="宋体"/>
          <w:color w:val="auto"/>
        </w:rPr>
        <w:t>18.3 未按磋商文件规定提交保证金的，</w:t>
      </w:r>
      <w:r>
        <w:rPr>
          <w:rFonts w:hint="eastAsia" w:hAnsi="宋体"/>
          <w:bCs/>
          <w:color w:val="auto"/>
        </w:rPr>
        <w:t>采购人或采购代理机构应当拒绝接收供应商的响应文件</w:t>
      </w:r>
      <w:r>
        <w:rPr>
          <w:rFonts w:hint="eastAsia" w:hAnsi="宋体"/>
          <w:color w:val="auto"/>
        </w:rPr>
        <w:t>。</w:t>
      </w:r>
    </w:p>
    <w:p w14:paraId="61E79882">
      <w:pPr>
        <w:pStyle w:val="28"/>
        <w:tabs>
          <w:tab w:val="left" w:pos="6300"/>
        </w:tabs>
        <w:adjustRightInd w:val="0"/>
        <w:snapToGrid w:val="0"/>
        <w:spacing w:line="360" w:lineRule="auto"/>
        <w:ind w:firstLine="420" w:firstLineChars="200"/>
        <w:rPr>
          <w:rFonts w:hAnsi="宋体"/>
          <w:color w:val="auto"/>
        </w:rPr>
      </w:pPr>
      <w:r>
        <w:rPr>
          <w:rFonts w:hint="eastAsia" w:hAnsi="宋体"/>
          <w:color w:val="auto"/>
        </w:rPr>
        <w:t>18.4采购代理机构在成交通知书发出后5个工作日内退还未成交供应商的保证金；在采购合同签定后5个工作日内退还成交供应商的保证金，但因供应商自身原因导致无法及时退还的除外。</w:t>
      </w:r>
    </w:p>
    <w:p w14:paraId="7774C2FF">
      <w:pPr>
        <w:pStyle w:val="28"/>
        <w:adjustRightInd w:val="0"/>
        <w:snapToGrid w:val="0"/>
        <w:spacing w:line="360" w:lineRule="auto"/>
        <w:ind w:firstLine="420" w:firstLineChars="200"/>
        <w:rPr>
          <w:rFonts w:hAnsi="宋体"/>
          <w:color w:val="auto"/>
          <w:kern w:val="0"/>
        </w:rPr>
      </w:pPr>
      <w:r>
        <w:rPr>
          <w:rFonts w:hint="eastAsia" w:hAnsi="宋体"/>
          <w:color w:val="auto"/>
        </w:rPr>
        <w:t xml:space="preserve">18.5 </w:t>
      </w:r>
      <w:r>
        <w:rPr>
          <w:rFonts w:hint="eastAsia" w:hAnsi="宋体"/>
          <w:color w:val="auto"/>
          <w:kern w:val="0"/>
        </w:rPr>
        <w:t>有下列情形之一的，保证金不予退还，并上缴本级财政国库：</w:t>
      </w:r>
    </w:p>
    <w:p w14:paraId="748848CB">
      <w:pPr>
        <w:widowControl/>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（1）供应商在</w:t>
      </w:r>
      <w:r>
        <w:rPr>
          <w:rFonts w:hint="eastAsia" w:ascii="宋体" w:hAnsi="宋体"/>
          <w:bCs/>
          <w:color w:val="auto"/>
          <w:szCs w:val="21"/>
        </w:rPr>
        <w:t>本章第12.1</w:t>
      </w:r>
      <w:r>
        <w:rPr>
          <w:rFonts w:hint="eastAsia" w:ascii="宋体" w:hAnsi="宋体" w:cs="宋体"/>
          <w:color w:val="auto"/>
          <w:kern w:val="0"/>
          <w:szCs w:val="21"/>
          <w:lang w:val="zh-CN"/>
        </w:rPr>
        <w:t>款</w:t>
      </w:r>
      <w:r>
        <w:rPr>
          <w:rFonts w:hint="eastAsia" w:ascii="宋体" w:hAnsi="宋体"/>
          <w:bCs/>
          <w:color w:val="auto"/>
          <w:szCs w:val="21"/>
        </w:rPr>
        <w:t>规定的</w:t>
      </w:r>
      <w:r>
        <w:rPr>
          <w:rFonts w:hint="eastAsia" w:ascii="宋体" w:hAnsi="宋体" w:cs="宋体"/>
          <w:color w:val="auto"/>
          <w:kern w:val="0"/>
          <w:szCs w:val="21"/>
        </w:rPr>
        <w:t>提交首次响应文件截止时间后撤回响应文件或未按本章第29.5款规定退出磋商的；</w:t>
      </w:r>
    </w:p>
    <w:p w14:paraId="2B4B817E">
      <w:pPr>
        <w:widowControl/>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（2）供应商在响应文件中提供虚假材料的；</w:t>
      </w:r>
    </w:p>
    <w:p w14:paraId="007141AF">
      <w:pPr>
        <w:widowControl/>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（3）除因不可抗力或磋商文件认可的情形以外，成交供应商不与采购人签订合同的；</w:t>
      </w:r>
    </w:p>
    <w:p w14:paraId="25EE0938">
      <w:pPr>
        <w:widowControl/>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（4）供应商与采购人、其他供应商或者采购代理机构恶意串通的；</w:t>
      </w:r>
    </w:p>
    <w:p w14:paraId="2BBC09C5">
      <w:pPr>
        <w:widowControl/>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（5）磋商文件及法律法规规定的其他情形。</w:t>
      </w:r>
    </w:p>
    <w:p w14:paraId="6787E90E">
      <w:pPr>
        <w:adjustRightInd w:val="0"/>
        <w:snapToGrid w:val="0"/>
        <w:spacing w:line="360" w:lineRule="auto"/>
        <w:rPr>
          <w:rFonts w:ascii="宋体" w:hAnsi="宋体"/>
          <w:b/>
          <w:bCs/>
          <w:color w:val="auto"/>
          <w:szCs w:val="21"/>
        </w:rPr>
      </w:pPr>
      <w:r>
        <w:rPr>
          <w:rFonts w:hint="eastAsia" w:ascii="宋体" w:hAnsi="宋体"/>
          <w:b/>
          <w:bCs/>
          <w:color w:val="auto"/>
          <w:szCs w:val="21"/>
        </w:rPr>
        <w:t>19.</w:t>
      </w:r>
      <w:r>
        <w:rPr>
          <w:rFonts w:hint="eastAsia" w:ascii="宋体" w:hAnsi="宋体"/>
          <w:color w:val="auto"/>
          <w:szCs w:val="21"/>
        </w:rPr>
        <w:t xml:space="preserve"> </w:t>
      </w:r>
      <w:r>
        <w:rPr>
          <w:rFonts w:hint="eastAsia" w:ascii="宋体" w:hAnsi="宋体"/>
          <w:b/>
          <w:color w:val="auto"/>
        </w:rPr>
        <w:t>响应文件</w:t>
      </w:r>
      <w:r>
        <w:rPr>
          <w:rFonts w:hint="eastAsia" w:ascii="宋体" w:hAnsi="宋体"/>
          <w:b/>
          <w:color w:val="auto"/>
          <w:szCs w:val="21"/>
        </w:rPr>
        <w:t>有效期</w:t>
      </w:r>
    </w:p>
    <w:p w14:paraId="74A01F9C">
      <w:pPr>
        <w:adjustRightInd w:val="0"/>
        <w:snapToGrid w:val="0"/>
        <w:spacing w:line="360" w:lineRule="auto"/>
        <w:ind w:firstLine="420" w:firstLineChars="200"/>
        <w:jc w:val="left"/>
        <w:rPr>
          <w:rFonts w:ascii="宋体" w:hAnsi="宋体"/>
          <w:color w:val="auto"/>
        </w:rPr>
      </w:pPr>
      <w:r>
        <w:rPr>
          <w:rFonts w:hint="eastAsia" w:ascii="宋体" w:hAnsi="宋体"/>
          <w:color w:val="auto"/>
        </w:rPr>
        <w:t>19.1响应文件</w:t>
      </w:r>
      <w:r>
        <w:rPr>
          <w:rFonts w:hint="eastAsia" w:ascii="宋体" w:hAnsi="宋体"/>
          <w:color w:val="auto"/>
          <w:szCs w:val="21"/>
        </w:rPr>
        <w:t>有效期见</w:t>
      </w:r>
      <w:r>
        <w:rPr>
          <w:rFonts w:hint="eastAsia" w:ascii="宋体" w:hAnsi="宋体"/>
          <w:b/>
          <w:color w:val="auto"/>
        </w:rPr>
        <w:t>磋商须知前附表</w:t>
      </w:r>
      <w:r>
        <w:rPr>
          <w:rFonts w:hint="eastAsia" w:ascii="宋体" w:hAnsi="宋体"/>
          <w:color w:val="auto"/>
          <w:szCs w:val="21"/>
        </w:rPr>
        <w:t>，在此期间</w:t>
      </w:r>
      <w:r>
        <w:rPr>
          <w:rFonts w:hint="eastAsia" w:ascii="宋体" w:hAnsi="宋体"/>
          <w:color w:val="auto"/>
        </w:rPr>
        <w:t>响应</w:t>
      </w:r>
      <w:r>
        <w:rPr>
          <w:rFonts w:hint="eastAsia" w:ascii="宋体" w:hAnsi="宋体"/>
          <w:color w:val="auto"/>
          <w:szCs w:val="21"/>
        </w:rPr>
        <w:t>文件对供应商具有法律约束力，</w:t>
      </w:r>
      <w:r>
        <w:rPr>
          <w:rFonts w:hint="eastAsia" w:ascii="宋体" w:hAnsi="宋体" w:cs="Arial"/>
          <w:color w:val="auto"/>
        </w:rPr>
        <w:t>从</w:t>
      </w:r>
      <w:r>
        <w:rPr>
          <w:rFonts w:hint="eastAsia" w:ascii="宋体" w:hAnsi="宋体"/>
          <w:color w:val="auto"/>
        </w:rPr>
        <w:t>本章第12.1</w:t>
      </w:r>
      <w:r>
        <w:rPr>
          <w:rFonts w:hint="eastAsia" w:ascii="宋体" w:hAnsi="宋体" w:cs="宋体"/>
          <w:color w:val="auto"/>
          <w:kern w:val="0"/>
          <w:szCs w:val="21"/>
          <w:lang w:val="zh-CN"/>
        </w:rPr>
        <w:t>款</w:t>
      </w:r>
      <w:r>
        <w:rPr>
          <w:rFonts w:hint="eastAsia" w:ascii="宋体" w:hAnsi="宋体"/>
          <w:color w:val="auto"/>
        </w:rPr>
        <w:t>规定的</w:t>
      </w:r>
      <w:r>
        <w:rPr>
          <w:rFonts w:hint="eastAsia" w:ascii="宋体" w:hAnsi="宋体" w:cs="宋体"/>
          <w:color w:val="auto"/>
          <w:kern w:val="0"/>
          <w:szCs w:val="21"/>
        </w:rPr>
        <w:t>提交首次响应文件截止时间</w:t>
      </w:r>
      <w:r>
        <w:rPr>
          <w:rFonts w:hint="eastAsia" w:ascii="宋体" w:hAnsi="宋体"/>
          <w:color w:val="auto"/>
        </w:rPr>
        <w:t>之日</w:t>
      </w:r>
      <w:r>
        <w:rPr>
          <w:rFonts w:hint="eastAsia" w:ascii="宋体" w:hAnsi="宋体" w:cs="Arial"/>
          <w:color w:val="auto"/>
        </w:rPr>
        <w:t>起计算。</w:t>
      </w:r>
      <w:r>
        <w:rPr>
          <w:rFonts w:hint="eastAsia" w:ascii="宋体" w:hAnsi="宋体"/>
          <w:color w:val="auto"/>
        </w:rPr>
        <w:t>响应文件有效期不足的将被视为无效响应。</w:t>
      </w:r>
    </w:p>
    <w:p w14:paraId="7FB0B358">
      <w:pPr>
        <w:adjustRightInd w:val="0"/>
        <w:snapToGrid w:val="0"/>
        <w:spacing w:line="360" w:lineRule="auto"/>
        <w:rPr>
          <w:rFonts w:ascii="宋体" w:hAnsi="宋体"/>
          <w:b/>
          <w:bCs/>
          <w:color w:val="auto"/>
          <w:szCs w:val="21"/>
        </w:rPr>
      </w:pPr>
      <w:r>
        <w:rPr>
          <w:rFonts w:hint="eastAsia" w:ascii="宋体" w:hAnsi="宋体"/>
          <w:b/>
          <w:bCs/>
          <w:color w:val="auto"/>
          <w:szCs w:val="21"/>
        </w:rPr>
        <w:t>20.响应文件的签署及规定</w:t>
      </w:r>
    </w:p>
    <w:p w14:paraId="6E887B57">
      <w:pPr>
        <w:pStyle w:val="28"/>
        <w:adjustRightInd w:val="0"/>
        <w:snapToGrid w:val="0"/>
        <w:spacing w:line="360" w:lineRule="auto"/>
        <w:ind w:firstLine="420" w:firstLineChars="200"/>
        <w:rPr>
          <w:rFonts w:hAnsi="宋体"/>
          <w:color w:val="auto"/>
        </w:rPr>
      </w:pPr>
      <w:r>
        <w:rPr>
          <w:rFonts w:hint="eastAsia" w:hAnsi="宋体"/>
          <w:color w:val="auto"/>
        </w:rPr>
        <w:t>20.1响应文件的正本、副本须分别装订成册，正本一份，副本贰份，电子文件一份。正本和副本的封面上应标记“正本”或“副本”的字样，当正本和副本有差异时，以正本为准。具体份数以</w:t>
      </w:r>
      <w:r>
        <w:rPr>
          <w:rFonts w:hint="eastAsia" w:hAnsi="宋体"/>
          <w:b/>
          <w:color w:val="auto"/>
        </w:rPr>
        <w:t>磋商须知前附表</w:t>
      </w:r>
      <w:r>
        <w:rPr>
          <w:rFonts w:hint="eastAsia" w:hAnsi="宋体"/>
          <w:bCs/>
          <w:color w:val="auto"/>
        </w:rPr>
        <w:t>要求为准。</w:t>
      </w:r>
    </w:p>
    <w:p w14:paraId="0D5E2615">
      <w:pPr>
        <w:pStyle w:val="28"/>
        <w:adjustRightInd w:val="0"/>
        <w:snapToGrid w:val="0"/>
        <w:spacing w:line="360" w:lineRule="auto"/>
        <w:ind w:firstLine="420" w:firstLineChars="200"/>
        <w:rPr>
          <w:rFonts w:hAnsi="宋体"/>
          <w:color w:val="auto"/>
        </w:rPr>
      </w:pPr>
      <w:r>
        <w:rPr>
          <w:rFonts w:hint="eastAsia" w:hAnsi="宋体"/>
          <w:color w:val="auto"/>
        </w:rPr>
        <w:t>20.2 响应文件正本和副本应按磋商文件要求签章处盖单位章和由法定代表人或其委托代理人签字；任何加行、涂改、增删，应有法定代表人或其委托代理人在旁边签字。否则，将导致响应文件无效。</w:t>
      </w:r>
    </w:p>
    <w:p w14:paraId="49B46A0B">
      <w:pPr>
        <w:pStyle w:val="28"/>
        <w:adjustRightInd w:val="0"/>
        <w:snapToGrid w:val="0"/>
        <w:spacing w:line="360" w:lineRule="auto"/>
        <w:ind w:firstLine="420" w:firstLineChars="200"/>
        <w:rPr>
          <w:rFonts w:hAnsi="宋体"/>
          <w:color w:val="auto"/>
        </w:rPr>
      </w:pPr>
      <w:r>
        <w:rPr>
          <w:rFonts w:hint="eastAsia" w:hAnsi="宋体"/>
          <w:color w:val="auto"/>
        </w:rPr>
        <w:t>20.3 在磋商过程中，供应商按磋商文件规定和磋商小组要求</w:t>
      </w:r>
      <w:r>
        <w:rPr>
          <w:rFonts w:hint="eastAsia" w:hAnsi="宋体" w:cs="宋体"/>
          <w:color w:val="auto"/>
          <w:kern w:val="0"/>
        </w:rPr>
        <w:t>提交的</w:t>
      </w:r>
      <w:r>
        <w:rPr>
          <w:rFonts w:hint="eastAsia" w:hAnsi="宋体"/>
          <w:color w:val="auto"/>
        </w:rPr>
        <w:t>最后报价(或者</w:t>
      </w:r>
      <w:r>
        <w:rPr>
          <w:rFonts w:hint="eastAsia" w:hAnsi="宋体"/>
          <w:bCs/>
          <w:color w:val="auto"/>
        </w:rPr>
        <w:t>重</w:t>
      </w:r>
      <w:r>
        <w:rPr>
          <w:rFonts w:hint="eastAsia" w:hAnsi="宋体" w:cs="宋体"/>
          <w:color w:val="auto"/>
          <w:kern w:val="0"/>
        </w:rPr>
        <w:t>新提交的响应文件和</w:t>
      </w:r>
      <w:r>
        <w:rPr>
          <w:rFonts w:hint="eastAsia" w:hAnsi="宋体"/>
          <w:color w:val="auto"/>
        </w:rPr>
        <w:t>最后报价)，一式两份，可打印或用不退色墨水书写，但需经法定代表人或其委托代理人签字，</w:t>
      </w:r>
      <w:r>
        <w:rPr>
          <w:rFonts w:hint="eastAsia" w:hAnsi="宋体" w:cs="宋体"/>
          <w:color w:val="auto"/>
          <w:kern w:val="0"/>
        </w:rPr>
        <w:t>或者加盖供应商单位章</w:t>
      </w:r>
      <w:r>
        <w:rPr>
          <w:rFonts w:hint="eastAsia" w:hAnsi="宋体"/>
          <w:color w:val="auto"/>
        </w:rPr>
        <w:t>。否则，将导致响应文件无效。</w:t>
      </w:r>
    </w:p>
    <w:p w14:paraId="5535E958">
      <w:pPr>
        <w:pStyle w:val="28"/>
        <w:adjustRightInd w:val="0"/>
        <w:snapToGrid w:val="0"/>
        <w:spacing w:line="360" w:lineRule="auto"/>
        <w:ind w:firstLine="420" w:firstLineChars="200"/>
        <w:rPr>
          <w:rFonts w:hAnsi="宋体"/>
          <w:b/>
          <w:color w:val="auto"/>
        </w:rPr>
      </w:pPr>
      <w:r>
        <w:rPr>
          <w:rFonts w:hint="eastAsia" w:hAnsi="宋体"/>
          <w:bCs/>
          <w:color w:val="auto"/>
        </w:rPr>
        <w:t>20.4</w:t>
      </w:r>
      <w:r>
        <w:rPr>
          <w:rFonts w:hint="eastAsia" w:hAnsi="宋体"/>
          <w:bCs/>
          <w:color w:val="auto"/>
          <w:lang w:val="en-GB"/>
        </w:rPr>
        <w:t>供应商在递交响应文件的同时须提交与响应文件正本（盖章签字）一致的电子文件一份（</w:t>
      </w:r>
      <w:r>
        <w:rPr>
          <w:rFonts w:hint="eastAsia" w:hAnsi="宋体"/>
          <w:bCs/>
          <w:color w:val="auto"/>
        </w:rPr>
        <w:t>PDF格式</w:t>
      </w:r>
      <w:r>
        <w:rPr>
          <w:rFonts w:hint="eastAsia" w:hAnsi="宋体"/>
          <w:bCs/>
          <w:color w:val="auto"/>
          <w:lang w:val="en-GB"/>
        </w:rPr>
        <w:t>U盘存储）</w:t>
      </w:r>
      <w:r>
        <w:rPr>
          <w:rFonts w:hint="eastAsia" w:hAnsi="宋体"/>
          <w:bCs/>
          <w:color w:val="auto"/>
        </w:rPr>
        <w:t>，并能正常读取、拷贝，否则将按不合格供应商处理。</w:t>
      </w:r>
    </w:p>
    <w:p w14:paraId="471677DB">
      <w:pPr>
        <w:adjustRightInd w:val="0"/>
        <w:snapToGrid w:val="0"/>
        <w:spacing w:line="360" w:lineRule="auto"/>
        <w:rPr>
          <w:rFonts w:ascii="宋体" w:hAnsi="宋体"/>
          <w:b/>
          <w:color w:val="auto"/>
          <w:sz w:val="24"/>
        </w:rPr>
      </w:pPr>
      <w:r>
        <w:rPr>
          <w:rFonts w:hint="eastAsia" w:ascii="宋体" w:hAnsi="宋体"/>
          <w:b/>
          <w:color w:val="auto"/>
          <w:sz w:val="24"/>
        </w:rPr>
        <w:t>四、响应文件的递交</w:t>
      </w:r>
    </w:p>
    <w:p w14:paraId="652A2792">
      <w:pPr>
        <w:adjustRightInd w:val="0"/>
        <w:snapToGrid w:val="0"/>
        <w:spacing w:line="360" w:lineRule="auto"/>
        <w:rPr>
          <w:rFonts w:ascii="宋体" w:hAnsi="宋体" w:cs="宋体"/>
          <w:bCs/>
          <w:color w:val="auto"/>
          <w:szCs w:val="21"/>
        </w:rPr>
      </w:pPr>
      <w:r>
        <w:rPr>
          <w:rFonts w:hint="eastAsia" w:ascii="宋体" w:hAnsi="宋体" w:cs="宋体"/>
          <w:bCs/>
          <w:color w:val="auto"/>
          <w:szCs w:val="21"/>
        </w:rPr>
        <w:t>21.响应文件的密封和标记</w:t>
      </w:r>
    </w:p>
    <w:p w14:paraId="06B1FF39">
      <w:pPr>
        <w:pStyle w:val="28"/>
        <w:adjustRightInd w:val="0"/>
        <w:snapToGrid w:val="0"/>
        <w:spacing w:line="360" w:lineRule="auto"/>
        <w:ind w:firstLine="420" w:firstLineChars="200"/>
        <w:rPr>
          <w:rFonts w:hAnsi="宋体" w:cs="宋体"/>
          <w:bCs/>
          <w:color w:val="auto"/>
        </w:rPr>
      </w:pPr>
      <w:r>
        <w:rPr>
          <w:rFonts w:hint="eastAsia" w:hAnsi="宋体" w:cs="宋体"/>
          <w:bCs/>
          <w:color w:val="auto"/>
        </w:rPr>
        <w:t>21.1各供应商必须将响应文件正本、副本、电子文件，各自单独密封、加贴封条，并在封套的封口处盖供应商单位公章或由法定代表人或其委托代理人签字，一并递交，不得混装。</w:t>
      </w:r>
    </w:p>
    <w:p w14:paraId="1C7A5A38">
      <w:pPr>
        <w:adjustRightInd w:val="0"/>
        <w:snapToGrid w:val="0"/>
        <w:spacing w:line="440" w:lineRule="exact"/>
        <w:ind w:firstLine="420" w:firstLineChars="200"/>
        <w:rPr>
          <w:rFonts w:ascii="宋体" w:hAnsi="宋体"/>
          <w:b/>
          <w:color w:val="auto"/>
          <w:szCs w:val="21"/>
        </w:rPr>
      </w:pPr>
      <w:r>
        <w:rPr>
          <w:rFonts w:hint="eastAsia" w:ascii="宋体" w:hAnsi="宋体" w:cs="宋体"/>
          <w:color w:val="auto"/>
        </w:rPr>
        <w:t>21.2</w:t>
      </w:r>
      <w:r>
        <w:rPr>
          <w:rFonts w:hint="eastAsia" w:hAnsi="宋体"/>
          <w:color w:val="auto"/>
        </w:rPr>
        <w:t>最后报价是磋商文件的一部分，由各供应商先行加盖公章，但</w:t>
      </w:r>
      <w:r>
        <w:rPr>
          <w:rFonts w:hint="eastAsia" w:ascii="宋体" w:hAnsi="宋体"/>
          <w:color w:val="auto"/>
          <w:szCs w:val="21"/>
        </w:rPr>
        <w:t>不得装订入响应文件中，由各供应商参加磋商的授权代表带至磋商现场，磋商后填写，</w:t>
      </w:r>
      <w:r>
        <w:rPr>
          <w:rFonts w:hint="eastAsia" w:hAnsi="宋体"/>
          <w:bCs/>
          <w:color w:val="auto"/>
        </w:rPr>
        <w:t>否则将按不合格供应商处理。</w:t>
      </w:r>
    </w:p>
    <w:p w14:paraId="661D96A9">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21.3响应文件封套上应写明的内容见</w:t>
      </w:r>
      <w:r>
        <w:rPr>
          <w:rFonts w:hint="eastAsia" w:ascii="宋体" w:hAnsi="宋体"/>
          <w:b/>
          <w:color w:val="auto"/>
          <w:szCs w:val="21"/>
        </w:rPr>
        <w:t>磋商须知前附表。</w:t>
      </w:r>
    </w:p>
    <w:p w14:paraId="6CBAEC48">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21.4响应文件如果未按上述规定密封和加写标记或混装的，采购人或采购代理机构将拒绝接收。</w:t>
      </w:r>
    </w:p>
    <w:p w14:paraId="7332C16A">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21.5响应文件递交地点：见磋商须知前附表之规定。</w:t>
      </w:r>
    </w:p>
    <w:p w14:paraId="20ED25C0">
      <w:pPr>
        <w:adjustRightInd w:val="0"/>
        <w:snapToGrid w:val="0"/>
        <w:spacing w:line="360" w:lineRule="auto"/>
        <w:rPr>
          <w:rFonts w:ascii="宋体" w:hAnsi="宋体"/>
          <w:b/>
          <w:bCs/>
          <w:color w:val="auto"/>
          <w:szCs w:val="21"/>
        </w:rPr>
      </w:pPr>
      <w:r>
        <w:rPr>
          <w:rFonts w:hint="eastAsia" w:ascii="宋体" w:hAnsi="宋体"/>
          <w:b/>
          <w:bCs/>
          <w:color w:val="auto"/>
          <w:szCs w:val="21"/>
        </w:rPr>
        <w:t>22.响应文件的</w:t>
      </w:r>
      <w:r>
        <w:rPr>
          <w:rFonts w:hint="eastAsia" w:ascii="宋体" w:hAnsi="宋体" w:cs="宋体"/>
          <w:b/>
          <w:color w:val="auto"/>
          <w:kern w:val="0"/>
          <w:szCs w:val="21"/>
          <w:lang w:val="zh-CN"/>
        </w:rPr>
        <w:t>补充、修改或者撤回</w:t>
      </w:r>
    </w:p>
    <w:p w14:paraId="77026754">
      <w:pPr>
        <w:pStyle w:val="28"/>
        <w:adjustRightInd w:val="0"/>
        <w:snapToGrid w:val="0"/>
        <w:spacing w:line="360" w:lineRule="auto"/>
        <w:ind w:firstLine="420" w:firstLineChars="200"/>
        <w:rPr>
          <w:rFonts w:hAnsi="宋体"/>
          <w:color w:val="auto"/>
        </w:rPr>
      </w:pPr>
      <w:r>
        <w:rPr>
          <w:rFonts w:hint="eastAsia" w:hAnsi="宋体"/>
          <w:color w:val="auto"/>
        </w:rPr>
        <w:t>22.1</w:t>
      </w:r>
      <w:r>
        <w:rPr>
          <w:rFonts w:hint="eastAsia" w:hAnsi="宋体" w:cs="宋体"/>
          <w:color w:val="auto"/>
          <w:kern w:val="0"/>
        </w:rPr>
        <w:t>供应商在</w:t>
      </w:r>
      <w:r>
        <w:rPr>
          <w:rFonts w:hint="eastAsia" w:hAnsi="宋体"/>
          <w:color w:val="auto"/>
        </w:rPr>
        <w:t>本章第12.1</w:t>
      </w:r>
      <w:r>
        <w:rPr>
          <w:rFonts w:hint="eastAsia" w:hAnsi="宋体" w:cs="宋体"/>
          <w:color w:val="auto"/>
          <w:kern w:val="0"/>
          <w:lang w:val="zh-CN"/>
        </w:rPr>
        <w:t>款</w:t>
      </w:r>
      <w:r>
        <w:rPr>
          <w:rFonts w:hint="eastAsia" w:hAnsi="宋体"/>
          <w:color w:val="auto"/>
        </w:rPr>
        <w:t>规定的</w:t>
      </w:r>
      <w:r>
        <w:rPr>
          <w:rFonts w:hint="eastAsia" w:hAnsi="宋体" w:cs="宋体"/>
          <w:color w:val="auto"/>
          <w:kern w:val="0"/>
        </w:rPr>
        <w:t>提交首次响应文件截止时间前，可以对所提交的首次响应文件进行补充、修改或者撤回，并书面通知采购人、采购代理机构。</w:t>
      </w:r>
      <w:r>
        <w:rPr>
          <w:rFonts w:hint="eastAsia" w:hAnsi="宋体"/>
          <w:color w:val="auto"/>
        </w:rPr>
        <w:t>该通知应有供应商法定代表人或其委托代理人签字。</w:t>
      </w:r>
    </w:p>
    <w:p w14:paraId="64AD9663">
      <w:pPr>
        <w:pStyle w:val="28"/>
        <w:adjustRightInd w:val="0"/>
        <w:snapToGrid w:val="0"/>
        <w:spacing w:line="360" w:lineRule="auto"/>
        <w:ind w:firstLine="420" w:firstLineChars="200"/>
        <w:rPr>
          <w:rFonts w:hAnsi="宋体"/>
          <w:color w:val="auto"/>
        </w:rPr>
      </w:pPr>
      <w:r>
        <w:rPr>
          <w:rFonts w:hint="eastAsia" w:hAnsi="宋体"/>
          <w:color w:val="auto"/>
        </w:rPr>
        <w:t>22.2</w:t>
      </w:r>
      <w:r>
        <w:rPr>
          <w:rFonts w:hint="eastAsia" w:hAnsi="宋体" w:cs="宋体"/>
          <w:color w:val="auto"/>
          <w:kern w:val="0"/>
          <w:lang w:val="zh-CN"/>
        </w:rPr>
        <w:t>补充、修改的内容与响应文件不一致时，以补充、修改的内容为准。</w:t>
      </w:r>
    </w:p>
    <w:p w14:paraId="154F24BF">
      <w:pPr>
        <w:adjustRightInd w:val="0"/>
        <w:snapToGrid w:val="0"/>
        <w:spacing w:line="360" w:lineRule="auto"/>
        <w:rPr>
          <w:rFonts w:ascii="宋体" w:hAnsi="宋体"/>
          <w:b/>
          <w:bCs/>
          <w:color w:val="auto"/>
          <w:szCs w:val="21"/>
        </w:rPr>
      </w:pPr>
      <w:r>
        <w:rPr>
          <w:rFonts w:hint="eastAsia" w:ascii="宋体" w:hAnsi="宋体"/>
          <w:b/>
          <w:bCs/>
          <w:color w:val="auto"/>
          <w:szCs w:val="21"/>
        </w:rPr>
        <w:t>23.响应文件的递交与接收</w:t>
      </w:r>
    </w:p>
    <w:p w14:paraId="3189CE0F">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23.1 供应商应在</w:t>
      </w:r>
      <w:r>
        <w:rPr>
          <w:rFonts w:hint="eastAsia" w:ascii="宋体" w:hAnsi="宋体"/>
          <w:color w:val="auto"/>
        </w:rPr>
        <w:t>本章第12.1</w:t>
      </w:r>
      <w:r>
        <w:rPr>
          <w:rFonts w:hint="eastAsia" w:ascii="宋体" w:hAnsi="宋体" w:cs="宋体"/>
          <w:color w:val="auto"/>
          <w:kern w:val="0"/>
          <w:szCs w:val="21"/>
          <w:lang w:val="zh-CN"/>
        </w:rPr>
        <w:t>款</w:t>
      </w:r>
      <w:r>
        <w:rPr>
          <w:rFonts w:hint="eastAsia" w:ascii="宋体" w:hAnsi="宋体"/>
          <w:color w:val="auto"/>
        </w:rPr>
        <w:t>规定的</w:t>
      </w:r>
      <w:r>
        <w:rPr>
          <w:rFonts w:hint="eastAsia" w:ascii="宋体" w:hAnsi="宋体" w:cs="宋体"/>
          <w:color w:val="auto"/>
          <w:kern w:val="0"/>
          <w:szCs w:val="21"/>
        </w:rPr>
        <w:t>提交首次响应文件截止时间</w:t>
      </w:r>
      <w:r>
        <w:rPr>
          <w:rFonts w:hint="eastAsia" w:ascii="宋体" w:hAnsi="宋体"/>
          <w:color w:val="auto"/>
          <w:szCs w:val="21"/>
        </w:rPr>
        <w:t>前，将响应文件送</w:t>
      </w:r>
      <w:r>
        <w:rPr>
          <w:rFonts w:hint="eastAsia" w:ascii="宋体" w:hAnsi="宋体" w:cs="Arial"/>
          <w:color w:val="auto"/>
          <w:szCs w:val="21"/>
        </w:rPr>
        <w:t>达</w:t>
      </w:r>
      <w:r>
        <w:rPr>
          <w:rFonts w:hint="eastAsia" w:ascii="宋体" w:hAnsi="宋体"/>
          <w:b/>
          <w:color w:val="auto"/>
          <w:szCs w:val="21"/>
        </w:rPr>
        <w:t>磋商须知前附表</w:t>
      </w:r>
      <w:r>
        <w:rPr>
          <w:rFonts w:hint="eastAsia" w:ascii="宋体" w:hAnsi="宋体"/>
          <w:color w:val="auto"/>
          <w:szCs w:val="21"/>
        </w:rPr>
        <w:t>中指定的地点。</w:t>
      </w:r>
      <w:r>
        <w:rPr>
          <w:rFonts w:hint="eastAsia" w:ascii="宋体" w:hAnsi="宋体" w:cs="宋体"/>
          <w:color w:val="auto"/>
          <w:kern w:val="0"/>
        </w:rPr>
        <w:t>在截止时间后送达的响应文件，采购人、采购代理机构或者磋商小组应当拒收。</w:t>
      </w:r>
    </w:p>
    <w:p w14:paraId="56CEC496">
      <w:pPr>
        <w:pStyle w:val="28"/>
        <w:adjustRightInd w:val="0"/>
        <w:snapToGrid w:val="0"/>
        <w:spacing w:line="360" w:lineRule="auto"/>
        <w:ind w:firstLine="420" w:firstLineChars="200"/>
        <w:rPr>
          <w:rFonts w:hAnsi="宋体"/>
          <w:color w:val="auto"/>
        </w:rPr>
      </w:pPr>
      <w:r>
        <w:rPr>
          <w:rFonts w:hint="eastAsia" w:hAnsi="宋体"/>
          <w:color w:val="auto"/>
        </w:rPr>
        <w:t>23.2</w:t>
      </w:r>
      <w:r>
        <w:rPr>
          <w:rFonts w:hint="eastAsia" w:hAnsi="宋体" w:cs="宋体"/>
          <w:color w:val="auto"/>
          <w:kern w:val="0"/>
        </w:rPr>
        <w:t>在</w:t>
      </w:r>
      <w:r>
        <w:rPr>
          <w:rFonts w:hint="eastAsia" w:hAnsi="宋体"/>
          <w:color w:val="auto"/>
        </w:rPr>
        <w:t>本章第12.1</w:t>
      </w:r>
      <w:r>
        <w:rPr>
          <w:rFonts w:hint="eastAsia" w:hAnsi="宋体" w:cs="宋体"/>
          <w:color w:val="auto"/>
          <w:kern w:val="0"/>
          <w:lang w:val="zh-CN"/>
        </w:rPr>
        <w:t>款</w:t>
      </w:r>
      <w:r>
        <w:rPr>
          <w:rFonts w:hint="eastAsia" w:hAnsi="宋体"/>
          <w:color w:val="auto"/>
        </w:rPr>
        <w:t>规定的</w:t>
      </w:r>
      <w:r>
        <w:rPr>
          <w:rFonts w:hint="eastAsia" w:hAnsi="宋体" w:cs="宋体"/>
          <w:color w:val="auto"/>
          <w:kern w:val="0"/>
        </w:rPr>
        <w:t>提交首次响应文件截止时间后，</w:t>
      </w:r>
      <w:r>
        <w:rPr>
          <w:rFonts w:hint="eastAsia" w:hAnsi="宋体"/>
          <w:color w:val="auto"/>
        </w:rPr>
        <w:t>由</w:t>
      </w:r>
      <w:r>
        <w:rPr>
          <w:rFonts w:hint="eastAsia" w:hAnsi="宋体"/>
          <w:bCs/>
          <w:color w:val="auto"/>
        </w:rPr>
        <w:t>供应商代表</w:t>
      </w:r>
      <w:r>
        <w:rPr>
          <w:rFonts w:hint="eastAsia" w:hAnsi="宋体"/>
          <w:color w:val="auto"/>
        </w:rPr>
        <w:t>当场查验</w:t>
      </w:r>
      <w:r>
        <w:rPr>
          <w:rFonts w:hint="eastAsia" w:hAnsi="宋体"/>
          <w:bCs/>
          <w:color w:val="auto"/>
        </w:rPr>
        <w:t>响应文件</w:t>
      </w:r>
      <w:r>
        <w:rPr>
          <w:rFonts w:hint="eastAsia" w:hAnsi="宋体"/>
          <w:color w:val="auto"/>
        </w:rPr>
        <w:t>的密封状况，采购人或</w:t>
      </w:r>
      <w:r>
        <w:rPr>
          <w:rFonts w:hint="eastAsia" w:hAnsi="宋体"/>
          <w:bCs/>
          <w:color w:val="auto"/>
        </w:rPr>
        <w:t>采购代理机构</w:t>
      </w:r>
      <w:r>
        <w:rPr>
          <w:rFonts w:hint="eastAsia" w:hAnsi="宋体"/>
          <w:color w:val="auto"/>
        </w:rPr>
        <w:t>不当场拆封</w:t>
      </w:r>
      <w:r>
        <w:rPr>
          <w:rFonts w:hint="eastAsia" w:hAnsi="宋体"/>
          <w:bCs/>
          <w:color w:val="auto"/>
        </w:rPr>
        <w:t>响应文件</w:t>
      </w:r>
      <w:r>
        <w:rPr>
          <w:rFonts w:hint="eastAsia" w:hAnsi="宋体"/>
          <w:color w:val="auto"/>
        </w:rPr>
        <w:t>。</w:t>
      </w:r>
    </w:p>
    <w:p w14:paraId="5A678479">
      <w:pPr>
        <w:adjustRightInd w:val="0"/>
        <w:snapToGrid w:val="0"/>
        <w:spacing w:line="360" w:lineRule="auto"/>
        <w:rPr>
          <w:rFonts w:ascii="宋体" w:hAnsi="宋体"/>
          <w:b/>
          <w:color w:val="auto"/>
          <w:sz w:val="24"/>
        </w:rPr>
      </w:pPr>
      <w:r>
        <w:rPr>
          <w:rFonts w:hint="eastAsia" w:ascii="宋体" w:hAnsi="宋体"/>
          <w:b/>
          <w:color w:val="auto"/>
          <w:sz w:val="24"/>
        </w:rPr>
        <w:t>五、响应文件的评审与磋商</w:t>
      </w:r>
    </w:p>
    <w:p w14:paraId="1C99D64C">
      <w:pPr>
        <w:tabs>
          <w:tab w:val="left" w:pos="0"/>
        </w:tabs>
        <w:adjustRightInd w:val="0"/>
        <w:snapToGrid w:val="0"/>
        <w:spacing w:line="360" w:lineRule="auto"/>
        <w:rPr>
          <w:rFonts w:ascii="宋体" w:hAnsi="宋体"/>
          <w:b/>
          <w:bCs/>
          <w:color w:val="auto"/>
          <w:szCs w:val="21"/>
        </w:rPr>
      </w:pPr>
      <w:r>
        <w:rPr>
          <w:rFonts w:hint="eastAsia" w:ascii="宋体" w:hAnsi="宋体"/>
          <w:b/>
          <w:bCs/>
          <w:color w:val="auto"/>
          <w:szCs w:val="21"/>
        </w:rPr>
        <w:t>24、磋商程序</w:t>
      </w:r>
    </w:p>
    <w:p w14:paraId="6B14A83B">
      <w:pPr>
        <w:tabs>
          <w:tab w:val="left" w:pos="0"/>
        </w:tabs>
        <w:adjustRightInd w:val="0"/>
        <w:snapToGrid w:val="0"/>
        <w:spacing w:line="360" w:lineRule="auto"/>
        <w:ind w:firstLine="308" w:firstLineChars="147"/>
        <w:rPr>
          <w:rFonts w:ascii="宋体" w:hAnsi="宋体"/>
          <w:b/>
          <w:bCs/>
          <w:color w:val="auto"/>
          <w:szCs w:val="21"/>
        </w:rPr>
      </w:pPr>
      <w:r>
        <w:rPr>
          <w:rFonts w:hint="eastAsia" w:ascii="宋体" w:hAnsi="宋体" w:cs="宋体"/>
          <w:color w:val="auto"/>
          <w:kern w:val="0"/>
          <w:szCs w:val="21"/>
        </w:rPr>
        <w:t>供应商资格审查、磋商（包括澄清、符合性评审查）、最后报价、综合评分、</w:t>
      </w:r>
      <w:r>
        <w:rPr>
          <w:rFonts w:hint="eastAsia" w:ascii="宋体" w:hAnsi="宋体"/>
          <w:bCs/>
          <w:color w:val="auto"/>
          <w:szCs w:val="21"/>
        </w:rPr>
        <w:t>提出成交候选供应商名单。其中，</w:t>
      </w:r>
      <w:r>
        <w:rPr>
          <w:rFonts w:hint="eastAsia" w:ascii="宋体" w:hAnsi="宋体" w:cs="宋体"/>
          <w:color w:val="auto"/>
          <w:kern w:val="0"/>
          <w:szCs w:val="21"/>
        </w:rPr>
        <w:t>磋商按</w:t>
      </w:r>
      <w:r>
        <w:rPr>
          <w:rFonts w:hint="eastAsia" w:ascii="宋体" w:hAnsi="宋体"/>
          <w:color w:val="auto"/>
          <w:szCs w:val="21"/>
        </w:rPr>
        <w:t>本章第29.1</w:t>
      </w:r>
      <w:r>
        <w:rPr>
          <w:rFonts w:hint="eastAsia" w:ascii="宋体" w:hAnsi="宋体" w:cs="宋体"/>
          <w:color w:val="auto"/>
          <w:kern w:val="0"/>
          <w:szCs w:val="21"/>
          <w:lang w:val="zh-CN"/>
        </w:rPr>
        <w:t>款或者</w:t>
      </w:r>
      <w:r>
        <w:rPr>
          <w:rFonts w:hint="eastAsia" w:ascii="宋体" w:hAnsi="宋体"/>
          <w:color w:val="auto"/>
          <w:szCs w:val="21"/>
        </w:rPr>
        <w:t>第29.2</w:t>
      </w:r>
      <w:r>
        <w:rPr>
          <w:rFonts w:hint="eastAsia" w:ascii="宋体" w:hAnsi="宋体" w:cs="宋体"/>
          <w:color w:val="auto"/>
          <w:kern w:val="0"/>
          <w:szCs w:val="21"/>
          <w:lang w:val="zh-CN"/>
        </w:rPr>
        <w:t>款</w:t>
      </w:r>
      <w:r>
        <w:rPr>
          <w:rFonts w:hint="eastAsia" w:ascii="宋体" w:hAnsi="宋体"/>
          <w:color w:val="auto"/>
          <w:szCs w:val="21"/>
        </w:rPr>
        <w:t>情形</w:t>
      </w:r>
      <w:r>
        <w:rPr>
          <w:rFonts w:hint="eastAsia" w:ascii="宋体" w:hAnsi="宋体"/>
          <w:bCs/>
          <w:color w:val="auto"/>
          <w:szCs w:val="21"/>
        </w:rPr>
        <w:t>进行。</w:t>
      </w:r>
    </w:p>
    <w:p w14:paraId="14FFCF00">
      <w:pPr>
        <w:adjustRightInd w:val="0"/>
        <w:snapToGrid w:val="0"/>
        <w:spacing w:before="156" w:beforeLines="50" w:line="360" w:lineRule="auto"/>
        <w:rPr>
          <w:rFonts w:ascii="宋体" w:hAnsi="宋体"/>
          <w:b/>
          <w:bCs/>
          <w:color w:val="auto"/>
          <w:szCs w:val="21"/>
        </w:rPr>
      </w:pPr>
      <w:r>
        <w:rPr>
          <w:rFonts w:hint="eastAsia" w:ascii="宋体" w:hAnsi="宋体"/>
          <w:b/>
          <w:bCs/>
          <w:color w:val="auto"/>
          <w:szCs w:val="21"/>
        </w:rPr>
        <w:t>25.磋商小组</w:t>
      </w:r>
    </w:p>
    <w:p w14:paraId="642034AE">
      <w:pPr>
        <w:adjustRightInd w:val="0"/>
        <w:snapToGrid w:val="0"/>
        <w:spacing w:before="156" w:beforeLines="50" w:line="360" w:lineRule="auto"/>
        <w:ind w:firstLine="420" w:firstLineChars="200"/>
        <w:jc w:val="left"/>
        <w:rPr>
          <w:rFonts w:ascii="宋体" w:hAnsi="宋体"/>
          <w:color w:val="auto"/>
          <w:szCs w:val="21"/>
        </w:rPr>
      </w:pPr>
      <w:r>
        <w:rPr>
          <w:rFonts w:hint="eastAsia" w:ascii="宋体" w:hAnsi="宋体"/>
          <w:bCs/>
          <w:color w:val="auto"/>
          <w:szCs w:val="21"/>
        </w:rPr>
        <w:t>25.1 采购人与采购代理机构将根据采购项目的特点依法组建磋商小组，其成员由评审</w:t>
      </w:r>
      <w:r>
        <w:rPr>
          <w:rFonts w:hint="eastAsia" w:ascii="宋体" w:hAnsi="宋体"/>
          <w:color w:val="auto"/>
          <w:szCs w:val="21"/>
        </w:rPr>
        <w:t>专家和采购人的代表组成。磋商小组负责对供应商资格进行核查；对响应文件进行审查；与供应商进行磋商、对报价进行评价、根据综合评分法对提交最后报价的供应商的响应文件和最后报价进行综合评分、推荐成交供应商。</w:t>
      </w:r>
    </w:p>
    <w:p w14:paraId="6B3AAC0A">
      <w:pPr>
        <w:tabs>
          <w:tab w:val="left" w:pos="0"/>
        </w:tabs>
        <w:adjustRightInd w:val="0"/>
        <w:snapToGrid w:val="0"/>
        <w:spacing w:before="156" w:beforeLines="50" w:line="360" w:lineRule="auto"/>
        <w:rPr>
          <w:rFonts w:ascii="宋体" w:hAnsi="宋体"/>
          <w:b/>
          <w:color w:val="auto"/>
          <w:szCs w:val="21"/>
        </w:rPr>
      </w:pPr>
      <w:r>
        <w:rPr>
          <w:rFonts w:hint="eastAsia" w:ascii="宋体" w:hAnsi="宋体"/>
          <w:b/>
          <w:color w:val="auto"/>
          <w:szCs w:val="21"/>
        </w:rPr>
        <w:t>26.供应商的</w:t>
      </w:r>
      <w:r>
        <w:rPr>
          <w:rFonts w:hint="eastAsia" w:ascii="宋体" w:hAnsi="宋体"/>
          <w:b/>
          <w:bCs/>
          <w:color w:val="auto"/>
          <w:szCs w:val="21"/>
        </w:rPr>
        <w:t>资格</w:t>
      </w:r>
      <w:r>
        <w:rPr>
          <w:rFonts w:hint="eastAsia" w:ascii="宋体" w:hAnsi="宋体"/>
          <w:b/>
          <w:color w:val="auto"/>
          <w:szCs w:val="21"/>
        </w:rPr>
        <w:t>核查</w:t>
      </w:r>
    </w:p>
    <w:p w14:paraId="550FBE6B">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26.1 磋商小组根据磋商文件规定的供应商资格条件要求，对</w:t>
      </w:r>
      <w:r>
        <w:rPr>
          <w:rFonts w:hint="eastAsia" w:ascii="宋体" w:hAnsi="宋体"/>
          <w:color w:val="auto"/>
        </w:rPr>
        <w:t>响应</w:t>
      </w:r>
      <w:r>
        <w:rPr>
          <w:rFonts w:hint="eastAsia" w:ascii="宋体" w:hAnsi="宋体"/>
          <w:color w:val="auto"/>
          <w:szCs w:val="21"/>
        </w:rPr>
        <w:t>文件进行资格核查。供应商不满足资格条件的，在评审时将其视为无效响应。</w:t>
      </w:r>
    </w:p>
    <w:p w14:paraId="597A8951">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26.2磋商小组可以要求供应商提交有关证明和证件的原件以便核验。</w:t>
      </w:r>
    </w:p>
    <w:p w14:paraId="4E9A4B0A">
      <w:pPr>
        <w:widowControl/>
        <w:adjustRightInd w:val="0"/>
        <w:snapToGrid w:val="0"/>
        <w:spacing w:line="360" w:lineRule="auto"/>
        <w:jc w:val="left"/>
        <w:rPr>
          <w:rFonts w:ascii="宋体" w:hAnsi="宋体" w:cs="宋体"/>
          <w:b/>
          <w:color w:val="auto"/>
          <w:kern w:val="0"/>
          <w:szCs w:val="21"/>
        </w:rPr>
      </w:pPr>
      <w:r>
        <w:rPr>
          <w:rFonts w:hint="eastAsia" w:ascii="宋体" w:hAnsi="宋体" w:cs="宋体"/>
          <w:b/>
          <w:color w:val="auto"/>
          <w:kern w:val="0"/>
          <w:szCs w:val="21"/>
        </w:rPr>
        <w:t>27.澄清</w:t>
      </w:r>
    </w:p>
    <w:p w14:paraId="668AFE33">
      <w:pPr>
        <w:widowControl/>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27.1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供应商的澄清、说明或者更正不得超出磋商文件的范围或者改变响应文件的实质性内容。</w:t>
      </w:r>
    </w:p>
    <w:p w14:paraId="47FC551A">
      <w:pPr>
        <w:widowControl/>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27.2 最后报价计算错误修正的原则：最后报价</w:t>
      </w:r>
      <w:r>
        <w:rPr>
          <w:rFonts w:hint="eastAsia" w:ascii="宋体" w:hAnsi="宋体" w:cs="Arial"/>
          <w:color w:val="auto"/>
          <w:kern w:val="0"/>
          <w:szCs w:val="21"/>
        </w:rPr>
        <w:t>的大写金额和小写金额不一致的，以大写金额为准；总价金额与按分项报价汇总金额不一致的，以分项报价金额计算结果为准；分项报价金额小数点有明显错位的，应以总价为准，并修改分项报价。</w:t>
      </w:r>
    </w:p>
    <w:p w14:paraId="2BA2F1C0">
      <w:pPr>
        <w:widowControl/>
        <w:adjustRightInd w:val="0"/>
        <w:snapToGrid w:val="0"/>
        <w:spacing w:line="360" w:lineRule="auto"/>
        <w:jc w:val="left"/>
        <w:rPr>
          <w:rFonts w:ascii="宋体" w:hAnsi="宋体" w:cs="宋体"/>
          <w:b/>
          <w:color w:val="auto"/>
          <w:kern w:val="0"/>
          <w:szCs w:val="21"/>
        </w:rPr>
      </w:pPr>
      <w:r>
        <w:rPr>
          <w:rFonts w:hint="eastAsia" w:ascii="宋体" w:hAnsi="宋体" w:cs="宋体"/>
          <w:b/>
          <w:color w:val="auto"/>
          <w:kern w:val="0"/>
          <w:szCs w:val="21"/>
        </w:rPr>
        <w:t>28.符合性审查</w:t>
      </w:r>
    </w:p>
    <w:p w14:paraId="3A75C039">
      <w:pPr>
        <w:adjustRightInd w:val="0"/>
        <w:snapToGrid w:val="0"/>
        <w:spacing w:before="156" w:beforeLines="50" w:line="360" w:lineRule="auto"/>
        <w:ind w:firstLine="420" w:firstLineChars="200"/>
        <w:rPr>
          <w:rFonts w:ascii="宋体" w:hAnsi="宋体"/>
          <w:color w:val="auto"/>
          <w:szCs w:val="21"/>
        </w:rPr>
      </w:pPr>
      <w:r>
        <w:rPr>
          <w:rFonts w:hint="eastAsia" w:ascii="宋体" w:hAnsi="宋体" w:cs="宋体"/>
          <w:color w:val="auto"/>
          <w:kern w:val="0"/>
          <w:szCs w:val="21"/>
        </w:rPr>
        <w:t>28.1磋商小组按照磋商文件的规定，</w:t>
      </w:r>
      <w:r>
        <w:rPr>
          <w:rFonts w:hint="eastAsia" w:ascii="宋体" w:hAnsi="宋体"/>
          <w:bCs/>
          <w:color w:val="auto"/>
          <w:szCs w:val="21"/>
        </w:rPr>
        <w:t>对</w:t>
      </w:r>
      <w:r>
        <w:rPr>
          <w:rFonts w:hint="eastAsia" w:ascii="宋体" w:hAnsi="宋体" w:cs="宋体"/>
          <w:color w:val="auto"/>
          <w:kern w:val="0"/>
          <w:szCs w:val="21"/>
          <w:lang w:val="zh-CN"/>
        </w:rPr>
        <w:t>供应商</w:t>
      </w:r>
      <w:r>
        <w:rPr>
          <w:rFonts w:hint="eastAsia" w:ascii="宋体" w:hAnsi="宋体"/>
          <w:bCs/>
          <w:color w:val="auto"/>
          <w:szCs w:val="21"/>
        </w:rPr>
        <w:t>响应文件进行符合性审查</w:t>
      </w:r>
      <w:r>
        <w:rPr>
          <w:rFonts w:hint="eastAsia" w:ascii="宋体" w:hAnsi="宋体" w:cs="宋体"/>
          <w:color w:val="auto"/>
          <w:kern w:val="0"/>
          <w:szCs w:val="21"/>
        </w:rPr>
        <w:t>。</w:t>
      </w:r>
    </w:p>
    <w:p w14:paraId="563581B0">
      <w:pPr>
        <w:adjustRightInd w:val="0"/>
        <w:snapToGrid w:val="0"/>
        <w:spacing w:before="156" w:beforeLines="50" w:line="360" w:lineRule="auto"/>
        <w:ind w:firstLine="420" w:firstLineChars="200"/>
        <w:rPr>
          <w:rFonts w:ascii="宋体" w:hAnsi="宋体"/>
          <w:bCs/>
          <w:color w:val="auto"/>
          <w:szCs w:val="21"/>
        </w:rPr>
      </w:pPr>
      <w:r>
        <w:rPr>
          <w:rFonts w:hint="eastAsia" w:ascii="宋体" w:hAnsi="宋体"/>
          <w:bCs/>
          <w:color w:val="auto"/>
          <w:szCs w:val="21"/>
        </w:rPr>
        <w:t>28.2</w:t>
      </w:r>
      <w:r>
        <w:rPr>
          <w:rFonts w:hint="eastAsia" w:ascii="宋体" w:hAnsi="宋体" w:cs="宋体"/>
          <w:color w:val="auto"/>
          <w:kern w:val="0"/>
          <w:szCs w:val="21"/>
          <w:lang w:val="zh-CN"/>
        </w:rPr>
        <w:t>供应商</w:t>
      </w:r>
      <w:r>
        <w:rPr>
          <w:rFonts w:hint="eastAsia" w:ascii="宋体" w:hAnsi="宋体"/>
          <w:bCs/>
          <w:color w:val="auto"/>
          <w:szCs w:val="21"/>
        </w:rPr>
        <w:t>响应文件有下列情况之一，</w:t>
      </w:r>
      <w:r>
        <w:rPr>
          <w:rFonts w:hint="eastAsia" w:ascii="宋体" w:hAnsi="宋体" w:cs="宋体"/>
          <w:color w:val="auto"/>
          <w:kern w:val="0"/>
          <w:szCs w:val="21"/>
          <w:lang w:val="zh-CN"/>
        </w:rPr>
        <w:t>其响应文件无效</w:t>
      </w:r>
      <w:r>
        <w:rPr>
          <w:rFonts w:hint="eastAsia" w:ascii="宋体" w:hAnsi="宋体"/>
          <w:bCs/>
          <w:color w:val="auto"/>
          <w:szCs w:val="21"/>
        </w:rPr>
        <w:t>：</w:t>
      </w:r>
    </w:p>
    <w:p w14:paraId="76400A47">
      <w:pPr>
        <w:adjustRightInd w:val="0"/>
        <w:snapToGrid w:val="0"/>
        <w:spacing w:before="156" w:beforeLines="50" w:line="360" w:lineRule="auto"/>
        <w:ind w:firstLine="420" w:firstLineChars="200"/>
        <w:rPr>
          <w:rFonts w:ascii="宋体" w:hAnsi="宋体"/>
          <w:bCs/>
          <w:color w:val="auto"/>
          <w:szCs w:val="21"/>
        </w:rPr>
      </w:pPr>
      <w:r>
        <w:rPr>
          <w:rFonts w:hint="eastAsia" w:ascii="宋体" w:hAnsi="宋体"/>
          <w:bCs/>
          <w:color w:val="auto"/>
          <w:szCs w:val="21"/>
        </w:rPr>
        <w:t>（1）</w:t>
      </w:r>
      <w:r>
        <w:rPr>
          <w:rFonts w:hint="eastAsia" w:ascii="宋体" w:hAnsi="宋体"/>
          <w:color w:val="auto"/>
          <w:szCs w:val="21"/>
        </w:rPr>
        <w:t>应交未交保证金或金额不足、保函有效期不足、保证金形式或保函出证机构不符合磋商文件要求或未按磋商文件要求交纳保证金的；</w:t>
      </w:r>
    </w:p>
    <w:p w14:paraId="656C960C">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color w:val="auto"/>
          <w:szCs w:val="21"/>
        </w:rPr>
      </w:pPr>
      <w:r>
        <w:rPr>
          <w:rFonts w:hint="eastAsia" w:ascii="宋体" w:hAnsi="宋体"/>
          <w:color w:val="auto"/>
          <w:szCs w:val="21"/>
        </w:rPr>
        <w:t>（2）未按照磋商文件规定要求密封、签署、盖章的；</w:t>
      </w:r>
    </w:p>
    <w:p w14:paraId="271D2557">
      <w:pPr>
        <w:adjustRightInd w:val="0"/>
        <w:snapToGrid w:val="0"/>
        <w:spacing w:before="156" w:beforeLines="50" w:line="360" w:lineRule="auto"/>
        <w:ind w:right="-109" w:rightChars="-52" w:firstLine="420" w:firstLineChars="200"/>
        <w:rPr>
          <w:rFonts w:ascii="宋体" w:hAnsi="宋体"/>
          <w:color w:val="auto"/>
          <w:szCs w:val="21"/>
        </w:rPr>
      </w:pPr>
      <w:r>
        <w:rPr>
          <w:rFonts w:hint="eastAsia" w:ascii="宋体" w:hAnsi="宋体"/>
          <w:color w:val="auto"/>
          <w:szCs w:val="21"/>
        </w:rPr>
        <w:t>（3）响应文件有效期不足的；</w:t>
      </w:r>
    </w:p>
    <w:p w14:paraId="085BA069">
      <w:pPr>
        <w:adjustRightInd w:val="0"/>
        <w:snapToGrid w:val="0"/>
        <w:spacing w:before="156" w:beforeLines="50" w:line="360" w:lineRule="auto"/>
        <w:ind w:right="-109" w:rightChars="-52" w:firstLine="420" w:firstLineChars="200"/>
        <w:rPr>
          <w:rFonts w:ascii="宋体" w:hAnsi="宋体"/>
          <w:color w:val="auto"/>
          <w:szCs w:val="21"/>
        </w:rPr>
      </w:pPr>
      <w:r>
        <w:rPr>
          <w:rFonts w:hint="eastAsia" w:ascii="宋体" w:hAnsi="宋体"/>
          <w:color w:val="auto"/>
          <w:szCs w:val="21"/>
        </w:rPr>
        <w:t>（4）报价超过采购预算价的；</w:t>
      </w:r>
    </w:p>
    <w:p w14:paraId="658E7A61">
      <w:pPr>
        <w:adjustRightInd w:val="0"/>
        <w:snapToGrid w:val="0"/>
        <w:spacing w:before="156" w:beforeLines="50" w:line="360" w:lineRule="auto"/>
        <w:ind w:right="-109" w:rightChars="-52" w:firstLine="420" w:firstLineChars="200"/>
        <w:rPr>
          <w:rFonts w:ascii="宋体" w:hAnsi="宋体"/>
          <w:color w:val="auto"/>
          <w:szCs w:val="21"/>
        </w:rPr>
      </w:pPr>
      <w:r>
        <w:rPr>
          <w:rFonts w:hint="eastAsia" w:ascii="宋体" w:hAnsi="宋体"/>
          <w:color w:val="auto"/>
          <w:szCs w:val="21"/>
        </w:rPr>
        <w:t>（5）供应商递交的电子档不符合本磋商文件20.4规定的；</w:t>
      </w:r>
    </w:p>
    <w:p w14:paraId="5CC4A0E9">
      <w:pPr>
        <w:adjustRightInd w:val="0"/>
        <w:snapToGrid w:val="0"/>
        <w:spacing w:before="156" w:beforeLines="50" w:line="360" w:lineRule="auto"/>
        <w:ind w:right="-109" w:rightChars="-52" w:firstLine="420" w:firstLineChars="200"/>
        <w:rPr>
          <w:rFonts w:ascii="宋体" w:hAnsi="宋体"/>
          <w:color w:val="auto"/>
          <w:szCs w:val="21"/>
        </w:rPr>
      </w:pPr>
      <w:r>
        <w:rPr>
          <w:rFonts w:hint="eastAsia" w:ascii="宋体" w:hAnsi="宋体"/>
          <w:color w:val="auto"/>
          <w:szCs w:val="21"/>
        </w:rPr>
        <w:t>（6）不符合磋商文件★条款的；</w:t>
      </w:r>
    </w:p>
    <w:p w14:paraId="02001474">
      <w:pPr>
        <w:adjustRightInd w:val="0"/>
        <w:snapToGrid w:val="0"/>
        <w:spacing w:before="156" w:beforeLines="50" w:line="360" w:lineRule="auto"/>
        <w:ind w:right="-109" w:rightChars="-52" w:firstLine="420" w:firstLineChars="200"/>
        <w:rPr>
          <w:rFonts w:ascii="宋体" w:hAnsi="宋体"/>
          <w:color w:val="auto"/>
          <w:szCs w:val="21"/>
        </w:rPr>
      </w:pPr>
      <w:r>
        <w:rPr>
          <w:rFonts w:hint="eastAsia" w:ascii="宋体" w:hAnsi="宋体"/>
          <w:color w:val="auto"/>
          <w:szCs w:val="21"/>
        </w:rPr>
        <w:t>（7）不符合法律、法规和磋商文件规定或符合本磋商文件其他无效响应条款规定的。</w:t>
      </w:r>
    </w:p>
    <w:p w14:paraId="037AEA6B">
      <w:pPr>
        <w:adjustRightInd w:val="0"/>
        <w:snapToGrid w:val="0"/>
        <w:spacing w:before="156" w:beforeLines="50" w:line="360" w:lineRule="auto"/>
        <w:ind w:right="-109" w:rightChars="-52" w:firstLine="420" w:firstLineChars="200"/>
        <w:rPr>
          <w:rFonts w:ascii="宋体" w:hAnsi="宋体"/>
          <w:color w:val="auto"/>
          <w:szCs w:val="21"/>
        </w:rPr>
      </w:pPr>
      <w:r>
        <w:rPr>
          <w:rFonts w:hint="eastAsia" w:ascii="宋体" w:hAnsi="宋体"/>
          <w:color w:val="auto"/>
          <w:szCs w:val="21"/>
        </w:rPr>
        <w:t>28.3符合性审查结束后，磋商小组所有成员集中与单一供应商分别进行磋商，并给予所有参加磋商采购活动的供应商平等的磋商机会。供应商应派其法定代表人或委托代理人参加磋商。</w:t>
      </w:r>
    </w:p>
    <w:p w14:paraId="70DEB704">
      <w:pPr>
        <w:widowControl/>
        <w:adjustRightInd w:val="0"/>
        <w:snapToGrid w:val="0"/>
        <w:spacing w:line="360" w:lineRule="auto"/>
        <w:jc w:val="left"/>
        <w:rPr>
          <w:rFonts w:ascii="宋体" w:hAnsi="宋体" w:cs="宋体"/>
          <w:b/>
          <w:color w:val="auto"/>
          <w:kern w:val="0"/>
          <w:szCs w:val="21"/>
        </w:rPr>
      </w:pPr>
      <w:r>
        <w:rPr>
          <w:rFonts w:hint="eastAsia" w:ascii="宋体" w:hAnsi="宋体" w:cs="宋体"/>
          <w:b/>
          <w:color w:val="auto"/>
          <w:kern w:val="0"/>
          <w:szCs w:val="21"/>
        </w:rPr>
        <w:t>29.磋商</w:t>
      </w:r>
    </w:p>
    <w:p w14:paraId="29867001">
      <w:pPr>
        <w:widowControl/>
        <w:adjustRightInd w:val="0"/>
        <w:snapToGrid w:val="0"/>
        <w:spacing w:line="360" w:lineRule="auto"/>
        <w:ind w:firstLine="420"/>
        <w:jc w:val="left"/>
        <w:rPr>
          <w:rFonts w:ascii="宋体" w:hAnsi="宋体" w:cs="宋体"/>
          <w:color w:val="auto"/>
          <w:kern w:val="0"/>
          <w:szCs w:val="21"/>
          <w:lang w:val="zh-CN"/>
        </w:rPr>
      </w:pPr>
      <w:r>
        <w:rPr>
          <w:rFonts w:hint="eastAsia" w:ascii="宋体" w:hAnsi="宋体" w:cs="宋体"/>
          <w:color w:val="auto"/>
          <w:kern w:val="0"/>
          <w:szCs w:val="21"/>
        </w:rPr>
        <w:t>29.1对于</w:t>
      </w:r>
      <w:r>
        <w:rPr>
          <w:rFonts w:hint="eastAsia" w:ascii="宋体" w:hAnsi="宋体"/>
          <w:color w:val="auto"/>
        </w:rPr>
        <w:t>本章</w:t>
      </w:r>
      <w:r>
        <w:rPr>
          <w:rFonts w:hint="eastAsia" w:ascii="宋体" w:hAnsi="宋体" w:cs="宋体"/>
          <w:color w:val="auto"/>
          <w:kern w:val="0"/>
          <w:szCs w:val="21"/>
        </w:rPr>
        <w:t>未明确磋商文件实质性变动内容，或者磋商文件明确了可能发生实质性变动内容，但在磋商过程中，</w:t>
      </w:r>
      <w:r>
        <w:rPr>
          <w:rFonts w:hint="eastAsia" w:ascii="宋体" w:hAnsi="宋体"/>
          <w:bCs/>
          <w:color w:val="auto"/>
          <w:szCs w:val="21"/>
        </w:rPr>
        <w:t>磋商小组</w:t>
      </w:r>
      <w:r>
        <w:rPr>
          <w:rFonts w:hint="eastAsia" w:ascii="宋体" w:hAnsi="宋体" w:cs="Arial"/>
          <w:color w:val="auto"/>
          <w:kern w:val="0"/>
          <w:szCs w:val="21"/>
        </w:rPr>
        <w:t>根据磋商</w:t>
      </w:r>
      <w:r>
        <w:rPr>
          <w:rFonts w:hint="eastAsia" w:ascii="宋体" w:hAnsi="宋体" w:cs="宋体"/>
          <w:color w:val="auto"/>
          <w:kern w:val="0"/>
          <w:szCs w:val="21"/>
        </w:rPr>
        <w:t>情况</w:t>
      </w:r>
      <w:r>
        <w:rPr>
          <w:rFonts w:hint="eastAsia" w:ascii="宋体" w:hAnsi="宋体"/>
          <w:bCs/>
          <w:color w:val="auto"/>
          <w:szCs w:val="21"/>
        </w:rPr>
        <w:t>认为</w:t>
      </w:r>
      <w:r>
        <w:rPr>
          <w:rFonts w:hint="eastAsia" w:ascii="宋体" w:hAnsi="宋体" w:cs="宋体"/>
          <w:color w:val="auto"/>
          <w:kern w:val="0"/>
          <w:szCs w:val="21"/>
        </w:rPr>
        <w:t>磋商文件无需发生实质性变动的，磋商小组应当</w:t>
      </w:r>
      <w:r>
        <w:rPr>
          <w:rFonts w:hint="eastAsia" w:ascii="宋体" w:hAnsi="宋体"/>
          <w:color w:val="auto"/>
          <w:szCs w:val="21"/>
        </w:rPr>
        <w:t>根据本章第26款、第28</w:t>
      </w:r>
      <w:r>
        <w:rPr>
          <w:rFonts w:hint="eastAsia" w:ascii="宋体" w:hAnsi="宋体" w:cs="宋体"/>
          <w:color w:val="auto"/>
          <w:kern w:val="0"/>
          <w:szCs w:val="21"/>
          <w:lang w:val="zh-CN"/>
        </w:rPr>
        <w:t>款</w:t>
      </w:r>
      <w:r>
        <w:rPr>
          <w:rFonts w:hint="eastAsia" w:ascii="宋体" w:hAnsi="宋体"/>
          <w:color w:val="auto"/>
          <w:szCs w:val="21"/>
        </w:rPr>
        <w:t>规定</w:t>
      </w:r>
      <w:r>
        <w:rPr>
          <w:rFonts w:hint="eastAsia" w:ascii="宋体" w:hAnsi="宋体" w:cs="宋体"/>
          <w:color w:val="auto"/>
          <w:kern w:val="0"/>
          <w:szCs w:val="21"/>
        </w:rPr>
        <w:t>对供应商提交的响应文件进行资格性、符合性审查，直接与实质性响应磋商文件要求的供应商就价格组织多轮磋商。</w:t>
      </w:r>
    </w:p>
    <w:p w14:paraId="1FB1CC3B">
      <w:pPr>
        <w:widowControl/>
        <w:tabs>
          <w:tab w:val="left" w:pos="1080"/>
          <w:tab w:val="left" w:pos="1260"/>
        </w:tabs>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（1）磋商结束后，磋商小组应当要求所有继续参加磋商的供应商在磋商小组规定时间内提交最后报价。</w:t>
      </w:r>
    </w:p>
    <w:p w14:paraId="35744B0D">
      <w:pPr>
        <w:widowControl/>
        <w:tabs>
          <w:tab w:val="left" w:pos="1080"/>
          <w:tab w:val="left" w:pos="1260"/>
        </w:tabs>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（2）磋商文件明确可能发生实质性变动，但在磋商过程中</w:t>
      </w:r>
      <w:r>
        <w:rPr>
          <w:rFonts w:hint="eastAsia" w:ascii="宋体" w:hAnsi="宋体"/>
          <w:bCs/>
          <w:color w:val="auto"/>
          <w:szCs w:val="21"/>
        </w:rPr>
        <w:t>磋商小组</w:t>
      </w:r>
      <w:r>
        <w:rPr>
          <w:rFonts w:hint="eastAsia" w:ascii="宋体" w:hAnsi="宋体" w:cs="Arial"/>
          <w:color w:val="auto"/>
          <w:kern w:val="0"/>
          <w:szCs w:val="21"/>
        </w:rPr>
        <w:t>根据磋内</w:t>
      </w:r>
      <w:r>
        <w:rPr>
          <w:rFonts w:hint="eastAsia" w:ascii="宋体" w:hAnsi="宋体" w:cs="宋体"/>
          <w:color w:val="auto"/>
          <w:kern w:val="0"/>
          <w:szCs w:val="21"/>
        </w:rPr>
        <w:t>情况</w:t>
      </w:r>
      <w:r>
        <w:rPr>
          <w:rFonts w:hint="eastAsia" w:ascii="宋体" w:hAnsi="宋体"/>
          <w:bCs/>
          <w:color w:val="auto"/>
          <w:szCs w:val="21"/>
        </w:rPr>
        <w:t>认为</w:t>
      </w:r>
      <w:r>
        <w:rPr>
          <w:rFonts w:hint="eastAsia" w:ascii="宋体" w:hAnsi="宋体" w:cs="宋体"/>
          <w:color w:val="auto"/>
          <w:kern w:val="0"/>
          <w:szCs w:val="21"/>
        </w:rPr>
        <w:t>磋商文件无需发生实质性变动的，磋商小组不另行通知。</w:t>
      </w:r>
    </w:p>
    <w:p w14:paraId="224C5875">
      <w:pPr>
        <w:widowControl/>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29.2对于</w:t>
      </w:r>
      <w:r>
        <w:rPr>
          <w:rFonts w:hint="eastAsia" w:ascii="宋体" w:hAnsi="宋体"/>
          <w:color w:val="auto"/>
        </w:rPr>
        <w:t>本章</w:t>
      </w:r>
      <w:r>
        <w:rPr>
          <w:rFonts w:hint="eastAsia" w:ascii="宋体" w:hAnsi="宋体" w:cs="宋体"/>
          <w:color w:val="auto"/>
          <w:kern w:val="0"/>
          <w:szCs w:val="21"/>
        </w:rPr>
        <w:t>明确磋商文件实质性变动内容，且在磋商过程中磋商文件实质性内容发生变动的，</w:t>
      </w:r>
      <w:r>
        <w:rPr>
          <w:rFonts w:hint="eastAsia" w:ascii="宋体" w:hAnsi="宋体"/>
          <w:bCs/>
          <w:color w:val="auto"/>
          <w:szCs w:val="21"/>
        </w:rPr>
        <w:t>磋商小组</w:t>
      </w:r>
      <w:r>
        <w:rPr>
          <w:rFonts w:hint="eastAsia" w:ascii="宋体" w:hAnsi="宋体" w:cs="宋体"/>
          <w:color w:val="auto"/>
          <w:kern w:val="0"/>
          <w:szCs w:val="21"/>
        </w:rPr>
        <w:t>可以组织多轮磋商。</w:t>
      </w:r>
      <w:r>
        <w:rPr>
          <w:rFonts w:hint="eastAsia" w:ascii="宋体" w:hAnsi="宋体"/>
          <w:bCs/>
          <w:color w:val="auto"/>
          <w:szCs w:val="21"/>
        </w:rPr>
        <w:t>在每一轮磋商中，磋商小组</w:t>
      </w:r>
      <w:r>
        <w:rPr>
          <w:rFonts w:hint="eastAsia" w:ascii="宋体" w:hAnsi="宋体" w:cs="宋体"/>
          <w:color w:val="auto"/>
          <w:kern w:val="0"/>
          <w:szCs w:val="21"/>
        </w:rPr>
        <w:t>可以</w:t>
      </w:r>
      <w:r>
        <w:rPr>
          <w:rFonts w:hint="eastAsia" w:ascii="宋体" w:hAnsi="宋体" w:cs="Arial"/>
          <w:color w:val="auto"/>
          <w:kern w:val="0"/>
          <w:szCs w:val="21"/>
        </w:rPr>
        <w:t>根据</w:t>
      </w:r>
      <w:r>
        <w:rPr>
          <w:rFonts w:hint="eastAsia" w:ascii="宋体" w:hAnsi="宋体" w:cs="宋体"/>
          <w:color w:val="auto"/>
          <w:kern w:val="0"/>
          <w:szCs w:val="21"/>
        </w:rPr>
        <w:t>磋商文件规定和磋商情况，</w:t>
      </w:r>
      <w:r>
        <w:rPr>
          <w:rFonts w:hint="eastAsia" w:ascii="宋体" w:hAnsi="宋体"/>
          <w:bCs/>
          <w:color w:val="auto"/>
          <w:szCs w:val="21"/>
        </w:rPr>
        <w:t>对磋商文件的</w:t>
      </w:r>
      <w:r>
        <w:rPr>
          <w:rFonts w:hint="eastAsia" w:ascii="宋体" w:hAnsi="宋体" w:cs="宋体"/>
          <w:color w:val="auto"/>
          <w:kern w:val="0"/>
          <w:szCs w:val="21"/>
        </w:rPr>
        <w:t>采购需求中的技术、服务要求以及合同草案条款</w:t>
      </w:r>
      <w:r>
        <w:rPr>
          <w:rFonts w:hint="eastAsia" w:ascii="宋体" w:hAnsi="宋体"/>
          <w:bCs/>
          <w:color w:val="auto"/>
          <w:szCs w:val="21"/>
        </w:rPr>
        <w:t>作实质性变动(磋商文件的实质性变动内容为磋商文件的组成部分)，并以书面形式要求</w:t>
      </w:r>
      <w:r>
        <w:rPr>
          <w:rFonts w:hint="eastAsia" w:ascii="宋体" w:hAnsi="宋体" w:cs="宋体"/>
          <w:color w:val="auto"/>
          <w:kern w:val="0"/>
          <w:szCs w:val="21"/>
        </w:rPr>
        <w:t>符合性审查合格</w:t>
      </w:r>
      <w:r>
        <w:rPr>
          <w:rFonts w:hint="eastAsia" w:ascii="宋体" w:hAnsi="宋体"/>
          <w:bCs/>
          <w:color w:val="auto"/>
          <w:szCs w:val="21"/>
        </w:rPr>
        <w:t>的供应商，在规定的</w:t>
      </w:r>
      <w:r>
        <w:rPr>
          <w:rFonts w:hint="eastAsia" w:ascii="宋体" w:hAnsi="宋体" w:cs="宋体"/>
          <w:color w:val="auto"/>
          <w:kern w:val="0"/>
          <w:szCs w:val="21"/>
        </w:rPr>
        <w:t>截止时间前</w:t>
      </w:r>
      <w:r>
        <w:rPr>
          <w:rFonts w:hint="eastAsia" w:ascii="宋体" w:hAnsi="宋体"/>
          <w:bCs/>
          <w:color w:val="auto"/>
          <w:szCs w:val="21"/>
        </w:rPr>
        <w:t>重</w:t>
      </w:r>
      <w:r>
        <w:rPr>
          <w:rFonts w:hint="eastAsia" w:ascii="宋体" w:hAnsi="宋体" w:cs="宋体"/>
          <w:color w:val="auto"/>
          <w:kern w:val="0"/>
          <w:szCs w:val="21"/>
        </w:rPr>
        <w:t>新提交响应文件</w:t>
      </w:r>
      <w:r>
        <w:rPr>
          <w:rFonts w:hint="eastAsia" w:ascii="宋体" w:hAnsi="宋体"/>
          <w:bCs/>
          <w:color w:val="auto"/>
          <w:szCs w:val="21"/>
        </w:rPr>
        <w:t>。</w:t>
      </w:r>
      <w:r>
        <w:rPr>
          <w:rFonts w:hint="eastAsia" w:ascii="宋体" w:hAnsi="宋体" w:cs="宋体"/>
          <w:color w:val="auto"/>
          <w:kern w:val="0"/>
          <w:szCs w:val="21"/>
        </w:rPr>
        <w:t>磋商小组应当</w:t>
      </w:r>
      <w:r>
        <w:rPr>
          <w:rFonts w:hint="eastAsia" w:ascii="宋体" w:hAnsi="宋体"/>
          <w:color w:val="auto"/>
          <w:szCs w:val="21"/>
        </w:rPr>
        <w:t>根据本章第28.1、28.2</w:t>
      </w:r>
      <w:r>
        <w:rPr>
          <w:rFonts w:hint="eastAsia" w:ascii="宋体" w:hAnsi="宋体" w:cs="宋体"/>
          <w:color w:val="auto"/>
          <w:kern w:val="0"/>
          <w:szCs w:val="21"/>
          <w:lang w:val="zh-CN"/>
        </w:rPr>
        <w:t>款</w:t>
      </w:r>
      <w:r>
        <w:rPr>
          <w:rFonts w:hint="eastAsia" w:ascii="宋体" w:hAnsi="宋体"/>
          <w:color w:val="auto"/>
          <w:szCs w:val="21"/>
        </w:rPr>
        <w:t>规定</w:t>
      </w:r>
      <w:r>
        <w:rPr>
          <w:rFonts w:hint="eastAsia" w:ascii="宋体" w:hAnsi="宋体" w:cs="宋体"/>
          <w:color w:val="auto"/>
          <w:kern w:val="0"/>
          <w:szCs w:val="21"/>
        </w:rPr>
        <w:t>对供应商重新提交的响应文件进行符合性审查。供应商重新提交的响应文件未通过符合性审查的，不得进入下一轮磋商，也不得要求提交最后报价。</w:t>
      </w:r>
    </w:p>
    <w:p w14:paraId="6D441761">
      <w:pPr>
        <w:adjustRightInd w:val="0"/>
        <w:snapToGrid w:val="0"/>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（1）磋商文件能够详细列明采购需求的技术、服务要求的，磋商结束后，磋商小组应当要求所有继续参加磋商的供应商在规定时间内提交最后报价。</w:t>
      </w:r>
    </w:p>
    <w:p w14:paraId="15A4C22F">
      <w:pPr>
        <w:widowControl/>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012FD70C">
      <w:pPr>
        <w:widowControl/>
        <w:adjustRightInd w:val="0"/>
        <w:snapToGrid w:val="0"/>
        <w:spacing w:line="360" w:lineRule="auto"/>
        <w:ind w:firstLine="420"/>
        <w:jc w:val="left"/>
        <w:rPr>
          <w:rFonts w:ascii="宋体" w:hAnsi="宋体"/>
          <w:bCs/>
          <w:color w:val="auto"/>
          <w:szCs w:val="21"/>
        </w:rPr>
      </w:pPr>
      <w:r>
        <w:rPr>
          <w:rFonts w:hint="eastAsia" w:ascii="宋体" w:hAnsi="宋体"/>
          <w:bCs/>
          <w:color w:val="auto"/>
          <w:szCs w:val="21"/>
        </w:rPr>
        <w:t>29.3</w:t>
      </w:r>
      <w:r>
        <w:rPr>
          <w:rFonts w:hint="eastAsia" w:ascii="宋体" w:hAnsi="宋体"/>
          <w:color w:val="auto"/>
        </w:rPr>
        <w:t xml:space="preserve"> </w:t>
      </w:r>
      <w:r>
        <w:rPr>
          <w:rFonts w:hint="eastAsia" w:ascii="宋体" w:hAnsi="宋体"/>
          <w:bCs/>
          <w:color w:val="auto"/>
        </w:rPr>
        <w:t>重</w:t>
      </w:r>
      <w:r>
        <w:rPr>
          <w:rFonts w:hint="eastAsia" w:ascii="宋体" w:hAnsi="宋体" w:cs="宋体"/>
          <w:color w:val="auto"/>
          <w:kern w:val="0"/>
        </w:rPr>
        <w:t>新提交的响应文件</w:t>
      </w:r>
      <w:r>
        <w:rPr>
          <w:rFonts w:hint="eastAsia" w:ascii="宋体" w:hAnsi="宋体"/>
          <w:color w:val="auto"/>
        </w:rPr>
        <w:t>或者最后报价应按</w:t>
      </w:r>
      <w:r>
        <w:rPr>
          <w:rFonts w:hint="eastAsia" w:ascii="宋体" w:hAnsi="宋体" w:cs="宋体"/>
          <w:color w:val="auto"/>
          <w:kern w:val="0"/>
          <w:szCs w:val="21"/>
        </w:rPr>
        <w:t>本章第20</w:t>
      </w:r>
      <w:r>
        <w:rPr>
          <w:rFonts w:hint="eastAsia" w:ascii="宋体" w:hAnsi="宋体"/>
          <w:color w:val="auto"/>
        </w:rPr>
        <w:t>.3</w:t>
      </w:r>
      <w:r>
        <w:rPr>
          <w:rFonts w:hint="eastAsia" w:ascii="宋体" w:hAnsi="宋体" w:cs="宋体"/>
          <w:color w:val="auto"/>
          <w:kern w:val="0"/>
          <w:szCs w:val="21"/>
          <w:lang w:val="zh-CN"/>
        </w:rPr>
        <w:t>款</w:t>
      </w:r>
      <w:r>
        <w:rPr>
          <w:rFonts w:hint="eastAsia" w:ascii="宋体" w:hAnsi="宋体"/>
          <w:color w:val="auto"/>
        </w:rPr>
        <w:t>规定，</w:t>
      </w:r>
      <w:r>
        <w:rPr>
          <w:rFonts w:hint="eastAsia" w:ascii="宋体" w:hAnsi="宋体" w:cs="宋体"/>
          <w:color w:val="auto"/>
          <w:kern w:val="0"/>
          <w:szCs w:val="21"/>
        </w:rPr>
        <w:t>由其法定代表人或其委托代理人签字或者加盖</w:t>
      </w:r>
      <w:r>
        <w:rPr>
          <w:rFonts w:hint="eastAsia" w:ascii="宋体" w:hAnsi="宋体" w:cs="宋体"/>
          <w:color w:val="auto"/>
          <w:kern w:val="0"/>
        </w:rPr>
        <w:t>供应商单位</w:t>
      </w:r>
      <w:r>
        <w:rPr>
          <w:rFonts w:hint="eastAsia" w:ascii="宋体" w:hAnsi="宋体" w:cs="宋体"/>
          <w:color w:val="auto"/>
          <w:kern w:val="0"/>
          <w:szCs w:val="21"/>
        </w:rPr>
        <w:t>章，在规定时间内密封递交给磋商小组</w:t>
      </w:r>
      <w:r>
        <w:rPr>
          <w:rFonts w:hint="eastAsia" w:ascii="宋体" w:hAnsi="宋体"/>
          <w:bCs/>
          <w:color w:val="auto"/>
          <w:szCs w:val="21"/>
        </w:rPr>
        <w:t>。</w:t>
      </w:r>
    </w:p>
    <w:p w14:paraId="1EC4A705">
      <w:pPr>
        <w:widowControl/>
        <w:adjustRightInd w:val="0"/>
        <w:snapToGrid w:val="0"/>
        <w:spacing w:line="360" w:lineRule="auto"/>
        <w:ind w:firstLine="420"/>
        <w:jc w:val="left"/>
        <w:rPr>
          <w:rFonts w:ascii="宋体" w:hAnsi="宋体"/>
          <w:bCs/>
          <w:color w:val="auto"/>
          <w:szCs w:val="21"/>
        </w:rPr>
      </w:pPr>
      <w:r>
        <w:rPr>
          <w:rFonts w:hint="eastAsia" w:ascii="宋体" w:hAnsi="宋体" w:cs="宋体"/>
          <w:color w:val="auto"/>
          <w:kern w:val="0"/>
          <w:szCs w:val="21"/>
        </w:rPr>
        <w:t>29.4最后报价。</w:t>
      </w:r>
      <w:r>
        <w:rPr>
          <w:rFonts w:hint="eastAsia" w:ascii="宋体" w:hAnsi="宋体"/>
          <w:bCs/>
          <w:color w:val="auto"/>
          <w:szCs w:val="21"/>
        </w:rPr>
        <w:t>最后报价是供应商响应文件的有效组成部分。磋商文件能够详细列明采购标的的技术、服务要求的，磋商结束后，磋商小组应当要求所有实质性响应的供应商在规定时间内提交最后报价，提交最后报价的供应商不得少于3家。市场竞争不充分的科研项目，以及需要扶持的科技成果转化项目，提交最后报价的供应商可以为2家。</w:t>
      </w:r>
      <w:r>
        <w:rPr>
          <w:rFonts w:hint="eastAsia" w:ascii="宋体" w:hAnsi="宋体" w:cs="宋体"/>
          <w:color w:val="auto"/>
          <w:kern w:val="0"/>
          <w:szCs w:val="21"/>
          <w:lang w:val="zh-CN"/>
        </w:rPr>
        <w:t>供应商的</w:t>
      </w:r>
      <w:r>
        <w:rPr>
          <w:rFonts w:hint="eastAsia" w:ascii="宋体" w:hAnsi="宋体"/>
          <w:bCs/>
          <w:color w:val="auto"/>
          <w:szCs w:val="21"/>
        </w:rPr>
        <w:t>最</w:t>
      </w:r>
      <w:r>
        <w:rPr>
          <w:rFonts w:hint="eastAsia" w:ascii="宋体" w:hAnsi="宋体" w:cs="宋体"/>
          <w:color w:val="auto"/>
          <w:kern w:val="0"/>
          <w:szCs w:val="21"/>
          <w:lang w:val="zh-CN"/>
        </w:rPr>
        <w:t>后</w:t>
      </w:r>
      <w:r>
        <w:rPr>
          <w:rFonts w:hint="eastAsia" w:ascii="宋体" w:hAnsi="宋体"/>
          <w:bCs/>
          <w:color w:val="auto"/>
          <w:szCs w:val="21"/>
        </w:rPr>
        <w:t>报价</w:t>
      </w:r>
      <w:r>
        <w:rPr>
          <w:rFonts w:hint="eastAsia" w:ascii="宋体" w:hAnsi="宋体" w:cs="宋体"/>
          <w:color w:val="auto"/>
          <w:kern w:val="0"/>
          <w:szCs w:val="21"/>
        </w:rPr>
        <w:t>，磋商小组应召集所有参加最后报价的供应商当场开封</w:t>
      </w:r>
      <w:r>
        <w:rPr>
          <w:rFonts w:hint="eastAsia" w:ascii="宋体" w:hAnsi="宋体"/>
          <w:bCs/>
          <w:color w:val="auto"/>
          <w:szCs w:val="21"/>
        </w:rPr>
        <w:t>公布，并由供应商代表签字确认。</w:t>
      </w:r>
    </w:p>
    <w:p w14:paraId="5CFCC3B0">
      <w:pPr>
        <w:widowControl/>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29.5提交响应文件的供应商，在提交最后报价之前，可以根据磋商情况退出磋商，</w:t>
      </w:r>
      <w:r>
        <w:rPr>
          <w:rFonts w:hint="eastAsia" w:ascii="宋体" w:hAnsi="宋体" w:cs="宋体"/>
          <w:color w:val="auto"/>
          <w:kern w:val="0"/>
        </w:rPr>
        <w:t>并</w:t>
      </w:r>
      <w:r>
        <w:rPr>
          <w:rFonts w:hint="eastAsia" w:ascii="宋体" w:hAnsi="宋体" w:cs="宋体"/>
          <w:bCs/>
          <w:color w:val="auto"/>
          <w:kern w:val="0"/>
        </w:rPr>
        <w:t>书面通知采购代理机构或者磋商小组。</w:t>
      </w:r>
      <w:r>
        <w:rPr>
          <w:rFonts w:hint="eastAsia" w:ascii="宋体" w:hAnsi="宋体"/>
          <w:bCs/>
          <w:color w:val="auto"/>
        </w:rPr>
        <w:t>该通知由供应商法定代表人或其委托代理人签字。</w:t>
      </w:r>
      <w:r>
        <w:rPr>
          <w:rFonts w:hint="eastAsia" w:ascii="宋体" w:hAnsi="宋体" w:cs="宋体"/>
          <w:bCs/>
          <w:color w:val="auto"/>
          <w:kern w:val="0"/>
          <w:szCs w:val="21"/>
        </w:rPr>
        <w:t>采购代</w:t>
      </w:r>
      <w:r>
        <w:rPr>
          <w:rFonts w:hint="eastAsia" w:ascii="宋体" w:hAnsi="宋体" w:cs="宋体"/>
          <w:color w:val="auto"/>
          <w:kern w:val="0"/>
          <w:szCs w:val="21"/>
        </w:rPr>
        <w:t>理机构</w:t>
      </w:r>
      <w:r>
        <w:rPr>
          <w:rFonts w:hint="eastAsia" w:ascii="宋体" w:hAnsi="宋体" w:cs="宋体"/>
          <w:color w:val="auto"/>
          <w:kern w:val="0"/>
        </w:rPr>
        <w:t>按</w:t>
      </w:r>
      <w:r>
        <w:rPr>
          <w:rFonts w:hint="eastAsia" w:ascii="宋体" w:hAnsi="宋体" w:cs="宋体"/>
          <w:color w:val="auto"/>
          <w:kern w:val="0"/>
          <w:szCs w:val="21"/>
        </w:rPr>
        <w:t>本章第</w:t>
      </w:r>
      <w:r>
        <w:rPr>
          <w:rFonts w:hint="eastAsia" w:ascii="宋体" w:hAnsi="宋体"/>
          <w:color w:val="auto"/>
        </w:rPr>
        <w:t>18.4</w:t>
      </w:r>
      <w:r>
        <w:rPr>
          <w:rFonts w:hint="eastAsia" w:ascii="宋体" w:hAnsi="宋体" w:cs="宋体"/>
          <w:color w:val="auto"/>
          <w:kern w:val="0"/>
          <w:szCs w:val="21"/>
          <w:lang w:val="zh-CN"/>
        </w:rPr>
        <w:t>款</w:t>
      </w:r>
      <w:r>
        <w:rPr>
          <w:rFonts w:hint="eastAsia" w:ascii="宋体" w:hAnsi="宋体"/>
          <w:color w:val="auto"/>
        </w:rPr>
        <w:t>规定</w:t>
      </w:r>
      <w:r>
        <w:rPr>
          <w:rFonts w:hint="eastAsia" w:ascii="宋体" w:hAnsi="宋体" w:cs="宋体"/>
          <w:color w:val="auto"/>
          <w:kern w:val="0"/>
          <w:szCs w:val="21"/>
        </w:rPr>
        <w:t>退还退出磋商的供应商的保证金。</w:t>
      </w:r>
    </w:p>
    <w:p w14:paraId="6F8E8EF7">
      <w:pPr>
        <w:adjustRightInd w:val="0"/>
        <w:snapToGrid w:val="0"/>
        <w:spacing w:line="360" w:lineRule="auto"/>
        <w:ind w:firstLine="420" w:firstLineChars="200"/>
        <w:rPr>
          <w:rFonts w:ascii="宋体" w:hAnsi="宋体" w:cs="宋体"/>
          <w:color w:val="auto"/>
          <w:kern w:val="0"/>
          <w:szCs w:val="21"/>
        </w:rPr>
      </w:pPr>
      <w:r>
        <w:rPr>
          <w:rFonts w:hint="eastAsia" w:ascii="宋体" w:hAnsi="宋体"/>
          <w:bCs/>
          <w:color w:val="auto"/>
          <w:szCs w:val="21"/>
        </w:rPr>
        <w:t>29.6</w:t>
      </w:r>
      <w:r>
        <w:rPr>
          <w:rFonts w:hint="eastAsia" w:ascii="宋体" w:hAnsi="宋体" w:cs="宋体"/>
          <w:color w:val="auto"/>
          <w:kern w:val="0"/>
          <w:szCs w:val="21"/>
        </w:rPr>
        <w:t>提交首次响应文件的供应商，未按磋商文件规定及磋商小组要求提交最后报价(或者</w:t>
      </w:r>
      <w:r>
        <w:rPr>
          <w:rFonts w:hint="eastAsia" w:ascii="宋体" w:hAnsi="宋体"/>
          <w:bCs/>
          <w:color w:val="auto"/>
          <w:szCs w:val="21"/>
        </w:rPr>
        <w:t>重</w:t>
      </w:r>
      <w:r>
        <w:rPr>
          <w:rFonts w:hint="eastAsia" w:ascii="宋体" w:hAnsi="宋体" w:cs="宋体"/>
          <w:color w:val="auto"/>
          <w:kern w:val="0"/>
          <w:szCs w:val="21"/>
        </w:rPr>
        <w:t>新提交的响应文件和最后报价)，且又</w:t>
      </w:r>
      <w:r>
        <w:rPr>
          <w:rFonts w:hint="eastAsia" w:ascii="宋体" w:hAnsi="宋体" w:cs="宋体"/>
          <w:color w:val="auto"/>
          <w:kern w:val="0"/>
        </w:rPr>
        <w:t>未按</w:t>
      </w:r>
      <w:r>
        <w:rPr>
          <w:rFonts w:hint="eastAsia" w:ascii="宋体" w:hAnsi="宋体" w:cs="宋体"/>
          <w:color w:val="auto"/>
          <w:kern w:val="0"/>
          <w:szCs w:val="21"/>
        </w:rPr>
        <w:t>本章第</w:t>
      </w:r>
      <w:r>
        <w:rPr>
          <w:rFonts w:hint="eastAsia" w:ascii="宋体" w:hAnsi="宋体"/>
          <w:color w:val="auto"/>
        </w:rPr>
        <w:t>29.5</w:t>
      </w:r>
      <w:r>
        <w:rPr>
          <w:rFonts w:hint="eastAsia" w:ascii="宋体" w:hAnsi="宋体" w:cs="宋体"/>
          <w:color w:val="auto"/>
          <w:kern w:val="0"/>
          <w:szCs w:val="21"/>
          <w:lang w:val="zh-CN"/>
        </w:rPr>
        <w:t>款</w:t>
      </w:r>
      <w:r>
        <w:rPr>
          <w:rFonts w:hint="eastAsia" w:ascii="宋体" w:hAnsi="宋体"/>
          <w:color w:val="auto"/>
        </w:rPr>
        <w:t>规定</w:t>
      </w:r>
      <w:r>
        <w:rPr>
          <w:rFonts w:hint="eastAsia" w:ascii="宋体" w:hAnsi="宋体" w:cs="宋体"/>
          <w:color w:val="auto"/>
          <w:kern w:val="0"/>
          <w:szCs w:val="21"/>
        </w:rPr>
        <w:t>退出磋商的，供应商的保证金不予退还。</w:t>
      </w:r>
    </w:p>
    <w:p w14:paraId="02D1825D">
      <w:pPr>
        <w:adjustRightInd w:val="0"/>
        <w:snapToGrid w:val="0"/>
        <w:spacing w:line="360" w:lineRule="auto"/>
        <w:rPr>
          <w:rFonts w:ascii="宋体" w:hAnsi="宋体" w:cs="宋体"/>
          <w:color w:val="auto"/>
          <w:kern w:val="0"/>
          <w:szCs w:val="21"/>
        </w:rPr>
      </w:pPr>
      <w:r>
        <w:rPr>
          <w:rFonts w:hint="eastAsia" w:ascii="宋体" w:hAnsi="宋体" w:cs="宋体"/>
          <w:color w:val="auto"/>
          <w:kern w:val="0"/>
          <w:szCs w:val="21"/>
        </w:rPr>
        <w:t>30．</w:t>
      </w:r>
      <w:r>
        <w:rPr>
          <w:rFonts w:hint="eastAsia" w:ascii="宋体" w:hAnsi="宋体"/>
          <w:b/>
          <w:bCs/>
          <w:color w:val="auto"/>
          <w:szCs w:val="21"/>
        </w:rPr>
        <w:t>磋商方法</w:t>
      </w:r>
    </w:p>
    <w:p w14:paraId="50A1A19F">
      <w:pPr>
        <w:tabs>
          <w:tab w:val="left" w:pos="0"/>
        </w:tabs>
        <w:adjustRightInd w:val="0"/>
        <w:snapToGrid w:val="0"/>
        <w:spacing w:before="156" w:beforeLines="50" w:line="360" w:lineRule="auto"/>
        <w:ind w:firstLine="420" w:firstLineChars="200"/>
        <w:rPr>
          <w:rFonts w:ascii="宋体" w:hAnsi="宋体"/>
          <w:bCs/>
          <w:color w:val="auto"/>
          <w:szCs w:val="21"/>
        </w:rPr>
      </w:pPr>
      <w:r>
        <w:rPr>
          <w:rFonts w:hint="eastAsia" w:ascii="宋体" w:hAnsi="宋体"/>
          <w:bCs/>
          <w:color w:val="auto"/>
          <w:szCs w:val="21"/>
        </w:rPr>
        <w:t>30.1本项目采取综合评分法，即磋商小组按照磋商文件中规定的磋商方法、</w:t>
      </w:r>
      <w:r>
        <w:rPr>
          <w:rFonts w:hint="eastAsia" w:ascii="宋体" w:hAnsi="宋体"/>
          <w:color w:val="auto"/>
          <w:szCs w:val="21"/>
        </w:rPr>
        <w:t>标准和磋商因素，由经磋商确定最终采购需求，资格性、符合性检查合格的供应商提交最后报价，磋商小组采用综合评分法对提交最后报价的供应商的响应文件和最后报价进行</w:t>
      </w:r>
      <w:r>
        <w:rPr>
          <w:rFonts w:hint="eastAsia" w:ascii="宋体" w:hAnsi="宋体"/>
          <w:bCs/>
          <w:color w:val="auto"/>
          <w:szCs w:val="21"/>
        </w:rPr>
        <w:t>综合比较与评价，</w:t>
      </w:r>
      <w:r>
        <w:rPr>
          <w:rFonts w:hint="eastAsia" w:ascii="宋体" w:hAnsi="宋体"/>
          <w:color w:val="auto"/>
          <w:szCs w:val="21"/>
        </w:rPr>
        <w:t>响应文件能够最大限度的满足磋商文件规定的各项综合评价标准且经评审得分最高的供应商为成交候选供应商的评标方法。</w:t>
      </w:r>
    </w:p>
    <w:p w14:paraId="7B28DFE7">
      <w:pPr>
        <w:tabs>
          <w:tab w:val="left" w:pos="0"/>
        </w:tabs>
        <w:adjustRightInd w:val="0"/>
        <w:snapToGrid w:val="0"/>
        <w:spacing w:before="156" w:beforeLines="50" w:line="360" w:lineRule="auto"/>
        <w:ind w:firstLine="420" w:firstLineChars="200"/>
        <w:rPr>
          <w:rFonts w:ascii="宋体" w:hAnsi="宋体"/>
          <w:color w:val="auto"/>
          <w:szCs w:val="21"/>
        </w:rPr>
      </w:pPr>
      <w:r>
        <w:rPr>
          <w:rFonts w:hint="eastAsia" w:ascii="宋体" w:hAnsi="宋体"/>
          <w:bCs/>
          <w:color w:val="auto"/>
          <w:szCs w:val="21"/>
        </w:rPr>
        <w:t>30.2</w:t>
      </w:r>
      <w:r>
        <w:rPr>
          <w:rFonts w:hint="eastAsia" w:ascii="宋体" w:hAnsi="宋体"/>
          <w:color w:val="auto"/>
          <w:szCs w:val="21"/>
        </w:rPr>
        <w:t>磋商因素：详见磋商标准评分表，但不包括供应商资格条件。</w:t>
      </w:r>
    </w:p>
    <w:p w14:paraId="2E2F4078">
      <w:pPr>
        <w:widowControl/>
        <w:adjustRightInd w:val="0"/>
        <w:snapToGrid w:val="0"/>
        <w:spacing w:before="156" w:beforeLines="50" w:line="360" w:lineRule="auto"/>
        <w:ind w:firstLine="420" w:firstLineChars="200"/>
        <w:jc w:val="left"/>
        <w:rPr>
          <w:rFonts w:ascii="宋体" w:hAnsi="宋体"/>
          <w:bCs/>
          <w:color w:val="auto"/>
          <w:szCs w:val="21"/>
        </w:rPr>
      </w:pPr>
      <w:r>
        <w:rPr>
          <w:rFonts w:hint="eastAsia" w:ascii="宋体" w:hAnsi="宋体"/>
          <w:bCs/>
          <w:color w:val="auto"/>
          <w:szCs w:val="21"/>
        </w:rPr>
        <w:t>30.3磋商</w:t>
      </w:r>
      <w:r>
        <w:rPr>
          <w:rFonts w:hint="eastAsia" w:ascii="宋体" w:hAnsi="宋体"/>
          <w:color w:val="auto"/>
          <w:szCs w:val="21"/>
        </w:rPr>
        <w:t>报价评价。磋商小组以经磋商确定最终采购需求，资格性、符合性检查合格的供应商提交的最后报价为基础，</w:t>
      </w:r>
      <w:r>
        <w:rPr>
          <w:rFonts w:hint="eastAsia" w:ascii="宋体" w:hAnsi="宋体" w:cs="宋体"/>
          <w:color w:val="auto"/>
          <w:kern w:val="0"/>
          <w:szCs w:val="21"/>
        </w:rPr>
        <w:t>依次</w:t>
      </w:r>
      <w:r>
        <w:rPr>
          <w:rFonts w:hint="eastAsia" w:ascii="宋体" w:hAnsi="宋体"/>
          <w:color w:val="auto"/>
          <w:szCs w:val="21"/>
        </w:rPr>
        <w:t>对磋商报价进行</w:t>
      </w:r>
      <w:r>
        <w:rPr>
          <w:rFonts w:hint="eastAsia" w:ascii="宋体" w:hAnsi="宋体" w:cs="宋体"/>
          <w:color w:val="auto"/>
          <w:kern w:val="0"/>
          <w:szCs w:val="21"/>
        </w:rPr>
        <w:t>算术</w:t>
      </w:r>
      <w:r>
        <w:rPr>
          <w:rFonts w:hint="eastAsia" w:ascii="宋体" w:hAnsi="宋体"/>
          <w:color w:val="auto"/>
          <w:szCs w:val="21"/>
        </w:rPr>
        <w:t>修正和政府采购政策优惠价格扣除计算。</w:t>
      </w:r>
    </w:p>
    <w:p w14:paraId="30B85A88">
      <w:pPr>
        <w:widowControl/>
        <w:adjustRightInd w:val="0"/>
        <w:snapToGrid w:val="0"/>
        <w:spacing w:before="156" w:beforeLines="50" w:line="360" w:lineRule="auto"/>
        <w:ind w:firstLine="420" w:firstLineChars="200"/>
        <w:jc w:val="left"/>
        <w:rPr>
          <w:rFonts w:ascii="宋体" w:hAnsi="宋体" w:cs="宋体"/>
          <w:color w:val="auto"/>
          <w:kern w:val="0"/>
          <w:szCs w:val="21"/>
        </w:rPr>
      </w:pPr>
      <w:r>
        <w:rPr>
          <w:rFonts w:hint="eastAsia" w:ascii="宋体" w:hAnsi="宋体"/>
          <w:bCs/>
          <w:color w:val="auto"/>
          <w:szCs w:val="21"/>
        </w:rPr>
        <w:t>30.4</w:t>
      </w:r>
      <w:r>
        <w:rPr>
          <w:rFonts w:hint="eastAsia" w:ascii="宋体" w:hAnsi="宋体" w:cs="宋体"/>
          <w:color w:val="auto"/>
          <w:kern w:val="0"/>
          <w:szCs w:val="21"/>
        </w:rPr>
        <w:t>价格分采用低价优先法计算，即满足磋商文件要求且磋商报价最低的磋商报价为磋商基准价，其价格分为满分，其他</w:t>
      </w:r>
      <w:r>
        <w:rPr>
          <w:rFonts w:hint="eastAsia" w:ascii="宋体" w:hAnsi="宋体"/>
          <w:color w:val="auto"/>
          <w:szCs w:val="21"/>
        </w:rPr>
        <w:t>有效供应商</w:t>
      </w:r>
      <w:r>
        <w:rPr>
          <w:rFonts w:hint="eastAsia" w:ascii="宋体" w:hAnsi="宋体" w:cs="宋体"/>
          <w:color w:val="auto"/>
          <w:kern w:val="0"/>
          <w:szCs w:val="21"/>
        </w:rPr>
        <w:t>的价格分按照下列公式计算：</w:t>
      </w:r>
    </w:p>
    <w:p w14:paraId="67C41F2A">
      <w:pPr>
        <w:widowControl/>
        <w:adjustRightInd w:val="0"/>
        <w:snapToGrid w:val="0"/>
        <w:spacing w:before="156" w:beforeLines="50"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磋商报价得分=(磋商基准价／最后磋商报价)×价格分值</w:t>
      </w:r>
    </w:p>
    <w:p w14:paraId="0CA62A37">
      <w:pPr>
        <w:widowControl/>
        <w:adjustRightInd w:val="0"/>
        <w:snapToGrid w:val="0"/>
        <w:spacing w:before="156" w:beforeLines="50"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磋商报价高于采购人预算价为无效响应。</w:t>
      </w:r>
    </w:p>
    <w:p w14:paraId="5DC46C3A">
      <w:pPr>
        <w:widowControl/>
        <w:adjustRightInd w:val="0"/>
        <w:snapToGrid w:val="0"/>
        <w:spacing w:before="156" w:beforeLines="50" w:line="360" w:lineRule="auto"/>
        <w:ind w:firstLine="420" w:firstLineChars="200"/>
        <w:jc w:val="left"/>
        <w:rPr>
          <w:rFonts w:ascii="宋体" w:hAnsi="宋体"/>
          <w:color w:val="auto"/>
          <w:szCs w:val="21"/>
        </w:rPr>
      </w:pPr>
      <w:r>
        <w:rPr>
          <w:rFonts w:hint="eastAsia" w:ascii="宋体" w:hAnsi="宋体" w:cs="宋体"/>
          <w:color w:val="auto"/>
          <w:kern w:val="0"/>
          <w:szCs w:val="21"/>
        </w:rPr>
        <w:t>本项所称磋商报价为按</w:t>
      </w:r>
      <w:r>
        <w:rPr>
          <w:rFonts w:hint="eastAsia" w:ascii="宋体" w:hAnsi="宋体"/>
          <w:bCs/>
          <w:color w:val="auto"/>
          <w:szCs w:val="21"/>
        </w:rPr>
        <w:t>本章第30.2</w:t>
      </w:r>
      <w:r>
        <w:rPr>
          <w:rFonts w:hint="eastAsia" w:ascii="宋体" w:hAnsi="宋体" w:cs="宋体"/>
          <w:color w:val="auto"/>
          <w:kern w:val="0"/>
          <w:szCs w:val="21"/>
          <w:lang w:val="zh-CN"/>
        </w:rPr>
        <w:t>款</w:t>
      </w:r>
      <w:r>
        <w:rPr>
          <w:rFonts w:hint="eastAsia" w:ascii="宋体" w:hAnsi="宋体"/>
          <w:bCs/>
          <w:color w:val="auto"/>
          <w:szCs w:val="21"/>
        </w:rPr>
        <w:t>规定</w:t>
      </w:r>
      <w:r>
        <w:rPr>
          <w:rFonts w:hint="eastAsia" w:ascii="宋体" w:hAnsi="宋体"/>
          <w:color w:val="auto"/>
          <w:szCs w:val="21"/>
        </w:rPr>
        <w:t>评价后的磋商报价。</w:t>
      </w:r>
    </w:p>
    <w:p w14:paraId="48E648F4">
      <w:pPr>
        <w:widowControl/>
        <w:adjustRightInd w:val="0"/>
        <w:snapToGrid w:val="0"/>
        <w:spacing w:before="156" w:beforeLines="50" w:line="360" w:lineRule="auto"/>
        <w:ind w:firstLine="420" w:firstLineChars="200"/>
        <w:jc w:val="left"/>
        <w:rPr>
          <w:rFonts w:ascii="宋体" w:hAnsi="宋体"/>
          <w:color w:val="auto"/>
          <w:szCs w:val="21"/>
        </w:rPr>
      </w:pPr>
      <w:r>
        <w:rPr>
          <w:rFonts w:hint="eastAsia" w:ascii="宋体" w:hAnsi="宋体"/>
          <w:bCs/>
          <w:color w:val="auto"/>
          <w:szCs w:val="21"/>
        </w:rPr>
        <w:t>30.5</w:t>
      </w:r>
      <w:r>
        <w:rPr>
          <w:rFonts w:hint="eastAsia" w:ascii="宋体" w:hAnsi="宋体"/>
          <w:color w:val="auto"/>
          <w:szCs w:val="21"/>
        </w:rPr>
        <w:t>涉及政府采购政策优惠的，</w:t>
      </w:r>
      <w:r>
        <w:rPr>
          <w:rFonts w:hint="eastAsia" w:ascii="宋体" w:hAnsi="宋体"/>
          <w:bCs/>
          <w:color w:val="auto"/>
          <w:szCs w:val="21"/>
        </w:rPr>
        <w:t>按</w:t>
      </w:r>
      <w:r>
        <w:rPr>
          <w:rFonts w:hint="eastAsia" w:ascii="宋体" w:hAnsi="宋体"/>
          <w:b/>
          <w:color w:val="auto"/>
          <w:szCs w:val="21"/>
        </w:rPr>
        <w:t>磋商须知前附表</w:t>
      </w:r>
      <w:r>
        <w:rPr>
          <w:rFonts w:hint="eastAsia" w:ascii="宋体" w:hAnsi="宋体"/>
          <w:bCs/>
          <w:color w:val="auto"/>
          <w:szCs w:val="21"/>
        </w:rPr>
        <w:t>规定</w:t>
      </w:r>
      <w:r>
        <w:rPr>
          <w:rFonts w:hint="eastAsia" w:ascii="宋体" w:hAnsi="宋体"/>
          <w:color w:val="auto"/>
          <w:szCs w:val="21"/>
        </w:rPr>
        <w:t>调整。</w:t>
      </w:r>
    </w:p>
    <w:p w14:paraId="03F62B5B">
      <w:pPr>
        <w:widowControl/>
        <w:adjustRightInd w:val="0"/>
        <w:snapToGrid w:val="0"/>
        <w:spacing w:before="156" w:beforeLines="50" w:line="360" w:lineRule="auto"/>
        <w:ind w:firstLine="420" w:firstLineChars="200"/>
        <w:jc w:val="left"/>
        <w:rPr>
          <w:rFonts w:ascii="宋体" w:hAnsi="宋体"/>
          <w:color w:val="auto"/>
          <w:szCs w:val="21"/>
        </w:rPr>
      </w:pPr>
      <w:r>
        <w:rPr>
          <w:rFonts w:hint="eastAsia" w:ascii="宋体" w:hAnsi="宋体" w:cs="宋体"/>
          <w:color w:val="auto"/>
          <w:kern w:val="0"/>
          <w:szCs w:val="21"/>
        </w:rPr>
        <w:t>30.6</w:t>
      </w:r>
      <w:r>
        <w:rPr>
          <w:rFonts w:hint="eastAsia" w:ascii="宋体" w:hAnsi="宋体"/>
          <w:color w:val="auto"/>
          <w:szCs w:val="21"/>
        </w:rPr>
        <w:t>评审时，磋商小组各成员应当独立对每个供应商的响应</w:t>
      </w:r>
      <w:r>
        <w:rPr>
          <w:rFonts w:hint="eastAsia" w:ascii="宋体" w:hAnsi="宋体"/>
          <w:bCs/>
          <w:color w:val="auto"/>
          <w:szCs w:val="21"/>
        </w:rPr>
        <w:t>文件</w:t>
      </w:r>
      <w:r>
        <w:rPr>
          <w:rFonts w:hint="eastAsia" w:ascii="宋体" w:hAnsi="宋体"/>
          <w:color w:val="auto"/>
          <w:szCs w:val="21"/>
        </w:rPr>
        <w:t>进行评价、评分。</w:t>
      </w:r>
    </w:p>
    <w:p w14:paraId="0E871827">
      <w:pPr>
        <w:tabs>
          <w:tab w:val="left" w:pos="0"/>
        </w:tabs>
        <w:adjustRightInd w:val="0"/>
        <w:snapToGrid w:val="0"/>
        <w:spacing w:before="156" w:beforeLines="50" w:line="360" w:lineRule="auto"/>
        <w:rPr>
          <w:rFonts w:ascii="宋体" w:hAnsi="宋体"/>
          <w:b/>
          <w:color w:val="auto"/>
          <w:szCs w:val="21"/>
        </w:rPr>
      </w:pPr>
      <w:r>
        <w:rPr>
          <w:rFonts w:hint="eastAsia" w:ascii="宋体" w:hAnsi="宋体"/>
          <w:b/>
          <w:color w:val="auto"/>
          <w:szCs w:val="21"/>
        </w:rPr>
        <w:t>31.推荐成交候选供应商</w:t>
      </w:r>
    </w:p>
    <w:p w14:paraId="32E6838D">
      <w:pPr>
        <w:tabs>
          <w:tab w:val="left" w:pos="0"/>
        </w:tabs>
        <w:adjustRightInd w:val="0"/>
        <w:snapToGrid w:val="0"/>
        <w:spacing w:before="156" w:beforeLines="50" w:line="360" w:lineRule="auto"/>
        <w:ind w:firstLine="420" w:firstLineChars="200"/>
        <w:rPr>
          <w:rFonts w:ascii="宋体" w:hAnsi="宋体"/>
          <w:bCs/>
          <w:color w:val="auto"/>
          <w:szCs w:val="21"/>
        </w:rPr>
      </w:pPr>
      <w:r>
        <w:rPr>
          <w:rFonts w:hint="eastAsia" w:ascii="宋体" w:hAnsi="宋体"/>
          <w:color w:val="auto"/>
          <w:szCs w:val="21"/>
        </w:rPr>
        <w:t>31.1磋商小组推荐响应文件满足磋商文件全部实质性要求且按评审因素的量化指标评审得分最高的供应商为成交候选供应商的评审方法，根据综合评分情况，</w:t>
      </w:r>
      <w:r>
        <w:rPr>
          <w:rFonts w:hint="eastAsia" w:ascii="宋体" w:hAnsi="宋体"/>
          <w:bCs/>
          <w:color w:val="auto"/>
          <w:szCs w:val="21"/>
        </w:rPr>
        <w:t>按得分由高到低顺序推荐不少于3名成交候选供应商，并编写评审报告。评审得分相同的，按最后报价由低到高顺序排列。总得分且报价相同的，按“第三章 磋商办法”规定顺序推荐排列。</w:t>
      </w:r>
    </w:p>
    <w:p w14:paraId="749DC9D3">
      <w:pPr>
        <w:tabs>
          <w:tab w:val="left" w:pos="0"/>
        </w:tabs>
        <w:adjustRightInd w:val="0"/>
        <w:snapToGrid w:val="0"/>
        <w:spacing w:line="360" w:lineRule="auto"/>
        <w:rPr>
          <w:rFonts w:ascii="宋体" w:hAnsi="宋体"/>
          <w:b/>
          <w:bCs/>
          <w:color w:val="auto"/>
          <w:szCs w:val="21"/>
        </w:rPr>
      </w:pPr>
      <w:r>
        <w:rPr>
          <w:rFonts w:hint="eastAsia" w:ascii="宋体" w:hAnsi="宋体"/>
          <w:b/>
          <w:bCs/>
          <w:color w:val="auto"/>
          <w:szCs w:val="21"/>
        </w:rPr>
        <w:t>32.确定成交供应商</w:t>
      </w:r>
    </w:p>
    <w:p w14:paraId="42A51115">
      <w:pPr>
        <w:widowControl/>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32.1采购代理机构应当在磋商结束后2个工作日内将评审报告送采购人确认。</w:t>
      </w:r>
    </w:p>
    <w:p w14:paraId="3E28FAF7">
      <w:pPr>
        <w:widowControl/>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 xml:space="preserve">32.2 </w:t>
      </w:r>
      <w:r>
        <w:rPr>
          <w:rFonts w:hint="eastAsia" w:ascii="ˎ̥" w:hAnsi="ˎ̥"/>
          <w:color w:val="auto"/>
        </w:rPr>
        <w:t>采购人应当在收到评审报告后</w:t>
      </w:r>
      <w:r>
        <w:rPr>
          <w:rFonts w:ascii="ˎ̥" w:hAnsi="ˎ̥"/>
          <w:color w:val="auto"/>
        </w:rPr>
        <w:t>5</w:t>
      </w:r>
      <w:r>
        <w:rPr>
          <w:rFonts w:hint="eastAsia" w:ascii="ˎ̥" w:hAnsi="ˎ̥"/>
          <w:color w:val="auto"/>
        </w:rPr>
        <w:t>个工作日内，从评审报告提出的成交候选供应商中，按照排序由高到低的原则确定成交供应商，也可以书面授权磋商小组直接确定成交供应商。采购人逾期未确定成交供应商且不提出异议的，视为确定评审报告提出的供应商为成交供应商。</w:t>
      </w:r>
    </w:p>
    <w:p w14:paraId="731A0E59">
      <w:pPr>
        <w:widowControl/>
        <w:adjustRightInd w:val="0"/>
        <w:snapToGrid w:val="0"/>
        <w:spacing w:line="360" w:lineRule="auto"/>
        <w:ind w:firstLine="420"/>
        <w:jc w:val="left"/>
        <w:rPr>
          <w:rFonts w:ascii="宋体" w:hAnsi="宋体"/>
          <w:bCs/>
          <w:color w:val="auto"/>
          <w:szCs w:val="21"/>
        </w:rPr>
      </w:pPr>
      <w:r>
        <w:rPr>
          <w:rFonts w:hint="eastAsia" w:ascii="宋体" w:hAnsi="宋体" w:cs="宋体"/>
          <w:color w:val="auto"/>
          <w:kern w:val="0"/>
          <w:szCs w:val="21"/>
        </w:rPr>
        <w:t>32.3最后报价确定遵守本章第</w:t>
      </w:r>
      <w:r>
        <w:rPr>
          <w:rFonts w:hint="eastAsia" w:ascii="宋体" w:hAnsi="宋体"/>
          <w:bCs/>
          <w:color w:val="auto"/>
          <w:szCs w:val="21"/>
        </w:rPr>
        <w:t>30条</w:t>
      </w:r>
      <w:r>
        <w:rPr>
          <w:rFonts w:hint="eastAsia" w:ascii="宋体" w:hAnsi="宋体" w:cs="宋体"/>
          <w:color w:val="auto"/>
          <w:kern w:val="0"/>
          <w:szCs w:val="21"/>
        </w:rPr>
        <w:t>的</w:t>
      </w:r>
      <w:r>
        <w:rPr>
          <w:rFonts w:hint="eastAsia" w:ascii="宋体" w:hAnsi="宋体"/>
          <w:bCs/>
          <w:color w:val="auto"/>
          <w:szCs w:val="21"/>
        </w:rPr>
        <w:t>规定。</w:t>
      </w:r>
    </w:p>
    <w:p w14:paraId="23819394">
      <w:pPr>
        <w:pStyle w:val="28"/>
        <w:adjustRightInd w:val="0"/>
        <w:snapToGrid w:val="0"/>
        <w:spacing w:line="360" w:lineRule="auto"/>
        <w:ind w:left="632" w:hanging="632" w:hangingChars="300"/>
        <w:rPr>
          <w:rFonts w:hAnsi="宋体"/>
          <w:b/>
          <w:color w:val="auto"/>
        </w:rPr>
      </w:pPr>
      <w:r>
        <w:rPr>
          <w:rFonts w:hint="eastAsia" w:hAnsi="宋体"/>
          <w:b/>
          <w:color w:val="auto"/>
        </w:rPr>
        <w:t>33.磋商的特殊情形</w:t>
      </w:r>
    </w:p>
    <w:p w14:paraId="43EAD865">
      <w:pPr>
        <w:adjustRightInd w:val="0"/>
        <w:snapToGrid w:val="0"/>
        <w:spacing w:line="360" w:lineRule="auto"/>
        <w:ind w:firstLine="420" w:firstLineChars="200"/>
        <w:rPr>
          <w:rFonts w:ascii="宋体" w:hAnsi="宋体" w:cs="宋体"/>
          <w:color w:val="auto"/>
          <w:kern w:val="0"/>
          <w:szCs w:val="21"/>
        </w:rPr>
      </w:pPr>
      <w:r>
        <w:rPr>
          <w:rFonts w:hint="eastAsia" w:ascii="宋体" w:hAnsi="宋体"/>
          <w:color w:val="auto"/>
          <w:kern w:val="0"/>
          <w:lang w:val="zh-CN"/>
        </w:rPr>
        <w:t>33.1</w:t>
      </w:r>
      <w:r>
        <w:rPr>
          <w:rFonts w:hint="eastAsia" w:ascii="宋体" w:hAnsi="宋体"/>
          <w:bCs/>
          <w:color w:val="auto"/>
          <w:szCs w:val="21"/>
        </w:rPr>
        <w:t>市场竞争不充分的科研项目，以及需要扶持的科技成果转化项目，</w:t>
      </w:r>
      <w:r>
        <w:rPr>
          <w:rFonts w:hint="eastAsia" w:ascii="宋体" w:hAnsi="宋体" w:cs="宋体"/>
          <w:color w:val="auto"/>
          <w:kern w:val="0"/>
          <w:szCs w:val="21"/>
        </w:rPr>
        <w:t>磋商过程中提交响应文件或者经评审实质性响应磋商文件要求提交最后报价的供应商只有两家时，供应商最低数量可以为两家。</w:t>
      </w:r>
    </w:p>
    <w:p w14:paraId="0FF3908E">
      <w:pPr>
        <w:pStyle w:val="28"/>
        <w:adjustRightInd w:val="0"/>
        <w:snapToGrid w:val="0"/>
        <w:spacing w:line="360" w:lineRule="auto"/>
        <w:ind w:left="632" w:hanging="632" w:hangingChars="300"/>
        <w:rPr>
          <w:rFonts w:hAnsi="宋体"/>
          <w:b/>
          <w:color w:val="auto"/>
        </w:rPr>
      </w:pPr>
      <w:r>
        <w:rPr>
          <w:rFonts w:hint="eastAsia" w:hAnsi="宋体"/>
          <w:b/>
          <w:color w:val="auto"/>
        </w:rPr>
        <w:t>34.竞争性磋商采购活动终止</w:t>
      </w:r>
    </w:p>
    <w:p w14:paraId="50CB5B5E">
      <w:pPr>
        <w:widowControl/>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bCs/>
          <w:color w:val="auto"/>
          <w:szCs w:val="21"/>
        </w:rPr>
        <w:t>34.1</w:t>
      </w:r>
      <w:r>
        <w:rPr>
          <w:rFonts w:hint="eastAsia" w:ascii="宋体" w:hAnsi="宋体" w:cs="宋体"/>
          <w:color w:val="auto"/>
          <w:kern w:val="0"/>
          <w:szCs w:val="21"/>
        </w:rPr>
        <w:t>出现下列情形之一的，采购人或者采购代理机构应当终止竞争性磋商采购活动，</w:t>
      </w:r>
      <w:r>
        <w:rPr>
          <w:rFonts w:hint="eastAsia" w:ascii="宋体" w:hAnsi="宋体"/>
          <w:color w:val="auto"/>
        </w:rPr>
        <w:t>在</w:t>
      </w:r>
      <w:r>
        <w:rPr>
          <w:rFonts w:hint="eastAsia" w:ascii="宋体" w:hAnsi="宋体"/>
          <w:color w:val="auto"/>
          <w:szCs w:val="21"/>
        </w:rPr>
        <w:t>省级以上财政部门</w:t>
      </w:r>
      <w:r>
        <w:rPr>
          <w:rFonts w:hint="eastAsia" w:ascii="宋体" w:hAnsi="宋体"/>
          <w:color w:val="auto"/>
        </w:rPr>
        <w:t>指定的媒体上</w:t>
      </w:r>
      <w:r>
        <w:rPr>
          <w:rFonts w:hint="eastAsia" w:ascii="宋体" w:hAnsi="宋体" w:cs="宋体"/>
          <w:color w:val="auto"/>
          <w:kern w:val="0"/>
          <w:szCs w:val="21"/>
        </w:rPr>
        <w:t xml:space="preserve">发布项目终止公告并说明原因，重新开展采购活动： </w:t>
      </w:r>
    </w:p>
    <w:p w14:paraId="2DA925FD">
      <w:pPr>
        <w:widowControl/>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（1）因情况变化，不再符合规定的竞争性磋商采购方式适用情形的；</w:t>
      </w:r>
    </w:p>
    <w:p w14:paraId="63F9BDB7">
      <w:pPr>
        <w:widowControl/>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（2）出现影响采购公正的违法、违规行为的；</w:t>
      </w:r>
    </w:p>
    <w:p w14:paraId="46BE0DDA">
      <w:pPr>
        <w:widowControl/>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（3）除本章33.1款规定情形外，在采购过程中符合竞争要求的供应商或者报价未超过采购预算的供应商不足3家的，或者提交最后报价的供应商少于3家的；</w:t>
      </w:r>
    </w:p>
    <w:p w14:paraId="687D2151">
      <w:pPr>
        <w:widowControl/>
        <w:adjustRightInd w:val="0"/>
        <w:snapToGrid w:val="0"/>
        <w:spacing w:line="360" w:lineRule="auto"/>
        <w:ind w:firstLine="420"/>
        <w:jc w:val="left"/>
        <w:rPr>
          <w:rFonts w:ascii="宋体" w:hAnsi="宋体"/>
          <w:b/>
          <w:bCs/>
          <w:color w:val="auto"/>
          <w:szCs w:val="21"/>
        </w:rPr>
      </w:pPr>
      <w:r>
        <w:rPr>
          <w:rFonts w:hint="eastAsia" w:ascii="宋体" w:hAnsi="宋体" w:cs="宋体"/>
          <w:color w:val="auto"/>
          <w:kern w:val="0"/>
          <w:szCs w:val="21"/>
        </w:rPr>
        <w:t>（4）</w:t>
      </w:r>
      <w:r>
        <w:rPr>
          <w:rFonts w:hint="eastAsia" w:ascii="宋体" w:hAnsi="宋体"/>
          <w:bCs/>
          <w:color w:val="auto"/>
          <w:szCs w:val="21"/>
        </w:rPr>
        <w:t>因重大变故，采购任务取消的。</w:t>
      </w:r>
    </w:p>
    <w:p w14:paraId="3C5EC7D2">
      <w:pPr>
        <w:widowControl/>
        <w:adjustRightInd w:val="0"/>
        <w:snapToGrid w:val="0"/>
        <w:spacing w:line="360" w:lineRule="auto"/>
        <w:jc w:val="left"/>
        <w:rPr>
          <w:rFonts w:ascii="宋体" w:hAnsi="宋体" w:cs="宋体"/>
          <w:b/>
          <w:color w:val="auto"/>
          <w:kern w:val="0"/>
          <w:szCs w:val="21"/>
        </w:rPr>
      </w:pPr>
      <w:r>
        <w:rPr>
          <w:rFonts w:hint="eastAsia" w:ascii="宋体" w:hAnsi="宋体" w:cs="宋体"/>
          <w:b/>
          <w:color w:val="auto"/>
          <w:kern w:val="0"/>
          <w:szCs w:val="21"/>
        </w:rPr>
        <w:t>35．重新评审</w:t>
      </w:r>
    </w:p>
    <w:p w14:paraId="0E36A410">
      <w:pPr>
        <w:widowControl/>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35.1除资格性审查认定错误、分值汇总计算错误、分项评分超出评分标准范围、客观分评分不一致、经磋商小组一致认定评分畸高或畸低的情形外，采购人或者采购代理机构不以任何理由组织重新评审。采购人、采购代理机构发现磋商小组未按照磋商文件规定的评定成交的标准进行评审的，应当重新开展采购活动，并同时书面报告本级财政部门。</w:t>
      </w:r>
    </w:p>
    <w:p w14:paraId="764B63E3">
      <w:pPr>
        <w:adjustRightInd w:val="0"/>
        <w:snapToGrid w:val="0"/>
        <w:spacing w:line="360" w:lineRule="auto"/>
        <w:rPr>
          <w:rFonts w:ascii="宋体" w:hAnsi="宋体"/>
          <w:b/>
          <w:bCs/>
          <w:color w:val="auto"/>
          <w:szCs w:val="21"/>
        </w:rPr>
      </w:pPr>
      <w:r>
        <w:rPr>
          <w:rFonts w:hint="eastAsia" w:ascii="宋体" w:hAnsi="宋体"/>
          <w:b/>
          <w:bCs/>
          <w:color w:val="auto"/>
          <w:szCs w:val="21"/>
        </w:rPr>
        <w:t>36.保密及串通行为</w:t>
      </w:r>
    </w:p>
    <w:p w14:paraId="30969C5E">
      <w:pPr>
        <w:adjustRightInd w:val="0"/>
        <w:snapToGrid w:val="0"/>
        <w:spacing w:line="360" w:lineRule="auto"/>
        <w:ind w:firstLine="420" w:firstLineChars="200"/>
        <w:rPr>
          <w:rFonts w:ascii="宋体" w:hAnsi="宋体"/>
          <w:color w:val="auto"/>
        </w:rPr>
      </w:pPr>
      <w:r>
        <w:rPr>
          <w:rFonts w:hint="eastAsia" w:ascii="宋体" w:hAnsi="宋体"/>
          <w:color w:val="auto"/>
        </w:rPr>
        <w:t>36.1磋商小组成员以及与评审工作有关的人员不得泄露评审情况以及评审过程中获悉的国家秘密、商业秘密。</w:t>
      </w:r>
    </w:p>
    <w:p w14:paraId="3AC92891">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36.2</w:t>
      </w:r>
      <w:r>
        <w:rPr>
          <w:rFonts w:hint="eastAsia" w:ascii="宋体" w:hAnsi="宋体" w:cs="宋体"/>
          <w:color w:val="auto"/>
          <w:kern w:val="0"/>
          <w:szCs w:val="21"/>
        </w:rPr>
        <w:t>供应商</w:t>
      </w:r>
      <w:r>
        <w:rPr>
          <w:rFonts w:hint="eastAsia" w:ascii="宋体" w:hAnsi="宋体"/>
          <w:color w:val="auto"/>
          <w:szCs w:val="21"/>
        </w:rPr>
        <w:t>不得与</w:t>
      </w:r>
      <w:r>
        <w:rPr>
          <w:rFonts w:hint="eastAsia" w:ascii="宋体" w:hAnsi="宋体" w:cs="宋体"/>
          <w:color w:val="auto"/>
          <w:kern w:val="0"/>
          <w:szCs w:val="21"/>
        </w:rPr>
        <w:t>采购人、采购代理机构、其他供应商恶意</w:t>
      </w:r>
      <w:r>
        <w:rPr>
          <w:rFonts w:hint="eastAsia" w:ascii="宋体" w:hAnsi="宋体"/>
          <w:color w:val="auto"/>
          <w:szCs w:val="21"/>
        </w:rPr>
        <w:t>串通；不得向</w:t>
      </w:r>
      <w:r>
        <w:rPr>
          <w:rFonts w:hint="eastAsia" w:ascii="宋体" w:hAnsi="宋体" w:cs="宋体"/>
          <w:color w:val="auto"/>
          <w:kern w:val="0"/>
          <w:szCs w:val="21"/>
        </w:rPr>
        <w:t>采购人、采购代理机构</w:t>
      </w:r>
      <w:r>
        <w:rPr>
          <w:rFonts w:hint="eastAsia" w:ascii="宋体" w:hAnsi="宋体"/>
          <w:color w:val="auto"/>
          <w:szCs w:val="21"/>
        </w:rPr>
        <w:t>或者磋商小组成员行贿或者提供其他不正当利益；不得提供虚假材料谋取成交；不得以任何方式干扰、影响采购工作。</w:t>
      </w:r>
    </w:p>
    <w:p w14:paraId="147388B6">
      <w:pPr>
        <w:pStyle w:val="46"/>
        <w:adjustRightInd w:val="0"/>
        <w:snapToGrid w:val="0"/>
        <w:spacing w:before="0" w:beforeAutospacing="0" w:after="0" w:afterAutospacing="0" w:line="360" w:lineRule="auto"/>
        <w:ind w:firstLine="420" w:firstLineChars="200"/>
        <w:rPr>
          <w:color w:val="auto"/>
          <w:sz w:val="21"/>
          <w:szCs w:val="21"/>
          <w:lang w:val="zh-CN"/>
        </w:rPr>
      </w:pPr>
      <w:r>
        <w:rPr>
          <w:rFonts w:hint="eastAsia" w:cs="Arial"/>
          <w:color w:val="auto"/>
          <w:sz w:val="21"/>
          <w:szCs w:val="21"/>
        </w:rPr>
        <w:t>36.3有下列情形之一的，</w:t>
      </w:r>
      <w:r>
        <w:rPr>
          <w:rFonts w:hint="eastAsia"/>
          <w:color w:val="auto"/>
          <w:sz w:val="21"/>
          <w:szCs w:val="21"/>
          <w:lang w:val="zh-CN"/>
        </w:rPr>
        <w:t>属于恶意串通，</w:t>
      </w:r>
      <w:r>
        <w:rPr>
          <w:rFonts w:hint="eastAsia"/>
          <w:color w:val="auto"/>
          <w:sz w:val="21"/>
          <w:szCs w:val="21"/>
        </w:rPr>
        <w:t>成交无效，并</w:t>
      </w:r>
      <w:r>
        <w:rPr>
          <w:rFonts w:hint="eastAsia"/>
          <w:color w:val="auto"/>
          <w:sz w:val="21"/>
          <w:szCs w:val="21"/>
          <w:lang w:val="zh-CN"/>
        </w:rPr>
        <w:t>依照《政府采购法》第七十七条的规定追究法律责任：</w:t>
      </w:r>
    </w:p>
    <w:p w14:paraId="20C6A9FE">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（1）供应商直接或者间接从</w:t>
      </w:r>
      <w:r>
        <w:rPr>
          <w:rFonts w:hint="eastAsia" w:ascii="宋体" w:hAnsi="宋体"/>
          <w:bCs/>
          <w:color w:val="auto"/>
          <w:szCs w:val="21"/>
        </w:rPr>
        <w:t>采购人、采购代理机构</w:t>
      </w:r>
      <w:r>
        <w:rPr>
          <w:rFonts w:hint="eastAsia" w:ascii="宋体" w:hAnsi="宋体"/>
          <w:color w:val="auto"/>
          <w:szCs w:val="21"/>
        </w:rPr>
        <w:t>获得其他供应商的响应情况，并修改其响应文件</w:t>
      </w:r>
      <w:r>
        <w:rPr>
          <w:rFonts w:hint="eastAsia" w:ascii="宋体" w:hAnsi="宋体"/>
          <w:color w:val="auto"/>
        </w:rPr>
        <w:t>的</w:t>
      </w:r>
      <w:r>
        <w:rPr>
          <w:rFonts w:hint="eastAsia" w:ascii="宋体" w:hAnsi="宋体"/>
          <w:color w:val="auto"/>
          <w:szCs w:val="21"/>
        </w:rPr>
        <w:t>；</w:t>
      </w:r>
    </w:p>
    <w:p w14:paraId="24B39A1D">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w:t>
      </w:r>
      <w:r>
        <w:rPr>
          <w:rFonts w:hint="eastAsia" w:ascii="宋体" w:hAnsi="宋体"/>
          <w:bCs/>
          <w:color w:val="auto"/>
          <w:szCs w:val="21"/>
        </w:rPr>
        <w:t>采购人、采购代理机构</w:t>
      </w:r>
      <w:r>
        <w:rPr>
          <w:rFonts w:hint="eastAsia" w:ascii="宋体" w:hAnsi="宋体"/>
          <w:color w:val="auto"/>
          <w:szCs w:val="21"/>
        </w:rPr>
        <w:t>授意供应商撤换、修改响应文件</w:t>
      </w:r>
      <w:r>
        <w:rPr>
          <w:rFonts w:hint="eastAsia" w:ascii="宋体" w:hAnsi="宋体"/>
          <w:color w:val="auto"/>
        </w:rPr>
        <w:t>的</w:t>
      </w:r>
      <w:r>
        <w:rPr>
          <w:rFonts w:hint="eastAsia" w:ascii="宋体" w:hAnsi="宋体"/>
          <w:color w:val="auto"/>
          <w:szCs w:val="21"/>
        </w:rPr>
        <w:t>；</w:t>
      </w:r>
    </w:p>
    <w:p w14:paraId="7A48A058">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（3）供应商之间协商技术方案、合同条款以及报价等响应文件实质性内容</w:t>
      </w:r>
      <w:r>
        <w:rPr>
          <w:rFonts w:hint="eastAsia" w:ascii="宋体" w:hAnsi="宋体"/>
          <w:color w:val="auto"/>
        </w:rPr>
        <w:t>的</w:t>
      </w:r>
      <w:r>
        <w:rPr>
          <w:rFonts w:hint="eastAsia" w:ascii="宋体" w:hAnsi="宋体"/>
          <w:color w:val="auto"/>
          <w:szCs w:val="21"/>
        </w:rPr>
        <w:t>；</w:t>
      </w:r>
    </w:p>
    <w:p w14:paraId="539CC76A">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（4）属于同一集团、协会、商会等组织成员的供应商按照该组织要求协同参加竞争性磋商政府采购活动</w:t>
      </w:r>
      <w:r>
        <w:rPr>
          <w:rFonts w:hint="eastAsia" w:ascii="宋体" w:hAnsi="宋体"/>
          <w:color w:val="auto"/>
        </w:rPr>
        <w:t>的</w:t>
      </w:r>
      <w:r>
        <w:rPr>
          <w:rFonts w:hint="eastAsia" w:ascii="宋体" w:hAnsi="宋体"/>
          <w:color w:val="auto"/>
          <w:szCs w:val="21"/>
        </w:rPr>
        <w:t>；</w:t>
      </w:r>
    </w:p>
    <w:p w14:paraId="3EAE561A">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（5）供应商之间事先约定由某一特定供应商成交</w:t>
      </w:r>
      <w:r>
        <w:rPr>
          <w:rFonts w:hint="eastAsia" w:ascii="宋体" w:hAnsi="宋体"/>
          <w:color w:val="auto"/>
        </w:rPr>
        <w:t>的</w:t>
      </w:r>
      <w:r>
        <w:rPr>
          <w:rFonts w:hint="eastAsia" w:ascii="宋体" w:hAnsi="宋体"/>
          <w:color w:val="auto"/>
          <w:szCs w:val="21"/>
        </w:rPr>
        <w:t>；</w:t>
      </w:r>
    </w:p>
    <w:p w14:paraId="29906A13">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（6）供应商之间商定部分供应商放弃</w:t>
      </w:r>
      <w:r>
        <w:rPr>
          <w:rFonts w:hint="eastAsia" w:ascii="宋体" w:hAnsi="宋体"/>
          <w:color w:val="auto"/>
        </w:rPr>
        <w:t>提</w:t>
      </w:r>
      <w:r>
        <w:rPr>
          <w:rFonts w:hint="eastAsia" w:ascii="宋体" w:hAnsi="宋体"/>
          <w:color w:val="auto"/>
          <w:szCs w:val="21"/>
        </w:rPr>
        <w:t>交响应文件或者退出磋商或者放弃成交</w:t>
      </w:r>
      <w:r>
        <w:rPr>
          <w:rFonts w:hint="eastAsia" w:ascii="宋体" w:hAnsi="宋体"/>
          <w:color w:val="auto"/>
        </w:rPr>
        <w:t>的</w:t>
      </w:r>
      <w:r>
        <w:rPr>
          <w:rFonts w:hint="eastAsia" w:ascii="宋体" w:hAnsi="宋体"/>
          <w:color w:val="auto"/>
          <w:szCs w:val="21"/>
        </w:rPr>
        <w:t>；</w:t>
      </w:r>
    </w:p>
    <w:p w14:paraId="161DBAA0">
      <w:pPr>
        <w:adjustRightInd w:val="0"/>
        <w:snapToGrid w:val="0"/>
        <w:spacing w:line="360" w:lineRule="auto"/>
        <w:ind w:firstLine="420" w:firstLineChars="200"/>
        <w:rPr>
          <w:rFonts w:ascii="宋体" w:hAnsi="宋体"/>
          <w:b/>
          <w:color w:val="auto"/>
          <w:szCs w:val="21"/>
        </w:rPr>
      </w:pPr>
      <w:r>
        <w:rPr>
          <w:rFonts w:hint="eastAsia" w:ascii="宋体" w:hAnsi="宋体"/>
          <w:color w:val="auto"/>
          <w:szCs w:val="21"/>
        </w:rPr>
        <w:t>（7）供应商与</w:t>
      </w:r>
      <w:r>
        <w:rPr>
          <w:rFonts w:hint="eastAsia" w:ascii="宋体" w:hAnsi="宋体"/>
          <w:bCs/>
          <w:color w:val="auto"/>
          <w:szCs w:val="21"/>
        </w:rPr>
        <w:t>采购人、采购代理机构以及</w:t>
      </w:r>
      <w:r>
        <w:rPr>
          <w:rFonts w:hint="eastAsia" w:ascii="宋体" w:hAnsi="宋体"/>
          <w:color w:val="auto"/>
          <w:szCs w:val="21"/>
        </w:rPr>
        <w:t>磋商小组成员之间、供应商相互之间，为谋求特定供应商成交或者排斥其他供应商的其他串通行为</w:t>
      </w:r>
      <w:r>
        <w:rPr>
          <w:rFonts w:hint="eastAsia" w:ascii="宋体" w:hAnsi="宋体"/>
          <w:color w:val="auto"/>
        </w:rPr>
        <w:t>的</w:t>
      </w:r>
      <w:r>
        <w:rPr>
          <w:rFonts w:hint="eastAsia" w:ascii="宋体" w:hAnsi="宋体"/>
          <w:color w:val="auto"/>
          <w:szCs w:val="21"/>
        </w:rPr>
        <w:t>。</w:t>
      </w:r>
    </w:p>
    <w:p w14:paraId="1E0D5B98">
      <w:pPr>
        <w:adjustRightInd w:val="0"/>
        <w:snapToGrid w:val="0"/>
        <w:spacing w:line="360" w:lineRule="auto"/>
        <w:ind w:firstLine="420" w:firstLineChars="200"/>
        <w:rPr>
          <w:rFonts w:ascii="宋体" w:hAnsi="宋体"/>
          <w:color w:val="auto"/>
          <w:szCs w:val="21"/>
        </w:rPr>
      </w:pPr>
      <w:r>
        <w:rPr>
          <w:rFonts w:hint="eastAsia" w:ascii="宋体" w:hAnsi="宋体" w:cs="Arial"/>
          <w:color w:val="auto"/>
          <w:szCs w:val="21"/>
        </w:rPr>
        <w:t>（8）</w:t>
      </w:r>
      <w:r>
        <w:rPr>
          <w:rFonts w:hint="eastAsia" w:ascii="宋体" w:hAnsi="宋体"/>
          <w:color w:val="auto"/>
          <w:szCs w:val="21"/>
        </w:rPr>
        <w:t>法律、行政法规或规章规定的其他串通行为。</w:t>
      </w:r>
    </w:p>
    <w:p w14:paraId="43A18C9C">
      <w:pPr>
        <w:adjustRightInd w:val="0"/>
        <w:snapToGrid w:val="0"/>
        <w:spacing w:line="360" w:lineRule="auto"/>
        <w:rPr>
          <w:rFonts w:ascii="宋体" w:hAnsi="宋体"/>
          <w:b/>
          <w:color w:val="auto"/>
          <w:sz w:val="24"/>
        </w:rPr>
      </w:pPr>
      <w:r>
        <w:rPr>
          <w:rFonts w:hint="eastAsia" w:ascii="宋体" w:hAnsi="宋体"/>
          <w:b/>
          <w:color w:val="auto"/>
          <w:sz w:val="24"/>
        </w:rPr>
        <w:t>六、成交结果信息公布与授予合同</w:t>
      </w:r>
    </w:p>
    <w:p w14:paraId="2ABD8762">
      <w:pPr>
        <w:adjustRightInd w:val="0"/>
        <w:snapToGrid w:val="0"/>
        <w:spacing w:line="360" w:lineRule="auto"/>
        <w:rPr>
          <w:rFonts w:ascii="宋体" w:hAnsi="宋体"/>
          <w:b/>
          <w:bCs/>
          <w:color w:val="auto"/>
          <w:szCs w:val="21"/>
        </w:rPr>
      </w:pPr>
      <w:r>
        <w:rPr>
          <w:rFonts w:hint="eastAsia" w:ascii="宋体" w:hAnsi="宋体"/>
          <w:b/>
          <w:bCs/>
          <w:color w:val="auto"/>
          <w:szCs w:val="21"/>
        </w:rPr>
        <w:t>37.成交信息的公布</w:t>
      </w:r>
    </w:p>
    <w:p w14:paraId="35B6549D">
      <w:pPr>
        <w:pStyle w:val="28"/>
        <w:adjustRightInd w:val="0"/>
        <w:snapToGrid w:val="0"/>
        <w:spacing w:line="360" w:lineRule="auto"/>
        <w:ind w:firstLine="420" w:firstLineChars="200"/>
        <w:rPr>
          <w:rFonts w:hAnsi="宋体"/>
          <w:color w:val="auto"/>
        </w:rPr>
      </w:pPr>
      <w:r>
        <w:rPr>
          <w:rFonts w:hint="eastAsia" w:hAnsi="宋体"/>
          <w:color w:val="auto"/>
        </w:rPr>
        <w:t>37.1成交供应商确定后2个工作日内，采购人或者采购代理机构应将成交结果信息在</w:t>
      </w:r>
      <w:r>
        <w:rPr>
          <w:rFonts w:hint="eastAsia" w:hAnsi="宋体"/>
          <w:b/>
          <w:color w:val="auto"/>
        </w:rPr>
        <w:t>磋商须知前附表</w:t>
      </w:r>
      <w:r>
        <w:rPr>
          <w:rFonts w:hint="eastAsia" w:hAnsi="宋体"/>
          <w:color w:val="auto"/>
        </w:rPr>
        <w:t>指定的媒体上公布。</w:t>
      </w:r>
    </w:p>
    <w:p w14:paraId="4A267CD4">
      <w:pPr>
        <w:adjustRightInd w:val="0"/>
        <w:snapToGrid w:val="0"/>
        <w:spacing w:line="360" w:lineRule="auto"/>
        <w:rPr>
          <w:rFonts w:ascii="宋体" w:hAnsi="宋体"/>
          <w:b/>
          <w:bCs/>
          <w:color w:val="auto"/>
          <w:szCs w:val="21"/>
        </w:rPr>
      </w:pPr>
      <w:r>
        <w:rPr>
          <w:rFonts w:hint="eastAsia" w:ascii="宋体" w:hAnsi="宋体"/>
          <w:b/>
          <w:bCs/>
          <w:color w:val="auto"/>
          <w:szCs w:val="21"/>
        </w:rPr>
        <w:t>38.询问及质疑</w:t>
      </w:r>
    </w:p>
    <w:p w14:paraId="4C065DFD">
      <w:pPr>
        <w:adjustRightInd w:val="0"/>
        <w:snapToGrid w:val="0"/>
        <w:spacing w:line="360" w:lineRule="auto"/>
        <w:ind w:firstLine="420" w:firstLineChars="200"/>
        <w:jc w:val="left"/>
        <w:rPr>
          <w:rFonts w:ascii="宋体" w:hAnsi="宋体"/>
          <w:color w:val="auto"/>
        </w:rPr>
      </w:pPr>
      <w:r>
        <w:rPr>
          <w:rFonts w:hint="eastAsia" w:ascii="宋体" w:hAnsi="宋体"/>
          <w:color w:val="auto"/>
          <w:szCs w:val="21"/>
        </w:rPr>
        <w:t>38.1供应商对政府采购活动事项有疑问的，可以向采购人或采购代理机构提出询问。</w:t>
      </w:r>
    </w:p>
    <w:p w14:paraId="3D2D85E3">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38.2供应商若认为磋商文件、采购过程和成交结果使自己的权益受到损害，可以按法律、规章及湖南省财政厅规范性文件规定向采购人或采购代理机构提出质疑。</w:t>
      </w:r>
    </w:p>
    <w:p w14:paraId="64B945B3">
      <w:pPr>
        <w:adjustRightInd w:val="0"/>
        <w:snapToGrid w:val="0"/>
        <w:spacing w:line="360" w:lineRule="auto"/>
        <w:rPr>
          <w:rFonts w:ascii="宋体" w:hAnsi="宋体"/>
          <w:b/>
          <w:bCs/>
          <w:color w:val="auto"/>
          <w:szCs w:val="21"/>
        </w:rPr>
      </w:pPr>
      <w:r>
        <w:rPr>
          <w:rFonts w:hint="eastAsia" w:ascii="宋体" w:hAnsi="宋体"/>
          <w:b/>
          <w:bCs/>
          <w:color w:val="auto"/>
          <w:szCs w:val="21"/>
        </w:rPr>
        <w:t>39.成交通知</w:t>
      </w:r>
    </w:p>
    <w:p w14:paraId="57E1D440">
      <w:pPr>
        <w:pStyle w:val="28"/>
        <w:adjustRightInd w:val="0"/>
        <w:snapToGrid w:val="0"/>
        <w:spacing w:line="360" w:lineRule="auto"/>
        <w:ind w:firstLine="420" w:firstLineChars="200"/>
        <w:rPr>
          <w:rFonts w:hAnsi="宋体"/>
          <w:color w:val="auto"/>
        </w:rPr>
      </w:pPr>
      <w:r>
        <w:rPr>
          <w:rFonts w:hint="eastAsia" w:hAnsi="宋体"/>
          <w:color w:val="auto"/>
        </w:rPr>
        <w:t>39.1成交供应商确定后，采购人或采购代理机构将以书面形式向成交供应商发出成交通知书。成交通知书对采购人和成交供应商具有同等法律效力。</w:t>
      </w:r>
    </w:p>
    <w:p w14:paraId="6F8C6753">
      <w:pPr>
        <w:pStyle w:val="28"/>
        <w:adjustRightInd w:val="0"/>
        <w:snapToGrid w:val="0"/>
        <w:spacing w:line="360" w:lineRule="auto"/>
        <w:ind w:firstLine="420" w:firstLineChars="200"/>
        <w:rPr>
          <w:rFonts w:hAnsi="宋体"/>
          <w:color w:val="auto"/>
        </w:rPr>
      </w:pPr>
      <w:r>
        <w:rPr>
          <w:rFonts w:hint="eastAsia" w:hAnsi="宋体"/>
          <w:color w:val="auto"/>
        </w:rPr>
        <w:t>39.2 成交通知书是合同文件的组成部分。</w:t>
      </w:r>
    </w:p>
    <w:p w14:paraId="7AD9ED35">
      <w:pPr>
        <w:tabs>
          <w:tab w:val="left" w:pos="7560"/>
          <w:tab w:val="left" w:pos="7740"/>
          <w:tab w:val="left" w:pos="7920"/>
        </w:tabs>
        <w:autoSpaceDN w:val="0"/>
        <w:adjustRightInd w:val="0"/>
        <w:snapToGrid w:val="0"/>
        <w:spacing w:line="360" w:lineRule="auto"/>
        <w:ind w:firstLine="420" w:firstLineChars="200"/>
        <w:rPr>
          <w:rFonts w:ascii="宋体" w:hAnsi="宋体"/>
          <w:color w:val="auto"/>
          <w:szCs w:val="21"/>
        </w:rPr>
      </w:pPr>
      <w:r>
        <w:rPr>
          <w:rFonts w:hint="eastAsia" w:ascii="宋体" w:hAnsi="宋体" w:cs="宋体"/>
          <w:color w:val="auto"/>
          <w:kern w:val="0"/>
          <w:szCs w:val="21"/>
        </w:rPr>
        <w:t xml:space="preserve">39.3 </w:t>
      </w:r>
      <w:r>
        <w:rPr>
          <w:rFonts w:hint="eastAsia" w:ascii="宋体" w:hAnsi="宋体"/>
          <w:color w:val="auto"/>
          <w:szCs w:val="21"/>
        </w:rPr>
        <w:t>成交供应商在收到采购代理机构的成交通知书后10日内，应按照</w:t>
      </w:r>
      <w:r>
        <w:rPr>
          <w:rFonts w:hint="eastAsia" w:ascii="宋体" w:hAnsi="宋体"/>
          <w:b/>
          <w:color w:val="auto"/>
          <w:szCs w:val="21"/>
        </w:rPr>
        <w:t>磋商须知前附表</w:t>
      </w:r>
      <w:r>
        <w:rPr>
          <w:rFonts w:hint="eastAsia" w:ascii="宋体" w:hAnsi="宋体"/>
          <w:color w:val="auto"/>
          <w:szCs w:val="21"/>
        </w:rPr>
        <w:t>的规定，向采购人提交履约担保，履约担保的形式为采购人认可的形式。联合体成交的，履约担保由联合体各方或联合体中牵头人的名义提交。</w:t>
      </w:r>
    </w:p>
    <w:p w14:paraId="247D3D68">
      <w:pPr>
        <w:pStyle w:val="28"/>
        <w:adjustRightInd w:val="0"/>
        <w:snapToGrid w:val="0"/>
        <w:spacing w:line="360" w:lineRule="auto"/>
        <w:ind w:firstLine="420" w:firstLineChars="200"/>
        <w:rPr>
          <w:rFonts w:hAnsi="宋体"/>
          <w:color w:val="auto"/>
        </w:rPr>
      </w:pPr>
      <w:r>
        <w:rPr>
          <w:rFonts w:hint="eastAsia" w:hAnsi="宋体"/>
          <w:color w:val="auto"/>
        </w:rPr>
        <w:t>39.4 成交供应商</w:t>
      </w:r>
      <w:r>
        <w:rPr>
          <w:rFonts w:hint="eastAsia" w:hAnsi="宋体"/>
          <w:color w:val="auto"/>
          <w:spacing w:val="4"/>
        </w:rPr>
        <w:t>没有按照本章第38.3</w:t>
      </w:r>
      <w:r>
        <w:rPr>
          <w:rFonts w:hint="eastAsia" w:hAnsi="宋体" w:cs="宋体"/>
          <w:color w:val="auto"/>
          <w:kern w:val="0"/>
          <w:lang w:val="zh-CN"/>
        </w:rPr>
        <w:t>款</w:t>
      </w:r>
      <w:r>
        <w:rPr>
          <w:rFonts w:hint="eastAsia" w:hAnsi="宋体"/>
          <w:color w:val="auto"/>
          <w:spacing w:val="4"/>
        </w:rPr>
        <w:t>规定</w:t>
      </w:r>
      <w:r>
        <w:rPr>
          <w:rFonts w:hint="eastAsia" w:hAnsi="宋体"/>
          <w:color w:val="auto"/>
        </w:rPr>
        <w:t>提交履约担保的</w:t>
      </w:r>
      <w:r>
        <w:rPr>
          <w:rFonts w:hint="eastAsia" w:hAnsi="宋体"/>
          <w:color w:val="auto"/>
          <w:spacing w:val="4"/>
        </w:rPr>
        <w:t>，视为放弃</w:t>
      </w:r>
      <w:r>
        <w:rPr>
          <w:rFonts w:hint="eastAsia" w:hAnsi="宋体"/>
          <w:color w:val="auto"/>
        </w:rPr>
        <w:t>成交资格</w:t>
      </w:r>
      <w:r>
        <w:rPr>
          <w:rFonts w:hint="eastAsia" w:hAnsi="宋体"/>
          <w:color w:val="auto"/>
          <w:spacing w:val="4"/>
        </w:rPr>
        <w:t>，</w:t>
      </w:r>
      <w:r>
        <w:rPr>
          <w:rFonts w:hint="eastAsia" w:hAnsi="宋体"/>
          <w:color w:val="auto"/>
          <w:spacing w:val="2"/>
        </w:rPr>
        <w:t>其保证金不予退还。</w:t>
      </w:r>
    </w:p>
    <w:p w14:paraId="3AD77DFF">
      <w:pPr>
        <w:adjustRightInd w:val="0"/>
        <w:snapToGrid w:val="0"/>
        <w:spacing w:line="360" w:lineRule="auto"/>
        <w:rPr>
          <w:rFonts w:ascii="宋体" w:hAnsi="宋体"/>
          <w:b/>
          <w:bCs/>
          <w:color w:val="auto"/>
          <w:szCs w:val="21"/>
        </w:rPr>
      </w:pPr>
      <w:r>
        <w:rPr>
          <w:rFonts w:hint="eastAsia" w:ascii="宋体" w:hAnsi="宋体"/>
          <w:b/>
          <w:bCs/>
          <w:color w:val="auto"/>
          <w:szCs w:val="21"/>
        </w:rPr>
        <w:t>40.签订合同</w:t>
      </w:r>
    </w:p>
    <w:p w14:paraId="781D7943">
      <w:pPr>
        <w:pStyle w:val="28"/>
        <w:adjustRightInd w:val="0"/>
        <w:snapToGrid w:val="0"/>
        <w:spacing w:line="360" w:lineRule="auto"/>
        <w:ind w:firstLine="420" w:firstLineChars="200"/>
        <w:rPr>
          <w:rFonts w:hAnsi="宋体"/>
          <w:color w:val="auto"/>
        </w:rPr>
      </w:pPr>
      <w:r>
        <w:rPr>
          <w:rFonts w:hint="eastAsia" w:hAnsi="宋体"/>
          <w:color w:val="auto"/>
        </w:rPr>
        <w:t>40.1 磋商文件、成交供应商的响应文件及其补充的响应文件等均为签订政府采购合同的依据。</w:t>
      </w:r>
    </w:p>
    <w:p w14:paraId="3B7C2B1E">
      <w:pPr>
        <w:pStyle w:val="28"/>
        <w:adjustRightInd w:val="0"/>
        <w:snapToGrid w:val="0"/>
        <w:spacing w:line="360" w:lineRule="auto"/>
        <w:ind w:firstLine="420" w:firstLineChars="200"/>
        <w:rPr>
          <w:rFonts w:hAnsi="宋体"/>
          <w:color w:val="auto"/>
        </w:rPr>
      </w:pPr>
      <w:r>
        <w:rPr>
          <w:rFonts w:hint="eastAsia" w:hAnsi="宋体"/>
          <w:color w:val="auto"/>
        </w:rPr>
        <w:t>40.2 成交供应商应当在成交通知书发出之日起30日内与采购人签订政府采购合同。</w:t>
      </w:r>
    </w:p>
    <w:p w14:paraId="1EA343FD">
      <w:pPr>
        <w:pStyle w:val="28"/>
        <w:adjustRightInd w:val="0"/>
        <w:snapToGrid w:val="0"/>
        <w:spacing w:line="360" w:lineRule="auto"/>
        <w:ind w:firstLine="420" w:firstLineChars="200"/>
        <w:rPr>
          <w:rFonts w:hAnsi="宋体"/>
          <w:color w:val="auto"/>
        </w:rPr>
      </w:pPr>
      <w:r>
        <w:rPr>
          <w:rFonts w:hint="eastAsia" w:hAnsi="宋体"/>
          <w:color w:val="auto"/>
        </w:rPr>
        <w:t>40.3 成交供应商应当按照合同约定履行义务。成交供应商不得向他人转让成交项目，也不得将成交项目分包后分别向他人转让。</w:t>
      </w:r>
    </w:p>
    <w:p w14:paraId="412CB253">
      <w:pPr>
        <w:pStyle w:val="28"/>
        <w:adjustRightInd w:val="0"/>
        <w:snapToGrid w:val="0"/>
        <w:spacing w:line="360" w:lineRule="auto"/>
        <w:ind w:firstLine="420" w:firstLineChars="200"/>
        <w:rPr>
          <w:rFonts w:hAnsi="宋体"/>
          <w:color w:val="auto"/>
        </w:rPr>
      </w:pPr>
      <w:r>
        <w:rPr>
          <w:rFonts w:hint="eastAsia" w:hAnsi="宋体"/>
          <w:color w:val="auto"/>
        </w:rPr>
        <w:t>40.4 成交供应商有下列情形之一的，责令限期改正，情节严重的，列入不良行为记录名单，在1至3年内禁止参加政府采购活动，并予以通报：</w:t>
      </w:r>
    </w:p>
    <w:p w14:paraId="047FE71B">
      <w:pPr>
        <w:pStyle w:val="28"/>
        <w:adjustRightInd w:val="0"/>
        <w:snapToGrid w:val="0"/>
        <w:spacing w:line="360" w:lineRule="auto"/>
        <w:ind w:firstLine="420" w:firstLineChars="200"/>
        <w:rPr>
          <w:rFonts w:hAnsi="宋体"/>
          <w:color w:val="auto"/>
        </w:rPr>
      </w:pPr>
      <w:r>
        <w:rPr>
          <w:rFonts w:hint="eastAsia" w:hAnsi="宋体"/>
          <w:color w:val="auto"/>
        </w:rPr>
        <w:t>（一）成交后无正当理由不与采购人签订合同的；</w:t>
      </w:r>
    </w:p>
    <w:p w14:paraId="347636F5">
      <w:pPr>
        <w:pStyle w:val="28"/>
        <w:adjustRightInd w:val="0"/>
        <w:snapToGrid w:val="0"/>
        <w:spacing w:line="360" w:lineRule="auto"/>
        <w:ind w:firstLine="420" w:firstLineChars="200"/>
        <w:rPr>
          <w:rFonts w:hAnsi="宋体"/>
          <w:color w:val="auto"/>
        </w:rPr>
      </w:pPr>
      <w:r>
        <w:rPr>
          <w:rFonts w:hint="eastAsia" w:hAnsi="宋体"/>
          <w:color w:val="auto"/>
        </w:rPr>
        <w:t>（二）未按照采购文件确定的事项签订政府采购合同，或者与采购人另行订立背离合同实质性内容的协议的；</w:t>
      </w:r>
    </w:p>
    <w:p w14:paraId="3A629109">
      <w:pPr>
        <w:pStyle w:val="28"/>
        <w:adjustRightInd w:val="0"/>
        <w:snapToGrid w:val="0"/>
        <w:spacing w:line="360" w:lineRule="auto"/>
        <w:ind w:firstLine="420" w:firstLineChars="200"/>
        <w:rPr>
          <w:rFonts w:hAnsi="宋体"/>
          <w:color w:val="auto"/>
        </w:rPr>
      </w:pPr>
      <w:r>
        <w:rPr>
          <w:rFonts w:hint="eastAsia" w:hAnsi="宋体"/>
          <w:color w:val="auto"/>
        </w:rPr>
        <w:t>（三）拒绝履行合同义务的；</w:t>
      </w:r>
    </w:p>
    <w:p w14:paraId="16F2B7FF">
      <w:pPr>
        <w:pStyle w:val="28"/>
        <w:adjustRightInd w:val="0"/>
        <w:snapToGrid w:val="0"/>
        <w:spacing w:line="360" w:lineRule="auto"/>
        <w:ind w:firstLine="420" w:firstLineChars="200"/>
        <w:rPr>
          <w:rFonts w:hAnsi="宋体"/>
          <w:color w:val="auto"/>
        </w:rPr>
      </w:pPr>
      <w:r>
        <w:rPr>
          <w:rFonts w:hint="eastAsia" w:hAnsi="宋体"/>
          <w:color w:val="auto"/>
        </w:rPr>
        <w:t>（四）</w:t>
      </w:r>
      <w:r>
        <w:rPr>
          <w:rFonts w:hint="eastAsia" w:hAnsi="宋体" w:cs="宋体"/>
          <w:color w:val="auto"/>
          <w:kern w:val="0"/>
        </w:rPr>
        <w:t>违反法律、规章、规范性文件规定的。</w:t>
      </w:r>
    </w:p>
    <w:p w14:paraId="53F9C6A0">
      <w:pPr>
        <w:adjustRightInd w:val="0"/>
        <w:snapToGrid w:val="0"/>
        <w:spacing w:line="360" w:lineRule="auto"/>
        <w:rPr>
          <w:rFonts w:ascii="宋体" w:hAnsi="宋体"/>
          <w:b/>
          <w:color w:val="auto"/>
          <w:sz w:val="24"/>
        </w:rPr>
      </w:pPr>
      <w:r>
        <w:rPr>
          <w:rFonts w:hint="eastAsia" w:ascii="宋体" w:hAnsi="宋体"/>
          <w:b/>
          <w:color w:val="auto"/>
          <w:sz w:val="24"/>
        </w:rPr>
        <w:t>七、其他规定</w:t>
      </w:r>
    </w:p>
    <w:p w14:paraId="4BC70EAB">
      <w:pPr>
        <w:adjustRightInd w:val="0"/>
        <w:snapToGrid w:val="0"/>
        <w:spacing w:line="360" w:lineRule="auto"/>
        <w:ind w:firstLine="422" w:firstLineChars="200"/>
        <w:jc w:val="left"/>
        <w:rPr>
          <w:rFonts w:ascii="宋体" w:hAnsi="宋体"/>
          <w:b/>
          <w:color w:val="auto"/>
          <w:szCs w:val="21"/>
        </w:rPr>
      </w:pPr>
      <w:r>
        <w:rPr>
          <w:rFonts w:hint="eastAsia" w:ascii="宋体" w:hAnsi="宋体"/>
          <w:b/>
          <w:color w:val="auto"/>
          <w:szCs w:val="21"/>
        </w:rPr>
        <w:t>41.采购代理服务费及其他费用</w:t>
      </w:r>
    </w:p>
    <w:p w14:paraId="384DD063">
      <w:pPr>
        <w:adjustRightInd w:val="0"/>
        <w:snapToGrid w:val="0"/>
        <w:spacing w:before="156" w:beforeLines="50" w:line="360" w:lineRule="auto"/>
        <w:ind w:firstLine="420" w:firstLineChars="200"/>
        <w:rPr>
          <w:rFonts w:ascii="宋体" w:hAnsi="宋体" w:cs="仿宋_GB2312"/>
          <w:color w:val="auto"/>
          <w:szCs w:val="21"/>
          <w:lang w:val="zh-CN"/>
        </w:rPr>
      </w:pPr>
      <w:r>
        <w:rPr>
          <w:rFonts w:hint="eastAsia" w:ascii="宋体" w:hAnsi="宋体"/>
          <w:color w:val="auto"/>
          <w:szCs w:val="21"/>
        </w:rPr>
        <w:t>41.1代理服务费由中标供应商支付的，供应商应按</w:t>
      </w:r>
      <w:r>
        <w:rPr>
          <w:rFonts w:hint="eastAsia" w:ascii="宋体" w:hAnsi="宋体"/>
          <w:b/>
          <w:color w:val="auto"/>
          <w:szCs w:val="21"/>
        </w:rPr>
        <w:t>【磋商须知前附表】</w:t>
      </w:r>
      <w:r>
        <w:rPr>
          <w:rFonts w:hint="eastAsia" w:ascii="宋体" w:hAnsi="宋体"/>
          <w:color w:val="auto"/>
          <w:szCs w:val="21"/>
        </w:rPr>
        <w:t>规定向采购代理机构交纳代理服务费相关费用，</w:t>
      </w:r>
      <w:r>
        <w:rPr>
          <w:rFonts w:hint="eastAsia" w:ascii="宋体" w:hAnsi="宋体" w:cs="仿宋_GB2312"/>
          <w:color w:val="auto"/>
          <w:szCs w:val="21"/>
          <w:lang w:val="zh-CN"/>
        </w:rPr>
        <w:t>否则，由此产生的一切法律后果和责任由中标(成交)供应商承担。</w:t>
      </w:r>
    </w:p>
    <w:p w14:paraId="5330042A">
      <w:pPr>
        <w:adjustRightInd w:val="0"/>
        <w:snapToGrid w:val="0"/>
        <w:spacing w:before="156" w:beforeLines="50" w:line="360" w:lineRule="auto"/>
        <w:ind w:firstLine="422" w:firstLineChars="200"/>
        <w:rPr>
          <w:rFonts w:ascii="宋体" w:hAnsi="宋体"/>
          <w:b/>
          <w:color w:val="auto"/>
        </w:rPr>
      </w:pPr>
      <w:r>
        <w:rPr>
          <w:rFonts w:hint="eastAsia" w:ascii="宋体" w:hAnsi="宋体"/>
          <w:b/>
          <w:color w:val="auto"/>
          <w:szCs w:val="21"/>
        </w:rPr>
        <w:t>42.</w:t>
      </w:r>
      <w:r>
        <w:rPr>
          <w:rFonts w:hint="eastAsia" w:ascii="宋体" w:hAnsi="宋体"/>
          <w:b/>
          <w:color w:val="auto"/>
        </w:rPr>
        <w:t xml:space="preserve"> 其他规定</w:t>
      </w:r>
    </w:p>
    <w:p w14:paraId="3DDD9A06">
      <w:pPr>
        <w:tabs>
          <w:tab w:val="left" w:pos="420"/>
          <w:tab w:val="left" w:pos="7560"/>
          <w:tab w:val="left" w:pos="7740"/>
          <w:tab w:val="left" w:pos="7920"/>
        </w:tabs>
        <w:adjustRightInd w:val="0"/>
        <w:snapToGrid w:val="0"/>
        <w:spacing w:line="360" w:lineRule="auto"/>
        <w:ind w:firstLine="420" w:firstLineChars="200"/>
        <w:rPr>
          <w:rFonts w:ascii="宋体" w:hAnsi="宋体"/>
          <w:color w:val="auto"/>
        </w:rPr>
      </w:pPr>
      <w:r>
        <w:rPr>
          <w:rFonts w:hint="eastAsia" w:ascii="宋体" w:hAnsi="宋体"/>
          <w:color w:val="auto"/>
        </w:rPr>
        <w:t>42.1</w:t>
      </w:r>
      <w:r>
        <w:rPr>
          <w:rFonts w:hint="eastAsia" w:ascii="宋体" w:hAnsi="宋体"/>
          <w:b/>
          <w:bCs/>
          <w:color w:val="auto"/>
        </w:rPr>
        <w:t>磋商须知前附表</w:t>
      </w:r>
      <w:r>
        <w:rPr>
          <w:rFonts w:hint="eastAsia" w:ascii="宋体" w:hAnsi="宋体"/>
          <w:color w:val="auto"/>
        </w:rPr>
        <w:t>规定供应商提供样品的，供应商有以下情形之一的，其响应无效。</w:t>
      </w:r>
    </w:p>
    <w:p w14:paraId="07E2A769">
      <w:pPr>
        <w:tabs>
          <w:tab w:val="left" w:pos="420"/>
          <w:tab w:val="left" w:pos="7560"/>
          <w:tab w:val="left" w:pos="7740"/>
          <w:tab w:val="left" w:pos="7920"/>
        </w:tabs>
        <w:adjustRightInd w:val="0"/>
        <w:snapToGrid w:val="0"/>
        <w:spacing w:line="360" w:lineRule="auto"/>
        <w:ind w:firstLine="420" w:firstLineChars="200"/>
        <w:rPr>
          <w:rFonts w:ascii="宋体" w:hAnsi="宋体"/>
          <w:color w:val="auto"/>
        </w:rPr>
      </w:pPr>
      <w:r>
        <w:rPr>
          <w:rFonts w:hint="eastAsia" w:ascii="宋体" w:hAnsi="宋体"/>
          <w:color w:val="auto"/>
        </w:rPr>
        <w:t>（1）未在</w:t>
      </w:r>
      <w:r>
        <w:rPr>
          <w:rFonts w:hint="eastAsia" w:ascii="宋体" w:hAnsi="宋体"/>
          <w:b/>
          <w:color w:val="auto"/>
          <w:szCs w:val="21"/>
        </w:rPr>
        <w:t>磋商须知前附表</w:t>
      </w:r>
      <w:r>
        <w:rPr>
          <w:rFonts w:hint="eastAsia" w:ascii="宋体" w:hAnsi="宋体"/>
          <w:color w:val="auto"/>
        </w:rPr>
        <w:t>规定的提交时间、地点提交的；</w:t>
      </w:r>
    </w:p>
    <w:p w14:paraId="26C9241B">
      <w:pPr>
        <w:tabs>
          <w:tab w:val="left" w:pos="420"/>
          <w:tab w:val="left" w:pos="7560"/>
          <w:tab w:val="left" w:pos="7740"/>
          <w:tab w:val="left" w:pos="7920"/>
        </w:tabs>
        <w:adjustRightInd w:val="0"/>
        <w:snapToGrid w:val="0"/>
        <w:spacing w:line="360" w:lineRule="auto"/>
        <w:ind w:firstLine="420" w:firstLineChars="200"/>
        <w:rPr>
          <w:rFonts w:ascii="宋体" w:hAnsi="宋体"/>
          <w:color w:val="auto"/>
        </w:rPr>
      </w:pPr>
      <w:r>
        <w:rPr>
          <w:rFonts w:hint="eastAsia" w:ascii="宋体" w:hAnsi="宋体"/>
          <w:color w:val="auto"/>
        </w:rPr>
        <w:t>（2）供应商提供的样品与磋商文件中型号、规格不一致的。</w:t>
      </w:r>
    </w:p>
    <w:p w14:paraId="12D0E376">
      <w:pPr>
        <w:tabs>
          <w:tab w:val="left" w:pos="420"/>
          <w:tab w:val="left" w:pos="7560"/>
          <w:tab w:val="left" w:pos="7740"/>
          <w:tab w:val="left" w:pos="7920"/>
        </w:tabs>
        <w:adjustRightInd w:val="0"/>
        <w:snapToGrid w:val="0"/>
        <w:spacing w:line="360" w:lineRule="auto"/>
        <w:ind w:firstLine="420" w:firstLineChars="200"/>
        <w:rPr>
          <w:rFonts w:ascii="宋体" w:hAnsi="宋体"/>
          <w:color w:val="auto"/>
          <w:szCs w:val="21"/>
        </w:rPr>
      </w:pPr>
      <w:r>
        <w:rPr>
          <w:rFonts w:hint="eastAsia" w:ascii="宋体" w:hAnsi="宋体"/>
          <w:color w:val="auto"/>
        </w:rPr>
        <w:t>42.2</w:t>
      </w:r>
      <w:r>
        <w:rPr>
          <w:rFonts w:hint="eastAsia" w:ascii="宋体" w:hAnsi="宋体"/>
          <w:color w:val="auto"/>
          <w:szCs w:val="21"/>
        </w:rPr>
        <w:t>磋商文件</w:t>
      </w:r>
      <w:r>
        <w:rPr>
          <w:rFonts w:hint="eastAsia" w:ascii="宋体" w:hAnsi="宋体"/>
          <w:color w:val="auto"/>
        </w:rPr>
        <w:t>的其他规定</w:t>
      </w:r>
      <w:r>
        <w:rPr>
          <w:rFonts w:hint="eastAsia" w:ascii="宋体" w:hAnsi="宋体"/>
          <w:color w:val="auto"/>
          <w:szCs w:val="21"/>
        </w:rPr>
        <w:t>见</w:t>
      </w:r>
      <w:r>
        <w:rPr>
          <w:rFonts w:hint="eastAsia" w:ascii="宋体" w:hAnsi="宋体"/>
          <w:b/>
          <w:color w:val="auto"/>
          <w:szCs w:val="21"/>
        </w:rPr>
        <w:t>磋商须知前附表</w:t>
      </w:r>
      <w:r>
        <w:rPr>
          <w:rFonts w:hint="eastAsia" w:ascii="宋体" w:hAnsi="宋体"/>
          <w:color w:val="auto"/>
          <w:szCs w:val="21"/>
        </w:rPr>
        <w:t>。</w:t>
      </w:r>
    </w:p>
    <w:p w14:paraId="5BB50CB3">
      <w:pPr>
        <w:tabs>
          <w:tab w:val="left" w:pos="0"/>
        </w:tabs>
        <w:adjustRightInd w:val="0"/>
        <w:snapToGrid w:val="0"/>
        <w:spacing w:before="156" w:beforeLines="50" w:line="360" w:lineRule="auto"/>
        <w:rPr>
          <w:rFonts w:ascii="宋体" w:hAnsi="宋体"/>
          <w:b/>
          <w:bCs/>
          <w:color w:val="auto"/>
          <w:sz w:val="24"/>
        </w:rPr>
      </w:pPr>
    </w:p>
    <w:p w14:paraId="607161C1">
      <w:pPr>
        <w:tabs>
          <w:tab w:val="left" w:pos="0"/>
        </w:tabs>
        <w:adjustRightInd w:val="0"/>
        <w:snapToGrid w:val="0"/>
        <w:spacing w:before="156" w:beforeLines="50" w:line="360" w:lineRule="auto"/>
        <w:rPr>
          <w:rFonts w:ascii="宋体" w:hAnsi="宋体"/>
          <w:b/>
          <w:bCs/>
          <w:color w:val="auto"/>
          <w:sz w:val="24"/>
        </w:rPr>
      </w:pPr>
    </w:p>
    <w:p w14:paraId="65B89855">
      <w:pPr>
        <w:tabs>
          <w:tab w:val="left" w:pos="0"/>
        </w:tabs>
        <w:adjustRightInd w:val="0"/>
        <w:snapToGrid w:val="0"/>
        <w:jc w:val="center"/>
        <w:outlineLvl w:val="0"/>
        <w:rPr>
          <w:rFonts w:ascii="宋体" w:hAnsi="宋体"/>
          <w:b/>
          <w:bCs/>
          <w:color w:val="auto"/>
          <w:sz w:val="36"/>
          <w:szCs w:val="36"/>
        </w:rPr>
      </w:pPr>
      <w:r>
        <w:rPr>
          <w:rFonts w:hint="eastAsia" w:ascii="宋体" w:hAnsi="宋体"/>
          <w:b/>
          <w:bCs/>
          <w:color w:val="auto"/>
          <w:sz w:val="36"/>
          <w:szCs w:val="36"/>
        </w:rPr>
        <w:br w:type="page"/>
      </w:r>
      <w:bookmarkStart w:id="4" w:name="_Toc14666"/>
      <w:r>
        <w:rPr>
          <w:rFonts w:hint="eastAsia" w:ascii="宋体" w:hAnsi="宋体"/>
          <w:b/>
          <w:bCs/>
          <w:color w:val="auto"/>
          <w:sz w:val="36"/>
          <w:szCs w:val="36"/>
        </w:rPr>
        <w:t>第三章 磋商办法</w:t>
      </w:r>
      <w:bookmarkEnd w:id="4"/>
    </w:p>
    <w:p w14:paraId="0A131D18">
      <w:pPr>
        <w:rPr>
          <w:color w:val="auto"/>
        </w:rPr>
      </w:pPr>
    </w:p>
    <w:p w14:paraId="18661B58">
      <w:pPr>
        <w:rPr>
          <w:b/>
          <w:color w:val="auto"/>
        </w:rPr>
      </w:pPr>
      <w:r>
        <w:rPr>
          <w:rFonts w:hint="eastAsia"/>
          <w:b/>
          <w:color w:val="auto"/>
        </w:rPr>
        <w:t>一、磋商方法</w:t>
      </w:r>
    </w:p>
    <w:p w14:paraId="12542679">
      <w:pPr>
        <w:tabs>
          <w:tab w:val="left" w:pos="0"/>
        </w:tabs>
        <w:adjustRightInd w:val="0"/>
        <w:snapToGrid w:val="0"/>
        <w:spacing w:before="156" w:beforeLines="50" w:line="360" w:lineRule="auto"/>
        <w:ind w:firstLine="420" w:firstLineChars="200"/>
        <w:rPr>
          <w:rFonts w:ascii="宋体" w:hAnsi="宋体"/>
          <w:color w:val="auto"/>
          <w:szCs w:val="21"/>
        </w:rPr>
      </w:pPr>
      <w:r>
        <w:rPr>
          <w:rFonts w:hint="eastAsia" w:ascii="宋体" w:hAnsi="宋体"/>
          <w:bCs/>
          <w:color w:val="auto"/>
          <w:szCs w:val="21"/>
        </w:rPr>
        <w:t>本项目采取综合评分法，即</w:t>
      </w:r>
      <w:r>
        <w:rPr>
          <w:rFonts w:hint="eastAsia" w:ascii="宋体" w:hAnsi="宋体"/>
          <w:color w:val="auto"/>
          <w:szCs w:val="21"/>
        </w:rPr>
        <w:t>响应文件满足磋商文件全部实质性要求且按磋商因素的量化指标评审得分最高的供应商为成交候选人的评审方法。</w:t>
      </w:r>
    </w:p>
    <w:p w14:paraId="1C1D8726">
      <w:pPr>
        <w:tabs>
          <w:tab w:val="left" w:pos="0"/>
        </w:tabs>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磋商因素：详见磋商标准评分表，但不包括供应商资格条件。</w:t>
      </w:r>
    </w:p>
    <w:p w14:paraId="1B59BF73">
      <w:pPr>
        <w:widowControl/>
        <w:adjustRightInd w:val="0"/>
        <w:snapToGrid w:val="0"/>
        <w:spacing w:before="156" w:beforeLines="50" w:line="360" w:lineRule="auto"/>
        <w:ind w:firstLine="420" w:firstLineChars="200"/>
        <w:jc w:val="left"/>
        <w:rPr>
          <w:rFonts w:ascii="宋体" w:hAnsi="宋体"/>
          <w:bCs/>
          <w:color w:val="auto"/>
          <w:szCs w:val="21"/>
        </w:rPr>
      </w:pPr>
      <w:r>
        <w:rPr>
          <w:rFonts w:hint="eastAsia" w:ascii="宋体" w:hAnsi="宋体"/>
          <w:bCs/>
          <w:color w:val="auto"/>
          <w:szCs w:val="21"/>
        </w:rPr>
        <w:t>磋商</w:t>
      </w:r>
      <w:r>
        <w:rPr>
          <w:rFonts w:hint="eastAsia" w:ascii="宋体" w:hAnsi="宋体"/>
          <w:color w:val="auto"/>
          <w:szCs w:val="21"/>
        </w:rPr>
        <w:t>报价评价。磋商小组以经磋商确定最终采购需求，资格性、符合性检查合格的供应商提交的最后报价为基础，</w:t>
      </w:r>
      <w:r>
        <w:rPr>
          <w:rFonts w:hint="eastAsia" w:ascii="宋体" w:hAnsi="宋体" w:cs="宋体"/>
          <w:color w:val="auto"/>
          <w:kern w:val="0"/>
          <w:szCs w:val="21"/>
        </w:rPr>
        <w:t>依次</w:t>
      </w:r>
      <w:r>
        <w:rPr>
          <w:rFonts w:hint="eastAsia" w:ascii="宋体" w:hAnsi="宋体"/>
          <w:color w:val="auto"/>
          <w:szCs w:val="21"/>
        </w:rPr>
        <w:t>对磋商报价进行</w:t>
      </w:r>
      <w:r>
        <w:rPr>
          <w:rFonts w:hint="eastAsia" w:ascii="宋体" w:hAnsi="宋体" w:cs="宋体"/>
          <w:color w:val="auto"/>
          <w:kern w:val="0"/>
          <w:szCs w:val="21"/>
        </w:rPr>
        <w:t>算术</w:t>
      </w:r>
      <w:r>
        <w:rPr>
          <w:rFonts w:hint="eastAsia" w:ascii="宋体" w:hAnsi="宋体"/>
          <w:color w:val="auto"/>
          <w:szCs w:val="21"/>
        </w:rPr>
        <w:t>修正和政府采购政策优惠价格扣除计算。</w:t>
      </w:r>
    </w:p>
    <w:p w14:paraId="34684788">
      <w:pPr>
        <w:widowControl/>
        <w:adjustRightInd w:val="0"/>
        <w:snapToGrid w:val="0"/>
        <w:spacing w:before="156" w:beforeLines="50"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价格分采用低价优先法计算，即满足磋商文件要求且磋商报价最低的磋商报价为磋商基准价，其价格分为满分，其他</w:t>
      </w:r>
      <w:r>
        <w:rPr>
          <w:rFonts w:hint="eastAsia" w:ascii="宋体" w:hAnsi="宋体"/>
          <w:color w:val="auto"/>
          <w:szCs w:val="21"/>
        </w:rPr>
        <w:t>有效供应商</w:t>
      </w:r>
      <w:r>
        <w:rPr>
          <w:rFonts w:hint="eastAsia" w:ascii="宋体" w:hAnsi="宋体" w:cs="宋体"/>
          <w:color w:val="auto"/>
          <w:kern w:val="0"/>
          <w:szCs w:val="21"/>
        </w:rPr>
        <w:t>的价格分按照下列公式计算：</w:t>
      </w:r>
    </w:p>
    <w:p w14:paraId="051F230C">
      <w:pPr>
        <w:widowControl/>
        <w:adjustRightInd w:val="0"/>
        <w:snapToGrid w:val="0"/>
        <w:spacing w:before="156" w:beforeLines="50"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磋商报价得分=(磋商基准价／最后磋商报价)×价格分值</w:t>
      </w:r>
    </w:p>
    <w:p w14:paraId="5EF4BDA4">
      <w:pPr>
        <w:widowControl/>
        <w:adjustRightInd w:val="0"/>
        <w:snapToGrid w:val="0"/>
        <w:spacing w:before="156" w:beforeLines="50"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磋商报价高于采购人预算价为无效响应。</w:t>
      </w:r>
    </w:p>
    <w:p w14:paraId="04C48A82">
      <w:pPr>
        <w:widowControl/>
        <w:adjustRightInd w:val="0"/>
        <w:snapToGrid w:val="0"/>
        <w:spacing w:before="156" w:beforeLines="50" w:line="360" w:lineRule="auto"/>
        <w:ind w:firstLine="420" w:firstLineChars="200"/>
        <w:jc w:val="left"/>
        <w:rPr>
          <w:rFonts w:ascii="宋体" w:hAnsi="宋体"/>
          <w:color w:val="auto"/>
          <w:szCs w:val="21"/>
        </w:rPr>
      </w:pPr>
      <w:r>
        <w:rPr>
          <w:rFonts w:hint="eastAsia" w:ascii="宋体" w:hAnsi="宋体" w:cs="宋体"/>
          <w:color w:val="auto"/>
          <w:kern w:val="0"/>
          <w:szCs w:val="21"/>
        </w:rPr>
        <w:t>本项所称磋商报价为按</w:t>
      </w:r>
      <w:r>
        <w:rPr>
          <w:rFonts w:hint="eastAsia" w:ascii="宋体" w:hAnsi="宋体"/>
          <w:bCs/>
          <w:color w:val="auto"/>
          <w:szCs w:val="21"/>
        </w:rPr>
        <w:t>第二章第30.3</w:t>
      </w:r>
      <w:r>
        <w:rPr>
          <w:rFonts w:hint="eastAsia" w:ascii="宋体" w:hAnsi="宋体" w:cs="宋体"/>
          <w:color w:val="auto"/>
          <w:kern w:val="0"/>
          <w:szCs w:val="21"/>
          <w:lang w:val="zh-CN"/>
        </w:rPr>
        <w:t>款</w:t>
      </w:r>
      <w:r>
        <w:rPr>
          <w:rFonts w:hint="eastAsia" w:ascii="宋体" w:hAnsi="宋体"/>
          <w:bCs/>
          <w:color w:val="auto"/>
          <w:szCs w:val="21"/>
        </w:rPr>
        <w:t>规定</w:t>
      </w:r>
      <w:r>
        <w:rPr>
          <w:rFonts w:hint="eastAsia" w:ascii="宋体" w:hAnsi="宋体"/>
          <w:color w:val="auto"/>
          <w:szCs w:val="21"/>
        </w:rPr>
        <w:t>评价后的磋商报价。</w:t>
      </w:r>
    </w:p>
    <w:p w14:paraId="71214B88">
      <w:pPr>
        <w:widowControl/>
        <w:adjustRightInd w:val="0"/>
        <w:snapToGrid w:val="0"/>
        <w:spacing w:before="156" w:beforeLines="50" w:line="360" w:lineRule="auto"/>
        <w:ind w:firstLine="420" w:firstLineChars="200"/>
        <w:jc w:val="left"/>
        <w:rPr>
          <w:rFonts w:ascii="宋体" w:hAnsi="宋体"/>
          <w:color w:val="auto"/>
          <w:szCs w:val="21"/>
        </w:rPr>
      </w:pPr>
      <w:r>
        <w:rPr>
          <w:rFonts w:hint="eastAsia" w:ascii="宋体" w:hAnsi="宋体"/>
          <w:color w:val="auto"/>
          <w:szCs w:val="21"/>
        </w:rPr>
        <w:t>涉及政府采购政策优惠的，</w:t>
      </w:r>
      <w:r>
        <w:rPr>
          <w:rFonts w:hint="eastAsia" w:ascii="宋体" w:hAnsi="宋体"/>
          <w:bCs/>
          <w:color w:val="auto"/>
          <w:szCs w:val="21"/>
        </w:rPr>
        <w:t>按</w:t>
      </w:r>
      <w:r>
        <w:rPr>
          <w:rFonts w:hint="eastAsia" w:ascii="宋体" w:hAnsi="宋体"/>
          <w:b/>
          <w:color w:val="auto"/>
          <w:szCs w:val="21"/>
        </w:rPr>
        <w:t>磋商须知前附表</w:t>
      </w:r>
      <w:r>
        <w:rPr>
          <w:rFonts w:hint="eastAsia" w:ascii="宋体" w:hAnsi="宋体"/>
          <w:bCs/>
          <w:color w:val="auto"/>
          <w:szCs w:val="21"/>
        </w:rPr>
        <w:t>规定</w:t>
      </w:r>
      <w:r>
        <w:rPr>
          <w:rFonts w:hint="eastAsia" w:ascii="宋体" w:hAnsi="宋体"/>
          <w:color w:val="auto"/>
          <w:szCs w:val="21"/>
        </w:rPr>
        <w:t>调整。</w:t>
      </w:r>
    </w:p>
    <w:p w14:paraId="261BFC73">
      <w:pPr>
        <w:widowControl/>
        <w:adjustRightInd w:val="0"/>
        <w:snapToGrid w:val="0"/>
        <w:spacing w:before="156" w:beforeLines="50" w:line="360" w:lineRule="auto"/>
        <w:ind w:firstLine="420" w:firstLineChars="200"/>
        <w:jc w:val="left"/>
        <w:rPr>
          <w:rFonts w:ascii="宋体" w:hAnsi="宋体"/>
          <w:color w:val="auto"/>
          <w:szCs w:val="21"/>
        </w:rPr>
      </w:pPr>
      <w:r>
        <w:rPr>
          <w:rFonts w:hint="eastAsia" w:ascii="宋体" w:hAnsi="宋体"/>
          <w:color w:val="auto"/>
          <w:szCs w:val="21"/>
        </w:rPr>
        <w:t>评审时，磋商小组各成员应当独立对每个供应商的响应</w:t>
      </w:r>
      <w:r>
        <w:rPr>
          <w:rFonts w:hint="eastAsia" w:ascii="宋体" w:hAnsi="宋体"/>
          <w:bCs/>
          <w:color w:val="auto"/>
          <w:szCs w:val="21"/>
        </w:rPr>
        <w:t>文件</w:t>
      </w:r>
      <w:r>
        <w:rPr>
          <w:rFonts w:hint="eastAsia" w:ascii="宋体" w:hAnsi="宋体"/>
          <w:color w:val="auto"/>
          <w:szCs w:val="21"/>
        </w:rPr>
        <w:t>进行评价、评分。</w:t>
      </w:r>
    </w:p>
    <w:p w14:paraId="2245D315">
      <w:pPr>
        <w:widowControl/>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接受分支机构投标的项目，评分标准中的商务资料（资质、证书、业绩），对分支机构提供的其上级分公司或所属的独立法人公司的材料予以认可。</w:t>
      </w:r>
    </w:p>
    <w:p w14:paraId="001B824C">
      <w:pPr>
        <w:widowControl/>
        <w:adjustRightInd w:val="0"/>
        <w:snapToGrid w:val="0"/>
        <w:spacing w:before="156" w:beforeLines="50" w:line="360" w:lineRule="auto"/>
        <w:ind w:firstLine="420" w:firstLineChars="200"/>
        <w:jc w:val="left"/>
        <w:rPr>
          <w:rFonts w:ascii="宋体" w:hAnsi="宋体" w:cs="宋体"/>
          <w:color w:val="auto"/>
          <w:kern w:val="0"/>
          <w:szCs w:val="21"/>
        </w:rPr>
      </w:pPr>
      <w:r>
        <w:rPr>
          <w:rFonts w:hint="eastAsia" w:asciiTheme="minorEastAsia" w:hAnsiTheme="minorEastAsia" w:eastAsiaTheme="minorEastAsia"/>
          <w:color w:val="auto"/>
          <w:szCs w:val="21"/>
        </w:rPr>
        <w:t>非单一产品采购项目：</w:t>
      </w:r>
      <w:r>
        <w:rPr>
          <w:rFonts w:hint="eastAsia" w:ascii="宋体" w:hAnsi="宋体" w:cs="宋体"/>
          <w:color w:val="auto"/>
          <w:kern w:val="0"/>
          <w:szCs w:val="21"/>
        </w:rPr>
        <w:t>多家供应商提供的核心产品品牌相同的，视为相同品牌，提供相同品牌产品的不同供应商参加同一合同项下投标的，按一家供应商计算。评审后得分最高的同品牌供应商获得中标人推荐资格；评审得分相同的，按照规定的方式确定一个供应商获得中标人推荐资格，磋商文件未规定的采取随机抽取方式确定，其他同品牌供应商不作为中标候选人。</w:t>
      </w:r>
    </w:p>
    <w:p w14:paraId="55A0B5FB">
      <w:pPr>
        <w:tabs>
          <w:tab w:val="left" w:pos="0"/>
        </w:tabs>
        <w:adjustRightInd w:val="0"/>
        <w:snapToGrid w:val="0"/>
        <w:spacing w:before="156" w:beforeLines="50" w:line="360" w:lineRule="auto"/>
        <w:ind w:firstLine="422" w:firstLineChars="200"/>
        <w:rPr>
          <w:rFonts w:ascii="宋体" w:hAnsi="宋体"/>
          <w:b/>
          <w:color w:val="auto"/>
          <w:szCs w:val="21"/>
        </w:rPr>
      </w:pPr>
      <w:r>
        <w:rPr>
          <w:rFonts w:hint="eastAsia" w:ascii="宋体" w:hAnsi="宋体"/>
          <w:b/>
          <w:color w:val="auto"/>
          <w:szCs w:val="21"/>
        </w:rPr>
        <w:t>异常低价响应程序：</w:t>
      </w:r>
    </w:p>
    <w:p w14:paraId="0F958D18">
      <w:pPr>
        <w:tabs>
          <w:tab w:val="left" w:pos="0"/>
        </w:tabs>
        <w:adjustRightInd w:val="0"/>
        <w:snapToGrid w:val="0"/>
        <w:spacing w:before="156" w:beforeLines="50" w:line="360" w:lineRule="auto"/>
        <w:ind w:firstLine="420" w:firstLineChars="200"/>
        <w:rPr>
          <w:rFonts w:ascii="宋体" w:hAnsi="宋体"/>
          <w:bCs/>
          <w:color w:val="auto"/>
          <w:szCs w:val="21"/>
        </w:rPr>
      </w:pPr>
      <w:r>
        <w:rPr>
          <w:rFonts w:hint="eastAsia" w:ascii="宋体" w:hAnsi="宋体"/>
          <w:bCs/>
          <w:color w:val="auto"/>
          <w:szCs w:val="21"/>
        </w:rPr>
        <w:t>评标评委会应当在符合性审查完成后，根据财政部《关于推动解决政府采购异常低价问题的通知》（财库〔2026〕2号）文件，按以下要求启动异常低价投标（响应）审查程序：</w:t>
      </w:r>
    </w:p>
    <w:p w14:paraId="23E17687">
      <w:pPr>
        <w:tabs>
          <w:tab w:val="left" w:pos="0"/>
        </w:tabs>
        <w:adjustRightInd w:val="0"/>
        <w:snapToGrid w:val="0"/>
        <w:spacing w:before="156" w:beforeLines="50" w:line="360" w:lineRule="auto"/>
        <w:ind w:firstLine="420" w:firstLineChars="200"/>
        <w:rPr>
          <w:rFonts w:ascii="宋体" w:hAnsi="宋体"/>
          <w:bCs/>
          <w:color w:val="auto"/>
          <w:szCs w:val="21"/>
        </w:rPr>
      </w:pPr>
      <w:r>
        <w:rPr>
          <w:rFonts w:hint="eastAsia" w:ascii="宋体" w:hAnsi="宋体"/>
          <w:bCs/>
          <w:color w:val="auto"/>
          <w:szCs w:val="21"/>
        </w:rPr>
        <w:t>（一）本项目评审中出现下列情形之一的，评审委员会应当启动异常低价投标（响应）审查程序：</w:t>
      </w:r>
    </w:p>
    <w:p w14:paraId="38917C24">
      <w:pPr>
        <w:tabs>
          <w:tab w:val="left" w:pos="0"/>
        </w:tabs>
        <w:adjustRightInd w:val="0"/>
        <w:snapToGrid w:val="0"/>
        <w:spacing w:before="156" w:beforeLines="50" w:line="360" w:lineRule="auto"/>
        <w:ind w:firstLine="420" w:firstLineChars="200"/>
        <w:rPr>
          <w:rFonts w:ascii="宋体" w:hAnsi="宋体"/>
          <w:bCs/>
          <w:color w:val="auto"/>
          <w:szCs w:val="21"/>
        </w:rPr>
      </w:pPr>
      <w:r>
        <w:rPr>
          <w:rFonts w:hint="eastAsia" w:ascii="宋体" w:hAnsi="宋体"/>
          <w:bCs/>
          <w:color w:val="auto"/>
          <w:szCs w:val="21"/>
        </w:rPr>
        <w:t>1.投标（响应）报价低于全部通过符合性审查供应商投标（响应）报价平均值65%的，即投标（响应）报价&lt;全部通过符合性审查供应商投标（响应）报价平均值×65%；</w:t>
      </w:r>
    </w:p>
    <w:p w14:paraId="02680B6B">
      <w:pPr>
        <w:tabs>
          <w:tab w:val="left" w:pos="0"/>
        </w:tabs>
        <w:adjustRightInd w:val="0"/>
        <w:snapToGrid w:val="0"/>
        <w:spacing w:before="156" w:beforeLines="50" w:line="360" w:lineRule="auto"/>
        <w:ind w:firstLine="420" w:firstLineChars="200"/>
        <w:rPr>
          <w:rFonts w:ascii="宋体" w:hAnsi="宋体"/>
          <w:bCs/>
          <w:color w:val="auto"/>
          <w:szCs w:val="21"/>
        </w:rPr>
      </w:pPr>
      <w:r>
        <w:rPr>
          <w:rFonts w:hint="eastAsia" w:ascii="宋体" w:hAnsi="宋体"/>
          <w:bCs/>
          <w:color w:val="auto"/>
          <w:szCs w:val="21"/>
        </w:rPr>
        <w:t>2.投标（响应）报价低于通过符合性审查的次低报价供应商投标（响应）报价65%的，即投标（响应）报价&lt;通过符合性审查的次低报价供应商投标（响应）报价×65%；</w:t>
      </w:r>
    </w:p>
    <w:p w14:paraId="310DB586">
      <w:pPr>
        <w:tabs>
          <w:tab w:val="left" w:pos="0"/>
        </w:tabs>
        <w:adjustRightInd w:val="0"/>
        <w:snapToGrid w:val="0"/>
        <w:spacing w:before="156" w:beforeLines="50" w:line="360" w:lineRule="auto"/>
        <w:ind w:firstLine="420" w:firstLineChars="200"/>
        <w:rPr>
          <w:rFonts w:ascii="宋体" w:hAnsi="宋体"/>
          <w:bCs/>
          <w:color w:val="auto"/>
          <w:szCs w:val="21"/>
        </w:rPr>
      </w:pPr>
      <w:r>
        <w:rPr>
          <w:rFonts w:hint="eastAsia" w:ascii="宋体" w:hAnsi="宋体"/>
          <w:bCs/>
          <w:color w:val="auto"/>
          <w:szCs w:val="21"/>
        </w:rPr>
        <w:t>3.投标（响应）报价低于采购项目最高限价65%的，即投标（响应）报价&lt;采购项目最高限价×65%；</w:t>
      </w:r>
    </w:p>
    <w:p w14:paraId="68148DCE">
      <w:pPr>
        <w:tabs>
          <w:tab w:val="left" w:pos="0"/>
        </w:tabs>
        <w:adjustRightInd w:val="0"/>
        <w:snapToGrid w:val="0"/>
        <w:spacing w:before="156" w:beforeLines="50" w:line="360" w:lineRule="auto"/>
        <w:ind w:firstLine="420" w:firstLineChars="200"/>
        <w:rPr>
          <w:rFonts w:ascii="宋体" w:hAnsi="宋体"/>
          <w:bCs/>
          <w:color w:val="auto"/>
          <w:szCs w:val="21"/>
        </w:rPr>
      </w:pPr>
      <w:r>
        <w:rPr>
          <w:rFonts w:hint="eastAsia" w:ascii="宋体" w:hAnsi="宋体"/>
          <w:bCs/>
          <w:color w:val="auto"/>
          <w:szCs w:val="21"/>
        </w:rPr>
        <w:t>4.评审委员会基于专业判断，认为供应商报价过低，有可能影响产品质量或者不能诚信履约的其他情形。</w:t>
      </w:r>
    </w:p>
    <w:p w14:paraId="1ECAD1EB">
      <w:pPr>
        <w:tabs>
          <w:tab w:val="left" w:pos="0"/>
        </w:tabs>
        <w:adjustRightInd w:val="0"/>
        <w:snapToGrid w:val="0"/>
        <w:spacing w:before="156" w:beforeLines="50" w:line="360" w:lineRule="auto"/>
        <w:ind w:firstLine="420" w:firstLineChars="200"/>
        <w:rPr>
          <w:rFonts w:ascii="宋体" w:hAnsi="宋体"/>
          <w:bCs/>
          <w:color w:val="auto"/>
          <w:szCs w:val="21"/>
        </w:rPr>
      </w:pPr>
      <w:r>
        <w:rPr>
          <w:rFonts w:hint="eastAsia" w:ascii="宋体" w:hAnsi="宋体"/>
          <w:bCs/>
          <w:color w:val="auto"/>
          <w:szCs w:val="21"/>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为不少30分钟。其中，属于第3项情形，供应商已随投标（响应）文件一并提交相关书面说明及必要的证明材料的，在评审现场可不再重复提交。</w:t>
      </w:r>
    </w:p>
    <w:p w14:paraId="365A9F8F">
      <w:pPr>
        <w:widowControl/>
        <w:adjustRightInd w:val="0"/>
        <w:snapToGrid w:val="0"/>
        <w:spacing w:before="156" w:beforeLines="50" w:line="360" w:lineRule="auto"/>
        <w:ind w:firstLine="420" w:firstLineChars="200"/>
        <w:jc w:val="left"/>
        <w:rPr>
          <w:rFonts w:ascii="宋体" w:hAnsi="宋体" w:cs="宋体"/>
          <w:color w:val="auto"/>
          <w:kern w:val="0"/>
          <w:szCs w:val="21"/>
        </w:rPr>
      </w:pPr>
      <w:r>
        <w:rPr>
          <w:rFonts w:hint="eastAsia" w:ascii="宋体" w:hAnsi="宋体"/>
          <w:bCs/>
          <w:color w:val="auto"/>
          <w:szCs w:val="21"/>
        </w:rPr>
        <w:t>（三）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C6359BF">
      <w:pPr>
        <w:tabs>
          <w:tab w:val="left" w:pos="0"/>
        </w:tabs>
        <w:adjustRightInd w:val="0"/>
        <w:snapToGrid w:val="0"/>
        <w:spacing w:before="156" w:beforeLines="50" w:line="360" w:lineRule="auto"/>
        <w:rPr>
          <w:rFonts w:ascii="宋体" w:hAnsi="宋体"/>
          <w:b/>
          <w:color w:val="auto"/>
          <w:szCs w:val="21"/>
        </w:rPr>
      </w:pPr>
      <w:r>
        <w:rPr>
          <w:rFonts w:hint="eastAsia" w:ascii="宋体" w:hAnsi="宋体"/>
          <w:b/>
          <w:color w:val="auto"/>
          <w:szCs w:val="21"/>
        </w:rPr>
        <w:t>二.推荐成交候选供应商</w:t>
      </w:r>
    </w:p>
    <w:p w14:paraId="6B77503C">
      <w:pPr>
        <w:tabs>
          <w:tab w:val="left" w:pos="0"/>
        </w:tabs>
        <w:adjustRightInd w:val="0"/>
        <w:snapToGrid w:val="0"/>
        <w:spacing w:before="156" w:beforeLines="50" w:line="360" w:lineRule="auto"/>
        <w:ind w:firstLine="420" w:firstLineChars="200"/>
        <w:rPr>
          <w:rFonts w:ascii="宋体" w:hAnsi="宋体"/>
          <w:bCs/>
          <w:color w:val="auto"/>
          <w:szCs w:val="21"/>
        </w:rPr>
      </w:pPr>
      <w:r>
        <w:rPr>
          <w:rFonts w:hint="eastAsia" w:ascii="宋体" w:hAnsi="宋体"/>
          <w:color w:val="auto"/>
          <w:szCs w:val="21"/>
        </w:rPr>
        <w:t>1、磋商小组应当根据综合评分情况，</w:t>
      </w:r>
      <w:r>
        <w:rPr>
          <w:rFonts w:hint="eastAsia" w:ascii="宋体" w:hAnsi="宋体"/>
          <w:bCs/>
          <w:color w:val="auto"/>
          <w:szCs w:val="21"/>
        </w:rPr>
        <w:t>按评审得分由高到低顺序每包推荐</w:t>
      </w:r>
      <w:r>
        <w:rPr>
          <w:rFonts w:hint="eastAsia" w:ascii="宋体" w:hAnsi="宋体"/>
          <w:bCs/>
          <w:color w:val="auto"/>
          <w:szCs w:val="21"/>
          <w:lang w:val="en-US" w:eastAsia="zh-CN"/>
        </w:rPr>
        <w:t>3</w:t>
      </w:r>
      <w:r>
        <w:rPr>
          <w:rFonts w:hint="eastAsia" w:ascii="宋体" w:hAnsi="宋体"/>
          <w:bCs/>
          <w:color w:val="auto"/>
          <w:szCs w:val="21"/>
        </w:rPr>
        <w:t>名</w:t>
      </w:r>
      <w:r>
        <w:rPr>
          <w:rFonts w:hint="eastAsia" w:ascii="宋体" w:hAnsi="宋体"/>
          <w:bCs/>
          <w:color w:val="auto"/>
          <w:szCs w:val="21"/>
          <w:lang w:val="en-US" w:eastAsia="zh-CN"/>
        </w:rPr>
        <w:t>及</w:t>
      </w:r>
      <w:r>
        <w:rPr>
          <w:rFonts w:hint="eastAsia" w:ascii="宋体" w:hAnsi="宋体"/>
          <w:bCs/>
          <w:color w:val="auto"/>
          <w:szCs w:val="21"/>
        </w:rPr>
        <w:t>以上成交候选供应商，并编写评审报告。评审得分相同的，按最后报价由低到高顺序排列。总得分且报价相同的，按产品品质得分由高到低排名顺序排列，再次相同的采取随机抽取方式确定。</w:t>
      </w:r>
    </w:p>
    <w:p w14:paraId="61873F10">
      <w:pPr>
        <w:tabs>
          <w:tab w:val="left" w:pos="0"/>
        </w:tabs>
        <w:adjustRightInd w:val="0"/>
        <w:snapToGrid w:val="0"/>
        <w:spacing w:line="360" w:lineRule="auto"/>
        <w:rPr>
          <w:rFonts w:ascii="宋体" w:hAnsi="宋体"/>
          <w:b/>
          <w:bCs/>
          <w:color w:val="auto"/>
          <w:szCs w:val="21"/>
        </w:rPr>
      </w:pPr>
      <w:r>
        <w:rPr>
          <w:rFonts w:hint="eastAsia" w:ascii="宋体" w:hAnsi="宋体"/>
          <w:b/>
          <w:bCs/>
          <w:color w:val="auto"/>
          <w:szCs w:val="21"/>
        </w:rPr>
        <w:t>三.确定成交供应商</w:t>
      </w:r>
    </w:p>
    <w:p w14:paraId="2580BE24">
      <w:pPr>
        <w:widowControl/>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1、采购代理机构应当在评审结束后2个工作日内将评审报告送采购人确认。</w:t>
      </w:r>
    </w:p>
    <w:p w14:paraId="3AC48B6F">
      <w:pPr>
        <w:widowControl/>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采购人应当在收到评审报告后5个工作日内，从评审报告提出的成交候选人中，根据质量和服务均能满足采购文件实质性响应要求且评审得分最高的原则确定成交供应商，也可以书面授权磋商小组直接确定成交供应商。采购人逾期未确定成交供应商且不提出异议的，视为确定评审报告提出的排序第一的供应商为成交供应商。</w:t>
      </w:r>
    </w:p>
    <w:p w14:paraId="02483F6A">
      <w:pPr>
        <w:widowControl/>
        <w:adjustRightInd w:val="0"/>
        <w:snapToGrid w:val="0"/>
        <w:spacing w:line="360" w:lineRule="auto"/>
        <w:ind w:firstLine="420"/>
        <w:jc w:val="left"/>
        <w:rPr>
          <w:color w:val="auto"/>
        </w:rPr>
      </w:pPr>
      <w:r>
        <w:rPr>
          <w:rFonts w:hint="eastAsia" w:ascii="宋体" w:hAnsi="宋体" w:cs="宋体"/>
          <w:color w:val="auto"/>
          <w:kern w:val="0"/>
          <w:szCs w:val="21"/>
        </w:rPr>
        <w:t>3、最后报价确定遵守第二章第</w:t>
      </w:r>
      <w:r>
        <w:rPr>
          <w:rFonts w:hint="eastAsia" w:ascii="宋体" w:hAnsi="宋体"/>
          <w:bCs/>
          <w:color w:val="auto"/>
          <w:szCs w:val="21"/>
        </w:rPr>
        <w:t>29条</w:t>
      </w:r>
      <w:r>
        <w:rPr>
          <w:rFonts w:hint="eastAsia" w:ascii="宋体" w:hAnsi="宋体" w:cs="宋体"/>
          <w:color w:val="auto"/>
          <w:kern w:val="0"/>
          <w:szCs w:val="21"/>
        </w:rPr>
        <w:t>的</w:t>
      </w:r>
      <w:r>
        <w:rPr>
          <w:rFonts w:hint="eastAsia" w:ascii="宋体" w:hAnsi="宋体"/>
          <w:bCs/>
          <w:color w:val="auto"/>
          <w:szCs w:val="21"/>
        </w:rPr>
        <w:t>规定。</w:t>
      </w:r>
    </w:p>
    <w:p w14:paraId="763CA7C3">
      <w:pPr>
        <w:rPr>
          <w:rFonts w:ascii="宋体" w:hAnsi="宋体" w:cs="宋体"/>
          <w:b/>
          <w:color w:val="auto"/>
          <w:sz w:val="24"/>
        </w:rPr>
      </w:pPr>
      <w:bookmarkStart w:id="5" w:name="_Toc15157"/>
      <w:bookmarkStart w:id="6" w:name="_Toc12439"/>
      <w:bookmarkStart w:id="7" w:name="_Toc28561"/>
      <w:r>
        <w:rPr>
          <w:rFonts w:hint="eastAsia" w:ascii="宋体" w:hAnsi="宋体" w:cs="宋体"/>
          <w:b/>
          <w:color w:val="auto"/>
          <w:sz w:val="24"/>
        </w:rPr>
        <w:br w:type="page"/>
      </w:r>
    </w:p>
    <w:p w14:paraId="38A261C0">
      <w:pPr>
        <w:autoSpaceDE w:val="0"/>
        <w:autoSpaceDN w:val="0"/>
        <w:adjustRightInd w:val="0"/>
        <w:spacing w:line="500" w:lineRule="exact"/>
        <w:outlineLvl w:val="1"/>
        <w:rPr>
          <w:rFonts w:ascii="宋体" w:hAnsi="宋体" w:cs="宋体"/>
          <w:b/>
          <w:color w:val="auto"/>
          <w:sz w:val="24"/>
          <w:lang w:val="zh-CN"/>
        </w:rPr>
      </w:pPr>
      <w:r>
        <w:rPr>
          <w:rFonts w:hint="eastAsia" w:ascii="宋体" w:hAnsi="宋体" w:cs="宋体"/>
          <w:b/>
          <w:color w:val="auto"/>
          <w:sz w:val="24"/>
        </w:rPr>
        <w:t>1：</w:t>
      </w:r>
      <w:r>
        <w:rPr>
          <w:rFonts w:hint="eastAsia" w:ascii="宋体" w:hAnsi="宋体" w:cs="宋体"/>
          <w:b/>
          <w:color w:val="auto"/>
          <w:sz w:val="24"/>
          <w:lang w:val="zh-CN"/>
        </w:rPr>
        <w:t>资格性检查表</w:t>
      </w:r>
      <w:bookmarkEnd w:id="5"/>
      <w:bookmarkEnd w:id="6"/>
      <w:bookmarkEnd w:id="7"/>
    </w:p>
    <w:tbl>
      <w:tblPr>
        <w:tblStyle w:val="51"/>
        <w:tblW w:w="9816" w:type="dxa"/>
        <w:tblInd w:w="0" w:type="dxa"/>
        <w:tblLayout w:type="fixed"/>
        <w:tblCellMar>
          <w:top w:w="0" w:type="dxa"/>
          <w:left w:w="108" w:type="dxa"/>
          <w:bottom w:w="0" w:type="dxa"/>
          <w:right w:w="108" w:type="dxa"/>
        </w:tblCellMar>
      </w:tblPr>
      <w:tblGrid>
        <w:gridCol w:w="550"/>
        <w:gridCol w:w="6303"/>
        <w:gridCol w:w="592"/>
        <w:gridCol w:w="593"/>
        <w:gridCol w:w="592"/>
        <w:gridCol w:w="593"/>
        <w:gridCol w:w="593"/>
      </w:tblGrid>
      <w:tr w14:paraId="409E0297">
        <w:tblPrEx>
          <w:tblCellMar>
            <w:top w:w="0" w:type="dxa"/>
            <w:left w:w="108" w:type="dxa"/>
            <w:bottom w:w="0" w:type="dxa"/>
            <w:right w:w="108" w:type="dxa"/>
          </w:tblCellMar>
        </w:tblPrEx>
        <w:trPr>
          <w:cantSplit/>
          <w:trHeight w:val="412" w:hRule="atLeast"/>
        </w:trPr>
        <w:tc>
          <w:tcPr>
            <w:tcW w:w="550" w:type="dxa"/>
            <w:vMerge w:val="restart"/>
            <w:tcBorders>
              <w:top w:val="single" w:color="auto" w:sz="6" w:space="0"/>
              <w:left w:val="single" w:color="auto" w:sz="6" w:space="0"/>
              <w:bottom w:val="single" w:color="auto" w:sz="6" w:space="0"/>
              <w:right w:val="single" w:color="auto" w:sz="6" w:space="0"/>
            </w:tcBorders>
            <w:vAlign w:val="center"/>
          </w:tcPr>
          <w:p w14:paraId="2A63B879">
            <w:pPr>
              <w:autoSpaceDE w:val="0"/>
              <w:autoSpaceDN w:val="0"/>
              <w:adjustRightInd w:val="0"/>
              <w:jc w:val="center"/>
              <w:rPr>
                <w:rFonts w:ascii="宋体" w:hAnsi="宋体" w:cs="宋体"/>
                <w:color w:val="auto"/>
                <w:sz w:val="24"/>
                <w:lang w:val="zh-CN"/>
              </w:rPr>
            </w:pPr>
            <w:r>
              <w:rPr>
                <w:rFonts w:hint="eastAsia" w:ascii="宋体" w:hAnsi="宋体" w:cs="宋体"/>
                <w:color w:val="auto"/>
                <w:sz w:val="24"/>
                <w:lang w:val="zh-CN"/>
              </w:rPr>
              <w:t>序</w:t>
            </w:r>
          </w:p>
          <w:p w14:paraId="315B2D90">
            <w:pPr>
              <w:autoSpaceDE w:val="0"/>
              <w:autoSpaceDN w:val="0"/>
              <w:adjustRightInd w:val="0"/>
              <w:jc w:val="center"/>
              <w:rPr>
                <w:rFonts w:ascii="宋体" w:hAnsi="宋体" w:cs="宋体"/>
                <w:color w:val="auto"/>
                <w:sz w:val="24"/>
                <w:lang w:val="zh-CN"/>
              </w:rPr>
            </w:pPr>
            <w:r>
              <w:rPr>
                <w:rFonts w:hint="eastAsia" w:ascii="宋体" w:hAnsi="宋体" w:cs="宋体"/>
                <w:color w:val="auto"/>
                <w:sz w:val="24"/>
                <w:lang w:val="zh-CN"/>
              </w:rPr>
              <w:t>号</w:t>
            </w:r>
          </w:p>
        </w:tc>
        <w:tc>
          <w:tcPr>
            <w:tcW w:w="6303" w:type="dxa"/>
            <w:vMerge w:val="restart"/>
            <w:tcBorders>
              <w:top w:val="single" w:color="auto" w:sz="6" w:space="0"/>
              <w:left w:val="single" w:color="auto" w:sz="6" w:space="0"/>
              <w:bottom w:val="single" w:color="auto" w:sz="6" w:space="0"/>
              <w:right w:val="single" w:color="auto" w:sz="6" w:space="0"/>
            </w:tcBorders>
            <w:vAlign w:val="center"/>
          </w:tcPr>
          <w:p w14:paraId="59D03974">
            <w:pPr>
              <w:autoSpaceDE w:val="0"/>
              <w:autoSpaceDN w:val="0"/>
              <w:adjustRightInd w:val="0"/>
              <w:jc w:val="center"/>
              <w:rPr>
                <w:rFonts w:ascii="宋体" w:hAnsi="宋体" w:cs="宋体"/>
                <w:color w:val="auto"/>
                <w:sz w:val="24"/>
                <w:lang w:val="zh-CN"/>
              </w:rPr>
            </w:pPr>
            <w:r>
              <w:rPr>
                <w:rFonts w:hint="eastAsia" w:ascii="宋体" w:hAnsi="宋体" w:cs="宋体"/>
                <w:color w:val="auto"/>
                <w:sz w:val="24"/>
                <w:lang w:val="zh-CN"/>
              </w:rPr>
              <w:t>资格检查内容</w:t>
            </w:r>
          </w:p>
        </w:tc>
        <w:tc>
          <w:tcPr>
            <w:tcW w:w="2963" w:type="dxa"/>
            <w:gridSpan w:val="5"/>
            <w:tcBorders>
              <w:top w:val="single" w:color="auto" w:sz="6" w:space="0"/>
              <w:left w:val="single" w:color="auto" w:sz="6" w:space="0"/>
              <w:bottom w:val="single" w:color="auto" w:sz="6" w:space="0"/>
              <w:right w:val="single" w:color="auto" w:sz="6" w:space="0"/>
            </w:tcBorders>
          </w:tcPr>
          <w:p w14:paraId="43737890">
            <w:pPr>
              <w:autoSpaceDE w:val="0"/>
              <w:autoSpaceDN w:val="0"/>
              <w:adjustRightInd w:val="0"/>
              <w:jc w:val="center"/>
              <w:rPr>
                <w:rFonts w:ascii="宋体" w:hAnsi="宋体" w:cs="宋体"/>
                <w:color w:val="auto"/>
                <w:sz w:val="24"/>
                <w:lang w:val="zh-CN"/>
              </w:rPr>
            </w:pPr>
            <w:r>
              <w:rPr>
                <w:rFonts w:hint="eastAsia" w:ascii="宋体" w:hAnsi="宋体" w:cs="宋体"/>
                <w:color w:val="auto"/>
                <w:sz w:val="24"/>
                <w:lang w:val="zh-CN"/>
              </w:rPr>
              <w:t>供应商</w:t>
            </w:r>
          </w:p>
        </w:tc>
      </w:tr>
      <w:tr w14:paraId="135EF911">
        <w:tblPrEx>
          <w:tblCellMar>
            <w:top w:w="0" w:type="dxa"/>
            <w:left w:w="108" w:type="dxa"/>
            <w:bottom w:w="0" w:type="dxa"/>
            <w:right w:w="108" w:type="dxa"/>
          </w:tblCellMar>
        </w:tblPrEx>
        <w:trPr>
          <w:cantSplit/>
          <w:trHeight w:val="435" w:hRule="atLeast"/>
        </w:trPr>
        <w:tc>
          <w:tcPr>
            <w:tcW w:w="550" w:type="dxa"/>
            <w:vMerge w:val="continue"/>
            <w:tcBorders>
              <w:top w:val="single" w:color="auto" w:sz="6" w:space="0"/>
              <w:left w:val="single" w:color="auto" w:sz="6" w:space="0"/>
              <w:bottom w:val="single" w:color="auto" w:sz="6" w:space="0"/>
              <w:right w:val="single" w:color="auto" w:sz="6" w:space="0"/>
            </w:tcBorders>
            <w:vAlign w:val="center"/>
          </w:tcPr>
          <w:p w14:paraId="3F939EC5">
            <w:pPr>
              <w:widowControl/>
              <w:jc w:val="center"/>
              <w:rPr>
                <w:rFonts w:ascii="宋体" w:hAnsi="宋体" w:cs="宋体"/>
                <w:color w:val="auto"/>
                <w:sz w:val="24"/>
                <w:lang w:val="zh-CN"/>
              </w:rPr>
            </w:pPr>
          </w:p>
        </w:tc>
        <w:tc>
          <w:tcPr>
            <w:tcW w:w="6303" w:type="dxa"/>
            <w:vMerge w:val="continue"/>
            <w:tcBorders>
              <w:top w:val="single" w:color="auto" w:sz="6" w:space="0"/>
              <w:left w:val="single" w:color="auto" w:sz="6" w:space="0"/>
              <w:bottom w:val="single" w:color="auto" w:sz="6" w:space="0"/>
              <w:right w:val="single" w:color="auto" w:sz="6" w:space="0"/>
            </w:tcBorders>
            <w:vAlign w:val="center"/>
          </w:tcPr>
          <w:p w14:paraId="77F91AD8">
            <w:pPr>
              <w:widowControl/>
              <w:jc w:val="left"/>
              <w:rPr>
                <w:rFonts w:ascii="宋体" w:hAnsi="宋体" w:cs="宋体"/>
                <w:color w:val="auto"/>
                <w:sz w:val="24"/>
                <w:lang w:val="zh-CN"/>
              </w:rPr>
            </w:pPr>
          </w:p>
        </w:tc>
        <w:tc>
          <w:tcPr>
            <w:tcW w:w="592" w:type="dxa"/>
            <w:tcBorders>
              <w:top w:val="single" w:color="auto" w:sz="6" w:space="0"/>
              <w:left w:val="single" w:color="auto" w:sz="6" w:space="0"/>
              <w:bottom w:val="single" w:color="auto" w:sz="6" w:space="0"/>
              <w:right w:val="single" w:color="auto" w:sz="6" w:space="0"/>
            </w:tcBorders>
          </w:tcPr>
          <w:p w14:paraId="09037CB8">
            <w:pPr>
              <w:autoSpaceDE w:val="0"/>
              <w:autoSpaceDN w:val="0"/>
              <w:adjustRightInd w:val="0"/>
              <w:rPr>
                <w:rFonts w:ascii="宋体" w:hAnsi="宋体" w:cs="宋体"/>
                <w:color w:val="auto"/>
                <w:sz w:val="24"/>
                <w:lang w:val="zh-CN"/>
              </w:rPr>
            </w:pPr>
            <w:r>
              <w:rPr>
                <w:rFonts w:hint="eastAsia" w:ascii="宋体" w:hAnsi="宋体" w:cs="宋体"/>
                <w:color w:val="auto"/>
                <w:sz w:val="24"/>
                <w:lang w:val="zh-CN"/>
              </w:rPr>
              <w:t>1</w:t>
            </w:r>
          </w:p>
        </w:tc>
        <w:tc>
          <w:tcPr>
            <w:tcW w:w="593" w:type="dxa"/>
            <w:tcBorders>
              <w:top w:val="single" w:color="auto" w:sz="6" w:space="0"/>
              <w:left w:val="single" w:color="auto" w:sz="6" w:space="0"/>
              <w:bottom w:val="single" w:color="auto" w:sz="6" w:space="0"/>
              <w:right w:val="single" w:color="auto" w:sz="6" w:space="0"/>
            </w:tcBorders>
          </w:tcPr>
          <w:p w14:paraId="1F8C730D">
            <w:pPr>
              <w:autoSpaceDE w:val="0"/>
              <w:autoSpaceDN w:val="0"/>
              <w:adjustRightInd w:val="0"/>
              <w:rPr>
                <w:rFonts w:ascii="宋体" w:hAnsi="宋体" w:cs="宋体"/>
                <w:color w:val="auto"/>
                <w:sz w:val="24"/>
                <w:lang w:val="zh-CN"/>
              </w:rPr>
            </w:pPr>
            <w:r>
              <w:rPr>
                <w:rFonts w:hint="eastAsia" w:ascii="宋体" w:hAnsi="宋体" w:cs="宋体"/>
                <w:color w:val="auto"/>
                <w:sz w:val="24"/>
                <w:lang w:val="zh-CN"/>
              </w:rPr>
              <w:t>2</w:t>
            </w:r>
          </w:p>
        </w:tc>
        <w:tc>
          <w:tcPr>
            <w:tcW w:w="592" w:type="dxa"/>
            <w:tcBorders>
              <w:top w:val="single" w:color="auto" w:sz="6" w:space="0"/>
              <w:left w:val="single" w:color="auto" w:sz="6" w:space="0"/>
              <w:bottom w:val="single" w:color="auto" w:sz="6" w:space="0"/>
              <w:right w:val="single" w:color="auto" w:sz="6" w:space="0"/>
            </w:tcBorders>
          </w:tcPr>
          <w:p w14:paraId="0EF1937B">
            <w:pPr>
              <w:autoSpaceDE w:val="0"/>
              <w:autoSpaceDN w:val="0"/>
              <w:adjustRightInd w:val="0"/>
              <w:rPr>
                <w:rFonts w:ascii="宋体" w:hAnsi="宋体" w:cs="宋体"/>
                <w:color w:val="auto"/>
                <w:sz w:val="24"/>
                <w:lang w:val="zh-CN"/>
              </w:rPr>
            </w:pPr>
            <w:r>
              <w:rPr>
                <w:rFonts w:hint="eastAsia" w:ascii="宋体" w:hAnsi="宋体" w:cs="宋体"/>
                <w:color w:val="auto"/>
                <w:sz w:val="24"/>
                <w:lang w:val="zh-CN"/>
              </w:rPr>
              <w:t>3</w:t>
            </w:r>
          </w:p>
        </w:tc>
        <w:tc>
          <w:tcPr>
            <w:tcW w:w="593" w:type="dxa"/>
            <w:tcBorders>
              <w:top w:val="single" w:color="auto" w:sz="6" w:space="0"/>
              <w:left w:val="single" w:color="auto" w:sz="6" w:space="0"/>
              <w:bottom w:val="single" w:color="auto" w:sz="6" w:space="0"/>
              <w:right w:val="single" w:color="auto" w:sz="6" w:space="0"/>
            </w:tcBorders>
          </w:tcPr>
          <w:p w14:paraId="4E306058">
            <w:pPr>
              <w:autoSpaceDE w:val="0"/>
              <w:autoSpaceDN w:val="0"/>
              <w:adjustRightInd w:val="0"/>
              <w:rPr>
                <w:rFonts w:ascii="宋体" w:hAnsi="宋体" w:cs="宋体"/>
                <w:color w:val="auto"/>
                <w:sz w:val="24"/>
                <w:lang w:val="zh-CN"/>
              </w:rPr>
            </w:pPr>
            <w:r>
              <w:rPr>
                <w:rFonts w:hint="eastAsia" w:ascii="宋体" w:hAnsi="宋体" w:cs="宋体"/>
                <w:color w:val="auto"/>
                <w:sz w:val="24"/>
                <w:lang w:val="zh-CN"/>
              </w:rPr>
              <w:t>4</w:t>
            </w:r>
          </w:p>
        </w:tc>
        <w:tc>
          <w:tcPr>
            <w:tcW w:w="593" w:type="dxa"/>
            <w:tcBorders>
              <w:top w:val="single" w:color="auto" w:sz="6" w:space="0"/>
              <w:left w:val="single" w:color="auto" w:sz="6" w:space="0"/>
              <w:bottom w:val="single" w:color="auto" w:sz="6" w:space="0"/>
              <w:right w:val="single" w:color="auto" w:sz="6" w:space="0"/>
            </w:tcBorders>
          </w:tcPr>
          <w:p w14:paraId="130D01DC">
            <w:pPr>
              <w:autoSpaceDE w:val="0"/>
              <w:autoSpaceDN w:val="0"/>
              <w:adjustRightInd w:val="0"/>
              <w:rPr>
                <w:rFonts w:ascii="宋体" w:hAnsi="宋体" w:cs="宋体"/>
                <w:color w:val="auto"/>
                <w:sz w:val="24"/>
                <w:lang w:val="zh-CN"/>
              </w:rPr>
            </w:pPr>
            <w:r>
              <w:rPr>
                <w:rFonts w:hint="eastAsia" w:ascii="宋体" w:hAnsi="宋体" w:cs="宋体"/>
                <w:color w:val="auto"/>
                <w:sz w:val="24"/>
                <w:lang w:val="zh-CN"/>
              </w:rPr>
              <w:t>5</w:t>
            </w:r>
          </w:p>
        </w:tc>
      </w:tr>
      <w:tr w14:paraId="24566E95">
        <w:tblPrEx>
          <w:tblCellMar>
            <w:top w:w="0" w:type="dxa"/>
            <w:left w:w="108" w:type="dxa"/>
            <w:bottom w:w="0" w:type="dxa"/>
            <w:right w:w="108" w:type="dxa"/>
          </w:tblCellMar>
        </w:tblPrEx>
        <w:trPr>
          <w:trHeight w:val="90" w:hRule="atLeast"/>
        </w:trPr>
        <w:tc>
          <w:tcPr>
            <w:tcW w:w="550" w:type="dxa"/>
            <w:tcBorders>
              <w:top w:val="single" w:color="auto" w:sz="6" w:space="0"/>
              <w:left w:val="single" w:color="auto" w:sz="6" w:space="0"/>
              <w:bottom w:val="single" w:color="auto" w:sz="6" w:space="0"/>
              <w:right w:val="single" w:color="auto" w:sz="6" w:space="0"/>
            </w:tcBorders>
            <w:vAlign w:val="center"/>
          </w:tcPr>
          <w:p w14:paraId="516F3CC5">
            <w:pPr>
              <w:autoSpaceDE w:val="0"/>
              <w:autoSpaceDN w:val="0"/>
              <w:adjustRightInd w:val="0"/>
              <w:jc w:val="center"/>
              <w:rPr>
                <w:rFonts w:ascii="宋体" w:hAnsi="宋体" w:cs="宋体"/>
                <w:color w:val="auto"/>
                <w:sz w:val="24"/>
                <w:lang w:val="zh-CN"/>
              </w:rPr>
            </w:pPr>
            <w:r>
              <w:rPr>
                <w:rFonts w:hint="eastAsia" w:ascii="宋体" w:hAnsi="宋体" w:cs="宋体"/>
                <w:color w:val="auto"/>
                <w:sz w:val="24"/>
                <w:lang w:val="zh-CN"/>
              </w:rPr>
              <w:t>1</w:t>
            </w:r>
          </w:p>
        </w:tc>
        <w:tc>
          <w:tcPr>
            <w:tcW w:w="6303" w:type="dxa"/>
            <w:tcBorders>
              <w:top w:val="single" w:color="auto" w:sz="6" w:space="0"/>
              <w:left w:val="single" w:color="auto" w:sz="6" w:space="0"/>
              <w:bottom w:val="single" w:color="auto" w:sz="6" w:space="0"/>
              <w:right w:val="single" w:color="auto" w:sz="6" w:space="0"/>
            </w:tcBorders>
          </w:tcPr>
          <w:p w14:paraId="4F0A3867">
            <w:pPr>
              <w:autoSpaceDE w:val="0"/>
              <w:autoSpaceDN w:val="0"/>
              <w:adjustRightInd w:val="0"/>
              <w:rPr>
                <w:rFonts w:ascii="宋体" w:hAnsi="宋体" w:cs="宋体"/>
                <w:color w:val="auto"/>
                <w:sz w:val="24"/>
                <w:lang w:val="zh-CN"/>
              </w:rPr>
            </w:pPr>
            <w:r>
              <w:rPr>
                <w:rFonts w:hint="eastAsia" w:ascii="宋体" w:hAnsi="宋体" w:cs="宋体"/>
                <w:color w:val="auto"/>
                <w:sz w:val="24"/>
                <w:lang w:val="zh-CN"/>
              </w:rPr>
              <w:t>法人或者其他组织的营业执照等主体资格证明文件或自然人的身份证明</w:t>
            </w:r>
          </w:p>
        </w:tc>
        <w:tc>
          <w:tcPr>
            <w:tcW w:w="592" w:type="dxa"/>
            <w:tcBorders>
              <w:top w:val="single" w:color="auto" w:sz="6" w:space="0"/>
              <w:left w:val="single" w:color="auto" w:sz="6" w:space="0"/>
              <w:bottom w:val="single" w:color="auto" w:sz="6" w:space="0"/>
              <w:right w:val="single" w:color="auto" w:sz="6" w:space="0"/>
            </w:tcBorders>
          </w:tcPr>
          <w:p w14:paraId="1256B606">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46CB8089">
            <w:pPr>
              <w:autoSpaceDE w:val="0"/>
              <w:autoSpaceDN w:val="0"/>
              <w:adjustRightInd w:val="0"/>
              <w:rPr>
                <w:rFonts w:ascii="宋体" w:hAnsi="宋体" w:cs="宋体"/>
                <w:color w:val="auto"/>
                <w:sz w:val="24"/>
                <w:lang w:val="zh-CN"/>
              </w:rPr>
            </w:pPr>
          </w:p>
        </w:tc>
        <w:tc>
          <w:tcPr>
            <w:tcW w:w="592" w:type="dxa"/>
            <w:tcBorders>
              <w:top w:val="single" w:color="auto" w:sz="6" w:space="0"/>
              <w:left w:val="single" w:color="auto" w:sz="6" w:space="0"/>
              <w:bottom w:val="single" w:color="auto" w:sz="6" w:space="0"/>
              <w:right w:val="single" w:color="auto" w:sz="6" w:space="0"/>
            </w:tcBorders>
          </w:tcPr>
          <w:p w14:paraId="553DD562">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0A1D1DF0">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3034F599">
            <w:pPr>
              <w:autoSpaceDE w:val="0"/>
              <w:autoSpaceDN w:val="0"/>
              <w:adjustRightInd w:val="0"/>
              <w:rPr>
                <w:rFonts w:ascii="宋体" w:hAnsi="宋体" w:cs="宋体"/>
                <w:color w:val="auto"/>
                <w:sz w:val="24"/>
                <w:lang w:val="zh-CN"/>
              </w:rPr>
            </w:pPr>
          </w:p>
        </w:tc>
      </w:tr>
      <w:tr w14:paraId="5671ED47">
        <w:tblPrEx>
          <w:tblCellMar>
            <w:top w:w="0" w:type="dxa"/>
            <w:left w:w="108" w:type="dxa"/>
            <w:bottom w:w="0" w:type="dxa"/>
            <w:right w:w="108" w:type="dxa"/>
          </w:tblCellMar>
        </w:tblPrEx>
        <w:trPr>
          <w:trHeight w:val="359" w:hRule="atLeast"/>
        </w:trPr>
        <w:tc>
          <w:tcPr>
            <w:tcW w:w="550" w:type="dxa"/>
            <w:tcBorders>
              <w:top w:val="single" w:color="auto" w:sz="6" w:space="0"/>
              <w:left w:val="single" w:color="auto" w:sz="6" w:space="0"/>
              <w:bottom w:val="single" w:color="auto" w:sz="6" w:space="0"/>
              <w:right w:val="single" w:color="auto" w:sz="6" w:space="0"/>
            </w:tcBorders>
            <w:vAlign w:val="center"/>
          </w:tcPr>
          <w:p w14:paraId="76C81F21">
            <w:pPr>
              <w:autoSpaceDE w:val="0"/>
              <w:autoSpaceDN w:val="0"/>
              <w:adjustRightInd w:val="0"/>
              <w:jc w:val="center"/>
              <w:rPr>
                <w:rFonts w:ascii="宋体" w:hAnsi="宋体" w:cs="宋体"/>
                <w:color w:val="auto"/>
                <w:sz w:val="24"/>
                <w:lang w:val="zh-CN"/>
              </w:rPr>
            </w:pPr>
            <w:r>
              <w:rPr>
                <w:rFonts w:hint="eastAsia" w:ascii="宋体" w:hAnsi="宋体" w:cs="宋体"/>
                <w:color w:val="auto"/>
                <w:sz w:val="24"/>
                <w:lang w:val="zh-CN"/>
              </w:rPr>
              <w:t>2</w:t>
            </w:r>
          </w:p>
        </w:tc>
        <w:tc>
          <w:tcPr>
            <w:tcW w:w="6303" w:type="dxa"/>
            <w:tcBorders>
              <w:top w:val="single" w:color="auto" w:sz="6" w:space="0"/>
              <w:left w:val="single" w:color="auto" w:sz="6" w:space="0"/>
              <w:bottom w:val="single" w:color="auto" w:sz="6" w:space="0"/>
              <w:right w:val="single" w:color="auto" w:sz="6" w:space="0"/>
            </w:tcBorders>
          </w:tcPr>
          <w:p w14:paraId="49179CE0">
            <w:pPr>
              <w:autoSpaceDE w:val="0"/>
              <w:autoSpaceDN w:val="0"/>
              <w:adjustRightInd w:val="0"/>
              <w:rPr>
                <w:rFonts w:ascii="宋体" w:hAnsi="宋体" w:cs="宋体"/>
                <w:color w:val="auto"/>
                <w:sz w:val="24"/>
                <w:lang w:val="zh-CN"/>
              </w:rPr>
            </w:pPr>
            <w:r>
              <w:rPr>
                <w:rFonts w:hint="eastAsia" w:ascii="宋体" w:hAnsi="宋体" w:cs="宋体"/>
                <w:color w:val="auto"/>
                <w:sz w:val="24"/>
                <w:lang w:val="zh-CN"/>
              </w:rPr>
              <w:t>投标保证金</w:t>
            </w:r>
          </w:p>
        </w:tc>
        <w:tc>
          <w:tcPr>
            <w:tcW w:w="592" w:type="dxa"/>
            <w:tcBorders>
              <w:top w:val="single" w:color="auto" w:sz="6" w:space="0"/>
              <w:left w:val="single" w:color="auto" w:sz="6" w:space="0"/>
              <w:bottom w:val="single" w:color="auto" w:sz="6" w:space="0"/>
              <w:right w:val="single" w:color="auto" w:sz="6" w:space="0"/>
            </w:tcBorders>
          </w:tcPr>
          <w:p w14:paraId="523E91DB">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4DC35EC1">
            <w:pPr>
              <w:autoSpaceDE w:val="0"/>
              <w:autoSpaceDN w:val="0"/>
              <w:adjustRightInd w:val="0"/>
              <w:rPr>
                <w:rFonts w:ascii="宋体" w:hAnsi="宋体" w:cs="宋体"/>
                <w:color w:val="auto"/>
                <w:sz w:val="24"/>
                <w:lang w:val="zh-CN"/>
              </w:rPr>
            </w:pPr>
          </w:p>
        </w:tc>
        <w:tc>
          <w:tcPr>
            <w:tcW w:w="592" w:type="dxa"/>
            <w:tcBorders>
              <w:top w:val="single" w:color="auto" w:sz="6" w:space="0"/>
              <w:left w:val="single" w:color="auto" w:sz="6" w:space="0"/>
              <w:bottom w:val="single" w:color="auto" w:sz="6" w:space="0"/>
              <w:right w:val="single" w:color="auto" w:sz="6" w:space="0"/>
            </w:tcBorders>
          </w:tcPr>
          <w:p w14:paraId="303EEE0F">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38FACB4D">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7F019807">
            <w:pPr>
              <w:autoSpaceDE w:val="0"/>
              <w:autoSpaceDN w:val="0"/>
              <w:adjustRightInd w:val="0"/>
              <w:rPr>
                <w:rFonts w:ascii="宋体" w:hAnsi="宋体" w:cs="宋体"/>
                <w:color w:val="auto"/>
                <w:sz w:val="24"/>
                <w:lang w:val="zh-CN"/>
              </w:rPr>
            </w:pPr>
          </w:p>
        </w:tc>
      </w:tr>
      <w:tr w14:paraId="7EA8F1B2">
        <w:tblPrEx>
          <w:tblCellMar>
            <w:top w:w="0" w:type="dxa"/>
            <w:left w:w="108" w:type="dxa"/>
            <w:bottom w:w="0" w:type="dxa"/>
            <w:right w:w="108" w:type="dxa"/>
          </w:tblCellMar>
        </w:tblPrEx>
        <w:trPr>
          <w:trHeight w:val="359" w:hRule="atLeast"/>
        </w:trPr>
        <w:tc>
          <w:tcPr>
            <w:tcW w:w="550" w:type="dxa"/>
            <w:tcBorders>
              <w:top w:val="single" w:color="auto" w:sz="6" w:space="0"/>
              <w:left w:val="single" w:color="auto" w:sz="6" w:space="0"/>
              <w:bottom w:val="single" w:color="auto" w:sz="6" w:space="0"/>
              <w:right w:val="single" w:color="auto" w:sz="6" w:space="0"/>
            </w:tcBorders>
            <w:vAlign w:val="center"/>
          </w:tcPr>
          <w:p w14:paraId="7C4008B9">
            <w:pPr>
              <w:autoSpaceDE w:val="0"/>
              <w:autoSpaceDN w:val="0"/>
              <w:adjustRightInd w:val="0"/>
              <w:jc w:val="center"/>
              <w:rPr>
                <w:rFonts w:ascii="宋体" w:hAnsi="宋体" w:cs="宋体"/>
                <w:color w:val="auto"/>
                <w:sz w:val="24"/>
                <w:lang w:val="zh-CN"/>
              </w:rPr>
            </w:pPr>
            <w:r>
              <w:rPr>
                <w:rFonts w:hint="eastAsia" w:ascii="宋体" w:hAnsi="宋体" w:cs="宋体"/>
                <w:color w:val="auto"/>
                <w:sz w:val="24"/>
                <w:lang w:val="zh-CN"/>
              </w:rPr>
              <w:t>3</w:t>
            </w:r>
          </w:p>
        </w:tc>
        <w:tc>
          <w:tcPr>
            <w:tcW w:w="6303" w:type="dxa"/>
            <w:tcBorders>
              <w:top w:val="single" w:color="auto" w:sz="6" w:space="0"/>
              <w:left w:val="single" w:color="auto" w:sz="6" w:space="0"/>
              <w:bottom w:val="single" w:color="auto" w:sz="6" w:space="0"/>
              <w:right w:val="single" w:color="auto" w:sz="6" w:space="0"/>
            </w:tcBorders>
          </w:tcPr>
          <w:p w14:paraId="723FE3E4">
            <w:pPr>
              <w:autoSpaceDE w:val="0"/>
              <w:autoSpaceDN w:val="0"/>
              <w:adjustRightInd w:val="0"/>
              <w:rPr>
                <w:rFonts w:ascii="宋体" w:hAnsi="宋体" w:cs="宋体"/>
                <w:color w:val="auto"/>
                <w:sz w:val="24"/>
                <w:lang w:val="zh-CN"/>
              </w:rPr>
            </w:pPr>
            <w:r>
              <w:rPr>
                <w:rFonts w:hint="eastAsia" w:ascii="宋体" w:hAnsi="宋体" w:cs="宋体"/>
                <w:color w:val="auto"/>
                <w:sz w:val="24"/>
                <w:lang w:val="zh-CN"/>
              </w:rPr>
              <w:t>响应文件是否正确签署盖章</w:t>
            </w:r>
          </w:p>
        </w:tc>
        <w:tc>
          <w:tcPr>
            <w:tcW w:w="592" w:type="dxa"/>
            <w:tcBorders>
              <w:top w:val="single" w:color="auto" w:sz="6" w:space="0"/>
              <w:left w:val="single" w:color="auto" w:sz="6" w:space="0"/>
              <w:bottom w:val="single" w:color="auto" w:sz="6" w:space="0"/>
              <w:right w:val="single" w:color="auto" w:sz="6" w:space="0"/>
            </w:tcBorders>
          </w:tcPr>
          <w:p w14:paraId="037FE9F0">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1755539D">
            <w:pPr>
              <w:autoSpaceDE w:val="0"/>
              <w:autoSpaceDN w:val="0"/>
              <w:adjustRightInd w:val="0"/>
              <w:rPr>
                <w:rFonts w:ascii="宋体" w:hAnsi="宋体" w:cs="宋体"/>
                <w:color w:val="auto"/>
                <w:sz w:val="24"/>
                <w:lang w:val="zh-CN"/>
              </w:rPr>
            </w:pPr>
          </w:p>
        </w:tc>
        <w:tc>
          <w:tcPr>
            <w:tcW w:w="592" w:type="dxa"/>
            <w:tcBorders>
              <w:top w:val="single" w:color="auto" w:sz="6" w:space="0"/>
              <w:left w:val="single" w:color="auto" w:sz="6" w:space="0"/>
              <w:bottom w:val="single" w:color="auto" w:sz="6" w:space="0"/>
              <w:right w:val="single" w:color="auto" w:sz="6" w:space="0"/>
            </w:tcBorders>
          </w:tcPr>
          <w:p w14:paraId="3745A517">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2F8DF192">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23C29D9B">
            <w:pPr>
              <w:autoSpaceDE w:val="0"/>
              <w:autoSpaceDN w:val="0"/>
              <w:adjustRightInd w:val="0"/>
              <w:rPr>
                <w:rFonts w:ascii="宋体" w:hAnsi="宋体" w:cs="宋体"/>
                <w:color w:val="auto"/>
                <w:sz w:val="24"/>
                <w:lang w:val="zh-CN"/>
              </w:rPr>
            </w:pPr>
          </w:p>
        </w:tc>
      </w:tr>
      <w:tr w14:paraId="5CE2A76A">
        <w:tblPrEx>
          <w:tblCellMar>
            <w:top w:w="0" w:type="dxa"/>
            <w:left w:w="108" w:type="dxa"/>
            <w:bottom w:w="0" w:type="dxa"/>
            <w:right w:w="108" w:type="dxa"/>
          </w:tblCellMar>
        </w:tblPrEx>
        <w:trPr>
          <w:trHeight w:val="359" w:hRule="atLeast"/>
        </w:trPr>
        <w:tc>
          <w:tcPr>
            <w:tcW w:w="550" w:type="dxa"/>
            <w:tcBorders>
              <w:top w:val="single" w:color="auto" w:sz="6" w:space="0"/>
              <w:left w:val="single" w:color="auto" w:sz="6" w:space="0"/>
              <w:bottom w:val="single" w:color="auto" w:sz="6" w:space="0"/>
              <w:right w:val="single" w:color="auto" w:sz="6" w:space="0"/>
            </w:tcBorders>
            <w:vAlign w:val="center"/>
          </w:tcPr>
          <w:p w14:paraId="3F159F4E">
            <w:pPr>
              <w:autoSpaceDE w:val="0"/>
              <w:autoSpaceDN w:val="0"/>
              <w:adjustRightInd w:val="0"/>
              <w:jc w:val="center"/>
              <w:rPr>
                <w:rFonts w:ascii="宋体" w:hAnsi="宋体" w:cs="宋体"/>
                <w:color w:val="auto"/>
                <w:sz w:val="24"/>
                <w:lang w:val="zh-CN"/>
              </w:rPr>
            </w:pPr>
            <w:r>
              <w:rPr>
                <w:rFonts w:hint="eastAsia" w:ascii="宋体" w:hAnsi="宋体" w:cs="宋体"/>
                <w:color w:val="auto"/>
                <w:sz w:val="24"/>
                <w:lang w:val="zh-CN"/>
              </w:rPr>
              <w:t>4</w:t>
            </w:r>
          </w:p>
        </w:tc>
        <w:tc>
          <w:tcPr>
            <w:tcW w:w="6303" w:type="dxa"/>
            <w:tcBorders>
              <w:top w:val="single" w:color="auto" w:sz="6" w:space="0"/>
              <w:left w:val="single" w:color="auto" w:sz="6" w:space="0"/>
              <w:bottom w:val="single" w:color="auto" w:sz="6" w:space="0"/>
              <w:right w:val="single" w:color="auto" w:sz="6" w:space="0"/>
            </w:tcBorders>
          </w:tcPr>
          <w:p w14:paraId="119EADF2">
            <w:pPr>
              <w:autoSpaceDE w:val="0"/>
              <w:autoSpaceDN w:val="0"/>
              <w:adjustRightInd w:val="0"/>
              <w:rPr>
                <w:rFonts w:ascii="宋体" w:hAnsi="宋体" w:cs="宋体"/>
                <w:color w:val="auto"/>
                <w:sz w:val="24"/>
                <w:lang w:val="zh-CN"/>
              </w:rPr>
            </w:pPr>
            <w:r>
              <w:rPr>
                <w:rFonts w:hint="eastAsia" w:ascii="宋体" w:hAnsi="宋体" w:cs="宋体"/>
                <w:color w:val="auto"/>
                <w:sz w:val="24"/>
                <w:lang w:val="zh-CN"/>
              </w:rPr>
              <w:t>法定代表人授权委托证书</w:t>
            </w:r>
          </w:p>
        </w:tc>
        <w:tc>
          <w:tcPr>
            <w:tcW w:w="592" w:type="dxa"/>
            <w:tcBorders>
              <w:top w:val="single" w:color="auto" w:sz="6" w:space="0"/>
              <w:left w:val="single" w:color="auto" w:sz="6" w:space="0"/>
              <w:bottom w:val="single" w:color="auto" w:sz="6" w:space="0"/>
              <w:right w:val="single" w:color="auto" w:sz="6" w:space="0"/>
            </w:tcBorders>
          </w:tcPr>
          <w:p w14:paraId="2552D3A0">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2C0B41AE">
            <w:pPr>
              <w:autoSpaceDE w:val="0"/>
              <w:autoSpaceDN w:val="0"/>
              <w:adjustRightInd w:val="0"/>
              <w:rPr>
                <w:rFonts w:ascii="宋体" w:hAnsi="宋体" w:cs="宋体"/>
                <w:color w:val="auto"/>
                <w:sz w:val="24"/>
                <w:lang w:val="zh-CN"/>
              </w:rPr>
            </w:pPr>
          </w:p>
        </w:tc>
        <w:tc>
          <w:tcPr>
            <w:tcW w:w="592" w:type="dxa"/>
            <w:tcBorders>
              <w:top w:val="single" w:color="auto" w:sz="6" w:space="0"/>
              <w:left w:val="single" w:color="auto" w:sz="6" w:space="0"/>
              <w:bottom w:val="single" w:color="auto" w:sz="6" w:space="0"/>
              <w:right w:val="single" w:color="auto" w:sz="6" w:space="0"/>
            </w:tcBorders>
          </w:tcPr>
          <w:p w14:paraId="6EDA2466">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6D36E064">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6D9B7F2F">
            <w:pPr>
              <w:autoSpaceDE w:val="0"/>
              <w:autoSpaceDN w:val="0"/>
              <w:adjustRightInd w:val="0"/>
              <w:rPr>
                <w:rFonts w:ascii="宋体" w:hAnsi="宋体" w:cs="宋体"/>
                <w:color w:val="auto"/>
                <w:sz w:val="24"/>
                <w:lang w:val="zh-CN"/>
              </w:rPr>
            </w:pPr>
          </w:p>
        </w:tc>
      </w:tr>
      <w:tr w14:paraId="0F661119">
        <w:tblPrEx>
          <w:tblCellMar>
            <w:top w:w="0" w:type="dxa"/>
            <w:left w:w="108" w:type="dxa"/>
            <w:bottom w:w="0" w:type="dxa"/>
            <w:right w:w="108" w:type="dxa"/>
          </w:tblCellMar>
        </w:tblPrEx>
        <w:trPr>
          <w:trHeight w:val="359" w:hRule="atLeast"/>
        </w:trPr>
        <w:tc>
          <w:tcPr>
            <w:tcW w:w="550" w:type="dxa"/>
            <w:tcBorders>
              <w:top w:val="single" w:color="auto" w:sz="6" w:space="0"/>
              <w:left w:val="single" w:color="auto" w:sz="6" w:space="0"/>
              <w:bottom w:val="single" w:color="auto" w:sz="6" w:space="0"/>
              <w:right w:val="single" w:color="auto" w:sz="6" w:space="0"/>
            </w:tcBorders>
            <w:vAlign w:val="center"/>
          </w:tcPr>
          <w:p w14:paraId="1ECCBD0D">
            <w:pPr>
              <w:autoSpaceDE w:val="0"/>
              <w:autoSpaceDN w:val="0"/>
              <w:adjustRightInd w:val="0"/>
              <w:jc w:val="center"/>
              <w:rPr>
                <w:rFonts w:ascii="宋体" w:hAnsi="宋体" w:cs="宋体"/>
                <w:color w:val="auto"/>
                <w:sz w:val="24"/>
                <w:lang w:val="zh-CN"/>
              </w:rPr>
            </w:pPr>
            <w:r>
              <w:rPr>
                <w:rFonts w:hint="eastAsia" w:ascii="宋体" w:hAnsi="宋体" w:cs="宋体"/>
                <w:color w:val="auto"/>
                <w:sz w:val="24"/>
                <w:lang w:val="zh-CN"/>
              </w:rPr>
              <w:t>5</w:t>
            </w:r>
          </w:p>
        </w:tc>
        <w:tc>
          <w:tcPr>
            <w:tcW w:w="6303" w:type="dxa"/>
            <w:tcBorders>
              <w:top w:val="single" w:color="auto" w:sz="6" w:space="0"/>
              <w:left w:val="single" w:color="auto" w:sz="6" w:space="0"/>
              <w:bottom w:val="single" w:color="auto" w:sz="6" w:space="0"/>
              <w:right w:val="single" w:color="auto" w:sz="6" w:space="0"/>
            </w:tcBorders>
          </w:tcPr>
          <w:p w14:paraId="7CF74D44">
            <w:pPr>
              <w:autoSpaceDE w:val="0"/>
              <w:autoSpaceDN w:val="0"/>
              <w:adjustRightInd w:val="0"/>
              <w:rPr>
                <w:rFonts w:ascii="宋体" w:hAnsi="宋体" w:cs="宋体"/>
                <w:color w:val="auto"/>
                <w:sz w:val="24"/>
                <w:lang w:val="zh-CN"/>
              </w:rPr>
            </w:pPr>
            <w:r>
              <w:rPr>
                <w:rFonts w:hint="eastAsia" w:ascii="宋体" w:hAnsi="宋体" w:cs="宋体"/>
                <w:color w:val="auto"/>
                <w:sz w:val="24"/>
                <w:lang w:val="zh-CN"/>
              </w:rPr>
              <w:t>委托人和被委托人身份证复印件</w:t>
            </w:r>
          </w:p>
        </w:tc>
        <w:tc>
          <w:tcPr>
            <w:tcW w:w="592" w:type="dxa"/>
            <w:tcBorders>
              <w:top w:val="single" w:color="auto" w:sz="6" w:space="0"/>
              <w:left w:val="single" w:color="auto" w:sz="6" w:space="0"/>
              <w:bottom w:val="single" w:color="auto" w:sz="6" w:space="0"/>
              <w:right w:val="single" w:color="auto" w:sz="6" w:space="0"/>
            </w:tcBorders>
          </w:tcPr>
          <w:p w14:paraId="409AD154">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7B645085">
            <w:pPr>
              <w:autoSpaceDE w:val="0"/>
              <w:autoSpaceDN w:val="0"/>
              <w:adjustRightInd w:val="0"/>
              <w:rPr>
                <w:rFonts w:ascii="宋体" w:hAnsi="宋体" w:cs="宋体"/>
                <w:color w:val="auto"/>
                <w:sz w:val="24"/>
                <w:lang w:val="zh-CN"/>
              </w:rPr>
            </w:pPr>
          </w:p>
        </w:tc>
        <w:tc>
          <w:tcPr>
            <w:tcW w:w="592" w:type="dxa"/>
            <w:tcBorders>
              <w:top w:val="single" w:color="auto" w:sz="6" w:space="0"/>
              <w:left w:val="single" w:color="auto" w:sz="6" w:space="0"/>
              <w:bottom w:val="single" w:color="auto" w:sz="6" w:space="0"/>
              <w:right w:val="single" w:color="auto" w:sz="6" w:space="0"/>
            </w:tcBorders>
          </w:tcPr>
          <w:p w14:paraId="6A65F6CF">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248E8660">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6C93D5F7">
            <w:pPr>
              <w:autoSpaceDE w:val="0"/>
              <w:autoSpaceDN w:val="0"/>
              <w:adjustRightInd w:val="0"/>
              <w:rPr>
                <w:rFonts w:ascii="宋体" w:hAnsi="宋体" w:cs="宋体"/>
                <w:color w:val="auto"/>
                <w:sz w:val="24"/>
                <w:lang w:val="zh-CN"/>
              </w:rPr>
            </w:pPr>
          </w:p>
        </w:tc>
      </w:tr>
      <w:tr w14:paraId="05D78E90">
        <w:tblPrEx>
          <w:tblCellMar>
            <w:top w:w="0" w:type="dxa"/>
            <w:left w:w="108" w:type="dxa"/>
            <w:bottom w:w="0" w:type="dxa"/>
            <w:right w:w="108" w:type="dxa"/>
          </w:tblCellMar>
        </w:tblPrEx>
        <w:trPr>
          <w:trHeight w:val="359" w:hRule="atLeast"/>
        </w:trPr>
        <w:tc>
          <w:tcPr>
            <w:tcW w:w="550" w:type="dxa"/>
            <w:tcBorders>
              <w:top w:val="single" w:color="auto" w:sz="6" w:space="0"/>
              <w:left w:val="single" w:color="auto" w:sz="6" w:space="0"/>
              <w:bottom w:val="single" w:color="auto" w:sz="6" w:space="0"/>
              <w:right w:val="single" w:color="auto" w:sz="6" w:space="0"/>
            </w:tcBorders>
            <w:vAlign w:val="center"/>
          </w:tcPr>
          <w:p w14:paraId="793164B1">
            <w:pPr>
              <w:autoSpaceDE w:val="0"/>
              <w:autoSpaceDN w:val="0"/>
              <w:adjustRightInd w:val="0"/>
              <w:jc w:val="center"/>
              <w:rPr>
                <w:rFonts w:ascii="宋体" w:hAnsi="宋体" w:cs="宋体"/>
                <w:color w:val="auto"/>
                <w:sz w:val="24"/>
                <w:lang w:val="zh-CN"/>
              </w:rPr>
            </w:pPr>
            <w:r>
              <w:rPr>
                <w:rFonts w:hint="eastAsia" w:ascii="宋体" w:hAnsi="宋体" w:cs="宋体"/>
                <w:color w:val="auto"/>
                <w:sz w:val="24"/>
                <w:lang w:val="zh-CN"/>
              </w:rPr>
              <w:t>6</w:t>
            </w:r>
          </w:p>
        </w:tc>
        <w:tc>
          <w:tcPr>
            <w:tcW w:w="6303" w:type="dxa"/>
            <w:tcBorders>
              <w:top w:val="single" w:color="auto" w:sz="6" w:space="0"/>
              <w:left w:val="single" w:color="auto" w:sz="6" w:space="0"/>
              <w:bottom w:val="single" w:color="auto" w:sz="6" w:space="0"/>
              <w:right w:val="single" w:color="auto" w:sz="6" w:space="0"/>
            </w:tcBorders>
          </w:tcPr>
          <w:p w14:paraId="691899DD">
            <w:pPr>
              <w:autoSpaceDE w:val="0"/>
              <w:autoSpaceDN w:val="0"/>
              <w:adjustRightInd w:val="0"/>
              <w:rPr>
                <w:rFonts w:ascii="宋体" w:hAnsi="宋体" w:cs="宋体"/>
                <w:color w:val="auto"/>
                <w:sz w:val="24"/>
                <w:lang w:val="zh-CN"/>
              </w:rPr>
            </w:pPr>
            <w:r>
              <w:rPr>
                <w:rFonts w:hint="eastAsia" w:ascii="宋体" w:hAnsi="宋体" w:cs="宋体"/>
                <w:color w:val="auto"/>
                <w:sz w:val="24"/>
                <w:lang w:val="zh-CN"/>
              </w:rPr>
              <w:t>湖南省政府采购供应商资格承诺函</w:t>
            </w:r>
          </w:p>
        </w:tc>
        <w:tc>
          <w:tcPr>
            <w:tcW w:w="592" w:type="dxa"/>
            <w:tcBorders>
              <w:top w:val="single" w:color="auto" w:sz="6" w:space="0"/>
              <w:left w:val="single" w:color="auto" w:sz="6" w:space="0"/>
              <w:bottom w:val="single" w:color="auto" w:sz="6" w:space="0"/>
              <w:right w:val="single" w:color="auto" w:sz="6" w:space="0"/>
            </w:tcBorders>
          </w:tcPr>
          <w:p w14:paraId="23F65743">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49E4695F">
            <w:pPr>
              <w:autoSpaceDE w:val="0"/>
              <w:autoSpaceDN w:val="0"/>
              <w:adjustRightInd w:val="0"/>
              <w:rPr>
                <w:rFonts w:ascii="宋体" w:hAnsi="宋体" w:cs="宋体"/>
                <w:color w:val="auto"/>
                <w:sz w:val="24"/>
                <w:lang w:val="zh-CN"/>
              </w:rPr>
            </w:pPr>
          </w:p>
        </w:tc>
        <w:tc>
          <w:tcPr>
            <w:tcW w:w="592" w:type="dxa"/>
            <w:tcBorders>
              <w:top w:val="single" w:color="auto" w:sz="6" w:space="0"/>
              <w:left w:val="single" w:color="auto" w:sz="6" w:space="0"/>
              <w:bottom w:val="single" w:color="auto" w:sz="6" w:space="0"/>
              <w:right w:val="single" w:color="auto" w:sz="6" w:space="0"/>
            </w:tcBorders>
          </w:tcPr>
          <w:p w14:paraId="46A97D92">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3598C092">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244CDD41">
            <w:pPr>
              <w:autoSpaceDE w:val="0"/>
              <w:autoSpaceDN w:val="0"/>
              <w:adjustRightInd w:val="0"/>
              <w:rPr>
                <w:rFonts w:ascii="宋体" w:hAnsi="宋体" w:cs="宋体"/>
                <w:color w:val="auto"/>
                <w:sz w:val="24"/>
                <w:lang w:val="zh-CN"/>
              </w:rPr>
            </w:pPr>
          </w:p>
        </w:tc>
      </w:tr>
      <w:tr w14:paraId="7BF526CC">
        <w:tblPrEx>
          <w:tblCellMar>
            <w:top w:w="0" w:type="dxa"/>
            <w:left w:w="108" w:type="dxa"/>
            <w:bottom w:w="0" w:type="dxa"/>
            <w:right w:w="108" w:type="dxa"/>
          </w:tblCellMar>
        </w:tblPrEx>
        <w:trPr>
          <w:trHeight w:val="359" w:hRule="atLeast"/>
        </w:trPr>
        <w:tc>
          <w:tcPr>
            <w:tcW w:w="550" w:type="dxa"/>
            <w:tcBorders>
              <w:top w:val="single" w:color="auto" w:sz="6" w:space="0"/>
              <w:left w:val="single" w:color="auto" w:sz="6" w:space="0"/>
              <w:bottom w:val="single" w:color="auto" w:sz="6" w:space="0"/>
              <w:right w:val="single" w:color="auto" w:sz="6" w:space="0"/>
            </w:tcBorders>
            <w:vAlign w:val="center"/>
          </w:tcPr>
          <w:p w14:paraId="57802E35">
            <w:pPr>
              <w:autoSpaceDE w:val="0"/>
              <w:autoSpaceDN w:val="0"/>
              <w:adjustRightInd w:val="0"/>
              <w:jc w:val="center"/>
              <w:rPr>
                <w:rFonts w:ascii="宋体" w:hAnsi="宋体" w:cs="宋体"/>
                <w:color w:val="auto"/>
                <w:sz w:val="24"/>
              </w:rPr>
            </w:pPr>
            <w:r>
              <w:rPr>
                <w:rFonts w:hint="eastAsia" w:ascii="宋体" w:hAnsi="宋体" w:cs="宋体"/>
                <w:color w:val="auto"/>
                <w:sz w:val="24"/>
              </w:rPr>
              <w:t>7</w:t>
            </w:r>
          </w:p>
        </w:tc>
        <w:tc>
          <w:tcPr>
            <w:tcW w:w="6303" w:type="dxa"/>
            <w:tcBorders>
              <w:top w:val="single" w:color="auto" w:sz="6" w:space="0"/>
              <w:left w:val="single" w:color="auto" w:sz="6" w:space="0"/>
              <w:bottom w:val="single" w:color="auto" w:sz="6" w:space="0"/>
              <w:right w:val="single" w:color="auto" w:sz="6" w:space="0"/>
            </w:tcBorders>
          </w:tcPr>
          <w:p w14:paraId="26847B79">
            <w:pPr>
              <w:autoSpaceDE w:val="0"/>
              <w:autoSpaceDN w:val="0"/>
              <w:adjustRightInd w:val="0"/>
              <w:rPr>
                <w:rFonts w:ascii="宋体" w:hAnsi="宋体" w:cs="宋体"/>
                <w:color w:val="auto"/>
                <w:sz w:val="24"/>
                <w:lang w:val="zh-CN"/>
              </w:rPr>
            </w:pPr>
            <w:r>
              <w:rPr>
                <w:rFonts w:hint="eastAsia" w:ascii="宋体" w:hAnsi="宋体" w:cs="宋体"/>
                <w:color w:val="auto"/>
                <w:sz w:val="24"/>
                <w:lang w:val="zh-CN"/>
              </w:rPr>
              <w:t>本项目特定资格条件要求的资质证件</w:t>
            </w:r>
          </w:p>
        </w:tc>
        <w:tc>
          <w:tcPr>
            <w:tcW w:w="592" w:type="dxa"/>
            <w:tcBorders>
              <w:top w:val="single" w:color="auto" w:sz="6" w:space="0"/>
              <w:left w:val="single" w:color="auto" w:sz="6" w:space="0"/>
              <w:bottom w:val="single" w:color="auto" w:sz="6" w:space="0"/>
              <w:right w:val="single" w:color="auto" w:sz="6" w:space="0"/>
            </w:tcBorders>
          </w:tcPr>
          <w:p w14:paraId="3202F55C">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750DB0E9">
            <w:pPr>
              <w:autoSpaceDE w:val="0"/>
              <w:autoSpaceDN w:val="0"/>
              <w:adjustRightInd w:val="0"/>
              <w:rPr>
                <w:rFonts w:ascii="宋体" w:hAnsi="宋体" w:cs="宋体"/>
                <w:color w:val="auto"/>
                <w:sz w:val="24"/>
                <w:lang w:val="zh-CN"/>
              </w:rPr>
            </w:pPr>
          </w:p>
        </w:tc>
        <w:tc>
          <w:tcPr>
            <w:tcW w:w="592" w:type="dxa"/>
            <w:tcBorders>
              <w:top w:val="single" w:color="auto" w:sz="6" w:space="0"/>
              <w:left w:val="single" w:color="auto" w:sz="6" w:space="0"/>
              <w:bottom w:val="single" w:color="auto" w:sz="6" w:space="0"/>
              <w:right w:val="single" w:color="auto" w:sz="6" w:space="0"/>
            </w:tcBorders>
          </w:tcPr>
          <w:p w14:paraId="45EE27AC">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4FDFAAB6">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7F046F56">
            <w:pPr>
              <w:autoSpaceDE w:val="0"/>
              <w:autoSpaceDN w:val="0"/>
              <w:adjustRightInd w:val="0"/>
              <w:rPr>
                <w:rFonts w:ascii="宋体" w:hAnsi="宋体" w:cs="宋体"/>
                <w:color w:val="auto"/>
                <w:sz w:val="24"/>
                <w:lang w:val="zh-CN"/>
              </w:rPr>
            </w:pPr>
          </w:p>
        </w:tc>
      </w:tr>
      <w:tr w14:paraId="7FE2BE16">
        <w:tblPrEx>
          <w:tblCellMar>
            <w:top w:w="0" w:type="dxa"/>
            <w:left w:w="108" w:type="dxa"/>
            <w:bottom w:w="0" w:type="dxa"/>
            <w:right w:w="108" w:type="dxa"/>
          </w:tblCellMar>
        </w:tblPrEx>
        <w:trPr>
          <w:trHeight w:val="359" w:hRule="atLeast"/>
        </w:trPr>
        <w:tc>
          <w:tcPr>
            <w:tcW w:w="550" w:type="dxa"/>
            <w:tcBorders>
              <w:top w:val="single" w:color="auto" w:sz="6" w:space="0"/>
              <w:left w:val="single" w:color="auto" w:sz="6" w:space="0"/>
              <w:bottom w:val="single" w:color="auto" w:sz="6" w:space="0"/>
              <w:right w:val="single" w:color="auto" w:sz="6" w:space="0"/>
            </w:tcBorders>
            <w:vAlign w:val="center"/>
          </w:tcPr>
          <w:p w14:paraId="3949E798">
            <w:pPr>
              <w:autoSpaceDE w:val="0"/>
              <w:autoSpaceDN w:val="0"/>
              <w:adjustRightInd w:val="0"/>
              <w:jc w:val="center"/>
              <w:rPr>
                <w:rFonts w:ascii="宋体" w:hAnsi="宋体" w:cs="宋体"/>
                <w:color w:val="auto"/>
                <w:sz w:val="24"/>
              </w:rPr>
            </w:pPr>
            <w:r>
              <w:rPr>
                <w:rFonts w:hint="eastAsia" w:ascii="宋体" w:hAnsi="宋体" w:cs="宋体"/>
                <w:color w:val="auto"/>
                <w:sz w:val="24"/>
              </w:rPr>
              <w:t>8</w:t>
            </w:r>
          </w:p>
        </w:tc>
        <w:tc>
          <w:tcPr>
            <w:tcW w:w="6303" w:type="dxa"/>
            <w:tcBorders>
              <w:top w:val="single" w:color="auto" w:sz="6" w:space="0"/>
              <w:left w:val="single" w:color="auto" w:sz="6" w:space="0"/>
              <w:bottom w:val="single" w:color="auto" w:sz="6" w:space="0"/>
              <w:right w:val="single" w:color="auto" w:sz="6" w:space="0"/>
            </w:tcBorders>
          </w:tcPr>
          <w:p w14:paraId="388E1EB5">
            <w:pPr>
              <w:autoSpaceDE w:val="0"/>
              <w:autoSpaceDN w:val="0"/>
              <w:adjustRightInd w:val="0"/>
              <w:rPr>
                <w:rFonts w:ascii="宋体" w:hAnsi="宋体" w:cs="宋体"/>
                <w:color w:val="auto"/>
                <w:sz w:val="24"/>
                <w:lang w:val="zh-CN"/>
              </w:rPr>
            </w:pPr>
            <w:r>
              <w:rPr>
                <w:rFonts w:hint="eastAsia" w:ascii="宋体" w:hAnsi="宋体"/>
                <w:color w:val="auto"/>
                <w:sz w:val="24"/>
              </w:rPr>
              <w:t>符合法律、法规和磋商文件中规定的其他实质性要求</w:t>
            </w:r>
          </w:p>
        </w:tc>
        <w:tc>
          <w:tcPr>
            <w:tcW w:w="592" w:type="dxa"/>
            <w:tcBorders>
              <w:top w:val="single" w:color="auto" w:sz="6" w:space="0"/>
              <w:left w:val="single" w:color="auto" w:sz="6" w:space="0"/>
              <w:bottom w:val="single" w:color="auto" w:sz="6" w:space="0"/>
              <w:right w:val="single" w:color="auto" w:sz="6" w:space="0"/>
            </w:tcBorders>
          </w:tcPr>
          <w:p w14:paraId="2D51CEF2">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4F92B276">
            <w:pPr>
              <w:autoSpaceDE w:val="0"/>
              <w:autoSpaceDN w:val="0"/>
              <w:adjustRightInd w:val="0"/>
              <w:rPr>
                <w:rFonts w:ascii="宋体" w:hAnsi="宋体" w:cs="宋体"/>
                <w:color w:val="auto"/>
                <w:sz w:val="24"/>
                <w:lang w:val="zh-CN"/>
              </w:rPr>
            </w:pPr>
          </w:p>
        </w:tc>
        <w:tc>
          <w:tcPr>
            <w:tcW w:w="592" w:type="dxa"/>
            <w:tcBorders>
              <w:top w:val="single" w:color="auto" w:sz="6" w:space="0"/>
              <w:left w:val="single" w:color="auto" w:sz="6" w:space="0"/>
              <w:bottom w:val="single" w:color="auto" w:sz="6" w:space="0"/>
              <w:right w:val="single" w:color="auto" w:sz="6" w:space="0"/>
            </w:tcBorders>
          </w:tcPr>
          <w:p w14:paraId="0497682F">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32C7109A">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2E6455D4">
            <w:pPr>
              <w:autoSpaceDE w:val="0"/>
              <w:autoSpaceDN w:val="0"/>
              <w:adjustRightInd w:val="0"/>
              <w:rPr>
                <w:rFonts w:ascii="宋体" w:hAnsi="宋体" w:cs="宋体"/>
                <w:color w:val="auto"/>
                <w:sz w:val="24"/>
                <w:lang w:val="zh-CN"/>
              </w:rPr>
            </w:pPr>
          </w:p>
        </w:tc>
      </w:tr>
      <w:tr w14:paraId="5E30BCA8">
        <w:tblPrEx>
          <w:tblCellMar>
            <w:top w:w="0" w:type="dxa"/>
            <w:left w:w="108" w:type="dxa"/>
            <w:bottom w:w="0" w:type="dxa"/>
            <w:right w:w="108" w:type="dxa"/>
          </w:tblCellMar>
        </w:tblPrEx>
        <w:trPr>
          <w:trHeight w:val="359" w:hRule="atLeast"/>
        </w:trPr>
        <w:tc>
          <w:tcPr>
            <w:tcW w:w="550" w:type="dxa"/>
            <w:tcBorders>
              <w:top w:val="single" w:color="auto" w:sz="4" w:space="0"/>
              <w:left w:val="single" w:color="auto" w:sz="6" w:space="0"/>
              <w:bottom w:val="single" w:color="auto" w:sz="6" w:space="0"/>
              <w:right w:val="single" w:color="auto" w:sz="6" w:space="0"/>
            </w:tcBorders>
            <w:vAlign w:val="center"/>
          </w:tcPr>
          <w:p w14:paraId="6A38F456">
            <w:pPr>
              <w:autoSpaceDE w:val="0"/>
              <w:autoSpaceDN w:val="0"/>
              <w:adjustRightInd w:val="0"/>
              <w:jc w:val="center"/>
              <w:rPr>
                <w:rFonts w:ascii="宋体" w:hAnsi="宋体" w:cs="宋体"/>
                <w:color w:val="auto"/>
                <w:sz w:val="24"/>
              </w:rPr>
            </w:pPr>
            <w:r>
              <w:rPr>
                <w:rFonts w:hint="eastAsia" w:ascii="宋体" w:hAnsi="宋体" w:cs="宋体"/>
                <w:color w:val="auto"/>
                <w:sz w:val="24"/>
              </w:rPr>
              <w:t>9</w:t>
            </w:r>
          </w:p>
        </w:tc>
        <w:tc>
          <w:tcPr>
            <w:tcW w:w="6303" w:type="dxa"/>
            <w:tcBorders>
              <w:top w:val="single" w:color="auto" w:sz="4" w:space="0"/>
              <w:left w:val="single" w:color="auto" w:sz="6" w:space="0"/>
              <w:bottom w:val="single" w:color="auto" w:sz="6" w:space="0"/>
              <w:right w:val="single" w:color="auto" w:sz="6" w:space="0"/>
            </w:tcBorders>
          </w:tcPr>
          <w:p w14:paraId="7606E262">
            <w:pPr>
              <w:autoSpaceDE w:val="0"/>
              <w:autoSpaceDN w:val="0"/>
              <w:adjustRightInd w:val="0"/>
              <w:rPr>
                <w:rFonts w:ascii="宋体" w:hAnsi="宋体" w:cs="宋体"/>
                <w:color w:val="auto"/>
                <w:sz w:val="24"/>
                <w:lang w:val="zh-CN"/>
              </w:rPr>
            </w:pPr>
            <w:r>
              <w:rPr>
                <w:rFonts w:hint="eastAsia" w:ascii="宋体" w:hAnsi="宋体" w:cs="宋体"/>
                <w:color w:val="auto"/>
                <w:sz w:val="24"/>
                <w:lang w:val="zh-CN"/>
              </w:rPr>
              <w:t>结论</w:t>
            </w:r>
          </w:p>
        </w:tc>
        <w:tc>
          <w:tcPr>
            <w:tcW w:w="592" w:type="dxa"/>
            <w:tcBorders>
              <w:top w:val="single" w:color="auto" w:sz="4" w:space="0"/>
              <w:left w:val="single" w:color="auto" w:sz="6" w:space="0"/>
              <w:bottom w:val="single" w:color="auto" w:sz="6" w:space="0"/>
              <w:right w:val="single" w:color="auto" w:sz="6" w:space="0"/>
            </w:tcBorders>
          </w:tcPr>
          <w:p w14:paraId="3D49001A">
            <w:pPr>
              <w:autoSpaceDE w:val="0"/>
              <w:autoSpaceDN w:val="0"/>
              <w:adjustRightInd w:val="0"/>
              <w:rPr>
                <w:rFonts w:ascii="宋体" w:hAnsi="宋体" w:cs="宋体"/>
                <w:color w:val="auto"/>
                <w:sz w:val="24"/>
                <w:lang w:val="zh-CN"/>
              </w:rPr>
            </w:pPr>
          </w:p>
        </w:tc>
        <w:tc>
          <w:tcPr>
            <w:tcW w:w="593" w:type="dxa"/>
            <w:tcBorders>
              <w:top w:val="single" w:color="auto" w:sz="4" w:space="0"/>
              <w:left w:val="single" w:color="auto" w:sz="6" w:space="0"/>
              <w:bottom w:val="single" w:color="auto" w:sz="6" w:space="0"/>
              <w:right w:val="single" w:color="auto" w:sz="6" w:space="0"/>
            </w:tcBorders>
          </w:tcPr>
          <w:p w14:paraId="293E6309">
            <w:pPr>
              <w:autoSpaceDE w:val="0"/>
              <w:autoSpaceDN w:val="0"/>
              <w:adjustRightInd w:val="0"/>
              <w:rPr>
                <w:rFonts w:ascii="宋体" w:hAnsi="宋体" w:cs="宋体"/>
                <w:color w:val="auto"/>
                <w:sz w:val="24"/>
                <w:lang w:val="zh-CN"/>
              </w:rPr>
            </w:pPr>
          </w:p>
        </w:tc>
        <w:tc>
          <w:tcPr>
            <w:tcW w:w="592" w:type="dxa"/>
            <w:tcBorders>
              <w:top w:val="single" w:color="auto" w:sz="4" w:space="0"/>
              <w:left w:val="single" w:color="auto" w:sz="6" w:space="0"/>
              <w:bottom w:val="single" w:color="auto" w:sz="6" w:space="0"/>
              <w:right w:val="single" w:color="auto" w:sz="6" w:space="0"/>
            </w:tcBorders>
          </w:tcPr>
          <w:p w14:paraId="78487AE1">
            <w:pPr>
              <w:autoSpaceDE w:val="0"/>
              <w:autoSpaceDN w:val="0"/>
              <w:adjustRightInd w:val="0"/>
              <w:rPr>
                <w:rFonts w:ascii="宋体" w:hAnsi="宋体" w:cs="宋体"/>
                <w:color w:val="auto"/>
                <w:sz w:val="24"/>
                <w:lang w:val="zh-CN"/>
              </w:rPr>
            </w:pPr>
          </w:p>
        </w:tc>
        <w:tc>
          <w:tcPr>
            <w:tcW w:w="593" w:type="dxa"/>
            <w:tcBorders>
              <w:top w:val="single" w:color="auto" w:sz="4" w:space="0"/>
              <w:left w:val="single" w:color="auto" w:sz="6" w:space="0"/>
              <w:bottom w:val="single" w:color="auto" w:sz="6" w:space="0"/>
              <w:right w:val="single" w:color="auto" w:sz="6" w:space="0"/>
            </w:tcBorders>
          </w:tcPr>
          <w:p w14:paraId="2A93F442">
            <w:pPr>
              <w:autoSpaceDE w:val="0"/>
              <w:autoSpaceDN w:val="0"/>
              <w:adjustRightInd w:val="0"/>
              <w:rPr>
                <w:rFonts w:ascii="宋体" w:hAnsi="宋体" w:cs="宋体"/>
                <w:color w:val="auto"/>
                <w:sz w:val="24"/>
                <w:lang w:val="zh-CN"/>
              </w:rPr>
            </w:pPr>
          </w:p>
        </w:tc>
        <w:tc>
          <w:tcPr>
            <w:tcW w:w="593" w:type="dxa"/>
            <w:tcBorders>
              <w:top w:val="single" w:color="auto" w:sz="4" w:space="0"/>
              <w:left w:val="single" w:color="auto" w:sz="6" w:space="0"/>
              <w:bottom w:val="single" w:color="auto" w:sz="6" w:space="0"/>
              <w:right w:val="single" w:color="auto" w:sz="6" w:space="0"/>
            </w:tcBorders>
          </w:tcPr>
          <w:p w14:paraId="3B7A0200">
            <w:pPr>
              <w:autoSpaceDE w:val="0"/>
              <w:autoSpaceDN w:val="0"/>
              <w:adjustRightInd w:val="0"/>
              <w:rPr>
                <w:rFonts w:ascii="宋体" w:hAnsi="宋体" w:cs="宋体"/>
                <w:color w:val="auto"/>
                <w:sz w:val="24"/>
                <w:lang w:val="zh-CN"/>
              </w:rPr>
            </w:pPr>
          </w:p>
        </w:tc>
      </w:tr>
      <w:tr w14:paraId="09F5AE23">
        <w:tblPrEx>
          <w:tblCellMar>
            <w:top w:w="0" w:type="dxa"/>
            <w:left w:w="108" w:type="dxa"/>
            <w:bottom w:w="0" w:type="dxa"/>
            <w:right w:w="108" w:type="dxa"/>
          </w:tblCellMar>
        </w:tblPrEx>
        <w:trPr>
          <w:trHeight w:val="812" w:hRule="atLeast"/>
        </w:trPr>
        <w:tc>
          <w:tcPr>
            <w:tcW w:w="9816" w:type="dxa"/>
            <w:gridSpan w:val="7"/>
            <w:tcBorders>
              <w:top w:val="single" w:color="auto" w:sz="6" w:space="0"/>
              <w:left w:val="single" w:color="auto" w:sz="6" w:space="0"/>
              <w:bottom w:val="single" w:color="auto" w:sz="6" w:space="0"/>
              <w:right w:val="single" w:color="auto" w:sz="6" w:space="0"/>
            </w:tcBorders>
          </w:tcPr>
          <w:p w14:paraId="3A256D5A">
            <w:pPr>
              <w:autoSpaceDE w:val="0"/>
              <w:autoSpaceDN w:val="0"/>
              <w:adjustRightInd w:val="0"/>
              <w:rPr>
                <w:rFonts w:ascii="宋体" w:hAnsi="宋体" w:cs="宋体"/>
                <w:color w:val="auto"/>
                <w:sz w:val="24"/>
                <w:lang w:val="zh-CN"/>
              </w:rPr>
            </w:pPr>
            <w:r>
              <w:rPr>
                <w:rFonts w:hint="eastAsia" w:ascii="宋体" w:hAnsi="宋体" w:cs="宋体"/>
                <w:color w:val="auto"/>
                <w:sz w:val="24"/>
                <w:lang w:val="zh-CN"/>
              </w:rPr>
              <w:t>评委签名：</w:t>
            </w:r>
          </w:p>
          <w:p w14:paraId="4380A011">
            <w:pPr>
              <w:autoSpaceDE w:val="0"/>
              <w:autoSpaceDN w:val="0"/>
              <w:adjustRightInd w:val="0"/>
              <w:ind w:firstLine="7440" w:firstLineChars="3100"/>
              <w:rPr>
                <w:rFonts w:ascii="宋体" w:hAnsi="宋体" w:cs="宋体"/>
                <w:color w:val="auto"/>
                <w:sz w:val="24"/>
                <w:lang w:val="zh-CN"/>
              </w:rPr>
            </w:pPr>
          </w:p>
          <w:p w14:paraId="2DE149C5">
            <w:pPr>
              <w:autoSpaceDE w:val="0"/>
              <w:autoSpaceDN w:val="0"/>
              <w:adjustRightInd w:val="0"/>
              <w:ind w:firstLine="7440" w:firstLineChars="3100"/>
              <w:rPr>
                <w:rFonts w:ascii="宋体" w:hAnsi="宋体" w:cs="宋体"/>
                <w:color w:val="auto"/>
                <w:sz w:val="24"/>
                <w:lang w:val="zh-CN"/>
              </w:rPr>
            </w:pPr>
          </w:p>
          <w:p w14:paraId="20790BEB">
            <w:pPr>
              <w:autoSpaceDE w:val="0"/>
              <w:autoSpaceDN w:val="0"/>
              <w:adjustRightInd w:val="0"/>
              <w:ind w:firstLine="7440" w:firstLineChars="3100"/>
              <w:rPr>
                <w:rFonts w:ascii="宋体" w:hAnsi="宋体" w:cs="宋体"/>
                <w:color w:val="auto"/>
                <w:sz w:val="24"/>
                <w:lang w:val="zh-CN"/>
              </w:rPr>
            </w:pPr>
          </w:p>
          <w:p w14:paraId="4EDEB281">
            <w:pPr>
              <w:autoSpaceDE w:val="0"/>
              <w:autoSpaceDN w:val="0"/>
              <w:adjustRightInd w:val="0"/>
              <w:ind w:firstLine="7440" w:firstLineChars="3100"/>
              <w:rPr>
                <w:rFonts w:ascii="宋体" w:hAnsi="宋体" w:cs="宋体"/>
                <w:color w:val="auto"/>
                <w:sz w:val="24"/>
                <w:lang w:val="zh-CN"/>
              </w:rPr>
            </w:pPr>
            <w:r>
              <w:rPr>
                <w:rFonts w:hint="eastAsia" w:ascii="宋体" w:hAnsi="宋体" w:cs="宋体"/>
                <w:color w:val="auto"/>
                <w:sz w:val="24"/>
                <w:lang w:val="zh-CN"/>
              </w:rPr>
              <w:t>年   月   日</w:t>
            </w:r>
          </w:p>
        </w:tc>
      </w:tr>
    </w:tbl>
    <w:p w14:paraId="4A9CC785">
      <w:pPr>
        <w:pStyle w:val="39"/>
        <w:spacing w:line="360" w:lineRule="auto"/>
        <w:ind w:left="0" w:firstLine="0" w:firstLineChars="0"/>
        <w:rPr>
          <w:rFonts w:ascii="宋体" w:hAnsi="宋体"/>
          <w:color w:val="auto"/>
          <w:sz w:val="24"/>
        </w:rPr>
      </w:pPr>
      <w:r>
        <w:rPr>
          <w:rFonts w:hint="eastAsia" w:ascii="宋体" w:hAnsi="宋体"/>
          <w:color w:val="auto"/>
          <w:sz w:val="24"/>
        </w:rPr>
        <w:t>响应文件有下列情况之一的，应当在资格性检查时按照无效投标处理：</w:t>
      </w:r>
    </w:p>
    <w:p w14:paraId="183DBE5B">
      <w:pPr>
        <w:pStyle w:val="39"/>
        <w:spacing w:line="360" w:lineRule="auto"/>
        <w:ind w:left="0" w:firstLine="0" w:firstLineChars="0"/>
        <w:rPr>
          <w:rFonts w:ascii="宋体" w:hAnsi="宋体"/>
          <w:color w:val="auto"/>
          <w:sz w:val="24"/>
        </w:rPr>
      </w:pPr>
      <w:r>
        <w:rPr>
          <w:rFonts w:hint="eastAsia" w:ascii="宋体" w:hAnsi="宋体"/>
          <w:color w:val="auto"/>
          <w:sz w:val="24"/>
        </w:rPr>
        <w:t xml:space="preserve">1、应交未交投标保证金的； </w:t>
      </w:r>
    </w:p>
    <w:p w14:paraId="604B7D6A">
      <w:pPr>
        <w:pStyle w:val="39"/>
        <w:spacing w:line="360" w:lineRule="auto"/>
        <w:ind w:left="0" w:firstLine="0" w:firstLineChars="0"/>
        <w:rPr>
          <w:rFonts w:ascii="宋体" w:hAnsi="宋体"/>
          <w:color w:val="auto"/>
          <w:sz w:val="24"/>
        </w:rPr>
      </w:pPr>
      <w:r>
        <w:rPr>
          <w:rFonts w:hint="eastAsia" w:ascii="宋体" w:hAnsi="宋体"/>
          <w:color w:val="auto"/>
          <w:sz w:val="24"/>
        </w:rPr>
        <w:t xml:space="preserve">2、未按照参磋商文件规定要求密封、签署、盖章的； </w:t>
      </w:r>
    </w:p>
    <w:p w14:paraId="1265519D">
      <w:pPr>
        <w:pStyle w:val="39"/>
        <w:spacing w:line="360" w:lineRule="auto"/>
        <w:ind w:left="0" w:firstLine="0" w:firstLineChars="0"/>
        <w:rPr>
          <w:rFonts w:ascii="宋体" w:hAnsi="宋体"/>
          <w:color w:val="auto"/>
          <w:sz w:val="24"/>
        </w:rPr>
      </w:pPr>
      <w:r>
        <w:rPr>
          <w:rFonts w:hint="eastAsia" w:ascii="宋体" w:hAnsi="宋体"/>
          <w:color w:val="auto"/>
          <w:sz w:val="24"/>
        </w:rPr>
        <w:t xml:space="preserve">3、不具备磋商文件中规定资格要求的。 </w:t>
      </w:r>
    </w:p>
    <w:p w14:paraId="6D6B59CD">
      <w:pPr>
        <w:pStyle w:val="39"/>
        <w:spacing w:line="360" w:lineRule="auto"/>
        <w:ind w:left="0" w:firstLine="0" w:firstLineChars="0"/>
        <w:rPr>
          <w:rFonts w:ascii="宋体" w:hAnsi="宋体"/>
          <w:b/>
          <w:bCs/>
          <w:color w:val="auto"/>
          <w:sz w:val="24"/>
        </w:rPr>
      </w:pPr>
      <w:r>
        <w:rPr>
          <w:rFonts w:hint="eastAsia" w:ascii="宋体" w:hAnsi="宋体"/>
          <w:color w:val="auto"/>
          <w:sz w:val="24"/>
        </w:rPr>
        <w:t>4、不符合法律、法规和磋商文件中规定的其他实质性要求的。</w:t>
      </w:r>
    </w:p>
    <w:p w14:paraId="549330C2">
      <w:pPr>
        <w:pStyle w:val="23"/>
        <w:spacing w:line="360" w:lineRule="auto"/>
        <w:ind w:left="146" w:leftChars="23" w:hanging="98" w:hangingChars="41"/>
        <w:rPr>
          <w:color w:val="auto"/>
          <w:sz w:val="24"/>
        </w:rPr>
      </w:pPr>
      <w:r>
        <w:rPr>
          <w:rFonts w:hint="eastAsia"/>
          <w:color w:val="auto"/>
          <w:sz w:val="24"/>
        </w:rPr>
        <w:t>结论填写“合格”或“不合格”，不合格供应商不进入下一轮评审。</w:t>
      </w:r>
    </w:p>
    <w:p w14:paraId="500120DB">
      <w:pPr>
        <w:pStyle w:val="23"/>
        <w:spacing w:line="360" w:lineRule="auto"/>
        <w:ind w:left="146" w:leftChars="23" w:hanging="98" w:hangingChars="41"/>
        <w:rPr>
          <w:color w:val="auto"/>
          <w:sz w:val="24"/>
        </w:rPr>
      </w:pPr>
    </w:p>
    <w:p w14:paraId="4DA66F57">
      <w:pPr>
        <w:pStyle w:val="23"/>
        <w:spacing w:line="360" w:lineRule="auto"/>
        <w:ind w:left="146" w:leftChars="23" w:hanging="98" w:hangingChars="41"/>
        <w:rPr>
          <w:color w:val="auto"/>
          <w:sz w:val="24"/>
        </w:rPr>
      </w:pPr>
    </w:p>
    <w:p w14:paraId="460773E1">
      <w:pPr>
        <w:pStyle w:val="23"/>
        <w:spacing w:line="360" w:lineRule="auto"/>
        <w:ind w:left="146" w:leftChars="23" w:hanging="98" w:hangingChars="41"/>
        <w:rPr>
          <w:color w:val="auto"/>
          <w:sz w:val="24"/>
        </w:rPr>
      </w:pPr>
    </w:p>
    <w:p w14:paraId="6DED3FB8">
      <w:pPr>
        <w:pStyle w:val="23"/>
        <w:spacing w:line="360" w:lineRule="auto"/>
        <w:ind w:left="146" w:leftChars="23" w:hanging="98" w:hangingChars="41"/>
        <w:rPr>
          <w:color w:val="auto"/>
          <w:sz w:val="24"/>
        </w:rPr>
      </w:pPr>
    </w:p>
    <w:p w14:paraId="39DEF506">
      <w:pPr>
        <w:widowControl/>
        <w:spacing w:beforeAutospacing="1" w:afterAutospacing="1" w:line="360" w:lineRule="auto"/>
        <w:jc w:val="left"/>
        <w:rPr>
          <w:rFonts w:ascii="宋体" w:hAnsi="宋体"/>
          <w:b/>
          <w:color w:val="auto"/>
          <w:szCs w:val="21"/>
        </w:rPr>
        <w:sectPr>
          <w:footerReference r:id="rId5" w:type="first"/>
          <w:footerReference r:id="rId4" w:type="default"/>
          <w:pgSz w:w="11906" w:h="16838"/>
          <w:pgMar w:top="1474" w:right="1531" w:bottom="1474" w:left="1531" w:header="851" w:footer="992" w:gutter="0"/>
          <w:pgBorders>
            <w:top w:val="none" w:sz="0" w:space="0"/>
            <w:left w:val="none" w:sz="0" w:space="0"/>
            <w:bottom w:val="none" w:sz="0" w:space="0"/>
            <w:right w:val="none" w:sz="0" w:space="0"/>
          </w:pgBorders>
          <w:pgNumType w:fmt="numberInDash" w:start="1"/>
          <w:cols w:space="720" w:num="1"/>
          <w:titlePg/>
          <w:docGrid w:type="lines" w:linePitch="312" w:charSpace="0"/>
        </w:sectPr>
      </w:pPr>
    </w:p>
    <w:tbl>
      <w:tblPr>
        <w:tblStyle w:val="51"/>
        <w:tblpPr w:leftFromText="180" w:rightFromText="180" w:vertAnchor="page" w:horzAnchor="margin" w:tblpY="2099"/>
        <w:tblW w:w="93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620"/>
        <w:gridCol w:w="3780"/>
        <w:gridCol w:w="549"/>
        <w:gridCol w:w="549"/>
        <w:gridCol w:w="550"/>
        <w:gridCol w:w="549"/>
        <w:gridCol w:w="549"/>
        <w:gridCol w:w="550"/>
      </w:tblGrid>
      <w:tr w14:paraId="5532A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trPr>
        <w:tc>
          <w:tcPr>
            <w:tcW w:w="648" w:type="dxa"/>
            <w:vMerge w:val="restart"/>
            <w:tcBorders>
              <w:top w:val="single" w:color="auto" w:sz="4" w:space="0"/>
              <w:left w:val="single" w:color="auto" w:sz="4" w:space="0"/>
              <w:bottom w:val="single" w:color="auto" w:sz="4" w:space="0"/>
              <w:right w:val="single" w:color="auto" w:sz="4" w:space="0"/>
            </w:tcBorders>
            <w:vAlign w:val="center"/>
          </w:tcPr>
          <w:p w14:paraId="74EDBA62">
            <w:pPr>
              <w:spacing w:line="500" w:lineRule="exact"/>
              <w:jc w:val="center"/>
              <w:rPr>
                <w:rFonts w:ascii="宋体" w:hAnsi="宋体"/>
                <w:color w:val="auto"/>
                <w:sz w:val="24"/>
              </w:rPr>
            </w:pPr>
            <w:r>
              <w:rPr>
                <w:rFonts w:hint="eastAsia" w:ascii="宋体" w:hAnsi="宋体"/>
                <w:color w:val="auto"/>
                <w:sz w:val="24"/>
              </w:rPr>
              <w:t>序号</w:t>
            </w:r>
          </w:p>
        </w:tc>
        <w:tc>
          <w:tcPr>
            <w:tcW w:w="5400" w:type="dxa"/>
            <w:gridSpan w:val="2"/>
            <w:vMerge w:val="restart"/>
            <w:tcBorders>
              <w:top w:val="single" w:color="auto" w:sz="4" w:space="0"/>
              <w:left w:val="single" w:color="auto" w:sz="4" w:space="0"/>
              <w:bottom w:val="single" w:color="auto" w:sz="4" w:space="0"/>
              <w:right w:val="single" w:color="auto" w:sz="4" w:space="0"/>
            </w:tcBorders>
            <w:vAlign w:val="center"/>
          </w:tcPr>
          <w:p w14:paraId="518E3AFA">
            <w:pPr>
              <w:spacing w:line="500" w:lineRule="exact"/>
              <w:jc w:val="center"/>
              <w:rPr>
                <w:rFonts w:ascii="宋体" w:hAnsi="宋体"/>
                <w:color w:val="auto"/>
                <w:sz w:val="24"/>
              </w:rPr>
            </w:pPr>
            <w:r>
              <w:rPr>
                <w:rFonts w:hint="eastAsia" w:ascii="宋体" w:hAnsi="宋体"/>
                <w:color w:val="auto"/>
                <w:sz w:val="24"/>
              </w:rPr>
              <w:t>检查内容</w:t>
            </w:r>
          </w:p>
        </w:tc>
        <w:tc>
          <w:tcPr>
            <w:tcW w:w="3296" w:type="dxa"/>
            <w:gridSpan w:val="6"/>
            <w:tcBorders>
              <w:top w:val="single" w:color="auto" w:sz="4" w:space="0"/>
              <w:left w:val="single" w:color="auto" w:sz="4" w:space="0"/>
              <w:bottom w:val="single" w:color="auto" w:sz="4" w:space="0"/>
              <w:right w:val="single" w:color="auto" w:sz="4" w:space="0"/>
            </w:tcBorders>
            <w:vAlign w:val="center"/>
          </w:tcPr>
          <w:p w14:paraId="4299F5E3">
            <w:pPr>
              <w:spacing w:line="500" w:lineRule="exact"/>
              <w:jc w:val="center"/>
              <w:rPr>
                <w:rFonts w:ascii="宋体" w:hAnsi="宋体"/>
                <w:color w:val="auto"/>
                <w:sz w:val="24"/>
              </w:rPr>
            </w:pPr>
            <w:r>
              <w:rPr>
                <w:rFonts w:hint="eastAsia" w:ascii="宋体" w:hAnsi="宋体"/>
                <w:color w:val="auto"/>
                <w:sz w:val="24"/>
              </w:rPr>
              <w:t>供应商</w:t>
            </w:r>
          </w:p>
        </w:tc>
      </w:tr>
      <w:tr w14:paraId="7DADA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trPr>
        <w:tc>
          <w:tcPr>
            <w:tcW w:w="648" w:type="dxa"/>
            <w:vMerge w:val="continue"/>
            <w:tcBorders>
              <w:top w:val="single" w:color="auto" w:sz="4" w:space="0"/>
              <w:left w:val="single" w:color="auto" w:sz="4" w:space="0"/>
              <w:bottom w:val="single" w:color="auto" w:sz="4" w:space="0"/>
              <w:right w:val="single" w:color="auto" w:sz="4" w:space="0"/>
            </w:tcBorders>
            <w:vAlign w:val="center"/>
          </w:tcPr>
          <w:p w14:paraId="4C1E7C93">
            <w:pPr>
              <w:widowControl/>
              <w:jc w:val="left"/>
              <w:rPr>
                <w:rFonts w:ascii="宋体" w:hAnsi="宋体"/>
                <w:color w:val="auto"/>
                <w:sz w:val="24"/>
              </w:rPr>
            </w:pPr>
          </w:p>
        </w:tc>
        <w:tc>
          <w:tcPr>
            <w:tcW w:w="5400" w:type="dxa"/>
            <w:gridSpan w:val="2"/>
            <w:vMerge w:val="continue"/>
            <w:tcBorders>
              <w:top w:val="single" w:color="auto" w:sz="4" w:space="0"/>
              <w:left w:val="single" w:color="auto" w:sz="4" w:space="0"/>
              <w:bottom w:val="single" w:color="auto" w:sz="4" w:space="0"/>
              <w:right w:val="single" w:color="auto" w:sz="4" w:space="0"/>
            </w:tcBorders>
            <w:vAlign w:val="center"/>
          </w:tcPr>
          <w:p w14:paraId="33C3ED25">
            <w:pPr>
              <w:widowControl/>
              <w:jc w:val="left"/>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64625EEA">
            <w:pPr>
              <w:spacing w:line="500" w:lineRule="exact"/>
              <w:jc w:val="center"/>
              <w:rPr>
                <w:rFonts w:ascii="宋体" w:hAnsi="宋体"/>
                <w:color w:val="auto"/>
                <w:sz w:val="24"/>
              </w:rPr>
            </w:pPr>
            <w:r>
              <w:rPr>
                <w:rFonts w:hint="eastAsia" w:ascii="宋体" w:hAnsi="宋体"/>
                <w:color w:val="auto"/>
                <w:sz w:val="24"/>
              </w:rPr>
              <w:t>1</w:t>
            </w:r>
          </w:p>
        </w:tc>
        <w:tc>
          <w:tcPr>
            <w:tcW w:w="549" w:type="dxa"/>
            <w:tcBorders>
              <w:top w:val="single" w:color="auto" w:sz="4" w:space="0"/>
              <w:left w:val="single" w:color="auto" w:sz="4" w:space="0"/>
              <w:bottom w:val="single" w:color="auto" w:sz="4" w:space="0"/>
              <w:right w:val="single" w:color="auto" w:sz="4" w:space="0"/>
            </w:tcBorders>
            <w:vAlign w:val="center"/>
          </w:tcPr>
          <w:p w14:paraId="4517F041">
            <w:pPr>
              <w:spacing w:line="500" w:lineRule="exact"/>
              <w:jc w:val="center"/>
              <w:rPr>
                <w:rFonts w:ascii="宋体" w:hAnsi="宋体"/>
                <w:color w:val="auto"/>
                <w:sz w:val="24"/>
              </w:rPr>
            </w:pPr>
            <w:r>
              <w:rPr>
                <w:rFonts w:hint="eastAsia" w:ascii="宋体" w:hAnsi="宋体"/>
                <w:color w:val="auto"/>
                <w:sz w:val="24"/>
              </w:rPr>
              <w:t>2</w:t>
            </w:r>
          </w:p>
        </w:tc>
        <w:tc>
          <w:tcPr>
            <w:tcW w:w="550" w:type="dxa"/>
            <w:tcBorders>
              <w:top w:val="single" w:color="auto" w:sz="4" w:space="0"/>
              <w:left w:val="single" w:color="auto" w:sz="4" w:space="0"/>
              <w:bottom w:val="single" w:color="auto" w:sz="4" w:space="0"/>
              <w:right w:val="single" w:color="auto" w:sz="4" w:space="0"/>
            </w:tcBorders>
            <w:vAlign w:val="center"/>
          </w:tcPr>
          <w:p w14:paraId="1DCCD0FF">
            <w:pPr>
              <w:spacing w:line="500" w:lineRule="exact"/>
              <w:jc w:val="center"/>
              <w:rPr>
                <w:rFonts w:ascii="宋体" w:hAnsi="宋体"/>
                <w:color w:val="auto"/>
                <w:sz w:val="24"/>
              </w:rPr>
            </w:pPr>
            <w:r>
              <w:rPr>
                <w:rFonts w:hint="eastAsia" w:ascii="宋体" w:hAnsi="宋体"/>
                <w:color w:val="auto"/>
                <w:sz w:val="24"/>
              </w:rPr>
              <w:t>3</w:t>
            </w:r>
          </w:p>
        </w:tc>
        <w:tc>
          <w:tcPr>
            <w:tcW w:w="549" w:type="dxa"/>
            <w:tcBorders>
              <w:top w:val="single" w:color="auto" w:sz="4" w:space="0"/>
              <w:left w:val="single" w:color="auto" w:sz="4" w:space="0"/>
              <w:bottom w:val="single" w:color="auto" w:sz="4" w:space="0"/>
              <w:right w:val="single" w:color="auto" w:sz="4" w:space="0"/>
            </w:tcBorders>
            <w:vAlign w:val="center"/>
          </w:tcPr>
          <w:p w14:paraId="0E3B2348">
            <w:pPr>
              <w:spacing w:line="500" w:lineRule="exact"/>
              <w:jc w:val="center"/>
              <w:rPr>
                <w:rFonts w:ascii="宋体" w:hAnsi="宋体"/>
                <w:color w:val="auto"/>
                <w:sz w:val="24"/>
              </w:rPr>
            </w:pPr>
            <w:r>
              <w:rPr>
                <w:rFonts w:hint="eastAsia" w:ascii="宋体" w:hAnsi="宋体"/>
                <w:color w:val="auto"/>
                <w:sz w:val="24"/>
              </w:rPr>
              <w:t>4</w:t>
            </w:r>
          </w:p>
        </w:tc>
        <w:tc>
          <w:tcPr>
            <w:tcW w:w="549" w:type="dxa"/>
            <w:tcBorders>
              <w:top w:val="single" w:color="auto" w:sz="4" w:space="0"/>
              <w:left w:val="single" w:color="auto" w:sz="4" w:space="0"/>
              <w:bottom w:val="single" w:color="auto" w:sz="4" w:space="0"/>
              <w:right w:val="single" w:color="auto" w:sz="4" w:space="0"/>
            </w:tcBorders>
            <w:vAlign w:val="center"/>
          </w:tcPr>
          <w:p w14:paraId="1D619CAF">
            <w:pPr>
              <w:spacing w:line="500" w:lineRule="exact"/>
              <w:jc w:val="center"/>
              <w:rPr>
                <w:rFonts w:ascii="宋体" w:hAnsi="宋体"/>
                <w:color w:val="auto"/>
                <w:sz w:val="24"/>
              </w:rPr>
            </w:pPr>
            <w:r>
              <w:rPr>
                <w:rFonts w:hint="eastAsia" w:ascii="宋体" w:hAnsi="宋体"/>
                <w:color w:val="auto"/>
                <w:sz w:val="24"/>
              </w:rPr>
              <w:t>5</w:t>
            </w:r>
          </w:p>
        </w:tc>
        <w:tc>
          <w:tcPr>
            <w:tcW w:w="550" w:type="dxa"/>
            <w:tcBorders>
              <w:top w:val="single" w:color="auto" w:sz="4" w:space="0"/>
              <w:left w:val="single" w:color="auto" w:sz="4" w:space="0"/>
              <w:bottom w:val="single" w:color="auto" w:sz="4" w:space="0"/>
              <w:right w:val="single" w:color="auto" w:sz="4" w:space="0"/>
            </w:tcBorders>
            <w:vAlign w:val="center"/>
          </w:tcPr>
          <w:p w14:paraId="20C49A16">
            <w:pPr>
              <w:spacing w:line="500" w:lineRule="exact"/>
              <w:jc w:val="center"/>
              <w:rPr>
                <w:rFonts w:ascii="宋体" w:hAnsi="宋体"/>
                <w:color w:val="auto"/>
                <w:sz w:val="24"/>
              </w:rPr>
            </w:pPr>
            <w:r>
              <w:rPr>
                <w:rFonts w:hint="eastAsia" w:ascii="宋体" w:hAnsi="宋体"/>
                <w:color w:val="auto"/>
                <w:sz w:val="24"/>
              </w:rPr>
              <w:t>6</w:t>
            </w:r>
          </w:p>
        </w:tc>
      </w:tr>
      <w:tr w14:paraId="5F2C4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2" w:hRule="atLeast"/>
        </w:trPr>
        <w:tc>
          <w:tcPr>
            <w:tcW w:w="648" w:type="dxa"/>
            <w:vMerge w:val="restart"/>
            <w:tcBorders>
              <w:top w:val="single" w:color="auto" w:sz="4" w:space="0"/>
              <w:left w:val="single" w:color="auto" w:sz="4" w:space="0"/>
              <w:bottom w:val="single" w:color="auto" w:sz="4" w:space="0"/>
              <w:right w:val="single" w:color="auto" w:sz="4" w:space="0"/>
            </w:tcBorders>
            <w:vAlign w:val="center"/>
          </w:tcPr>
          <w:p w14:paraId="7ED02ED5">
            <w:pPr>
              <w:spacing w:line="500" w:lineRule="exact"/>
              <w:jc w:val="center"/>
              <w:rPr>
                <w:rFonts w:ascii="宋体" w:hAnsi="宋体"/>
                <w:color w:val="auto"/>
                <w:sz w:val="24"/>
              </w:rPr>
            </w:pPr>
            <w:r>
              <w:rPr>
                <w:rFonts w:hint="eastAsia" w:ascii="宋体" w:hAnsi="宋体"/>
                <w:color w:val="auto"/>
                <w:sz w:val="24"/>
              </w:rPr>
              <w:t>1</w:t>
            </w:r>
          </w:p>
        </w:tc>
        <w:tc>
          <w:tcPr>
            <w:tcW w:w="1620" w:type="dxa"/>
            <w:vMerge w:val="restart"/>
            <w:tcBorders>
              <w:top w:val="single" w:color="auto" w:sz="4" w:space="0"/>
              <w:left w:val="single" w:color="auto" w:sz="4" w:space="0"/>
              <w:bottom w:val="single" w:color="auto" w:sz="4" w:space="0"/>
              <w:right w:val="single" w:color="auto" w:sz="4" w:space="0"/>
            </w:tcBorders>
            <w:vAlign w:val="center"/>
          </w:tcPr>
          <w:p w14:paraId="14FAD420">
            <w:pPr>
              <w:spacing w:line="500" w:lineRule="exact"/>
              <w:jc w:val="center"/>
              <w:rPr>
                <w:rFonts w:ascii="宋体" w:hAnsi="宋体"/>
                <w:color w:val="auto"/>
                <w:sz w:val="24"/>
              </w:rPr>
            </w:pPr>
            <w:r>
              <w:rPr>
                <w:rFonts w:hint="eastAsia" w:ascii="宋体" w:hAnsi="宋体"/>
                <w:color w:val="auto"/>
                <w:sz w:val="24"/>
              </w:rPr>
              <w:t>完整性</w:t>
            </w:r>
          </w:p>
        </w:tc>
        <w:tc>
          <w:tcPr>
            <w:tcW w:w="3780" w:type="dxa"/>
            <w:tcBorders>
              <w:top w:val="single" w:color="auto" w:sz="4" w:space="0"/>
              <w:left w:val="single" w:color="auto" w:sz="4" w:space="0"/>
              <w:bottom w:val="single" w:color="auto" w:sz="4" w:space="0"/>
              <w:right w:val="single" w:color="auto" w:sz="4" w:space="0"/>
            </w:tcBorders>
            <w:vAlign w:val="center"/>
          </w:tcPr>
          <w:p w14:paraId="0F89793E">
            <w:pPr>
              <w:spacing w:line="500" w:lineRule="exact"/>
              <w:jc w:val="center"/>
              <w:rPr>
                <w:rFonts w:ascii="宋体" w:hAnsi="宋体"/>
                <w:color w:val="auto"/>
                <w:sz w:val="24"/>
              </w:rPr>
            </w:pPr>
            <w:r>
              <w:rPr>
                <w:rFonts w:hint="eastAsia" w:ascii="宋体" w:hAnsi="宋体"/>
                <w:color w:val="auto"/>
                <w:sz w:val="24"/>
              </w:rPr>
              <w:t>响应文件的组成</w:t>
            </w:r>
          </w:p>
        </w:tc>
        <w:tc>
          <w:tcPr>
            <w:tcW w:w="549" w:type="dxa"/>
            <w:tcBorders>
              <w:top w:val="single" w:color="auto" w:sz="4" w:space="0"/>
              <w:left w:val="single" w:color="auto" w:sz="4" w:space="0"/>
              <w:bottom w:val="single" w:color="auto" w:sz="4" w:space="0"/>
              <w:right w:val="single" w:color="auto" w:sz="4" w:space="0"/>
            </w:tcBorders>
            <w:vAlign w:val="center"/>
          </w:tcPr>
          <w:p w14:paraId="2357FBCD">
            <w:pPr>
              <w:spacing w:line="500" w:lineRule="exact"/>
              <w:jc w:val="center"/>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3D8DB325">
            <w:pPr>
              <w:spacing w:line="500" w:lineRule="exact"/>
              <w:jc w:val="center"/>
              <w:rPr>
                <w:rFonts w:ascii="宋体" w:hAnsi="宋体"/>
                <w:color w:val="auto"/>
                <w:sz w:val="24"/>
              </w:rPr>
            </w:pPr>
          </w:p>
        </w:tc>
        <w:tc>
          <w:tcPr>
            <w:tcW w:w="550" w:type="dxa"/>
            <w:tcBorders>
              <w:top w:val="single" w:color="auto" w:sz="4" w:space="0"/>
              <w:left w:val="single" w:color="auto" w:sz="4" w:space="0"/>
              <w:bottom w:val="single" w:color="auto" w:sz="4" w:space="0"/>
              <w:right w:val="single" w:color="auto" w:sz="4" w:space="0"/>
            </w:tcBorders>
            <w:vAlign w:val="center"/>
          </w:tcPr>
          <w:p w14:paraId="0398B9DE">
            <w:pPr>
              <w:spacing w:line="500" w:lineRule="exact"/>
              <w:jc w:val="center"/>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62B0B362">
            <w:pPr>
              <w:spacing w:line="500" w:lineRule="exact"/>
              <w:jc w:val="center"/>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4877F649">
            <w:pPr>
              <w:spacing w:line="500" w:lineRule="exact"/>
              <w:jc w:val="center"/>
              <w:rPr>
                <w:rFonts w:ascii="宋体" w:hAnsi="宋体"/>
                <w:color w:val="auto"/>
                <w:sz w:val="24"/>
              </w:rPr>
            </w:pPr>
          </w:p>
        </w:tc>
        <w:tc>
          <w:tcPr>
            <w:tcW w:w="550" w:type="dxa"/>
            <w:tcBorders>
              <w:top w:val="single" w:color="auto" w:sz="4" w:space="0"/>
              <w:left w:val="single" w:color="auto" w:sz="4" w:space="0"/>
              <w:bottom w:val="single" w:color="auto" w:sz="4" w:space="0"/>
              <w:right w:val="single" w:color="auto" w:sz="4" w:space="0"/>
            </w:tcBorders>
            <w:vAlign w:val="center"/>
          </w:tcPr>
          <w:p w14:paraId="42FC69CC">
            <w:pPr>
              <w:spacing w:line="500" w:lineRule="exact"/>
              <w:jc w:val="center"/>
              <w:rPr>
                <w:rFonts w:ascii="宋体" w:hAnsi="宋体"/>
                <w:color w:val="auto"/>
                <w:sz w:val="24"/>
              </w:rPr>
            </w:pPr>
          </w:p>
        </w:tc>
      </w:tr>
      <w:tr w14:paraId="66382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648" w:type="dxa"/>
            <w:vMerge w:val="continue"/>
            <w:tcBorders>
              <w:top w:val="single" w:color="auto" w:sz="4" w:space="0"/>
              <w:left w:val="single" w:color="auto" w:sz="4" w:space="0"/>
              <w:bottom w:val="single" w:color="auto" w:sz="4" w:space="0"/>
              <w:right w:val="single" w:color="auto" w:sz="4" w:space="0"/>
            </w:tcBorders>
            <w:vAlign w:val="center"/>
          </w:tcPr>
          <w:p w14:paraId="354F05FC">
            <w:pPr>
              <w:widowControl/>
              <w:jc w:val="left"/>
              <w:rPr>
                <w:rFonts w:ascii="宋体" w:hAnsi="宋体"/>
                <w:color w:val="auto"/>
                <w:sz w:val="24"/>
              </w:rPr>
            </w:pPr>
          </w:p>
        </w:tc>
        <w:tc>
          <w:tcPr>
            <w:tcW w:w="1620" w:type="dxa"/>
            <w:vMerge w:val="continue"/>
            <w:tcBorders>
              <w:top w:val="single" w:color="auto" w:sz="4" w:space="0"/>
              <w:left w:val="single" w:color="auto" w:sz="4" w:space="0"/>
              <w:bottom w:val="single" w:color="auto" w:sz="4" w:space="0"/>
              <w:right w:val="single" w:color="auto" w:sz="4" w:space="0"/>
            </w:tcBorders>
            <w:vAlign w:val="center"/>
          </w:tcPr>
          <w:p w14:paraId="5809BFB6">
            <w:pPr>
              <w:widowControl/>
              <w:jc w:val="left"/>
              <w:rPr>
                <w:rFonts w:ascii="宋体" w:hAnsi="宋体"/>
                <w:color w:val="auto"/>
                <w:sz w:val="24"/>
              </w:rPr>
            </w:pPr>
          </w:p>
        </w:tc>
        <w:tc>
          <w:tcPr>
            <w:tcW w:w="3780" w:type="dxa"/>
            <w:tcBorders>
              <w:top w:val="single" w:color="auto" w:sz="4" w:space="0"/>
              <w:left w:val="single" w:color="auto" w:sz="4" w:space="0"/>
              <w:bottom w:val="single" w:color="auto" w:sz="4" w:space="0"/>
              <w:right w:val="single" w:color="auto" w:sz="4" w:space="0"/>
            </w:tcBorders>
            <w:vAlign w:val="center"/>
          </w:tcPr>
          <w:p w14:paraId="671A731A">
            <w:pPr>
              <w:spacing w:line="500" w:lineRule="exact"/>
              <w:jc w:val="center"/>
              <w:rPr>
                <w:rFonts w:ascii="宋体" w:hAnsi="宋体"/>
                <w:color w:val="auto"/>
                <w:sz w:val="24"/>
              </w:rPr>
            </w:pPr>
            <w:r>
              <w:rPr>
                <w:rFonts w:hint="eastAsia" w:ascii="宋体" w:hAnsi="宋体"/>
                <w:color w:val="auto"/>
                <w:sz w:val="24"/>
              </w:rPr>
              <w:t>响应文件的格式</w:t>
            </w:r>
          </w:p>
        </w:tc>
        <w:tc>
          <w:tcPr>
            <w:tcW w:w="549" w:type="dxa"/>
            <w:tcBorders>
              <w:top w:val="single" w:color="auto" w:sz="4" w:space="0"/>
              <w:left w:val="single" w:color="auto" w:sz="4" w:space="0"/>
              <w:bottom w:val="single" w:color="auto" w:sz="4" w:space="0"/>
              <w:right w:val="single" w:color="auto" w:sz="4" w:space="0"/>
            </w:tcBorders>
            <w:vAlign w:val="center"/>
          </w:tcPr>
          <w:p w14:paraId="09833775">
            <w:pPr>
              <w:spacing w:line="500" w:lineRule="exact"/>
              <w:jc w:val="center"/>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54EC9921">
            <w:pPr>
              <w:spacing w:line="500" w:lineRule="exact"/>
              <w:jc w:val="center"/>
              <w:rPr>
                <w:rFonts w:ascii="宋体" w:hAnsi="宋体"/>
                <w:color w:val="auto"/>
                <w:sz w:val="24"/>
              </w:rPr>
            </w:pPr>
          </w:p>
        </w:tc>
        <w:tc>
          <w:tcPr>
            <w:tcW w:w="550" w:type="dxa"/>
            <w:tcBorders>
              <w:top w:val="single" w:color="auto" w:sz="4" w:space="0"/>
              <w:left w:val="single" w:color="auto" w:sz="4" w:space="0"/>
              <w:bottom w:val="single" w:color="auto" w:sz="4" w:space="0"/>
              <w:right w:val="single" w:color="auto" w:sz="4" w:space="0"/>
            </w:tcBorders>
            <w:vAlign w:val="center"/>
          </w:tcPr>
          <w:p w14:paraId="054334B4">
            <w:pPr>
              <w:spacing w:line="500" w:lineRule="exact"/>
              <w:jc w:val="center"/>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1FE181EC">
            <w:pPr>
              <w:spacing w:line="500" w:lineRule="exact"/>
              <w:jc w:val="center"/>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7846A3ED">
            <w:pPr>
              <w:spacing w:line="500" w:lineRule="exact"/>
              <w:jc w:val="center"/>
              <w:rPr>
                <w:rFonts w:ascii="宋体" w:hAnsi="宋体"/>
                <w:color w:val="auto"/>
                <w:sz w:val="24"/>
              </w:rPr>
            </w:pPr>
          </w:p>
        </w:tc>
        <w:tc>
          <w:tcPr>
            <w:tcW w:w="550" w:type="dxa"/>
            <w:tcBorders>
              <w:top w:val="single" w:color="auto" w:sz="4" w:space="0"/>
              <w:left w:val="single" w:color="auto" w:sz="4" w:space="0"/>
              <w:bottom w:val="single" w:color="auto" w:sz="4" w:space="0"/>
              <w:right w:val="single" w:color="auto" w:sz="4" w:space="0"/>
            </w:tcBorders>
            <w:vAlign w:val="center"/>
          </w:tcPr>
          <w:p w14:paraId="2CA5E13D">
            <w:pPr>
              <w:spacing w:line="500" w:lineRule="exact"/>
              <w:jc w:val="center"/>
              <w:rPr>
                <w:rFonts w:ascii="宋体" w:hAnsi="宋体"/>
                <w:color w:val="auto"/>
                <w:sz w:val="24"/>
              </w:rPr>
            </w:pPr>
          </w:p>
        </w:tc>
      </w:tr>
      <w:tr w14:paraId="630DF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48" w:type="dxa"/>
            <w:vMerge w:val="restart"/>
            <w:tcBorders>
              <w:top w:val="single" w:color="auto" w:sz="4" w:space="0"/>
              <w:left w:val="single" w:color="auto" w:sz="4" w:space="0"/>
              <w:bottom w:val="single" w:color="auto" w:sz="4" w:space="0"/>
              <w:right w:val="single" w:color="auto" w:sz="4" w:space="0"/>
            </w:tcBorders>
            <w:vAlign w:val="center"/>
          </w:tcPr>
          <w:p w14:paraId="236773F4">
            <w:pPr>
              <w:spacing w:line="500" w:lineRule="exact"/>
              <w:jc w:val="center"/>
              <w:rPr>
                <w:rFonts w:ascii="宋体" w:hAnsi="宋体"/>
                <w:color w:val="auto"/>
                <w:sz w:val="24"/>
              </w:rPr>
            </w:pPr>
            <w:r>
              <w:rPr>
                <w:rFonts w:hint="eastAsia" w:ascii="宋体" w:hAnsi="宋体"/>
                <w:color w:val="auto"/>
                <w:sz w:val="24"/>
              </w:rPr>
              <w:t>2</w:t>
            </w:r>
          </w:p>
        </w:tc>
        <w:tc>
          <w:tcPr>
            <w:tcW w:w="1620" w:type="dxa"/>
            <w:vMerge w:val="restart"/>
            <w:tcBorders>
              <w:top w:val="single" w:color="auto" w:sz="4" w:space="0"/>
              <w:left w:val="single" w:color="auto" w:sz="4" w:space="0"/>
              <w:bottom w:val="single" w:color="auto" w:sz="4" w:space="0"/>
              <w:right w:val="single" w:color="auto" w:sz="4" w:space="0"/>
            </w:tcBorders>
            <w:vAlign w:val="center"/>
          </w:tcPr>
          <w:p w14:paraId="2A776462">
            <w:pPr>
              <w:spacing w:line="500" w:lineRule="exact"/>
              <w:jc w:val="center"/>
              <w:rPr>
                <w:rFonts w:ascii="宋体" w:hAnsi="宋体"/>
                <w:color w:val="auto"/>
                <w:sz w:val="24"/>
              </w:rPr>
            </w:pPr>
            <w:r>
              <w:rPr>
                <w:rFonts w:hint="eastAsia" w:ascii="宋体" w:hAnsi="宋体"/>
                <w:color w:val="auto"/>
                <w:sz w:val="24"/>
              </w:rPr>
              <w:t>实质性响应</w:t>
            </w:r>
          </w:p>
        </w:tc>
        <w:tc>
          <w:tcPr>
            <w:tcW w:w="3780" w:type="dxa"/>
            <w:tcBorders>
              <w:top w:val="single" w:color="auto" w:sz="4" w:space="0"/>
              <w:left w:val="single" w:color="auto" w:sz="4" w:space="0"/>
              <w:bottom w:val="single" w:color="auto" w:sz="4" w:space="0"/>
              <w:right w:val="single" w:color="auto" w:sz="4" w:space="0"/>
            </w:tcBorders>
            <w:vAlign w:val="center"/>
          </w:tcPr>
          <w:p w14:paraId="47F6B32C">
            <w:pPr>
              <w:spacing w:line="500" w:lineRule="exact"/>
              <w:jc w:val="center"/>
              <w:rPr>
                <w:rFonts w:ascii="宋体" w:hAnsi="宋体"/>
                <w:color w:val="auto"/>
                <w:sz w:val="24"/>
              </w:rPr>
            </w:pPr>
            <w:r>
              <w:rPr>
                <w:rFonts w:hint="eastAsia" w:ascii="宋体" w:hAnsi="宋体"/>
                <w:color w:val="auto"/>
                <w:sz w:val="24"/>
              </w:rPr>
              <w:t>投标有效期</w:t>
            </w:r>
          </w:p>
        </w:tc>
        <w:tc>
          <w:tcPr>
            <w:tcW w:w="549" w:type="dxa"/>
            <w:tcBorders>
              <w:top w:val="single" w:color="auto" w:sz="4" w:space="0"/>
              <w:left w:val="single" w:color="auto" w:sz="4" w:space="0"/>
              <w:bottom w:val="single" w:color="auto" w:sz="4" w:space="0"/>
              <w:right w:val="single" w:color="auto" w:sz="4" w:space="0"/>
            </w:tcBorders>
            <w:vAlign w:val="center"/>
          </w:tcPr>
          <w:p w14:paraId="310AAC3F">
            <w:pPr>
              <w:spacing w:line="500" w:lineRule="exact"/>
              <w:jc w:val="center"/>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0D72E5FC">
            <w:pPr>
              <w:spacing w:line="500" w:lineRule="exact"/>
              <w:jc w:val="center"/>
              <w:rPr>
                <w:rFonts w:ascii="宋体" w:hAnsi="宋体"/>
                <w:color w:val="auto"/>
                <w:sz w:val="24"/>
              </w:rPr>
            </w:pPr>
          </w:p>
        </w:tc>
        <w:tc>
          <w:tcPr>
            <w:tcW w:w="550" w:type="dxa"/>
            <w:tcBorders>
              <w:top w:val="single" w:color="auto" w:sz="4" w:space="0"/>
              <w:left w:val="single" w:color="auto" w:sz="4" w:space="0"/>
              <w:bottom w:val="single" w:color="auto" w:sz="4" w:space="0"/>
              <w:right w:val="single" w:color="auto" w:sz="4" w:space="0"/>
            </w:tcBorders>
            <w:vAlign w:val="center"/>
          </w:tcPr>
          <w:p w14:paraId="202FC741">
            <w:pPr>
              <w:spacing w:line="500" w:lineRule="exact"/>
              <w:jc w:val="center"/>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349A7E2E">
            <w:pPr>
              <w:spacing w:line="500" w:lineRule="exact"/>
              <w:jc w:val="center"/>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3E19B12E">
            <w:pPr>
              <w:spacing w:line="500" w:lineRule="exact"/>
              <w:jc w:val="center"/>
              <w:rPr>
                <w:rFonts w:ascii="宋体" w:hAnsi="宋体"/>
                <w:color w:val="auto"/>
                <w:sz w:val="24"/>
              </w:rPr>
            </w:pPr>
          </w:p>
        </w:tc>
        <w:tc>
          <w:tcPr>
            <w:tcW w:w="550" w:type="dxa"/>
            <w:tcBorders>
              <w:top w:val="single" w:color="auto" w:sz="4" w:space="0"/>
              <w:left w:val="single" w:color="auto" w:sz="4" w:space="0"/>
              <w:bottom w:val="single" w:color="auto" w:sz="4" w:space="0"/>
              <w:right w:val="single" w:color="auto" w:sz="4" w:space="0"/>
            </w:tcBorders>
            <w:vAlign w:val="center"/>
          </w:tcPr>
          <w:p w14:paraId="55D6A920">
            <w:pPr>
              <w:spacing w:line="500" w:lineRule="exact"/>
              <w:jc w:val="center"/>
              <w:rPr>
                <w:rFonts w:ascii="宋体" w:hAnsi="宋体"/>
                <w:color w:val="auto"/>
                <w:sz w:val="24"/>
              </w:rPr>
            </w:pPr>
          </w:p>
        </w:tc>
      </w:tr>
      <w:tr w14:paraId="5811C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48" w:type="dxa"/>
            <w:vMerge w:val="continue"/>
            <w:tcBorders>
              <w:top w:val="single" w:color="auto" w:sz="4" w:space="0"/>
              <w:left w:val="single" w:color="auto" w:sz="4" w:space="0"/>
              <w:bottom w:val="single" w:color="auto" w:sz="4" w:space="0"/>
              <w:right w:val="single" w:color="auto" w:sz="4" w:space="0"/>
            </w:tcBorders>
            <w:vAlign w:val="center"/>
          </w:tcPr>
          <w:p w14:paraId="344DE048">
            <w:pPr>
              <w:widowControl/>
              <w:jc w:val="left"/>
              <w:rPr>
                <w:rFonts w:ascii="宋体" w:hAnsi="宋体"/>
                <w:color w:val="auto"/>
                <w:sz w:val="24"/>
              </w:rPr>
            </w:pPr>
          </w:p>
        </w:tc>
        <w:tc>
          <w:tcPr>
            <w:tcW w:w="1620" w:type="dxa"/>
            <w:vMerge w:val="continue"/>
            <w:tcBorders>
              <w:top w:val="single" w:color="auto" w:sz="4" w:space="0"/>
              <w:left w:val="single" w:color="auto" w:sz="4" w:space="0"/>
              <w:bottom w:val="single" w:color="auto" w:sz="4" w:space="0"/>
              <w:right w:val="single" w:color="auto" w:sz="4" w:space="0"/>
            </w:tcBorders>
            <w:vAlign w:val="center"/>
          </w:tcPr>
          <w:p w14:paraId="7C7B9DDB">
            <w:pPr>
              <w:widowControl/>
              <w:jc w:val="left"/>
              <w:rPr>
                <w:rFonts w:ascii="宋体" w:hAnsi="宋体"/>
                <w:color w:val="auto"/>
                <w:sz w:val="24"/>
              </w:rPr>
            </w:pPr>
          </w:p>
        </w:tc>
        <w:tc>
          <w:tcPr>
            <w:tcW w:w="3780" w:type="dxa"/>
            <w:tcBorders>
              <w:top w:val="single" w:color="auto" w:sz="4" w:space="0"/>
              <w:left w:val="single" w:color="auto" w:sz="4" w:space="0"/>
              <w:bottom w:val="single" w:color="auto" w:sz="4" w:space="0"/>
              <w:right w:val="single" w:color="auto" w:sz="4" w:space="0"/>
            </w:tcBorders>
            <w:vAlign w:val="center"/>
          </w:tcPr>
          <w:p w14:paraId="267140A8">
            <w:pPr>
              <w:spacing w:line="500" w:lineRule="exact"/>
              <w:jc w:val="center"/>
              <w:rPr>
                <w:rFonts w:ascii="宋体" w:hAnsi="宋体" w:cs="Tahoma"/>
                <w:color w:val="auto"/>
                <w:sz w:val="24"/>
              </w:rPr>
            </w:pPr>
            <w:r>
              <w:rPr>
                <w:rFonts w:hint="eastAsia" w:ascii="宋体" w:hAnsi="宋体"/>
                <w:color w:val="auto"/>
                <w:sz w:val="24"/>
              </w:rPr>
              <w:t>是否全部满足磋商文件中“</w:t>
            </w:r>
            <w:r>
              <w:rPr>
                <w:rFonts w:hint="eastAsia" w:ascii="宋体" w:hAnsi="宋体" w:cs="Tahoma"/>
                <w:color w:val="auto"/>
                <w:sz w:val="24"/>
              </w:rPr>
              <w:t>★”号条款参数的要求</w:t>
            </w:r>
          </w:p>
        </w:tc>
        <w:tc>
          <w:tcPr>
            <w:tcW w:w="549" w:type="dxa"/>
            <w:tcBorders>
              <w:top w:val="single" w:color="auto" w:sz="4" w:space="0"/>
              <w:left w:val="single" w:color="auto" w:sz="4" w:space="0"/>
              <w:bottom w:val="single" w:color="auto" w:sz="4" w:space="0"/>
              <w:right w:val="single" w:color="auto" w:sz="4" w:space="0"/>
            </w:tcBorders>
            <w:vAlign w:val="center"/>
          </w:tcPr>
          <w:p w14:paraId="1ED88AB9">
            <w:pPr>
              <w:spacing w:line="500" w:lineRule="exact"/>
              <w:jc w:val="center"/>
              <w:rPr>
                <w:rFonts w:ascii="宋体" w:hAnsi="宋体"/>
                <w:color w:val="auto"/>
                <w:sz w:val="24"/>
                <w:highlight w:val="yellow"/>
              </w:rPr>
            </w:pPr>
          </w:p>
        </w:tc>
        <w:tc>
          <w:tcPr>
            <w:tcW w:w="549" w:type="dxa"/>
            <w:tcBorders>
              <w:top w:val="single" w:color="auto" w:sz="4" w:space="0"/>
              <w:left w:val="single" w:color="auto" w:sz="4" w:space="0"/>
              <w:bottom w:val="single" w:color="auto" w:sz="4" w:space="0"/>
              <w:right w:val="single" w:color="auto" w:sz="4" w:space="0"/>
            </w:tcBorders>
            <w:vAlign w:val="center"/>
          </w:tcPr>
          <w:p w14:paraId="51BB5F9A">
            <w:pPr>
              <w:spacing w:line="500" w:lineRule="exact"/>
              <w:jc w:val="center"/>
              <w:rPr>
                <w:rFonts w:ascii="宋体" w:hAnsi="宋体"/>
                <w:color w:val="auto"/>
                <w:sz w:val="24"/>
                <w:highlight w:val="yellow"/>
              </w:rPr>
            </w:pPr>
          </w:p>
        </w:tc>
        <w:tc>
          <w:tcPr>
            <w:tcW w:w="550" w:type="dxa"/>
            <w:tcBorders>
              <w:top w:val="single" w:color="auto" w:sz="4" w:space="0"/>
              <w:left w:val="single" w:color="auto" w:sz="4" w:space="0"/>
              <w:bottom w:val="single" w:color="auto" w:sz="4" w:space="0"/>
              <w:right w:val="single" w:color="auto" w:sz="4" w:space="0"/>
            </w:tcBorders>
            <w:vAlign w:val="center"/>
          </w:tcPr>
          <w:p w14:paraId="2CE2D033">
            <w:pPr>
              <w:spacing w:line="500" w:lineRule="exact"/>
              <w:jc w:val="center"/>
              <w:rPr>
                <w:rFonts w:ascii="宋体" w:hAnsi="宋体"/>
                <w:color w:val="auto"/>
                <w:sz w:val="24"/>
                <w:highlight w:val="yellow"/>
              </w:rPr>
            </w:pPr>
          </w:p>
        </w:tc>
        <w:tc>
          <w:tcPr>
            <w:tcW w:w="549" w:type="dxa"/>
            <w:tcBorders>
              <w:top w:val="single" w:color="auto" w:sz="4" w:space="0"/>
              <w:left w:val="single" w:color="auto" w:sz="4" w:space="0"/>
              <w:bottom w:val="single" w:color="auto" w:sz="4" w:space="0"/>
              <w:right w:val="single" w:color="auto" w:sz="4" w:space="0"/>
            </w:tcBorders>
            <w:vAlign w:val="center"/>
          </w:tcPr>
          <w:p w14:paraId="5859D969">
            <w:pPr>
              <w:spacing w:line="500" w:lineRule="exact"/>
              <w:jc w:val="center"/>
              <w:rPr>
                <w:rFonts w:ascii="宋体" w:hAnsi="宋体"/>
                <w:color w:val="auto"/>
                <w:sz w:val="24"/>
                <w:highlight w:val="yellow"/>
              </w:rPr>
            </w:pPr>
          </w:p>
        </w:tc>
        <w:tc>
          <w:tcPr>
            <w:tcW w:w="549" w:type="dxa"/>
            <w:tcBorders>
              <w:top w:val="single" w:color="auto" w:sz="4" w:space="0"/>
              <w:left w:val="single" w:color="auto" w:sz="4" w:space="0"/>
              <w:bottom w:val="single" w:color="auto" w:sz="4" w:space="0"/>
              <w:right w:val="single" w:color="auto" w:sz="4" w:space="0"/>
            </w:tcBorders>
            <w:vAlign w:val="center"/>
          </w:tcPr>
          <w:p w14:paraId="79EE61B4">
            <w:pPr>
              <w:spacing w:line="500" w:lineRule="exact"/>
              <w:jc w:val="center"/>
              <w:rPr>
                <w:rFonts w:ascii="宋体" w:hAnsi="宋体"/>
                <w:color w:val="auto"/>
                <w:sz w:val="24"/>
                <w:highlight w:val="yellow"/>
              </w:rPr>
            </w:pPr>
          </w:p>
        </w:tc>
        <w:tc>
          <w:tcPr>
            <w:tcW w:w="550" w:type="dxa"/>
            <w:tcBorders>
              <w:top w:val="single" w:color="auto" w:sz="4" w:space="0"/>
              <w:left w:val="single" w:color="auto" w:sz="4" w:space="0"/>
              <w:bottom w:val="single" w:color="auto" w:sz="4" w:space="0"/>
              <w:right w:val="single" w:color="auto" w:sz="4" w:space="0"/>
            </w:tcBorders>
            <w:vAlign w:val="center"/>
          </w:tcPr>
          <w:p w14:paraId="66096500">
            <w:pPr>
              <w:spacing w:line="500" w:lineRule="exact"/>
              <w:jc w:val="center"/>
              <w:rPr>
                <w:rFonts w:ascii="宋体" w:hAnsi="宋体"/>
                <w:color w:val="auto"/>
                <w:sz w:val="24"/>
                <w:highlight w:val="yellow"/>
              </w:rPr>
            </w:pPr>
          </w:p>
        </w:tc>
      </w:tr>
      <w:tr w14:paraId="75D01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48" w:type="dxa"/>
            <w:vMerge w:val="continue"/>
            <w:tcBorders>
              <w:top w:val="single" w:color="auto" w:sz="4" w:space="0"/>
              <w:left w:val="single" w:color="auto" w:sz="4" w:space="0"/>
              <w:bottom w:val="single" w:color="auto" w:sz="4" w:space="0"/>
              <w:right w:val="single" w:color="auto" w:sz="4" w:space="0"/>
            </w:tcBorders>
            <w:vAlign w:val="center"/>
          </w:tcPr>
          <w:p w14:paraId="724B4E53">
            <w:pPr>
              <w:widowControl/>
              <w:jc w:val="left"/>
              <w:rPr>
                <w:rFonts w:ascii="宋体" w:hAnsi="宋体"/>
                <w:color w:val="auto"/>
                <w:sz w:val="24"/>
              </w:rPr>
            </w:pPr>
          </w:p>
        </w:tc>
        <w:tc>
          <w:tcPr>
            <w:tcW w:w="1620" w:type="dxa"/>
            <w:vMerge w:val="continue"/>
            <w:tcBorders>
              <w:top w:val="single" w:color="auto" w:sz="4" w:space="0"/>
              <w:left w:val="single" w:color="auto" w:sz="4" w:space="0"/>
              <w:bottom w:val="single" w:color="auto" w:sz="4" w:space="0"/>
              <w:right w:val="single" w:color="auto" w:sz="4" w:space="0"/>
            </w:tcBorders>
            <w:vAlign w:val="center"/>
          </w:tcPr>
          <w:p w14:paraId="6B2753AD">
            <w:pPr>
              <w:widowControl/>
              <w:jc w:val="left"/>
              <w:rPr>
                <w:rFonts w:ascii="宋体" w:hAnsi="宋体"/>
                <w:color w:val="auto"/>
                <w:sz w:val="24"/>
              </w:rPr>
            </w:pPr>
          </w:p>
        </w:tc>
        <w:tc>
          <w:tcPr>
            <w:tcW w:w="3780" w:type="dxa"/>
            <w:tcBorders>
              <w:top w:val="single" w:color="auto" w:sz="4" w:space="0"/>
              <w:left w:val="single" w:color="auto" w:sz="4" w:space="0"/>
              <w:bottom w:val="single" w:color="auto" w:sz="4" w:space="0"/>
              <w:right w:val="single" w:color="auto" w:sz="4" w:space="0"/>
            </w:tcBorders>
            <w:vAlign w:val="center"/>
          </w:tcPr>
          <w:p w14:paraId="33218D8C">
            <w:pPr>
              <w:spacing w:line="500" w:lineRule="exact"/>
              <w:jc w:val="center"/>
              <w:rPr>
                <w:rFonts w:ascii="宋体" w:hAnsi="宋体"/>
                <w:color w:val="auto"/>
                <w:sz w:val="24"/>
              </w:rPr>
            </w:pPr>
            <w:r>
              <w:rPr>
                <w:rFonts w:hint="eastAsia" w:ascii="宋体" w:hAnsi="宋体"/>
                <w:color w:val="auto"/>
                <w:sz w:val="24"/>
              </w:rPr>
              <w:t>是否符合磋商文件要求且没有重大偏差或保留</w:t>
            </w:r>
          </w:p>
        </w:tc>
        <w:tc>
          <w:tcPr>
            <w:tcW w:w="549" w:type="dxa"/>
            <w:tcBorders>
              <w:top w:val="single" w:color="auto" w:sz="4" w:space="0"/>
              <w:left w:val="single" w:color="auto" w:sz="4" w:space="0"/>
              <w:bottom w:val="single" w:color="auto" w:sz="4" w:space="0"/>
              <w:right w:val="single" w:color="auto" w:sz="4" w:space="0"/>
            </w:tcBorders>
            <w:vAlign w:val="center"/>
          </w:tcPr>
          <w:p w14:paraId="1C8C194F">
            <w:pPr>
              <w:spacing w:line="500" w:lineRule="exact"/>
              <w:jc w:val="center"/>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51465832">
            <w:pPr>
              <w:spacing w:line="500" w:lineRule="exact"/>
              <w:jc w:val="center"/>
              <w:rPr>
                <w:rFonts w:ascii="宋体" w:hAnsi="宋体"/>
                <w:color w:val="auto"/>
                <w:sz w:val="24"/>
              </w:rPr>
            </w:pPr>
          </w:p>
        </w:tc>
        <w:tc>
          <w:tcPr>
            <w:tcW w:w="550" w:type="dxa"/>
            <w:tcBorders>
              <w:top w:val="single" w:color="auto" w:sz="4" w:space="0"/>
              <w:left w:val="single" w:color="auto" w:sz="4" w:space="0"/>
              <w:bottom w:val="single" w:color="auto" w:sz="4" w:space="0"/>
              <w:right w:val="single" w:color="auto" w:sz="4" w:space="0"/>
            </w:tcBorders>
            <w:vAlign w:val="center"/>
          </w:tcPr>
          <w:p w14:paraId="1DA88645">
            <w:pPr>
              <w:spacing w:line="500" w:lineRule="exact"/>
              <w:jc w:val="center"/>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07485115">
            <w:pPr>
              <w:spacing w:line="500" w:lineRule="exact"/>
              <w:jc w:val="center"/>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13904748">
            <w:pPr>
              <w:spacing w:line="500" w:lineRule="exact"/>
              <w:jc w:val="center"/>
              <w:rPr>
                <w:rFonts w:ascii="宋体" w:hAnsi="宋体"/>
                <w:color w:val="auto"/>
                <w:sz w:val="24"/>
              </w:rPr>
            </w:pPr>
          </w:p>
        </w:tc>
        <w:tc>
          <w:tcPr>
            <w:tcW w:w="550" w:type="dxa"/>
            <w:tcBorders>
              <w:top w:val="single" w:color="auto" w:sz="4" w:space="0"/>
              <w:left w:val="single" w:color="auto" w:sz="4" w:space="0"/>
              <w:bottom w:val="single" w:color="auto" w:sz="4" w:space="0"/>
              <w:right w:val="single" w:color="auto" w:sz="4" w:space="0"/>
            </w:tcBorders>
            <w:vAlign w:val="center"/>
          </w:tcPr>
          <w:p w14:paraId="5E38A573">
            <w:pPr>
              <w:spacing w:line="500" w:lineRule="exact"/>
              <w:jc w:val="center"/>
              <w:rPr>
                <w:rFonts w:ascii="宋体" w:hAnsi="宋体"/>
                <w:color w:val="auto"/>
                <w:sz w:val="24"/>
              </w:rPr>
            </w:pPr>
          </w:p>
        </w:tc>
      </w:tr>
      <w:tr w14:paraId="44B55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48" w:type="dxa"/>
            <w:vMerge w:val="continue"/>
            <w:tcBorders>
              <w:top w:val="single" w:color="auto" w:sz="4" w:space="0"/>
              <w:left w:val="single" w:color="auto" w:sz="4" w:space="0"/>
              <w:bottom w:val="single" w:color="auto" w:sz="4" w:space="0"/>
              <w:right w:val="single" w:color="auto" w:sz="4" w:space="0"/>
            </w:tcBorders>
            <w:vAlign w:val="center"/>
          </w:tcPr>
          <w:p w14:paraId="0B8FB243">
            <w:pPr>
              <w:widowControl/>
              <w:jc w:val="left"/>
              <w:rPr>
                <w:rFonts w:ascii="宋体" w:hAnsi="宋体"/>
                <w:color w:val="auto"/>
                <w:sz w:val="24"/>
              </w:rPr>
            </w:pPr>
          </w:p>
        </w:tc>
        <w:tc>
          <w:tcPr>
            <w:tcW w:w="1620" w:type="dxa"/>
            <w:vMerge w:val="continue"/>
            <w:tcBorders>
              <w:top w:val="single" w:color="auto" w:sz="4" w:space="0"/>
              <w:left w:val="single" w:color="auto" w:sz="4" w:space="0"/>
              <w:bottom w:val="single" w:color="auto" w:sz="4" w:space="0"/>
              <w:right w:val="single" w:color="auto" w:sz="4" w:space="0"/>
            </w:tcBorders>
            <w:vAlign w:val="center"/>
          </w:tcPr>
          <w:p w14:paraId="27C0C531">
            <w:pPr>
              <w:widowControl/>
              <w:jc w:val="left"/>
              <w:rPr>
                <w:rFonts w:ascii="宋体" w:hAnsi="宋体"/>
                <w:color w:val="auto"/>
                <w:sz w:val="24"/>
              </w:rPr>
            </w:pPr>
          </w:p>
        </w:tc>
        <w:tc>
          <w:tcPr>
            <w:tcW w:w="3780" w:type="dxa"/>
            <w:tcBorders>
              <w:top w:val="single" w:color="auto" w:sz="4" w:space="0"/>
              <w:left w:val="single" w:color="auto" w:sz="4" w:space="0"/>
              <w:bottom w:val="single" w:color="auto" w:sz="4" w:space="0"/>
              <w:right w:val="single" w:color="auto" w:sz="4" w:space="0"/>
            </w:tcBorders>
            <w:vAlign w:val="center"/>
          </w:tcPr>
          <w:p w14:paraId="5CE3FE50">
            <w:pPr>
              <w:spacing w:line="500" w:lineRule="exact"/>
              <w:jc w:val="center"/>
              <w:rPr>
                <w:rFonts w:ascii="宋体" w:hAnsi="宋体"/>
                <w:color w:val="auto"/>
                <w:sz w:val="24"/>
              </w:rPr>
            </w:pPr>
            <w:r>
              <w:rPr>
                <w:rFonts w:hint="eastAsia" w:ascii="宋体" w:hAnsi="宋体"/>
                <w:color w:val="auto"/>
                <w:sz w:val="24"/>
              </w:rPr>
              <w:t>投标报价是否高于采购单位预算价</w:t>
            </w:r>
          </w:p>
        </w:tc>
        <w:tc>
          <w:tcPr>
            <w:tcW w:w="549" w:type="dxa"/>
            <w:tcBorders>
              <w:top w:val="single" w:color="auto" w:sz="4" w:space="0"/>
              <w:left w:val="single" w:color="auto" w:sz="4" w:space="0"/>
              <w:bottom w:val="single" w:color="auto" w:sz="4" w:space="0"/>
              <w:right w:val="single" w:color="auto" w:sz="4" w:space="0"/>
            </w:tcBorders>
            <w:vAlign w:val="center"/>
          </w:tcPr>
          <w:p w14:paraId="6B8C2453">
            <w:pPr>
              <w:spacing w:line="500" w:lineRule="exact"/>
              <w:jc w:val="center"/>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15CA218D">
            <w:pPr>
              <w:spacing w:line="500" w:lineRule="exact"/>
              <w:jc w:val="center"/>
              <w:rPr>
                <w:rFonts w:ascii="宋体" w:hAnsi="宋体"/>
                <w:color w:val="auto"/>
                <w:sz w:val="24"/>
              </w:rPr>
            </w:pPr>
          </w:p>
        </w:tc>
        <w:tc>
          <w:tcPr>
            <w:tcW w:w="550" w:type="dxa"/>
            <w:tcBorders>
              <w:top w:val="single" w:color="auto" w:sz="4" w:space="0"/>
              <w:left w:val="single" w:color="auto" w:sz="4" w:space="0"/>
              <w:bottom w:val="single" w:color="auto" w:sz="4" w:space="0"/>
              <w:right w:val="single" w:color="auto" w:sz="4" w:space="0"/>
            </w:tcBorders>
            <w:vAlign w:val="center"/>
          </w:tcPr>
          <w:p w14:paraId="6B028FFB">
            <w:pPr>
              <w:spacing w:line="500" w:lineRule="exact"/>
              <w:jc w:val="center"/>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68C05C27">
            <w:pPr>
              <w:spacing w:line="500" w:lineRule="exact"/>
              <w:jc w:val="center"/>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09B198AB">
            <w:pPr>
              <w:spacing w:line="500" w:lineRule="exact"/>
              <w:jc w:val="center"/>
              <w:rPr>
                <w:rFonts w:ascii="宋体" w:hAnsi="宋体"/>
                <w:color w:val="auto"/>
                <w:sz w:val="24"/>
              </w:rPr>
            </w:pPr>
          </w:p>
        </w:tc>
        <w:tc>
          <w:tcPr>
            <w:tcW w:w="550" w:type="dxa"/>
            <w:tcBorders>
              <w:top w:val="single" w:color="auto" w:sz="4" w:space="0"/>
              <w:left w:val="single" w:color="auto" w:sz="4" w:space="0"/>
              <w:bottom w:val="single" w:color="auto" w:sz="4" w:space="0"/>
              <w:right w:val="single" w:color="auto" w:sz="4" w:space="0"/>
            </w:tcBorders>
            <w:vAlign w:val="center"/>
          </w:tcPr>
          <w:p w14:paraId="00B515AB">
            <w:pPr>
              <w:spacing w:line="500" w:lineRule="exact"/>
              <w:jc w:val="center"/>
              <w:rPr>
                <w:rFonts w:ascii="宋体" w:hAnsi="宋体"/>
                <w:color w:val="auto"/>
                <w:sz w:val="24"/>
              </w:rPr>
            </w:pPr>
          </w:p>
        </w:tc>
      </w:tr>
      <w:tr w14:paraId="5601A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48" w:type="dxa"/>
            <w:tcBorders>
              <w:top w:val="single" w:color="auto" w:sz="4" w:space="0"/>
              <w:left w:val="single" w:color="auto" w:sz="4" w:space="0"/>
              <w:bottom w:val="single" w:color="auto" w:sz="4" w:space="0"/>
              <w:right w:val="single" w:color="auto" w:sz="4" w:space="0"/>
            </w:tcBorders>
            <w:vAlign w:val="center"/>
          </w:tcPr>
          <w:p w14:paraId="47B46518">
            <w:pPr>
              <w:spacing w:line="500" w:lineRule="exact"/>
              <w:jc w:val="center"/>
              <w:rPr>
                <w:rFonts w:ascii="宋体" w:hAnsi="宋体"/>
                <w:color w:val="auto"/>
                <w:sz w:val="24"/>
              </w:rPr>
            </w:pPr>
            <w:r>
              <w:rPr>
                <w:rFonts w:hint="eastAsia" w:ascii="宋体" w:hAnsi="宋体"/>
                <w:color w:val="auto"/>
                <w:sz w:val="24"/>
              </w:rPr>
              <w:t>3</w:t>
            </w:r>
          </w:p>
        </w:tc>
        <w:tc>
          <w:tcPr>
            <w:tcW w:w="1620" w:type="dxa"/>
            <w:tcBorders>
              <w:top w:val="single" w:color="auto" w:sz="4" w:space="0"/>
              <w:left w:val="single" w:color="auto" w:sz="4" w:space="0"/>
              <w:bottom w:val="single" w:color="auto" w:sz="4" w:space="0"/>
              <w:right w:val="single" w:color="auto" w:sz="4" w:space="0"/>
            </w:tcBorders>
            <w:vAlign w:val="center"/>
          </w:tcPr>
          <w:p w14:paraId="4DF12C74">
            <w:pPr>
              <w:spacing w:line="500" w:lineRule="exact"/>
              <w:jc w:val="center"/>
              <w:rPr>
                <w:rFonts w:ascii="宋体" w:hAnsi="宋体"/>
                <w:color w:val="auto"/>
                <w:sz w:val="24"/>
              </w:rPr>
            </w:pPr>
            <w:r>
              <w:rPr>
                <w:rFonts w:hint="eastAsia" w:ascii="宋体" w:hAnsi="宋体"/>
                <w:color w:val="auto"/>
                <w:sz w:val="24"/>
              </w:rPr>
              <w:t>结论</w:t>
            </w:r>
          </w:p>
        </w:tc>
        <w:tc>
          <w:tcPr>
            <w:tcW w:w="3780" w:type="dxa"/>
            <w:tcBorders>
              <w:top w:val="single" w:color="auto" w:sz="4" w:space="0"/>
              <w:left w:val="single" w:color="auto" w:sz="4" w:space="0"/>
              <w:bottom w:val="single" w:color="auto" w:sz="4" w:space="0"/>
              <w:right w:val="single" w:color="auto" w:sz="4" w:space="0"/>
            </w:tcBorders>
            <w:vAlign w:val="center"/>
          </w:tcPr>
          <w:p w14:paraId="132A1B1E">
            <w:pPr>
              <w:spacing w:line="500" w:lineRule="exact"/>
              <w:jc w:val="center"/>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1DE03552">
            <w:pPr>
              <w:spacing w:line="500" w:lineRule="exact"/>
              <w:jc w:val="center"/>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1F21B04F">
            <w:pPr>
              <w:spacing w:line="500" w:lineRule="exact"/>
              <w:jc w:val="center"/>
              <w:rPr>
                <w:rFonts w:ascii="宋体" w:hAnsi="宋体"/>
                <w:color w:val="auto"/>
                <w:sz w:val="24"/>
              </w:rPr>
            </w:pPr>
          </w:p>
        </w:tc>
        <w:tc>
          <w:tcPr>
            <w:tcW w:w="550" w:type="dxa"/>
            <w:tcBorders>
              <w:top w:val="single" w:color="auto" w:sz="4" w:space="0"/>
              <w:left w:val="single" w:color="auto" w:sz="4" w:space="0"/>
              <w:bottom w:val="single" w:color="auto" w:sz="4" w:space="0"/>
              <w:right w:val="single" w:color="auto" w:sz="4" w:space="0"/>
            </w:tcBorders>
            <w:vAlign w:val="center"/>
          </w:tcPr>
          <w:p w14:paraId="3F6AD7AA">
            <w:pPr>
              <w:spacing w:line="500" w:lineRule="exact"/>
              <w:jc w:val="center"/>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44603BA3">
            <w:pPr>
              <w:spacing w:line="500" w:lineRule="exact"/>
              <w:jc w:val="center"/>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4A83697D">
            <w:pPr>
              <w:spacing w:line="500" w:lineRule="exact"/>
              <w:jc w:val="center"/>
              <w:rPr>
                <w:rFonts w:ascii="宋体" w:hAnsi="宋体"/>
                <w:color w:val="auto"/>
                <w:sz w:val="24"/>
              </w:rPr>
            </w:pPr>
          </w:p>
        </w:tc>
        <w:tc>
          <w:tcPr>
            <w:tcW w:w="550" w:type="dxa"/>
            <w:tcBorders>
              <w:top w:val="single" w:color="auto" w:sz="4" w:space="0"/>
              <w:left w:val="single" w:color="auto" w:sz="4" w:space="0"/>
              <w:bottom w:val="single" w:color="auto" w:sz="4" w:space="0"/>
              <w:right w:val="single" w:color="auto" w:sz="4" w:space="0"/>
            </w:tcBorders>
            <w:vAlign w:val="center"/>
          </w:tcPr>
          <w:p w14:paraId="577110D5">
            <w:pPr>
              <w:spacing w:line="500" w:lineRule="exact"/>
              <w:jc w:val="center"/>
              <w:rPr>
                <w:rFonts w:ascii="宋体" w:hAnsi="宋体"/>
                <w:color w:val="auto"/>
                <w:sz w:val="24"/>
              </w:rPr>
            </w:pPr>
          </w:p>
        </w:tc>
      </w:tr>
      <w:tr w14:paraId="0A452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trPr>
        <w:tc>
          <w:tcPr>
            <w:tcW w:w="9344" w:type="dxa"/>
            <w:gridSpan w:val="9"/>
            <w:tcBorders>
              <w:top w:val="single" w:color="auto" w:sz="4" w:space="0"/>
              <w:left w:val="single" w:color="auto" w:sz="4" w:space="0"/>
              <w:bottom w:val="single" w:color="auto" w:sz="4" w:space="0"/>
              <w:right w:val="single" w:color="auto" w:sz="4" w:space="0"/>
            </w:tcBorders>
            <w:vAlign w:val="center"/>
          </w:tcPr>
          <w:p w14:paraId="63B298B4">
            <w:pPr>
              <w:spacing w:line="500" w:lineRule="exact"/>
              <w:rPr>
                <w:rFonts w:ascii="宋体" w:hAnsi="宋体"/>
                <w:color w:val="auto"/>
                <w:sz w:val="24"/>
              </w:rPr>
            </w:pPr>
            <w:r>
              <w:rPr>
                <w:rFonts w:hint="eastAsia" w:ascii="宋体" w:hAnsi="宋体"/>
                <w:color w:val="auto"/>
                <w:sz w:val="24"/>
              </w:rPr>
              <w:t>评委签名：</w:t>
            </w:r>
          </w:p>
          <w:p w14:paraId="6EF45308">
            <w:pPr>
              <w:spacing w:line="500" w:lineRule="exact"/>
              <w:jc w:val="center"/>
              <w:rPr>
                <w:rFonts w:ascii="宋体" w:hAnsi="宋体"/>
                <w:color w:val="auto"/>
                <w:sz w:val="24"/>
              </w:rPr>
            </w:pPr>
          </w:p>
          <w:p w14:paraId="300D0EC1">
            <w:pPr>
              <w:widowControl/>
              <w:spacing w:line="500" w:lineRule="exact"/>
              <w:ind w:firstLine="5880" w:firstLineChars="2450"/>
              <w:jc w:val="center"/>
              <w:rPr>
                <w:rFonts w:ascii="宋体" w:hAnsi="宋体"/>
                <w:color w:val="auto"/>
                <w:sz w:val="24"/>
              </w:rPr>
            </w:pPr>
            <w:r>
              <w:rPr>
                <w:rFonts w:hint="eastAsia" w:ascii="宋体" w:hAnsi="宋体"/>
                <w:color w:val="auto"/>
                <w:sz w:val="24"/>
              </w:rPr>
              <w:t xml:space="preserve">      年   月   日</w:t>
            </w:r>
          </w:p>
        </w:tc>
      </w:tr>
    </w:tbl>
    <w:p w14:paraId="13B508C9">
      <w:pPr>
        <w:autoSpaceDE w:val="0"/>
        <w:autoSpaceDN w:val="0"/>
        <w:adjustRightInd w:val="0"/>
        <w:spacing w:line="440" w:lineRule="exact"/>
        <w:ind w:left="134" w:hanging="86"/>
        <w:outlineLvl w:val="1"/>
        <w:rPr>
          <w:color w:val="auto"/>
          <w:szCs w:val="21"/>
        </w:rPr>
      </w:pPr>
      <w:bookmarkStart w:id="8" w:name="_Toc6919"/>
      <w:bookmarkStart w:id="9" w:name="_Toc8071"/>
      <w:bookmarkStart w:id="10" w:name="_Toc29013"/>
      <w:r>
        <w:rPr>
          <w:rFonts w:hint="eastAsia" w:ascii="宋体" w:hAnsi="宋体"/>
          <w:b/>
          <w:color w:val="auto"/>
          <w:sz w:val="24"/>
        </w:rPr>
        <w:t>2：响应文件符合性检查表</w:t>
      </w:r>
      <w:bookmarkEnd w:id="8"/>
      <w:bookmarkEnd w:id="9"/>
      <w:bookmarkEnd w:id="10"/>
    </w:p>
    <w:p w14:paraId="227A3C00">
      <w:pPr>
        <w:rPr>
          <w:color w:val="auto"/>
        </w:rPr>
      </w:pPr>
    </w:p>
    <w:p w14:paraId="6C91E365">
      <w:pPr>
        <w:pStyle w:val="14"/>
        <w:spacing w:before="0" w:after="0" w:line="360" w:lineRule="auto"/>
        <w:rPr>
          <w:rFonts w:ascii="宋体" w:hAnsi="宋体" w:eastAsia="宋体"/>
          <w:color w:val="auto"/>
          <w:sz w:val="24"/>
          <w:szCs w:val="24"/>
        </w:rPr>
      </w:pPr>
      <w:r>
        <w:rPr>
          <w:rFonts w:hint="eastAsia" w:ascii="宋体" w:hAnsi="宋体" w:eastAsia="宋体"/>
          <w:color w:val="auto"/>
          <w:sz w:val="24"/>
          <w:szCs w:val="24"/>
        </w:rPr>
        <w:t xml:space="preserve">注：符合性检查时，响应文件有下列情况之一的视为非实质性响应: </w:t>
      </w:r>
    </w:p>
    <w:p w14:paraId="65D8929E">
      <w:pPr>
        <w:pStyle w:val="14"/>
        <w:spacing w:before="0" w:after="0" w:line="360" w:lineRule="auto"/>
        <w:rPr>
          <w:rFonts w:ascii="宋体" w:hAnsi="宋体" w:eastAsia="宋体"/>
          <w:color w:val="auto"/>
          <w:sz w:val="24"/>
          <w:szCs w:val="24"/>
        </w:rPr>
      </w:pPr>
      <w:r>
        <w:rPr>
          <w:rFonts w:hint="eastAsia" w:ascii="宋体" w:hAnsi="宋体" w:eastAsia="宋体"/>
          <w:color w:val="auto"/>
          <w:sz w:val="24"/>
          <w:szCs w:val="24"/>
        </w:rPr>
        <w:t>1、</w:t>
      </w:r>
      <w:r>
        <w:rPr>
          <w:rFonts w:hint="eastAsia" w:ascii="宋体" w:hAnsi="宋体" w:eastAsia="宋体" w:cs="仿宋_GB2312"/>
          <w:color w:val="auto"/>
          <w:sz w:val="24"/>
          <w:szCs w:val="24"/>
          <w:lang w:val="zh-CN"/>
        </w:rPr>
        <w:t>响应文件不符合磋商文件完整性要求的;</w:t>
      </w:r>
      <w:r>
        <w:rPr>
          <w:rFonts w:hint="eastAsia" w:ascii="宋体" w:hAnsi="宋体" w:eastAsia="宋体"/>
          <w:color w:val="auto"/>
          <w:sz w:val="24"/>
          <w:szCs w:val="24"/>
        </w:rPr>
        <w:t xml:space="preserve"> </w:t>
      </w:r>
    </w:p>
    <w:p w14:paraId="64E332B3">
      <w:pPr>
        <w:pStyle w:val="14"/>
        <w:spacing w:before="0" w:after="0" w:line="360" w:lineRule="auto"/>
        <w:rPr>
          <w:rFonts w:ascii="宋体" w:hAnsi="宋体" w:eastAsia="宋体"/>
          <w:color w:val="auto"/>
          <w:sz w:val="24"/>
          <w:szCs w:val="24"/>
        </w:rPr>
      </w:pPr>
      <w:r>
        <w:rPr>
          <w:rFonts w:hint="eastAsia" w:ascii="宋体" w:hAnsi="宋体" w:eastAsia="宋体"/>
          <w:color w:val="auto"/>
          <w:sz w:val="24"/>
          <w:szCs w:val="24"/>
        </w:rPr>
        <w:t xml:space="preserve">2、合同工期或交货期超过磋商文件规定的期限或允许范围； </w:t>
      </w:r>
    </w:p>
    <w:p w14:paraId="32ED28AA">
      <w:pPr>
        <w:pStyle w:val="14"/>
        <w:spacing w:before="0" w:after="0" w:line="360" w:lineRule="auto"/>
        <w:rPr>
          <w:rFonts w:ascii="宋体" w:hAnsi="宋体" w:eastAsia="宋体"/>
          <w:color w:val="auto"/>
          <w:sz w:val="24"/>
          <w:szCs w:val="24"/>
        </w:rPr>
      </w:pPr>
      <w:r>
        <w:rPr>
          <w:rFonts w:hint="eastAsia" w:ascii="宋体" w:hAnsi="宋体" w:eastAsia="宋体"/>
          <w:color w:val="auto"/>
          <w:sz w:val="24"/>
          <w:szCs w:val="24"/>
        </w:rPr>
        <w:t>3、投标附有采购人不能接受的条件。 </w:t>
      </w:r>
    </w:p>
    <w:p w14:paraId="67BD700F">
      <w:pPr>
        <w:pStyle w:val="14"/>
        <w:spacing w:before="0" w:after="0" w:line="360" w:lineRule="auto"/>
        <w:rPr>
          <w:rFonts w:ascii="宋体" w:hAnsi="宋体" w:eastAsia="宋体"/>
          <w:color w:val="auto"/>
          <w:sz w:val="24"/>
          <w:szCs w:val="24"/>
        </w:rPr>
      </w:pPr>
      <w:r>
        <w:rPr>
          <w:rFonts w:hint="eastAsia" w:ascii="宋体" w:hAnsi="宋体" w:eastAsia="宋体"/>
          <w:color w:val="auto"/>
          <w:sz w:val="24"/>
          <w:szCs w:val="24"/>
        </w:rPr>
        <w:t>4、响应文件中“</w:t>
      </w:r>
      <w:r>
        <w:rPr>
          <w:rFonts w:hint="eastAsia" w:ascii="宋体" w:hAnsi="宋体" w:eastAsia="宋体" w:cs="Tahoma"/>
          <w:color w:val="auto"/>
          <w:sz w:val="24"/>
          <w:szCs w:val="24"/>
        </w:rPr>
        <w:t>★”号条款不满足磋商文件中的要求。</w:t>
      </w:r>
    </w:p>
    <w:p w14:paraId="56069C43">
      <w:pPr>
        <w:pStyle w:val="14"/>
        <w:spacing w:before="0" w:after="0" w:line="360" w:lineRule="auto"/>
        <w:rPr>
          <w:rFonts w:ascii="宋体" w:hAnsi="宋体" w:eastAsia="宋体"/>
          <w:color w:val="auto"/>
          <w:sz w:val="24"/>
          <w:szCs w:val="24"/>
        </w:rPr>
      </w:pPr>
      <w:r>
        <w:rPr>
          <w:rFonts w:hint="eastAsia" w:ascii="宋体" w:hAnsi="宋体" w:eastAsia="宋体"/>
          <w:color w:val="auto"/>
          <w:sz w:val="24"/>
          <w:szCs w:val="24"/>
        </w:rPr>
        <w:t>5、响应文件中技术要求有重大偏差或达不到国家强制性标准；</w:t>
      </w:r>
    </w:p>
    <w:p w14:paraId="0930B53A">
      <w:pPr>
        <w:spacing w:line="360" w:lineRule="auto"/>
        <w:rPr>
          <w:rFonts w:ascii="宋体" w:hAnsi="宋体"/>
          <w:color w:val="auto"/>
          <w:sz w:val="24"/>
        </w:rPr>
      </w:pPr>
      <w:r>
        <w:rPr>
          <w:rFonts w:hint="eastAsia" w:ascii="宋体" w:hAnsi="宋体"/>
          <w:color w:val="auto"/>
          <w:sz w:val="24"/>
        </w:rPr>
        <w:t>6、投标报价高于采购单位预算价；</w:t>
      </w:r>
    </w:p>
    <w:p w14:paraId="42B63D05">
      <w:pPr>
        <w:pStyle w:val="23"/>
        <w:tabs>
          <w:tab w:val="left" w:pos="7800"/>
        </w:tabs>
        <w:spacing w:line="360" w:lineRule="auto"/>
        <w:ind w:left="144" w:leftChars="22" w:hanging="98" w:hangingChars="41"/>
        <w:rPr>
          <w:rFonts w:ascii="宋体" w:hAnsi="宋体"/>
          <w:b/>
          <w:color w:val="auto"/>
          <w:sz w:val="24"/>
        </w:rPr>
      </w:pPr>
      <w:r>
        <w:rPr>
          <w:rFonts w:hint="eastAsia" w:ascii="宋体" w:hAnsi="宋体"/>
          <w:color w:val="auto"/>
          <w:sz w:val="24"/>
        </w:rPr>
        <w:t>7、结论填写“合格”或“不合格”，不合格供应商不进入下一轮评审。</w:t>
      </w:r>
      <w:r>
        <w:rPr>
          <w:rFonts w:hint="eastAsia" w:ascii="宋体" w:hAnsi="宋体"/>
          <w:color w:val="auto"/>
          <w:sz w:val="24"/>
        </w:rPr>
        <w:tab/>
      </w:r>
    </w:p>
    <w:p w14:paraId="375936C9">
      <w:pPr>
        <w:autoSpaceDE w:val="0"/>
        <w:autoSpaceDN w:val="0"/>
        <w:adjustRightInd w:val="0"/>
        <w:spacing w:line="500" w:lineRule="exact"/>
        <w:ind w:left="902" w:hanging="482"/>
        <w:rPr>
          <w:rFonts w:ascii="宋体" w:cs="宋体"/>
          <w:b/>
          <w:bCs/>
          <w:color w:val="auto"/>
          <w:kern w:val="0"/>
          <w:sz w:val="24"/>
          <w:lang w:val="zh-CN"/>
        </w:rPr>
      </w:pPr>
    </w:p>
    <w:p w14:paraId="61A20FCA">
      <w:pPr>
        <w:autoSpaceDE w:val="0"/>
        <w:autoSpaceDN w:val="0"/>
        <w:adjustRightInd w:val="0"/>
        <w:spacing w:line="500" w:lineRule="exact"/>
        <w:ind w:left="112" w:hanging="99"/>
        <w:rPr>
          <w:rFonts w:ascii="宋体" w:cs="宋体"/>
          <w:b/>
          <w:bCs/>
          <w:color w:val="auto"/>
          <w:kern w:val="0"/>
          <w:sz w:val="24"/>
          <w:lang w:val="zh-CN"/>
        </w:rPr>
      </w:pPr>
    </w:p>
    <w:p w14:paraId="60B3BEDB">
      <w:pPr>
        <w:autoSpaceDE w:val="0"/>
        <w:autoSpaceDN w:val="0"/>
        <w:adjustRightInd w:val="0"/>
        <w:spacing w:line="500" w:lineRule="exact"/>
        <w:ind w:left="112" w:hanging="99"/>
        <w:outlineLvl w:val="1"/>
        <w:rPr>
          <w:rFonts w:ascii="宋体" w:cs="宋体"/>
          <w:b/>
          <w:bCs/>
          <w:color w:val="auto"/>
          <w:kern w:val="0"/>
          <w:sz w:val="24"/>
          <w:lang w:val="zh-CN"/>
        </w:rPr>
      </w:pPr>
      <w:bookmarkStart w:id="11" w:name="_Toc17086"/>
      <w:bookmarkStart w:id="12" w:name="_Toc32663"/>
      <w:bookmarkStart w:id="13" w:name="_Toc28792"/>
      <w:r>
        <w:rPr>
          <w:rFonts w:hint="eastAsia" w:ascii="宋体" w:cs="宋体"/>
          <w:b/>
          <w:bCs/>
          <w:color w:val="auto"/>
          <w:kern w:val="0"/>
          <w:sz w:val="24"/>
          <w:lang w:val="zh-CN"/>
        </w:rPr>
        <w:t>3：澄清、说明、补正事项纪要表</w:t>
      </w:r>
      <w:bookmarkEnd w:id="11"/>
      <w:bookmarkEnd w:id="12"/>
      <w:bookmarkEnd w:id="13"/>
    </w:p>
    <w:tbl>
      <w:tblPr>
        <w:tblStyle w:val="51"/>
        <w:tblW w:w="9185" w:type="dxa"/>
        <w:tblInd w:w="-5" w:type="dxa"/>
        <w:tblLayout w:type="fixed"/>
        <w:tblCellMar>
          <w:top w:w="0" w:type="dxa"/>
          <w:left w:w="10" w:type="dxa"/>
          <w:bottom w:w="0" w:type="dxa"/>
          <w:right w:w="10" w:type="dxa"/>
        </w:tblCellMar>
      </w:tblPr>
      <w:tblGrid>
        <w:gridCol w:w="468"/>
        <w:gridCol w:w="3857"/>
        <w:gridCol w:w="540"/>
        <w:gridCol w:w="540"/>
        <w:gridCol w:w="540"/>
        <w:gridCol w:w="540"/>
        <w:gridCol w:w="540"/>
        <w:gridCol w:w="540"/>
        <w:gridCol w:w="540"/>
        <w:gridCol w:w="540"/>
        <w:gridCol w:w="540"/>
      </w:tblGrid>
      <w:tr w14:paraId="05893F6B">
        <w:tblPrEx>
          <w:tblCellMar>
            <w:top w:w="0" w:type="dxa"/>
            <w:left w:w="10" w:type="dxa"/>
            <w:bottom w:w="0" w:type="dxa"/>
            <w:right w:w="10" w:type="dxa"/>
          </w:tblCellMar>
        </w:tblPrEx>
        <w:trPr>
          <w:cantSplit/>
          <w:trHeight w:val="540" w:hRule="atLeast"/>
        </w:trPr>
        <w:tc>
          <w:tcPr>
            <w:tcW w:w="468" w:type="dxa"/>
            <w:vMerge w:val="restart"/>
            <w:tcBorders>
              <w:top w:val="single" w:color="auto" w:sz="6" w:space="0"/>
              <w:left w:val="single" w:color="auto" w:sz="6" w:space="0"/>
              <w:bottom w:val="single" w:color="auto" w:sz="6" w:space="0"/>
              <w:right w:val="single" w:color="auto" w:sz="6" w:space="0"/>
            </w:tcBorders>
            <w:vAlign w:val="center"/>
          </w:tcPr>
          <w:p w14:paraId="124D5F4B">
            <w:pPr>
              <w:autoSpaceDE w:val="0"/>
              <w:autoSpaceDN w:val="0"/>
              <w:adjustRightInd w:val="0"/>
              <w:spacing w:line="500" w:lineRule="exact"/>
              <w:jc w:val="center"/>
              <w:rPr>
                <w:rFonts w:ascii="宋体" w:cs="宋体"/>
                <w:color w:val="auto"/>
                <w:sz w:val="24"/>
                <w:lang w:val="zh-CN"/>
              </w:rPr>
            </w:pPr>
            <w:r>
              <w:rPr>
                <w:rFonts w:hint="eastAsia" w:ascii="宋体" w:cs="宋体"/>
                <w:color w:val="auto"/>
                <w:sz w:val="24"/>
                <w:lang w:val="zh-CN"/>
              </w:rPr>
              <w:t>序号</w:t>
            </w:r>
          </w:p>
        </w:tc>
        <w:tc>
          <w:tcPr>
            <w:tcW w:w="3857" w:type="dxa"/>
            <w:vMerge w:val="restart"/>
            <w:tcBorders>
              <w:top w:val="single" w:color="auto" w:sz="6" w:space="0"/>
              <w:left w:val="single" w:color="auto" w:sz="6" w:space="0"/>
              <w:bottom w:val="single" w:color="auto" w:sz="6" w:space="0"/>
              <w:right w:val="single" w:color="auto" w:sz="6" w:space="0"/>
            </w:tcBorders>
            <w:vAlign w:val="center"/>
          </w:tcPr>
          <w:p w14:paraId="76699585">
            <w:pPr>
              <w:autoSpaceDE w:val="0"/>
              <w:autoSpaceDN w:val="0"/>
              <w:adjustRightInd w:val="0"/>
              <w:spacing w:line="500" w:lineRule="exact"/>
              <w:jc w:val="center"/>
              <w:rPr>
                <w:rFonts w:ascii="宋体" w:cs="宋体"/>
                <w:color w:val="auto"/>
                <w:sz w:val="24"/>
                <w:lang w:val="zh-CN"/>
              </w:rPr>
            </w:pPr>
            <w:r>
              <w:rPr>
                <w:rFonts w:hint="eastAsia" w:ascii="宋体" w:cs="宋体"/>
                <w:color w:val="auto"/>
                <w:sz w:val="24"/>
                <w:lang w:val="zh-CN"/>
              </w:rPr>
              <w:t>内容</w:t>
            </w:r>
          </w:p>
        </w:tc>
        <w:tc>
          <w:tcPr>
            <w:tcW w:w="4860" w:type="dxa"/>
            <w:gridSpan w:val="9"/>
            <w:tcBorders>
              <w:top w:val="single" w:color="auto" w:sz="6" w:space="0"/>
              <w:left w:val="single" w:color="auto" w:sz="6" w:space="0"/>
              <w:bottom w:val="single" w:color="auto" w:sz="6" w:space="0"/>
              <w:right w:val="single" w:color="auto" w:sz="6" w:space="0"/>
            </w:tcBorders>
            <w:vAlign w:val="center"/>
          </w:tcPr>
          <w:p w14:paraId="45CCD243">
            <w:pPr>
              <w:autoSpaceDE w:val="0"/>
              <w:autoSpaceDN w:val="0"/>
              <w:adjustRightInd w:val="0"/>
              <w:spacing w:line="500" w:lineRule="exact"/>
              <w:jc w:val="center"/>
              <w:rPr>
                <w:rFonts w:ascii="宋体" w:cs="宋体"/>
                <w:color w:val="auto"/>
                <w:sz w:val="24"/>
                <w:lang w:val="zh-CN"/>
              </w:rPr>
            </w:pPr>
            <w:r>
              <w:rPr>
                <w:rFonts w:hint="eastAsia" w:ascii="宋体" w:cs="宋体"/>
                <w:color w:val="auto"/>
                <w:sz w:val="24"/>
                <w:lang w:val="zh-CN"/>
              </w:rPr>
              <w:t>供应商</w:t>
            </w:r>
          </w:p>
        </w:tc>
      </w:tr>
      <w:tr w14:paraId="0C6CFCAF">
        <w:tblPrEx>
          <w:tblCellMar>
            <w:top w:w="0" w:type="dxa"/>
            <w:left w:w="10" w:type="dxa"/>
            <w:bottom w:w="0" w:type="dxa"/>
            <w:right w:w="10" w:type="dxa"/>
          </w:tblCellMar>
        </w:tblPrEx>
        <w:trPr>
          <w:cantSplit/>
          <w:trHeight w:val="450" w:hRule="atLeast"/>
        </w:trPr>
        <w:tc>
          <w:tcPr>
            <w:tcW w:w="468" w:type="dxa"/>
            <w:vMerge w:val="continue"/>
            <w:tcBorders>
              <w:top w:val="single" w:color="auto" w:sz="6" w:space="0"/>
              <w:left w:val="single" w:color="auto" w:sz="6" w:space="0"/>
              <w:bottom w:val="single" w:color="auto" w:sz="6" w:space="0"/>
              <w:right w:val="single" w:color="auto" w:sz="6" w:space="0"/>
            </w:tcBorders>
            <w:vAlign w:val="center"/>
          </w:tcPr>
          <w:p w14:paraId="5E28A807">
            <w:pPr>
              <w:widowControl/>
              <w:jc w:val="left"/>
              <w:rPr>
                <w:rFonts w:ascii="宋体" w:cs="宋体"/>
                <w:color w:val="auto"/>
                <w:sz w:val="24"/>
                <w:lang w:val="zh-CN"/>
              </w:rPr>
            </w:pPr>
          </w:p>
        </w:tc>
        <w:tc>
          <w:tcPr>
            <w:tcW w:w="3857" w:type="dxa"/>
            <w:vMerge w:val="continue"/>
            <w:tcBorders>
              <w:top w:val="single" w:color="auto" w:sz="6" w:space="0"/>
              <w:left w:val="single" w:color="auto" w:sz="6" w:space="0"/>
              <w:bottom w:val="single" w:color="auto" w:sz="6" w:space="0"/>
              <w:right w:val="single" w:color="auto" w:sz="6" w:space="0"/>
            </w:tcBorders>
            <w:vAlign w:val="center"/>
          </w:tcPr>
          <w:p w14:paraId="7FF57973">
            <w:pPr>
              <w:widowControl/>
              <w:jc w:val="left"/>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39DE6E06">
            <w:pPr>
              <w:autoSpaceDE w:val="0"/>
              <w:autoSpaceDN w:val="0"/>
              <w:adjustRightInd w:val="0"/>
              <w:spacing w:line="500" w:lineRule="exact"/>
              <w:jc w:val="center"/>
              <w:rPr>
                <w:color w:val="auto"/>
                <w:sz w:val="24"/>
              </w:rPr>
            </w:pPr>
            <w:r>
              <w:rPr>
                <w:color w:val="auto"/>
                <w:sz w:val="24"/>
              </w:rPr>
              <w:t>1</w:t>
            </w:r>
          </w:p>
        </w:tc>
        <w:tc>
          <w:tcPr>
            <w:tcW w:w="540" w:type="dxa"/>
            <w:tcBorders>
              <w:top w:val="single" w:color="auto" w:sz="6" w:space="0"/>
              <w:left w:val="single" w:color="auto" w:sz="6" w:space="0"/>
              <w:bottom w:val="single" w:color="auto" w:sz="6" w:space="0"/>
              <w:right w:val="single" w:color="auto" w:sz="6" w:space="0"/>
            </w:tcBorders>
            <w:vAlign w:val="center"/>
          </w:tcPr>
          <w:p w14:paraId="38FFB625">
            <w:pPr>
              <w:autoSpaceDE w:val="0"/>
              <w:autoSpaceDN w:val="0"/>
              <w:adjustRightInd w:val="0"/>
              <w:spacing w:line="500" w:lineRule="exact"/>
              <w:jc w:val="center"/>
              <w:rPr>
                <w:color w:val="auto"/>
                <w:sz w:val="24"/>
              </w:rPr>
            </w:pPr>
            <w:r>
              <w:rPr>
                <w:color w:val="auto"/>
                <w:sz w:val="24"/>
              </w:rPr>
              <w:t>2</w:t>
            </w:r>
          </w:p>
        </w:tc>
        <w:tc>
          <w:tcPr>
            <w:tcW w:w="540" w:type="dxa"/>
            <w:tcBorders>
              <w:top w:val="single" w:color="auto" w:sz="6" w:space="0"/>
              <w:left w:val="single" w:color="auto" w:sz="6" w:space="0"/>
              <w:bottom w:val="single" w:color="auto" w:sz="6" w:space="0"/>
              <w:right w:val="single" w:color="auto" w:sz="6" w:space="0"/>
            </w:tcBorders>
            <w:vAlign w:val="center"/>
          </w:tcPr>
          <w:p w14:paraId="57D3866B">
            <w:pPr>
              <w:autoSpaceDE w:val="0"/>
              <w:autoSpaceDN w:val="0"/>
              <w:adjustRightInd w:val="0"/>
              <w:spacing w:line="500" w:lineRule="exact"/>
              <w:jc w:val="center"/>
              <w:rPr>
                <w:color w:val="auto"/>
                <w:sz w:val="24"/>
              </w:rPr>
            </w:pPr>
            <w:r>
              <w:rPr>
                <w:color w:val="auto"/>
                <w:sz w:val="24"/>
              </w:rPr>
              <w:t>3</w:t>
            </w:r>
          </w:p>
        </w:tc>
        <w:tc>
          <w:tcPr>
            <w:tcW w:w="540" w:type="dxa"/>
            <w:tcBorders>
              <w:top w:val="single" w:color="auto" w:sz="6" w:space="0"/>
              <w:left w:val="single" w:color="auto" w:sz="6" w:space="0"/>
              <w:bottom w:val="single" w:color="auto" w:sz="6" w:space="0"/>
              <w:right w:val="single" w:color="auto" w:sz="6" w:space="0"/>
            </w:tcBorders>
            <w:vAlign w:val="center"/>
          </w:tcPr>
          <w:p w14:paraId="162044AC">
            <w:pPr>
              <w:autoSpaceDE w:val="0"/>
              <w:autoSpaceDN w:val="0"/>
              <w:adjustRightInd w:val="0"/>
              <w:spacing w:line="500" w:lineRule="exact"/>
              <w:jc w:val="center"/>
              <w:rPr>
                <w:color w:val="auto"/>
                <w:sz w:val="24"/>
              </w:rPr>
            </w:pPr>
            <w:r>
              <w:rPr>
                <w:color w:val="auto"/>
                <w:sz w:val="24"/>
              </w:rPr>
              <w:t>4</w:t>
            </w:r>
          </w:p>
        </w:tc>
        <w:tc>
          <w:tcPr>
            <w:tcW w:w="540" w:type="dxa"/>
            <w:tcBorders>
              <w:top w:val="single" w:color="auto" w:sz="6" w:space="0"/>
              <w:left w:val="single" w:color="auto" w:sz="6" w:space="0"/>
              <w:bottom w:val="single" w:color="auto" w:sz="6" w:space="0"/>
              <w:right w:val="single" w:color="auto" w:sz="6" w:space="0"/>
            </w:tcBorders>
            <w:vAlign w:val="center"/>
          </w:tcPr>
          <w:p w14:paraId="45619C94">
            <w:pPr>
              <w:autoSpaceDE w:val="0"/>
              <w:autoSpaceDN w:val="0"/>
              <w:adjustRightInd w:val="0"/>
              <w:spacing w:line="500" w:lineRule="exact"/>
              <w:jc w:val="center"/>
              <w:rPr>
                <w:color w:val="auto"/>
                <w:sz w:val="24"/>
              </w:rPr>
            </w:pPr>
            <w:r>
              <w:rPr>
                <w:color w:val="auto"/>
                <w:sz w:val="24"/>
              </w:rPr>
              <w:t>5</w:t>
            </w:r>
          </w:p>
        </w:tc>
        <w:tc>
          <w:tcPr>
            <w:tcW w:w="540" w:type="dxa"/>
            <w:tcBorders>
              <w:top w:val="single" w:color="auto" w:sz="6" w:space="0"/>
              <w:left w:val="single" w:color="auto" w:sz="6" w:space="0"/>
              <w:bottom w:val="single" w:color="auto" w:sz="6" w:space="0"/>
              <w:right w:val="single" w:color="auto" w:sz="6" w:space="0"/>
            </w:tcBorders>
            <w:vAlign w:val="center"/>
          </w:tcPr>
          <w:p w14:paraId="492D8CB8">
            <w:pPr>
              <w:autoSpaceDE w:val="0"/>
              <w:autoSpaceDN w:val="0"/>
              <w:adjustRightInd w:val="0"/>
              <w:spacing w:line="500" w:lineRule="exact"/>
              <w:jc w:val="center"/>
              <w:rPr>
                <w:color w:val="auto"/>
                <w:sz w:val="24"/>
              </w:rPr>
            </w:pPr>
            <w:r>
              <w:rPr>
                <w:color w:val="auto"/>
                <w:sz w:val="24"/>
              </w:rPr>
              <w:t>6</w:t>
            </w:r>
          </w:p>
        </w:tc>
        <w:tc>
          <w:tcPr>
            <w:tcW w:w="540" w:type="dxa"/>
            <w:tcBorders>
              <w:top w:val="single" w:color="auto" w:sz="6" w:space="0"/>
              <w:left w:val="single" w:color="auto" w:sz="6" w:space="0"/>
              <w:bottom w:val="single" w:color="auto" w:sz="6" w:space="0"/>
              <w:right w:val="single" w:color="auto" w:sz="6" w:space="0"/>
            </w:tcBorders>
            <w:vAlign w:val="center"/>
          </w:tcPr>
          <w:p w14:paraId="15ADFBC9">
            <w:pPr>
              <w:autoSpaceDE w:val="0"/>
              <w:autoSpaceDN w:val="0"/>
              <w:adjustRightInd w:val="0"/>
              <w:spacing w:line="500" w:lineRule="exact"/>
              <w:jc w:val="center"/>
              <w:rPr>
                <w:color w:val="auto"/>
                <w:sz w:val="24"/>
              </w:rPr>
            </w:pPr>
            <w:r>
              <w:rPr>
                <w:color w:val="auto"/>
                <w:sz w:val="24"/>
              </w:rPr>
              <w:t>7</w:t>
            </w:r>
          </w:p>
        </w:tc>
        <w:tc>
          <w:tcPr>
            <w:tcW w:w="540" w:type="dxa"/>
            <w:tcBorders>
              <w:top w:val="single" w:color="auto" w:sz="6" w:space="0"/>
              <w:left w:val="single" w:color="auto" w:sz="6" w:space="0"/>
              <w:bottom w:val="single" w:color="auto" w:sz="6" w:space="0"/>
              <w:right w:val="single" w:color="auto" w:sz="6" w:space="0"/>
            </w:tcBorders>
            <w:vAlign w:val="center"/>
          </w:tcPr>
          <w:p w14:paraId="704A6B5D">
            <w:pPr>
              <w:autoSpaceDE w:val="0"/>
              <w:autoSpaceDN w:val="0"/>
              <w:adjustRightInd w:val="0"/>
              <w:spacing w:line="500" w:lineRule="exact"/>
              <w:jc w:val="center"/>
              <w:rPr>
                <w:color w:val="auto"/>
                <w:sz w:val="24"/>
              </w:rPr>
            </w:pPr>
            <w:r>
              <w:rPr>
                <w:color w:val="auto"/>
                <w:sz w:val="24"/>
              </w:rPr>
              <w:t>8</w:t>
            </w:r>
          </w:p>
        </w:tc>
        <w:tc>
          <w:tcPr>
            <w:tcW w:w="540" w:type="dxa"/>
            <w:tcBorders>
              <w:top w:val="single" w:color="auto" w:sz="6" w:space="0"/>
              <w:left w:val="single" w:color="auto" w:sz="6" w:space="0"/>
              <w:bottom w:val="single" w:color="auto" w:sz="6" w:space="0"/>
              <w:right w:val="single" w:color="auto" w:sz="6" w:space="0"/>
            </w:tcBorders>
            <w:vAlign w:val="center"/>
          </w:tcPr>
          <w:p w14:paraId="326DE349">
            <w:pPr>
              <w:autoSpaceDE w:val="0"/>
              <w:autoSpaceDN w:val="0"/>
              <w:adjustRightInd w:val="0"/>
              <w:spacing w:line="500" w:lineRule="exact"/>
              <w:jc w:val="center"/>
              <w:rPr>
                <w:rFonts w:ascii="宋体" w:cs="宋体"/>
                <w:color w:val="auto"/>
                <w:sz w:val="24"/>
                <w:lang w:val="zh-CN"/>
              </w:rPr>
            </w:pPr>
            <w:r>
              <w:rPr>
                <w:rFonts w:hint="eastAsia" w:ascii="宋体" w:cs="宋体"/>
                <w:color w:val="auto"/>
                <w:sz w:val="24"/>
                <w:lang w:val="zh-CN"/>
              </w:rPr>
              <w:t>9</w:t>
            </w:r>
          </w:p>
        </w:tc>
      </w:tr>
      <w:tr w14:paraId="2662BE5A">
        <w:tblPrEx>
          <w:tblCellMar>
            <w:top w:w="0" w:type="dxa"/>
            <w:left w:w="10" w:type="dxa"/>
            <w:bottom w:w="0" w:type="dxa"/>
            <w:right w:w="10" w:type="dxa"/>
          </w:tblCellMar>
        </w:tblPrEx>
        <w:tc>
          <w:tcPr>
            <w:tcW w:w="468" w:type="dxa"/>
            <w:tcBorders>
              <w:top w:val="single" w:color="auto" w:sz="6" w:space="0"/>
              <w:left w:val="single" w:color="auto" w:sz="6" w:space="0"/>
              <w:bottom w:val="single" w:color="auto" w:sz="6" w:space="0"/>
              <w:right w:val="single" w:color="auto" w:sz="6" w:space="0"/>
            </w:tcBorders>
            <w:vAlign w:val="center"/>
          </w:tcPr>
          <w:p w14:paraId="02FE26EC">
            <w:pPr>
              <w:autoSpaceDE w:val="0"/>
              <w:autoSpaceDN w:val="0"/>
              <w:adjustRightInd w:val="0"/>
              <w:spacing w:line="500" w:lineRule="exact"/>
              <w:jc w:val="center"/>
              <w:rPr>
                <w:color w:val="auto"/>
                <w:sz w:val="24"/>
              </w:rPr>
            </w:pPr>
            <w:r>
              <w:rPr>
                <w:color w:val="auto"/>
                <w:sz w:val="24"/>
              </w:rPr>
              <w:t>1</w:t>
            </w:r>
          </w:p>
        </w:tc>
        <w:tc>
          <w:tcPr>
            <w:tcW w:w="3857" w:type="dxa"/>
            <w:tcBorders>
              <w:top w:val="single" w:color="auto" w:sz="6" w:space="0"/>
              <w:left w:val="single" w:color="auto" w:sz="6" w:space="0"/>
              <w:bottom w:val="single" w:color="auto" w:sz="6" w:space="0"/>
              <w:right w:val="single" w:color="auto" w:sz="6" w:space="0"/>
            </w:tcBorders>
            <w:vAlign w:val="center"/>
          </w:tcPr>
          <w:p w14:paraId="2CE940ED">
            <w:pPr>
              <w:autoSpaceDE w:val="0"/>
              <w:autoSpaceDN w:val="0"/>
              <w:adjustRightInd w:val="0"/>
              <w:spacing w:line="500" w:lineRule="exact"/>
              <w:jc w:val="center"/>
              <w:rPr>
                <w:rFonts w:ascii="宋体" w:cs="宋体"/>
                <w:color w:val="auto"/>
                <w:kern w:val="0"/>
                <w:sz w:val="24"/>
                <w:lang w:val="zh-CN"/>
              </w:rPr>
            </w:pPr>
            <w:r>
              <w:rPr>
                <w:rFonts w:hint="eastAsia" w:ascii="宋体" w:cs="宋体"/>
                <w:color w:val="auto"/>
                <w:kern w:val="0"/>
                <w:sz w:val="24"/>
                <w:lang w:val="zh-CN"/>
              </w:rPr>
              <w:t>响应文件中</w:t>
            </w:r>
          </w:p>
          <w:p w14:paraId="440AD7B8">
            <w:pPr>
              <w:autoSpaceDE w:val="0"/>
              <w:autoSpaceDN w:val="0"/>
              <w:adjustRightInd w:val="0"/>
              <w:spacing w:line="500" w:lineRule="exact"/>
              <w:jc w:val="center"/>
              <w:rPr>
                <w:rFonts w:ascii="宋体" w:cs="宋体"/>
                <w:color w:val="auto"/>
                <w:sz w:val="24"/>
                <w:lang w:val="zh-CN"/>
              </w:rPr>
            </w:pPr>
            <w:r>
              <w:rPr>
                <w:rFonts w:hint="eastAsia" w:ascii="宋体" w:cs="宋体"/>
                <w:color w:val="auto"/>
                <w:kern w:val="0"/>
                <w:sz w:val="24"/>
                <w:lang w:val="zh-CN"/>
              </w:rPr>
              <w:t>需要澄清的</w:t>
            </w:r>
          </w:p>
        </w:tc>
        <w:tc>
          <w:tcPr>
            <w:tcW w:w="540" w:type="dxa"/>
            <w:tcBorders>
              <w:top w:val="single" w:color="auto" w:sz="6" w:space="0"/>
              <w:left w:val="single" w:color="auto" w:sz="6" w:space="0"/>
              <w:bottom w:val="single" w:color="auto" w:sz="6" w:space="0"/>
              <w:right w:val="single" w:color="auto" w:sz="6" w:space="0"/>
            </w:tcBorders>
            <w:vAlign w:val="center"/>
          </w:tcPr>
          <w:p w14:paraId="36A1C195">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6CE0E5E4">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038B832A">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1A4D9030">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5BDD2529">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5BA05225">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419316AE">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22D5F001">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35454D6F">
            <w:pPr>
              <w:autoSpaceDE w:val="0"/>
              <w:autoSpaceDN w:val="0"/>
              <w:adjustRightInd w:val="0"/>
              <w:spacing w:line="500" w:lineRule="exact"/>
              <w:jc w:val="center"/>
              <w:rPr>
                <w:rFonts w:ascii="宋体" w:cs="宋体"/>
                <w:color w:val="auto"/>
                <w:sz w:val="24"/>
                <w:lang w:val="zh-CN"/>
              </w:rPr>
            </w:pPr>
          </w:p>
        </w:tc>
      </w:tr>
      <w:tr w14:paraId="25349E70">
        <w:tblPrEx>
          <w:tblCellMar>
            <w:top w:w="0" w:type="dxa"/>
            <w:left w:w="10" w:type="dxa"/>
            <w:bottom w:w="0" w:type="dxa"/>
            <w:right w:w="10" w:type="dxa"/>
          </w:tblCellMar>
        </w:tblPrEx>
        <w:tc>
          <w:tcPr>
            <w:tcW w:w="468" w:type="dxa"/>
            <w:tcBorders>
              <w:top w:val="single" w:color="auto" w:sz="6" w:space="0"/>
              <w:left w:val="single" w:color="auto" w:sz="6" w:space="0"/>
              <w:bottom w:val="single" w:color="auto" w:sz="6" w:space="0"/>
              <w:right w:val="single" w:color="auto" w:sz="6" w:space="0"/>
            </w:tcBorders>
            <w:vAlign w:val="center"/>
          </w:tcPr>
          <w:p w14:paraId="4DD7BD4A">
            <w:pPr>
              <w:autoSpaceDE w:val="0"/>
              <w:autoSpaceDN w:val="0"/>
              <w:adjustRightInd w:val="0"/>
              <w:spacing w:line="500" w:lineRule="exact"/>
              <w:jc w:val="center"/>
              <w:rPr>
                <w:color w:val="auto"/>
                <w:sz w:val="24"/>
              </w:rPr>
            </w:pPr>
            <w:r>
              <w:rPr>
                <w:color w:val="auto"/>
                <w:sz w:val="24"/>
              </w:rPr>
              <w:t>2</w:t>
            </w:r>
          </w:p>
        </w:tc>
        <w:tc>
          <w:tcPr>
            <w:tcW w:w="3857" w:type="dxa"/>
            <w:tcBorders>
              <w:top w:val="single" w:color="auto" w:sz="6" w:space="0"/>
              <w:left w:val="single" w:color="auto" w:sz="6" w:space="0"/>
              <w:bottom w:val="single" w:color="auto" w:sz="6" w:space="0"/>
              <w:right w:val="single" w:color="auto" w:sz="6" w:space="0"/>
            </w:tcBorders>
            <w:vAlign w:val="center"/>
          </w:tcPr>
          <w:p w14:paraId="6ED37A78">
            <w:pPr>
              <w:autoSpaceDE w:val="0"/>
              <w:autoSpaceDN w:val="0"/>
              <w:adjustRightInd w:val="0"/>
              <w:spacing w:line="500" w:lineRule="exact"/>
              <w:jc w:val="center"/>
              <w:rPr>
                <w:rFonts w:ascii="宋体" w:cs="宋体"/>
                <w:color w:val="auto"/>
                <w:kern w:val="0"/>
                <w:sz w:val="24"/>
                <w:lang w:val="zh-CN"/>
              </w:rPr>
            </w:pPr>
            <w:r>
              <w:rPr>
                <w:rFonts w:hint="eastAsia" w:ascii="宋体" w:cs="宋体"/>
                <w:color w:val="auto"/>
                <w:kern w:val="0"/>
                <w:sz w:val="24"/>
                <w:lang w:val="zh-CN"/>
              </w:rPr>
              <w:t>对响应文件中</w:t>
            </w:r>
          </w:p>
          <w:p w14:paraId="1E8BB5A2">
            <w:pPr>
              <w:autoSpaceDE w:val="0"/>
              <w:autoSpaceDN w:val="0"/>
              <w:adjustRightInd w:val="0"/>
              <w:spacing w:line="500" w:lineRule="exact"/>
              <w:jc w:val="center"/>
              <w:rPr>
                <w:rFonts w:ascii="宋体" w:cs="宋体"/>
                <w:color w:val="auto"/>
                <w:sz w:val="24"/>
                <w:lang w:val="zh-CN"/>
              </w:rPr>
            </w:pPr>
            <w:r>
              <w:rPr>
                <w:rFonts w:hint="eastAsia" w:ascii="宋体" w:cs="宋体"/>
                <w:color w:val="auto"/>
                <w:kern w:val="0"/>
                <w:sz w:val="24"/>
                <w:lang w:val="zh-CN"/>
              </w:rPr>
              <w:t>含义不明确的</w:t>
            </w:r>
          </w:p>
        </w:tc>
        <w:tc>
          <w:tcPr>
            <w:tcW w:w="540" w:type="dxa"/>
            <w:tcBorders>
              <w:top w:val="single" w:color="auto" w:sz="6" w:space="0"/>
              <w:left w:val="single" w:color="auto" w:sz="6" w:space="0"/>
              <w:bottom w:val="single" w:color="auto" w:sz="6" w:space="0"/>
              <w:right w:val="single" w:color="auto" w:sz="6" w:space="0"/>
            </w:tcBorders>
            <w:vAlign w:val="center"/>
          </w:tcPr>
          <w:p w14:paraId="4B101676">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7BDFDE6D">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72DE16D1">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7523E948">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698F72E3">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19BA9AA0">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0CF19109">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607EF50E">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67FEAB0D">
            <w:pPr>
              <w:autoSpaceDE w:val="0"/>
              <w:autoSpaceDN w:val="0"/>
              <w:adjustRightInd w:val="0"/>
              <w:spacing w:line="500" w:lineRule="exact"/>
              <w:jc w:val="center"/>
              <w:rPr>
                <w:rFonts w:ascii="宋体" w:cs="宋体"/>
                <w:color w:val="auto"/>
                <w:sz w:val="24"/>
                <w:lang w:val="zh-CN"/>
              </w:rPr>
            </w:pPr>
          </w:p>
        </w:tc>
      </w:tr>
      <w:tr w14:paraId="260058A8">
        <w:tblPrEx>
          <w:tblCellMar>
            <w:top w:w="0" w:type="dxa"/>
            <w:left w:w="10" w:type="dxa"/>
            <w:bottom w:w="0" w:type="dxa"/>
            <w:right w:w="10" w:type="dxa"/>
          </w:tblCellMar>
        </w:tblPrEx>
        <w:tc>
          <w:tcPr>
            <w:tcW w:w="468" w:type="dxa"/>
            <w:tcBorders>
              <w:top w:val="single" w:color="auto" w:sz="6" w:space="0"/>
              <w:left w:val="single" w:color="auto" w:sz="6" w:space="0"/>
              <w:bottom w:val="single" w:color="auto" w:sz="6" w:space="0"/>
              <w:right w:val="single" w:color="auto" w:sz="6" w:space="0"/>
            </w:tcBorders>
            <w:vAlign w:val="center"/>
          </w:tcPr>
          <w:p w14:paraId="7D12440F">
            <w:pPr>
              <w:autoSpaceDE w:val="0"/>
              <w:autoSpaceDN w:val="0"/>
              <w:adjustRightInd w:val="0"/>
              <w:spacing w:line="500" w:lineRule="exact"/>
              <w:jc w:val="center"/>
              <w:rPr>
                <w:color w:val="auto"/>
                <w:sz w:val="24"/>
              </w:rPr>
            </w:pPr>
            <w:r>
              <w:rPr>
                <w:color w:val="auto"/>
                <w:sz w:val="24"/>
              </w:rPr>
              <w:t>3</w:t>
            </w:r>
          </w:p>
        </w:tc>
        <w:tc>
          <w:tcPr>
            <w:tcW w:w="3857" w:type="dxa"/>
            <w:tcBorders>
              <w:top w:val="single" w:color="auto" w:sz="6" w:space="0"/>
              <w:left w:val="single" w:color="auto" w:sz="6" w:space="0"/>
              <w:bottom w:val="single" w:color="auto" w:sz="6" w:space="0"/>
              <w:right w:val="single" w:color="auto" w:sz="6" w:space="0"/>
            </w:tcBorders>
            <w:vAlign w:val="center"/>
          </w:tcPr>
          <w:p w14:paraId="51B8DEF5">
            <w:pPr>
              <w:autoSpaceDE w:val="0"/>
              <w:autoSpaceDN w:val="0"/>
              <w:adjustRightInd w:val="0"/>
              <w:spacing w:line="500" w:lineRule="exact"/>
              <w:jc w:val="center"/>
              <w:rPr>
                <w:rFonts w:ascii="宋体" w:cs="宋体"/>
                <w:color w:val="auto"/>
                <w:sz w:val="24"/>
                <w:lang w:val="zh-CN"/>
              </w:rPr>
            </w:pPr>
            <w:r>
              <w:rPr>
                <w:rFonts w:hint="eastAsia" w:ascii="宋体" w:cs="宋体"/>
                <w:color w:val="auto"/>
                <w:kern w:val="0"/>
                <w:sz w:val="24"/>
                <w:lang w:val="zh-CN"/>
              </w:rPr>
              <w:t>对同类问题表述不一致的</w:t>
            </w:r>
          </w:p>
        </w:tc>
        <w:tc>
          <w:tcPr>
            <w:tcW w:w="540" w:type="dxa"/>
            <w:tcBorders>
              <w:top w:val="single" w:color="auto" w:sz="6" w:space="0"/>
              <w:left w:val="single" w:color="auto" w:sz="6" w:space="0"/>
              <w:bottom w:val="single" w:color="auto" w:sz="6" w:space="0"/>
              <w:right w:val="single" w:color="auto" w:sz="6" w:space="0"/>
            </w:tcBorders>
            <w:vAlign w:val="center"/>
          </w:tcPr>
          <w:p w14:paraId="0471C129">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54BFB952">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1EF29FC1">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5EAFB128">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02AB9B79">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34BD26E9">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6478432A">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7C27012B">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5321E1A8">
            <w:pPr>
              <w:autoSpaceDE w:val="0"/>
              <w:autoSpaceDN w:val="0"/>
              <w:adjustRightInd w:val="0"/>
              <w:spacing w:line="500" w:lineRule="exact"/>
              <w:jc w:val="center"/>
              <w:rPr>
                <w:rFonts w:ascii="宋体" w:cs="宋体"/>
                <w:color w:val="auto"/>
                <w:sz w:val="24"/>
                <w:lang w:val="zh-CN"/>
              </w:rPr>
            </w:pPr>
          </w:p>
        </w:tc>
      </w:tr>
      <w:tr w14:paraId="1E52166C">
        <w:tblPrEx>
          <w:tblCellMar>
            <w:top w:w="0" w:type="dxa"/>
            <w:left w:w="10" w:type="dxa"/>
            <w:bottom w:w="0" w:type="dxa"/>
            <w:right w:w="10" w:type="dxa"/>
          </w:tblCellMar>
        </w:tblPrEx>
        <w:tc>
          <w:tcPr>
            <w:tcW w:w="468" w:type="dxa"/>
            <w:tcBorders>
              <w:top w:val="single" w:color="auto" w:sz="6" w:space="0"/>
              <w:left w:val="single" w:color="auto" w:sz="6" w:space="0"/>
              <w:bottom w:val="single" w:color="auto" w:sz="6" w:space="0"/>
              <w:right w:val="single" w:color="auto" w:sz="6" w:space="0"/>
            </w:tcBorders>
            <w:vAlign w:val="center"/>
          </w:tcPr>
          <w:p w14:paraId="0BA7FA20">
            <w:pPr>
              <w:autoSpaceDE w:val="0"/>
              <w:autoSpaceDN w:val="0"/>
              <w:adjustRightInd w:val="0"/>
              <w:spacing w:line="500" w:lineRule="exact"/>
              <w:jc w:val="center"/>
              <w:rPr>
                <w:color w:val="auto"/>
                <w:sz w:val="24"/>
              </w:rPr>
            </w:pPr>
            <w:r>
              <w:rPr>
                <w:color w:val="auto"/>
                <w:sz w:val="24"/>
              </w:rPr>
              <w:t>4</w:t>
            </w:r>
          </w:p>
        </w:tc>
        <w:tc>
          <w:tcPr>
            <w:tcW w:w="3857" w:type="dxa"/>
            <w:tcBorders>
              <w:top w:val="single" w:color="auto" w:sz="6" w:space="0"/>
              <w:left w:val="single" w:color="auto" w:sz="6" w:space="0"/>
              <w:bottom w:val="single" w:color="auto" w:sz="6" w:space="0"/>
              <w:right w:val="single" w:color="auto" w:sz="6" w:space="0"/>
            </w:tcBorders>
            <w:vAlign w:val="center"/>
          </w:tcPr>
          <w:p w14:paraId="7D942A1E">
            <w:pPr>
              <w:autoSpaceDE w:val="0"/>
              <w:autoSpaceDN w:val="0"/>
              <w:adjustRightInd w:val="0"/>
              <w:spacing w:line="500" w:lineRule="exact"/>
              <w:jc w:val="center"/>
              <w:rPr>
                <w:rFonts w:ascii="宋体" w:cs="宋体"/>
                <w:color w:val="auto"/>
                <w:kern w:val="0"/>
                <w:sz w:val="24"/>
                <w:lang w:val="zh-CN"/>
              </w:rPr>
            </w:pPr>
            <w:r>
              <w:rPr>
                <w:rFonts w:hint="eastAsia" w:ascii="宋体" w:cs="宋体"/>
                <w:color w:val="auto"/>
                <w:kern w:val="0"/>
                <w:sz w:val="24"/>
                <w:lang w:val="zh-CN"/>
              </w:rPr>
              <w:t>明显文字和</w:t>
            </w:r>
          </w:p>
          <w:p w14:paraId="35446D6B">
            <w:pPr>
              <w:autoSpaceDE w:val="0"/>
              <w:autoSpaceDN w:val="0"/>
              <w:adjustRightInd w:val="0"/>
              <w:spacing w:line="500" w:lineRule="exact"/>
              <w:jc w:val="center"/>
              <w:rPr>
                <w:rFonts w:ascii="宋体" w:cs="宋体"/>
                <w:color w:val="auto"/>
                <w:sz w:val="24"/>
                <w:lang w:val="zh-CN"/>
              </w:rPr>
            </w:pPr>
            <w:r>
              <w:rPr>
                <w:rFonts w:hint="eastAsia" w:ascii="宋体" w:cs="宋体"/>
                <w:color w:val="auto"/>
                <w:kern w:val="0"/>
                <w:sz w:val="24"/>
                <w:lang w:val="zh-CN"/>
              </w:rPr>
              <w:t>计算错误的</w:t>
            </w:r>
          </w:p>
        </w:tc>
        <w:tc>
          <w:tcPr>
            <w:tcW w:w="540" w:type="dxa"/>
            <w:tcBorders>
              <w:top w:val="single" w:color="auto" w:sz="6" w:space="0"/>
              <w:left w:val="single" w:color="auto" w:sz="6" w:space="0"/>
              <w:bottom w:val="single" w:color="auto" w:sz="6" w:space="0"/>
              <w:right w:val="single" w:color="auto" w:sz="6" w:space="0"/>
            </w:tcBorders>
            <w:vAlign w:val="center"/>
          </w:tcPr>
          <w:p w14:paraId="6BE6ACB7">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50CA5BB6">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3D3F52CF">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22D725E2">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2F436EEA">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2919D87E">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19A793E2">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1EB0552E">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605F5550">
            <w:pPr>
              <w:autoSpaceDE w:val="0"/>
              <w:autoSpaceDN w:val="0"/>
              <w:adjustRightInd w:val="0"/>
              <w:spacing w:line="500" w:lineRule="exact"/>
              <w:jc w:val="center"/>
              <w:rPr>
                <w:rFonts w:ascii="宋体" w:cs="宋体"/>
                <w:color w:val="auto"/>
                <w:sz w:val="24"/>
                <w:lang w:val="zh-CN"/>
              </w:rPr>
            </w:pPr>
          </w:p>
        </w:tc>
      </w:tr>
      <w:tr w14:paraId="20973A86">
        <w:tc>
          <w:tcPr>
            <w:tcW w:w="468" w:type="dxa"/>
            <w:tcBorders>
              <w:top w:val="single" w:color="auto" w:sz="6" w:space="0"/>
              <w:left w:val="single" w:color="auto" w:sz="6" w:space="0"/>
              <w:bottom w:val="single" w:color="auto" w:sz="6" w:space="0"/>
              <w:right w:val="single" w:color="auto" w:sz="6" w:space="0"/>
            </w:tcBorders>
            <w:vAlign w:val="center"/>
          </w:tcPr>
          <w:p w14:paraId="4C5A7B72">
            <w:pPr>
              <w:autoSpaceDE w:val="0"/>
              <w:autoSpaceDN w:val="0"/>
              <w:adjustRightInd w:val="0"/>
              <w:spacing w:line="500" w:lineRule="exact"/>
              <w:jc w:val="center"/>
              <w:rPr>
                <w:color w:val="auto"/>
                <w:sz w:val="24"/>
              </w:rPr>
            </w:pPr>
            <w:r>
              <w:rPr>
                <w:color w:val="auto"/>
                <w:sz w:val="24"/>
              </w:rPr>
              <w:t>5</w:t>
            </w:r>
          </w:p>
        </w:tc>
        <w:tc>
          <w:tcPr>
            <w:tcW w:w="3857" w:type="dxa"/>
            <w:tcBorders>
              <w:top w:val="single" w:color="auto" w:sz="6" w:space="0"/>
              <w:left w:val="single" w:color="auto" w:sz="6" w:space="0"/>
              <w:bottom w:val="single" w:color="auto" w:sz="6" w:space="0"/>
              <w:right w:val="single" w:color="auto" w:sz="6" w:space="0"/>
            </w:tcBorders>
            <w:vAlign w:val="center"/>
          </w:tcPr>
          <w:p w14:paraId="29F6C778">
            <w:pPr>
              <w:autoSpaceDE w:val="0"/>
              <w:autoSpaceDN w:val="0"/>
              <w:adjustRightInd w:val="0"/>
              <w:spacing w:line="500" w:lineRule="exact"/>
              <w:jc w:val="center"/>
              <w:rPr>
                <w:color w:val="auto"/>
                <w:sz w:val="24"/>
              </w:rPr>
            </w:pPr>
            <w:r>
              <w:rPr>
                <w:rFonts w:hint="eastAsia" w:ascii="宋体" w:cs="宋体"/>
                <w:color w:val="auto"/>
                <w:sz w:val="24"/>
                <w:lang w:val="zh-CN"/>
              </w:rPr>
              <w:t>结论</w:t>
            </w:r>
          </w:p>
        </w:tc>
        <w:tc>
          <w:tcPr>
            <w:tcW w:w="540" w:type="dxa"/>
            <w:tcBorders>
              <w:top w:val="single" w:color="auto" w:sz="6" w:space="0"/>
              <w:left w:val="single" w:color="auto" w:sz="6" w:space="0"/>
              <w:bottom w:val="single" w:color="auto" w:sz="6" w:space="0"/>
              <w:right w:val="single" w:color="auto" w:sz="6" w:space="0"/>
            </w:tcBorders>
            <w:vAlign w:val="center"/>
          </w:tcPr>
          <w:p w14:paraId="5706BFA9">
            <w:pPr>
              <w:autoSpaceDE w:val="0"/>
              <w:autoSpaceDN w:val="0"/>
              <w:adjustRightInd w:val="0"/>
              <w:spacing w:line="500" w:lineRule="exact"/>
              <w:jc w:val="center"/>
              <w:rPr>
                <w:color w:val="auto"/>
                <w:sz w:val="24"/>
              </w:rPr>
            </w:pPr>
          </w:p>
        </w:tc>
        <w:tc>
          <w:tcPr>
            <w:tcW w:w="540" w:type="dxa"/>
            <w:tcBorders>
              <w:top w:val="single" w:color="auto" w:sz="6" w:space="0"/>
              <w:left w:val="single" w:color="auto" w:sz="6" w:space="0"/>
              <w:bottom w:val="single" w:color="auto" w:sz="6" w:space="0"/>
              <w:right w:val="single" w:color="auto" w:sz="6" w:space="0"/>
            </w:tcBorders>
            <w:vAlign w:val="center"/>
          </w:tcPr>
          <w:p w14:paraId="5B584A37">
            <w:pPr>
              <w:autoSpaceDE w:val="0"/>
              <w:autoSpaceDN w:val="0"/>
              <w:adjustRightInd w:val="0"/>
              <w:spacing w:line="500" w:lineRule="exact"/>
              <w:jc w:val="center"/>
              <w:rPr>
                <w:color w:val="auto"/>
                <w:sz w:val="24"/>
              </w:rPr>
            </w:pPr>
          </w:p>
        </w:tc>
        <w:tc>
          <w:tcPr>
            <w:tcW w:w="540" w:type="dxa"/>
            <w:tcBorders>
              <w:top w:val="single" w:color="auto" w:sz="6" w:space="0"/>
              <w:left w:val="single" w:color="auto" w:sz="6" w:space="0"/>
              <w:bottom w:val="single" w:color="auto" w:sz="6" w:space="0"/>
              <w:right w:val="single" w:color="auto" w:sz="6" w:space="0"/>
            </w:tcBorders>
            <w:vAlign w:val="center"/>
          </w:tcPr>
          <w:p w14:paraId="30AE1E3C">
            <w:pPr>
              <w:autoSpaceDE w:val="0"/>
              <w:autoSpaceDN w:val="0"/>
              <w:adjustRightInd w:val="0"/>
              <w:spacing w:line="500" w:lineRule="exact"/>
              <w:jc w:val="center"/>
              <w:rPr>
                <w:color w:val="auto"/>
                <w:sz w:val="24"/>
              </w:rPr>
            </w:pPr>
          </w:p>
        </w:tc>
        <w:tc>
          <w:tcPr>
            <w:tcW w:w="540" w:type="dxa"/>
            <w:tcBorders>
              <w:top w:val="single" w:color="auto" w:sz="6" w:space="0"/>
              <w:left w:val="single" w:color="auto" w:sz="6" w:space="0"/>
              <w:bottom w:val="single" w:color="auto" w:sz="6" w:space="0"/>
              <w:right w:val="single" w:color="auto" w:sz="6" w:space="0"/>
            </w:tcBorders>
            <w:vAlign w:val="center"/>
          </w:tcPr>
          <w:p w14:paraId="141964C7">
            <w:pPr>
              <w:autoSpaceDE w:val="0"/>
              <w:autoSpaceDN w:val="0"/>
              <w:adjustRightInd w:val="0"/>
              <w:spacing w:line="500" w:lineRule="exact"/>
              <w:jc w:val="center"/>
              <w:rPr>
                <w:color w:val="auto"/>
                <w:sz w:val="24"/>
              </w:rPr>
            </w:pPr>
          </w:p>
        </w:tc>
        <w:tc>
          <w:tcPr>
            <w:tcW w:w="540" w:type="dxa"/>
            <w:tcBorders>
              <w:top w:val="single" w:color="auto" w:sz="6" w:space="0"/>
              <w:left w:val="single" w:color="auto" w:sz="6" w:space="0"/>
              <w:bottom w:val="single" w:color="auto" w:sz="6" w:space="0"/>
              <w:right w:val="single" w:color="auto" w:sz="6" w:space="0"/>
            </w:tcBorders>
            <w:vAlign w:val="center"/>
          </w:tcPr>
          <w:p w14:paraId="0373D584">
            <w:pPr>
              <w:autoSpaceDE w:val="0"/>
              <w:autoSpaceDN w:val="0"/>
              <w:adjustRightInd w:val="0"/>
              <w:spacing w:line="500" w:lineRule="exact"/>
              <w:jc w:val="center"/>
              <w:rPr>
                <w:color w:val="auto"/>
                <w:sz w:val="24"/>
              </w:rPr>
            </w:pPr>
          </w:p>
        </w:tc>
        <w:tc>
          <w:tcPr>
            <w:tcW w:w="540" w:type="dxa"/>
            <w:tcBorders>
              <w:top w:val="single" w:color="auto" w:sz="6" w:space="0"/>
              <w:left w:val="single" w:color="auto" w:sz="6" w:space="0"/>
              <w:bottom w:val="single" w:color="auto" w:sz="6" w:space="0"/>
              <w:right w:val="single" w:color="auto" w:sz="6" w:space="0"/>
            </w:tcBorders>
            <w:vAlign w:val="center"/>
          </w:tcPr>
          <w:p w14:paraId="489CB8BE">
            <w:pPr>
              <w:autoSpaceDE w:val="0"/>
              <w:autoSpaceDN w:val="0"/>
              <w:adjustRightInd w:val="0"/>
              <w:spacing w:line="500" w:lineRule="exact"/>
              <w:jc w:val="center"/>
              <w:rPr>
                <w:color w:val="auto"/>
                <w:sz w:val="24"/>
              </w:rPr>
            </w:pPr>
          </w:p>
        </w:tc>
        <w:tc>
          <w:tcPr>
            <w:tcW w:w="540" w:type="dxa"/>
            <w:tcBorders>
              <w:top w:val="single" w:color="auto" w:sz="6" w:space="0"/>
              <w:left w:val="single" w:color="auto" w:sz="6" w:space="0"/>
              <w:bottom w:val="single" w:color="auto" w:sz="6" w:space="0"/>
              <w:right w:val="single" w:color="auto" w:sz="6" w:space="0"/>
            </w:tcBorders>
            <w:vAlign w:val="center"/>
          </w:tcPr>
          <w:p w14:paraId="17E18862">
            <w:pPr>
              <w:autoSpaceDE w:val="0"/>
              <w:autoSpaceDN w:val="0"/>
              <w:adjustRightInd w:val="0"/>
              <w:spacing w:line="500" w:lineRule="exact"/>
              <w:jc w:val="center"/>
              <w:rPr>
                <w:color w:val="auto"/>
                <w:sz w:val="24"/>
              </w:rPr>
            </w:pPr>
          </w:p>
        </w:tc>
        <w:tc>
          <w:tcPr>
            <w:tcW w:w="540" w:type="dxa"/>
            <w:tcBorders>
              <w:top w:val="single" w:color="auto" w:sz="6" w:space="0"/>
              <w:left w:val="single" w:color="auto" w:sz="6" w:space="0"/>
              <w:bottom w:val="single" w:color="auto" w:sz="6" w:space="0"/>
              <w:right w:val="single" w:color="auto" w:sz="6" w:space="0"/>
            </w:tcBorders>
            <w:vAlign w:val="center"/>
          </w:tcPr>
          <w:p w14:paraId="6C36FBBA">
            <w:pPr>
              <w:autoSpaceDE w:val="0"/>
              <w:autoSpaceDN w:val="0"/>
              <w:adjustRightInd w:val="0"/>
              <w:spacing w:line="500" w:lineRule="exact"/>
              <w:jc w:val="center"/>
              <w:rPr>
                <w:color w:val="auto"/>
                <w:sz w:val="24"/>
              </w:rPr>
            </w:pPr>
          </w:p>
        </w:tc>
        <w:tc>
          <w:tcPr>
            <w:tcW w:w="540" w:type="dxa"/>
            <w:tcBorders>
              <w:top w:val="single" w:color="auto" w:sz="6" w:space="0"/>
              <w:left w:val="single" w:color="auto" w:sz="6" w:space="0"/>
              <w:bottom w:val="single" w:color="auto" w:sz="6" w:space="0"/>
              <w:right w:val="single" w:color="auto" w:sz="6" w:space="0"/>
            </w:tcBorders>
            <w:vAlign w:val="center"/>
          </w:tcPr>
          <w:p w14:paraId="1DE7776A">
            <w:pPr>
              <w:autoSpaceDE w:val="0"/>
              <w:autoSpaceDN w:val="0"/>
              <w:adjustRightInd w:val="0"/>
              <w:spacing w:line="500" w:lineRule="exact"/>
              <w:jc w:val="center"/>
              <w:rPr>
                <w:color w:val="auto"/>
                <w:sz w:val="24"/>
              </w:rPr>
            </w:pPr>
          </w:p>
        </w:tc>
      </w:tr>
      <w:tr w14:paraId="7F550BC3">
        <w:tblPrEx>
          <w:tblCellMar>
            <w:top w:w="0" w:type="dxa"/>
            <w:left w:w="10" w:type="dxa"/>
            <w:bottom w:w="0" w:type="dxa"/>
            <w:right w:w="10" w:type="dxa"/>
          </w:tblCellMar>
        </w:tblPrEx>
        <w:trPr>
          <w:trHeight w:val="1707" w:hRule="atLeast"/>
        </w:trPr>
        <w:tc>
          <w:tcPr>
            <w:tcW w:w="9185" w:type="dxa"/>
            <w:gridSpan w:val="11"/>
            <w:tcBorders>
              <w:top w:val="single" w:color="auto" w:sz="6" w:space="0"/>
              <w:left w:val="single" w:color="auto" w:sz="6" w:space="0"/>
              <w:bottom w:val="single" w:color="auto" w:sz="6" w:space="0"/>
              <w:right w:val="single" w:color="auto" w:sz="6" w:space="0"/>
            </w:tcBorders>
            <w:vAlign w:val="center"/>
          </w:tcPr>
          <w:p w14:paraId="61B0808D">
            <w:pPr>
              <w:autoSpaceDE w:val="0"/>
              <w:autoSpaceDN w:val="0"/>
              <w:adjustRightInd w:val="0"/>
              <w:spacing w:line="500" w:lineRule="exact"/>
              <w:rPr>
                <w:rFonts w:ascii="宋体" w:cs="宋体"/>
                <w:color w:val="auto"/>
                <w:sz w:val="24"/>
                <w:lang w:val="zh-CN"/>
              </w:rPr>
            </w:pPr>
            <w:r>
              <w:rPr>
                <w:rFonts w:hint="eastAsia" w:ascii="宋体" w:cs="宋体"/>
                <w:color w:val="auto"/>
                <w:sz w:val="24"/>
                <w:lang w:val="zh-CN"/>
              </w:rPr>
              <w:t>评委签名：</w:t>
            </w:r>
          </w:p>
          <w:p w14:paraId="58149078">
            <w:pPr>
              <w:autoSpaceDE w:val="0"/>
              <w:autoSpaceDN w:val="0"/>
              <w:adjustRightInd w:val="0"/>
              <w:spacing w:line="500" w:lineRule="exact"/>
              <w:jc w:val="center"/>
              <w:rPr>
                <w:rFonts w:ascii="宋体" w:cs="宋体"/>
                <w:color w:val="auto"/>
                <w:sz w:val="24"/>
                <w:lang w:val="zh-CN"/>
              </w:rPr>
            </w:pPr>
          </w:p>
          <w:p w14:paraId="05149659">
            <w:pPr>
              <w:autoSpaceDE w:val="0"/>
              <w:autoSpaceDN w:val="0"/>
              <w:adjustRightInd w:val="0"/>
              <w:spacing w:line="500" w:lineRule="exact"/>
              <w:ind w:firstLine="4080"/>
              <w:rPr>
                <w:rFonts w:ascii="宋体" w:cs="宋体"/>
                <w:color w:val="auto"/>
                <w:sz w:val="24"/>
                <w:lang w:val="zh-CN"/>
              </w:rPr>
            </w:pPr>
          </w:p>
          <w:p w14:paraId="4383CA21">
            <w:pPr>
              <w:autoSpaceDE w:val="0"/>
              <w:autoSpaceDN w:val="0"/>
              <w:adjustRightInd w:val="0"/>
              <w:spacing w:line="500" w:lineRule="exact"/>
              <w:ind w:firstLine="4080"/>
              <w:rPr>
                <w:rFonts w:ascii="宋体" w:cs="宋体"/>
                <w:color w:val="auto"/>
                <w:sz w:val="24"/>
                <w:lang w:val="zh-CN"/>
              </w:rPr>
            </w:pPr>
          </w:p>
          <w:p w14:paraId="42884D21">
            <w:pPr>
              <w:autoSpaceDE w:val="0"/>
              <w:autoSpaceDN w:val="0"/>
              <w:adjustRightInd w:val="0"/>
              <w:spacing w:line="500" w:lineRule="exact"/>
              <w:ind w:firstLine="4800"/>
              <w:rPr>
                <w:rFonts w:ascii="宋体" w:cs="宋体"/>
                <w:color w:val="auto"/>
                <w:sz w:val="24"/>
                <w:lang w:val="zh-CN"/>
              </w:rPr>
            </w:pPr>
          </w:p>
          <w:p w14:paraId="576A6666">
            <w:pPr>
              <w:autoSpaceDE w:val="0"/>
              <w:autoSpaceDN w:val="0"/>
              <w:adjustRightInd w:val="0"/>
              <w:spacing w:line="500" w:lineRule="exact"/>
              <w:ind w:firstLine="6600" w:firstLineChars="2750"/>
              <w:rPr>
                <w:rFonts w:ascii="宋体" w:cs="宋体"/>
                <w:color w:val="auto"/>
                <w:sz w:val="24"/>
                <w:lang w:val="zh-CN"/>
              </w:rPr>
            </w:pPr>
            <w:r>
              <w:rPr>
                <w:rFonts w:hint="eastAsia" w:ascii="宋体" w:cs="宋体"/>
                <w:color w:val="auto"/>
                <w:sz w:val="24"/>
                <w:lang w:val="zh-CN"/>
              </w:rPr>
              <w:t>年   月   日</w:t>
            </w:r>
          </w:p>
        </w:tc>
      </w:tr>
    </w:tbl>
    <w:p w14:paraId="341B9215">
      <w:pPr>
        <w:rPr>
          <w:color w:val="auto"/>
          <w:lang w:val="zh-CN"/>
        </w:rPr>
      </w:pPr>
    </w:p>
    <w:p w14:paraId="3DCC01DF">
      <w:pPr>
        <w:autoSpaceDE w:val="0"/>
        <w:autoSpaceDN w:val="0"/>
        <w:adjustRightInd w:val="0"/>
        <w:spacing w:line="500" w:lineRule="exact"/>
        <w:ind w:firstLine="240"/>
        <w:rPr>
          <w:rFonts w:ascii="宋体" w:cs="宋体"/>
          <w:color w:val="auto"/>
          <w:sz w:val="24"/>
          <w:lang w:val="zh-CN"/>
        </w:rPr>
      </w:pPr>
      <w:r>
        <w:rPr>
          <w:rFonts w:hint="eastAsia" w:ascii="宋体" w:cs="宋体"/>
          <w:color w:val="auto"/>
          <w:sz w:val="24"/>
          <w:lang w:val="zh-CN"/>
        </w:rPr>
        <w:t>注： (1) 磋商小组可以书面方式要求供应商对响应文件中含义不明确、对同类问题表述不一致或者有明显文字和计算错误的内容作必要的澄清、说明或者纠正。澄清、说明或者补正应以书面方式进行并不得超出响应文件的范围或者改变响应文件的实质性内容。</w:t>
      </w:r>
    </w:p>
    <w:p w14:paraId="01373879">
      <w:pPr>
        <w:autoSpaceDE w:val="0"/>
        <w:autoSpaceDN w:val="0"/>
        <w:adjustRightInd w:val="0"/>
        <w:spacing w:line="500" w:lineRule="exact"/>
        <w:ind w:left="99" w:firstLine="720"/>
        <w:rPr>
          <w:rFonts w:ascii="宋体" w:cs="宋体"/>
          <w:color w:val="auto"/>
          <w:sz w:val="24"/>
          <w:lang w:val="zh-CN"/>
        </w:rPr>
      </w:pPr>
      <w:r>
        <w:rPr>
          <w:rFonts w:hint="eastAsia" w:ascii="宋体" w:cs="宋体"/>
          <w:color w:val="auto"/>
          <w:sz w:val="24"/>
          <w:lang w:val="zh-CN"/>
        </w:rPr>
        <w:t xml:space="preserve"> (2)结论填写</w:t>
      </w:r>
      <w:r>
        <w:rPr>
          <w:rFonts w:ascii="宋体" w:cs="宋体"/>
          <w:color w:val="auto"/>
          <w:sz w:val="24"/>
          <w:lang w:val="zh-CN"/>
        </w:rPr>
        <w:t>“</w:t>
      </w:r>
      <w:r>
        <w:rPr>
          <w:rFonts w:hint="eastAsia" w:ascii="宋体" w:cs="宋体"/>
          <w:color w:val="auto"/>
          <w:sz w:val="24"/>
          <w:lang w:val="zh-CN"/>
        </w:rPr>
        <w:t>合格</w:t>
      </w:r>
      <w:r>
        <w:rPr>
          <w:rFonts w:ascii="宋体" w:cs="宋体"/>
          <w:color w:val="auto"/>
          <w:sz w:val="24"/>
          <w:lang w:val="zh-CN"/>
        </w:rPr>
        <w:t>”</w:t>
      </w:r>
      <w:r>
        <w:rPr>
          <w:rFonts w:hint="eastAsia" w:ascii="宋体" w:cs="宋体"/>
          <w:color w:val="auto"/>
          <w:sz w:val="24"/>
          <w:lang w:val="zh-CN"/>
        </w:rPr>
        <w:t>或</w:t>
      </w:r>
      <w:r>
        <w:rPr>
          <w:rFonts w:ascii="宋体" w:cs="宋体"/>
          <w:color w:val="auto"/>
          <w:sz w:val="24"/>
          <w:lang w:val="zh-CN"/>
        </w:rPr>
        <w:t>“</w:t>
      </w:r>
      <w:r>
        <w:rPr>
          <w:rFonts w:hint="eastAsia" w:ascii="宋体" w:cs="宋体"/>
          <w:color w:val="auto"/>
          <w:sz w:val="24"/>
          <w:lang w:val="zh-CN"/>
        </w:rPr>
        <w:t>不合格</w:t>
      </w:r>
      <w:r>
        <w:rPr>
          <w:rFonts w:ascii="宋体" w:cs="宋体"/>
          <w:color w:val="auto"/>
          <w:sz w:val="24"/>
          <w:lang w:val="zh-CN"/>
        </w:rPr>
        <w:t>”</w:t>
      </w:r>
      <w:r>
        <w:rPr>
          <w:rFonts w:hint="eastAsia" w:ascii="宋体" w:cs="宋体"/>
          <w:color w:val="auto"/>
          <w:sz w:val="24"/>
          <w:lang w:val="zh-CN"/>
        </w:rPr>
        <w:t>，不合格的供应商不进入下一轮评审。</w:t>
      </w:r>
    </w:p>
    <w:p w14:paraId="35A23976">
      <w:pPr>
        <w:autoSpaceDE w:val="0"/>
        <w:autoSpaceDN w:val="0"/>
        <w:adjustRightInd w:val="0"/>
        <w:spacing w:line="500" w:lineRule="exact"/>
        <w:rPr>
          <w:rFonts w:ascii="宋体" w:cs="宋体"/>
          <w:b/>
          <w:bCs/>
          <w:color w:val="auto"/>
          <w:sz w:val="30"/>
          <w:szCs w:val="30"/>
          <w:lang w:val="zh-CN"/>
        </w:rPr>
      </w:pPr>
    </w:p>
    <w:p w14:paraId="6BA3EBD5">
      <w:pPr>
        <w:autoSpaceDE w:val="0"/>
        <w:autoSpaceDN w:val="0"/>
        <w:adjustRightInd w:val="0"/>
        <w:spacing w:line="500" w:lineRule="exact"/>
        <w:rPr>
          <w:rFonts w:ascii="宋体" w:cs="宋体"/>
          <w:b/>
          <w:bCs/>
          <w:color w:val="auto"/>
          <w:sz w:val="30"/>
          <w:szCs w:val="30"/>
          <w:lang w:val="zh-CN"/>
        </w:rPr>
      </w:pPr>
    </w:p>
    <w:p w14:paraId="47F831C1">
      <w:pPr>
        <w:autoSpaceDE w:val="0"/>
        <w:autoSpaceDN w:val="0"/>
        <w:adjustRightInd w:val="0"/>
        <w:spacing w:line="500" w:lineRule="exact"/>
        <w:rPr>
          <w:rFonts w:ascii="宋体" w:cs="宋体"/>
          <w:b/>
          <w:bCs/>
          <w:color w:val="auto"/>
          <w:sz w:val="30"/>
          <w:szCs w:val="30"/>
          <w:lang w:val="zh-CN"/>
        </w:rPr>
      </w:pPr>
    </w:p>
    <w:p w14:paraId="794FA717">
      <w:pPr>
        <w:autoSpaceDE w:val="0"/>
        <w:autoSpaceDN w:val="0"/>
        <w:adjustRightInd w:val="0"/>
        <w:spacing w:line="500" w:lineRule="exact"/>
        <w:rPr>
          <w:rFonts w:ascii="宋体" w:cs="宋体"/>
          <w:b/>
          <w:bCs/>
          <w:color w:val="auto"/>
          <w:sz w:val="24"/>
          <w:lang w:val="zh-CN"/>
        </w:rPr>
      </w:pPr>
    </w:p>
    <w:p w14:paraId="7124202A">
      <w:pPr>
        <w:autoSpaceDE w:val="0"/>
        <w:autoSpaceDN w:val="0"/>
        <w:adjustRightInd w:val="0"/>
        <w:spacing w:line="500" w:lineRule="exact"/>
        <w:outlineLvl w:val="1"/>
        <w:rPr>
          <w:rFonts w:ascii="宋体" w:cs="宋体"/>
          <w:b/>
          <w:bCs/>
          <w:color w:val="auto"/>
          <w:sz w:val="24"/>
          <w:lang w:val="zh-CN"/>
        </w:rPr>
      </w:pPr>
      <w:bookmarkStart w:id="14" w:name="_Toc31686"/>
      <w:bookmarkStart w:id="15" w:name="_Toc22026"/>
      <w:bookmarkStart w:id="16" w:name="_Toc5144"/>
      <w:r>
        <w:rPr>
          <w:rFonts w:hint="eastAsia" w:ascii="宋体" w:cs="宋体"/>
          <w:b/>
          <w:bCs/>
          <w:color w:val="auto"/>
          <w:sz w:val="24"/>
          <w:lang w:val="zh-CN"/>
        </w:rPr>
        <w:t>4：进入详细评审的合格供应商表</w:t>
      </w:r>
      <w:bookmarkEnd w:id="14"/>
      <w:bookmarkEnd w:id="15"/>
      <w:bookmarkEnd w:id="16"/>
    </w:p>
    <w:p w14:paraId="3B5F8D6C">
      <w:pPr>
        <w:autoSpaceDE w:val="0"/>
        <w:autoSpaceDN w:val="0"/>
        <w:adjustRightInd w:val="0"/>
        <w:spacing w:line="500" w:lineRule="exact"/>
        <w:rPr>
          <w:b/>
          <w:bCs/>
          <w:color w:val="auto"/>
          <w:sz w:val="24"/>
        </w:rPr>
      </w:pPr>
      <w:r>
        <w:rPr>
          <w:b/>
          <w:bCs/>
          <w:color w:val="auto"/>
          <w:sz w:val="30"/>
          <w:szCs w:val="30"/>
        </w:rPr>
        <w:t xml:space="preserve"> </w:t>
      </w:r>
      <w:r>
        <w:rPr>
          <w:rFonts w:hint="eastAsia" w:ascii="宋体" w:cs="宋体"/>
          <w:color w:val="auto"/>
          <w:sz w:val="24"/>
          <w:lang w:val="zh-CN"/>
        </w:rPr>
        <w:t>磋商小组认定供应商资格性和符合性检查合格，确定可以进入详细评审。</w:t>
      </w:r>
    </w:p>
    <w:tbl>
      <w:tblPr>
        <w:tblStyle w:val="51"/>
        <w:tblW w:w="8748" w:type="dxa"/>
        <w:tblInd w:w="0" w:type="dxa"/>
        <w:tblLayout w:type="fixed"/>
        <w:tblCellMar>
          <w:top w:w="0" w:type="dxa"/>
          <w:left w:w="108" w:type="dxa"/>
          <w:bottom w:w="0" w:type="dxa"/>
          <w:right w:w="108" w:type="dxa"/>
        </w:tblCellMar>
      </w:tblPr>
      <w:tblGrid>
        <w:gridCol w:w="1728"/>
        <w:gridCol w:w="7020"/>
      </w:tblGrid>
      <w:tr w14:paraId="3FF24FB1">
        <w:tblPrEx>
          <w:tblCellMar>
            <w:top w:w="0" w:type="dxa"/>
            <w:left w:w="108" w:type="dxa"/>
            <w:bottom w:w="0" w:type="dxa"/>
            <w:right w:w="108" w:type="dxa"/>
          </w:tblCellMar>
        </w:tblPrEx>
        <w:tc>
          <w:tcPr>
            <w:tcW w:w="1728" w:type="dxa"/>
            <w:tcBorders>
              <w:top w:val="single" w:color="auto" w:sz="6" w:space="0"/>
              <w:left w:val="single" w:color="auto" w:sz="6" w:space="0"/>
              <w:bottom w:val="single" w:color="auto" w:sz="6" w:space="0"/>
              <w:right w:val="single" w:color="auto" w:sz="6" w:space="0"/>
            </w:tcBorders>
          </w:tcPr>
          <w:p w14:paraId="4BE5F4DF">
            <w:pPr>
              <w:autoSpaceDE w:val="0"/>
              <w:autoSpaceDN w:val="0"/>
              <w:adjustRightInd w:val="0"/>
              <w:spacing w:line="500" w:lineRule="exact"/>
              <w:jc w:val="center"/>
              <w:rPr>
                <w:color w:val="auto"/>
                <w:sz w:val="28"/>
                <w:szCs w:val="28"/>
              </w:rPr>
            </w:pPr>
            <w:r>
              <w:rPr>
                <w:rFonts w:hint="eastAsia" w:ascii="宋体" w:cs="宋体"/>
                <w:color w:val="auto"/>
                <w:sz w:val="28"/>
                <w:szCs w:val="28"/>
                <w:lang w:val="zh-CN"/>
              </w:rPr>
              <w:t>序号</w:t>
            </w:r>
          </w:p>
        </w:tc>
        <w:tc>
          <w:tcPr>
            <w:tcW w:w="7020" w:type="dxa"/>
            <w:tcBorders>
              <w:top w:val="single" w:color="auto" w:sz="6" w:space="0"/>
              <w:left w:val="single" w:color="auto" w:sz="6" w:space="0"/>
              <w:bottom w:val="single" w:color="auto" w:sz="6" w:space="0"/>
              <w:right w:val="single" w:color="auto" w:sz="6" w:space="0"/>
            </w:tcBorders>
          </w:tcPr>
          <w:p w14:paraId="063EEF0A">
            <w:pPr>
              <w:autoSpaceDE w:val="0"/>
              <w:autoSpaceDN w:val="0"/>
              <w:adjustRightInd w:val="0"/>
              <w:spacing w:line="500" w:lineRule="exact"/>
              <w:jc w:val="center"/>
              <w:rPr>
                <w:color w:val="auto"/>
                <w:sz w:val="28"/>
                <w:szCs w:val="28"/>
              </w:rPr>
            </w:pPr>
            <w:r>
              <w:rPr>
                <w:rFonts w:hint="eastAsia" w:ascii="宋体" w:cs="宋体"/>
                <w:color w:val="auto"/>
                <w:sz w:val="28"/>
                <w:szCs w:val="28"/>
                <w:lang w:val="zh-CN"/>
              </w:rPr>
              <w:t>合格的供应商名称</w:t>
            </w:r>
          </w:p>
        </w:tc>
      </w:tr>
      <w:tr w14:paraId="51A704C8">
        <w:tblPrEx>
          <w:tblCellMar>
            <w:top w:w="0" w:type="dxa"/>
            <w:left w:w="108" w:type="dxa"/>
            <w:bottom w:w="0" w:type="dxa"/>
            <w:right w:w="108" w:type="dxa"/>
          </w:tblCellMar>
        </w:tblPrEx>
        <w:tc>
          <w:tcPr>
            <w:tcW w:w="1728" w:type="dxa"/>
            <w:tcBorders>
              <w:top w:val="single" w:color="auto" w:sz="6" w:space="0"/>
              <w:left w:val="single" w:color="auto" w:sz="6" w:space="0"/>
              <w:bottom w:val="single" w:color="auto" w:sz="6" w:space="0"/>
              <w:right w:val="single" w:color="auto" w:sz="6" w:space="0"/>
            </w:tcBorders>
          </w:tcPr>
          <w:p w14:paraId="428B3A16">
            <w:pPr>
              <w:autoSpaceDE w:val="0"/>
              <w:autoSpaceDN w:val="0"/>
              <w:adjustRightInd w:val="0"/>
              <w:spacing w:line="500" w:lineRule="exact"/>
              <w:jc w:val="center"/>
              <w:rPr>
                <w:color w:val="auto"/>
                <w:sz w:val="28"/>
                <w:szCs w:val="28"/>
              </w:rPr>
            </w:pPr>
            <w:r>
              <w:rPr>
                <w:color w:val="auto"/>
                <w:sz w:val="28"/>
                <w:szCs w:val="28"/>
              </w:rPr>
              <w:t>1</w:t>
            </w:r>
          </w:p>
        </w:tc>
        <w:tc>
          <w:tcPr>
            <w:tcW w:w="7020" w:type="dxa"/>
            <w:tcBorders>
              <w:top w:val="single" w:color="auto" w:sz="6" w:space="0"/>
              <w:left w:val="single" w:color="auto" w:sz="6" w:space="0"/>
              <w:bottom w:val="single" w:color="auto" w:sz="6" w:space="0"/>
              <w:right w:val="single" w:color="auto" w:sz="6" w:space="0"/>
            </w:tcBorders>
          </w:tcPr>
          <w:p w14:paraId="25ACBAB0">
            <w:pPr>
              <w:autoSpaceDE w:val="0"/>
              <w:autoSpaceDN w:val="0"/>
              <w:adjustRightInd w:val="0"/>
              <w:spacing w:line="500" w:lineRule="exact"/>
              <w:jc w:val="center"/>
              <w:rPr>
                <w:b/>
                <w:bCs/>
                <w:color w:val="auto"/>
                <w:sz w:val="28"/>
                <w:szCs w:val="28"/>
              </w:rPr>
            </w:pPr>
          </w:p>
        </w:tc>
      </w:tr>
      <w:tr w14:paraId="67E5B9CF">
        <w:tblPrEx>
          <w:tblCellMar>
            <w:top w:w="0" w:type="dxa"/>
            <w:left w:w="108" w:type="dxa"/>
            <w:bottom w:w="0" w:type="dxa"/>
            <w:right w:w="108" w:type="dxa"/>
          </w:tblCellMar>
        </w:tblPrEx>
        <w:tc>
          <w:tcPr>
            <w:tcW w:w="1728" w:type="dxa"/>
            <w:tcBorders>
              <w:top w:val="single" w:color="auto" w:sz="6" w:space="0"/>
              <w:left w:val="single" w:color="auto" w:sz="6" w:space="0"/>
              <w:bottom w:val="single" w:color="auto" w:sz="6" w:space="0"/>
              <w:right w:val="single" w:color="auto" w:sz="6" w:space="0"/>
            </w:tcBorders>
          </w:tcPr>
          <w:p w14:paraId="5F3902BD">
            <w:pPr>
              <w:autoSpaceDE w:val="0"/>
              <w:autoSpaceDN w:val="0"/>
              <w:adjustRightInd w:val="0"/>
              <w:spacing w:line="500" w:lineRule="exact"/>
              <w:jc w:val="center"/>
              <w:rPr>
                <w:color w:val="auto"/>
                <w:sz w:val="28"/>
                <w:szCs w:val="28"/>
              </w:rPr>
            </w:pPr>
            <w:r>
              <w:rPr>
                <w:color w:val="auto"/>
                <w:sz w:val="28"/>
                <w:szCs w:val="28"/>
              </w:rPr>
              <w:t>2</w:t>
            </w:r>
          </w:p>
        </w:tc>
        <w:tc>
          <w:tcPr>
            <w:tcW w:w="7020" w:type="dxa"/>
            <w:tcBorders>
              <w:top w:val="single" w:color="auto" w:sz="6" w:space="0"/>
              <w:left w:val="single" w:color="auto" w:sz="6" w:space="0"/>
              <w:bottom w:val="single" w:color="auto" w:sz="6" w:space="0"/>
              <w:right w:val="single" w:color="auto" w:sz="6" w:space="0"/>
            </w:tcBorders>
          </w:tcPr>
          <w:p w14:paraId="18F2AA8C">
            <w:pPr>
              <w:autoSpaceDE w:val="0"/>
              <w:autoSpaceDN w:val="0"/>
              <w:adjustRightInd w:val="0"/>
              <w:spacing w:line="500" w:lineRule="exact"/>
              <w:jc w:val="center"/>
              <w:rPr>
                <w:b/>
                <w:bCs/>
                <w:color w:val="auto"/>
                <w:sz w:val="28"/>
                <w:szCs w:val="28"/>
              </w:rPr>
            </w:pPr>
          </w:p>
        </w:tc>
      </w:tr>
      <w:tr w14:paraId="4679F775">
        <w:tblPrEx>
          <w:tblCellMar>
            <w:top w:w="0" w:type="dxa"/>
            <w:left w:w="108" w:type="dxa"/>
            <w:bottom w:w="0" w:type="dxa"/>
            <w:right w:w="108" w:type="dxa"/>
          </w:tblCellMar>
        </w:tblPrEx>
        <w:tc>
          <w:tcPr>
            <w:tcW w:w="1728" w:type="dxa"/>
            <w:tcBorders>
              <w:top w:val="single" w:color="auto" w:sz="6" w:space="0"/>
              <w:left w:val="single" w:color="auto" w:sz="6" w:space="0"/>
              <w:bottom w:val="single" w:color="auto" w:sz="6" w:space="0"/>
              <w:right w:val="single" w:color="auto" w:sz="6" w:space="0"/>
            </w:tcBorders>
          </w:tcPr>
          <w:p w14:paraId="437202E6">
            <w:pPr>
              <w:autoSpaceDE w:val="0"/>
              <w:autoSpaceDN w:val="0"/>
              <w:adjustRightInd w:val="0"/>
              <w:spacing w:line="500" w:lineRule="exact"/>
              <w:jc w:val="center"/>
              <w:rPr>
                <w:color w:val="auto"/>
                <w:sz w:val="28"/>
                <w:szCs w:val="28"/>
              </w:rPr>
            </w:pPr>
            <w:r>
              <w:rPr>
                <w:color w:val="auto"/>
                <w:sz w:val="28"/>
                <w:szCs w:val="28"/>
              </w:rPr>
              <w:t>3</w:t>
            </w:r>
          </w:p>
        </w:tc>
        <w:tc>
          <w:tcPr>
            <w:tcW w:w="7020" w:type="dxa"/>
            <w:tcBorders>
              <w:top w:val="single" w:color="auto" w:sz="6" w:space="0"/>
              <w:left w:val="single" w:color="auto" w:sz="6" w:space="0"/>
              <w:bottom w:val="single" w:color="auto" w:sz="6" w:space="0"/>
              <w:right w:val="single" w:color="auto" w:sz="6" w:space="0"/>
            </w:tcBorders>
          </w:tcPr>
          <w:p w14:paraId="32EF594B">
            <w:pPr>
              <w:autoSpaceDE w:val="0"/>
              <w:autoSpaceDN w:val="0"/>
              <w:adjustRightInd w:val="0"/>
              <w:spacing w:line="500" w:lineRule="exact"/>
              <w:jc w:val="center"/>
              <w:rPr>
                <w:b/>
                <w:bCs/>
                <w:color w:val="auto"/>
                <w:sz w:val="28"/>
                <w:szCs w:val="28"/>
              </w:rPr>
            </w:pPr>
          </w:p>
        </w:tc>
      </w:tr>
      <w:tr w14:paraId="000B3846">
        <w:tblPrEx>
          <w:tblCellMar>
            <w:top w:w="0" w:type="dxa"/>
            <w:left w:w="108" w:type="dxa"/>
            <w:bottom w:w="0" w:type="dxa"/>
            <w:right w:w="108" w:type="dxa"/>
          </w:tblCellMar>
        </w:tblPrEx>
        <w:tc>
          <w:tcPr>
            <w:tcW w:w="1728" w:type="dxa"/>
            <w:tcBorders>
              <w:top w:val="single" w:color="auto" w:sz="6" w:space="0"/>
              <w:left w:val="single" w:color="auto" w:sz="6" w:space="0"/>
              <w:bottom w:val="single" w:color="auto" w:sz="6" w:space="0"/>
              <w:right w:val="single" w:color="auto" w:sz="6" w:space="0"/>
            </w:tcBorders>
          </w:tcPr>
          <w:p w14:paraId="43BB69E0">
            <w:pPr>
              <w:autoSpaceDE w:val="0"/>
              <w:autoSpaceDN w:val="0"/>
              <w:adjustRightInd w:val="0"/>
              <w:spacing w:line="500" w:lineRule="exact"/>
              <w:jc w:val="center"/>
              <w:rPr>
                <w:color w:val="auto"/>
                <w:sz w:val="28"/>
                <w:szCs w:val="28"/>
              </w:rPr>
            </w:pPr>
            <w:r>
              <w:rPr>
                <w:color w:val="auto"/>
                <w:sz w:val="28"/>
                <w:szCs w:val="28"/>
              </w:rPr>
              <w:t>4</w:t>
            </w:r>
          </w:p>
        </w:tc>
        <w:tc>
          <w:tcPr>
            <w:tcW w:w="7020" w:type="dxa"/>
            <w:tcBorders>
              <w:top w:val="single" w:color="auto" w:sz="6" w:space="0"/>
              <w:left w:val="single" w:color="auto" w:sz="6" w:space="0"/>
              <w:bottom w:val="single" w:color="auto" w:sz="6" w:space="0"/>
              <w:right w:val="single" w:color="auto" w:sz="6" w:space="0"/>
            </w:tcBorders>
          </w:tcPr>
          <w:p w14:paraId="52FED3EE">
            <w:pPr>
              <w:autoSpaceDE w:val="0"/>
              <w:autoSpaceDN w:val="0"/>
              <w:adjustRightInd w:val="0"/>
              <w:spacing w:line="500" w:lineRule="exact"/>
              <w:jc w:val="center"/>
              <w:rPr>
                <w:b/>
                <w:bCs/>
                <w:color w:val="auto"/>
                <w:sz w:val="28"/>
                <w:szCs w:val="28"/>
              </w:rPr>
            </w:pPr>
          </w:p>
        </w:tc>
      </w:tr>
      <w:tr w14:paraId="26A1AF2A">
        <w:tblPrEx>
          <w:tblCellMar>
            <w:top w:w="0" w:type="dxa"/>
            <w:left w:w="108" w:type="dxa"/>
            <w:bottom w:w="0" w:type="dxa"/>
            <w:right w:w="108" w:type="dxa"/>
          </w:tblCellMar>
        </w:tblPrEx>
        <w:tc>
          <w:tcPr>
            <w:tcW w:w="1728" w:type="dxa"/>
            <w:tcBorders>
              <w:top w:val="single" w:color="auto" w:sz="6" w:space="0"/>
              <w:left w:val="single" w:color="auto" w:sz="6" w:space="0"/>
              <w:bottom w:val="single" w:color="auto" w:sz="6" w:space="0"/>
              <w:right w:val="single" w:color="auto" w:sz="6" w:space="0"/>
            </w:tcBorders>
          </w:tcPr>
          <w:p w14:paraId="5E86B6FB">
            <w:pPr>
              <w:autoSpaceDE w:val="0"/>
              <w:autoSpaceDN w:val="0"/>
              <w:adjustRightInd w:val="0"/>
              <w:spacing w:line="500" w:lineRule="exact"/>
              <w:jc w:val="center"/>
              <w:rPr>
                <w:color w:val="auto"/>
                <w:sz w:val="28"/>
                <w:szCs w:val="28"/>
              </w:rPr>
            </w:pPr>
            <w:r>
              <w:rPr>
                <w:color w:val="auto"/>
                <w:sz w:val="28"/>
                <w:szCs w:val="28"/>
              </w:rPr>
              <w:t>5</w:t>
            </w:r>
          </w:p>
        </w:tc>
        <w:tc>
          <w:tcPr>
            <w:tcW w:w="7020" w:type="dxa"/>
            <w:tcBorders>
              <w:top w:val="single" w:color="auto" w:sz="6" w:space="0"/>
              <w:left w:val="single" w:color="auto" w:sz="6" w:space="0"/>
              <w:bottom w:val="single" w:color="auto" w:sz="6" w:space="0"/>
              <w:right w:val="single" w:color="auto" w:sz="6" w:space="0"/>
            </w:tcBorders>
          </w:tcPr>
          <w:p w14:paraId="49C59E69">
            <w:pPr>
              <w:autoSpaceDE w:val="0"/>
              <w:autoSpaceDN w:val="0"/>
              <w:adjustRightInd w:val="0"/>
              <w:spacing w:line="500" w:lineRule="exact"/>
              <w:jc w:val="center"/>
              <w:rPr>
                <w:b/>
                <w:bCs/>
                <w:color w:val="auto"/>
                <w:sz w:val="28"/>
                <w:szCs w:val="28"/>
              </w:rPr>
            </w:pPr>
          </w:p>
        </w:tc>
      </w:tr>
      <w:tr w14:paraId="7AEFE2B9">
        <w:tblPrEx>
          <w:tblCellMar>
            <w:top w:w="0" w:type="dxa"/>
            <w:left w:w="108" w:type="dxa"/>
            <w:bottom w:w="0" w:type="dxa"/>
            <w:right w:w="108" w:type="dxa"/>
          </w:tblCellMar>
        </w:tblPrEx>
        <w:tc>
          <w:tcPr>
            <w:tcW w:w="1728" w:type="dxa"/>
            <w:tcBorders>
              <w:top w:val="single" w:color="auto" w:sz="6" w:space="0"/>
              <w:left w:val="single" w:color="auto" w:sz="6" w:space="0"/>
              <w:bottom w:val="single" w:color="auto" w:sz="6" w:space="0"/>
              <w:right w:val="single" w:color="auto" w:sz="6" w:space="0"/>
            </w:tcBorders>
          </w:tcPr>
          <w:p w14:paraId="2D95666D">
            <w:pPr>
              <w:autoSpaceDE w:val="0"/>
              <w:autoSpaceDN w:val="0"/>
              <w:adjustRightInd w:val="0"/>
              <w:spacing w:line="500" w:lineRule="exact"/>
              <w:jc w:val="center"/>
              <w:rPr>
                <w:color w:val="auto"/>
                <w:sz w:val="28"/>
                <w:szCs w:val="28"/>
              </w:rPr>
            </w:pPr>
            <w:r>
              <w:rPr>
                <w:color w:val="auto"/>
                <w:sz w:val="28"/>
                <w:szCs w:val="28"/>
              </w:rPr>
              <w:t>6</w:t>
            </w:r>
          </w:p>
        </w:tc>
        <w:tc>
          <w:tcPr>
            <w:tcW w:w="7020" w:type="dxa"/>
            <w:tcBorders>
              <w:top w:val="single" w:color="auto" w:sz="6" w:space="0"/>
              <w:left w:val="single" w:color="auto" w:sz="6" w:space="0"/>
              <w:bottom w:val="single" w:color="auto" w:sz="6" w:space="0"/>
              <w:right w:val="single" w:color="auto" w:sz="6" w:space="0"/>
            </w:tcBorders>
          </w:tcPr>
          <w:p w14:paraId="1AE155A9">
            <w:pPr>
              <w:autoSpaceDE w:val="0"/>
              <w:autoSpaceDN w:val="0"/>
              <w:adjustRightInd w:val="0"/>
              <w:spacing w:line="500" w:lineRule="exact"/>
              <w:jc w:val="center"/>
              <w:rPr>
                <w:b/>
                <w:bCs/>
                <w:color w:val="auto"/>
                <w:sz w:val="28"/>
                <w:szCs w:val="28"/>
              </w:rPr>
            </w:pPr>
          </w:p>
        </w:tc>
      </w:tr>
      <w:tr w14:paraId="6F6B5CAD">
        <w:tblPrEx>
          <w:tblCellMar>
            <w:top w:w="0" w:type="dxa"/>
            <w:left w:w="108" w:type="dxa"/>
            <w:bottom w:w="0" w:type="dxa"/>
            <w:right w:w="108" w:type="dxa"/>
          </w:tblCellMar>
        </w:tblPrEx>
        <w:tc>
          <w:tcPr>
            <w:tcW w:w="1728" w:type="dxa"/>
            <w:tcBorders>
              <w:top w:val="single" w:color="auto" w:sz="6" w:space="0"/>
              <w:left w:val="single" w:color="auto" w:sz="6" w:space="0"/>
              <w:bottom w:val="single" w:color="auto" w:sz="6" w:space="0"/>
              <w:right w:val="single" w:color="auto" w:sz="6" w:space="0"/>
            </w:tcBorders>
          </w:tcPr>
          <w:p w14:paraId="432A51AF">
            <w:pPr>
              <w:autoSpaceDE w:val="0"/>
              <w:autoSpaceDN w:val="0"/>
              <w:adjustRightInd w:val="0"/>
              <w:spacing w:line="500" w:lineRule="exact"/>
              <w:jc w:val="center"/>
              <w:rPr>
                <w:color w:val="auto"/>
                <w:sz w:val="28"/>
                <w:szCs w:val="28"/>
              </w:rPr>
            </w:pPr>
            <w:r>
              <w:rPr>
                <w:color w:val="auto"/>
                <w:sz w:val="28"/>
                <w:szCs w:val="28"/>
              </w:rPr>
              <w:t>7</w:t>
            </w:r>
          </w:p>
        </w:tc>
        <w:tc>
          <w:tcPr>
            <w:tcW w:w="7020" w:type="dxa"/>
            <w:tcBorders>
              <w:top w:val="single" w:color="auto" w:sz="6" w:space="0"/>
              <w:left w:val="single" w:color="auto" w:sz="6" w:space="0"/>
              <w:bottom w:val="single" w:color="auto" w:sz="6" w:space="0"/>
              <w:right w:val="single" w:color="auto" w:sz="6" w:space="0"/>
            </w:tcBorders>
          </w:tcPr>
          <w:p w14:paraId="27ADCF29">
            <w:pPr>
              <w:autoSpaceDE w:val="0"/>
              <w:autoSpaceDN w:val="0"/>
              <w:adjustRightInd w:val="0"/>
              <w:spacing w:line="500" w:lineRule="exact"/>
              <w:jc w:val="center"/>
              <w:rPr>
                <w:b/>
                <w:bCs/>
                <w:color w:val="auto"/>
                <w:sz w:val="28"/>
                <w:szCs w:val="28"/>
              </w:rPr>
            </w:pPr>
          </w:p>
        </w:tc>
      </w:tr>
      <w:tr w14:paraId="5D5F7E73">
        <w:tblPrEx>
          <w:tblCellMar>
            <w:top w:w="0" w:type="dxa"/>
            <w:left w:w="108" w:type="dxa"/>
            <w:bottom w:w="0" w:type="dxa"/>
            <w:right w:w="108" w:type="dxa"/>
          </w:tblCellMar>
        </w:tblPrEx>
        <w:tc>
          <w:tcPr>
            <w:tcW w:w="1728" w:type="dxa"/>
            <w:tcBorders>
              <w:top w:val="single" w:color="auto" w:sz="6" w:space="0"/>
              <w:left w:val="single" w:color="auto" w:sz="6" w:space="0"/>
              <w:bottom w:val="single" w:color="auto" w:sz="6" w:space="0"/>
              <w:right w:val="single" w:color="auto" w:sz="6" w:space="0"/>
            </w:tcBorders>
          </w:tcPr>
          <w:p w14:paraId="0B5F1949">
            <w:pPr>
              <w:autoSpaceDE w:val="0"/>
              <w:autoSpaceDN w:val="0"/>
              <w:adjustRightInd w:val="0"/>
              <w:spacing w:line="500" w:lineRule="exact"/>
              <w:jc w:val="center"/>
              <w:rPr>
                <w:color w:val="auto"/>
                <w:sz w:val="28"/>
                <w:szCs w:val="28"/>
              </w:rPr>
            </w:pPr>
            <w:r>
              <w:rPr>
                <w:color w:val="auto"/>
                <w:sz w:val="28"/>
                <w:szCs w:val="28"/>
              </w:rPr>
              <w:t>8</w:t>
            </w:r>
          </w:p>
        </w:tc>
        <w:tc>
          <w:tcPr>
            <w:tcW w:w="7020" w:type="dxa"/>
            <w:tcBorders>
              <w:top w:val="single" w:color="auto" w:sz="6" w:space="0"/>
              <w:left w:val="single" w:color="auto" w:sz="6" w:space="0"/>
              <w:bottom w:val="single" w:color="auto" w:sz="6" w:space="0"/>
              <w:right w:val="single" w:color="auto" w:sz="6" w:space="0"/>
            </w:tcBorders>
          </w:tcPr>
          <w:p w14:paraId="5D77B2A1">
            <w:pPr>
              <w:autoSpaceDE w:val="0"/>
              <w:autoSpaceDN w:val="0"/>
              <w:adjustRightInd w:val="0"/>
              <w:spacing w:line="500" w:lineRule="exact"/>
              <w:jc w:val="center"/>
              <w:rPr>
                <w:b/>
                <w:bCs/>
                <w:color w:val="auto"/>
                <w:sz w:val="28"/>
                <w:szCs w:val="28"/>
              </w:rPr>
            </w:pPr>
          </w:p>
        </w:tc>
      </w:tr>
      <w:tr w14:paraId="5100485A">
        <w:tblPrEx>
          <w:tblCellMar>
            <w:top w:w="0" w:type="dxa"/>
            <w:left w:w="108" w:type="dxa"/>
            <w:bottom w:w="0" w:type="dxa"/>
            <w:right w:w="108" w:type="dxa"/>
          </w:tblCellMar>
        </w:tblPrEx>
        <w:tc>
          <w:tcPr>
            <w:tcW w:w="1728" w:type="dxa"/>
            <w:tcBorders>
              <w:top w:val="single" w:color="auto" w:sz="6" w:space="0"/>
              <w:left w:val="single" w:color="auto" w:sz="6" w:space="0"/>
              <w:bottom w:val="single" w:color="auto" w:sz="6" w:space="0"/>
              <w:right w:val="single" w:color="auto" w:sz="6" w:space="0"/>
            </w:tcBorders>
          </w:tcPr>
          <w:p w14:paraId="63B2FBBF">
            <w:pPr>
              <w:autoSpaceDE w:val="0"/>
              <w:autoSpaceDN w:val="0"/>
              <w:adjustRightInd w:val="0"/>
              <w:spacing w:line="500" w:lineRule="exact"/>
              <w:jc w:val="center"/>
              <w:rPr>
                <w:color w:val="auto"/>
                <w:sz w:val="28"/>
                <w:szCs w:val="28"/>
              </w:rPr>
            </w:pPr>
            <w:r>
              <w:rPr>
                <w:color w:val="auto"/>
                <w:sz w:val="28"/>
                <w:szCs w:val="28"/>
              </w:rPr>
              <w:t>9</w:t>
            </w:r>
          </w:p>
        </w:tc>
        <w:tc>
          <w:tcPr>
            <w:tcW w:w="7020" w:type="dxa"/>
            <w:tcBorders>
              <w:top w:val="single" w:color="auto" w:sz="6" w:space="0"/>
              <w:left w:val="single" w:color="auto" w:sz="6" w:space="0"/>
              <w:bottom w:val="single" w:color="auto" w:sz="6" w:space="0"/>
              <w:right w:val="single" w:color="auto" w:sz="6" w:space="0"/>
            </w:tcBorders>
          </w:tcPr>
          <w:p w14:paraId="777C81ED">
            <w:pPr>
              <w:autoSpaceDE w:val="0"/>
              <w:autoSpaceDN w:val="0"/>
              <w:adjustRightInd w:val="0"/>
              <w:spacing w:line="500" w:lineRule="exact"/>
              <w:jc w:val="center"/>
              <w:rPr>
                <w:b/>
                <w:bCs/>
                <w:color w:val="auto"/>
                <w:sz w:val="28"/>
                <w:szCs w:val="28"/>
              </w:rPr>
            </w:pPr>
          </w:p>
        </w:tc>
      </w:tr>
      <w:tr w14:paraId="1FABE124">
        <w:tblPrEx>
          <w:tblCellMar>
            <w:top w:w="0" w:type="dxa"/>
            <w:left w:w="108" w:type="dxa"/>
            <w:bottom w:w="0" w:type="dxa"/>
            <w:right w:w="108" w:type="dxa"/>
          </w:tblCellMar>
        </w:tblPrEx>
        <w:tc>
          <w:tcPr>
            <w:tcW w:w="1728" w:type="dxa"/>
            <w:tcBorders>
              <w:top w:val="single" w:color="auto" w:sz="6" w:space="0"/>
              <w:left w:val="single" w:color="auto" w:sz="6" w:space="0"/>
              <w:bottom w:val="single" w:color="auto" w:sz="6" w:space="0"/>
              <w:right w:val="single" w:color="auto" w:sz="6" w:space="0"/>
            </w:tcBorders>
          </w:tcPr>
          <w:p w14:paraId="3179D5A8">
            <w:pPr>
              <w:autoSpaceDE w:val="0"/>
              <w:autoSpaceDN w:val="0"/>
              <w:adjustRightInd w:val="0"/>
              <w:spacing w:line="500" w:lineRule="exact"/>
              <w:jc w:val="center"/>
              <w:rPr>
                <w:color w:val="auto"/>
                <w:sz w:val="28"/>
                <w:szCs w:val="28"/>
              </w:rPr>
            </w:pPr>
            <w:r>
              <w:rPr>
                <w:color w:val="auto"/>
                <w:sz w:val="28"/>
                <w:szCs w:val="28"/>
              </w:rPr>
              <w:t>10</w:t>
            </w:r>
          </w:p>
        </w:tc>
        <w:tc>
          <w:tcPr>
            <w:tcW w:w="7020" w:type="dxa"/>
            <w:tcBorders>
              <w:top w:val="single" w:color="auto" w:sz="6" w:space="0"/>
              <w:left w:val="single" w:color="auto" w:sz="6" w:space="0"/>
              <w:bottom w:val="single" w:color="auto" w:sz="6" w:space="0"/>
              <w:right w:val="single" w:color="auto" w:sz="6" w:space="0"/>
            </w:tcBorders>
          </w:tcPr>
          <w:p w14:paraId="28B67243">
            <w:pPr>
              <w:autoSpaceDE w:val="0"/>
              <w:autoSpaceDN w:val="0"/>
              <w:adjustRightInd w:val="0"/>
              <w:spacing w:line="500" w:lineRule="exact"/>
              <w:jc w:val="center"/>
              <w:rPr>
                <w:b/>
                <w:bCs/>
                <w:color w:val="auto"/>
                <w:sz w:val="28"/>
                <w:szCs w:val="28"/>
              </w:rPr>
            </w:pPr>
          </w:p>
        </w:tc>
      </w:tr>
      <w:tr w14:paraId="6E7DEE15">
        <w:tblPrEx>
          <w:tblCellMar>
            <w:top w:w="0" w:type="dxa"/>
            <w:left w:w="108" w:type="dxa"/>
            <w:bottom w:w="0" w:type="dxa"/>
            <w:right w:w="108" w:type="dxa"/>
          </w:tblCellMar>
        </w:tblPrEx>
        <w:tc>
          <w:tcPr>
            <w:tcW w:w="8748" w:type="dxa"/>
            <w:gridSpan w:val="2"/>
            <w:tcBorders>
              <w:top w:val="single" w:color="auto" w:sz="6" w:space="0"/>
              <w:left w:val="single" w:color="auto" w:sz="6" w:space="0"/>
              <w:bottom w:val="single" w:color="auto" w:sz="6" w:space="0"/>
              <w:right w:val="single" w:color="auto" w:sz="6" w:space="0"/>
            </w:tcBorders>
            <w:vAlign w:val="center"/>
          </w:tcPr>
          <w:p w14:paraId="67F22621">
            <w:pPr>
              <w:autoSpaceDE w:val="0"/>
              <w:autoSpaceDN w:val="0"/>
              <w:adjustRightInd w:val="0"/>
              <w:spacing w:line="500" w:lineRule="exact"/>
              <w:rPr>
                <w:color w:val="auto"/>
                <w:sz w:val="28"/>
                <w:szCs w:val="28"/>
              </w:rPr>
            </w:pPr>
            <w:r>
              <w:rPr>
                <w:rFonts w:hint="eastAsia" w:ascii="宋体" w:cs="宋体"/>
                <w:color w:val="auto"/>
                <w:sz w:val="28"/>
                <w:szCs w:val="28"/>
                <w:lang w:val="zh-CN"/>
              </w:rPr>
              <w:t>评委签名：</w:t>
            </w:r>
          </w:p>
          <w:p w14:paraId="1AF358F3">
            <w:pPr>
              <w:autoSpaceDE w:val="0"/>
              <w:autoSpaceDN w:val="0"/>
              <w:adjustRightInd w:val="0"/>
              <w:spacing w:line="500" w:lineRule="exact"/>
              <w:jc w:val="center"/>
              <w:rPr>
                <w:b/>
                <w:bCs/>
                <w:color w:val="auto"/>
                <w:sz w:val="28"/>
                <w:szCs w:val="28"/>
              </w:rPr>
            </w:pPr>
          </w:p>
          <w:p w14:paraId="22B3F7D6">
            <w:pPr>
              <w:autoSpaceDE w:val="0"/>
              <w:autoSpaceDN w:val="0"/>
              <w:adjustRightInd w:val="0"/>
              <w:spacing w:line="500" w:lineRule="exact"/>
              <w:ind w:firstLine="6020"/>
              <w:jc w:val="right"/>
              <w:rPr>
                <w:b/>
                <w:bCs/>
                <w:color w:val="auto"/>
                <w:sz w:val="28"/>
                <w:szCs w:val="28"/>
              </w:rPr>
            </w:pPr>
            <w:r>
              <w:rPr>
                <w:rFonts w:hint="eastAsia" w:ascii="宋体" w:cs="宋体"/>
                <w:color w:val="auto"/>
                <w:sz w:val="28"/>
                <w:szCs w:val="28"/>
                <w:lang w:val="zh-CN"/>
              </w:rPr>
              <w:t>年</w:t>
            </w:r>
            <w:r>
              <w:rPr>
                <w:color w:val="auto"/>
                <w:sz w:val="28"/>
                <w:szCs w:val="28"/>
              </w:rPr>
              <w:t xml:space="preserve">   </w:t>
            </w:r>
            <w:r>
              <w:rPr>
                <w:rFonts w:hint="eastAsia" w:ascii="宋体" w:cs="宋体"/>
                <w:color w:val="auto"/>
                <w:sz w:val="28"/>
                <w:szCs w:val="28"/>
                <w:lang w:val="zh-CN"/>
              </w:rPr>
              <w:t>月   日</w:t>
            </w:r>
          </w:p>
        </w:tc>
      </w:tr>
    </w:tbl>
    <w:p w14:paraId="21CF792A">
      <w:pPr>
        <w:autoSpaceDE w:val="0"/>
        <w:autoSpaceDN w:val="0"/>
        <w:adjustRightInd w:val="0"/>
        <w:spacing w:line="500" w:lineRule="exact"/>
        <w:rPr>
          <w:color w:val="auto"/>
          <w:sz w:val="30"/>
          <w:szCs w:val="30"/>
        </w:rPr>
      </w:pPr>
    </w:p>
    <w:p w14:paraId="027E546D">
      <w:pPr>
        <w:autoSpaceDE w:val="0"/>
        <w:autoSpaceDN w:val="0"/>
        <w:adjustRightInd w:val="0"/>
        <w:spacing w:line="500" w:lineRule="exact"/>
        <w:rPr>
          <w:rFonts w:ascii="宋体" w:cs="宋体"/>
          <w:b/>
          <w:bCs/>
          <w:color w:val="auto"/>
          <w:sz w:val="30"/>
          <w:szCs w:val="30"/>
          <w:lang w:val="zh-CN"/>
        </w:rPr>
      </w:pPr>
    </w:p>
    <w:p w14:paraId="5F580C6F">
      <w:pPr>
        <w:autoSpaceDE w:val="0"/>
        <w:autoSpaceDN w:val="0"/>
        <w:adjustRightInd w:val="0"/>
        <w:spacing w:line="500" w:lineRule="exact"/>
        <w:rPr>
          <w:rFonts w:ascii="宋体" w:cs="宋体"/>
          <w:b/>
          <w:bCs/>
          <w:color w:val="auto"/>
          <w:sz w:val="30"/>
          <w:szCs w:val="30"/>
          <w:lang w:val="zh-CN"/>
        </w:rPr>
      </w:pPr>
    </w:p>
    <w:p w14:paraId="6D4B15BC">
      <w:pPr>
        <w:autoSpaceDE w:val="0"/>
        <w:autoSpaceDN w:val="0"/>
        <w:adjustRightInd w:val="0"/>
        <w:spacing w:line="500" w:lineRule="exact"/>
        <w:rPr>
          <w:rFonts w:ascii="宋体" w:cs="宋体"/>
          <w:b/>
          <w:bCs/>
          <w:color w:val="auto"/>
          <w:sz w:val="30"/>
          <w:szCs w:val="30"/>
          <w:lang w:val="zh-CN"/>
        </w:rPr>
      </w:pPr>
    </w:p>
    <w:p w14:paraId="308BCEEB">
      <w:pPr>
        <w:autoSpaceDE w:val="0"/>
        <w:autoSpaceDN w:val="0"/>
        <w:adjustRightInd w:val="0"/>
        <w:spacing w:line="500" w:lineRule="exact"/>
        <w:rPr>
          <w:rFonts w:ascii="宋体" w:cs="宋体"/>
          <w:b/>
          <w:bCs/>
          <w:color w:val="auto"/>
          <w:sz w:val="30"/>
          <w:szCs w:val="30"/>
          <w:lang w:val="zh-CN"/>
        </w:rPr>
      </w:pPr>
    </w:p>
    <w:p w14:paraId="7228EDF1">
      <w:pPr>
        <w:autoSpaceDE w:val="0"/>
        <w:autoSpaceDN w:val="0"/>
        <w:adjustRightInd w:val="0"/>
        <w:spacing w:line="500" w:lineRule="exact"/>
        <w:rPr>
          <w:rFonts w:ascii="宋体" w:cs="宋体"/>
          <w:b/>
          <w:bCs/>
          <w:color w:val="auto"/>
          <w:sz w:val="30"/>
          <w:szCs w:val="30"/>
          <w:lang w:val="zh-CN"/>
        </w:rPr>
      </w:pPr>
    </w:p>
    <w:p w14:paraId="732BEB4E">
      <w:pPr>
        <w:autoSpaceDE w:val="0"/>
        <w:autoSpaceDN w:val="0"/>
        <w:adjustRightInd w:val="0"/>
        <w:spacing w:line="500" w:lineRule="exact"/>
        <w:rPr>
          <w:rFonts w:ascii="宋体" w:cs="宋体"/>
          <w:b/>
          <w:bCs/>
          <w:color w:val="auto"/>
          <w:sz w:val="30"/>
          <w:szCs w:val="30"/>
          <w:lang w:val="zh-CN"/>
        </w:rPr>
      </w:pPr>
    </w:p>
    <w:p w14:paraId="705DFBAA">
      <w:pPr>
        <w:autoSpaceDE w:val="0"/>
        <w:autoSpaceDN w:val="0"/>
        <w:adjustRightInd w:val="0"/>
        <w:spacing w:line="500" w:lineRule="exact"/>
        <w:rPr>
          <w:rFonts w:ascii="宋体" w:cs="宋体"/>
          <w:b/>
          <w:bCs/>
          <w:color w:val="auto"/>
          <w:sz w:val="30"/>
          <w:szCs w:val="30"/>
          <w:lang w:val="zh-CN"/>
        </w:rPr>
      </w:pPr>
    </w:p>
    <w:p w14:paraId="3CE74E8A">
      <w:pPr>
        <w:autoSpaceDE w:val="0"/>
        <w:autoSpaceDN w:val="0"/>
        <w:adjustRightInd w:val="0"/>
        <w:spacing w:line="500" w:lineRule="exact"/>
        <w:rPr>
          <w:rFonts w:ascii="宋体" w:cs="宋体"/>
          <w:b/>
          <w:bCs/>
          <w:color w:val="auto"/>
          <w:sz w:val="30"/>
          <w:szCs w:val="30"/>
          <w:lang w:val="zh-CN"/>
        </w:rPr>
      </w:pPr>
    </w:p>
    <w:p w14:paraId="42332687">
      <w:pPr>
        <w:autoSpaceDE w:val="0"/>
        <w:autoSpaceDN w:val="0"/>
        <w:adjustRightInd w:val="0"/>
        <w:spacing w:line="500" w:lineRule="exact"/>
        <w:rPr>
          <w:rFonts w:ascii="宋体" w:cs="宋体"/>
          <w:b/>
          <w:bCs/>
          <w:color w:val="auto"/>
          <w:sz w:val="24"/>
          <w:lang w:val="zh-CN"/>
        </w:rPr>
      </w:pPr>
    </w:p>
    <w:p w14:paraId="59CA8EAD">
      <w:pPr>
        <w:autoSpaceDE w:val="0"/>
        <w:autoSpaceDN w:val="0"/>
        <w:adjustRightInd w:val="0"/>
        <w:spacing w:line="500" w:lineRule="exact"/>
        <w:rPr>
          <w:rFonts w:ascii="宋体" w:cs="宋体"/>
          <w:b/>
          <w:bCs/>
          <w:color w:val="auto"/>
          <w:sz w:val="24"/>
          <w:lang w:val="zh-CN"/>
        </w:rPr>
      </w:pPr>
    </w:p>
    <w:p w14:paraId="1D327C0D">
      <w:pPr>
        <w:autoSpaceDE w:val="0"/>
        <w:autoSpaceDN w:val="0"/>
        <w:adjustRightInd w:val="0"/>
        <w:spacing w:line="500" w:lineRule="exact"/>
        <w:outlineLvl w:val="1"/>
        <w:rPr>
          <w:rFonts w:ascii="宋体" w:cs="宋体"/>
          <w:b/>
          <w:bCs/>
          <w:color w:val="auto"/>
          <w:sz w:val="24"/>
          <w:lang w:val="zh-CN"/>
        </w:rPr>
      </w:pPr>
      <w:bookmarkStart w:id="17" w:name="_Toc31501"/>
      <w:bookmarkStart w:id="18" w:name="_Toc28435"/>
      <w:bookmarkStart w:id="19" w:name="_Toc14070"/>
      <w:r>
        <w:rPr>
          <w:rFonts w:hint="eastAsia" w:ascii="宋体" w:cs="宋体"/>
          <w:b/>
          <w:bCs/>
          <w:color w:val="auto"/>
          <w:sz w:val="24"/>
          <w:lang w:val="zh-CN"/>
        </w:rPr>
        <w:t>5：不合格供应商表</w:t>
      </w:r>
      <w:bookmarkEnd w:id="17"/>
      <w:bookmarkEnd w:id="18"/>
      <w:bookmarkEnd w:id="19"/>
    </w:p>
    <w:p w14:paraId="72919819">
      <w:pPr>
        <w:autoSpaceDE w:val="0"/>
        <w:autoSpaceDN w:val="0"/>
        <w:adjustRightInd w:val="0"/>
        <w:spacing w:line="500" w:lineRule="exact"/>
        <w:ind w:firstLine="360"/>
        <w:rPr>
          <w:color w:val="auto"/>
          <w:sz w:val="24"/>
        </w:rPr>
      </w:pPr>
      <w:r>
        <w:rPr>
          <w:rFonts w:hint="eastAsia" w:ascii="宋体" w:cs="宋体"/>
          <w:color w:val="auto"/>
          <w:sz w:val="24"/>
          <w:lang w:val="zh-CN"/>
        </w:rPr>
        <w:t>磋商小组认定供应商资格性和符合性检查不合格，确定其为不合格供应商。不合格供应商不能进入下一轮评审。</w:t>
      </w:r>
    </w:p>
    <w:tbl>
      <w:tblPr>
        <w:tblStyle w:val="51"/>
        <w:tblW w:w="9468" w:type="dxa"/>
        <w:tblInd w:w="0" w:type="dxa"/>
        <w:tblLayout w:type="fixed"/>
        <w:tblCellMar>
          <w:top w:w="0" w:type="dxa"/>
          <w:left w:w="108" w:type="dxa"/>
          <w:bottom w:w="0" w:type="dxa"/>
          <w:right w:w="108" w:type="dxa"/>
        </w:tblCellMar>
      </w:tblPr>
      <w:tblGrid>
        <w:gridCol w:w="3348"/>
        <w:gridCol w:w="6120"/>
      </w:tblGrid>
      <w:tr w14:paraId="67144FE1">
        <w:trPr>
          <w:trHeight w:val="1083" w:hRule="atLeast"/>
        </w:trPr>
        <w:tc>
          <w:tcPr>
            <w:tcW w:w="3348" w:type="dxa"/>
            <w:tcBorders>
              <w:top w:val="single" w:color="auto" w:sz="6" w:space="0"/>
              <w:left w:val="single" w:color="auto" w:sz="6" w:space="0"/>
              <w:bottom w:val="single" w:color="auto" w:sz="6" w:space="0"/>
              <w:right w:val="single" w:color="auto" w:sz="6" w:space="0"/>
            </w:tcBorders>
            <w:vAlign w:val="center"/>
          </w:tcPr>
          <w:p w14:paraId="25D188DC">
            <w:pPr>
              <w:autoSpaceDE w:val="0"/>
              <w:autoSpaceDN w:val="0"/>
              <w:adjustRightInd w:val="0"/>
              <w:spacing w:line="500" w:lineRule="exact"/>
              <w:jc w:val="center"/>
              <w:rPr>
                <w:color w:val="auto"/>
                <w:sz w:val="24"/>
              </w:rPr>
            </w:pPr>
            <w:r>
              <w:rPr>
                <w:rFonts w:hint="eastAsia" w:ascii="宋体" w:cs="宋体"/>
                <w:color w:val="auto"/>
                <w:sz w:val="24"/>
                <w:lang w:val="zh-CN"/>
              </w:rPr>
              <w:t>供应商名称</w:t>
            </w:r>
          </w:p>
        </w:tc>
        <w:tc>
          <w:tcPr>
            <w:tcW w:w="6120" w:type="dxa"/>
            <w:tcBorders>
              <w:top w:val="single" w:color="auto" w:sz="6" w:space="0"/>
              <w:left w:val="single" w:color="auto" w:sz="6" w:space="0"/>
              <w:bottom w:val="single" w:color="auto" w:sz="6" w:space="0"/>
              <w:right w:val="single" w:color="auto" w:sz="6" w:space="0"/>
            </w:tcBorders>
            <w:vAlign w:val="center"/>
          </w:tcPr>
          <w:p w14:paraId="7D4DE737">
            <w:pPr>
              <w:autoSpaceDE w:val="0"/>
              <w:autoSpaceDN w:val="0"/>
              <w:adjustRightInd w:val="0"/>
              <w:spacing w:line="500" w:lineRule="exact"/>
              <w:jc w:val="center"/>
              <w:rPr>
                <w:color w:val="auto"/>
                <w:sz w:val="24"/>
              </w:rPr>
            </w:pPr>
            <w:r>
              <w:rPr>
                <w:rFonts w:hint="eastAsia" w:ascii="宋体" w:cs="宋体"/>
                <w:color w:val="auto"/>
                <w:sz w:val="24"/>
                <w:lang w:val="zh-CN"/>
              </w:rPr>
              <w:t>不合格情况说明</w:t>
            </w:r>
          </w:p>
        </w:tc>
      </w:tr>
      <w:tr w14:paraId="116F4D8E">
        <w:tblPrEx>
          <w:tblCellMar>
            <w:top w:w="0" w:type="dxa"/>
            <w:left w:w="108" w:type="dxa"/>
            <w:bottom w:w="0" w:type="dxa"/>
            <w:right w:w="108" w:type="dxa"/>
          </w:tblCellMar>
        </w:tblPrEx>
        <w:trPr>
          <w:trHeight w:val="771" w:hRule="atLeast"/>
        </w:trPr>
        <w:tc>
          <w:tcPr>
            <w:tcW w:w="3348" w:type="dxa"/>
            <w:tcBorders>
              <w:top w:val="single" w:color="auto" w:sz="6" w:space="0"/>
              <w:left w:val="single" w:color="auto" w:sz="6" w:space="0"/>
              <w:bottom w:val="single" w:color="auto" w:sz="6" w:space="0"/>
              <w:right w:val="single" w:color="auto" w:sz="6" w:space="0"/>
            </w:tcBorders>
          </w:tcPr>
          <w:p w14:paraId="2C99E5EC">
            <w:pPr>
              <w:autoSpaceDE w:val="0"/>
              <w:autoSpaceDN w:val="0"/>
              <w:adjustRightInd w:val="0"/>
              <w:spacing w:line="500" w:lineRule="exact"/>
              <w:rPr>
                <w:color w:val="auto"/>
                <w:sz w:val="30"/>
                <w:szCs w:val="30"/>
              </w:rPr>
            </w:pPr>
          </w:p>
        </w:tc>
        <w:tc>
          <w:tcPr>
            <w:tcW w:w="6120" w:type="dxa"/>
            <w:tcBorders>
              <w:top w:val="single" w:color="auto" w:sz="6" w:space="0"/>
              <w:left w:val="single" w:color="auto" w:sz="6" w:space="0"/>
              <w:bottom w:val="single" w:color="auto" w:sz="6" w:space="0"/>
              <w:right w:val="single" w:color="auto" w:sz="6" w:space="0"/>
            </w:tcBorders>
          </w:tcPr>
          <w:p w14:paraId="2B6E3F60">
            <w:pPr>
              <w:autoSpaceDE w:val="0"/>
              <w:autoSpaceDN w:val="0"/>
              <w:adjustRightInd w:val="0"/>
              <w:spacing w:line="500" w:lineRule="exact"/>
              <w:rPr>
                <w:color w:val="auto"/>
                <w:sz w:val="30"/>
                <w:szCs w:val="30"/>
              </w:rPr>
            </w:pPr>
          </w:p>
        </w:tc>
      </w:tr>
      <w:tr w14:paraId="28D047AB">
        <w:tblPrEx>
          <w:tblCellMar>
            <w:top w:w="0" w:type="dxa"/>
            <w:left w:w="108" w:type="dxa"/>
            <w:bottom w:w="0" w:type="dxa"/>
            <w:right w:w="108" w:type="dxa"/>
          </w:tblCellMar>
        </w:tblPrEx>
        <w:trPr>
          <w:trHeight w:val="767" w:hRule="atLeast"/>
        </w:trPr>
        <w:tc>
          <w:tcPr>
            <w:tcW w:w="3348" w:type="dxa"/>
            <w:tcBorders>
              <w:top w:val="single" w:color="auto" w:sz="6" w:space="0"/>
              <w:left w:val="single" w:color="auto" w:sz="6" w:space="0"/>
              <w:bottom w:val="single" w:color="auto" w:sz="6" w:space="0"/>
              <w:right w:val="single" w:color="auto" w:sz="6" w:space="0"/>
            </w:tcBorders>
          </w:tcPr>
          <w:p w14:paraId="6E0584F7">
            <w:pPr>
              <w:autoSpaceDE w:val="0"/>
              <w:autoSpaceDN w:val="0"/>
              <w:adjustRightInd w:val="0"/>
              <w:spacing w:line="500" w:lineRule="exact"/>
              <w:rPr>
                <w:color w:val="auto"/>
                <w:sz w:val="30"/>
                <w:szCs w:val="30"/>
              </w:rPr>
            </w:pPr>
          </w:p>
        </w:tc>
        <w:tc>
          <w:tcPr>
            <w:tcW w:w="6120" w:type="dxa"/>
            <w:tcBorders>
              <w:top w:val="single" w:color="auto" w:sz="6" w:space="0"/>
              <w:left w:val="single" w:color="auto" w:sz="6" w:space="0"/>
              <w:bottom w:val="single" w:color="auto" w:sz="6" w:space="0"/>
              <w:right w:val="single" w:color="auto" w:sz="6" w:space="0"/>
            </w:tcBorders>
          </w:tcPr>
          <w:p w14:paraId="28E90070">
            <w:pPr>
              <w:autoSpaceDE w:val="0"/>
              <w:autoSpaceDN w:val="0"/>
              <w:adjustRightInd w:val="0"/>
              <w:spacing w:line="500" w:lineRule="exact"/>
              <w:rPr>
                <w:color w:val="auto"/>
                <w:sz w:val="30"/>
                <w:szCs w:val="30"/>
              </w:rPr>
            </w:pPr>
          </w:p>
        </w:tc>
      </w:tr>
      <w:tr w14:paraId="69F66F3A">
        <w:tblPrEx>
          <w:tblCellMar>
            <w:top w:w="0" w:type="dxa"/>
            <w:left w:w="108" w:type="dxa"/>
            <w:bottom w:w="0" w:type="dxa"/>
            <w:right w:w="108" w:type="dxa"/>
          </w:tblCellMar>
        </w:tblPrEx>
        <w:trPr>
          <w:trHeight w:val="748" w:hRule="atLeast"/>
        </w:trPr>
        <w:tc>
          <w:tcPr>
            <w:tcW w:w="3348" w:type="dxa"/>
            <w:tcBorders>
              <w:top w:val="single" w:color="auto" w:sz="6" w:space="0"/>
              <w:left w:val="single" w:color="auto" w:sz="6" w:space="0"/>
              <w:bottom w:val="single" w:color="auto" w:sz="6" w:space="0"/>
              <w:right w:val="single" w:color="auto" w:sz="6" w:space="0"/>
            </w:tcBorders>
          </w:tcPr>
          <w:p w14:paraId="22139FE9">
            <w:pPr>
              <w:autoSpaceDE w:val="0"/>
              <w:autoSpaceDN w:val="0"/>
              <w:adjustRightInd w:val="0"/>
              <w:spacing w:line="500" w:lineRule="exact"/>
              <w:rPr>
                <w:color w:val="auto"/>
                <w:sz w:val="30"/>
                <w:szCs w:val="30"/>
              </w:rPr>
            </w:pPr>
          </w:p>
        </w:tc>
        <w:tc>
          <w:tcPr>
            <w:tcW w:w="6120" w:type="dxa"/>
            <w:tcBorders>
              <w:top w:val="single" w:color="auto" w:sz="6" w:space="0"/>
              <w:left w:val="single" w:color="auto" w:sz="6" w:space="0"/>
              <w:bottom w:val="single" w:color="auto" w:sz="6" w:space="0"/>
              <w:right w:val="single" w:color="auto" w:sz="6" w:space="0"/>
            </w:tcBorders>
          </w:tcPr>
          <w:p w14:paraId="2E009D16">
            <w:pPr>
              <w:autoSpaceDE w:val="0"/>
              <w:autoSpaceDN w:val="0"/>
              <w:adjustRightInd w:val="0"/>
              <w:spacing w:line="500" w:lineRule="exact"/>
              <w:rPr>
                <w:color w:val="auto"/>
                <w:sz w:val="30"/>
                <w:szCs w:val="30"/>
              </w:rPr>
            </w:pPr>
          </w:p>
        </w:tc>
      </w:tr>
      <w:tr w14:paraId="1DDD9BE1">
        <w:tblPrEx>
          <w:tblCellMar>
            <w:top w:w="0" w:type="dxa"/>
            <w:left w:w="108" w:type="dxa"/>
            <w:bottom w:w="0" w:type="dxa"/>
            <w:right w:w="108" w:type="dxa"/>
          </w:tblCellMar>
        </w:tblPrEx>
        <w:trPr>
          <w:trHeight w:val="772" w:hRule="atLeast"/>
        </w:trPr>
        <w:tc>
          <w:tcPr>
            <w:tcW w:w="3348" w:type="dxa"/>
            <w:tcBorders>
              <w:top w:val="single" w:color="auto" w:sz="6" w:space="0"/>
              <w:left w:val="single" w:color="auto" w:sz="6" w:space="0"/>
              <w:bottom w:val="single" w:color="auto" w:sz="6" w:space="0"/>
              <w:right w:val="single" w:color="auto" w:sz="6" w:space="0"/>
            </w:tcBorders>
          </w:tcPr>
          <w:p w14:paraId="00A8CBE2">
            <w:pPr>
              <w:autoSpaceDE w:val="0"/>
              <w:autoSpaceDN w:val="0"/>
              <w:adjustRightInd w:val="0"/>
              <w:spacing w:line="500" w:lineRule="exact"/>
              <w:rPr>
                <w:color w:val="auto"/>
                <w:sz w:val="30"/>
                <w:szCs w:val="30"/>
              </w:rPr>
            </w:pPr>
          </w:p>
        </w:tc>
        <w:tc>
          <w:tcPr>
            <w:tcW w:w="6120" w:type="dxa"/>
            <w:tcBorders>
              <w:top w:val="single" w:color="auto" w:sz="6" w:space="0"/>
              <w:left w:val="single" w:color="auto" w:sz="6" w:space="0"/>
              <w:bottom w:val="single" w:color="auto" w:sz="6" w:space="0"/>
              <w:right w:val="single" w:color="auto" w:sz="6" w:space="0"/>
            </w:tcBorders>
          </w:tcPr>
          <w:p w14:paraId="5875A396">
            <w:pPr>
              <w:autoSpaceDE w:val="0"/>
              <w:autoSpaceDN w:val="0"/>
              <w:adjustRightInd w:val="0"/>
              <w:spacing w:line="500" w:lineRule="exact"/>
              <w:rPr>
                <w:color w:val="auto"/>
                <w:sz w:val="30"/>
                <w:szCs w:val="30"/>
              </w:rPr>
            </w:pPr>
          </w:p>
        </w:tc>
      </w:tr>
      <w:tr w14:paraId="3909CBC7">
        <w:trPr>
          <w:trHeight w:val="768" w:hRule="atLeast"/>
        </w:trPr>
        <w:tc>
          <w:tcPr>
            <w:tcW w:w="3348" w:type="dxa"/>
            <w:tcBorders>
              <w:top w:val="single" w:color="auto" w:sz="6" w:space="0"/>
              <w:left w:val="single" w:color="auto" w:sz="6" w:space="0"/>
              <w:bottom w:val="single" w:color="auto" w:sz="6" w:space="0"/>
              <w:right w:val="single" w:color="auto" w:sz="6" w:space="0"/>
            </w:tcBorders>
          </w:tcPr>
          <w:p w14:paraId="6DF03517">
            <w:pPr>
              <w:autoSpaceDE w:val="0"/>
              <w:autoSpaceDN w:val="0"/>
              <w:adjustRightInd w:val="0"/>
              <w:spacing w:line="500" w:lineRule="exact"/>
              <w:rPr>
                <w:color w:val="auto"/>
                <w:sz w:val="30"/>
                <w:szCs w:val="30"/>
              </w:rPr>
            </w:pPr>
          </w:p>
        </w:tc>
        <w:tc>
          <w:tcPr>
            <w:tcW w:w="6120" w:type="dxa"/>
            <w:tcBorders>
              <w:top w:val="single" w:color="auto" w:sz="6" w:space="0"/>
              <w:left w:val="single" w:color="auto" w:sz="6" w:space="0"/>
              <w:bottom w:val="single" w:color="auto" w:sz="6" w:space="0"/>
              <w:right w:val="single" w:color="auto" w:sz="6" w:space="0"/>
            </w:tcBorders>
          </w:tcPr>
          <w:p w14:paraId="4541BB3C">
            <w:pPr>
              <w:autoSpaceDE w:val="0"/>
              <w:autoSpaceDN w:val="0"/>
              <w:adjustRightInd w:val="0"/>
              <w:spacing w:line="500" w:lineRule="exact"/>
              <w:rPr>
                <w:color w:val="auto"/>
                <w:sz w:val="30"/>
                <w:szCs w:val="30"/>
              </w:rPr>
            </w:pPr>
          </w:p>
        </w:tc>
      </w:tr>
      <w:tr w14:paraId="73401A09">
        <w:trPr>
          <w:trHeight w:val="771" w:hRule="atLeast"/>
        </w:trPr>
        <w:tc>
          <w:tcPr>
            <w:tcW w:w="3348" w:type="dxa"/>
            <w:tcBorders>
              <w:top w:val="single" w:color="auto" w:sz="6" w:space="0"/>
              <w:left w:val="single" w:color="auto" w:sz="6" w:space="0"/>
              <w:bottom w:val="single" w:color="auto" w:sz="6" w:space="0"/>
              <w:right w:val="single" w:color="auto" w:sz="6" w:space="0"/>
            </w:tcBorders>
          </w:tcPr>
          <w:p w14:paraId="126DA262">
            <w:pPr>
              <w:autoSpaceDE w:val="0"/>
              <w:autoSpaceDN w:val="0"/>
              <w:adjustRightInd w:val="0"/>
              <w:spacing w:line="500" w:lineRule="exact"/>
              <w:rPr>
                <w:color w:val="auto"/>
                <w:sz w:val="30"/>
                <w:szCs w:val="30"/>
              </w:rPr>
            </w:pPr>
          </w:p>
        </w:tc>
        <w:tc>
          <w:tcPr>
            <w:tcW w:w="6120" w:type="dxa"/>
            <w:tcBorders>
              <w:top w:val="single" w:color="auto" w:sz="6" w:space="0"/>
              <w:left w:val="single" w:color="auto" w:sz="6" w:space="0"/>
              <w:bottom w:val="single" w:color="auto" w:sz="6" w:space="0"/>
              <w:right w:val="single" w:color="auto" w:sz="6" w:space="0"/>
            </w:tcBorders>
          </w:tcPr>
          <w:p w14:paraId="13D25267">
            <w:pPr>
              <w:autoSpaceDE w:val="0"/>
              <w:autoSpaceDN w:val="0"/>
              <w:adjustRightInd w:val="0"/>
              <w:spacing w:line="500" w:lineRule="exact"/>
              <w:rPr>
                <w:color w:val="auto"/>
                <w:sz w:val="30"/>
                <w:szCs w:val="30"/>
              </w:rPr>
            </w:pPr>
          </w:p>
        </w:tc>
      </w:tr>
      <w:tr w14:paraId="68C59602">
        <w:trPr>
          <w:trHeight w:val="767" w:hRule="atLeast"/>
        </w:trPr>
        <w:tc>
          <w:tcPr>
            <w:tcW w:w="3348" w:type="dxa"/>
            <w:tcBorders>
              <w:top w:val="single" w:color="auto" w:sz="6" w:space="0"/>
              <w:left w:val="single" w:color="auto" w:sz="6" w:space="0"/>
              <w:bottom w:val="single" w:color="auto" w:sz="6" w:space="0"/>
              <w:right w:val="single" w:color="auto" w:sz="6" w:space="0"/>
            </w:tcBorders>
          </w:tcPr>
          <w:p w14:paraId="37E6958A">
            <w:pPr>
              <w:autoSpaceDE w:val="0"/>
              <w:autoSpaceDN w:val="0"/>
              <w:adjustRightInd w:val="0"/>
              <w:spacing w:line="500" w:lineRule="exact"/>
              <w:rPr>
                <w:color w:val="auto"/>
                <w:sz w:val="30"/>
                <w:szCs w:val="30"/>
              </w:rPr>
            </w:pPr>
          </w:p>
        </w:tc>
        <w:tc>
          <w:tcPr>
            <w:tcW w:w="6120" w:type="dxa"/>
            <w:tcBorders>
              <w:top w:val="single" w:color="auto" w:sz="6" w:space="0"/>
              <w:left w:val="single" w:color="auto" w:sz="6" w:space="0"/>
              <w:bottom w:val="single" w:color="auto" w:sz="6" w:space="0"/>
              <w:right w:val="single" w:color="auto" w:sz="6" w:space="0"/>
            </w:tcBorders>
          </w:tcPr>
          <w:p w14:paraId="39932828">
            <w:pPr>
              <w:autoSpaceDE w:val="0"/>
              <w:autoSpaceDN w:val="0"/>
              <w:adjustRightInd w:val="0"/>
              <w:spacing w:line="500" w:lineRule="exact"/>
              <w:rPr>
                <w:color w:val="auto"/>
                <w:sz w:val="30"/>
                <w:szCs w:val="30"/>
              </w:rPr>
            </w:pPr>
          </w:p>
        </w:tc>
      </w:tr>
      <w:tr w14:paraId="2A7F2B4F">
        <w:tblPrEx>
          <w:tblCellMar>
            <w:top w:w="0" w:type="dxa"/>
            <w:left w:w="108" w:type="dxa"/>
            <w:bottom w:w="0" w:type="dxa"/>
            <w:right w:w="108" w:type="dxa"/>
          </w:tblCellMar>
        </w:tblPrEx>
        <w:trPr>
          <w:trHeight w:val="748" w:hRule="atLeast"/>
        </w:trPr>
        <w:tc>
          <w:tcPr>
            <w:tcW w:w="3348" w:type="dxa"/>
            <w:tcBorders>
              <w:top w:val="single" w:color="auto" w:sz="6" w:space="0"/>
              <w:left w:val="single" w:color="auto" w:sz="6" w:space="0"/>
              <w:bottom w:val="single" w:color="auto" w:sz="6" w:space="0"/>
              <w:right w:val="single" w:color="auto" w:sz="6" w:space="0"/>
            </w:tcBorders>
          </w:tcPr>
          <w:p w14:paraId="799D4E20">
            <w:pPr>
              <w:autoSpaceDE w:val="0"/>
              <w:autoSpaceDN w:val="0"/>
              <w:adjustRightInd w:val="0"/>
              <w:spacing w:line="500" w:lineRule="exact"/>
              <w:rPr>
                <w:color w:val="auto"/>
                <w:sz w:val="30"/>
                <w:szCs w:val="30"/>
              </w:rPr>
            </w:pPr>
          </w:p>
        </w:tc>
        <w:tc>
          <w:tcPr>
            <w:tcW w:w="6120" w:type="dxa"/>
            <w:tcBorders>
              <w:top w:val="single" w:color="auto" w:sz="6" w:space="0"/>
              <w:left w:val="single" w:color="auto" w:sz="6" w:space="0"/>
              <w:bottom w:val="single" w:color="auto" w:sz="6" w:space="0"/>
              <w:right w:val="single" w:color="auto" w:sz="6" w:space="0"/>
            </w:tcBorders>
          </w:tcPr>
          <w:p w14:paraId="5B2A38AE">
            <w:pPr>
              <w:autoSpaceDE w:val="0"/>
              <w:autoSpaceDN w:val="0"/>
              <w:adjustRightInd w:val="0"/>
              <w:spacing w:line="500" w:lineRule="exact"/>
              <w:rPr>
                <w:color w:val="auto"/>
                <w:sz w:val="30"/>
                <w:szCs w:val="30"/>
              </w:rPr>
            </w:pPr>
          </w:p>
        </w:tc>
      </w:tr>
      <w:tr w14:paraId="7D20B3D3">
        <w:tblPrEx>
          <w:tblCellMar>
            <w:top w:w="0" w:type="dxa"/>
            <w:left w:w="108" w:type="dxa"/>
            <w:bottom w:w="0" w:type="dxa"/>
            <w:right w:w="108" w:type="dxa"/>
          </w:tblCellMar>
        </w:tblPrEx>
        <w:trPr>
          <w:trHeight w:val="772" w:hRule="atLeast"/>
        </w:trPr>
        <w:tc>
          <w:tcPr>
            <w:tcW w:w="3348" w:type="dxa"/>
            <w:tcBorders>
              <w:top w:val="single" w:color="auto" w:sz="6" w:space="0"/>
              <w:left w:val="single" w:color="auto" w:sz="6" w:space="0"/>
              <w:bottom w:val="single" w:color="auto" w:sz="6" w:space="0"/>
              <w:right w:val="single" w:color="auto" w:sz="6" w:space="0"/>
            </w:tcBorders>
          </w:tcPr>
          <w:p w14:paraId="09BA6472">
            <w:pPr>
              <w:autoSpaceDE w:val="0"/>
              <w:autoSpaceDN w:val="0"/>
              <w:adjustRightInd w:val="0"/>
              <w:spacing w:line="500" w:lineRule="exact"/>
              <w:rPr>
                <w:color w:val="auto"/>
                <w:sz w:val="30"/>
                <w:szCs w:val="30"/>
              </w:rPr>
            </w:pPr>
          </w:p>
        </w:tc>
        <w:tc>
          <w:tcPr>
            <w:tcW w:w="6120" w:type="dxa"/>
            <w:tcBorders>
              <w:top w:val="single" w:color="auto" w:sz="6" w:space="0"/>
              <w:left w:val="single" w:color="auto" w:sz="6" w:space="0"/>
              <w:bottom w:val="single" w:color="auto" w:sz="6" w:space="0"/>
              <w:right w:val="single" w:color="auto" w:sz="6" w:space="0"/>
            </w:tcBorders>
          </w:tcPr>
          <w:p w14:paraId="7570ABD0">
            <w:pPr>
              <w:autoSpaceDE w:val="0"/>
              <w:autoSpaceDN w:val="0"/>
              <w:adjustRightInd w:val="0"/>
              <w:spacing w:line="500" w:lineRule="exact"/>
              <w:rPr>
                <w:color w:val="auto"/>
                <w:sz w:val="30"/>
                <w:szCs w:val="30"/>
              </w:rPr>
            </w:pPr>
          </w:p>
        </w:tc>
      </w:tr>
      <w:tr w14:paraId="402E2416">
        <w:tblPrEx>
          <w:tblCellMar>
            <w:top w:w="0" w:type="dxa"/>
            <w:left w:w="108" w:type="dxa"/>
            <w:bottom w:w="0" w:type="dxa"/>
            <w:right w:w="108" w:type="dxa"/>
          </w:tblCellMar>
        </w:tblPrEx>
        <w:trPr>
          <w:trHeight w:val="772" w:hRule="atLeast"/>
        </w:trPr>
        <w:tc>
          <w:tcPr>
            <w:tcW w:w="9468" w:type="dxa"/>
            <w:gridSpan w:val="2"/>
            <w:tcBorders>
              <w:top w:val="single" w:color="auto" w:sz="6" w:space="0"/>
              <w:left w:val="single" w:color="auto" w:sz="6" w:space="0"/>
              <w:bottom w:val="single" w:color="auto" w:sz="6" w:space="0"/>
              <w:right w:val="single" w:color="auto" w:sz="6" w:space="0"/>
            </w:tcBorders>
          </w:tcPr>
          <w:p w14:paraId="76280EF1">
            <w:pPr>
              <w:autoSpaceDE w:val="0"/>
              <w:autoSpaceDN w:val="0"/>
              <w:adjustRightInd w:val="0"/>
              <w:spacing w:line="500" w:lineRule="exact"/>
              <w:rPr>
                <w:color w:val="auto"/>
                <w:sz w:val="30"/>
                <w:szCs w:val="30"/>
              </w:rPr>
            </w:pPr>
            <w:r>
              <w:rPr>
                <w:rFonts w:hint="eastAsia" w:ascii="宋体" w:cs="宋体"/>
                <w:color w:val="auto"/>
                <w:sz w:val="30"/>
                <w:szCs w:val="30"/>
                <w:lang w:val="zh-CN"/>
              </w:rPr>
              <w:t>评委签名：</w:t>
            </w:r>
          </w:p>
          <w:p w14:paraId="0C9294FD">
            <w:pPr>
              <w:rPr>
                <w:color w:val="auto"/>
              </w:rPr>
            </w:pPr>
          </w:p>
          <w:p w14:paraId="6B71B9A9">
            <w:pPr>
              <w:rPr>
                <w:color w:val="auto"/>
                <w:lang w:val="zh-CN"/>
              </w:rPr>
            </w:pPr>
          </w:p>
          <w:p w14:paraId="4BA1788D">
            <w:pPr>
              <w:autoSpaceDE w:val="0"/>
              <w:autoSpaceDN w:val="0"/>
              <w:adjustRightInd w:val="0"/>
              <w:spacing w:line="500" w:lineRule="exact"/>
              <w:ind w:right="560"/>
              <w:jc w:val="right"/>
              <w:rPr>
                <w:color w:val="auto"/>
                <w:sz w:val="28"/>
                <w:szCs w:val="28"/>
              </w:rPr>
            </w:pPr>
            <w:r>
              <w:rPr>
                <w:rFonts w:hint="eastAsia" w:ascii="宋体" w:cs="宋体"/>
                <w:color w:val="auto"/>
                <w:sz w:val="28"/>
                <w:szCs w:val="28"/>
                <w:lang w:val="en-US" w:eastAsia="zh-CN"/>
              </w:rPr>
              <w:t xml:space="preserve">     </w:t>
            </w:r>
            <w:r>
              <w:rPr>
                <w:rFonts w:hint="eastAsia" w:ascii="宋体" w:cs="宋体"/>
                <w:color w:val="auto"/>
                <w:sz w:val="28"/>
                <w:szCs w:val="28"/>
                <w:lang w:val="zh-CN"/>
              </w:rPr>
              <w:t>年</w:t>
            </w:r>
            <w:r>
              <w:rPr>
                <w:color w:val="auto"/>
                <w:sz w:val="28"/>
                <w:szCs w:val="28"/>
              </w:rPr>
              <w:t xml:space="preserve">  </w:t>
            </w:r>
            <w:r>
              <w:rPr>
                <w:rFonts w:hint="eastAsia" w:ascii="宋体" w:cs="宋体"/>
                <w:color w:val="auto"/>
                <w:sz w:val="28"/>
                <w:szCs w:val="28"/>
                <w:lang w:val="zh-CN"/>
              </w:rPr>
              <w:t>月</w:t>
            </w:r>
            <w:r>
              <w:rPr>
                <w:color w:val="auto"/>
                <w:sz w:val="28"/>
                <w:szCs w:val="28"/>
              </w:rPr>
              <w:t xml:space="preserve">  </w:t>
            </w:r>
            <w:r>
              <w:rPr>
                <w:rFonts w:hint="eastAsia" w:ascii="宋体" w:cs="宋体"/>
                <w:color w:val="auto"/>
                <w:sz w:val="28"/>
                <w:szCs w:val="28"/>
                <w:lang w:val="zh-CN"/>
              </w:rPr>
              <w:t>日</w:t>
            </w:r>
          </w:p>
        </w:tc>
      </w:tr>
    </w:tbl>
    <w:p w14:paraId="0E82A578">
      <w:pPr>
        <w:autoSpaceDE w:val="0"/>
        <w:autoSpaceDN w:val="0"/>
        <w:adjustRightInd w:val="0"/>
        <w:spacing w:line="500" w:lineRule="exact"/>
        <w:ind w:left="100" w:hanging="100"/>
        <w:rPr>
          <w:rFonts w:ascii="宋体" w:cs="宋体"/>
          <w:b/>
          <w:bCs/>
          <w:color w:val="auto"/>
          <w:sz w:val="24"/>
          <w:lang w:val="zh-CN"/>
        </w:rPr>
      </w:pPr>
    </w:p>
    <w:p w14:paraId="095CF7A9">
      <w:pPr>
        <w:autoSpaceDE w:val="0"/>
        <w:autoSpaceDN w:val="0"/>
        <w:adjustRightInd w:val="0"/>
        <w:spacing w:line="500" w:lineRule="exact"/>
        <w:ind w:left="100" w:hanging="100"/>
        <w:rPr>
          <w:rFonts w:ascii="宋体" w:cs="宋体"/>
          <w:b/>
          <w:bCs/>
          <w:color w:val="auto"/>
          <w:sz w:val="24"/>
          <w:lang w:val="zh-CN"/>
        </w:rPr>
      </w:pPr>
    </w:p>
    <w:p w14:paraId="2AC80DAD">
      <w:pPr>
        <w:autoSpaceDE w:val="0"/>
        <w:autoSpaceDN w:val="0"/>
        <w:adjustRightInd w:val="0"/>
        <w:spacing w:line="500" w:lineRule="exact"/>
        <w:ind w:left="100" w:hanging="100"/>
        <w:rPr>
          <w:rFonts w:ascii="宋体" w:cs="宋体"/>
          <w:b/>
          <w:bCs/>
          <w:color w:val="auto"/>
          <w:sz w:val="24"/>
          <w:lang w:val="zh-CN"/>
        </w:rPr>
      </w:pPr>
    </w:p>
    <w:p w14:paraId="5E7A089A">
      <w:pPr>
        <w:widowControl/>
        <w:adjustRightInd w:val="0"/>
        <w:snapToGrid w:val="0"/>
        <w:spacing w:before="156" w:beforeLines="50"/>
        <w:jc w:val="left"/>
        <w:rPr>
          <w:rFonts w:ascii="宋体" w:hAnsi="宋体"/>
          <w:b/>
          <w:color w:val="auto"/>
          <w:sz w:val="32"/>
          <w:szCs w:val="32"/>
        </w:rPr>
      </w:pPr>
    </w:p>
    <w:p w14:paraId="06A6B38C">
      <w:pPr>
        <w:widowControl/>
        <w:spacing w:afterAutospacing="1" w:line="360" w:lineRule="auto"/>
        <w:jc w:val="left"/>
        <w:rPr>
          <w:rFonts w:ascii="宋体" w:hAnsi="宋体"/>
          <w:b/>
          <w:color w:val="auto"/>
          <w:sz w:val="32"/>
          <w:szCs w:val="32"/>
        </w:rPr>
        <w:sectPr>
          <w:pgSz w:w="11906" w:h="16838"/>
          <w:pgMar w:top="1440" w:right="1588" w:bottom="1440" w:left="1588"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55559ABF">
      <w:pPr>
        <w:pStyle w:val="23"/>
        <w:ind w:left="102" w:leftChars="0" w:hanging="102" w:firstLineChars="0"/>
        <w:outlineLvl w:val="1"/>
        <w:rPr>
          <w:rFonts w:ascii="宋体" w:cs="宋体"/>
          <w:b/>
          <w:bCs/>
          <w:color w:val="auto"/>
          <w:sz w:val="24"/>
        </w:rPr>
      </w:pPr>
      <w:bookmarkStart w:id="83" w:name="_GoBack"/>
      <w:bookmarkEnd w:id="83"/>
      <w:bookmarkStart w:id="20" w:name="_Toc28566"/>
      <w:bookmarkStart w:id="21" w:name="_Toc22432"/>
      <w:bookmarkStart w:id="22" w:name="_Toc26290"/>
      <w:r>
        <w:rPr>
          <w:rFonts w:hint="eastAsia" w:ascii="宋体" w:cs="宋体"/>
          <w:b/>
          <w:bCs/>
          <w:color w:val="auto"/>
          <w:sz w:val="24"/>
        </w:rPr>
        <w:t>6</w:t>
      </w:r>
      <w:r>
        <w:rPr>
          <w:rFonts w:hint="eastAsia" w:ascii="宋体" w:cs="宋体"/>
          <w:b/>
          <w:bCs/>
          <w:color w:val="auto"/>
          <w:sz w:val="24"/>
          <w:lang w:val="zh-CN"/>
        </w:rPr>
        <w:t>：磋商标准（100分）</w:t>
      </w:r>
      <w:bookmarkEnd w:id="20"/>
      <w:bookmarkEnd w:id="21"/>
      <w:bookmarkEnd w:id="22"/>
    </w:p>
    <w:tbl>
      <w:tblPr>
        <w:tblStyle w:val="51"/>
        <w:tblW w:w="10140" w:type="dxa"/>
        <w:tblInd w:w="-584"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495"/>
        <w:gridCol w:w="1095"/>
        <w:gridCol w:w="7110"/>
        <w:gridCol w:w="480"/>
        <w:gridCol w:w="480"/>
        <w:gridCol w:w="480"/>
      </w:tblGrid>
      <w:tr w14:paraId="37C1AC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495" w:type="dxa"/>
            <w:vMerge w:val="restart"/>
            <w:tcBorders>
              <w:top w:val="single" w:color="auto" w:sz="2" w:space="0"/>
              <w:left w:val="single" w:color="auto" w:sz="2" w:space="0"/>
              <w:bottom w:val="single" w:color="auto" w:sz="2" w:space="0"/>
              <w:right w:val="single" w:color="auto" w:sz="2" w:space="0"/>
            </w:tcBorders>
            <w:vAlign w:val="center"/>
          </w:tcPr>
          <w:p w14:paraId="2EA7F2DD">
            <w:pPr>
              <w:adjustRightInd w:val="0"/>
              <w:snapToGrid w:val="0"/>
              <w:spacing w:line="32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序号</w:t>
            </w:r>
          </w:p>
        </w:tc>
        <w:tc>
          <w:tcPr>
            <w:tcW w:w="1095" w:type="dxa"/>
            <w:vMerge w:val="restart"/>
            <w:tcBorders>
              <w:top w:val="single" w:color="auto" w:sz="2" w:space="0"/>
              <w:left w:val="single" w:color="auto" w:sz="2" w:space="0"/>
              <w:bottom w:val="single" w:color="auto" w:sz="2" w:space="0"/>
              <w:right w:val="single" w:color="auto" w:sz="2" w:space="0"/>
            </w:tcBorders>
            <w:vAlign w:val="center"/>
          </w:tcPr>
          <w:p w14:paraId="7AB687E2">
            <w:pPr>
              <w:adjustRightInd w:val="0"/>
              <w:snapToGrid w:val="0"/>
              <w:spacing w:line="320" w:lineRule="exact"/>
              <w:rPr>
                <w:rFonts w:ascii="宋体" w:hAnsi="宋体" w:cs="宋体"/>
                <w:b/>
                <w:bCs/>
                <w:snapToGrid w:val="0"/>
                <w:color w:val="auto"/>
                <w:kern w:val="0"/>
                <w:szCs w:val="21"/>
              </w:rPr>
            </w:pPr>
            <w:r>
              <w:rPr>
                <w:rFonts w:hint="eastAsia" w:ascii="宋体" w:hAnsi="宋体" w:cs="宋体"/>
                <w:b/>
                <w:bCs/>
                <w:snapToGrid w:val="0"/>
                <w:color w:val="auto"/>
                <w:kern w:val="0"/>
                <w:szCs w:val="21"/>
              </w:rPr>
              <w:t>磋商因素</w:t>
            </w:r>
          </w:p>
        </w:tc>
        <w:tc>
          <w:tcPr>
            <w:tcW w:w="7110" w:type="dxa"/>
            <w:vMerge w:val="restart"/>
            <w:tcBorders>
              <w:top w:val="single" w:color="auto" w:sz="2" w:space="0"/>
              <w:left w:val="single" w:color="auto" w:sz="2" w:space="0"/>
              <w:bottom w:val="single" w:color="auto" w:sz="2" w:space="0"/>
              <w:right w:val="single" w:color="auto" w:sz="2" w:space="0"/>
            </w:tcBorders>
            <w:vAlign w:val="center"/>
          </w:tcPr>
          <w:p w14:paraId="3FCB3418">
            <w:pPr>
              <w:adjustRightInd w:val="0"/>
              <w:snapToGrid w:val="0"/>
              <w:spacing w:line="32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磋商标准</w:t>
            </w:r>
          </w:p>
        </w:tc>
        <w:tc>
          <w:tcPr>
            <w:tcW w:w="1440" w:type="dxa"/>
            <w:gridSpan w:val="3"/>
            <w:tcBorders>
              <w:top w:val="single" w:color="auto" w:sz="2" w:space="0"/>
              <w:left w:val="single" w:color="auto" w:sz="2" w:space="0"/>
              <w:bottom w:val="single" w:color="auto" w:sz="2" w:space="0"/>
              <w:right w:val="single" w:color="auto" w:sz="2" w:space="0"/>
            </w:tcBorders>
            <w:vAlign w:val="center"/>
          </w:tcPr>
          <w:p w14:paraId="57D5148B">
            <w:pPr>
              <w:widowControl/>
              <w:adjustRightInd w:val="0"/>
              <w:snapToGrid w:val="0"/>
              <w:spacing w:line="320" w:lineRule="exact"/>
              <w:jc w:val="center"/>
              <w:rPr>
                <w:rFonts w:ascii="宋体" w:hAnsi="宋体" w:cs="宋体"/>
                <w:b/>
                <w:bCs/>
                <w:color w:val="auto"/>
                <w:kern w:val="0"/>
                <w:szCs w:val="21"/>
              </w:rPr>
            </w:pPr>
            <w:r>
              <w:rPr>
                <w:rFonts w:hint="eastAsia" w:ascii="宋体" w:hAnsi="宋体" w:cs="宋体"/>
                <w:b/>
                <w:bCs/>
                <w:color w:val="auto"/>
                <w:kern w:val="0"/>
                <w:szCs w:val="21"/>
              </w:rPr>
              <w:t>供应商</w:t>
            </w:r>
          </w:p>
        </w:tc>
      </w:tr>
      <w:tr w14:paraId="02D631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495" w:type="dxa"/>
            <w:vMerge w:val="continue"/>
            <w:tcBorders>
              <w:top w:val="single" w:color="auto" w:sz="2" w:space="0"/>
              <w:left w:val="single" w:color="auto" w:sz="2" w:space="0"/>
              <w:bottom w:val="single" w:color="auto" w:sz="2" w:space="0"/>
              <w:right w:val="single" w:color="auto" w:sz="2" w:space="0"/>
            </w:tcBorders>
            <w:vAlign w:val="center"/>
          </w:tcPr>
          <w:p w14:paraId="52C3964B">
            <w:pPr>
              <w:widowControl/>
              <w:adjustRightInd w:val="0"/>
              <w:snapToGrid w:val="0"/>
              <w:spacing w:line="320" w:lineRule="exact"/>
              <w:jc w:val="left"/>
              <w:rPr>
                <w:rFonts w:ascii="宋体" w:hAnsi="宋体" w:cs="宋体"/>
                <w:b/>
                <w:bCs/>
                <w:snapToGrid w:val="0"/>
                <w:color w:val="auto"/>
                <w:kern w:val="0"/>
                <w:szCs w:val="21"/>
              </w:rPr>
            </w:pPr>
          </w:p>
        </w:tc>
        <w:tc>
          <w:tcPr>
            <w:tcW w:w="1095" w:type="dxa"/>
            <w:vMerge w:val="continue"/>
            <w:tcBorders>
              <w:top w:val="single" w:color="auto" w:sz="2" w:space="0"/>
              <w:left w:val="single" w:color="auto" w:sz="2" w:space="0"/>
              <w:bottom w:val="single" w:color="auto" w:sz="2" w:space="0"/>
              <w:right w:val="single" w:color="auto" w:sz="2" w:space="0"/>
            </w:tcBorders>
            <w:vAlign w:val="center"/>
          </w:tcPr>
          <w:p w14:paraId="7413D47F">
            <w:pPr>
              <w:widowControl/>
              <w:adjustRightInd w:val="0"/>
              <w:snapToGrid w:val="0"/>
              <w:spacing w:line="320" w:lineRule="exact"/>
              <w:jc w:val="left"/>
              <w:rPr>
                <w:rFonts w:ascii="宋体" w:hAnsi="宋体" w:cs="宋体"/>
                <w:b/>
                <w:bCs/>
                <w:snapToGrid w:val="0"/>
                <w:color w:val="auto"/>
                <w:kern w:val="0"/>
                <w:szCs w:val="21"/>
              </w:rPr>
            </w:pPr>
          </w:p>
        </w:tc>
        <w:tc>
          <w:tcPr>
            <w:tcW w:w="7110" w:type="dxa"/>
            <w:vMerge w:val="continue"/>
            <w:tcBorders>
              <w:top w:val="single" w:color="auto" w:sz="2" w:space="0"/>
              <w:left w:val="single" w:color="auto" w:sz="2" w:space="0"/>
              <w:bottom w:val="single" w:color="auto" w:sz="2" w:space="0"/>
              <w:right w:val="single" w:color="auto" w:sz="2" w:space="0"/>
            </w:tcBorders>
            <w:vAlign w:val="center"/>
          </w:tcPr>
          <w:p w14:paraId="0DA3B993">
            <w:pPr>
              <w:widowControl/>
              <w:adjustRightInd w:val="0"/>
              <w:snapToGrid w:val="0"/>
              <w:spacing w:line="320" w:lineRule="exact"/>
              <w:jc w:val="left"/>
              <w:rPr>
                <w:rFonts w:ascii="宋体" w:hAnsi="宋体" w:cs="宋体"/>
                <w:b/>
                <w:bCs/>
                <w:snapToGrid w:val="0"/>
                <w:color w:val="auto"/>
                <w:kern w:val="0"/>
                <w:szCs w:val="21"/>
              </w:rPr>
            </w:pPr>
          </w:p>
        </w:tc>
        <w:tc>
          <w:tcPr>
            <w:tcW w:w="480" w:type="dxa"/>
            <w:tcBorders>
              <w:top w:val="single" w:color="auto" w:sz="2" w:space="0"/>
              <w:left w:val="single" w:color="auto" w:sz="2" w:space="0"/>
              <w:bottom w:val="single" w:color="auto" w:sz="2" w:space="0"/>
              <w:right w:val="single" w:color="auto" w:sz="2" w:space="0"/>
            </w:tcBorders>
            <w:vAlign w:val="center"/>
          </w:tcPr>
          <w:p w14:paraId="0B10EBA0">
            <w:pPr>
              <w:widowControl/>
              <w:adjustRightInd w:val="0"/>
              <w:snapToGrid w:val="0"/>
              <w:spacing w:line="320" w:lineRule="exact"/>
              <w:jc w:val="center"/>
              <w:rPr>
                <w:rFonts w:ascii="宋体" w:hAnsi="宋体" w:cs="宋体"/>
                <w:b/>
                <w:bCs/>
                <w:color w:val="auto"/>
                <w:kern w:val="0"/>
                <w:szCs w:val="21"/>
              </w:rPr>
            </w:pPr>
            <w:r>
              <w:rPr>
                <w:rFonts w:hint="eastAsia" w:ascii="宋体" w:hAnsi="宋体" w:cs="宋体"/>
                <w:b/>
                <w:bCs/>
                <w:color w:val="auto"/>
                <w:kern w:val="0"/>
                <w:szCs w:val="21"/>
              </w:rPr>
              <w:t>1</w:t>
            </w:r>
          </w:p>
        </w:tc>
        <w:tc>
          <w:tcPr>
            <w:tcW w:w="480" w:type="dxa"/>
            <w:tcBorders>
              <w:top w:val="single" w:color="auto" w:sz="2" w:space="0"/>
              <w:left w:val="single" w:color="auto" w:sz="2" w:space="0"/>
              <w:bottom w:val="single" w:color="auto" w:sz="2" w:space="0"/>
              <w:right w:val="single" w:color="auto" w:sz="2" w:space="0"/>
            </w:tcBorders>
            <w:vAlign w:val="center"/>
          </w:tcPr>
          <w:p w14:paraId="301545B1">
            <w:pPr>
              <w:widowControl/>
              <w:adjustRightInd w:val="0"/>
              <w:snapToGrid w:val="0"/>
              <w:spacing w:line="320" w:lineRule="exact"/>
              <w:jc w:val="center"/>
              <w:rPr>
                <w:rFonts w:ascii="宋体" w:hAnsi="宋体" w:cs="宋体"/>
                <w:b/>
                <w:bCs/>
                <w:color w:val="auto"/>
                <w:kern w:val="0"/>
                <w:szCs w:val="21"/>
              </w:rPr>
            </w:pPr>
            <w:r>
              <w:rPr>
                <w:rFonts w:hint="eastAsia" w:ascii="宋体" w:hAnsi="宋体" w:cs="宋体"/>
                <w:b/>
                <w:bCs/>
                <w:color w:val="auto"/>
                <w:kern w:val="0"/>
                <w:szCs w:val="21"/>
              </w:rPr>
              <w:t>2</w:t>
            </w:r>
          </w:p>
        </w:tc>
        <w:tc>
          <w:tcPr>
            <w:tcW w:w="480" w:type="dxa"/>
            <w:tcBorders>
              <w:top w:val="single" w:color="auto" w:sz="2" w:space="0"/>
              <w:left w:val="single" w:color="auto" w:sz="2" w:space="0"/>
              <w:bottom w:val="single" w:color="auto" w:sz="2" w:space="0"/>
              <w:right w:val="single" w:color="auto" w:sz="4" w:space="0"/>
            </w:tcBorders>
            <w:vAlign w:val="center"/>
          </w:tcPr>
          <w:p w14:paraId="2C4CBBA4">
            <w:pPr>
              <w:widowControl/>
              <w:adjustRightInd w:val="0"/>
              <w:snapToGrid w:val="0"/>
              <w:spacing w:line="320" w:lineRule="exact"/>
              <w:jc w:val="center"/>
              <w:rPr>
                <w:rFonts w:ascii="宋体" w:hAnsi="宋体" w:cs="宋体"/>
                <w:b/>
                <w:bCs/>
                <w:color w:val="auto"/>
                <w:kern w:val="0"/>
                <w:szCs w:val="21"/>
              </w:rPr>
            </w:pPr>
            <w:r>
              <w:rPr>
                <w:rFonts w:hint="eastAsia" w:ascii="宋体" w:hAnsi="宋体" w:cs="宋体"/>
                <w:b/>
                <w:bCs/>
                <w:color w:val="auto"/>
                <w:kern w:val="0"/>
                <w:szCs w:val="21"/>
              </w:rPr>
              <w:t>3</w:t>
            </w:r>
          </w:p>
        </w:tc>
      </w:tr>
      <w:tr w14:paraId="792DA6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888" w:hRule="atLeast"/>
        </w:trPr>
        <w:tc>
          <w:tcPr>
            <w:tcW w:w="495" w:type="dxa"/>
            <w:tcBorders>
              <w:top w:val="single" w:color="auto" w:sz="2" w:space="0"/>
              <w:left w:val="single" w:color="auto" w:sz="2" w:space="0"/>
              <w:bottom w:val="single" w:color="auto" w:sz="2" w:space="0"/>
              <w:right w:val="single" w:color="auto" w:sz="2" w:space="0"/>
            </w:tcBorders>
            <w:vAlign w:val="center"/>
          </w:tcPr>
          <w:p w14:paraId="39F448EF">
            <w:pPr>
              <w:widowControl/>
              <w:adjustRightInd w:val="0"/>
              <w:snapToGrid w:val="0"/>
              <w:spacing w:line="320" w:lineRule="exact"/>
              <w:jc w:val="center"/>
              <w:rPr>
                <w:rFonts w:ascii="宋体" w:hAnsi="宋体" w:cs="宋体"/>
                <w:snapToGrid w:val="0"/>
                <w:color w:val="auto"/>
                <w:kern w:val="0"/>
                <w:szCs w:val="21"/>
              </w:rPr>
            </w:pPr>
            <w:r>
              <w:rPr>
                <w:rFonts w:hint="eastAsia" w:ascii="宋体" w:hAnsi="宋体" w:cs="宋体"/>
                <w:snapToGrid w:val="0"/>
                <w:color w:val="auto"/>
                <w:kern w:val="0"/>
                <w:szCs w:val="21"/>
              </w:rPr>
              <w:t>1</w:t>
            </w:r>
          </w:p>
        </w:tc>
        <w:tc>
          <w:tcPr>
            <w:tcW w:w="1095" w:type="dxa"/>
            <w:tcBorders>
              <w:top w:val="single" w:color="auto" w:sz="2" w:space="0"/>
              <w:left w:val="single" w:color="auto" w:sz="2" w:space="0"/>
              <w:bottom w:val="single" w:color="auto" w:sz="2" w:space="0"/>
              <w:right w:val="single" w:color="auto" w:sz="2" w:space="0"/>
            </w:tcBorders>
            <w:vAlign w:val="center"/>
          </w:tcPr>
          <w:p w14:paraId="429F1AFC">
            <w:pPr>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磋商报价</w:t>
            </w:r>
          </w:p>
          <w:p w14:paraId="2F8C171C">
            <w:pPr>
              <w:adjustRightInd w:val="0"/>
              <w:snapToGrid w:val="0"/>
              <w:jc w:val="center"/>
              <w:rPr>
                <w:rFonts w:ascii="宋体" w:hAnsi="宋体" w:cs="宋体"/>
                <w:b/>
                <w:bCs/>
                <w:snapToGrid w:val="0"/>
                <w:color w:val="auto"/>
                <w:kern w:val="0"/>
                <w:szCs w:val="21"/>
              </w:rPr>
            </w:pPr>
            <w:r>
              <w:rPr>
                <w:rFonts w:hint="eastAsia" w:ascii="宋体" w:hAnsi="宋体" w:cs="宋体"/>
                <w:snapToGrid w:val="0"/>
                <w:color w:val="auto"/>
                <w:kern w:val="0"/>
                <w:szCs w:val="21"/>
              </w:rPr>
              <w:t>30分</w:t>
            </w:r>
          </w:p>
        </w:tc>
        <w:tc>
          <w:tcPr>
            <w:tcW w:w="7110" w:type="dxa"/>
            <w:tcBorders>
              <w:top w:val="single" w:color="auto" w:sz="2" w:space="0"/>
              <w:left w:val="single" w:color="auto" w:sz="2" w:space="0"/>
              <w:bottom w:val="single" w:color="auto" w:sz="2" w:space="0"/>
              <w:right w:val="single" w:color="auto" w:sz="2" w:space="0"/>
            </w:tcBorders>
            <w:vAlign w:val="center"/>
          </w:tcPr>
          <w:p w14:paraId="6831FCE9">
            <w:pPr>
              <w:adjustRightInd w:val="0"/>
              <w:snapToGrid w:val="0"/>
              <w:rPr>
                <w:rFonts w:ascii="宋体" w:hAnsi="宋体" w:cs="宋体"/>
                <w:color w:val="auto"/>
                <w:szCs w:val="21"/>
                <w:lang w:val="zh-CN"/>
              </w:rPr>
            </w:pPr>
            <w:r>
              <w:rPr>
                <w:rFonts w:hint="eastAsia" w:ascii="宋体" w:hAnsi="宋体" w:cs="宋体"/>
                <w:color w:val="auto"/>
                <w:szCs w:val="21"/>
                <w:lang w:val="zh-CN"/>
              </w:rPr>
              <w:t>1</w:t>
            </w:r>
            <w:r>
              <w:rPr>
                <w:rFonts w:hint="eastAsia" w:ascii="宋体" w:hAnsi="宋体" w:cs="宋体"/>
                <w:color w:val="auto"/>
                <w:szCs w:val="21"/>
              </w:rPr>
              <w:t>.</w:t>
            </w:r>
            <w:r>
              <w:rPr>
                <w:rFonts w:hint="eastAsia" w:ascii="宋体" w:hAnsi="宋体" w:cs="宋体"/>
                <w:color w:val="auto"/>
                <w:szCs w:val="21"/>
                <w:lang w:val="zh-CN"/>
              </w:rPr>
              <w:t>磋商基准价 = 满足磋商文件要求的磋商最低报价；</w:t>
            </w:r>
          </w:p>
          <w:p w14:paraId="1E80170A">
            <w:pPr>
              <w:adjustRightInd w:val="0"/>
              <w:snapToGrid w:val="0"/>
              <w:rPr>
                <w:rFonts w:ascii="宋体" w:hAnsi="宋体" w:cs="宋体"/>
                <w:color w:val="auto"/>
                <w:szCs w:val="21"/>
                <w:lang w:val="zh-CN"/>
              </w:rPr>
            </w:pPr>
            <w:r>
              <w:rPr>
                <w:rFonts w:hint="eastAsia" w:ascii="宋体" w:hAnsi="宋体" w:cs="宋体"/>
                <w:color w:val="auto"/>
                <w:szCs w:val="21"/>
                <w:lang w:val="zh-CN"/>
              </w:rPr>
              <w:t>2</w:t>
            </w:r>
            <w:r>
              <w:rPr>
                <w:rFonts w:hint="eastAsia" w:ascii="宋体" w:hAnsi="宋体" w:cs="宋体"/>
                <w:color w:val="auto"/>
                <w:szCs w:val="21"/>
              </w:rPr>
              <w:t>.</w:t>
            </w:r>
            <w:r>
              <w:rPr>
                <w:rFonts w:hint="eastAsia" w:ascii="宋体" w:hAnsi="宋体" w:cs="宋体"/>
                <w:color w:val="auto"/>
                <w:szCs w:val="21"/>
                <w:lang w:val="zh-CN"/>
              </w:rPr>
              <w:t>磋商基准价 = 最后报价最低的计</w:t>
            </w:r>
            <w:r>
              <w:rPr>
                <w:rFonts w:hint="eastAsia" w:ascii="宋体" w:hAnsi="宋体" w:cs="宋体"/>
                <w:color w:val="auto"/>
                <w:szCs w:val="21"/>
              </w:rPr>
              <w:t>3</w:t>
            </w:r>
            <w:r>
              <w:rPr>
                <w:rFonts w:hint="eastAsia" w:ascii="宋体" w:hAnsi="宋体" w:cs="宋体"/>
                <w:color w:val="auto"/>
                <w:szCs w:val="21"/>
                <w:lang w:val="zh-CN"/>
              </w:rPr>
              <w:t>0分；</w:t>
            </w:r>
          </w:p>
          <w:p w14:paraId="52F36823">
            <w:pPr>
              <w:adjustRightInd w:val="0"/>
              <w:snapToGrid w:val="0"/>
              <w:rPr>
                <w:rFonts w:ascii="宋体" w:hAnsi="宋体" w:cs="宋体"/>
                <w:color w:val="auto"/>
                <w:szCs w:val="21"/>
                <w:lang w:val="zh-CN"/>
              </w:rPr>
            </w:pPr>
            <w:r>
              <w:rPr>
                <w:rFonts w:hint="eastAsia" w:ascii="宋体" w:hAnsi="宋体" w:cs="宋体"/>
                <w:color w:val="auto"/>
                <w:szCs w:val="21"/>
                <w:lang w:val="zh-CN"/>
              </w:rPr>
              <w:t>3</w:t>
            </w:r>
            <w:r>
              <w:rPr>
                <w:rFonts w:hint="eastAsia" w:ascii="宋体" w:hAnsi="宋体" w:cs="宋体"/>
                <w:color w:val="auto"/>
                <w:szCs w:val="21"/>
              </w:rPr>
              <w:t>.</w:t>
            </w:r>
            <w:r>
              <w:rPr>
                <w:rFonts w:hint="eastAsia" w:ascii="宋体" w:hAnsi="宋体" w:cs="宋体"/>
                <w:color w:val="auto"/>
                <w:szCs w:val="21"/>
                <w:lang w:val="zh-CN"/>
              </w:rPr>
              <w:t>磋商报价得分=(磋商基准价／最后磋商报价)×</w:t>
            </w:r>
            <w:r>
              <w:rPr>
                <w:rFonts w:hint="eastAsia" w:ascii="宋体" w:hAnsi="宋体" w:cs="宋体"/>
                <w:color w:val="auto"/>
                <w:szCs w:val="21"/>
              </w:rPr>
              <w:t>3</w:t>
            </w:r>
            <w:r>
              <w:rPr>
                <w:rFonts w:hint="eastAsia" w:ascii="宋体" w:hAnsi="宋体" w:cs="宋体"/>
                <w:color w:val="auto"/>
                <w:szCs w:val="21"/>
                <w:lang w:val="zh-CN"/>
              </w:rPr>
              <w:t>0分；</w:t>
            </w:r>
          </w:p>
          <w:p w14:paraId="38D73C31">
            <w:pPr>
              <w:adjustRightInd w:val="0"/>
              <w:snapToGrid w:val="0"/>
              <w:rPr>
                <w:rFonts w:ascii="宋体" w:hAnsi="宋体" w:cs="宋体"/>
                <w:color w:val="auto"/>
                <w:szCs w:val="21"/>
                <w:lang w:val="zh-CN"/>
              </w:rPr>
            </w:pPr>
            <w:r>
              <w:rPr>
                <w:rFonts w:hint="eastAsia" w:ascii="宋体" w:hAnsi="宋体" w:cs="宋体"/>
                <w:color w:val="auto"/>
                <w:szCs w:val="21"/>
                <w:lang w:val="zh-CN"/>
              </w:rPr>
              <w:t>4</w:t>
            </w:r>
            <w:r>
              <w:rPr>
                <w:rFonts w:hint="eastAsia" w:ascii="宋体" w:hAnsi="宋体" w:cs="宋体"/>
                <w:color w:val="auto"/>
                <w:szCs w:val="21"/>
              </w:rPr>
              <w:t>.</w:t>
            </w:r>
            <w:r>
              <w:rPr>
                <w:rFonts w:hint="eastAsia" w:ascii="宋体" w:hAnsi="宋体" w:cs="宋体"/>
                <w:color w:val="auto"/>
                <w:szCs w:val="21"/>
                <w:lang w:val="zh-CN"/>
              </w:rPr>
              <w:t>报价超过采购预算价为无效响应。</w:t>
            </w:r>
          </w:p>
          <w:p w14:paraId="2B10702E">
            <w:pPr>
              <w:adjustRightInd w:val="0"/>
              <w:snapToGrid w:val="0"/>
              <w:rPr>
                <w:rFonts w:ascii="宋体" w:hAnsi="宋体" w:cs="宋体"/>
                <w:b/>
                <w:bCs/>
                <w:snapToGrid w:val="0"/>
                <w:color w:val="auto"/>
                <w:kern w:val="0"/>
                <w:szCs w:val="21"/>
              </w:rPr>
            </w:pPr>
            <w:r>
              <w:rPr>
                <w:rFonts w:hint="eastAsia" w:ascii="宋体" w:hAnsi="宋体" w:cs="宋体"/>
                <w:color w:val="auto"/>
                <w:szCs w:val="21"/>
                <w:lang w:val="zh-CN"/>
              </w:rPr>
              <w:t>5</w:t>
            </w:r>
            <w:r>
              <w:rPr>
                <w:rFonts w:hint="eastAsia" w:ascii="宋体" w:hAnsi="宋体" w:cs="宋体"/>
                <w:color w:val="auto"/>
                <w:szCs w:val="21"/>
              </w:rPr>
              <w:t>.</w:t>
            </w:r>
            <w:r>
              <w:rPr>
                <w:rFonts w:hint="eastAsia" w:ascii="宋体" w:hAnsi="宋体" w:cs="宋体"/>
                <w:color w:val="auto"/>
                <w:szCs w:val="21"/>
                <w:lang w:val="zh-CN"/>
              </w:rPr>
              <w:t>磋商小组认为供应商的报价</w:t>
            </w:r>
            <w:r>
              <w:rPr>
                <w:rFonts w:hint="eastAsia" w:ascii="宋体" w:hAnsi="宋体" w:cs="宋体"/>
                <w:color w:val="auto"/>
                <w:szCs w:val="21"/>
              </w:rPr>
              <w:t>达到启动</w:t>
            </w:r>
            <w:r>
              <w:rPr>
                <w:rFonts w:hint="eastAsia" w:ascii="宋体" w:hAnsi="宋体" w:cs="宋体"/>
                <w:color w:val="auto"/>
                <w:szCs w:val="21"/>
                <w:lang w:val="zh-CN"/>
              </w:rPr>
              <w:t>异常低价投标（响应）审查程序</w:t>
            </w:r>
            <w:r>
              <w:rPr>
                <w:rFonts w:hint="eastAsia" w:ascii="宋体" w:hAnsi="宋体" w:cs="宋体"/>
                <w:color w:val="auto"/>
                <w:szCs w:val="21"/>
              </w:rPr>
              <w:t>标准</w:t>
            </w:r>
            <w:r>
              <w:rPr>
                <w:rFonts w:hint="eastAsia" w:ascii="宋体" w:hAnsi="宋体" w:cs="宋体"/>
                <w:color w:val="auto"/>
                <w:szCs w:val="21"/>
                <w:lang w:val="zh-CN"/>
              </w:rPr>
              <w:t>的，应当要求其在磋商现场合理的时间内提供书面说明，必要时提交相关证明材料；供应商不能证明其报价合理性的，磋商小组应当将其作为无效投标处理。</w:t>
            </w:r>
          </w:p>
        </w:tc>
        <w:tc>
          <w:tcPr>
            <w:tcW w:w="480" w:type="dxa"/>
            <w:tcBorders>
              <w:top w:val="single" w:color="auto" w:sz="2" w:space="0"/>
              <w:left w:val="single" w:color="auto" w:sz="2" w:space="0"/>
              <w:bottom w:val="single" w:color="auto" w:sz="2" w:space="0"/>
              <w:right w:val="single" w:color="auto" w:sz="2" w:space="0"/>
            </w:tcBorders>
            <w:vAlign w:val="center"/>
          </w:tcPr>
          <w:p w14:paraId="5E0381F1">
            <w:pPr>
              <w:widowControl/>
              <w:adjustRightInd w:val="0"/>
              <w:snapToGrid w:val="0"/>
              <w:spacing w:line="320" w:lineRule="exact"/>
              <w:jc w:val="center"/>
              <w:rPr>
                <w:rFonts w:ascii="宋体" w:hAnsi="宋体" w:cs="宋体"/>
                <w:b/>
                <w:bCs/>
                <w:color w:val="auto"/>
                <w:kern w:val="0"/>
                <w:sz w:val="22"/>
                <w:szCs w:val="22"/>
              </w:rPr>
            </w:pPr>
          </w:p>
        </w:tc>
        <w:tc>
          <w:tcPr>
            <w:tcW w:w="480" w:type="dxa"/>
            <w:tcBorders>
              <w:top w:val="single" w:color="auto" w:sz="2" w:space="0"/>
              <w:left w:val="single" w:color="auto" w:sz="2" w:space="0"/>
              <w:bottom w:val="single" w:color="auto" w:sz="2" w:space="0"/>
              <w:right w:val="single" w:color="auto" w:sz="2" w:space="0"/>
            </w:tcBorders>
            <w:vAlign w:val="center"/>
          </w:tcPr>
          <w:p w14:paraId="339ACEFB">
            <w:pPr>
              <w:widowControl/>
              <w:adjustRightInd w:val="0"/>
              <w:snapToGrid w:val="0"/>
              <w:spacing w:line="320" w:lineRule="exact"/>
              <w:jc w:val="center"/>
              <w:rPr>
                <w:rFonts w:ascii="宋体" w:hAnsi="宋体" w:cs="宋体"/>
                <w:b/>
                <w:bCs/>
                <w:color w:val="auto"/>
                <w:kern w:val="0"/>
                <w:sz w:val="22"/>
                <w:szCs w:val="22"/>
              </w:rPr>
            </w:pPr>
          </w:p>
        </w:tc>
        <w:tc>
          <w:tcPr>
            <w:tcW w:w="480" w:type="dxa"/>
            <w:tcBorders>
              <w:top w:val="single" w:color="auto" w:sz="2" w:space="0"/>
              <w:left w:val="single" w:color="auto" w:sz="2" w:space="0"/>
              <w:bottom w:val="single" w:color="auto" w:sz="2" w:space="0"/>
              <w:right w:val="single" w:color="auto" w:sz="4" w:space="0"/>
            </w:tcBorders>
            <w:vAlign w:val="center"/>
          </w:tcPr>
          <w:p w14:paraId="3D9C7BDC">
            <w:pPr>
              <w:widowControl/>
              <w:adjustRightInd w:val="0"/>
              <w:snapToGrid w:val="0"/>
              <w:spacing w:line="320" w:lineRule="exact"/>
              <w:jc w:val="center"/>
              <w:rPr>
                <w:rFonts w:ascii="宋体" w:hAnsi="宋体" w:cs="宋体"/>
                <w:b/>
                <w:bCs/>
                <w:color w:val="auto"/>
                <w:kern w:val="0"/>
                <w:sz w:val="22"/>
                <w:szCs w:val="22"/>
              </w:rPr>
            </w:pPr>
          </w:p>
        </w:tc>
      </w:tr>
      <w:tr w14:paraId="3A7D86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056" w:hRule="atLeast"/>
        </w:trPr>
        <w:tc>
          <w:tcPr>
            <w:tcW w:w="495" w:type="dxa"/>
            <w:tcBorders>
              <w:top w:val="single" w:color="auto" w:sz="2" w:space="0"/>
              <w:left w:val="single" w:color="auto" w:sz="2" w:space="0"/>
              <w:bottom w:val="single" w:color="auto" w:sz="2" w:space="0"/>
              <w:right w:val="single" w:color="auto" w:sz="2" w:space="0"/>
            </w:tcBorders>
            <w:vAlign w:val="center"/>
          </w:tcPr>
          <w:p w14:paraId="248CE933">
            <w:pPr>
              <w:widowControl/>
              <w:adjustRightInd w:val="0"/>
              <w:snapToGrid w:val="0"/>
              <w:spacing w:line="320" w:lineRule="exact"/>
              <w:jc w:val="center"/>
              <w:rPr>
                <w:rFonts w:ascii="宋体" w:hAnsi="宋体" w:cs="宋体"/>
                <w:snapToGrid w:val="0"/>
                <w:color w:val="auto"/>
                <w:kern w:val="0"/>
                <w:szCs w:val="21"/>
              </w:rPr>
            </w:pPr>
            <w:r>
              <w:rPr>
                <w:rFonts w:hint="eastAsia" w:ascii="宋体" w:hAnsi="宋体" w:cs="宋体"/>
                <w:snapToGrid w:val="0"/>
                <w:color w:val="auto"/>
                <w:kern w:val="0"/>
                <w:szCs w:val="21"/>
              </w:rPr>
              <w:t>2</w:t>
            </w:r>
          </w:p>
        </w:tc>
        <w:tc>
          <w:tcPr>
            <w:tcW w:w="1095" w:type="dxa"/>
            <w:tcBorders>
              <w:top w:val="single" w:color="auto" w:sz="2" w:space="0"/>
              <w:left w:val="single" w:color="auto" w:sz="2" w:space="0"/>
              <w:bottom w:val="single" w:color="auto" w:sz="2" w:space="0"/>
              <w:right w:val="single" w:color="auto" w:sz="2" w:space="0"/>
            </w:tcBorders>
            <w:vAlign w:val="center"/>
          </w:tcPr>
          <w:p w14:paraId="37273E02">
            <w:pPr>
              <w:autoSpaceDN w:val="0"/>
              <w:adjustRightInd w:val="0"/>
              <w:snapToGrid w:val="0"/>
              <w:jc w:val="center"/>
              <w:textAlignment w:val="center"/>
              <w:rPr>
                <w:rFonts w:ascii="宋体" w:hAnsi="宋体" w:cs="宋体"/>
                <w:snapToGrid w:val="0"/>
                <w:color w:val="auto"/>
                <w:kern w:val="0"/>
                <w:szCs w:val="21"/>
              </w:rPr>
            </w:pPr>
            <w:r>
              <w:rPr>
                <w:rFonts w:hint="eastAsia" w:ascii="宋体" w:hAnsi="宋体" w:cs="宋体"/>
                <w:color w:val="auto"/>
                <w:kern w:val="0"/>
                <w:szCs w:val="21"/>
                <w:lang w:val="zh-CN"/>
              </w:rPr>
              <w:t>对采购需求响应程度</w:t>
            </w:r>
            <w:r>
              <w:rPr>
                <w:rFonts w:hint="eastAsia" w:ascii="宋体" w:hAnsi="宋体" w:cs="宋体"/>
                <w:color w:val="auto"/>
                <w:kern w:val="0"/>
                <w:szCs w:val="21"/>
              </w:rPr>
              <w:t>20分</w:t>
            </w:r>
          </w:p>
        </w:tc>
        <w:tc>
          <w:tcPr>
            <w:tcW w:w="7110" w:type="dxa"/>
            <w:tcBorders>
              <w:top w:val="single" w:color="auto" w:sz="2" w:space="0"/>
              <w:left w:val="single" w:color="auto" w:sz="2" w:space="0"/>
              <w:bottom w:val="single" w:color="auto" w:sz="2" w:space="0"/>
              <w:right w:val="single" w:color="auto" w:sz="2" w:space="0"/>
            </w:tcBorders>
            <w:vAlign w:val="center"/>
          </w:tcPr>
          <w:p w14:paraId="0D2142E3">
            <w:pPr>
              <w:adjustRightInd w:val="0"/>
              <w:snapToGrid w:val="0"/>
              <w:rPr>
                <w:rFonts w:ascii="宋体" w:hAnsi="宋体" w:cs="宋体"/>
                <w:color w:val="auto"/>
                <w:szCs w:val="21"/>
              </w:rPr>
            </w:pPr>
            <w:r>
              <w:rPr>
                <w:rFonts w:hint="eastAsia" w:ascii="宋体" w:hAnsi="宋体" w:cs="宋体"/>
                <w:color w:val="auto"/>
                <w:szCs w:val="21"/>
              </w:rPr>
              <w:t>完全满足磋商文件要求的计20分，每一条不符合或负偏离的扣2分，以此类推，扣完为止，最低计 0分。采购需求要求提供证明材料的按照要求提供证明材料，否则按负偏离计算。用户将保留对中标人所投产品进行功能和性能测试的权利，一经发现测试结果与所投产品不符，将取消中标人资格，并依法追究相关责任。</w:t>
            </w:r>
          </w:p>
        </w:tc>
        <w:tc>
          <w:tcPr>
            <w:tcW w:w="480" w:type="dxa"/>
            <w:tcBorders>
              <w:top w:val="single" w:color="auto" w:sz="2" w:space="0"/>
              <w:left w:val="single" w:color="auto" w:sz="2" w:space="0"/>
              <w:bottom w:val="single" w:color="auto" w:sz="2" w:space="0"/>
              <w:right w:val="single" w:color="auto" w:sz="2" w:space="0"/>
            </w:tcBorders>
            <w:vAlign w:val="center"/>
          </w:tcPr>
          <w:p w14:paraId="5F600FB5">
            <w:pPr>
              <w:widowControl/>
              <w:adjustRightInd w:val="0"/>
              <w:snapToGrid w:val="0"/>
              <w:spacing w:line="320" w:lineRule="exact"/>
              <w:jc w:val="center"/>
              <w:rPr>
                <w:rFonts w:ascii="宋体" w:hAnsi="宋体" w:cs="宋体"/>
                <w:b/>
                <w:bCs/>
                <w:color w:val="auto"/>
                <w:kern w:val="0"/>
                <w:sz w:val="22"/>
                <w:szCs w:val="22"/>
              </w:rPr>
            </w:pPr>
          </w:p>
        </w:tc>
        <w:tc>
          <w:tcPr>
            <w:tcW w:w="480" w:type="dxa"/>
            <w:tcBorders>
              <w:top w:val="single" w:color="auto" w:sz="2" w:space="0"/>
              <w:left w:val="single" w:color="auto" w:sz="2" w:space="0"/>
              <w:bottom w:val="single" w:color="auto" w:sz="2" w:space="0"/>
              <w:right w:val="single" w:color="auto" w:sz="2" w:space="0"/>
            </w:tcBorders>
            <w:vAlign w:val="center"/>
          </w:tcPr>
          <w:p w14:paraId="1968CB87">
            <w:pPr>
              <w:widowControl/>
              <w:adjustRightInd w:val="0"/>
              <w:snapToGrid w:val="0"/>
              <w:spacing w:line="320" w:lineRule="exact"/>
              <w:jc w:val="center"/>
              <w:rPr>
                <w:rFonts w:ascii="宋体" w:hAnsi="宋体" w:cs="宋体"/>
                <w:b/>
                <w:bCs/>
                <w:color w:val="auto"/>
                <w:kern w:val="0"/>
                <w:sz w:val="22"/>
                <w:szCs w:val="22"/>
              </w:rPr>
            </w:pPr>
          </w:p>
        </w:tc>
        <w:tc>
          <w:tcPr>
            <w:tcW w:w="480" w:type="dxa"/>
            <w:tcBorders>
              <w:top w:val="single" w:color="auto" w:sz="2" w:space="0"/>
              <w:left w:val="single" w:color="auto" w:sz="2" w:space="0"/>
              <w:bottom w:val="single" w:color="auto" w:sz="2" w:space="0"/>
              <w:right w:val="single" w:color="auto" w:sz="4" w:space="0"/>
            </w:tcBorders>
            <w:vAlign w:val="center"/>
          </w:tcPr>
          <w:p w14:paraId="3618D790">
            <w:pPr>
              <w:widowControl/>
              <w:adjustRightInd w:val="0"/>
              <w:snapToGrid w:val="0"/>
              <w:spacing w:line="320" w:lineRule="exact"/>
              <w:jc w:val="center"/>
              <w:rPr>
                <w:rFonts w:ascii="宋体" w:hAnsi="宋体" w:cs="宋体"/>
                <w:b/>
                <w:bCs/>
                <w:color w:val="auto"/>
                <w:kern w:val="0"/>
                <w:sz w:val="22"/>
                <w:szCs w:val="22"/>
              </w:rPr>
            </w:pPr>
          </w:p>
        </w:tc>
      </w:tr>
      <w:tr w14:paraId="533651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77" w:hRule="atLeast"/>
        </w:trPr>
        <w:tc>
          <w:tcPr>
            <w:tcW w:w="495" w:type="dxa"/>
            <w:tcBorders>
              <w:top w:val="single" w:color="auto" w:sz="2" w:space="0"/>
              <w:left w:val="single" w:color="auto" w:sz="2" w:space="0"/>
              <w:bottom w:val="single" w:color="auto" w:sz="2" w:space="0"/>
              <w:right w:val="single" w:color="auto" w:sz="2" w:space="0"/>
            </w:tcBorders>
            <w:vAlign w:val="center"/>
          </w:tcPr>
          <w:p w14:paraId="5A638C6A">
            <w:pPr>
              <w:widowControl/>
              <w:adjustRightInd w:val="0"/>
              <w:snapToGrid w:val="0"/>
              <w:spacing w:line="320" w:lineRule="exact"/>
              <w:jc w:val="center"/>
              <w:rPr>
                <w:rFonts w:ascii="宋体" w:hAnsi="宋体" w:cs="宋体"/>
                <w:snapToGrid w:val="0"/>
                <w:color w:val="auto"/>
                <w:kern w:val="0"/>
                <w:szCs w:val="21"/>
              </w:rPr>
            </w:pPr>
            <w:r>
              <w:rPr>
                <w:rFonts w:hint="eastAsia" w:ascii="宋体" w:hAnsi="宋体" w:cs="宋体"/>
                <w:snapToGrid w:val="0"/>
                <w:color w:val="auto"/>
                <w:kern w:val="0"/>
                <w:szCs w:val="21"/>
              </w:rPr>
              <w:t>3</w:t>
            </w:r>
          </w:p>
        </w:tc>
        <w:tc>
          <w:tcPr>
            <w:tcW w:w="1095" w:type="dxa"/>
            <w:tcBorders>
              <w:top w:val="single" w:color="auto" w:sz="2" w:space="0"/>
              <w:left w:val="single" w:color="auto" w:sz="2" w:space="0"/>
              <w:bottom w:val="single" w:color="auto" w:sz="2" w:space="0"/>
              <w:right w:val="single" w:color="auto" w:sz="2" w:space="0"/>
            </w:tcBorders>
            <w:shd w:val="clear" w:color="auto" w:fill="auto"/>
            <w:vAlign w:val="center"/>
          </w:tcPr>
          <w:p w14:paraId="7B980456">
            <w:pPr>
              <w:autoSpaceDN w:val="0"/>
              <w:adjustRightInd w:val="0"/>
              <w:snapToGrid w:val="0"/>
              <w:jc w:val="center"/>
              <w:textAlignment w:val="center"/>
              <w:rPr>
                <w:rFonts w:ascii="宋体" w:hAnsi="宋体" w:cs="宋体"/>
                <w:color w:val="auto"/>
                <w:kern w:val="0"/>
                <w:szCs w:val="21"/>
                <w:lang w:val="zh-CN"/>
              </w:rPr>
            </w:pPr>
            <w:r>
              <w:rPr>
                <w:rFonts w:hint="eastAsia" w:ascii="宋体" w:hAnsi="宋体" w:cs="宋体"/>
                <w:color w:val="auto"/>
                <w:kern w:val="0"/>
                <w:szCs w:val="21"/>
              </w:rPr>
              <w:t>服务能力10分</w:t>
            </w:r>
          </w:p>
        </w:tc>
        <w:tc>
          <w:tcPr>
            <w:tcW w:w="7110" w:type="dxa"/>
            <w:tcBorders>
              <w:top w:val="single" w:color="auto" w:sz="2" w:space="0"/>
              <w:left w:val="single" w:color="auto" w:sz="2" w:space="0"/>
              <w:bottom w:val="single" w:color="auto" w:sz="2" w:space="0"/>
              <w:right w:val="single" w:color="auto" w:sz="2" w:space="0"/>
            </w:tcBorders>
            <w:shd w:val="clear" w:color="auto" w:fill="auto"/>
            <w:vAlign w:val="center"/>
          </w:tcPr>
          <w:p w14:paraId="5C91C5C8">
            <w:pPr>
              <w:adjustRightInd w:val="0"/>
              <w:snapToGrid w:val="0"/>
              <w:rPr>
                <w:rFonts w:ascii="宋体" w:hAnsi="宋体" w:cs="宋体"/>
                <w:color w:val="auto"/>
                <w:szCs w:val="21"/>
              </w:rPr>
            </w:pPr>
            <w:r>
              <w:rPr>
                <w:rFonts w:hint="eastAsia" w:ascii="宋体" w:hAnsi="宋体" w:cs="宋体"/>
                <w:color w:val="auto"/>
                <w:szCs w:val="21"/>
              </w:rPr>
              <w:t>1.供应商具有有效的ISO9001质量管理体系、GB/T27922商品售后服务评价认证证书的，每提供一种计1分，最多计</w:t>
            </w:r>
            <w:r>
              <w:rPr>
                <w:rFonts w:hint="eastAsia" w:ascii="宋体" w:hAnsi="宋体" w:cs="宋体"/>
                <w:color w:val="auto"/>
                <w:szCs w:val="21"/>
                <w:lang w:val="en-US" w:eastAsia="zh-CN"/>
              </w:rPr>
              <w:t>2</w:t>
            </w:r>
            <w:r>
              <w:rPr>
                <w:rFonts w:hint="eastAsia" w:ascii="宋体" w:hAnsi="宋体" w:cs="宋体"/>
                <w:color w:val="auto"/>
                <w:szCs w:val="21"/>
              </w:rPr>
              <w:t>分，没有的不计分。（提供有效期内的证书复印件和全国认证认可信息公共服务平台查询截图，否则不计分。）</w:t>
            </w:r>
          </w:p>
          <w:p w14:paraId="53594ECB">
            <w:pPr>
              <w:adjustRightInd w:val="0"/>
              <w:snapToGrid w:val="0"/>
              <w:rPr>
                <w:rFonts w:ascii="宋体" w:hAnsi="宋体" w:cs="宋体"/>
                <w:color w:val="auto"/>
                <w:szCs w:val="21"/>
              </w:rPr>
            </w:pPr>
            <w:r>
              <w:rPr>
                <w:rFonts w:hint="eastAsia" w:ascii="宋体" w:hAnsi="宋体" w:cs="宋体"/>
                <w:color w:val="auto"/>
                <w:szCs w:val="21"/>
              </w:rPr>
              <w:t>2.拟投入的项目技术负责人具有政府职能部门颁发的信息系统项目管理师的计2分，没有的不计分。</w:t>
            </w:r>
          </w:p>
          <w:p w14:paraId="27CC1F98">
            <w:pPr>
              <w:adjustRightInd w:val="0"/>
              <w:snapToGrid w:val="0"/>
              <w:rPr>
                <w:rFonts w:hint="eastAsia" w:ascii="宋体" w:hAnsi="宋体" w:cs="宋体"/>
                <w:color w:val="auto"/>
                <w:szCs w:val="21"/>
              </w:rPr>
            </w:pPr>
            <w:r>
              <w:rPr>
                <w:rFonts w:hint="eastAsia" w:ascii="宋体" w:hAnsi="宋体" w:cs="宋体"/>
                <w:color w:val="auto"/>
                <w:szCs w:val="21"/>
              </w:rPr>
              <w:t>3.拟投入的项目技术服务人员具有政府职能部门颁发的网络工程师的计2分，没有的不计分。</w:t>
            </w:r>
          </w:p>
          <w:p w14:paraId="7369FD4A">
            <w:pPr>
              <w:adjustRightInd w:val="0"/>
              <w:snapToGrid w:val="0"/>
              <w:rPr>
                <w:rFonts w:ascii="宋体" w:hAnsi="宋体" w:cs="宋体"/>
                <w:color w:val="auto"/>
                <w:szCs w:val="21"/>
              </w:rPr>
            </w:pPr>
            <w:r>
              <w:rPr>
                <w:rFonts w:hint="eastAsia" w:ascii="宋体" w:hAnsi="宋体" w:cs="宋体"/>
                <w:color w:val="auto"/>
                <w:szCs w:val="21"/>
                <w:lang w:val="en-US" w:eastAsia="zh-CN"/>
              </w:rPr>
              <w:t>4</w:t>
            </w:r>
            <w:r>
              <w:rPr>
                <w:rFonts w:hint="eastAsia" w:ascii="宋体" w:hAnsi="宋体" w:cs="宋体"/>
                <w:color w:val="auto"/>
                <w:szCs w:val="21"/>
              </w:rPr>
              <w:t>.拟投入的项目技术服务人员具有政府职能部门颁发的信息安全工程师的计2分，没有的不计分。</w:t>
            </w:r>
          </w:p>
          <w:p w14:paraId="057D136C">
            <w:pPr>
              <w:adjustRightInd w:val="0"/>
              <w:snapToGrid w:val="0"/>
              <w:rPr>
                <w:rFonts w:ascii="宋体" w:hAnsi="宋体" w:cs="宋体"/>
                <w:color w:val="auto"/>
                <w:szCs w:val="21"/>
              </w:rPr>
            </w:pPr>
            <w:r>
              <w:rPr>
                <w:rFonts w:hint="eastAsia" w:ascii="宋体" w:hAnsi="宋体" w:cs="宋体"/>
                <w:color w:val="auto"/>
                <w:szCs w:val="21"/>
                <w:lang w:val="en-US" w:eastAsia="zh-CN"/>
              </w:rPr>
              <w:t>5</w:t>
            </w:r>
            <w:r>
              <w:rPr>
                <w:rFonts w:hint="eastAsia" w:ascii="宋体" w:hAnsi="宋体" w:cs="宋体"/>
                <w:color w:val="auto"/>
                <w:szCs w:val="21"/>
              </w:rPr>
              <w:t>.拟投入的项目技术服务人员具有政府职能部门颁发的系统集成项目管理工程师的计2分，没有的不计分。</w:t>
            </w:r>
          </w:p>
          <w:p w14:paraId="6CA95854">
            <w:pPr>
              <w:adjustRightInd w:val="0"/>
              <w:snapToGrid w:val="0"/>
              <w:rPr>
                <w:rFonts w:ascii="宋体" w:hAnsi="宋体" w:cs="宋体"/>
                <w:color w:val="auto"/>
                <w:szCs w:val="21"/>
              </w:rPr>
            </w:pPr>
            <w:r>
              <w:rPr>
                <w:rFonts w:hint="eastAsia" w:ascii="宋体" w:hAnsi="宋体" w:cs="宋体"/>
                <w:color w:val="auto"/>
                <w:szCs w:val="21"/>
              </w:rPr>
              <w:t>注：同一人员提供多种证书的只计一种证，提供以上岗位人员的相关证书复印件和投标投标人</w:t>
            </w:r>
            <w:r>
              <w:rPr>
                <w:rFonts w:hint="eastAsia" w:ascii="宋体" w:hAnsi="宋体" w:cs="宋体"/>
                <w:color w:val="auto"/>
                <w:szCs w:val="21"/>
                <w:lang w:eastAsia="zh-CN"/>
              </w:rPr>
              <w:t>（</w:t>
            </w:r>
            <w:r>
              <w:rPr>
                <w:rFonts w:hint="eastAsia" w:ascii="宋体" w:hAnsi="宋体" w:cs="宋体"/>
                <w:color w:val="auto"/>
                <w:szCs w:val="21"/>
                <w:lang w:val="en-US" w:eastAsia="zh-CN"/>
              </w:rPr>
              <w:t>含分公司</w:t>
            </w:r>
            <w:r>
              <w:rPr>
                <w:rFonts w:hint="eastAsia" w:ascii="宋体" w:hAnsi="宋体" w:cs="宋体"/>
                <w:color w:val="auto"/>
                <w:szCs w:val="21"/>
                <w:lang w:eastAsia="zh-CN"/>
              </w:rPr>
              <w:t>）</w:t>
            </w:r>
            <w:r>
              <w:rPr>
                <w:rFonts w:hint="eastAsia" w:ascii="宋体" w:hAnsi="宋体" w:cs="宋体"/>
                <w:color w:val="auto"/>
                <w:szCs w:val="21"/>
              </w:rPr>
              <w:t>依法为其缴纳社保的证明材料，新入职人员可提供劳动合同代替社保证明，退休人员可提供劳动合同和退休证代替社保证明，否则不计分。</w:t>
            </w:r>
          </w:p>
        </w:tc>
        <w:tc>
          <w:tcPr>
            <w:tcW w:w="480" w:type="dxa"/>
            <w:tcBorders>
              <w:top w:val="single" w:color="auto" w:sz="2" w:space="0"/>
              <w:left w:val="single" w:color="auto" w:sz="2" w:space="0"/>
              <w:bottom w:val="single" w:color="auto" w:sz="2" w:space="0"/>
              <w:right w:val="single" w:color="auto" w:sz="2" w:space="0"/>
            </w:tcBorders>
            <w:vAlign w:val="center"/>
          </w:tcPr>
          <w:p w14:paraId="163B703C">
            <w:pPr>
              <w:widowControl/>
              <w:adjustRightInd w:val="0"/>
              <w:snapToGrid w:val="0"/>
              <w:spacing w:line="320" w:lineRule="exact"/>
              <w:jc w:val="center"/>
              <w:rPr>
                <w:rFonts w:ascii="宋体" w:hAnsi="宋体" w:cs="宋体"/>
                <w:b/>
                <w:bCs/>
                <w:color w:val="auto"/>
                <w:kern w:val="0"/>
                <w:sz w:val="22"/>
                <w:szCs w:val="22"/>
              </w:rPr>
            </w:pPr>
          </w:p>
        </w:tc>
        <w:tc>
          <w:tcPr>
            <w:tcW w:w="480" w:type="dxa"/>
            <w:tcBorders>
              <w:top w:val="single" w:color="auto" w:sz="2" w:space="0"/>
              <w:left w:val="single" w:color="auto" w:sz="2" w:space="0"/>
              <w:bottom w:val="single" w:color="auto" w:sz="2" w:space="0"/>
              <w:right w:val="single" w:color="auto" w:sz="2" w:space="0"/>
            </w:tcBorders>
            <w:vAlign w:val="center"/>
          </w:tcPr>
          <w:p w14:paraId="4ABB04C8">
            <w:pPr>
              <w:widowControl/>
              <w:adjustRightInd w:val="0"/>
              <w:snapToGrid w:val="0"/>
              <w:spacing w:line="320" w:lineRule="exact"/>
              <w:jc w:val="center"/>
              <w:rPr>
                <w:rFonts w:ascii="宋体" w:hAnsi="宋体" w:cs="宋体"/>
                <w:b/>
                <w:bCs/>
                <w:color w:val="auto"/>
                <w:kern w:val="0"/>
                <w:sz w:val="22"/>
                <w:szCs w:val="22"/>
              </w:rPr>
            </w:pPr>
          </w:p>
        </w:tc>
        <w:tc>
          <w:tcPr>
            <w:tcW w:w="480" w:type="dxa"/>
            <w:tcBorders>
              <w:top w:val="single" w:color="auto" w:sz="2" w:space="0"/>
              <w:left w:val="single" w:color="auto" w:sz="2" w:space="0"/>
              <w:bottom w:val="single" w:color="auto" w:sz="2" w:space="0"/>
              <w:right w:val="single" w:color="auto" w:sz="4" w:space="0"/>
            </w:tcBorders>
            <w:vAlign w:val="center"/>
          </w:tcPr>
          <w:p w14:paraId="3111BEE8">
            <w:pPr>
              <w:widowControl/>
              <w:adjustRightInd w:val="0"/>
              <w:snapToGrid w:val="0"/>
              <w:spacing w:line="320" w:lineRule="exact"/>
              <w:jc w:val="center"/>
              <w:rPr>
                <w:rFonts w:ascii="宋体" w:hAnsi="宋体" w:cs="宋体"/>
                <w:b/>
                <w:bCs/>
                <w:color w:val="auto"/>
                <w:kern w:val="0"/>
                <w:sz w:val="22"/>
                <w:szCs w:val="22"/>
              </w:rPr>
            </w:pPr>
          </w:p>
        </w:tc>
      </w:tr>
      <w:tr w14:paraId="417C99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98" w:hRule="atLeast"/>
        </w:trPr>
        <w:tc>
          <w:tcPr>
            <w:tcW w:w="495" w:type="dxa"/>
            <w:tcBorders>
              <w:top w:val="single" w:color="auto" w:sz="2" w:space="0"/>
              <w:left w:val="single" w:color="auto" w:sz="2" w:space="0"/>
              <w:bottom w:val="single" w:color="auto" w:sz="2" w:space="0"/>
              <w:right w:val="single" w:color="auto" w:sz="2" w:space="0"/>
            </w:tcBorders>
            <w:vAlign w:val="center"/>
          </w:tcPr>
          <w:p w14:paraId="2C0A5178">
            <w:pPr>
              <w:widowControl/>
              <w:adjustRightInd w:val="0"/>
              <w:snapToGrid w:val="0"/>
              <w:spacing w:line="320" w:lineRule="exact"/>
              <w:jc w:val="center"/>
              <w:rPr>
                <w:rFonts w:ascii="宋体" w:hAnsi="宋体" w:cs="宋体"/>
                <w:snapToGrid w:val="0"/>
                <w:color w:val="auto"/>
                <w:kern w:val="0"/>
                <w:szCs w:val="21"/>
              </w:rPr>
            </w:pPr>
            <w:r>
              <w:rPr>
                <w:rFonts w:hint="eastAsia" w:ascii="宋体" w:hAnsi="宋体" w:cs="宋体"/>
                <w:snapToGrid w:val="0"/>
                <w:color w:val="auto"/>
                <w:kern w:val="0"/>
                <w:szCs w:val="21"/>
              </w:rPr>
              <w:t>4</w:t>
            </w:r>
          </w:p>
        </w:tc>
        <w:tc>
          <w:tcPr>
            <w:tcW w:w="1095" w:type="dxa"/>
            <w:tcBorders>
              <w:top w:val="single" w:color="auto" w:sz="2" w:space="0"/>
              <w:left w:val="single" w:color="auto" w:sz="2" w:space="0"/>
              <w:bottom w:val="single" w:color="auto" w:sz="2" w:space="0"/>
              <w:right w:val="single" w:color="auto" w:sz="2" w:space="0"/>
            </w:tcBorders>
            <w:shd w:val="clear" w:color="auto" w:fill="auto"/>
            <w:vAlign w:val="center"/>
          </w:tcPr>
          <w:p w14:paraId="552F79B9">
            <w:pPr>
              <w:autoSpaceDN w:val="0"/>
              <w:adjustRightInd w:val="0"/>
              <w:snapToGrid w:val="0"/>
              <w:jc w:val="center"/>
              <w:textAlignment w:val="center"/>
              <w:rPr>
                <w:rFonts w:ascii="宋体" w:hAnsi="宋体" w:cs="宋体"/>
                <w:color w:val="auto"/>
                <w:szCs w:val="21"/>
              </w:rPr>
            </w:pPr>
            <w:r>
              <w:rPr>
                <w:rFonts w:hint="eastAsia" w:ascii="宋体" w:hAnsi="宋体" w:cs="宋体"/>
                <w:color w:val="auto"/>
                <w:szCs w:val="21"/>
              </w:rPr>
              <w:t>实施方案</w:t>
            </w:r>
          </w:p>
          <w:p w14:paraId="364E2348">
            <w:pPr>
              <w:autoSpaceDN w:val="0"/>
              <w:adjustRightInd w:val="0"/>
              <w:snapToGrid w:val="0"/>
              <w:jc w:val="center"/>
              <w:textAlignment w:val="center"/>
              <w:rPr>
                <w:rFonts w:ascii="宋体" w:hAnsi="宋体" w:cs="宋体"/>
                <w:color w:val="auto"/>
                <w:szCs w:val="21"/>
              </w:rPr>
            </w:pPr>
            <w:r>
              <w:rPr>
                <w:rFonts w:hint="eastAsia" w:ascii="宋体" w:hAnsi="宋体" w:cs="宋体"/>
                <w:color w:val="auto"/>
                <w:szCs w:val="21"/>
              </w:rPr>
              <w:t>20分</w:t>
            </w:r>
          </w:p>
        </w:tc>
        <w:tc>
          <w:tcPr>
            <w:tcW w:w="7110" w:type="dxa"/>
            <w:tcBorders>
              <w:top w:val="single" w:color="auto" w:sz="2" w:space="0"/>
              <w:left w:val="single" w:color="auto" w:sz="2" w:space="0"/>
              <w:bottom w:val="single" w:color="auto" w:sz="2" w:space="0"/>
              <w:right w:val="single" w:color="auto" w:sz="2" w:space="0"/>
            </w:tcBorders>
            <w:shd w:val="clear" w:color="auto" w:fill="auto"/>
            <w:vAlign w:val="center"/>
          </w:tcPr>
          <w:p w14:paraId="206F52C6">
            <w:pPr>
              <w:pStyle w:val="50"/>
              <w:keepNext w:val="0"/>
              <w:keepLines w:val="0"/>
              <w:pageBreakBefore w:val="0"/>
              <w:kinsoku/>
              <w:wordWrap/>
              <w:overflowPunct/>
              <w:topLinePunct w:val="0"/>
              <w:bidi w:val="0"/>
              <w:adjustRightInd w:val="0"/>
              <w:snapToGrid w:val="0"/>
              <w:spacing w:after="0"/>
              <w:ind w:left="0" w:leftChars="0" w:firstLine="0" w:firstLineChars="0"/>
              <w:jc w:val="both"/>
              <w:textAlignment w:val="auto"/>
              <w:rPr>
                <w:rFonts w:hint="eastAsia" w:ascii="宋体" w:hAnsi="宋体" w:eastAsia="宋体" w:cs="宋体"/>
                <w:snapToGrid w:val="0"/>
                <w:color w:val="auto"/>
                <w:kern w:val="0"/>
                <w:sz w:val="21"/>
                <w:szCs w:val="21"/>
                <w:lang w:val="zh-CN" w:eastAsia="zh-CN" w:bidi="zh-CN"/>
              </w:rPr>
            </w:pPr>
            <w:r>
              <w:rPr>
                <w:rFonts w:hint="eastAsia" w:ascii="宋体" w:hAnsi="宋体" w:cs="宋体"/>
                <w:color w:val="auto"/>
                <w:szCs w:val="21"/>
              </w:rPr>
              <w:t>供应商针对本项目提供项目实施方案，包括但不限于①项目人员配备及工作安排；②项目实施进度计划及保障措施；③设备安装、系统调试（须包含安装流程、系统联调试运行、双绞线缆测试内容）；④工程质量保障措施；⑤施工现场安全保障措施。</w:t>
            </w:r>
            <w:r>
              <w:rPr>
                <w:rFonts w:hint="eastAsia" w:ascii="宋体" w:hAnsi="宋体" w:eastAsia="宋体" w:cs="宋体"/>
                <w:snapToGrid w:val="0"/>
                <w:color w:val="auto"/>
                <w:kern w:val="0"/>
                <w:sz w:val="21"/>
                <w:szCs w:val="21"/>
                <w:lang w:val="zh-CN" w:eastAsia="zh-CN" w:bidi="zh-CN"/>
              </w:rPr>
              <w:t>【方案要素完整，涵盖以上要求的全部内容要素，且各项内容均满足</w:t>
            </w:r>
            <w:r>
              <w:rPr>
                <w:rFonts w:hint="eastAsia" w:ascii="宋体" w:hAnsi="宋体" w:cs="宋体"/>
                <w:snapToGrid w:val="0"/>
                <w:color w:val="auto"/>
                <w:kern w:val="0"/>
                <w:sz w:val="21"/>
                <w:szCs w:val="21"/>
                <w:lang w:val="zh-CN" w:eastAsia="zh-CN" w:bidi="zh-CN"/>
              </w:rPr>
              <w:t>采购文件</w:t>
            </w:r>
            <w:r>
              <w:rPr>
                <w:rFonts w:hint="eastAsia" w:ascii="宋体" w:hAnsi="宋体" w:eastAsia="宋体" w:cs="宋体"/>
                <w:snapToGrid w:val="0"/>
                <w:color w:val="auto"/>
                <w:kern w:val="0"/>
                <w:sz w:val="21"/>
                <w:szCs w:val="21"/>
                <w:lang w:val="zh-CN" w:eastAsia="zh-CN" w:bidi="zh-CN"/>
              </w:rPr>
              <w:t>要求和采购人实际需求的计</w:t>
            </w:r>
            <w:r>
              <w:rPr>
                <w:rFonts w:hint="eastAsia" w:ascii="宋体" w:hAnsi="宋体" w:cs="宋体"/>
                <w:snapToGrid w:val="0"/>
                <w:color w:val="auto"/>
                <w:kern w:val="0"/>
                <w:sz w:val="21"/>
                <w:szCs w:val="21"/>
                <w:lang w:val="en-US" w:eastAsia="zh-CN" w:bidi="zh-CN"/>
              </w:rPr>
              <w:t>20</w:t>
            </w:r>
            <w:r>
              <w:rPr>
                <w:rFonts w:hint="eastAsia" w:ascii="宋体" w:hAnsi="宋体" w:eastAsia="宋体" w:cs="宋体"/>
                <w:snapToGrid w:val="0"/>
                <w:color w:val="auto"/>
                <w:kern w:val="0"/>
                <w:sz w:val="21"/>
                <w:szCs w:val="21"/>
                <w:lang w:val="zh-CN" w:eastAsia="zh-CN" w:bidi="zh-CN"/>
              </w:rPr>
              <w:t>分。】</w:t>
            </w:r>
          </w:p>
          <w:p w14:paraId="3F7193DA">
            <w:pPr>
              <w:autoSpaceDN w:val="0"/>
              <w:adjustRightInd w:val="0"/>
              <w:snapToGrid w:val="0"/>
              <w:textAlignment w:val="center"/>
              <w:rPr>
                <w:rFonts w:ascii="宋体" w:hAnsi="宋体" w:cs="宋体"/>
                <w:color w:val="auto"/>
                <w:szCs w:val="21"/>
              </w:rPr>
            </w:pPr>
            <w:r>
              <w:rPr>
                <w:rFonts w:hint="eastAsia" w:ascii="宋体" w:hAnsi="宋体" w:eastAsia="宋体" w:cs="宋体"/>
                <w:snapToGrid w:val="0"/>
                <w:color w:val="auto"/>
                <w:kern w:val="0"/>
                <w:sz w:val="21"/>
                <w:szCs w:val="21"/>
                <w:lang w:val="zh-CN" w:eastAsia="zh-CN" w:bidi="zh-CN"/>
              </w:rPr>
              <w:t>存在以下情形的，按以下标准扣分，累计扣分不超过</w:t>
            </w:r>
            <w:r>
              <w:rPr>
                <w:rFonts w:hint="eastAsia" w:ascii="宋体" w:hAnsi="宋体" w:cs="宋体"/>
                <w:snapToGrid w:val="0"/>
                <w:color w:val="auto"/>
                <w:kern w:val="0"/>
                <w:sz w:val="21"/>
                <w:szCs w:val="21"/>
                <w:lang w:val="en-US" w:eastAsia="zh-CN" w:bidi="zh-CN"/>
              </w:rPr>
              <w:t>20</w:t>
            </w:r>
            <w:r>
              <w:rPr>
                <w:rFonts w:hint="eastAsia" w:ascii="宋体" w:hAnsi="宋体" w:eastAsia="宋体" w:cs="宋体"/>
                <w:snapToGrid w:val="0"/>
                <w:color w:val="auto"/>
                <w:kern w:val="0"/>
                <w:sz w:val="21"/>
                <w:szCs w:val="21"/>
                <w:lang w:val="zh-CN" w:eastAsia="zh-CN" w:bidi="zh-CN"/>
              </w:rPr>
              <w:t>分：（1）每存在一处内容缺漏：指方案中缺少以上明确要求的内容要素，扣</w:t>
            </w:r>
            <w:r>
              <w:rPr>
                <w:rFonts w:hint="eastAsia" w:ascii="宋体" w:hAnsi="宋体" w:cs="宋体"/>
                <w:snapToGrid w:val="0"/>
                <w:color w:val="auto"/>
                <w:kern w:val="0"/>
                <w:sz w:val="21"/>
                <w:szCs w:val="21"/>
                <w:lang w:val="en-US" w:eastAsia="zh-CN" w:bidi="zh-CN"/>
              </w:rPr>
              <w:t>4</w:t>
            </w:r>
            <w:r>
              <w:rPr>
                <w:rFonts w:hint="eastAsia" w:ascii="宋体" w:hAnsi="宋体" w:eastAsia="宋体" w:cs="宋体"/>
                <w:snapToGrid w:val="0"/>
                <w:color w:val="auto"/>
                <w:kern w:val="0"/>
                <w:sz w:val="21"/>
                <w:szCs w:val="21"/>
                <w:lang w:val="zh-CN" w:eastAsia="zh-CN" w:bidi="zh-CN"/>
              </w:rPr>
              <w:t>分；（2）每存在一处内容不符：指方案中出现与本项目无关的其他项目特有信息（例如：其他项目的单位名称、地址、联系方式、时间、合同编号、特定数据或文件编号等），或者涉及的技术规范、标准等与国家、行业或</w:t>
            </w:r>
            <w:r>
              <w:rPr>
                <w:rFonts w:hint="eastAsia" w:ascii="宋体" w:hAnsi="宋体" w:cs="宋体"/>
                <w:snapToGrid w:val="0"/>
                <w:color w:val="auto"/>
                <w:kern w:val="0"/>
                <w:sz w:val="21"/>
                <w:szCs w:val="21"/>
                <w:lang w:val="zh-CN" w:eastAsia="zh-CN" w:bidi="zh-CN"/>
              </w:rPr>
              <w:t>采购文件</w:t>
            </w:r>
            <w:r>
              <w:rPr>
                <w:rFonts w:hint="eastAsia" w:ascii="宋体" w:hAnsi="宋体" w:eastAsia="宋体" w:cs="宋体"/>
                <w:snapToGrid w:val="0"/>
                <w:color w:val="auto"/>
                <w:kern w:val="0"/>
                <w:sz w:val="21"/>
                <w:szCs w:val="21"/>
                <w:lang w:val="zh-CN" w:eastAsia="zh-CN" w:bidi="zh-CN"/>
              </w:rPr>
              <w:t>采购需求不一致</w:t>
            </w:r>
            <w:r>
              <w:rPr>
                <w:rFonts w:hint="eastAsia" w:ascii="宋体" w:hAnsi="宋体" w:cs="宋体"/>
                <w:snapToGrid w:val="0"/>
                <w:color w:val="auto"/>
                <w:kern w:val="0"/>
                <w:sz w:val="21"/>
                <w:szCs w:val="21"/>
                <w:lang w:val="zh-CN" w:eastAsia="zh-CN" w:bidi="zh-CN"/>
              </w:rPr>
              <w:t>等</w:t>
            </w:r>
            <w:r>
              <w:rPr>
                <w:rFonts w:hint="eastAsia" w:ascii="宋体" w:hAnsi="宋体" w:eastAsia="宋体" w:cs="宋体"/>
                <w:snapToGrid w:val="0"/>
                <w:color w:val="auto"/>
                <w:kern w:val="0"/>
                <w:sz w:val="21"/>
                <w:szCs w:val="21"/>
                <w:lang w:val="zh-CN" w:eastAsia="zh-CN" w:bidi="zh-CN"/>
              </w:rPr>
              <w:t>，扣4分；（3）每存在一处内容瑕疵：指方案内部或不同方案之间存在前后不一致、逻辑冲突、缺少关键节点、不适用项目特性、不可能实现的情形</w:t>
            </w:r>
            <w:r>
              <w:rPr>
                <w:rFonts w:hint="eastAsia" w:ascii="宋体" w:hAnsi="宋体" w:cs="宋体"/>
                <w:snapToGrid w:val="0"/>
                <w:color w:val="auto"/>
                <w:kern w:val="0"/>
                <w:sz w:val="21"/>
                <w:szCs w:val="21"/>
                <w:lang w:val="zh-CN" w:eastAsia="zh-CN" w:bidi="zh-CN"/>
              </w:rPr>
              <w:t>等</w:t>
            </w:r>
            <w:r>
              <w:rPr>
                <w:rFonts w:hint="eastAsia" w:ascii="宋体" w:hAnsi="宋体" w:eastAsia="宋体" w:cs="宋体"/>
                <w:snapToGrid w:val="0"/>
                <w:color w:val="auto"/>
                <w:kern w:val="0"/>
                <w:sz w:val="21"/>
                <w:szCs w:val="21"/>
                <w:lang w:val="zh-CN" w:eastAsia="zh-CN" w:bidi="zh-CN"/>
              </w:rPr>
              <w:t>，或者照搬</w:t>
            </w:r>
            <w:r>
              <w:rPr>
                <w:rFonts w:hint="eastAsia" w:ascii="宋体" w:hAnsi="宋体" w:cs="宋体"/>
                <w:snapToGrid w:val="0"/>
                <w:color w:val="auto"/>
                <w:kern w:val="0"/>
                <w:sz w:val="21"/>
                <w:szCs w:val="21"/>
                <w:lang w:val="zh-CN" w:eastAsia="zh-CN" w:bidi="zh-CN"/>
              </w:rPr>
              <w:t>采购文件</w:t>
            </w:r>
            <w:r>
              <w:rPr>
                <w:rFonts w:hint="eastAsia" w:ascii="宋体" w:hAnsi="宋体" w:eastAsia="宋体" w:cs="宋体"/>
                <w:snapToGrid w:val="0"/>
                <w:color w:val="auto"/>
                <w:kern w:val="0"/>
                <w:sz w:val="21"/>
                <w:szCs w:val="21"/>
                <w:lang w:val="zh-CN" w:eastAsia="zh-CN" w:bidi="zh-CN"/>
              </w:rPr>
              <w:t>采购需求，或者表述错误（如人员数量、工作频次、时间节点等数据与</w:t>
            </w:r>
            <w:r>
              <w:rPr>
                <w:rFonts w:hint="eastAsia" w:ascii="宋体" w:hAnsi="宋体" w:cs="宋体"/>
                <w:snapToGrid w:val="0"/>
                <w:color w:val="auto"/>
                <w:kern w:val="0"/>
                <w:sz w:val="21"/>
                <w:szCs w:val="21"/>
                <w:lang w:val="zh-CN" w:eastAsia="zh-CN" w:bidi="zh-CN"/>
              </w:rPr>
              <w:t>采购文件</w:t>
            </w:r>
            <w:r>
              <w:rPr>
                <w:rFonts w:hint="eastAsia" w:ascii="宋体" w:hAnsi="宋体" w:eastAsia="宋体" w:cs="宋体"/>
                <w:snapToGrid w:val="0"/>
                <w:color w:val="auto"/>
                <w:kern w:val="0"/>
                <w:sz w:val="21"/>
                <w:szCs w:val="21"/>
                <w:lang w:val="zh-CN" w:eastAsia="zh-CN" w:bidi="zh-CN"/>
              </w:rPr>
              <w:t>中明确的数据基准不一致或计算有误）</w:t>
            </w:r>
            <w:r>
              <w:rPr>
                <w:rFonts w:hint="eastAsia" w:ascii="宋体" w:hAnsi="宋体" w:cs="宋体"/>
                <w:snapToGrid w:val="0"/>
                <w:color w:val="auto"/>
                <w:kern w:val="0"/>
                <w:sz w:val="21"/>
                <w:szCs w:val="21"/>
                <w:lang w:val="en-US" w:eastAsia="zh-CN" w:bidi="zh-CN"/>
              </w:rPr>
              <w:t>等</w:t>
            </w:r>
            <w:r>
              <w:rPr>
                <w:rFonts w:hint="eastAsia" w:ascii="宋体" w:hAnsi="宋体" w:eastAsia="宋体" w:cs="宋体"/>
                <w:snapToGrid w:val="0"/>
                <w:color w:val="auto"/>
                <w:kern w:val="0"/>
                <w:sz w:val="21"/>
                <w:szCs w:val="21"/>
                <w:lang w:val="zh-CN" w:eastAsia="zh-CN" w:bidi="zh-CN"/>
              </w:rPr>
              <w:t>，或者方案中留有空白（标有“XXX”等占位符，或遗漏信息的），扣</w:t>
            </w:r>
            <w:r>
              <w:rPr>
                <w:rFonts w:hint="eastAsia" w:ascii="宋体" w:hAnsi="宋体" w:cs="宋体"/>
                <w:snapToGrid w:val="0"/>
                <w:color w:val="auto"/>
                <w:kern w:val="0"/>
                <w:sz w:val="21"/>
                <w:szCs w:val="21"/>
                <w:lang w:val="en-US" w:eastAsia="zh-CN" w:bidi="zh-CN"/>
              </w:rPr>
              <w:t>2</w:t>
            </w:r>
            <w:r>
              <w:rPr>
                <w:rFonts w:hint="eastAsia" w:ascii="宋体" w:hAnsi="宋体" w:eastAsia="宋体" w:cs="宋体"/>
                <w:snapToGrid w:val="0"/>
                <w:color w:val="auto"/>
                <w:kern w:val="0"/>
                <w:sz w:val="21"/>
                <w:szCs w:val="21"/>
                <w:lang w:val="zh-CN" w:eastAsia="zh-CN" w:bidi="zh-CN"/>
              </w:rPr>
              <w:t>分。（</w:t>
            </w:r>
            <w:r>
              <w:rPr>
                <w:rFonts w:hint="eastAsia" w:ascii="宋体" w:hAnsi="宋体" w:cs="宋体"/>
                <w:snapToGrid w:val="0"/>
                <w:color w:val="auto"/>
                <w:kern w:val="0"/>
                <w:sz w:val="21"/>
                <w:szCs w:val="21"/>
                <w:lang w:val="en-US" w:eastAsia="zh-CN" w:bidi="zh-CN"/>
              </w:rPr>
              <w:t>4</w:t>
            </w:r>
            <w:r>
              <w:rPr>
                <w:rFonts w:hint="eastAsia" w:ascii="宋体" w:hAnsi="宋体" w:eastAsia="宋体" w:cs="宋体"/>
                <w:snapToGrid w:val="0"/>
                <w:color w:val="auto"/>
                <w:kern w:val="0"/>
                <w:sz w:val="21"/>
                <w:szCs w:val="21"/>
                <w:lang w:val="zh-CN" w:eastAsia="zh-CN" w:bidi="zh-CN"/>
              </w:rPr>
              <w:t>）未提供服务方案的不计分。</w:t>
            </w:r>
          </w:p>
        </w:tc>
        <w:tc>
          <w:tcPr>
            <w:tcW w:w="480" w:type="dxa"/>
            <w:tcBorders>
              <w:top w:val="single" w:color="auto" w:sz="2" w:space="0"/>
              <w:left w:val="single" w:color="auto" w:sz="2" w:space="0"/>
              <w:bottom w:val="single" w:color="auto" w:sz="2" w:space="0"/>
              <w:right w:val="single" w:color="auto" w:sz="2" w:space="0"/>
            </w:tcBorders>
            <w:vAlign w:val="center"/>
          </w:tcPr>
          <w:p w14:paraId="008860F0">
            <w:pPr>
              <w:widowControl/>
              <w:adjustRightInd w:val="0"/>
              <w:snapToGrid w:val="0"/>
              <w:spacing w:line="320" w:lineRule="exact"/>
              <w:jc w:val="center"/>
              <w:rPr>
                <w:rFonts w:ascii="宋体" w:hAnsi="宋体" w:cs="宋体"/>
                <w:b/>
                <w:bCs/>
                <w:color w:val="auto"/>
                <w:kern w:val="0"/>
                <w:sz w:val="22"/>
                <w:szCs w:val="22"/>
              </w:rPr>
            </w:pPr>
          </w:p>
        </w:tc>
        <w:tc>
          <w:tcPr>
            <w:tcW w:w="480" w:type="dxa"/>
            <w:tcBorders>
              <w:top w:val="single" w:color="auto" w:sz="2" w:space="0"/>
              <w:left w:val="single" w:color="auto" w:sz="2" w:space="0"/>
              <w:bottom w:val="single" w:color="auto" w:sz="2" w:space="0"/>
              <w:right w:val="single" w:color="auto" w:sz="2" w:space="0"/>
            </w:tcBorders>
            <w:vAlign w:val="center"/>
          </w:tcPr>
          <w:p w14:paraId="0B508CF0">
            <w:pPr>
              <w:widowControl/>
              <w:adjustRightInd w:val="0"/>
              <w:snapToGrid w:val="0"/>
              <w:spacing w:line="320" w:lineRule="exact"/>
              <w:jc w:val="center"/>
              <w:rPr>
                <w:rFonts w:ascii="宋体" w:hAnsi="宋体" w:cs="宋体"/>
                <w:b/>
                <w:bCs/>
                <w:color w:val="auto"/>
                <w:kern w:val="0"/>
                <w:sz w:val="22"/>
                <w:szCs w:val="22"/>
              </w:rPr>
            </w:pPr>
          </w:p>
        </w:tc>
        <w:tc>
          <w:tcPr>
            <w:tcW w:w="480" w:type="dxa"/>
            <w:tcBorders>
              <w:top w:val="single" w:color="auto" w:sz="2" w:space="0"/>
              <w:left w:val="single" w:color="auto" w:sz="2" w:space="0"/>
              <w:bottom w:val="single" w:color="auto" w:sz="2" w:space="0"/>
              <w:right w:val="single" w:color="auto" w:sz="4" w:space="0"/>
            </w:tcBorders>
            <w:vAlign w:val="center"/>
          </w:tcPr>
          <w:p w14:paraId="1D00E97C">
            <w:pPr>
              <w:widowControl/>
              <w:adjustRightInd w:val="0"/>
              <w:snapToGrid w:val="0"/>
              <w:spacing w:line="320" w:lineRule="exact"/>
              <w:jc w:val="center"/>
              <w:rPr>
                <w:rFonts w:ascii="宋体" w:hAnsi="宋体" w:cs="宋体"/>
                <w:b/>
                <w:bCs/>
                <w:color w:val="auto"/>
                <w:kern w:val="0"/>
                <w:sz w:val="22"/>
                <w:szCs w:val="22"/>
              </w:rPr>
            </w:pPr>
          </w:p>
        </w:tc>
      </w:tr>
      <w:tr w14:paraId="6DEE1A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2" w:hRule="atLeast"/>
        </w:trPr>
        <w:tc>
          <w:tcPr>
            <w:tcW w:w="495" w:type="dxa"/>
            <w:tcBorders>
              <w:top w:val="single" w:color="auto" w:sz="2" w:space="0"/>
              <w:left w:val="single" w:color="auto" w:sz="2" w:space="0"/>
              <w:bottom w:val="single" w:color="auto" w:sz="2" w:space="0"/>
              <w:right w:val="single" w:color="auto" w:sz="2" w:space="0"/>
            </w:tcBorders>
            <w:vAlign w:val="center"/>
          </w:tcPr>
          <w:p w14:paraId="34B6A061">
            <w:pPr>
              <w:adjustRightInd w:val="0"/>
              <w:snapToGrid w:val="0"/>
              <w:spacing w:line="320" w:lineRule="exact"/>
              <w:jc w:val="center"/>
              <w:rPr>
                <w:rFonts w:ascii="宋体" w:hAnsi="宋体" w:cs="宋体"/>
                <w:snapToGrid w:val="0"/>
                <w:color w:val="auto"/>
                <w:kern w:val="0"/>
                <w:szCs w:val="21"/>
              </w:rPr>
            </w:pPr>
            <w:r>
              <w:rPr>
                <w:rFonts w:hint="eastAsia" w:ascii="宋体" w:hAnsi="宋体" w:cs="宋体"/>
                <w:snapToGrid w:val="0"/>
                <w:color w:val="auto"/>
                <w:kern w:val="0"/>
                <w:szCs w:val="21"/>
              </w:rPr>
              <w:t>5</w:t>
            </w:r>
          </w:p>
        </w:tc>
        <w:tc>
          <w:tcPr>
            <w:tcW w:w="1095" w:type="dxa"/>
            <w:tcBorders>
              <w:top w:val="single" w:color="auto" w:sz="2" w:space="0"/>
              <w:left w:val="single" w:color="auto" w:sz="2" w:space="0"/>
              <w:bottom w:val="single" w:color="auto" w:sz="2" w:space="0"/>
              <w:right w:val="single" w:color="auto" w:sz="2" w:space="0"/>
            </w:tcBorders>
            <w:shd w:val="clear" w:color="auto" w:fill="auto"/>
            <w:vAlign w:val="center"/>
          </w:tcPr>
          <w:p w14:paraId="4C24AB34">
            <w:pPr>
              <w:autoSpaceDN w:val="0"/>
              <w:adjustRightInd w:val="0"/>
              <w:snapToGrid w:val="0"/>
              <w:jc w:val="center"/>
              <w:textAlignment w:val="center"/>
              <w:rPr>
                <w:rFonts w:ascii="宋体" w:hAnsi="宋体" w:cs="宋体"/>
                <w:color w:val="auto"/>
                <w:szCs w:val="21"/>
              </w:rPr>
            </w:pPr>
            <w:r>
              <w:rPr>
                <w:rFonts w:hint="eastAsia" w:ascii="宋体" w:hAnsi="宋体" w:cs="宋体"/>
                <w:color w:val="auto"/>
                <w:szCs w:val="21"/>
              </w:rPr>
              <w:t>业绩</w:t>
            </w:r>
          </w:p>
          <w:p w14:paraId="61A499B1">
            <w:pPr>
              <w:autoSpaceDN w:val="0"/>
              <w:adjustRightInd w:val="0"/>
              <w:snapToGrid w:val="0"/>
              <w:jc w:val="center"/>
              <w:textAlignment w:val="center"/>
              <w:rPr>
                <w:rFonts w:ascii="宋体" w:hAnsi="宋体" w:cs="宋体"/>
                <w:color w:val="auto"/>
                <w:szCs w:val="21"/>
              </w:rPr>
            </w:pPr>
            <w:r>
              <w:rPr>
                <w:rFonts w:hint="eastAsia" w:ascii="宋体" w:hAnsi="宋体" w:cs="宋体"/>
                <w:color w:val="auto"/>
                <w:szCs w:val="21"/>
              </w:rPr>
              <w:t>10分</w:t>
            </w:r>
          </w:p>
        </w:tc>
        <w:tc>
          <w:tcPr>
            <w:tcW w:w="7110" w:type="dxa"/>
            <w:tcBorders>
              <w:top w:val="single" w:color="auto" w:sz="2" w:space="0"/>
              <w:left w:val="single" w:color="auto" w:sz="2" w:space="0"/>
              <w:bottom w:val="single" w:color="auto" w:sz="2" w:space="0"/>
              <w:right w:val="single" w:color="auto" w:sz="2" w:space="0"/>
            </w:tcBorders>
            <w:shd w:val="clear" w:color="auto" w:fill="auto"/>
            <w:vAlign w:val="center"/>
          </w:tcPr>
          <w:p w14:paraId="5E62514E">
            <w:pPr>
              <w:autoSpaceDN w:val="0"/>
              <w:adjustRightInd w:val="0"/>
              <w:snapToGrid w:val="0"/>
              <w:textAlignment w:val="center"/>
              <w:rPr>
                <w:rFonts w:ascii="宋体" w:hAnsi="宋体" w:cs="宋体"/>
                <w:color w:val="auto"/>
                <w:szCs w:val="21"/>
              </w:rPr>
            </w:pPr>
            <w:r>
              <w:rPr>
                <w:rFonts w:hint="eastAsia" w:ascii="宋体" w:hAnsi="宋体" w:cs="宋体"/>
                <w:color w:val="auto"/>
                <w:szCs w:val="21"/>
              </w:rPr>
              <w:t>响应截止时间前三年内（以合同签订时间为准），供应商具有类似项目（信息化或安防设备</w:t>
            </w:r>
            <w:r>
              <w:rPr>
                <w:rFonts w:hint="eastAsia" w:ascii="宋体" w:hAnsi="宋体" w:cs="宋体"/>
                <w:color w:val="auto"/>
                <w:szCs w:val="21"/>
                <w:lang w:val="en-US" w:eastAsia="zh-CN"/>
              </w:rPr>
              <w:t>相关</w:t>
            </w:r>
            <w:r>
              <w:rPr>
                <w:rFonts w:hint="eastAsia" w:ascii="宋体" w:hAnsi="宋体" w:cs="宋体"/>
                <w:color w:val="auto"/>
                <w:szCs w:val="21"/>
              </w:rPr>
              <w:t>）业绩的，每提供一个计5分，最多计10分，没有的不计分。（提供合同复印件，否则不计分。）</w:t>
            </w:r>
          </w:p>
        </w:tc>
        <w:tc>
          <w:tcPr>
            <w:tcW w:w="480" w:type="dxa"/>
            <w:tcBorders>
              <w:top w:val="single" w:color="auto" w:sz="2" w:space="0"/>
              <w:left w:val="single" w:color="auto" w:sz="2" w:space="0"/>
              <w:bottom w:val="single" w:color="auto" w:sz="2" w:space="0"/>
              <w:right w:val="single" w:color="auto" w:sz="2" w:space="0"/>
            </w:tcBorders>
            <w:vAlign w:val="center"/>
          </w:tcPr>
          <w:p w14:paraId="2B812B8C">
            <w:pPr>
              <w:widowControl/>
              <w:adjustRightInd w:val="0"/>
              <w:snapToGrid w:val="0"/>
              <w:spacing w:line="320" w:lineRule="exact"/>
              <w:jc w:val="center"/>
              <w:rPr>
                <w:rFonts w:ascii="宋体" w:hAnsi="宋体" w:cs="宋体"/>
                <w:b/>
                <w:bCs/>
                <w:color w:val="auto"/>
                <w:kern w:val="0"/>
                <w:sz w:val="22"/>
                <w:szCs w:val="22"/>
              </w:rPr>
            </w:pPr>
          </w:p>
        </w:tc>
        <w:tc>
          <w:tcPr>
            <w:tcW w:w="480" w:type="dxa"/>
            <w:tcBorders>
              <w:top w:val="single" w:color="auto" w:sz="2" w:space="0"/>
              <w:left w:val="single" w:color="auto" w:sz="2" w:space="0"/>
              <w:bottom w:val="single" w:color="auto" w:sz="2" w:space="0"/>
              <w:right w:val="single" w:color="auto" w:sz="2" w:space="0"/>
            </w:tcBorders>
            <w:vAlign w:val="center"/>
          </w:tcPr>
          <w:p w14:paraId="0D239623">
            <w:pPr>
              <w:widowControl/>
              <w:adjustRightInd w:val="0"/>
              <w:snapToGrid w:val="0"/>
              <w:spacing w:line="320" w:lineRule="exact"/>
              <w:jc w:val="center"/>
              <w:rPr>
                <w:rFonts w:ascii="宋体" w:hAnsi="宋体" w:cs="宋体"/>
                <w:b/>
                <w:bCs/>
                <w:color w:val="auto"/>
                <w:kern w:val="0"/>
                <w:sz w:val="22"/>
                <w:szCs w:val="22"/>
              </w:rPr>
            </w:pPr>
          </w:p>
        </w:tc>
        <w:tc>
          <w:tcPr>
            <w:tcW w:w="480" w:type="dxa"/>
            <w:tcBorders>
              <w:top w:val="single" w:color="auto" w:sz="2" w:space="0"/>
              <w:left w:val="single" w:color="auto" w:sz="2" w:space="0"/>
              <w:bottom w:val="single" w:color="auto" w:sz="2" w:space="0"/>
              <w:right w:val="single" w:color="auto" w:sz="4" w:space="0"/>
            </w:tcBorders>
            <w:vAlign w:val="center"/>
          </w:tcPr>
          <w:p w14:paraId="07131380">
            <w:pPr>
              <w:widowControl/>
              <w:adjustRightInd w:val="0"/>
              <w:snapToGrid w:val="0"/>
              <w:spacing w:line="320" w:lineRule="exact"/>
              <w:jc w:val="center"/>
              <w:rPr>
                <w:rFonts w:ascii="宋体" w:hAnsi="宋体" w:cs="宋体"/>
                <w:b/>
                <w:bCs/>
                <w:color w:val="auto"/>
                <w:kern w:val="0"/>
                <w:sz w:val="22"/>
                <w:szCs w:val="22"/>
              </w:rPr>
            </w:pPr>
          </w:p>
        </w:tc>
      </w:tr>
      <w:tr w14:paraId="135041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48" w:hRule="atLeast"/>
        </w:trPr>
        <w:tc>
          <w:tcPr>
            <w:tcW w:w="495" w:type="dxa"/>
            <w:tcBorders>
              <w:top w:val="single" w:color="auto" w:sz="2" w:space="0"/>
              <w:left w:val="single" w:color="auto" w:sz="2" w:space="0"/>
              <w:bottom w:val="single" w:color="auto" w:sz="2" w:space="0"/>
              <w:right w:val="single" w:color="auto" w:sz="2" w:space="0"/>
            </w:tcBorders>
            <w:vAlign w:val="center"/>
          </w:tcPr>
          <w:p w14:paraId="3215FC30">
            <w:pPr>
              <w:adjustRightInd w:val="0"/>
              <w:snapToGrid w:val="0"/>
              <w:spacing w:line="320" w:lineRule="exact"/>
              <w:jc w:val="center"/>
              <w:rPr>
                <w:rFonts w:ascii="宋体" w:hAnsi="宋体" w:cs="宋体"/>
                <w:snapToGrid w:val="0"/>
                <w:color w:val="auto"/>
                <w:kern w:val="0"/>
                <w:szCs w:val="21"/>
              </w:rPr>
            </w:pPr>
            <w:r>
              <w:rPr>
                <w:rFonts w:hint="eastAsia" w:ascii="宋体" w:hAnsi="宋体" w:cs="宋体"/>
                <w:snapToGrid w:val="0"/>
                <w:color w:val="auto"/>
                <w:kern w:val="0"/>
                <w:szCs w:val="21"/>
              </w:rPr>
              <w:t>6</w:t>
            </w:r>
          </w:p>
        </w:tc>
        <w:tc>
          <w:tcPr>
            <w:tcW w:w="1095" w:type="dxa"/>
            <w:tcBorders>
              <w:top w:val="single" w:color="auto" w:sz="2" w:space="0"/>
              <w:left w:val="single" w:color="auto" w:sz="2" w:space="0"/>
              <w:bottom w:val="single" w:color="auto" w:sz="2" w:space="0"/>
              <w:right w:val="single" w:color="auto" w:sz="2" w:space="0"/>
            </w:tcBorders>
            <w:shd w:val="clear" w:color="auto" w:fill="auto"/>
            <w:vAlign w:val="center"/>
          </w:tcPr>
          <w:p w14:paraId="0A0F3BF0">
            <w:pPr>
              <w:autoSpaceDN w:val="0"/>
              <w:adjustRightInd w:val="0"/>
              <w:snapToGrid w:val="0"/>
              <w:jc w:val="center"/>
              <w:textAlignment w:val="center"/>
              <w:rPr>
                <w:rFonts w:ascii="宋体" w:hAnsi="宋体" w:cs="宋体"/>
                <w:color w:val="auto"/>
                <w:szCs w:val="21"/>
              </w:rPr>
            </w:pPr>
            <w:r>
              <w:rPr>
                <w:rFonts w:hint="eastAsia" w:ascii="宋体" w:hAnsi="宋体" w:cs="宋体"/>
                <w:color w:val="auto"/>
                <w:szCs w:val="21"/>
              </w:rPr>
              <w:t>售后方案</w:t>
            </w:r>
          </w:p>
          <w:p w14:paraId="668A4A8E">
            <w:pPr>
              <w:autoSpaceDN w:val="0"/>
              <w:adjustRightInd w:val="0"/>
              <w:snapToGrid w:val="0"/>
              <w:jc w:val="center"/>
              <w:textAlignment w:val="center"/>
              <w:rPr>
                <w:rFonts w:ascii="宋体" w:hAnsi="宋体" w:cs="宋体"/>
                <w:color w:val="auto"/>
                <w:szCs w:val="21"/>
              </w:rPr>
            </w:pPr>
            <w:r>
              <w:rPr>
                <w:rFonts w:hint="eastAsia" w:ascii="宋体" w:hAnsi="宋体" w:cs="宋体"/>
                <w:color w:val="auto"/>
                <w:szCs w:val="21"/>
              </w:rPr>
              <w:t>10分</w:t>
            </w:r>
          </w:p>
        </w:tc>
        <w:tc>
          <w:tcPr>
            <w:tcW w:w="7110" w:type="dxa"/>
            <w:tcBorders>
              <w:top w:val="single" w:color="auto" w:sz="2" w:space="0"/>
              <w:left w:val="single" w:color="auto" w:sz="2" w:space="0"/>
              <w:bottom w:val="single" w:color="auto" w:sz="2" w:space="0"/>
              <w:right w:val="single" w:color="auto" w:sz="2" w:space="0"/>
            </w:tcBorders>
            <w:shd w:val="clear" w:color="auto" w:fill="auto"/>
          </w:tcPr>
          <w:p w14:paraId="71AC3757">
            <w:pPr>
              <w:pStyle w:val="50"/>
              <w:keepNext w:val="0"/>
              <w:keepLines w:val="0"/>
              <w:pageBreakBefore w:val="0"/>
              <w:kinsoku/>
              <w:wordWrap/>
              <w:overflowPunct/>
              <w:topLinePunct w:val="0"/>
              <w:bidi w:val="0"/>
              <w:adjustRightInd w:val="0"/>
              <w:snapToGrid w:val="0"/>
              <w:spacing w:after="0"/>
              <w:ind w:left="0" w:leftChars="0" w:firstLine="0" w:firstLineChars="0"/>
              <w:jc w:val="both"/>
              <w:textAlignment w:val="auto"/>
              <w:rPr>
                <w:rFonts w:hint="eastAsia" w:ascii="宋体" w:hAnsi="宋体" w:eastAsia="宋体" w:cs="宋体"/>
                <w:snapToGrid w:val="0"/>
                <w:color w:val="auto"/>
                <w:kern w:val="0"/>
                <w:sz w:val="21"/>
                <w:szCs w:val="21"/>
                <w:lang w:val="zh-CN" w:eastAsia="zh-CN" w:bidi="zh-CN"/>
              </w:rPr>
            </w:pPr>
            <w:r>
              <w:rPr>
                <w:rFonts w:hint="eastAsia" w:ascii="宋体" w:hAnsi="宋体" w:cs="宋体"/>
                <w:color w:val="auto"/>
                <w:szCs w:val="21"/>
              </w:rPr>
              <w:t>供应商根据项目实际情况及要求，提供符合实际的售后服务方案,包括但不限于①质保服务承诺与备品备件保障方案；②故障受理、应急维修及远程现场响应方案；③定期巡检、系统日常维护保养方案；④业主操作培训与技术支撑服务方案；⑤系统兼容保障、软件持续优化及后期扩容技术支持方案。</w:t>
            </w:r>
            <w:r>
              <w:rPr>
                <w:rFonts w:hint="eastAsia" w:ascii="宋体" w:hAnsi="宋体" w:eastAsia="宋体" w:cs="宋体"/>
                <w:snapToGrid w:val="0"/>
                <w:color w:val="auto"/>
                <w:kern w:val="0"/>
                <w:sz w:val="21"/>
                <w:szCs w:val="21"/>
                <w:lang w:val="zh-CN" w:eastAsia="zh-CN" w:bidi="zh-CN"/>
              </w:rPr>
              <w:t>【方案要素完整，涵盖以上要求的全部内容要素，且各项内容均满足</w:t>
            </w:r>
            <w:r>
              <w:rPr>
                <w:rFonts w:hint="eastAsia" w:ascii="宋体" w:hAnsi="宋体" w:cs="宋体"/>
                <w:snapToGrid w:val="0"/>
                <w:color w:val="auto"/>
                <w:kern w:val="0"/>
                <w:sz w:val="21"/>
                <w:szCs w:val="21"/>
                <w:lang w:val="zh-CN" w:eastAsia="zh-CN" w:bidi="zh-CN"/>
              </w:rPr>
              <w:t>采购文件</w:t>
            </w:r>
            <w:r>
              <w:rPr>
                <w:rFonts w:hint="eastAsia" w:ascii="宋体" w:hAnsi="宋体" w:eastAsia="宋体" w:cs="宋体"/>
                <w:snapToGrid w:val="0"/>
                <w:color w:val="auto"/>
                <w:kern w:val="0"/>
                <w:sz w:val="21"/>
                <w:szCs w:val="21"/>
                <w:lang w:val="zh-CN" w:eastAsia="zh-CN" w:bidi="zh-CN"/>
              </w:rPr>
              <w:t>要求和采购人实际需求的计</w:t>
            </w:r>
            <w:r>
              <w:rPr>
                <w:rFonts w:hint="eastAsia" w:ascii="宋体" w:hAnsi="宋体" w:cs="宋体"/>
                <w:snapToGrid w:val="0"/>
                <w:color w:val="auto"/>
                <w:kern w:val="0"/>
                <w:sz w:val="21"/>
                <w:szCs w:val="21"/>
                <w:lang w:val="en-US" w:eastAsia="zh-CN" w:bidi="zh-CN"/>
              </w:rPr>
              <w:t>10</w:t>
            </w:r>
            <w:r>
              <w:rPr>
                <w:rFonts w:hint="eastAsia" w:ascii="宋体" w:hAnsi="宋体" w:eastAsia="宋体" w:cs="宋体"/>
                <w:snapToGrid w:val="0"/>
                <w:color w:val="auto"/>
                <w:kern w:val="0"/>
                <w:sz w:val="21"/>
                <w:szCs w:val="21"/>
                <w:lang w:val="zh-CN" w:eastAsia="zh-CN" w:bidi="zh-CN"/>
              </w:rPr>
              <w:t>分。】</w:t>
            </w:r>
          </w:p>
          <w:p w14:paraId="320E57E9">
            <w:pPr>
              <w:autoSpaceDN w:val="0"/>
              <w:adjustRightInd w:val="0"/>
              <w:snapToGrid w:val="0"/>
              <w:textAlignment w:val="center"/>
              <w:rPr>
                <w:rFonts w:ascii="宋体" w:hAnsi="宋体" w:cs="宋体"/>
                <w:color w:val="auto"/>
                <w:szCs w:val="21"/>
              </w:rPr>
            </w:pPr>
            <w:r>
              <w:rPr>
                <w:rFonts w:hint="eastAsia" w:ascii="宋体" w:hAnsi="宋体" w:eastAsia="宋体" w:cs="宋体"/>
                <w:snapToGrid w:val="0"/>
                <w:color w:val="auto"/>
                <w:kern w:val="0"/>
                <w:sz w:val="21"/>
                <w:szCs w:val="21"/>
                <w:lang w:val="zh-CN" w:eastAsia="zh-CN" w:bidi="zh-CN"/>
              </w:rPr>
              <w:t>存在以下情形的，按以下标准扣分，累计扣分不超过</w:t>
            </w:r>
            <w:r>
              <w:rPr>
                <w:rFonts w:hint="eastAsia" w:ascii="宋体" w:hAnsi="宋体" w:cs="宋体"/>
                <w:snapToGrid w:val="0"/>
                <w:color w:val="auto"/>
                <w:kern w:val="0"/>
                <w:sz w:val="21"/>
                <w:szCs w:val="21"/>
                <w:lang w:val="en-US" w:eastAsia="zh-CN" w:bidi="zh-CN"/>
              </w:rPr>
              <w:t>10</w:t>
            </w:r>
            <w:r>
              <w:rPr>
                <w:rFonts w:hint="eastAsia" w:ascii="宋体" w:hAnsi="宋体" w:eastAsia="宋体" w:cs="宋体"/>
                <w:snapToGrid w:val="0"/>
                <w:color w:val="auto"/>
                <w:kern w:val="0"/>
                <w:sz w:val="21"/>
                <w:szCs w:val="21"/>
                <w:lang w:val="zh-CN" w:eastAsia="zh-CN" w:bidi="zh-CN"/>
              </w:rPr>
              <w:t>分：（1）每存在一处内容缺漏：指方案中缺少以上明确要求的内容要素，扣</w:t>
            </w:r>
            <w:r>
              <w:rPr>
                <w:rFonts w:hint="eastAsia" w:ascii="宋体" w:hAnsi="宋体" w:cs="宋体"/>
                <w:snapToGrid w:val="0"/>
                <w:color w:val="auto"/>
                <w:kern w:val="0"/>
                <w:sz w:val="21"/>
                <w:szCs w:val="21"/>
                <w:lang w:val="en-US" w:eastAsia="zh-CN" w:bidi="zh-CN"/>
              </w:rPr>
              <w:t>2</w:t>
            </w:r>
            <w:r>
              <w:rPr>
                <w:rFonts w:hint="eastAsia" w:ascii="宋体" w:hAnsi="宋体" w:eastAsia="宋体" w:cs="宋体"/>
                <w:snapToGrid w:val="0"/>
                <w:color w:val="auto"/>
                <w:kern w:val="0"/>
                <w:sz w:val="21"/>
                <w:szCs w:val="21"/>
                <w:lang w:val="zh-CN" w:eastAsia="zh-CN" w:bidi="zh-CN"/>
              </w:rPr>
              <w:t>分；（2）每存在一处内容不符：指方案中出现与本项目无关的其他项目特有信息（例如：其他项目的单位名称、地址、联系方式、时间、合同编号、特定数据或文件编号等），或者涉及的技术规范、标准等与国家、行业或</w:t>
            </w:r>
            <w:r>
              <w:rPr>
                <w:rFonts w:hint="eastAsia" w:ascii="宋体" w:hAnsi="宋体" w:cs="宋体"/>
                <w:snapToGrid w:val="0"/>
                <w:color w:val="auto"/>
                <w:kern w:val="0"/>
                <w:sz w:val="21"/>
                <w:szCs w:val="21"/>
                <w:lang w:val="zh-CN" w:eastAsia="zh-CN" w:bidi="zh-CN"/>
              </w:rPr>
              <w:t>采购文件</w:t>
            </w:r>
            <w:r>
              <w:rPr>
                <w:rFonts w:hint="eastAsia" w:ascii="宋体" w:hAnsi="宋体" w:eastAsia="宋体" w:cs="宋体"/>
                <w:snapToGrid w:val="0"/>
                <w:color w:val="auto"/>
                <w:kern w:val="0"/>
                <w:sz w:val="21"/>
                <w:szCs w:val="21"/>
                <w:lang w:val="zh-CN" w:eastAsia="zh-CN" w:bidi="zh-CN"/>
              </w:rPr>
              <w:t>采购需求不一致</w:t>
            </w:r>
            <w:r>
              <w:rPr>
                <w:rFonts w:hint="eastAsia" w:ascii="宋体" w:hAnsi="宋体" w:cs="宋体"/>
                <w:snapToGrid w:val="0"/>
                <w:color w:val="auto"/>
                <w:kern w:val="0"/>
                <w:sz w:val="21"/>
                <w:szCs w:val="21"/>
                <w:lang w:val="en-US" w:eastAsia="zh-CN" w:bidi="zh-CN"/>
              </w:rPr>
              <w:t>等</w:t>
            </w:r>
            <w:r>
              <w:rPr>
                <w:rFonts w:hint="eastAsia" w:ascii="宋体" w:hAnsi="宋体" w:eastAsia="宋体" w:cs="宋体"/>
                <w:snapToGrid w:val="0"/>
                <w:color w:val="auto"/>
                <w:kern w:val="0"/>
                <w:sz w:val="21"/>
                <w:szCs w:val="21"/>
                <w:lang w:val="zh-CN" w:eastAsia="zh-CN" w:bidi="zh-CN"/>
              </w:rPr>
              <w:t>，扣</w:t>
            </w:r>
            <w:r>
              <w:rPr>
                <w:rFonts w:hint="eastAsia" w:ascii="宋体" w:hAnsi="宋体" w:cs="宋体"/>
                <w:snapToGrid w:val="0"/>
                <w:color w:val="auto"/>
                <w:kern w:val="0"/>
                <w:sz w:val="21"/>
                <w:szCs w:val="21"/>
                <w:lang w:val="en-US" w:eastAsia="zh-CN" w:bidi="zh-CN"/>
              </w:rPr>
              <w:t>2</w:t>
            </w:r>
            <w:r>
              <w:rPr>
                <w:rFonts w:hint="eastAsia" w:ascii="宋体" w:hAnsi="宋体" w:eastAsia="宋体" w:cs="宋体"/>
                <w:snapToGrid w:val="0"/>
                <w:color w:val="auto"/>
                <w:kern w:val="0"/>
                <w:sz w:val="21"/>
                <w:szCs w:val="21"/>
                <w:lang w:val="zh-CN" w:eastAsia="zh-CN" w:bidi="zh-CN"/>
              </w:rPr>
              <w:t>分；（3）每存在一处内容瑕疵：指方案内部或不同方案之间存在前后不一致、逻辑冲突、缺少关键节点、不适用项目特性、不可能实现的情形</w:t>
            </w:r>
            <w:r>
              <w:rPr>
                <w:rFonts w:hint="eastAsia" w:ascii="宋体" w:hAnsi="宋体" w:cs="宋体"/>
                <w:snapToGrid w:val="0"/>
                <w:color w:val="auto"/>
                <w:kern w:val="0"/>
                <w:sz w:val="21"/>
                <w:szCs w:val="21"/>
                <w:lang w:val="en-US" w:eastAsia="zh-CN" w:bidi="zh-CN"/>
              </w:rPr>
              <w:t>等</w:t>
            </w:r>
            <w:r>
              <w:rPr>
                <w:rFonts w:hint="eastAsia" w:ascii="宋体" w:hAnsi="宋体" w:eastAsia="宋体" w:cs="宋体"/>
                <w:snapToGrid w:val="0"/>
                <w:color w:val="auto"/>
                <w:kern w:val="0"/>
                <w:sz w:val="21"/>
                <w:szCs w:val="21"/>
                <w:lang w:val="zh-CN" w:eastAsia="zh-CN" w:bidi="zh-CN"/>
              </w:rPr>
              <w:t>，或者照搬</w:t>
            </w:r>
            <w:r>
              <w:rPr>
                <w:rFonts w:hint="eastAsia" w:ascii="宋体" w:hAnsi="宋体" w:cs="宋体"/>
                <w:snapToGrid w:val="0"/>
                <w:color w:val="auto"/>
                <w:kern w:val="0"/>
                <w:sz w:val="21"/>
                <w:szCs w:val="21"/>
                <w:lang w:val="zh-CN" w:eastAsia="zh-CN" w:bidi="zh-CN"/>
              </w:rPr>
              <w:t>采购文件</w:t>
            </w:r>
            <w:r>
              <w:rPr>
                <w:rFonts w:hint="eastAsia" w:ascii="宋体" w:hAnsi="宋体" w:eastAsia="宋体" w:cs="宋体"/>
                <w:snapToGrid w:val="0"/>
                <w:color w:val="auto"/>
                <w:kern w:val="0"/>
                <w:sz w:val="21"/>
                <w:szCs w:val="21"/>
                <w:lang w:val="zh-CN" w:eastAsia="zh-CN" w:bidi="zh-CN"/>
              </w:rPr>
              <w:t>采购需求，或者表述错误（如人员数量、工作频次、时间节点等数据与</w:t>
            </w:r>
            <w:r>
              <w:rPr>
                <w:rFonts w:hint="eastAsia" w:ascii="宋体" w:hAnsi="宋体" w:cs="宋体"/>
                <w:snapToGrid w:val="0"/>
                <w:color w:val="auto"/>
                <w:kern w:val="0"/>
                <w:sz w:val="21"/>
                <w:szCs w:val="21"/>
                <w:lang w:val="zh-CN" w:eastAsia="zh-CN" w:bidi="zh-CN"/>
              </w:rPr>
              <w:t>采购文件</w:t>
            </w:r>
            <w:r>
              <w:rPr>
                <w:rFonts w:hint="eastAsia" w:ascii="宋体" w:hAnsi="宋体" w:eastAsia="宋体" w:cs="宋体"/>
                <w:snapToGrid w:val="0"/>
                <w:color w:val="auto"/>
                <w:kern w:val="0"/>
                <w:sz w:val="21"/>
                <w:szCs w:val="21"/>
                <w:lang w:val="zh-CN" w:eastAsia="zh-CN" w:bidi="zh-CN"/>
              </w:rPr>
              <w:t>中明确的数据基准不一致或计算有误）</w:t>
            </w:r>
            <w:r>
              <w:rPr>
                <w:rFonts w:hint="eastAsia" w:ascii="宋体" w:hAnsi="宋体" w:cs="宋体"/>
                <w:snapToGrid w:val="0"/>
                <w:color w:val="auto"/>
                <w:kern w:val="0"/>
                <w:sz w:val="21"/>
                <w:szCs w:val="21"/>
                <w:lang w:val="en-US" w:eastAsia="zh-CN" w:bidi="zh-CN"/>
              </w:rPr>
              <w:t>等</w:t>
            </w:r>
            <w:r>
              <w:rPr>
                <w:rFonts w:hint="eastAsia" w:ascii="宋体" w:hAnsi="宋体" w:eastAsia="宋体" w:cs="宋体"/>
                <w:snapToGrid w:val="0"/>
                <w:color w:val="auto"/>
                <w:kern w:val="0"/>
                <w:sz w:val="21"/>
                <w:szCs w:val="21"/>
                <w:lang w:val="zh-CN" w:eastAsia="zh-CN" w:bidi="zh-CN"/>
              </w:rPr>
              <w:t>，或者方案中留有空白（标有“XXX”等占位符，或遗漏信息的），扣</w:t>
            </w:r>
            <w:r>
              <w:rPr>
                <w:rFonts w:hint="eastAsia" w:ascii="宋体" w:hAnsi="宋体" w:cs="宋体"/>
                <w:snapToGrid w:val="0"/>
                <w:color w:val="auto"/>
                <w:kern w:val="0"/>
                <w:sz w:val="21"/>
                <w:szCs w:val="21"/>
                <w:lang w:val="en-US" w:eastAsia="zh-CN" w:bidi="zh-CN"/>
              </w:rPr>
              <w:t>1</w:t>
            </w:r>
            <w:r>
              <w:rPr>
                <w:rFonts w:hint="eastAsia" w:ascii="宋体" w:hAnsi="宋体" w:eastAsia="宋体" w:cs="宋体"/>
                <w:snapToGrid w:val="0"/>
                <w:color w:val="auto"/>
                <w:kern w:val="0"/>
                <w:sz w:val="21"/>
                <w:szCs w:val="21"/>
                <w:lang w:val="zh-CN" w:eastAsia="zh-CN" w:bidi="zh-CN"/>
              </w:rPr>
              <w:t>分。（</w:t>
            </w:r>
            <w:r>
              <w:rPr>
                <w:rFonts w:hint="eastAsia" w:ascii="宋体" w:hAnsi="宋体" w:cs="宋体"/>
                <w:snapToGrid w:val="0"/>
                <w:color w:val="auto"/>
                <w:kern w:val="0"/>
                <w:sz w:val="21"/>
                <w:szCs w:val="21"/>
                <w:lang w:val="en-US" w:eastAsia="zh-CN" w:bidi="zh-CN"/>
              </w:rPr>
              <w:t>4</w:t>
            </w:r>
            <w:r>
              <w:rPr>
                <w:rFonts w:hint="eastAsia" w:ascii="宋体" w:hAnsi="宋体" w:eastAsia="宋体" w:cs="宋体"/>
                <w:snapToGrid w:val="0"/>
                <w:color w:val="auto"/>
                <w:kern w:val="0"/>
                <w:sz w:val="21"/>
                <w:szCs w:val="21"/>
                <w:lang w:val="zh-CN" w:eastAsia="zh-CN" w:bidi="zh-CN"/>
              </w:rPr>
              <w:t>）未提供服务方案的不计分。</w:t>
            </w:r>
          </w:p>
        </w:tc>
        <w:tc>
          <w:tcPr>
            <w:tcW w:w="480" w:type="dxa"/>
            <w:tcBorders>
              <w:top w:val="single" w:color="auto" w:sz="2" w:space="0"/>
              <w:left w:val="single" w:color="auto" w:sz="2" w:space="0"/>
              <w:bottom w:val="single" w:color="auto" w:sz="2" w:space="0"/>
              <w:right w:val="single" w:color="auto" w:sz="2" w:space="0"/>
            </w:tcBorders>
            <w:vAlign w:val="center"/>
          </w:tcPr>
          <w:p w14:paraId="13C11B0F">
            <w:pPr>
              <w:widowControl/>
              <w:adjustRightInd w:val="0"/>
              <w:snapToGrid w:val="0"/>
              <w:spacing w:line="320" w:lineRule="exact"/>
              <w:jc w:val="center"/>
              <w:rPr>
                <w:rFonts w:ascii="宋体" w:hAnsi="宋体" w:cs="宋体"/>
                <w:b/>
                <w:bCs/>
                <w:color w:val="auto"/>
                <w:kern w:val="0"/>
                <w:sz w:val="22"/>
                <w:szCs w:val="22"/>
              </w:rPr>
            </w:pPr>
          </w:p>
        </w:tc>
        <w:tc>
          <w:tcPr>
            <w:tcW w:w="480" w:type="dxa"/>
            <w:tcBorders>
              <w:top w:val="single" w:color="auto" w:sz="2" w:space="0"/>
              <w:left w:val="single" w:color="auto" w:sz="2" w:space="0"/>
              <w:bottom w:val="single" w:color="auto" w:sz="2" w:space="0"/>
              <w:right w:val="single" w:color="auto" w:sz="2" w:space="0"/>
            </w:tcBorders>
            <w:vAlign w:val="center"/>
          </w:tcPr>
          <w:p w14:paraId="35B54A0B">
            <w:pPr>
              <w:widowControl/>
              <w:adjustRightInd w:val="0"/>
              <w:snapToGrid w:val="0"/>
              <w:spacing w:line="320" w:lineRule="exact"/>
              <w:jc w:val="center"/>
              <w:rPr>
                <w:rFonts w:ascii="宋体" w:hAnsi="宋体" w:cs="宋体"/>
                <w:b/>
                <w:bCs/>
                <w:color w:val="auto"/>
                <w:kern w:val="0"/>
                <w:sz w:val="22"/>
                <w:szCs w:val="22"/>
              </w:rPr>
            </w:pPr>
          </w:p>
        </w:tc>
        <w:tc>
          <w:tcPr>
            <w:tcW w:w="480" w:type="dxa"/>
            <w:tcBorders>
              <w:top w:val="single" w:color="auto" w:sz="2" w:space="0"/>
              <w:left w:val="single" w:color="auto" w:sz="2" w:space="0"/>
              <w:bottom w:val="single" w:color="auto" w:sz="2" w:space="0"/>
              <w:right w:val="single" w:color="auto" w:sz="4" w:space="0"/>
            </w:tcBorders>
            <w:vAlign w:val="center"/>
          </w:tcPr>
          <w:p w14:paraId="512C62EF">
            <w:pPr>
              <w:widowControl/>
              <w:adjustRightInd w:val="0"/>
              <w:snapToGrid w:val="0"/>
              <w:spacing w:line="320" w:lineRule="exact"/>
              <w:jc w:val="center"/>
              <w:rPr>
                <w:rFonts w:ascii="宋体" w:hAnsi="宋体" w:cs="宋体"/>
                <w:b/>
                <w:bCs/>
                <w:color w:val="auto"/>
                <w:kern w:val="0"/>
                <w:sz w:val="22"/>
                <w:szCs w:val="22"/>
              </w:rPr>
            </w:pPr>
          </w:p>
        </w:tc>
      </w:tr>
      <w:tr w14:paraId="63BF06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6" w:hRule="atLeast"/>
        </w:trPr>
        <w:tc>
          <w:tcPr>
            <w:tcW w:w="495" w:type="dxa"/>
            <w:tcBorders>
              <w:top w:val="single" w:color="auto" w:sz="2" w:space="0"/>
              <w:left w:val="single" w:color="auto" w:sz="2" w:space="0"/>
              <w:bottom w:val="single" w:color="auto" w:sz="2" w:space="0"/>
              <w:right w:val="single" w:color="auto" w:sz="2" w:space="0"/>
            </w:tcBorders>
            <w:vAlign w:val="center"/>
          </w:tcPr>
          <w:p w14:paraId="1D368071">
            <w:pPr>
              <w:adjustRightInd w:val="0"/>
              <w:snapToGrid w:val="0"/>
              <w:spacing w:line="320" w:lineRule="exact"/>
              <w:jc w:val="center"/>
              <w:rPr>
                <w:rFonts w:ascii="宋体" w:hAnsi="宋体" w:cs="宋体"/>
                <w:snapToGrid w:val="0"/>
                <w:color w:val="auto"/>
                <w:kern w:val="0"/>
                <w:sz w:val="22"/>
                <w:szCs w:val="22"/>
              </w:rPr>
            </w:pPr>
          </w:p>
        </w:tc>
        <w:tc>
          <w:tcPr>
            <w:tcW w:w="8205" w:type="dxa"/>
            <w:gridSpan w:val="2"/>
            <w:tcBorders>
              <w:top w:val="single" w:color="auto" w:sz="2" w:space="0"/>
              <w:left w:val="single" w:color="auto" w:sz="2" w:space="0"/>
              <w:bottom w:val="single" w:color="auto" w:sz="2" w:space="0"/>
              <w:right w:val="single" w:color="auto" w:sz="2" w:space="0"/>
            </w:tcBorders>
            <w:vAlign w:val="center"/>
          </w:tcPr>
          <w:p w14:paraId="79E297B4">
            <w:pPr>
              <w:widowControl/>
              <w:adjustRightInd w:val="0"/>
              <w:snapToGrid w:val="0"/>
              <w:spacing w:line="320" w:lineRule="exact"/>
              <w:rPr>
                <w:rFonts w:ascii="宋体" w:hAnsi="宋体" w:cs="宋体"/>
                <w:snapToGrid w:val="0"/>
                <w:color w:val="auto"/>
                <w:kern w:val="0"/>
                <w:sz w:val="22"/>
                <w:szCs w:val="22"/>
              </w:rPr>
            </w:pPr>
            <w:r>
              <w:rPr>
                <w:rFonts w:hint="eastAsia" w:ascii="宋体" w:hAnsi="宋体" w:cs="宋体"/>
                <w:snapToGrid w:val="0"/>
                <w:color w:val="auto"/>
                <w:kern w:val="0"/>
                <w:sz w:val="22"/>
                <w:szCs w:val="22"/>
              </w:rPr>
              <w:t>合计</w:t>
            </w:r>
          </w:p>
        </w:tc>
        <w:tc>
          <w:tcPr>
            <w:tcW w:w="480" w:type="dxa"/>
            <w:tcBorders>
              <w:top w:val="single" w:color="auto" w:sz="2" w:space="0"/>
              <w:left w:val="single" w:color="auto" w:sz="2" w:space="0"/>
              <w:bottom w:val="single" w:color="auto" w:sz="2" w:space="0"/>
              <w:right w:val="single" w:color="auto" w:sz="2" w:space="0"/>
            </w:tcBorders>
            <w:vAlign w:val="center"/>
          </w:tcPr>
          <w:p w14:paraId="1D7D6A29">
            <w:pPr>
              <w:widowControl/>
              <w:adjustRightInd w:val="0"/>
              <w:snapToGrid w:val="0"/>
              <w:spacing w:line="320" w:lineRule="exact"/>
              <w:rPr>
                <w:rFonts w:ascii="宋体" w:hAnsi="宋体" w:cs="宋体"/>
                <w:snapToGrid w:val="0"/>
                <w:color w:val="auto"/>
                <w:kern w:val="0"/>
                <w:sz w:val="22"/>
                <w:szCs w:val="22"/>
              </w:rPr>
            </w:pPr>
          </w:p>
        </w:tc>
        <w:tc>
          <w:tcPr>
            <w:tcW w:w="480" w:type="dxa"/>
            <w:tcBorders>
              <w:top w:val="single" w:color="auto" w:sz="2" w:space="0"/>
              <w:left w:val="single" w:color="auto" w:sz="2" w:space="0"/>
              <w:bottom w:val="single" w:color="auto" w:sz="2" w:space="0"/>
              <w:right w:val="single" w:color="auto" w:sz="2" w:space="0"/>
            </w:tcBorders>
            <w:vAlign w:val="center"/>
          </w:tcPr>
          <w:p w14:paraId="48212857">
            <w:pPr>
              <w:widowControl/>
              <w:adjustRightInd w:val="0"/>
              <w:snapToGrid w:val="0"/>
              <w:spacing w:line="320" w:lineRule="exact"/>
              <w:rPr>
                <w:rFonts w:ascii="宋体" w:hAnsi="宋体" w:cs="宋体"/>
                <w:snapToGrid w:val="0"/>
                <w:color w:val="auto"/>
                <w:kern w:val="0"/>
                <w:sz w:val="22"/>
                <w:szCs w:val="22"/>
              </w:rPr>
            </w:pPr>
          </w:p>
        </w:tc>
        <w:tc>
          <w:tcPr>
            <w:tcW w:w="480" w:type="dxa"/>
            <w:tcBorders>
              <w:top w:val="single" w:color="auto" w:sz="2" w:space="0"/>
              <w:left w:val="single" w:color="auto" w:sz="2" w:space="0"/>
              <w:bottom w:val="single" w:color="auto" w:sz="2" w:space="0"/>
              <w:right w:val="single" w:color="auto" w:sz="4" w:space="0"/>
            </w:tcBorders>
            <w:vAlign w:val="center"/>
          </w:tcPr>
          <w:p w14:paraId="6C0B6F21">
            <w:pPr>
              <w:widowControl/>
              <w:adjustRightInd w:val="0"/>
              <w:snapToGrid w:val="0"/>
              <w:spacing w:line="320" w:lineRule="exact"/>
              <w:jc w:val="center"/>
              <w:rPr>
                <w:rFonts w:ascii="宋体" w:hAnsi="宋体" w:cs="宋体"/>
                <w:snapToGrid w:val="0"/>
                <w:color w:val="auto"/>
                <w:kern w:val="0"/>
                <w:sz w:val="22"/>
                <w:szCs w:val="22"/>
              </w:rPr>
            </w:pPr>
          </w:p>
        </w:tc>
      </w:tr>
    </w:tbl>
    <w:p w14:paraId="0B404049">
      <w:pPr>
        <w:adjustRightInd w:val="0"/>
        <w:snapToGrid w:val="0"/>
        <w:spacing w:line="360" w:lineRule="auto"/>
        <w:rPr>
          <w:rFonts w:ascii="宋体" w:hAnsi="宋体"/>
          <w:b/>
          <w:bCs/>
          <w:color w:val="auto"/>
          <w:sz w:val="24"/>
        </w:rPr>
      </w:pPr>
      <w:r>
        <w:rPr>
          <w:rFonts w:hint="eastAsia" w:ascii="宋体" w:hAnsi="宋体"/>
          <w:b/>
          <w:bCs/>
          <w:color w:val="auto"/>
          <w:szCs w:val="21"/>
        </w:rPr>
        <w:t>磋商小组成员签字：                                                  年  月  日</w:t>
      </w:r>
      <w:bookmarkStart w:id="23" w:name="_Toc14532"/>
      <w:bookmarkStart w:id="24" w:name="_Toc23294"/>
      <w:bookmarkStart w:id="25" w:name="_Toc17715"/>
      <w:r>
        <w:rPr>
          <w:rFonts w:hint="eastAsia" w:ascii="宋体" w:hAnsi="宋体"/>
          <w:b/>
          <w:bCs/>
          <w:color w:val="auto"/>
          <w:sz w:val="24"/>
        </w:rPr>
        <w:br w:type="page"/>
      </w:r>
    </w:p>
    <w:p w14:paraId="5B1E9EE0">
      <w:pPr>
        <w:outlineLvl w:val="1"/>
        <w:rPr>
          <w:b/>
          <w:color w:val="auto"/>
          <w:spacing w:val="26"/>
          <w:szCs w:val="21"/>
        </w:rPr>
      </w:pPr>
      <w:r>
        <w:rPr>
          <w:rFonts w:hint="eastAsia" w:ascii="宋体" w:hAnsi="宋体"/>
          <w:b/>
          <w:bCs/>
          <w:color w:val="auto"/>
          <w:sz w:val="24"/>
        </w:rPr>
        <w:t>7：供应商</w:t>
      </w:r>
      <w:r>
        <w:rPr>
          <w:rFonts w:hint="eastAsia"/>
          <w:b/>
          <w:color w:val="auto"/>
          <w:spacing w:val="26"/>
          <w:sz w:val="24"/>
        </w:rPr>
        <w:t>得分汇总计算表</w:t>
      </w:r>
      <w:bookmarkEnd w:id="23"/>
      <w:bookmarkEnd w:id="24"/>
      <w:bookmarkEnd w:id="25"/>
    </w:p>
    <w:p w14:paraId="78EB92B1">
      <w:pPr>
        <w:rPr>
          <w:color w:val="auto"/>
        </w:rPr>
      </w:pPr>
    </w:p>
    <w:p w14:paraId="5B67D21F">
      <w:pPr>
        <w:rPr>
          <w:rFonts w:ascii="宋体" w:hAnsi="宋体"/>
          <w:bCs/>
          <w:color w:val="auto"/>
          <w:sz w:val="18"/>
          <w:szCs w:val="18"/>
        </w:rPr>
      </w:pPr>
      <w:r>
        <w:rPr>
          <w:rFonts w:hint="eastAsia" w:ascii="宋体" w:hAnsi="宋体"/>
          <w:bCs/>
          <w:color w:val="auto"/>
          <w:sz w:val="18"/>
          <w:szCs w:val="18"/>
          <w:lang w:eastAsia="zh-CN"/>
        </w:rPr>
        <w:t>政府采购编号</w:t>
      </w:r>
      <w:r>
        <w:rPr>
          <w:rFonts w:hint="eastAsia" w:ascii="宋体" w:hAnsi="宋体"/>
          <w:bCs/>
          <w:color w:val="auto"/>
          <w:sz w:val="18"/>
          <w:szCs w:val="18"/>
        </w:rPr>
        <w:t>：</w:t>
      </w:r>
    </w:p>
    <w:tbl>
      <w:tblPr>
        <w:tblStyle w:val="51"/>
        <w:tblW w:w="96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5"/>
        <w:gridCol w:w="1323"/>
        <w:gridCol w:w="1323"/>
        <w:gridCol w:w="1323"/>
        <w:gridCol w:w="1323"/>
        <w:gridCol w:w="1323"/>
        <w:gridCol w:w="1324"/>
      </w:tblGrid>
      <w:tr w14:paraId="46FD4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1685" w:type="dxa"/>
            <w:vMerge w:val="restart"/>
            <w:tcBorders>
              <w:top w:val="single" w:color="auto" w:sz="4" w:space="0"/>
              <w:left w:val="single" w:color="auto" w:sz="4" w:space="0"/>
              <w:bottom w:val="single" w:color="auto" w:sz="4" w:space="0"/>
              <w:right w:val="single" w:color="auto" w:sz="4" w:space="0"/>
            </w:tcBorders>
            <w:vAlign w:val="center"/>
          </w:tcPr>
          <w:p w14:paraId="3866ED93">
            <w:pPr>
              <w:ind w:right="-205" w:rightChars="-98"/>
              <w:jc w:val="center"/>
              <w:rPr>
                <w:color w:val="auto"/>
                <w:spacing w:val="26"/>
                <w:szCs w:val="21"/>
              </w:rPr>
            </w:pPr>
            <w:r>
              <w:rPr>
                <w:rFonts w:hint="eastAsia"/>
                <w:color w:val="auto"/>
                <w:spacing w:val="26"/>
                <w:szCs w:val="21"/>
              </w:rPr>
              <w:t>磋商</w:t>
            </w:r>
          </w:p>
          <w:p w14:paraId="05A638D7">
            <w:pPr>
              <w:ind w:right="-205" w:rightChars="-98"/>
              <w:jc w:val="center"/>
              <w:rPr>
                <w:color w:val="auto"/>
                <w:spacing w:val="26"/>
                <w:szCs w:val="21"/>
              </w:rPr>
            </w:pPr>
            <w:r>
              <w:rPr>
                <w:rFonts w:hint="eastAsia"/>
                <w:color w:val="auto"/>
                <w:spacing w:val="26"/>
                <w:szCs w:val="21"/>
              </w:rPr>
              <w:t>小组</w:t>
            </w:r>
          </w:p>
          <w:p w14:paraId="0356AB64">
            <w:pPr>
              <w:ind w:right="-205" w:rightChars="-98"/>
              <w:jc w:val="center"/>
              <w:rPr>
                <w:color w:val="auto"/>
                <w:spacing w:val="26"/>
                <w:szCs w:val="21"/>
              </w:rPr>
            </w:pPr>
            <w:r>
              <w:rPr>
                <w:rFonts w:hint="eastAsia"/>
                <w:color w:val="auto"/>
                <w:spacing w:val="26"/>
                <w:szCs w:val="21"/>
              </w:rPr>
              <w:t>成员</w:t>
            </w:r>
          </w:p>
          <w:p w14:paraId="756DF1EC">
            <w:pPr>
              <w:ind w:right="-205" w:rightChars="-98"/>
              <w:jc w:val="center"/>
              <w:rPr>
                <w:color w:val="auto"/>
                <w:spacing w:val="26"/>
                <w:szCs w:val="21"/>
              </w:rPr>
            </w:pPr>
            <w:r>
              <w:rPr>
                <w:rFonts w:hint="eastAsia"/>
                <w:color w:val="auto"/>
                <w:spacing w:val="26"/>
                <w:szCs w:val="21"/>
              </w:rPr>
              <w:t>姓名</w:t>
            </w:r>
          </w:p>
        </w:tc>
        <w:tc>
          <w:tcPr>
            <w:tcW w:w="7939" w:type="dxa"/>
            <w:gridSpan w:val="6"/>
            <w:tcBorders>
              <w:top w:val="single" w:color="auto" w:sz="4" w:space="0"/>
              <w:left w:val="single" w:color="auto" w:sz="4" w:space="0"/>
              <w:bottom w:val="single" w:color="auto" w:sz="4" w:space="0"/>
              <w:right w:val="single" w:color="auto" w:sz="4" w:space="0"/>
            </w:tcBorders>
            <w:vAlign w:val="center"/>
          </w:tcPr>
          <w:p w14:paraId="4D6A421F">
            <w:pPr>
              <w:jc w:val="center"/>
              <w:rPr>
                <w:color w:val="auto"/>
                <w:spacing w:val="26"/>
                <w:szCs w:val="21"/>
              </w:rPr>
            </w:pPr>
            <w:r>
              <w:rPr>
                <w:rFonts w:hint="eastAsia"/>
                <w:color w:val="auto"/>
                <w:spacing w:val="26"/>
                <w:szCs w:val="21"/>
              </w:rPr>
              <w:t>供应商名称</w:t>
            </w:r>
          </w:p>
        </w:tc>
      </w:tr>
      <w:tr w14:paraId="636BF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4" w:hRule="atLeast"/>
          <w:jc w:val="center"/>
        </w:trPr>
        <w:tc>
          <w:tcPr>
            <w:tcW w:w="1685" w:type="dxa"/>
            <w:vMerge w:val="continue"/>
            <w:tcBorders>
              <w:top w:val="single" w:color="auto" w:sz="4" w:space="0"/>
              <w:left w:val="single" w:color="auto" w:sz="4" w:space="0"/>
              <w:bottom w:val="single" w:color="auto" w:sz="4" w:space="0"/>
              <w:right w:val="single" w:color="auto" w:sz="4" w:space="0"/>
            </w:tcBorders>
            <w:vAlign w:val="center"/>
          </w:tcPr>
          <w:p w14:paraId="1E962E75">
            <w:pPr>
              <w:widowControl/>
              <w:jc w:val="left"/>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06F80FAF">
            <w:pPr>
              <w:spacing w:line="240" w:lineRule="exact"/>
              <w:jc w:val="center"/>
              <w:rPr>
                <w:color w:val="auto"/>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4202302C">
            <w:pPr>
              <w:spacing w:line="240" w:lineRule="exact"/>
              <w:jc w:val="center"/>
              <w:rPr>
                <w:color w:val="auto"/>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2B85D0FC">
            <w:pPr>
              <w:spacing w:line="240" w:lineRule="exact"/>
              <w:jc w:val="center"/>
              <w:rPr>
                <w:color w:val="auto"/>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5C0070EC">
            <w:pPr>
              <w:spacing w:line="240" w:lineRule="exact"/>
              <w:jc w:val="center"/>
              <w:rPr>
                <w:color w:val="auto"/>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5E680B44">
            <w:pPr>
              <w:spacing w:line="240" w:lineRule="exact"/>
              <w:jc w:val="center"/>
              <w:rPr>
                <w:color w:val="auto"/>
                <w:szCs w:val="21"/>
              </w:rPr>
            </w:pPr>
          </w:p>
        </w:tc>
        <w:tc>
          <w:tcPr>
            <w:tcW w:w="1324" w:type="dxa"/>
            <w:tcBorders>
              <w:top w:val="single" w:color="auto" w:sz="4" w:space="0"/>
              <w:left w:val="single" w:color="auto" w:sz="4" w:space="0"/>
              <w:bottom w:val="single" w:color="auto" w:sz="4" w:space="0"/>
              <w:right w:val="single" w:color="auto" w:sz="4" w:space="0"/>
            </w:tcBorders>
            <w:vAlign w:val="center"/>
          </w:tcPr>
          <w:p w14:paraId="4223DCD9">
            <w:pPr>
              <w:spacing w:line="240" w:lineRule="exact"/>
              <w:jc w:val="center"/>
              <w:rPr>
                <w:color w:val="auto"/>
                <w:szCs w:val="21"/>
              </w:rPr>
            </w:pPr>
          </w:p>
        </w:tc>
      </w:tr>
      <w:tr w14:paraId="03917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685" w:type="dxa"/>
            <w:tcBorders>
              <w:top w:val="single" w:color="auto" w:sz="4" w:space="0"/>
              <w:left w:val="single" w:color="auto" w:sz="4" w:space="0"/>
              <w:bottom w:val="single" w:color="auto" w:sz="4" w:space="0"/>
              <w:right w:val="single" w:color="auto" w:sz="4" w:space="0"/>
            </w:tcBorders>
            <w:vAlign w:val="center"/>
          </w:tcPr>
          <w:p w14:paraId="4A46C165">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43220BD4">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1DD81491">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5D3850CA">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435C626F">
            <w:pPr>
              <w:ind w:right="-172" w:rightChars="-82"/>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4EE002E7">
            <w:pPr>
              <w:ind w:right="-172" w:rightChars="-82"/>
              <w:jc w:val="center"/>
              <w:rPr>
                <w:color w:val="auto"/>
                <w:spacing w:val="26"/>
                <w:szCs w:val="21"/>
              </w:rPr>
            </w:pPr>
          </w:p>
        </w:tc>
        <w:tc>
          <w:tcPr>
            <w:tcW w:w="1324" w:type="dxa"/>
            <w:tcBorders>
              <w:top w:val="single" w:color="auto" w:sz="4" w:space="0"/>
              <w:left w:val="single" w:color="auto" w:sz="4" w:space="0"/>
              <w:bottom w:val="single" w:color="auto" w:sz="4" w:space="0"/>
              <w:right w:val="single" w:color="auto" w:sz="4" w:space="0"/>
            </w:tcBorders>
            <w:vAlign w:val="center"/>
          </w:tcPr>
          <w:p w14:paraId="03F6B445">
            <w:pPr>
              <w:ind w:right="-172" w:rightChars="-82"/>
              <w:jc w:val="center"/>
              <w:rPr>
                <w:color w:val="auto"/>
                <w:spacing w:val="26"/>
                <w:szCs w:val="21"/>
              </w:rPr>
            </w:pPr>
          </w:p>
        </w:tc>
      </w:tr>
      <w:tr w14:paraId="04D21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685" w:type="dxa"/>
            <w:tcBorders>
              <w:top w:val="single" w:color="auto" w:sz="4" w:space="0"/>
              <w:left w:val="single" w:color="auto" w:sz="4" w:space="0"/>
              <w:bottom w:val="single" w:color="auto" w:sz="4" w:space="0"/>
              <w:right w:val="single" w:color="auto" w:sz="4" w:space="0"/>
            </w:tcBorders>
            <w:vAlign w:val="center"/>
          </w:tcPr>
          <w:p w14:paraId="284A5B68">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22069DF0">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64D8CE7C">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78BDE9A3">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0CFD6E7F">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59F28984">
            <w:pPr>
              <w:jc w:val="center"/>
              <w:rPr>
                <w:color w:val="auto"/>
                <w:spacing w:val="26"/>
                <w:szCs w:val="21"/>
              </w:rPr>
            </w:pPr>
          </w:p>
        </w:tc>
        <w:tc>
          <w:tcPr>
            <w:tcW w:w="1324" w:type="dxa"/>
            <w:tcBorders>
              <w:top w:val="single" w:color="auto" w:sz="4" w:space="0"/>
              <w:left w:val="single" w:color="auto" w:sz="4" w:space="0"/>
              <w:bottom w:val="single" w:color="auto" w:sz="4" w:space="0"/>
              <w:right w:val="single" w:color="auto" w:sz="4" w:space="0"/>
            </w:tcBorders>
            <w:vAlign w:val="center"/>
          </w:tcPr>
          <w:p w14:paraId="10B05418">
            <w:pPr>
              <w:jc w:val="center"/>
              <w:rPr>
                <w:color w:val="auto"/>
                <w:spacing w:val="26"/>
                <w:szCs w:val="21"/>
              </w:rPr>
            </w:pPr>
          </w:p>
        </w:tc>
      </w:tr>
      <w:tr w14:paraId="72457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685" w:type="dxa"/>
            <w:tcBorders>
              <w:top w:val="single" w:color="auto" w:sz="4" w:space="0"/>
              <w:left w:val="single" w:color="auto" w:sz="4" w:space="0"/>
              <w:bottom w:val="single" w:color="auto" w:sz="4" w:space="0"/>
              <w:right w:val="single" w:color="auto" w:sz="4" w:space="0"/>
            </w:tcBorders>
            <w:vAlign w:val="center"/>
          </w:tcPr>
          <w:p w14:paraId="07BD3DFE">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1E137413">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067EACB3">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52A96C04">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17525099">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22A55DA6">
            <w:pPr>
              <w:jc w:val="center"/>
              <w:rPr>
                <w:color w:val="auto"/>
                <w:spacing w:val="26"/>
                <w:szCs w:val="21"/>
              </w:rPr>
            </w:pPr>
          </w:p>
        </w:tc>
        <w:tc>
          <w:tcPr>
            <w:tcW w:w="1324" w:type="dxa"/>
            <w:tcBorders>
              <w:top w:val="single" w:color="auto" w:sz="4" w:space="0"/>
              <w:left w:val="single" w:color="auto" w:sz="4" w:space="0"/>
              <w:bottom w:val="single" w:color="auto" w:sz="4" w:space="0"/>
              <w:right w:val="single" w:color="auto" w:sz="4" w:space="0"/>
            </w:tcBorders>
            <w:vAlign w:val="center"/>
          </w:tcPr>
          <w:p w14:paraId="4367535B">
            <w:pPr>
              <w:jc w:val="center"/>
              <w:rPr>
                <w:color w:val="auto"/>
                <w:spacing w:val="26"/>
                <w:szCs w:val="21"/>
              </w:rPr>
            </w:pPr>
          </w:p>
        </w:tc>
      </w:tr>
      <w:tr w14:paraId="4A235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685" w:type="dxa"/>
            <w:tcBorders>
              <w:top w:val="single" w:color="auto" w:sz="4" w:space="0"/>
              <w:left w:val="single" w:color="auto" w:sz="4" w:space="0"/>
              <w:bottom w:val="single" w:color="auto" w:sz="4" w:space="0"/>
              <w:right w:val="single" w:color="auto" w:sz="4" w:space="0"/>
            </w:tcBorders>
            <w:vAlign w:val="center"/>
          </w:tcPr>
          <w:p w14:paraId="16059054">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0CD42DC7">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1DE657C7">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30AAA1F5">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4F0BF08F">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71815EFC">
            <w:pPr>
              <w:jc w:val="center"/>
              <w:rPr>
                <w:color w:val="auto"/>
                <w:spacing w:val="26"/>
                <w:szCs w:val="21"/>
              </w:rPr>
            </w:pPr>
          </w:p>
        </w:tc>
        <w:tc>
          <w:tcPr>
            <w:tcW w:w="1324" w:type="dxa"/>
            <w:tcBorders>
              <w:top w:val="single" w:color="auto" w:sz="4" w:space="0"/>
              <w:left w:val="single" w:color="auto" w:sz="4" w:space="0"/>
              <w:bottom w:val="single" w:color="auto" w:sz="4" w:space="0"/>
              <w:right w:val="single" w:color="auto" w:sz="4" w:space="0"/>
            </w:tcBorders>
            <w:vAlign w:val="center"/>
          </w:tcPr>
          <w:p w14:paraId="764C3996">
            <w:pPr>
              <w:jc w:val="center"/>
              <w:rPr>
                <w:color w:val="auto"/>
                <w:spacing w:val="26"/>
                <w:szCs w:val="21"/>
              </w:rPr>
            </w:pPr>
          </w:p>
        </w:tc>
      </w:tr>
      <w:tr w14:paraId="3D6AF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685" w:type="dxa"/>
            <w:tcBorders>
              <w:top w:val="single" w:color="auto" w:sz="4" w:space="0"/>
              <w:left w:val="single" w:color="auto" w:sz="4" w:space="0"/>
              <w:bottom w:val="single" w:color="auto" w:sz="4" w:space="0"/>
              <w:right w:val="single" w:color="auto" w:sz="4" w:space="0"/>
            </w:tcBorders>
            <w:vAlign w:val="center"/>
          </w:tcPr>
          <w:p w14:paraId="76096F69">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0EBC6CB4">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5C099132">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30A1B84B">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45F0ED9C">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19BE32D4">
            <w:pPr>
              <w:jc w:val="center"/>
              <w:rPr>
                <w:color w:val="auto"/>
                <w:spacing w:val="26"/>
                <w:szCs w:val="21"/>
              </w:rPr>
            </w:pPr>
          </w:p>
        </w:tc>
        <w:tc>
          <w:tcPr>
            <w:tcW w:w="1324" w:type="dxa"/>
            <w:tcBorders>
              <w:top w:val="single" w:color="auto" w:sz="4" w:space="0"/>
              <w:left w:val="single" w:color="auto" w:sz="4" w:space="0"/>
              <w:bottom w:val="single" w:color="auto" w:sz="4" w:space="0"/>
              <w:right w:val="single" w:color="auto" w:sz="4" w:space="0"/>
            </w:tcBorders>
            <w:vAlign w:val="center"/>
          </w:tcPr>
          <w:p w14:paraId="1967CABA">
            <w:pPr>
              <w:jc w:val="center"/>
              <w:rPr>
                <w:color w:val="auto"/>
                <w:spacing w:val="26"/>
                <w:szCs w:val="21"/>
              </w:rPr>
            </w:pPr>
          </w:p>
        </w:tc>
      </w:tr>
      <w:tr w14:paraId="6D35E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685" w:type="dxa"/>
            <w:tcBorders>
              <w:top w:val="single" w:color="auto" w:sz="4" w:space="0"/>
              <w:left w:val="single" w:color="auto" w:sz="4" w:space="0"/>
              <w:bottom w:val="single" w:color="auto" w:sz="4" w:space="0"/>
              <w:right w:val="single" w:color="auto" w:sz="4" w:space="0"/>
            </w:tcBorders>
            <w:vAlign w:val="center"/>
          </w:tcPr>
          <w:p w14:paraId="4379A369">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433A0020">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3482D370">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684E0BCB">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3301E711">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264AF772">
            <w:pPr>
              <w:jc w:val="center"/>
              <w:rPr>
                <w:color w:val="auto"/>
                <w:spacing w:val="26"/>
                <w:szCs w:val="21"/>
              </w:rPr>
            </w:pPr>
          </w:p>
        </w:tc>
        <w:tc>
          <w:tcPr>
            <w:tcW w:w="1324" w:type="dxa"/>
            <w:tcBorders>
              <w:top w:val="single" w:color="auto" w:sz="4" w:space="0"/>
              <w:left w:val="single" w:color="auto" w:sz="4" w:space="0"/>
              <w:bottom w:val="single" w:color="auto" w:sz="4" w:space="0"/>
              <w:right w:val="single" w:color="auto" w:sz="4" w:space="0"/>
            </w:tcBorders>
            <w:vAlign w:val="center"/>
          </w:tcPr>
          <w:p w14:paraId="6AA89FFE">
            <w:pPr>
              <w:jc w:val="center"/>
              <w:rPr>
                <w:color w:val="auto"/>
                <w:spacing w:val="26"/>
                <w:szCs w:val="21"/>
              </w:rPr>
            </w:pPr>
          </w:p>
        </w:tc>
      </w:tr>
      <w:tr w14:paraId="51B1F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685" w:type="dxa"/>
            <w:tcBorders>
              <w:top w:val="single" w:color="auto" w:sz="4" w:space="0"/>
              <w:left w:val="single" w:color="auto" w:sz="4" w:space="0"/>
              <w:bottom w:val="single" w:color="auto" w:sz="4" w:space="0"/>
              <w:right w:val="single" w:color="auto" w:sz="4" w:space="0"/>
            </w:tcBorders>
            <w:vAlign w:val="center"/>
          </w:tcPr>
          <w:p w14:paraId="486F780B">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45645592">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5C1FB304">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138A651A">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5D3CC8C7">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0610989B">
            <w:pPr>
              <w:jc w:val="center"/>
              <w:rPr>
                <w:color w:val="auto"/>
                <w:spacing w:val="26"/>
                <w:szCs w:val="21"/>
              </w:rPr>
            </w:pPr>
          </w:p>
        </w:tc>
        <w:tc>
          <w:tcPr>
            <w:tcW w:w="1324" w:type="dxa"/>
            <w:tcBorders>
              <w:top w:val="single" w:color="auto" w:sz="4" w:space="0"/>
              <w:left w:val="single" w:color="auto" w:sz="4" w:space="0"/>
              <w:bottom w:val="single" w:color="auto" w:sz="4" w:space="0"/>
              <w:right w:val="single" w:color="auto" w:sz="4" w:space="0"/>
            </w:tcBorders>
            <w:vAlign w:val="center"/>
          </w:tcPr>
          <w:p w14:paraId="5403B963">
            <w:pPr>
              <w:jc w:val="center"/>
              <w:rPr>
                <w:color w:val="auto"/>
                <w:spacing w:val="26"/>
                <w:szCs w:val="21"/>
              </w:rPr>
            </w:pPr>
          </w:p>
        </w:tc>
      </w:tr>
      <w:tr w14:paraId="5C6AA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685" w:type="dxa"/>
            <w:tcBorders>
              <w:top w:val="single" w:color="auto" w:sz="4" w:space="0"/>
              <w:left w:val="single" w:color="auto" w:sz="4" w:space="0"/>
              <w:bottom w:val="single" w:color="auto" w:sz="4" w:space="0"/>
              <w:right w:val="single" w:color="auto" w:sz="4" w:space="0"/>
            </w:tcBorders>
            <w:vAlign w:val="center"/>
          </w:tcPr>
          <w:p w14:paraId="37146E73">
            <w:pPr>
              <w:jc w:val="center"/>
              <w:rPr>
                <w:color w:val="auto"/>
                <w:spacing w:val="26"/>
                <w:szCs w:val="21"/>
              </w:rPr>
            </w:pPr>
            <w:r>
              <w:rPr>
                <w:rFonts w:hint="eastAsia"/>
                <w:color w:val="auto"/>
                <w:spacing w:val="26"/>
                <w:szCs w:val="21"/>
              </w:rPr>
              <w:t>总分</w:t>
            </w:r>
          </w:p>
        </w:tc>
        <w:tc>
          <w:tcPr>
            <w:tcW w:w="1323" w:type="dxa"/>
            <w:tcBorders>
              <w:top w:val="single" w:color="auto" w:sz="4" w:space="0"/>
              <w:left w:val="single" w:color="auto" w:sz="4" w:space="0"/>
              <w:bottom w:val="single" w:color="auto" w:sz="4" w:space="0"/>
              <w:right w:val="single" w:color="auto" w:sz="4" w:space="0"/>
            </w:tcBorders>
            <w:vAlign w:val="center"/>
          </w:tcPr>
          <w:p w14:paraId="4A31E200">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7022F76D">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33E798FA">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62BE1D64">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109DE670">
            <w:pPr>
              <w:jc w:val="center"/>
              <w:rPr>
                <w:color w:val="auto"/>
                <w:spacing w:val="26"/>
                <w:szCs w:val="21"/>
              </w:rPr>
            </w:pPr>
          </w:p>
        </w:tc>
        <w:tc>
          <w:tcPr>
            <w:tcW w:w="1324" w:type="dxa"/>
            <w:tcBorders>
              <w:top w:val="single" w:color="auto" w:sz="4" w:space="0"/>
              <w:left w:val="single" w:color="auto" w:sz="4" w:space="0"/>
              <w:bottom w:val="single" w:color="auto" w:sz="4" w:space="0"/>
              <w:right w:val="single" w:color="auto" w:sz="4" w:space="0"/>
            </w:tcBorders>
            <w:vAlign w:val="center"/>
          </w:tcPr>
          <w:p w14:paraId="24401C0A">
            <w:pPr>
              <w:jc w:val="center"/>
              <w:rPr>
                <w:color w:val="auto"/>
                <w:spacing w:val="26"/>
                <w:szCs w:val="21"/>
              </w:rPr>
            </w:pPr>
          </w:p>
        </w:tc>
      </w:tr>
      <w:tr w14:paraId="1E477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685" w:type="dxa"/>
            <w:tcBorders>
              <w:top w:val="single" w:color="auto" w:sz="4" w:space="0"/>
              <w:left w:val="single" w:color="auto" w:sz="4" w:space="0"/>
              <w:bottom w:val="single" w:color="auto" w:sz="4" w:space="0"/>
              <w:right w:val="single" w:color="auto" w:sz="4" w:space="0"/>
            </w:tcBorders>
            <w:vAlign w:val="center"/>
          </w:tcPr>
          <w:p w14:paraId="089B0BBE">
            <w:pPr>
              <w:jc w:val="center"/>
              <w:rPr>
                <w:color w:val="auto"/>
                <w:spacing w:val="26"/>
                <w:szCs w:val="21"/>
              </w:rPr>
            </w:pPr>
            <w:r>
              <w:rPr>
                <w:rFonts w:hint="eastAsia"/>
                <w:color w:val="auto"/>
                <w:spacing w:val="26"/>
                <w:szCs w:val="21"/>
              </w:rPr>
              <w:t>平均</w:t>
            </w:r>
          </w:p>
        </w:tc>
        <w:tc>
          <w:tcPr>
            <w:tcW w:w="1323" w:type="dxa"/>
            <w:tcBorders>
              <w:top w:val="single" w:color="auto" w:sz="4" w:space="0"/>
              <w:left w:val="single" w:color="auto" w:sz="4" w:space="0"/>
              <w:bottom w:val="single" w:color="auto" w:sz="4" w:space="0"/>
              <w:right w:val="single" w:color="auto" w:sz="4" w:space="0"/>
            </w:tcBorders>
            <w:vAlign w:val="center"/>
          </w:tcPr>
          <w:p w14:paraId="6460BE2A">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1FEE0958">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17C565DC">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38B0B392">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250695F0">
            <w:pPr>
              <w:jc w:val="center"/>
              <w:rPr>
                <w:color w:val="auto"/>
                <w:spacing w:val="26"/>
                <w:szCs w:val="21"/>
              </w:rPr>
            </w:pPr>
          </w:p>
        </w:tc>
        <w:tc>
          <w:tcPr>
            <w:tcW w:w="1324" w:type="dxa"/>
            <w:tcBorders>
              <w:top w:val="single" w:color="auto" w:sz="4" w:space="0"/>
              <w:left w:val="single" w:color="auto" w:sz="4" w:space="0"/>
              <w:bottom w:val="single" w:color="auto" w:sz="4" w:space="0"/>
              <w:right w:val="single" w:color="auto" w:sz="4" w:space="0"/>
            </w:tcBorders>
            <w:vAlign w:val="center"/>
          </w:tcPr>
          <w:p w14:paraId="3D9AC794">
            <w:pPr>
              <w:jc w:val="center"/>
              <w:rPr>
                <w:color w:val="auto"/>
                <w:spacing w:val="26"/>
                <w:szCs w:val="21"/>
              </w:rPr>
            </w:pPr>
          </w:p>
        </w:tc>
      </w:tr>
      <w:tr w14:paraId="09016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685" w:type="dxa"/>
            <w:tcBorders>
              <w:top w:val="single" w:color="auto" w:sz="4" w:space="0"/>
              <w:left w:val="single" w:color="auto" w:sz="4" w:space="0"/>
              <w:bottom w:val="single" w:color="auto" w:sz="4" w:space="0"/>
              <w:right w:val="single" w:color="auto" w:sz="4" w:space="0"/>
            </w:tcBorders>
            <w:vAlign w:val="center"/>
          </w:tcPr>
          <w:p w14:paraId="64CF67C2">
            <w:pPr>
              <w:jc w:val="center"/>
              <w:rPr>
                <w:color w:val="auto"/>
                <w:spacing w:val="26"/>
                <w:szCs w:val="21"/>
              </w:rPr>
            </w:pPr>
            <w:r>
              <w:rPr>
                <w:rFonts w:hint="eastAsia"/>
                <w:color w:val="auto"/>
                <w:spacing w:val="26"/>
                <w:szCs w:val="21"/>
              </w:rPr>
              <w:t>最后</w:t>
            </w:r>
          </w:p>
          <w:p w14:paraId="71D668AE">
            <w:pPr>
              <w:jc w:val="center"/>
              <w:rPr>
                <w:color w:val="auto"/>
                <w:spacing w:val="26"/>
                <w:szCs w:val="21"/>
              </w:rPr>
            </w:pPr>
            <w:r>
              <w:rPr>
                <w:rFonts w:hint="eastAsia"/>
                <w:color w:val="auto"/>
                <w:spacing w:val="26"/>
                <w:szCs w:val="21"/>
              </w:rPr>
              <w:t>得分</w:t>
            </w:r>
          </w:p>
        </w:tc>
        <w:tc>
          <w:tcPr>
            <w:tcW w:w="1323" w:type="dxa"/>
            <w:tcBorders>
              <w:top w:val="single" w:color="auto" w:sz="4" w:space="0"/>
              <w:left w:val="single" w:color="auto" w:sz="4" w:space="0"/>
              <w:bottom w:val="single" w:color="auto" w:sz="4" w:space="0"/>
              <w:right w:val="single" w:color="auto" w:sz="4" w:space="0"/>
            </w:tcBorders>
            <w:vAlign w:val="center"/>
          </w:tcPr>
          <w:p w14:paraId="7E5F884F">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2AADB156">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0B9A8EA4">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436C0DC5">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7C593663">
            <w:pPr>
              <w:jc w:val="center"/>
              <w:rPr>
                <w:color w:val="auto"/>
                <w:spacing w:val="26"/>
                <w:szCs w:val="21"/>
              </w:rPr>
            </w:pPr>
          </w:p>
        </w:tc>
        <w:tc>
          <w:tcPr>
            <w:tcW w:w="1324" w:type="dxa"/>
            <w:tcBorders>
              <w:top w:val="single" w:color="auto" w:sz="4" w:space="0"/>
              <w:left w:val="single" w:color="auto" w:sz="4" w:space="0"/>
              <w:bottom w:val="single" w:color="auto" w:sz="4" w:space="0"/>
              <w:right w:val="single" w:color="auto" w:sz="4" w:space="0"/>
            </w:tcBorders>
            <w:vAlign w:val="center"/>
          </w:tcPr>
          <w:p w14:paraId="7F38A2F4">
            <w:pPr>
              <w:jc w:val="center"/>
              <w:rPr>
                <w:color w:val="auto"/>
                <w:spacing w:val="26"/>
                <w:szCs w:val="21"/>
              </w:rPr>
            </w:pPr>
          </w:p>
        </w:tc>
      </w:tr>
      <w:tr w14:paraId="4761D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685" w:type="dxa"/>
            <w:tcBorders>
              <w:top w:val="single" w:color="auto" w:sz="4" w:space="0"/>
              <w:left w:val="single" w:color="auto" w:sz="4" w:space="0"/>
              <w:bottom w:val="single" w:color="auto" w:sz="4" w:space="0"/>
              <w:right w:val="single" w:color="auto" w:sz="4" w:space="0"/>
            </w:tcBorders>
            <w:vAlign w:val="center"/>
          </w:tcPr>
          <w:p w14:paraId="61B0D261">
            <w:pPr>
              <w:jc w:val="center"/>
              <w:rPr>
                <w:color w:val="auto"/>
                <w:spacing w:val="26"/>
                <w:szCs w:val="21"/>
              </w:rPr>
            </w:pPr>
            <w:r>
              <w:rPr>
                <w:rFonts w:hint="eastAsia"/>
                <w:color w:val="auto"/>
                <w:spacing w:val="26"/>
                <w:szCs w:val="21"/>
              </w:rPr>
              <w:t>得分</w:t>
            </w:r>
          </w:p>
          <w:p w14:paraId="20D09DD2">
            <w:pPr>
              <w:jc w:val="center"/>
              <w:rPr>
                <w:color w:val="auto"/>
                <w:spacing w:val="26"/>
                <w:szCs w:val="21"/>
              </w:rPr>
            </w:pPr>
            <w:r>
              <w:rPr>
                <w:rFonts w:hint="eastAsia"/>
                <w:color w:val="auto"/>
                <w:spacing w:val="26"/>
                <w:szCs w:val="21"/>
              </w:rPr>
              <w:t>排名</w:t>
            </w:r>
          </w:p>
        </w:tc>
        <w:tc>
          <w:tcPr>
            <w:tcW w:w="1323" w:type="dxa"/>
            <w:tcBorders>
              <w:top w:val="single" w:color="auto" w:sz="4" w:space="0"/>
              <w:left w:val="single" w:color="auto" w:sz="4" w:space="0"/>
              <w:bottom w:val="single" w:color="auto" w:sz="4" w:space="0"/>
              <w:right w:val="single" w:color="auto" w:sz="4" w:space="0"/>
            </w:tcBorders>
            <w:vAlign w:val="center"/>
          </w:tcPr>
          <w:p w14:paraId="2AED088B">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204F989E">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56E40520">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02FDE994">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019AF5B9">
            <w:pPr>
              <w:jc w:val="center"/>
              <w:rPr>
                <w:color w:val="auto"/>
                <w:spacing w:val="26"/>
                <w:szCs w:val="21"/>
              </w:rPr>
            </w:pPr>
          </w:p>
        </w:tc>
        <w:tc>
          <w:tcPr>
            <w:tcW w:w="1324" w:type="dxa"/>
            <w:tcBorders>
              <w:top w:val="single" w:color="auto" w:sz="4" w:space="0"/>
              <w:left w:val="single" w:color="auto" w:sz="4" w:space="0"/>
              <w:bottom w:val="single" w:color="auto" w:sz="4" w:space="0"/>
              <w:right w:val="single" w:color="auto" w:sz="4" w:space="0"/>
            </w:tcBorders>
            <w:vAlign w:val="center"/>
          </w:tcPr>
          <w:p w14:paraId="7573F663">
            <w:pPr>
              <w:jc w:val="center"/>
              <w:rPr>
                <w:color w:val="auto"/>
                <w:spacing w:val="26"/>
                <w:szCs w:val="21"/>
              </w:rPr>
            </w:pPr>
          </w:p>
        </w:tc>
      </w:tr>
    </w:tbl>
    <w:p w14:paraId="53BEA729">
      <w:pPr>
        <w:adjustRightInd w:val="0"/>
        <w:snapToGrid w:val="0"/>
        <w:spacing w:before="156" w:beforeLines="50" w:line="360" w:lineRule="auto"/>
        <w:jc w:val="center"/>
        <w:rPr>
          <w:rFonts w:ascii="宋体" w:hAnsi="宋体"/>
          <w:b/>
          <w:bCs/>
          <w:color w:val="auto"/>
          <w:szCs w:val="21"/>
        </w:rPr>
      </w:pPr>
      <w:r>
        <w:rPr>
          <w:rFonts w:hint="eastAsia" w:ascii="宋体" w:hAnsi="宋体"/>
          <w:b/>
          <w:bCs/>
          <w:color w:val="auto"/>
          <w:szCs w:val="21"/>
        </w:rPr>
        <w:t>磋商小组成员签字：                                             年  月  日</w:t>
      </w:r>
    </w:p>
    <w:p w14:paraId="4EECD35B">
      <w:pPr>
        <w:adjustRightInd w:val="0"/>
        <w:snapToGrid w:val="0"/>
        <w:spacing w:line="360" w:lineRule="auto"/>
        <w:rPr>
          <w:rFonts w:ascii="宋体" w:hAnsi="宋体"/>
          <w:b/>
          <w:bCs/>
          <w:color w:val="auto"/>
        </w:rPr>
      </w:pPr>
    </w:p>
    <w:p w14:paraId="1C3B69ED">
      <w:pPr>
        <w:rPr>
          <w:color w:val="auto"/>
        </w:rPr>
      </w:pPr>
    </w:p>
    <w:p w14:paraId="4EF6F024">
      <w:pPr>
        <w:adjustRightInd w:val="0"/>
        <w:snapToGrid w:val="0"/>
        <w:spacing w:line="360" w:lineRule="auto"/>
        <w:outlineLvl w:val="1"/>
        <w:rPr>
          <w:rFonts w:ascii="宋体" w:hAnsi="宋体"/>
          <w:b/>
          <w:color w:val="auto"/>
          <w:sz w:val="24"/>
        </w:rPr>
      </w:pPr>
      <w:bookmarkStart w:id="26" w:name="_Toc8865"/>
      <w:bookmarkStart w:id="27" w:name="_Toc27588"/>
      <w:bookmarkStart w:id="28" w:name="_Toc28465"/>
      <w:r>
        <w:rPr>
          <w:rFonts w:hint="eastAsia" w:ascii="宋体" w:hAnsi="宋体"/>
          <w:b/>
          <w:bCs/>
          <w:color w:val="auto"/>
          <w:sz w:val="24"/>
          <w:szCs w:val="32"/>
        </w:rPr>
        <w:t>8：</w:t>
      </w:r>
      <w:r>
        <w:rPr>
          <w:rFonts w:hint="eastAsia" w:ascii="宋体" w:hAnsi="宋体"/>
          <w:b/>
          <w:color w:val="auto"/>
          <w:sz w:val="24"/>
        </w:rPr>
        <w:t>经评审的供应商排序表</w:t>
      </w:r>
      <w:bookmarkEnd w:id="26"/>
      <w:bookmarkEnd w:id="27"/>
      <w:bookmarkEnd w:id="28"/>
    </w:p>
    <w:p w14:paraId="33A0A981">
      <w:pPr>
        <w:rPr>
          <w:rFonts w:ascii="宋体" w:hAnsi="宋体"/>
          <w:bCs/>
          <w:color w:val="auto"/>
          <w:sz w:val="18"/>
          <w:szCs w:val="18"/>
        </w:rPr>
      </w:pPr>
      <w:r>
        <w:rPr>
          <w:rFonts w:hint="eastAsia" w:ascii="宋体" w:hAnsi="宋体"/>
          <w:bCs/>
          <w:color w:val="auto"/>
          <w:sz w:val="18"/>
          <w:szCs w:val="18"/>
          <w:lang w:eastAsia="zh-CN"/>
        </w:rPr>
        <w:t>政府采购编号</w:t>
      </w:r>
      <w:r>
        <w:rPr>
          <w:rFonts w:hint="eastAsia" w:ascii="宋体" w:hAnsi="宋体"/>
          <w:bCs/>
          <w:color w:val="auto"/>
          <w:sz w:val="18"/>
          <w:szCs w:val="18"/>
        </w:rPr>
        <w:t>：                                                     日期：      年  月 日</w:t>
      </w:r>
    </w:p>
    <w:tbl>
      <w:tblPr>
        <w:tblStyle w:val="51"/>
        <w:tblW w:w="941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71"/>
        <w:gridCol w:w="4866"/>
        <w:gridCol w:w="1695"/>
        <w:gridCol w:w="1082"/>
      </w:tblGrid>
      <w:tr w14:paraId="20152B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1771" w:type="dxa"/>
            <w:tcBorders>
              <w:top w:val="single" w:color="auto" w:sz="12" w:space="0"/>
              <w:left w:val="single" w:color="auto" w:sz="12" w:space="0"/>
              <w:bottom w:val="single" w:color="auto" w:sz="6" w:space="0"/>
              <w:right w:val="single" w:color="auto" w:sz="6" w:space="0"/>
            </w:tcBorders>
            <w:vAlign w:val="center"/>
          </w:tcPr>
          <w:p w14:paraId="5A92E470">
            <w:pPr>
              <w:spacing w:line="500" w:lineRule="exact"/>
              <w:jc w:val="center"/>
              <w:rPr>
                <w:rFonts w:ascii="宋体" w:hAnsi="宋体"/>
                <w:color w:val="auto"/>
                <w:szCs w:val="21"/>
              </w:rPr>
            </w:pPr>
            <w:r>
              <w:rPr>
                <w:rFonts w:hint="eastAsia" w:ascii="宋体" w:hAnsi="宋体"/>
                <w:color w:val="auto"/>
                <w:szCs w:val="21"/>
              </w:rPr>
              <w:t>排序</w:t>
            </w:r>
          </w:p>
        </w:tc>
        <w:tc>
          <w:tcPr>
            <w:tcW w:w="4866" w:type="dxa"/>
            <w:tcBorders>
              <w:top w:val="single" w:color="auto" w:sz="12" w:space="0"/>
              <w:left w:val="single" w:color="auto" w:sz="6" w:space="0"/>
              <w:bottom w:val="single" w:color="auto" w:sz="6" w:space="0"/>
              <w:right w:val="single" w:color="auto" w:sz="6" w:space="0"/>
            </w:tcBorders>
            <w:vAlign w:val="center"/>
          </w:tcPr>
          <w:p w14:paraId="28205A95">
            <w:pPr>
              <w:spacing w:line="500" w:lineRule="exact"/>
              <w:jc w:val="center"/>
              <w:rPr>
                <w:rFonts w:ascii="宋体" w:hAnsi="宋体"/>
                <w:color w:val="auto"/>
                <w:szCs w:val="21"/>
              </w:rPr>
            </w:pPr>
            <w:r>
              <w:rPr>
                <w:rFonts w:hint="eastAsia" w:ascii="宋体" w:hAnsi="宋体"/>
                <w:color w:val="auto"/>
                <w:szCs w:val="21"/>
              </w:rPr>
              <w:t>供应商名称</w:t>
            </w:r>
          </w:p>
        </w:tc>
        <w:tc>
          <w:tcPr>
            <w:tcW w:w="1695" w:type="dxa"/>
            <w:tcBorders>
              <w:top w:val="single" w:color="auto" w:sz="12" w:space="0"/>
              <w:left w:val="single" w:color="auto" w:sz="6" w:space="0"/>
              <w:bottom w:val="single" w:color="auto" w:sz="6" w:space="0"/>
              <w:right w:val="single" w:color="auto" w:sz="4" w:space="0"/>
            </w:tcBorders>
            <w:vAlign w:val="center"/>
          </w:tcPr>
          <w:p w14:paraId="7868A973">
            <w:pPr>
              <w:spacing w:line="500" w:lineRule="exact"/>
              <w:jc w:val="center"/>
              <w:rPr>
                <w:rFonts w:ascii="宋体" w:hAnsi="宋体"/>
                <w:color w:val="auto"/>
                <w:szCs w:val="21"/>
              </w:rPr>
            </w:pPr>
            <w:r>
              <w:rPr>
                <w:rFonts w:hint="eastAsia" w:ascii="宋体" w:hAnsi="宋体"/>
                <w:color w:val="auto"/>
                <w:szCs w:val="21"/>
              </w:rPr>
              <w:t>得分情况</w:t>
            </w:r>
          </w:p>
        </w:tc>
        <w:tc>
          <w:tcPr>
            <w:tcW w:w="1082" w:type="dxa"/>
            <w:tcBorders>
              <w:top w:val="single" w:color="auto" w:sz="12" w:space="0"/>
              <w:left w:val="single" w:color="auto" w:sz="4" w:space="0"/>
              <w:bottom w:val="single" w:color="auto" w:sz="6" w:space="0"/>
              <w:right w:val="single" w:color="auto" w:sz="12" w:space="0"/>
            </w:tcBorders>
            <w:vAlign w:val="center"/>
          </w:tcPr>
          <w:p w14:paraId="7DE0D6F1">
            <w:pPr>
              <w:spacing w:line="500" w:lineRule="exact"/>
              <w:jc w:val="center"/>
              <w:rPr>
                <w:rFonts w:ascii="宋体" w:hAnsi="宋体"/>
                <w:color w:val="auto"/>
                <w:szCs w:val="21"/>
              </w:rPr>
            </w:pPr>
            <w:r>
              <w:rPr>
                <w:rFonts w:hint="eastAsia" w:ascii="宋体" w:hAnsi="宋体"/>
                <w:color w:val="auto"/>
                <w:szCs w:val="21"/>
              </w:rPr>
              <w:t>最后报价</w:t>
            </w:r>
          </w:p>
        </w:tc>
      </w:tr>
      <w:tr w14:paraId="2E3C4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tcBorders>
              <w:top w:val="single" w:color="auto" w:sz="6" w:space="0"/>
              <w:left w:val="single" w:color="auto" w:sz="12" w:space="0"/>
              <w:bottom w:val="single" w:color="auto" w:sz="6" w:space="0"/>
              <w:right w:val="single" w:color="auto" w:sz="6" w:space="0"/>
            </w:tcBorders>
            <w:vAlign w:val="center"/>
          </w:tcPr>
          <w:p w14:paraId="5C208204">
            <w:pPr>
              <w:spacing w:line="500" w:lineRule="exact"/>
              <w:jc w:val="center"/>
              <w:rPr>
                <w:rFonts w:ascii="宋体" w:hAnsi="宋体"/>
                <w:color w:val="auto"/>
                <w:szCs w:val="21"/>
              </w:rPr>
            </w:pPr>
            <w:r>
              <w:rPr>
                <w:rFonts w:hint="eastAsia" w:ascii="宋体" w:hAnsi="宋体"/>
                <w:color w:val="auto"/>
                <w:szCs w:val="21"/>
              </w:rPr>
              <w:t>第一名</w:t>
            </w:r>
          </w:p>
        </w:tc>
        <w:tc>
          <w:tcPr>
            <w:tcW w:w="4866" w:type="dxa"/>
            <w:tcBorders>
              <w:top w:val="single" w:color="auto" w:sz="6" w:space="0"/>
              <w:left w:val="single" w:color="auto" w:sz="6" w:space="0"/>
              <w:bottom w:val="single" w:color="auto" w:sz="6" w:space="0"/>
              <w:right w:val="single" w:color="auto" w:sz="6" w:space="0"/>
            </w:tcBorders>
            <w:vAlign w:val="center"/>
          </w:tcPr>
          <w:p w14:paraId="3BE9C4A4">
            <w:pPr>
              <w:spacing w:line="500" w:lineRule="exact"/>
              <w:jc w:val="center"/>
              <w:rPr>
                <w:rFonts w:ascii="宋体" w:hAnsi="宋体"/>
                <w:color w:val="auto"/>
                <w:szCs w:val="21"/>
              </w:rPr>
            </w:pPr>
          </w:p>
        </w:tc>
        <w:tc>
          <w:tcPr>
            <w:tcW w:w="1695" w:type="dxa"/>
            <w:tcBorders>
              <w:top w:val="single" w:color="auto" w:sz="6" w:space="0"/>
              <w:left w:val="single" w:color="auto" w:sz="6" w:space="0"/>
              <w:bottom w:val="single" w:color="auto" w:sz="6" w:space="0"/>
              <w:right w:val="single" w:color="auto" w:sz="4" w:space="0"/>
            </w:tcBorders>
            <w:vAlign w:val="center"/>
          </w:tcPr>
          <w:p w14:paraId="07E9BC20">
            <w:pPr>
              <w:spacing w:line="500" w:lineRule="exact"/>
              <w:jc w:val="center"/>
              <w:rPr>
                <w:rFonts w:ascii="宋体" w:hAnsi="宋体"/>
                <w:color w:val="auto"/>
                <w:szCs w:val="21"/>
              </w:rPr>
            </w:pPr>
          </w:p>
        </w:tc>
        <w:tc>
          <w:tcPr>
            <w:tcW w:w="1082" w:type="dxa"/>
            <w:tcBorders>
              <w:top w:val="single" w:color="auto" w:sz="6" w:space="0"/>
              <w:left w:val="single" w:color="auto" w:sz="4" w:space="0"/>
              <w:bottom w:val="single" w:color="auto" w:sz="6" w:space="0"/>
              <w:right w:val="single" w:color="auto" w:sz="12" w:space="0"/>
            </w:tcBorders>
            <w:vAlign w:val="center"/>
          </w:tcPr>
          <w:p w14:paraId="2A94D528">
            <w:pPr>
              <w:spacing w:line="500" w:lineRule="exact"/>
              <w:jc w:val="center"/>
              <w:rPr>
                <w:rFonts w:ascii="宋体" w:hAnsi="宋体"/>
                <w:color w:val="auto"/>
                <w:szCs w:val="21"/>
              </w:rPr>
            </w:pPr>
          </w:p>
        </w:tc>
      </w:tr>
      <w:tr w14:paraId="212765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771" w:type="dxa"/>
            <w:tcBorders>
              <w:top w:val="single" w:color="auto" w:sz="6" w:space="0"/>
              <w:left w:val="single" w:color="auto" w:sz="12" w:space="0"/>
              <w:bottom w:val="single" w:color="auto" w:sz="6" w:space="0"/>
              <w:right w:val="single" w:color="auto" w:sz="6" w:space="0"/>
            </w:tcBorders>
            <w:vAlign w:val="center"/>
          </w:tcPr>
          <w:p w14:paraId="5013806B">
            <w:pPr>
              <w:spacing w:line="500" w:lineRule="exact"/>
              <w:jc w:val="center"/>
              <w:rPr>
                <w:rFonts w:ascii="宋体" w:hAnsi="宋体"/>
                <w:color w:val="auto"/>
                <w:szCs w:val="21"/>
              </w:rPr>
            </w:pPr>
            <w:r>
              <w:rPr>
                <w:rFonts w:hint="eastAsia" w:ascii="宋体" w:hAnsi="宋体"/>
                <w:color w:val="auto"/>
                <w:szCs w:val="21"/>
              </w:rPr>
              <w:t>第二名</w:t>
            </w:r>
          </w:p>
        </w:tc>
        <w:tc>
          <w:tcPr>
            <w:tcW w:w="4866" w:type="dxa"/>
            <w:tcBorders>
              <w:top w:val="single" w:color="auto" w:sz="6" w:space="0"/>
              <w:left w:val="single" w:color="auto" w:sz="6" w:space="0"/>
              <w:bottom w:val="single" w:color="auto" w:sz="6" w:space="0"/>
              <w:right w:val="single" w:color="auto" w:sz="6" w:space="0"/>
            </w:tcBorders>
            <w:vAlign w:val="center"/>
          </w:tcPr>
          <w:p w14:paraId="5A627EC4">
            <w:pPr>
              <w:spacing w:line="500" w:lineRule="exact"/>
              <w:jc w:val="center"/>
              <w:rPr>
                <w:rFonts w:ascii="宋体" w:hAnsi="宋体"/>
                <w:color w:val="auto"/>
                <w:szCs w:val="21"/>
              </w:rPr>
            </w:pPr>
          </w:p>
        </w:tc>
        <w:tc>
          <w:tcPr>
            <w:tcW w:w="1695" w:type="dxa"/>
            <w:tcBorders>
              <w:top w:val="single" w:color="auto" w:sz="6" w:space="0"/>
              <w:left w:val="single" w:color="auto" w:sz="6" w:space="0"/>
              <w:bottom w:val="single" w:color="auto" w:sz="6" w:space="0"/>
              <w:right w:val="single" w:color="auto" w:sz="4" w:space="0"/>
            </w:tcBorders>
            <w:vAlign w:val="center"/>
          </w:tcPr>
          <w:p w14:paraId="2C1A2AA7">
            <w:pPr>
              <w:spacing w:line="500" w:lineRule="exact"/>
              <w:jc w:val="center"/>
              <w:rPr>
                <w:rFonts w:ascii="宋体" w:hAnsi="宋体"/>
                <w:color w:val="auto"/>
                <w:szCs w:val="21"/>
              </w:rPr>
            </w:pPr>
          </w:p>
        </w:tc>
        <w:tc>
          <w:tcPr>
            <w:tcW w:w="1082" w:type="dxa"/>
            <w:tcBorders>
              <w:top w:val="single" w:color="auto" w:sz="6" w:space="0"/>
              <w:left w:val="single" w:color="auto" w:sz="4" w:space="0"/>
              <w:bottom w:val="single" w:color="auto" w:sz="6" w:space="0"/>
              <w:right w:val="single" w:color="auto" w:sz="12" w:space="0"/>
            </w:tcBorders>
            <w:vAlign w:val="center"/>
          </w:tcPr>
          <w:p w14:paraId="6FB64437">
            <w:pPr>
              <w:spacing w:line="500" w:lineRule="exact"/>
              <w:jc w:val="center"/>
              <w:rPr>
                <w:rFonts w:ascii="宋体" w:hAnsi="宋体"/>
                <w:color w:val="auto"/>
                <w:szCs w:val="21"/>
              </w:rPr>
            </w:pPr>
          </w:p>
        </w:tc>
      </w:tr>
      <w:tr w14:paraId="0A8C4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tcBorders>
              <w:top w:val="single" w:color="auto" w:sz="6" w:space="0"/>
              <w:left w:val="single" w:color="auto" w:sz="12" w:space="0"/>
              <w:bottom w:val="single" w:color="auto" w:sz="6" w:space="0"/>
              <w:right w:val="single" w:color="auto" w:sz="6" w:space="0"/>
            </w:tcBorders>
            <w:vAlign w:val="center"/>
          </w:tcPr>
          <w:p w14:paraId="4D4D74EE">
            <w:pPr>
              <w:spacing w:line="500" w:lineRule="exact"/>
              <w:jc w:val="center"/>
              <w:rPr>
                <w:rFonts w:ascii="宋体" w:hAnsi="宋体"/>
                <w:color w:val="auto"/>
                <w:szCs w:val="21"/>
              </w:rPr>
            </w:pPr>
            <w:r>
              <w:rPr>
                <w:rFonts w:hint="eastAsia" w:ascii="宋体" w:hAnsi="宋体"/>
                <w:color w:val="auto"/>
                <w:szCs w:val="21"/>
              </w:rPr>
              <w:t>第三名</w:t>
            </w:r>
          </w:p>
        </w:tc>
        <w:tc>
          <w:tcPr>
            <w:tcW w:w="4866" w:type="dxa"/>
            <w:tcBorders>
              <w:top w:val="single" w:color="auto" w:sz="6" w:space="0"/>
              <w:left w:val="single" w:color="auto" w:sz="6" w:space="0"/>
              <w:bottom w:val="single" w:color="auto" w:sz="6" w:space="0"/>
              <w:right w:val="single" w:color="auto" w:sz="6" w:space="0"/>
            </w:tcBorders>
            <w:vAlign w:val="center"/>
          </w:tcPr>
          <w:p w14:paraId="2BB58DF1">
            <w:pPr>
              <w:spacing w:line="500" w:lineRule="exact"/>
              <w:jc w:val="center"/>
              <w:rPr>
                <w:rFonts w:ascii="宋体" w:hAnsi="宋体"/>
                <w:color w:val="auto"/>
                <w:szCs w:val="21"/>
              </w:rPr>
            </w:pPr>
          </w:p>
        </w:tc>
        <w:tc>
          <w:tcPr>
            <w:tcW w:w="1695" w:type="dxa"/>
            <w:tcBorders>
              <w:top w:val="single" w:color="auto" w:sz="6" w:space="0"/>
              <w:left w:val="single" w:color="auto" w:sz="6" w:space="0"/>
              <w:bottom w:val="single" w:color="auto" w:sz="6" w:space="0"/>
              <w:right w:val="single" w:color="auto" w:sz="4" w:space="0"/>
            </w:tcBorders>
            <w:vAlign w:val="center"/>
          </w:tcPr>
          <w:p w14:paraId="00A84B4F">
            <w:pPr>
              <w:spacing w:line="500" w:lineRule="exact"/>
              <w:jc w:val="center"/>
              <w:rPr>
                <w:rFonts w:ascii="宋体" w:hAnsi="宋体"/>
                <w:color w:val="auto"/>
                <w:szCs w:val="21"/>
              </w:rPr>
            </w:pPr>
          </w:p>
        </w:tc>
        <w:tc>
          <w:tcPr>
            <w:tcW w:w="1082" w:type="dxa"/>
            <w:tcBorders>
              <w:top w:val="single" w:color="auto" w:sz="6" w:space="0"/>
              <w:left w:val="single" w:color="auto" w:sz="4" w:space="0"/>
              <w:bottom w:val="single" w:color="auto" w:sz="6" w:space="0"/>
              <w:right w:val="single" w:color="auto" w:sz="12" w:space="0"/>
            </w:tcBorders>
            <w:vAlign w:val="center"/>
          </w:tcPr>
          <w:p w14:paraId="4982F432">
            <w:pPr>
              <w:spacing w:line="500" w:lineRule="exact"/>
              <w:jc w:val="center"/>
              <w:rPr>
                <w:rFonts w:ascii="宋体" w:hAnsi="宋体"/>
                <w:color w:val="auto"/>
                <w:szCs w:val="21"/>
              </w:rPr>
            </w:pPr>
          </w:p>
        </w:tc>
      </w:tr>
      <w:tr w14:paraId="7BA6BF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tcBorders>
              <w:top w:val="single" w:color="auto" w:sz="6" w:space="0"/>
              <w:left w:val="single" w:color="auto" w:sz="12" w:space="0"/>
              <w:bottom w:val="single" w:color="auto" w:sz="6" w:space="0"/>
              <w:right w:val="single" w:color="auto" w:sz="6" w:space="0"/>
            </w:tcBorders>
            <w:vAlign w:val="center"/>
          </w:tcPr>
          <w:p w14:paraId="4BC3E4B5">
            <w:pPr>
              <w:spacing w:line="500" w:lineRule="exact"/>
              <w:jc w:val="center"/>
              <w:rPr>
                <w:rFonts w:ascii="宋体" w:hAnsi="宋体"/>
                <w:color w:val="auto"/>
                <w:szCs w:val="21"/>
              </w:rPr>
            </w:pPr>
            <w:r>
              <w:rPr>
                <w:rFonts w:hint="eastAsia" w:ascii="宋体" w:hAnsi="宋体"/>
                <w:color w:val="auto"/>
                <w:szCs w:val="21"/>
              </w:rPr>
              <w:t>第四名</w:t>
            </w:r>
          </w:p>
        </w:tc>
        <w:tc>
          <w:tcPr>
            <w:tcW w:w="4866" w:type="dxa"/>
            <w:tcBorders>
              <w:top w:val="single" w:color="auto" w:sz="6" w:space="0"/>
              <w:left w:val="single" w:color="auto" w:sz="6" w:space="0"/>
              <w:bottom w:val="single" w:color="auto" w:sz="6" w:space="0"/>
              <w:right w:val="single" w:color="auto" w:sz="6" w:space="0"/>
            </w:tcBorders>
            <w:vAlign w:val="center"/>
          </w:tcPr>
          <w:p w14:paraId="414A2D84">
            <w:pPr>
              <w:spacing w:line="500" w:lineRule="exact"/>
              <w:jc w:val="center"/>
              <w:rPr>
                <w:rFonts w:ascii="宋体" w:hAnsi="宋体"/>
                <w:color w:val="auto"/>
                <w:szCs w:val="21"/>
              </w:rPr>
            </w:pPr>
          </w:p>
        </w:tc>
        <w:tc>
          <w:tcPr>
            <w:tcW w:w="1695" w:type="dxa"/>
            <w:tcBorders>
              <w:top w:val="single" w:color="auto" w:sz="6" w:space="0"/>
              <w:left w:val="single" w:color="auto" w:sz="6" w:space="0"/>
              <w:bottom w:val="single" w:color="auto" w:sz="6" w:space="0"/>
              <w:right w:val="single" w:color="auto" w:sz="4" w:space="0"/>
            </w:tcBorders>
            <w:vAlign w:val="center"/>
          </w:tcPr>
          <w:p w14:paraId="37405239">
            <w:pPr>
              <w:spacing w:line="500" w:lineRule="exact"/>
              <w:jc w:val="center"/>
              <w:rPr>
                <w:rFonts w:ascii="宋体" w:hAnsi="宋体"/>
                <w:color w:val="auto"/>
                <w:szCs w:val="21"/>
              </w:rPr>
            </w:pPr>
          </w:p>
        </w:tc>
        <w:tc>
          <w:tcPr>
            <w:tcW w:w="1082" w:type="dxa"/>
            <w:tcBorders>
              <w:top w:val="single" w:color="auto" w:sz="6" w:space="0"/>
              <w:left w:val="single" w:color="auto" w:sz="4" w:space="0"/>
              <w:bottom w:val="single" w:color="auto" w:sz="6" w:space="0"/>
              <w:right w:val="single" w:color="auto" w:sz="12" w:space="0"/>
            </w:tcBorders>
            <w:vAlign w:val="center"/>
          </w:tcPr>
          <w:p w14:paraId="23CA7E1F">
            <w:pPr>
              <w:spacing w:line="500" w:lineRule="exact"/>
              <w:jc w:val="center"/>
              <w:rPr>
                <w:rFonts w:ascii="宋体" w:hAnsi="宋体"/>
                <w:color w:val="auto"/>
                <w:szCs w:val="21"/>
              </w:rPr>
            </w:pPr>
          </w:p>
        </w:tc>
      </w:tr>
      <w:tr w14:paraId="08BF59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tcBorders>
              <w:top w:val="single" w:color="auto" w:sz="6" w:space="0"/>
              <w:left w:val="single" w:color="auto" w:sz="12" w:space="0"/>
              <w:bottom w:val="single" w:color="auto" w:sz="6" w:space="0"/>
              <w:right w:val="single" w:color="auto" w:sz="6" w:space="0"/>
            </w:tcBorders>
            <w:vAlign w:val="center"/>
          </w:tcPr>
          <w:p w14:paraId="1E3F79A2">
            <w:pPr>
              <w:spacing w:line="500" w:lineRule="exact"/>
              <w:jc w:val="center"/>
              <w:rPr>
                <w:rFonts w:ascii="宋体" w:hAnsi="宋体"/>
                <w:color w:val="auto"/>
                <w:szCs w:val="21"/>
              </w:rPr>
            </w:pPr>
            <w:r>
              <w:rPr>
                <w:rFonts w:hint="eastAsia" w:ascii="宋体" w:hAnsi="宋体"/>
                <w:color w:val="auto"/>
                <w:szCs w:val="21"/>
              </w:rPr>
              <w:t>第五名</w:t>
            </w:r>
          </w:p>
        </w:tc>
        <w:tc>
          <w:tcPr>
            <w:tcW w:w="4866" w:type="dxa"/>
            <w:tcBorders>
              <w:top w:val="single" w:color="auto" w:sz="6" w:space="0"/>
              <w:left w:val="single" w:color="auto" w:sz="6" w:space="0"/>
              <w:bottom w:val="single" w:color="auto" w:sz="6" w:space="0"/>
              <w:right w:val="single" w:color="auto" w:sz="6" w:space="0"/>
            </w:tcBorders>
            <w:vAlign w:val="center"/>
          </w:tcPr>
          <w:p w14:paraId="77A52125">
            <w:pPr>
              <w:spacing w:line="500" w:lineRule="exact"/>
              <w:jc w:val="center"/>
              <w:rPr>
                <w:rFonts w:ascii="宋体" w:hAnsi="宋体"/>
                <w:color w:val="auto"/>
                <w:szCs w:val="21"/>
              </w:rPr>
            </w:pPr>
          </w:p>
        </w:tc>
        <w:tc>
          <w:tcPr>
            <w:tcW w:w="1695" w:type="dxa"/>
            <w:tcBorders>
              <w:top w:val="single" w:color="auto" w:sz="6" w:space="0"/>
              <w:left w:val="single" w:color="auto" w:sz="6" w:space="0"/>
              <w:bottom w:val="single" w:color="auto" w:sz="6" w:space="0"/>
              <w:right w:val="single" w:color="auto" w:sz="4" w:space="0"/>
            </w:tcBorders>
            <w:vAlign w:val="center"/>
          </w:tcPr>
          <w:p w14:paraId="78CA004F">
            <w:pPr>
              <w:spacing w:line="500" w:lineRule="exact"/>
              <w:jc w:val="center"/>
              <w:rPr>
                <w:rFonts w:ascii="宋体" w:hAnsi="宋体"/>
                <w:color w:val="auto"/>
                <w:szCs w:val="21"/>
              </w:rPr>
            </w:pPr>
          </w:p>
        </w:tc>
        <w:tc>
          <w:tcPr>
            <w:tcW w:w="1082" w:type="dxa"/>
            <w:tcBorders>
              <w:top w:val="single" w:color="auto" w:sz="6" w:space="0"/>
              <w:left w:val="single" w:color="auto" w:sz="4" w:space="0"/>
              <w:bottom w:val="single" w:color="auto" w:sz="6" w:space="0"/>
              <w:right w:val="single" w:color="auto" w:sz="12" w:space="0"/>
            </w:tcBorders>
            <w:vAlign w:val="center"/>
          </w:tcPr>
          <w:p w14:paraId="1D1D1304">
            <w:pPr>
              <w:spacing w:line="500" w:lineRule="exact"/>
              <w:jc w:val="center"/>
              <w:rPr>
                <w:rFonts w:ascii="宋体" w:hAnsi="宋体"/>
                <w:color w:val="auto"/>
                <w:szCs w:val="21"/>
              </w:rPr>
            </w:pPr>
          </w:p>
        </w:tc>
      </w:tr>
      <w:tr w14:paraId="0E05CB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tcBorders>
              <w:top w:val="single" w:color="auto" w:sz="6" w:space="0"/>
              <w:left w:val="single" w:color="auto" w:sz="12" w:space="0"/>
              <w:bottom w:val="single" w:color="auto" w:sz="6" w:space="0"/>
              <w:right w:val="single" w:color="auto" w:sz="6" w:space="0"/>
            </w:tcBorders>
            <w:vAlign w:val="center"/>
          </w:tcPr>
          <w:p w14:paraId="71D2A43C">
            <w:pPr>
              <w:spacing w:line="500" w:lineRule="exact"/>
              <w:jc w:val="center"/>
              <w:rPr>
                <w:rFonts w:ascii="宋体" w:hAnsi="宋体"/>
                <w:color w:val="auto"/>
                <w:szCs w:val="21"/>
              </w:rPr>
            </w:pPr>
          </w:p>
        </w:tc>
        <w:tc>
          <w:tcPr>
            <w:tcW w:w="4866" w:type="dxa"/>
            <w:tcBorders>
              <w:top w:val="single" w:color="auto" w:sz="6" w:space="0"/>
              <w:left w:val="single" w:color="auto" w:sz="6" w:space="0"/>
              <w:bottom w:val="single" w:color="auto" w:sz="6" w:space="0"/>
              <w:right w:val="single" w:color="auto" w:sz="6" w:space="0"/>
            </w:tcBorders>
            <w:vAlign w:val="center"/>
          </w:tcPr>
          <w:p w14:paraId="418F29AC">
            <w:pPr>
              <w:spacing w:line="500" w:lineRule="exact"/>
              <w:jc w:val="center"/>
              <w:rPr>
                <w:rFonts w:ascii="宋体" w:hAnsi="宋体"/>
                <w:color w:val="auto"/>
                <w:szCs w:val="21"/>
              </w:rPr>
            </w:pPr>
          </w:p>
        </w:tc>
        <w:tc>
          <w:tcPr>
            <w:tcW w:w="1695" w:type="dxa"/>
            <w:tcBorders>
              <w:top w:val="single" w:color="auto" w:sz="6" w:space="0"/>
              <w:left w:val="single" w:color="auto" w:sz="6" w:space="0"/>
              <w:bottom w:val="single" w:color="auto" w:sz="6" w:space="0"/>
              <w:right w:val="single" w:color="auto" w:sz="4" w:space="0"/>
            </w:tcBorders>
            <w:vAlign w:val="center"/>
          </w:tcPr>
          <w:p w14:paraId="7BB554F4">
            <w:pPr>
              <w:spacing w:line="500" w:lineRule="exact"/>
              <w:jc w:val="center"/>
              <w:rPr>
                <w:rFonts w:ascii="宋体" w:hAnsi="宋体"/>
                <w:color w:val="auto"/>
                <w:szCs w:val="21"/>
              </w:rPr>
            </w:pPr>
          </w:p>
        </w:tc>
        <w:tc>
          <w:tcPr>
            <w:tcW w:w="1082" w:type="dxa"/>
            <w:tcBorders>
              <w:top w:val="single" w:color="auto" w:sz="6" w:space="0"/>
              <w:left w:val="single" w:color="auto" w:sz="4" w:space="0"/>
              <w:bottom w:val="single" w:color="auto" w:sz="6" w:space="0"/>
              <w:right w:val="single" w:color="auto" w:sz="12" w:space="0"/>
            </w:tcBorders>
            <w:vAlign w:val="center"/>
          </w:tcPr>
          <w:p w14:paraId="0A0A50C7">
            <w:pPr>
              <w:spacing w:line="500" w:lineRule="exact"/>
              <w:jc w:val="center"/>
              <w:rPr>
                <w:rFonts w:ascii="宋体" w:hAnsi="宋体"/>
                <w:color w:val="auto"/>
                <w:szCs w:val="21"/>
              </w:rPr>
            </w:pPr>
          </w:p>
        </w:tc>
      </w:tr>
      <w:tr w14:paraId="4B218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tcBorders>
              <w:top w:val="single" w:color="auto" w:sz="6" w:space="0"/>
              <w:left w:val="single" w:color="auto" w:sz="12" w:space="0"/>
              <w:bottom w:val="single" w:color="auto" w:sz="12" w:space="0"/>
              <w:right w:val="single" w:color="auto" w:sz="6" w:space="0"/>
            </w:tcBorders>
            <w:vAlign w:val="center"/>
          </w:tcPr>
          <w:p w14:paraId="54C9A44B">
            <w:pPr>
              <w:spacing w:line="500" w:lineRule="exact"/>
              <w:jc w:val="center"/>
              <w:rPr>
                <w:rFonts w:ascii="宋体" w:hAnsi="宋体"/>
                <w:color w:val="auto"/>
                <w:szCs w:val="21"/>
              </w:rPr>
            </w:pPr>
            <w:r>
              <w:rPr>
                <w:rFonts w:hint="eastAsia" w:ascii="宋体" w:hAnsi="宋体"/>
                <w:color w:val="auto"/>
                <w:szCs w:val="21"/>
              </w:rPr>
              <w:t>……</w:t>
            </w:r>
          </w:p>
        </w:tc>
        <w:tc>
          <w:tcPr>
            <w:tcW w:w="4866" w:type="dxa"/>
            <w:tcBorders>
              <w:top w:val="single" w:color="auto" w:sz="6" w:space="0"/>
              <w:left w:val="single" w:color="auto" w:sz="6" w:space="0"/>
              <w:bottom w:val="single" w:color="auto" w:sz="12" w:space="0"/>
              <w:right w:val="single" w:color="auto" w:sz="6" w:space="0"/>
            </w:tcBorders>
            <w:vAlign w:val="center"/>
          </w:tcPr>
          <w:p w14:paraId="7A1E974D">
            <w:pPr>
              <w:spacing w:line="500" w:lineRule="exact"/>
              <w:jc w:val="center"/>
              <w:rPr>
                <w:rFonts w:ascii="宋体" w:hAnsi="宋体"/>
                <w:color w:val="auto"/>
                <w:szCs w:val="21"/>
              </w:rPr>
            </w:pPr>
          </w:p>
        </w:tc>
        <w:tc>
          <w:tcPr>
            <w:tcW w:w="1695" w:type="dxa"/>
            <w:tcBorders>
              <w:top w:val="single" w:color="auto" w:sz="6" w:space="0"/>
              <w:left w:val="single" w:color="auto" w:sz="6" w:space="0"/>
              <w:bottom w:val="single" w:color="auto" w:sz="12" w:space="0"/>
              <w:right w:val="single" w:color="auto" w:sz="4" w:space="0"/>
            </w:tcBorders>
            <w:vAlign w:val="center"/>
          </w:tcPr>
          <w:p w14:paraId="407B6DF7">
            <w:pPr>
              <w:spacing w:line="500" w:lineRule="exact"/>
              <w:jc w:val="center"/>
              <w:rPr>
                <w:rFonts w:ascii="宋体" w:hAnsi="宋体"/>
                <w:color w:val="auto"/>
                <w:szCs w:val="21"/>
              </w:rPr>
            </w:pPr>
          </w:p>
        </w:tc>
        <w:tc>
          <w:tcPr>
            <w:tcW w:w="1082" w:type="dxa"/>
            <w:tcBorders>
              <w:top w:val="single" w:color="auto" w:sz="6" w:space="0"/>
              <w:left w:val="single" w:color="auto" w:sz="4" w:space="0"/>
              <w:bottom w:val="single" w:color="auto" w:sz="12" w:space="0"/>
              <w:right w:val="single" w:color="auto" w:sz="12" w:space="0"/>
            </w:tcBorders>
            <w:vAlign w:val="center"/>
          </w:tcPr>
          <w:p w14:paraId="0FF8D157">
            <w:pPr>
              <w:spacing w:line="500" w:lineRule="exact"/>
              <w:jc w:val="center"/>
              <w:rPr>
                <w:rFonts w:ascii="宋体" w:hAnsi="宋体"/>
                <w:color w:val="auto"/>
                <w:szCs w:val="21"/>
              </w:rPr>
            </w:pPr>
          </w:p>
        </w:tc>
      </w:tr>
    </w:tbl>
    <w:p w14:paraId="23FF1F89">
      <w:pPr>
        <w:spacing w:before="156" w:beforeLines="50" w:line="500" w:lineRule="exact"/>
        <w:rPr>
          <w:rFonts w:ascii="宋体" w:hAnsi="宋体"/>
          <w:bCs/>
          <w:color w:val="auto"/>
          <w:szCs w:val="21"/>
        </w:rPr>
      </w:pPr>
      <w:r>
        <w:rPr>
          <w:rFonts w:hint="eastAsia" w:ascii="宋体" w:hAnsi="宋体"/>
          <w:b/>
          <w:color w:val="auto"/>
          <w:szCs w:val="21"/>
        </w:rPr>
        <w:t>注：</w:t>
      </w:r>
      <w:r>
        <w:rPr>
          <w:rFonts w:hint="eastAsia" w:ascii="宋体" w:hAnsi="宋体"/>
          <w:bCs/>
          <w:color w:val="auto"/>
          <w:szCs w:val="21"/>
        </w:rPr>
        <w:t>得分相同的，按最后报价由低到高顺序排列。得分且最后报价相同的，按“第三章 磋商办法”规定顺序推荐排列。</w:t>
      </w:r>
    </w:p>
    <w:p w14:paraId="318F18E4">
      <w:pPr>
        <w:spacing w:line="500" w:lineRule="exact"/>
        <w:rPr>
          <w:rFonts w:ascii="宋体" w:hAnsi="宋体"/>
          <w:color w:val="auto"/>
          <w:szCs w:val="21"/>
        </w:rPr>
      </w:pPr>
    </w:p>
    <w:p w14:paraId="39810920">
      <w:pPr>
        <w:spacing w:line="500" w:lineRule="exact"/>
        <w:rPr>
          <w:rFonts w:ascii="宋体" w:hAnsi="宋体"/>
          <w:color w:val="auto"/>
          <w:szCs w:val="21"/>
        </w:rPr>
      </w:pPr>
    </w:p>
    <w:p w14:paraId="717B5444">
      <w:pPr>
        <w:spacing w:line="500" w:lineRule="exact"/>
        <w:rPr>
          <w:rFonts w:ascii="宋体" w:hAnsi="宋体"/>
          <w:color w:val="auto"/>
          <w:szCs w:val="21"/>
        </w:rPr>
      </w:pPr>
    </w:p>
    <w:p w14:paraId="2B7FFE96">
      <w:pPr>
        <w:spacing w:line="500" w:lineRule="exact"/>
        <w:outlineLvl w:val="1"/>
        <w:rPr>
          <w:rFonts w:ascii="宋体" w:hAnsi="宋体"/>
          <w:b/>
          <w:color w:val="auto"/>
          <w:szCs w:val="21"/>
        </w:rPr>
      </w:pPr>
      <w:r>
        <w:rPr>
          <w:rFonts w:hint="eastAsia" w:ascii="宋体" w:hAnsi="宋体"/>
          <w:b/>
          <w:color w:val="auto"/>
          <w:szCs w:val="21"/>
        </w:rPr>
        <w:br w:type="page"/>
      </w:r>
      <w:bookmarkStart w:id="29" w:name="_Toc15174"/>
      <w:bookmarkStart w:id="30" w:name="_Toc17164"/>
      <w:bookmarkStart w:id="31" w:name="_Toc4373"/>
      <w:r>
        <w:rPr>
          <w:rFonts w:hint="eastAsia" w:ascii="宋体" w:hAnsi="宋体"/>
          <w:b/>
          <w:color w:val="auto"/>
          <w:szCs w:val="21"/>
        </w:rPr>
        <w:t>9：推荐成交候选供应商名单</w:t>
      </w:r>
      <w:bookmarkEnd w:id="29"/>
      <w:bookmarkEnd w:id="30"/>
      <w:bookmarkEnd w:id="31"/>
    </w:p>
    <w:p w14:paraId="254946E0">
      <w:pPr>
        <w:rPr>
          <w:rFonts w:ascii="宋体" w:hAnsi="宋体"/>
          <w:bCs/>
          <w:color w:val="auto"/>
          <w:sz w:val="18"/>
          <w:szCs w:val="18"/>
        </w:rPr>
      </w:pPr>
      <w:r>
        <w:rPr>
          <w:rFonts w:hint="eastAsia" w:ascii="宋体" w:hAnsi="宋体"/>
          <w:bCs/>
          <w:color w:val="auto"/>
          <w:sz w:val="18"/>
          <w:szCs w:val="18"/>
          <w:lang w:eastAsia="zh-CN"/>
        </w:rPr>
        <w:t>政府采购编号</w:t>
      </w:r>
      <w:r>
        <w:rPr>
          <w:rFonts w:hint="eastAsia" w:ascii="宋体" w:hAnsi="宋体"/>
          <w:bCs/>
          <w:color w:val="auto"/>
          <w:sz w:val="18"/>
          <w:szCs w:val="18"/>
        </w:rPr>
        <w:t>：                                                      日期：      年  月   日</w:t>
      </w:r>
    </w:p>
    <w:tbl>
      <w:tblPr>
        <w:tblStyle w:val="51"/>
        <w:tblW w:w="941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71"/>
        <w:gridCol w:w="4866"/>
        <w:gridCol w:w="1695"/>
        <w:gridCol w:w="1082"/>
      </w:tblGrid>
      <w:tr w14:paraId="027BF7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tcBorders>
              <w:top w:val="single" w:color="auto" w:sz="12" w:space="0"/>
              <w:left w:val="single" w:color="auto" w:sz="12" w:space="0"/>
              <w:bottom w:val="single" w:color="auto" w:sz="6" w:space="0"/>
              <w:right w:val="single" w:color="auto" w:sz="6" w:space="0"/>
            </w:tcBorders>
            <w:vAlign w:val="center"/>
          </w:tcPr>
          <w:p w14:paraId="2173288E">
            <w:pPr>
              <w:spacing w:line="500" w:lineRule="exact"/>
              <w:jc w:val="center"/>
              <w:rPr>
                <w:rFonts w:ascii="宋体" w:hAnsi="宋体"/>
                <w:color w:val="auto"/>
                <w:szCs w:val="21"/>
              </w:rPr>
            </w:pPr>
            <w:r>
              <w:rPr>
                <w:rFonts w:hint="eastAsia" w:ascii="宋体" w:hAnsi="宋体"/>
                <w:color w:val="auto"/>
                <w:szCs w:val="21"/>
              </w:rPr>
              <w:t>排序</w:t>
            </w:r>
          </w:p>
        </w:tc>
        <w:tc>
          <w:tcPr>
            <w:tcW w:w="4866" w:type="dxa"/>
            <w:tcBorders>
              <w:top w:val="single" w:color="auto" w:sz="12" w:space="0"/>
              <w:left w:val="single" w:color="auto" w:sz="6" w:space="0"/>
              <w:bottom w:val="single" w:color="auto" w:sz="6" w:space="0"/>
              <w:right w:val="single" w:color="auto" w:sz="6" w:space="0"/>
            </w:tcBorders>
            <w:vAlign w:val="center"/>
          </w:tcPr>
          <w:p w14:paraId="0E0C6ED8">
            <w:pPr>
              <w:spacing w:line="500" w:lineRule="exact"/>
              <w:jc w:val="center"/>
              <w:rPr>
                <w:rFonts w:ascii="宋体" w:hAnsi="宋体"/>
                <w:color w:val="auto"/>
                <w:szCs w:val="21"/>
              </w:rPr>
            </w:pPr>
            <w:r>
              <w:rPr>
                <w:rFonts w:hint="eastAsia" w:ascii="宋体" w:hAnsi="宋体"/>
                <w:color w:val="auto"/>
                <w:szCs w:val="21"/>
              </w:rPr>
              <w:t>成交候选供应商</w:t>
            </w:r>
          </w:p>
        </w:tc>
        <w:tc>
          <w:tcPr>
            <w:tcW w:w="1695" w:type="dxa"/>
            <w:tcBorders>
              <w:top w:val="single" w:color="auto" w:sz="12" w:space="0"/>
              <w:left w:val="single" w:color="auto" w:sz="6" w:space="0"/>
              <w:bottom w:val="single" w:color="auto" w:sz="6" w:space="0"/>
              <w:right w:val="single" w:color="auto" w:sz="4" w:space="0"/>
            </w:tcBorders>
            <w:vAlign w:val="center"/>
          </w:tcPr>
          <w:p w14:paraId="4F9F00CB">
            <w:pPr>
              <w:spacing w:line="500" w:lineRule="exact"/>
              <w:jc w:val="center"/>
              <w:rPr>
                <w:rFonts w:ascii="宋体" w:hAnsi="宋体"/>
                <w:color w:val="auto"/>
                <w:szCs w:val="21"/>
              </w:rPr>
            </w:pPr>
            <w:r>
              <w:rPr>
                <w:rFonts w:hint="eastAsia" w:ascii="宋体" w:hAnsi="宋体"/>
                <w:color w:val="auto"/>
                <w:szCs w:val="21"/>
              </w:rPr>
              <w:t>得分情况</w:t>
            </w:r>
          </w:p>
        </w:tc>
        <w:tc>
          <w:tcPr>
            <w:tcW w:w="1082" w:type="dxa"/>
            <w:tcBorders>
              <w:top w:val="single" w:color="auto" w:sz="12" w:space="0"/>
              <w:left w:val="single" w:color="auto" w:sz="4" w:space="0"/>
              <w:bottom w:val="single" w:color="auto" w:sz="6" w:space="0"/>
              <w:right w:val="single" w:color="auto" w:sz="12" w:space="0"/>
            </w:tcBorders>
            <w:vAlign w:val="center"/>
          </w:tcPr>
          <w:p w14:paraId="429167BC">
            <w:pPr>
              <w:spacing w:line="500" w:lineRule="exact"/>
              <w:jc w:val="center"/>
              <w:rPr>
                <w:rFonts w:ascii="宋体" w:hAnsi="宋体"/>
                <w:color w:val="auto"/>
                <w:szCs w:val="21"/>
              </w:rPr>
            </w:pPr>
            <w:r>
              <w:rPr>
                <w:rFonts w:hint="eastAsia" w:ascii="宋体" w:hAnsi="宋体"/>
                <w:color w:val="auto"/>
                <w:szCs w:val="21"/>
              </w:rPr>
              <w:t>最后报价</w:t>
            </w:r>
          </w:p>
        </w:tc>
      </w:tr>
      <w:tr w14:paraId="419BAD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tcBorders>
              <w:top w:val="single" w:color="auto" w:sz="6" w:space="0"/>
              <w:left w:val="single" w:color="auto" w:sz="12" w:space="0"/>
              <w:bottom w:val="single" w:color="auto" w:sz="6" w:space="0"/>
              <w:right w:val="single" w:color="auto" w:sz="6" w:space="0"/>
            </w:tcBorders>
            <w:vAlign w:val="center"/>
          </w:tcPr>
          <w:p w14:paraId="172BB8B2">
            <w:pPr>
              <w:spacing w:line="500" w:lineRule="exact"/>
              <w:jc w:val="center"/>
              <w:rPr>
                <w:rFonts w:ascii="宋体" w:hAnsi="宋体"/>
                <w:color w:val="auto"/>
                <w:szCs w:val="21"/>
              </w:rPr>
            </w:pPr>
            <w:r>
              <w:rPr>
                <w:rFonts w:hint="eastAsia" w:ascii="宋体" w:hAnsi="宋体"/>
                <w:color w:val="auto"/>
                <w:szCs w:val="21"/>
              </w:rPr>
              <w:t>第一名</w:t>
            </w:r>
          </w:p>
        </w:tc>
        <w:tc>
          <w:tcPr>
            <w:tcW w:w="4866" w:type="dxa"/>
            <w:tcBorders>
              <w:top w:val="single" w:color="auto" w:sz="6" w:space="0"/>
              <w:left w:val="single" w:color="auto" w:sz="6" w:space="0"/>
              <w:bottom w:val="single" w:color="auto" w:sz="6" w:space="0"/>
              <w:right w:val="single" w:color="auto" w:sz="6" w:space="0"/>
            </w:tcBorders>
            <w:vAlign w:val="center"/>
          </w:tcPr>
          <w:p w14:paraId="45330583">
            <w:pPr>
              <w:spacing w:line="500" w:lineRule="exact"/>
              <w:jc w:val="center"/>
              <w:rPr>
                <w:rFonts w:ascii="宋体" w:hAnsi="宋体"/>
                <w:color w:val="auto"/>
                <w:szCs w:val="21"/>
              </w:rPr>
            </w:pPr>
          </w:p>
        </w:tc>
        <w:tc>
          <w:tcPr>
            <w:tcW w:w="1695" w:type="dxa"/>
            <w:tcBorders>
              <w:top w:val="single" w:color="auto" w:sz="6" w:space="0"/>
              <w:left w:val="single" w:color="auto" w:sz="6" w:space="0"/>
              <w:bottom w:val="single" w:color="auto" w:sz="6" w:space="0"/>
              <w:right w:val="single" w:color="auto" w:sz="4" w:space="0"/>
            </w:tcBorders>
            <w:vAlign w:val="center"/>
          </w:tcPr>
          <w:p w14:paraId="4884F112">
            <w:pPr>
              <w:spacing w:line="500" w:lineRule="exact"/>
              <w:jc w:val="center"/>
              <w:rPr>
                <w:rFonts w:ascii="宋体" w:hAnsi="宋体"/>
                <w:color w:val="auto"/>
                <w:szCs w:val="21"/>
              </w:rPr>
            </w:pPr>
          </w:p>
        </w:tc>
        <w:tc>
          <w:tcPr>
            <w:tcW w:w="1082" w:type="dxa"/>
            <w:tcBorders>
              <w:top w:val="single" w:color="auto" w:sz="6" w:space="0"/>
              <w:left w:val="single" w:color="auto" w:sz="4" w:space="0"/>
              <w:bottom w:val="single" w:color="auto" w:sz="6" w:space="0"/>
              <w:right w:val="single" w:color="auto" w:sz="12" w:space="0"/>
            </w:tcBorders>
            <w:vAlign w:val="center"/>
          </w:tcPr>
          <w:p w14:paraId="00485EBB">
            <w:pPr>
              <w:spacing w:line="500" w:lineRule="exact"/>
              <w:jc w:val="center"/>
              <w:rPr>
                <w:rFonts w:ascii="宋体" w:hAnsi="宋体"/>
                <w:color w:val="auto"/>
                <w:szCs w:val="21"/>
              </w:rPr>
            </w:pPr>
          </w:p>
        </w:tc>
      </w:tr>
      <w:tr w14:paraId="3888DB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tcBorders>
              <w:top w:val="single" w:color="auto" w:sz="6" w:space="0"/>
              <w:left w:val="single" w:color="auto" w:sz="12" w:space="0"/>
              <w:bottom w:val="single" w:color="auto" w:sz="6" w:space="0"/>
              <w:right w:val="single" w:color="auto" w:sz="6" w:space="0"/>
            </w:tcBorders>
            <w:vAlign w:val="center"/>
          </w:tcPr>
          <w:p w14:paraId="1E99B3C9">
            <w:pPr>
              <w:spacing w:line="500" w:lineRule="exact"/>
              <w:jc w:val="center"/>
              <w:rPr>
                <w:rFonts w:ascii="宋体" w:hAnsi="宋体"/>
                <w:color w:val="auto"/>
                <w:szCs w:val="21"/>
              </w:rPr>
            </w:pPr>
            <w:r>
              <w:rPr>
                <w:rFonts w:hint="eastAsia" w:ascii="宋体" w:hAnsi="宋体"/>
                <w:color w:val="auto"/>
                <w:szCs w:val="21"/>
              </w:rPr>
              <w:t>第二名</w:t>
            </w:r>
          </w:p>
        </w:tc>
        <w:tc>
          <w:tcPr>
            <w:tcW w:w="4866" w:type="dxa"/>
            <w:tcBorders>
              <w:top w:val="single" w:color="auto" w:sz="6" w:space="0"/>
              <w:left w:val="single" w:color="auto" w:sz="6" w:space="0"/>
              <w:bottom w:val="single" w:color="auto" w:sz="6" w:space="0"/>
              <w:right w:val="single" w:color="auto" w:sz="6" w:space="0"/>
            </w:tcBorders>
            <w:vAlign w:val="center"/>
          </w:tcPr>
          <w:p w14:paraId="1F63A170">
            <w:pPr>
              <w:spacing w:line="500" w:lineRule="exact"/>
              <w:jc w:val="center"/>
              <w:rPr>
                <w:rFonts w:ascii="宋体" w:hAnsi="宋体"/>
                <w:color w:val="auto"/>
                <w:szCs w:val="21"/>
              </w:rPr>
            </w:pPr>
          </w:p>
        </w:tc>
        <w:tc>
          <w:tcPr>
            <w:tcW w:w="1695" w:type="dxa"/>
            <w:tcBorders>
              <w:top w:val="single" w:color="auto" w:sz="6" w:space="0"/>
              <w:left w:val="single" w:color="auto" w:sz="6" w:space="0"/>
              <w:bottom w:val="single" w:color="auto" w:sz="6" w:space="0"/>
              <w:right w:val="single" w:color="auto" w:sz="4" w:space="0"/>
            </w:tcBorders>
            <w:vAlign w:val="center"/>
          </w:tcPr>
          <w:p w14:paraId="5B110812">
            <w:pPr>
              <w:spacing w:line="500" w:lineRule="exact"/>
              <w:jc w:val="center"/>
              <w:rPr>
                <w:rFonts w:ascii="宋体" w:hAnsi="宋体"/>
                <w:color w:val="auto"/>
                <w:szCs w:val="21"/>
              </w:rPr>
            </w:pPr>
          </w:p>
        </w:tc>
        <w:tc>
          <w:tcPr>
            <w:tcW w:w="1082" w:type="dxa"/>
            <w:tcBorders>
              <w:top w:val="single" w:color="auto" w:sz="6" w:space="0"/>
              <w:left w:val="single" w:color="auto" w:sz="4" w:space="0"/>
              <w:bottom w:val="single" w:color="auto" w:sz="6" w:space="0"/>
              <w:right w:val="single" w:color="auto" w:sz="12" w:space="0"/>
            </w:tcBorders>
            <w:vAlign w:val="center"/>
          </w:tcPr>
          <w:p w14:paraId="3940A377">
            <w:pPr>
              <w:spacing w:line="500" w:lineRule="exact"/>
              <w:jc w:val="center"/>
              <w:rPr>
                <w:rFonts w:ascii="宋体" w:hAnsi="宋体"/>
                <w:color w:val="auto"/>
                <w:szCs w:val="21"/>
              </w:rPr>
            </w:pPr>
          </w:p>
        </w:tc>
      </w:tr>
      <w:tr w14:paraId="06F3DE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tcBorders>
              <w:top w:val="single" w:color="auto" w:sz="6" w:space="0"/>
              <w:left w:val="single" w:color="auto" w:sz="12" w:space="0"/>
              <w:bottom w:val="single" w:color="auto" w:sz="6" w:space="0"/>
              <w:right w:val="single" w:color="auto" w:sz="6" w:space="0"/>
            </w:tcBorders>
            <w:vAlign w:val="center"/>
          </w:tcPr>
          <w:p w14:paraId="27883836">
            <w:pPr>
              <w:spacing w:line="500" w:lineRule="exact"/>
              <w:jc w:val="center"/>
              <w:rPr>
                <w:rFonts w:ascii="宋体" w:hAnsi="宋体"/>
                <w:color w:val="auto"/>
                <w:szCs w:val="21"/>
              </w:rPr>
            </w:pPr>
            <w:r>
              <w:rPr>
                <w:rFonts w:hint="eastAsia" w:ascii="宋体" w:hAnsi="宋体"/>
                <w:color w:val="auto"/>
                <w:szCs w:val="21"/>
              </w:rPr>
              <w:t>第三名</w:t>
            </w:r>
          </w:p>
        </w:tc>
        <w:tc>
          <w:tcPr>
            <w:tcW w:w="4866" w:type="dxa"/>
            <w:tcBorders>
              <w:top w:val="single" w:color="auto" w:sz="6" w:space="0"/>
              <w:left w:val="single" w:color="auto" w:sz="6" w:space="0"/>
              <w:bottom w:val="single" w:color="auto" w:sz="6" w:space="0"/>
              <w:right w:val="single" w:color="auto" w:sz="6" w:space="0"/>
            </w:tcBorders>
            <w:vAlign w:val="center"/>
          </w:tcPr>
          <w:p w14:paraId="0E432772">
            <w:pPr>
              <w:spacing w:line="500" w:lineRule="exact"/>
              <w:jc w:val="center"/>
              <w:rPr>
                <w:rFonts w:ascii="宋体" w:hAnsi="宋体"/>
                <w:color w:val="auto"/>
                <w:szCs w:val="21"/>
              </w:rPr>
            </w:pPr>
          </w:p>
        </w:tc>
        <w:tc>
          <w:tcPr>
            <w:tcW w:w="1695" w:type="dxa"/>
            <w:tcBorders>
              <w:top w:val="single" w:color="auto" w:sz="6" w:space="0"/>
              <w:left w:val="single" w:color="auto" w:sz="6" w:space="0"/>
              <w:bottom w:val="single" w:color="auto" w:sz="6" w:space="0"/>
              <w:right w:val="single" w:color="auto" w:sz="4" w:space="0"/>
            </w:tcBorders>
            <w:vAlign w:val="center"/>
          </w:tcPr>
          <w:p w14:paraId="1EF62B9D">
            <w:pPr>
              <w:spacing w:line="500" w:lineRule="exact"/>
              <w:jc w:val="center"/>
              <w:rPr>
                <w:rFonts w:ascii="宋体" w:hAnsi="宋体"/>
                <w:color w:val="auto"/>
                <w:szCs w:val="21"/>
              </w:rPr>
            </w:pPr>
          </w:p>
        </w:tc>
        <w:tc>
          <w:tcPr>
            <w:tcW w:w="1082" w:type="dxa"/>
            <w:tcBorders>
              <w:top w:val="single" w:color="auto" w:sz="6" w:space="0"/>
              <w:left w:val="single" w:color="auto" w:sz="4" w:space="0"/>
              <w:bottom w:val="single" w:color="auto" w:sz="6" w:space="0"/>
              <w:right w:val="single" w:color="auto" w:sz="12" w:space="0"/>
            </w:tcBorders>
            <w:vAlign w:val="center"/>
          </w:tcPr>
          <w:p w14:paraId="28F3D6E9">
            <w:pPr>
              <w:spacing w:line="500" w:lineRule="exact"/>
              <w:jc w:val="center"/>
              <w:rPr>
                <w:rFonts w:ascii="宋体" w:hAnsi="宋体"/>
                <w:color w:val="auto"/>
                <w:szCs w:val="21"/>
              </w:rPr>
            </w:pPr>
          </w:p>
        </w:tc>
      </w:tr>
      <w:tr w14:paraId="113CF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tcBorders>
              <w:top w:val="single" w:color="auto" w:sz="6" w:space="0"/>
              <w:left w:val="single" w:color="auto" w:sz="12" w:space="0"/>
              <w:bottom w:val="single" w:color="auto" w:sz="6" w:space="0"/>
              <w:right w:val="single" w:color="auto" w:sz="6" w:space="0"/>
            </w:tcBorders>
            <w:vAlign w:val="center"/>
          </w:tcPr>
          <w:p w14:paraId="22D4F85F">
            <w:pPr>
              <w:spacing w:line="500" w:lineRule="exact"/>
              <w:jc w:val="center"/>
              <w:rPr>
                <w:rFonts w:ascii="宋体" w:hAnsi="宋体"/>
                <w:color w:val="auto"/>
                <w:szCs w:val="21"/>
              </w:rPr>
            </w:pPr>
            <w:r>
              <w:rPr>
                <w:rFonts w:hint="eastAsia" w:ascii="宋体" w:hAnsi="宋体"/>
                <w:color w:val="auto"/>
                <w:szCs w:val="21"/>
              </w:rPr>
              <w:t>第四名</w:t>
            </w:r>
          </w:p>
        </w:tc>
        <w:tc>
          <w:tcPr>
            <w:tcW w:w="4866" w:type="dxa"/>
            <w:tcBorders>
              <w:top w:val="single" w:color="auto" w:sz="6" w:space="0"/>
              <w:left w:val="single" w:color="auto" w:sz="6" w:space="0"/>
              <w:bottom w:val="single" w:color="auto" w:sz="6" w:space="0"/>
              <w:right w:val="single" w:color="auto" w:sz="6" w:space="0"/>
            </w:tcBorders>
            <w:vAlign w:val="center"/>
          </w:tcPr>
          <w:p w14:paraId="77B2E7E8">
            <w:pPr>
              <w:spacing w:line="500" w:lineRule="exact"/>
              <w:jc w:val="center"/>
              <w:rPr>
                <w:rFonts w:ascii="宋体" w:hAnsi="宋体"/>
                <w:color w:val="auto"/>
                <w:szCs w:val="21"/>
              </w:rPr>
            </w:pPr>
          </w:p>
        </w:tc>
        <w:tc>
          <w:tcPr>
            <w:tcW w:w="1695" w:type="dxa"/>
            <w:tcBorders>
              <w:top w:val="single" w:color="auto" w:sz="6" w:space="0"/>
              <w:left w:val="single" w:color="auto" w:sz="6" w:space="0"/>
              <w:bottom w:val="single" w:color="auto" w:sz="6" w:space="0"/>
              <w:right w:val="single" w:color="auto" w:sz="4" w:space="0"/>
            </w:tcBorders>
            <w:vAlign w:val="center"/>
          </w:tcPr>
          <w:p w14:paraId="5B3D5955">
            <w:pPr>
              <w:spacing w:line="500" w:lineRule="exact"/>
              <w:jc w:val="center"/>
              <w:rPr>
                <w:rFonts w:ascii="宋体" w:hAnsi="宋体"/>
                <w:color w:val="auto"/>
                <w:szCs w:val="21"/>
              </w:rPr>
            </w:pPr>
          </w:p>
        </w:tc>
        <w:tc>
          <w:tcPr>
            <w:tcW w:w="1082" w:type="dxa"/>
            <w:tcBorders>
              <w:top w:val="single" w:color="auto" w:sz="6" w:space="0"/>
              <w:left w:val="single" w:color="auto" w:sz="4" w:space="0"/>
              <w:bottom w:val="single" w:color="auto" w:sz="6" w:space="0"/>
              <w:right w:val="single" w:color="auto" w:sz="12" w:space="0"/>
            </w:tcBorders>
            <w:vAlign w:val="center"/>
          </w:tcPr>
          <w:p w14:paraId="46FE41C1">
            <w:pPr>
              <w:spacing w:line="500" w:lineRule="exact"/>
              <w:jc w:val="center"/>
              <w:rPr>
                <w:rFonts w:ascii="宋体" w:hAnsi="宋体"/>
                <w:color w:val="auto"/>
                <w:szCs w:val="21"/>
              </w:rPr>
            </w:pPr>
          </w:p>
        </w:tc>
      </w:tr>
      <w:tr w14:paraId="0E200B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tcBorders>
              <w:top w:val="single" w:color="auto" w:sz="6" w:space="0"/>
              <w:left w:val="single" w:color="auto" w:sz="12" w:space="0"/>
              <w:bottom w:val="single" w:color="auto" w:sz="6" w:space="0"/>
              <w:right w:val="single" w:color="auto" w:sz="6" w:space="0"/>
            </w:tcBorders>
            <w:vAlign w:val="center"/>
          </w:tcPr>
          <w:p w14:paraId="083D9633">
            <w:pPr>
              <w:spacing w:line="500" w:lineRule="exact"/>
              <w:jc w:val="center"/>
              <w:rPr>
                <w:rFonts w:ascii="宋体" w:hAnsi="宋体"/>
                <w:color w:val="auto"/>
                <w:szCs w:val="21"/>
              </w:rPr>
            </w:pPr>
            <w:r>
              <w:rPr>
                <w:rFonts w:hint="eastAsia" w:ascii="宋体" w:hAnsi="宋体"/>
                <w:color w:val="auto"/>
                <w:szCs w:val="21"/>
              </w:rPr>
              <w:t>第五名</w:t>
            </w:r>
          </w:p>
        </w:tc>
        <w:tc>
          <w:tcPr>
            <w:tcW w:w="4866" w:type="dxa"/>
            <w:tcBorders>
              <w:top w:val="single" w:color="auto" w:sz="6" w:space="0"/>
              <w:left w:val="single" w:color="auto" w:sz="6" w:space="0"/>
              <w:bottom w:val="single" w:color="auto" w:sz="6" w:space="0"/>
              <w:right w:val="single" w:color="auto" w:sz="6" w:space="0"/>
            </w:tcBorders>
            <w:vAlign w:val="center"/>
          </w:tcPr>
          <w:p w14:paraId="4941F8E9">
            <w:pPr>
              <w:spacing w:line="500" w:lineRule="exact"/>
              <w:jc w:val="center"/>
              <w:rPr>
                <w:rFonts w:ascii="宋体" w:hAnsi="宋体"/>
                <w:color w:val="auto"/>
                <w:szCs w:val="21"/>
              </w:rPr>
            </w:pPr>
          </w:p>
        </w:tc>
        <w:tc>
          <w:tcPr>
            <w:tcW w:w="1695" w:type="dxa"/>
            <w:tcBorders>
              <w:top w:val="single" w:color="auto" w:sz="6" w:space="0"/>
              <w:left w:val="single" w:color="auto" w:sz="6" w:space="0"/>
              <w:bottom w:val="single" w:color="auto" w:sz="6" w:space="0"/>
              <w:right w:val="single" w:color="auto" w:sz="4" w:space="0"/>
            </w:tcBorders>
            <w:vAlign w:val="center"/>
          </w:tcPr>
          <w:p w14:paraId="27B1ED49">
            <w:pPr>
              <w:spacing w:line="500" w:lineRule="exact"/>
              <w:jc w:val="center"/>
              <w:rPr>
                <w:rFonts w:ascii="宋体" w:hAnsi="宋体"/>
                <w:color w:val="auto"/>
                <w:szCs w:val="21"/>
              </w:rPr>
            </w:pPr>
          </w:p>
        </w:tc>
        <w:tc>
          <w:tcPr>
            <w:tcW w:w="1082" w:type="dxa"/>
            <w:tcBorders>
              <w:top w:val="single" w:color="auto" w:sz="6" w:space="0"/>
              <w:left w:val="single" w:color="auto" w:sz="4" w:space="0"/>
              <w:bottom w:val="single" w:color="auto" w:sz="6" w:space="0"/>
              <w:right w:val="single" w:color="auto" w:sz="12" w:space="0"/>
            </w:tcBorders>
            <w:vAlign w:val="center"/>
          </w:tcPr>
          <w:p w14:paraId="27B655EC">
            <w:pPr>
              <w:spacing w:line="500" w:lineRule="exact"/>
              <w:jc w:val="center"/>
              <w:rPr>
                <w:rFonts w:ascii="宋体" w:hAnsi="宋体"/>
                <w:color w:val="auto"/>
                <w:szCs w:val="21"/>
              </w:rPr>
            </w:pPr>
          </w:p>
        </w:tc>
      </w:tr>
      <w:tr w14:paraId="0B0E4B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tcBorders>
              <w:top w:val="single" w:color="auto" w:sz="6" w:space="0"/>
              <w:left w:val="single" w:color="auto" w:sz="12" w:space="0"/>
              <w:bottom w:val="single" w:color="auto" w:sz="6" w:space="0"/>
              <w:right w:val="single" w:color="auto" w:sz="6" w:space="0"/>
            </w:tcBorders>
            <w:vAlign w:val="center"/>
          </w:tcPr>
          <w:p w14:paraId="6B494207">
            <w:pPr>
              <w:spacing w:line="500" w:lineRule="exact"/>
              <w:jc w:val="center"/>
              <w:rPr>
                <w:rFonts w:ascii="宋体" w:hAnsi="宋体"/>
                <w:color w:val="auto"/>
                <w:szCs w:val="21"/>
              </w:rPr>
            </w:pPr>
          </w:p>
        </w:tc>
        <w:tc>
          <w:tcPr>
            <w:tcW w:w="4866" w:type="dxa"/>
            <w:tcBorders>
              <w:top w:val="single" w:color="auto" w:sz="6" w:space="0"/>
              <w:left w:val="single" w:color="auto" w:sz="6" w:space="0"/>
              <w:bottom w:val="single" w:color="auto" w:sz="6" w:space="0"/>
              <w:right w:val="single" w:color="auto" w:sz="6" w:space="0"/>
            </w:tcBorders>
            <w:vAlign w:val="center"/>
          </w:tcPr>
          <w:p w14:paraId="7FDF4A9A">
            <w:pPr>
              <w:spacing w:line="500" w:lineRule="exact"/>
              <w:jc w:val="center"/>
              <w:rPr>
                <w:rFonts w:ascii="宋体" w:hAnsi="宋体"/>
                <w:color w:val="auto"/>
                <w:szCs w:val="21"/>
              </w:rPr>
            </w:pPr>
          </w:p>
        </w:tc>
        <w:tc>
          <w:tcPr>
            <w:tcW w:w="1695" w:type="dxa"/>
            <w:tcBorders>
              <w:top w:val="single" w:color="auto" w:sz="6" w:space="0"/>
              <w:left w:val="single" w:color="auto" w:sz="6" w:space="0"/>
              <w:bottom w:val="single" w:color="auto" w:sz="6" w:space="0"/>
              <w:right w:val="single" w:color="auto" w:sz="4" w:space="0"/>
            </w:tcBorders>
            <w:vAlign w:val="center"/>
          </w:tcPr>
          <w:p w14:paraId="420529EC">
            <w:pPr>
              <w:spacing w:line="500" w:lineRule="exact"/>
              <w:jc w:val="center"/>
              <w:rPr>
                <w:rFonts w:ascii="宋体" w:hAnsi="宋体"/>
                <w:color w:val="auto"/>
                <w:szCs w:val="21"/>
              </w:rPr>
            </w:pPr>
          </w:p>
        </w:tc>
        <w:tc>
          <w:tcPr>
            <w:tcW w:w="1082" w:type="dxa"/>
            <w:tcBorders>
              <w:top w:val="single" w:color="auto" w:sz="6" w:space="0"/>
              <w:left w:val="single" w:color="auto" w:sz="4" w:space="0"/>
              <w:bottom w:val="single" w:color="auto" w:sz="6" w:space="0"/>
              <w:right w:val="single" w:color="auto" w:sz="12" w:space="0"/>
            </w:tcBorders>
            <w:vAlign w:val="center"/>
          </w:tcPr>
          <w:p w14:paraId="75B3E18D">
            <w:pPr>
              <w:spacing w:line="500" w:lineRule="exact"/>
              <w:jc w:val="center"/>
              <w:rPr>
                <w:rFonts w:ascii="宋体" w:hAnsi="宋体"/>
                <w:color w:val="auto"/>
                <w:szCs w:val="21"/>
              </w:rPr>
            </w:pPr>
          </w:p>
        </w:tc>
      </w:tr>
      <w:tr w14:paraId="3A936B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tcBorders>
              <w:top w:val="single" w:color="auto" w:sz="6" w:space="0"/>
              <w:left w:val="single" w:color="auto" w:sz="12" w:space="0"/>
              <w:bottom w:val="single" w:color="auto" w:sz="12" w:space="0"/>
              <w:right w:val="single" w:color="auto" w:sz="6" w:space="0"/>
            </w:tcBorders>
            <w:vAlign w:val="center"/>
          </w:tcPr>
          <w:p w14:paraId="5E1294F7">
            <w:pPr>
              <w:spacing w:line="500" w:lineRule="exact"/>
              <w:jc w:val="center"/>
              <w:rPr>
                <w:rFonts w:ascii="宋体" w:hAnsi="宋体"/>
                <w:color w:val="auto"/>
                <w:szCs w:val="21"/>
              </w:rPr>
            </w:pPr>
            <w:r>
              <w:rPr>
                <w:rFonts w:hint="eastAsia" w:ascii="宋体" w:hAnsi="宋体"/>
                <w:color w:val="auto"/>
                <w:szCs w:val="21"/>
              </w:rPr>
              <w:t>……</w:t>
            </w:r>
          </w:p>
        </w:tc>
        <w:tc>
          <w:tcPr>
            <w:tcW w:w="4866" w:type="dxa"/>
            <w:tcBorders>
              <w:top w:val="single" w:color="auto" w:sz="6" w:space="0"/>
              <w:left w:val="single" w:color="auto" w:sz="6" w:space="0"/>
              <w:bottom w:val="single" w:color="auto" w:sz="12" w:space="0"/>
              <w:right w:val="single" w:color="auto" w:sz="6" w:space="0"/>
            </w:tcBorders>
            <w:vAlign w:val="center"/>
          </w:tcPr>
          <w:p w14:paraId="54926892">
            <w:pPr>
              <w:spacing w:line="500" w:lineRule="exact"/>
              <w:jc w:val="center"/>
              <w:rPr>
                <w:rFonts w:ascii="宋体" w:hAnsi="宋体"/>
                <w:color w:val="auto"/>
                <w:szCs w:val="21"/>
              </w:rPr>
            </w:pPr>
          </w:p>
        </w:tc>
        <w:tc>
          <w:tcPr>
            <w:tcW w:w="1695" w:type="dxa"/>
            <w:tcBorders>
              <w:top w:val="single" w:color="auto" w:sz="6" w:space="0"/>
              <w:left w:val="single" w:color="auto" w:sz="6" w:space="0"/>
              <w:bottom w:val="single" w:color="auto" w:sz="12" w:space="0"/>
              <w:right w:val="single" w:color="auto" w:sz="4" w:space="0"/>
            </w:tcBorders>
            <w:vAlign w:val="center"/>
          </w:tcPr>
          <w:p w14:paraId="005E8974">
            <w:pPr>
              <w:spacing w:line="500" w:lineRule="exact"/>
              <w:jc w:val="center"/>
              <w:rPr>
                <w:rFonts w:ascii="宋体" w:hAnsi="宋体"/>
                <w:color w:val="auto"/>
                <w:szCs w:val="21"/>
              </w:rPr>
            </w:pPr>
          </w:p>
        </w:tc>
        <w:tc>
          <w:tcPr>
            <w:tcW w:w="1082" w:type="dxa"/>
            <w:tcBorders>
              <w:top w:val="single" w:color="auto" w:sz="6" w:space="0"/>
              <w:left w:val="single" w:color="auto" w:sz="4" w:space="0"/>
              <w:bottom w:val="single" w:color="auto" w:sz="12" w:space="0"/>
              <w:right w:val="single" w:color="auto" w:sz="12" w:space="0"/>
            </w:tcBorders>
            <w:vAlign w:val="center"/>
          </w:tcPr>
          <w:p w14:paraId="09E4AE13">
            <w:pPr>
              <w:spacing w:line="500" w:lineRule="exact"/>
              <w:jc w:val="center"/>
              <w:rPr>
                <w:rFonts w:ascii="宋体" w:hAnsi="宋体"/>
                <w:color w:val="auto"/>
                <w:szCs w:val="21"/>
              </w:rPr>
            </w:pPr>
          </w:p>
        </w:tc>
      </w:tr>
    </w:tbl>
    <w:p w14:paraId="569D8318">
      <w:pPr>
        <w:rPr>
          <w:color w:val="auto"/>
        </w:rPr>
      </w:pPr>
    </w:p>
    <w:p w14:paraId="2A415995">
      <w:pPr>
        <w:rPr>
          <w:color w:val="auto"/>
        </w:rPr>
      </w:pPr>
    </w:p>
    <w:p w14:paraId="7FB0372F">
      <w:pPr>
        <w:rPr>
          <w:color w:val="auto"/>
        </w:rPr>
      </w:pPr>
    </w:p>
    <w:p w14:paraId="5558CEF6">
      <w:pPr>
        <w:adjustRightInd w:val="0"/>
        <w:snapToGrid w:val="0"/>
        <w:spacing w:before="156" w:beforeLines="50" w:line="360" w:lineRule="auto"/>
        <w:rPr>
          <w:rFonts w:ascii="宋体" w:hAnsi="宋体"/>
          <w:b/>
          <w:color w:val="auto"/>
          <w:sz w:val="32"/>
          <w:szCs w:val="32"/>
        </w:rPr>
      </w:pPr>
    </w:p>
    <w:p w14:paraId="17FB9DA9">
      <w:pPr>
        <w:adjustRightInd w:val="0"/>
        <w:snapToGrid w:val="0"/>
        <w:spacing w:before="156" w:beforeLines="50" w:line="360" w:lineRule="auto"/>
        <w:jc w:val="center"/>
        <w:rPr>
          <w:rFonts w:ascii="宋体" w:hAnsi="宋体"/>
          <w:b/>
          <w:color w:val="auto"/>
          <w:sz w:val="32"/>
          <w:szCs w:val="32"/>
        </w:rPr>
      </w:pPr>
    </w:p>
    <w:p w14:paraId="4FAE966C">
      <w:pPr>
        <w:adjustRightInd w:val="0"/>
        <w:snapToGrid w:val="0"/>
        <w:spacing w:before="156" w:beforeLines="50" w:line="360" w:lineRule="auto"/>
        <w:jc w:val="center"/>
        <w:outlineLvl w:val="0"/>
        <w:rPr>
          <w:rFonts w:ascii="宋体" w:hAnsi="宋体"/>
          <w:b/>
          <w:bCs/>
          <w:color w:val="auto"/>
          <w:sz w:val="32"/>
          <w:szCs w:val="32"/>
        </w:rPr>
      </w:pPr>
      <w:r>
        <w:rPr>
          <w:rFonts w:hint="eastAsia" w:ascii="宋体" w:hAnsi="宋体"/>
          <w:b/>
          <w:color w:val="auto"/>
          <w:sz w:val="32"/>
          <w:szCs w:val="32"/>
        </w:rPr>
        <w:br w:type="page"/>
      </w:r>
      <w:bookmarkStart w:id="32" w:name="_Toc3285"/>
      <w:r>
        <w:rPr>
          <w:rFonts w:hint="eastAsia" w:ascii="宋体" w:hAnsi="宋体"/>
          <w:b/>
          <w:color w:val="auto"/>
          <w:sz w:val="32"/>
          <w:szCs w:val="32"/>
        </w:rPr>
        <w:t xml:space="preserve">第四章 </w:t>
      </w:r>
      <w:r>
        <w:rPr>
          <w:rFonts w:hint="eastAsia" w:ascii="宋体" w:hAnsi="宋体"/>
          <w:b/>
          <w:bCs/>
          <w:color w:val="auto"/>
          <w:sz w:val="32"/>
          <w:szCs w:val="32"/>
        </w:rPr>
        <w:t>合同格式条款</w:t>
      </w:r>
      <w:bookmarkEnd w:id="32"/>
    </w:p>
    <w:p w14:paraId="726EAA01">
      <w:pPr>
        <w:jc w:val="center"/>
        <w:rPr>
          <w:rFonts w:ascii="宋体" w:hAnsi="宋体"/>
          <w:b/>
          <w:bCs/>
          <w:color w:val="auto"/>
          <w:sz w:val="28"/>
          <w:szCs w:val="28"/>
        </w:rPr>
      </w:pPr>
      <w:r>
        <w:rPr>
          <w:rFonts w:hint="eastAsia" w:ascii="宋体" w:hAnsi="宋体"/>
          <w:b/>
          <w:bCs/>
          <w:color w:val="auto"/>
          <w:sz w:val="28"/>
          <w:szCs w:val="28"/>
        </w:rPr>
        <w:t>政府采购合同协议书</w:t>
      </w:r>
    </w:p>
    <w:p w14:paraId="18DD97D0">
      <w:pPr>
        <w:adjustRightInd w:val="0"/>
        <w:snapToGrid w:val="0"/>
        <w:spacing w:before="156" w:beforeLines="50" w:line="400" w:lineRule="exact"/>
        <w:jc w:val="center"/>
        <w:rPr>
          <w:rFonts w:hint="eastAsia" w:ascii="宋体" w:hAnsi="宋体"/>
          <w:color w:val="auto"/>
        </w:rPr>
      </w:pPr>
      <w:r>
        <w:rPr>
          <w:rFonts w:hint="eastAsia" w:ascii="宋体" w:hAnsi="宋体"/>
          <w:b/>
          <w:bCs/>
          <w:color w:val="auto"/>
        </w:rPr>
        <w:t xml:space="preserve">                                           </w:t>
      </w:r>
      <w:r>
        <w:rPr>
          <w:rFonts w:hint="eastAsia" w:ascii="宋体" w:hAnsi="宋体"/>
          <w:color w:val="auto"/>
        </w:rPr>
        <w:t>政府采购编号：</w:t>
      </w:r>
      <w:r>
        <w:rPr>
          <w:rFonts w:hint="eastAsia" w:ascii="宋体" w:hAnsi="宋体"/>
          <w:color w:val="auto"/>
          <w:u w:val="single"/>
        </w:rPr>
        <w:t>湘财采计[20</w:t>
      </w:r>
      <w:r>
        <w:rPr>
          <w:rFonts w:ascii="宋体" w:hAnsi="宋体"/>
          <w:color w:val="auto"/>
          <w:u w:val="single"/>
        </w:rPr>
        <w:t>26</w:t>
      </w:r>
      <w:r>
        <w:rPr>
          <w:rFonts w:hint="eastAsia" w:ascii="宋体" w:hAnsi="宋体"/>
          <w:color w:val="auto"/>
          <w:u w:val="single"/>
        </w:rPr>
        <w:t>]XXXXX</w:t>
      </w:r>
    </w:p>
    <w:p w14:paraId="49C8B12C">
      <w:pPr>
        <w:spacing w:line="400" w:lineRule="exact"/>
        <w:jc w:val="center"/>
        <w:rPr>
          <w:rFonts w:hint="eastAsia" w:ascii="宋体" w:hAnsi="宋体"/>
          <w:color w:val="auto"/>
        </w:rPr>
      </w:pPr>
      <w:r>
        <w:rPr>
          <w:rFonts w:hint="eastAsia" w:ascii="宋体" w:hAnsi="宋体"/>
          <w:color w:val="auto"/>
        </w:rPr>
        <w:t xml:space="preserve"> </w:t>
      </w:r>
    </w:p>
    <w:p w14:paraId="5B54AD52">
      <w:pPr>
        <w:spacing w:line="400" w:lineRule="exact"/>
        <w:rPr>
          <w:rFonts w:hint="eastAsia" w:ascii="宋体" w:hAnsi="宋体"/>
          <w:color w:val="auto"/>
        </w:rPr>
      </w:pPr>
      <w:r>
        <w:rPr>
          <w:rFonts w:hint="eastAsia" w:ascii="宋体" w:hAnsi="宋体"/>
          <w:color w:val="auto"/>
        </w:rPr>
        <w:t>采购人（甲方）（全称）：</w:t>
      </w:r>
      <w:r>
        <w:rPr>
          <w:rFonts w:hint="eastAsia" w:ascii="宋体" w:hAnsi="宋体"/>
          <w:color w:val="auto"/>
          <w:u w:val="single"/>
        </w:rPr>
        <w:t>湖南文理学院</w:t>
      </w:r>
    </w:p>
    <w:p w14:paraId="4AEDCDA9">
      <w:pPr>
        <w:spacing w:line="400" w:lineRule="exact"/>
        <w:rPr>
          <w:rFonts w:hint="eastAsia" w:ascii="宋体" w:hAnsi="宋体"/>
          <w:color w:val="auto"/>
        </w:rPr>
      </w:pPr>
      <w:r>
        <w:rPr>
          <w:rFonts w:hint="eastAsia" w:ascii="宋体" w:hAnsi="宋体"/>
          <w:color w:val="auto"/>
        </w:rPr>
        <w:t>供应商（乙方）（全称）：</w:t>
      </w:r>
      <w:r>
        <w:rPr>
          <w:rFonts w:hint="eastAsia" w:ascii="宋体" w:hAnsi="宋体"/>
          <w:color w:val="auto"/>
          <w:u w:val="single"/>
        </w:rPr>
        <w:t>XXX有限公司</w:t>
      </w:r>
      <w:r>
        <w:rPr>
          <w:rFonts w:hint="eastAsia" w:ascii="宋体" w:hAnsi="宋体"/>
          <w:color w:val="auto"/>
        </w:rPr>
        <w:t>（乙方）</w:t>
      </w:r>
    </w:p>
    <w:p w14:paraId="550E7219">
      <w:pPr>
        <w:pStyle w:val="22"/>
        <w:adjustRightInd w:val="0"/>
        <w:snapToGrid w:val="0"/>
        <w:spacing w:line="360" w:lineRule="exact"/>
        <w:ind w:firstLine="420" w:firstLineChars="200"/>
        <w:rPr>
          <w:rFonts w:hint="eastAsia" w:ascii="宋体" w:hAnsi="宋体"/>
          <w:color w:val="auto"/>
        </w:rPr>
      </w:pPr>
      <w:r>
        <w:rPr>
          <w:rFonts w:hint="eastAsia" w:ascii="宋体" w:hAnsi="宋体"/>
          <w:color w:val="auto"/>
        </w:rPr>
        <w:t>为了保护甲、乙双方合法权益，根据《中华人民共和国民法典》、《中华人民共和国政府采购法》及其他有关法律、法规、规章，双方签订本合同协议书。</w:t>
      </w:r>
    </w:p>
    <w:p w14:paraId="153F7C97">
      <w:pPr>
        <w:adjustRightInd w:val="0"/>
        <w:snapToGrid w:val="0"/>
        <w:spacing w:line="360" w:lineRule="exact"/>
        <w:ind w:firstLine="420" w:firstLineChars="200"/>
        <w:rPr>
          <w:rFonts w:hint="eastAsia" w:ascii="宋体" w:hAnsi="宋体"/>
          <w:b/>
          <w:bCs/>
          <w:color w:val="auto"/>
        </w:rPr>
      </w:pPr>
      <w:r>
        <w:rPr>
          <w:rFonts w:hint="eastAsia" w:ascii="宋体" w:hAnsi="宋体"/>
          <w:b/>
          <w:bCs/>
          <w:color w:val="auto"/>
        </w:rPr>
        <w:t>第一条　项目管理信息</w:t>
      </w:r>
    </w:p>
    <w:p w14:paraId="5D93560A">
      <w:pPr>
        <w:pStyle w:val="22"/>
        <w:adjustRightInd w:val="0"/>
        <w:snapToGrid w:val="0"/>
        <w:spacing w:line="360" w:lineRule="exact"/>
        <w:ind w:firstLine="0" w:firstLineChars="0"/>
        <w:rPr>
          <w:rFonts w:hint="eastAsia" w:ascii="宋体" w:hAnsi="宋体"/>
          <w:color w:val="auto"/>
        </w:rPr>
      </w:pPr>
      <w:r>
        <w:rPr>
          <w:rFonts w:hint="eastAsia" w:ascii="宋体" w:hAnsi="宋体"/>
          <w:color w:val="auto"/>
        </w:rPr>
        <w:t>（1）采购组织形式：</w:t>
      </w:r>
      <w:r>
        <w:rPr>
          <w:rFonts w:hint="eastAsia" w:ascii="宋体" w:hAnsi="宋体"/>
          <w:color w:val="auto"/>
          <w:u w:val="single"/>
        </w:rPr>
        <w:t xml:space="preserve"> 政府采购 </w:t>
      </w:r>
    </w:p>
    <w:p w14:paraId="0E37CA6C">
      <w:pPr>
        <w:pStyle w:val="22"/>
        <w:adjustRightInd w:val="0"/>
        <w:snapToGrid w:val="0"/>
        <w:spacing w:line="360" w:lineRule="exact"/>
        <w:ind w:firstLine="0" w:firstLineChars="0"/>
        <w:rPr>
          <w:rFonts w:hint="eastAsia" w:ascii="宋体" w:hAnsi="宋体"/>
          <w:color w:val="auto"/>
          <w:u w:val="single"/>
        </w:rPr>
      </w:pPr>
      <w:r>
        <w:rPr>
          <w:rFonts w:hint="eastAsia" w:ascii="宋体" w:hAnsi="宋体"/>
          <w:color w:val="auto"/>
        </w:rPr>
        <w:t>（2）采购方式：</w:t>
      </w:r>
      <w:r>
        <w:rPr>
          <w:rFonts w:hint="eastAsia" w:ascii="宋体" w:hAnsi="宋体"/>
          <w:color w:val="auto"/>
          <w:u w:val="single"/>
        </w:rPr>
        <w:t xml:space="preserve"> </w:t>
      </w:r>
      <w:r>
        <w:rPr>
          <w:rFonts w:hint="eastAsia" w:ascii="宋体" w:hAnsi="宋体"/>
          <w:color w:val="auto"/>
          <w:u w:val="single"/>
          <w:lang w:val="en-US" w:eastAsia="zh-CN"/>
        </w:rPr>
        <w:t>竞争性磋商</w:t>
      </w:r>
      <w:r>
        <w:rPr>
          <w:rFonts w:hint="eastAsia" w:ascii="宋体" w:hAnsi="宋体"/>
          <w:color w:val="auto"/>
          <w:u w:val="single"/>
        </w:rPr>
        <w:t xml:space="preserve"> </w:t>
      </w:r>
    </w:p>
    <w:p w14:paraId="15B5FCAA">
      <w:pPr>
        <w:pStyle w:val="22"/>
        <w:adjustRightInd w:val="0"/>
        <w:snapToGrid w:val="0"/>
        <w:spacing w:line="360" w:lineRule="exact"/>
        <w:ind w:firstLine="0" w:firstLineChars="0"/>
        <w:rPr>
          <w:rFonts w:hint="eastAsia" w:ascii="宋体" w:hAnsi="宋体"/>
          <w:color w:val="auto"/>
          <w:u w:val="single"/>
        </w:rPr>
      </w:pPr>
      <w:r>
        <w:rPr>
          <w:rFonts w:hint="eastAsia" w:ascii="宋体" w:hAnsi="宋体"/>
          <w:color w:val="auto"/>
        </w:rPr>
        <w:t>（3）项目名称：</w:t>
      </w:r>
      <w:r>
        <w:rPr>
          <w:rFonts w:hint="eastAsia" w:ascii="宋体" w:hAnsi="宋体"/>
          <w:color w:val="auto"/>
          <w:u w:val="single"/>
        </w:rPr>
        <w:t>湖南文理学院XXXXXX</w:t>
      </w:r>
    </w:p>
    <w:p w14:paraId="1A5A3F30">
      <w:pPr>
        <w:pStyle w:val="22"/>
        <w:adjustRightInd w:val="0"/>
        <w:snapToGrid w:val="0"/>
        <w:spacing w:line="360" w:lineRule="exact"/>
        <w:ind w:firstLine="420" w:firstLineChars="200"/>
        <w:rPr>
          <w:rFonts w:hint="eastAsia" w:ascii="宋体" w:hAnsi="宋体"/>
          <w:b/>
          <w:bCs/>
          <w:color w:val="auto"/>
        </w:rPr>
      </w:pPr>
      <w:r>
        <w:rPr>
          <w:rFonts w:hint="eastAsia" w:ascii="宋体" w:hAnsi="宋体"/>
          <w:b/>
          <w:bCs/>
          <w:color w:val="auto"/>
        </w:rPr>
        <w:t>第二条　合同标的及金额</w:t>
      </w:r>
    </w:p>
    <w:tbl>
      <w:tblPr>
        <w:tblStyle w:val="51"/>
        <w:tblW w:w="8108"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559"/>
        <w:gridCol w:w="1236"/>
        <w:gridCol w:w="816"/>
        <w:gridCol w:w="816"/>
        <w:gridCol w:w="1205"/>
        <w:gridCol w:w="1047"/>
        <w:gridCol w:w="720"/>
      </w:tblGrid>
      <w:tr w14:paraId="2DF0A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65FE4B4D">
            <w:pPr>
              <w:spacing w:line="360" w:lineRule="exact"/>
              <w:jc w:val="center"/>
              <w:rPr>
                <w:rFonts w:ascii="宋体" w:hAnsi="宋体"/>
                <w:color w:val="auto"/>
              </w:rPr>
            </w:pPr>
            <w:r>
              <w:rPr>
                <w:rFonts w:hint="eastAsia" w:ascii="宋体" w:hAnsi="宋体"/>
                <w:color w:val="auto"/>
              </w:rPr>
              <w:t>序号</w:t>
            </w:r>
          </w:p>
        </w:tc>
        <w:tc>
          <w:tcPr>
            <w:tcW w:w="1559" w:type="dxa"/>
            <w:tcBorders>
              <w:top w:val="single" w:color="auto" w:sz="4" w:space="0"/>
              <w:left w:val="nil"/>
              <w:bottom w:val="single" w:color="auto" w:sz="4" w:space="0"/>
              <w:right w:val="single" w:color="auto" w:sz="4" w:space="0"/>
            </w:tcBorders>
            <w:noWrap w:val="0"/>
            <w:vAlign w:val="center"/>
          </w:tcPr>
          <w:p w14:paraId="5A5871A0">
            <w:pPr>
              <w:spacing w:line="360" w:lineRule="exact"/>
              <w:jc w:val="center"/>
              <w:rPr>
                <w:rFonts w:ascii="宋体" w:hAnsi="宋体"/>
                <w:color w:val="auto"/>
              </w:rPr>
            </w:pPr>
            <w:r>
              <w:rPr>
                <w:rFonts w:hint="eastAsia" w:ascii="宋体" w:hAnsi="宋体"/>
                <w:color w:val="auto"/>
              </w:rPr>
              <w:t>设备（产品）名称</w:t>
            </w:r>
          </w:p>
        </w:tc>
        <w:tc>
          <w:tcPr>
            <w:tcW w:w="1236" w:type="dxa"/>
            <w:tcBorders>
              <w:top w:val="single" w:color="auto" w:sz="4" w:space="0"/>
              <w:left w:val="nil"/>
              <w:bottom w:val="single" w:color="auto" w:sz="4" w:space="0"/>
              <w:right w:val="single" w:color="auto" w:sz="4" w:space="0"/>
            </w:tcBorders>
            <w:noWrap w:val="0"/>
            <w:vAlign w:val="center"/>
          </w:tcPr>
          <w:p w14:paraId="4D04B4C8">
            <w:pPr>
              <w:spacing w:line="360" w:lineRule="exact"/>
              <w:jc w:val="center"/>
              <w:rPr>
                <w:rFonts w:ascii="宋体" w:hAnsi="宋体"/>
                <w:color w:val="auto"/>
              </w:rPr>
            </w:pPr>
            <w:r>
              <w:rPr>
                <w:rFonts w:hint="eastAsia" w:ascii="宋体" w:hAnsi="宋体"/>
                <w:color w:val="auto"/>
              </w:rPr>
              <w:t>规格型号</w:t>
            </w:r>
          </w:p>
        </w:tc>
        <w:tc>
          <w:tcPr>
            <w:tcW w:w="816" w:type="dxa"/>
            <w:tcBorders>
              <w:top w:val="single" w:color="auto" w:sz="4" w:space="0"/>
              <w:left w:val="nil"/>
              <w:bottom w:val="single" w:color="auto" w:sz="4" w:space="0"/>
              <w:right w:val="single" w:color="auto" w:sz="4" w:space="0"/>
            </w:tcBorders>
            <w:noWrap w:val="0"/>
            <w:vAlign w:val="center"/>
          </w:tcPr>
          <w:p w14:paraId="302BE0CC">
            <w:pPr>
              <w:spacing w:line="360" w:lineRule="exact"/>
              <w:jc w:val="center"/>
              <w:rPr>
                <w:rFonts w:ascii="宋体" w:hAnsi="宋体"/>
                <w:color w:val="auto"/>
              </w:rPr>
            </w:pPr>
            <w:r>
              <w:rPr>
                <w:rFonts w:hint="eastAsia" w:ascii="宋体" w:hAnsi="宋体"/>
                <w:color w:val="auto"/>
              </w:rPr>
              <w:t>产地</w:t>
            </w:r>
          </w:p>
          <w:p w14:paraId="284AFD4F">
            <w:pPr>
              <w:spacing w:line="360" w:lineRule="exact"/>
              <w:jc w:val="center"/>
              <w:rPr>
                <w:rFonts w:ascii="宋体" w:hAnsi="宋体"/>
                <w:color w:val="auto"/>
              </w:rPr>
            </w:pPr>
            <w:r>
              <w:rPr>
                <w:rFonts w:hint="eastAsia" w:ascii="宋体" w:hAnsi="宋体"/>
                <w:color w:val="auto"/>
              </w:rPr>
              <w:t>品牌</w:t>
            </w:r>
          </w:p>
        </w:tc>
        <w:tc>
          <w:tcPr>
            <w:tcW w:w="816" w:type="dxa"/>
            <w:tcBorders>
              <w:top w:val="single" w:color="auto" w:sz="4" w:space="0"/>
              <w:left w:val="nil"/>
              <w:bottom w:val="single" w:color="auto" w:sz="4" w:space="0"/>
              <w:right w:val="single" w:color="auto" w:sz="4" w:space="0"/>
            </w:tcBorders>
            <w:noWrap w:val="0"/>
            <w:vAlign w:val="center"/>
          </w:tcPr>
          <w:p w14:paraId="237F158E">
            <w:pPr>
              <w:spacing w:line="360" w:lineRule="exact"/>
              <w:jc w:val="center"/>
              <w:rPr>
                <w:rFonts w:ascii="宋体" w:hAnsi="宋体"/>
                <w:color w:val="auto"/>
              </w:rPr>
            </w:pPr>
            <w:r>
              <w:rPr>
                <w:rFonts w:hint="eastAsia" w:ascii="宋体" w:hAnsi="宋体"/>
                <w:color w:val="auto"/>
              </w:rPr>
              <w:t>数量</w:t>
            </w:r>
          </w:p>
        </w:tc>
        <w:tc>
          <w:tcPr>
            <w:tcW w:w="1205" w:type="dxa"/>
            <w:tcBorders>
              <w:top w:val="single" w:color="auto" w:sz="4" w:space="0"/>
              <w:left w:val="nil"/>
              <w:bottom w:val="single" w:color="auto" w:sz="4" w:space="0"/>
              <w:right w:val="single" w:color="auto" w:sz="4" w:space="0"/>
            </w:tcBorders>
            <w:noWrap w:val="0"/>
            <w:vAlign w:val="center"/>
          </w:tcPr>
          <w:p w14:paraId="3000C6D8">
            <w:pPr>
              <w:spacing w:line="360" w:lineRule="exact"/>
              <w:jc w:val="center"/>
              <w:rPr>
                <w:rFonts w:ascii="宋体" w:hAnsi="宋体"/>
                <w:color w:val="auto"/>
              </w:rPr>
            </w:pPr>
            <w:r>
              <w:rPr>
                <w:rFonts w:hint="eastAsia" w:ascii="宋体" w:hAnsi="宋体"/>
                <w:color w:val="auto"/>
              </w:rPr>
              <w:t>单价(元)</w:t>
            </w:r>
          </w:p>
        </w:tc>
        <w:tc>
          <w:tcPr>
            <w:tcW w:w="1047" w:type="dxa"/>
            <w:tcBorders>
              <w:top w:val="single" w:color="auto" w:sz="4" w:space="0"/>
              <w:left w:val="nil"/>
              <w:bottom w:val="single" w:color="auto" w:sz="4" w:space="0"/>
              <w:right w:val="single" w:color="auto" w:sz="4" w:space="0"/>
            </w:tcBorders>
            <w:noWrap w:val="0"/>
            <w:vAlign w:val="center"/>
          </w:tcPr>
          <w:p w14:paraId="7FC69644">
            <w:pPr>
              <w:spacing w:line="360" w:lineRule="exact"/>
              <w:jc w:val="center"/>
              <w:rPr>
                <w:rFonts w:ascii="宋体" w:hAnsi="宋体"/>
                <w:color w:val="auto"/>
              </w:rPr>
            </w:pPr>
            <w:r>
              <w:rPr>
                <w:rFonts w:hint="eastAsia" w:ascii="宋体" w:hAnsi="宋体"/>
                <w:color w:val="auto"/>
              </w:rPr>
              <w:t>总价(元)</w:t>
            </w:r>
          </w:p>
        </w:tc>
        <w:tc>
          <w:tcPr>
            <w:tcW w:w="720" w:type="dxa"/>
            <w:tcBorders>
              <w:top w:val="single" w:color="auto" w:sz="4" w:space="0"/>
              <w:left w:val="nil"/>
              <w:bottom w:val="single" w:color="auto" w:sz="4" w:space="0"/>
              <w:right w:val="single" w:color="auto" w:sz="4" w:space="0"/>
            </w:tcBorders>
            <w:noWrap w:val="0"/>
            <w:vAlign w:val="center"/>
          </w:tcPr>
          <w:p w14:paraId="67684E89">
            <w:pPr>
              <w:spacing w:line="360" w:lineRule="exact"/>
              <w:jc w:val="center"/>
              <w:rPr>
                <w:rFonts w:ascii="宋体" w:hAnsi="宋体"/>
                <w:color w:val="auto"/>
              </w:rPr>
            </w:pPr>
            <w:r>
              <w:rPr>
                <w:rFonts w:hint="eastAsia" w:ascii="宋体" w:hAnsi="宋体"/>
                <w:color w:val="auto"/>
              </w:rPr>
              <w:t>使用单位</w:t>
            </w:r>
          </w:p>
        </w:tc>
      </w:tr>
      <w:tr w14:paraId="5F190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4E763BC4">
            <w:pPr>
              <w:spacing w:line="360" w:lineRule="exact"/>
              <w:jc w:val="center"/>
              <w:rPr>
                <w:rFonts w:ascii="宋体" w:hAnsi="宋体"/>
                <w:color w:val="auto"/>
              </w:rPr>
            </w:pPr>
            <w:r>
              <w:rPr>
                <w:rFonts w:hint="eastAsia" w:ascii="宋体" w:hAnsi="宋体"/>
                <w:color w:val="auto"/>
              </w:rPr>
              <w:t>1</w:t>
            </w:r>
          </w:p>
        </w:tc>
        <w:tc>
          <w:tcPr>
            <w:tcW w:w="1559" w:type="dxa"/>
            <w:tcBorders>
              <w:top w:val="single" w:color="auto" w:sz="4" w:space="0"/>
              <w:left w:val="nil"/>
              <w:bottom w:val="single" w:color="auto" w:sz="4" w:space="0"/>
              <w:right w:val="single" w:color="auto" w:sz="4" w:space="0"/>
            </w:tcBorders>
            <w:noWrap w:val="0"/>
            <w:vAlign w:val="center"/>
          </w:tcPr>
          <w:p w14:paraId="43C7A6A5">
            <w:pPr>
              <w:spacing w:line="360" w:lineRule="exact"/>
              <w:jc w:val="center"/>
              <w:rPr>
                <w:rFonts w:ascii="宋体" w:hAnsi="宋体"/>
                <w:color w:val="auto"/>
              </w:rPr>
            </w:pPr>
          </w:p>
        </w:tc>
        <w:tc>
          <w:tcPr>
            <w:tcW w:w="1236" w:type="dxa"/>
            <w:tcBorders>
              <w:top w:val="single" w:color="auto" w:sz="4" w:space="0"/>
              <w:left w:val="nil"/>
              <w:bottom w:val="single" w:color="auto" w:sz="4" w:space="0"/>
              <w:right w:val="single" w:color="auto" w:sz="4" w:space="0"/>
            </w:tcBorders>
            <w:noWrap w:val="0"/>
            <w:vAlign w:val="center"/>
          </w:tcPr>
          <w:p w14:paraId="5979C177">
            <w:pPr>
              <w:spacing w:line="360" w:lineRule="exact"/>
              <w:jc w:val="center"/>
              <w:rPr>
                <w:rFonts w:ascii="宋体" w:hAnsi="宋体"/>
                <w:color w:val="auto"/>
              </w:rPr>
            </w:pPr>
          </w:p>
        </w:tc>
        <w:tc>
          <w:tcPr>
            <w:tcW w:w="816" w:type="dxa"/>
            <w:tcBorders>
              <w:top w:val="single" w:color="auto" w:sz="4" w:space="0"/>
              <w:left w:val="nil"/>
              <w:bottom w:val="single" w:color="auto" w:sz="4" w:space="0"/>
              <w:right w:val="single" w:color="auto" w:sz="4" w:space="0"/>
            </w:tcBorders>
            <w:noWrap w:val="0"/>
            <w:vAlign w:val="center"/>
          </w:tcPr>
          <w:p w14:paraId="4C4D8E14">
            <w:pPr>
              <w:spacing w:line="360" w:lineRule="exact"/>
              <w:jc w:val="center"/>
              <w:rPr>
                <w:rFonts w:ascii="宋体" w:hAnsi="宋体"/>
                <w:color w:val="auto"/>
              </w:rPr>
            </w:pPr>
          </w:p>
        </w:tc>
        <w:tc>
          <w:tcPr>
            <w:tcW w:w="816" w:type="dxa"/>
            <w:tcBorders>
              <w:top w:val="single" w:color="auto" w:sz="4" w:space="0"/>
              <w:left w:val="nil"/>
              <w:bottom w:val="single" w:color="auto" w:sz="4" w:space="0"/>
              <w:right w:val="single" w:color="auto" w:sz="4" w:space="0"/>
            </w:tcBorders>
            <w:noWrap w:val="0"/>
            <w:vAlign w:val="center"/>
          </w:tcPr>
          <w:p w14:paraId="33DDD5D5">
            <w:pPr>
              <w:spacing w:line="360" w:lineRule="exact"/>
              <w:jc w:val="center"/>
              <w:rPr>
                <w:rFonts w:ascii="宋体" w:hAnsi="宋体"/>
                <w:color w:val="auto"/>
              </w:rPr>
            </w:pPr>
          </w:p>
        </w:tc>
        <w:tc>
          <w:tcPr>
            <w:tcW w:w="1205" w:type="dxa"/>
            <w:tcBorders>
              <w:top w:val="single" w:color="auto" w:sz="4" w:space="0"/>
              <w:left w:val="nil"/>
              <w:bottom w:val="single" w:color="auto" w:sz="4" w:space="0"/>
              <w:right w:val="single" w:color="auto" w:sz="4" w:space="0"/>
            </w:tcBorders>
            <w:noWrap w:val="0"/>
            <w:vAlign w:val="center"/>
          </w:tcPr>
          <w:p w14:paraId="3683BC62">
            <w:pPr>
              <w:spacing w:line="360" w:lineRule="exact"/>
              <w:jc w:val="center"/>
              <w:rPr>
                <w:rFonts w:ascii="宋体" w:hAnsi="宋体"/>
                <w:color w:val="auto"/>
              </w:rPr>
            </w:pPr>
          </w:p>
        </w:tc>
        <w:tc>
          <w:tcPr>
            <w:tcW w:w="1047" w:type="dxa"/>
            <w:tcBorders>
              <w:top w:val="single" w:color="auto" w:sz="4" w:space="0"/>
              <w:left w:val="nil"/>
              <w:bottom w:val="single" w:color="auto" w:sz="4" w:space="0"/>
              <w:right w:val="single" w:color="auto" w:sz="4" w:space="0"/>
            </w:tcBorders>
            <w:noWrap w:val="0"/>
            <w:vAlign w:val="center"/>
          </w:tcPr>
          <w:p w14:paraId="3EF1D0FD">
            <w:pPr>
              <w:adjustRightInd w:val="0"/>
              <w:snapToGrid w:val="0"/>
              <w:spacing w:line="360" w:lineRule="exact"/>
              <w:jc w:val="center"/>
              <w:rPr>
                <w:rFonts w:ascii="宋体" w:hAnsi="宋体"/>
                <w:color w:val="auto"/>
              </w:rPr>
            </w:pPr>
          </w:p>
        </w:tc>
        <w:tc>
          <w:tcPr>
            <w:tcW w:w="720" w:type="dxa"/>
            <w:vMerge w:val="restart"/>
            <w:tcBorders>
              <w:top w:val="nil"/>
              <w:left w:val="nil"/>
              <w:bottom w:val="single" w:color="auto" w:sz="4" w:space="0"/>
              <w:right w:val="single" w:color="auto" w:sz="4" w:space="0"/>
            </w:tcBorders>
            <w:noWrap w:val="0"/>
            <w:vAlign w:val="center"/>
          </w:tcPr>
          <w:p w14:paraId="63B9EFE2">
            <w:pPr>
              <w:spacing w:line="360" w:lineRule="exact"/>
              <w:jc w:val="center"/>
              <w:rPr>
                <w:rFonts w:ascii="宋体" w:hAnsi="宋体"/>
                <w:color w:val="auto"/>
              </w:rPr>
            </w:pPr>
          </w:p>
        </w:tc>
      </w:tr>
      <w:tr w14:paraId="32F10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560D3F19">
            <w:pPr>
              <w:spacing w:line="360" w:lineRule="exact"/>
              <w:jc w:val="center"/>
              <w:rPr>
                <w:rFonts w:ascii="宋体" w:hAnsi="宋体"/>
                <w:color w:val="auto"/>
              </w:rPr>
            </w:pPr>
            <w:r>
              <w:rPr>
                <w:rFonts w:hint="eastAsia" w:ascii="宋体" w:hAnsi="宋体"/>
                <w:color w:val="auto"/>
              </w:rPr>
              <w:t>2</w:t>
            </w:r>
          </w:p>
        </w:tc>
        <w:tc>
          <w:tcPr>
            <w:tcW w:w="1559" w:type="dxa"/>
            <w:tcBorders>
              <w:top w:val="single" w:color="auto" w:sz="4" w:space="0"/>
              <w:left w:val="nil"/>
              <w:bottom w:val="single" w:color="auto" w:sz="4" w:space="0"/>
              <w:right w:val="single" w:color="auto" w:sz="4" w:space="0"/>
            </w:tcBorders>
            <w:noWrap w:val="0"/>
            <w:vAlign w:val="center"/>
          </w:tcPr>
          <w:p w14:paraId="5C17C443">
            <w:pPr>
              <w:spacing w:line="360" w:lineRule="exact"/>
              <w:jc w:val="center"/>
              <w:rPr>
                <w:rFonts w:ascii="宋体" w:hAnsi="宋体"/>
                <w:color w:val="auto"/>
              </w:rPr>
            </w:pPr>
          </w:p>
        </w:tc>
        <w:tc>
          <w:tcPr>
            <w:tcW w:w="1236" w:type="dxa"/>
            <w:tcBorders>
              <w:top w:val="single" w:color="auto" w:sz="4" w:space="0"/>
              <w:left w:val="nil"/>
              <w:bottom w:val="single" w:color="auto" w:sz="4" w:space="0"/>
              <w:right w:val="single" w:color="auto" w:sz="4" w:space="0"/>
            </w:tcBorders>
            <w:noWrap w:val="0"/>
            <w:vAlign w:val="center"/>
          </w:tcPr>
          <w:p w14:paraId="70324643">
            <w:pPr>
              <w:spacing w:line="360" w:lineRule="exact"/>
              <w:jc w:val="center"/>
              <w:rPr>
                <w:rFonts w:ascii="宋体" w:hAnsi="宋体"/>
                <w:color w:val="auto"/>
              </w:rPr>
            </w:pPr>
          </w:p>
        </w:tc>
        <w:tc>
          <w:tcPr>
            <w:tcW w:w="816" w:type="dxa"/>
            <w:tcBorders>
              <w:top w:val="single" w:color="auto" w:sz="4" w:space="0"/>
              <w:left w:val="nil"/>
              <w:bottom w:val="single" w:color="auto" w:sz="4" w:space="0"/>
              <w:right w:val="single" w:color="auto" w:sz="4" w:space="0"/>
            </w:tcBorders>
            <w:noWrap w:val="0"/>
            <w:vAlign w:val="center"/>
          </w:tcPr>
          <w:p w14:paraId="69B31F38">
            <w:pPr>
              <w:spacing w:line="360" w:lineRule="exact"/>
              <w:jc w:val="center"/>
              <w:rPr>
                <w:rFonts w:ascii="宋体" w:hAnsi="宋体"/>
                <w:color w:val="auto"/>
              </w:rPr>
            </w:pPr>
          </w:p>
        </w:tc>
        <w:tc>
          <w:tcPr>
            <w:tcW w:w="816" w:type="dxa"/>
            <w:tcBorders>
              <w:top w:val="single" w:color="auto" w:sz="4" w:space="0"/>
              <w:left w:val="nil"/>
              <w:bottom w:val="single" w:color="auto" w:sz="4" w:space="0"/>
              <w:right w:val="single" w:color="auto" w:sz="4" w:space="0"/>
            </w:tcBorders>
            <w:noWrap w:val="0"/>
            <w:vAlign w:val="center"/>
          </w:tcPr>
          <w:p w14:paraId="61075852">
            <w:pPr>
              <w:spacing w:line="360" w:lineRule="exact"/>
              <w:jc w:val="center"/>
              <w:rPr>
                <w:rFonts w:ascii="宋体" w:hAnsi="宋体"/>
                <w:color w:val="auto"/>
              </w:rPr>
            </w:pPr>
          </w:p>
        </w:tc>
        <w:tc>
          <w:tcPr>
            <w:tcW w:w="1205" w:type="dxa"/>
            <w:tcBorders>
              <w:top w:val="single" w:color="auto" w:sz="4" w:space="0"/>
              <w:left w:val="nil"/>
              <w:bottom w:val="single" w:color="auto" w:sz="4" w:space="0"/>
              <w:right w:val="single" w:color="auto" w:sz="4" w:space="0"/>
            </w:tcBorders>
            <w:noWrap w:val="0"/>
            <w:vAlign w:val="center"/>
          </w:tcPr>
          <w:p w14:paraId="14B1E0DB">
            <w:pPr>
              <w:spacing w:line="360" w:lineRule="exact"/>
              <w:jc w:val="center"/>
              <w:rPr>
                <w:rFonts w:ascii="宋体" w:hAnsi="宋体"/>
                <w:color w:val="auto"/>
              </w:rPr>
            </w:pPr>
          </w:p>
        </w:tc>
        <w:tc>
          <w:tcPr>
            <w:tcW w:w="1047" w:type="dxa"/>
            <w:tcBorders>
              <w:top w:val="single" w:color="auto" w:sz="4" w:space="0"/>
              <w:left w:val="nil"/>
              <w:bottom w:val="single" w:color="auto" w:sz="4" w:space="0"/>
              <w:right w:val="single" w:color="auto" w:sz="4" w:space="0"/>
            </w:tcBorders>
            <w:noWrap w:val="0"/>
            <w:vAlign w:val="center"/>
          </w:tcPr>
          <w:p w14:paraId="05B7971B">
            <w:pPr>
              <w:adjustRightInd w:val="0"/>
              <w:snapToGrid w:val="0"/>
              <w:spacing w:line="360" w:lineRule="exact"/>
              <w:jc w:val="center"/>
              <w:rPr>
                <w:rFonts w:ascii="宋体" w:hAnsi="宋体"/>
                <w:color w:val="auto"/>
              </w:rPr>
            </w:pPr>
          </w:p>
        </w:tc>
        <w:tc>
          <w:tcPr>
            <w:tcW w:w="720" w:type="dxa"/>
            <w:vMerge w:val="continue"/>
            <w:tcBorders>
              <w:top w:val="nil"/>
              <w:left w:val="nil"/>
              <w:bottom w:val="single" w:color="auto" w:sz="4" w:space="0"/>
              <w:right w:val="single" w:color="auto" w:sz="4" w:space="0"/>
            </w:tcBorders>
            <w:noWrap w:val="0"/>
            <w:vAlign w:val="center"/>
          </w:tcPr>
          <w:p w14:paraId="232E5DD0">
            <w:pPr>
              <w:widowControl/>
              <w:spacing w:line="360" w:lineRule="exact"/>
              <w:jc w:val="left"/>
              <w:rPr>
                <w:rFonts w:ascii="宋体" w:hAnsi="宋体"/>
                <w:color w:val="auto"/>
              </w:rPr>
            </w:pPr>
          </w:p>
        </w:tc>
      </w:tr>
      <w:tr w14:paraId="5D731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2E1CC74D">
            <w:pPr>
              <w:spacing w:line="360" w:lineRule="exact"/>
              <w:jc w:val="center"/>
              <w:rPr>
                <w:rFonts w:ascii="宋体" w:hAnsi="宋体"/>
                <w:color w:val="auto"/>
              </w:rPr>
            </w:pPr>
            <w:r>
              <w:rPr>
                <w:rFonts w:hint="eastAsia" w:ascii="宋体" w:hAnsi="宋体"/>
                <w:color w:val="auto"/>
              </w:rPr>
              <w:t>3</w:t>
            </w:r>
          </w:p>
        </w:tc>
        <w:tc>
          <w:tcPr>
            <w:tcW w:w="1559" w:type="dxa"/>
            <w:tcBorders>
              <w:top w:val="single" w:color="auto" w:sz="4" w:space="0"/>
              <w:left w:val="nil"/>
              <w:bottom w:val="single" w:color="auto" w:sz="4" w:space="0"/>
              <w:right w:val="single" w:color="auto" w:sz="4" w:space="0"/>
            </w:tcBorders>
            <w:noWrap w:val="0"/>
            <w:vAlign w:val="center"/>
          </w:tcPr>
          <w:p w14:paraId="66807FFA">
            <w:pPr>
              <w:spacing w:line="360" w:lineRule="exact"/>
              <w:jc w:val="center"/>
              <w:rPr>
                <w:rFonts w:ascii="宋体" w:hAnsi="宋体"/>
                <w:color w:val="auto"/>
              </w:rPr>
            </w:pPr>
          </w:p>
        </w:tc>
        <w:tc>
          <w:tcPr>
            <w:tcW w:w="1236" w:type="dxa"/>
            <w:tcBorders>
              <w:top w:val="single" w:color="auto" w:sz="4" w:space="0"/>
              <w:left w:val="nil"/>
              <w:bottom w:val="single" w:color="auto" w:sz="4" w:space="0"/>
              <w:right w:val="single" w:color="auto" w:sz="4" w:space="0"/>
            </w:tcBorders>
            <w:noWrap w:val="0"/>
            <w:vAlign w:val="center"/>
          </w:tcPr>
          <w:p w14:paraId="1D4804B5">
            <w:pPr>
              <w:spacing w:line="360" w:lineRule="exact"/>
              <w:jc w:val="center"/>
              <w:rPr>
                <w:rFonts w:ascii="宋体" w:hAnsi="宋体"/>
                <w:color w:val="auto"/>
              </w:rPr>
            </w:pPr>
          </w:p>
        </w:tc>
        <w:tc>
          <w:tcPr>
            <w:tcW w:w="816" w:type="dxa"/>
            <w:tcBorders>
              <w:top w:val="single" w:color="auto" w:sz="4" w:space="0"/>
              <w:left w:val="nil"/>
              <w:bottom w:val="single" w:color="auto" w:sz="4" w:space="0"/>
              <w:right w:val="single" w:color="auto" w:sz="4" w:space="0"/>
            </w:tcBorders>
            <w:noWrap w:val="0"/>
            <w:vAlign w:val="center"/>
          </w:tcPr>
          <w:p w14:paraId="66D089A0">
            <w:pPr>
              <w:spacing w:line="360" w:lineRule="exact"/>
              <w:jc w:val="center"/>
              <w:rPr>
                <w:rFonts w:ascii="宋体" w:hAnsi="宋体"/>
                <w:color w:val="auto"/>
              </w:rPr>
            </w:pPr>
          </w:p>
        </w:tc>
        <w:tc>
          <w:tcPr>
            <w:tcW w:w="816" w:type="dxa"/>
            <w:tcBorders>
              <w:top w:val="single" w:color="auto" w:sz="4" w:space="0"/>
              <w:left w:val="nil"/>
              <w:bottom w:val="single" w:color="auto" w:sz="4" w:space="0"/>
              <w:right w:val="single" w:color="auto" w:sz="4" w:space="0"/>
            </w:tcBorders>
            <w:noWrap w:val="0"/>
            <w:vAlign w:val="center"/>
          </w:tcPr>
          <w:p w14:paraId="20B98BC8">
            <w:pPr>
              <w:spacing w:line="360" w:lineRule="exact"/>
              <w:jc w:val="center"/>
              <w:rPr>
                <w:rFonts w:ascii="宋体" w:hAnsi="宋体"/>
                <w:color w:val="auto"/>
              </w:rPr>
            </w:pPr>
          </w:p>
        </w:tc>
        <w:tc>
          <w:tcPr>
            <w:tcW w:w="1205" w:type="dxa"/>
            <w:tcBorders>
              <w:top w:val="single" w:color="auto" w:sz="4" w:space="0"/>
              <w:left w:val="nil"/>
              <w:bottom w:val="single" w:color="auto" w:sz="4" w:space="0"/>
              <w:right w:val="single" w:color="auto" w:sz="4" w:space="0"/>
            </w:tcBorders>
            <w:noWrap w:val="0"/>
            <w:vAlign w:val="center"/>
          </w:tcPr>
          <w:p w14:paraId="484D3B85">
            <w:pPr>
              <w:spacing w:line="360" w:lineRule="exact"/>
              <w:jc w:val="center"/>
              <w:rPr>
                <w:rFonts w:ascii="宋体" w:hAnsi="宋体"/>
                <w:color w:val="auto"/>
              </w:rPr>
            </w:pPr>
          </w:p>
        </w:tc>
        <w:tc>
          <w:tcPr>
            <w:tcW w:w="1047" w:type="dxa"/>
            <w:tcBorders>
              <w:top w:val="single" w:color="auto" w:sz="4" w:space="0"/>
              <w:left w:val="nil"/>
              <w:bottom w:val="single" w:color="auto" w:sz="4" w:space="0"/>
              <w:right w:val="single" w:color="auto" w:sz="4" w:space="0"/>
            </w:tcBorders>
            <w:noWrap w:val="0"/>
            <w:vAlign w:val="center"/>
          </w:tcPr>
          <w:p w14:paraId="04827380">
            <w:pPr>
              <w:spacing w:line="360" w:lineRule="exact"/>
              <w:jc w:val="center"/>
              <w:rPr>
                <w:rFonts w:ascii="宋体" w:hAnsi="宋体"/>
                <w:color w:val="auto"/>
              </w:rPr>
            </w:pPr>
          </w:p>
        </w:tc>
        <w:tc>
          <w:tcPr>
            <w:tcW w:w="720" w:type="dxa"/>
            <w:vMerge w:val="continue"/>
            <w:tcBorders>
              <w:top w:val="nil"/>
              <w:left w:val="nil"/>
              <w:bottom w:val="single" w:color="auto" w:sz="4" w:space="0"/>
              <w:right w:val="single" w:color="auto" w:sz="4" w:space="0"/>
            </w:tcBorders>
            <w:noWrap w:val="0"/>
            <w:vAlign w:val="center"/>
          </w:tcPr>
          <w:p w14:paraId="6A64A5CD">
            <w:pPr>
              <w:widowControl/>
              <w:spacing w:line="360" w:lineRule="exact"/>
              <w:jc w:val="left"/>
              <w:rPr>
                <w:rFonts w:ascii="宋体" w:hAnsi="宋体"/>
                <w:color w:val="auto"/>
              </w:rPr>
            </w:pPr>
          </w:p>
        </w:tc>
      </w:tr>
      <w:tr w14:paraId="7B774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0C0B2432">
            <w:pPr>
              <w:spacing w:line="360" w:lineRule="exact"/>
              <w:jc w:val="center"/>
              <w:rPr>
                <w:rFonts w:ascii="宋体" w:hAnsi="宋体"/>
                <w:color w:val="auto"/>
              </w:rPr>
            </w:pPr>
            <w:r>
              <w:rPr>
                <w:rFonts w:hint="eastAsia" w:ascii="宋体" w:hAnsi="宋体"/>
                <w:color w:val="auto"/>
              </w:rPr>
              <w:t>4</w:t>
            </w:r>
          </w:p>
        </w:tc>
        <w:tc>
          <w:tcPr>
            <w:tcW w:w="1559" w:type="dxa"/>
            <w:tcBorders>
              <w:top w:val="single" w:color="auto" w:sz="4" w:space="0"/>
              <w:left w:val="nil"/>
              <w:bottom w:val="single" w:color="auto" w:sz="4" w:space="0"/>
              <w:right w:val="single" w:color="auto" w:sz="4" w:space="0"/>
            </w:tcBorders>
            <w:noWrap w:val="0"/>
            <w:vAlign w:val="center"/>
          </w:tcPr>
          <w:p w14:paraId="2A245F28">
            <w:pPr>
              <w:spacing w:line="360" w:lineRule="exact"/>
              <w:jc w:val="center"/>
              <w:rPr>
                <w:rFonts w:ascii="宋体" w:hAnsi="宋体"/>
                <w:color w:val="auto"/>
              </w:rPr>
            </w:pPr>
          </w:p>
        </w:tc>
        <w:tc>
          <w:tcPr>
            <w:tcW w:w="1236" w:type="dxa"/>
            <w:tcBorders>
              <w:top w:val="single" w:color="auto" w:sz="4" w:space="0"/>
              <w:left w:val="nil"/>
              <w:bottom w:val="single" w:color="auto" w:sz="4" w:space="0"/>
              <w:right w:val="single" w:color="auto" w:sz="4" w:space="0"/>
            </w:tcBorders>
            <w:noWrap w:val="0"/>
            <w:vAlign w:val="center"/>
          </w:tcPr>
          <w:p w14:paraId="34D6586A">
            <w:pPr>
              <w:spacing w:line="360" w:lineRule="exact"/>
              <w:jc w:val="center"/>
              <w:rPr>
                <w:rFonts w:ascii="宋体" w:hAnsi="宋体"/>
                <w:color w:val="auto"/>
              </w:rPr>
            </w:pPr>
          </w:p>
        </w:tc>
        <w:tc>
          <w:tcPr>
            <w:tcW w:w="816" w:type="dxa"/>
            <w:tcBorders>
              <w:top w:val="single" w:color="auto" w:sz="4" w:space="0"/>
              <w:left w:val="nil"/>
              <w:bottom w:val="single" w:color="auto" w:sz="4" w:space="0"/>
              <w:right w:val="single" w:color="auto" w:sz="4" w:space="0"/>
            </w:tcBorders>
            <w:noWrap w:val="0"/>
            <w:vAlign w:val="center"/>
          </w:tcPr>
          <w:p w14:paraId="0C059199">
            <w:pPr>
              <w:spacing w:line="360" w:lineRule="exact"/>
              <w:jc w:val="center"/>
              <w:rPr>
                <w:rFonts w:ascii="宋体" w:hAnsi="宋体"/>
                <w:color w:val="auto"/>
              </w:rPr>
            </w:pPr>
          </w:p>
        </w:tc>
        <w:tc>
          <w:tcPr>
            <w:tcW w:w="816" w:type="dxa"/>
            <w:tcBorders>
              <w:top w:val="single" w:color="auto" w:sz="4" w:space="0"/>
              <w:left w:val="nil"/>
              <w:bottom w:val="single" w:color="auto" w:sz="4" w:space="0"/>
              <w:right w:val="single" w:color="auto" w:sz="4" w:space="0"/>
            </w:tcBorders>
            <w:noWrap w:val="0"/>
            <w:vAlign w:val="center"/>
          </w:tcPr>
          <w:p w14:paraId="02CA3C4A">
            <w:pPr>
              <w:spacing w:line="360" w:lineRule="exact"/>
              <w:jc w:val="center"/>
              <w:rPr>
                <w:rFonts w:ascii="宋体" w:hAnsi="宋体"/>
                <w:color w:val="auto"/>
              </w:rPr>
            </w:pPr>
          </w:p>
        </w:tc>
        <w:tc>
          <w:tcPr>
            <w:tcW w:w="1205" w:type="dxa"/>
            <w:tcBorders>
              <w:top w:val="single" w:color="auto" w:sz="4" w:space="0"/>
              <w:left w:val="nil"/>
              <w:bottom w:val="single" w:color="auto" w:sz="4" w:space="0"/>
              <w:right w:val="single" w:color="auto" w:sz="4" w:space="0"/>
            </w:tcBorders>
            <w:noWrap w:val="0"/>
            <w:vAlign w:val="center"/>
          </w:tcPr>
          <w:p w14:paraId="38DEA7CE">
            <w:pPr>
              <w:spacing w:line="360" w:lineRule="exact"/>
              <w:jc w:val="center"/>
              <w:rPr>
                <w:rFonts w:ascii="宋体" w:hAnsi="宋体"/>
                <w:color w:val="auto"/>
              </w:rPr>
            </w:pPr>
          </w:p>
        </w:tc>
        <w:tc>
          <w:tcPr>
            <w:tcW w:w="1047" w:type="dxa"/>
            <w:tcBorders>
              <w:top w:val="single" w:color="auto" w:sz="4" w:space="0"/>
              <w:left w:val="nil"/>
              <w:bottom w:val="single" w:color="auto" w:sz="4" w:space="0"/>
              <w:right w:val="single" w:color="auto" w:sz="4" w:space="0"/>
            </w:tcBorders>
            <w:noWrap w:val="0"/>
            <w:vAlign w:val="center"/>
          </w:tcPr>
          <w:p w14:paraId="4C97B22F">
            <w:pPr>
              <w:spacing w:line="360" w:lineRule="exact"/>
              <w:jc w:val="center"/>
              <w:rPr>
                <w:rFonts w:ascii="宋体" w:hAnsi="宋体"/>
                <w:color w:val="auto"/>
              </w:rPr>
            </w:pPr>
          </w:p>
        </w:tc>
        <w:tc>
          <w:tcPr>
            <w:tcW w:w="720" w:type="dxa"/>
            <w:vMerge w:val="continue"/>
            <w:tcBorders>
              <w:top w:val="nil"/>
              <w:left w:val="nil"/>
              <w:bottom w:val="single" w:color="auto" w:sz="4" w:space="0"/>
              <w:right w:val="single" w:color="auto" w:sz="4" w:space="0"/>
            </w:tcBorders>
            <w:noWrap w:val="0"/>
            <w:vAlign w:val="center"/>
          </w:tcPr>
          <w:p w14:paraId="6DD0D95F">
            <w:pPr>
              <w:widowControl/>
              <w:spacing w:line="360" w:lineRule="exact"/>
              <w:jc w:val="left"/>
              <w:rPr>
                <w:rFonts w:ascii="宋体" w:hAnsi="宋体"/>
                <w:color w:val="auto"/>
              </w:rPr>
            </w:pPr>
          </w:p>
        </w:tc>
      </w:tr>
      <w:tr w14:paraId="72C85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343F642E">
            <w:pPr>
              <w:spacing w:line="360" w:lineRule="exact"/>
              <w:jc w:val="center"/>
              <w:rPr>
                <w:rFonts w:ascii="宋体" w:hAnsi="宋体"/>
                <w:color w:val="auto"/>
              </w:rPr>
            </w:pPr>
            <w:r>
              <w:rPr>
                <w:rFonts w:hint="eastAsia" w:ascii="宋体" w:hAnsi="宋体"/>
                <w:color w:val="auto"/>
              </w:rPr>
              <w:t>5</w:t>
            </w:r>
          </w:p>
        </w:tc>
        <w:tc>
          <w:tcPr>
            <w:tcW w:w="1559" w:type="dxa"/>
            <w:tcBorders>
              <w:top w:val="single" w:color="auto" w:sz="4" w:space="0"/>
              <w:left w:val="nil"/>
              <w:bottom w:val="single" w:color="auto" w:sz="4" w:space="0"/>
              <w:right w:val="single" w:color="auto" w:sz="4" w:space="0"/>
            </w:tcBorders>
            <w:noWrap w:val="0"/>
            <w:vAlign w:val="center"/>
          </w:tcPr>
          <w:p w14:paraId="11DC8D12">
            <w:pPr>
              <w:spacing w:line="360" w:lineRule="exact"/>
              <w:jc w:val="center"/>
              <w:rPr>
                <w:rFonts w:ascii="宋体" w:hAnsi="宋体"/>
                <w:color w:val="auto"/>
              </w:rPr>
            </w:pPr>
          </w:p>
        </w:tc>
        <w:tc>
          <w:tcPr>
            <w:tcW w:w="1236" w:type="dxa"/>
            <w:tcBorders>
              <w:top w:val="single" w:color="auto" w:sz="4" w:space="0"/>
              <w:left w:val="nil"/>
              <w:bottom w:val="single" w:color="auto" w:sz="4" w:space="0"/>
              <w:right w:val="single" w:color="auto" w:sz="4" w:space="0"/>
            </w:tcBorders>
            <w:noWrap w:val="0"/>
            <w:vAlign w:val="center"/>
          </w:tcPr>
          <w:p w14:paraId="1C212F96">
            <w:pPr>
              <w:spacing w:line="360" w:lineRule="exact"/>
              <w:jc w:val="center"/>
              <w:rPr>
                <w:rFonts w:ascii="宋体" w:hAnsi="宋体"/>
                <w:color w:val="auto"/>
              </w:rPr>
            </w:pPr>
          </w:p>
        </w:tc>
        <w:tc>
          <w:tcPr>
            <w:tcW w:w="816" w:type="dxa"/>
            <w:tcBorders>
              <w:top w:val="single" w:color="auto" w:sz="4" w:space="0"/>
              <w:left w:val="nil"/>
              <w:bottom w:val="single" w:color="auto" w:sz="4" w:space="0"/>
              <w:right w:val="single" w:color="auto" w:sz="4" w:space="0"/>
            </w:tcBorders>
            <w:noWrap w:val="0"/>
            <w:vAlign w:val="center"/>
          </w:tcPr>
          <w:p w14:paraId="176982F4">
            <w:pPr>
              <w:spacing w:line="360" w:lineRule="exact"/>
              <w:jc w:val="center"/>
              <w:rPr>
                <w:rFonts w:ascii="宋体" w:hAnsi="宋体"/>
                <w:color w:val="auto"/>
              </w:rPr>
            </w:pPr>
          </w:p>
        </w:tc>
        <w:tc>
          <w:tcPr>
            <w:tcW w:w="816" w:type="dxa"/>
            <w:tcBorders>
              <w:top w:val="single" w:color="auto" w:sz="4" w:space="0"/>
              <w:left w:val="nil"/>
              <w:bottom w:val="single" w:color="auto" w:sz="4" w:space="0"/>
              <w:right w:val="single" w:color="auto" w:sz="4" w:space="0"/>
            </w:tcBorders>
            <w:noWrap w:val="0"/>
            <w:vAlign w:val="center"/>
          </w:tcPr>
          <w:p w14:paraId="781E1BD7">
            <w:pPr>
              <w:spacing w:line="360" w:lineRule="exact"/>
              <w:jc w:val="center"/>
              <w:rPr>
                <w:rFonts w:ascii="宋体" w:hAnsi="宋体"/>
                <w:color w:val="auto"/>
              </w:rPr>
            </w:pPr>
          </w:p>
        </w:tc>
        <w:tc>
          <w:tcPr>
            <w:tcW w:w="1205" w:type="dxa"/>
            <w:tcBorders>
              <w:top w:val="single" w:color="auto" w:sz="4" w:space="0"/>
              <w:left w:val="nil"/>
              <w:bottom w:val="single" w:color="auto" w:sz="4" w:space="0"/>
              <w:right w:val="single" w:color="auto" w:sz="4" w:space="0"/>
            </w:tcBorders>
            <w:noWrap w:val="0"/>
            <w:vAlign w:val="center"/>
          </w:tcPr>
          <w:p w14:paraId="3E7C44C4">
            <w:pPr>
              <w:spacing w:line="360" w:lineRule="exact"/>
              <w:jc w:val="center"/>
              <w:rPr>
                <w:rFonts w:ascii="宋体" w:hAnsi="宋体"/>
                <w:color w:val="auto"/>
              </w:rPr>
            </w:pPr>
          </w:p>
        </w:tc>
        <w:tc>
          <w:tcPr>
            <w:tcW w:w="1047" w:type="dxa"/>
            <w:tcBorders>
              <w:top w:val="single" w:color="auto" w:sz="4" w:space="0"/>
              <w:left w:val="nil"/>
              <w:bottom w:val="single" w:color="auto" w:sz="4" w:space="0"/>
              <w:right w:val="single" w:color="auto" w:sz="4" w:space="0"/>
            </w:tcBorders>
            <w:noWrap w:val="0"/>
            <w:vAlign w:val="center"/>
          </w:tcPr>
          <w:p w14:paraId="65845181">
            <w:pPr>
              <w:spacing w:line="360" w:lineRule="exact"/>
              <w:jc w:val="center"/>
              <w:rPr>
                <w:rFonts w:ascii="宋体" w:hAnsi="宋体"/>
                <w:color w:val="auto"/>
              </w:rPr>
            </w:pPr>
          </w:p>
        </w:tc>
        <w:tc>
          <w:tcPr>
            <w:tcW w:w="720" w:type="dxa"/>
            <w:vMerge w:val="continue"/>
            <w:tcBorders>
              <w:top w:val="nil"/>
              <w:left w:val="nil"/>
              <w:bottom w:val="single" w:color="auto" w:sz="4" w:space="0"/>
              <w:right w:val="single" w:color="auto" w:sz="4" w:space="0"/>
            </w:tcBorders>
            <w:noWrap w:val="0"/>
            <w:vAlign w:val="center"/>
          </w:tcPr>
          <w:p w14:paraId="00D89D0D">
            <w:pPr>
              <w:widowControl/>
              <w:spacing w:line="360" w:lineRule="exact"/>
              <w:jc w:val="left"/>
              <w:rPr>
                <w:rFonts w:ascii="宋体" w:hAnsi="宋体"/>
                <w:color w:val="auto"/>
              </w:rPr>
            </w:pPr>
          </w:p>
        </w:tc>
      </w:tr>
      <w:tr w14:paraId="27412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108" w:type="dxa"/>
            <w:gridSpan w:val="8"/>
            <w:tcBorders>
              <w:top w:val="single" w:color="auto" w:sz="4" w:space="0"/>
              <w:left w:val="single" w:color="auto" w:sz="4" w:space="0"/>
              <w:bottom w:val="single" w:color="auto" w:sz="4" w:space="0"/>
              <w:right w:val="single" w:color="auto" w:sz="4" w:space="0"/>
            </w:tcBorders>
            <w:noWrap w:val="0"/>
            <w:vAlign w:val="center"/>
          </w:tcPr>
          <w:p w14:paraId="2AEE4F04">
            <w:pPr>
              <w:spacing w:line="360" w:lineRule="exact"/>
              <w:ind w:firstLine="840" w:firstLineChars="400"/>
              <w:rPr>
                <w:rFonts w:ascii="宋体" w:hAnsi="宋体"/>
                <w:color w:val="auto"/>
              </w:rPr>
            </w:pPr>
            <w:r>
              <w:rPr>
                <w:rFonts w:hint="eastAsia" w:ascii="宋体" w:hAnsi="宋体"/>
                <w:b/>
                <w:bCs/>
                <w:color w:val="auto"/>
              </w:rPr>
              <w:t>合同总价为人民币（含税）：</w:t>
            </w:r>
            <w:r>
              <w:rPr>
                <w:rFonts w:hint="eastAsia" w:ascii="宋体" w:hAnsi="宋体"/>
                <w:b/>
                <w:bCs/>
                <w:color w:val="auto"/>
                <w:u w:val="single"/>
              </w:rPr>
              <w:t xml:space="preserve"> X拾X万X仟</w:t>
            </w:r>
            <w:r>
              <w:rPr>
                <w:color w:val="auto"/>
                <w:u w:val="single"/>
              </w:rPr>
              <w:t>X</w:t>
            </w:r>
            <w:r>
              <w:rPr>
                <w:rFonts w:hint="eastAsia"/>
                <w:b/>
                <w:color w:val="auto"/>
                <w:u w:val="single"/>
              </w:rPr>
              <w:t>元整</w:t>
            </w:r>
            <w:r>
              <w:rPr>
                <w:rFonts w:hint="eastAsia" w:ascii="宋体" w:hAnsi="宋体"/>
                <w:b/>
                <w:bCs/>
                <w:color w:val="auto"/>
                <w:sz w:val="24"/>
                <w:szCs w:val="24"/>
                <w:u w:val="single"/>
              </w:rPr>
              <w:t>(￥: 00.00元)，</w:t>
            </w:r>
            <w:r>
              <w:rPr>
                <w:rFonts w:hint="eastAsia" w:ascii="宋体" w:hAnsi="宋体"/>
                <w:color w:val="auto"/>
                <w:sz w:val="24"/>
                <w:szCs w:val="24"/>
              </w:rPr>
              <w:t>其不含税价</w:t>
            </w:r>
            <w:r>
              <w:rPr>
                <w:rFonts w:hint="eastAsia" w:ascii="宋体" w:hAnsi="宋体"/>
                <w:b/>
                <w:bCs/>
                <w:color w:val="auto"/>
                <w:sz w:val="24"/>
                <w:szCs w:val="24"/>
                <w:u w:val="single"/>
              </w:rPr>
              <w:t>X万X仟X佰X拾元整(￥: 00.00元)</w:t>
            </w:r>
            <w:r>
              <w:rPr>
                <w:rFonts w:hint="eastAsia" w:ascii="宋体" w:hAnsi="宋体"/>
                <w:b/>
                <w:bCs/>
                <w:color w:val="auto"/>
                <w:sz w:val="24"/>
                <w:szCs w:val="24"/>
              </w:rPr>
              <w:t>，增值税</w:t>
            </w:r>
            <w:r>
              <w:rPr>
                <w:rFonts w:hint="eastAsia" w:ascii="宋体" w:hAnsi="宋体"/>
                <w:b/>
                <w:bCs/>
                <w:color w:val="auto"/>
                <w:sz w:val="24"/>
                <w:szCs w:val="24"/>
                <w:u w:val="single"/>
              </w:rPr>
              <w:t>X万X仟X佰X拾元整(￥: 00.00元)</w:t>
            </w:r>
          </w:p>
        </w:tc>
      </w:tr>
    </w:tbl>
    <w:p w14:paraId="6CE3FFDF">
      <w:pPr>
        <w:adjustRightInd w:val="0"/>
        <w:snapToGrid w:val="0"/>
        <w:spacing w:line="340" w:lineRule="exact"/>
        <w:ind w:firstLine="420" w:firstLineChars="200"/>
        <w:rPr>
          <w:rFonts w:hint="eastAsia" w:ascii="宋体" w:hAnsi="宋体"/>
          <w:color w:val="auto"/>
        </w:rPr>
      </w:pPr>
      <w:r>
        <w:rPr>
          <w:rFonts w:hint="eastAsia" w:ascii="宋体" w:hAnsi="宋体"/>
          <w:b/>
          <w:bCs/>
          <w:color w:val="auto"/>
        </w:rPr>
        <w:t>第三条　履行合同的时间、地点及方式：</w:t>
      </w:r>
      <w:r>
        <w:rPr>
          <w:rFonts w:hint="eastAsia" w:ascii="宋体" w:hAnsi="宋体"/>
          <w:color w:val="auto"/>
        </w:rPr>
        <w:t>本项目中的所有设备（产品）于</w:t>
      </w:r>
      <w:r>
        <w:rPr>
          <w:rFonts w:ascii="宋体" w:hAnsi="宋体"/>
          <w:color w:val="auto"/>
        </w:rPr>
        <w:t>2025</w:t>
      </w:r>
      <w:r>
        <w:rPr>
          <w:rFonts w:hint="eastAsia" w:ascii="宋体" w:hAnsi="宋体"/>
          <w:color w:val="auto"/>
        </w:rPr>
        <w:t>年x月</w:t>
      </w:r>
      <w:r>
        <w:rPr>
          <w:rFonts w:hint="eastAsia"/>
          <w:color w:val="auto"/>
        </w:rPr>
        <w:t>x</w:t>
      </w:r>
      <w:r>
        <w:rPr>
          <w:rFonts w:hint="eastAsia" w:ascii="宋体" w:hAnsi="宋体"/>
          <w:color w:val="auto"/>
        </w:rPr>
        <w:t>日前送货到湖南文理学院指定地点，安装调试完毕并交付使用，乙方每推迟一天交货，按合同总价1‰支付违约金。逾期履行超过15天，甲方可解除合同，并由乙方承担合同总价10%的违约责任。特殊情况乙方向甲方提出书面陈述，经甲方书面同意可适当延长供货期限。</w:t>
      </w:r>
    </w:p>
    <w:p w14:paraId="1E7ED3EE">
      <w:pPr>
        <w:adjustRightInd w:val="0"/>
        <w:snapToGrid w:val="0"/>
        <w:spacing w:line="340" w:lineRule="exact"/>
        <w:ind w:firstLine="420" w:firstLineChars="200"/>
        <w:rPr>
          <w:rFonts w:hint="eastAsia" w:ascii="宋体" w:hAnsi="宋体"/>
          <w:color w:val="auto"/>
        </w:rPr>
      </w:pPr>
      <w:r>
        <w:rPr>
          <w:rFonts w:hint="eastAsia" w:ascii="宋体" w:hAnsi="宋体"/>
          <w:b/>
          <w:bCs/>
          <w:color w:val="auto"/>
        </w:rPr>
        <w:t>第四条　</w:t>
      </w:r>
      <w:r>
        <w:rPr>
          <w:rFonts w:hint="eastAsia" w:ascii="宋体" w:hAnsi="宋体"/>
          <w:b/>
          <w:bCs/>
          <w:color w:val="auto"/>
          <w:lang w:val="en-US" w:eastAsia="zh-CN"/>
        </w:rPr>
        <w:t>付款方式：</w:t>
      </w:r>
      <w:r>
        <w:rPr>
          <w:rFonts w:hint="eastAsia" w:ascii="宋体" w:hAnsi="宋体"/>
          <w:color w:val="auto"/>
        </w:rPr>
        <w:t>乙方按合同规定要求提供货物和服务。所有设备（产品）按时到货并安装调试完工后，经甲方验收合格(作为付款程序的验收合格，不等同于认可产品没有任何质量缺陷，也不等同于放弃对乙方的违约责任追究)且办理财务结算手续完毕后（由省财政资金支付的项目，如因本年度省财政拨付给甲方的资金已使用完毕，甲方将于下年度优先支付）一次性支付该项目所有货款的100%</w:t>
      </w:r>
      <w:r>
        <w:rPr>
          <w:rFonts w:hint="eastAsia" w:ascii="宋体" w:hAnsi="宋体"/>
          <w:color w:val="auto"/>
          <w:lang w:val="en-US" w:eastAsia="zh-CN"/>
        </w:rPr>
        <w:t xml:space="preserve"> </w:t>
      </w:r>
      <w:r>
        <w:rPr>
          <w:rFonts w:hint="eastAsia" w:ascii="宋体" w:hAnsi="宋体"/>
          <w:color w:val="auto"/>
        </w:rPr>
        <w:t>。</w:t>
      </w:r>
    </w:p>
    <w:p w14:paraId="70D280CC">
      <w:pPr>
        <w:adjustRightInd w:val="0"/>
        <w:snapToGrid w:val="0"/>
        <w:spacing w:line="340" w:lineRule="exact"/>
        <w:ind w:firstLine="420" w:firstLineChars="200"/>
        <w:rPr>
          <w:rFonts w:hint="eastAsia" w:ascii="宋体" w:hAnsi="宋体"/>
          <w:color w:val="auto"/>
        </w:rPr>
      </w:pPr>
      <w:r>
        <w:rPr>
          <w:rFonts w:hint="eastAsia" w:ascii="宋体" w:hAnsi="宋体"/>
          <w:color w:val="auto"/>
        </w:rPr>
        <w:t>办理财务结算手续时乙方承诺交予甲方的设备采购发票严格按照合同开出，符合税务机关各项要求，且“销售货物清单”与税务机关留存底单一致，如有不符，乙方承担相应责任并赔偿因此给甲方造成的一切损失。</w:t>
      </w:r>
    </w:p>
    <w:p w14:paraId="5875E14E">
      <w:pPr>
        <w:adjustRightInd w:val="0"/>
        <w:snapToGrid w:val="0"/>
        <w:spacing w:line="340" w:lineRule="exact"/>
        <w:ind w:firstLine="420" w:firstLineChars="200"/>
        <w:rPr>
          <w:rFonts w:hint="eastAsia" w:ascii="宋体" w:hAnsi="宋体"/>
          <w:b/>
          <w:bCs/>
          <w:color w:val="auto"/>
        </w:rPr>
      </w:pPr>
      <w:r>
        <w:rPr>
          <w:rFonts w:hint="eastAsia" w:ascii="宋体" w:hAnsi="宋体"/>
          <w:b/>
          <w:bCs/>
          <w:color w:val="auto"/>
        </w:rPr>
        <w:t>第五条　违约责任</w:t>
      </w:r>
    </w:p>
    <w:p w14:paraId="716CCBA7">
      <w:pPr>
        <w:snapToGrid w:val="0"/>
        <w:spacing w:line="340" w:lineRule="exact"/>
        <w:ind w:firstLine="420" w:firstLineChars="200"/>
        <w:rPr>
          <w:rFonts w:ascii="宋体" w:hAnsi="宋体"/>
          <w:color w:val="auto"/>
        </w:rPr>
      </w:pPr>
      <w:r>
        <w:rPr>
          <w:rFonts w:hint="eastAsia" w:ascii="宋体" w:hAnsi="宋体"/>
          <w:color w:val="auto"/>
        </w:rPr>
        <w:t>（一）</w:t>
      </w:r>
      <w:r>
        <w:rPr>
          <w:rFonts w:ascii="宋体" w:hAnsi="宋体"/>
          <w:color w:val="auto"/>
        </w:rPr>
        <w:t>所有设备</w:t>
      </w:r>
      <w:r>
        <w:rPr>
          <w:rFonts w:hint="eastAsia" w:ascii="宋体" w:hAnsi="宋体" w:cs="黑体"/>
          <w:color w:val="auto"/>
        </w:rPr>
        <w:t>（产品）</w:t>
      </w:r>
      <w:r>
        <w:rPr>
          <w:rFonts w:ascii="宋体" w:hAnsi="宋体"/>
          <w:color w:val="auto"/>
        </w:rPr>
        <w:t>须与合同所要求的技术参数相</w:t>
      </w:r>
      <w:r>
        <w:rPr>
          <w:rFonts w:hint="eastAsia" w:ascii="宋体" w:hAnsi="宋体"/>
          <w:color w:val="auto"/>
        </w:rPr>
        <w:t>一致，且不得价格欺诈（高于市场最高价即视为价格欺诈）。如乙方有以次充好、假冒伪劣、价格欺诈等及其他欺诈情况，乙方应按《消费者权益保护法》按相应产品价格的三倍向甲方承担违约责任。</w:t>
      </w:r>
    </w:p>
    <w:p w14:paraId="57A24842">
      <w:pPr>
        <w:adjustRightInd w:val="0"/>
        <w:snapToGrid w:val="0"/>
        <w:spacing w:line="340" w:lineRule="exact"/>
        <w:ind w:firstLine="420" w:firstLineChars="200"/>
        <w:rPr>
          <w:rFonts w:hint="eastAsia" w:ascii="宋体" w:hAnsi="宋体"/>
          <w:color w:val="auto"/>
        </w:rPr>
      </w:pPr>
      <w:r>
        <w:rPr>
          <w:rFonts w:hint="eastAsia" w:ascii="宋体" w:hAnsi="宋体"/>
          <w:color w:val="auto"/>
        </w:rPr>
        <w:t>（二）如产品质量瑕疵，乙方应在接到甲方通知后三天内免费维修，经两次以上正常维修或调试仍不能正常使用，或经两次催告后乙方不在限定时间内对质量问题予以处理，甲方可以退货，由乙方返还相应产品的已付货款，并由乙方按相应产品总价格的20%承担违约责任。</w:t>
      </w:r>
    </w:p>
    <w:p w14:paraId="31758514">
      <w:pPr>
        <w:adjustRightInd w:val="0"/>
        <w:snapToGrid w:val="0"/>
        <w:spacing w:line="340" w:lineRule="exact"/>
        <w:ind w:firstLine="420" w:firstLineChars="200"/>
        <w:rPr>
          <w:rFonts w:hint="eastAsia" w:ascii="宋体" w:hAnsi="宋体"/>
          <w:color w:val="auto"/>
        </w:rPr>
      </w:pPr>
      <w:r>
        <w:rPr>
          <w:rFonts w:hint="eastAsia" w:ascii="宋体" w:hAnsi="宋体"/>
          <w:color w:val="auto"/>
        </w:rPr>
        <w:t>（三）如乙方违约，甲方为寻求救济，因此支出的合理费用，包括但不限于诉讼费、保全费、保全保险费、律师代理费、评估鉴定费、差旅费等等合理费用，由乙方负担。</w:t>
      </w:r>
    </w:p>
    <w:p w14:paraId="6E530880">
      <w:pPr>
        <w:adjustRightInd w:val="0"/>
        <w:snapToGrid w:val="0"/>
        <w:spacing w:line="340" w:lineRule="exact"/>
        <w:ind w:firstLine="420" w:firstLineChars="200"/>
        <w:rPr>
          <w:rFonts w:hint="eastAsia" w:ascii="宋体" w:hAnsi="宋体"/>
          <w:b/>
          <w:bCs/>
          <w:color w:val="auto"/>
        </w:rPr>
      </w:pPr>
      <w:r>
        <w:rPr>
          <w:rFonts w:hint="eastAsia" w:ascii="宋体" w:hAnsi="宋体"/>
          <w:b/>
          <w:bCs/>
          <w:color w:val="auto"/>
        </w:rPr>
        <w:t>第六条　解决合同纠纷方式</w:t>
      </w:r>
    </w:p>
    <w:p w14:paraId="45C5F324">
      <w:pPr>
        <w:adjustRightInd w:val="0"/>
        <w:snapToGrid w:val="0"/>
        <w:spacing w:line="340" w:lineRule="exact"/>
        <w:ind w:firstLine="420" w:firstLineChars="200"/>
        <w:rPr>
          <w:rFonts w:hint="eastAsia" w:ascii="宋体" w:hAnsi="宋体"/>
          <w:color w:val="auto"/>
        </w:rPr>
      </w:pPr>
      <w:r>
        <w:rPr>
          <w:rFonts w:hint="eastAsia" w:ascii="宋体" w:hAnsi="宋体"/>
          <w:color w:val="auto"/>
        </w:rPr>
        <w:t>首先通过双方协商解决，协商解决不成，应向甲方所在地人民法院提起诉讼。</w:t>
      </w:r>
    </w:p>
    <w:p w14:paraId="4C2B3225">
      <w:pPr>
        <w:adjustRightInd w:val="0"/>
        <w:snapToGrid w:val="0"/>
        <w:spacing w:line="340" w:lineRule="exact"/>
        <w:ind w:firstLine="420" w:firstLineChars="200"/>
        <w:rPr>
          <w:rFonts w:hint="eastAsia" w:ascii="宋体" w:hAnsi="宋体"/>
          <w:b/>
          <w:bCs/>
          <w:color w:val="auto"/>
        </w:rPr>
      </w:pPr>
      <w:r>
        <w:rPr>
          <w:rFonts w:hint="eastAsia" w:ascii="宋体" w:hAnsi="宋体"/>
          <w:b/>
          <w:bCs/>
          <w:color w:val="auto"/>
        </w:rPr>
        <w:t>第七条　合同效力</w:t>
      </w:r>
    </w:p>
    <w:p w14:paraId="44FFEAA5">
      <w:pPr>
        <w:tabs>
          <w:tab w:val="left" w:pos="567"/>
        </w:tabs>
        <w:adjustRightInd w:val="0"/>
        <w:snapToGrid w:val="0"/>
        <w:spacing w:line="340" w:lineRule="exact"/>
        <w:ind w:firstLine="567" w:firstLineChars="270"/>
        <w:rPr>
          <w:rFonts w:hint="eastAsia" w:ascii="宋体" w:hAnsi="宋体"/>
          <w:color w:val="auto"/>
        </w:rPr>
      </w:pPr>
      <w:r>
        <w:rPr>
          <w:rFonts w:hint="eastAsia" w:ascii="宋体" w:hAnsi="宋体"/>
          <w:color w:val="auto"/>
        </w:rPr>
        <w:t>本合同经双方签字盖章生效，共七份，甲方六份，乙方一份，均具同等法律效力。以下文件是本合同的组成部分，如下述文件之间有任何抵触、矛盾或歧义，应按以下顺序解释：</w:t>
      </w:r>
    </w:p>
    <w:p w14:paraId="2B99430D">
      <w:pPr>
        <w:adjustRightInd w:val="0"/>
        <w:snapToGrid w:val="0"/>
        <w:spacing w:line="340" w:lineRule="exact"/>
        <w:ind w:firstLine="420" w:firstLineChars="200"/>
        <w:rPr>
          <w:rFonts w:hint="eastAsia" w:ascii="宋体" w:hAnsi="宋体"/>
          <w:color w:val="auto"/>
        </w:rPr>
      </w:pPr>
      <w:r>
        <w:rPr>
          <w:rFonts w:hint="eastAsia" w:ascii="宋体" w:hAnsi="宋体"/>
          <w:color w:val="auto"/>
        </w:rPr>
        <w:t>（1）本合同签订后，在采购或合同履行过程中乙方作出的承诺以及双方协商达成的变更或补充协议</w:t>
      </w:r>
    </w:p>
    <w:p w14:paraId="4A048B1B">
      <w:pPr>
        <w:adjustRightInd w:val="0"/>
        <w:snapToGrid w:val="0"/>
        <w:spacing w:line="340" w:lineRule="exact"/>
        <w:ind w:firstLine="420" w:firstLineChars="200"/>
        <w:rPr>
          <w:rFonts w:hint="eastAsia" w:ascii="宋体" w:hAnsi="宋体"/>
          <w:color w:val="auto"/>
        </w:rPr>
      </w:pPr>
      <w:r>
        <w:rPr>
          <w:rFonts w:hint="eastAsia" w:ascii="宋体" w:hAnsi="宋体"/>
          <w:color w:val="auto"/>
        </w:rPr>
        <w:t>（2）本合同协议书</w:t>
      </w:r>
    </w:p>
    <w:p w14:paraId="37BFA085">
      <w:pPr>
        <w:adjustRightInd w:val="0"/>
        <w:snapToGrid w:val="0"/>
        <w:spacing w:line="340" w:lineRule="exact"/>
        <w:ind w:firstLine="420" w:firstLineChars="200"/>
        <w:rPr>
          <w:rFonts w:hint="eastAsia" w:ascii="宋体" w:hAnsi="宋体"/>
          <w:color w:val="auto"/>
        </w:rPr>
      </w:pPr>
      <w:r>
        <w:rPr>
          <w:rFonts w:hint="eastAsia" w:ascii="宋体" w:hAnsi="宋体"/>
          <w:color w:val="auto"/>
        </w:rPr>
        <w:t>（3）中标或成交通知书</w:t>
      </w:r>
    </w:p>
    <w:p w14:paraId="3D480DBD">
      <w:pPr>
        <w:adjustRightInd w:val="0"/>
        <w:snapToGrid w:val="0"/>
        <w:spacing w:line="340" w:lineRule="exact"/>
        <w:ind w:firstLine="420" w:firstLineChars="200"/>
        <w:rPr>
          <w:rFonts w:hint="eastAsia" w:ascii="宋体" w:hAnsi="宋体"/>
          <w:color w:val="auto"/>
        </w:rPr>
      </w:pPr>
      <w:r>
        <w:rPr>
          <w:rFonts w:hint="eastAsia" w:ascii="宋体" w:hAnsi="宋体"/>
          <w:color w:val="auto"/>
        </w:rPr>
        <w:t>（4）政府采购合同格式条款</w:t>
      </w:r>
    </w:p>
    <w:p w14:paraId="672DE862">
      <w:pPr>
        <w:adjustRightInd w:val="0"/>
        <w:snapToGrid w:val="0"/>
        <w:spacing w:line="340" w:lineRule="exact"/>
        <w:ind w:firstLine="420" w:firstLineChars="200"/>
        <w:rPr>
          <w:rFonts w:hint="eastAsia" w:ascii="宋体" w:hAnsi="宋体"/>
          <w:color w:val="auto"/>
        </w:rPr>
      </w:pPr>
      <w:r>
        <w:rPr>
          <w:rFonts w:hint="eastAsia" w:ascii="宋体" w:hAnsi="宋体"/>
          <w:color w:val="auto"/>
        </w:rPr>
        <w:t>（5）投标文件</w:t>
      </w:r>
    </w:p>
    <w:p w14:paraId="201EE3F8">
      <w:pPr>
        <w:adjustRightInd w:val="0"/>
        <w:snapToGrid w:val="0"/>
        <w:spacing w:line="340" w:lineRule="exact"/>
        <w:ind w:firstLine="420" w:firstLineChars="200"/>
        <w:rPr>
          <w:rFonts w:hint="eastAsia" w:ascii="宋体" w:hAnsi="宋体" w:eastAsia="宋体"/>
          <w:color w:val="auto"/>
          <w:lang w:eastAsia="zh-CN"/>
        </w:rPr>
      </w:pPr>
      <w:r>
        <w:rPr>
          <w:rFonts w:hint="eastAsia" w:ascii="宋体" w:hAnsi="宋体"/>
          <w:color w:val="auto"/>
        </w:rPr>
        <w:t>（6）</w:t>
      </w:r>
      <w:r>
        <w:rPr>
          <w:rFonts w:hint="eastAsia" w:ascii="宋体" w:hAnsi="宋体"/>
          <w:color w:val="auto"/>
          <w:lang w:eastAsia="zh-CN"/>
        </w:rPr>
        <w:t>采购文件</w:t>
      </w:r>
    </w:p>
    <w:p w14:paraId="44A2E877">
      <w:pPr>
        <w:adjustRightInd w:val="0"/>
        <w:snapToGrid w:val="0"/>
        <w:spacing w:line="340" w:lineRule="exact"/>
        <w:ind w:firstLine="420" w:firstLineChars="200"/>
        <w:rPr>
          <w:rFonts w:hint="eastAsia" w:ascii="宋体" w:hAnsi="宋体"/>
          <w:color w:val="auto"/>
        </w:rPr>
      </w:pPr>
      <w:r>
        <w:rPr>
          <w:rFonts w:hint="eastAsia" w:ascii="宋体" w:hAnsi="宋体"/>
          <w:color w:val="auto"/>
        </w:rPr>
        <w:t>（7）标准、规范及有关技术文件</w:t>
      </w:r>
    </w:p>
    <w:p w14:paraId="5E7E0D84">
      <w:pPr>
        <w:adjustRightInd w:val="0"/>
        <w:snapToGrid w:val="0"/>
        <w:spacing w:line="340" w:lineRule="exact"/>
        <w:ind w:firstLine="420" w:firstLineChars="200"/>
        <w:rPr>
          <w:rFonts w:hint="eastAsia" w:ascii="宋体" w:hAnsi="宋体"/>
          <w:color w:val="auto"/>
        </w:rPr>
      </w:pPr>
      <w:r>
        <w:rPr>
          <w:rFonts w:hint="eastAsia" w:ascii="宋体" w:hAnsi="宋体"/>
          <w:color w:val="auto"/>
        </w:rPr>
        <w:t>（8）合同附件</w:t>
      </w:r>
    </w:p>
    <w:p w14:paraId="69F9423C">
      <w:pPr>
        <w:adjustRightInd w:val="0"/>
        <w:snapToGrid w:val="0"/>
        <w:spacing w:line="340" w:lineRule="exact"/>
        <w:ind w:firstLine="420" w:firstLineChars="200"/>
        <w:rPr>
          <w:rFonts w:hint="eastAsia" w:ascii="宋体" w:hAnsi="宋体"/>
          <w:color w:val="auto"/>
        </w:rPr>
      </w:pPr>
      <w:r>
        <w:rPr>
          <w:rFonts w:hint="eastAsia" w:ascii="宋体" w:hAnsi="宋体"/>
          <w:b/>
          <w:color w:val="auto"/>
        </w:rPr>
        <w:t>第八条</w:t>
      </w:r>
      <w:r>
        <w:rPr>
          <w:rFonts w:hint="eastAsia" w:ascii="宋体" w:hAnsi="宋体"/>
          <w:color w:val="auto"/>
        </w:rPr>
        <w:t>　本协议明确的地址非经书面变更，为法律、非法律文书送达地址及产品送达地址。本协议明确的委托代理人，即合同洽谈、签订、履行的联系人。</w:t>
      </w:r>
    </w:p>
    <w:p w14:paraId="3C3870C2">
      <w:pPr>
        <w:adjustRightInd w:val="0"/>
        <w:snapToGrid w:val="0"/>
        <w:spacing w:line="340" w:lineRule="exact"/>
        <w:ind w:firstLine="420" w:firstLineChars="200"/>
        <w:rPr>
          <w:rFonts w:hint="eastAsia" w:ascii="宋体" w:hAnsi="宋体"/>
          <w:color w:val="auto"/>
        </w:rPr>
      </w:pPr>
      <w:r>
        <w:rPr>
          <w:rFonts w:hint="eastAsia" w:ascii="宋体" w:hAnsi="宋体"/>
          <w:color w:val="auto"/>
        </w:rPr>
        <w:t>合同订立时间：</w:t>
      </w:r>
      <w:r>
        <w:rPr>
          <w:rFonts w:hint="eastAsia" w:ascii="宋体" w:hAnsi="宋体"/>
          <w:color w:val="auto"/>
          <w:u w:val="single"/>
        </w:rPr>
        <w:t xml:space="preserve">     </w:t>
      </w:r>
      <w:r>
        <w:rPr>
          <w:rFonts w:hint="eastAsia" w:ascii="宋体" w:hAnsi="宋体"/>
          <w:color w:val="auto"/>
        </w:rPr>
        <w:t>年</w:t>
      </w:r>
      <w:r>
        <w:rPr>
          <w:rFonts w:hint="eastAsia" w:ascii="宋体" w:hAnsi="宋体"/>
          <w:color w:val="auto"/>
          <w:u w:val="single"/>
        </w:rPr>
        <w:t xml:space="preserve">    </w:t>
      </w:r>
      <w:r>
        <w:rPr>
          <w:rFonts w:hint="eastAsia" w:ascii="宋体" w:hAnsi="宋体"/>
          <w:color w:val="auto"/>
        </w:rPr>
        <w:t>月</w:t>
      </w:r>
      <w:r>
        <w:rPr>
          <w:rFonts w:hint="eastAsia" w:ascii="宋体" w:hAnsi="宋体"/>
          <w:color w:val="auto"/>
          <w:u w:val="single"/>
        </w:rPr>
        <w:t xml:space="preserve">   </w:t>
      </w:r>
      <w:r>
        <w:rPr>
          <w:rFonts w:hint="eastAsia" w:ascii="宋体" w:hAnsi="宋体"/>
          <w:color w:val="auto"/>
        </w:rPr>
        <w:t>日</w:t>
      </w:r>
    </w:p>
    <w:p w14:paraId="021FB97B">
      <w:pPr>
        <w:adjustRightInd w:val="0"/>
        <w:snapToGrid w:val="0"/>
        <w:spacing w:line="340" w:lineRule="exact"/>
        <w:ind w:firstLine="420" w:firstLineChars="200"/>
        <w:rPr>
          <w:rFonts w:hint="eastAsia" w:ascii="宋体" w:hAnsi="宋体"/>
          <w:color w:val="auto"/>
        </w:rPr>
      </w:pPr>
      <w:r>
        <w:rPr>
          <w:rFonts w:hint="eastAsia" w:ascii="宋体" w:hAnsi="宋体"/>
          <w:color w:val="auto"/>
        </w:rPr>
        <w:t xml:space="preserve"> </w:t>
      </w:r>
    </w:p>
    <w:p w14:paraId="1E8E33EF">
      <w:pPr>
        <w:adjustRightInd w:val="0"/>
        <w:snapToGrid w:val="0"/>
        <w:spacing w:line="340" w:lineRule="exact"/>
        <w:ind w:firstLine="420" w:firstLineChars="200"/>
        <w:rPr>
          <w:rFonts w:hint="eastAsia" w:ascii="宋体" w:hAnsi="宋体"/>
          <w:color w:val="auto"/>
        </w:rPr>
      </w:pPr>
    </w:p>
    <w:p w14:paraId="0E486B7F">
      <w:pPr>
        <w:adjustRightInd w:val="0"/>
        <w:snapToGrid w:val="0"/>
        <w:spacing w:line="340" w:lineRule="exact"/>
        <w:ind w:firstLine="420" w:firstLineChars="200"/>
        <w:rPr>
          <w:rFonts w:hint="eastAsia" w:ascii="宋体" w:hAnsi="宋体"/>
          <w:color w:val="auto"/>
        </w:rPr>
      </w:pPr>
    </w:p>
    <w:p w14:paraId="2F98461A">
      <w:pPr>
        <w:spacing w:line="340" w:lineRule="exact"/>
        <w:ind w:firstLine="420" w:firstLineChars="200"/>
        <w:rPr>
          <w:rFonts w:hint="eastAsia" w:ascii="宋体" w:hAnsi="宋体"/>
          <w:color w:val="auto"/>
        </w:rPr>
      </w:pPr>
      <w:r>
        <w:rPr>
          <w:rFonts w:hint="eastAsia" w:ascii="宋体" w:hAnsi="宋体"/>
          <w:color w:val="auto"/>
        </w:rPr>
        <w:t>买    方：（公章）                       卖    方：（公章）</w:t>
      </w:r>
    </w:p>
    <w:p w14:paraId="5BE447E8">
      <w:pPr>
        <w:spacing w:line="340" w:lineRule="exact"/>
        <w:ind w:firstLine="420" w:firstLineChars="200"/>
        <w:rPr>
          <w:rFonts w:hint="eastAsia" w:ascii="宋体" w:hAnsi="宋体"/>
          <w:color w:val="auto"/>
        </w:rPr>
      </w:pPr>
      <w:r>
        <w:rPr>
          <w:rFonts w:hint="eastAsia" w:ascii="宋体" w:hAnsi="宋体"/>
          <w:color w:val="auto"/>
        </w:rPr>
        <w:t>单位名称：湖南文理学院                  单位名称：XXX有限公司</w:t>
      </w:r>
    </w:p>
    <w:p w14:paraId="610E2CE9">
      <w:pPr>
        <w:spacing w:line="340" w:lineRule="exact"/>
        <w:ind w:left="5775" w:leftChars="200" w:hanging="5355" w:hangingChars="2550"/>
        <w:rPr>
          <w:rFonts w:hint="eastAsia" w:ascii="宋体" w:hAnsi="宋体"/>
          <w:color w:val="auto"/>
        </w:rPr>
      </w:pPr>
      <w:r>
        <w:rPr>
          <w:rFonts w:hint="eastAsia" w:ascii="宋体" w:hAnsi="宋体"/>
          <w:color w:val="auto"/>
        </w:rPr>
        <w:t>单位地址：常德市洞庭大道3150号         单位地址：XXXXXXX</w:t>
      </w:r>
    </w:p>
    <w:p w14:paraId="07AFFD05">
      <w:pPr>
        <w:spacing w:line="340" w:lineRule="exact"/>
        <w:ind w:left="5775" w:leftChars="200" w:hanging="5355" w:hangingChars="2550"/>
        <w:rPr>
          <w:rFonts w:hint="eastAsia" w:ascii="宋体" w:hAnsi="宋体"/>
          <w:color w:val="auto"/>
        </w:rPr>
      </w:pPr>
      <w:r>
        <w:rPr>
          <w:rFonts w:hint="eastAsia" w:ascii="宋体" w:hAnsi="宋体"/>
          <w:color w:val="auto"/>
        </w:rPr>
        <w:t xml:space="preserve">法定代表人：                            法定代表人： </w:t>
      </w:r>
    </w:p>
    <w:p w14:paraId="01CDFDB4">
      <w:pPr>
        <w:spacing w:line="340" w:lineRule="exact"/>
        <w:ind w:firstLine="420" w:firstLineChars="200"/>
        <w:rPr>
          <w:rFonts w:hint="eastAsia" w:ascii="宋体" w:hAnsi="宋体"/>
          <w:color w:val="auto"/>
        </w:rPr>
      </w:pPr>
      <w:r>
        <w:rPr>
          <w:rFonts w:hint="eastAsia" w:ascii="宋体" w:hAnsi="宋体"/>
          <w:color w:val="auto"/>
        </w:rPr>
        <w:t>委托代理人（联系人）：                   委托代理人（联系人）：</w:t>
      </w:r>
    </w:p>
    <w:p w14:paraId="3DA1D3E9">
      <w:pPr>
        <w:spacing w:line="340" w:lineRule="exact"/>
        <w:ind w:firstLine="420" w:firstLineChars="200"/>
        <w:rPr>
          <w:rFonts w:hint="eastAsia" w:ascii="宋体" w:hAnsi="宋体"/>
          <w:color w:val="auto"/>
        </w:rPr>
      </w:pPr>
      <w:r>
        <w:rPr>
          <w:rFonts w:hint="eastAsia" w:ascii="宋体" w:hAnsi="宋体"/>
          <w:color w:val="auto"/>
        </w:rPr>
        <w:t>电    话：                              电    话：XXX</w:t>
      </w:r>
    </w:p>
    <w:p w14:paraId="0FE289E3">
      <w:pPr>
        <w:spacing w:line="340" w:lineRule="exact"/>
        <w:ind w:firstLine="420" w:firstLineChars="200"/>
        <w:rPr>
          <w:rFonts w:hint="eastAsia" w:ascii="宋体" w:hAnsi="宋体"/>
          <w:color w:val="auto"/>
        </w:rPr>
      </w:pPr>
      <w:r>
        <w:rPr>
          <w:rFonts w:hint="eastAsia" w:ascii="宋体" w:hAnsi="宋体"/>
          <w:color w:val="auto"/>
        </w:rPr>
        <w:t>开户银行：                              开户银行：XXX</w:t>
      </w:r>
    </w:p>
    <w:p w14:paraId="16E3DE24">
      <w:pPr>
        <w:spacing w:line="340" w:lineRule="exact"/>
        <w:ind w:firstLine="420" w:firstLineChars="200"/>
        <w:rPr>
          <w:rFonts w:hint="eastAsia" w:ascii="宋体" w:hAnsi="宋体"/>
          <w:color w:val="auto"/>
        </w:rPr>
      </w:pPr>
      <w:r>
        <w:rPr>
          <w:rFonts w:hint="eastAsia" w:ascii="宋体" w:hAnsi="宋体"/>
          <w:color w:val="auto"/>
        </w:rPr>
        <w:t>帐    号：                              帐    号：XXX</w:t>
      </w:r>
    </w:p>
    <w:p w14:paraId="538850F5">
      <w:pPr>
        <w:spacing w:line="340" w:lineRule="exact"/>
        <w:ind w:firstLine="420" w:firstLineChars="200"/>
        <w:rPr>
          <w:rFonts w:hint="eastAsia" w:ascii="宋体" w:hAnsi="宋体"/>
          <w:color w:val="auto"/>
        </w:rPr>
      </w:pPr>
      <w:r>
        <w:rPr>
          <w:rFonts w:hint="eastAsia" w:ascii="宋体" w:hAnsi="宋体"/>
          <w:color w:val="auto"/>
        </w:rPr>
        <w:t>传    真：                              传    真：XXX</w:t>
      </w:r>
    </w:p>
    <w:p w14:paraId="6739F9A2">
      <w:pPr>
        <w:spacing w:line="340" w:lineRule="exact"/>
        <w:ind w:firstLine="420" w:firstLineChars="200"/>
        <w:rPr>
          <w:rFonts w:hint="eastAsia" w:ascii="宋体" w:hAnsi="宋体"/>
          <w:b/>
          <w:color w:val="auto"/>
          <w:sz w:val="28"/>
          <w:szCs w:val="28"/>
        </w:rPr>
      </w:pPr>
      <w:r>
        <w:rPr>
          <w:rFonts w:hint="eastAsia" w:ascii="宋体" w:hAnsi="宋体"/>
          <w:color w:val="auto"/>
        </w:rPr>
        <w:t>邮政编码：                              邮政编码：XXX</w:t>
      </w:r>
      <w:r>
        <w:rPr>
          <w:rFonts w:hint="eastAsia" w:ascii="宋体" w:hAnsi="宋体"/>
          <w:b/>
          <w:color w:val="auto"/>
          <w:sz w:val="28"/>
          <w:szCs w:val="28"/>
        </w:rPr>
        <w:br w:type="page"/>
      </w:r>
    </w:p>
    <w:p w14:paraId="40AF761C">
      <w:pPr>
        <w:spacing w:line="240" w:lineRule="atLeast"/>
        <w:rPr>
          <w:rFonts w:hint="eastAsia" w:ascii="楷体_GB2312" w:hAnsi="宋体" w:eastAsia="楷体_GB2312"/>
          <w:b/>
          <w:color w:val="auto"/>
        </w:rPr>
      </w:pPr>
      <w:r>
        <w:rPr>
          <w:rFonts w:hint="eastAsia" w:ascii="宋体" w:hAnsi="宋体"/>
          <w:b/>
          <w:color w:val="auto"/>
          <w:sz w:val="28"/>
          <w:szCs w:val="28"/>
        </w:rPr>
        <w:t>附件1：设备（产品）配置技术参数表</w:t>
      </w:r>
      <w:r>
        <w:rPr>
          <w:rFonts w:hint="eastAsia" w:ascii="楷体_GB2312" w:hAnsi="宋体" w:eastAsia="楷体_GB2312"/>
          <w:b/>
          <w:color w:val="auto"/>
        </w:rPr>
        <w:t xml:space="preserve">  </w:t>
      </w:r>
    </w:p>
    <w:p w14:paraId="7F692E28">
      <w:pPr>
        <w:spacing w:line="240" w:lineRule="atLeast"/>
        <w:rPr>
          <w:rFonts w:hint="eastAsia" w:ascii="楷体_GB2312" w:hAnsi="宋体" w:eastAsia="楷体_GB2312"/>
          <w:b/>
          <w:color w:val="auto"/>
        </w:rPr>
      </w:pPr>
      <w:r>
        <w:rPr>
          <w:rFonts w:hint="eastAsia" w:ascii="楷体_GB2312" w:hAnsi="宋体" w:eastAsia="楷体_GB2312"/>
          <w:b/>
          <w:color w:val="auto"/>
        </w:rPr>
        <w:t xml:space="preserve">  </w:t>
      </w:r>
    </w:p>
    <w:tbl>
      <w:tblPr>
        <w:tblStyle w:val="51"/>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1134"/>
        <w:gridCol w:w="1177"/>
        <w:gridCol w:w="5672"/>
        <w:gridCol w:w="851"/>
      </w:tblGrid>
      <w:tr w14:paraId="72DED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526" w:type="dxa"/>
            <w:tcBorders>
              <w:top w:val="single" w:color="auto" w:sz="4" w:space="0"/>
              <w:left w:val="single" w:color="auto" w:sz="4" w:space="0"/>
              <w:bottom w:val="single" w:color="auto" w:sz="4" w:space="0"/>
              <w:right w:val="single" w:color="auto" w:sz="4" w:space="0"/>
            </w:tcBorders>
            <w:shd w:val="clear" w:color="auto" w:fill="A6A6A6"/>
            <w:noWrap w:val="0"/>
            <w:vAlign w:val="center"/>
          </w:tcPr>
          <w:p w14:paraId="195F8FD1">
            <w:pPr>
              <w:spacing w:line="220" w:lineRule="exact"/>
              <w:jc w:val="center"/>
              <w:rPr>
                <w:rFonts w:ascii="宋体" w:hAnsi="宋体"/>
                <w:b/>
                <w:color w:val="auto"/>
              </w:rPr>
            </w:pPr>
            <w:r>
              <w:rPr>
                <w:rFonts w:hint="eastAsia" w:ascii="宋体" w:hAnsi="宋体"/>
                <w:b/>
                <w:color w:val="auto"/>
              </w:rPr>
              <w:t>序号</w:t>
            </w:r>
          </w:p>
        </w:tc>
        <w:tc>
          <w:tcPr>
            <w:tcW w:w="1134" w:type="dxa"/>
            <w:tcBorders>
              <w:top w:val="single" w:color="auto" w:sz="4" w:space="0"/>
              <w:left w:val="single" w:color="auto" w:sz="4" w:space="0"/>
              <w:bottom w:val="single" w:color="auto" w:sz="4" w:space="0"/>
              <w:right w:val="single" w:color="auto" w:sz="4" w:space="0"/>
            </w:tcBorders>
            <w:shd w:val="clear" w:color="auto" w:fill="A6A6A6"/>
            <w:noWrap w:val="0"/>
            <w:vAlign w:val="center"/>
          </w:tcPr>
          <w:p w14:paraId="52C20023">
            <w:pPr>
              <w:spacing w:line="220" w:lineRule="exact"/>
              <w:jc w:val="center"/>
              <w:rPr>
                <w:rFonts w:ascii="宋体" w:hAnsi="宋体"/>
                <w:b/>
                <w:color w:val="auto"/>
              </w:rPr>
            </w:pPr>
            <w:r>
              <w:rPr>
                <w:rFonts w:hint="eastAsia" w:ascii="宋体" w:hAnsi="宋体"/>
                <w:b/>
                <w:color w:val="auto"/>
              </w:rPr>
              <w:t>货物名称</w:t>
            </w:r>
          </w:p>
        </w:tc>
        <w:tc>
          <w:tcPr>
            <w:tcW w:w="1177" w:type="dxa"/>
            <w:tcBorders>
              <w:top w:val="single" w:color="auto" w:sz="4" w:space="0"/>
              <w:left w:val="single" w:color="auto" w:sz="4" w:space="0"/>
              <w:bottom w:val="single" w:color="auto" w:sz="4" w:space="0"/>
              <w:right w:val="single" w:color="auto" w:sz="4" w:space="0"/>
            </w:tcBorders>
            <w:shd w:val="clear" w:color="auto" w:fill="A6A6A6"/>
            <w:noWrap w:val="0"/>
            <w:vAlign w:val="center"/>
          </w:tcPr>
          <w:p w14:paraId="67E44BBA">
            <w:pPr>
              <w:spacing w:line="220" w:lineRule="exact"/>
              <w:jc w:val="center"/>
              <w:rPr>
                <w:rFonts w:ascii="宋体" w:hAnsi="宋体"/>
                <w:b/>
                <w:color w:val="auto"/>
              </w:rPr>
            </w:pPr>
            <w:r>
              <w:rPr>
                <w:rFonts w:hint="eastAsia" w:ascii="宋体" w:hAnsi="宋体"/>
                <w:b/>
                <w:color w:val="auto"/>
              </w:rPr>
              <w:t>型号规格</w:t>
            </w:r>
          </w:p>
        </w:tc>
        <w:tc>
          <w:tcPr>
            <w:tcW w:w="5672" w:type="dxa"/>
            <w:tcBorders>
              <w:top w:val="single" w:color="auto" w:sz="4" w:space="0"/>
              <w:left w:val="single" w:color="auto" w:sz="4" w:space="0"/>
              <w:bottom w:val="single" w:color="auto" w:sz="4" w:space="0"/>
              <w:right w:val="single" w:color="auto" w:sz="4" w:space="0"/>
            </w:tcBorders>
            <w:shd w:val="clear" w:color="auto" w:fill="A6A6A6"/>
            <w:noWrap w:val="0"/>
            <w:vAlign w:val="center"/>
          </w:tcPr>
          <w:p w14:paraId="3D6AE861">
            <w:pPr>
              <w:spacing w:line="220" w:lineRule="exact"/>
              <w:jc w:val="center"/>
              <w:rPr>
                <w:rFonts w:ascii="宋体" w:hAnsi="宋体"/>
                <w:b/>
                <w:color w:val="auto"/>
              </w:rPr>
            </w:pPr>
            <w:r>
              <w:rPr>
                <w:rFonts w:hint="eastAsia" w:ascii="宋体" w:hAnsi="宋体"/>
                <w:b/>
                <w:color w:val="auto"/>
              </w:rPr>
              <w:t>主要技术参数及指标</w:t>
            </w:r>
          </w:p>
        </w:tc>
        <w:tc>
          <w:tcPr>
            <w:tcW w:w="851" w:type="dxa"/>
            <w:tcBorders>
              <w:top w:val="single" w:color="auto" w:sz="4" w:space="0"/>
              <w:left w:val="single" w:color="auto" w:sz="4" w:space="0"/>
              <w:bottom w:val="single" w:color="auto" w:sz="4" w:space="0"/>
              <w:right w:val="single" w:color="auto" w:sz="4" w:space="0"/>
            </w:tcBorders>
            <w:shd w:val="clear" w:color="auto" w:fill="A6A6A6"/>
            <w:noWrap w:val="0"/>
            <w:vAlign w:val="center"/>
          </w:tcPr>
          <w:p w14:paraId="155C5FCE">
            <w:pPr>
              <w:spacing w:line="220" w:lineRule="exact"/>
              <w:ind w:left="445" w:hanging="443" w:hangingChars="211"/>
              <w:jc w:val="center"/>
              <w:rPr>
                <w:rFonts w:ascii="宋体" w:hAnsi="宋体"/>
                <w:b/>
                <w:color w:val="auto"/>
              </w:rPr>
            </w:pPr>
            <w:r>
              <w:rPr>
                <w:rFonts w:hint="eastAsia" w:ascii="宋体" w:hAnsi="宋体"/>
                <w:b/>
                <w:color w:val="auto"/>
              </w:rPr>
              <w:t>备注</w:t>
            </w:r>
          </w:p>
        </w:tc>
      </w:tr>
      <w:tr w14:paraId="02269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526" w:type="dxa"/>
            <w:tcBorders>
              <w:top w:val="single" w:color="auto" w:sz="4" w:space="0"/>
              <w:left w:val="single" w:color="auto" w:sz="4" w:space="0"/>
              <w:bottom w:val="single" w:color="auto" w:sz="4" w:space="0"/>
              <w:right w:val="single" w:color="auto" w:sz="4" w:space="0"/>
            </w:tcBorders>
            <w:noWrap w:val="0"/>
            <w:vAlign w:val="center"/>
          </w:tcPr>
          <w:p w14:paraId="3FD02721">
            <w:pPr>
              <w:widowControl/>
              <w:spacing w:line="220" w:lineRule="exact"/>
              <w:jc w:val="center"/>
              <w:rPr>
                <w:rFonts w:ascii="宋体" w:hAnsi="宋体"/>
                <w:color w:val="auto"/>
              </w:rPr>
            </w:pPr>
            <w:r>
              <w:rPr>
                <w:rFonts w:hint="eastAsia" w:ascii="宋体" w:hAnsi="宋体"/>
                <w:color w:val="auto"/>
              </w:rPr>
              <w:t>1</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DBBF472">
            <w:pPr>
              <w:spacing w:line="320" w:lineRule="exact"/>
              <w:jc w:val="center"/>
              <w:rPr>
                <w:rFonts w:ascii="宋体" w:hAnsi="宋体"/>
                <w:color w:val="auto"/>
              </w:rPr>
            </w:pPr>
            <w:r>
              <w:rPr>
                <w:rFonts w:hint="eastAsia" w:ascii="宋体" w:hAnsi="宋体"/>
                <w:color w:val="auto"/>
              </w:rPr>
              <w:t>XXX</w:t>
            </w:r>
          </w:p>
        </w:tc>
        <w:tc>
          <w:tcPr>
            <w:tcW w:w="1177" w:type="dxa"/>
            <w:tcBorders>
              <w:top w:val="single" w:color="auto" w:sz="4" w:space="0"/>
              <w:left w:val="single" w:color="auto" w:sz="4" w:space="0"/>
              <w:bottom w:val="single" w:color="auto" w:sz="4" w:space="0"/>
              <w:right w:val="single" w:color="auto" w:sz="4" w:space="0"/>
            </w:tcBorders>
            <w:noWrap w:val="0"/>
            <w:vAlign w:val="center"/>
          </w:tcPr>
          <w:p w14:paraId="01D47C61">
            <w:pPr>
              <w:adjustRightInd w:val="0"/>
              <w:snapToGrid w:val="0"/>
              <w:spacing w:line="280" w:lineRule="exact"/>
              <w:jc w:val="center"/>
              <w:rPr>
                <w:rFonts w:ascii="宋体" w:hAnsi="宋体"/>
                <w:color w:val="auto"/>
              </w:rPr>
            </w:pPr>
            <w:r>
              <w:rPr>
                <w:rFonts w:hint="eastAsia" w:ascii="宋体" w:hAnsi="宋体"/>
                <w:color w:val="auto"/>
              </w:rPr>
              <w:t>XXX</w:t>
            </w:r>
          </w:p>
        </w:tc>
        <w:tc>
          <w:tcPr>
            <w:tcW w:w="5672" w:type="dxa"/>
            <w:tcBorders>
              <w:top w:val="single" w:color="auto" w:sz="4" w:space="0"/>
              <w:left w:val="single" w:color="auto" w:sz="4" w:space="0"/>
              <w:bottom w:val="single" w:color="auto" w:sz="4" w:space="0"/>
              <w:right w:val="single" w:color="auto" w:sz="4" w:space="0"/>
            </w:tcBorders>
            <w:noWrap w:val="0"/>
            <w:vAlign w:val="top"/>
          </w:tcPr>
          <w:p w14:paraId="1DF3D0D9">
            <w:pPr>
              <w:spacing w:line="240" w:lineRule="atLeast"/>
              <w:rPr>
                <w:rFonts w:ascii="楷体_GB2312" w:hAnsi="宋体" w:eastAsia="楷体_GB2312"/>
                <w:b/>
                <w:color w:val="auto"/>
              </w:rPr>
            </w:pPr>
            <w:r>
              <w:rPr>
                <w:rFonts w:hint="eastAsia" w:ascii="楷体_GB2312" w:hAnsi="宋体" w:eastAsia="楷体_GB2312"/>
                <w:b/>
                <w:color w:val="auto"/>
              </w:rPr>
              <w:t>（以复制投标文件中的内容为准）</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2A6A843">
            <w:pPr>
              <w:spacing w:line="220" w:lineRule="exact"/>
              <w:jc w:val="center"/>
              <w:rPr>
                <w:rFonts w:ascii="宋体" w:hAnsi="宋体"/>
                <w:color w:val="auto"/>
              </w:rPr>
            </w:pPr>
            <w:r>
              <w:rPr>
                <w:rFonts w:hint="eastAsia" w:ascii="宋体" w:hAnsi="宋体"/>
                <w:color w:val="auto"/>
              </w:rPr>
              <w:t>/</w:t>
            </w:r>
          </w:p>
        </w:tc>
      </w:tr>
      <w:tr w14:paraId="0EAB8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526" w:type="dxa"/>
            <w:tcBorders>
              <w:top w:val="single" w:color="auto" w:sz="4" w:space="0"/>
              <w:left w:val="single" w:color="auto" w:sz="4" w:space="0"/>
              <w:bottom w:val="single" w:color="auto" w:sz="4" w:space="0"/>
              <w:right w:val="single" w:color="auto" w:sz="4" w:space="0"/>
            </w:tcBorders>
            <w:noWrap w:val="0"/>
            <w:vAlign w:val="center"/>
          </w:tcPr>
          <w:p w14:paraId="01D04AC9">
            <w:pPr>
              <w:widowControl/>
              <w:spacing w:line="220" w:lineRule="exact"/>
              <w:jc w:val="center"/>
              <w:rPr>
                <w:rFonts w:ascii="宋体" w:hAnsi="宋体"/>
                <w:color w:val="auto"/>
              </w:rPr>
            </w:pPr>
            <w:r>
              <w:rPr>
                <w:rFonts w:hint="eastAsia" w:ascii="宋体" w:hAnsi="宋体"/>
                <w:color w:val="auto"/>
              </w:rPr>
              <w:t>2</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9102643">
            <w:pPr>
              <w:spacing w:line="320" w:lineRule="exact"/>
              <w:jc w:val="center"/>
              <w:rPr>
                <w:rFonts w:ascii="宋体" w:hAnsi="宋体"/>
                <w:color w:val="auto"/>
              </w:rPr>
            </w:pPr>
            <w:r>
              <w:rPr>
                <w:rFonts w:hint="eastAsia" w:ascii="宋体" w:hAnsi="宋体"/>
                <w:color w:val="auto"/>
              </w:rPr>
              <w:t>XXX</w:t>
            </w:r>
          </w:p>
        </w:tc>
        <w:tc>
          <w:tcPr>
            <w:tcW w:w="1177" w:type="dxa"/>
            <w:tcBorders>
              <w:top w:val="single" w:color="auto" w:sz="4" w:space="0"/>
              <w:left w:val="single" w:color="auto" w:sz="4" w:space="0"/>
              <w:bottom w:val="single" w:color="auto" w:sz="4" w:space="0"/>
              <w:right w:val="single" w:color="auto" w:sz="4" w:space="0"/>
            </w:tcBorders>
            <w:noWrap w:val="0"/>
            <w:vAlign w:val="center"/>
          </w:tcPr>
          <w:p w14:paraId="5AD19B59">
            <w:pPr>
              <w:adjustRightInd w:val="0"/>
              <w:snapToGrid w:val="0"/>
              <w:spacing w:line="280" w:lineRule="exact"/>
              <w:jc w:val="center"/>
              <w:rPr>
                <w:rFonts w:ascii="宋体" w:hAnsi="宋体"/>
                <w:color w:val="auto"/>
              </w:rPr>
            </w:pPr>
            <w:r>
              <w:rPr>
                <w:rFonts w:hint="eastAsia" w:ascii="宋体" w:hAnsi="宋体"/>
                <w:color w:val="auto"/>
              </w:rPr>
              <w:t>XXX</w:t>
            </w:r>
          </w:p>
        </w:tc>
        <w:tc>
          <w:tcPr>
            <w:tcW w:w="5672" w:type="dxa"/>
            <w:tcBorders>
              <w:top w:val="single" w:color="auto" w:sz="4" w:space="0"/>
              <w:left w:val="single" w:color="auto" w:sz="4" w:space="0"/>
              <w:bottom w:val="single" w:color="auto" w:sz="4" w:space="0"/>
              <w:right w:val="single" w:color="auto" w:sz="4" w:space="0"/>
            </w:tcBorders>
            <w:noWrap w:val="0"/>
            <w:vAlign w:val="top"/>
          </w:tcPr>
          <w:p w14:paraId="6B6FB5F5">
            <w:pPr>
              <w:spacing w:line="240" w:lineRule="atLeast"/>
              <w:rPr>
                <w:rFonts w:hint="eastAsia" w:ascii="楷体_GB2312" w:hAnsi="宋体" w:eastAsia="楷体_GB2312"/>
                <w:b/>
                <w:color w:val="auto"/>
              </w:rPr>
            </w:pPr>
            <w:r>
              <w:rPr>
                <w:rFonts w:hint="eastAsia" w:ascii="楷体_GB2312" w:hAnsi="宋体" w:eastAsia="楷体_GB2312"/>
                <w:b/>
                <w:color w:val="auto"/>
              </w:rPr>
              <w:t>（以复制投标文件中的内容为准）</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D9AC3C9">
            <w:pPr>
              <w:spacing w:line="220" w:lineRule="exact"/>
              <w:jc w:val="center"/>
              <w:rPr>
                <w:rFonts w:ascii="宋体" w:hAnsi="宋体"/>
                <w:color w:val="auto"/>
              </w:rPr>
            </w:pPr>
            <w:r>
              <w:rPr>
                <w:rFonts w:hint="eastAsia" w:ascii="宋体" w:hAnsi="宋体"/>
                <w:color w:val="auto"/>
              </w:rPr>
              <w:t>/</w:t>
            </w:r>
          </w:p>
        </w:tc>
      </w:tr>
    </w:tbl>
    <w:p w14:paraId="385708AF">
      <w:pPr>
        <w:spacing w:line="240" w:lineRule="atLeast"/>
        <w:rPr>
          <w:rFonts w:hint="eastAsia" w:ascii="楷体_GB2312" w:hAnsi="宋体" w:eastAsia="楷体_GB2312"/>
          <w:b/>
          <w:color w:val="auto"/>
        </w:rPr>
      </w:pPr>
      <w:r>
        <w:rPr>
          <w:rFonts w:hint="eastAsia" w:ascii="楷体_GB2312" w:hAnsi="宋体" w:eastAsia="楷体_GB2312"/>
          <w:b/>
          <w:color w:val="auto"/>
        </w:rPr>
        <w:t xml:space="preserve">  </w:t>
      </w:r>
    </w:p>
    <w:p w14:paraId="49741CDE">
      <w:pPr>
        <w:spacing w:line="240" w:lineRule="atLeast"/>
        <w:rPr>
          <w:rFonts w:hint="eastAsia" w:ascii="楷体_GB2312" w:hAnsi="宋体" w:eastAsia="楷体_GB2312"/>
          <w:b/>
          <w:color w:val="auto"/>
        </w:rPr>
      </w:pPr>
      <w:r>
        <w:rPr>
          <w:rFonts w:ascii="楷体_GB2312" w:hAnsi="宋体" w:eastAsia="楷体_GB2312"/>
          <w:b/>
          <w:color w:val="auto"/>
        </w:rPr>
        <w:br w:type="page"/>
      </w:r>
    </w:p>
    <w:p w14:paraId="67B435EE">
      <w:pPr>
        <w:spacing w:line="440" w:lineRule="exact"/>
        <w:rPr>
          <w:rFonts w:ascii="宋体" w:hAnsi="宋体"/>
          <w:b/>
          <w:color w:val="auto"/>
          <w:sz w:val="24"/>
          <w:szCs w:val="20"/>
        </w:rPr>
      </w:pPr>
      <w:r>
        <w:rPr>
          <w:rFonts w:hint="eastAsia" w:ascii="宋体" w:hAnsi="宋体"/>
          <w:b/>
          <w:color w:val="auto"/>
          <w:sz w:val="24"/>
        </w:rPr>
        <w:t>附件2：</w:t>
      </w:r>
      <w:r>
        <w:rPr>
          <w:rFonts w:hint="eastAsia" w:ascii="宋体" w:hAnsi="宋体"/>
          <w:b/>
          <w:color w:val="auto"/>
          <w:sz w:val="28"/>
          <w:szCs w:val="28"/>
        </w:rPr>
        <w:t>售后服务承诺书</w:t>
      </w:r>
    </w:p>
    <w:p w14:paraId="16D5D985">
      <w:pPr>
        <w:spacing w:line="360" w:lineRule="exact"/>
        <w:rPr>
          <w:rFonts w:hint="eastAsia" w:ascii="楷体_GB2312" w:hAnsi="宋体" w:eastAsia="楷体_GB2312"/>
          <w:b/>
          <w:color w:val="auto"/>
        </w:rPr>
      </w:pPr>
    </w:p>
    <w:p w14:paraId="2871E80C">
      <w:pPr>
        <w:spacing w:line="360" w:lineRule="exact"/>
        <w:rPr>
          <w:rFonts w:hint="eastAsia" w:ascii="宋体" w:hAnsi="宋体"/>
          <w:b/>
          <w:color w:val="auto"/>
        </w:rPr>
      </w:pPr>
      <w:r>
        <w:rPr>
          <w:rFonts w:hint="eastAsia" w:ascii="楷体_GB2312" w:hAnsi="宋体" w:eastAsia="楷体_GB2312"/>
          <w:b/>
          <w:color w:val="auto"/>
        </w:rPr>
        <w:t>（以复制投标文件中的内容为准）</w:t>
      </w:r>
    </w:p>
    <w:p w14:paraId="4197ECE1">
      <w:pPr>
        <w:spacing w:line="440" w:lineRule="exact"/>
        <w:ind w:left="630" w:leftChars="300" w:firstLine="2640" w:firstLineChars="1100"/>
        <w:rPr>
          <w:rFonts w:hint="eastAsia" w:ascii="宋体" w:hAnsi="宋体"/>
          <w:color w:val="auto"/>
          <w:sz w:val="24"/>
        </w:rPr>
      </w:pPr>
    </w:p>
    <w:p w14:paraId="7B65B571">
      <w:pPr>
        <w:spacing w:line="440" w:lineRule="exact"/>
        <w:ind w:left="630" w:leftChars="300" w:firstLine="2640" w:firstLineChars="1100"/>
        <w:rPr>
          <w:rFonts w:hint="eastAsia" w:ascii="宋体" w:hAnsi="宋体"/>
          <w:color w:val="auto"/>
          <w:sz w:val="24"/>
        </w:rPr>
      </w:pPr>
    </w:p>
    <w:p w14:paraId="69BA6F50">
      <w:pPr>
        <w:spacing w:line="440" w:lineRule="exact"/>
        <w:ind w:left="630" w:leftChars="300" w:firstLine="2640" w:firstLineChars="1100"/>
        <w:rPr>
          <w:rFonts w:hint="eastAsia" w:ascii="宋体" w:hAnsi="宋体"/>
          <w:color w:val="auto"/>
          <w:sz w:val="24"/>
        </w:rPr>
      </w:pPr>
    </w:p>
    <w:p w14:paraId="53667108">
      <w:pPr>
        <w:spacing w:line="440" w:lineRule="exact"/>
        <w:ind w:left="630" w:leftChars="300" w:firstLine="2640" w:firstLineChars="1100"/>
        <w:rPr>
          <w:rFonts w:hint="eastAsia" w:ascii="宋体" w:hAnsi="宋体"/>
          <w:color w:val="auto"/>
          <w:sz w:val="24"/>
        </w:rPr>
      </w:pPr>
    </w:p>
    <w:p w14:paraId="6514DB89">
      <w:pPr>
        <w:spacing w:line="440" w:lineRule="exact"/>
        <w:ind w:left="630" w:leftChars="300" w:firstLine="2640" w:firstLineChars="1100"/>
        <w:rPr>
          <w:rFonts w:hint="eastAsia" w:ascii="宋体" w:hAnsi="宋体"/>
          <w:color w:val="auto"/>
          <w:sz w:val="24"/>
        </w:rPr>
      </w:pPr>
    </w:p>
    <w:p w14:paraId="012B170F">
      <w:pPr>
        <w:spacing w:line="440" w:lineRule="exact"/>
        <w:ind w:left="630" w:leftChars="300" w:firstLine="2640" w:firstLineChars="1100"/>
        <w:rPr>
          <w:rFonts w:hint="eastAsia" w:ascii="宋体" w:hAnsi="宋体"/>
          <w:color w:val="auto"/>
          <w:sz w:val="24"/>
        </w:rPr>
      </w:pPr>
    </w:p>
    <w:p w14:paraId="7E3D2E32">
      <w:pPr>
        <w:spacing w:line="440" w:lineRule="exact"/>
        <w:ind w:left="630" w:leftChars="300" w:firstLine="2640" w:firstLineChars="1100"/>
        <w:rPr>
          <w:rFonts w:hint="eastAsia" w:ascii="宋体" w:hAnsi="宋体"/>
          <w:color w:val="auto"/>
          <w:sz w:val="24"/>
        </w:rPr>
      </w:pPr>
    </w:p>
    <w:p w14:paraId="70AD25B9">
      <w:pPr>
        <w:spacing w:line="440" w:lineRule="exact"/>
        <w:ind w:left="630" w:leftChars="300" w:firstLine="2640" w:firstLineChars="1100"/>
        <w:rPr>
          <w:rFonts w:hint="eastAsia" w:ascii="宋体" w:hAnsi="宋体"/>
          <w:color w:val="auto"/>
          <w:sz w:val="24"/>
        </w:rPr>
      </w:pPr>
    </w:p>
    <w:p w14:paraId="0B305E5A">
      <w:pPr>
        <w:spacing w:line="440" w:lineRule="exact"/>
        <w:ind w:left="630" w:leftChars="300" w:firstLine="2640" w:firstLineChars="1100"/>
        <w:rPr>
          <w:rFonts w:hint="eastAsia" w:ascii="宋体" w:hAnsi="宋体"/>
          <w:color w:val="auto"/>
          <w:sz w:val="24"/>
        </w:rPr>
      </w:pPr>
    </w:p>
    <w:p w14:paraId="5BD417B6">
      <w:pPr>
        <w:spacing w:line="440" w:lineRule="exact"/>
        <w:ind w:left="630" w:leftChars="300" w:firstLine="2640" w:firstLineChars="1100"/>
        <w:rPr>
          <w:rFonts w:hint="eastAsia" w:ascii="宋体" w:hAnsi="宋体"/>
          <w:color w:val="auto"/>
          <w:sz w:val="24"/>
        </w:rPr>
      </w:pPr>
    </w:p>
    <w:p w14:paraId="796E60C6">
      <w:pPr>
        <w:spacing w:line="440" w:lineRule="exact"/>
        <w:ind w:left="630" w:leftChars="300" w:firstLine="2640" w:firstLineChars="1100"/>
        <w:rPr>
          <w:rFonts w:hint="eastAsia" w:ascii="宋体" w:hAnsi="宋体"/>
          <w:color w:val="auto"/>
          <w:sz w:val="24"/>
        </w:rPr>
      </w:pPr>
    </w:p>
    <w:p w14:paraId="64250C9D">
      <w:pPr>
        <w:spacing w:line="440" w:lineRule="exact"/>
        <w:ind w:left="630" w:leftChars="300" w:firstLine="2640" w:firstLineChars="1100"/>
        <w:rPr>
          <w:rFonts w:hint="eastAsia" w:ascii="宋体" w:hAnsi="宋体"/>
          <w:color w:val="auto"/>
          <w:sz w:val="24"/>
        </w:rPr>
      </w:pPr>
    </w:p>
    <w:p w14:paraId="672E17E0">
      <w:pPr>
        <w:spacing w:line="440" w:lineRule="exact"/>
        <w:ind w:left="630" w:leftChars="300" w:firstLine="2640" w:firstLineChars="1100"/>
        <w:rPr>
          <w:rFonts w:hint="eastAsia" w:ascii="宋体" w:hAnsi="宋体"/>
          <w:color w:val="auto"/>
          <w:sz w:val="24"/>
        </w:rPr>
      </w:pPr>
    </w:p>
    <w:p w14:paraId="2EEC3089">
      <w:pPr>
        <w:spacing w:line="440" w:lineRule="exact"/>
        <w:ind w:left="630" w:leftChars="300" w:firstLine="2640" w:firstLineChars="1100"/>
        <w:rPr>
          <w:rFonts w:hint="eastAsia" w:ascii="宋体" w:hAnsi="宋体"/>
          <w:color w:val="auto"/>
          <w:sz w:val="24"/>
        </w:rPr>
      </w:pPr>
    </w:p>
    <w:p w14:paraId="3B3D81EB">
      <w:pPr>
        <w:spacing w:line="440" w:lineRule="exact"/>
        <w:ind w:left="630" w:leftChars="300" w:firstLine="4320" w:firstLineChars="1800"/>
        <w:rPr>
          <w:rFonts w:hint="eastAsia" w:ascii="宋体" w:hAnsi="宋体"/>
          <w:color w:val="auto"/>
          <w:sz w:val="24"/>
          <w:szCs w:val="20"/>
        </w:rPr>
      </w:pPr>
      <w:r>
        <w:rPr>
          <w:rFonts w:hint="eastAsia" w:ascii="宋体" w:hAnsi="宋体"/>
          <w:color w:val="auto"/>
          <w:sz w:val="24"/>
        </w:rPr>
        <w:t>投标人名称(盖章)：XX有限公司</w:t>
      </w:r>
    </w:p>
    <w:p w14:paraId="786B8762">
      <w:pPr>
        <w:spacing w:line="440" w:lineRule="exact"/>
        <w:ind w:firstLine="5400" w:firstLineChars="2250"/>
        <w:rPr>
          <w:rFonts w:ascii="宋体" w:hAnsi="宋体"/>
          <w:color w:val="auto"/>
          <w:sz w:val="24"/>
        </w:rPr>
      </w:pPr>
      <w:r>
        <w:rPr>
          <w:rFonts w:hint="eastAsia" w:ascii="宋体" w:hAnsi="宋体"/>
          <w:color w:val="auto"/>
          <w:sz w:val="24"/>
        </w:rPr>
        <w:t>日期： X年X月X日</w:t>
      </w:r>
    </w:p>
    <w:p w14:paraId="39051B76">
      <w:pPr>
        <w:snapToGrid w:val="0"/>
        <w:spacing w:line="440" w:lineRule="exact"/>
        <w:jc w:val="left"/>
        <w:rPr>
          <w:rFonts w:hint="eastAsia" w:ascii="宋体" w:hAnsi="宋体"/>
          <w:color w:val="auto"/>
          <w:sz w:val="24"/>
          <w:szCs w:val="24"/>
        </w:rPr>
      </w:pPr>
      <w:r>
        <w:rPr>
          <w:rFonts w:ascii="宋体" w:hAnsi="宋体"/>
          <w:color w:val="auto"/>
          <w:sz w:val="24"/>
          <w:szCs w:val="24"/>
        </w:rPr>
        <w:br w:type="page"/>
      </w:r>
      <w:r>
        <w:rPr>
          <w:rFonts w:hint="eastAsia" w:ascii="宋体" w:hAnsi="宋体"/>
          <w:color w:val="auto"/>
          <w:sz w:val="24"/>
          <w:szCs w:val="24"/>
        </w:rPr>
        <w:t>营业执照：</w:t>
      </w:r>
    </w:p>
    <w:p w14:paraId="6BDFDA4D">
      <w:pPr>
        <w:snapToGrid w:val="0"/>
        <w:spacing w:line="440" w:lineRule="exact"/>
        <w:jc w:val="left"/>
        <w:rPr>
          <w:rFonts w:hint="eastAsia" w:ascii="宋体" w:hAnsi="宋体"/>
          <w:color w:val="auto"/>
          <w:sz w:val="24"/>
          <w:szCs w:val="24"/>
        </w:rPr>
      </w:pPr>
    </w:p>
    <w:p w14:paraId="1DAA1122">
      <w:pPr>
        <w:snapToGrid w:val="0"/>
        <w:spacing w:line="440" w:lineRule="exact"/>
        <w:jc w:val="left"/>
        <w:rPr>
          <w:rFonts w:hint="eastAsia" w:ascii="宋体" w:hAnsi="宋体"/>
          <w:color w:val="auto"/>
          <w:sz w:val="24"/>
          <w:szCs w:val="24"/>
        </w:rPr>
      </w:pPr>
    </w:p>
    <w:p w14:paraId="5100556C">
      <w:pPr>
        <w:snapToGrid w:val="0"/>
        <w:spacing w:line="440" w:lineRule="exact"/>
        <w:jc w:val="left"/>
        <w:rPr>
          <w:rFonts w:ascii="宋体" w:hAnsi="宋体"/>
          <w:color w:val="auto"/>
          <w:sz w:val="24"/>
          <w:szCs w:val="24"/>
        </w:rPr>
      </w:pPr>
    </w:p>
    <w:p w14:paraId="363BEF7A">
      <w:pPr>
        <w:snapToGrid w:val="0"/>
        <w:spacing w:line="440" w:lineRule="exact"/>
        <w:jc w:val="left"/>
        <w:rPr>
          <w:rFonts w:ascii="宋体" w:hAnsi="宋体"/>
          <w:color w:val="auto"/>
          <w:sz w:val="24"/>
          <w:szCs w:val="24"/>
        </w:rPr>
      </w:pPr>
    </w:p>
    <w:p w14:paraId="10653D43">
      <w:pPr>
        <w:snapToGrid w:val="0"/>
        <w:spacing w:line="440" w:lineRule="exact"/>
        <w:jc w:val="left"/>
        <w:rPr>
          <w:rFonts w:ascii="宋体" w:hAnsi="宋体"/>
          <w:color w:val="auto"/>
          <w:sz w:val="24"/>
          <w:szCs w:val="24"/>
        </w:rPr>
      </w:pPr>
    </w:p>
    <w:p w14:paraId="548F5903">
      <w:pPr>
        <w:snapToGrid w:val="0"/>
        <w:spacing w:line="440" w:lineRule="exact"/>
        <w:jc w:val="left"/>
        <w:rPr>
          <w:rFonts w:ascii="宋体" w:hAnsi="宋体"/>
          <w:color w:val="auto"/>
          <w:sz w:val="24"/>
          <w:szCs w:val="24"/>
        </w:rPr>
      </w:pPr>
    </w:p>
    <w:p w14:paraId="108E60C3">
      <w:pPr>
        <w:snapToGrid w:val="0"/>
        <w:spacing w:line="440" w:lineRule="exact"/>
        <w:jc w:val="left"/>
        <w:rPr>
          <w:rFonts w:hint="eastAsia" w:ascii="宋体" w:hAnsi="宋体"/>
          <w:color w:val="auto"/>
          <w:sz w:val="24"/>
          <w:szCs w:val="24"/>
        </w:rPr>
      </w:pPr>
    </w:p>
    <w:p w14:paraId="6D1EF538">
      <w:pPr>
        <w:snapToGrid w:val="0"/>
        <w:spacing w:line="440" w:lineRule="exact"/>
        <w:jc w:val="left"/>
        <w:rPr>
          <w:rFonts w:hint="eastAsia" w:ascii="宋体" w:hAnsi="宋体"/>
          <w:color w:val="auto"/>
          <w:sz w:val="24"/>
          <w:szCs w:val="24"/>
        </w:rPr>
      </w:pPr>
    </w:p>
    <w:p w14:paraId="51552146">
      <w:pPr>
        <w:snapToGrid w:val="0"/>
        <w:spacing w:line="440" w:lineRule="exact"/>
        <w:jc w:val="left"/>
        <w:rPr>
          <w:rFonts w:hint="eastAsia" w:ascii="宋体" w:hAnsi="宋体"/>
          <w:color w:val="auto"/>
          <w:sz w:val="24"/>
          <w:szCs w:val="24"/>
        </w:rPr>
      </w:pPr>
    </w:p>
    <w:p w14:paraId="3037F9CA">
      <w:pPr>
        <w:snapToGrid w:val="0"/>
        <w:spacing w:line="440" w:lineRule="exact"/>
        <w:jc w:val="left"/>
        <w:rPr>
          <w:rFonts w:hint="eastAsia" w:ascii="宋体" w:hAnsi="宋体"/>
          <w:color w:val="auto"/>
          <w:sz w:val="24"/>
          <w:szCs w:val="24"/>
        </w:rPr>
      </w:pPr>
    </w:p>
    <w:p w14:paraId="599BE8CC">
      <w:pPr>
        <w:snapToGrid w:val="0"/>
        <w:spacing w:line="440" w:lineRule="exact"/>
        <w:jc w:val="left"/>
        <w:rPr>
          <w:rFonts w:hint="eastAsia" w:ascii="宋体" w:hAnsi="宋体"/>
          <w:color w:val="auto"/>
          <w:sz w:val="24"/>
          <w:szCs w:val="24"/>
        </w:rPr>
      </w:pPr>
      <w:r>
        <w:rPr>
          <w:rFonts w:hint="eastAsia" w:ascii="宋体" w:hAnsi="宋体"/>
          <w:color w:val="auto"/>
          <w:sz w:val="24"/>
          <w:szCs w:val="24"/>
        </w:rPr>
        <w:t>法人身份证明：</w:t>
      </w:r>
    </w:p>
    <w:p w14:paraId="27FA7587">
      <w:pPr>
        <w:snapToGrid w:val="0"/>
        <w:spacing w:line="440" w:lineRule="exact"/>
        <w:jc w:val="left"/>
        <w:rPr>
          <w:rFonts w:hint="eastAsia" w:ascii="宋体" w:hAnsi="宋体"/>
          <w:color w:val="auto"/>
          <w:sz w:val="24"/>
          <w:szCs w:val="24"/>
        </w:rPr>
      </w:pPr>
    </w:p>
    <w:p w14:paraId="7DEFD867">
      <w:pPr>
        <w:snapToGrid w:val="0"/>
        <w:spacing w:line="440" w:lineRule="exact"/>
        <w:jc w:val="left"/>
        <w:rPr>
          <w:rFonts w:hint="eastAsia" w:ascii="宋体" w:hAnsi="宋体"/>
          <w:color w:val="auto"/>
          <w:sz w:val="24"/>
          <w:szCs w:val="24"/>
        </w:rPr>
      </w:pPr>
    </w:p>
    <w:p w14:paraId="33E1C7EE">
      <w:pPr>
        <w:snapToGrid w:val="0"/>
        <w:spacing w:line="440" w:lineRule="exact"/>
        <w:jc w:val="left"/>
        <w:rPr>
          <w:rFonts w:hint="eastAsia" w:ascii="宋体" w:hAnsi="宋体"/>
          <w:color w:val="auto"/>
          <w:sz w:val="24"/>
          <w:szCs w:val="24"/>
        </w:rPr>
      </w:pPr>
    </w:p>
    <w:p w14:paraId="5BA6DDC9">
      <w:pPr>
        <w:snapToGrid w:val="0"/>
        <w:spacing w:line="440" w:lineRule="exact"/>
        <w:jc w:val="left"/>
        <w:rPr>
          <w:rFonts w:hint="eastAsia" w:ascii="宋体" w:hAnsi="宋体"/>
          <w:color w:val="auto"/>
          <w:sz w:val="24"/>
          <w:szCs w:val="24"/>
        </w:rPr>
      </w:pPr>
    </w:p>
    <w:p w14:paraId="09B42BF9">
      <w:pPr>
        <w:snapToGrid w:val="0"/>
        <w:spacing w:line="440" w:lineRule="exact"/>
        <w:jc w:val="left"/>
        <w:rPr>
          <w:rFonts w:hint="eastAsia" w:ascii="宋体" w:hAnsi="宋体"/>
          <w:color w:val="auto"/>
          <w:sz w:val="24"/>
          <w:szCs w:val="24"/>
        </w:rPr>
      </w:pPr>
    </w:p>
    <w:p w14:paraId="2F582EE1">
      <w:pPr>
        <w:snapToGrid w:val="0"/>
        <w:spacing w:line="440" w:lineRule="exact"/>
        <w:jc w:val="left"/>
        <w:rPr>
          <w:rFonts w:hint="eastAsia" w:ascii="宋体" w:hAnsi="宋体"/>
          <w:color w:val="auto"/>
          <w:sz w:val="24"/>
          <w:szCs w:val="24"/>
        </w:rPr>
      </w:pPr>
    </w:p>
    <w:p w14:paraId="62FB82EE">
      <w:pPr>
        <w:snapToGrid w:val="0"/>
        <w:spacing w:line="440" w:lineRule="exact"/>
        <w:jc w:val="left"/>
        <w:rPr>
          <w:rFonts w:hint="eastAsia" w:ascii="宋体" w:hAnsi="宋体"/>
          <w:color w:val="auto"/>
          <w:sz w:val="24"/>
          <w:szCs w:val="24"/>
        </w:rPr>
      </w:pPr>
    </w:p>
    <w:p w14:paraId="705F5BE1">
      <w:pPr>
        <w:snapToGrid w:val="0"/>
        <w:spacing w:line="440" w:lineRule="exact"/>
        <w:jc w:val="left"/>
        <w:rPr>
          <w:rFonts w:hint="eastAsia" w:ascii="宋体" w:hAnsi="宋体"/>
          <w:color w:val="auto"/>
          <w:sz w:val="24"/>
          <w:szCs w:val="24"/>
        </w:rPr>
      </w:pPr>
    </w:p>
    <w:p w14:paraId="4A95F346">
      <w:pPr>
        <w:snapToGrid w:val="0"/>
        <w:spacing w:line="440" w:lineRule="exact"/>
        <w:jc w:val="left"/>
        <w:rPr>
          <w:rFonts w:hint="eastAsia" w:ascii="宋体" w:hAnsi="宋体"/>
          <w:color w:val="auto"/>
          <w:sz w:val="24"/>
          <w:szCs w:val="24"/>
        </w:rPr>
      </w:pPr>
    </w:p>
    <w:p w14:paraId="33B7A9E7">
      <w:pPr>
        <w:snapToGrid w:val="0"/>
        <w:spacing w:line="440" w:lineRule="exact"/>
        <w:jc w:val="left"/>
        <w:rPr>
          <w:rFonts w:hint="eastAsia" w:ascii="宋体" w:hAnsi="宋体"/>
          <w:color w:val="auto"/>
          <w:sz w:val="24"/>
          <w:szCs w:val="24"/>
        </w:rPr>
      </w:pPr>
    </w:p>
    <w:p w14:paraId="12524AAA">
      <w:pPr>
        <w:snapToGrid w:val="0"/>
        <w:spacing w:line="440" w:lineRule="exact"/>
        <w:jc w:val="left"/>
        <w:rPr>
          <w:rFonts w:hint="eastAsia" w:ascii="宋体" w:hAnsi="宋体"/>
          <w:color w:val="auto"/>
          <w:sz w:val="24"/>
          <w:szCs w:val="24"/>
        </w:rPr>
      </w:pPr>
    </w:p>
    <w:p w14:paraId="556429BF">
      <w:pPr>
        <w:snapToGrid w:val="0"/>
        <w:spacing w:line="440" w:lineRule="exact"/>
        <w:jc w:val="left"/>
        <w:rPr>
          <w:rFonts w:hint="eastAsia" w:ascii="宋体" w:hAnsi="宋体"/>
          <w:color w:val="auto"/>
          <w:sz w:val="24"/>
          <w:szCs w:val="24"/>
        </w:rPr>
      </w:pPr>
      <w:r>
        <w:rPr>
          <w:rFonts w:hint="eastAsia" w:ascii="宋体" w:hAnsi="宋体"/>
          <w:color w:val="auto"/>
          <w:sz w:val="24"/>
          <w:szCs w:val="24"/>
        </w:rPr>
        <w:t>委托书：</w:t>
      </w:r>
    </w:p>
    <w:p w14:paraId="49F01B9D">
      <w:pPr>
        <w:spacing w:line="440" w:lineRule="exact"/>
        <w:ind w:firstLine="5400" w:firstLineChars="2250"/>
        <w:rPr>
          <w:rFonts w:hint="eastAsia" w:ascii="宋体" w:hAnsi="宋体"/>
          <w:color w:val="auto"/>
          <w:sz w:val="24"/>
        </w:rPr>
      </w:pPr>
    </w:p>
    <w:p w14:paraId="70AF4468">
      <w:pPr>
        <w:spacing w:line="480" w:lineRule="exact"/>
        <w:rPr>
          <w:color w:val="auto"/>
        </w:rPr>
      </w:pPr>
    </w:p>
    <w:p w14:paraId="0658C44A">
      <w:pPr>
        <w:spacing w:line="480" w:lineRule="exact"/>
        <w:rPr>
          <w:color w:val="auto"/>
        </w:rPr>
      </w:pPr>
    </w:p>
    <w:p w14:paraId="20FAC79E">
      <w:pPr>
        <w:pStyle w:val="66"/>
        <w:rPr>
          <w:color w:val="auto"/>
        </w:rPr>
        <w:sectPr>
          <w:headerReference r:id="rId6" w:type="default"/>
          <w:footerReference r:id="rId7" w:type="default"/>
          <w:pgSz w:w="11906" w:h="16838"/>
          <w:pgMar w:top="1440" w:right="1797" w:bottom="1440" w:left="1797" w:header="851" w:footer="992" w:gutter="0"/>
          <w:pgBorders>
            <w:top w:val="none" w:sz="0" w:space="0"/>
            <w:left w:val="none" w:sz="0" w:space="0"/>
            <w:bottom w:val="none" w:sz="0" w:space="0"/>
            <w:right w:val="none" w:sz="0" w:space="0"/>
          </w:pgBorders>
          <w:pgNumType w:fmt="numberInDash"/>
          <w:cols w:space="720" w:num="1"/>
          <w:docGrid w:type="linesAndChars" w:linePitch="312" w:charSpace="0"/>
        </w:sectPr>
      </w:pPr>
    </w:p>
    <w:p w14:paraId="29FEEA57">
      <w:pPr>
        <w:adjustRightInd w:val="0"/>
        <w:snapToGrid w:val="0"/>
        <w:jc w:val="center"/>
        <w:outlineLvl w:val="0"/>
        <w:rPr>
          <w:color w:val="auto"/>
        </w:rPr>
      </w:pPr>
      <w:bookmarkStart w:id="33" w:name="_Toc21986"/>
      <w:r>
        <w:rPr>
          <w:rFonts w:hint="eastAsia" w:ascii="宋体" w:hAnsi="宋体"/>
          <w:b/>
          <w:bCs/>
          <w:color w:val="auto"/>
          <w:sz w:val="32"/>
          <w:szCs w:val="32"/>
        </w:rPr>
        <w:t xml:space="preserve">第五章 </w:t>
      </w:r>
      <w:r>
        <w:rPr>
          <w:rFonts w:hint="eastAsia" w:ascii="宋体" w:hAnsi="宋体"/>
          <w:b/>
          <w:color w:val="auto"/>
          <w:sz w:val="32"/>
          <w:szCs w:val="32"/>
        </w:rPr>
        <w:t>采购需求</w:t>
      </w:r>
      <w:bookmarkEnd w:id="33"/>
    </w:p>
    <w:p w14:paraId="5E27175B">
      <w:pPr>
        <w:rPr>
          <w:color w:val="auto"/>
        </w:rPr>
      </w:pPr>
    </w:p>
    <w:p w14:paraId="5FE90801">
      <w:pPr>
        <w:pStyle w:val="3"/>
        <w:adjustRightInd w:val="0"/>
        <w:snapToGrid w:val="0"/>
        <w:spacing w:before="156" w:beforeLines="50" w:line="240" w:lineRule="auto"/>
        <w:jc w:val="center"/>
        <w:rPr>
          <w:color w:val="auto"/>
        </w:rPr>
      </w:pPr>
      <w:bookmarkStart w:id="34" w:name="_Toc31507"/>
      <w:r>
        <w:rPr>
          <w:rFonts w:hint="eastAsia" w:ascii="黑体" w:hAnsi="黑体" w:eastAsia="黑体"/>
          <w:color w:val="auto"/>
          <w:sz w:val="28"/>
          <w:szCs w:val="28"/>
        </w:rPr>
        <w:t>第一节 采购清单</w:t>
      </w:r>
      <w:bookmarkEnd w:id="34"/>
    </w:p>
    <w:p w14:paraId="271F9CBE">
      <w:pPr>
        <w:rPr>
          <w:color w:val="auto"/>
        </w:rPr>
      </w:pPr>
    </w:p>
    <w:tbl>
      <w:tblPr>
        <w:tblStyle w:val="51"/>
        <w:tblW w:w="53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0"/>
        <w:gridCol w:w="1127"/>
        <w:gridCol w:w="6078"/>
        <w:gridCol w:w="682"/>
        <w:gridCol w:w="670"/>
      </w:tblGrid>
      <w:tr w14:paraId="55192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5000" w:type="pct"/>
            <w:gridSpan w:val="5"/>
            <w:tcBorders>
              <w:top w:val="nil"/>
              <w:left w:val="nil"/>
              <w:bottom w:val="nil"/>
              <w:right w:val="nil"/>
            </w:tcBorders>
            <w:shd w:val="clear" w:color="auto" w:fill="FFFFFF"/>
            <w:noWrap/>
            <w:vAlign w:val="center"/>
          </w:tcPr>
          <w:p w14:paraId="48645E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32"/>
                <w:szCs w:val="32"/>
                <w:u w:val="none"/>
              </w:rPr>
            </w:pPr>
            <w:r>
              <w:rPr>
                <w:rFonts w:hint="eastAsia" w:ascii="宋体" w:hAnsi="宋体" w:eastAsia="宋体" w:cs="宋体"/>
                <w:b/>
                <w:bCs/>
                <w:i w:val="0"/>
                <w:iCs w:val="0"/>
                <w:color w:val="auto"/>
                <w:kern w:val="0"/>
                <w:sz w:val="32"/>
                <w:szCs w:val="32"/>
                <w:u w:val="none"/>
                <w:lang w:val="en-US" w:eastAsia="zh-CN" w:bidi="ar"/>
              </w:rPr>
              <w:t>湖南文理学院东校区监控技防系统升级改造项目清单</w:t>
            </w:r>
          </w:p>
        </w:tc>
      </w:tr>
      <w:tr w14:paraId="3B474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8C9E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序号</w:t>
            </w:r>
          </w:p>
        </w:tc>
        <w:tc>
          <w:tcPr>
            <w:tcW w:w="6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0729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设备名称</w:t>
            </w:r>
          </w:p>
        </w:tc>
        <w:tc>
          <w:tcPr>
            <w:tcW w:w="33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2136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设备主要技术参数</w:t>
            </w:r>
          </w:p>
        </w:tc>
        <w:tc>
          <w:tcPr>
            <w:tcW w:w="37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3E2F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单位</w:t>
            </w:r>
          </w:p>
        </w:tc>
        <w:tc>
          <w:tcPr>
            <w:tcW w:w="363"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9CD9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数量</w:t>
            </w:r>
          </w:p>
        </w:tc>
      </w:tr>
      <w:tr w14:paraId="7E844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5"/>
            <w:tcBorders>
              <w:top w:val="single" w:color="000000" w:sz="4" w:space="0"/>
              <w:left w:val="single" w:color="000000" w:sz="4" w:space="0"/>
              <w:bottom w:val="single" w:color="000000" w:sz="4" w:space="0"/>
              <w:right w:val="nil"/>
            </w:tcBorders>
            <w:shd w:val="clear" w:color="auto" w:fill="D9D9D9"/>
            <w:noWrap/>
            <w:vAlign w:val="center"/>
          </w:tcPr>
          <w:p w14:paraId="55F21CE1">
            <w:pPr>
              <w:keepNext w:val="0"/>
              <w:keepLines w:val="0"/>
              <w:pageBreakBefore w:val="0"/>
              <w:widowControl/>
              <w:kinsoku/>
              <w:wordWrap/>
              <w:overflowPunct/>
              <w:topLinePunct w:val="0"/>
              <w:autoSpaceDE/>
              <w:autoSpaceDN/>
              <w:bidi w:val="0"/>
              <w:adjustRightInd w:val="0"/>
              <w:snapToGrid w:val="0"/>
              <w:jc w:val="left"/>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一.前端设备</w:t>
            </w:r>
          </w:p>
        </w:tc>
      </w:tr>
      <w:tr w14:paraId="69C2C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nil"/>
              <w:left w:val="single" w:color="000000" w:sz="4" w:space="0"/>
              <w:bottom w:val="single" w:color="000000" w:sz="4" w:space="0"/>
              <w:right w:val="single" w:color="000000" w:sz="4" w:space="0"/>
            </w:tcBorders>
            <w:shd w:val="clear" w:color="auto" w:fill="auto"/>
            <w:vAlign w:val="center"/>
          </w:tcPr>
          <w:p w14:paraId="2AA314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611" w:type="pct"/>
            <w:tcBorders>
              <w:top w:val="nil"/>
              <w:left w:val="single" w:color="000000" w:sz="4" w:space="0"/>
              <w:bottom w:val="single" w:color="000000" w:sz="4" w:space="0"/>
              <w:right w:val="single" w:color="000000" w:sz="4" w:space="0"/>
            </w:tcBorders>
            <w:shd w:val="clear" w:color="auto" w:fill="auto"/>
            <w:vAlign w:val="center"/>
          </w:tcPr>
          <w:p w14:paraId="2D0236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大模型周界摄像机</w:t>
            </w:r>
          </w:p>
        </w:tc>
        <w:tc>
          <w:tcPr>
            <w:tcW w:w="3300" w:type="pct"/>
            <w:tcBorders>
              <w:top w:val="nil"/>
              <w:left w:val="single" w:color="000000" w:sz="4" w:space="0"/>
              <w:bottom w:val="single" w:color="000000" w:sz="4" w:space="0"/>
              <w:right w:val="single" w:color="000000" w:sz="4" w:space="0"/>
            </w:tcBorders>
            <w:shd w:val="clear" w:color="auto" w:fill="auto"/>
            <w:vAlign w:val="center"/>
          </w:tcPr>
          <w:p w14:paraId="7038630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 具有≥3个镜头，具有≥3个靶面尺寸≥1/2.8英寸的CMOS图像传感器，内置GPU芯片，具有≥3个独立的图像采集通道，每个通道可同时采集、输出和存储，至少1个通道分辨率≥2688x1520@25fps；</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 支持越界侦测、区域入侵侦测、进入/离开区域侦测大模型算法，有效检测距离≥150米；</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 内置大模型算法芯片，运用大模型算法检测并分类识别目标（人员、机动车、动物），内置容量≥8GB的eMMC芯片，存储大模型算法及数据；（提供</w:t>
            </w:r>
            <w:r>
              <w:rPr>
                <w:rFonts w:hint="eastAsia" w:ascii="宋体" w:hAnsi="宋体" w:cs="宋体"/>
                <w:i w:val="0"/>
                <w:iCs w:val="0"/>
                <w:color w:val="auto"/>
                <w:kern w:val="0"/>
                <w:sz w:val="20"/>
                <w:szCs w:val="20"/>
                <w:u w:val="none"/>
                <w:lang w:val="en-US" w:eastAsia="zh-CN" w:bidi="ar"/>
              </w:rPr>
              <w:t>国家认定的具备</w:t>
            </w:r>
            <w:r>
              <w:rPr>
                <w:rFonts w:hint="eastAsia" w:ascii="宋体" w:hAnsi="宋体" w:eastAsia="宋体" w:cs="宋体"/>
                <w:i w:val="0"/>
                <w:iCs w:val="0"/>
                <w:color w:val="auto"/>
                <w:kern w:val="0"/>
                <w:sz w:val="20"/>
                <w:szCs w:val="20"/>
                <w:u w:val="none"/>
                <w:lang w:val="en-US" w:eastAsia="zh-CN" w:bidi="ar"/>
              </w:rPr>
              <w:t>资质的第三方检验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机构出具的检验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 xml:space="preserve">报告复印件证明文件并加盖投标单位公章）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 采用智能大模型算法，在环境光照度不高于1 lx的情况下，当检测区域存在晃动的树叶、光影时，可对人员、机动车、狗进行目标检测，检测上报延时不大于1s；</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 具有红色、蓝色报警灯，采用金属外壳，当报警产生时，可在报警布防时间内联动声音报警和/或红蓝灯交替闪烁报警；</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6. 当水平视场角≥80°时，可检测距离≥80m处肩宽不超过20像素的行人和100m处车头宽度不超过26像素的机动车；</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7. 具有平衡检测模块，可指示设备水平状态，垂直方向支持≥±10°旋转，镜头和红外补光灯模块应同步垂直旋转；</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8. 具有≥2个麦克风、≥1个扬声器、≥1个音频输入接口、≥1个音频输出接口、≥1个RS485接口、≥2个报警输入接口、≥2个报警输出接口、≥1个SD卡卡槽，支持≥150米红外补光，防护等级不低于IP66。</w:t>
            </w:r>
          </w:p>
        </w:tc>
        <w:tc>
          <w:tcPr>
            <w:tcW w:w="370" w:type="pct"/>
            <w:tcBorders>
              <w:top w:val="nil"/>
              <w:left w:val="single" w:color="000000" w:sz="4" w:space="0"/>
              <w:bottom w:val="single" w:color="000000" w:sz="4" w:space="0"/>
              <w:right w:val="single" w:color="000000" w:sz="4" w:space="0"/>
            </w:tcBorders>
            <w:shd w:val="clear" w:color="auto" w:fill="auto"/>
            <w:vAlign w:val="center"/>
          </w:tcPr>
          <w:p w14:paraId="19A5BE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363" w:type="pct"/>
            <w:tcBorders>
              <w:top w:val="nil"/>
              <w:left w:val="single" w:color="000000" w:sz="4" w:space="0"/>
              <w:bottom w:val="single" w:color="000000" w:sz="4" w:space="0"/>
              <w:right w:val="nil"/>
            </w:tcBorders>
            <w:shd w:val="clear" w:color="auto" w:fill="auto"/>
            <w:vAlign w:val="center"/>
          </w:tcPr>
          <w:p w14:paraId="266CF5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p>
        </w:tc>
      </w:tr>
      <w:tr w14:paraId="3B706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D30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A7A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高清全彩筒式摄像机</w:t>
            </w:r>
          </w:p>
        </w:tc>
        <w:tc>
          <w:tcPr>
            <w:tcW w:w="3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46D8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 全彩枪型网络摄像机，传感器靶面尺寸≥1/2.4英寸，视频分辨率和帧率≥2688×1520、25帧/秒，内置≥1个麦克风、≥1个扬声器；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2. 补光灯灯杯采用双层透镜结构，外表平面为柔光层，采用复眼式微透镜阵列，具有六边形阵列纹路，下层束光层为鳞甲TIR透镜，内壁具有鳞甲阵列纹路；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3. 补光灯均匀无波纹状、圆环状、麻点状、条纹状和不规则亮斑；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 具有智能ISP图像质量提升功能，在低照度环境下，可自动调节预览场景视频画面中人脸、人体、车辆等目标及预览场景视频画面的区域曝光、亮度、色彩饱和度、对比度、锐度等；（提供</w:t>
            </w:r>
            <w:r>
              <w:rPr>
                <w:rFonts w:hint="eastAsia" w:ascii="宋体" w:hAnsi="宋体" w:cs="宋体"/>
                <w:i w:val="0"/>
                <w:iCs w:val="0"/>
                <w:color w:val="auto"/>
                <w:kern w:val="0"/>
                <w:sz w:val="20"/>
                <w:szCs w:val="20"/>
                <w:u w:val="none"/>
                <w:lang w:val="en-US" w:eastAsia="zh-CN" w:bidi="ar"/>
              </w:rPr>
              <w:t>国家认定的具备</w:t>
            </w:r>
            <w:r>
              <w:rPr>
                <w:rFonts w:hint="eastAsia" w:ascii="宋体" w:hAnsi="宋体" w:eastAsia="宋体" w:cs="宋体"/>
                <w:i w:val="0"/>
                <w:iCs w:val="0"/>
                <w:color w:val="auto"/>
                <w:kern w:val="0"/>
                <w:sz w:val="20"/>
                <w:szCs w:val="20"/>
                <w:u w:val="none"/>
                <w:lang w:val="en-US" w:eastAsia="zh-CN" w:bidi="ar"/>
              </w:rPr>
              <w:t>资质的第三方检验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机构出具的检验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 xml:space="preserve">报告复印件证明文件并加盖投标单位公章）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5. 具有日夜场景自适应功能，在白天和夜晚环境下，均可输出彩色图像，在夜晚自动开启补光灯条件下，夜晚图像清晰度应不低于白天图像清晰度的95%；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6. 支持POE供电，支持白光、红外双补光，白光补光距离≥30米，红外补光距离≥50米，防护等级不低于IP66。</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D82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52C1E0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228</w:t>
            </w:r>
          </w:p>
        </w:tc>
      </w:tr>
      <w:tr w14:paraId="65EE5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02A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39F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高清全彩半球摄像机</w:t>
            </w:r>
          </w:p>
        </w:tc>
        <w:tc>
          <w:tcPr>
            <w:tcW w:w="3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8756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 全彩半球网络摄像机，传感器靶面尺寸≥1/2.4英寸，视频分辨率和帧率≥2688×1520、25帧/秒，内置≥1个麦克风、≥1个扬声器；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2. 补光灯灯杯采用双层透镜结构，外表平面为柔光层，采用复眼式微透镜阵列，具有六边形阵列纹路，下层束光层为鳞甲TIR透镜，内壁具有鳞甲阵列纹路；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3. 补光灯灯光均匀无波纹状、圆环状、麻点状、条纹状和不规则亮斑；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 具有智能ISP图像质量提升功能，在低照度环境下，可自动调节预览场景视频画面中人脸、人体、车辆等目标及预览场景视频画面的区域曝光、亮度、色彩饱和度、对比度、锐度等；</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 具有日夜场景自适应功能，在白天和夜晚环境下，均可输出彩色图像，在夜晚自动开启补光灯条件下，夜晚图像清晰度应不低于白天图像清晰度的95%；</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6. 支持POE供电，支持白光、红外双补光，白光补光距离≥20米，红外补光距离≥30米，防护等级不低于IP66。</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1BC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38A59F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14</w:t>
            </w:r>
          </w:p>
        </w:tc>
      </w:tr>
      <w:tr w14:paraId="270FE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3EE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2C1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180度全景拼接筒机</w:t>
            </w:r>
          </w:p>
        </w:tc>
        <w:tc>
          <w:tcPr>
            <w:tcW w:w="3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8FC4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最高分辨率可达2688 × 1520 @25 fps，在该分辨率下可输出实时图像；Smart侦测：区域入侵侦测，越界侦测，进入区域侦测，离开区域侦测，物品遗留侦测，物品拿取侦测，徘徊侦测，停车侦测，人员聚集侦测，快速移动侦测；支持背光补偿，强光抑制，3D数字降噪，120 dB宽动态；支持180°水平视场角；不少于1个内置麦克风，高清拾音；传感器类型：1/3" Progressive Scan CMOS；最低照度：0.005 Lux @（F1.2，AGC ON），0 Lux with IR；宽动态：120 dB ；焦距&amp;视场角：1.68 mm，水平视场角：180°，垂直视场角：98° ；补光灯类型：红外灯；补光距离：最远可达10 m；防补光过曝：支持 ；最大图像尺寸：2688 × 1520；视频压缩标准：主码流：H.265/H.264；子码流：H.265/H.264/MJPEG；第三码流：H.265/H.264 ；网络：1个RJ45 10 M/100 M自适应以太网口；启动和工作温湿度：-30 ℃~60 ℃，湿度小于95%（无凝结）；电流及功耗：DC：12 V，0.46 A，最大功耗：5.5 W；PoE：802.3af，36 V~57 V，0.18 A~0.11 A，最大功耗：6.5 W；电源接口类型：Ø5.5 mm圆口；供电方式：DC：12 V ± 25%，支持防反接保护；PoE：802.3af，Class 3 ；防护：IP66 </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046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572702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30</w:t>
            </w:r>
          </w:p>
        </w:tc>
      </w:tr>
      <w:tr w14:paraId="60FCA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3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1C02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w:t>
            </w:r>
          </w:p>
        </w:tc>
        <w:tc>
          <w:tcPr>
            <w:tcW w:w="6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C51A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高空全景拼接球机</w:t>
            </w:r>
          </w:p>
        </w:tc>
        <w:tc>
          <w:tcPr>
            <w:tcW w:w="33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9D3EB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全景摄像机分辨率不低于3680 × 1656，细节摄像机分辨率不低于2688 × 1520，摄像机内置不少于3个镜头，可输出至少1路全景视频图像和1路细节视频图像，全景视频图像内置2个镜头，细节视频图像内置1个镜头;全景视频图像内置2个镜头，光圈不小于F1.0，具有不小于1/1.8靶面尺寸，内置4颗补光灯。细节视频图像内置1个镜头，具有不小于1/1.8靶面尺寸，内置10颗红外补光灯及1颗白光灯，全景通道、细节通道最低照度：彩色≤0.0002lx，黑白≤0.0001lx，摄像机内置镜头，支持不小于25倍光学变倍，镜头最大焦距不小于147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支持水平旋转范围360°连续旋转，垂直旋转范围-20°~90°，全景通道可进行垂直旋转，旋转角度范围不低于12°，并可进行调节，可设置300个预置位，8条巡航路径。支持预置位视频冻结功能，具有 H.265、H.264、MJPEG设置选项，内置不少于2颗GPU芯片，全景通道可输出两个镜头无缝拼接的全景图像，纵向拼接偏差像素不大于4个像素，全景画面水平视场角不小于190°，垂直视场角不小于80°，全景通道支持人员密度检测功能，并可输出显示实时人数及拥堵等级，可通过IE浏览器或客户端软件根据人数和占空比配置密度等级。全景通道可对设定区域进行布防，当检测到目标时联动细节摄像机可对目标进行跟踪及报警，可对距离设备50m处发生的智能行为分析事件进行检测并给出报警提示（提供</w:t>
            </w:r>
            <w:r>
              <w:rPr>
                <w:rFonts w:hint="eastAsia" w:ascii="宋体" w:hAnsi="宋体" w:cs="宋体"/>
                <w:i w:val="0"/>
                <w:iCs w:val="0"/>
                <w:color w:val="auto"/>
                <w:kern w:val="0"/>
                <w:sz w:val="20"/>
                <w:szCs w:val="20"/>
                <w:u w:val="none"/>
                <w:lang w:val="en-US" w:eastAsia="zh-CN" w:bidi="ar"/>
              </w:rPr>
              <w:t>国家认定的具备</w:t>
            </w:r>
            <w:r>
              <w:rPr>
                <w:rFonts w:hint="eastAsia" w:ascii="宋体" w:hAnsi="宋体" w:eastAsia="宋体" w:cs="宋体"/>
                <w:i w:val="0"/>
                <w:iCs w:val="0"/>
                <w:color w:val="auto"/>
                <w:kern w:val="0"/>
                <w:sz w:val="20"/>
                <w:szCs w:val="20"/>
                <w:u w:val="none"/>
                <w:lang w:val="en-US" w:eastAsia="zh-CN" w:bidi="ar"/>
              </w:rPr>
              <w:t>资质的第三方检验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机构出具的检验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 xml:space="preserve">报告复印件证明文件并加盖投标单位公章） 在设备上方使用手持喷淋装置对设备进行喷水操作，水流方向与水平方向夹角大于等于42°时，设备视窗应无水流直接接触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smart事件上报的抓图支持叠加规则区域和目标框：可配置报警抓图叠加目标信息及规则信息，支持开启及关闭。支持设置预览画面是否叠加显示规则区域框及告警提示信息</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可从诊断信息中导出云台控制历史记录，包括：手动键控PTZ、3D定位、手动调用预置点、手动调用花扫、手动调用巡航（提供</w:t>
            </w:r>
            <w:r>
              <w:rPr>
                <w:rFonts w:hint="eastAsia" w:ascii="宋体" w:hAnsi="宋体" w:cs="宋体"/>
                <w:i w:val="0"/>
                <w:iCs w:val="0"/>
                <w:color w:val="auto"/>
                <w:kern w:val="0"/>
                <w:sz w:val="20"/>
                <w:szCs w:val="20"/>
                <w:u w:val="none"/>
                <w:lang w:val="en-US" w:eastAsia="zh-CN" w:bidi="ar"/>
              </w:rPr>
              <w:t>国家认定的具备</w:t>
            </w:r>
            <w:r>
              <w:rPr>
                <w:rFonts w:hint="eastAsia" w:ascii="宋体" w:hAnsi="宋体" w:eastAsia="宋体" w:cs="宋体"/>
                <w:i w:val="0"/>
                <w:iCs w:val="0"/>
                <w:color w:val="auto"/>
                <w:kern w:val="0"/>
                <w:sz w:val="20"/>
                <w:szCs w:val="20"/>
                <w:u w:val="none"/>
                <w:lang w:val="en-US" w:eastAsia="zh-CN" w:bidi="ar"/>
              </w:rPr>
              <w:t>资质的第三方检验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机构出具的检验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 xml:space="preserve">报告复印件证明文件并加盖投标单位公章）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设备全景通道支持拼接畸变矫正，可分别对全景拼接画面的畸变、姿态角、旋转角进行调节（1-100可调），优化拼接效果，支持人员布控功能和车辆布控跟踪功能；当有停车、逆行、压线、变道、掉头、机动车占用非机动车道现象被触发时，设备可分别发出不同的语音提示；声音报警输出功能，可通过IE浏览器设置音频类型为11种警戒音、提示音、自定义语音，报警次数1～50次可设；闪光灯报警输出功能，可通过IE浏览器设置闪光灯闪烁时间（1-300），闪烁频率（高、中、低、常亮），亮度（1-100），可通过区域入侵侦测、越界侦测、进入区域侦测、离开区域侦测等报警事件，联动闪光报警、声音报警；设备可同时对行人、非机动车、机动车进行检测、跟踪、抓拍,可支持人脸与人体、车牌与车辆关联显示。目标属性显示功能支持人脸属性、人体属性、非机动车属性、机动车属性；支持AR标签管理功能，最多可添加500个标签，支持AR标签联动查看功能，可选中标签并将该标签置于屏幕中心位置进行显示，可通过点击视频画面中的标签查看标签内容并对标签关联的摄像机视频图像进行预览，并可通过点击摄像机预览窗口进行放大窗口操作</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可识别距设备250m处的人体轮廓；具有不少于7路报警输入、2路报警输出、1路音频输入、1路音频输出；</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外壳防护等级不低于IP67；支持在-30 °C~55 °C范围内功能应正常。</w:t>
            </w:r>
          </w:p>
        </w:tc>
        <w:tc>
          <w:tcPr>
            <w:tcW w:w="3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BA44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363" w:type="pct"/>
            <w:vMerge w:val="restart"/>
            <w:tcBorders>
              <w:top w:val="single" w:color="000000" w:sz="4" w:space="0"/>
              <w:left w:val="single" w:color="000000" w:sz="4" w:space="0"/>
              <w:bottom w:val="single" w:color="000000" w:sz="4" w:space="0"/>
              <w:right w:val="nil"/>
            </w:tcBorders>
            <w:shd w:val="clear" w:color="auto" w:fill="auto"/>
            <w:vAlign w:val="center"/>
          </w:tcPr>
          <w:p w14:paraId="34CB4A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r>
      <w:tr w14:paraId="00EF3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3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F9312C">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iCs w:val="0"/>
                <w:color w:val="auto"/>
                <w:sz w:val="20"/>
                <w:szCs w:val="20"/>
                <w:u w:val="none"/>
              </w:rPr>
            </w:pPr>
          </w:p>
        </w:tc>
        <w:tc>
          <w:tcPr>
            <w:tcW w:w="6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7EF5B">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iCs w:val="0"/>
                <w:color w:val="auto"/>
                <w:sz w:val="20"/>
                <w:szCs w:val="20"/>
                <w:u w:val="none"/>
              </w:rPr>
            </w:pPr>
          </w:p>
        </w:tc>
        <w:tc>
          <w:tcPr>
            <w:tcW w:w="33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477FB3">
            <w:pPr>
              <w:keepNext w:val="0"/>
              <w:keepLines w:val="0"/>
              <w:pageBreakBefore w:val="0"/>
              <w:widowControl/>
              <w:kinsoku/>
              <w:wordWrap/>
              <w:overflowPunct/>
              <w:topLinePunct w:val="0"/>
              <w:autoSpaceDE/>
              <w:autoSpaceDN/>
              <w:bidi w:val="0"/>
              <w:adjustRightInd w:val="0"/>
              <w:snapToGrid w:val="0"/>
              <w:jc w:val="left"/>
              <w:rPr>
                <w:rFonts w:hint="eastAsia" w:ascii="宋体" w:hAnsi="宋体" w:eastAsia="宋体" w:cs="宋体"/>
                <w:i w:val="0"/>
                <w:iCs w:val="0"/>
                <w:color w:val="auto"/>
                <w:sz w:val="20"/>
                <w:szCs w:val="20"/>
                <w:u w:val="none"/>
              </w:rPr>
            </w:pPr>
          </w:p>
        </w:tc>
        <w:tc>
          <w:tcPr>
            <w:tcW w:w="3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45F2E">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iCs w:val="0"/>
                <w:color w:val="auto"/>
                <w:sz w:val="20"/>
                <w:szCs w:val="20"/>
                <w:u w:val="none"/>
              </w:rPr>
            </w:pPr>
          </w:p>
        </w:tc>
        <w:tc>
          <w:tcPr>
            <w:tcW w:w="363" w:type="pct"/>
            <w:vMerge w:val="continue"/>
            <w:tcBorders>
              <w:top w:val="single" w:color="000000" w:sz="4" w:space="0"/>
              <w:left w:val="single" w:color="000000" w:sz="4" w:space="0"/>
              <w:bottom w:val="single" w:color="000000" w:sz="4" w:space="0"/>
              <w:right w:val="nil"/>
            </w:tcBorders>
            <w:shd w:val="clear" w:color="auto" w:fill="auto"/>
            <w:vAlign w:val="center"/>
          </w:tcPr>
          <w:p w14:paraId="6442ED96">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iCs w:val="0"/>
                <w:color w:val="auto"/>
                <w:sz w:val="20"/>
                <w:szCs w:val="20"/>
                <w:u w:val="none"/>
              </w:rPr>
            </w:pPr>
          </w:p>
        </w:tc>
      </w:tr>
      <w:tr w14:paraId="033D7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773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w:t>
            </w:r>
          </w:p>
        </w:tc>
        <w:tc>
          <w:tcPr>
            <w:tcW w:w="6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1D27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辅助相机</w:t>
            </w:r>
          </w:p>
        </w:tc>
        <w:tc>
          <w:tcPr>
            <w:tcW w:w="33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88782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 出入口补光抓拍一体机，包含防护罩、摄像机、镜头、LED补光灯等，分辨率和帧率不低于2688*1520@25fps，支持H.264、H.265编码，最小照度彩色≤0.05Lx，黑白≤0.02Lx ，采用电动变焦镜头，支持软件自动调焦，自动光圈，支持ICR切换，支持补光灯自动光控、时控可选；</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 支持实时记录通行车辆图像的同时，识别民用车牌、警用车牌、军用车牌、武警车牌、使馆牌、大陆港澳双车牌、澳门单车牌、香港单车牌，白天准确率≥99%，夜间准确率≥99%；（提供</w:t>
            </w:r>
            <w:r>
              <w:rPr>
                <w:rFonts w:hint="eastAsia" w:ascii="宋体" w:hAnsi="宋体" w:cs="宋体"/>
                <w:i w:val="0"/>
                <w:iCs w:val="0"/>
                <w:color w:val="auto"/>
                <w:kern w:val="0"/>
                <w:sz w:val="20"/>
                <w:szCs w:val="20"/>
                <w:u w:val="none"/>
                <w:lang w:val="en-US" w:eastAsia="zh-CN" w:bidi="ar"/>
              </w:rPr>
              <w:t>国家认定的具备</w:t>
            </w:r>
            <w:r>
              <w:rPr>
                <w:rFonts w:hint="eastAsia" w:ascii="宋体" w:hAnsi="宋体" w:eastAsia="宋体" w:cs="宋体"/>
                <w:i w:val="0"/>
                <w:iCs w:val="0"/>
                <w:color w:val="auto"/>
                <w:kern w:val="0"/>
                <w:sz w:val="20"/>
                <w:szCs w:val="20"/>
                <w:u w:val="none"/>
                <w:lang w:val="en-US" w:eastAsia="zh-CN" w:bidi="ar"/>
              </w:rPr>
              <w:t>资质的第三方检验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机构出具的检验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 xml:space="preserve">报告复印件证明文件并加盖投标单位公章）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3. 支持水平≥60度，倾斜≥30度倾斜车牌识别；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 支持不少于8种常见车型识别，包括轿车、大客车、小客车、面包车、大货车、小货车、中型客车、SUV/MPV；（提供</w:t>
            </w:r>
            <w:r>
              <w:rPr>
                <w:rFonts w:hint="eastAsia" w:ascii="宋体" w:hAnsi="宋体" w:cs="宋体"/>
                <w:i w:val="0"/>
                <w:iCs w:val="0"/>
                <w:color w:val="auto"/>
                <w:kern w:val="0"/>
                <w:sz w:val="20"/>
                <w:szCs w:val="20"/>
                <w:u w:val="none"/>
                <w:lang w:val="en-US" w:eastAsia="zh-CN" w:bidi="ar"/>
              </w:rPr>
              <w:t>国家认定的具备</w:t>
            </w:r>
            <w:r>
              <w:rPr>
                <w:rFonts w:hint="eastAsia" w:ascii="宋体" w:hAnsi="宋体" w:eastAsia="宋体" w:cs="宋体"/>
                <w:i w:val="0"/>
                <w:iCs w:val="0"/>
                <w:color w:val="auto"/>
                <w:kern w:val="0"/>
                <w:sz w:val="20"/>
                <w:szCs w:val="20"/>
                <w:u w:val="none"/>
                <w:lang w:val="en-US" w:eastAsia="zh-CN" w:bidi="ar"/>
              </w:rPr>
              <w:t>资质的第三方检验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机构出具的检验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 xml:space="preserve">报告复印件证明文件并加盖投标单位公章）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5. 支持根据存储的黑白名单自动控制外接道闸开/关，支持通过浏览器或客户端软件人工控制外接道闸的开、关、锁定等动作；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6. 具有≥1个 RS-485 接口、≥1路音频输出、≥2路触发输入、≥2路触发输出，≥1个存储卡接口，防护等级不低于IP67，工作温度范围不低于-30℃~70℃。</w:t>
            </w:r>
          </w:p>
        </w:tc>
        <w:tc>
          <w:tcPr>
            <w:tcW w:w="37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C664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3ADCBB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r>
      <w:tr w14:paraId="16B4D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E24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17B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光纤交换机(1)</w:t>
            </w:r>
          </w:p>
        </w:tc>
        <w:tc>
          <w:tcPr>
            <w:tcW w:w="3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1707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提供不少于4个千兆PoE电口，1个千兆光口，支持IEEE 802.3、IEEE 802.3u、IEEE 802.3x，存储转发交换方式，支持IEEE 802.3at/af，支持PoE输出功率管理，支持6 KV防浪涌（PoE口），坚固式高强度金属外壳</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无风扇设计，高可靠性，交换容量：10 Gbps包转发率：7.44 Mpps，整机最大供电功率：60 W；设备支持-10℃～55℃ 宽温。</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81C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7F35E2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19</w:t>
            </w:r>
          </w:p>
        </w:tc>
      </w:tr>
      <w:tr w14:paraId="35A52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D25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7B2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光纤交换机(2)</w:t>
            </w:r>
          </w:p>
        </w:tc>
        <w:tc>
          <w:tcPr>
            <w:tcW w:w="3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5F6C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全千兆智能监控光纤交换机。≥1个千兆上联电口，≥2个SC光口，与前端智能监控光纤交换机搭配使用，组成环网。设备支持-10℃～50℃ 宽温。支持环网传输、支持网络端口状态显示、端口流量统计、支持APP和云管理。</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464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5702EA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w:t>
            </w:r>
          </w:p>
        </w:tc>
      </w:tr>
      <w:tr w14:paraId="17193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424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E05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POE交换机(1)</w:t>
            </w:r>
          </w:p>
        </w:tc>
        <w:tc>
          <w:tcPr>
            <w:tcW w:w="3300" w:type="pct"/>
            <w:tcBorders>
              <w:top w:val="single" w:color="000000" w:sz="4" w:space="0"/>
              <w:left w:val="single" w:color="000000" w:sz="4" w:space="0"/>
              <w:bottom w:val="single" w:color="000000" w:sz="4" w:space="0"/>
              <w:right w:val="nil"/>
            </w:tcBorders>
            <w:shd w:val="clear" w:color="auto" w:fill="FFFFFF"/>
            <w:vAlign w:val="center"/>
          </w:tcPr>
          <w:p w14:paraId="06FA93F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千兆网络接入设计，存储转发交换方式，支持PoE输出功率管理，端口：24个10/100/1000BASE-T以太网端口(400W PoE+),2个2.5G SFP，安装方式：机架式安装；供电方式：100-240V,50/60Hz,6.3A Max，风扇：≥2个，整机功耗：≤400 W</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浪涌防护：≥6 KV ，交换方式：存储转发，流量控制：支持流量控制</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风暴控制：支持风暴控制</w:t>
            </w:r>
          </w:p>
        </w:tc>
        <w:tc>
          <w:tcPr>
            <w:tcW w:w="370" w:type="pct"/>
            <w:tcBorders>
              <w:top w:val="single" w:color="000000" w:sz="4" w:space="0"/>
              <w:left w:val="single" w:color="000000" w:sz="4" w:space="0"/>
              <w:bottom w:val="single" w:color="000000" w:sz="4" w:space="0"/>
              <w:right w:val="nil"/>
            </w:tcBorders>
            <w:shd w:val="clear" w:color="auto" w:fill="FFFFFF"/>
            <w:vAlign w:val="center"/>
          </w:tcPr>
          <w:p w14:paraId="55CEB5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0FDD8C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18</w:t>
            </w:r>
          </w:p>
        </w:tc>
      </w:tr>
      <w:tr w14:paraId="198A2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DE9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AD5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POE交换机(2)</w:t>
            </w:r>
          </w:p>
        </w:tc>
        <w:tc>
          <w:tcPr>
            <w:tcW w:w="3300" w:type="pct"/>
            <w:tcBorders>
              <w:top w:val="single" w:color="000000" w:sz="4" w:space="0"/>
              <w:left w:val="single" w:color="000000" w:sz="4" w:space="0"/>
              <w:bottom w:val="single" w:color="000000" w:sz="4" w:space="0"/>
              <w:right w:val="nil"/>
            </w:tcBorders>
            <w:shd w:val="clear" w:color="auto" w:fill="FFFFFF"/>
            <w:vAlign w:val="center"/>
          </w:tcPr>
          <w:p w14:paraId="5003DDA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提供≥8个千兆PoE电口，1个千兆电口，2个2.5G光口；</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交换容量396Gbps，包转发率≥56 Mpps，支持IEEE 802.3at/af</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端口最大供电功率：30 W，整机最大供电功率：60 W，支持≥6 KV防浪涌（PoE口），支持PoE输出功率管理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千兆网络接入设计，线速转发、无阻塞设计。</w:t>
            </w:r>
          </w:p>
        </w:tc>
        <w:tc>
          <w:tcPr>
            <w:tcW w:w="370" w:type="pct"/>
            <w:tcBorders>
              <w:top w:val="single" w:color="000000" w:sz="4" w:space="0"/>
              <w:left w:val="single" w:color="000000" w:sz="4" w:space="0"/>
              <w:bottom w:val="single" w:color="000000" w:sz="4" w:space="0"/>
              <w:right w:val="nil"/>
            </w:tcBorders>
            <w:shd w:val="clear" w:color="auto" w:fill="FFFFFF"/>
            <w:vAlign w:val="center"/>
          </w:tcPr>
          <w:p w14:paraId="209429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3EF435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w:t>
            </w:r>
          </w:p>
        </w:tc>
      </w:tr>
      <w:tr w14:paraId="034BB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99C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11</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39C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汇聚交换机</w:t>
            </w:r>
          </w:p>
        </w:tc>
        <w:tc>
          <w:tcPr>
            <w:tcW w:w="3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27D6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宋体" w:hAnsi="宋体" w:eastAsia="宋体" w:cs="宋体"/>
                <w:i w:val="0"/>
                <w:iCs w:val="0"/>
                <w:color w:val="auto"/>
                <w:sz w:val="20"/>
                <w:szCs w:val="20"/>
                <w:u w:val="none"/>
                <w:lang w:val="en-US"/>
              </w:rPr>
            </w:pPr>
            <w:r>
              <w:rPr>
                <w:rFonts w:hint="eastAsia" w:ascii="宋体" w:hAnsi="宋体" w:eastAsia="宋体" w:cs="宋体"/>
                <w:i w:val="0"/>
                <w:iCs w:val="0"/>
                <w:color w:val="auto"/>
                <w:kern w:val="0"/>
                <w:sz w:val="20"/>
                <w:szCs w:val="20"/>
                <w:u w:val="none"/>
                <w:lang w:val="en-US" w:eastAsia="zh-CN" w:bidi="ar"/>
              </w:rPr>
              <w:t>24个GE电口，16个10GE光口，8个25GE光口，2个40/100GE光口；支持模块化电源数量≥2（本次配置电源数量=1），支持风扇数量≥2，支持独立的console管理串口；交换容量≥ 交换容量2.56Tbps/25.6Tbps，包转发率≥960Mpps/1476Mpps；提供工信部入网许可证，入网检测报告证明；支持OSPF FRR 功能；支持802.1X认证、Portal认证、Triple 认证功能；支持NQA功能，NQA能够正常探测；支持IRF本地负载分担、IRF单点管理功能；支持CPU保护功能；备支持BFD for IPv4路由功能、支持BFD for IPv6路由功能；设备支持多个配置文件本地保存，支持配置回滚；支持命令行(CLI)配置；支持IPv4路由≥12K条；IPv6路由≥4K条；以上参数均需提供</w:t>
            </w:r>
            <w:r>
              <w:rPr>
                <w:rFonts w:hint="eastAsia" w:ascii="宋体" w:hAnsi="宋体" w:cs="宋体"/>
                <w:i w:val="0"/>
                <w:iCs w:val="0"/>
                <w:color w:val="auto"/>
                <w:kern w:val="0"/>
                <w:sz w:val="20"/>
                <w:szCs w:val="20"/>
                <w:u w:val="none"/>
                <w:lang w:val="en-US" w:eastAsia="zh-CN" w:bidi="ar"/>
              </w:rPr>
              <w:t>国家认定的具备</w:t>
            </w:r>
            <w:r>
              <w:rPr>
                <w:rFonts w:hint="eastAsia" w:ascii="宋体" w:hAnsi="宋体" w:eastAsia="宋体" w:cs="宋体"/>
                <w:i w:val="0"/>
                <w:iCs w:val="0"/>
                <w:color w:val="auto"/>
                <w:kern w:val="0"/>
                <w:sz w:val="20"/>
                <w:szCs w:val="20"/>
                <w:u w:val="none"/>
                <w:lang w:val="en-US" w:eastAsia="zh-CN" w:bidi="ar"/>
              </w:rPr>
              <w:t>资质的第三方检验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机构出具的检验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报告复印件证明文件并加盖投标单位公章</w:t>
            </w:r>
            <w:r>
              <w:rPr>
                <w:rFonts w:hint="eastAsia" w:ascii="宋体" w:hAnsi="宋体" w:cs="宋体"/>
                <w:i w:val="0"/>
                <w:iCs w:val="0"/>
                <w:color w:val="auto"/>
                <w:kern w:val="0"/>
                <w:sz w:val="20"/>
                <w:szCs w:val="20"/>
                <w:u w:val="none"/>
                <w:lang w:val="en-US" w:eastAsia="zh-CN" w:bidi="ar"/>
              </w:rPr>
              <w:t>。</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2EA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3C969C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r>
      <w:tr w14:paraId="2944D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1E4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12</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E72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光端机</w:t>
            </w:r>
          </w:p>
        </w:tc>
        <w:tc>
          <w:tcPr>
            <w:tcW w:w="33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5F1EA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≥1路HDMI接口+1路USB接口+1路光纤接口</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853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1B00F0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r>
      <w:tr w14:paraId="5C3C8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429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13</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9C6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光模块(1)</w:t>
            </w:r>
          </w:p>
        </w:tc>
        <w:tc>
          <w:tcPr>
            <w:tcW w:w="3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C813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千兆10公里单模双纤模块 不分收发 TX1310nm/1.25G RX1310nm/1.25G LC 10km 0～70℃ SFP 发射光功率:-9～-3dBm 接收灵敏度（低值）:-21dBm</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170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13B4C4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w:t>
            </w:r>
          </w:p>
        </w:tc>
      </w:tr>
      <w:tr w14:paraId="54C97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3B3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14</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26D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光模块(2)</w:t>
            </w:r>
          </w:p>
        </w:tc>
        <w:tc>
          <w:tcPr>
            <w:tcW w:w="3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953D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万兆10公里单模双纤模块 不分收发 TX1310nm/10G RX1310nm/10G LC 10km 0～70℃ SFP 发射光功率:-8.2～0.5dBm 接收灵敏度（低值）:-14dBm</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81B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28B728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w:t>
            </w:r>
          </w:p>
        </w:tc>
      </w:tr>
      <w:tr w14:paraId="0D402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FB0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15</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A7E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防雷模块</w:t>
            </w:r>
          </w:p>
        </w:tc>
        <w:tc>
          <w:tcPr>
            <w:tcW w:w="3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9ABC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网络二合一防雷模块</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2AF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14FD4A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142</w:t>
            </w:r>
          </w:p>
        </w:tc>
      </w:tr>
      <w:tr w14:paraId="7FE56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729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16</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EE9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网线</w:t>
            </w:r>
          </w:p>
        </w:tc>
        <w:tc>
          <w:tcPr>
            <w:tcW w:w="3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9B44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6类室内非屏蔽双绞线</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6类网线,Cat6非屏蔽双绞线</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标准：符合ISO/IEC 11801、TIA-568-C.2、GB/T 18015.5要求,所用材料符合RoHS要求,性能指标优于现行6类线缆250MHz标准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标准装箱长度:305m±1.5m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线缆结构：4对8芯双绞线,每对之间采用十字骨架隔离,每芯均有颜色区分,外皮印有厂商标识 及电缆编码，有撕裂绳</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执行标准：ISO/IEC11801、TIA-568-C.2、GB/T 18015.5</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性能等级：六类</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是否屏蔽：非屏蔽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芯线材料：无氧铜</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芯线绝缘材料：高密度聚乙烯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撕裂绳：有</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排流线：无</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十字骨架：有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应用场景：室内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1.0-250.0MHz 特性阻抗(Ω)：100±15</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1.0-250.0MHz 时延差 20℃(ns/100m)：≤45</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直流电阻 20℃(Ω/100m) max：9.5 </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924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箱</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0AD8F7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75</w:t>
            </w:r>
          </w:p>
        </w:tc>
      </w:tr>
      <w:tr w14:paraId="158CB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96D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17</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0C3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电源线(1)</w:t>
            </w:r>
          </w:p>
        </w:tc>
        <w:tc>
          <w:tcPr>
            <w:tcW w:w="33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9C01D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无氧铜线芯，电阻低，导电性强，传输损耗低，发热小，更省电。</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环保绝缘、护被，耐磨耐拉伸，抗潮防冻，抵抗各种恶劣气候，可靠耐用。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线芯同心度高，绝缘和护套厚度均匀，防止击穿，符合国家3C认证，全力保障用电安全。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线芯绝缘颜色鲜艳，便于区分，便于施工识别。</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导体类型：无氧铜  200米/卷</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护套类型：PVC</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线缆芯数：2芯</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线缆类型（电源线）：RVV</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屏蔽性能：非屏蔽</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标称截面积：1mm2 </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922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卷</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61940A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w:t>
            </w:r>
          </w:p>
        </w:tc>
      </w:tr>
      <w:tr w14:paraId="0C247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952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18</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DA7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电源线(1)</w:t>
            </w:r>
          </w:p>
        </w:tc>
        <w:tc>
          <w:tcPr>
            <w:tcW w:w="33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1AE61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无氧铜线芯，电阻低，导电性强，传输损耗低，发热小，更省电。</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环保绝缘、护被，耐磨耐拉伸，抗潮防冻，抵抗各种恶劣气候，可靠耐用。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线芯同心度高，绝缘和护套厚度均匀，防止击穿，符合国家3C认证，全力保障用电安全。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线芯绝缘颜色鲜艳，便于区分，便于施工识别。</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导体类型：无氧铜  100米/卷</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护套类型：PVC</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线缆芯数：2芯</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线缆类型（电源线）：RVV</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屏蔽性能：非屏蔽</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标称截面积：2.5mm2 </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20D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卷</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287AF3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34</w:t>
            </w:r>
          </w:p>
        </w:tc>
      </w:tr>
      <w:tr w14:paraId="66FA5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66E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19</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224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光纤线</w:t>
            </w:r>
          </w:p>
        </w:tc>
        <w:tc>
          <w:tcPr>
            <w:tcW w:w="3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6349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12芯室外单模光缆，采用光缆护套。</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694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米</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5E243B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2500</w:t>
            </w:r>
          </w:p>
        </w:tc>
      </w:tr>
      <w:tr w14:paraId="7D385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F46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206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光纤终端盒</w:t>
            </w:r>
          </w:p>
        </w:tc>
        <w:tc>
          <w:tcPr>
            <w:tcW w:w="3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AF43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电信级2进4出光纤终端盒（满配耦合器、尾纤）。</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A6D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7B5437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50</w:t>
            </w:r>
          </w:p>
        </w:tc>
      </w:tr>
      <w:tr w14:paraId="15C39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285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21</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532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光缆熔接</w:t>
            </w:r>
          </w:p>
        </w:tc>
        <w:tc>
          <w:tcPr>
            <w:tcW w:w="3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2B39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熔接机专业熔接，含熔接辅材；</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7AE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芯</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500521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160</w:t>
            </w:r>
          </w:p>
        </w:tc>
      </w:tr>
      <w:tr w14:paraId="50738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CC6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22</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7D0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摄像机支架</w:t>
            </w:r>
          </w:p>
        </w:tc>
        <w:tc>
          <w:tcPr>
            <w:tcW w:w="3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B6E0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材质：铝合金</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重量：最大承受重量≥2KG</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角度：调整角度：水平：360°，垂直：-45°~45°</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F5D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6B1E28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255</w:t>
            </w:r>
          </w:p>
        </w:tc>
      </w:tr>
      <w:tr w14:paraId="344EA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76A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23</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322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摄像机支架</w:t>
            </w:r>
          </w:p>
        </w:tc>
        <w:tc>
          <w:tcPr>
            <w:tcW w:w="3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6772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材质：铝合金</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标准：定制加长横臂/曲臂安装</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重量：最大承受重量≥2KG</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角度：调整角度：水平：360°，垂直：-45°~45°</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48A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18CF1D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15</w:t>
            </w:r>
          </w:p>
        </w:tc>
      </w:tr>
      <w:tr w14:paraId="5FA4B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CBB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24</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3A9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立杆</w:t>
            </w:r>
          </w:p>
        </w:tc>
        <w:tc>
          <w:tcPr>
            <w:tcW w:w="3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A206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3.5-4米立杆，含地笼混凝土基础</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91E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根</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564C86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31</w:t>
            </w:r>
          </w:p>
        </w:tc>
      </w:tr>
      <w:tr w14:paraId="7DF02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1A9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25</w:t>
            </w:r>
          </w:p>
        </w:tc>
        <w:tc>
          <w:tcPr>
            <w:tcW w:w="6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8B9A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防水设备箱</w:t>
            </w:r>
          </w:p>
        </w:tc>
        <w:tc>
          <w:tcPr>
            <w:tcW w:w="33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9E09E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用于室外视频监控领域。</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供电输出：支持1路AC 220V负载输出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智能机箱：否</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空气开关：2P 10A</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电源防雷器：无</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光纤熔接盘：无</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材质：镀锌钢板</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材质厚度（mm）：≥0.8mm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含帽沿尺寸（mm）：≥400mm×300mm×180mm(高×宽×深)</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不含帽沿尺寸（mm）：≥356mm×300mm×170mm(高×宽×深)</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最大可放置空间（mm）：≥200mmx250mmx150mm（高x宽x深）</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防护等级：≥IP43</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工作环境：工作温度 -40~70℃，  工作湿度  10% ~ 90%</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安装方式：抱箍安装，含不锈钢安装抱箍</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A1E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7EDF74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31</w:t>
            </w:r>
          </w:p>
        </w:tc>
      </w:tr>
      <w:tr w14:paraId="4F49F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47E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26</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8BE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网络机柜</w:t>
            </w:r>
          </w:p>
        </w:tc>
        <w:tc>
          <w:tcPr>
            <w:tcW w:w="3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D8A0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9U，玻璃门，壁挂机柜</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承重：静态90KG</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前后门材质：前单开玻璃门，后钢板门（不可打开），冷轧板 T≥1.0</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门敞开百分比：前门78%，后门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侧门材质：冷轧板 T≥1.0</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门框左右立柱材质：冷轧板 T≥1.0</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左右支架：冷轧板 T≥1.5</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横梁：冷轧板 T≥1.2</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层板：≥1个，宽483*深350*高43 mm，承重30KG</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PDU：≥1个，6口PDU，输入10A，带2M线</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滚轮：不含</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脚撑：不含</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风扇：含，一套2个，带1.2M线</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辅件：含12套安装螺丝，4个膨胀螺丝</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10E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22D26E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18</w:t>
            </w:r>
          </w:p>
        </w:tc>
      </w:tr>
      <w:tr w14:paraId="74B03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7D4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27</w:t>
            </w:r>
          </w:p>
        </w:tc>
        <w:tc>
          <w:tcPr>
            <w:tcW w:w="611" w:type="pct"/>
            <w:tcBorders>
              <w:top w:val="single" w:color="000000" w:sz="4" w:space="0"/>
              <w:left w:val="single" w:color="000000" w:sz="4" w:space="0"/>
              <w:bottom w:val="single" w:color="000000" w:sz="4" w:space="0"/>
              <w:right w:val="nil"/>
            </w:tcBorders>
            <w:shd w:val="clear" w:color="auto" w:fill="FFFFFF"/>
            <w:vAlign w:val="center"/>
          </w:tcPr>
          <w:p w14:paraId="1AC165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服务器机柜</w:t>
            </w:r>
          </w:p>
        </w:tc>
        <w:tc>
          <w:tcPr>
            <w:tcW w:w="33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356BE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42U，网孔门，落地服务器机柜</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承重：静态不低于1000KG</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前后门材质：前单开网孔门，后双开网孔门，冷轧板 T≥1.2</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门敞开百分比：前门不低于78%，后门不低于77.2%</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侧门材质：冷轧板 T≥1.0</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门框左右立柱材质：冷轧板T=1.2（框架）</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左右支架：冷轧板 T≥2.0</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横梁：冷轧板 T≥1.2</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层板：≥1个</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L型隔条/支架：1对</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PDU：1个，8口PDU，输入10A，带2M线</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滚轮：4个</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脚撑：支持，4个</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风扇：不含</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辅件：40套安装螺丝，前/后侧门钥匙各两把</w:t>
            </w:r>
          </w:p>
        </w:tc>
        <w:tc>
          <w:tcPr>
            <w:tcW w:w="37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6E82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225A4F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r>
      <w:tr w14:paraId="3BB9D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442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28</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7B8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存储服务器</w:t>
            </w:r>
          </w:p>
        </w:tc>
        <w:tc>
          <w:tcPr>
            <w:tcW w:w="3300" w:type="pct"/>
            <w:tcBorders>
              <w:top w:val="single" w:color="000000" w:sz="4" w:space="0"/>
              <w:left w:val="single" w:color="000000" w:sz="4" w:space="0"/>
              <w:bottom w:val="single" w:color="000000" w:sz="4" w:space="0"/>
              <w:right w:val="nil"/>
            </w:tcBorders>
            <w:shd w:val="clear" w:color="auto" w:fill="FFFFFF"/>
            <w:vAlign w:val="center"/>
          </w:tcPr>
          <w:p w14:paraId="59E13C3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 多模态大模型蒸馏网络存储主机，可接入硬盘≥48块；不低于64位处理器，≥16GB内存，内存支持扩展到≥64GB，≥2个千兆网口，系统盘采用≥240GB固态硬盘，数据盘采用≥480GB固态硬盘，≥1200W冗余电源；</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 支持开放式语义检索，支持输入文字描述查找人、车、非机动车，支持局部重构，原盘或其克隆盘拔出设备后再插回，未被覆盖数据可快速恢复；</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 接入带宽≥800Mbps，支持对视音频、图片、智能数据（智能行为分析录像）流进行混合直存，无须存储服务器和图片服务器的参与，平台服务器宕机时，存储业务正常；</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 内置大模型算法引擎，支持基于包括但不限于人、车、非机动车的目标图像和自然语言进行多模态大模型建模，建立目标图像和自然语言的对应关系，目标图片大模型建模速度≥20张/秒；（提供</w:t>
            </w:r>
            <w:r>
              <w:rPr>
                <w:rFonts w:hint="eastAsia" w:ascii="宋体" w:hAnsi="宋体" w:cs="宋体"/>
                <w:i w:val="0"/>
                <w:iCs w:val="0"/>
                <w:color w:val="auto"/>
                <w:kern w:val="0"/>
                <w:sz w:val="20"/>
                <w:szCs w:val="20"/>
                <w:u w:val="none"/>
                <w:lang w:val="en-US" w:eastAsia="zh-CN" w:bidi="ar"/>
              </w:rPr>
              <w:t>国家认定的具备</w:t>
            </w:r>
            <w:r>
              <w:rPr>
                <w:rFonts w:hint="eastAsia" w:ascii="宋体" w:hAnsi="宋体" w:eastAsia="宋体" w:cs="宋体"/>
                <w:i w:val="0"/>
                <w:iCs w:val="0"/>
                <w:color w:val="auto"/>
                <w:kern w:val="0"/>
                <w:sz w:val="20"/>
                <w:szCs w:val="20"/>
                <w:u w:val="none"/>
                <w:lang w:val="en-US" w:eastAsia="zh-CN" w:bidi="ar"/>
              </w:rPr>
              <w:t>资质的第三方检验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机构出具的检验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报告复印件证明文件并加盖投标单位公章）</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 支持通开放式语义检索人、车、非机动车，搜索文本支持≥32个以内文字，对于≥500W的目标数据支持≤3S输出结果，检索结果样本召回率≥90%；（提供</w:t>
            </w:r>
            <w:r>
              <w:rPr>
                <w:rFonts w:hint="eastAsia" w:ascii="宋体" w:hAnsi="宋体" w:cs="宋体"/>
                <w:i w:val="0"/>
                <w:iCs w:val="0"/>
                <w:color w:val="auto"/>
                <w:kern w:val="0"/>
                <w:sz w:val="20"/>
                <w:szCs w:val="20"/>
                <w:u w:val="none"/>
                <w:lang w:val="en-US" w:eastAsia="zh-CN" w:bidi="ar"/>
              </w:rPr>
              <w:t>国家认定的具备</w:t>
            </w:r>
            <w:r>
              <w:rPr>
                <w:rFonts w:hint="eastAsia" w:ascii="宋体" w:hAnsi="宋体" w:eastAsia="宋体" w:cs="宋体"/>
                <w:i w:val="0"/>
                <w:iCs w:val="0"/>
                <w:color w:val="auto"/>
                <w:kern w:val="0"/>
                <w:sz w:val="20"/>
                <w:szCs w:val="20"/>
                <w:u w:val="none"/>
                <w:lang w:val="en-US" w:eastAsia="zh-CN" w:bidi="ar"/>
              </w:rPr>
              <w:t>资质的第三方检验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机构出具的检验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报告复印件证明文件并加盖投标单位公章）</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6. 基于前述文字语义描述检索的结果，支持对目标进行二次检索定位、按相似度进行排序，支持一键关联录像片段，支持还原目标的跨通道行动轨迹；（提供</w:t>
            </w:r>
            <w:r>
              <w:rPr>
                <w:rFonts w:hint="eastAsia" w:ascii="宋体" w:hAnsi="宋体" w:cs="宋体"/>
                <w:i w:val="0"/>
                <w:iCs w:val="0"/>
                <w:color w:val="auto"/>
                <w:kern w:val="0"/>
                <w:sz w:val="20"/>
                <w:szCs w:val="20"/>
                <w:u w:val="none"/>
                <w:lang w:val="en-US" w:eastAsia="zh-CN" w:bidi="ar"/>
              </w:rPr>
              <w:t>国家认定的具备</w:t>
            </w:r>
            <w:r>
              <w:rPr>
                <w:rFonts w:hint="eastAsia" w:ascii="宋体" w:hAnsi="宋体" w:eastAsia="宋体" w:cs="宋体"/>
                <w:i w:val="0"/>
                <w:iCs w:val="0"/>
                <w:color w:val="auto"/>
                <w:kern w:val="0"/>
                <w:sz w:val="20"/>
                <w:szCs w:val="20"/>
                <w:u w:val="none"/>
                <w:lang w:val="en-US" w:eastAsia="zh-CN" w:bidi="ar"/>
              </w:rPr>
              <w:t>资质的第三方检验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机构出具的检验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报告复印件证明文件并加盖投标单位公章）</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7. 支持自定义≥8个高频热词分组，支持保存≥10条历史检索词条，支持通过网络接口调用设备文字语义搜图板块并展示页面，支持文字语义描述搜索内容合规性检测并自动过滤敏感内容；（提供</w:t>
            </w:r>
            <w:r>
              <w:rPr>
                <w:rFonts w:hint="eastAsia" w:ascii="宋体" w:hAnsi="宋体" w:cs="宋体"/>
                <w:i w:val="0"/>
                <w:iCs w:val="0"/>
                <w:color w:val="auto"/>
                <w:kern w:val="0"/>
                <w:sz w:val="20"/>
                <w:szCs w:val="20"/>
                <w:u w:val="none"/>
                <w:lang w:val="en-US" w:eastAsia="zh-CN" w:bidi="ar"/>
              </w:rPr>
              <w:t>国家认定的具备</w:t>
            </w:r>
            <w:r>
              <w:rPr>
                <w:rFonts w:hint="eastAsia" w:ascii="宋体" w:hAnsi="宋体" w:eastAsia="宋体" w:cs="宋体"/>
                <w:i w:val="0"/>
                <w:iCs w:val="0"/>
                <w:color w:val="auto"/>
                <w:kern w:val="0"/>
                <w:sz w:val="20"/>
                <w:szCs w:val="20"/>
                <w:u w:val="none"/>
                <w:lang w:val="en-US" w:eastAsia="zh-CN" w:bidi="ar"/>
              </w:rPr>
              <w:t>资质的第三方检验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机构出具的检验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报告复印件证明文件并加盖投标单位公章）</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8. 支持以图形和文字方式展示包括但不限于人的上下装颜色、车的品牌、打电话、抽烟这类高频词，支持自由组合；（提供</w:t>
            </w:r>
            <w:r>
              <w:rPr>
                <w:rFonts w:hint="eastAsia" w:ascii="宋体" w:hAnsi="宋体" w:cs="宋体"/>
                <w:i w:val="0"/>
                <w:iCs w:val="0"/>
                <w:color w:val="auto"/>
                <w:kern w:val="0"/>
                <w:sz w:val="20"/>
                <w:szCs w:val="20"/>
                <w:u w:val="none"/>
                <w:lang w:val="en-US" w:eastAsia="zh-CN" w:bidi="ar"/>
              </w:rPr>
              <w:t>国家认定的具备</w:t>
            </w:r>
            <w:r>
              <w:rPr>
                <w:rFonts w:hint="eastAsia" w:ascii="宋体" w:hAnsi="宋体" w:eastAsia="宋体" w:cs="宋体"/>
                <w:i w:val="0"/>
                <w:iCs w:val="0"/>
                <w:color w:val="auto"/>
                <w:kern w:val="0"/>
                <w:sz w:val="20"/>
                <w:szCs w:val="20"/>
                <w:u w:val="none"/>
                <w:lang w:val="en-US" w:eastAsia="zh-CN" w:bidi="ar"/>
              </w:rPr>
              <w:t>资质的第三方检验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机构出具的检验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报告复印件证明文件并加盖投标单位公章）</w:t>
            </w:r>
            <w:r>
              <w:rPr>
                <w:rFonts w:hint="eastAsia" w:ascii="宋体" w:hAnsi="宋体" w:cs="宋体"/>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配置48块12T企业级盘；</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BBD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030703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r>
      <w:tr w14:paraId="1121B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880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29</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DA6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存储服务器</w:t>
            </w:r>
          </w:p>
        </w:tc>
        <w:tc>
          <w:tcPr>
            <w:tcW w:w="3300" w:type="pct"/>
            <w:tcBorders>
              <w:top w:val="single" w:color="000000" w:sz="4" w:space="0"/>
              <w:left w:val="single" w:color="000000" w:sz="4" w:space="0"/>
              <w:bottom w:val="single" w:color="000000" w:sz="4" w:space="0"/>
              <w:right w:val="nil"/>
            </w:tcBorders>
            <w:shd w:val="clear" w:color="auto" w:fill="FFFFFF"/>
            <w:vAlign w:val="center"/>
          </w:tcPr>
          <w:p w14:paraId="2FD88A4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1. 多模态大模型蒸馏网络存储主机，可接入硬盘≥24块；不低于64位处理器，≥16GB内存，内存支持扩展到≥64GB，≥2个千兆网口，系统盘采用≥240GB固态硬盘，数据盘采用≥480GB固态硬盘，≥550W冗余电源；</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 支持开放式语义检索，支持输入文字描述查找人、车、非机动车，支持局部重构，原盘或其克隆盘拔出设备后再插回，未被覆盖数据可快速恢复；</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 接入带宽≥800Mbps，支持对视音频、图片、智能数据（智能行为分析录像）流进行混合直存，无须存储服务器和图片服务器的参与，平台服务器宕机时，存储业务正常；</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 内置大模型算法引擎，支持基于包括但不限于人、车、非机动车的目标图像和自然语言进行多模态大模型建模，建立目标图像和自然语言的对应关系，目标图片大模型建模速度≥20张/秒；（提供</w:t>
            </w:r>
            <w:r>
              <w:rPr>
                <w:rFonts w:hint="eastAsia" w:ascii="宋体" w:hAnsi="宋体" w:cs="宋体"/>
                <w:i w:val="0"/>
                <w:iCs w:val="0"/>
                <w:color w:val="auto"/>
                <w:kern w:val="0"/>
                <w:sz w:val="20"/>
                <w:szCs w:val="20"/>
                <w:u w:val="none"/>
                <w:lang w:val="en-US" w:eastAsia="zh-CN" w:bidi="ar"/>
              </w:rPr>
              <w:t>国家认定的具备</w:t>
            </w:r>
            <w:r>
              <w:rPr>
                <w:rFonts w:hint="eastAsia" w:ascii="宋体" w:hAnsi="宋体" w:eastAsia="宋体" w:cs="宋体"/>
                <w:i w:val="0"/>
                <w:iCs w:val="0"/>
                <w:color w:val="auto"/>
                <w:kern w:val="0"/>
                <w:sz w:val="20"/>
                <w:szCs w:val="20"/>
                <w:u w:val="none"/>
                <w:lang w:val="en-US" w:eastAsia="zh-CN" w:bidi="ar"/>
              </w:rPr>
              <w:t>资质的第三方检验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机构出具的检验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报告复印件证明文件并加盖投标单位公章）</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 支持通开放式语义检索人、车、非机动车，搜索文本支持≥32个以内文字，对于≥500W的目标数据支持≤3S输出结果，检索结果样本召回率≥90%；（提供</w:t>
            </w:r>
            <w:r>
              <w:rPr>
                <w:rFonts w:hint="eastAsia" w:ascii="宋体" w:hAnsi="宋体" w:cs="宋体"/>
                <w:i w:val="0"/>
                <w:iCs w:val="0"/>
                <w:color w:val="auto"/>
                <w:kern w:val="0"/>
                <w:sz w:val="20"/>
                <w:szCs w:val="20"/>
                <w:u w:val="none"/>
                <w:lang w:val="en-US" w:eastAsia="zh-CN" w:bidi="ar"/>
              </w:rPr>
              <w:t>国家认定的具备</w:t>
            </w:r>
            <w:r>
              <w:rPr>
                <w:rFonts w:hint="eastAsia" w:ascii="宋体" w:hAnsi="宋体" w:eastAsia="宋体" w:cs="宋体"/>
                <w:i w:val="0"/>
                <w:iCs w:val="0"/>
                <w:color w:val="auto"/>
                <w:kern w:val="0"/>
                <w:sz w:val="20"/>
                <w:szCs w:val="20"/>
                <w:u w:val="none"/>
                <w:lang w:val="en-US" w:eastAsia="zh-CN" w:bidi="ar"/>
              </w:rPr>
              <w:t>资质的第三方检验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机构出具的检验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报告复印件证明文件并加盖投标单位公章）</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6. 基于前述文字语义描述检索的结果，支持对目标进行二次检索定位、按相似度进行排序，支持一键关联录像片段，支持还原目标的跨通道行动轨迹；</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7. 支持自定义≥8个高频热词分组，支持保存≥10条历史检索词条，支持通过网络接口调用设备文字语义搜图板块并展示页面，支持文字语义描述搜索内容合规性检测并自动过滤敏感内容；</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8. 支持以图形和文字方式展示包括但不限于人的上下装颜色、车的品牌、打电话、抽烟这类高频词，支持自由组合；（提供</w:t>
            </w:r>
            <w:r>
              <w:rPr>
                <w:rFonts w:hint="eastAsia" w:ascii="宋体" w:hAnsi="宋体" w:cs="宋体"/>
                <w:i w:val="0"/>
                <w:iCs w:val="0"/>
                <w:color w:val="auto"/>
                <w:kern w:val="0"/>
                <w:sz w:val="20"/>
                <w:szCs w:val="20"/>
                <w:u w:val="none"/>
                <w:lang w:val="en-US" w:eastAsia="zh-CN" w:bidi="ar"/>
              </w:rPr>
              <w:t>国家认定的具备</w:t>
            </w:r>
            <w:r>
              <w:rPr>
                <w:rFonts w:hint="eastAsia" w:ascii="宋体" w:hAnsi="宋体" w:eastAsia="宋体" w:cs="宋体"/>
                <w:i w:val="0"/>
                <w:iCs w:val="0"/>
                <w:color w:val="auto"/>
                <w:kern w:val="0"/>
                <w:sz w:val="20"/>
                <w:szCs w:val="20"/>
                <w:u w:val="none"/>
                <w:lang w:val="en-US" w:eastAsia="zh-CN" w:bidi="ar"/>
              </w:rPr>
              <w:t>资质的第三方检验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机构出具的检验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报告复印件证明文件并加盖投标单位公章）</w:t>
            </w:r>
            <w:r>
              <w:rPr>
                <w:rFonts w:hint="eastAsia" w:ascii="宋体" w:hAnsi="宋体" w:cs="宋体"/>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配置24块12T企业级盘；</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B57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005A7E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r>
      <w:tr w14:paraId="5E0B7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7FC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30</w:t>
            </w:r>
          </w:p>
        </w:tc>
        <w:tc>
          <w:tcPr>
            <w:tcW w:w="611" w:type="pct"/>
            <w:tcBorders>
              <w:top w:val="single" w:color="000000" w:sz="4" w:space="0"/>
              <w:left w:val="single" w:color="000000" w:sz="4" w:space="0"/>
              <w:bottom w:val="single" w:color="000000" w:sz="4" w:space="0"/>
              <w:right w:val="nil"/>
            </w:tcBorders>
            <w:shd w:val="clear" w:color="auto" w:fill="auto"/>
            <w:vAlign w:val="center"/>
          </w:tcPr>
          <w:p w14:paraId="270968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NTP校时服务器</w:t>
            </w:r>
          </w:p>
        </w:tc>
        <w:tc>
          <w:tcPr>
            <w:tcW w:w="3300" w:type="pct"/>
            <w:tcBorders>
              <w:top w:val="single" w:color="000000" w:sz="4" w:space="0"/>
              <w:left w:val="single" w:color="000000" w:sz="4" w:space="0"/>
              <w:bottom w:val="single" w:color="000000" w:sz="4" w:space="0"/>
              <w:right w:val="nil"/>
            </w:tcBorders>
            <w:shd w:val="clear" w:color="auto" w:fill="FFFFFF"/>
            <w:vAlign w:val="center"/>
          </w:tcPr>
          <w:p w14:paraId="0697009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含60米馈线包 处理器：嵌入式ARM处理器 同步精度：卫星同步精度纳秒级NTP同步精度毫秒级 内存：128M 授时容量：500次/每秒（默认NTP1~2端口绑定，实现网口高可用） 授时精度：≤1ms 授时频段：北斗: 1561.098±2.046MHz 接口：2个NTP授时端口（RJ45）：NTP1~NTP2，对外授时接口，位于机箱前部，支持网口绑定 1个BD天线接口：位于机箱后部 1个串口（RJ45）：调试使用，位于机箱前部 1个NTP输入口（RJ45）：上级NTP设备输入使用，位于机箱前部 1个管理口（RJ45）：接入网络，进入校时软件管理页面 1个1PPS输出口：支持1路1PPS时间输出 指示灯： 电源指示灯，标识PWR，绿：有外部电源输入，灭：无外部电源输入 卫星指示灯，标识GNSS，绿：卫星搜星正常，灭：卫星搜星异常 NTP输入状态指示灯，标识NTPINP，绿色常亮：NTP输入正常，绿色闪烁：锁定NTP输入源，灭：未同步 授时状态指示灯，标识SYNC，绿色常亮：设备正常输出，绿色闪烁：设备守时输出，灭：未同步。 电源电压：90-240V/55Hz±8Hz 10w 机箱：1U机架式或壁挂式 工作温度：-40℃--＋85℃ 工作湿度：5％--95％ 无凝结 机箱尺寸：191*260*36.5mm (设备) 重量： ≤1KG  软件功能： 设备上电或重启后，系统自启校时服务 支持BD模式对待授时设备进行授时 支持对监控设备（DVR、NVR、网络摄像机）、服务器进行授时 支持双机心跳监测互备功能 支持上级NTP设备输入级联 可通过WEB管理对NTP时钟进行配置管理 支持NTP告警记录和日志信息查询导出 </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9F1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7018E8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r>
      <w:tr w14:paraId="0FBB5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661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31</w:t>
            </w:r>
          </w:p>
        </w:tc>
        <w:tc>
          <w:tcPr>
            <w:tcW w:w="611" w:type="pct"/>
            <w:tcBorders>
              <w:top w:val="single" w:color="000000" w:sz="4" w:space="0"/>
              <w:left w:val="single" w:color="000000" w:sz="4" w:space="0"/>
              <w:bottom w:val="single" w:color="000000" w:sz="4" w:space="0"/>
              <w:right w:val="nil"/>
            </w:tcBorders>
            <w:shd w:val="clear" w:color="auto" w:fill="auto"/>
            <w:vAlign w:val="center"/>
          </w:tcPr>
          <w:p w14:paraId="788F1C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测速抓拍一体机</w:t>
            </w:r>
          </w:p>
        </w:tc>
        <w:tc>
          <w:tcPr>
            <w:tcW w:w="3300" w:type="pct"/>
            <w:tcBorders>
              <w:top w:val="single" w:color="000000" w:sz="4" w:space="0"/>
              <w:left w:val="single" w:color="000000" w:sz="4" w:space="0"/>
              <w:bottom w:val="single" w:color="000000" w:sz="4" w:space="0"/>
              <w:right w:val="nil"/>
            </w:tcBorders>
            <w:shd w:val="clear" w:color="auto" w:fill="FFFFFF"/>
            <w:vAlign w:val="center"/>
          </w:tcPr>
          <w:p w14:paraId="033A14C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视频和抓拍图片分辨率支持（3840×2160）像素；雷达检测范围可自动适配覆盖视频监控检测范围；支持在视频预览画面实时显示雷达检测目标的速度信息，并可叠加到视频预览画面中的目标的位置；支持雷达检测和视频检测结果坐标融合，支持手动标定，自动标定；支持实时显示目标的相对位置坐标输出、车道号、速度、航向角；支持实时输出检测目标的经纬度信息；支持对雷达参数进行设置，包括检测速度、原点坐标、车道数、车道宽度、方向、架设高度、距离修正参数、角度修正参数；支持目标轨迹跟踪和显示，可在web端展示目标轨迹；支持实时输出目标的结构化信息，结构化信息包括车牌号、车牌颜色、车辆类型、车辆颜色、速度、车道号等；支持对单车道的平均速度进行统计，在（-3km/h）的误差范围内，经过检测区域的平均速度统计准确率≥99%；在夜间环境照度较低的情况下，通过雷达视频融合检测车辆目标，抓拍率≥99%；样机可检测来向行驶和去向行驶的车辆目标；支持交通信号评价数据输出，包括周期停车次数、排队长度等；支持区域状态数据输出，包括秒级排队长度、车辆数、队首/尾车辆信息、车道车辆分布信息等；防护等级，IP66；支持检测的机动车车道数量≥12个；支持区分距离≤0.5m的相邻交通目标；支持对≥400个交通目标进行检测，可对交通目标进行轨迹跟踪监测；雷达检测到的车流量与实际过车样本数误差小于1%；（提供</w:t>
            </w:r>
            <w:r>
              <w:rPr>
                <w:rFonts w:hint="eastAsia" w:ascii="宋体" w:hAnsi="宋体" w:cs="宋体"/>
                <w:i w:val="0"/>
                <w:iCs w:val="0"/>
                <w:color w:val="auto"/>
                <w:kern w:val="0"/>
                <w:sz w:val="20"/>
                <w:szCs w:val="20"/>
                <w:u w:val="none"/>
                <w:lang w:val="en-US" w:eastAsia="zh-CN" w:bidi="ar"/>
              </w:rPr>
              <w:t>国家认定的具备</w:t>
            </w:r>
            <w:r>
              <w:rPr>
                <w:rFonts w:hint="eastAsia" w:ascii="宋体" w:hAnsi="宋体" w:eastAsia="宋体" w:cs="宋体"/>
                <w:i w:val="0"/>
                <w:iCs w:val="0"/>
                <w:color w:val="auto"/>
                <w:kern w:val="0"/>
                <w:sz w:val="20"/>
                <w:szCs w:val="20"/>
                <w:u w:val="none"/>
                <w:lang w:val="en-US" w:eastAsia="zh-CN" w:bidi="ar"/>
              </w:rPr>
              <w:t>资质的第三方检验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机构出具的检验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报告复印件证明文件并加盖投标单位公章）</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718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02DECE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r>
      <w:tr w14:paraId="697D2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B51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32</w:t>
            </w:r>
          </w:p>
        </w:tc>
        <w:tc>
          <w:tcPr>
            <w:tcW w:w="611" w:type="pct"/>
            <w:tcBorders>
              <w:top w:val="single" w:color="000000" w:sz="4" w:space="0"/>
              <w:left w:val="single" w:color="000000" w:sz="4" w:space="0"/>
              <w:bottom w:val="single" w:color="000000" w:sz="4" w:space="0"/>
              <w:right w:val="nil"/>
            </w:tcBorders>
            <w:shd w:val="clear" w:color="auto" w:fill="auto"/>
            <w:vAlign w:val="center"/>
          </w:tcPr>
          <w:p w14:paraId="7D8E3E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测试显示牌</w:t>
            </w:r>
          </w:p>
        </w:tc>
        <w:tc>
          <w:tcPr>
            <w:tcW w:w="3300" w:type="pct"/>
            <w:tcBorders>
              <w:top w:val="single" w:color="000000" w:sz="4" w:space="0"/>
              <w:left w:val="single" w:color="000000" w:sz="4" w:space="0"/>
              <w:bottom w:val="single" w:color="000000" w:sz="4" w:space="0"/>
              <w:right w:val="nil"/>
            </w:tcBorders>
            <w:shd w:val="clear" w:color="auto" w:fill="FFFFFF"/>
            <w:vAlign w:val="center"/>
          </w:tcPr>
          <w:p w14:paraId="3F1D2B7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车速提醒牌</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适用于各类国省道、乡村道路、园区、景区、校园等各类车辆测速警示场景，当车辆超速时，显示红色车速车辆未超速时，显示绿色车速</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车辆检测器、限速帖、显示屏一体化设计，方便安装、美观大方限速帖尺寸符合国标</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支持显示车辆实时车速</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外壳材质：铝板折边、表面喷塑贴反光膜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网络接口：1个RJ45以太网口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单管电流：≤20mA</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LED波长：红:628nm±1nm黄:590nm±1nm绿:505nm±1nm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LED可视角度：水平：110°±10°，垂直：60°±10°</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LED寿命：≥100000小时</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物理点间距：8mm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显示屏LED亮度：红&gt;5000 cd/㎡黄&gt;5000 cd/㎡ 绿&gt;5000 cd/㎡ </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2B2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514B04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r>
      <w:tr w14:paraId="0495E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DB8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33</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8BB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测速立杆</w:t>
            </w:r>
          </w:p>
        </w:tc>
        <w:tc>
          <w:tcPr>
            <w:tcW w:w="3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3D98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不高于5米立杆，含地笼混凝土基础</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4AD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根</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12BBF2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r>
      <w:tr w14:paraId="3D380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4B2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34</w:t>
            </w:r>
          </w:p>
        </w:tc>
        <w:tc>
          <w:tcPr>
            <w:tcW w:w="611" w:type="pct"/>
            <w:tcBorders>
              <w:top w:val="single" w:color="000000" w:sz="4" w:space="0"/>
              <w:left w:val="single" w:color="000000" w:sz="4" w:space="0"/>
              <w:bottom w:val="single" w:color="000000" w:sz="4" w:space="0"/>
              <w:right w:val="nil"/>
            </w:tcBorders>
            <w:shd w:val="clear" w:color="auto" w:fill="FFFFFF"/>
            <w:vAlign w:val="center"/>
          </w:tcPr>
          <w:p w14:paraId="05BEB9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监控点平台接入授权</w:t>
            </w:r>
          </w:p>
        </w:tc>
        <w:tc>
          <w:tcPr>
            <w:tcW w:w="33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20B36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视频监控应用提供视频管理服务，支持编码设备通过设备网络SDK协议、Ehome协议、ISUP5.0协议、GB28181协议、ONVIF协议、网络SDK协议接入平台，实现视频预览、录像回放、视频上墙、视频事件监控服务能力，并且在网络带宽不足、有流量限制的网络环境下可以通过以图片替代视频的模式提供监控服务。支持视频实时预览能力，实现预览窗口布局切换、预览画面自适应及全屏切换支持云台控制、实时抓图、紧急录像、即时回放、主子码流切换、声音开启\关闭、辅屏预览（1个辅屏）的能力支持智能规则展示的能力支持资源视图管理能力，以视图形式管理监控点、视频预览轮巡等自定义资源组，其中视图类型包含公有视图和私有视图支持全景视频监控预览能力，支持球型鹰眼、全景摄像机的全景模式支持录像计划管理能力，支持实时录像计划、录像回传计划支持录像回放能力，支持多画面同步回放和异步回放切换、超高倍速回放、分段回放、录像下载、录像剪辑、录像标签、录像锁定、录像抓图支持视频预览与图片实时监控模式切换能力，实现图片监控模式支持图片查询回放能力，实现按监控点、时间段展示抓拍图片支持图片自动播放能力，支持图片自动播放速度可设置支持图片下载能力支持电视墙场景管理能力，实现场景窗口配置、场景切换计划配置以及轮巡计划的管理支持上墙控制能力，实现场景一键上墙、场景切换、电视墙切换、监控点上下墙、轮巡控制操作需能无缝接入西校区平台</w:t>
            </w:r>
          </w:p>
        </w:tc>
        <w:tc>
          <w:tcPr>
            <w:tcW w:w="37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A43F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路</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5125BD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287</w:t>
            </w:r>
          </w:p>
        </w:tc>
      </w:tr>
      <w:tr w14:paraId="346AB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572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35</w:t>
            </w:r>
          </w:p>
        </w:tc>
        <w:tc>
          <w:tcPr>
            <w:tcW w:w="611" w:type="pct"/>
            <w:tcBorders>
              <w:top w:val="single" w:color="000000" w:sz="4" w:space="0"/>
              <w:left w:val="single" w:color="000000" w:sz="4" w:space="0"/>
              <w:bottom w:val="single" w:color="000000" w:sz="4" w:space="0"/>
              <w:right w:val="nil"/>
            </w:tcBorders>
            <w:shd w:val="clear" w:color="auto" w:fill="auto"/>
            <w:vAlign w:val="center"/>
          </w:tcPr>
          <w:p w14:paraId="41B301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视频安全网关</w:t>
            </w:r>
          </w:p>
        </w:tc>
        <w:tc>
          <w:tcPr>
            <w:tcW w:w="33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859A0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 网络层吞吐量≥3Gbps，IPS吞吐量≥2.8bps，AV吞吐量≥2Gbps，IPSec吞吐量≥1.5Gbps，IPSec 隧道数≥2000，并发连接数≥50万，每秒新建连接数≥3.8万，含3年全功能授权；</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 支持不低于两层八级的流量层级，支持基于用户/用户组、应用、URL、ip地址、接口、安全域、VLAN、服务/服务组等对象进行带宽限制；</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 支持SSL VPN断开时自动清除cookie等隐私数据，支持抓取原始数据包，查看网络威胁详情及分析取证；</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 支持冗余策略检测，支持策略时间表有效性检测，并支持提供策略优化建议；支持SSL加密应用流量识别和基于SSL解密的URL过滤；支持防止共享上网功能，可识别共享上网终端的数量；</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 支持IPSec VPN通过预共享密钥、数字证书认证、XAuth扩展认证方式建立隧道；支持负载均衡功能，能根据安全策略将网络流量均衡到多台服务器上，并提供加权轮询、加权最小连接数、加权散列等多种负载均衡方式</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6. 支持路由转发模式，其安全策略生效；支持透明传输模式，其安全策略生效；支持旁路模式、混合模式部署；</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7. 支持基于源、目的IP策略路由；支持基于接口的策略路由；支持基于协议和端口的策略路由；支持基于应用类型的策略路由；并支持设置全局匹配顺序；</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8. 支持“多对一”的SNAT，支持“一对多”的DNAT，支持“多对多”的动态SNAT；</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9. 支持NAT扩展和端口复用，可实现NAT地址的单个端口上建立多条会话；（提供</w:t>
            </w:r>
            <w:r>
              <w:rPr>
                <w:rFonts w:hint="eastAsia" w:ascii="宋体" w:hAnsi="宋体" w:cs="宋体"/>
                <w:i w:val="0"/>
                <w:iCs w:val="0"/>
                <w:color w:val="auto"/>
                <w:kern w:val="0"/>
                <w:sz w:val="20"/>
                <w:szCs w:val="20"/>
                <w:u w:val="none"/>
                <w:lang w:val="en-US" w:eastAsia="zh-CN" w:bidi="ar"/>
              </w:rPr>
              <w:t>国家认定的具备</w:t>
            </w:r>
            <w:r>
              <w:rPr>
                <w:rFonts w:hint="eastAsia" w:ascii="宋体" w:hAnsi="宋体" w:eastAsia="宋体" w:cs="宋体"/>
                <w:i w:val="0"/>
                <w:iCs w:val="0"/>
                <w:color w:val="auto"/>
                <w:kern w:val="0"/>
                <w:sz w:val="20"/>
                <w:szCs w:val="20"/>
                <w:u w:val="none"/>
                <w:lang w:val="en-US" w:eastAsia="zh-CN" w:bidi="ar"/>
              </w:rPr>
              <w:t>资质的第三方检验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机构出具的检验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 xml:space="preserve">报告复印件证明文件并加盖投标单位公章）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10. 支持入站SmartDNS,能自动判断访问者的IP地址并解析出对应的IP地址,提升网站访问速度；（提供</w:t>
            </w:r>
            <w:r>
              <w:rPr>
                <w:rFonts w:hint="eastAsia" w:ascii="宋体" w:hAnsi="宋体" w:cs="宋体"/>
                <w:i w:val="0"/>
                <w:iCs w:val="0"/>
                <w:color w:val="auto"/>
                <w:kern w:val="0"/>
                <w:sz w:val="20"/>
                <w:szCs w:val="20"/>
                <w:u w:val="none"/>
                <w:lang w:val="en-US" w:eastAsia="zh-CN" w:bidi="ar"/>
              </w:rPr>
              <w:t>国家认定的具备</w:t>
            </w:r>
            <w:r>
              <w:rPr>
                <w:rFonts w:hint="eastAsia" w:ascii="宋体" w:hAnsi="宋体" w:eastAsia="宋体" w:cs="宋体"/>
                <w:i w:val="0"/>
                <w:iCs w:val="0"/>
                <w:color w:val="auto"/>
                <w:kern w:val="0"/>
                <w:sz w:val="20"/>
                <w:szCs w:val="20"/>
                <w:u w:val="none"/>
                <w:lang w:val="en-US" w:eastAsia="zh-CN" w:bidi="ar"/>
              </w:rPr>
              <w:t>资质的第三方检验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机构出具的检验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 xml:space="preserve">报告复印件证明文件并加盖投标单位公章）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11. 支持NetFlo万技术，支持配置主动超时时间、源接口、模板刷新时间、数据包数量、企业字段等信息，实现对高速转发的IP数据流进行测试和统计；（提供</w:t>
            </w:r>
            <w:r>
              <w:rPr>
                <w:rFonts w:hint="eastAsia" w:ascii="宋体" w:hAnsi="宋体" w:cs="宋体"/>
                <w:i w:val="0"/>
                <w:iCs w:val="0"/>
                <w:color w:val="auto"/>
                <w:kern w:val="0"/>
                <w:sz w:val="20"/>
                <w:szCs w:val="20"/>
                <w:u w:val="none"/>
                <w:lang w:val="en-US" w:eastAsia="zh-CN" w:bidi="ar"/>
              </w:rPr>
              <w:t>国家认定的具备</w:t>
            </w:r>
            <w:r>
              <w:rPr>
                <w:rFonts w:hint="eastAsia" w:ascii="宋体" w:hAnsi="宋体" w:eastAsia="宋体" w:cs="宋体"/>
                <w:i w:val="0"/>
                <w:iCs w:val="0"/>
                <w:color w:val="auto"/>
                <w:kern w:val="0"/>
                <w:sz w:val="20"/>
                <w:szCs w:val="20"/>
                <w:u w:val="none"/>
                <w:lang w:val="en-US" w:eastAsia="zh-CN" w:bidi="ar"/>
              </w:rPr>
              <w:t>资质的第三方检验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机构出具的检验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 xml:space="preserve">报告复印件证明文件并加盖投标单位公章）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12. 支持SSL VPN客户端硬件特征码绑定认证，支持对登录的用户端系统进行端点安全检查，至少包括指定文件、指定进程、系统补丁、浏览器版本、杀毒软件等；（提供</w:t>
            </w:r>
            <w:r>
              <w:rPr>
                <w:rFonts w:hint="eastAsia" w:ascii="宋体" w:hAnsi="宋体" w:cs="宋体"/>
                <w:i w:val="0"/>
                <w:iCs w:val="0"/>
                <w:color w:val="auto"/>
                <w:kern w:val="0"/>
                <w:sz w:val="20"/>
                <w:szCs w:val="20"/>
                <w:u w:val="none"/>
                <w:lang w:val="en-US" w:eastAsia="zh-CN" w:bidi="ar"/>
              </w:rPr>
              <w:t>国家认定的具备</w:t>
            </w:r>
            <w:r>
              <w:rPr>
                <w:rFonts w:hint="eastAsia" w:ascii="宋体" w:hAnsi="宋体" w:eastAsia="宋体" w:cs="宋体"/>
                <w:i w:val="0"/>
                <w:iCs w:val="0"/>
                <w:color w:val="auto"/>
                <w:kern w:val="0"/>
                <w:sz w:val="20"/>
                <w:szCs w:val="20"/>
                <w:u w:val="none"/>
                <w:lang w:val="en-US" w:eastAsia="zh-CN" w:bidi="ar"/>
              </w:rPr>
              <w:t>资质的第三方检验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机构出具的检验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 xml:space="preserve">报告复印件证明文件并加盖投标单位公章）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13. 支持GB/T 28181协议准入、GB 35114协议准入、支持RTSP协议准入、支持SIP协议准入、支持ONVIF协议准入、支持HIKSDK协议准入、支持DAHUASDK协议准入、支持SSH协议准入、支持GA/T1400协议准入控制、支持Ehome协议准入控制、支持ISUP协议准入控制；（提供</w:t>
            </w:r>
            <w:r>
              <w:rPr>
                <w:rFonts w:hint="eastAsia" w:ascii="宋体" w:hAnsi="宋体" w:cs="宋体"/>
                <w:i w:val="0"/>
                <w:iCs w:val="0"/>
                <w:color w:val="auto"/>
                <w:kern w:val="0"/>
                <w:sz w:val="20"/>
                <w:szCs w:val="20"/>
                <w:u w:val="none"/>
                <w:lang w:val="en-US" w:eastAsia="zh-CN" w:bidi="ar"/>
              </w:rPr>
              <w:t>国家认定的具备</w:t>
            </w:r>
            <w:r>
              <w:rPr>
                <w:rFonts w:hint="eastAsia" w:ascii="宋体" w:hAnsi="宋体" w:eastAsia="宋体" w:cs="宋体"/>
                <w:i w:val="0"/>
                <w:iCs w:val="0"/>
                <w:color w:val="auto"/>
                <w:kern w:val="0"/>
                <w:sz w:val="20"/>
                <w:szCs w:val="20"/>
                <w:u w:val="none"/>
                <w:lang w:val="en-US" w:eastAsia="zh-CN" w:bidi="ar"/>
              </w:rPr>
              <w:t>资质的第三方检验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机构出具的检验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 xml:space="preserve">报告复印件证明文件并加盖投标单位公章）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14. 投标产品应由承担网络关键设备和网络安全专用产品安全认证和安全检测任务机构名录内的机构安全认证合格或者安全检测符合要求。（说明：提供有效期内的安全认证合格或者安全检测符合要求的证明材料复印件，或者提供“中国网信网”或“工业和信息化部网站”或“公安部网站”或“认监委网站”的认证或检测结果截图证明）</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15. ≥8 个千兆电口，≥1个CON口，≥1个MGT口，≥2个USB3.0口，内存≥2G，硬盘容量≥256GB。</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1E1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4D4F1B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r>
      <w:tr w14:paraId="15D2E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7F4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36</w:t>
            </w:r>
          </w:p>
        </w:tc>
        <w:tc>
          <w:tcPr>
            <w:tcW w:w="6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7FB0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辅材</w:t>
            </w:r>
          </w:p>
        </w:tc>
        <w:tc>
          <w:tcPr>
            <w:tcW w:w="33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98D1E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PVC线管/PE管、安装绑扎固定材料、水晶头、光纤跳线、电胶布、插线板等；</w:t>
            </w:r>
          </w:p>
        </w:tc>
        <w:tc>
          <w:tcPr>
            <w:tcW w:w="37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1414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批</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706087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r>
      <w:tr w14:paraId="5419F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02A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37</w:t>
            </w:r>
          </w:p>
        </w:tc>
        <w:tc>
          <w:tcPr>
            <w:tcW w:w="6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CBA5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系统集成</w:t>
            </w:r>
          </w:p>
        </w:tc>
        <w:tc>
          <w:tcPr>
            <w:tcW w:w="33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9AA4C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1、287路摄像机布线安装287*350=100450元；2、过路线缆开槽恢复500米*39.1元/米=19550；含室外防水箱安装；投标单位自行评估核算，此项费用包干；</w:t>
            </w:r>
          </w:p>
        </w:tc>
        <w:tc>
          <w:tcPr>
            <w:tcW w:w="37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AF7F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项</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44980D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r>
      <w:tr w14:paraId="428E2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5"/>
            <w:tcBorders>
              <w:top w:val="single" w:color="000000" w:sz="4" w:space="0"/>
              <w:left w:val="single" w:color="000000" w:sz="4" w:space="0"/>
              <w:bottom w:val="single" w:color="000000" w:sz="4" w:space="0"/>
              <w:right w:val="nil"/>
            </w:tcBorders>
            <w:shd w:val="clear" w:color="auto" w:fill="D9D9D9"/>
            <w:noWrap/>
            <w:vAlign w:val="center"/>
          </w:tcPr>
          <w:p w14:paraId="68D1EB91">
            <w:pPr>
              <w:keepNext w:val="0"/>
              <w:keepLines w:val="0"/>
              <w:pageBreakBefore w:val="0"/>
              <w:widowControl/>
              <w:kinsoku/>
              <w:wordWrap/>
              <w:overflowPunct/>
              <w:topLinePunct w:val="0"/>
              <w:autoSpaceDE/>
              <w:autoSpaceDN/>
              <w:bidi w:val="0"/>
              <w:adjustRightInd w:val="0"/>
              <w:snapToGrid w:val="0"/>
              <w:rPr>
                <w:rFonts w:hint="eastAsia" w:ascii="宋体" w:hAnsi="宋体" w:eastAsia="宋体" w:cs="宋体"/>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二.指挥中心</w:t>
            </w:r>
          </w:p>
        </w:tc>
      </w:tr>
      <w:tr w14:paraId="61806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92FD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6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0B96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拼接大屏</w:t>
            </w:r>
          </w:p>
        </w:tc>
        <w:tc>
          <w:tcPr>
            <w:tcW w:w="33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EAE1C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55英寸#3.5mm拼缝#普亮液晶拼接屏；支持红外遥控器、快捷面板和串口客户端统一控制；可接收HDMI、DVI等信号；支持U盘播放视频、图片等多媒体文件；全高清显示，画面细腻，色彩丰富；视角可达178°，趋近于水平；运行稳定，可24小时持续工作；支持壁挂、落地、吊装等多种安装方式；多种拼接方式，能适应各种使用场所；采用金属外壳，防辐射、防磁场、防强电场干扰；显示尺寸： 55 inch；背光源类型：D-LED；物理拼缝：小于等于3.5 mm；物理拼缝公差：±0.8 mm；亮度：500 ± 10% cd/m²；可视角：178°(水平)/178°(垂直)</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对比度：1000 : 1 ；音视频输入接口：HDMI × 1, DVI × 1, USB × 1；音视频输出接口：无</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控制接口：RS-232 IN × 1, RS-232 OUT × 1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电源：180~240 VAC, 50/60 Hz</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功耗：≤200 W</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待机功耗：≤ 0.5 W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安装孔距：600 (H) mm × 400 (V) mm</w:t>
            </w:r>
          </w:p>
        </w:tc>
        <w:tc>
          <w:tcPr>
            <w:tcW w:w="37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68A5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块</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182131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12</w:t>
            </w:r>
          </w:p>
        </w:tc>
      </w:tr>
      <w:tr w14:paraId="46EA9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1746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6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282E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气动前维护支架</w:t>
            </w:r>
          </w:p>
        </w:tc>
        <w:tc>
          <w:tcPr>
            <w:tcW w:w="33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0F763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55英寸-气动前维护壁挂支架 可前维护 快速安装 材质：优质冷轧钢板(SPCC)表面处理：静电喷塑，涂层厚度&gt;60微米 弧度：0°  。</w:t>
            </w:r>
          </w:p>
        </w:tc>
        <w:tc>
          <w:tcPr>
            <w:tcW w:w="37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B623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617C7D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12</w:t>
            </w:r>
          </w:p>
        </w:tc>
      </w:tr>
      <w:tr w14:paraId="1C447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6A08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6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D041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数据线缆</w:t>
            </w:r>
          </w:p>
        </w:tc>
        <w:tc>
          <w:tcPr>
            <w:tcW w:w="33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2657B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HDMI 1.4 4K30Hz铜缆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端子镀金，耐氧化，阻抗小，信号传输更稳定。</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端子内部特殊设计，增强端子和线缆连接强度。</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环保加厚外被，耐磨不易破裂，经久耐用。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支持HDMI 4K30Hz型号稳定传输。</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即插即用，无需驱动程序。</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线缆类型（音视频线）：铜缆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视频版本：HDMI 1.4</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支持最大分辨率：4K 30Hz</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接口类型：HDMI </w:t>
            </w:r>
          </w:p>
        </w:tc>
        <w:tc>
          <w:tcPr>
            <w:tcW w:w="37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1C9D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4A1175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12</w:t>
            </w:r>
          </w:p>
        </w:tc>
      </w:tr>
      <w:tr w14:paraId="30C37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D5B2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w:t>
            </w:r>
          </w:p>
        </w:tc>
        <w:tc>
          <w:tcPr>
            <w:tcW w:w="6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18C3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单色条形屏</w:t>
            </w:r>
          </w:p>
        </w:tc>
        <w:tc>
          <w:tcPr>
            <w:tcW w:w="33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738C3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P4条形会标显示屏；尺寸4800*320mm</w:t>
            </w:r>
          </w:p>
        </w:tc>
        <w:tc>
          <w:tcPr>
            <w:tcW w:w="37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5328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4EC1E7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r>
      <w:tr w14:paraId="2A982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038C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w:t>
            </w:r>
          </w:p>
        </w:tc>
        <w:tc>
          <w:tcPr>
            <w:tcW w:w="6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4A04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解码器</w:t>
            </w:r>
          </w:p>
        </w:tc>
        <w:tc>
          <w:tcPr>
            <w:tcW w:w="33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E0D41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 解码设备采用嵌入式架构，具有≥12个HDMI 1.4输出接口、≥4个HDMI 1.4输入接口，≥2个千兆网口、≥2个千兆光口；</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 输入分辨率支持3840×2160，支持对输入视频进行编码，支持画面分割、拼接、开窗漫游功能，支持将显示窗口在多个显示屏间进行拖动或跨屏显示，支持调节显示窗口大小；</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 支持ONVIF、GB28181协议接入设备，支持RTP\RTSP协议进行预览；支持H.265、H.264、MPEG4、MJPEG等视频编码格式，支持PS、TS、ES、RTP等主流封装格式，支持子码流及主码流切换；</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 不少于192个解码通道，解码能力支持≥6路8160×3616(25fps)、或≥24路4096×2160(25fps)、或≥96路1920×1080（25fps）、或≥192路1280×720（25fps）分辨率的视频图像同时解码上墙；</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 支持设置1、2、4、6、8、9、10、12、16、25、32、64画面分割显示，支持设置M×N≤100的任意分割，每个输出口均支持任一路意开窗、漫游，支持任意信号显示画面进行任意漫游、缩放，可在单屏或多屏的任意位置上叠加显示画面，图层支持≥64层；支持通过客户端软件设置底色或底图，当无画面上墙显示时，输出显示该底色或底图，底色支持任意颜色设置，底图支持≥7680×4320及以下分辨率，支持保存≥8张底图；支持全部输出口同时输出3840×2160分辨率的图像；（提供</w:t>
            </w:r>
            <w:r>
              <w:rPr>
                <w:rFonts w:hint="eastAsia" w:ascii="宋体" w:hAnsi="宋体" w:cs="宋体"/>
                <w:i w:val="0"/>
                <w:iCs w:val="0"/>
                <w:color w:val="auto"/>
                <w:kern w:val="0"/>
                <w:sz w:val="20"/>
                <w:szCs w:val="20"/>
                <w:u w:val="none"/>
                <w:lang w:val="en-US" w:eastAsia="zh-CN" w:bidi="ar"/>
              </w:rPr>
              <w:t>国家认定的具备</w:t>
            </w:r>
            <w:r>
              <w:rPr>
                <w:rFonts w:hint="eastAsia" w:ascii="宋体" w:hAnsi="宋体" w:eastAsia="宋体" w:cs="宋体"/>
                <w:i w:val="0"/>
                <w:iCs w:val="0"/>
                <w:color w:val="auto"/>
                <w:kern w:val="0"/>
                <w:sz w:val="20"/>
                <w:szCs w:val="20"/>
                <w:u w:val="none"/>
                <w:lang w:val="en-US" w:eastAsia="zh-CN" w:bidi="ar"/>
              </w:rPr>
              <w:t>资质的第三方检验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机构出具的检验</w:t>
            </w:r>
            <w:r>
              <w:rPr>
                <w:rFonts w:hint="eastAsia" w:ascii="宋体" w:hAnsi="宋体" w:cs="宋体"/>
                <w:i w:val="0"/>
                <w:iCs w:val="0"/>
                <w:color w:val="auto"/>
                <w:kern w:val="0"/>
                <w:sz w:val="20"/>
                <w:szCs w:val="20"/>
                <w:u w:val="none"/>
                <w:lang w:val="en-US" w:eastAsia="zh-CN" w:bidi="ar"/>
              </w:rPr>
              <w:t>&lt;</w:t>
            </w:r>
            <w:r>
              <w:rPr>
                <w:rFonts w:hint="eastAsia" w:ascii="宋体" w:hAnsi="宋体" w:eastAsia="宋体" w:cs="宋体"/>
                <w:i w:val="0"/>
                <w:iCs w:val="0"/>
                <w:color w:val="auto"/>
                <w:kern w:val="0"/>
                <w:sz w:val="20"/>
                <w:szCs w:val="20"/>
                <w:u w:val="none"/>
                <w:lang w:val="en-US" w:eastAsia="zh-CN" w:bidi="ar"/>
              </w:rPr>
              <w:t>或检测</w:t>
            </w:r>
            <w:r>
              <w:rPr>
                <w:rFonts w:hint="eastAsia" w:ascii="宋体" w:hAnsi="宋体" w:cs="宋体"/>
                <w:i w:val="0"/>
                <w:iCs w:val="0"/>
                <w:color w:val="auto"/>
                <w:kern w:val="0"/>
                <w:sz w:val="20"/>
                <w:szCs w:val="20"/>
                <w:u w:val="none"/>
                <w:lang w:val="en-US" w:eastAsia="zh-CN" w:bidi="ar"/>
              </w:rPr>
              <w:t>&gt;</w:t>
            </w:r>
            <w:r>
              <w:rPr>
                <w:rFonts w:hint="eastAsia" w:ascii="宋体" w:hAnsi="宋体" w:eastAsia="宋体" w:cs="宋体"/>
                <w:i w:val="0"/>
                <w:iCs w:val="0"/>
                <w:color w:val="auto"/>
                <w:kern w:val="0"/>
                <w:sz w:val="20"/>
                <w:szCs w:val="20"/>
                <w:u w:val="none"/>
                <w:lang w:val="en-US" w:eastAsia="zh-CN" w:bidi="ar"/>
              </w:rPr>
              <w:t xml:space="preserve">报告复印件证明文件并加盖投标单位公章）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6. 支持红外遥控器实现解码图像切换、场景切换，红外遥控器还可进行显示屏幕亮度调节。 </w:t>
            </w:r>
          </w:p>
        </w:tc>
        <w:tc>
          <w:tcPr>
            <w:tcW w:w="37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428F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02E81A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r>
      <w:tr w14:paraId="40779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07E5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w:t>
            </w:r>
          </w:p>
        </w:tc>
        <w:tc>
          <w:tcPr>
            <w:tcW w:w="6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89FF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人脸识别平板</w:t>
            </w:r>
          </w:p>
        </w:tc>
        <w:tc>
          <w:tcPr>
            <w:tcW w:w="3300" w:type="pct"/>
            <w:tcBorders>
              <w:top w:val="single" w:color="000000" w:sz="4" w:space="0"/>
              <w:left w:val="single" w:color="000000" w:sz="4" w:space="0"/>
              <w:bottom w:val="single" w:color="000000" w:sz="4" w:space="0"/>
              <w:right w:val="single" w:color="000000" w:sz="4" w:space="0"/>
            </w:tcBorders>
            <w:shd w:val="clear" w:color="auto" w:fill="FFFFFF"/>
            <w:vAlign w:val="top"/>
          </w:tcPr>
          <w:p w14:paraId="409912D9">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7英寸液晶触摸显示屏，屏幕比例9：16，屏幕分辨率600*1024 采用200万宽动态双目摄像头，面部识别距离0.3~2米，支持照片视频防假，支持远程视频预览 支持二维码识别，云眸平台或ISC平台访客二维码注：需选配增加二维码识别模块 设备采用深度学习算法，支持10000人脸库，人脸比对时间&lt;0.2s/人 内置读卡模块，采用屏下刷卡设计，支持识别Mifare卡（IC卡）、CPU卡、二三代身份证序列号  设备支持多种认证方式：刷卡、指纹、人脸、密码、刷卡+密码、刷卡+指纹、刷卡+人脸、刷卡+指纹+密码、刷卡+指纹+人脸、刷卡或指纹、指纹+密码、指纹+人脸、指纹+人脸+密码、指纹或人脸、人脸+密码（含指纹认证方式时，需增加指纹识别模块） 设备支持单人或多人识别功能，多人识别最多支持5人同时认证 设备支持多重认证（不同人员的人脸、卡片、指纹）功能、首卡常开功能、超级卡（卡/指纹）/超级密码开门、中心远程开门、多重认证（不同人员的人脸、卡片、指纹）+平台远程认证（N+1）开门功能、多重认证（不同人员的人脸、卡片、指纹）+超级密码开门、在线升级功能、单门反潜回功能 设备支持口罩检测模式，可配置提醒戴口罩或强制戴口罩模式，同时可关联门禁控制 设备支持M1卡片防复制机制，默认开启M1扇区加密功能，现场可选择关闭 设备支持NFC功能，可通过手机NFC功能作为做卡片进行识别认证，默认关闭  支持CPU卡加密功能，可选择开启CPU卡内容读取 支持普通模式、广告模式、简洁模式三大主题每个主题均支持多人及单人识别 普通模式：全屏视频预览画面 广告模式：识别区域与广告区域分屏展示，支持图片（JPG格式，分辨率不高于3000x3000，分辨率不小于100*100 ，图片大小不大于1MB，最多8张）广告信息播放，图片切换时间可配置 简洁模式：设备是识别界面不显示视频预览画面，仅显示背景图及比对结果，背景图片可自定义 集成文字转语音和语音合成技术，认证成功和认证失败的语音可以分别配置4个时间段进行自定义播报，同时认证成功的语音可叠加播报姓名 设备支持认证成功界面的“照片”、“姓名”、“工号”信息可分别配置是否显示 支持识别主界面的“呼叫”、“二维码”、“密码”的按键图标可分别配置是否显示 支持设备本地及Web端管理，可进行人员管理、参数配置、事件查询、系统维护等操作 支持1路布防、1路事件监听，在线状态下将设备比对结果及联动抓拍照片实时上传给平台 支持断网续传功能，设备离线状态下产生事件在与平台连接后会重新上传 支持通过RS485外接1个读卡器（可支持指纹读卡器）或外接门禁主机，还可通过RS485接入门控安全模块，防止主机被恶意破坏的情况下，门锁不被打开 支持通过韦根接口外接门禁主机或韦根读卡器，支持W26和W34格式 支持和云眸、4200客户端、室内机、管理机进行可视对讲功能，支持副门口机和围墙机模式支持配置一键呼叫室内机或管理机 支持远程视频预览功能，可以通过RTSP协议输出视频码流，编码格式H.264 支持NTP校时、手动校时、自动校时功能 支持选配：二维码、蓝牙、身份证、指纹及其组合尾插模块，满足不同识别方式需求  尺寸：7英寸 操作方式：触摸操作 类型：IPS屏 分辨率：600*1024  镜头数量：2个 像素：200w  音质：支持噪声抑制，回声消除处理  有线网络：支持 无线网络：无  网口：1个RJ45 门锁输出：1个 开门按钮：1个 门磁输入：1个 IO输入：2个 IO输出：1个 防拆：1个 RS-485：1个 韦根：1个 USB：1个：设备底部1个typeC TF卡：1个  人脸识别距离：0.3~3m 人脸比对时间：＜0.2s 读卡类型：CPU卡序列号CPU卡内容二三代身份证序列号IC卡  安装方式：壁挂安装桌面安装立式安装支持Pa通道安装  对讲功能：支持 二维码识别：选配二维码识别模块 多人识别：支持 真人检测：支持照片视频防伪 广告播放：支持 语音播报：支持 校时功能：支持 </w:t>
            </w:r>
          </w:p>
        </w:tc>
        <w:tc>
          <w:tcPr>
            <w:tcW w:w="37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470E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6476F9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r>
      <w:tr w14:paraId="2CB3B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14B6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w:t>
            </w:r>
          </w:p>
        </w:tc>
        <w:tc>
          <w:tcPr>
            <w:tcW w:w="611" w:type="pct"/>
            <w:tcBorders>
              <w:top w:val="single" w:color="000000" w:sz="4" w:space="0"/>
              <w:left w:val="nil"/>
              <w:bottom w:val="single" w:color="000000" w:sz="4" w:space="0"/>
              <w:right w:val="single" w:color="000000" w:sz="4" w:space="0"/>
            </w:tcBorders>
            <w:shd w:val="clear" w:color="auto" w:fill="auto"/>
            <w:vAlign w:val="center"/>
          </w:tcPr>
          <w:p w14:paraId="43EAA5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电磁锁</w:t>
            </w:r>
          </w:p>
        </w:tc>
        <w:tc>
          <w:tcPr>
            <w:tcW w:w="3300" w:type="pct"/>
            <w:tcBorders>
              <w:top w:val="single" w:color="000000" w:sz="4" w:space="0"/>
              <w:left w:val="nil"/>
              <w:bottom w:val="single" w:color="000000" w:sz="4" w:space="0"/>
              <w:right w:val="single" w:color="000000" w:sz="4" w:space="0"/>
            </w:tcBorders>
            <w:shd w:val="clear" w:color="auto" w:fill="auto"/>
            <w:vAlign w:val="center"/>
          </w:tcPr>
          <w:p w14:paraId="7C62FB8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锁体主体颜色：科技灰色 最大静态直线拉力：280kg±10% 断电开锁，满足消防要求 具有电锁状态指示灯（红灯为开锁状态， 绿灯为上锁状态） 支持锁状态侦测信号(门磁)输出：NO/NC/COM接点 工作电压：12V/480mA 或 24V/240mA 锁体尺寸：长238*宽47*厚28(mm) 吸板尺寸：长182*宽38*高13(mm) 使用环境：室内（不防水） 适用门型：木门、玻璃门、金属门、防火门 </w:t>
            </w:r>
          </w:p>
        </w:tc>
        <w:tc>
          <w:tcPr>
            <w:tcW w:w="370" w:type="pct"/>
            <w:tcBorders>
              <w:top w:val="single" w:color="000000" w:sz="4" w:space="0"/>
              <w:left w:val="nil"/>
              <w:bottom w:val="single" w:color="000000" w:sz="4" w:space="0"/>
              <w:right w:val="single" w:color="000000" w:sz="4" w:space="0"/>
            </w:tcBorders>
            <w:shd w:val="clear" w:color="auto" w:fill="auto"/>
            <w:vAlign w:val="center"/>
          </w:tcPr>
          <w:p w14:paraId="7C40FA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4FD07D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r>
      <w:tr w14:paraId="53B43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AE5F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w:t>
            </w:r>
          </w:p>
        </w:tc>
        <w:tc>
          <w:tcPr>
            <w:tcW w:w="611" w:type="pct"/>
            <w:tcBorders>
              <w:top w:val="single" w:color="000000" w:sz="4" w:space="0"/>
              <w:left w:val="nil"/>
              <w:bottom w:val="single" w:color="000000" w:sz="4" w:space="0"/>
              <w:right w:val="single" w:color="000000" w:sz="4" w:space="0"/>
            </w:tcBorders>
            <w:shd w:val="clear" w:color="auto" w:fill="auto"/>
            <w:vAlign w:val="center"/>
          </w:tcPr>
          <w:p w14:paraId="69EDF3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电源箱</w:t>
            </w:r>
          </w:p>
        </w:tc>
        <w:tc>
          <w:tcPr>
            <w:tcW w:w="3300" w:type="pct"/>
            <w:tcBorders>
              <w:top w:val="single" w:color="000000" w:sz="4" w:space="0"/>
              <w:left w:val="nil"/>
              <w:bottom w:val="single" w:color="000000" w:sz="4" w:space="0"/>
              <w:right w:val="single" w:color="000000" w:sz="4" w:space="0"/>
            </w:tcBorders>
            <w:shd w:val="clear" w:color="auto" w:fill="auto"/>
            <w:vAlign w:val="center"/>
          </w:tcPr>
          <w:p w14:paraId="4F7D8D0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输入电压：100-240VAC 输出电压：12VDC 输出电流：4.17A 输出功率：50W 支持蓄电池接入（设备本身不含蓄电池） 工作温度：-10℃-+50℃ 工作湿度：＜95% 机箱尺寸：237*285*85mm</w:t>
            </w:r>
          </w:p>
        </w:tc>
        <w:tc>
          <w:tcPr>
            <w:tcW w:w="370" w:type="pct"/>
            <w:tcBorders>
              <w:top w:val="single" w:color="000000" w:sz="4" w:space="0"/>
              <w:left w:val="nil"/>
              <w:bottom w:val="single" w:color="000000" w:sz="4" w:space="0"/>
              <w:right w:val="single" w:color="000000" w:sz="4" w:space="0"/>
            </w:tcBorders>
            <w:shd w:val="clear" w:color="auto" w:fill="auto"/>
            <w:vAlign w:val="center"/>
          </w:tcPr>
          <w:p w14:paraId="468139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25A589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r>
      <w:tr w14:paraId="64E28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1353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w:t>
            </w:r>
          </w:p>
        </w:tc>
        <w:tc>
          <w:tcPr>
            <w:tcW w:w="611" w:type="pct"/>
            <w:tcBorders>
              <w:top w:val="single" w:color="000000" w:sz="4" w:space="0"/>
              <w:left w:val="nil"/>
              <w:bottom w:val="single" w:color="000000" w:sz="4" w:space="0"/>
              <w:right w:val="single" w:color="000000" w:sz="4" w:space="0"/>
            </w:tcBorders>
            <w:shd w:val="clear" w:color="auto" w:fill="auto"/>
            <w:vAlign w:val="center"/>
          </w:tcPr>
          <w:p w14:paraId="18BC86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闭门器</w:t>
            </w:r>
          </w:p>
        </w:tc>
        <w:tc>
          <w:tcPr>
            <w:tcW w:w="3300" w:type="pct"/>
            <w:tcBorders>
              <w:top w:val="single" w:color="000000" w:sz="4" w:space="0"/>
              <w:left w:val="nil"/>
              <w:bottom w:val="single" w:color="000000" w:sz="4" w:space="0"/>
              <w:right w:val="single" w:color="000000" w:sz="4" w:space="0"/>
            </w:tcBorders>
            <w:shd w:val="clear" w:color="auto" w:fill="auto"/>
            <w:vAlign w:val="center"/>
          </w:tcPr>
          <w:p w14:paraId="2241A74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适装门重：60-85KG      适装门宽 ≤ 1100mm     闭门力量：EN4      开门角度 ≤ 180° 尺寸：长宽高 248x44.5x72mm 使用寿命：100万次    适用环境温度范围：-30℃---50℃ 双段速度可调    锁门速度：0°--15°范围内可调   闭门速度：15°--180°范围内可调 建议闭门速度在180°至15°时略快，在15°至0°时放慢，以门扇充分关闭为准。防止关门速度过快导致门扇与门框发生撞击。 无90度定位停门的功能。</w:t>
            </w:r>
          </w:p>
        </w:tc>
        <w:tc>
          <w:tcPr>
            <w:tcW w:w="370" w:type="pct"/>
            <w:tcBorders>
              <w:top w:val="single" w:color="000000" w:sz="4" w:space="0"/>
              <w:left w:val="nil"/>
              <w:bottom w:val="single" w:color="000000" w:sz="4" w:space="0"/>
              <w:right w:val="single" w:color="000000" w:sz="4" w:space="0"/>
            </w:tcBorders>
            <w:shd w:val="clear" w:color="auto" w:fill="auto"/>
            <w:vAlign w:val="center"/>
          </w:tcPr>
          <w:p w14:paraId="2A5FD0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43626F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r>
      <w:tr w14:paraId="53643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5D9F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p>
        </w:tc>
        <w:tc>
          <w:tcPr>
            <w:tcW w:w="6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8ABE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指挥中心调度台</w:t>
            </w:r>
          </w:p>
        </w:tc>
        <w:tc>
          <w:tcPr>
            <w:tcW w:w="33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E38BD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豪华型4联监控控制台操作台，长度不低于4米，含四张座椅。每个工位配一个钢制键盘抽屉。台面及侧板采用优质三胺板，台面厚度不低于25mm，柜体内部可做有线槽方便走线。柜体材料采用spcc冷轧钢板厚度1.0制作而成，柜体表面进行防锈，酸洗，磷化处理，采用先进喷涂工艺，高温塑化而成，其具有防腐性好，环保耐用，光洁美观的特点。柜体为前后双开门，前后门都带有圆形散热孔，采用高档条形锁，内部为机架式结构、每个工位标配一块底板可上下调节，便于日后放置设备，柜体内部走线灵活强弱电分开走线，满足环保，散热，美观，扩展等需求。</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材质：柜体整体采用1.0厚冷轧钢板制作，经过剪、冲、折、焊、磨、抛及酸洗、磷化、静电喷塑等工序，经打磨、抛光表面平整光滑。表面经过酸洗、磷化、静电粉末喷涂，经高温烘烤漆面吸附力强，不易刮花、脱落，美观无气味，无污染。从装配到装箱和各配件均经过严格的检验，确保产品的质量。板材：采用优质E1级三胺板,优质绿色环保产品,甲醛含量≤1.0mg/L,密度≥760kg/m3,静曲张度≥51.2Mpa,吸水膨胀率≤8.1%，厚度不低于25mm，抗磨损、耐热、易擦洗；具有防水、防烫、防污、防酸、防碱、防火。</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2、工艺流程：均匀数控剪切，平稳冲压，2.5倍内折弯，无焦点焊接，打沙，脱脂，酸洗，防锈磷化，静电喷塑。</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3、主体框架：材质为冷轧镀锌钢板SGCC冲压折弯成型，通风散热系统，浮式底柜。</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4、散热：调度控制台底部设计空间大，四周有门，前后门上有散气孔，可实现空气对流通畅，使设备安全性得到有效保证</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5、理线：调度控制台内部设计专业的强弱电布线设计，将电源线与信号线使用专业线槽分开布置，确保不互相干扰，底柜采用活动式层板可上下调节方便设备存放。</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F8A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5DC068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r>
      <w:tr w14:paraId="14518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D8E4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11</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0E8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音箱话筒</w:t>
            </w:r>
          </w:p>
        </w:tc>
        <w:tc>
          <w:tcPr>
            <w:tcW w:w="33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6C8BA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有源音箱+呼叫话筒</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9AF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55A77B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r>
      <w:tr w14:paraId="6BEFB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53C1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12</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5AC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空调柜机</w:t>
            </w:r>
          </w:p>
        </w:tc>
        <w:tc>
          <w:tcPr>
            <w:tcW w:w="3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EAF8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空调类型：立式空调,产品功率：3.0P,冷暖类型：冷暖型,变频：否,能效级别：三级能效比：3.28,技术参数室内机噪音：36-42dB,室外机噪音：55dB,制冷量：7300W,制冷功率：2225W,制热量：8000W,制热功率：2200W,除湿性能：3.05,循环风量1200m3/h，电源性能：1-220-50,自动清洁：是,自动除霜：是,静音：是。</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EAA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5910AE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r>
      <w:tr w14:paraId="63FBD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2275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13</w:t>
            </w:r>
          </w:p>
        </w:tc>
        <w:tc>
          <w:tcPr>
            <w:tcW w:w="611" w:type="pct"/>
            <w:tcBorders>
              <w:top w:val="single" w:color="000000" w:sz="4" w:space="0"/>
              <w:left w:val="nil"/>
              <w:bottom w:val="single" w:color="000000" w:sz="4" w:space="0"/>
              <w:right w:val="single" w:color="000000" w:sz="4" w:space="0"/>
            </w:tcBorders>
            <w:shd w:val="clear" w:color="auto" w:fill="auto"/>
            <w:vAlign w:val="center"/>
          </w:tcPr>
          <w:p w14:paraId="454AA0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拆除</w:t>
            </w:r>
          </w:p>
        </w:tc>
        <w:tc>
          <w:tcPr>
            <w:tcW w:w="3300" w:type="pct"/>
            <w:tcBorders>
              <w:top w:val="single" w:color="000000" w:sz="4" w:space="0"/>
              <w:left w:val="nil"/>
              <w:bottom w:val="single" w:color="000000" w:sz="4" w:space="0"/>
              <w:right w:val="single" w:color="000000" w:sz="4" w:space="0"/>
            </w:tcBorders>
            <w:shd w:val="clear" w:color="auto" w:fill="auto"/>
            <w:vAlign w:val="center"/>
          </w:tcPr>
          <w:p w14:paraId="5C3D323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现有吊顶、隔墙隔断拆除修复</w:t>
            </w:r>
          </w:p>
        </w:tc>
        <w:tc>
          <w:tcPr>
            <w:tcW w:w="370" w:type="pct"/>
            <w:tcBorders>
              <w:top w:val="single" w:color="000000" w:sz="4" w:space="0"/>
              <w:left w:val="nil"/>
              <w:bottom w:val="single" w:color="000000" w:sz="4" w:space="0"/>
              <w:right w:val="single" w:color="000000" w:sz="4" w:space="0"/>
            </w:tcBorders>
            <w:shd w:val="clear" w:color="auto" w:fill="auto"/>
            <w:vAlign w:val="center"/>
          </w:tcPr>
          <w:p w14:paraId="033C24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平米</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7513E7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105</w:t>
            </w:r>
          </w:p>
        </w:tc>
      </w:tr>
      <w:tr w14:paraId="774D5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95E0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14</w:t>
            </w:r>
          </w:p>
        </w:tc>
        <w:tc>
          <w:tcPr>
            <w:tcW w:w="611" w:type="pct"/>
            <w:tcBorders>
              <w:top w:val="single" w:color="000000" w:sz="4" w:space="0"/>
              <w:left w:val="nil"/>
              <w:bottom w:val="single" w:color="000000" w:sz="4" w:space="0"/>
              <w:right w:val="single" w:color="000000" w:sz="4" w:space="0"/>
            </w:tcBorders>
            <w:shd w:val="clear" w:color="auto" w:fill="auto"/>
            <w:vAlign w:val="center"/>
          </w:tcPr>
          <w:p w14:paraId="04EF1E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扣板吊顶</w:t>
            </w:r>
          </w:p>
        </w:tc>
        <w:tc>
          <w:tcPr>
            <w:tcW w:w="3300" w:type="pct"/>
            <w:tcBorders>
              <w:top w:val="single" w:color="000000" w:sz="4" w:space="0"/>
              <w:left w:val="nil"/>
              <w:bottom w:val="single" w:color="000000" w:sz="4" w:space="0"/>
              <w:right w:val="single" w:color="000000" w:sz="4" w:space="0"/>
            </w:tcBorders>
            <w:shd w:val="clear" w:color="auto" w:fill="auto"/>
            <w:vAlign w:val="center"/>
          </w:tcPr>
          <w:p w14:paraId="42F62AD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国标铝合方型600*600*0.8天花纳米抗菌+加厚轻钢龙骨,微孔，螺杆为直径8MM以上。吸音型。</w:t>
            </w:r>
          </w:p>
        </w:tc>
        <w:tc>
          <w:tcPr>
            <w:tcW w:w="370" w:type="pct"/>
            <w:tcBorders>
              <w:top w:val="single" w:color="000000" w:sz="4" w:space="0"/>
              <w:left w:val="nil"/>
              <w:bottom w:val="single" w:color="000000" w:sz="4" w:space="0"/>
              <w:right w:val="single" w:color="000000" w:sz="4" w:space="0"/>
            </w:tcBorders>
            <w:shd w:val="clear" w:color="auto" w:fill="auto"/>
            <w:vAlign w:val="center"/>
          </w:tcPr>
          <w:p w14:paraId="5AE3FB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平米</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0A7D65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96</w:t>
            </w:r>
          </w:p>
        </w:tc>
      </w:tr>
      <w:tr w14:paraId="418F4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5E91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15</w:t>
            </w:r>
          </w:p>
        </w:tc>
        <w:tc>
          <w:tcPr>
            <w:tcW w:w="611" w:type="pct"/>
            <w:tcBorders>
              <w:top w:val="single" w:color="000000" w:sz="4" w:space="0"/>
              <w:left w:val="nil"/>
              <w:bottom w:val="single" w:color="000000" w:sz="4" w:space="0"/>
              <w:right w:val="single" w:color="000000" w:sz="4" w:space="0"/>
            </w:tcBorders>
            <w:shd w:val="clear" w:color="auto" w:fill="auto"/>
            <w:vAlign w:val="center"/>
          </w:tcPr>
          <w:p w14:paraId="6272AA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LED顶灯</w:t>
            </w:r>
          </w:p>
        </w:tc>
        <w:tc>
          <w:tcPr>
            <w:tcW w:w="3300" w:type="pct"/>
            <w:tcBorders>
              <w:top w:val="single" w:color="000000" w:sz="4" w:space="0"/>
              <w:left w:val="nil"/>
              <w:bottom w:val="single" w:color="000000" w:sz="4" w:space="0"/>
              <w:right w:val="single" w:color="000000" w:sz="4" w:space="0"/>
            </w:tcBorders>
            <w:shd w:val="clear" w:color="auto" w:fill="auto"/>
            <w:vAlign w:val="center"/>
          </w:tcPr>
          <w:p w14:paraId="6EC2E82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600*600国优LED吸顶灯</w:t>
            </w:r>
          </w:p>
        </w:tc>
        <w:tc>
          <w:tcPr>
            <w:tcW w:w="370" w:type="pct"/>
            <w:tcBorders>
              <w:top w:val="single" w:color="000000" w:sz="4" w:space="0"/>
              <w:left w:val="nil"/>
              <w:bottom w:val="single" w:color="000000" w:sz="4" w:space="0"/>
              <w:right w:val="single" w:color="000000" w:sz="4" w:space="0"/>
            </w:tcBorders>
            <w:shd w:val="clear" w:color="auto" w:fill="auto"/>
            <w:vAlign w:val="center"/>
          </w:tcPr>
          <w:p w14:paraId="083BE1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盏</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44752C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w:t>
            </w:r>
          </w:p>
        </w:tc>
      </w:tr>
      <w:tr w14:paraId="7C013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43F1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16</w:t>
            </w:r>
          </w:p>
        </w:tc>
        <w:tc>
          <w:tcPr>
            <w:tcW w:w="611" w:type="pct"/>
            <w:tcBorders>
              <w:top w:val="single" w:color="000000" w:sz="4" w:space="0"/>
              <w:left w:val="nil"/>
              <w:bottom w:val="single" w:color="000000" w:sz="4" w:space="0"/>
              <w:right w:val="single" w:color="000000" w:sz="4" w:space="0"/>
            </w:tcBorders>
            <w:shd w:val="clear" w:color="auto" w:fill="auto"/>
            <w:vAlign w:val="center"/>
          </w:tcPr>
          <w:p w14:paraId="6B834B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静电地板</w:t>
            </w:r>
          </w:p>
        </w:tc>
        <w:tc>
          <w:tcPr>
            <w:tcW w:w="3300" w:type="pct"/>
            <w:tcBorders>
              <w:top w:val="single" w:color="000000" w:sz="4" w:space="0"/>
              <w:left w:val="nil"/>
              <w:bottom w:val="single" w:color="000000" w:sz="4" w:space="0"/>
              <w:right w:val="single" w:color="000000" w:sz="4" w:space="0"/>
            </w:tcBorders>
            <w:shd w:val="clear" w:color="auto" w:fill="auto"/>
            <w:vAlign w:val="center"/>
          </w:tcPr>
          <w:p w14:paraId="3621D4E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钢板厚度：下0.4*上0.5mm，1.0pvc面层，集中载荷180KG，支架3.5支/平方， 横梁5.2支/平方；含搬运；</w:t>
            </w:r>
          </w:p>
        </w:tc>
        <w:tc>
          <w:tcPr>
            <w:tcW w:w="370" w:type="pct"/>
            <w:tcBorders>
              <w:top w:val="single" w:color="000000" w:sz="4" w:space="0"/>
              <w:left w:val="nil"/>
              <w:bottom w:val="single" w:color="000000" w:sz="4" w:space="0"/>
              <w:right w:val="single" w:color="000000" w:sz="4" w:space="0"/>
            </w:tcBorders>
            <w:shd w:val="clear" w:color="auto" w:fill="auto"/>
            <w:vAlign w:val="center"/>
          </w:tcPr>
          <w:p w14:paraId="090EE1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平米</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1EEB03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96</w:t>
            </w:r>
          </w:p>
        </w:tc>
      </w:tr>
      <w:tr w14:paraId="5F1AA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2A6C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17</w:t>
            </w:r>
          </w:p>
        </w:tc>
        <w:tc>
          <w:tcPr>
            <w:tcW w:w="611" w:type="pct"/>
            <w:tcBorders>
              <w:top w:val="single" w:color="000000" w:sz="4" w:space="0"/>
              <w:left w:val="nil"/>
              <w:bottom w:val="single" w:color="000000" w:sz="4" w:space="0"/>
              <w:right w:val="single" w:color="000000" w:sz="4" w:space="0"/>
            </w:tcBorders>
            <w:shd w:val="clear" w:color="auto" w:fill="auto"/>
            <w:vAlign w:val="center"/>
          </w:tcPr>
          <w:p w14:paraId="4E6515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踢脚线</w:t>
            </w:r>
          </w:p>
        </w:tc>
        <w:tc>
          <w:tcPr>
            <w:tcW w:w="3300" w:type="pct"/>
            <w:tcBorders>
              <w:top w:val="single" w:color="000000" w:sz="4" w:space="0"/>
              <w:left w:val="nil"/>
              <w:bottom w:val="single" w:color="000000" w:sz="4" w:space="0"/>
              <w:right w:val="single" w:color="000000" w:sz="4" w:space="0"/>
            </w:tcBorders>
            <w:shd w:val="clear" w:color="auto" w:fill="auto"/>
            <w:vAlign w:val="center"/>
          </w:tcPr>
          <w:p w14:paraId="7487B39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铝合金材质，高度不低于80cm；</w:t>
            </w:r>
          </w:p>
        </w:tc>
        <w:tc>
          <w:tcPr>
            <w:tcW w:w="370" w:type="pct"/>
            <w:tcBorders>
              <w:top w:val="single" w:color="000000" w:sz="4" w:space="0"/>
              <w:left w:val="nil"/>
              <w:bottom w:val="single" w:color="000000" w:sz="4" w:space="0"/>
              <w:right w:val="single" w:color="000000" w:sz="4" w:space="0"/>
            </w:tcBorders>
            <w:shd w:val="clear" w:color="auto" w:fill="auto"/>
            <w:vAlign w:val="center"/>
          </w:tcPr>
          <w:p w14:paraId="706D2E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米</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1B146A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55</w:t>
            </w:r>
          </w:p>
        </w:tc>
      </w:tr>
      <w:tr w14:paraId="088AA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4549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18</w:t>
            </w:r>
          </w:p>
        </w:tc>
        <w:tc>
          <w:tcPr>
            <w:tcW w:w="611" w:type="pct"/>
            <w:tcBorders>
              <w:top w:val="single" w:color="000000" w:sz="4" w:space="0"/>
              <w:left w:val="nil"/>
              <w:bottom w:val="single" w:color="000000" w:sz="4" w:space="0"/>
              <w:right w:val="single" w:color="000000" w:sz="4" w:space="0"/>
            </w:tcBorders>
            <w:shd w:val="clear" w:color="auto" w:fill="auto"/>
            <w:vAlign w:val="center"/>
          </w:tcPr>
          <w:p w14:paraId="4E17F1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门洞整改</w:t>
            </w:r>
          </w:p>
        </w:tc>
        <w:tc>
          <w:tcPr>
            <w:tcW w:w="3300" w:type="pct"/>
            <w:tcBorders>
              <w:top w:val="single" w:color="000000" w:sz="4" w:space="0"/>
              <w:left w:val="nil"/>
              <w:bottom w:val="single" w:color="000000" w:sz="4" w:space="0"/>
              <w:right w:val="single" w:color="000000" w:sz="4" w:space="0"/>
            </w:tcBorders>
            <w:shd w:val="clear" w:color="auto" w:fill="auto"/>
            <w:vAlign w:val="center"/>
          </w:tcPr>
          <w:p w14:paraId="791D41A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机房内三张门整体抬高安装，与静电地板平齐；含门框。</w:t>
            </w:r>
          </w:p>
        </w:tc>
        <w:tc>
          <w:tcPr>
            <w:tcW w:w="370" w:type="pct"/>
            <w:tcBorders>
              <w:top w:val="single" w:color="000000" w:sz="4" w:space="0"/>
              <w:left w:val="nil"/>
              <w:bottom w:val="single" w:color="000000" w:sz="4" w:space="0"/>
              <w:right w:val="single" w:color="000000" w:sz="4" w:space="0"/>
            </w:tcBorders>
            <w:shd w:val="clear" w:color="auto" w:fill="auto"/>
            <w:vAlign w:val="center"/>
          </w:tcPr>
          <w:p w14:paraId="39DD18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116F10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r>
      <w:tr w14:paraId="58728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5701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19</w:t>
            </w:r>
          </w:p>
        </w:tc>
        <w:tc>
          <w:tcPr>
            <w:tcW w:w="611" w:type="pct"/>
            <w:tcBorders>
              <w:top w:val="single" w:color="000000" w:sz="4" w:space="0"/>
              <w:left w:val="nil"/>
              <w:bottom w:val="single" w:color="000000" w:sz="4" w:space="0"/>
              <w:right w:val="single" w:color="000000" w:sz="4" w:space="0"/>
            </w:tcBorders>
            <w:shd w:val="clear" w:color="auto" w:fill="auto"/>
            <w:vAlign w:val="center"/>
          </w:tcPr>
          <w:p w14:paraId="0B0CD0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墙漆</w:t>
            </w:r>
          </w:p>
        </w:tc>
        <w:tc>
          <w:tcPr>
            <w:tcW w:w="3300" w:type="pct"/>
            <w:tcBorders>
              <w:top w:val="single" w:color="000000" w:sz="4" w:space="0"/>
              <w:left w:val="nil"/>
              <w:bottom w:val="single" w:color="000000" w:sz="4" w:space="0"/>
              <w:right w:val="single" w:color="000000" w:sz="4" w:space="0"/>
            </w:tcBorders>
            <w:shd w:val="clear" w:color="auto" w:fill="auto"/>
            <w:vAlign w:val="center"/>
          </w:tcPr>
          <w:p w14:paraId="7D6E3AD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1、含原墙面固化、修复；2、工艺不少于两次底漆、三次面漆；3、环保油漆；</w:t>
            </w:r>
          </w:p>
        </w:tc>
        <w:tc>
          <w:tcPr>
            <w:tcW w:w="370" w:type="pct"/>
            <w:tcBorders>
              <w:top w:val="single" w:color="000000" w:sz="4" w:space="0"/>
              <w:left w:val="nil"/>
              <w:bottom w:val="single" w:color="000000" w:sz="4" w:space="0"/>
              <w:right w:val="single" w:color="000000" w:sz="4" w:space="0"/>
            </w:tcBorders>
            <w:shd w:val="clear" w:color="auto" w:fill="auto"/>
            <w:vAlign w:val="center"/>
          </w:tcPr>
          <w:p w14:paraId="01F400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平米</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274E13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288</w:t>
            </w:r>
          </w:p>
        </w:tc>
      </w:tr>
      <w:tr w14:paraId="0BC16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E1ED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w:t>
            </w:r>
          </w:p>
        </w:tc>
        <w:tc>
          <w:tcPr>
            <w:tcW w:w="611" w:type="pct"/>
            <w:tcBorders>
              <w:top w:val="single" w:color="000000" w:sz="4" w:space="0"/>
              <w:left w:val="nil"/>
              <w:bottom w:val="single" w:color="000000" w:sz="4" w:space="0"/>
              <w:right w:val="single" w:color="000000" w:sz="4" w:space="0"/>
            </w:tcBorders>
            <w:shd w:val="clear" w:color="auto" w:fill="auto"/>
            <w:vAlign w:val="center"/>
          </w:tcPr>
          <w:p w14:paraId="1F67E3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防水</w:t>
            </w:r>
          </w:p>
        </w:tc>
        <w:tc>
          <w:tcPr>
            <w:tcW w:w="3300" w:type="pct"/>
            <w:tcBorders>
              <w:top w:val="single" w:color="000000" w:sz="4" w:space="0"/>
              <w:left w:val="nil"/>
              <w:bottom w:val="single" w:color="000000" w:sz="4" w:space="0"/>
              <w:right w:val="single" w:color="000000" w:sz="4" w:space="0"/>
            </w:tcBorders>
            <w:shd w:val="clear" w:color="auto" w:fill="auto"/>
            <w:vAlign w:val="center"/>
          </w:tcPr>
          <w:p w14:paraId="5258C0E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机房东北角防水处理</w:t>
            </w:r>
          </w:p>
        </w:tc>
        <w:tc>
          <w:tcPr>
            <w:tcW w:w="370" w:type="pct"/>
            <w:tcBorders>
              <w:top w:val="single" w:color="000000" w:sz="4" w:space="0"/>
              <w:left w:val="nil"/>
              <w:bottom w:val="single" w:color="000000" w:sz="4" w:space="0"/>
              <w:right w:val="single" w:color="000000" w:sz="4" w:space="0"/>
            </w:tcBorders>
            <w:shd w:val="clear" w:color="auto" w:fill="auto"/>
            <w:vAlign w:val="center"/>
          </w:tcPr>
          <w:p w14:paraId="1C6CC2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项</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081567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r>
      <w:tr w14:paraId="3F277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3F55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21</w:t>
            </w:r>
          </w:p>
        </w:tc>
        <w:tc>
          <w:tcPr>
            <w:tcW w:w="611" w:type="pct"/>
            <w:tcBorders>
              <w:top w:val="single" w:color="000000" w:sz="4" w:space="0"/>
              <w:left w:val="nil"/>
              <w:bottom w:val="single" w:color="000000" w:sz="4" w:space="0"/>
              <w:right w:val="single" w:color="000000" w:sz="4" w:space="0"/>
            </w:tcBorders>
            <w:shd w:val="clear" w:color="auto" w:fill="auto"/>
            <w:vAlign w:val="center"/>
          </w:tcPr>
          <w:p w14:paraId="1AA34F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桥架</w:t>
            </w:r>
          </w:p>
        </w:tc>
        <w:tc>
          <w:tcPr>
            <w:tcW w:w="3300" w:type="pct"/>
            <w:tcBorders>
              <w:top w:val="single" w:color="000000" w:sz="4" w:space="0"/>
              <w:left w:val="nil"/>
              <w:bottom w:val="single" w:color="000000" w:sz="4" w:space="0"/>
              <w:right w:val="single" w:color="000000" w:sz="4" w:space="0"/>
            </w:tcBorders>
            <w:shd w:val="clear" w:color="auto" w:fill="auto"/>
            <w:vAlign w:val="center"/>
          </w:tcPr>
          <w:p w14:paraId="061D27F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200*100*1.0过线桥架；强弱电分离，含安装及辅材；</w:t>
            </w:r>
          </w:p>
        </w:tc>
        <w:tc>
          <w:tcPr>
            <w:tcW w:w="370" w:type="pct"/>
            <w:tcBorders>
              <w:top w:val="single" w:color="000000" w:sz="4" w:space="0"/>
              <w:left w:val="nil"/>
              <w:bottom w:val="single" w:color="000000" w:sz="4" w:space="0"/>
              <w:right w:val="single" w:color="000000" w:sz="4" w:space="0"/>
            </w:tcBorders>
            <w:shd w:val="clear" w:color="auto" w:fill="auto"/>
            <w:vAlign w:val="center"/>
          </w:tcPr>
          <w:p w14:paraId="0B7344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米</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63E4C4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40</w:t>
            </w:r>
          </w:p>
        </w:tc>
      </w:tr>
      <w:tr w14:paraId="76F83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6751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22</w:t>
            </w:r>
          </w:p>
        </w:tc>
        <w:tc>
          <w:tcPr>
            <w:tcW w:w="611" w:type="pct"/>
            <w:tcBorders>
              <w:top w:val="single" w:color="000000" w:sz="4" w:space="0"/>
              <w:left w:val="nil"/>
              <w:bottom w:val="single" w:color="000000" w:sz="4" w:space="0"/>
              <w:right w:val="single" w:color="000000" w:sz="4" w:space="0"/>
            </w:tcBorders>
            <w:shd w:val="clear" w:color="auto" w:fill="auto"/>
            <w:vAlign w:val="center"/>
          </w:tcPr>
          <w:p w14:paraId="7D8AD0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配电箱</w:t>
            </w:r>
          </w:p>
        </w:tc>
        <w:tc>
          <w:tcPr>
            <w:tcW w:w="3300" w:type="pct"/>
            <w:tcBorders>
              <w:top w:val="single" w:color="000000" w:sz="4" w:space="0"/>
              <w:left w:val="nil"/>
              <w:bottom w:val="single" w:color="000000" w:sz="4" w:space="0"/>
              <w:right w:val="single" w:color="000000" w:sz="4" w:space="0"/>
            </w:tcBorders>
            <w:shd w:val="clear" w:color="auto" w:fill="auto"/>
            <w:vAlign w:val="center"/>
          </w:tcPr>
          <w:p w14:paraId="6A47AEC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1.额定输入电压AC 380V</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2.具备过压、过流、欠压、缺相、短路、断路保护与报警功能</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3.具备分步延时起动和分步延时断电的功能，以减小显示屏停、送电时对电网的冲击</w:t>
            </w:r>
          </w:p>
        </w:tc>
        <w:tc>
          <w:tcPr>
            <w:tcW w:w="370" w:type="pct"/>
            <w:tcBorders>
              <w:top w:val="single" w:color="000000" w:sz="4" w:space="0"/>
              <w:left w:val="nil"/>
              <w:bottom w:val="single" w:color="000000" w:sz="4" w:space="0"/>
              <w:right w:val="single" w:color="000000" w:sz="4" w:space="0"/>
            </w:tcBorders>
            <w:shd w:val="clear" w:color="auto" w:fill="auto"/>
            <w:vAlign w:val="center"/>
          </w:tcPr>
          <w:p w14:paraId="5DEC75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24ADA0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r>
      <w:tr w14:paraId="0135E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FC67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23</w:t>
            </w:r>
          </w:p>
        </w:tc>
        <w:tc>
          <w:tcPr>
            <w:tcW w:w="611" w:type="pct"/>
            <w:tcBorders>
              <w:top w:val="single" w:color="000000" w:sz="4" w:space="0"/>
              <w:left w:val="nil"/>
              <w:bottom w:val="single" w:color="000000" w:sz="4" w:space="0"/>
              <w:right w:val="single" w:color="000000" w:sz="4" w:space="0"/>
            </w:tcBorders>
            <w:shd w:val="clear" w:color="auto" w:fill="auto"/>
            <w:vAlign w:val="center"/>
          </w:tcPr>
          <w:p w14:paraId="3005A9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电路改造</w:t>
            </w:r>
          </w:p>
        </w:tc>
        <w:tc>
          <w:tcPr>
            <w:tcW w:w="3300" w:type="pct"/>
            <w:tcBorders>
              <w:top w:val="single" w:color="000000" w:sz="4" w:space="0"/>
              <w:left w:val="nil"/>
              <w:bottom w:val="single" w:color="000000" w:sz="4" w:space="0"/>
              <w:right w:val="single" w:color="000000" w:sz="4" w:space="0"/>
            </w:tcBorders>
            <w:shd w:val="clear" w:color="auto" w:fill="auto"/>
            <w:vAlign w:val="center"/>
          </w:tcPr>
          <w:p w14:paraId="7B365D0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1、机房内照明用、空调用电电线路安装；2、机房内大屏设备取电电路安装；3、机房内机柜设备取电安装；</w:t>
            </w:r>
          </w:p>
        </w:tc>
        <w:tc>
          <w:tcPr>
            <w:tcW w:w="370" w:type="pct"/>
            <w:tcBorders>
              <w:top w:val="single" w:color="000000" w:sz="4" w:space="0"/>
              <w:left w:val="nil"/>
              <w:bottom w:val="single" w:color="000000" w:sz="4" w:space="0"/>
              <w:right w:val="single" w:color="000000" w:sz="4" w:space="0"/>
            </w:tcBorders>
            <w:shd w:val="clear" w:color="auto" w:fill="auto"/>
            <w:vAlign w:val="center"/>
          </w:tcPr>
          <w:p w14:paraId="7C4211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平米</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0C49C5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96</w:t>
            </w:r>
          </w:p>
        </w:tc>
      </w:tr>
      <w:tr w14:paraId="748BC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9072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24</w:t>
            </w:r>
          </w:p>
        </w:tc>
        <w:tc>
          <w:tcPr>
            <w:tcW w:w="611" w:type="pct"/>
            <w:tcBorders>
              <w:top w:val="single" w:color="000000" w:sz="4" w:space="0"/>
              <w:left w:val="nil"/>
              <w:bottom w:val="single" w:color="000000" w:sz="4" w:space="0"/>
              <w:right w:val="single" w:color="000000" w:sz="4" w:space="0"/>
            </w:tcBorders>
            <w:shd w:val="clear" w:color="auto" w:fill="auto"/>
            <w:vAlign w:val="center"/>
          </w:tcPr>
          <w:p w14:paraId="2C3478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垃圾清运</w:t>
            </w:r>
          </w:p>
        </w:tc>
        <w:tc>
          <w:tcPr>
            <w:tcW w:w="3300" w:type="pct"/>
            <w:tcBorders>
              <w:top w:val="single" w:color="000000" w:sz="4" w:space="0"/>
              <w:left w:val="nil"/>
              <w:bottom w:val="single" w:color="000000" w:sz="4" w:space="0"/>
              <w:right w:val="single" w:color="000000" w:sz="4" w:space="0"/>
            </w:tcBorders>
            <w:shd w:val="clear" w:color="auto" w:fill="auto"/>
            <w:vAlign w:val="center"/>
          </w:tcPr>
          <w:p w14:paraId="7B98AE8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建筑垃圾，清运出校园；</w:t>
            </w:r>
          </w:p>
        </w:tc>
        <w:tc>
          <w:tcPr>
            <w:tcW w:w="370" w:type="pct"/>
            <w:tcBorders>
              <w:top w:val="single" w:color="000000" w:sz="4" w:space="0"/>
              <w:left w:val="nil"/>
              <w:bottom w:val="single" w:color="000000" w:sz="4" w:space="0"/>
              <w:right w:val="single" w:color="000000" w:sz="4" w:space="0"/>
            </w:tcBorders>
            <w:shd w:val="clear" w:color="auto" w:fill="auto"/>
            <w:vAlign w:val="center"/>
          </w:tcPr>
          <w:p w14:paraId="366801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批</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45ACB5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r>
      <w:tr w14:paraId="5968E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D644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25</w:t>
            </w:r>
          </w:p>
        </w:tc>
        <w:tc>
          <w:tcPr>
            <w:tcW w:w="6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A790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防雷接地</w:t>
            </w:r>
          </w:p>
        </w:tc>
        <w:tc>
          <w:tcPr>
            <w:tcW w:w="33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A0ED5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采用3*30紫铜排做等电位连接并与接地主线连接，机房所有金属与紫铜排做等电位连接，实现防雷目的。</w:t>
            </w:r>
          </w:p>
        </w:tc>
        <w:tc>
          <w:tcPr>
            <w:tcW w:w="370" w:type="pct"/>
            <w:tcBorders>
              <w:top w:val="single" w:color="000000" w:sz="4" w:space="0"/>
              <w:left w:val="nil"/>
              <w:bottom w:val="single" w:color="000000" w:sz="4" w:space="0"/>
              <w:right w:val="single" w:color="000000" w:sz="4" w:space="0"/>
            </w:tcBorders>
            <w:shd w:val="clear" w:color="auto" w:fill="auto"/>
            <w:vAlign w:val="center"/>
          </w:tcPr>
          <w:p w14:paraId="4E5D12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平米</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36FE1C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96</w:t>
            </w:r>
          </w:p>
        </w:tc>
      </w:tr>
      <w:tr w14:paraId="73ECE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727C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26</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934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操作电脑</w:t>
            </w:r>
          </w:p>
        </w:tc>
        <w:tc>
          <w:tcPr>
            <w:tcW w:w="33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2C8E9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1.处理器: 主频≥3.0GHz，核心数≥4核；</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2.内存: ≥8G内存，双内存插槽，整机最高支持64GB内存；</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3.硬盘: ≥512GB 固态硬盘；</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4.显卡: 高性能集成显卡；</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5.网卡：板载千兆以太网卡；</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6.扩展槽：≥1个全高 PCI、1个PCIe3 x1、1个PCIe4 x16、 2个M.2，方便后期拓展；</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7.接口:≥ 8个USB接口（满足前置5个USB及1个Type-C或以上），≥1个HDMI接口，≥1个DP，≥1个RJ-45；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8.键鼠：抗菌键鼠；</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9.电源: ≥350W 电源，考虑到节能，电源能效 ≥90%；</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10.机箱: 标准MATX立式机箱≥15L，双风扇高效散热，静音设计，免工具开箱和维护设计，键盘鼠标线缆锁；</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11.显示器：23.8寸同品牌全高清液晶显示器；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12.系统: 原厂预装正版操作系统；</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13.为满足质保要求，产品应具备高可靠性，满足平均无故障时长MTBF≥120万小时；</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14.服务要求：所投产品需为品牌原厂原配全新机器，且不接受拆改配，支持制造商400/800查验配置</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FAC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017D5B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w:t>
            </w:r>
          </w:p>
        </w:tc>
      </w:tr>
      <w:tr w14:paraId="41B3F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5602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27</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432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数据线缆</w:t>
            </w:r>
          </w:p>
        </w:tc>
        <w:tc>
          <w:tcPr>
            <w:tcW w:w="33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FC0C8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HDMI 1.4 4K30Hz铜缆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端子镀金，耐氧化，阻抗小，信号传输更稳定。</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端子内部特殊设计，增强端子和线缆连接强度。</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环保加厚外被，耐磨不易破裂，经久耐用。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支持HDMI 4K30Hz型号稳定传输。</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即插即用，无需驱动程序。</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线缆类型（音视频线）：铜缆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视频版本：HDMI 1.4</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支持最大分辨率：4K 30Hz</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接口类型：HDMI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宿管办公室电脑连接显示大屏</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BD7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条</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5B067C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w:t>
            </w:r>
          </w:p>
        </w:tc>
      </w:tr>
      <w:tr w14:paraId="00E9E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E1F4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28</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B67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安装辅材</w:t>
            </w:r>
          </w:p>
        </w:tc>
        <w:tc>
          <w:tcPr>
            <w:tcW w:w="3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A95F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PVC线管、安装绑扎固定材料、水晶头、小防水箱、膨胀螺栓、光纤跳线、电胶布、插线板等。</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3A5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项</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1060E3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r>
      <w:tr w14:paraId="07E24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3484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29</w:t>
            </w:r>
          </w:p>
        </w:tc>
        <w:tc>
          <w:tcPr>
            <w:tcW w:w="6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34A1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系统集成</w:t>
            </w:r>
          </w:p>
        </w:tc>
        <w:tc>
          <w:tcPr>
            <w:tcW w:w="33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0569A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含设备安装、系统联调测试等；</w:t>
            </w:r>
          </w:p>
        </w:tc>
        <w:tc>
          <w:tcPr>
            <w:tcW w:w="37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531B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项</w:t>
            </w:r>
          </w:p>
        </w:tc>
        <w:tc>
          <w:tcPr>
            <w:tcW w:w="363" w:type="pct"/>
            <w:tcBorders>
              <w:top w:val="single" w:color="000000" w:sz="4" w:space="0"/>
              <w:left w:val="single" w:color="000000" w:sz="4" w:space="0"/>
              <w:bottom w:val="single" w:color="000000" w:sz="4" w:space="0"/>
              <w:right w:val="nil"/>
            </w:tcBorders>
            <w:shd w:val="clear" w:color="auto" w:fill="auto"/>
            <w:vAlign w:val="center"/>
          </w:tcPr>
          <w:p w14:paraId="09BBA7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r>
    </w:tbl>
    <w:p w14:paraId="3CDB5990">
      <w:pPr>
        <w:rPr>
          <w:color w:val="auto"/>
        </w:rPr>
      </w:pPr>
    </w:p>
    <w:p w14:paraId="778DFA5B">
      <w:pPr>
        <w:rPr>
          <w:color w:val="auto"/>
        </w:rPr>
      </w:pPr>
      <w:r>
        <w:rPr>
          <w:rFonts w:hint="eastAsia"/>
          <w:color w:val="auto"/>
        </w:rPr>
        <w:t>本项目核心产品：存储服务器。</w:t>
      </w:r>
    </w:p>
    <w:p w14:paraId="63EE98F7">
      <w:pPr>
        <w:rPr>
          <w:color w:val="auto"/>
        </w:rPr>
      </w:pPr>
    </w:p>
    <w:p w14:paraId="4853D198">
      <w:pPr>
        <w:rPr>
          <w:color w:val="auto"/>
        </w:rPr>
        <w:sectPr>
          <w:pgSz w:w="11906" w:h="16838"/>
          <w:pgMar w:top="1440" w:right="1797" w:bottom="1440" w:left="1797" w:header="851" w:footer="992" w:gutter="0"/>
          <w:pgBorders>
            <w:top w:val="none" w:sz="0" w:space="0"/>
            <w:left w:val="none" w:sz="0" w:space="0"/>
            <w:bottom w:val="none" w:sz="0" w:space="0"/>
            <w:right w:val="none" w:sz="0" w:space="0"/>
          </w:pgBorders>
          <w:pgNumType w:fmt="numberInDash"/>
          <w:cols w:space="720" w:num="1"/>
          <w:docGrid w:type="linesAndChars" w:linePitch="312" w:charSpace="0"/>
        </w:sectPr>
      </w:pPr>
      <w:r>
        <w:rPr>
          <w:rFonts w:hint="eastAsia"/>
          <w:color w:val="auto"/>
        </w:rPr>
        <w:br w:type="page"/>
      </w:r>
    </w:p>
    <w:p w14:paraId="1B1518B6">
      <w:pPr>
        <w:pStyle w:val="3"/>
        <w:adjustRightInd w:val="0"/>
        <w:snapToGrid w:val="0"/>
        <w:spacing w:before="156" w:beforeLines="50" w:line="240" w:lineRule="auto"/>
        <w:jc w:val="center"/>
        <w:rPr>
          <w:color w:val="auto"/>
        </w:rPr>
      </w:pPr>
      <w:bookmarkStart w:id="35" w:name="_Toc30709"/>
      <w:r>
        <w:rPr>
          <w:rFonts w:hint="eastAsia" w:ascii="黑体" w:hAnsi="黑体" w:eastAsia="黑体"/>
          <w:color w:val="auto"/>
          <w:sz w:val="28"/>
          <w:szCs w:val="28"/>
        </w:rPr>
        <w:t>第二节 实施</w:t>
      </w:r>
      <w:r>
        <w:rPr>
          <w:rFonts w:ascii="黑体" w:hAnsi="黑体" w:eastAsia="黑体"/>
          <w:color w:val="auto"/>
          <w:sz w:val="28"/>
          <w:szCs w:val="28"/>
        </w:rPr>
        <w:t>要求</w:t>
      </w:r>
      <w:bookmarkEnd w:id="35"/>
    </w:p>
    <w:p w14:paraId="20F29AD9">
      <w:pPr>
        <w:adjustRightInd w:val="0"/>
        <w:snapToGrid w:val="0"/>
        <w:spacing w:line="336" w:lineRule="auto"/>
        <w:ind w:firstLine="480" w:firstLineChars="200"/>
        <w:rPr>
          <w:rFonts w:ascii="宋体" w:hAnsi="宋体"/>
          <w:b/>
          <w:color w:val="auto"/>
          <w:sz w:val="24"/>
        </w:rPr>
      </w:pPr>
    </w:p>
    <w:p w14:paraId="5AE95094">
      <w:pPr>
        <w:pStyle w:val="292"/>
        <w:adjustRightInd w:val="0"/>
        <w:snapToGrid w:val="0"/>
        <w:spacing w:line="360" w:lineRule="auto"/>
        <w:ind w:firstLine="470" w:firstLineChars="196"/>
        <w:rPr>
          <w:rFonts w:ascii="宋体" w:hAnsi="宋体" w:cs="宋体"/>
          <w:b/>
          <w:color w:val="auto"/>
          <w:sz w:val="24"/>
          <w:szCs w:val="24"/>
        </w:rPr>
      </w:pPr>
      <w:r>
        <w:rPr>
          <w:rFonts w:hint="eastAsia" w:ascii="宋体" w:hAnsi="宋体" w:cs="宋体"/>
          <w:b/>
          <w:color w:val="auto"/>
          <w:sz w:val="24"/>
          <w:szCs w:val="24"/>
        </w:rPr>
        <w:t>一、项目实施要求：</w:t>
      </w:r>
    </w:p>
    <w:p w14:paraId="3984AC3A">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1.1供应商提供的产品须符合采购人和采购人上级部门关于本项目的各项要求。</w:t>
      </w:r>
    </w:p>
    <w:p w14:paraId="1ECF2180">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1.2项目实施地点：采购人指定地点。</w:t>
      </w:r>
    </w:p>
    <w:p w14:paraId="4D721C13">
      <w:pPr>
        <w:pStyle w:val="292"/>
        <w:adjustRightInd w:val="0"/>
        <w:snapToGrid w:val="0"/>
        <w:spacing w:line="360" w:lineRule="auto"/>
        <w:ind w:firstLine="480" w:firstLineChars="200"/>
        <w:rPr>
          <w:color w:val="auto"/>
        </w:rPr>
      </w:pPr>
      <w:r>
        <w:rPr>
          <w:rFonts w:hint="eastAsia" w:ascii="宋体" w:hAnsi="宋体" w:cs="宋体"/>
          <w:bCs/>
          <w:color w:val="auto"/>
          <w:sz w:val="24"/>
          <w:szCs w:val="24"/>
        </w:rPr>
        <w:t>★1.3付款方式：所有设备（产品）按时到货并安装调试完工后，经甲方验收合格(作为付款程序的验收合格，不等同于认可产品没有任何质量缺陷，也不等同于放弃对乙方的违约责任追究)且办理财务结算手续完毕后（由省财政资金支付的项目，如因本年度省财政拨付给甲方的资金已使用完毕，甲方将于下年度优先支付）一次性支付该项目所有货款的100%</w:t>
      </w:r>
      <w:r>
        <w:rPr>
          <w:rFonts w:hint="eastAsia" w:ascii="宋体" w:hAnsi="宋体" w:cs="宋体"/>
          <w:bCs/>
          <w:color w:val="auto"/>
          <w:sz w:val="24"/>
          <w:szCs w:val="24"/>
          <w:lang w:val="en-US" w:eastAsia="zh-CN"/>
        </w:rPr>
        <w:t xml:space="preserve"> </w:t>
      </w:r>
      <w:r>
        <w:rPr>
          <w:rFonts w:hint="eastAsia" w:ascii="宋体" w:hAnsi="宋体" w:cs="宋体"/>
          <w:bCs/>
          <w:color w:val="auto"/>
          <w:sz w:val="24"/>
          <w:szCs w:val="24"/>
        </w:rPr>
        <w:t>。</w:t>
      </w:r>
    </w:p>
    <w:p w14:paraId="7D006F0C">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★1.4交货时间：合同签订后2个月内到货并安装调试完毕。</w:t>
      </w:r>
    </w:p>
    <w:p w14:paraId="48493676">
      <w:pPr>
        <w:pStyle w:val="292"/>
        <w:adjustRightInd w:val="0"/>
        <w:snapToGrid w:val="0"/>
        <w:spacing w:line="360" w:lineRule="auto"/>
        <w:ind w:firstLine="480" w:firstLineChars="200"/>
        <w:rPr>
          <w:rFonts w:ascii="宋体" w:hAnsi="宋体" w:cs="宋体"/>
          <w:b/>
          <w:color w:val="auto"/>
          <w:sz w:val="24"/>
          <w:szCs w:val="24"/>
        </w:rPr>
      </w:pPr>
      <w:r>
        <w:rPr>
          <w:rFonts w:hint="eastAsia" w:ascii="宋体" w:hAnsi="宋体" w:cs="宋体"/>
          <w:b/>
          <w:color w:val="auto"/>
          <w:sz w:val="24"/>
          <w:szCs w:val="24"/>
        </w:rPr>
        <w:t>二、报价要求：</w:t>
      </w:r>
    </w:p>
    <w:p w14:paraId="502A312D">
      <w:pPr>
        <w:pStyle w:val="292"/>
        <w:adjustRightInd w:val="0"/>
        <w:snapToGrid w:val="0"/>
        <w:spacing w:line="360" w:lineRule="auto"/>
        <w:ind w:firstLine="480" w:firstLineChars="200"/>
        <w:rPr>
          <w:rFonts w:ascii="宋体" w:hAnsi="宋体" w:cs="宋体"/>
          <w:color w:val="auto"/>
          <w:sz w:val="24"/>
          <w:szCs w:val="24"/>
        </w:rPr>
      </w:pPr>
      <w:r>
        <w:rPr>
          <w:rFonts w:hint="eastAsia" w:ascii="宋体" w:hAnsi="宋体" w:cs="宋体"/>
          <w:bCs/>
          <w:color w:val="auto"/>
          <w:sz w:val="24"/>
          <w:szCs w:val="24"/>
        </w:rPr>
        <w:t>★2.1</w:t>
      </w:r>
      <w:r>
        <w:rPr>
          <w:rFonts w:hint="eastAsia" w:ascii="宋体" w:hAnsi="宋体" w:cs="宋体"/>
          <w:color w:val="auto"/>
          <w:sz w:val="24"/>
          <w:szCs w:val="24"/>
        </w:rPr>
        <w:t>投标报价应包含产品、运输、安装调试、备品备件、培训验收、质保期内</w:t>
      </w:r>
      <w:r>
        <w:rPr>
          <w:rFonts w:hint="eastAsia" w:ascii="宋体" w:hAnsi="宋体" w:cs="宋体"/>
          <w:bCs/>
          <w:color w:val="auto"/>
          <w:sz w:val="24"/>
          <w:szCs w:val="24"/>
        </w:rPr>
        <w:t>保修维护、</w:t>
      </w:r>
      <w:r>
        <w:rPr>
          <w:rFonts w:hint="eastAsia" w:ascii="宋体" w:hAnsi="宋体" w:cs="宋体"/>
          <w:color w:val="auto"/>
          <w:sz w:val="24"/>
          <w:szCs w:val="24"/>
        </w:rPr>
        <w:t>人工工资、保险、税金等所有费用，如一旦成交，在项目实施中出现任何遗漏，均由中标人免费提供，采购人不再支付其他费用。</w:t>
      </w:r>
    </w:p>
    <w:p w14:paraId="6DBCB9E9">
      <w:pPr>
        <w:pStyle w:val="292"/>
        <w:adjustRightInd w:val="0"/>
        <w:snapToGrid w:val="0"/>
        <w:spacing w:line="360" w:lineRule="auto"/>
        <w:ind w:firstLine="480" w:firstLineChars="200"/>
        <w:rPr>
          <w:rFonts w:ascii="宋体" w:hAnsi="宋体" w:cs="宋体"/>
          <w:b/>
          <w:bCs/>
          <w:color w:val="auto"/>
          <w:sz w:val="24"/>
          <w:szCs w:val="24"/>
        </w:rPr>
      </w:pPr>
      <w:r>
        <w:rPr>
          <w:rFonts w:hint="eastAsia" w:ascii="宋体" w:hAnsi="宋体" w:cs="宋体"/>
          <w:b/>
          <w:bCs/>
          <w:color w:val="auto"/>
          <w:sz w:val="24"/>
          <w:szCs w:val="24"/>
        </w:rPr>
        <w:t>三、供货要求：</w:t>
      </w:r>
    </w:p>
    <w:p w14:paraId="45671868">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3.1中标人必须严格按照投标清单提供有厂家质保的正规渠道产品，且包含正常使用时所需的附件、工具等；</w:t>
      </w:r>
    </w:p>
    <w:p w14:paraId="20D58798">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3.2中标人负责产品到交货地点的全部运输，包括装卸及现场搬运等；</w:t>
      </w:r>
    </w:p>
    <w:p w14:paraId="61ECFC1B">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3.3中标人负责产品的保管，直至项目验收合格；</w:t>
      </w:r>
    </w:p>
    <w:p w14:paraId="066336DF">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3.4中标人负责其派出的服务人员的人身意外保险，配备至少3名服务人员为本项目实施提供服务，其中至少有一名类似项目经验丰富的项目经理；</w:t>
      </w:r>
    </w:p>
    <w:p w14:paraId="0BF7B462">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3.5中标人应根据采购人的要求将所提供的产品或者货物送到指定的地点，并安装调试完毕验收合格；</w:t>
      </w:r>
    </w:p>
    <w:p w14:paraId="3C494F16">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3.6中标人送达产品及进行安装调试，应和采购人单位取得联系，以便采购人单位安排验货和配合安装调试等工作。中标人须加强安装调试过程的组织管理，所有安装调试人员须遵守文明安全操作的有关规章制度，持证上岗；</w:t>
      </w:r>
    </w:p>
    <w:p w14:paraId="13E50F93">
      <w:pPr>
        <w:pStyle w:val="292"/>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3.7项目完成后，中标人应将项目有关的全部资料，包括产品资料、技术文档及采购人要求的相关资料等移交采购人。</w:t>
      </w:r>
    </w:p>
    <w:p w14:paraId="508A4ED4">
      <w:pPr>
        <w:pStyle w:val="292"/>
        <w:adjustRightInd w:val="0"/>
        <w:snapToGrid w:val="0"/>
        <w:spacing w:line="360" w:lineRule="auto"/>
        <w:ind w:firstLine="480" w:firstLineChars="200"/>
        <w:rPr>
          <w:rFonts w:ascii="宋体" w:hAnsi="宋体" w:cs="宋体"/>
          <w:b/>
          <w:bCs/>
          <w:color w:val="auto"/>
          <w:sz w:val="24"/>
          <w:szCs w:val="24"/>
        </w:rPr>
      </w:pPr>
      <w:r>
        <w:rPr>
          <w:rFonts w:hint="eastAsia" w:ascii="宋体" w:hAnsi="宋体" w:cs="宋体"/>
          <w:b/>
          <w:bCs/>
          <w:color w:val="auto"/>
          <w:sz w:val="24"/>
          <w:szCs w:val="24"/>
        </w:rPr>
        <w:t>四、组织架构及进度管理：</w:t>
      </w:r>
    </w:p>
    <w:p w14:paraId="6FFE0E4D">
      <w:pPr>
        <w:pStyle w:val="292"/>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4.1组建项目实施领导小组，明确工作职责，落实和具体工作内容，梳理需求，完善标准体系，按质按量履行项目实施内容。按项目组织架构进行项目的实施和交付，配备经验丰富的项目队伍，以确保项目施工质量和工期。</w:t>
      </w:r>
    </w:p>
    <w:p w14:paraId="3DA95BBB">
      <w:pPr>
        <w:pStyle w:val="292"/>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4.2制定合理的进度计划，合理安排各工作项的工期，明确分工，做好工序无缝衔接，确保按期完成任务。</w:t>
      </w:r>
    </w:p>
    <w:p w14:paraId="3EFDC038">
      <w:pPr>
        <w:pStyle w:val="292"/>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4.3中标人在项目实施中，必须遵守招标人的管理要求，接受有关单位的监督，严格遵守国家的相关实施规范。</w:t>
      </w:r>
    </w:p>
    <w:p w14:paraId="3AE27A14">
      <w:pPr>
        <w:pStyle w:val="292"/>
        <w:adjustRightInd w:val="0"/>
        <w:snapToGrid w:val="0"/>
        <w:spacing w:line="360" w:lineRule="auto"/>
        <w:ind w:firstLine="480" w:firstLineChars="200"/>
        <w:rPr>
          <w:rFonts w:ascii="宋体" w:hAnsi="宋体" w:cs="宋体"/>
          <w:b/>
          <w:bCs/>
          <w:color w:val="auto"/>
          <w:sz w:val="24"/>
          <w:szCs w:val="24"/>
        </w:rPr>
      </w:pPr>
      <w:r>
        <w:rPr>
          <w:rFonts w:hint="eastAsia" w:ascii="宋体" w:hAnsi="宋体" w:cs="宋体"/>
          <w:color w:val="auto"/>
          <w:sz w:val="24"/>
          <w:szCs w:val="24"/>
        </w:rPr>
        <w:t>4.4拟任本项目的项目负责人等关键岗位人员必须按时在岗。</w:t>
      </w:r>
    </w:p>
    <w:p w14:paraId="3772F59F">
      <w:pPr>
        <w:pStyle w:val="292"/>
        <w:adjustRightInd w:val="0"/>
        <w:snapToGrid w:val="0"/>
        <w:spacing w:line="360" w:lineRule="auto"/>
        <w:ind w:firstLine="480" w:firstLineChars="200"/>
        <w:rPr>
          <w:rFonts w:ascii="宋体" w:hAnsi="宋体" w:cs="宋体"/>
          <w:b/>
          <w:bCs/>
          <w:color w:val="auto"/>
          <w:sz w:val="24"/>
          <w:szCs w:val="24"/>
        </w:rPr>
      </w:pPr>
      <w:r>
        <w:rPr>
          <w:rFonts w:hint="eastAsia" w:ascii="宋体" w:hAnsi="宋体" w:cs="宋体"/>
          <w:b/>
          <w:bCs/>
          <w:color w:val="auto"/>
          <w:sz w:val="24"/>
          <w:szCs w:val="24"/>
        </w:rPr>
        <w:t>五、质量保证：</w:t>
      </w:r>
    </w:p>
    <w:p w14:paraId="3DD7215B">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 xml:space="preserve">5.1投标产品必须是符合国家技术规范和质量标准的合格产品，满足采购人的使用需求，并具有可靠的质量服务体系和安全服务体系，质量可靠、使用安全。 </w:t>
      </w:r>
    </w:p>
    <w:p w14:paraId="2C1C4B4C">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★5.2质保期：项目整体质保3年（采购清单或国家标准另有要求的按最高标准执行）。</w:t>
      </w:r>
    </w:p>
    <w:p w14:paraId="1E9F3D7F">
      <w:pPr>
        <w:pStyle w:val="292"/>
        <w:adjustRightInd w:val="0"/>
        <w:snapToGrid w:val="0"/>
        <w:spacing w:line="360" w:lineRule="auto"/>
        <w:ind w:firstLine="480" w:firstLineChars="200"/>
        <w:rPr>
          <w:rFonts w:ascii="宋体" w:hAnsi="宋体" w:cs="宋体"/>
          <w:color w:val="auto"/>
          <w:sz w:val="24"/>
          <w:szCs w:val="24"/>
        </w:rPr>
      </w:pPr>
      <w:r>
        <w:rPr>
          <w:rFonts w:hint="eastAsia" w:ascii="宋体" w:hAnsi="宋体" w:cs="宋体"/>
          <w:bCs/>
          <w:color w:val="auto"/>
          <w:sz w:val="24"/>
          <w:szCs w:val="24"/>
        </w:rPr>
        <w:t>5.3质保期从验收合格之日起开始计算。</w:t>
      </w:r>
    </w:p>
    <w:p w14:paraId="660105C7">
      <w:pPr>
        <w:pStyle w:val="292"/>
        <w:adjustRightInd w:val="0"/>
        <w:snapToGrid w:val="0"/>
        <w:spacing w:line="360" w:lineRule="auto"/>
        <w:ind w:firstLine="480" w:firstLineChars="200"/>
        <w:rPr>
          <w:rFonts w:ascii="宋体" w:hAnsi="宋体" w:cs="宋体"/>
          <w:b/>
          <w:bCs/>
          <w:color w:val="auto"/>
          <w:sz w:val="24"/>
          <w:szCs w:val="24"/>
        </w:rPr>
      </w:pPr>
      <w:r>
        <w:rPr>
          <w:rFonts w:hint="eastAsia" w:ascii="宋体" w:hAnsi="宋体" w:cs="宋体"/>
          <w:b/>
          <w:bCs/>
          <w:color w:val="auto"/>
          <w:sz w:val="24"/>
          <w:szCs w:val="24"/>
        </w:rPr>
        <w:t>六、售后服务：</w:t>
      </w:r>
    </w:p>
    <w:p w14:paraId="7494E9F9">
      <w:pPr>
        <w:pStyle w:val="292"/>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6.1中标人要严格按照采购人要求提供售后服务，建立专门的售后服务小组，并配备相应的专业技术人员和设施设备，要求原厂服务的必须按要求提供原厂售后服务。</w:t>
      </w:r>
    </w:p>
    <w:p w14:paraId="3AC91BDB">
      <w:pPr>
        <w:pStyle w:val="292"/>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6.2质保期内出现任何质量问题（人为破坏或自然灾害等不可抗力除外），由中标人负责免费（免全部工时费、材料费、管理费、财务费等）更换或维修；中标人未及时履行售后服务义务的，采购人有权另行选择第三方进行维修，产生费用由中标人承担，采购人可以从质量保证金中予以扣除。</w:t>
      </w:r>
    </w:p>
    <w:p w14:paraId="65682157">
      <w:pPr>
        <w:pStyle w:val="292"/>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6.3在质保期内必须为最终用户提供全天候的技术服务支持，负责解答用户在产品使用中遇到的问题，并及时提出解决问题的建议和操作方法。技术服务热线支持应是中文服务。</w:t>
      </w:r>
    </w:p>
    <w:p w14:paraId="103F8891">
      <w:pPr>
        <w:pStyle w:val="292"/>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6.4备件服务：提供产品所需更换的任何备品备件，质保期内所有部件均为原厂商备件。中标人不能因为产品停产而拒绝提供备品备件，应提供相应的解决方案和同类档次规格的备品备件。</w:t>
      </w:r>
    </w:p>
    <w:p w14:paraId="7BD83FA9">
      <w:pPr>
        <w:pStyle w:val="292"/>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6.5产品在质量保证期内使用发生故障时，中标人在接到采购人故障通知后应及时响应（2小时响应，24小时内解决问题），不得影响正常使用（如果不能及时解决，应及时提供备件替代直至问题解决），所发生的一切费用由中标人承担。</w:t>
      </w:r>
    </w:p>
    <w:p w14:paraId="3773FF9A">
      <w:pPr>
        <w:pStyle w:val="292"/>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6.6质量保证期结束后，中标人有义务配合采购人在产品使用地指定有能力的代理人或供应商自行对所提供产品进行维护和修理。如需更换零配件的，应不超过市场平均价予以供应。</w:t>
      </w:r>
    </w:p>
    <w:p w14:paraId="1E0E6C91">
      <w:pPr>
        <w:pStyle w:val="292"/>
        <w:adjustRightInd w:val="0"/>
        <w:snapToGrid w:val="0"/>
        <w:spacing w:line="360" w:lineRule="auto"/>
        <w:ind w:firstLine="480" w:firstLineChars="200"/>
        <w:rPr>
          <w:rFonts w:ascii="宋体" w:hAnsi="宋体" w:cs="宋体"/>
          <w:b/>
          <w:bCs/>
          <w:color w:val="auto"/>
          <w:sz w:val="24"/>
          <w:szCs w:val="24"/>
        </w:rPr>
      </w:pPr>
      <w:r>
        <w:rPr>
          <w:rFonts w:hint="eastAsia" w:ascii="宋体" w:hAnsi="宋体" w:cs="宋体"/>
          <w:color w:val="auto"/>
          <w:sz w:val="24"/>
          <w:szCs w:val="24"/>
        </w:rPr>
        <w:t>6.7售后服务人员必须树立让用户满意是检验服务工作的最终标准的服务理念，要竭尽全力为用户服务。在服务过程中，积极、热情、耐心地解答用户提出的各种问题，认真传授维修保养常识。对用户的问题无法解决时，应予耐心解释，并及时报告。</w:t>
      </w:r>
    </w:p>
    <w:p w14:paraId="24A461DD">
      <w:pPr>
        <w:pStyle w:val="292"/>
        <w:adjustRightInd w:val="0"/>
        <w:snapToGrid w:val="0"/>
        <w:spacing w:line="360" w:lineRule="auto"/>
        <w:ind w:firstLine="470" w:firstLineChars="196"/>
        <w:rPr>
          <w:rFonts w:ascii="宋体" w:hAnsi="宋体" w:cs="宋体"/>
          <w:b/>
          <w:color w:val="auto"/>
          <w:sz w:val="24"/>
          <w:szCs w:val="24"/>
        </w:rPr>
      </w:pPr>
      <w:r>
        <w:rPr>
          <w:rFonts w:hint="eastAsia" w:ascii="宋体" w:hAnsi="宋体" w:cs="宋体"/>
          <w:b/>
          <w:color w:val="auto"/>
          <w:sz w:val="24"/>
          <w:szCs w:val="24"/>
        </w:rPr>
        <w:t>七、培训服务：</w:t>
      </w:r>
    </w:p>
    <w:p w14:paraId="6AFE3478">
      <w:pPr>
        <w:pStyle w:val="292"/>
        <w:adjustRightInd w:val="0"/>
        <w:snapToGrid w:val="0"/>
        <w:spacing w:line="360" w:lineRule="auto"/>
        <w:ind w:firstLine="470" w:firstLineChars="196"/>
        <w:rPr>
          <w:rFonts w:ascii="宋体" w:hAnsi="宋体" w:cs="宋体"/>
          <w:bCs/>
          <w:color w:val="auto"/>
          <w:sz w:val="24"/>
          <w:szCs w:val="24"/>
        </w:rPr>
      </w:pPr>
      <w:r>
        <w:rPr>
          <w:rFonts w:hint="eastAsia" w:ascii="宋体" w:hAnsi="宋体" w:cs="宋体"/>
          <w:bCs/>
          <w:color w:val="auto"/>
          <w:sz w:val="24"/>
          <w:szCs w:val="24"/>
        </w:rPr>
        <w:t>7.1中标人负责为采购人指定的有关技术人员提供维护、维修、现场使用培训。</w:t>
      </w:r>
    </w:p>
    <w:p w14:paraId="684C50CA">
      <w:pPr>
        <w:pStyle w:val="292"/>
        <w:adjustRightInd w:val="0"/>
        <w:snapToGrid w:val="0"/>
        <w:spacing w:line="360" w:lineRule="auto"/>
        <w:ind w:firstLine="470" w:firstLineChars="196"/>
        <w:rPr>
          <w:rFonts w:ascii="宋体" w:hAnsi="宋体" w:cs="宋体"/>
          <w:bCs/>
          <w:color w:val="auto"/>
          <w:sz w:val="24"/>
          <w:szCs w:val="24"/>
        </w:rPr>
      </w:pPr>
      <w:r>
        <w:rPr>
          <w:rFonts w:hint="eastAsia" w:ascii="宋体" w:hAnsi="宋体" w:cs="宋体"/>
          <w:bCs/>
          <w:color w:val="auto"/>
          <w:sz w:val="24"/>
          <w:szCs w:val="24"/>
        </w:rPr>
        <w:t>7.2中标人向采购人技术人员提供的维护、维修、使用培训不少于两次。</w:t>
      </w:r>
    </w:p>
    <w:p w14:paraId="11E12FD5">
      <w:pPr>
        <w:pStyle w:val="292"/>
        <w:adjustRightInd w:val="0"/>
        <w:snapToGrid w:val="0"/>
        <w:spacing w:line="360" w:lineRule="auto"/>
        <w:ind w:firstLine="470" w:firstLineChars="196"/>
        <w:rPr>
          <w:rFonts w:ascii="宋体" w:hAnsi="宋体" w:cs="宋体"/>
          <w:bCs/>
          <w:color w:val="auto"/>
          <w:sz w:val="24"/>
          <w:szCs w:val="24"/>
        </w:rPr>
      </w:pPr>
      <w:r>
        <w:rPr>
          <w:rFonts w:hint="eastAsia" w:ascii="宋体" w:hAnsi="宋体" w:cs="宋体"/>
          <w:bCs/>
          <w:color w:val="auto"/>
          <w:sz w:val="24"/>
          <w:szCs w:val="24"/>
        </w:rPr>
        <w:t>7.3中标人提供详细的培训计划表。</w:t>
      </w:r>
    </w:p>
    <w:p w14:paraId="7F12B3B2">
      <w:pPr>
        <w:pStyle w:val="292"/>
        <w:adjustRightInd w:val="0"/>
        <w:snapToGrid w:val="0"/>
        <w:spacing w:line="360" w:lineRule="auto"/>
        <w:ind w:firstLine="480" w:firstLineChars="200"/>
        <w:rPr>
          <w:rFonts w:ascii="宋体" w:hAnsi="宋体" w:cs="宋体"/>
          <w:b/>
          <w:bCs/>
          <w:color w:val="auto"/>
          <w:sz w:val="24"/>
          <w:szCs w:val="24"/>
        </w:rPr>
      </w:pPr>
      <w:r>
        <w:rPr>
          <w:rFonts w:hint="eastAsia" w:ascii="宋体" w:hAnsi="宋体" w:cs="宋体"/>
          <w:b/>
          <w:bCs/>
          <w:color w:val="auto"/>
          <w:sz w:val="24"/>
          <w:szCs w:val="24"/>
        </w:rPr>
        <w:t>八、安全文明施工：</w:t>
      </w:r>
    </w:p>
    <w:p w14:paraId="461941DD">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8.1执行政府有关文明施工规定，进行经常性的文明施工教育，完善安全文明施工制度建设。</w:t>
      </w:r>
    </w:p>
    <w:p w14:paraId="7CD5EA2B">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8.2必要时在施工红线内，作周边隔离或安全警示标语、标志。</w:t>
      </w:r>
    </w:p>
    <w:p w14:paraId="0461E869">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8.3责成值班人员打扫环境，看护好绿化，市政等公用设备，不因施工受到损坏。</w:t>
      </w:r>
    </w:p>
    <w:p w14:paraId="7AB2ED1F">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8.4各种材料必须按施工要求位置堆放整齐，保证施工通道平整、畅通，垃圾及时清运，做到工完场地清。</w:t>
      </w:r>
    </w:p>
    <w:p w14:paraId="0C8B5372">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8.5采取防粉尘、防噪音措施，把粉尘和噪音降到最低程度。</w:t>
      </w:r>
    </w:p>
    <w:p w14:paraId="22F826D9">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8.6施工现场灭严禁赌博，打架斗殴。</w:t>
      </w:r>
    </w:p>
    <w:p w14:paraId="3921D2B8">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8.7施工人员进场，应进行登记造册，签订安全承诺书，遵守采购人有关管理规定。</w:t>
      </w:r>
    </w:p>
    <w:p w14:paraId="0B5AE5A2">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8.8加强施工现场防火教育，落实消防措施，配备足够的灭火器材。</w:t>
      </w:r>
    </w:p>
    <w:p w14:paraId="49EEDCE0">
      <w:pPr>
        <w:pStyle w:val="292"/>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8.9对项目施工过程中可能发生的紧急情况、事故等应有明确的预案和措施。</w:t>
      </w:r>
    </w:p>
    <w:p w14:paraId="64F9C768">
      <w:pPr>
        <w:pStyle w:val="292"/>
        <w:adjustRightInd w:val="0"/>
        <w:snapToGrid w:val="0"/>
        <w:spacing w:line="360" w:lineRule="auto"/>
        <w:ind w:firstLine="480" w:firstLineChars="200"/>
        <w:rPr>
          <w:rFonts w:ascii="宋体" w:hAnsi="宋体" w:cs="宋体"/>
          <w:b/>
          <w:bCs/>
          <w:color w:val="auto"/>
          <w:sz w:val="24"/>
          <w:szCs w:val="24"/>
        </w:rPr>
      </w:pPr>
      <w:r>
        <w:rPr>
          <w:rFonts w:hint="eastAsia" w:ascii="宋体" w:hAnsi="宋体" w:cs="宋体"/>
          <w:b/>
          <w:bCs/>
          <w:color w:val="auto"/>
          <w:sz w:val="24"/>
          <w:szCs w:val="24"/>
        </w:rPr>
        <w:t>九、验收标准和方法：</w:t>
      </w:r>
    </w:p>
    <w:p w14:paraId="54602EE8">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9.1本项目按照一般程序进行验收。</w:t>
      </w:r>
    </w:p>
    <w:p w14:paraId="0EFBF3FC">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9.2项目验收国家有强制性规定的，按国家规定执行，验收费用由中标人承担，验收报告作为申请付款的凭证之一。</w:t>
      </w:r>
    </w:p>
    <w:p w14:paraId="7A74FF69">
      <w:pPr>
        <w:pStyle w:val="292"/>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9.3验收过程中产生纠纷的，由质量技术监督部门认定的检测机构检测,如为中标人原因造成的，由中标人承担检测费用；否则，由采购人承担。</w:t>
      </w:r>
    </w:p>
    <w:p w14:paraId="482EA559">
      <w:pPr>
        <w:adjustRightInd w:val="0"/>
        <w:snapToGrid w:val="0"/>
        <w:spacing w:line="336" w:lineRule="auto"/>
        <w:ind w:firstLine="480" w:firstLineChars="200"/>
        <w:rPr>
          <w:rStyle w:val="162"/>
          <w:color w:val="auto"/>
          <w:sz w:val="32"/>
          <w:szCs w:val="32"/>
        </w:rPr>
      </w:pPr>
      <w:r>
        <w:rPr>
          <w:rFonts w:hint="eastAsia" w:ascii="宋体" w:hAnsi="宋体" w:cs="宋体"/>
          <w:color w:val="auto"/>
          <w:sz w:val="24"/>
        </w:rPr>
        <w:t>9.4项目验收不合格，由成交人返工直至合格，有关返工、再行验收，以及给采购人造成的损失等费用由成交人承担。连续两次项目验收不合格的，采购人可终止合同，另行按规定选择其他供应商采购，由此带来的一切损失由中标人承担。</w:t>
      </w:r>
    </w:p>
    <w:p w14:paraId="6567A52D">
      <w:pPr>
        <w:rPr>
          <w:color w:val="auto"/>
        </w:rPr>
      </w:pPr>
      <w:bookmarkStart w:id="36" w:name="_Toc25823"/>
    </w:p>
    <w:p w14:paraId="36FE27EA">
      <w:pPr>
        <w:rPr>
          <w:color w:val="auto"/>
        </w:rPr>
      </w:pPr>
    </w:p>
    <w:p w14:paraId="51A08DFC">
      <w:pPr>
        <w:rPr>
          <w:color w:val="auto"/>
        </w:rPr>
      </w:pPr>
    </w:p>
    <w:p w14:paraId="0002E7D6">
      <w:pPr>
        <w:rPr>
          <w:color w:val="auto"/>
        </w:rPr>
      </w:pPr>
      <w:r>
        <w:rPr>
          <w:rFonts w:hint="eastAsia"/>
          <w:color w:val="auto"/>
        </w:rPr>
        <w:br w:type="page"/>
      </w:r>
    </w:p>
    <w:p w14:paraId="5B0F9B74">
      <w:pPr>
        <w:jc w:val="center"/>
        <w:rPr>
          <w:rFonts w:ascii="宋体" w:hAnsi="宋体"/>
          <w:b/>
          <w:color w:val="auto"/>
          <w:szCs w:val="44"/>
        </w:rPr>
      </w:pPr>
      <w:r>
        <w:rPr>
          <w:rStyle w:val="162"/>
          <w:rFonts w:hint="eastAsia"/>
          <w:color w:val="auto"/>
          <w:sz w:val="32"/>
          <w:szCs w:val="32"/>
        </w:rPr>
        <w:t>第六章 响应文件组成</w:t>
      </w:r>
      <w:bookmarkEnd w:id="36"/>
    </w:p>
    <w:p w14:paraId="3EEF4A3F">
      <w:pPr>
        <w:adjustRightInd w:val="0"/>
        <w:snapToGrid w:val="0"/>
        <w:ind w:firstLine="640" w:firstLineChars="200"/>
        <w:jc w:val="center"/>
        <w:rPr>
          <w:rFonts w:ascii="宋体" w:hAnsi="宋体"/>
          <w:b/>
          <w:color w:val="auto"/>
          <w:sz w:val="32"/>
          <w:szCs w:val="32"/>
        </w:rPr>
      </w:pPr>
    </w:p>
    <w:p w14:paraId="07B8D485">
      <w:pPr>
        <w:spacing w:line="340" w:lineRule="exact"/>
        <w:rPr>
          <w:rFonts w:ascii="宋体" w:hAnsi="宋体"/>
          <w:color w:val="auto"/>
        </w:rPr>
      </w:pPr>
      <w:r>
        <w:rPr>
          <w:rFonts w:hint="eastAsia" w:ascii="宋体" w:hAnsi="宋体"/>
          <w:color w:val="auto"/>
        </w:rPr>
        <w:t>供应商的响应文件应包含以下部分：</w:t>
      </w:r>
    </w:p>
    <w:p w14:paraId="04852AD1">
      <w:pPr>
        <w:adjustRightInd w:val="0"/>
        <w:snapToGrid w:val="0"/>
        <w:spacing w:line="340" w:lineRule="exact"/>
        <w:jc w:val="left"/>
        <w:rPr>
          <w:rFonts w:ascii="宋体" w:hAnsi="宋体"/>
          <w:b/>
          <w:color w:val="auto"/>
          <w:szCs w:val="21"/>
        </w:rPr>
      </w:pPr>
    </w:p>
    <w:p w14:paraId="654225F5">
      <w:pPr>
        <w:adjustRightInd w:val="0"/>
        <w:snapToGrid w:val="0"/>
        <w:spacing w:line="340" w:lineRule="exact"/>
        <w:jc w:val="left"/>
        <w:rPr>
          <w:rFonts w:ascii="宋体" w:hAnsi="宋体" w:cs="宋体"/>
          <w:b/>
          <w:color w:val="auto"/>
          <w:szCs w:val="21"/>
        </w:rPr>
      </w:pPr>
      <w:r>
        <w:rPr>
          <w:rFonts w:hint="eastAsia" w:ascii="宋体" w:hAnsi="宋体" w:cs="宋体"/>
          <w:b/>
          <w:color w:val="auto"/>
          <w:szCs w:val="21"/>
        </w:rPr>
        <w:t>一、磋商响应声明</w:t>
      </w:r>
    </w:p>
    <w:p w14:paraId="46BA0031">
      <w:pPr>
        <w:adjustRightInd w:val="0"/>
        <w:snapToGrid w:val="0"/>
        <w:spacing w:line="340" w:lineRule="exact"/>
        <w:ind w:firstLine="420" w:firstLineChars="200"/>
        <w:jc w:val="left"/>
        <w:rPr>
          <w:rFonts w:ascii="宋体" w:hAnsi="宋体" w:cs="宋体"/>
          <w:color w:val="auto"/>
          <w:szCs w:val="21"/>
        </w:rPr>
      </w:pPr>
      <w:r>
        <w:rPr>
          <w:rFonts w:hint="eastAsia" w:ascii="宋体" w:hAnsi="宋体" w:cs="宋体"/>
          <w:color w:val="auto"/>
          <w:szCs w:val="21"/>
        </w:rPr>
        <w:t>附件1：承诺函</w:t>
      </w:r>
    </w:p>
    <w:p w14:paraId="226546D3">
      <w:pPr>
        <w:adjustRightInd w:val="0"/>
        <w:snapToGrid w:val="0"/>
        <w:spacing w:line="340" w:lineRule="exact"/>
        <w:ind w:firstLine="420" w:firstLineChars="200"/>
        <w:jc w:val="left"/>
        <w:rPr>
          <w:rFonts w:ascii="宋体" w:hAnsi="宋体" w:cs="宋体"/>
          <w:color w:val="auto"/>
          <w:szCs w:val="21"/>
        </w:rPr>
      </w:pPr>
      <w:r>
        <w:rPr>
          <w:rFonts w:hint="eastAsia" w:ascii="宋体" w:hAnsi="宋体" w:cs="宋体"/>
          <w:color w:val="auto"/>
          <w:szCs w:val="21"/>
        </w:rPr>
        <w:t>附件2：法定代表人身份证明</w:t>
      </w:r>
    </w:p>
    <w:p w14:paraId="643120E0">
      <w:pPr>
        <w:adjustRightInd w:val="0"/>
        <w:snapToGrid w:val="0"/>
        <w:spacing w:line="340" w:lineRule="exact"/>
        <w:ind w:firstLine="420" w:firstLineChars="200"/>
        <w:jc w:val="left"/>
        <w:rPr>
          <w:rFonts w:ascii="宋体" w:hAnsi="宋体" w:cs="宋体"/>
          <w:color w:val="auto"/>
          <w:szCs w:val="21"/>
        </w:rPr>
      </w:pPr>
      <w:r>
        <w:rPr>
          <w:rFonts w:hint="eastAsia" w:ascii="宋体" w:hAnsi="宋体" w:cs="宋体"/>
          <w:color w:val="auto"/>
          <w:szCs w:val="21"/>
        </w:rPr>
        <w:t>附件3：法定代表人授权书</w:t>
      </w:r>
    </w:p>
    <w:p w14:paraId="3053FDDE">
      <w:pPr>
        <w:adjustRightInd w:val="0"/>
        <w:snapToGrid w:val="0"/>
        <w:spacing w:line="340" w:lineRule="exact"/>
        <w:jc w:val="left"/>
        <w:rPr>
          <w:rFonts w:ascii="宋体" w:hAnsi="宋体" w:cs="宋体"/>
          <w:b/>
          <w:color w:val="auto"/>
          <w:szCs w:val="21"/>
        </w:rPr>
      </w:pPr>
      <w:r>
        <w:rPr>
          <w:rFonts w:hint="eastAsia" w:ascii="宋体" w:hAnsi="宋体" w:cs="宋体"/>
          <w:b/>
          <w:color w:val="auto"/>
          <w:szCs w:val="21"/>
        </w:rPr>
        <w:t>二、保证金</w:t>
      </w:r>
    </w:p>
    <w:p w14:paraId="12EB2BBD">
      <w:pPr>
        <w:adjustRightInd w:val="0"/>
        <w:snapToGrid w:val="0"/>
        <w:spacing w:line="340" w:lineRule="exact"/>
        <w:ind w:firstLine="420" w:firstLineChars="200"/>
        <w:jc w:val="left"/>
        <w:rPr>
          <w:rFonts w:ascii="宋体" w:hAnsi="宋体" w:cs="宋体"/>
          <w:b/>
          <w:bCs/>
          <w:color w:val="auto"/>
          <w:szCs w:val="21"/>
        </w:rPr>
      </w:pPr>
      <w:r>
        <w:rPr>
          <w:rFonts w:hint="eastAsia" w:ascii="宋体" w:hAnsi="宋体" w:cs="宋体"/>
          <w:color w:val="auto"/>
          <w:szCs w:val="21"/>
        </w:rPr>
        <w:t>附件4：</w:t>
      </w:r>
      <w:r>
        <w:rPr>
          <w:rFonts w:hint="eastAsia" w:ascii="宋体" w:hAnsi="宋体" w:cs="宋体"/>
          <w:bCs/>
          <w:color w:val="auto"/>
          <w:szCs w:val="21"/>
        </w:rPr>
        <w:t>采购代理服务费承诺书</w:t>
      </w:r>
    </w:p>
    <w:p w14:paraId="66DA69E5">
      <w:pPr>
        <w:adjustRightInd w:val="0"/>
        <w:snapToGrid w:val="0"/>
        <w:spacing w:line="340" w:lineRule="exact"/>
        <w:jc w:val="left"/>
        <w:rPr>
          <w:rFonts w:ascii="宋体" w:hAnsi="宋体" w:cs="宋体"/>
          <w:b/>
          <w:color w:val="auto"/>
          <w:szCs w:val="21"/>
        </w:rPr>
      </w:pPr>
      <w:r>
        <w:rPr>
          <w:rFonts w:hint="eastAsia" w:ascii="宋体" w:hAnsi="宋体" w:cs="宋体"/>
          <w:b/>
          <w:color w:val="auto"/>
          <w:szCs w:val="21"/>
        </w:rPr>
        <w:t>三、供应商的资格证明材料</w:t>
      </w:r>
    </w:p>
    <w:p w14:paraId="00600D13">
      <w:pPr>
        <w:adjustRightInd w:val="0"/>
        <w:snapToGrid w:val="0"/>
        <w:spacing w:line="340" w:lineRule="exact"/>
        <w:ind w:firstLine="420" w:firstLineChars="200"/>
        <w:jc w:val="left"/>
        <w:rPr>
          <w:rFonts w:ascii="宋体" w:hAnsi="宋体" w:cs="宋体"/>
          <w:color w:val="auto"/>
          <w:szCs w:val="21"/>
        </w:rPr>
      </w:pPr>
      <w:r>
        <w:rPr>
          <w:rFonts w:hint="eastAsia" w:ascii="宋体" w:hAnsi="宋体" w:cs="宋体"/>
          <w:color w:val="auto"/>
          <w:szCs w:val="21"/>
        </w:rPr>
        <w:t>附件5：供应商基本情况表</w:t>
      </w:r>
    </w:p>
    <w:p w14:paraId="7A72B006">
      <w:pPr>
        <w:adjustRightInd w:val="0"/>
        <w:snapToGrid w:val="0"/>
        <w:spacing w:line="340" w:lineRule="exact"/>
        <w:ind w:firstLine="420" w:firstLineChars="200"/>
        <w:jc w:val="left"/>
        <w:rPr>
          <w:rFonts w:ascii="宋体" w:hAnsi="宋体" w:cs="宋体"/>
          <w:color w:val="auto"/>
          <w:szCs w:val="21"/>
        </w:rPr>
      </w:pPr>
      <w:r>
        <w:rPr>
          <w:rFonts w:hint="eastAsia" w:ascii="宋体" w:hAnsi="宋体" w:cs="宋体"/>
          <w:color w:val="auto"/>
          <w:szCs w:val="21"/>
        </w:rPr>
        <w:t>附件5-1：联合体协议</w:t>
      </w:r>
    </w:p>
    <w:p w14:paraId="19D8BFB5">
      <w:pPr>
        <w:adjustRightInd w:val="0"/>
        <w:snapToGrid w:val="0"/>
        <w:spacing w:line="340" w:lineRule="exact"/>
        <w:ind w:firstLine="420" w:firstLineChars="200"/>
        <w:rPr>
          <w:rFonts w:ascii="宋体" w:hAnsi="宋体" w:cs="宋体"/>
          <w:color w:val="auto"/>
          <w:szCs w:val="21"/>
        </w:rPr>
      </w:pPr>
      <w:r>
        <w:rPr>
          <w:rFonts w:hint="eastAsia" w:ascii="宋体" w:hAnsi="宋体" w:cs="宋体"/>
          <w:color w:val="auto"/>
          <w:szCs w:val="21"/>
        </w:rPr>
        <w:t>附件6：供应商资格证明材料</w:t>
      </w:r>
    </w:p>
    <w:p w14:paraId="0DC2DB72">
      <w:pPr>
        <w:pStyle w:val="28"/>
        <w:adjustRightInd w:val="0"/>
        <w:snapToGrid w:val="0"/>
        <w:spacing w:line="340" w:lineRule="exact"/>
        <w:rPr>
          <w:rFonts w:hAnsi="宋体" w:cs="宋体"/>
          <w:b/>
          <w:color w:val="auto"/>
        </w:rPr>
      </w:pPr>
      <w:r>
        <w:rPr>
          <w:rFonts w:hint="eastAsia" w:hAnsi="宋体" w:cs="宋体"/>
          <w:b/>
          <w:color w:val="auto"/>
        </w:rPr>
        <w:t>四、服务方案</w:t>
      </w:r>
    </w:p>
    <w:p w14:paraId="23535AB9">
      <w:pPr>
        <w:adjustRightInd w:val="0"/>
        <w:snapToGrid w:val="0"/>
        <w:spacing w:line="340" w:lineRule="exact"/>
        <w:rPr>
          <w:rFonts w:ascii="宋体" w:hAnsi="宋体" w:cs="宋体"/>
          <w:b/>
          <w:color w:val="auto"/>
        </w:rPr>
      </w:pPr>
      <w:r>
        <w:rPr>
          <w:rFonts w:hint="eastAsia" w:hAnsi="宋体" w:cs="宋体"/>
          <w:b/>
          <w:color w:val="auto"/>
        </w:rPr>
        <w:t>五、</w:t>
      </w:r>
      <w:r>
        <w:rPr>
          <w:rFonts w:hint="eastAsia" w:ascii="宋体" w:hAnsi="宋体" w:cs="宋体"/>
          <w:b/>
          <w:color w:val="auto"/>
        </w:rPr>
        <w:t>技术/商务响应与偏离表</w:t>
      </w:r>
    </w:p>
    <w:p w14:paraId="45404F08">
      <w:pPr>
        <w:adjustRightInd w:val="0"/>
        <w:snapToGrid w:val="0"/>
        <w:spacing w:line="340" w:lineRule="exact"/>
        <w:rPr>
          <w:rFonts w:ascii="宋体" w:hAnsi="宋体" w:cs="宋体"/>
          <w:b/>
          <w:color w:val="auto"/>
        </w:rPr>
      </w:pPr>
      <w:r>
        <w:rPr>
          <w:rFonts w:hint="eastAsia" w:ascii="宋体" w:hAnsi="宋体" w:cs="宋体"/>
          <w:b/>
          <w:color w:val="auto"/>
        </w:rPr>
        <w:t>六、享受政府采购政策优惠的证明资料</w:t>
      </w:r>
    </w:p>
    <w:p w14:paraId="5EB49D1A">
      <w:pPr>
        <w:adjustRightInd w:val="0"/>
        <w:snapToGrid w:val="0"/>
        <w:spacing w:line="340" w:lineRule="exact"/>
        <w:ind w:firstLine="420" w:firstLineChars="200"/>
        <w:rPr>
          <w:rFonts w:ascii="宋体" w:hAnsi="宋体" w:cs="宋体"/>
          <w:bCs/>
          <w:color w:val="auto"/>
        </w:rPr>
      </w:pPr>
      <w:r>
        <w:rPr>
          <w:rFonts w:hint="eastAsia" w:ascii="宋体" w:hAnsi="宋体" w:cs="宋体"/>
          <w:bCs/>
          <w:color w:val="auto"/>
        </w:rPr>
        <w:t>附件7：中小企业声明函</w:t>
      </w:r>
    </w:p>
    <w:p w14:paraId="084DD659">
      <w:pPr>
        <w:adjustRightInd w:val="0"/>
        <w:snapToGrid w:val="0"/>
        <w:spacing w:line="340" w:lineRule="exact"/>
        <w:ind w:firstLine="420" w:firstLineChars="200"/>
        <w:rPr>
          <w:rFonts w:ascii="宋体" w:hAnsi="宋体" w:cs="宋体"/>
          <w:b/>
          <w:color w:val="auto"/>
        </w:rPr>
      </w:pPr>
      <w:r>
        <w:rPr>
          <w:rFonts w:hint="eastAsia" w:ascii="宋体" w:hAnsi="宋体" w:cs="宋体"/>
          <w:bCs/>
          <w:color w:val="auto"/>
        </w:rPr>
        <w:t>附件7-1：残疾人福利性单位声明函</w:t>
      </w:r>
    </w:p>
    <w:p w14:paraId="48525BCC">
      <w:pPr>
        <w:pStyle w:val="28"/>
        <w:adjustRightInd w:val="0"/>
        <w:snapToGrid w:val="0"/>
        <w:spacing w:line="340" w:lineRule="exact"/>
        <w:ind w:firstLine="420" w:firstLineChars="200"/>
        <w:rPr>
          <w:rFonts w:hAnsi="宋体" w:cs="宋体"/>
          <w:bCs/>
          <w:color w:val="auto"/>
        </w:rPr>
      </w:pPr>
      <w:r>
        <w:rPr>
          <w:rFonts w:hint="eastAsia" w:hAnsi="宋体" w:cs="宋体"/>
          <w:bCs/>
          <w:color w:val="auto"/>
        </w:rPr>
        <w:t>附件7-2：监狱企业证明资料</w:t>
      </w:r>
    </w:p>
    <w:p w14:paraId="41E4932E">
      <w:pPr>
        <w:pStyle w:val="28"/>
        <w:adjustRightInd w:val="0"/>
        <w:snapToGrid w:val="0"/>
        <w:spacing w:line="340" w:lineRule="exact"/>
        <w:ind w:firstLine="420" w:firstLineChars="200"/>
        <w:rPr>
          <w:rFonts w:hAnsi="宋体" w:cs="宋体"/>
          <w:bCs/>
          <w:color w:val="auto"/>
        </w:rPr>
      </w:pPr>
      <w:r>
        <w:rPr>
          <w:rFonts w:hint="eastAsia" w:hAnsi="宋体" w:cs="宋体"/>
          <w:bCs/>
          <w:color w:val="auto"/>
        </w:rPr>
        <w:t>附件8：“节能产品”、“环境标志产品”证明材料</w:t>
      </w:r>
    </w:p>
    <w:p w14:paraId="7753B888">
      <w:pPr>
        <w:pStyle w:val="28"/>
        <w:adjustRightInd w:val="0"/>
        <w:snapToGrid w:val="0"/>
        <w:spacing w:line="340" w:lineRule="exact"/>
        <w:rPr>
          <w:rFonts w:hAnsi="宋体" w:cs="宋体"/>
          <w:b/>
          <w:color w:val="auto"/>
        </w:rPr>
      </w:pPr>
      <w:r>
        <w:rPr>
          <w:rFonts w:hint="eastAsia" w:hAnsi="宋体" w:cs="宋体"/>
          <w:b/>
          <w:color w:val="auto"/>
        </w:rPr>
        <w:t>七、报价一览表及报价文件</w:t>
      </w:r>
    </w:p>
    <w:p w14:paraId="7E3FB465">
      <w:pPr>
        <w:adjustRightInd w:val="0"/>
        <w:snapToGrid w:val="0"/>
        <w:spacing w:line="340" w:lineRule="exact"/>
        <w:ind w:firstLine="420" w:firstLineChars="200"/>
        <w:jc w:val="left"/>
        <w:rPr>
          <w:rFonts w:ascii="宋体" w:hAnsi="宋体" w:cs="宋体"/>
          <w:color w:val="auto"/>
          <w:szCs w:val="21"/>
        </w:rPr>
      </w:pPr>
      <w:r>
        <w:rPr>
          <w:rFonts w:hint="eastAsia" w:ascii="宋体" w:hAnsi="宋体" w:cs="宋体"/>
          <w:color w:val="auto"/>
          <w:szCs w:val="21"/>
        </w:rPr>
        <w:t>附件9：</w:t>
      </w:r>
      <w:r>
        <w:rPr>
          <w:rFonts w:hint="eastAsia" w:ascii="宋体" w:hAnsi="宋体" w:cs="宋体"/>
          <w:bCs/>
          <w:color w:val="auto"/>
          <w:szCs w:val="21"/>
        </w:rPr>
        <w:t>报价文件</w:t>
      </w:r>
    </w:p>
    <w:p w14:paraId="431FF269">
      <w:pPr>
        <w:pStyle w:val="28"/>
        <w:adjustRightInd w:val="0"/>
        <w:snapToGrid w:val="0"/>
        <w:spacing w:line="340" w:lineRule="exact"/>
        <w:rPr>
          <w:rFonts w:hAnsi="宋体" w:cs="宋体"/>
          <w:b/>
          <w:color w:val="auto"/>
        </w:rPr>
      </w:pPr>
      <w:r>
        <w:rPr>
          <w:rFonts w:hint="eastAsia" w:hAnsi="宋体" w:cs="宋体"/>
          <w:b/>
          <w:color w:val="auto"/>
        </w:rPr>
        <w:t>八、供应商认为需提供的其它资料</w:t>
      </w:r>
    </w:p>
    <w:p w14:paraId="3435D424">
      <w:pPr>
        <w:pStyle w:val="28"/>
        <w:adjustRightInd w:val="0"/>
        <w:snapToGrid w:val="0"/>
        <w:spacing w:line="340" w:lineRule="exact"/>
        <w:rPr>
          <w:rFonts w:hAnsi="宋体" w:cs="宋体"/>
          <w:b/>
          <w:color w:val="auto"/>
        </w:rPr>
      </w:pPr>
      <w:r>
        <w:rPr>
          <w:rFonts w:hint="eastAsia" w:hAnsi="宋体" w:cs="宋体"/>
          <w:b/>
          <w:color w:val="auto"/>
        </w:rPr>
        <w:t>九、最后报价</w:t>
      </w:r>
    </w:p>
    <w:p w14:paraId="2D6FB63E">
      <w:pPr>
        <w:spacing w:line="360" w:lineRule="exact"/>
        <w:jc w:val="center"/>
        <w:rPr>
          <w:rFonts w:ascii="宋体" w:hAnsi="宋体"/>
          <w:b/>
          <w:color w:val="auto"/>
          <w:sz w:val="32"/>
          <w:szCs w:val="32"/>
        </w:rPr>
      </w:pPr>
    </w:p>
    <w:p w14:paraId="5232100C">
      <w:pPr>
        <w:spacing w:line="360" w:lineRule="exact"/>
        <w:jc w:val="center"/>
        <w:rPr>
          <w:rFonts w:ascii="宋体" w:hAnsi="宋体"/>
          <w:b/>
          <w:color w:val="auto"/>
          <w:sz w:val="32"/>
          <w:szCs w:val="32"/>
        </w:rPr>
      </w:pPr>
    </w:p>
    <w:p w14:paraId="5FEBDBA3">
      <w:pPr>
        <w:rPr>
          <w:rFonts w:ascii="宋体" w:hAnsi="宋体"/>
          <w:b/>
          <w:color w:val="auto"/>
          <w:sz w:val="32"/>
          <w:szCs w:val="32"/>
        </w:rPr>
      </w:pPr>
    </w:p>
    <w:p w14:paraId="6B1DB321">
      <w:pPr>
        <w:rPr>
          <w:color w:val="auto"/>
        </w:rPr>
      </w:pPr>
    </w:p>
    <w:p w14:paraId="5DBE9B30">
      <w:pPr>
        <w:spacing w:line="360" w:lineRule="exact"/>
        <w:jc w:val="center"/>
        <w:rPr>
          <w:rFonts w:ascii="宋体" w:hAnsi="宋体"/>
          <w:b/>
          <w:color w:val="auto"/>
          <w:sz w:val="32"/>
          <w:szCs w:val="32"/>
        </w:rPr>
      </w:pPr>
    </w:p>
    <w:p w14:paraId="0CC7A10A">
      <w:pPr>
        <w:spacing w:line="360" w:lineRule="exact"/>
        <w:jc w:val="center"/>
        <w:rPr>
          <w:rFonts w:ascii="宋体" w:hAnsi="宋体"/>
          <w:b/>
          <w:color w:val="auto"/>
          <w:sz w:val="32"/>
          <w:szCs w:val="32"/>
        </w:rPr>
      </w:pPr>
    </w:p>
    <w:p w14:paraId="55F27FDC">
      <w:pPr>
        <w:rPr>
          <w:color w:val="auto"/>
        </w:rPr>
      </w:pPr>
    </w:p>
    <w:p w14:paraId="088C7037">
      <w:pPr>
        <w:spacing w:line="360" w:lineRule="exact"/>
        <w:jc w:val="center"/>
        <w:rPr>
          <w:rFonts w:ascii="宋体" w:hAnsi="宋体"/>
          <w:b/>
          <w:color w:val="auto"/>
          <w:sz w:val="32"/>
          <w:szCs w:val="32"/>
        </w:rPr>
      </w:pPr>
    </w:p>
    <w:p w14:paraId="49B9BB41">
      <w:pPr>
        <w:spacing w:line="360" w:lineRule="exact"/>
        <w:rPr>
          <w:rFonts w:ascii="宋体" w:hAnsi="宋体"/>
          <w:b/>
          <w:color w:val="auto"/>
          <w:sz w:val="32"/>
          <w:szCs w:val="32"/>
        </w:rPr>
      </w:pPr>
    </w:p>
    <w:p w14:paraId="5D8990C9">
      <w:pPr>
        <w:pStyle w:val="36"/>
        <w:rPr>
          <w:color w:val="auto"/>
        </w:rPr>
      </w:pPr>
    </w:p>
    <w:p w14:paraId="6D07ED5E">
      <w:pPr>
        <w:spacing w:line="360" w:lineRule="exact"/>
        <w:jc w:val="center"/>
        <w:rPr>
          <w:rFonts w:ascii="宋体" w:hAnsi="宋体"/>
          <w:b/>
          <w:color w:val="auto"/>
          <w:sz w:val="32"/>
          <w:szCs w:val="32"/>
        </w:rPr>
      </w:pPr>
    </w:p>
    <w:p w14:paraId="6D2A4701">
      <w:pPr>
        <w:spacing w:line="360" w:lineRule="exact"/>
        <w:jc w:val="center"/>
        <w:rPr>
          <w:rFonts w:ascii="宋体" w:hAnsi="宋体"/>
          <w:b/>
          <w:color w:val="auto"/>
          <w:sz w:val="32"/>
          <w:szCs w:val="32"/>
        </w:rPr>
      </w:pPr>
      <w:bookmarkStart w:id="37" w:name="_Toc14556"/>
      <w:bookmarkStart w:id="38" w:name="_Toc23438"/>
    </w:p>
    <w:p w14:paraId="622E154C">
      <w:pPr>
        <w:spacing w:line="360" w:lineRule="exact"/>
        <w:jc w:val="center"/>
        <w:outlineLvl w:val="1"/>
        <w:rPr>
          <w:rFonts w:ascii="宋体" w:hAnsi="宋体"/>
          <w:b/>
          <w:color w:val="auto"/>
          <w:sz w:val="32"/>
          <w:szCs w:val="32"/>
        </w:rPr>
      </w:pPr>
      <w:bookmarkStart w:id="39" w:name="_Toc14497"/>
      <w:r>
        <w:rPr>
          <w:rFonts w:hint="eastAsia" w:ascii="宋体" w:hAnsi="宋体"/>
          <w:b/>
          <w:color w:val="auto"/>
          <w:sz w:val="32"/>
          <w:szCs w:val="32"/>
        </w:rPr>
        <w:t>一、磋商响应声明</w:t>
      </w:r>
      <w:bookmarkEnd w:id="37"/>
      <w:bookmarkEnd w:id="38"/>
      <w:bookmarkEnd w:id="39"/>
    </w:p>
    <w:p w14:paraId="5556052A">
      <w:pPr>
        <w:adjustRightInd w:val="0"/>
        <w:snapToGrid w:val="0"/>
        <w:spacing w:line="360" w:lineRule="auto"/>
        <w:rPr>
          <w:rFonts w:ascii="宋体" w:hAnsi="宋体"/>
          <w:color w:val="auto"/>
          <w:sz w:val="24"/>
        </w:rPr>
      </w:pPr>
    </w:p>
    <w:p w14:paraId="6D58F539">
      <w:pPr>
        <w:adjustRightInd w:val="0"/>
        <w:snapToGrid w:val="0"/>
        <w:spacing w:line="360" w:lineRule="auto"/>
        <w:rPr>
          <w:rFonts w:ascii="宋体" w:hAnsi="宋体"/>
          <w:color w:val="auto"/>
          <w:szCs w:val="21"/>
        </w:rPr>
      </w:pPr>
      <w:r>
        <w:rPr>
          <w:rFonts w:hint="eastAsia" w:ascii="宋体" w:hAnsi="宋体"/>
          <w:color w:val="auto"/>
          <w:szCs w:val="21"/>
        </w:rPr>
        <w:t>致常德众益项目管理咨询有限公司：</w:t>
      </w:r>
    </w:p>
    <w:p w14:paraId="71C55632">
      <w:pPr>
        <w:adjustRightInd w:val="0"/>
        <w:snapToGrid w:val="0"/>
        <w:spacing w:line="360" w:lineRule="auto"/>
        <w:ind w:firstLine="420" w:firstLineChars="200"/>
        <w:rPr>
          <w:rFonts w:ascii="宋体" w:hAnsi="宋体"/>
          <w:color w:val="auto"/>
          <w:szCs w:val="21"/>
        </w:rPr>
      </w:pPr>
    </w:p>
    <w:p w14:paraId="756614CB">
      <w:pPr>
        <w:adjustRightInd w:val="0"/>
        <w:snapToGrid w:val="0"/>
        <w:spacing w:line="360" w:lineRule="auto"/>
        <w:ind w:firstLine="420" w:firstLineChars="200"/>
        <w:rPr>
          <w:rFonts w:ascii="宋体" w:hAnsi="宋体"/>
          <w:color w:val="auto"/>
          <w:szCs w:val="21"/>
          <w:u w:val="single"/>
        </w:rPr>
      </w:pPr>
      <w:r>
        <w:rPr>
          <w:rFonts w:hint="eastAsia" w:ascii="宋体" w:hAnsi="宋体"/>
          <w:color w:val="auto"/>
          <w:szCs w:val="21"/>
        </w:rPr>
        <w:t>我方已仔细研究了</w:t>
      </w:r>
      <w:r>
        <w:rPr>
          <w:rFonts w:hint="eastAsia" w:ascii="宋体" w:hAnsi="宋体"/>
          <w:color w:val="auto"/>
          <w:szCs w:val="21"/>
          <w:u w:val="single"/>
        </w:rPr>
        <w:t xml:space="preserve">                    (</w:t>
      </w:r>
      <w:r>
        <w:rPr>
          <w:rFonts w:hint="eastAsia" w:ascii="宋体" w:hAnsi="宋体"/>
          <w:color w:val="auto"/>
          <w:szCs w:val="21"/>
        </w:rPr>
        <w:t>项目名称)的竞争性磋商文件（</w:t>
      </w:r>
      <w:r>
        <w:rPr>
          <w:rFonts w:hint="eastAsia" w:ascii="宋体" w:hAnsi="宋体"/>
          <w:color w:val="auto"/>
          <w:szCs w:val="21"/>
          <w:lang w:eastAsia="zh-CN"/>
        </w:rPr>
        <w:t>政府采购编号</w:t>
      </w:r>
      <w:r>
        <w:rPr>
          <w:rFonts w:hint="eastAsia" w:ascii="宋体" w:hAnsi="宋体"/>
          <w:color w:val="auto"/>
          <w:szCs w:val="21"/>
        </w:rPr>
        <w:t xml:space="preserve">： </w:t>
      </w:r>
      <w:r>
        <w:rPr>
          <w:rFonts w:hint="eastAsia" w:ascii="宋体" w:hAnsi="宋体"/>
          <w:color w:val="auto"/>
          <w:szCs w:val="21"/>
          <w:u w:val="single"/>
        </w:rPr>
        <w:t xml:space="preserve">       </w:t>
      </w:r>
      <w:r>
        <w:rPr>
          <w:rFonts w:hint="eastAsia" w:ascii="宋体" w:hAnsi="宋体"/>
          <w:color w:val="auto"/>
          <w:szCs w:val="21"/>
        </w:rPr>
        <w:t xml:space="preserve"> ；委托代理编号</w:t>
      </w:r>
      <w:r>
        <w:rPr>
          <w:rFonts w:hint="eastAsia" w:ascii="宋体" w:hAnsi="宋体"/>
          <w:color w:val="auto"/>
          <w:szCs w:val="21"/>
          <w:u w:val="single"/>
        </w:rPr>
        <w:t xml:space="preserve">           </w:t>
      </w:r>
      <w:r>
        <w:rPr>
          <w:rFonts w:hint="eastAsia" w:ascii="宋体" w:hAnsi="宋体"/>
          <w:color w:val="auto"/>
          <w:szCs w:val="21"/>
        </w:rPr>
        <w:t>）的全部内容，</w:t>
      </w:r>
      <w:r>
        <w:rPr>
          <w:rFonts w:hint="eastAsia" w:ascii="宋体" w:hAnsi="宋体"/>
          <w:color w:val="auto"/>
        </w:rPr>
        <w:t>知悉参加竞争性磋商采购活动的风险，我方承诺接受磋商文件的全部条款且无任何异议。</w:t>
      </w:r>
    </w:p>
    <w:p w14:paraId="590FF5DA">
      <w:pPr>
        <w:pStyle w:val="28"/>
        <w:adjustRightInd w:val="0"/>
        <w:snapToGrid w:val="0"/>
        <w:spacing w:line="360" w:lineRule="auto"/>
        <w:ind w:firstLine="420" w:firstLineChars="200"/>
        <w:rPr>
          <w:rFonts w:hAnsi="宋体"/>
          <w:color w:val="auto"/>
        </w:rPr>
      </w:pPr>
      <w:r>
        <w:rPr>
          <w:rFonts w:hint="eastAsia" w:hAnsi="宋体"/>
          <w:color w:val="auto"/>
        </w:rPr>
        <w:t>一、我方同意在磋商文件中规定的提交首次响应文件截止时间起</w:t>
      </w:r>
      <w:r>
        <w:rPr>
          <w:rFonts w:hint="eastAsia" w:hAnsi="宋体"/>
          <w:color w:val="auto"/>
          <w:u w:val="single"/>
        </w:rPr>
        <w:t xml:space="preserve">    </w:t>
      </w:r>
      <w:r>
        <w:rPr>
          <w:rFonts w:hint="eastAsia" w:hAnsi="宋体"/>
          <w:color w:val="auto"/>
        </w:rPr>
        <w:t>日内(响应文件有效期)遵守本响应文件中的承诺且在此期限期满之前均具有法律约束力。</w:t>
      </w:r>
    </w:p>
    <w:p w14:paraId="41774070">
      <w:pPr>
        <w:pStyle w:val="28"/>
        <w:adjustRightInd w:val="0"/>
        <w:snapToGrid w:val="0"/>
        <w:spacing w:line="360" w:lineRule="auto"/>
        <w:ind w:firstLine="420" w:firstLineChars="200"/>
        <w:rPr>
          <w:rFonts w:hAnsi="宋体"/>
          <w:bCs/>
          <w:color w:val="auto"/>
        </w:rPr>
      </w:pPr>
      <w:r>
        <w:rPr>
          <w:rFonts w:hint="eastAsia" w:hAnsi="宋体"/>
          <w:color w:val="auto"/>
        </w:rPr>
        <w:t>二、我方提交响应文件正本</w:t>
      </w:r>
      <w:r>
        <w:rPr>
          <w:rFonts w:hint="eastAsia" w:hAnsi="宋体"/>
          <w:color w:val="auto"/>
          <w:u w:val="single"/>
        </w:rPr>
        <w:t xml:space="preserve">      </w:t>
      </w:r>
      <w:r>
        <w:rPr>
          <w:rFonts w:hint="eastAsia" w:hAnsi="宋体"/>
          <w:color w:val="auto"/>
        </w:rPr>
        <w:t>份和副本</w:t>
      </w:r>
      <w:r>
        <w:rPr>
          <w:rFonts w:hint="eastAsia" w:hAnsi="宋体"/>
          <w:color w:val="auto"/>
          <w:u w:val="single"/>
        </w:rPr>
        <w:t xml:space="preserve">      </w:t>
      </w:r>
      <w:r>
        <w:rPr>
          <w:rFonts w:hint="eastAsia" w:hAnsi="宋体"/>
          <w:color w:val="auto"/>
        </w:rPr>
        <w:t>份，电子文件</w:t>
      </w:r>
      <w:r>
        <w:rPr>
          <w:rFonts w:hint="eastAsia" w:hAnsi="宋体"/>
          <w:color w:val="auto"/>
          <w:u w:val="single"/>
        </w:rPr>
        <w:t xml:space="preserve">      </w:t>
      </w:r>
      <w:r>
        <w:rPr>
          <w:rFonts w:hint="eastAsia" w:hAnsi="宋体"/>
          <w:color w:val="auto"/>
        </w:rPr>
        <w:t>份，并保证响应文件提供的数据和材料是真实、准确的。否则，愿承担《政府采购法》</w:t>
      </w:r>
      <w:r>
        <w:rPr>
          <w:rFonts w:hint="eastAsia" w:hAnsi="宋体"/>
          <w:bCs/>
          <w:color w:val="auto"/>
        </w:rPr>
        <w:t>第七十七条规定的法律责任。</w:t>
      </w:r>
    </w:p>
    <w:p w14:paraId="5F92EE2B">
      <w:pPr>
        <w:pStyle w:val="28"/>
        <w:adjustRightInd w:val="0"/>
        <w:snapToGrid w:val="0"/>
        <w:spacing w:line="360" w:lineRule="auto"/>
        <w:ind w:firstLine="420" w:firstLineChars="200"/>
        <w:rPr>
          <w:rFonts w:hAnsi="宋体"/>
          <w:color w:val="auto"/>
        </w:rPr>
      </w:pPr>
      <w:r>
        <w:rPr>
          <w:rFonts w:hint="eastAsia" w:hAnsi="宋体"/>
          <w:color w:val="auto"/>
        </w:rPr>
        <w:t>三、我方愿意向贵方提供任何与本项采购有关的数据、情况和技术资料。若贵方需要，我方愿意提供我方作出的一切承诺的证明材料。</w:t>
      </w:r>
    </w:p>
    <w:p w14:paraId="0E34B7BB">
      <w:pPr>
        <w:pStyle w:val="28"/>
        <w:adjustRightInd w:val="0"/>
        <w:snapToGrid w:val="0"/>
        <w:spacing w:line="360" w:lineRule="auto"/>
        <w:ind w:firstLine="420" w:firstLineChars="200"/>
        <w:rPr>
          <w:rFonts w:hAnsi="宋体"/>
          <w:color w:val="auto"/>
        </w:rPr>
      </w:pPr>
      <w:r>
        <w:rPr>
          <w:rFonts w:hint="eastAsia" w:hAnsi="宋体"/>
          <w:color w:val="auto"/>
        </w:rPr>
        <w:t>四、我方愿意按磋商文件规定和磋商小组要求重新提交响应文件和最后报价。</w:t>
      </w:r>
    </w:p>
    <w:p w14:paraId="5700318F">
      <w:pPr>
        <w:pStyle w:val="28"/>
        <w:adjustRightInd w:val="0"/>
        <w:snapToGrid w:val="0"/>
        <w:spacing w:line="360" w:lineRule="auto"/>
        <w:ind w:firstLine="420" w:firstLineChars="200"/>
        <w:rPr>
          <w:rFonts w:hAnsi="宋体"/>
          <w:color w:val="auto"/>
        </w:rPr>
      </w:pPr>
      <w:r>
        <w:rPr>
          <w:rFonts w:hint="eastAsia" w:hAnsi="宋体"/>
          <w:color w:val="auto"/>
        </w:rPr>
        <w:t>五、我方承诺遵守《中华人民共和国政府采购法》的有关规定，保证在获得成交资格后，按照磋商文件确定的事项签订政府采购合同，履行双方所签订的合同，并承担合同规定的责任和义务。</w:t>
      </w:r>
    </w:p>
    <w:p w14:paraId="282E7A05">
      <w:pPr>
        <w:pStyle w:val="28"/>
        <w:adjustRightInd w:val="0"/>
        <w:snapToGrid w:val="0"/>
        <w:spacing w:line="360" w:lineRule="auto"/>
        <w:ind w:firstLine="420" w:firstLineChars="200"/>
        <w:rPr>
          <w:rFonts w:hAnsi="宋体"/>
          <w:color w:val="auto"/>
        </w:rPr>
      </w:pPr>
    </w:p>
    <w:p w14:paraId="126D9850">
      <w:pPr>
        <w:adjustRightInd w:val="0"/>
        <w:snapToGrid w:val="0"/>
        <w:spacing w:line="360" w:lineRule="auto"/>
        <w:ind w:right="24"/>
        <w:rPr>
          <w:rFonts w:ascii="宋体" w:hAnsi="宋体"/>
          <w:bCs/>
          <w:color w:val="auto"/>
          <w:szCs w:val="21"/>
        </w:rPr>
      </w:pPr>
    </w:p>
    <w:p w14:paraId="6252562A">
      <w:pPr>
        <w:adjustRightInd w:val="0"/>
        <w:snapToGrid w:val="0"/>
        <w:spacing w:line="360" w:lineRule="auto"/>
        <w:ind w:right="24"/>
        <w:rPr>
          <w:rFonts w:ascii="宋体" w:hAnsi="宋体"/>
          <w:bCs/>
          <w:color w:val="auto"/>
          <w:szCs w:val="21"/>
        </w:rPr>
      </w:pPr>
    </w:p>
    <w:p w14:paraId="2CB88787">
      <w:pPr>
        <w:adjustRightInd w:val="0"/>
        <w:snapToGrid w:val="0"/>
        <w:spacing w:line="360" w:lineRule="auto"/>
        <w:ind w:right="24"/>
        <w:rPr>
          <w:rFonts w:ascii="宋体" w:hAnsi="宋体"/>
          <w:bCs/>
          <w:color w:val="auto"/>
          <w:szCs w:val="21"/>
        </w:rPr>
      </w:pPr>
      <w:r>
        <w:rPr>
          <w:rFonts w:hint="eastAsia" w:ascii="宋体" w:hAnsi="宋体"/>
          <w:bCs/>
          <w:color w:val="auto"/>
          <w:szCs w:val="21"/>
        </w:rPr>
        <w:t>附件1：承诺函</w:t>
      </w:r>
    </w:p>
    <w:p w14:paraId="766AD743">
      <w:pPr>
        <w:adjustRightInd w:val="0"/>
        <w:snapToGrid w:val="0"/>
        <w:spacing w:line="360" w:lineRule="auto"/>
        <w:ind w:right="24"/>
        <w:rPr>
          <w:rFonts w:ascii="宋体" w:hAnsi="宋体"/>
          <w:color w:val="auto"/>
          <w:szCs w:val="21"/>
        </w:rPr>
      </w:pPr>
      <w:r>
        <w:rPr>
          <w:rFonts w:hint="eastAsia" w:ascii="宋体" w:hAnsi="宋体"/>
          <w:bCs/>
          <w:color w:val="auto"/>
          <w:szCs w:val="21"/>
        </w:rPr>
        <w:t>附件2：</w:t>
      </w:r>
      <w:r>
        <w:rPr>
          <w:rFonts w:hint="eastAsia" w:ascii="宋体" w:hAnsi="宋体"/>
          <w:color w:val="auto"/>
          <w:szCs w:val="21"/>
        </w:rPr>
        <w:t>法定代表人身份证明(法定代表人参加磋商)</w:t>
      </w:r>
    </w:p>
    <w:p w14:paraId="66A5C1D0">
      <w:pPr>
        <w:adjustRightInd w:val="0"/>
        <w:snapToGrid w:val="0"/>
        <w:spacing w:line="360" w:lineRule="auto"/>
        <w:ind w:right="24"/>
        <w:rPr>
          <w:rFonts w:ascii="宋体" w:hAnsi="宋体"/>
          <w:color w:val="auto"/>
          <w:szCs w:val="21"/>
        </w:rPr>
      </w:pPr>
      <w:r>
        <w:rPr>
          <w:rFonts w:hint="eastAsia" w:ascii="宋体" w:hAnsi="宋体"/>
          <w:bCs/>
          <w:color w:val="auto"/>
          <w:szCs w:val="21"/>
        </w:rPr>
        <w:t>附件3</w:t>
      </w:r>
      <w:r>
        <w:rPr>
          <w:rFonts w:hint="eastAsia" w:ascii="宋体" w:hAnsi="宋体"/>
          <w:color w:val="auto"/>
          <w:szCs w:val="21"/>
        </w:rPr>
        <w:t>：法定代表人授权书(委托代理人参加磋商)</w:t>
      </w:r>
    </w:p>
    <w:p w14:paraId="107A65B2">
      <w:pPr>
        <w:pStyle w:val="28"/>
        <w:adjustRightInd w:val="0"/>
        <w:snapToGrid w:val="0"/>
        <w:spacing w:line="360" w:lineRule="auto"/>
        <w:rPr>
          <w:rFonts w:hAnsi="宋体"/>
          <w:color w:val="auto"/>
        </w:rPr>
      </w:pPr>
    </w:p>
    <w:p w14:paraId="3F7EE8BE">
      <w:pPr>
        <w:pStyle w:val="28"/>
        <w:adjustRightInd w:val="0"/>
        <w:snapToGrid w:val="0"/>
        <w:spacing w:line="360" w:lineRule="auto"/>
        <w:rPr>
          <w:rFonts w:hAnsi="宋体"/>
          <w:color w:val="auto"/>
        </w:rPr>
      </w:pPr>
    </w:p>
    <w:p w14:paraId="6C46B2AF">
      <w:pPr>
        <w:pStyle w:val="28"/>
        <w:adjustRightInd w:val="0"/>
        <w:snapToGrid w:val="0"/>
        <w:spacing w:line="360" w:lineRule="auto"/>
        <w:rPr>
          <w:rFonts w:hAnsi="宋体"/>
          <w:color w:val="auto"/>
        </w:rPr>
      </w:pPr>
    </w:p>
    <w:p w14:paraId="623FC0CF">
      <w:pPr>
        <w:pStyle w:val="28"/>
        <w:adjustRightInd w:val="0"/>
        <w:snapToGrid w:val="0"/>
        <w:spacing w:line="360" w:lineRule="auto"/>
        <w:rPr>
          <w:rFonts w:hAnsi="宋体"/>
          <w:color w:val="auto"/>
        </w:rPr>
      </w:pPr>
      <w:r>
        <w:rPr>
          <w:rFonts w:hint="eastAsia" w:hAnsi="宋体"/>
          <w:color w:val="auto"/>
        </w:rPr>
        <w:t>供应商名称(盖单位章)：</w:t>
      </w:r>
    </w:p>
    <w:p w14:paraId="17BA7426">
      <w:pPr>
        <w:adjustRightInd w:val="0"/>
        <w:snapToGrid w:val="0"/>
        <w:spacing w:line="360" w:lineRule="auto"/>
        <w:rPr>
          <w:rFonts w:ascii="宋体" w:hAnsi="宋体"/>
          <w:color w:val="auto"/>
          <w:szCs w:val="21"/>
        </w:rPr>
      </w:pPr>
      <w:r>
        <w:rPr>
          <w:rFonts w:hint="eastAsia" w:ascii="宋体" w:hAnsi="宋体"/>
          <w:color w:val="auto"/>
          <w:szCs w:val="21"/>
        </w:rPr>
        <w:t>法定代表人或其委托代理人 (签字)：</w:t>
      </w:r>
      <w:r>
        <w:rPr>
          <w:rFonts w:hint="eastAsia" w:ascii="宋体" w:hAnsi="宋体"/>
          <w:color w:val="auto"/>
          <w:szCs w:val="21"/>
          <w:u w:val="single"/>
        </w:rPr>
        <w:t xml:space="preserve">            </w:t>
      </w:r>
    </w:p>
    <w:p w14:paraId="7A1BFC2A">
      <w:pPr>
        <w:adjustRightInd w:val="0"/>
        <w:snapToGrid w:val="0"/>
        <w:spacing w:line="360" w:lineRule="auto"/>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67830316">
      <w:pPr>
        <w:rPr>
          <w:color w:val="auto"/>
        </w:rPr>
      </w:pPr>
    </w:p>
    <w:p w14:paraId="1FEE9E5E">
      <w:pPr>
        <w:rPr>
          <w:color w:val="auto"/>
        </w:rPr>
      </w:pPr>
    </w:p>
    <w:p w14:paraId="45252916">
      <w:pPr>
        <w:rPr>
          <w:color w:val="auto"/>
        </w:rPr>
      </w:pPr>
    </w:p>
    <w:p w14:paraId="6E220E16">
      <w:pPr>
        <w:rPr>
          <w:color w:val="auto"/>
        </w:rPr>
      </w:pPr>
    </w:p>
    <w:p w14:paraId="581E05E6">
      <w:pPr>
        <w:adjustRightInd w:val="0"/>
        <w:snapToGrid w:val="0"/>
        <w:spacing w:line="360" w:lineRule="auto"/>
        <w:ind w:right="24"/>
        <w:rPr>
          <w:rFonts w:ascii="宋体" w:hAnsi="宋体"/>
          <w:b/>
          <w:bCs/>
          <w:color w:val="auto"/>
          <w:sz w:val="24"/>
        </w:rPr>
      </w:pPr>
    </w:p>
    <w:p w14:paraId="52A729ED">
      <w:pPr>
        <w:adjustRightInd w:val="0"/>
        <w:snapToGrid w:val="0"/>
        <w:spacing w:line="360" w:lineRule="auto"/>
        <w:ind w:right="24"/>
        <w:rPr>
          <w:rFonts w:ascii="宋体" w:hAnsi="宋体"/>
          <w:b/>
          <w:bCs/>
          <w:color w:val="auto"/>
          <w:sz w:val="24"/>
        </w:rPr>
      </w:pPr>
      <w:r>
        <w:rPr>
          <w:rFonts w:hint="eastAsia" w:ascii="宋体" w:hAnsi="宋体"/>
          <w:b/>
          <w:bCs/>
          <w:color w:val="auto"/>
          <w:sz w:val="24"/>
        </w:rPr>
        <w:t>附件1</w:t>
      </w:r>
    </w:p>
    <w:p w14:paraId="03F7535E">
      <w:pPr>
        <w:adjustRightInd w:val="0"/>
        <w:snapToGrid w:val="0"/>
        <w:spacing w:line="360" w:lineRule="auto"/>
        <w:jc w:val="center"/>
        <w:rPr>
          <w:rFonts w:ascii="宋体" w:hAnsi="宋体"/>
          <w:b/>
          <w:color w:val="auto"/>
          <w:sz w:val="24"/>
        </w:rPr>
      </w:pPr>
      <w:bookmarkStart w:id="40" w:name="_Toc27798"/>
      <w:bookmarkStart w:id="41" w:name="_Toc29244"/>
      <w:bookmarkStart w:id="42" w:name="_Toc9869"/>
      <w:r>
        <w:rPr>
          <w:rFonts w:hint="eastAsia" w:ascii="宋体" w:hAnsi="宋体"/>
          <w:b/>
          <w:color w:val="auto"/>
          <w:sz w:val="24"/>
        </w:rPr>
        <w:t>承诺函</w:t>
      </w:r>
      <w:bookmarkEnd w:id="40"/>
      <w:bookmarkEnd w:id="41"/>
      <w:bookmarkEnd w:id="42"/>
    </w:p>
    <w:p w14:paraId="5836375C">
      <w:pPr>
        <w:adjustRightInd w:val="0"/>
        <w:snapToGrid w:val="0"/>
        <w:spacing w:line="360" w:lineRule="auto"/>
        <w:ind w:firstLine="413" w:firstLineChars="197"/>
        <w:rPr>
          <w:rFonts w:ascii="宋体" w:hAnsi="宋体"/>
          <w:color w:val="auto"/>
          <w:szCs w:val="21"/>
        </w:rPr>
      </w:pPr>
    </w:p>
    <w:p w14:paraId="58A346E9">
      <w:pPr>
        <w:widowControl/>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我们，</w:t>
      </w:r>
      <w:r>
        <w:rPr>
          <w:rFonts w:hint="eastAsia" w:ascii="宋体" w:hAnsi="宋体"/>
          <w:color w:val="auto"/>
          <w:szCs w:val="21"/>
          <w:u w:val="single"/>
        </w:rPr>
        <w:t xml:space="preserve">                 </w:t>
      </w:r>
      <w:r>
        <w:rPr>
          <w:rFonts w:hint="eastAsia" w:ascii="宋体" w:hAnsi="宋体"/>
          <w:color w:val="auto"/>
          <w:szCs w:val="21"/>
        </w:rPr>
        <w:t>（供应商名称）已认真阅读</w:t>
      </w:r>
      <w:r>
        <w:rPr>
          <w:rFonts w:hint="eastAsia" w:ascii="宋体" w:hAnsi="宋体" w:cs="宋体"/>
          <w:color w:val="auto"/>
          <w:kern w:val="0"/>
          <w:szCs w:val="21"/>
        </w:rPr>
        <w:t>《中华人民共和国政府采购法》及《</w:t>
      </w:r>
      <w:r>
        <w:rPr>
          <w:rFonts w:hint="eastAsia" w:ascii="宋体" w:hAnsi="宋体"/>
          <w:color w:val="auto"/>
          <w:szCs w:val="21"/>
        </w:rPr>
        <w:t>竞争性磋商文件</w:t>
      </w:r>
      <w:r>
        <w:rPr>
          <w:rFonts w:hint="eastAsia" w:ascii="宋体" w:hAnsi="宋体" w:cs="宋体"/>
          <w:color w:val="auto"/>
          <w:kern w:val="0"/>
          <w:szCs w:val="21"/>
        </w:rPr>
        <w:t>》[</w:t>
      </w:r>
      <w:r>
        <w:rPr>
          <w:rFonts w:hint="eastAsia" w:ascii="宋体" w:hAnsi="宋体"/>
          <w:color w:val="auto"/>
          <w:szCs w:val="21"/>
          <w:u w:val="single"/>
        </w:rPr>
        <w:t xml:space="preserve">                        </w:t>
      </w:r>
      <w:r>
        <w:rPr>
          <w:rFonts w:hint="eastAsia" w:ascii="宋体" w:hAnsi="宋体"/>
          <w:color w:val="auto"/>
          <w:szCs w:val="21"/>
        </w:rPr>
        <w:t>（项目名称），</w:t>
      </w:r>
      <w:r>
        <w:rPr>
          <w:rFonts w:hint="eastAsia" w:ascii="宋体" w:hAnsi="宋体"/>
          <w:color w:val="auto"/>
          <w:szCs w:val="21"/>
          <w:lang w:eastAsia="zh-CN"/>
        </w:rPr>
        <w:t>政府采购编号</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 xml:space="preserve"> ，委托代理编号：</w:t>
      </w:r>
      <w:r>
        <w:rPr>
          <w:rFonts w:hint="eastAsia" w:ascii="宋体" w:hAnsi="宋体"/>
          <w:color w:val="auto"/>
          <w:szCs w:val="21"/>
          <w:u w:val="single"/>
        </w:rPr>
        <w:t xml:space="preserve">            </w:t>
      </w:r>
      <w:r>
        <w:rPr>
          <w:rFonts w:hint="eastAsia" w:ascii="宋体" w:hAnsi="宋体"/>
          <w:color w:val="auto"/>
          <w:szCs w:val="21"/>
        </w:rPr>
        <w:t>]相关内容，知悉供应商参加政府采购活动应当具备的条件。此次按《竞争性磋商文件》要求提交的供应商资格证明材料及其它相关证明材料，已经认真核对和检查，全部内容真实、合法、准确和完整，我们对此负责，并愿承担由此引起的法律责任。</w:t>
      </w:r>
    </w:p>
    <w:p w14:paraId="258B7B8D">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 xml:space="preserve">一、我方在此声明： </w:t>
      </w:r>
    </w:p>
    <w:p w14:paraId="50F3EEBE">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（一）我方与采购人或采购代理机构不存在</w:t>
      </w:r>
      <w:r>
        <w:rPr>
          <w:rFonts w:hint="eastAsia" w:ascii="宋体" w:hAnsi="宋体"/>
          <w:bCs/>
          <w:color w:val="auto"/>
          <w:szCs w:val="21"/>
        </w:rPr>
        <w:t>隶属关系或者其他利害关系</w:t>
      </w:r>
      <w:r>
        <w:rPr>
          <w:rFonts w:hint="eastAsia" w:ascii="宋体" w:hAnsi="宋体"/>
          <w:color w:val="auto"/>
          <w:szCs w:val="21"/>
        </w:rPr>
        <w:t>。</w:t>
      </w:r>
    </w:p>
    <w:p w14:paraId="590B8BF8">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（二）我方与参加本项目的其他供应商不存在控股、关联关系，或者与其他供应商法定代表人（或者负责人）为同一人。</w:t>
      </w:r>
    </w:p>
    <w:p w14:paraId="543BDEAD">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（三）我方未为本项目前期准备提供设计或咨询服务。</w:t>
      </w:r>
    </w:p>
    <w:p w14:paraId="45C16FC7">
      <w:pPr>
        <w:pStyle w:val="28"/>
        <w:adjustRightInd w:val="0"/>
        <w:snapToGrid w:val="0"/>
        <w:spacing w:line="360" w:lineRule="auto"/>
        <w:ind w:firstLine="420" w:firstLineChars="200"/>
        <w:rPr>
          <w:rFonts w:hAnsi="宋体"/>
          <w:color w:val="auto"/>
        </w:rPr>
      </w:pPr>
      <w:r>
        <w:rPr>
          <w:rFonts w:hint="eastAsia" w:hAnsi="宋体"/>
          <w:color w:val="auto"/>
        </w:rPr>
        <w:t>二、我方承诺（承诺期：成立三年以上的，为提交首次响应文件截止时间前三年内；成立不足三年的，为实际时间）：</w:t>
      </w:r>
    </w:p>
    <w:p w14:paraId="4B4F149C">
      <w:pPr>
        <w:adjustRightInd w:val="0"/>
        <w:snapToGrid w:val="0"/>
        <w:spacing w:line="360" w:lineRule="auto"/>
        <w:ind w:left="1" w:firstLine="420" w:firstLineChars="200"/>
        <w:rPr>
          <w:rFonts w:ascii="宋体" w:hAnsi="宋体"/>
          <w:color w:val="auto"/>
          <w:szCs w:val="21"/>
        </w:rPr>
      </w:pPr>
      <w:r>
        <w:rPr>
          <w:rFonts w:hint="eastAsia" w:ascii="宋体" w:hAnsi="宋体"/>
          <w:bCs/>
          <w:color w:val="auto"/>
          <w:szCs w:val="21"/>
        </w:rPr>
        <w:t>（一）我方</w:t>
      </w:r>
      <w:r>
        <w:rPr>
          <w:rFonts w:hint="eastAsia" w:ascii="宋体" w:hAnsi="宋体"/>
          <w:color w:val="auto"/>
          <w:szCs w:val="21"/>
        </w:rPr>
        <w:t>依法缴纳了各项税费及各项社会保障资金，没有偷税、漏税及欠缴行为。</w:t>
      </w:r>
    </w:p>
    <w:p w14:paraId="3F7F0889">
      <w:pPr>
        <w:adjustRightInd w:val="0"/>
        <w:snapToGrid w:val="0"/>
        <w:spacing w:line="360" w:lineRule="auto"/>
        <w:ind w:firstLine="420" w:firstLineChars="200"/>
        <w:rPr>
          <w:rFonts w:ascii="宋体" w:hAnsi="宋体"/>
          <w:bCs/>
          <w:color w:val="auto"/>
          <w:szCs w:val="21"/>
        </w:rPr>
      </w:pPr>
      <w:r>
        <w:rPr>
          <w:rFonts w:hint="eastAsia" w:ascii="宋体" w:hAnsi="宋体"/>
          <w:bCs/>
          <w:color w:val="auto"/>
          <w:szCs w:val="21"/>
        </w:rPr>
        <w:t>（二）我方在经营活动中没有存在下列重大违法记录：</w:t>
      </w:r>
    </w:p>
    <w:p w14:paraId="5A523057">
      <w:pPr>
        <w:adjustRightInd w:val="0"/>
        <w:snapToGrid w:val="0"/>
        <w:spacing w:line="360" w:lineRule="auto"/>
        <w:ind w:firstLine="420" w:firstLineChars="200"/>
        <w:rPr>
          <w:rFonts w:ascii="宋体" w:hAnsi="宋体"/>
          <w:bCs/>
          <w:color w:val="auto"/>
          <w:szCs w:val="21"/>
        </w:rPr>
      </w:pPr>
      <w:r>
        <w:rPr>
          <w:rFonts w:hint="eastAsia" w:ascii="宋体" w:hAnsi="宋体"/>
          <w:bCs/>
          <w:color w:val="auto"/>
          <w:szCs w:val="21"/>
        </w:rPr>
        <w:t>1、受到刑事处罚；</w:t>
      </w:r>
    </w:p>
    <w:p w14:paraId="4A810E96">
      <w:pPr>
        <w:adjustRightInd w:val="0"/>
        <w:snapToGrid w:val="0"/>
        <w:spacing w:line="360" w:lineRule="auto"/>
        <w:ind w:firstLine="420" w:firstLineChars="200"/>
        <w:rPr>
          <w:rFonts w:ascii="宋体" w:hAnsi="宋体"/>
          <w:bCs/>
          <w:color w:val="auto"/>
          <w:szCs w:val="21"/>
        </w:rPr>
      </w:pPr>
      <w:r>
        <w:rPr>
          <w:rFonts w:hint="eastAsia" w:ascii="宋体" w:hAnsi="宋体"/>
          <w:bCs/>
          <w:color w:val="auto"/>
          <w:szCs w:val="21"/>
        </w:rPr>
        <w:t>2、受到责令停产停业、在一至三年内禁止参加政府采购活动、暂扣或者吊销许可证、暂扣或者吊销执照、较大数额罚款的行政处罚。</w:t>
      </w:r>
    </w:p>
    <w:p w14:paraId="11F8EE8D">
      <w:pPr>
        <w:adjustRightInd w:val="0"/>
        <w:snapToGrid w:val="0"/>
        <w:spacing w:line="360" w:lineRule="auto"/>
        <w:ind w:firstLine="420" w:firstLineChars="200"/>
        <w:rPr>
          <w:rFonts w:ascii="宋体" w:hAnsi="宋体"/>
          <w:bCs/>
          <w:color w:val="auto"/>
          <w:szCs w:val="21"/>
        </w:rPr>
      </w:pPr>
    </w:p>
    <w:p w14:paraId="5021644C">
      <w:pPr>
        <w:spacing w:line="400" w:lineRule="exact"/>
        <w:ind w:firstLine="3502" w:firstLineChars="1668"/>
        <w:rPr>
          <w:rFonts w:ascii="宋体" w:hAnsi="宋体"/>
          <w:color w:val="auto"/>
          <w:szCs w:val="21"/>
          <w:u w:val="single"/>
        </w:rPr>
      </w:pPr>
      <w:r>
        <w:rPr>
          <w:rFonts w:hint="eastAsia" w:ascii="宋体" w:hAnsi="宋体"/>
          <w:color w:val="auto"/>
          <w:szCs w:val="21"/>
        </w:rPr>
        <w:t>供应商名称（盖单位章）：</w:t>
      </w:r>
      <w:r>
        <w:rPr>
          <w:rFonts w:hint="eastAsia" w:ascii="宋体" w:hAnsi="宋体"/>
          <w:color w:val="auto"/>
          <w:szCs w:val="21"/>
          <w:u w:val="single"/>
        </w:rPr>
        <w:t xml:space="preserve">                 </w:t>
      </w:r>
    </w:p>
    <w:p w14:paraId="1D4BC330">
      <w:pPr>
        <w:spacing w:line="400" w:lineRule="exact"/>
        <w:ind w:firstLine="3502" w:firstLineChars="1668"/>
        <w:rPr>
          <w:rFonts w:ascii="宋体" w:hAnsi="宋体"/>
          <w:color w:val="auto"/>
          <w:szCs w:val="21"/>
          <w:u w:val="single"/>
        </w:rPr>
      </w:pPr>
      <w:r>
        <w:rPr>
          <w:rFonts w:hint="eastAsia" w:ascii="宋体" w:hAnsi="宋体"/>
          <w:color w:val="auto"/>
          <w:szCs w:val="21"/>
        </w:rPr>
        <w:t>法定代表人（签名）：</w:t>
      </w:r>
      <w:r>
        <w:rPr>
          <w:rFonts w:hint="eastAsia" w:ascii="宋体" w:hAnsi="宋体"/>
          <w:color w:val="auto"/>
          <w:szCs w:val="21"/>
          <w:u w:val="single"/>
        </w:rPr>
        <w:t xml:space="preserve">                </w:t>
      </w:r>
    </w:p>
    <w:p w14:paraId="6F19BF41">
      <w:pPr>
        <w:spacing w:line="400" w:lineRule="exact"/>
        <w:ind w:firstLine="3502" w:firstLineChars="1668"/>
        <w:rPr>
          <w:rFonts w:ascii="宋体" w:hAnsi="宋体"/>
          <w:color w:val="auto"/>
          <w:szCs w:val="21"/>
        </w:rPr>
      </w:pPr>
      <w:r>
        <w:rPr>
          <w:rFonts w:hint="eastAsia" w:ascii="宋体" w:hAnsi="宋体"/>
          <w:color w:val="auto"/>
          <w:szCs w:val="21"/>
        </w:rPr>
        <w:t xml:space="preserve">日    期：      </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77147501">
      <w:pPr>
        <w:adjustRightInd w:val="0"/>
        <w:snapToGrid w:val="0"/>
        <w:spacing w:line="360" w:lineRule="auto"/>
        <w:ind w:right="24"/>
        <w:rPr>
          <w:rFonts w:ascii="宋体" w:hAnsi="宋体"/>
          <w:bCs/>
          <w:color w:val="auto"/>
          <w:sz w:val="32"/>
          <w:szCs w:val="32"/>
        </w:rPr>
      </w:pPr>
    </w:p>
    <w:p w14:paraId="5AC3244F">
      <w:pPr>
        <w:adjustRightInd w:val="0"/>
        <w:snapToGrid w:val="0"/>
        <w:spacing w:line="360" w:lineRule="auto"/>
        <w:ind w:right="24"/>
        <w:rPr>
          <w:rFonts w:ascii="宋体" w:hAnsi="宋体"/>
          <w:bCs/>
          <w:color w:val="auto"/>
          <w:sz w:val="32"/>
          <w:szCs w:val="32"/>
        </w:rPr>
      </w:pPr>
    </w:p>
    <w:p w14:paraId="73F58EF8">
      <w:pPr>
        <w:adjustRightInd w:val="0"/>
        <w:snapToGrid w:val="0"/>
        <w:spacing w:line="360" w:lineRule="auto"/>
        <w:ind w:right="24"/>
        <w:rPr>
          <w:rFonts w:ascii="宋体" w:hAnsi="宋体"/>
          <w:bCs/>
          <w:color w:val="auto"/>
          <w:sz w:val="32"/>
          <w:szCs w:val="32"/>
        </w:rPr>
      </w:pPr>
    </w:p>
    <w:p w14:paraId="53B6EE30">
      <w:pPr>
        <w:adjustRightInd w:val="0"/>
        <w:snapToGrid w:val="0"/>
        <w:spacing w:line="360" w:lineRule="auto"/>
        <w:ind w:right="24"/>
        <w:rPr>
          <w:rFonts w:ascii="宋体" w:hAnsi="宋体"/>
          <w:bCs/>
          <w:color w:val="auto"/>
          <w:sz w:val="32"/>
          <w:szCs w:val="32"/>
        </w:rPr>
      </w:pPr>
    </w:p>
    <w:p w14:paraId="07ED13F3">
      <w:pPr>
        <w:adjustRightInd w:val="0"/>
        <w:snapToGrid w:val="0"/>
        <w:spacing w:line="360" w:lineRule="auto"/>
        <w:ind w:right="24"/>
        <w:rPr>
          <w:rFonts w:ascii="宋体" w:hAnsi="宋体"/>
          <w:bCs/>
          <w:color w:val="auto"/>
          <w:sz w:val="32"/>
          <w:szCs w:val="32"/>
        </w:rPr>
      </w:pPr>
    </w:p>
    <w:p w14:paraId="6359D26E">
      <w:pPr>
        <w:adjustRightInd w:val="0"/>
        <w:snapToGrid w:val="0"/>
        <w:spacing w:before="156" w:beforeLines="50" w:line="360" w:lineRule="auto"/>
        <w:rPr>
          <w:rFonts w:ascii="宋体" w:hAnsi="宋体"/>
          <w:b/>
          <w:bCs/>
          <w:color w:val="auto"/>
          <w:sz w:val="24"/>
        </w:rPr>
      </w:pPr>
    </w:p>
    <w:p w14:paraId="48218446">
      <w:pPr>
        <w:adjustRightInd w:val="0"/>
        <w:snapToGrid w:val="0"/>
        <w:spacing w:before="156" w:beforeLines="50" w:line="360" w:lineRule="auto"/>
        <w:rPr>
          <w:rFonts w:ascii="宋体" w:hAnsi="宋体"/>
          <w:b/>
          <w:bCs/>
          <w:color w:val="auto"/>
          <w:sz w:val="24"/>
        </w:rPr>
      </w:pPr>
      <w:r>
        <w:rPr>
          <w:rFonts w:hint="eastAsia" w:ascii="宋体" w:hAnsi="宋体"/>
          <w:b/>
          <w:bCs/>
          <w:color w:val="auto"/>
          <w:sz w:val="24"/>
        </w:rPr>
        <w:t>附件2</w:t>
      </w:r>
    </w:p>
    <w:p w14:paraId="49FAF218">
      <w:pPr>
        <w:jc w:val="center"/>
        <w:rPr>
          <w:rFonts w:ascii="宋体" w:hAnsi="宋体"/>
          <w:b/>
          <w:color w:val="auto"/>
          <w:sz w:val="24"/>
        </w:rPr>
      </w:pPr>
      <w:bookmarkStart w:id="43" w:name="_Toc18035"/>
      <w:bookmarkStart w:id="44" w:name="_Toc7380"/>
      <w:bookmarkStart w:id="45" w:name="_Toc5002"/>
      <w:r>
        <w:rPr>
          <w:rFonts w:hint="eastAsia" w:ascii="宋体" w:hAnsi="宋体"/>
          <w:b/>
          <w:color w:val="auto"/>
          <w:sz w:val="24"/>
        </w:rPr>
        <w:t>法定代表人身份证明</w:t>
      </w:r>
      <w:bookmarkEnd w:id="43"/>
      <w:bookmarkEnd w:id="44"/>
      <w:bookmarkEnd w:id="45"/>
    </w:p>
    <w:p w14:paraId="53F14475">
      <w:pPr>
        <w:snapToGrid w:val="0"/>
        <w:spacing w:line="480" w:lineRule="auto"/>
        <w:rPr>
          <w:rFonts w:ascii="宋体" w:hAnsi="宋体"/>
          <w:color w:val="auto"/>
          <w:szCs w:val="21"/>
        </w:rPr>
      </w:pPr>
    </w:p>
    <w:p w14:paraId="16D3FBC1">
      <w:pPr>
        <w:autoSpaceDE w:val="0"/>
        <w:autoSpaceDN w:val="0"/>
        <w:adjustRightInd w:val="0"/>
        <w:snapToGrid w:val="0"/>
        <w:spacing w:before="156" w:beforeLines="50" w:line="360" w:lineRule="auto"/>
        <w:jc w:val="left"/>
        <w:rPr>
          <w:rFonts w:ascii="宋体" w:hAnsi="宋体" w:cs="宋体"/>
          <w:color w:val="auto"/>
          <w:kern w:val="0"/>
          <w:szCs w:val="21"/>
        </w:rPr>
      </w:pPr>
      <w:r>
        <w:rPr>
          <w:rFonts w:hint="eastAsia" w:ascii="宋体" w:hAnsi="宋体"/>
          <w:color w:val="auto"/>
          <w:szCs w:val="21"/>
        </w:rPr>
        <w:t>供应商</w:t>
      </w:r>
      <w:r>
        <w:rPr>
          <w:rFonts w:hint="eastAsia" w:ascii="宋体" w:hAnsi="宋体" w:cs="宋体"/>
          <w:color w:val="auto"/>
          <w:kern w:val="0"/>
          <w:szCs w:val="21"/>
        </w:rPr>
        <w:t>名称：</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p>
    <w:p w14:paraId="33A0774D">
      <w:pPr>
        <w:autoSpaceDE w:val="0"/>
        <w:autoSpaceDN w:val="0"/>
        <w:adjustRightInd w:val="0"/>
        <w:snapToGrid w:val="0"/>
        <w:spacing w:before="156" w:beforeLines="50" w:line="360" w:lineRule="auto"/>
        <w:jc w:val="left"/>
        <w:rPr>
          <w:rFonts w:ascii="宋体" w:hAnsi="宋体" w:cs="宋体"/>
          <w:color w:val="auto"/>
          <w:kern w:val="0"/>
          <w:szCs w:val="21"/>
        </w:rPr>
      </w:pPr>
      <w:r>
        <w:rPr>
          <w:rFonts w:hint="eastAsia" w:ascii="宋体" w:hAnsi="宋体" w:cs="宋体"/>
          <w:color w:val="auto"/>
          <w:kern w:val="0"/>
          <w:szCs w:val="21"/>
        </w:rPr>
        <w:t>注册号：</w:t>
      </w:r>
      <w:r>
        <w:rPr>
          <w:rFonts w:hint="eastAsia" w:ascii="宋体" w:hAnsi="宋体" w:cs="宋体"/>
          <w:color w:val="auto"/>
          <w:kern w:val="0"/>
          <w:szCs w:val="21"/>
          <w:u w:val="single"/>
        </w:rPr>
        <w:t xml:space="preserve">                  </w:t>
      </w:r>
    </w:p>
    <w:p w14:paraId="55D95865">
      <w:pPr>
        <w:autoSpaceDE w:val="0"/>
        <w:autoSpaceDN w:val="0"/>
        <w:adjustRightInd w:val="0"/>
        <w:snapToGrid w:val="0"/>
        <w:spacing w:before="156" w:beforeLines="50" w:line="360" w:lineRule="auto"/>
        <w:jc w:val="left"/>
        <w:rPr>
          <w:rFonts w:ascii="宋体" w:hAnsi="宋体" w:cs="宋体"/>
          <w:color w:val="auto"/>
          <w:kern w:val="0"/>
          <w:szCs w:val="21"/>
        </w:rPr>
      </w:pPr>
      <w:r>
        <w:rPr>
          <w:rFonts w:hint="eastAsia" w:ascii="宋体" w:hAnsi="宋体" w:cs="宋体"/>
          <w:color w:val="auto"/>
          <w:kern w:val="0"/>
          <w:szCs w:val="21"/>
        </w:rPr>
        <w:t>注册地址：</w:t>
      </w:r>
      <w:r>
        <w:rPr>
          <w:rFonts w:hint="eastAsia" w:ascii="宋体" w:hAnsi="宋体" w:cs="宋体"/>
          <w:color w:val="auto"/>
          <w:kern w:val="0"/>
          <w:szCs w:val="21"/>
          <w:u w:val="single"/>
        </w:rPr>
        <w:t xml:space="preserve">                                    </w:t>
      </w:r>
    </w:p>
    <w:p w14:paraId="307C2F1D">
      <w:pPr>
        <w:autoSpaceDE w:val="0"/>
        <w:autoSpaceDN w:val="0"/>
        <w:adjustRightInd w:val="0"/>
        <w:snapToGrid w:val="0"/>
        <w:spacing w:before="156" w:beforeLines="50" w:line="360" w:lineRule="auto"/>
        <w:jc w:val="left"/>
        <w:rPr>
          <w:rFonts w:ascii="宋体" w:hAnsi="宋体" w:cs="宋体"/>
          <w:color w:val="auto"/>
          <w:kern w:val="0"/>
          <w:szCs w:val="21"/>
        </w:rPr>
      </w:pPr>
      <w:r>
        <w:rPr>
          <w:rFonts w:hint="eastAsia" w:ascii="宋体" w:hAnsi="宋体" w:cs="宋体"/>
          <w:color w:val="auto"/>
          <w:kern w:val="0"/>
          <w:szCs w:val="21"/>
        </w:rPr>
        <w:t xml:space="preserve">成立时间： </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年 </w:t>
      </w:r>
      <w:r>
        <w:rPr>
          <w:rFonts w:hint="eastAsia" w:ascii="宋体" w:hAnsi="宋体" w:cs="宋体"/>
          <w:color w:val="auto"/>
          <w:kern w:val="0"/>
          <w:szCs w:val="21"/>
          <w:u w:val="single"/>
        </w:rPr>
        <w:t xml:space="preserve">     </w:t>
      </w:r>
      <w:r>
        <w:rPr>
          <w:rFonts w:hint="eastAsia" w:ascii="宋体" w:hAnsi="宋体" w:cs="宋体"/>
          <w:color w:val="auto"/>
          <w:kern w:val="0"/>
          <w:szCs w:val="21"/>
        </w:rPr>
        <w:t>月</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日</w:t>
      </w:r>
    </w:p>
    <w:p w14:paraId="2BFEC7FE">
      <w:pPr>
        <w:autoSpaceDE w:val="0"/>
        <w:autoSpaceDN w:val="0"/>
        <w:adjustRightInd w:val="0"/>
        <w:snapToGrid w:val="0"/>
        <w:spacing w:before="156" w:beforeLines="50" w:line="360" w:lineRule="auto"/>
        <w:jc w:val="left"/>
        <w:rPr>
          <w:rFonts w:ascii="宋体" w:hAnsi="宋体" w:cs="宋体"/>
          <w:color w:val="auto"/>
          <w:kern w:val="0"/>
          <w:szCs w:val="21"/>
          <w:u w:val="single"/>
        </w:rPr>
      </w:pPr>
      <w:r>
        <w:rPr>
          <w:rFonts w:hint="eastAsia" w:ascii="宋体" w:hAnsi="宋体" w:cs="宋体"/>
          <w:color w:val="auto"/>
          <w:kern w:val="0"/>
          <w:szCs w:val="21"/>
        </w:rPr>
        <w:t>经营期限：</w:t>
      </w:r>
      <w:r>
        <w:rPr>
          <w:rFonts w:hint="eastAsia" w:ascii="宋体" w:hAnsi="宋体" w:cs="宋体"/>
          <w:color w:val="auto"/>
          <w:kern w:val="0"/>
          <w:szCs w:val="21"/>
          <w:u w:val="single"/>
        </w:rPr>
        <w:t xml:space="preserve">                  </w:t>
      </w:r>
    </w:p>
    <w:p w14:paraId="3024B189">
      <w:pPr>
        <w:autoSpaceDE w:val="0"/>
        <w:autoSpaceDN w:val="0"/>
        <w:adjustRightInd w:val="0"/>
        <w:snapToGrid w:val="0"/>
        <w:spacing w:before="156" w:beforeLines="50" w:line="360" w:lineRule="auto"/>
        <w:jc w:val="left"/>
        <w:rPr>
          <w:rFonts w:ascii="宋体" w:hAnsi="宋体" w:cs="宋体"/>
          <w:color w:val="auto"/>
          <w:kern w:val="0"/>
          <w:szCs w:val="21"/>
          <w:u w:val="single"/>
        </w:rPr>
      </w:pPr>
      <w:r>
        <w:rPr>
          <w:rFonts w:hint="eastAsia" w:ascii="宋体" w:hAnsi="宋体" w:cs="宋体"/>
          <w:color w:val="auto"/>
          <w:kern w:val="0"/>
          <w:szCs w:val="21"/>
        </w:rPr>
        <w:t>经营范围：主营：</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；兼营：</w:t>
      </w:r>
      <w:r>
        <w:rPr>
          <w:rFonts w:hint="eastAsia" w:ascii="宋体" w:hAnsi="宋体" w:cs="宋体"/>
          <w:color w:val="auto"/>
          <w:kern w:val="0"/>
          <w:szCs w:val="21"/>
          <w:u w:val="single"/>
        </w:rPr>
        <w:t xml:space="preserve">              </w:t>
      </w:r>
    </w:p>
    <w:p w14:paraId="4D9EA1A9">
      <w:pPr>
        <w:autoSpaceDE w:val="0"/>
        <w:autoSpaceDN w:val="0"/>
        <w:adjustRightInd w:val="0"/>
        <w:snapToGrid w:val="0"/>
        <w:spacing w:before="156" w:beforeLines="50" w:line="360" w:lineRule="auto"/>
        <w:jc w:val="left"/>
        <w:rPr>
          <w:rFonts w:ascii="宋体" w:hAnsi="宋体" w:cs="宋体"/>
          <w:color w:val="auto"/>
          <w:kern w:val="0"/>
          <w:szCs w:val="21"/>
        </w:rPr>
      </w:pPr>
      <w:r>
        <w:rPr>
          <w:rFonts w:hint="eastAsia" w:ascii="宋体" w:hAnsi="宋体" w:cs="宋体"/>
          <w:color w:val="auto"/>
          <w:kern w:val="0"/>
          <w:szCs w:val="21"/>
        </w:rPr>
        <w:t>姓名：</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性别：</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年龄：</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系</w:t>
      </w:r>
      <w:r>
        <w:rPr>
          <w:rFonts w:hint="eastAsia" w:ascii="宋体" w:hAnsi="宋体" w:cs="宋体"/>
          <w:color w:val="auto"/>
          <w:kern w:val="0"/>
          <w:szCs w:val="21"/>
          <w:u w:val="single"/>
        </w:rPr>
        <w:t xml:space="preserve">      </w:t>
      </w:r>
      <w:r>
        <w:rPr>
          <w:rFonts w:hint="eastAsia" w:ascii="宋体" w:hAnsi="宋体" w:cs="宋体"/>
          <w:color w:val="auto"/>
          <w:kern w:val="0"/>
          <w:szCs w:val="21"/>
        </w:rPr>
        <w:t>（</w:t>
      </w:r>
      <w:r>
        <w:rPr>
          <w:rFonts w:hint="eastAsia" w:ascii="宋体" w:hAnsi="宋体"/>
          <w:color w:val="auto"/>
          <w:szCs w:val="21"/>
        </w:rPr>
        <w:t>供应商</w:t>
      </w:r>
      <w:r>
        <w:rPr>
          <w:rFonts w:hint="eastAsia" w:ascii="宋体" w:hAnsi="宋体" w:cs="宋体"/>
          <w:color w:val="auto"/>
          <w:kern w:val="0"/>
          <w:szCs w:val="21"/>
        </w:rPr>
        <w:t>名称）的法定代表人。</w:t>
      </w:r>
    </w:p>
    <w:p w14:paraId="50E9340D">
      <w:pPr>
        <w:autoSpaceDE w:val="0"/>
        <w:autoSpaceDN w:val="0"/>
        <w:adjustRightInd w:val="0"/>
        <w:snapToGrid w:val="0"/>
        <w:spacing w:before="156" w:beforeLines="50" w:line="360" w:lineRule="auto"/>
        <w:jc w:val="left"/>
        <w:rPr>
          <w:rFonts w:ascii="宋体" w:hAnsi="宋体" w:cs="宋体"/>
          <w:color w:val="auto"/>
          <w:kern w:val="0"/>
          <w:szCs w:val="21"/>
        </w:rPr>
      </w:pPr>
      <w:r>
        <w:rPr>
          <w:rFonts w:hint="eastAsia" w:ascii="宋体" w:hAnsi="宋体" w:cs="宋体"/>
          <w:color w:val="auto"/>
          <w:kern w:val="0"/>
          <w:szCs w:val="21"/>
        </w:rPr>
        <w:t>特此证明。</w:t>
      </w:r>
    </w:p>
    <w:p w14:paraId="7332597D">
      <w:pPr>
        <w:autoSpaceDE w:val="0"/>
        <w:autoSpaceDN w:val="0"/>
        <w:adjustRightInd w:val="0"/>
        <w:snapToGrid w:val="0"/>
        <w:spacing w:before="156" w:beforeLines="50" w:line="360" w:lineRule="auto"/>
        <w:jc w:val="left"/>
        <w:rPr>
          <w:rFonts w:ascii="宋体" w:hAnsi="宋体" w:cs="宋体"/>
          <w:color w:val="auto"/>
          <w:kern w:val="0"/>
          <w:szCs w:val="21"/>
        </w:rPr>
      </w:pPr>
      <w:r>
        <w:rPr>
          <w:rFonts w:hint="eastAsia" w:ascii="宋体" w:hAnsi="宋体"/>
          <w:color w:val="auto"/>
          <w:szCs w:val="21"/>
        </w:rPr>
        <w:t>附：法定代表人身份证复印件</w:t>
      </w:r>
    </w:p>
    <w:p w14:paraId="430BB26D">
      <w:pPr>
        <w:snapToGrid w:val="0"/>
        <w:spacing w:line="480" w:lineRule="auto"/>
        <w:rPr>
          <w:rFonts w:ascii="宋体" w:hAnsi="宋体"/>
          <w:color w:val="auto"/>
          <w:szCs w:val="21"/>
        </w:rPr>
      </w:pPr>
    </w:p>
    <w:p w14:paraId="3C8A2CEA">
      <w:pPr>
        <w:snapToGrid w:val="0"/>
        <w:rPr>
          <w:rFonts w:ascii="宋体" w:hAnsi="宋体"/>
          <w:color w:val="auto"/>
          <w:szCs w:val="21"/>
        </w:rPr>
      </w:pPr>
    </w:p>
    <w:p w14:paraId="52380C95">
      <w:pPr>
        <w:snapToGrid w:val="0"/>
        <w:rPr>
          <w:rFonts w:ascii="宋体" w:hAnsi="宋体"/>
          <w:color w:val="auto"/>
          <w:szCs w:val="21"/>
        </w:rPr>
      </w:pPr>
    </w:p>
    <w:p w14:paraId="59896234">
      <w:pPr>
        <w:snapToGrid w:val="0"/>
        <w:rPr>
          <w:rFonts w:ascii="宋体" w:hAnsi="宋体"/>
          <w:color w:val="auto"/>
          <w:szCs w:val="21"/>
        </w:rPr>
      </w:pPr>
    </w:p>
    <w:p w14:paraId="59CDF320">
      <w:pPr>
        <w:snapToGrid w:val="0"/>
        <w:rPr>
          <w:rFonts w:ascii="宋体" w:hAnsi="宋体"/>
          <w:color w:val="auto"/>
          <w:szCs w:val="21"/>
        </w:rPr>
      </w:pPr>
    </w:p>
    <w:p w14:paraId="0C5E7595">
      <w:pPr>
        <w:adjustRightInd w:val="0"/>
        <w:snapToGrid w:val="0"/>
        <w:spacing w:line="360" w:lineRule="auto"/>
        <w:rPr>
          <w:rFonts w:ascii="宋体" w:hAnsi="宋体"/>
          <w:color w:val="auto"/>
          <w:szCs w:val="21"/>
        </w:rPr>
      </w:pPr>
    </w:p>
    <w:p w14:paraId="75117102">
      <w:pPr>
        <w:adjustRightInd w:val="0"/>
        <w:snapToGrid w:val="0"/>
        <w:spacing w:line="360" w:lineRule="auto"/>
        <w:ind w:right="420"/>
        <w:rPr>
          <w:rFonts w:ascii="宋体" w:hAnsi="宋体"/>
          <w:color w:val="auto"/>
          <w:szCs w:val="21"/>
        </w:rPr>
      </w:pPr>
      <w:r>
        <w:rPr>
          <w:rFonts w:hint="eastAsia" w:ascii="宋体" w:hAnsi="宋体"/>
          <w:color w:val="auto"/>
          <w:szCs w:val="21"/>
        </w:rPr>
        <w:t>供应商名称（盖单位章）：</w:t>
      </w:r>
    </w:p>
    <w:p w14:paraId="69034854">
      <w:pPr>
        <w:adjustRightInd w:val="0"/>
        <w:snapToGrid w:val="0"/>
        <w:spacing w:line="360" w:lineRule="auto"/>
        <w:ind w:right="420"/>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 xml:space="preserve">日      </w:t>
      </w:r>
    </w:p>
    <w:p w14:paraId="609310B0">
      <w:pPr>
        <w:adjustRightInd w:val="0"/>
        <w:snapToGrid w:val="0"/>
        <w:spacing w:before="156" w:beforeLines="50" w:line="360" w:lineRule="auto"/>
        <w:rPr>
          <w:rFonts w:ascii="宋体" w:hAnsi="宋体"/>
          <w:color w:val="auto"/>
          <w:szCs w:val="21"/>
        </w:rPr>
      </w:pPr>
    </w:p>
    <w:p w14:paraId="2A4E926F">
      <w:pPr>
        <w:adjustRightInd w:val="0"/>
        <w:snapToGrid w:val="0"/>
        <w:spacing w:before="156" w:beforeLines="50" w:line="360" w:lineRule="auto"/>
        <w:rPr>
          <w:rFonts w:ascii="宋体" w:hAnsi="宋体"/>
          <w:color w:val="auto"/>
          <w:szCs w:val="21"/>
        </w:rPr>
      </w:pPr>
    </w:p>
    <w:p w14:paraId="6746F58E">
      <w:pPr>
        <w:adjustRightInd w:val="0"/>
        <w:snapToGrid w:val="0"/>
        <w:spacing w:before="156" w:beforeLines="50" w:line="360" w:lineRule="auto"/>
        <w:rPr>
          <w:rFonts w:ascii="宋体" w:hAnsi="宋体"/>
          <w:b/>
          <w:color w:val="auto"/>
          <w:sz w:val="24"/>
        </w:rPr>
      </w:pPr>
      <w:r>
        <w:rPr>
          <w:rFonts w:hint="eastAsia" w:ascii="宋体" w:hAnsi="宋体"/>
          <w:color w:val="auto"/>
          <w:szCs w:val="21"/>
        </w:rPr>
        <w:br w:type="page"/>
      </w:r>
      <w:r>
        <w:rPr>
          <w:rFonts w:hint="eastAsia" w:ascii="宋体" w:hAnsi="宋体"/>
          <w:b/>
          <w:bCs/>
          <w:color w:val="auto"/>
          <w:sz w:val="24"/>
        </w:rPr>
        <w:t>附件3</w:t>
      </w:r>
    </w:p>
    <w:p w14:paraId="7FFCA04A">
      <w:pPr>
        <w:jc w:val="center"/>
        <w:rPr>
          <w:rFonts w:ascii="宋体" w:hAnsi="宋体"/>
          <w:b/>
          <w:color w:val="auto"/>
          <w:sz w:val="24"/>
        </w:rPr>
      </w:pPr>
      <w:bookmarkStart w:id="46" w:name="_Toc8381"/>
      <w:bookmarkStart w:id="47" w:name="_Toc8103"/>
      <w:bookmarkStart w:id="48" w:name="_Toc15764"/>
      <w:r>
        <w:rPr>
          <w:rFonts w:hint="eastAsia" w:ascii="宋体" w:hAnsi="宋体"/>
          <w:b/>
          <w:color w:val="auto"/>
          <w:sz w:val="24"/>
        </w:rPr>
        <w:t>法定代表人授权书</w:t>
      </w:r>
      <w:bookmarkEnd w:id="46"/>
      <w:bookmarkEnd w:id="47"/>
      <w:bookmarkEnd w:id="48"/>
    </w:p>
    <w:p w14:paraId="57D8D0E9">
      <w:pPr>
        <w:adjustRightInd w:val="0"/>
        <w:snapToGrid w:val="0"/>
        <w:spacing w:line="360" w:lineRule="auto"/>
        <w:jc w:val="center"/>
        <w:rPr>
          <w:rFonts w:ascii="宋体" w:hAnsi="宋体"/>
          <w:b/>
          <w:color w:val="auto"/>
          <w:sz w:val="28"/>
          <w:szCs w:val="28"/>
        </w:rPr>
      </w:pPr>
    </w:p>
    <w:p w14:paraId="05493E47">
      <w:pPr>
        <w:autoSpaceDE w:val="0"/>
        <w:autoSpaceDN w:val="0"/>
        <w:adjustRightInd w:val="0"/>
        <w:snapToGrid w:val="0"/>
        <w:spacing w:before="156" w:beforeLines="50"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本人</w:t>
      </w:r>
      <w:r>
        <w:rPr>
          <w:rFonts w:hint="eastAsia" w:ascii="宋体" w:hAnsi="宋体" w:cs="宋体"/>
          <w:color w:val="auto"/>
          <w:kern w:val="0"/>
          <w:szCs w:val="21"/>
          <w:u w:val="single"/>
        </w:rPr>
        <w:t xml:space="preserve">          </w:t>
      </w:r>
      <w:r>
        <w:rPr>
          <w:rFonts w:hint="eastAsia" w:ascii="宋体" w:hAnsi="宋体" w:cs="宋体"/>
          <w:color w:val="auto"/>
          <w:kern w:val="0"/>
          <w:szCs w:val="21"/>
        </w:rPr>
        <w:t>（姓名、职务）系</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r>
        <w:rPr>
          <w:rFonts w:hint="eastAsia" w:ascii="宋体" w:hAnsi="宋体"/>
          <w:color w:val="auto"/>
          <w:szCs w:val="21"/>
        </w:rPr>
        <w:t>供应商</w:t>
      </w:r>
      <w:r>
        <w:rPr>
          <w:rFonts w:hint="eastAsia" w:ascii="宋体" w:hAnsi="宋体" w:cs="宋体"/>
          <w:color w:val="auto"/>
          <w:kern w:val="0"/>
          <w:szCs w:val="21"/>
        </w:rPr>
        <w:t>名称）的法定代表人，现授权</w:t>
      </w:r>
      <w:r>
        <w:rPr>
          <w:rFonts w:hint="eastAsia" w:ascii="宋体" w:hAnsi="宋体" w:cs="宋体"/>
          <w:color w:val="auto"/>
          <w:kern w:val="0"/>
          <w:szCs w:val="21"/>
          <w:u w:val="single"/>
        </w:rPr>
        <w:t xml:space="preserve">          </w:t>
      </w:r>
      <w:r>
        <w:rPr>
          <w:rFonts w:hint="eastAsia" w:ascii="宋体" w:hAnsi="宋体" w:cs="宋体"/>
          <w:color w:val="auto"/>
          <w:kern w:val="0"/>
          <w:szCs w:val="21"/>
        </w:rPr>
        <w:t>（姓名、职务）为我方代理人。代理人根据授权，以我方名义：(1)签署、澄清、补正、修改、撤回、提交</w:t>
      </w:r>
      <w:r>
        <w:rPr>
          <w:rFonts w:hint="eastAsia" w:ascii="宋体" w:hAnsi="宋体" w:cs="宋体"/>
          <w:color w:val="auto"/>
          <w:kern w:val="0"/>
          <w:szCs w:val="21"/>
          <w:u w:val="single"/>
        </w:rPr>
        <w:t xml:space="preserve">                     </w:t>
      </w:r>
      <w:r>
        <w:rPr>
          <w:rFonts w:hint="eastAsia" w:ascii="宋体" w:hAnsi="宋体" w:cs="宋体"/>
          <w:color w:val="auto"/>
          <w:kern w:val="0"/>
          <w:szCs w:val="21"/>
        </w:rPr>
        <w:t>（项目名称、</w:t>
      </w:r>
      <w:r>
        <w:rPr>
          <w:rFonts w:hint="eastAsia" w:ascii="宋体" w:hAnsi="宋体"/>
          <w:color w:val="auto"/>
          <w:szCs w:val="21"/>
          <w:lang w:eastAsia="zh-CN"/>
        </w:rPr>
        <w:t>政府采购编号</w:t>
      </w:r>
      <w:r>
        <w:rPr>
          <w:rFonts w:hint="eastAsia" w:ascii="宋体" w:hAnsi="宋体" w:cs="宋体"/>
          <w:color w:val="auto"/>
          <w:kern w:val="0"/>
          <w:szCs w:val="21"/>
        </w:rPr>
        <w:t>、委托代理编号）响应文件；(2)签署并重新提交响应文件及最后报价；(3)退出磋商；(4)签订合同和处理有关事宜，其法律后果由我方承担。</w:t>
      </w:r>
    </w:p>
    <w:p w14:paraId="1820735D">
      <w:pPr>
        <w:autoSpaceDE w:val="0"/>
        <w:autoSpaceDN w:val="0"/>
        <w:adjustRightInd w:val="0"/>
        <w:snapToGrid w:val="0"/>
        <w:spacing w:before="156" w:beforeLines="50"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委托期限：</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p>
    <w:p w14:paraId="7D29D515">
      <w:pPr>
        <w:spacing w:line="360" w:lineRule="auto"/>
        <w:ind w:firstLine="435"/>
        <w:rPr>
          <w:rFonts w:ascii="宋体" w:hAnsi="宋体" w:cs="宋体"/>
          <w:color w:val="auto"/>
          <w:kern w:val="0"/>
          <w:szCs w:val="21"/>
        </w:rPr>
      </w:pPr>
      <w:r>
        <w:rPr>
          <w:rFonts w:hint="eastAsia" w:ascii="宋体" w:hAnsi="宋体" w:cs="宋体"/>
          <w:color w:val="auto"/>
          <w:kern w:val="0"/>
          <w:szCs w:val="21"/>
        </w:rPr>
        <w:t>代理人无转委托权。</w:t>
      </w:r>
    </w:p>
    <w:p w14:paraId="15F7929B">
      <w:pPr>
        <w:spacing w:line="360" w:lineRule="auto"/>
        <w:ind w:firstLine="435"/>
        <w:rPr>
          <w:rFonts w:ascii="宋体" w:hAnsi="宋体"/>
          <w:color w:val="auto"/>
          <w:szCs w:val="21"/>
        </w:rPr>
      </w:pPr>
      <w:r>
        <w:rPr>
          <w:rFonts w:hint="eastAsia" w:ascii="宋体" w:hAnsi="宋体"/>
          <w:color w:val="auto"/>
          <w:szCs w:val="21"/>
        </w:rPr>
        <w:t>本授权书于</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日签字生效，特此声明。</w:t>
      </w:r>
    </w:p>
    <w:p w14:paraId="37018A72">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附：委托代理人身份证复印件及法定代表人身份证明(附件2，原件)</w:t>
      </w:r>
    </w:p>
    <w:p w14:paraId="1DE41B26">
      <w:pPr>
        <w:adjustRightInd w:val="0"/>
        <w:snapToGrid w:val="0"/>
        <w:spacing w:line="360" w:lineRule="auto"/>
        <w:ind w:right="420"/>
        <w:rPr>
          <w:rFonts w:ascii="宋体" w:hAnsi="宋体"/>
          <w:color w:val="auto"/>
          <w:szCs w:val="21"/>
        </w:rPr>
      </w:pPr>
    </w:p>
    <w:p w14:paraId="6BDCE2EA">
      <w:pPr>
        <w:adjustRightInd w:val="0"/>
        <w:snapToGrid w:val="0"/>
        <w:spacing w:line="360" w:lineRule="auto"/>
        <w:ind w:right="420"/>
        <w:rPr>
          <w:rFonts w:ascii="宋体" w:hAnsi="宋体"/>
          <w:color w:val="auto"/>
          <w:szCs w:val="21"/>
        </w:rPr>
      </w:pPr>
    </w:p>
    <w:p w14:paraId="7845743E">
      <w:pPr>
        <w:adjustRightInd w:val="0"/>
        <w:snapToGrid w:val="0"/>
        <w:spacing w:line="360" w:lineRule="auto"/>
        <w:ind w:right="420"/>
        <w:rPr>
          <w:rFonts w:ascii="宋体" w:hAnsi="宋体"/>
          <w:color w:val="auto"/>
          <w:szCs w:val="21"/>
        </w:rPr>
      </w:pPr>
    </w:p>
    <w:p w14:paraId="1AF1170B">
      <w:pPr>
        <w:adjustRightInd w:val="0"/>
        <w:snapToGrid w:val="0"/>
        <w:spacing w:line="360" w:lineRule="auto"/>
        <w:ind w:right="420"/>
        <w:rPr>
          <w:rFonts w:ascii="宋体" w:hAnsi="宋体"/>
          <w:color w:val="auto"/>
          <w:szCs w:val="21"/>
        </w:rPr>
      </w:pPr>
    </w:p>
    <w:p w14:paraId="366E5CFB">
      <w:pPr>
        <w:adjustRightInd w:val="0"/>
        <w:snapToGrid w:val="0"/>
        <w:spacing w:line="360" w:lineRule="auto"/>
        <w:ind w:right="420"/>
        <w:rPr>
          <w:rFonts w:ascii="宋体" w:hAnsi="宋体"/>
          <w:color w:val="auto"/>
          <w:szCs w:val="21"/>
        </w:rPr>
      </w:pPr>
    </w:p>
    <w:p w14:paraId="0CBED082">
      <w:pPr>
        <w:adjustRightInd w:val="0"/>
        <w:snapToGrid w:val="0"/>
        <w:spacing w:line="360" w:lineRule="auto"/>
        <w:ind w:right="420"/>
        <w:rPr>
          <w:rFonts w:ascii="宋体" w:hAnsi="宋体"/>
          <w:color w:val="auto"/>
          <w:szCs w:val="21"/>
        </w:rPr>
      </w:pPr>
    </w:p>
    <w:p w14:paraId="1FC16FF2">
      <w:pPr>
        <w:adjustRightInd w:val="0"/>
        <w:snapToGrid w:val="0"/>
        <w:spacing w:line="360" w:lineRule="auto"/>
        <w:ind w:right="420"/>
        <w:rPr>
          <w:rFonts w:ascii="宋体" w:hAnsi="宋体"/>
          <w:color w:val="auto"/>
          <w:szCs w:val="21"/>
        </w:rPr>
      </w:pPr>
    </w:p>
    <w:p w14:paraId="2B2DFBF4">
      <w:pPr>
        <w:adjustRightInd w:val="0"/>
        <w:snapToGrid w:val="0"/>
        <w:spacing w:line="360" w:lineRule="auto"/>
        <w:ind w:right="420"/>
        <w:rPr>
          <w:rFonts w:ascii="宋体" w:hAnsi="宋体"/>
          <w:color w:val="auto"/>
          <w:szCs w:val="21"/>
        </w:rPr>
      </w:pPr>
    </w:p>
    <w:p w14:paraId="150E61EC">
      <w:pPr>
        <w:adjustRightInd w:val="0"/>
        <w:snapToGrid w:val="0"/>
        <w:spacing w:line="360" w:lineRule="auto"/>
        <w:ind w:right="420"/>
        <w:rPr>
          <w:rFonts w:ascii="宋体" w:hAnsi="宋体"/>
          <w:color w:val="auto"/>
          <w:szCs w:val="21"/>
        </w:rPr>
      </w:pPr>
      <w:r>
        <w:rPr>
          <w:rFonts w:hint="eastAsia" w:ascii="宋体" w:hAnsi="宋体"/>
          <w:color w:val="auto"/>
          <w:szCs w:val="21"/>
        </w:rPr>
        <w:t>法定代表人（签字）：</w:t>
      </w:r>
      <w:r>
        <w:rPr>
          <w:rFonts w:hint="eastAsia" w:ascii="宋体" w:hAnsi="宋体"/>
          <w:color w:val="auto"/>
          <w:szCs w:val="21"/>
          <w:u w:val="single"/>
        </w:rPr>
        <w:t xml:space="preserve">                     </w:t>
      </w:r>
    </w:p>
    <w:p w14:paraId="271D7951">
      <w:pPr>
        <w:adjustRightInd w:val="0"/>
        <w:snapToGrid w:val="0"/>
        <w:spacing w:line="360" w:lineRule="auto"/>
        <w:ind w:right="420"/>
        <w:rPr>
          <w:rFonts w:ascii="宋体" w:hAnsi="宋体"/>
          <w:color w:val="auto"/>
          <w:szCs w:val="21"/>
        </w:rPr>
      </w:pPr>
      <w:r>
        <w:rPr>
          <w:rFonts w:hint="eastAsia" w:ascii="宋体" w:hAnsi="宋体"/>
          <w:color w:val="auto"/>
          <w:szCs w:val="21"/>
        </w:rPr>
        <w:t>委托代理人（签字）：</w:t>
      </w:r>
      <w:r>
        <w:rPr>
          <w:rFonts w:hint="eastAsia" w:ascii="宋体" w:hAnsi="宋体"/>
          <w:color w:val="auto"/>
          <w:szCs w:val="21"/>
          <w:u w:val="single"/>
        </w:rPr>
        <w:t xml:space="preserve">                     </w:t>
      </w:r>
    </w:p>
    <w:p w14:paraId="5EDB9F25">
      <w:pPr>
        <w:adjustRightInd w:val="0"/>
        <w:snapToGrid w:val="0"/>
        <w:spacing w:line="360" w:lineRule="auto"/>
        <w:ind w:right="24"/>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13FE2CBF">
      <w:pPr>
        <w:spacing w:line="360" w:lineRule="exact"/>
        <w:rPr>
          <w:rFonts w:ascii="宋体" w:hAnsi="宋体"/>
          <w:b/>
          <w:color w:val="auto"/>
        </w:rPr>
      </w:pPr>
    </w:p>
    <w:p w14:paraId="7B44C704">
      <w:pPr>
        <w:spacing w:line="360" w:lineRule="exact"/>
        <w:rPr>
          <w:rFonts w:ascii="宋体" w:hAnsi="宋体"/>
          <w:b/>
          <w:color w:val="auto"/>
        </w:rPr>
      </w:pPr>
    </w:p>
    <w:p w14:paraId="5EC557A3">
      <w:pPr>
        <w:spacing w:line="360" w:lineRule="exact"/>
        <w:rPr>
          <w:rFonts w:ascii="宋体" w:hAnsi="宋体"/>
          <w:b/>
          <w:color w:val="auto"/>
        </w:rPr>
      </w:pPr>
    </w:p>
    <w:p w14:paraId="18181E9C">
      <w:pPr>
        <w:spacing w:line="360" w:lineRule="exact"/>
        <w:rPr>
          <w:rFonts w:ascii="宋体" w:hAnsi="宋体"/>
          <w:b/>
          <w:color w:val="auto"/>
        </w:rPr>
      </w:pPr>
    </w:p>
    <w:p w14:paraId="1C35D2CE">
      <w:pPr>
        <w:spacing w:line="360" w:lineRule="exact"/>
        <w:jc w:val="center"/>
        <w:outlineLvl w:val="1"/>
        <w:rPr>
          <w:rFonts w:ascii="宋体" w:hAnsi="宋体"/>
          <w:b/>
          <w:color w:val="auto"/>
          <w:sz w:val="32"/>
          <w:szCs w:val="32"/>
        </w:rPr>
      </w:pPr>
      <w:r>
        <w:rPr>
          <w:color w:val="auto"/>
        </w:rPr>
        <w:br w:type="page"/>
      </w:r>
      <w:bookmarkStart w:id="49" w:name="_Toc24136"/>
      <w:bookmarkStart w:id="50" w:name="_Toc17727"/>
      <w:bookmarkStart w:id="51" w:name="_Toc7072"/>
      <w:r>
        <w:rPr>
          <w:rFonts w:hint="eastAsia" w:ascii="宋体" w:hAnsi="宋体"/>
          <w:b/>
          <w:color w:val="auto"/>
          <w:sz w:val="32"/>
          <w:szCs w:val="32"/>
        </w:rPr>
        <w:t>二、保证金</w:t>
      </w:r>
      <w:bookmarkEnd w:id="49"/>
      <w:bookmarkEnd w:id="50"/>
      <w:bookmarkEnd w:id="51"/>
    </w:p>
    <w:p w14:paraId="07C82DC3">
      <w:pPr>
        <w:pStyle w:val="28"/>
        <w:adjustRightInd w:val="0"/>
        <w:snapToGrid w:val="0"/>
        <w:spacing w:before="156" w:beforeLines="50" w:line="360" w:lineRule="auto"/>
        <w:rPr>
          <w:rFonts w:hAnsi="宋体"/>
          <w:color w:val="auto"/>
        </w:rPr>
      </w:pPr>
    </w:p>
    <w:p w14:paraId="3FB64DD3">
      <w:pPr>
        <w:rPr>
          <w:rFonts w:ascii="宋体" w:hAnsi="宋体"/>
          <w:color w:val="auto"/>
        </w:rPr>
      </w:pPr>
      <w:r>
        <w:rPr>
          <w:rFonts w:hint="eastAsia" w:ascii="宋体" w:hAnsi="宋体"/>
          <w:color w:val="auto"/>
        </w:rPr>
        <w:t>注：按磋商文件要求提供。</w:t>
      </w:r>
    </w:p>
    <w:p w14:paraId="40E6855B">
      <w:pPr>
        <w:adjustRightInd w:val="0"/>
        <w:snapToGrid w:val="0"/>
        <w:spacing w:line="360" w:lineRule="auto"/>
        <w:rPr>
          <w:rFonts w:ascii="宋体" w:hAnsi="宋体"/>
          <w:bCs/>
          <w:color w:val="auto"/>
          <w:szCs w:val="21"/>
        </w:rPr>
      </w:pPr>
    </w:p>
    <w:p w14:paraId="51883B4F">
      <w:pPr>
        <w:spacing w:line="480" w:lineRule="exact"/>
        <w:rPr>
          <w:rFonts w:ascii="宋体" w:hAnsi="宋体"/>
          <w:b/>
          <w:color w:val="auto"/>
          <w:sz w:val="24"/>
        </w:rPr>
      </w:pPr>
      <w:r>
        <w:rPr>
          <w:rFonts w:hint="eastAsia" w:ascii="宋体" w:hAnsi="宋体"/>
          <w:color w:val="auto"/>
          <w:sz w:val="24"/>
        </w:rPr>
        <w:br w:type="page"/>
      </w:r>
      <w:r>
        <w:rPr>
          <w:rFonts w:hint="eastAsia" w:ascii="宋体" w:hAnsi="宋体"/>
          <w:b/>
          <w:color w:val="auto"/>
          <w:sz w:val="24"/>
        </w:rPr>
        <w:t>附件4</w:t>
      </w:r>
    </w:p>
    <w:p w14:paraId="1C72C80D">
      <w:pPr>
        <w:spacing w:line="480" w:lineRule="exact"/>
        <w:jc w:val="center"/>
        <w:rPr>
          <w:rFonts w:ascii="宋体" w:hAnsi="宋体"/>
          <w:b/>
          <w:bCs/>
          <w:color w:val="auto"/>
          <w:sz w:val="24"/>
        </w:rPr>
      </w:pPr>
      <w:r>
        <w:rPr>
          <w:rFonts w:hint="eastAsia" w:ascii="宋体" w:hAnsi="宋体"/>
          <w:b/>
          <w:bCs/>
          <w:color w:val="auto"/>
          <w:sz w:val="24"/>
        </w:rPr>
        <w:t>采购代理服务费承诺书</w:t>
      </w:r>
    </w:p>
    <w:p w14:paraId="5A553453">
      <w:pPr>
        <w:spacing w:line="480" w:lineRule="exact"/>
        <w:jc w:val="center"/>
        <w:rPr>
          <w:rFonts w:ascii="宋体" w:hAnsi="宋体"/>
          <w:bCs/>
          <w:color w:val="auto"/>
          <w:sz w:val="36"/>
          <w:szCs w:val="36"/>
        </w:rPr>
      </w:pPr>
    </w:p>
    <w:p w14:paraId="261C7727">
      <w:pPr>
        <w:adjustRightInd w:val="0"/>
        <w:snapToGrid w:val="0"/>
        <w:spacing w:line="360" w:lineRule="auto"/>
        <w:rPr>
          <w:rFonts w:ascii="宋体" w:hAnsi="宋体"/>
          <w:color w:val="auto"/>
          <w:szCs w:val="21"/>
          <w:u w:val="single"/>
        </w:rPr>
      </w:pPr>
      <w:r>
        <w:rPr>
          <w:rFonts w:hint="eastAsia" w:ascii="宋体" w:hAnsi="宋体" w:cs="仿宋_GB2312"/>
          <w:color w:val="auto"/>
          <w:szCs w:val="21"/>
        </w:rPr>
        <w:t>致</w:t>
      </w:r>
      <w:r>
        <w:rPr>
          <w:rFonts w:hint="eastAsia" w:ascii="宋体" w:hAnsi="宋体" w:cs="仿宋_GB2312"/>
          <w:color w:val="auto"/>
          <w:szCs w:val="21"/>
          <w:u w:val="single"/>
        </w:rPr>
        <w:t xml:space="preserve">                 </w:t>
      </w:r>
      <w:r>
        <w:rPr>
          <w:rFonts w:hint="eastAsia" w:ascii="宋体" w:hAnsi="宋体" w:cs="仿宋_GB2312"/>
          <w:color w:val="auto"/>
          <w:szCs w:val="21"/>
        </w:rPr>
        <w:t xml:space="preserve"> （采购代理机构）：</w:t>
      </w:r>
    </w:p>
    <w:p w14:paraId="21DA615D">
      <w:pPr>
        <w:adjustRightInd w:val="0"/>
        <w:snapToGrid w:val="0"/>
        <w:spacing w:line="360" w:lineRule="auto"/>
        <w:ind w:firstLine="420" w:firstLineChars="200"/>
        <w:rPr>
          <w:rFonts w:ascii="宋体" w:hAnsi="宋体" w:cs="仿宋_GB2312"/>
          <w:color w:val="auto"/>
          <w:szCs w:val="21"/>
        </w:rPr>
      </w:pPr>
    </w:p>
    <w:p w14:paraId="279409AB">
      <w:pPr>
        <w:adjustRightInd w:val="0"/>
        <w:snapToGrid w:val="0"/>
        <w:spacing w:line="360" w:lineRule="auto"/>
        <w:ind w:firstLine="420" w:firstLineChars="200"/>
        <w:rPr>
          <w:rFonts w:ascii="宋体" w:hAnsi="宋体"/>
          <w:color w:val="auto"/>
          <w:szCs w:val="21"/>
        </w:rPr>
      </w:pPr>
      <w:r>
        <w:rPr>
          <w:rFonts w:hint="eastAsia" w:ascii="宋体" w:hAnsi="宋体" w:cs="仿宋_GB2312"/>
          <w:color w:val="auto"/>
          <w:szCs w:val="21"/>
        </w:rPr>
        <w:t>我们在贵单位组织的</w:t>
      </w:r>
      <w:r>
        <w:rPr>
          <w:rFonts w:hint="eastAsia" w:ascii="宋体" w:hAnsi="宋体"/>
          <w:color w:val="auto"/>
          <w:szCs w:val="21"/>
        </w:rPr>
        <w:t>（项目名称：</w:t>
      </w:r>
      <w:r>
        <w:rPr>
          <w:rFonts w:hint="eastAsia" w:ascii="宋体" w:hAnsi="宋体"/>
          <w:color w:val="auto"/>
          <w:szCs w:val="21"/>
          <w:u w:val="single"/>
        </w:rPr>
        <w:t xml:space="preserve">          </w:t>
      </w:r>
      <w:r>
        <w:rPr>
          <w:rFonts w:hint="eastAsia" w:ascii="宋体" w:hAnsi="宋体"/>
          <w:color w:val="auto"/>
          <w:szCs w:val="21"/>
        </w:rPr>
        <w:t xml:space="preserve"> ，</w:t>
      </w:r>
      <w:r>
        <w:rPr>
          <w:rFonts w:hint="eastAsia" w:ascii="宋体" w:hAnsi="宋体" w:cs="仿宋_GB2312"/>
          <w:color w:val="auto"/>
          <w:szCs w:val="21"/>
        </w:rPr>
        <w:t>采购代理编号：</w:t>
      </w:r>
      <w:r>
        <w:rPr>
          <w:rFonts w:hint="eastAsia" w:ascii="宋体" w:hAnsi="宋体"/>
          <w:color w:val="auto"/>
          <w:szCs w:val="21"/>
          <w:u w:val="single"/>
        </w:rPr>
        <w:t xml:space="preserve">         </w:t>
      </w:r>
      <w:r>
        <w:rPr>
          <w:rFonts w:hint="eastAsia" w:ascii="宋体" w:hAnsi="宋体"/>
          <w:color w:val="auto"/>
          <w:szCs w:val="21"/>
        </w:rPr>
        <w:t>）</w:t>
      </w:r>
      <w:r>
        <w:rPr>
          <w:rFonts w:hint="eastAsia" w:ascii="宋体" w:hAnsi="宋体" w:cs="仿宋_GB2312"/>
          <w:color w:val="auto"/>
          <w:szCs w:val="21"/>
        </w:rPr>
        <w:t>竞争性磋商采购中若获中标（成交），我们保证在收到中标通知书后5 个工作日内，按磋商文件的规定，以转账或现金，向贵公司一次性支付采购代理服务费用。否则，</w:t>
      </w:r>
      <w:r>
        <w:rPr>
          <w:rFonts w:hint="eastAsia" w:ascii="宋体" w:hAnsi="宋体"/>
          <w:color w:val="auto"/>
          <w:szCs w:val="21"/>
        </w:rPr>
        <w:t>由此产生的一切法律后果和责任由我公司承担。我公司声明放弃对此提出任何异议和追索的权利。</w:t>
      </w:r>
    </w:p>
    <w:p w14:paraId="6A2E6DE3">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特此承诺。</w:t>
      </w:r>
    </w:p>
    <w:p w14:paraId="0F26830A">
      <w:pPr>
        <w:adjustRightInd w:val="0"/>
        <w:snapToGrid w:val="0"/>
        <w:spacing w:line="360" w:lineRule="auto"/>
        <w:rPr>
          <w:rFonts w:asciiTheme="minorEastAsia" w:hAnsiTheme="minorEastAsia" w:eastAsiaTheme="minorEastAsia"/>
          <w:color w:val="auto"/>
          <w:szCs w:val="21"/>
        </w:rPr>
      </w:pPr>
    </w:p>
    <w:tbl>
      <w:tblPr>
        <w:tblStyle w:val="52"/>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7"/>
      </w:tblGrid>
      <w:tr w14:paraId="43C53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7" w:type="dxa"/>
          </w:tcPr>
          <w:p w14:paraId="1F56112B">
            <w:pPr>
              <w:adjustRightInd w:val="0"/>
              <w:snapToGrid w:val="0"/>
              <w:spacing w:line="360" w:lineRule="auto"/>
              <w:jc w:val="center"/>
              <w:rPr>
                <w:rFonts w:ascii="黑体" w:hAnsi="黑体" w:eastAsia="黑体"/>
                <w:color w:val="auto"/>
                <w:kern w:val="0"/>
                <w:sz w:val="28"/>
                <w:szCs w:val="28"/>
                <w:u w:val="single"/>
              </w:rPr>
            </w:pPr>
            <w:r>
              <w:rPr>
                <w:rFonts w:ascii="黑体" w:hAnsi="黑体" w:eastAsia="黑体"/>
                <w:color w:val="auto"/>
                <w:kern w:val="0"/>
                <w:sz w:val="28"/>
                <w:szCs w:val="28"/>
                <w:u w:val="single"/>
              </w:rPr>
              <w:t>开具</w:t>
            </w:r>
            <w:r>
              <w:rPr>
                <w:rFonts w:hint="eastAsia" w:ascii="黑体" w:hAnsi="黑体" w:eastAsia="黑体"/>
                <w:color w:val="auto"/>
                <w:kern w:val="0"/>
                <w:sz w:val="28"/>
                <w:szCs w:val="28"/>
                <w:u w:val="single"/>
              </w:rPr>
              <w:t>发票信息</w:t>
            </w:r>
          </w:p>
          <w:p w14:paraId="478DD9F5">
            <w:pPr>
              <w:adjustRightInd w:val="0"/>
              <w:snapToGrid w:val="0"/>
              <w:spacing w:line="360" w:lineRule="auto"/>
              <w:ind w:firstLine="420" w:firstLineChars="200"/>
              <w:rPr>
                <w:rFonts w:asciiTheme="minorEastAsia" w:hAnsiTheme="minorEastAsia" w:eastAsiaTheme="minorEastAsia"/>
                <w:color w:val="auto"/>
                <w:kern w:val="0"/>
                <w:sz w:val="20"/>
                <w:szCs w:val="21"/>
              </w:rPr>
            </w:pPr>
            <w:r>
              <w:rPr>
                <w:rFonts w:asciiTheme="minorEastAsia" w:hAnsiTheme="minorEastAsia" w:eastAsiaTheme="minorEastAsia"/>
                <w:color w:val="auto"/>
                <w:kern w:val="0"/>
                <w:szCs w:val="21"/>
              </w:rPr>
              <w:t>□</w:t>
            </w:r>
            <w:r>
              <w:rPr>
                <w:rFonts w:hint="eastAsia" w:asciiTheme="minorEastAsia" w:hAnsiTheme="minorEastAsia" w:eastAsiaTheme="minorEastAsia"/>
                <w:color w:val="auto"/>
                <w:kern w:val="0"/>
                <w:szCs w:val="21"/>
              </w:rPr>
              <w:t xml:space="preserve"> </w:t>
            </w:r>
            <w:r>
              <w:rPr>
                <w:rFonts w:asciiTheme="minorEastAsia" w:hAnsiTheme="minorEastAsia" w:eastAsiaTheme="minorEastAsia"/>
                <w:color w:val="auto"/>
                <w:kern w:val="0"/>
                <w:szCs w:val="21"/>
              </w:rPr>
              <w:t>增值税普通发票</w:t>
            </w:r>
          </w:p>
          <w:p w14:paraId="08636A40">
            <w:pPr>
              <w:adjustRightInd w:val="0"/>
              <w:snapToGrid w:val="0"/>
              <w:spacing w:line="360" w:lineRule="auto"/>
              <w:ind w:firstLine="420" w:firstLineChars="200"/>
              <w:rPr>
                <w:rFonts w:asciiTheme="minorEastAsia" w:hAnsiTheme="minorEastAsia" w:eastAsiaTheme="minorEastAsia"/>
                <w:color w:val="auto"/>
                <w:kern w:val="0"/>
                <w:sz w:val="20"/>
                <w:szCs w:val="21"/>
              </w:rPr>
            </w:pPr>
            <w:r>
              <w:rPr>
                <w:rFonts w:asciiTheme="minorEastAsia" w:hAnsiTheme="minorEastAsia" w:eastAsiaTheme="minorEastAsia"/>
                <w:color w:val="auto"/>
                <w:kern w:val="0"/>
                <w:szCs w:val="21"/>
              </w:rPr>
              <w:t>单位名称：</w:t>
            </w:r>
            <w:r>
              <w:rPr>
                <w:rFonts w:hint="eastAsia" w:ascii="宋体" w:hAnsi="宋体"/>
                <w:color w:val="auto"/>
                <w:kern w:val="0"/>
                <w:sz w:val="20"/>
                <w:szCs w:val="21"/>
                <w:u w:val="single"/>
              </w:rPr>
              <w:t xml:space="preserve">                   </w:t>
            </w:r>
          </w:p>
          <w:p w14:paraId="02119791">
            <w:pPr>
              <w:adjustRightInd w:val="0"/>
              <w:snapToGrid w:val="0"/>
              <w:spacing w:line="360" w:lineRule="auto"/>
              <w:ind w:firstLine="420" w:firstLineChars="200"/>
              <w:rPr>
                <w:rFonts w:asciiTheme="minorEastAsia" w:hAnsiTheme="minorEastAsia" w:eastAsiaTheme="minorEastAsia"/>
                <w:color w:val="auto"/>
                <w:kern w:val="0"/>
                <w:sz w:val="20"/>
                <w:szCs w:val="21"/>
              </w:rPr>
            </w:pPr>
            <w:r>
              <w:rPr>
                <w:rFonts w:asciiTheme="minorEastAsia" w:hAnsiTheme="minorEastAsia" w:eastAsiaTheme="minorEastAsia"/>
                <w:color w:val="auto"/>
                <w:kern w:val="0"/>
                <w:szCs w:val="21"/>
              </w:rPr>
              <w:t>纳税人识别号：</w:t>
            </w:r>
            <w:r>
              <w:rPr>
                <w:rFonts w:hint="eastAsia" w:ascii="宋体" w:hAnsi="宋体"/>
                <w:color w:val="auto"/>
                <w:kern w:val="0"/>
                <w:sz w:val="20"/>
                <w:szCs w:val="21"/>
                <w:u w:val="single"/>
              </w:rPr>
              <w:t xml:space="preserve">                   </w:t>
            </w:r>
          </w:p>
          <w:p w14:paraId="14FFBDFD">
            <w:pPr>
              <w:adjustRightInd w:val="0"/>
              <w:snapToGrid w:val="0"/>
              <w:spacing w:line="360" w:lineRule="auto"/>
              <w:ind w:firstLine="420" w:firstLineChars="200"/>
              <w:rPr>
                <w:rFonts w:asciiTheme="minorEastAsia" w:hAnsiTheme="minorEastAsia" w:eastAsiaTheme="minorEastAsia"/>
                <w:color w:val="auto"/>
                <w:kern w:val="0"/>
                <w:sz w:val="20"/>
                <w:szCs w:val="21"/>
              </w:rPr>
            </w:pPr>
            <w:r>
              <w:rPr>
                <w:rFonts w:asciiTheme="minorEastAsia" w:hAnsiTheme="minorEastAsia" w:eastAsiaTheme="minorEastAsia"/>
                <w:color w:val="auto"/>
                <w:kern w:val="0"/>
                <w:szCs w:val="21"/>
              </w:rPr>
              <w:t>地址：</w:t>
            </w:r>
            <w:r>
              <w:rPr>
                <w:rFonts w:hint="eastAsia" w:ascii="宋体" w:hAnsi="宋体"/>
                <w:color w:val="auto"/>
                <w:kern w:val="0"/>
                <w:sz w:val="20"/>
                <w:szCs w:val="21"/>
                <w:u w:val="single"/>
              </w:rPr>
              <w:t xml:space="preserve">                   </w:t>
            </w:r>
          </w:p>
          <w:p w14:paraId="5F8D752D">
            <w:pPr>
              <w:adjustRightInd w:val="0"/>
              <w:snapToGrid w:val="0"/>
              <w:spacing w:line="360" w:lineRule="auto"/>
              <w:ind w:firstLine="420" w:firstLineChars="200"/>
              <w:rPr>
                <w:rFonts w:asciiTheme="minorEastAsia" w:hAnsiTheme="minorEastAsia" w:eastAsiaTheme="minorEastAsia"/>
                <w:color w:val="auto"/>
                <w:kern w:val="0"/>
                <w:sz w:val="20"/>
                <w:szCs w:val="21"/>
              </w:rPr>
            </w:pPr>
            <w:r>
              <w:rPr>
                <w:rFonts w:asciiTheme="minorEastAsia" w:hAnsiTheme="minorEastAsia" w:eastAsiaTheme="minorEastAsia"/>
                <w:color w:val="auto"/>
                <w:kern w:val="0"/>
                <w:szCs w:val="21"/>
              </w:rPr>
              <w:t>电话：</w:t>
            </w:r>
            <w:r>
              <w:rPr>
                <w:rFonts w:hint="eastAsia" w:ascii="宋体" w:hAnsi="宋体"/>
                <w:color w:val="auto"/>
                <w:kern w:val="0"/>
                <w:sz w:val="20"/>
                <w:szCs w:val="21"/>
                <w:u w:val="single"/>
              </w:rPr>
              <w:t xml:space="preserve">                   </w:t>
            </w:r>
          </w:p>
          <w:p w14:paraId="73252833">
            <w:pPr>
              <w:adjustRightInd w:val="0"/>
              <w:snapToGrid w:val="0"/>
              <w:spacing w:line="360" w:lineRule="auto"/>
              <w:ind w:firstLine="420" w:firstLineChars="200"/>
              <w:rPr>
                <w:rFonts w:asciiTheme="minorEastAsia" w:hAnsiTheme="minorEastAsia" w:eastAsiaTheme="minorEastAsia"/>
                <w:color w:val="auto"/>
                <w:kern w:val="0"/>
                <w:sz w:val="20"/>
                <w:szCs w:val="21"/>
              </w:rPr>
            </w:pPr>
            <w:r>
              <w:rPr>
                <w:rFonts w:asciiTheme="minorEastAsia" w:hAnsiTheme="minorEastAsia" w:eastAsiaTheme="minorEastAsia"/>
                <w:color w:val="auto"/>
                <w:kern w:val="0"/>
                <w:szCs w:val="21"/>
              </w:rPr>
              <w:t>开户行：</w:t>
            </w:r>
            <w:r>
              <w:rPr>
                <w:rFonts w:hint="eastAsia" w:ascii="宋体" w:hAnsi="宋体"/>
                <w:color w:val="auto"/>
                <w:kern w:val="0"/>
                <w:sz w:val="20"/>
                <w:szCs w:val="21"/>
                <w:u w:val="single"/>
              </w:rPr>
              <w:t xml:space="preserve">                   </w:t>
            </w:r>
          </w:p>
          <w:p w14:paraId="7800B49C">
            <w:pPr>
              <w:adjustRightInd w:val="0"/>
              <w:snapToGrid w:val="0"/>
              <w:spacing w:line="360" w:lineRule="auto"/>
              <w:ind w:firstLine="420" w:firstLineChars="200"/>
              <w:rPr>
                <w:rFonts w:asciiTheme="minorEastAsia" w:hAnsiTheme="minorEastAsia" w:eastAsiaTheme="minorEastAsia"/>
                <w:color w:val="auto"/>
                <w:kern w:val="0"/>
                <w:sz w:val="20"/>
                <w:szCs w:val="21"/>
              </w:rPr>
            </w:pPr>
            <w:r>
              <w:rPr>
                <w:rFonts w:asciiTheme="minorEastAsia" w:hAnsiTheme="minorEastAsia" w:eastAsiaTheme="minorEastAsia"/>
                <w:color w:val="auto"/>
                <w:kern w:val="0"/>
                <w:szCs w:val="21"/>
              </w:rPr>
              <w:t>账号：</w:t>
            </w:r>
            <w:r>
              <w:rPr>
                <w:rFonts w:hint="eastAsia" w:ascii="宋体" w:hAnsi="宋体"/>
                <w:color w:val="auto"/>
                <w:kern w:val="0"/>
                <w:sz w:val="20"/>
                <w:szCs w:val="21"/>
                <w:u w:val="single"/>
              </w:rPr>
              <w:t xml:space="preserve">                   </w:t>
            </w:r>
          </w:p>
        </w:tc>
      </w:tr>
    </w:tbl>
    <w:p w14:paraId="2D8E1268">
      <w:pPr>
        <w:adjustRightInd w:val="0"/>
        <w:snapToGrid w:val="0"/>
        <w:spacing w:line="360" w:lineRule="auto"/>
        <w:ind w:firstLine="420" w:firstLineChars="200"/>
        <w:rPr>
          <w:rFonts w:asciiTheme="minorEastAsia" w:hAnsiTheme="minorEastAsia" w:eastAsiaTheme="minorEastAsia"/>
          <w:color w:val="auto"/>
          <w:szCs w:val="21"/>
        </w:rPr>
      </w:pPr>
    </w:p>
    <w:p w14:paraId="61815814">
      <w:pPr>
        <w:adjustRightInd w:val="0"/>
        <w:snapToGrid w:val="0"/>
        <w:spacing w:line="360" w:lineRule="auto"/>
        <w:rPr>
          <w:rFonts w:ascii="宋体" w:hAnsi="宋体" w:cs="仿宋_GB2312"/>
          <w:color w:val="auto"/>
          <w:szCs w:val="21"/>
        </w:rPr>
      </w:pPr>
      <w:r>
        <w:rPr>
          <w:rFonts w:ascii="宋体" w:hAnsi="宋体" w:cs="仿宋_GB2312"/>
          <w:color w:val="auto"/>
          <w:szCs w:val="21"/>
        </w:rPr>
        <w:t xml:space="preserve">           </w:t>
      </w:r>
    </w:p>
    <w:p w14:paraId="55C24974">
      <w:pPr>
        <w:adjustRightInd w:val="0"/>
        <w:snapToGrid w:val="0"/>
        <w:spacing w:line="360" w:lineRule="auto"/>
        <w:rPr>
          <w:rFonts w:ascii="宋体" w:hAnsi="宋体"/>
          <w:color w:val="auto"/>
          <w:szCs w:val="21"/>
          <w:u w:val="single"/>
        </w:rPr>
      </w:pPr>
      <w:r>
        <w:rPr>
          <w:rFonts w:hint="eastAsia" w:ascii="宋体" w:hAnsi="宋体"/>
          <w:color w:val="auto"/>
          <w:szCs w:val="21"/>
        </w:rPr>
        <w:t>供应商名称（盖单位章）：</w:t>
      </w:r>
      <w:r>
        <w:rPr>
          <w:rFonts w:hint="eastAsia" w:ascii="宋体" w:hAnsi="宋体"/>
          <w:color w:val="auto"/>
          <w:szCs w:val="21"/>
          <w:u w:val="single"/>
        </w:rPr>
        <w:t xml:space="preserve">                             </w:t>
      </w:r>
    </w:p>
    <w:p w14:paraId="763D1F3B">
      <w:pPr>
        <w:adjustRightInd w:val="0"/>
        <w:snapToGrid w:val="0"/>
        <w:spacing w:line="360" w:lineRule="auto"/>
        <w:rPr>
          <w:rFonts w:ascii="宋体" w:hAnsi="宋体"/>
          <w:color w:val="auto"/>
          <w:szCs w:val="21"/>
        </w:rPr>
      </w:pPr>
      <w:r>
        <w:rPr>
          <w:rFonts w:hint="eastAsia" w:cs="微软雅黑" w:asciiTheme="minorEastAsia" w:hAnsiTheme="minorEastAsia" w:eastAsiaTheme="minorEastAsia"/>
          <w:color w:val="auto"/>
          <w:spacing w:val="-2"/>
          <w:kern w:val="0"/>
          <w:szCs w:val="21"/>
        </w:rPr>
        <w:t xml:space="preserve">法定代表人或其委托代理人 </w:t>
      </w:r>
      <w:r>
        <w:rPr>
          <w:rFonts w:hint="eastAsia" w:ascii="宋体" w:hAnsi="宋体"/>
          <w:color w:val="auto"/>
          <w:szCs w:val="21"/>
        </w:rPr>
        <w:t>（签字或印章）：</w:t>
      </w:r>
      <w:r>
        <w:rPr>
          <w:rFonts w:hint="eastAsia" w:ascii="宋体" w:hAnsi="宋体"/>
          <w:color w:val="auto"/>
          <w:szCs w:val="21"/>
          <w:u w:val="single"/>
        </w:rPr>
        <w:t xml:space="preserve">                     </w:t>
      </w:r>
    </w:p>
    <w:p w14:paraId="3A8D9DAB">
      <w:pPr>
        <w:adjustRightInd w:val="0"/>
        <w:snapToGrid w:val="0"/>
        <w:spacing w:before="50" w:line="360" w:lineRule="auto"/>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437DAF1D">
      <w:pPr>
        <w:pStyle w:val="28"/>
        <w:adjustRightInd w:val="0"/>
        <w:snapToGrid w:val="0"/>
        <w:spacing w:before="156" w:beforeLines="50" w:line="360" w:lineRule="auto"/>
        <w:rPr>
          <w:rFonts w:hAnsi="宋体"/>
          <w:color w:val="auto"/>
        </w:rPr>
      </w:pPr>
    </w:p>
    <w:p w14:paraId="3880B6D1">
      <w:pPr>
        <w:pStyle w:val="28"/>
        <w:adjustRightInd w:val="0"/>
        <w:snapToGrid w:val="0"/>
        <w:spacing w:before="156" w:beforeLines="50" w:line="360" w:lineRule="auto"/>
        <w:rPr>
          <w:rFonts w:hAnsi="宋体"/>
          <w:color w:val="auto"/>
        </w:rPr>
      </w:pPr>
      <w:r>
        <w:rPr>
          <w:rFonts w:hint="eastAsia" w:hAnsi="宋体"/>
          <w:b/>
          <w:bCs/>
          <w:color w:val="auto"/>
          <w:sz w:val="28"/>
          <w:szCs w:val="28"/>
        </w:rPr>
        <w:t>备注：采购代理服务费由采购人支付的无需提供。</w:t>
      </w:r>
    </w:p>
    <w:p w14:paraId="4CECC69A">
      <w:pPr>
        <w:pStyle w:val="28"/>
        <w:adjustRightInd w:val="0"/>
        <w:snapToGrid w:val="0"/>
        <w:spacing w:before="156" w:beforeLines="50" w:line="360" w:lineRule="auto"/>
        <w:rPr>
          <w:rFonts w:hAnsi="宋体"/>
          <w:color w:val="auto"/>
        </w:rPr>
      </w:pPr>
    </w:p>
    <w:p w14:paraId="34FB23FE">
      <w:pPr>
        <w:pStyle w:val="28"/>
        <w:adjustRightInd w:val="0"/>
        <w:snapToGrid w:val="0"/>
        <w:spacing w:before="156" w:beforeLines="50" w:line="360" w:lineRule="auto"/>
        <w:rPr>
          <w:rFonts w:hAnsi="宋体"/>
          <w:color w:val="auto"/>
        </w:rPr>
      </w:pPr>
    </w:p>
    <w:p w14:paraId="3B119FE1">
      <w:pPr>
        <w:pStyle w:val="28"/>
        <w:adjustRightInd w:val="0"/>
        <w:snapToGrid w:val="0"/>
        <w:spacing w:before="156" w:beforeLines="50" w:line="360" w:lineRule="auto"/>
        <w:rPr>
          <w:rFonts w:hAnsi="宋体"/>
          <w:color w:val="auto"/>
        </w:rPr>
      </w:pPr>
    </w:p>
    <w:p w14:paraId="1B570DC6">
      <w:pPr>
        <w:adjustRightInd w:val="0"/>
        <w:snapToGrid w:val="0"/>
        <w:spacing w:line="360" w:lineRule="auto"/>
        <w:jc w:val="center"/>
        <w:rPr>
          <w:rFonts w:ascii="宋体" w:hAnsi="宋体"/>
          <w:b/>
          <w:color w:val="auto"/>
          <w:sz w:val="32"/>
          <w:szCs w:val="32"/>
        </w:rPr>
      </w:pPr>
    </w:p>
    <w:p w14:paraId="335F05FC">
      <w:pPr>
        <w:adjustRightInd w:val="0"/>
        <w:snapToGrid w:val="0"/>
        <w:spacing w:line="360" w:lineRule="auto"/>
        <w:jc w:val="center"/>
        <w:outlineLvl w:val="1"/>
        <w:rPr>
          <w:rFonts w:ascii="宋体" w:hAnsi="宋体"/>
          <w:b/>
          <w:bCs/>
          <w:color w:val="auto"/>
          <w:sz w:val="32"/>
          <w:szCs w:val="32"/>
        </w:rPr>
      </w:pPr>
      <w:bookmarkStart w:id="52" w:name="_Toc8046"/>
      <w:bookmarkStart w:id="53" w:name="_Toc21771"/>
      <w:bookmarkStart w:id="54" w:name="_Toc31039"/>
      <w:r>
        <w:rPr>
          <w:rFonts w:hint="eastAsia" w:ascii="宋体" w:hAnsi="宋体"/>
          <w:b/>
          <w:color w:val="auto"/>
          <w:sz w:val="32"/>
          <w:szCs w:val="32"/>
        </w:rPr>
        <w:t>三、供应商</w:t>
      </w:r>
      <w:r>
        <w:rPr>
          <w:rFonts w:hint="eastAsia" w:ascii="宋体" w:hAnsi="宋体"/>
          <w:b/>
          <w:bCs/>
          <w:color w:val="auto"/>
          <w:sz w:val="32"/>
          <w:szCs w:val="32"/>
        </w:rPr>
        <w:t>的资格证明材料</w:t>
      </w:r>
      <w:bookmarkEnd w:id="52"/>
      <w:bookmarkEnd w:id="53"/>
      <w:bookmarkEnd w:id="54"/>
    </w:p>
    <w:p w14:paraId="358C4287">
      <w:pPr>
        <w:spacing w:line="480" w:lineRule="exact"/>
        <w:rPr>
          <w:rFonts w:ascii="宋体" w:hAnsi="宋体"/>
          <w:b/>
          <w:color w:val="auto"/>
          <w:sz w:val="24"/>
        </w:rPr>
      </w:pPr>
      <w:r>
        <w:rPr>
          <w:rFonts w:hint="eastAsia" w:ascii="宋体" w:hAnsi="宋体"/>
          <w:b/>
          <w:color w:val="auto"/>
          <w:sz w:val="24"/>
        </w:rPr>
        <w:t>附件5</w:t>
      </w:r>
    </w:p>
    <w:p w14:paraId="7272BF86">
      <w:pPr>
        <w:adjustRightInd w:val="0"/>
        <w:snapToGrid w:val="0"/>
        <w:spacing w:line="360" w:lineRule="auto"/>
        <w:jc w:val="center"/>
        <w:rPr>
          <w:rFonts w:ascii="宋体" w:hAnsi="宋体"/>
          <w:b/>
          <w:color w:val="auto"/>
          <w:sz w:val="24"/>
        </w:rPr>
      </w:pPr>
      <w:r>
        <w:rPr>
          <w:rFonts w:hint="eastAsia" w:ascii="宋体" w:hAnsi="宋体"/>
          <w:b/>
          <w:color w:val="auto"/>
          <w:sz w:val="24"/>
        </w:rPr>
        <w:t>供应商基本情况表</w:t>
      </w:r>
    </w:p>
    <w:p w14:paraId="36135BA5">
      <w:pPr>
        <w:adjustRightInd w:val="0"/>
        <w:snapToGrid w:val="0"/>
        <w:spacing w:line="360" w:lineRule="auto"/>
        <w:rPr>
          <w:rFonts w:ascii="宋体" w:hAnsi="宋体"/>
          <w:color w:val="auto"/>
          <w:szCs w:val="21"/>
        </w:rPr>
      </w:pPr>
      <w:r>
        <w:rPr>
          <w:rFonts w:hint="eastAsia" w:ascii="宋体" w:hAnsi="宋体"/>
          <w:color w:val="auto"/>
          <w:szCs w:val="21"/>
        </w:rPr>
        <w:t>盖供应商单位章</w:t>
      </w:r>
    </w:p>
    <w:tbl>
      <w:tblPr>
        <w:tblStyle w:val="51"/>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780"/>
        <w:gridCol w:w="725"/>
        <w:gridCol w:w="850"/>
        <w:gridCol w:w="590"/>
        <w:gridCol w:w="294"/>
        <w:gridCol w:w="1083"/>
        <w:gridCol w:w="1329"/>
        <w:gridCol w:w="2101"/>
      </w:tblGrid>
      <w:tr w14:paraId="575933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2038" w:type="dxa"/>
            <w:gridSpan w:val="3"/>
            <w:tcBorders>
              <w:top w:val="double" w:color="auto" w:sz="4" w:space="0"/>
              <w:left w:val="double" w:color="auto" w:sz="4" w:space="0"/>
              <w:bottom w:val="single" w:color="auto" w:sz="6" w:space="0"/>
              <w:right w:val="single" w:color="auto" w:sz="6" w:space="0"/>
            </w:tcBorders>
            <w:vAlign w:val="center"/>
          </w:tcPr>
          <w:p w14:paraId="08805227">
            <w:pPr>
              <w:topLinePunct/>
              <w:spacing w:line="440" w:lineRule="exact"/>
              <w:jc w:val="center"/>
              <w:rPr>
                <w:rFonts w:ascii="宋体" w:hAnsi="宋体"/>
                <w:color w:val="auto"/>
                <w:szCs w:val="21"/>
              </w:rPr>
            </w:pPr>
            <w:r>
              <w:rPr>
                <w:rFonts w:hint="eastAsia" w:ascii="宋体" w:hAnsi="宋体"/>
                <w:color w:val="auto"/>
                <w:szCs w:val="21"/>
              </w:rPr>
              <w:t>供应商名称</w:t>
            </w:r>
          </w:p>
        </w:tc>
        <w:tc>
          <w:tcPr>
            <w:tcW w:w="3542" w:type="dxa"/>
            <w:gridSpan w:val="5"/>
            <w:tcBorders>
              <w:top w:val="double" w:color="auto" w:sz="4" w:space="0"/>
              <w:left w:val="single" w:color="auto" w:sz="6" w:space="0"/>
              <w:bottom w:val="single" w:color="auto" w:sz="6" w:space="0"/>
              <w:right w:val="single" w:color="auto" w:sz="6" w:space="0"/>
            </w:tcBorders>
            <w:vAlign w:val="center"/>
          </w:tcPr>
          <w:p w14:paraId="6D665AB3">
            <w:pPr>
              <w:topLinePunct/>
              <w:spacing w:line="440" w:lineRule="exact"/>
              <w:jc w:val="center"/>
              <w:rPr>
                <w:rFonts w:ascii="宋体" w:hAnsi="宋体"/>
                <w:color w:val="auto"/>
                <w:szCs w:val="21"/>
              </w:rPr>
            </w:pPr>
          </w:p>
        </w:tc>
        <w:tc>
          <w:tcPr>
            <w:tcW w:w="1329" w:type="dxa"/>
            <w:tcBorders>
              <w:top w:val="double" w:color="auto" w:sz="4" w:space="0"/>
              <w:left w:val="single" w:color="auto" w:sz="6" w:space="0"/>
              <w:bottom w:val="single" w:color="auto" w:sz="6" w:space="0"/>
              <w:right w:val="single" w:color="auto" w:sz="6" w:space="0"/>
            </w:tcBorders>
            <w:vAlign w:val="center"/>
          </w:tcPr>
          <w:p w14:paraId="2832239F">
            <w:pPr>
              <w:topLinePunct/>
              <w:spacing w:line="440" w:lineRule="exact"/>
              <w:jc w:val="center"/>
              <w:rPr>
                <w:rFonts w:ascii="宋体" w:hAnsi="宋体"/>
                <w:color w:val="auto"/>
                <w:szCs w:val="21"/>
              </w:rPr>
            </w:pPr>
            <w:r>
              <w:rPr>
                <w:rFonts w:hint="eastAsia" w:ascii="宋体" w:hAnsi="宋体"/>
                <w:color w:val="auto"/>
                <w:szCs w:val="21"/>
              </w:rPr>
              <w:t>法定代表人</w:t>
            </w:r>
          </w:p>
        </w:tc>
        <w:tc>
          <w:tcPr>
            <w:tcW w:w="2101" w:type="dxa"/>
            <w:tcBorders>
              <w:top w:val="double" w:color="auto" w:sz="4" w:space="0"/>
              <w:left w:val="single" w:color="auto" w:sz="6" w:space="0"/>
              <w:bottom w:val="single" w:color="auto" w:sz="6" w:space="0"/>
              <w:right w:val="double" w:color="auto" w:sz="4" w:space="0"/>
            </w:tcBorders>
            <w:vAlign w:val="center"/>
          </w:tcPr>
          <w:p w14:paraId="28C7F791">
            <w:pPr>
              <w:topLinePunct/>
              <w:spacing w:line="440" w:lineRule="exact"/>
              <w:jc w:val="center"/>
              <w:rPr>
                <w:rFonts w:ascii="宋体" w:hAnsi="宋体"/>
                <w:color w:val="auto"/>
                <w:szCs w:val="21"/>
              </w:rPr>
            </w:pPr>
          </w:p>
        </w:tc>
      </w:tr>
      <w:tr w14:paraId="035204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2038" w:type="dxa"/>
            <w:gridSpan w:val="3"/>
            <w:tcBorders>
              <w:top w:val="single" w:color="auto" w:sz="6" w:space="0"/>
              <w:left w:val="double" w:color="auto" w:sz="4" w:space="0"/>
              <w:bottom w:val="single" w:color="auto" w:sz="6" w:space="0"/>
              <w:right w:val="single" w:color="auto" w:sz="6" w:space="0"/>
            </w:tcBorders>
            <w:vAlign w:val="center"/>
          </w:tcPr>
          <w:p w14:paraId="3FCEC101">
            <w:pPr>
              <w:topLinePunct/>
              <w:spacing w:line="440" w:lineRule="exact"/>
              <w:jc w:val="center"/>
              <w:rPr>
                <w:rFonts w:ascii="宋体" w:hAnsi="宋体"/>
                <w:color w:val="auto"/>
                <w:szCs w:val="21"/>
              </w:rPr>
            </w:pPr>
            <w:r>
              <w:rPr>
                <w:rFonts w:hint="eastAsia" w:ascii="宋体" w:hAnsi="宋体"/>
                <w:color w:val="auto"/>
                <w:szCs w:val="21"/>
              </w:rPr>
              <w:t>统一社会信用代码</w:t>
            </w:r>
          </w:p>
        </w:tc>
        <w:tc>
          <w:tcPr>
            <w:tcW w:w="3542" w:type="dxa"/>
            <w:gridSpan w:val="5"/>
            <w:tcBorders>
              <w:top w:val="single" w:color="auto" w:sz="6" w:space="0"/>
              <w:left w:val="single" w:color="auto" w:sz="6" w:space="0"/>
              <w:bottom w:val="single" w:color="auto" w:sz="6" w:space="0"/>
              <w:right w:val="single" w:color="auto" w:sz="6" w:space="0"/>
            </w:tcBorders>
            <w:vAlign w:val="center"/>
          </w:tcPr>
          <w:p w14:paraId="756BCC2D">
            <w:pPr>
              <w:topLinePunct/>
              <w:spacing w:line="440" w:lineRule="exact"/>
              <w:jc w:val="center"/>
              <w:rPr>
                <w:rFonts w:ascii="宋体" w:hAnsi="宋体"/>
                <w:color w:val="auto"/>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378440AC">
            <w:pPr>
              <w:topLinePunct/>
              <w:spacing w:line="440" w:lineRule="exact"/>
              <w:jc w:val="center"/>
              <w:rPr>
                <w:rFonts w:ascii="宋体" w:hAnsi="宋体"/>
                <w:color w:val="auto"/>
                <w:szCs w:val="21"/>
              </w:rPr>
            </w:pPr>
            <w:r>
              <w:rPr>
                <w:rFonts w:hint="eastAsia" w:ascii="宋体" w:hAnsi="宋体"/>
                <w:color w:val="auto"/>
                <w:szCs w:val="21"/>
              </w:rPr>
              <w:t>邮政编码</w:t>
            </w:r>
          </w:p>
        </w:tc>
        <w:tc>
          <w:tcPr>
            <w:tcW w:w="2101" w:type="dxa"/>
            <w:tcBorders>
              <w:top w:val="single" w:color="auto" w:sz="6" w:space="0"/>
              <w:left w:val="single" w:color="auto" w:sz="6" w:space="0"/>
              <w:bottom w:val="single" w:color="auto" w:sz="6" w:space="0"/>
              <w:right w:val="double" w:color="auto" w:sz="4" w:space="0"/>
            </w:tcBorders>
            <w:vAlign w:val="center"/>
          </w:tcPr>
          <w:p w14:paraId="278E49F2">
            <w:pPr>
              <w:topLinePunct/>
              <w:spacing w:line="440" w:lineRule="exact"/>
              <w:jc w:val="center"/>
              <w:rPr>
                <w:rFonts w:ascii="宋体" w:hAnsi="宋体"/>
                <w:color w:val="auto"/>
                <w:szCs w:val="21"/>
              </w:rPr>
            </w:pPr>
          </w:p>
        </w:tc>
      </w:tr>
      <w:tr w14:paraId="403036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2038" w:type="dxa"/>
            <w:gridSpan w:val="3"/>
            <w:tcBorders>
              <w:top w:val="single" w:color="auto" w:sz="6" w:space="0"/>
              <w:left w:val="double" w:color="auto" w:sz="4" w:space="0"/>
              <w:bottom w:val="single" w:color="auto" w:sz="6" w:space="0"/>
              <w:right w:val="single" w:color="auto" w:sz="6" w:space="0"/>
            </w:tcBorders>
            <w:vAlign w:val="center"/>
          </w:tcPr>
          <w:p w14:paraId="0EE3759C">
            <w:pPr>
              <w:topLinePunct/>
              <w:spacing w:line="440" w:lineRule="exact"/>
              <w:jc w:val="center"/>
              <w:rPr>
                <w:rFonts w:ascii="宋体" w:hAnsi="宋体"/>
                <w:color w:val="auto"/>
                <w:szCs w:val="21"/>
              </w:rPr>
            </w:pPr>
            <w:r>
              <w:rPr>
                <w:rFonts w:hint="eastAsia" w:ascii="宋体" w:hAnsi="宋体"/>
                <w:color w:val="auto"/>
                <w:szCs w:val="21"/>
              </w:rPr>
              <w:t>委托代理人</w:t>
            </w:r>
          </w:p>
        </w:tc>
        <w:tc>
          <w:tcPr>
            <w:tcW w:w="3542" w:type="dxa"/>
            <w:gridSpan w:val="5"/>
            <w:tcBorders>
              <w:top w:val="single" w:color="auto" w:sz="6" w:space="0"/>
              <w:left w:val="single" w:color="auto" w:sz="6" w:space="0"/>
              <w:bottom w:val="single" w:color="auto" w:sz="6" w:space="0"/>
              <w:right w:val="single" w:color="auto" w:sz="6" w:space="0"/>
            </w:tcBorders>
            <w:vAlign w:val="center"/>
          </w:tcPr>
          <w:p w14:paraId="262D2F25">
            <w:pPr>
              <w:topLinePunct/>
              <w:spacing w:line="440" w:lineRule="exact"/>
              <w:jc w:val="center"/>
              <w:rPr>
                <w:rFonts w:ascii="宋体" w:hAnsi="宋体"/>
                <w:color w:val="auto"/>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0D593AA6">
            <w:pPr>
              <w:topLinePunct/>
              <w:spacing w:line="440" w:lineRule="exact"/>
              <w:jc w:val="center"/>
              <w:rPr>
                <w:rFonts w:ascii="宋体" w:hAnsi="宋体"/>
                <w:color w:val="auto"/>
                <w:szCs w:val="21"/>
              </w:rPr>
            </w:pPr>
            <w:r>
              <w:rPr>
                <w:rFonts w:hint="eastAsia" w:ascii="宋体" w:hAnsi="宋体"/>
                <w:color w:val="auto"/>
                <w:szCs w:val="21"/>
              </w:rPr>
              <w:t>电子邮箱</w:t>
            </w:r>
          </w:p>
        </w:tc>
        <w:tc>
          <w:tcPr>
            <w:tcW w:w="2101" w:type="dxa"/>
            <w:tcBorders>
              <w:top w:val="single" w:color="auto" w:sz="6" w:space="0"/>
              <w:left w:val="single" w:color="auto" w:sz="6" w:space="0"/>
              <w:bottom w:val="single" w:color="auto" w:sz="6" w:space="0"/>
              <w:right w:val="double" w:color="auto" w:sz="4" w:space="0"/>
            </w:tcBorders>
            <w:vAlign w:val="center"/>
          </w:tcPr>
          <w:p w14:paraId="724B0375">
            <w:pPr>
              <w:topLinePunct/>
              <w:spacing w:line="440" w:lineRule="exact"/>
              <w:jc w:val="center"/>
              <w:rPr>
                <w:rFonts w:ascii="宋体" w:hAnsi="宋体"/>
                <w:color w:val="auto"/>
                <w:szCs w:val="21"/>
              </w:rPr>
            </w:pPr>
          </w:p>
        </w:tc>
      </w:tr>
      <w:tr w14:paraId="12C797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2038" w:type="dxa"/>
            <w:gridSpan w:val="3"/>
            <w:tcBorders>
              <w:top w:val="single" w:color="auto" w:sz="6" w:space="0"/>
              <w:left w:val="double" w:color="auto" w:sz="4" w:space="0"/>
              <w:bottom w:val="single" w:color="auto" w:sz="6" w:space="0"/>
              <w:right w:val="single" w:color="auto" w:sz="6" w:space="0"/>
            </w:tcBorders>
            <w:vAlign w:val="center"/>
          </w:tcPr>
          <w:p w14:paraId="13BA97C2">
            <w:pPr>
              <w:topLinePunct/>
              <w:spacing w:line="440" w:lineRule="exact"/>
              <w:jc w:val="center"/>
              <w:rPr>
                <w:rFonts w:ascii="宋体" w:hAnsi="宋体"/>
                <w:color w:val="auto"/>
                <w:szCs w:val="21"/>
              </w:rPr>
            </w:pPr>
            <w:r>
              <w:rPr>
                <w:rFonts w:hint="eastAsia" w:ascii="宋体" w:hAnsi="宋体"/>
                <w:color w:val="auto"/>
                <w:szCs w:val="21"/>
              </w:rPr>
              <w:t>上年营业收入</w:t>
            </w:r>
          </w:p>
        </w:tc>
        <w:tc>
          <w:tcPr>
            <w:tcW w:w="3542" w:type="dxa"/>
            <w:gridSpan w:val="5"/>
            <w:tcBorders>
              <w:top w:val="single" w:color="auto" w:sz="6" w:space="0"/>
              <w:left w:val="single" w:color="auto" w:sz="6" w:space="0"/>
              <w:bottom w:val="single" w:color="auto" w:sz="6" w:space="0"/>
              <w:right w:val="single" w:color="auto" w:sz="6" w:space="0"/>
            </w:tcBorders>
            <w:vAlign w:val="center"/>
          </w:tcPr>
          <w:p w14:paraId="51DF2CF7">
            <w:pPr>
              <w:topLinePunct/>
              <w:spacing w:line="440" w:lineRule="exact"/>
              <w:jc w:val="center"/>
              <w:rPr>
                <w:rFonts w:ascii="宋体" w:hAnsi="宋体"/>
                <w:color w:val="auto"/>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3E0678D3">
            <w:pPr>
              <w:topLinePunct/>
              <w:spacing w:line="440" w:lineRule="exact"/>
              <w:jc w:val="center"/>
              <w:rPr>
                <w:rFonts w:ascii="宋体" w:hAnsi="宋体"/>
                <w:color w:val="auto"/>
                <w:szCs w:val="21"/>
              </w:rPr>
            </w:pPr>
            <w:r>
              <w:rPr>
                <w:rFonts w:hint="eastAsia" w:ascii="宋体" w:hAnsi="宋体"/>
                <w:color w:val="auto"/>
                <w:szCs w:val="21"/>
              </w:rPr>
              <w:t>员工总人数</w:t>
            </w:r>
          </w:p>
        </w:tc>
        <w:tc>
          <w:tcPr>
            <w:tcW w:w="2101" w:type="dxa"/>
            <w:tcBorders>
              <w:top w:val="single" w:color="auto" w:sz="6" w:space="0"/>
              <w:left w:val="single" w:color="auto" w:sz="6" w:space="0"/>
              <w:bottom w:val="single" w:color="auto" w:sz="6" w:space="0"/>
              <w:right w:val="double" w:color="auto" w:sz="4" w:space="0"/>
            </w:tcBorders>
            <w:vAlign w:val="center"/>
          </w:tcPr>
          <w:p w14:paraId="35B9D5EB">
            <w:pPr>
              <w:topLinePunct/>
              <w:spacing w:line="440" w:lineRule="exact"/>
              <w:jc w:val="center"/>
              <w:rPr>
                <w:rFonts w:ascii="宋体" w:hAnsi="宋体"/>
                <w:color w:val="auto"/>
                <w:szCs w:val="21"/>
              </w:rPr>
            </w:pPr>
          </w:p>
        </w:tc>
      </w:tr>
      <w:tr w14:paraId="2C6EC9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restart"/>
            <w:tcBorders>
              <w:top w:val="single" w:color="auto" w:sz="6" w:space="0"/>
              <w:left w:val="double" w:color="auto" w:sz="4" w:space="0"/>
              <w:bottom w:val="single" w:color="auto" w:sz="6" w:space="0"/>
              <w:right w:val="single" w:color="auto" w:sz="6" w:space="0"/>
            </w:tcBorders>
            <w:vAlign w:val="center"/>
          </w:tcPr>
          <w:p w14:paraId="09DAC788">
            <w:pPr>
              <w:topLinePunct/>
              <w:spacing w:line="440" w:lineRule="exact"/>
              <w:jc w:val="center"/>
              <w:rPr>
                <w:rFonts w:ascii="宋体" w:hAnsi="宋体"/>
                <w:color w:val="auto"/>
                <w:szCs w:val="21"/>
              </w:rPr>
            </w:pPr>
            <w:r>
              <w:rPr>
                <w:rFonts w:hint="eastAsia" w:ascii="宋体" w:hAnsi="宋体"/>
                <w:color w:val="auto"/>
                <w:szCs w:val="21"/>
              </w:rPr>
              <w:t>营业执照</w:t>
            </w: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519994EC">
            <w:pPr>
              <w:topLinePunct/>
              <w:spacing w:line="440" w:lineRule="exact"/>
              <w:jc w:val="center"/>
              <w:rPr>
                <w:rFonts w:ascii="宋体" w:hAnsi="宋体"/>
                <w:color w:val="auto"/>
                <w:szCs w:val="21"/>
              </w:rPr>
            </w:pPr>
            <w:r>
              <w:rPr>
                <w:rFonts w:hint="eastAsia" w:ascii="宋体" w:hAnsi="宋体"/>
                <w:color w:val="auto"/>
                <w:szCs w:val="21"/>
              </w:rPr>
              <w:t>注册号码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3C93DAAF">
            <w:pPr>
              <w:topLinePunct/>
              <w:spacing w:line="440" w:lineRule="exact"/>
              <w:jc w:val="center"/>
              <w:rPr>
                <w:rFonts w:ascii="宋体" w:hAnsi="宋体"/>
                <w:color w:val="auto"/>
                <w:szCs w:val="21"/>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0C9DED65">
            <w:pPr>
              <w:topLinePunct/>
              <w:spacing w:line="440" w:lineRule="exact"/>
              <w:ind w:firstLine="105" w:firstLineChars="50"/>
              <w:jc w:val="center"/>
              <w:rPr>
                <w:rFonts w:ascii="宋体" w:hAnsi="宋体"/>
                <w:color w:val="auto"/>
                <w:szCs w:val="21"/>
              </w:rPr>
            </w:pPr>
            <w:r>
              <w:rPr>
                <w:rFonts w:hint="eastAsia" w:ascii="宋体" w:hAnsi="宋体"/>
                <w:color w:val="auto"/>
                <w:szCs w:val="21"/>
              </w:rPr>
              <w:t>注册地址</w:t>
            </w:r>
          </w:p>
        </w:tc>
        <w:tc>
          <w:tcPr>
            <w:tcW w:w="3430" w:type="dxa"/>
            <w:gridSpan w:val="2"/>
            <w:tcBorders>
              <w:top w:val="single" w:color="auto" w:sz="6" w:space="0"/>
              <w:left w:val="single" w:color="auto" w:sz="6" w:space="0"/>
              <w:bottom w:val="single" w:color="auto" w:sz="6" w:space="0"/>
              <w:right w:val="double" w:color="auto" w:sz="4" w:space="0"/>
            </w:tcBorders>
            <w:vAlign w:val="center"/>
          </w:tcPr>
          <w:p w14:paraId="645A1A44">
            <w:pPr>
              <w:topLinePunct/>
              <w:spacing w:line="440" w:lineRule="exact"/>
              <w:ind w:firstLine="105" w:firstLineChars="50"/>
              <w:jc w:val="center"/>
              <w:rPr>
                <w:rFonts w:ascii="宋体" w:hAnsi="宋体"/>
                <w:color w:val="auto"/>
                <w:szCs w:val="21"/>
              </w:rPr>
            </w:pPr>
          </w:p>
        </w:tc>
      </w:tr>
      <w:tr w14:paraId="1642BF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58528B79">
            <w:pPr>
              <w:widowControl/>
              <w:jc w:val="left"/>
              <w:rPr>
                <w:rFonts w:ascii="宋体" w:hAnsi="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66300948">
            <w:pPr>
              <w:topLinePunct/>
              <w:spacing w:line="440" w:lineRule="exact"/>
              <w:jc w:val="center"/>
              <w:rPr>
                <w:rFonts w:ascii="宋体" w:hAnsi="宋体"/>
                <w:color w:val="auto"/>
                <w:szCs w:val="21"/>
              </w:rPr>
            </w:pPr>
            <w:r>
              <w:rPr>
                <w:rFonts w:hint="eastAsia" w:ascii="宋体" w:hAnsi="宋体"/>
                <w:color w:val="auto"/>
                <w:szCs w:val="21"/>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469541E9">
            <w:pPr>
              <w:topLinePunct/>
              <w:spacing w:line="440" w:lineRule="exact"/>
              <w:jc w:val="center"/>
              <w:rPr>
                <w:rFonts w:ascii="宋体" w:hAnsi="宋体"/>
                <w:color w:val="auto"/>
                <w:szCs w:val="21"/>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4F3D6D04">
            <w:pPr>
              <w:topLinePunct/>
              <w:spacing w:line="440" w:lineRule="exact"/>
              <w:ind w:firstLine="105" w:firstLineChars="50"/>
              <w:jc w:val="center"/>
              <w:rPr>
                <w:rFonts w:ascii="宋体" w:hAnsi="宋体"/>
                <w:color w:val="auto"/>
                <w:szCs w:val="21"/>
              </w:rPr>
            </w:pPr>
            <w:r>
              <w:rPr>
                <w:rFonts w:hint="eastAsia" w:ascii="宋体" w:hAnsi="宋体"/>
                <w:color w:val="auto"/>
                <w:szCs w:val="21"/>
              </w:rPr>
              <w:t>发证日期</w:t>
            </w:r>
          </w:p>
        </w:tc>
        <w:tc>
          <w:tcPr>
            <w:tcW w:w="3430" w:type="dxa"/>
            <w:gridSpan w:val="2"/>
            <w:tcBorders>
              <w:top w:val="single" w:color="auto" w:sz="6" w:space="0"/>
              <w:left w:val="single" w:color="auto" w:sz="6" w:space="0"/>
              <w:bottom w:val="single" w:color="auto" w:sz="6" w:space="0"/>
              <w:right w:val="double" w:color="auto" w:sz="4" w:space="0"/>
            </w:tcBorders>
            <w:vAlign w:val="center"/>
          </w:tcPr>
          <w:p w14:paraId="1E7182E6">
            <w:pPr>
              <w:topLinePunct/>
              <w:spacing w:line="440" w:lineRule="exact"/>
              <w:ind w:firstLine="105" w:firstLineChars="50"/>
              <w:jc w:val="center"/>
              <w:rPr>
                <w:rFonts w:ascii="宋体" w:hAnsi="宋体"/>
                <w:color w:val="auto"/>
                <w:szCs w:val="21"/>
              </w:rPr>
            </w:pPr>
          </w:p>
        </w:tc>
      </w:tr>
      <w:tr w14:paraId="375D6C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1BACB15C">
            <w:pPr>
              <w:widowControl/>
              <w:jc w:val="left"/>
              <w:rPr>
                <w:rFonts w:ascii="宋体" w:hAnsi="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1692AE4D">
            <w:pPr>
              <w:topLinePunct/>
              <w:spacing w:line="440" w:lineRule="exact"/>
              <w:jc w:val="center"/>
              <w:rPr>
                <w:rFonts w:ascii="宋体" w:hAnsi="宋体"/>
                <w:color w:val="auto"/>
                <w:szCs w:val="21"/>
              </w:rPr>
            </w:pPr>
            <w:r>
              <w:rPr>
                <w:rFonts w:hint="eastAsia" w:ascii="宋体" w:hAnsi="宋体"/>
                <w:color w:val="auto"/>
                <w:szCs w:val="21"/>
              </w:rPr>
              <w:t>营业范围（主营）</w:t>
            </w:r>
          </w:p>
        </w:tc>
        <w:tc>
          <w:tcPr>
            <w:tcW w:w="6247" w:type="dxa"/>
            <w:gridSpan w:val="6"/>
            <w:tcBorders>
              <w:top w:val="single" w:color="auto" w:sz="6" w:space="0"/>
              <w:left w:val="single" w:color="auto" w:sz="6" w:space="0"/>
              <w:bottom w:val="single" w:color="auto" w:sz="6" w:space="0"/>
              <w:right w:val="double" w:color="auto" w:sz="4" w:space="0"/>
            </w:tcBorders>
            <w:vAlign w:val="center"/>
          </w:tcPr>
          <w:p w14:paraId="220EF9E2">
            <w:pPr>
              <w:topLinePunct/>
              <w:spacing w:line="440" w:lineRule="exact"/>
              <w:ind w:firstLine="105" w:firstLineChars="50"/>
              <w:jc w:val="center"/>
              <w:rPr>
                <w:rFonts w:ascii="宋体" w:hAnsi="宋体"/>
                <w:color w:val="auto"/>
                <w:szCs w:val="21"/>
              </w:rPr>
            </w:pPr>
          </w:p>
        </w:tc>
      </w:tr>
      <w:tr w14:paraId="4EB1A2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3FD8A1B0">
            <w:pPr>
              <w:widowControl/>
              <w:jc w:val="left"/>
              <w:rPr>
                <w:rFonts w:ascii="宋体" w:hAnsi="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28481BB6">
            <w:pPr>
              <w:topLinePunct/>
              <w:spacing w:line="440" w:lineRule="exact"/>
              <w:jc w:val="center"/>
              <w:rPr>
                <w:rFonts w:ascii="宋体" w:hAnsi="宋体"/>
                <w:color w:val="auto"/>
                <w:szCs w:val="21"/>
              </w:rPr>
            </w:pPr>
            <w:r>
              <w:rPr>
                <w:rFonts w:hint="eastAsia" w:ascii="宋体" w:hAnsi="宋体"/>
                <w:color w:val="auto"/>
                <w:szCs w:val="21"/>
              </w:rPr>
              <w:t>营业范围（兼营）</w:t>
            </w:r>
          </w:p>
        </w:tc>
        <w:tc>
          <w:tcPr>
            <w:tcW w:w="6247" w:type="dxa"/>
            <w:gridSpan w:val="6"/>
            <w:tcBorders>
              <w:top w:val="single" w:color="auto" w:sz="6" w:space="0"/>
              <w:left w:val="single" w:color="auto" w:sz="6" w:space="0"/>
              <w:bottom w:val="single" w:color="auto" w:sz="6" w:space="0"/>
              <w:right w:val="double" w:color="auto" w:sz="4" w:space="0"/>
            </w:tcBorders>
            <w:vAlign w:val="center"/>
          </w:tcPr>
          <w:p w14:paraId="65DE19DC">
            <w:pPr>
              <w:topLinePunct/>
              <w:spacing w:line="440" w:lineRule="exact"/>
              <w:ind w:firstLine="105" w:firstLineChars="50"/>
              <w:jc w:val="center"/>
              <w:rPr>
                <w:rFonts w:ascii="宋体" w:hAnsi="宋体"/>
                <w:color w:val="auto"/>
                <w:szCs w:val="21"/>
              </w:rPr>
            </w:pPr>
          </w:p>
        </w:tc>
      </w:tr>
      <w:tr w14:paraId="51E90D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vAlign w:val="center"/>
          </w:tcPr>
          <w:p w14:paraId="2A831A00">
            <w:pPr>
              <w:topLinePunct/>
              <w:spacing w:line="440" w:lineRule="exact"/>
              <w:jc w:val="center"/>
              <w:rPr>
                <w:rFonts w:ascii="宋体" w:hAnsi="宋体"/>
                <w:color w:val="auto"/>
                <w:szCs w:val="21"/>
              </w:rPr>
            </w:pPr>
            <w:r>
              <w:rPr>
                <w:rFonts w:hint="eastAsia" w:ascii="宋体" w:hAnsi="宋体"/>
                <w:color w:val="auto"/>
                <w:szCs w:val="21"/>
              </w:rPr>
              <w:t>基本账户开户行及账号</w:t>
            </w:r>
          </w:p>
        </w:tc>
        <w:tc>
          <w:tcPr>
            <w:tcW w:w="6247" w:type="dxa"/>
            <w:gridSpan w:val="6"/>
            <w:tcBorders>
              <w:top w:val="single" w:color="auto" w:sz="6" w:space="0"/>
              <w:left w:val="single" w:color="auto" w:sz="6" w:space="0"/>
              <w:bottom w:val="single" w:color="auto" w:sz="6" w:space="0"/>
              <w:right w:val="double" w:color="auto" w:sz="4" w:space="0"/>
            </w:tcBorders>
            <w:vAlign w:val="center"/>
          </w:tcPr>
          <w:p w14:paraId="0E43C2C2">
            <w:pPr>
              <w:topLinePunct/>
              <w:spacing w:line="440" w:lineRule="exact"/>
              <w:jc w:val="center"/>
              <w:rPr>
                <w:rFonts w:ascii="宋体" w:hAnsi="宋体"/>
                <w:color w:val="auto"/>
                <w:szCs w:val="21"/>
              </w:rPr>
            </w:pPr>
          </w:p>
        </w:tc>
      </w:tr>
      <w:tr w14:paraId="3964ED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vAlign w:val="center"/>
          </w:tcPr>
          <w:p w14:paraId="7634F5A2">
            <w:pPr>
              <w:topLinePunct/>
              <w:spacing w:line="440" w:lineRule="exact"/>
              <w:jc w:val="center"/>
              <w:rPr>
                <w:rFonts w:ascii="宋体" w:hAnsi="宋体"/>
                <w:color w:val="auto"/>
                <w:szCs w:val="21"/>
              </w:rPr>
            </w:pPr>
            <w:r>
              <w:rPr>
                <w:rFonts w:hint="eastAsia" w:ascii="宋体" w:hAnsi="宋体"/>
                <w:color w:val="auto"/>
                <w:szCs w:val="21"/>
              </w:rPr>
              <w:t>税务登记机关</w:t>
            </w:r>
          </w:p>
        </w:tc>
        <w:tc>
          <w:tcPr>
            <w:tcW w:w="6247" w:type="dxa"/>
            <w:gridSpan w:val="6"/>
            <w:tcBorders>
              <w:top w:val="single" w:color="auto" w:sz="6" w:space="0"/>
              <w:left w:val="single" w:color="auto" w:sz="6" w:space="0"/>
              <w:bottom w:val="single" w:color="auto" w:sz="6" w:space="0"/>
              <w:right w:val="double" w:color="auto" w:sz="4" w:space="0"/>
            </w:tcBorders>
            <w:vAlign w:val="center"/>
          </w:tcPr>
          <w:p w14:paraId="5E4C7CC6">
            <w:pPr>
              <w:topLinePunct/>
              <w:spacing w:line="440" w:lineRule="exact"/>
              <w:jc w:val="center"/>
              <w:rPr>
                <w:rFonts w:ascii="宋体" w:hAnsi="宋体"/>
                <w:color w:val="auto"/>
                <w:szCs w:val="21"/>
              </w:rPr>
            </w:pPr>
          </w:p>
        </w:tc>
      </w:tr>
      <w:tr w14:paraId="2EB132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582CF24E">
            <w:pPr>
              <w:topLinePunct/>
              <w:spacing w:line="440" w:lineRule="exact"/>
              <w:jc w:val="center"/>
              <w:rPr>
                <w:rFonts w:ascii="宋体" w:hAnsi="宋体"/>
                <w:color w:val="auto"/>
                <w:szCs w:val="21"/>
              </w:rPr>
            </w:pPr>
            <w:r>
              <w:rPr>
                <w:rFonts w:hint="eastAsia" w:ascii="宋体" w:hAnsi="宋体"/>
                <w:color w:val="auto"/>
                <w:szCs w:val="21"/>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2FCACF07">
            <w:pPr>
              <w:topLinePunct/>
              <w:spacing w:line="440" w:lineRule="exact"/>
              <w:jc w:val="center"/>
              <w:rPr>
                <w:rFonts w:ascii="宋体" w:hAnsi="宋体"/>
                <w:color w:val="auto"/>
                <w:szCs w:val="21"/>
              </w:rPr>
            </w:pPr>
            <w:r>
              <w:rPr>
                <w:rFonts w:hint="eastAsia" w:ascii="宋体" w:hAnsi="宋体"/>
                <w:color w:val="auto"/>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14:paraId="771B7560">
            <w:pPr>
              <w:topLinePunct/>
              <w:spacing w:line="440" w:lineRule="exact"/>
              <w:jc w:val="center"/>
              <w:rPr>
                <w:rFonts w:ascii="宋体" w:hAnsi="宋体"/>
                <w:color w:val="auto"/>
                <w:szCs w:val="21"/>
              </w:rPr>
            </w:pPr>
            <w:r>
              <w:rPr>
                <w:rFonts w:hint="eastAsia" w:ascii="宋体" w:hAnsi="宋体"/>
                <w:color w:val="auto"/>
                <w:szCs w:val="21"/>
              </w:rPr>
              <w:t>发证机关</w:t>
            </w:r>
          </w:p>
        </w:tc>
        <w:tc>
          <w:tcPr>
            <w:tcW w:w="3430" w:type="dxa"/>
            <w:gridSpan w:val="2"/>
            <w:tcBorders>
              <w:top w:val="single" w:color="auto" w:sz="6" w:space="0"/>
              <w:left w:val="single" w:color="auto" w:sz="6" w:space="0"/>
              <w:bottom w:val="single" w:color="auto" w:sz="6" w:space="0"/>
              <w:right w:val="double" w:color="auto" w:sz="4" w:space="0"/>
            </w:tcBorders>
            <w:vAlign w:val="center"/>
          </w:tcPr>
          <w:p w14:paraId="0FD6AE75">
            <w:pPr>
              <w:topLinePunct/>
              <w:spacing w:line="440" w:lineRule="exact"/>
              <w:jc w:val="center"/>
              <w:rPr>
                <w:rFonts w:ascii="宋体" w:hAnsi="宋体"/>
                <w:color w:val="auto"/>
                <w:szCs w:val="21"/>
              </w:rPr>
            </w:pPr>
            <w:r>
              <w:rPr>
                <w:rFonts w:hint="eastAsia" w:ascii="宋体" w:hAnsi="宋体"/>
                <w:color w:val="auto"/>
                <w:szCs w:val="21"/>
              </w:rPr>
              <w:t>有效期</w:t>
            </w:r>
          </w:p>
        </w:tc>
      </w:tr>
      <w:tr w14:paraId="73AF3E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45C4F5D3">
            <w:pPr>
              <w:topLinePunct/>
              <w:spacing w:line="440" w:lineRule="exact"/>
              <w:jc w:val="center"/>
              <w:rPr>
                <w:rFonts w:ascii="宋体" w:hAnsi="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6C3AF0F">
            <w:pPr>
              <w:topLinePunct/>
              <w:spacing w:line="440" w:lineRule="exact"/>
              <w:jc w:val="center"/>
              <w:rPr>
                <w:rFonts w:ascii="宋体" w:hAnsi="宋体"/>
                <w:color w:val="auto"/>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0ED3CCEC">
            <w:pPr>
              <w:topLinePunct/>
              <w:spacing w:line="440" w:lineRule="exact"/>
              <w:jc w:val="center"/>
              <w:rPr>
                <w:rFonts w:ascii="宋体" w:hAnsi="宋体"/>
                <w:color w:val="auto"/>
                <w:szCs w:val="21"/>
              </w:rPr>
            </w:pPr>
          </w:p>
        </w:tc>
        <w:tc>
          <w:tcPr>
            <w:tcW w:w="3430" w:type="dxa"/>
            <w:gridSpan w:val="2"/>
            <w:tcBorders>
              <w:top w:val="single" w:color="auto" w:sz="6" w:space="0"/>
              <w:left w:val="single" w:color="auto" w:sz="6" w:space="0"/>
              <w:bottom w:val="single" w:color="auto" w:sz="6" w:space="0"/>
              <w:right w:val="double" w:color="auto" w:sz="4" w:space="0"/>
            </w:tcBorders>
            <w:vAlign w:val="center"/>
          </w:tcPr>
          <w:p w14:paraId="6CB6F68B">
            <w:pPr>
              <w:topLinePunct/>
              <w:spacing w:line="440" w:lineRule="exact"/>
              <w:jc w:val="center"/>
              <w:rPr>
                <w:rFonts w:ascii="宋体" w:hAnsi="宋体"/>
                <w:color w:val="auto"/>
                <w:szCs w:val="21"/>
              </w:rPr>
            </w:pPr>
          </w:p>
        </w:tc>
      </w:tr>
      <w:tr w14:paraId="61B772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6CBF57EA">
            <w:pPr>
              <w:topLinePunct/>
              <w:spacing w:line="440" w:lineRule="exact"/>
              <w:jc w:val="center"/>
              <w:rPr>
                <w:rFonts w:ascii="宋体" w:hAnsi="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9D36522">
            <w:pPr>
              <w:topLinePunct/>
              <w:spacing w:line="440" w:lineRule="exact"/>
              <w:jc w:val="center"/>
              <w:rPr>
                <w:rFonts w:ascii="宋体" w:hAnsi="宋体"/>
                <w:color w:val="auto"/>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4661F894">
            <w:pPr>
              <w:topLinePunct/>
              <w:spacing w:line="440" w:lineRule="exact"/>
              <w:jc w:val="center"/>
              <w:rPr>
                <w:rFonts w:ascii="宋体" w:hAnsi="宋体"/>
                <w:color w:val="auto"/>
                <w:szCs w:val="21"/>
              </w:rPr>
            </w:pPr>
          </w:p>
        </w:tc>
        <w:tc>
          <w:tcPr>
            <w:tcW w:w="3430" w:type="dxa"/>
            <w:gridSpan w:val="2"/>
            <w:tcBorders>
              <w:top w:val="single" w:color="auto" w:sz="6" w:space="0"/>
              <w:left w:val="single" w:color="auto" w:sz="6" w:space="0"/>
              <w:bottom w:val="single" w:color="auto" w:sz="6" w:space="0"/>
              <w:right w:val="double" w:color="auto" w:sz="4" w:space="0"/>
            </w:tcBorders>
            <w:vAlign w:val="center"/>
          </w:tcPr>
          <w:p w14:paraId="6B8DC0B8">
            <w:pPr>
              <w:topLinePunct/>
              <w:spacing w:line="440" w:lineRule="exact"/>
              <w:jc w:val="center"/>
              <w:rPr>
                <w:rFonts w:ascii="宋体" w:hAnsi="宋体"/>
                <w:color w:val="auto"/>
                <w:szCs w:val="21"/>
              </w:rPr>
            </w:pPr>
          </w:p>
        </w:tc>
      </w:tr>
      <w:tr w14:paraId="201DC1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314C7399">
            <w:pPr>
              <w:topLinePunct/>
              <w:spacing w:line="440" w:lineRule="exact"/>
              <w:jc w:val="center"/>
              <w:rPr>
                <w:rFonts w:ascii="宋体" w:hAnsi="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03FC6429">
            <w:pPr>
              <w:topLinePunct/>
              <w:spacing w:line="440" w:lineRule="exact"/>
              <w:jc w:val="center"/>
              <w:rPr>
                <w:rFonts w:ascii="宋体" w:hAnsi="宋体"/>
                <w:color w:val="auto"/>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5C28F50B">
            <w:pPr>
              <w:topLinePunct/>
              <w:spacing w:line="440" w:lineRule="exact"/>
              <w:jc w:val="center"/>
              <w:rPr>
                <w:rFonts w:ascii="宋体" w:hAnsi="宋体"/>
                <w:color w:val="auto"/>
                <w:szCs w:val="21"/>
              </w:rPr>
            </w:pPr>
          </w:p>
        </w:tc>
        <w:tc>
          <w:tcPr>
            <w:tcW w:w="3430" w:type="dxa"/>
            <w:gridSpan w:val="2"/>
            <w:tcBorders>
              <w:top w:val="single" w:color="auto" w:sz="6" w:space="0"/>
              <w:left w:val="single" w:color="auto" w:sz="6" w:space="0"/>
              <w:bottom w:val="single" w:color="auto" w:sz="6" w:space="0"/>
              <w:right w:val="double" w:color="auto" w:sz="4" w:space="0"/>
            </w:tcBorders>
            <w:vAlign w:val="center"/>
          </w:tcPr>
          <w:p w14:paraId="3EA33C76">
            <w:pPr>
              <w:topLinePunct/>
              <w:spacing w:line="440" w:lineRule="exact"/>
              <w:jc w:val="center"/>
              <w:rPr>
                <w:rFonts w:ascii="宋体" w:hAnsi="宋体"/>
                <w:color w:val="auto"/>
                <w:szCs w:val="21"/>
              </w:rPr>
            </w:pPr>
          </w:p>
        </w:tc>
      </w:tr>
      <w:tr w14:paraId="5BEA19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14B58CA1">
            <w:pPr>
              <w:topLinePunct/>
              <w:spacing w:line="440" w:lineRule="exact"/>
              <w:jc w:val="center"/>
              <w:rPr>
                <w:rFonts w:ascii="宋体" w:hAnsi="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11D1F345">
            <w:pPr>
              <w:topLinePunct/>
              <w:spacing w:line="440" w:lineRule="exact"/>
              <w:jc w:val="center"/>
              <w:rPr>
                <w:rFonts w:ascii="宋体" w:hAnsi="宋体"/>
                <w:color w:val="auto"/>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4363A70D">
            <w:pPr>
              <w:topLinePunct/>
              <w:spacing w:line="440" w:lineRule="exact"/>
              <w:jc w:val="center"/>
              <w:rPr>
                <w:rFonts w:ascii="宋体" w:hAnsi="宋体"/>
                <w:color w:val="auto"/>
                <w:szCs w:val="21"/>
              </w:rPr>
            </w:pPr>
          </w:p>
        </w:tc>
        <w:tc>
          <w:tcPr>
            <w:tcW w:w="3430" w:type="dxa"/>
            <w:gridSpan w:val="2"/>
            <w:tcBorders>
              <w:top w:val="single" w:color="auto" w:sz="6" w:space="0"/>
              <w:left w:val="single" w:color="auto" w:sz="6" w:space="0"/>
              <w:bottom w:val="single" w:color="auto" w:sz="6" w:space="0"/>
              <w:right w:val="double" w:color="auto" w:sz="4" w:space="0"/>
            </w:tcBorders>
            <w:vAlign w:val="center"/>
          </w:tcPr>
          <w:p w14:paraId="599D1816">
            <w:pPr>
              <w:topLinePunct/>
              <w:spacing w:line="440" w:lineRule="exact"/>
              <w:jc w:val="center"/>
              <w:rPr>
                <w:rFonts w:ascii="宋体" w:hAnsi="宋体"/>
                <w:color w:val="auto"/>
                <w:szCs w:val="21"/>
              </w:rPr>
            </w:pPr>
          </w:p>
        </w:tc>
      </w:tr>
      <w:tr w14:paraId="71245E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2" w:hRule="atLeast"/>
        </w:trPr>
        <w:tc>
          <w:tcPr>
            <w:tcW w:w="1258" w:type="dxa"/>
            <w:gridSpan w:val="2"/>
            <w:tcBorders>
              <w:top w:val="single" w:color="auto" w:sz="6" w:space="0"/>
              <w:left w:val="double" w:color="auto" w:sz="4" w:space="0"/>
              <w:bottom w:val="double" w:color="auto" w:sz="4" w:space="0"/>
              <w:right w:val="single" w:color="auto" w:sz="6" w:space="0"/>
            </w:tcBorders>
            <w:vAlign w:val="center"/>
          </w:tcPr>
          <w:p w14:paraId="49A556E0">
            <w:pPr>
              <w:topLinePunct/>
              <w:spacing w:line="440" w:lineRule="exact"/>
              <w:jc w:val="center"/>
              <w:rPr>
                <w:rFonts w:ascii="宋体" w:hAnsi="宋体"/>
                <w:color w:val="auto"/>
                <w:szCs w:val="21"/>
              </w:rPr>
            </w:pPr>
            <w:r>
              <w:rPr>
                <w:rFonts w:hint="eastAsia" w:ascii="宋体" w:hAnsi="宋体"/>
                <w:color w:val="auto"/>
                <w:szCs w:val="21"/>
              </w:rPr>
              <w:t>备注</w:t>
            </w:r>
          </w:p>
        </w:tc>
        <w:tc>
          <w:tcPr>
            <w:tcW w:w="7752" w:type="dxa"/>
            <w:gridSpan w:val="8"/>
            <w:tcBorders>
              <w:top w:val="single" w:color="auto" w:sz="6" w:space="0"/>
              <w:left w:val="single" w:color="auto" w:sz="6" w:space="0"/>
              <w:bottom w:val="double" w:color="auto" w:sz="4" w:space="0"/>
              <w:right w:val="double" w:color="auto" w:sz="4" w:space="0"/>
            </w:tcBorders>
            <w:vAlign w:val="center"/>
          </w:tcPr>
          <w:p w14:paraId="2085FEEB">
            <w:pPr>
              <w:topLinePunct/>
              <w:spacing w:line="440" w:lineRule="exact"/>
              <w:rPr>
                <w:rFonts w:ascii="宋体" w:hAnsi="宋体"/>
                <w:color w:val="auto"/>
                <w:szCs w:val="21"/>
              </w:rPr>
            </w:pPr>
          </w:p>
        </w:tc>
      </w:tr>
    </w:tbl>
    <w:p w14:paraId="640A5B48">
      <w:pPr>
        <w:spacing w:line="480" w:lineRule="exact"/>
        <w:rPr>
          <w:rFonts w:ascii="宋体" w:hAnsi="宋体"/>
          <w:b/>
          <w:color w:val="auto"/>
          <w:sz w:val="24"/>
        </w:rPr>
      </w:pPr>
      <w:r>
        <w:rPr>
          <w:rFonts w:hint="eastAsia" w:ascii="宋体" w:hAnsi="宋体"/>
          <w:b/>
          <w:color w:val="auto"/>
          <w:sz w:val="24"/>
        </w:rPr>
        <w:br w:type="page"/>
      </w:r>
      <w:r>
        <w:rPr>
          <w:rFonts w:hint="eastAsia" w:ascii="宋体" w:hAnsi="宋体"/>
          <w:b/>
          <w:color w:val="auto"/>
          <w:sz w:val="24"/>
        </w:rPr>
        <w:t>附件5-1 联合体协议（格式）</w:t>
      </w:r>
    </w:p>
    <w:p w14:paraId="46F25B80">
      <w:pPr>
        <w:adjustRightInd w:val="0"/>
        <w:snapToGrid w:val="0"/>
        <w:spacing w:before="156" w:beforeLines="50" w:line="360" w:lineRule="auto"/>
        <w:rPr>
          <w:rFonts w:ascii="宋体" w:hAnsi="宋体"/>
          <w:color w:val="auto"/>
          <w:szCs w:val="21"/>
        </w:rPr>
      </w:pPr>
    </w:p>
    <w:p w14:paraId="2DD308D1">
      <w:pPr>
        <w:adjustRightInd w:val="0"/>
        <w:snapToGrid w:val="0"/>
        <w:spacing w:before="156" w:beforeLines="50" w:line="360" w:lineRule="auto"/>
        <w:rPr>
          <w:rFonts w:ascii="宋体" w:hAnsi="宋体"/>
          <w:color w:val="auto"/>
          <w:szCs w:val="21"/>
        </w:rPr>
      </w:pPr>
      <w:r>
        <w:rPr>
          <w:rFonts w:hint="eastAsia" w:ascii="宋体" w:hAnsi="宋体"/>
          <w:color w:val="auto"/>
          <w:szCs w:val="21"/>
        </w:rPr>
        <w:t>致</w:t>
      </w:r>
      <w:r>
        <w:rPr>
          <w:rFonts w:hint="eastAsia" w:ascii="宋体" w:hAnsi="宋体"/>
          <w:color w:val="auto"/>
          <w:szCs w:val="21"/>
          <w:u w:val="single"/>
        </w:rPr>
        <w:t xml:space="preserve">                   （</w:t>
      </w:r>
      <w:r>
        <w:rPr>
          <w:rFonts w:hint="eastAsia" w:ascii="宋体" w:hAnsi="宋体"/>
          <w:color w:val="auto"/>
          <w:szCs w:val="21"/>
        </w:rPr>
        <w:t>采购人）：</w:t>
      </w:r>
    </w:p>
    <w:p w14:paraId="0BD0D71C">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经研究，我们决定自愿组成联合体共同参加</w:t>
      </w:r>
      <w:r>
        <w:rPr>
          <w:rFonts w:hint="eastAsia" w:ascii="宋体" w:hAnsi="宋体"/>
          <w:color w:val="auto"/>
          <w:szCs w:val="21"/>
          <w:u w:val="single"/>
        </w:rPr>
        <w:t xml:space="preserve">                    </w:t>
      </w:r>
      <w:r>
        <w:rPr>
          <w:rFonts w:hint="eastAsia" w:ascii="宋体" w:hAnsi="宋体"/>
          <w:color w:val="auto"/>
          <w:szCs w:val="21"/>
        </w:rPr>
        <w:t>（项目名称、</w:t>
      </w:r>
      <w:r>
        <w:rPr>
          <w:rFonts w:hint="eastAsia" w:ascii="宋体" w:hAnsi="宋体"/>
          <w:color w:val="auto"/>
          <w:szCs w:val="21"/>
          <w:lang w:eastAsia="zh-CN"/>
        </w:rPr>
        <w:t>政府采购编号</w:t>
      </w:r>
      <w:r>
        <w:rPr>
          <w:rFonts w:hint="eastAsia" w:ascii="宋体" w:hAnsi="宋体"/>
          <w:color w:val="auto"/>
          <w:szCs w:val="21"/>
        </w:rPr>
        <w:t>、采购代理机构编号）项目的投标。现就联合体投标事宜订立如下协议：</w:t>
      </w:r>
    </w:p>
    <w:p w14:paraId="7EC165D3">
      <w:pPr>
        <w:adjustRightInd w:val="0"/>
        <w:snapToGrid w:val="0"/>
        <w:spacing w:before="156" w:beforeLines="50" w:line="360" w:lineRule="auto"/>
        <w:ind w:firstLine="420" w:firstLineChars="200"/>
        <w:rPr>
          <w:rFonts w:ascii="宋体" w:hAnsi="宋体"/>
          <w:color w:val="auto"/>
          <w:szCs w:val="21"/>
          <w:u w:val="single"/>
        </w:rPr>
      </w:pPr>
      <w:r>
        <w:rPr>
          <w:rFonts w:hint="eastAsia" w:ascii="宋体" w:hAnsi="宋体"/>
          <w:color w:val="auto"/>
          <w:szCs w:val="21"/>
        </w:rPr>
        <w:t>一、联合体基本信息：</w:t>
      </w:r>
      <w:r>
        <w:rPr>
          <w:rFonts w:hint="eastAsia" w:ascii="宋体" w:hAnsi="宋体"/>
          <w:color w:val="auto"/>
          <w:szCs w:val="21"/>
          <w:u w:val="single"/>
        </w:rPr>
        <w:t xml:space="preserve">                </w:t>
      </w:r>
      <w:r>
        <w:rPr>
          <w:rFonts w:hint="eastAsia" w:ascii="宋体" w:hAnsi="宋体"/>
          <w:color w:val="auto"/>
          <w:szCs w:val="21"/>
        </w:rPr>
        <w:t>（各方公司名称、地址、注册资金、营业执照、法定代表人姓名）</w:t>
      </w:r>
    </w:p>
    <w:p w14:paraId="664CE297">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二、</w:t>
      </w:r>
      <w:r>
        <w:rPr>
          <w:rFonts w:hint="eastAsia" w:ascii="宋体" w:hAnsi="宋体"/>
          <w:color w:val="auto"/>
          <w:szCs w:val="21"/>
          <w:u w:val="single"/>
        </w:rPr>
        <w:t xml:space="preserve">       </w:t>
      </w:r>
      <w:r>
        <w:rPr>
          <w:rFonts w:hint="eastAsia" w:ascii="宋体" w:hAnsi="宋体"/>
          <w:color w:val="auto"/>
          <w:szCs w:val="21"/>
        </w:rPr>
        <w:t>（某成员单位名称）为</w:t>
      </w:r>
      <w:r>
        <w:rPr>
          <w:rFonts w:hint="eastAsia" w:ascii="宋体" w:hAnsi="宋体"/>
          <w:color w:val="auto"/>
          <w:szCs w:val="21"/>
          <w:u w:val="single"/>
        </w:rPr>
        <w:t xml:space="preserve">        </w:t>
      </w:r>
      <w:r>
        <w:rPr>
          <w:rFonts w:hint="eastAsia" w:ascii="宋体" w:hAnsi="宋体"/>
          <w:color w:val="auto"/>
          <w:szCs w:val="21"/>
        </w:rPr>
        <w:t>（联合体名称）牵头人。</w:t>
      </w:r>
    </w:p>
    <w:p w14:paraId="03B4AF26">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三、联合体牵头人合法代表联合体各成员负责本项目响应文件编制活动，代表联合体提交和接收相关的资料、信息及指示，并处理与投标或成交有关的一切事务；联合体中标或成交后，联合体牵头人负责合同订立和合同实施阶段的主办、组织和协调工作。</w:t>
      </w:r>
    </w:p>
    <w:p w14:paraId="6F4BFBA0">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四．联合体将严格按照磋商文件的各项要求，递交响应文件，参加投标，履行中标或成交义务和中标或成交后的合同，并向采购人承担连带责任。</w:t>
      </w:r>
    </w:p>
    <w:p w14:paraId="3918EE4B">
      <w:pPr>
        <w:adjustRightInd w:val="0"/>
        <w:snapToGrid w:val="0"/>
        <w:spacing w:before="156" w:beforeLines="50" w:line="360" w:lineRule="auto"/>
        <w:ind w:firstLine="420" w:firstLineChars="200"/>
        <w:rPr>
          <w:rFonts w:ascii="宋体" w:hAnsi="宋体"/>
          <w:color w:val="auto"/>
          <w:szCs w:val="21"/>
          <w:u w:val="single"/>
        </w:rPr>
      </w:pPr>
      <w:r>
        <w:rPr>
          <w:rFonts w:hint="eastAsia" w:ascii="宋体" w:hAnsi="宋体"/>
          <w:color w:val="auto"/>
          <w:szCs w:val="21"/>
        </w:rPr>
        <w:t>五、联合体各成员单位内部的职责分工如下：</w:t>
      </w:r>
      <w:r>
        <w:rPr>
          <w:rFonts w:hint="eastAsia" w:ascii="宋体" w:hAnsi="宋体"/>
          <w:color w:val="auto"/>
          <w:szCs w:val="21"/>
          <w:u w:val="single"/>
        </w:rPr>
        <w:t xml:space="preserve">             </w:t>
      </w:r>
      <w:r>
        <w:rPr>
          <w:rFonts w:hint="eastAsia" w:ascii="宋体" w:hAnsi="宋体"/>
          <w:color w:val="auto"/>
          <w:szCs w:val="21"/>
        </w:rPr>
        <w:t>。按照本条上述分工，联合体成员单位各自所承担的合同工作量比例如下：</w:t>
      </w:r>
      <w:r>
        <w:rPr>
          <w:rFonts w:hint="eastAsia" w:ascii="宋体" w:hAnsi="宋体"/>
          <w:color w:val="auto"/>
          <w:szCs w:val="21"/>
          <w:u w:val="single"/>
        </w:rPr>
        <w:t xml:space="preserve">               </w:t>
      </w:r>
      <w:r>
        <w:rPr>
          <w:rFonts w:hint="eastAsia" w:ascii="宋体" w:hAnsi="宋体"/>
          <w:color w:val="auto"/>
          <w:szCs w:val="21"/>
        </w:rPr>
        <w:t>。</w:t>
      </w:r>
    </w:p>
    <w:p w14:paraId="26FB416E">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六、本协议书自签署之日起生效，合同履行完毕后自动失效。</w:t>
      </w:r>
    </w:p>
    <w:p w14:paraId="0BD0C2B8">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七、本协议书一式</w:t>
      </w:r>
      <w:r>
        <w:rPr>
          <w:rFonts w:hint="eastAsia" w:ascii="宋体" w:hAnsi="宋体"/>
          <w:color w:val="auto"/>
          <w:szCs w:val="21"/>
          <w:u w:val="single"/>
        </w:rPr>
        <w:t xml:space="preserve">    </w:t>
      </w:r>
      <w:r>
        <w:rPr>
          <w:rFonts w:hint="eastAsia" w:ascii="宋体" w:hAnsi="宋体"/>
          <w:color w:val="auto"/>
          <w:szCs w:val="21"/>
        </w:rPr>
        <w:t>份，联合体成员和采购人各执一份。</w:t>
      </w:r>
    </w:p>
    <w:p w14:paraId="0D3F63D2">
      <w:pPr>
        <w:adjustRightInd w:val="0"/>
        <w:snapToGrid w:val="0"/>
        <w:spacing w:before="156" w:beforeLines="50" w:line="360" w:lineRule="auto"/>
        <w:ind w:firstLine="420" w:firstLineChars="200"/>
        <w:rPr>
          <w:rFonts w:ascii="宋体" w:hAnsi="宋体"/>
          <w:color w:val="auto"/>
          <w:szCs w:val="21"/>
        </w:rPr>
      </w:pPr>
    </w:p>
    <w:p w14:paraId="5470EAFD">
      <w:pPr>
        <w:adjustRightInd w:val="0"/>
        <w:snapToGrid w:val="0"/>
        <w:spacing w:before="156" w:beforeLines="50" w:line="360" w:lineRule="auto"/>
        <w:rPr>
          <w:rFonts w:ascii="宋体" w:hAnsi="宋体"/>
          <w:color w:val="auto"/>
          <w:szCs w:val="21"/>
        </w:rPr>
      </w:pPr>
      <w:r>
        <w:rPr>
          <w:rFonts w:hint="eastAsia" w:ascii="宋体" w:hAnsi="宋体"/>
          <w:color w:val="auto"/>
          <w:szCs w:val="21"/>
        </w:rPr>
        <w:t>牵头人名称（盖单位章）：</w:t>
      </w:r>
    </w:p>
    <w:p w14:paraId="2087F0BC">
      <w:pPr>
        <w:adjustRightInd w:val="0"/>
        <w:snapToGrid w:val="0"/>
        <w:spacing w:before="156" w:beforeLines="50" w:line="360" w:lineRule="auto"/>
        <w:rPr>
          <w:rFonts w:ascii="宋体" w:hAnsi="宋体"/>
          <w:color w:val="auto"/>
          <w:szCs w:val="21"/>
        </w:rPr>
      </w:pPr>
      <w:r>
        <w:rPr>
          <w:rFonts w:hint="eastAsia" w:ascii="宋体" w:hAnsi="宋体"/>
          <w:color w:val="auto"/>
          <w:szCs w:val="21"/>
        </w:rPr>
        <w:t>法定代表人或其委托代理人（签字）：</w:t>
      </w:r>
      <w:r>
        <w:rPr>
          <w:rFonts w:hint="eastAsia" w:ascii="宋体" w:hAnsi="宋体"/>
          <w:color w:val="auto"/>
          <w:szCs w:val="21"/>
          <w:u w:val="single"/>
        </w:rPr>
        <w:t xml:space="preserve">                          </w:t>
      </w:r>
    </w:p>
    <w:p w14:paraId="78E232AB">
      <w:pPr>
        <w:adjustRightInd w:val="0"/>
        <w:snapToGrid w:val="0"/>
        <w:spacing w:before="156" w:beforeLines="50" w:line="360" w:lineRule="auto"/>
        <w:rPr>
          <w:rFonts w:ascii="宋体" w:hAnsi="宋体"/>
          <w:color w:val="auto"/>
          <w:szCs w:val="21"/>
        </w:rPr>
      </w:pPr>
    </w:p>
    <w:p w14:paraId="30FB7428">
      <w:pPr>
        <w:adjustRightInd w:val="0"/>
        <w:snapToGrid w:val="0"/>
        <w:spacing w:before="156" w:beforeLines="50" w:line="360" w:lineRule="auto"/>
        <w:rPr>
          <w:rFonts w:ascii="宋体" w:hAnsi="宋体"/>
          <w:color w:val="auto"/>
          <w:szCs w:val="21"/>
        </w:rPr>
      </w:pPr>
      <w:r>
        <w:rPr>
          <w:rFonts w:hint="eastAsia" w:ascii="宋体" w:hAnsi="宋体"/>
          <w:color w:val="auto"/>
          <w:szCs w:val="21"/>
        </w:rPr>
        <w:t>成员名称（盖单位章）：</w:t>
      </w:r>
    </w:p>
    <w:p w14:paraId="488AC376">
      <w:pPr>
        <w:adjustRightInd w:val="0"/>
        <w:snapToGrid w:val="0"/>
        <w:spacing w:before="156" w:beforeLines="50" w:line="360" w:lineRule="auto"/>
        <w:rPr>
          <w:rFonts w:ascii="宋体" w:hAnsi="宋体"/>
          <w:color w:val="auto"/>
          <w:szCs w:val="21"/>
        </w:rPr>
      </w:pPr>
      <w:r>
        <w:rPr>
          <w:rFonts w:hint="eastAsia" w:ascii="宋体" w:hAnsi="宋体"/>
          <w:color w:val="auto"/>
          <w:szCs w:val="21"/>
        </w:rPr>
        <w:t>法定代表人或其委托代理人（签字）：</w:t>
      </w:r>
      <w:r>
        <w:rPr>
          <w:rFonts w:hint="eastAsia" w:ascii="宋体" w:hAnsi="宋体"/>
          <w:color w:val="auto"/>
          <w:szCs w:val="21"/>
          <w:u w:val="single"/>
        </w:rPr>
        <w:t xml:space="preserve">                          </w:t>
      </w:r>
    </w:p>
    <w:p w14:paraId="4FAD7DA5">
      <w:pPr>
        <w:adjustRightInd w:val="0"/>
        <w:snapToGrid w:val="0"/>
        <w:spacing w:before="156" w:beforeLines="50" w:line="360" w:lineRule="auto"/>
        <w:rPr>
          <w:rFonts w:ascii="宋体" w:hAnsi="宋体"/>
          <w:color w:val="auto"/>
          <w:szCs w:val="21"/>
          <w:u w:val="single"/>
        </w:rPr>
      </w:pPr>
    </w:p>
    <w:p w14:paraId="52EB0901">
      <w:pPr>
        <w:adjustRightInd w:val="0"/>
        <w:snapToGrid w:val="0"/>
        <w:spacing w:before="156" w:beforeLines="50" w:line="360" w:lineRule="auto"/>
        <w:rPr>
          <w:rFonts w:ascii="宋体" w:hAnsi="宋体"/>
          <w:color w:val="auto"/>
          <w:szCs w:val="21"/>
        </w:rPr>
      </w:pP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 xml:space="preserve">日  </w:t>
      </w:r>
    </w:p>
    <w:p w14:paraId="04A5E4C9">
      <w:pPr>
        <w:adjustRightInd w:val="0"/>
        <w:snapToGrid w:val="0"/>
        <w:spacing w:before="156" w:beforeLines="50" w:line="360" w:lineRule="auto"/>
        <w:rPr>
          <w:rFonts w:ascii="仿宋_GB2312" w:hAnsi="宋体" w:eastAsia="仿宋_GB2312"/>
          <w:color w:val="auto"/>
          <w:szCs w:val="21"/>
        </w:rPr>
      </w:pPr>
      <w:r>
        <w:rPr>
          <w:rFonts w:hint="eastAsia" w:ascii="仿宋_GB2312" w:hAnsi="宋体" w:eastAsia="仿宋_GB2312"/>
          <w:b/>
          <w:color w:val="auto"/>
          <w:szCs w:val="21"/>
        </w:rPr>
        <w:t>备注</w:t>
      </w:r>
      <w:r>
        <w:rPr>
          <w:rFonts w:hint="eastAsia" w:ascii="仿宋_GB2312" w:hAnsi="宋体" w:eastAsia="仿宋_GB2312"/>
          <w:color w:val="auto"/>
          <w:szCs w:val="21"/>
        </w:rPr>
        <w:t>：本协议书由委托代理人签字的，应附法定代表人签字的授权委托书。</w:t>
      </w:r>
    </w:p>
    <w:p w14:paraId="1518FCBD">
      <w:pPr>
        <w:adjustRightInd w:val="0"/>
        <w:snapToGrid w:val="0"/>
        <w:spacing w:before="156" w:beforeLines="50" w:line="360" w:lineRule="auto"/>
        <w:rPr>
          <w:rFonts w:ascii="宋体" w:hAnsi="宋体"/>
          <w:b/>
          <w:color w:val="auto"/>
          <w:sz w:val="24"/>
        </w:rPr>
      </w:pPr>
      <w:r>
        <w:rPr>
          <w:rFonts w:hint="eastAsia" w:ascii="宋体" w:hAnsi="宋体"/>
          <w:b/>
          <w:color w:val="auto"/>
          <w:sz w:val="24"/>
        </w:rPr>
        <w:br w:type="page"/>
      </w:r>
      <w:bookmarkStart w:id="55" w:name="_Toc10077"/>
      <w:bookmarkStart w:id="56" w:name="_Toc32234"/>
      <w:bookmarkStart w:id="57" w:name="_Toc25309"/>
      <w:r>
        <w:rPr>
          <w:rFonts w:hint="eastAsia" w:ascii="宋体" w:hAnsi="宋体"/>
          <w:b/>
          <w:color w:val="auto"/>
          <w:sz w:val="24"/>
        </w:rPr>
        <w:t>附件6：供应商资格证明材料</w:t>
      </w:r>
      <w:bookmarkEnd w:id="55"/>
      <w:bookmarkEnd w:id="56"/>
      <w:bookmarkEnd w:id="57"/>
    </w:p>
    <w:p w14:paraId="09D9F088">
      <w:pPr>
        <w:rPr>
          <w:color w:val="auto"/>
        </w:rPr>
      </w:pPr>
    </w:p>
    <w:p w14:paraId="1E2FED9F">
      <w:pPr>
        <w:widowControl/>
        <w:adjustRightInd w:val="0"/>
        <w:snapToGrid w:val="0"/>
        <w:spacing w:line="360" w:lineRule="auto"/>
        <w:jc w:val="center"/>
        <w:rPr>
          <w:rFonts w:ascii="黑体" w:hAnsi="仿宋" w:eastAsia="黑体" w:cs="宋体"/>
          <w:b/>
          <w:color w:val="auto"/>
          <w:sz w:val="24"/>
        </w:rPr>
      </w:pPr>
      <w:r>
        <w:rPr>
          <w:rFonts w:hint="eastAsia" w:ascii="黑体" w:hAnsi="仿宋" w:eastAsia="黑体" w:cs="宋体"/>
          <w:b/>
          <w:color w:val="auto"/>
          <w:sz w:val="24"/>
        </w:rPr>
        <w:t>（1）法人或者其他组织的营业执照等主体资格证明文件，自然人的身份证明</w:t>
      </w:r>
    </w:p>
    <w:p w14:paraId="7FC6AD37">
      <w:pPr>
        <w:widowControl/>
        <w:adjustRightInd w:val="0"/>
        <w:snapToGrid w:val="0"/>
        <w:spacing w:before="156" w:beforeLines="50" w:line="360" w:lineRule="auto"/>
        <w:jc w:val="left"/>
        <w:rPr>
          <w:rFonts w:cs="宋体" w:asciiTheme="minorEastAsia" w:hAnsiTheme="minorEastAsia" w:eastAsiaTheme="minorEastAsia"/>
          <w:color w:val="auto"/>
          <w:szCs w:val="21"/>
        </w:rPr>
      </w:pPr>
    </w:p>
    <w:p w14:paraId="5ABE2B2F">
      <w:pPr>
        <w:adjustRightInd w:val="0"/>
        <w:snapToGrid w:val="0"/>
        <w:spacing w:before="156" w:beforeLines="50"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注：</w:t>
      </w:r>
    </w:p>
    <w:p w14:paraId="76C9F8FA">
      <w:pPr>
        <w:adjustRightInd w:val="0"/>
        <w:snapToGrid w:val="0"/>
        <w:spacing w:before="156" w:beforeLines="50" w:line="360" w:lineRule="auto"/>
        <w:ind w:firstLine="420" w:firstLineChars="200"/>
        <w:rPr>
          <w:rFonts w:asciiTheme="minorEastAsia" w:hAnsiTheme="minorEastAsia"/>
          <w:color w:val="auto"/>
        </w:rPr>
      </w:pPr>
      <w:r>
        <w:rPr>
          <w:rFonts w:hint="eastAsia" w:cs="宋体" w:asciiTheme="minorEastAsia" w:hAnsiTheme="minorEastAsia" w:eastAsiaTheme="minorEastAsia"/>
          <w:color w:val="auto"/>
          <w:szCs w:val="21"/>
        </w:rPr>
        <w:t>①</w:t>
      </w:r>
      <w:r>
        <w:rPr>
          <w:rFonts w:hint="eastAsia" w:asciiTheme="minorEastAsia" w:hAnsiTheme="minorEastAsia" w:eastAsiaTheme="minorEastAsia"/>
          <w:color w:val="auto"/>
        </w:rPr>
        <w:t>供应商</w:t>
      </w:r>
      <w:r>
        <w:rPr>
          <w:rFonts w:hint="eastAsia" w:asciiTheme="minorEastAsia" w:hAnsiTheme="minorEastAsia"/>
          <w:color w:val="auto"/>
        </w:rPr>
        <w:t>为法人的，应提交营业执照或法人登记证书的复印件；</w:t>
      </w:r>
    </w:p>
    <w:p w14:paraId="10048440">
      <w:pPr>
        <w:adjustRightInd w:val="0"/>
        <w:snapToGrid w:val="0"/>
        <w:spacing w:before="156" w:beforeLines="50" w:line="360" w:lineRule="auto"/>
        <w:ind w:firstLine="420" w:firstLineChars="200"/>
        <w:rPr>
          <w:rFonts w:asciiTheme="minorEastAsia" w:hAnsiTheme="minorEastAsia"/>
          <w:color w:val="auto"/>
        </w:rPr>
      </w:pPr>
      <w:r>
        <w:rPr>
          <w:rFonts w:hint="eastAsia" w:cs="宋体" w:asciiTheme="minorEastAsia" w:hAnsiTheme="minorEastAsia" w:eastAsiaTheme="minorEastAsia"/>
          <w:color w:val="auto"/>
          <w:szCs w:val="21"/>
        </w:rPr>
        <w:t>②</w:t>
      </w:r>
      <w:r>
        <w:rPr>
          <w:rFonts w:hint="eastAsia" w:asciiTheme="minorEastAsia" w:hAnsiTheme="minorEastAsia" w:eastAsiaTheme="minorEastAsia"/>
          <w:color w:val="auto"/>
        </w:rPr>
        <w:t>供应商</w:t>
      </w:r>
      <w:r>
        <w:rPr>
          <w:rFonts w:hint="eastAsia" w:asciiTheme="minorEastAsia" w:hAnsiTheme="minorEastAsia"/>
          <w:color w:val="auto"/>
        </w:rPr>
        <w:t>为非法人组织的，应提交依法登记证书复印件；</w:t>
      </w:r>
    </w:p>
    <w:p w14:paraId="6F59E112">
      <w:pPr>
        <w:adjustRightInd w:val="0"/>
        <w:snapToGrid w:val="0"/>
        <w:spacing w:before="156" w:beforeLines="50" w:line="360" w:lineRule="auto"/>
        <w:ind w:firstLine="420" w:firstLineChars="200"/>
        <w:rPr>
          <w:rFonts w:asciiTheme="minorEastAsia" w:hAnsiTheme="minorEastAsia"/>
          <w:color w:val="auto"/>
        </w:rPr>
      </w:pPr>
      <w:r>
        <w:rPr>
          <w:rFonts w:hint="eastAsia" w:cs="宋体" w:asciiTheme="minorEastAsia" w:hAnsiTheme="minorEastAsia" w:eastAsiaTheme="minorEastAsia"/>
          <w:color w:val="auto"/>
          <w:szCs w:val="21"/>
        </w:rPr>
        <w:t>③</w:t>
      </w:r>
      <w:r>
        <w:rPr>
          <w:rFonts w:hint="eastAsia" w:asciiTheme="minorEastAsia" w:hAnsiTheme="minorEastAsia" w:eastAsiaTheme="minorEastAsia"/>
          <w:color w:val="auto"/>
        </w:rPr>
        <w:t>供应商</w:t>
      </w:r>
      <w:r>
        <w:rPr>
          <w:rFonts w:hint="eastAsia" w:asciiTheme="minorEastAsia" w:hAnsiTheme="minorEastAsia"/>
          <w:color w:val="auto"/>
        </w:rPr>
        <w:t>为个体工商户的，应提交个体工商户营业执照复印件；</w:t>
      </w:r>
    </w:p>
    <w:p w14:paraId="3E111A24">
      <w:pPr>
        <w:adjustRightInd w:val="0"/>
        <w:snapToGrid w:val="0"/>
        <w:spacing w:before="156" w:beforeLines="50" w:line="360" w:lineRule="auto"/>
        <w:ind w:firstLine="420" w:firstLineChars="200"/>
        <w:rPr>
          <w:rFonts w:asciiTheme="minorEastAsia" w:hAnsiTheme="minorEastAsia"/>
          <w:color w:val="auto"/>
        </w:rPr>
      </w:pPr>
      <w:r>
        <w:rPr>
          <w:rFonts w:hint="eastAsia" w:cs="宋体" w:asciiTheme="minorEastAsia" w:hAnsiTheme="minorEastAsia" w:eastAsiaTheme="minorEastAsia"/>
          <w:color w:val="auto"/>
          <w:szCs w:val="21"/>
        </w:rPr>
        <w:t>④</w:t>
      </w:r>
      <w:r>
        <w:rPr>
          <w:rFonts w:hint="eastAsia" w:asciiTheme="minorEastAsia" w:hAnsiTheme="minorEastAsia" w:eastAsiaTheme="minorEastAsia"/>
          <w:color w:val="auto"/>
        </w:rPr>
        <w:t>供应商</w:t>
      </w:r>
      <w:r>
        <w:rPr>
          <w:rFonts w:hint="eastAsia" w:asciiTheme="minorEastAsia" w:hAnsiTheme="minorEastAsia"/>
          <w:color w:val="auto"/>
        </w:rPr>
        <w:t>为自然人的，应提交自然人的身份证明复印件。</w:t>
      </w:r>
    </w:p>
    <w:p w14:paraId="6619E51F">
      <w:pPr>
        <w:adjustRightInd w:val="0"/>
        <w:snapToGrid w:val="0"/>
        <w:spacing w:before="156" w:beforeLines="50" w:line="360" w:lineRule="auto"/>
        <w:rPr>
          <w:rFonts w:ascii="宋体" w:hAnsi="宋体"/>
          <w:bCs/>
          <w:color w:val="auto"/>
          <w:szCs w:val="21"/>
        </w:rPr>
      </w:pPr>
    </w:p>
    <w:p w14:paraId="187BFA8D">
      <w:pPr>
        <w:adjustRightInd w:val="0"/>
        <w:snapToGrid w:val="0"/>
        <w:spacing w:before="156" w:beforeLines="50" w:line="360" w:lineRule="auto"/>
        <w:rPr>
          <w:rFonts w:ascii="宋体" w:hAnsi="宋体"/>
          <w:b/>
          <w:color w:val="auto"/>
          <w:szCs w:val="21"/>
        </w:rPr>
      </w:pPr>
    </w:p>
    <w:p w14:paraId="71C29423">
      <w:pPr>
        <w:adjustRightInd w:val="0"/>
        <w:snapToGrid w:val="0"/>
        <w:spacing w:before="156" w:beforeLines="50" w:line="360" w:lineRule="auto"/>
        <w:rPr>
          <w:rFonts w:ascii="宋体" w:hAnsi="宋体"/>
          <w:b/>
          <w:color w:val="auto"/>
          <w:szCs w:val="21"/>
        </w:rPr>
      </w:pPr>
    </w:p>
    <w:p w14:paraId="3A96B2EC">
      <w:pPr>
        <w:adjustRightInd w:val="0"/>
        <w:snapToGrid w:val="0"/>
        <w:spacing w:before="156" w:beforeLines="50" w:line="360" w:lineRule="auto"/>
        <w:rPr>
          <w:rFonts w:ascii="宋体" w:hAnsi="宋体"/>
          <w:b/>
          <w:color w:val="auto"/>
          <w:szCs w:val="21"/>
        </w:rPr>
      </w:pPr>
    </w:p>
    <w:p w14:paraId="52AD1F57">
      <w:pPr>
        <w:adjustRightInd w:val="0"/>
        <w:snapToGrid w:val="0"/>
        <w:spacing w:before="156" w:beforeLines="50" w:line="360" w:lineRule="auto"/>
        <w:rPr>
          <w:rFonts w:ascii="宋体" w:hAnsi="宋体"/>
          <w:b/>
          <w:color w:val="auto"/>
          <w:szCs w:val="21"/>
        </w:rPr>
      </w:pPr>
    </w:p>
    <w:p w14:paraId="2C98B3D4">
      <w:pPr>
        <w:adjustRightInd w:val="0"/>
        <w:snapToGrid w:val="0"/>
        <w:spacing w:before="156" w:beforeLines="50" w:line="360" w:lineRule="auto"/>
        <w:rPr>
          <w:rFonts w:ascii="宋体" w:hAnsi="宋体"/>
          <w:b/>
          <w:color w:val="auto"/>
          <w:szCs w:val="21"/>
        </w:rPr>
      </w:pPr>
    </w:p>
    <w:p w14:paraId="40B50BB2">
      <w:pPr>
        <w:adjustRightInd w:val="0"/>
        <w:snapToGrid w:val="0"/>
        <w:spacing w:before="156" w:beforeLines="50" w:line="360" w:lineRule="auto"/>
        <w:rPr>
          <w:rFonts w:ascii="宋体" w:hAnsi="宋体"/>
          <w:b/>
          <w:color w:val="auto"/>
          <w:szCs w:val="21"/>
        </w:rPr>
      </w:pPr>
    </w:p>
    <w:p w14:paraId="241CD1AF">
      <w:pPr>
        <w:adjustRightInd w:val="0"/>
        <w:snapToGrid w:val="0"/>
        <w:spacing w:before="156" w:beforeLines="50" w:line="360" w:lineRule="auto"/>
        <w:rPr>
          <w:rFonts w:ascii="宋体" w:hAnsi="宋体"/>
          <w:b/>
          <w:color w:val="auto"/>
          <w:szCs w:val="21"/>
        </w:rPr>
      </w:pPr>
    </w:p>
    <w:p w14:paraId="37DC8817">
      <w:pPr>
        <w:adjustRightInd w:val="0"/>
        <w:snapToGrid w:val="0"/>
        <w:spacing w:before="156" w:beforeLines="50" w:line="360" w:lineRule="auto"/>
        <w:rPr>
          <w:rFonts w:ascii="宋体" w:hAnsi="宋体"/>
          <w:b/>
          <w:color w:val="auto"/>
          <w:szCs w:val="21"/>
        </w:rPr>
      </w:pPr>
    </w:p>
    <w:p w14:paraId="7E31B4AC">
      <w:pPr>
        <w:adjustRightInd w:val="0"/>
        <w:snapToGrid w:val="0"/>
        <w:spacing w:before="156" w:beforeLines="50" w:line="360" w:lineRule="auto"/>
        <w:rPr>
          <w:rFonts w:ascii="宋体" w:hAnsi="宋体"/>
          <w:b/>
          <w:color w:val="auto"/>
          <w:szCs w:val="21"/>
        </w:rPr>
      </w:pPr>
    </w:p>
    <w:p w14:paraId="35FB3E7A">
      <w:pPr>
        <w:adjustRightInd w:val="0"/>
        <w:snapToGrid w:val="0"/>
        <w:spacing w:before="156" w:beforeLines="50" w:line="360" w:lineRule="auto"/>
        <w:rPr>
          <w:rFonts w:ascii="宋体" w:hAnsi="宋体"/>
          <w:b/>
          <w:color w:val="auto"/>
          <w:szCs w:val="21"/>
        </w:rPr>
      </w:pPr>
    </w:p>
    <w:p w14:paraId="0941453A">
      <w:pPr>
        <w:adjustRightInd w:val="0"/>
        <w:snapToGrid w:val="0"/>
        <w:spacing w:before="156" w:beforeLines="50" w:line="360" w:lineRule="auto"/>
        <w:rPr>
          <w:rFonts w:ascii="宋体" w:hAnsi="宋体"/>
          <w:b/>
          <w:color w:val="auto"/>
          <w:szCs w:val="21"/>
        </w:rPr>
      </w:pPr>
    </w:p>
    <w:p w14:paraId="6F469F2F">
      <w:pPr>
        <w:adjustRightInd w:val="0"/>
        <w:snapToGrid w:val="0"/>
        <w:spacing w:before="156" w:beforeLines="50" w:line="360" w:lineRule="auto"/>
        <w:rPr>
          <w:rFonts w:ascii="宋体" w:hAnsi="宋体"/>
          <w:b/>
          <w:color w:val="auto"/>
          <w:szCs w:val="21"/>
        </w:rPr>
      </w:pPr>
    </w:p>
    <w:p w14:paraId="1D6EA9B3">
      <w:pPr>
        <w:adjustRightInd w:val="0"/>
        <w:snapToGrid w:val="0"/>
        <w:spacing w:before="156" w:beforeLines="50" w:line="360" w:lineRule="auto"/>
        <w:rPr>
          <w:rFonts w:ascii="宋体" w:hAnsi="宋体"/>
          <w:b/>
          <w:color w:val="auto"/>
          <w:szCs w:val="21"/>
        </w:rPr>
      </w:pPr>
    </w:p>
    <w:p w14:paraId="7B50C0D0">
      <w:pPr>
        <w:adjustRightInd w:val="0"/>
        <w:snapToGrid w:val="0"/>
        <w:spacing w:before="156" w:beforeLines="50" w:line="360" w:lineRule="auto"/>
        <w:rPr>
          <w:rFonts w:ascii="宋体" w:hAnsi="宋体"/>
          <w:b/>
          <w:color w:val="auto"/>
          <w:szCs w:val="21"/>
        </w:rPr>
      </w:pPr>
    </w:p>
    <w:p w14:paraId="396335FC">
      <w:pPr>
        <w:adjustRightInd w:val="0"/>
        <w:snapToGrid w:val="0"/>
        <w:spacing w:before="156" w:beforeLines="50" w:line="360" w:lineRule="auto"/>
        <w:rPr>
          <w:rFonts w:ascii="宋体" w:hAnsi="宋体"/>
          <w:b/>
          <w:color w:val="auto"/>
          <w:szCs w:val="21"/>
        </w:rPr>
      </w:pPr>
    </w:p>
    <w:p w14:paraId="0A55FF22">
      <w:pPr>
        <w:widowControl/>
        <w:adjustRightInd w:val="0"/>
        <w:snapToGrid w:val="0"/>
        <w:spacing w:line="360" w:lineRule="auto"/>
        <w:jc w:val="left"/>
        <w:rPr>
          <w:rFonts w:ascii="黑体" w:hAnsi="仿宋" w:eastAsia="黑体" w:cs="宋体"/>
          <w:b/>
          <w:color w:val="auto"/>
          <w:sz w:val="24"/>
        </w:rPr>
      </w:pPr>
      <w:r>
        <w:rPr>
          <w:rFonts w:hint="eastAsia" w:ascii="宋体" w:hAnsi="宋体" w:cs="宋体"/>
          <w:b/>
          <w:color w:val="auto"/>
          <w:sz w:val="24"/>
        </w:rPr>
        <w:t>（2）湖南省政府采购供应商资格承诺函(格式)</w:t>
      </w:r>
    </w:p>
    <w:p w14:paraId="01D4E43C">
      <w:pPr>
        <w:rPr>
          <w:color w:val="auto"/>
        </w:rPr>
      </w:pPr>
    </w:p>
    <w:p w14:paraId="1DF946BE">
      <w:pPr>
        <w:widowControl/>
        <w:adjustRightInd w:val="0"/>
        <w:snapToGrid w:val="0"/>
        <w:spacing w:before="156" w:beforeLines="50" w:line="360" w:lineRule="auto"/>
        <w:jc w:val="center"/>
        <w:rPr>
          <w:rFonts w:cs="宋体" w:asciiTheme="minorEastAsia" w:hAnsiTheme="minorEastAsia" w:eastAsiaTheme="minorEastAsia"/>
          <w:color w:val="auto"/>
          <w:szCs w:val="21"/>
        </w:rPr>
      </w:pPr>
      <w:r>
        <w:rPr>
          <w:rFonts w:hint="eastAsia" w:ascii="黑体" w:hAnsi="仿宋" w:eastAsia="黑体" w:cs="宋体"/>
          <w:b/>
          <w:color w:val="auto"/>
          <w:sz w:val="28"/>
          <w:szCs w:val="28"/>
        </w:rPr>
        <w:t>湖南省政府采购供应商资格承诺函(格式)</w:t>
      </w:r>
    </w:p>
    <w:p w14:paraId="5060FB61">
      <w:pPr>
        <w:widowControl/>
        <w:spacing w:before="156"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156D4C7C">
      <w:pPr>
        <w:widowControl/>
        <w:spacing w:before="156"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按照《政府采购促进中小企业发展管理办法》(财库〔2020〕46号),本公司企业规模为: 大型口中型口小型□微型□。</w:t>
      </w:r>
    </w:p>
    <w:p w14:paraId="56C7B11E">
      <w:pPr>
        <w:widowControl/>
        <w:spacing w:before="156"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□本公司自愿入驻湖南省政府采购电子卖场,遵守《湖南省政府采购电子卖场管理办法》(湘财购〔2019〕27号),如违反承诺,同意金融机构将增信保证划缴国库(非电子卖场采购活动项目不需勾选)。</w:t>
      </w:r>
    </w:p>
    <w:p w14:paraId="5035CEE0">
      <w:pPr>
        <w:widowControl/>
        <w:spacing w:before="156" w:beforeLines="50" w:line="360" w:lineRule="auto"/>
        <w:ind w:firstLine="420" w:firstLineChars="200"/>
        <w:jc w:val="left"/>
        <w:rPr>
          <w:rFonts w:ascii="宋体" w:hAnsi="宋体" w:cs="宋体"/>
          <w:color w:val="auto"/>
          <w:szCs w:val="21"/>
        </w:rPr>
      </w:pPr>
    </w:p>
    <w:p w14:paraId="21219576">
      <w:pPr>
        <w:widowControl/>
        <w:spacing w:before="156" w:beforeLines="50" w:line="360" w:lineRule="auto"/>
        <w:ind w:firstLine="5040" w:firstLineChars="2400"/>
        <w:jc w:val="left"/>
        <w:rPr>
          <w:rFonts w:ascii="宋体" w:hAnsi="宋体" w:cs="宋体"/>
          <w:color w:val="auto"/>
          <w:szCs w:val="21"/>
        </w:rPr>
      </w:pPr>
      <w:r>
        <w:rPr>
          <w:rFonts w:hint="eastAsia" w:ascii="宋体" w:hAnsi="宋体" w:cs="宋体"/>
          <w:color w:val="auto"/>
          <w:szCs w:val="21"/>
        </w:rPr>
        <w:t>公司(单位)名称(盖章)：</w:t>
      </w:r>
    </w:p>
    <w:p w14:paraId="25FA9739">
      <w:pPr>
        <w:widowControl/>
        <w:spacing w:before="156" w:beforeLines="50" w:line="360" w:lineRule="auto"/>
        <w:ind w:firstLine="4830" w:firstLineChars="2300"/>
        <w:jc w:val="left"/>
        <w:rPr>
          <w:rFonts w:ascii="宋体" w:hAnsi="宋体" w:cs="宋体"/>
          <w:color w:val="auto"/>
          <w:szCs w:val="21"/>
        </w:rPr>
      </w:pP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年</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月</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日</w:t>
      </w:r>
    </w:p>
    <w:p w14:paraId="2FF5278E">
      <w:pPr>
        <w:widowControl/>
        <w:spacing w:before="156" w:beforeLines="50" w:line="360" w:lineRule="auto"/>
        <w:ind w:firstLine="420" w:firstLineChars="200"/>
        <w:jc w:val="left"/>
        <w:rPr>
          <w:rFonts w:ascii="宋体" w:hAnsi="宋体" w:cs="宋体"/>
          <w:color w:val="auto"/>
          <w:szCs w:val="21"/>
        </w:rPr>
      </w:pPr>
    </w:p>
    <w:p w14:paraId="529EA5BE">
      <w:pPr>
        <w:pStyle w:val="46"/>
        <w:spacing w:before="0" w:beforeAutospacing="0" w:after="0" w:afterAutospacing="0" w:line="360" w:lineRule="auto"/>
        <w:jc w:val="both"/>
        <w:rPr>
          <w:color w:val="auto"/>
          <w:sz w:val="21"/>
          <w:szCs w:val="21"/>
        </w:rPr>
      </w:pPr>
      <w:r>
        <w:rPr>
          <w:rFonts w:hint="eastAsia"/>
          <w:color w:val="auto"/>
          <w:sz w:val="21"/>
          <w:szCs w:val="21"/>
        </w:rPr>
        <w:t>机构代码：</w:t>
      </w:r>
      <w:r>
        <w:rPr>
          <w:rFonts w:hint="eastAsia"/>
          <w:color w:val="auto"/>
          <w:sz w:val="21"/>
          <w:szCs w:val="21"/>
          <w:u w:val="single"/>
        </w:rPr>
        <w:t>      </w:t>
      </w:r>
      <w:r>
        <w:rPr>
          <w:rFonts w:hint="eastAsia"/>
          <w:color w:val="auto"/>
          <w:sz w:val="21"/>
          <w:szCs w:val="21"/>
        </w:rPr>
        <w:t>、注册登记机构：</w:t>
      </w:r>
      <w:r>
        <w:rPr>
          <w:rFonts w:hint="eastAsia"/>
          <w:color w:val="auto"/>
          <w:sz w:val="21"/>
          <w:szCs w:val="21"/>
          <w:u w:val="single"/>
        </w:rPr>
        <w:t>      </w:t>
      </w:r>
      <w:r>
        <w:rPr>
          <w:rFonts w:hint="eastAsia"/>
          <w:color w:val="auto"/>
          <w:sz w:val="21"/>
          <w:szCs w:val="21"/>
        </w:rPr>
        <w:t>、日期：</w:t>
      </w:r>
      <w:r>
        <w:rPr>
          <w:rFonts w:hint="eastAsia"/>
          <w:color w:val="auto"/>
          <w:sz w:val="21"/>
          <w:szCs w:val="21"/>
          <w:u w:val="single"/>
        </w:rPr>
        <w:t>      </w:t>
      </w:r>
      <w:r>
        <w:rPr>
          <w:rFonts w:hint="eastAsia"/>
          <w:color w:val="auto"/>
          <w:sz w:val="21"/>
          <w:szCs w:val="21"/>
        </w:rPr>
        <w:t>、</w:t>
      </w:r>
    </w:p>
    <w:p w14:paraId="24B8807B">
      <w:pPr>
        <w:pStyle w:val="46"/>
        <w:spacing w:before="0" w:beforeAutospacing="0" w:after="0" w:afterAutospacing="0" w:line="360" w:lineRule="auto"/>
        <w:jc w:val="both"/>
        <w:rPr>
          <w:color w:val="auto"/>
          <w:sz w:val="21"/>
          <w:szCs w:val="21"/>
        </w:rPr>
      </w:pPr>
      <w:r>
        <w:rPr>
          <w:rFonts w:hint="eastAsia"/>
          <w:color w:val="auto"/>
          <w:sz w:val="21"/>
          <w:szCs w:val="21"/>
        </w:rPr>
        <w:t>有效期：</w:t>
      </w:r>
      <w:r>
        <w:rPr>
          <w:rFonts w:hint="eastAsia"/>
          <w:color w:val="auto"/>
          <w:sz w:val="21"/>
          <w:szCs w:val="21"/>
          <w:u w:val="single"/>
        </w:rPr>
        <w:t>      </w:t>
      </w:r>
      <w:r>
        <w:rPr>
          <w:rFonts w:hint="eastAsia"/>
          <w:color w:val="auto"/>
          <w:sz w:val="21"/>
          <w:szCs w:val="21"/>
        </w:rPr>
        <w:t>、注册资本：</w:t>
      </w:r>
      <w:r>
        <w:rPr>
          <w:rFonts w:hint="eastAsia"/>
          <w:color w:val="auto"/>
          <w:sz w:val="21"/>
          <w:szCs w:val="21"/>
          <w:u w:val="single"/>
        </w:rPr>
        <w:t>      </w:t>
      </w:r>
      <w:r>
        <w:rPr>
          <w:rFonts w:hint="eastAsia"/>
          <w:color w:val="auto"/>
          <w:sz w:val="21"/>
          <w:szCs w:val="21"/>
        </w:rPr>
        <w:t>、地址：</w:t>
      </w:r>
      <w:r>
        <w:rPr>
          <w:rFonts w:hint="eastAsia"/>
          <w:color w:val="auto"/>
          <w:sz w:val="21"/>
          <w:szCs w:val="21"/>
          <w:u w:val="single"/>
        </w:rPr>
        <w:t>      </w:t>
      </w:r>
      <w:r>
        <w:rPr>
          <w:rFonts w:hint="eastAsia"/>
          <w:color w:val="auto"/>
          <w:sz w:val="21"/>
          <w:szCs w:val="21"/>
        </w:rPr>
        <w:t>、经济行业：</w:t>
      </w:r>
      <w:r>
        <w:rPr>
          <w:rFonts w:hint="eastAsia"/>
          <w:color w:val="auto"/>
          <w:sz w:val="21"/>
          <w:szCs w:val="21"/>
          <w:u w:val="single"/>
        </w:rPr>
        <w:t>      </w:t>
      </w:r>
      <w:r>
        <w:rPr>
          <w:rFonts w:hint="eastAsia"/>
          <w:color w:val="auto"/>
          <w:sz w:val="21"/>
          <w:szCs w:val="21"/>
        </w:rPr>
        <w:t>、经济性质：</w:t>
      </w:r>
      <w:r>
        <w:rPr>
          <w:rFonts w:hint="eastAsia"/>
          <w:color w:val="auto"/>
          <w:sz w:val="21"/>
          <w:szCs w:val="21"/>
          <w:u w:val="single"/>
        </w:rPr>
        <w:t>      </w:t>
      </w:r>
    </w:p>
    <w:p w14:paraId="68265297">
      <w:pPr>
        <w:pStyle w:val="46"/>
        <w:spacing w:before="0" w:beforeAutospacing="0" w:after="0" w:afterAutospacing="0" w:line="360" w:lineRule="auto"/>
        <w:jc w:val="both"/>
        <w:rPr>
          <w:color w:val="auto"/>
          <w:sz w:val="21"/>
          <w:szCs w:val="21"/>
        </w:rPr>
      </w:pPr>
    </w:p>
    <w:p w14:paraId="05200538">
      <w:pPr>
        <w:pStyle w:val="46"/>
        <w:spacing w:before="0" w:beforeAutospacing="0" w:after="0" w:afterAutospacing="0" w:line="360" w:lineRule="auto"/>
        <w:jc w:val="both"/>
        <w:rPr>
          <w:color w:val="auto"/>
          <w:sz w:val="21"/>
          <w:szCs w:val="21"/>
        </w:rPr>
      </w:pPr>
      <w:r>
        <w:rPr>
          <w:rFonts w:hint="eastAsia"/>
          <w:color w:val="auto"/>
          <w:sz w:val="21"/>
          <w:szCs w:val="21"/>
        </w:rPr>
        <w:t>法定代表人（负责人）姓名（签字）：</w:t>
      </w:r>
      <w:r>
        <w:rPr>
          <w:rFonts w:hint="eastAsia"/>
          <w:color w:val="auto"/>
          <w:sz w:val="21"/>
          <w:szCs w:val="21"/>
          <w:u w:val="single"/>
        </w:rPr>
        <w:t>     </w:t>
      </w:r>
      <w:r>
        <w:rPr>
          <w:rFonts w:hint="eastAsia"/>
          <w:color w:val="auto"/>
          <w:sz w:val="21"/>
          <w:szCs w:val="21"/>
        </w:rPr>
        <w:t>、身份证号：</w:t>
      </w:r>
      <w:r>
        <w:rPr>
          <w:rFonts w:hint="eastAsia"/>
          <w:color w:val="auto"/>
          <w:sz w:val="21"/>
          <w:szCs w:val="21"/>
          <w:u w:val="single"/>
        </w:rPr>
        <w:t>     </w:t>
      </w:r>
      <w:r>
        <w:rPr>
          <w:rFonts w:hint="eastAsia"/>
          <w:color w:val="auto"/>
          <w:sz w:val="21"/>
          <w:szCs w:val="21"/>
        </w:rPr>
        <w:t>、手机号：</w:t>
      </w:r>
      <w:r>
        <w:rPr>
          <w:rFonts w:hint="eastAsia"/>
          <w:color w:val="auto"/>
          <w:sz w:val="21"/>
          <w:szCs w:val="21"/>
          <w:u w:val="single"/>
        </w:rPr>
        <w:t>     </w:t>
      </w:r>
    </w:p>
    <w:p w14:paraId="28C8826B">
      <w:pPr>
        <w:spacing w:line="360" w:lineRule="auto"/>
        <w:rPr>
          <w:color w:val="auto"/>
        </w:rPr>
      </w:pPr>
      <w:r>
        <w:rPr>
          <w:rFonts w:hint="eastAsia"/>
          <w:color w:val="auto"/>
          <w:szCs w:val="21"/>
        </w:rPr>
        <w:t>授权代表人姓名（签字）：</w:t>
      </w:r>
      <w:r>
        <w:rPr>
          <w:rFonts w:hint="eastAsia"/>
          <w:color w:val="auto"/>
          <w:szCs w:val="21"/>
          <w:u w:val="single"/>
        </w:rPr>
        <w:t>              </w:t>
      </w:r>
      <w:r>
        <w:rPr>
          <w:rFonts w:hint="eastAsia"/>
          <w:color w:val="auto"/>
          <w:szCs w:val="21"/>
        </w:rPr>
        <w:t>、身份证号：</w:t>
      </w:r>
      <w:r>
        <w:rPr>
          <w:rFonts w:hint="eastAsia"/>
          <w:color w:val="auto"/>
          <w:szCs w:val="21"/>
          <w:u w:val="single"/>
        </w:rPr>
        <w:t>              </w:t>
      </w:r>
      <w:r>
        <w:rPr>
          <w:rFonts w:hint="eastAsia"/>
          <w:color w:val="auto"/>
          <w:szCs w:val="21"/>
        </w:rPr>
        <w:t>、手机号：</w:t>
      </w:r>
      <w:r>
        <w:rPr>
          <w:rFonts w:hint="eastAsia"/>
          <w:color w:val="auto"/>
          <w:szCs w:val="21"/>
          <w:u w:val="single"/>
        </w:rPr>
        <w:t>              </w:t>
      </w:r>
    </w:p>
    <w:p w14:paraId="2E072F53">
      <w:pPr>
        <w:rPr>
          <w:color w:val="auto"/>
        </w:rPr>
      </w:pPr>
    </w:p>
    <w:p w14:paraId="666931A9">
      <w:pPr>
        <w:adjustRightInd w:val="0"/>
        <w:snapToGrid w:val="0"/>
        <w:spacing w:before="156" w:beforeLines="50" w:line="360" w:lineRule="auto"/>
        <w:jc w:val="center"/>
        <w:rPr>
          <w:rFonts w:ascii="宋体" w:hAnsi="宋体"/>
          <w:b/>
          <w:color w:val="auto"/>
          <w:szCs w:val="21"/>
        </w:rPr>
      </w:pPr>
    </w:p>
    <w:p w14:paraId="3152CA02">
      <w:pPr>
        <w:adjustRightInd w:val="0"/>
        <w:snapToGrid w:val="0"/>
        <w:spacing w:before="156" w:beforeLines="50" w:line="360" w:lineRule="auto"/>
        <w:jc w:val="center"/>
        <w:rPr>
          <w:rFonts w:ascii="宋体" w:hAnsi="宋体"/>
          <w:b/>
          <w:color w:val="auto"/>
          <w:szCs w:val="21"/>
        </w:rPr>
      </w:pPr>
    </w:p>
    <w:p w14:paraId="0331DC5C">
      <w:pPr>
        <w:adjustRightInd w:val="0"/>
        <w:snapToGrid w:val="0"/>
        <w:spacing w:before="156" w:beforeLines="50" w:line="360" w:lineRule="auto"/>
        <w:jc w:val="center"/>
        <w:rPr>
          <w:rFonts w:ascii="宋体" w:hAnsi="宋体"/>
          <w:b/>
          <w:color w:val="auto"/>
          <w:szCs w:val="21"/>
        </w:rPr>
      </w:pPr>
    </w:p>
    <w:p w14:paraId="6AC3920E">
      <w:pPr>
        <w:adjustRightInd w:val="0"/>
        <w:snapToGrid w:val="0"/>
        <w:spacing w:before="156" w:beforeLines="50" w:line="360" w:lineRule="auto"/>
        <w:jc w:val="center"/>
        <w:rPr>
          <w:rFonts w:ascii="宋体" w:hAnsi="宋体"/>
          <w:b/>
          <w:color w:val="auto"/>
          <w:szCs w:val="21"/>
        </w:rPr>
      </w:pPr>
      <w:r>
        <w:rPr>
          <w:rFonts w:hint="eastAsia" w:ascii="宋体" w:hAnsi="宋体"/>
          <w:b/>
          <w:color w:val="auto"/>
          <w:szCs w:val="21"/>
        </w:rPr>
        <w:t xml:space="preserve"> </w:t>
      </w:r>
    </w:p>
    <w:p w14:paraId="02E6640F">
      <w:pPr>
        <w:adjustRightInd w:val="0"/>
        <w:snapToGrid w:val="0"/>
        <w:spacing w:before="156" w:beforeLines="50" w:line="360" w:lineRule="auto"/>
        <w:jc w:val="center"/>
        <w:rPr>
          <w:rFonts w:ascii="宋体" w:hAnsi="宋体"/>
          <w:b/>
          <w:color w:val="auto"/>
          <w:szCs w:val="21"/>
        </w:rPr>
      </w:pPr>
      <w:r>
        <w:rPr>
          <w:rFonts w:hint="eastAsia" w:ascii="宋体" w:hAnsi="宋体"/>
          <w:b/>
          <w:color w:val="auto"/>
          <w:szCs w:val="21"/>
        </w:rPr>
        <w:br w:type="page"/>
      </w:r>
      <w:bookmarkStart w:id="58" w:name="_Toc25103"/>
      <w:bookmarkStart w:id="59" w:name="_Toc29175"/>
      <w:bookmarkStart w:id="60" w:name="_Toc32304"/>
      <w:r>
        <w:rPr>
          <w:rFonts w:hint="eastAsia" w:ascii="黑体" w:hAnsi="仿宋" w:eastAsia="黑体" w:cs="宋体"/>
          <w:b/>
          <w:color w:val="auto"/>
          <w:sz w:val="28"/>
          <w:szCs w:val="28"/>
        </w:rPr>
        <w:t>(3)</w:t>
      </w:r>
      <w:bookmarkEnd w:id="58"/>
      <w:bookmarkEnd w:id="59"/>
      <w:bookmarkEnd w:id="60"/>
      <w:r>
        <w:rPr>
          <w:rFonts w:hint="eastAsia" w:ascii="黑体" w:hAnsi="仿宋" w:eastAsia="黑体" w:cs="宋体"/>
          <w:b/>
          <w:color w:val="auto"/>
          <w:sz w:val="28"/>
          <w:szCs w:val="28"/>
        </w:rPr>
        <w:t>符合特定资格条件证明材料或者情况说明</w:t>
      </w:r>
    </w:p>
    <w:p w14:paraId="69265B27">
      <w:pPr>
        <w:rPr>
          <w:color w:val="auto"/>
        </w:rPr>
      </w:pPr>
    </w:p>
    <w:p w14:paraId="26476A04">
      <w:pPr>
        <w:rPr>
          <w:color w:val="auto"/>
        </w:rPr>
      </w:pPr>
    </w:p>
    <w:p w14:paraId="43175334">
      <w:pPr>
        <w:rPr>
          <w:color w:val="auto"/>
        </w:rPr>
      </w:pPr>
    </w:p>
    <w:p w14:paraId="66B38BEF">
      <w:pPr>
        <w:rPr>
          <w:color w:val="auto"/>
        </w:rPr>
      </w:pPr>
    </w:p>
    <w:p w14:paraId="5BF457EE">
      <w:pPr>
        <w:rPr>
          <w:color w:val="auto"/>
        </w:rPr>
      </w:pPr>
    </w:p>
    <w:p w14:paraId="632A5D11">
      <w:pPr>
        <w:rPr>
          <w:color w:val="auto"/>
        </w:rPr>
      </w:pPr>
    </w:p>
    <w:p w14:paraId="550F7133">
      <w:pPr>
        <w:adjustRightInd w:val="0"/>
        <w:snapToGrid w:val="0"/>
        <w:spacing w:before="156" w:beforeLines="50" w:line="360" w:lineRule="auto"/>
        <w:jc w:val="center"/>
        <w:rPr>
          <w:rFonts w:ascii="宋体" w:hAnsi="宋体"/>
          <w:b/>
          <w:color w:val="auto"/>
          <w:sz w:val="32"/>
          <w:szCs w:val="32"/>
        </w:rPr>
      </w:pPr>
    </w:p>
    <w:p w14:paraId="2862297F">
      <w:pPr>
        <w:adjustRightInd w:val="0"/>
        <w:snapToGrid w:val="0"/>
        <w:spacing w:before="156" w:beforeLines="50" w:line="360" w:lineRule="auto"/>
        <w:jc w:val="center"/>
        <w:rPr>
          <w:rFonts w:ascii="宋体" w:hAnsi="宋体"/>
          <w:b/>
          <w:color w:val="auto"/>
          <w:sz w:val="32"/>
          <w:szCs w:val="32"/>
        </w:rPr>
      </w:pPr>
    </w:p>
    <w:p w14:paraId="68F11139">
      <w:pPr>
        <w:adjustRightInd w:val="0"/>
        <w:snapToGrid w:val="0"/>
        <w:spacing w:before="156" w:beforeLines="50" w:line="360" w:lineRule="auto"/>
        <w:jc w:val="center"/>
        <w:rPr>
          <w:rFonts w:ascii="宋体" w:hAnsi="宋体"/>
          <w:b/>
          <w:color w:val="auto"/>
          <w:sz w:val="32"/>
          <w:szCs w:val="32"/>
        </w:rPr>
      </w:pPr>
    </w:p>
    <w:p w14:paraId="5BE2DB52">
      <w:pPr>
        <w:adjustRightInd w:val="0"/>
        <w:snapToGrid w:val="0"/>
        <w:spacing w:before="156" w:beforeLines="50" w:line="360" w:lineRule="auto"/>
        <w:jc w:val="center"/>
        <w:rPr>
          <w:rFonts w:ascii="宋体" w:hAnsi="宋体"/>
          <w:b/>
          <w:color w:val="auto"/>
          <w:sz w:val="32"/>
          <w:szCs w:val="32"/>
        </w:rPr>
      </w:pPr>
    </w:p>
    <w:p w14:paraId="251038EC">
      <w:pPr>
        <w:rPr>
          <w:rFonts w:ascii="宋体" w:hAnsi="宋体"/>
          <w:b/>
          <w:color w:val="auto"/>
          <w:sz w:val="32"/>
          <w:szCs w:val="32"/>
        </w:rPr>
      </w:pPr>
      <w:bookmarkStart w:id="61" w:name="_Toc9896"/>
      <w:bookmarkStart w:id="62" w:name="_Toc22416"/>
      <w:r>
        <w:rPr>
          <w:rFonts w:hint="eastAsia" w:ascii="宋体" w:hAnsi="宋体"/>
          <w:b/>
          <w:color w:val="auto"/>
          <w:sz w:val="32"/>
          <w:szCs w:val="32"/>
        </w:rPr>
        <w:br w:type="page"/>
      </w:r>
    </w:p>
    <w:bookmarkEnd w:id="61"/>
    <w:bookmarkEnd w:id="62"/>
    <w:p w14:paraId="12806B09">
      <w:pPr>
        <w:spacing w:line="360" w:lineRule="exact"/>
        <w:jc w:val="center"/>
        <w:outlineLvl w:val="1"/>
        <w:rPr>
          <w:rFonts w:ascii="宋体" w:hAnsi="宋体"/>
          <w:b/>
          <w:color w:val="auto"/>
          <w:sz w:val="32"/>
          <w:szCs w:val="32"/>
        </w:rPr>
      </w:pPr>
      <w:bookmarkStart w:id="63" w:name="_Toc7255"/>
      <w:bookmarkStart w:id="64" w:name="_Toc30854"/>
      <w:bookmarkStart w:id="65" w:name="_Toc22537"/>
      <w:r>
        <w:rPr>
          <w:rFonts w:hint="eastAsia" w:ascii="宋体" w:hAnsi="宋体"/>
          <w:b/>
          <w:color w:val="auto"/>
          <w:sz w:val="32"/>
          <w:szCs w:val="32"/>
        </w:rPr>
        <w:t>四、服务方案</w:t>
      </w:r>
      <w:bookmarkEnd w:id="63"/>
      <w:bookmarkEnd w:id="64"/>
      <w:bookmarkEnd w:id="65"/>
    </w:p>
    <w:p w14:paraId="0F3CD194">
      <w:pPr>
        <w:spacing w:line="360" w:lineRule="exact"/>
        <w:jc w:val="center"/>
        <w:rPr>
          <w:rFonts w:ascii="宋体" w:hAnsi="宋体"/>
          <w:b/>
          <w:color w:val="auto"/>
          <w:sz w:val="32"/>
          <w:szCs w:val="32"/>
        </w:rPr>
      </w:pPr>
    </w:p>
    <w:p w14:paraId="373B5059">
      <w:pPr>
        <w:spacing w:line="360" w:lineRule="exact"/>
        <w:jc w:val="center"/>
        <w:rPr>
          <w:rFonts w:ascii="宋体" w:hAnsi="宋体"/>
          <w:b/>
          <w:color w:val="auto"/>
          <w:sz w:val="32"/>
          <w:szCs w:val="32"/>
        </w:rPr>
      </w:pPr>
    </w:p>
    <w:p w14:paraId="61731B52">
      <w:pPr>
        <w:spacing w:line="360" w:lineRule="exact"/>
        <w:rPr>
          <w:rFonts w:ascii="仿宋" w:hAnsi="仿宋" w:eastAsia="仿宋" w:cs="仿宋"/>
          <w:b/>
          <w:color w:val="auto"/>
          <w:sz w:val="28"/>
          <w:szCs w:val="28"/>
        </w:rPr>
      </w:pPr>
      <w:r>
        <w:rPr>
          <w:rFonts w:hint="eastAsia" w:ascii="仿宋" w:hAnsi="仿宋" w:eastAsia="仿宋" w:cs="仿宋"/>
          <w:b/>
          <w:color w:val="auto"/>
          <w:sz w:val="28"/>
          <w:szCs w:val="28"/>
        </w:rPr>
        <w:t>注：由供应商根据采购需求和磋商评分标准自行编制，格式自拟。</w:t>
      </w:r>
    </w:p>
    <w:p w14:paraId="137303F1">
      <w:pPr>
        <w:spacing w:line="360" w:lineRule="exact"/>
        <w:jc w:val="center"/>
        <w:rPr>
          <w:rFonts w:ascii="宋体" w:hAnsi="宋体"/>
          <w:b/>
          <w:color w:val="auto"/>
          <w:sz w:val="32"/>
          <w:szCs w:val="32"/>
        </w:rPr>
      </w:pPr>
    </w:p>
    <w:p w14:paraId="4EEA835C">
      <w:pPr>
        <w:spacing w:line="360" w:lineRule="exact"/>
        <w:jc w:val="center"/>
        <w:rPr>
          <w:rFonts w:ascii="宋体" w:hAnsi="宋体"/>
          <w:b/>
          <w:color w:val="auto"/>
          <w:sz w:val="32"/>
          <w:szCs w:val="32"/>
        </w:rPr>
      </w:pPr>
    </w:p>
    <w:p w14:paraId="0A62C43B">
      <w:pPr>
        <w:spacing w:line="360" w:lineRule="exact"/>
        <w:jc w:val="center"/>
        <w:rPr>
          <w:rFonts w:ascii="宋体" w:hAnsi="宋体"/>
          <w:b/>
          <w:color w:val="auto"/>
          <w:sz w:val="32"/>
          <w:szCs w:val="32"/>
        </w:rPr>
      </w:pPr>
    </w:p>
    <w:p w14:paraId="1D0496B1">
      <w:pPr>
        <w:spacing w:line="360" w:lineRule="exact"/>
        <w:jc w:val="center"/>
        <w:rPr>
          <w:rFonts w:ascii="宋体" w:hAnsi="宋体"/>
          <w:b/>
          <w:color w:val="auto"/>
          <w:sz w:val="32"/>
          <w:szCs w:val="32"/>
        </w:rPr>
      </w:pPr>
    </w:p>
    <w:p w14:paraId="36B8E015">
      <w:pPr>
        <w:spacing w:line="360" w:lineRule="exact"/>
        <w:jc w:val="center"/>
        <w:rPr>
          <w:rFonts w:ascii="宋体" w:hAnsi="宋体"/>
          <w:b/>
          <w:color w:val="auto"/>
          <w:sz w:val="32"/>
          <w:szCs w:val="32"/>
        </w:rPr>
      </w:pPr>
    </w:p>
    <w:p w14:paraId="79FFE305">
      <w:pPr>
        <w:spacing w:line="360" w:lineRule="exact"/>
        <w:jc w:val="center"/>
        <w:rPr>
          <w:rFonts w:ascii="宋体" w:hAnsi="宋体"/>
          <w:b/>
          <w:color w:val="auto"/>
          <w:sz w:val="32"/>
          <w:szCs w:val="32"/>
        </w:rPr>
      </w:pPr>
    </w:p>
    <w:p w14:paraId="64A341C4">
      <w:pPr>
        <w:spacing w:line="360" w:lineRule="exact"/>
        <w:jc w:val="center"/>
        <w:rPr>
          <w:rFonts w:ascii="宋体" w:hAnsi="宋体"/>
          <w:b/>
          <w:color w:val="auto"/>
          <w:sz w:val="32"/>
          <w:szCs w:val="32"/>
        </w:rPr>
      </w:pPr>
    </w:p>
    <w:p w14:paraId="62EE26D5">
      <w:pPr>
        <w:spacing w:line="360" w:lineRule="exact"/>
        <w:jc w:val="center"/>
        <w:rPr>
          <w:rFonts w:ascii="宋体" w:hAnsi="宋体"/>
          <w:b/>
          <w:color w:val="auto"/>
          <w:sz w:val="32"/>
          <w:szCs w:val="32"/>
        </w:rPr>
      </w:pPr>
    </w:p>
    <w:p w14:paraId="5DE70103">
      <w:pPr>
        <w:spacing w:line="360" w:lineRule="exact"/>
        <w:jc w:val="center"/>
        <w:rPr>
          <w:rFonts w:ascii="宋体" w:hAnsi="宋体"/>
          <w:b/>
          <w:color w:val="auto"/>
          <w:sz w:val="32"/>
          <w:szCs w:val="32"/>
        </w:rPr>
      </w:pPr>
    </w:p>
    <w:p w14:paraId="6643A4CF">
      <w:pPr>
        <w:spacing w:line="360" w:lineRule="exact"/>
        <w:jc w:val="center"/>
        <w:rPr>
          <w:rFonts w:ascii="宋体" w:hAnsi="宋体"/>
          <w:b/>
          <w:color w:val="auto"/>
          <w:sz w:val="32"/>
          <w:szCs w:val="32"/>
        </w:rPr>
      </w:pPr>
    </w:p>
    <w:p w14:paraId="4910108C">
      <w:pPr>
        <w:spacing w:line="360" w:lineRule="exact"/>
        <w:jc w:val="center"/>
        <w:rPr>
          <w:rFonts w:ascii="宋体" w:hAnsi="宋体"/>
          <w:b/>
          <w:color w:val="auto"/>
          <w:sz w:val="32"/>
          <w:szCs w:val="32"/>
        </w:rPr>
      </w:pPr>
    </w:p>
    <w:p w14:paraId="5237E6D5">
      <w:pPr>
        <w:spacing w:line="360" w:lineRule="exact"/>
        <w:jc w:val="center"/>
        <w:rPr>
          <w:rFonts w:ascii="宋体" w:hAnsi="宋体"/>
          <w:b/>
          <w:color w:val="auto"/>
          <w:sz w:val="32"/>
          <w:szCs w:val="32"/>
        </w:rPr>
      </w:pPr>
    </w:p>
    <w:p w14:paraId="778420D6">
      <w:pPr>
        <w:spacing w:line="360" w:lineRule="exact"/>
        <w:jc w:val="center"/>
        <w:rPr>
          <w:rFonts w:ascii="宋体" w:hAnsi="宋体"/>
          <w:b/>
          <w:color w:val="auto"/>
          <w:sz w:val="32"/>
          <w:szCs w:val="32"/>
        </w:rPr>
      </w:pPr>
    </w:p>
    <w:p w14:paraId="2E76F66E">
      <w:pPr>
        <w:spacing w:line="360" w:lineRule="exact"/>
        <w:jc w:val="center"/>
        <w:rPr>
          <w:rFonts w:ascii="宋体" w:hAnsi="宋体"/>
          <w:b/>
          <w:color w:val="auto"/>
          <w:sz w:val="32"/>
          <w:szCs w:val="32"/>
        </w:rPr>
      </w:pPr>
    </w:p>
    <w:p w14:paraId="17D5BF56">
      <w:pPr>
        <w:spacing w:line="360" w:lineRule="exact"/>
        <w:jc w:val="center"/>
        <w:rPr>
          <w:rFonts w:ascii="宋体" w:hAnsi="宋体"/>
          <w:b/>
          <w:color w:val="auto"/>
          <w:sz w:val="32"/>
          <w:szCs w:val="32"/>
        </w:rPr>
      </w:pPr>
    </w:p>
    <w:p w14:paraId="11CFEC1F">
      <w:pPr>
        <w:spacing w:line="360" w:lineRule="exact"/>
        <w:jc w:val="center"/>
        <w:rPr>
          <w:rFonts w:ascii="宋体" w:hAnsi="宋体"/>
          <w:b/>
          <w:color w:val="auto"/>
          <w:sz w:val="32"/>
          <w:szCs w:val="32"/>
        </w:rPr>
      </w:pPr>
    </w:p>
    <w:p w14:paraId="0022DE95">
      <w:pPr>
        <w:spacing w:line="360" w:lineRule="exact"/>
        <w:jc w:val="center"/>
        <w:rPr>
          <w:rFonts w:ascii="宋体" w:hAnsi="宋体"/>
          <w:b/>
          <w:color w:val="auto"/>
          <w:sz w:val="32"/>
          <w:szCs w:val="32"/>
        </w:rPr>
      </w:pPr>
    </w:p>
    <w:p w14:paraId="2A04A41F">
      <w:pPr>
        <w:spacing w:line="360" w:lineRule="exact"/>
        <w:jc w:val="center"/>
        <w:rPr>
          <w:rFonts w:ascii="宋体" w:hAnsi="宋体"/>
          <w:b/>
          <w:color w:val="auto"/>
          <w:sz w:val="32"/>
          <w:szCs w:val="32"/>
        </w:rPr>
      </w:pPr>
    </w:p>
    <w:p w14:paraId="5AA77AD9">
      <w:pPr>
        <w:spacing w:line="360" w:lineRule="exact"/>
        <w:jc w:val="center"/>
        <w:rPr>
          <w:rFonts w:ascii="宋体" w:hAnsi="宋体"/>
          <w:b/>
          <w:color w:val="auto"/>
          <w:sz w:val="32"/>
          <w:szCs w:val="32"/>
        </w:rPr>
      </w:pPr>
    </w:p>
    <w:p w14:paraId="4F537604">
      <w:pPr>
        <w:spacing w:line="360" w:lineRule="exact"/>
        <w:jc w:val="center"/>
        <w:rPr>
          <w:rFonts w:ascii="宋体" w:hAnsi="宋体"/>
          <w:b/>
          <w:color w:val="auto"/>
          <w:sz w:val="32"/>
          <w:szCs w:val="32"/>
        </w:rPr>
      </w:pPr>
    </w:p>
    <w:p w14:paraId="074F3F6E">
      <w:pPr>
        <w:spacing w:line="360" w:lineRule="exact"/>
        <w:jc w:val="center"/>
        <w:rPr>
          <w:rFonts w:ascii="宋体" w:hAnsi="宋体"/>
          <w:b/>
          <w:color w:val="auto"/>
          <w:sz w:val="32"/>
          <w:szCs w:val="32"/>
        </w:rPr>
      </w:pPr>
    </w:p>
    <w:p w14:paraId="0B7AF2F5">
      <w:pPr>
        <w:spacing w:line="360" w:lineRule="exact"/>
        <w:jc w:val="center"/>
        <w:rPr>
          <w:rFonts w:ascii="宋体" w:hAnsi="宋体"/>
          <w:b/>
          <w:color w:val="auto"/>
          <w:sz w:val="32"/>
          <w:szCs w:val="32"/>
        </w:rPr>
      </w:pPr>
    </w:p>
    <w:p w14:paraId="06D2A86F">
      <w:pPr>
        <w:spacing w:line="360" w:lineRule="exact"/>
        <w:jc w:val="center"/>
        <w:rPr>
          <w:rFonts w:ascii="宋体" w:hAnsi="宋体"/>
          <w:b/>
          <w:color w:val="auto"/>
          <w:sz w:val="32"/>
          <w:szCs w:val="32"/>
        </w:rPr>
      </w:pPr>
    </w:p>
    <w:p w14:paraId="4661C880">
      <w:pPr>
        <w:spacing w:line="360" w:lineRule="exact"/>
        <w:jc w:val="center"/>
        <w:rPr>
          <w:rFonts w:ascii="宋体" w:hAnsi="宋体"/>
          <w:b/>
          <w:color w:val="auto"/>
          <w:sz w:val="32"/>
          <w:szCs w:val="32"/>
        </w:rPr>
      </w:pPr>
    </w:p>
    <w:p w14:paraId="343CD2F6">
      <w:pPr>
        <w:spacing w:line="360" w:lineRule="exact"/>
        <w:jc w:val="center"/>
        <w:rPr>
          <w:rFonts w:ascii="宋体" w:hAnsi="宋体"/>
          <w:b/>
          <w:color w:val="auto"/>
          <w:sz w:val="32"/>
          <w:szCs w:val="32"/>
        </w:rPr>
      </w:pPr>
    </w:p>
    <w:p w14:paraId="1E482A33">
      <w:pPr>
        <w:spacing w:line="360" w:lineRule="exact"/>
        <w:jc w:val="center"/>
        <w:rPr>
          <w:rFonts w:ascii="宋体" w:hAnsi="宋体"/>
          <w:b/>
          <w:color w:val="auto"/>
          <w:sz w:val="32"/>
          <w:szCs w:val="32"/>
        </w:rPr>
      </w:pPr>
    </w:p>
    <w:p w14:paraId="0D387A79">
      <w:pPr>
        <w:spacing w:line="360" w:lineRule="exact"/>
        <w:jc w:val="center"/>
        <w:rPr>
          <w:rFonts w:ascii="宋体" w:hAnsi="宋体"/>
          <w:b/>
          <w:color w:val="auto"/>
          <w:sz w:val="32"/>
          <w:szCs w:val="32"/>
        </w:rPr>
      </w:pPr>
    </w:p>
    <w:p w14:paraId="751EF7C8">
      <w:pPr>
        <w:spacing w:line="360" w:lineRule="exact"/>
        <w:jc w:val="center"/>
        <w:rPr>
          <w:rFonts w:ascii="宋体" w:hAnsi="宋体"/>
          <w:b/>
          <w:color w:val="auto"/>
          <w:sz w:val="32"/>
          <w:szCs w:val="32"/>
        </w:rPr>
      </w:pPr>
    </w:p>
    <w:p w14:paraId="6B0CBCB9">
      <w:pPr>
        <w:spacing w:line="360" w:lineRule="exact"/>
        <w:jc w:val="center"/>
        <w:rPr>
          <w:rFonts w:ascii="宋体" w:hAnsi="宋体"/>
          <w:b/>
          <w:color w:val="auto"/>
          <w:sz w:val="32"/>
          <w:szCs w:val="32"/>
        </w:rPr>
      </w:pPr>
    </w:p>
    <w:p w14:paraId="1C370A91">
      <w:pPr>
        <w:spacing w:line="360" w:lineRule="exact"/>
        <w:jc w:val="center"/>
        <w:rPr>
          <w:rFonts w:ascii="宋体" w:hAnsi="宋体"/>
          <w:b/>
          <w:color w:val="auto"/>
          <w:sz w:val="32"/>
          <w:szCs w:val="32"/>
        </w:rPr>
      </w:pPr>
    </w:p>
    <w:p w14:paraId="202C070F">
      <w:pPr>
        <w:spacing w:line="360" w:lineRule="exact"/>
        <w:jc w:val="center"/>
        <w:rPr>
          <w:rFonts w:ascii="宋体" w:hAnsi="宋体"/>
          <w:b/>
          <w:color w:val="auto"/>
          <w:sz w:val="32"/>
          <w:szCs w:val="32"/>
        </w:rPr>
      </w:pPr>
    </w:p>
    <w:p w14:paraId="55D98647">
      <w:pPr>
        <w:spacing w:line="360" w:lineRule="exact"/>
        <w:jc w:val="center"/>
        <w:rPr>
          <w:rFonts w:ascii="宋体" w:hAnsi="宋体"/>
          <w:b/>
          <w:color w:val="auto"/>
          <w:sz w:val="32"/>
          <w:szCs w:val="32"/>
        </w:rPr>
      </w:pPr>
    </w:p>
    <w:p w14:paraId="452A328A">
      <w:pPr>
        <w:spacing w:line="360" w:lineRule="exact"/>
        <w:jc w:val="center"/>
        <w:rPr>
          <w:rFonts w:ascii="宋体" w:hAnsi="宋体"/>
          <w:b/>
          <w:color w:val="auto"/>
          <w:sz w:val="32"/>
          <w:szCs w:val="32"/>
        </w:rPr>
      </w:pPr>
    </w:p>
    <w:p w14:paraId="54948417">
      <w:pPr>
        <w:spacing w:line="360" w:lineRule="exact"/>
        <w:jc w:val="center"/>
        <w:rPr>
          <w:rFonts w:ascii="宋体" w:hAnsi="宋体"/>
          <w:b/>
          <w:color w:val="auto"/>
          <w:sz w:val="32"/>
          <w:szCs w:val="32"/>
        </w:rPr>
      </w:pPr>
    </w:p>
    <w:p w14:paraId="0D5F595E">
      <w:pPr>
        <w:spacing w:line="360" w:lineRule="exact"/>
        <w:jc w:val="center"/>
        <w:outlineLvl w:val="1"/>
        <w:rPr>
          <w:rFonts w:ascii="宋体" w:hAnsi="宋体"/>
          <w:b/>
          <w:color w:val="auto"/>
          <w:sz w:val="32"/>
          <w:szCs w:val="32"/>
        </w:rPr>
      </w:pPr>
      <w:bookmarkStart w:id="66" w:name="_Toc28254"/>
      <w:bookmarkStart w:id="67" w:name="_Toc23545"/>
      <w:bookmarkStart w:id="68" w:name="_Toc13626"/>
      <w:r>
        <w:rPr>
          <w:rFonts w:hint="eastAsia" w:ascii="宋体" w:hAnsi="宋体"/>
          <w:b/>
          <w:color w:val="auto"/>
          <w:sz w:val="32"/>
          <w:szCs w:val="32"/>
        </w:rPr>
        <w:t>五、技术/商务响应与偏离表</w:t>
      </w:r>
      <w:bookmarkEnd w:id="66"/>
      <w:bookmarkEnd w:id="67"/>
      <w:bookmarkEnd w:id="68"/>
    </w:p>
    <w:p w14:paraId="4CBEB739">
      <w:pPr>
        <w:adjustRightInd w:val="0"/>
        <w:snapToGrid w:val="0"/>
        <w:ind w:left="-88" w:leftChars="-42" w:firstLine="315" w:firstLineChars="150"/>
        <w:rPr>
          <w:rFonts w:ascii="宋体" w:hAnsi="宋体"/>
          <w:color w:val="auto"/>
          <w:szCs w:val="21"/>
        </w:rPr>
      </w:pPr>
    </w:p>
    <w:p w14:paraId="165CDEB7">
      <w:pPr>
        <w:adjustRightInd w:val="0"/>
        <w:snapToGrid w:val="0"/>
        <w:ind w:left="-88" w:leftChars="-42" w:firstLine="315" w:firstLineChars="150"/>
        <w:rPr>
          <w:rFonts w:ascii="宋体" w:hAnsi="宋体"/>
          <w:bCs/>
          <w:color w:val="auto"/>
          <w:szCs w:val="21"/>
        </w:rPr>
      </w:pPr>
      <w:r>
        <w:rPr>
          <w:rFonts w:hint="eastAsia" w:ascii="宋体" w:hAnsi="宋体"/>
          <w:color w:val="auto"/>
          <w:szCs w:val="21"/>
          <w:lang w:eastAsia="zh-CN"/>
        </w:rPr>
        <w:t>政府采购编号</w:t>
      </w:r>
      <w:r>
        <w:rPr>
          <w:rFonts w:hint="eastAsia" w:ascii="宋体" w:hAnsi="宋体"/>
          <w:color w:val="auto"/>
          <w:szCs w:val="21"/>
        </w:rPr>
        <w:t xml:space="preserve">： </w:t>
      </w:r>
      <w:r>
        <w:rPr>
          <w:rFonts w:hint="eastAsia" w:ascii="宋体" w:hAnsi="宋体"/>
          <w:color w:val="auto"/>
          <w:szCs w:val="21"/>
          <w:u w:val="single"/>
        </w:rPr>
        <w:t xml:space="preserve">                </w:t>
      </w:r>
      <w:r>
        <w:rPr>
          <w:rFonts w:hint="eastAsia" w:ascii="宋体" w:hAnsi="宋体"/>
          <w:color w:val="auto"/>
          <w:szCs w:val="21"/>
        </w:rPr>
        <w:t xml:space="preserve">                               包号： </w:t>
      </w:r>
      <w:r>
        <w:rPr>
          <w:rFonts w:hint="eastAsia" w:ascii="宋体" w:hAnsi="宋体"/>
          <w:color w:val="auto"/>
          <w:szCs w:val="21"/>
          <w:u w:val="single"/>
        </w:rPr>
        <w:t xml:space="preserve">       </w:t>
      </w:r>
      <w:r>
        <w:rPr>
          <w:rFonts w:hint="eastAsia" w:ascii="宋体" w:hAnsi="宋体"/>
          <w:bCs/>
          <w:color w:val="auto"/>
          <w:szCs w:val="21"/>
        </w:rPr>
        <w:t xml:space="preserve">    </w:t>
      </w:r>
    </w:p>
    <w:tbl>
      <w:tblPr>
        <w:tblStyle w:val="51"/>
        <w:tblW w:w="9503"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517"/>
        <w:gridCol w:w="1119"/>
      </w:tblGrid>
      <w:tr w14:paraId="683FD9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34" w:type="dxa"/>
            <w:tcBorders>
              <w:top w:val="double" w:color="auto" w:sz="4" w:space="0"/>
              <w:left w:val="double" w:color="auto" w:sz="4" w:space="0"/>
              <w:bottom w:val="single" w:color="auto" w:sz="6" w:space="0"/>
              <w:right w:val="single" w:color="auto" w:sz="6" w:space="0"/>
            </w:tcBorders>
            <w:vAlign w:val="center"/>
          </w:tcPr>
          <w:p w14:paraId="43995D09">
            <w:pPr>
              <w:adjustRightInd w:val="0"/>
              <w:snapToGrid w:val="0"/>
              <w:ind w:left="-88" w:leftChars="-42"/>
              <w:jc w:val="center"/>
              <w:rPr>
                <w:rFonts w:ascii="宋体" w:hAnsi="宋体"/>
                <w:bCs/>
                <w:color w:val="auto"/>
                <w:szCs w:val="21"/>
              </w:rPr>
            </w:pPr>
            <w:r>
              <w:rPr>
                <w:rFonts w:hint="eastAsia" w:ascii="宋体" w:hAnsi="宋体"/>
                <w:bCs/>
                <w:color w:val="auto"/>
                <w:szCs w:val="21"/>
              </w:rPr>
              <w:t>序号</w:t>
            </w:r>
          </w:p>
        </w:tc>
        <w:tc>
          <w:tcPr>
            <w:tcW w:w="1685" w:type="dxa"/>
            <w:tcBorders>
              <w:top w:val="double" w:color="auto" w:sz="4" w:space="0"/>
              <w:left w:val="single" w:color="auto" w:sz="6" w:space="0"/>
              <w:bottom w:val="single" w:color="auto" w:sz="6" w:space="0"/>
              <w:right w:val="single" w:color="auto" w:sz="6" w:space="0"/>
            </w:tcBorders>
            <w:vAlign w:val="center"/>
          </w:tcPr>
          <w:p w14:paraId="77EA4148">
            <w:pPr>
              <w:adjustRightInd w:val="0"/>
              <w:snapToGrid w:val="0"/>
              <w:ind w:left="-88" w:leftChars="-42"/>
              <w:jc w:val="center"/>
              <w:rPr>
                <w:rFonts w:ascii="宋体" w:hAnsi="宋体"/>
                <w:color w:val="auto"/>
                <w:szCs w:val="21"/>
              </w:rPr>
            </w:pPr>
            <w:r>
              <w:rPr>
                <w:rFonts w:hint="eastAsia" w:ascii="宋体" w:hAnsi="宋体"/>
                <w:color w:val="auto"/>
                <w:szCs w:val="21"/>
              </w:rPr>
              <w:t>磋商文件条目号</w:t>
            </w:r>
          </w:p>
        </w:tc>
        <w:tc>
          <w:tcPr>
            <w:tcW w:w="1948" w:type="dxa"/>
            <w:tcBorders>
              <w:top w:val="double" w:color="auto" w:sz="4" w:space="0"/>
              <w:left w:val="single" w:color="auto" w:sz="6" w:space="0"/>
              <w:bottom w:val="single" w:color="auto" w:sz="6" w:space="0"/>
              <w:right w:val="single" w:color="auto" w:sz="6" w:space="0"/>
            </w:tcBorders>
            <w:vAlign w:val="center"/>
          </w:tcPr>
          <w:p w14:paraId="006C16D8">
            <w:pPr>
              <w:adjustRightInd w:val="0"/>
              <w:snapToGrid w:val="0"/>
              <w:ind w:left="-88" w:leftChars="-42"/>
              <w:jc w:val="center"/>
              <w:rPr>
                <w:rFonts w:ascii="宋体" w:hAnsi="宋体"/>
                <w:color w:val="auto"/>
                <w:szCs w:val="21"/>
              </w:rPr>
            </w:pPr>
            <w:r>
              <w:rPr>
                <w:rFonts w:hint="eastAsia" w:ascii="宋体" w:hAnsi="宋体"/>
                <w:color w:val="auto"/>
                <w:szCs w:val="21"/>
              </w:rPr>
              <w:t>磋商文件的条款</w:t>
            </w:r>
          </w:p>
        </w:tc>
        <w:tc>
          <w:tcPr>
            <w:tcW w:w="2600" w:type="dxa"/>
            <w:tcBorders>
              <w:top w:val="double" w:color="auto" w:sz="4" w:space="0"/>
              <w:left w:val="single" w:color="auto" w:sz="6" w:space="0"/>
              <w:bottom w:val="single" w:color="auto" w:sz="6" w:space="0"/>
              <w:right w:val="single" w:color="auto" w:sz="6" w:space="0"/>
            </w:tcBorders>
            <w:vAlign w:val="center"/>
          </w:tcPr>
          <w:p w14:paraId="41418D9E">
            <w:pPr>
              <w:adjustRightInd w:val="0"/>
              <w:snapToGrid w:val="0"/>
              <w:ind w:left="-88" w:leftChars="-42"/>
              <w:jc w:val="center"/>
              <w:rPr>
                <w:rFonts w:ascii="宋体" w:hAnsi="宋体"/>
                <w:color w:val="auto"/>
                <w:szCs w:val="21"/>
              </w:rPr>
            </w:pPr>
            <w:r>
              <w:rPr>
                <w:rFonts w:hint="eastAsia" w:ascii="宋体" w:hAnsi="宋体"/>
                <w:color w:val="auto"/>
                <w:szCs w:val="21"/>
              </w:rPr>
              <w:t>响应文件的条款</w:t>
            </w:r>
          </w:p>
        </w:tc>
        <w:tc>
          <w:tcPr>
            <w:tcW w:w="1517" w:type="dxa"/>
            <w:tcBorders>
              <w:top w:val="double" w:color="auto" w:sz="4" w:space="0"/>
              <w:left w:val="single" w:color="auto" w:sz="6" w:space="0"/>
              <w:bottom w:val="single" w:color="auto" w:sz="6" w:space="0"/>
              <w:right w:val="single" w:color="auto" w:sz="6" w:space="0"/>
            </w:tcBorders>
            <w:vAlign w:val="center"/>
          </w:tcPr>
          <w:p w14:paraId="4F57E809">
            <w:pPr>
              <w:adjustRightInd w:val="0"/>
              <w:snapToGrid w:val="0"/>
              <w:ind w:left="-88" w:leftChars="-42"/>
              <w:jc w:val="center"/>
              <w:rPr>
                <w:rFonts w:ascii="宋体" w:hAnsi="宋体"/>
                <w:color w:val="auto"/>
                <w:szCs w:val="21"/>
              </w:rPr>
            </w:pPr>
            <w:r>
              <w:rPr>
                <w:rFonts w:hint="eastAsia" w:ascii="宋体" w:hAnsi="宋体"/>
                <w:color w:val="auto"/>
                <w:szCs w:val="21"/>
              </w:rPr>
              <w:t>响应与偏离</w:t>
            </w:r>
          </w:p>
        </w:tc>
        <w:tc>
          <w:tcPr>
            <w:tcW w:w="1119" w:type="dxa"/>
            <w:tcBorders>
              <w:top w:val="double" w:color="auto" w:sz="4" w:space="0"/>
              <w:left w:val="single" w:color="auto" w:sz="6" w:space="0"/>
              <w:bottom w:val="single" w:color="auto" w:sz="6" w:space="0"/>
              <w:right w:val="double" w:color="auto" w:sz="4" w:space="0"/>
            </w:tcBorders>
            <w:vAlign w:val="center"/>
          </w:tcPr>
          <w:p w14:paraId="4C71328F">
            <w:pPr>
              <w:adjustRightInd w:val="0"/>
              <w:snapToGrid w:val="0"/>
              <w:ind w:left="-88" w:leftChars="-42"/>
              <w:jc w:val="center"/>
              <w:rPr>
                <w:rFonts w:ascii="宋体" w:hAnsi="宋体"/>
                <w:color w:val="auto"/>
                <w:szCs w:val="21"/>
              </w:rPr>
            </w:pPr>
            <w:r>
              <w:rPr>
                <w:rFonts w:hint="eastAsia" w:ascii="宋体" w:hAnsi="宋体"/>
                <w:color w:val="auto"/>
                <w:szCs w:val="21"/>
              </w:rPr>
              <w:t>说明</w:t>
            </w:r>
          </w:p>
        </w:tc>
      </w:tr>
      <w:tr w14:paraId="20464E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Borders>
              <w:top w:val="single" w:color="auto" w:sz="6" w:space="0"/>
              <w:left w:val="double" w:color="auto" w:sz="4" w:space="0"/>
              <w:bottom w:val="single" w:color="auto" w:sz="6" w:space="0"/>
              <w:right w:val="single" w:color="auto" w:sz="6" w:space="0"/>
            </w:tcBorders>
          </w:tcPr>
          <w:p w14:paraId="39A16E2E">
            <w:pPr>
              <w:adjustRightInd w:val="0"/>
              <w:snapToGrid w:val="0"/>
              <w:ind w:left="-88" w:leftChars="-42"/>
              <w:jc w:val="center"/>
              <w:rPr>
                <w:rFonts w:ascii="宋体" w:hAnsi="宋体"/>
                <w:color w:val="auto"/>
                <w:szCs w:val="21"/>
              </w:rPr>
            </w:pPr>
          </w:p>
        </w:tc>
        <w:tc>
          <w:tcPr>
            <w:tcW w:w="1685" w:type="dxa"/>
            <w:tcBorders>
              <w:top w:val="single" w:color="auto" w:sz="6" w:space="0"/>
              <w:left w:val="single" w:color="auto" w:sz="6" w:space="0"/>
              <w:bottom w:val="single" w:color="auto" w:sz="6" w:space="0"/>
              <w:right w:val="single" w:color="auto" w:sz="6" w:space="0"/>
            </w:tcBorders>
            <w:vAlign w:val="center"/>
          </w:tcPr>
          <w:p w14:paraId="2C1CBC2B">
            <w:pPr>
              <w:adjustRightInd w:val="0"/>
              <w:snapToGrid w:val="0"/>
              <w:ind w:left="-88" w:leftChars="-42"/>
              <w:jc w:val="center"/>
              <w:rPr>
                <w:rFonts w:ascii="宋体" w:hAnsi="宋体"/>
                <w:color w:val="auto"/>
                <w:szCs w:val="21"/>
              </w:rPr>
            </w:pPr>
          </w:p>
        </w:tc>
        <w:tc>
          <w:tcPr>
            <w:tcW w:w="1948" w:type="dxa"/>
            <w:tcBorders>
              <w:top w:val="single" w:color="auto" w:sz="6" w:space="0"/>
              <w:left w:val="single" w:color="auto" w:sz="6" w:space="0"/>
              <w:bottom w:val="single" w:color="auto" w:sz="6" w:space="0"/>
              <w:right w:val="single" w:color="auto" w:sz="6" w:space="0"/>
            </w:tcBorders>
            <w:vAlign w:val="center"/>
          </w:tcPr>
          <w:p w14:paraId="7EE53AC0">
            <w:pPr>
              <w:adjustRightInd w:val="0"/>
              <w:snapToGrid w:val="0"/>
              <w:ind w:left="-88" w:leftChars="-42"/>
              <w:jc w:val="center"/>
              <w:rPr>
                <w:rFonts w:ascii="宋体" w:hAnsi="宋体"/>
                <w:color w:val="auto"/>
                <w:szCs w:val="21"/>
              </w:rPr>
            </w:pPr>
          </w:p>
        </w:tc>
        <w:tc>
          <w:tcPr>
            <w:tcW w:w="2600" w:type="dxa"/>
            <w:tcBorders>
              <w:top w:val="single" w:color="auto" w:sz="6" w:space="0"/>
              <w:left w:val="single" w:color="auto" w:sz="6" w:space="0"/>
              <w:bottom w:val="single" w:color="auto" w:sz="6" w:space="0"/>
              <w:right w:val="single" w:color="auto" w:sz="6" w:space="0"/>
            </w:tcBorders>
            <w:vAlign w:val="center"/>
          </w:tcPr>
          <w:p w14:paraId="3B165ABF">
            <w:pPr>
              <w:adjustRightInd w:val="0"/>
              <w:snapToGrid w:val="0"/>
              <w:ind w:left="-88" w:leftChars="-42"/>
              <w:jc w:val="center"/>
              <w:rPr>
                <w:rFonts w:ascii="宋体" w:hAnsi="宋体"/>
                <w:color w:val="auto"/>
                <w:szCs w:val="21"/>
              </w:rPr>
            </w:pPr>
          </w:p>
        </w:tc>
        <w:tc>
          <w:tcPr>
            <w:tcW w:w="1517" w:type="dxa"/>
            <w:tcBorders>
              <w:top w:val="single" w:color="auto" w:sz="6" w:space="0"/>
              <w:left w:val="single" w:color="auto" w:sz="6" w:space="0"/>
              <w:bottom w:val="single" w:color="auto" w:sz="6" w:space="0"/>
              <w:right w:val="single" w:color="auto" w:sz="6" w:space="0"/>
            </w:tcBorders>
            <w:vAlign w:val="center"/>
          </w:tcPr>
          <w:p w14:paraId="603A168A">
            <w:pPr>
              <w:adjustRightInd w:val="0"/>
              <w:snapToGrid w:val="0"/>
              <w:ind w:left="-88" w:leftChars="-42"/>
              <w:jc w:val="center"/>
              <w:rPr>
                <w:rFonts w:ascii="宋体" w:hAnsi="宋体"/>
                <w:color w:val="auto"/>
                <w:szCs w:val="21"/>
              </w:rPr>
            </w:pPr>
          </w:p>
        </w:tc>
        <w:tc>
          <w:tcPr>
            <w:tcW w:w="1119" w:type="dxa"/>
            <w:tcBorders>
              <w:top w:val="single" w:color="auto" w:sz="6" w:space="0"/>
              <w:left w:val="single" w:color="auto" w:sz="6" w:space="0"/>
              <w:bottom w:val="single" w:color="auto" w:sz="6" w:space="0"/>
              <w:right w:val="double" w:color="auto" w:sz="4" w:space="0"/>
            </w:tcBorders>
            <w:vAlign w:val="center"/>
          </w:tcPr>
          <w:p w14:paraId="60A13ADD">
            <w:pPr>
              <w:adjustRightInd w:val="0"/>
              <w:snapToGrid w:val="0"/>
              <w:ind w:left="-88" w:leftChars="-42"/>
              <w:jc w:val="center"/>
              <w:rPr>
                <w:rFonts w:ascii="宋体" w:hAnsi="宋体"/>
                <w:color w:val="auto"/>
                <w:szCs w:val="21"/>
              </w:rPr>
            </w:pPr>
          </w:p>
        </w:tc>
      </w:tr>
      <w:tr w14:paraId="60067C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Borders>
              <w:top w:val="single" w:color="auto" w:sz="6" w:space="0"/>
              <w:left w:val="double" w:color="auto" w:sz="4" w:space="0"/>
              <w:bottom w:val="single" w:color="auto" w:sz="6" w:space="0"/>
              <w:right w:val="single" w:color="auto" w:sz="6" w:space="0"/>
            </w:tcBorders>
          </w:tcPr>
          <w:p w14:paraId="2DCE513E">
            <w:pPr>
              <w:adjustRightInd w:val="0"/>
              <w:snapToGrid w:val="0"/>
              <w:ind w:left="-88" w:leftChars="-42"/>
              <w:jc w:val="center"/>
              <w:rPr>
                <w:rFonts w:ascii="宋体" w:hAnsi="宋体"/>
                <w:color w:val="auto"/>
                <w:szCs w:val="21"/>
              </w:rPr>
            </w:pPr>
          </w:p>
        </w:tc>
        <w:tc>
          <w:tcPr>
            <w:tcW w:w="1685" w:type="dxa"/>
            <w:tcBorders>
              <w:top w:val="single" w:color="auto" w:sz="6" w:space="0"/>
              <w:left w:val="single" w:color="auto" w:sz="6" w:space="0"/>
              <w:bottom w:val="single" w:color="auto" w:sz="6" w:space="0"/>
              <w:right w:val="single" w:color="auto" w:sz="6" w:space="0"/>
            </w:tcBorders>
            <w:vAlign w:val="center"/>
          </w:tcPr>
          <w:p w14:paraId="1FE948E1">
            <w:pPr>
              <w:adjustRightInd w:val="0"/>
              <w:snapToGrid w:val="0"/>
              <w:ind w:left="-88" w:leftChars="-42"/>
              <w:jc w:val="center"/>
              <w:rPr>
                <w:rFonts w:ascii="宋体" w:hAnsi="宋体"/>
                <w:color w:val="auto"/>
                <w:szCs w:val="21"/>
              </w:rPr>
            </w:pPr>
          </w:p>
        </w:tc>
        <w:tc>
          <w:tcPr>
            <w:tcW w:w="1948" w:type="dxa"/>
            <w:tcBorders>
              <w:top w:val="single" w:color="auto" w:sz="6" w:space="0"/>
              <w:left w:val="single" w:color="auto" w:sz="6" w:space="0"/>
              <w:bottom w:val="single" w:color="auto" w:sz="6" w:space="0"/>
              <w:right w:val="single" w:color="auto" w:sz="6" w:space="0"/>
            </w:tcBorders>
            <w:vAlign w:val="center"/>
          </w:tcPr>
          <w:p w14:paraId="114B38FB">
            <w:pPr>
              <w:adjustRightInd w:val="0"/>
              <w:snapToGrid w:val="0"/>
              <w:ind w:left="-88" w:leftChars="-42"/>
              <w:jc w:val="center"/>
              <w:rPr>
                <w:rFonts w:ascii="宋体" w:hAnsi="宋体"/>
                <w:color w:val="auto"/>
                <w:szCs w:val="21"/>
              </w:rPr>
            </w:pPr>
          </w:p>
        </w:tc>
        <w:tc>
          <w:tcPr>
            <w:tcW w:w="2600" w:type="dxa"/>
            <w:tcBorders>
              <w:top w:val="single" w:color="auto" w:sz="6" w:space="0"/>
              <w:left w:val="single" w:color="auto" w:sz="6" w:space="0"/>
              <w:bottom w:val="single" w:color="auto" w:sz="6" w:space="0"/>
              <w:right w:val="single" w:color="auto" w:sz="6" w:space="0"/>
            </w:tcBorders>
            <w:vAlign w:val="center"/>
          </w:tcPr>
          <w:p w14:paraId="4896E81F">
            <w:pPr>
              <w:adjustRightInd w:val="0"/>
              <w:snapToGrid w:val="0"/>
              <w:ind w:left="-88" w:leftChars="-42"/>
              <w:jc w:val="center"/>
              <w:rPr>
                <w:rFonts w:ascii="宋体" w:hAnsi="宋体"/>
                <w:color w:val="auto"/>
                <w:szCs w:val="21"/>
              </w:rPr>
            </w:pPr>
          </w:p>
        </w:tc>
        <w:tc>
          <w:tcPr>
            <w:tcW w:w="1517" w:type="dxa"/>
            <w:tcBorders>
              <w:top w:val="single" w:color="auto" w:sz="6" w:space="0"/>
              <w:left w:val="single" w:color="auto" w:sz="6" w:space="0"/>
              <w:bottom w:val="single" w:color="auto" w:sz="6" w:space="0"/>
              <w:right w:val="single" w:color="auto" w:sz="6" w:space="0"/>
            </w:tcBorders>
            <w:vAlign w:val="center"/>
          </w:tcPr>
          <w:p w14:paraId="3BDB376D">
            <w:pPr>
              <w:adjustRightInd w:val="0"/>
              <w:snapToGrid w:val="0"/>
              <w:ind w:left="-88" w:leftChars="-42"/>
              <w:jc w:val="center"/>
              <w:rPr>
                <w:rFonts w:ascii="宋体" w:hAnsi="宋体"/>
                <w:color w:val="auto"/>
                <w:szCs w:val="21"/>
              </w:rPr>
            </w:pPr>
          </w:p>
        </w:tc>
        <w:tc>
          <w:tcPr>
            <w:tcW w:w="1119" w:type="dxa"/>
            <w:tcBorders>
              <w:top w:val="single" w:color="auto" w:sz="6" w:space="0"/>
              <w:left w:val="single" w:color="auto" w:sz="6" w:space="0"/>
              <w:bottom w:val="single" w:color="auto" w:sz="6" w:space="0"/>
              <w:right w:val="double" w:color="auto" w:sz="4" w:space="0"/>
            </w:tcBorders>
            <w:vAlign w:val="center"/>
          </w:tcPr>
          <w:p w14:paraId="5E34412C">
            <w:pPr>
              <w:adjustRightInd w:val="0"/>
              <w:snapToGrid w:val="0"/>
              <w:ind w:left="-88" w:leftChars="-42"/>
              <w:jc w:val="center"/>
              <w:rPr>
                <w:rFonts w:ascii="宋体" w:hAnsi="宋体"/>
                <w:color w:val="auto"/>
                <w:szCs w:val="21"/>
              </w:rPr>
            </w:pPr>
          </w:p>
        </w:tc>
      </w:tr>
      <w:tr w14:paraId="0764D6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Borders>
              <w:top w:val="single" w:color="auto" w:sz="6" w:space="0"/>
              <w:left w:val="double" w:color="auto" w:sz="4" w:space="0"/>
              <w:bottom w:val="single" w:color="auto" w:sz="6" w:space="0"/>
              <w:right w:val="single" w:color="auto" w:sz="6" w:space="0"/>
            </w:tcBorders>
          </w:tcPr>
          <w:p w14:paraId="1C962963">
            <w:pPr>
              <w:adjustRightInd w:val="0"/>
              <w:snapToGrid w:val="0"/>
              <w:ind w:left="-88" w:leftChars="-42"/>
              <w:jc w:val="center"/>
              <w:rPr>
                <w:rFonts w:ascii="宋体" w:hAnsi="宋体"/>
                <w:color w:val="auto"/>
                <w:szCs w:val="21"/>
              </w:rPr>
            </w:pPr>
          </w:p>
        </w:tc>
        <w:tc>
          <w:tcPr>
            <w:tcW w:w="1685" w:type="dxa"/>
            <w:tcBorders>
              <w:top w:val="single" w:color="auto" w:sz="6" w:space="0"/>
              <w:left w:val="single" w:color="auto" w:sz="6" w:space="0"/>
              <w:bottom w:val="single" w:color="auto" w:sz="6" w:space="0"/>
              <w:right w:val="single" w:color="auto" w:sz="6" w:space="0"/>
            </w:tcBorders>
            <w:vAlign w:val="center"/>
          </w:tcPr>
          <w:p w14:paraId="29BBCDA8">
            <w:pPr>
              <w:adjustRightInd w:val="0"/>
              <w:snapToGrid w:val="0"/>
              <w:ind w:left="-88" w:leftChars="-42"/>
              <w:jc w:val="center"/>
              <w:rPr>
                <w:rFonts w:ascii="宋体" w:hAnsi="宋体"/>
                <w:color w:val="auto"/>
                <w:szCs w:val="21"/>
              </w:rPr>
            </w:pPr>
          </w:p>
        </w:tc>
        <w:tc>
          <w:tcPr>
            <w:tcW w:w="1948" w:type="dxa"/>
            <w:tcBorders>
              <w:top w:val="single" w:color="auto" w:sz="6" w:space="0"/>
              <w:left w:val="single" w:color="auto" w:sz="6" w:space="0"/>
              <w:bottom w:val="single" w:color="auto" w:sz="6" w:space="0"/>
              <w:right w:val="single" w:color="auto" w:sz="6" w:space="0"/>
            </w:tcBorders>
            <w:vAlign w:val="center"/>
          </w:tcPr>
          <w:p w14:paraId="5C3B61AD">
            <w:pPr>
              <w:adjustRightInd w:val="0"/>
              <w:snapToGrid w:val="0"/>
              <w:ind w:left="-88" w:leftChars="-42"/>
              <w:jc w:val="center"/>
              <w:rPr>
                <w:rFonts w:ascii="宋体" w:hAnsi="宋体"/>
                <w:color w:val="auto"/>
                <w:szCs w:val="21"/>
              </w:rPr>
            </w:pPr>
          </w:p>
        </w:tc>
        <w:tc>
          <w:tcPr>
            <w:tcW w:w="2600" w:type="dxa"/>
            <w:tcBorders>
              <w:top w:val="single" w:color="auto" w:sz="6" w:space="0"/>
              <w:left w:val="single" w:color="auto" w:sz="6" w:space="0"/>
              <w:bottom w:val="single" w:color="auto" w:sz="6" w:space="0"/>
              <w:right w:val="single" w:color="auto" w:sz="6" w:space="0"/>
            </w:tcBorders>
            <w:vAlign w:val="center"/>
          </w:tcPr>
          <w:p w14:paraId="5582CCAD">
            <w:pPr>
              <w:adjustRightInd w:val="0"/>
              <w:snapToGrid w:val="0"/>
              <w:ind w:left="-88" w:leftChars="-42"/>
              <w:jc w:val="center"/>
              <w:rPr>
                <w:rFonts w:ascii="宋体" w:hAnsi="宋体"/>
                <w:color w:val="auto"/>
                <w:szCs w:val="21"/>
              </w:rPr>
            </w:pPr>
          </w:p>
        </w:tc>
        <w:tc>
          <w:tcPr>
            <w:tcW w:w="1517" w:type="dxa"/>
            <w:tcBorders>
              <w:top w:val="single" w:color="auto" w:sz="6" w:space="0"/>
              <w:left w:val="single" w:color="auto" w:sz="6" w:space="0"/>
              <w:bottom w:val="single" w:color="auto" w:sz="6" w:space="0"/>
              <w:right w:val="single" w:color="auto" w:sz="6" w:space="0"/>
            </w:tcBorders>
            <w:vAlign w:val="center"/>
          </w:tcPr>
          <w:p w14:paraId="19852112">
            <w:pPr>
              <w:adjustRightInd w:val="0"/>
              <w:snapToGrid w:val="0"/>
              <w:ind w:left="-88" w:leftChars="-42"/>
              <w:jc w:val="center"/>
              <w:rPr>
                <w:rFonts w:ascii="宋体" w:hAnsi="宋体"/>
                <w:color w:val="auto"/>
                <w:szCs w:val="21"/>
              </w:rPr>
            </w:pPr>
          </w:p>
        </w:tc>
        <w:tc>
          <w:tcPr>
            <w:tcW w:w="1119" w:type="dxa"/>
            <w:tcBorders>
              <w:top w:val="single" w:color="auto" w:sz="6" w:space="0"/>
              <w:left w:val="single" w:color="auto" w:sz="6" w:space="0"/>
              <w:bottom w:val="single" w:color="auto" w:sz="6" w:space="0"/>
              <w:right w:val="double" w:color="auto" w:sz="4" w:space="0"/>
            </w:tcBorders>
            <w:vAlign w:val="center"/>
          </w:tcPr>
          <w:p w14:paraId="3BF75C03">
            <w:pPr>
              <w:adjustRightInd w:val="0"/>
              <w:snapToGrid w:val="0"/>
              <w:ind w:left="-88" w:leftChars="-42"/>
              <w:jc w:val="center"/>
              <w:rPr>
                <w:rFonts w:ascii="宋体" w:hAnsi="宋体"/>
                <w:color w:val="auto"/>
                <w:szCs w:val="21"/>
              </w:rPr>
            </w:pPr>
          </w:p>
        </w:tc>
      </w:tr>
      <w:tr w14:paraId="1815AF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Borders>
              <w:top w:val="single" w:color="auto" w:sz="6" w:space="0"/>
              <w:left w:val="double" w:color="auto" w:sz="4" w:space="0"/>
              <w:bottom w:val="single" w:color="auto" w:sz="6" w:space="0"/>
              <w:right w:val="single" w:color="auto" w:sz="6" w:space="0"/>
            </w:tcBorders>
          </w:tcPr>
          <w:p w14:paraId="1E5E7A09">
            <w:pPr>
              <w:adjustRightInd w:val="0"/>
              <w:snapToGrid w:val="0"/>
              <w:ind w:left="-88" w:leftChars="-42"/>
              <w:jc w:val="center"/>
              <w:rPr>
                <w:rFonts w:ascii="宋体" w:hAnsi="宋体"/>
                <w:color w:val="auto"/>
                <w:szCs w:val="21"/>
              </w:rPr>
            </w:pPr>
          </w:p>
        </w:tc>
        <w:tc>
          <w:tcPr>
            <w:tcW w:w="1685" w:type="dxa"/>
            <w:tcBorders>
              <w:top w:val="single" w:color="auto" w:sz="6" w:space="0"/>
              <w:left w:val="single" w:color="auto" w:sz="6" w:space="0"/>
              <w:bottom w:val="single" w:color="auto" w:sz="6" w:space="0"/>
              <w:right w:val="single" w:color="auto" w:sz="6" w:space="0"/>
            </w:tcBorders>
            <w:vAlign w:val="center"/>
          </w:tcPr>
          <w:p w14:paraId="379BF3D4">
            <w:pPr>
              <w:adjustRightInd w:val="0"/>
              <w:snapToGrid w:val="0"/>
              <w:ind w:left="-88" w:leftChars="-42"/>
              <w:jc w:val="center"/>
              <w:rPr>
                <w:rFonts w:ascii="宋体" w:hAnsi="宋体"/>
                <w:color w:val="auto"/>
                <w:szCs w:val="21"/>
              </w:rPr>
            </w:pPr>
          </w:p>
        </w:tc>
        <w:tc>
          <w:tcPr>
            <w:tcW w:w="1948" w:type="dxa"/>
            <w:tcBorders>
              <w:top w:val="single" w:color="auto" w:sz="6" w:space="0"/>
              <w:left w:val="single" w:color="auto" w:sz="6" w:space="0"/>
              <w:bottom w:val="single" w:color="auto" w:sz="6" w:space="0"/>
              <w:right w:val="single" w:color="auto" w:sz="6" w:space="0"/>
            </w:tcBorders>
            <w:vAlign w:val="center"/>
          </w:tcPr>
          <w:p w14:paraId="1C7DB00B">
            <w:pPr>
              <w:adjustRightInd w:val="0"/>
              <w:snapToGrid w:val="0"/>
              <w:ind w:left="-88" w:leftChars="-42"/>
              <w:jc w:val="center"/>
              <w:rPr>
                <w:rFonts w:ascii="宋体" w:hAnsi="宋体"/>
                <w:color w:val="auto"/>
                <w:szCs w:val="21"/>
              </w:rPr>
            </w:pPr>
          </w:p>
        </w:tc>
        <w:tc>
          <w:tcPr>
            <w:tcW w:w="2600" w:type="dxa"/>
            <w:tcBorders>
              <w:top w:val="single" w:color="auto" w:sz="6" w:space="0"/>
              <w:left w:val="single" w:color="auto" w:sz="6" w:space="0"/>
              <w:bottom w:val="single" w:color="auto" w:sz="6" w:space="0"/>
              <w:right w:val="single" w:color="auto" w:sz="6" w:space="0"/>
            </w:tcBorders>
            <w:vAlign w:val="center"/>
          </w:tcPr>
          <w:p w14:paraId="2ED992B9">
            <w:pPr>
              <w:adjustRightInd w:val="0"/>
              <w:snapToGrid w:val="0"/>
              <w:ind w:left="-88" w:leftChars="-42"/>
              <w:jc w:val="center"/>
              <w:rPr>
                <w:rFonts w:ascii="宋体" w:hAnsi="宋体"/>
                <w:color w:val="auto"/>
                <w:szCs w:val="21"/>
              </w:rPr>
            </w:pPr>
          </w:p>
        </w:tc>
        <w:tc>
          <w:tcPr>
            <w:tcW w:w="1517" w:type="dxa"/>
            <w:tcBorders>
              <w:top w:val="single" w:color="auto" w:sz="6" w:space="0"/>
              <w:left w:val="single" w:color="auto" w:sz="6" w:space="0"/>
              <w:bottom w:val="single" w:color="auto" w:sz="6" w:space="0"/>
              <w:right w:val="single" w:color="auto" w:sz="6" w:space="0"/>
            </w:tcBorders>
            <w:vAlign w:val="center"/>
          </w:tcPr>
          <w:p w14:paraId="74E69E94">
            <w:pPr>
              <w:adjustRightInd w:val="0"/>
              <w:snapToGrid w:val="0"/>
              <w:ind w:left="-88" w:leftChars="-42"/>
              <w:jc w:val="center"/>
              <w:rPr>
                <w:rFonts w:ascii="宋体" w:hAnsi="宋体"/>
                <w:color w:val="auto"/>
                <w:szCs w:val="21"/>
              </w:rPr>
            </w:pPr>
          </w:p>
        </w:tc>
        <w:tc>
          <w:tcPr>
            <w:tcW w:w="1119" w:type="dxa"/>
            <w:tcBorders>
              <w:top w:val="single" w:color="auto" w:sz="6" w:space="0"/>
              <w:left w:val="single" w:color="auto" w:sz="6" w:space="0"/>
              <w:bottom w:val="single" w:color="auto" w:sz="6" w:space="0"/>
              <w:right w:val="double" w:color="auto" w:sz="4" w:space="0"/>
            </w:tcBorders>
            <w:vAlign w:val="center"/>
          </w:tcPr>
          <w:p w14:paraId="1317A41C">
            <w:pPr>
              <w:adjustRightInd w:val="0"/>
              <w:snapToGrid w:val="0"/>
              <w:ind w:left="-88" w:leftChars="-42"/>
              <w:jc w:val="center"/>
              <w:rPr>
                <w:rFonts w:ascii="宋体" w:hAnsi="宋体"/>
                <w:color w:val="auto"/>
                <w:szCs w:val="21"/>
              </w:rPr>
            </w:pPr>
          </w:p>
        </w:tc>
      </w:tr>
      <w:tr w14:paraId="41F363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Borders>
              <w:top w:val="single" w:color="auto" w:sz="6" w:space="0"/>
              <w:left w:val="double" w:color="auto" w:sz="4" w:space="0"/>
              <w:bottom w:val="double" w:color="auto" w:sz="4" w:space="0"/>
              <w:right w:val="single" w:color="auto" w:sz="6" w:space="0"/>
            </w:tcBorders>
          </w:tcPr>
          <w:p w14:paraId="7F7FBC6D">
            <w:pPr>
              <w:adjustRightInd w:val="0"/>
              <w:snapToGrid w:val="0"/>
              <w:ind w:left="-88" w:leftChars="-42"/>
              <w:jc w:val="center"/>
              <w:rPr>
                <w:rFonts w:ascii="宋体" w:hAnsi="宋体"/>
                <w:color w:val="auto"/>
                <w:szCs w:val="21"/>
              </w:rPr>
            </w:pPr>
          </w:p>
        </w:tc>
        <w:tc>
          <w:tcPr>
            <w:tcW w:w="1685" w:type="dxa"/>
            <w:tcBorders>
              <w:top w:val="single" w:color="auto" w:sz="6" w:space="0"/>
              <w:left w:val="single" w:color="auto" w:sz="6" w:space="0"/>
              <w:bottom w:val="double" w:color="auto" w:sz="4" w:space="0"/>
              <w:right w:val="single" w:color="auto" w:sz="6" w:space="0"/>
            </w:tcBorders>
            <w:vAlign w:val="center"/>
          </w:tcPr>
          <w:p w14:paraId="1D9AE8FB">
            <w:pPr>
              <w:adjustRightInd w:val="0"/>
              <w:snapToGrid w:val="0"/>
              <w:ind w:left="-88" w:leftChars="-42"/>
              <w:jc w:val="center"/>
              <w:rPr>
                <w:rFonts w:ascii="宋体" w:hAnsi="宋体"/>
                <w:color w:val="auto"/>
                <w:szCs w:val="21"/>
              </w:rPr>
            </w:pPr>
          </w:p>
        </w:tc>
        <w:tc>
          <w:tcPr>
            <w:tcW w:w="1948" w:type="dxa"/>
            <w:tcBorders>
              <w:top w:val="single" w:color="auto" w:sz="6" w:space="0"/>
              <w:left w:val="single" w:color="auto" w:sz="6" w:space="0"/>
              <w:bottom w:val="double" w:color="auto" w:sz="4" w:space="0"/>
              <w:right w:val="single" w:color="auto" w:sz="6" w:space="0"/>
            </w:tcBorders>
            <w:vAlign w:val="center"/>
          </w:tcPr>
          <w:p w14:paraId="2AF70A04">
            <w:pPr>
              <w:adjustRightInd w:val="0"/>
              <w:snapToGrid w:val="0"/>
              <w:ind w:left="-88" w:leftChars="-42"/>
              <w:jc w:val="center"/>
              <w:rPr>
                <w:rFonts w:ascii="宋体" w:hAnsi="宋体"/>
                <w:color w:val="auto"/>
                <w:szCs w:val="21"/>
              </w:rPr>
            </w:pPr>
          </w:p>
        </w:tc>
        <w:tc>
          <w:tcPr>
            <w:tcW w:w="2600" w:type="dxa"/>
            <w:tcBorders>
              <w:top w:val="single" w:color="auto" w:sz="6" w:space="0"/>
              <w:left w:val="single" w:color="auto" w:sz="6" w:space="0"/>
              <w:bottom w:val="double" w:color="auto" w:sz="4" w:space="0"/>
              <w:right w:val="single" w:color="auto" w:sz="6" w:space="0"/>
            </w:tcBorders>
            <w:vAlign w:val="center"/>
          </w:tcPr>
          <w:p w14:paraId="035FFBC2">
            <w:pPr>
              <w:adjustRightInd w:val="0"/>
              <w:snapToGrid w:val="0"/>
              <w:ind w:left="-88" w:leftChars="-42"/>
              <w:jc w:val="center"/>
              <w:rPr>
                <w:rFonts w:ascii="宋体" w:hAnsi="宋体"/>
                <w:color w:val="auto"/>
                <w:szCs w:val="21"/>
              </w:rPr>
            </w:pPr>
          </w:p>
        </w:tc>
        <w:tc>
          <w:tcPr>
            <w:tcW w:w="1517" w:type="dxa"/>
            <w:tcBorders>
              <w:top w:val="single" w:color="auto" w:sz="6" w:space="0"/>
              <w:left w:val="single" w:color="auto" w:sz="6" w:space="0"/>
              <w:bottom w:val="double" w:color="auto" w:sz="4" w:space="0"/>
              <w:right w:val="single" w:color="auto" w:sz="6" w:space="0"/>
            </w:tcBorders>
            <w:vAlign w:val="center"/>
          </w:tcPr>
          <w:p w14:paraId="4F5E45D9">
            <w:pPr>
              <w:adjustRightInd w:val="0"/>
              <w:snapToGrid w:val="0"/>
              <w:ind w:left="-88" w:leftChars="-42"/>
              <w:jc w:val="center"/>
              <w:rPr>
                <w:rFonts w:ascii="宋体" w:hAnsi="宋体"/>
                <w:color w:val="auto"/>
                <w:szCs w:val="21"/>
              </w:rPr>
            </w:pPr>
          </w:p>
        </w:tc>
        <w:tc>
          <w:tcPr>
            <w:tcW w:w="1119" w:type="dxa"/>
            <w:tcBorders>
              <w:top w:val="single" w:color="auto" w:sz="6" w:space="0"/>
              <w:left w:val="single" w:color="auto" w:sz="6" w:space="0"/>
              <w:bottom w:val="double" w:color="auto" w:sz="4" w:space="0"/>
              <w:right w:val="double" w:color="auto" w:sz="4" w:space="0"/>
            </w:tcBorders>
            <w:vAlign w:val="center"/>
          </w:tcPr>
          <w:p w14:paraId="52ED1786">
            <w:pPr>
              <w:adjustRightInd w:val="0"/>
              <w:snapToGrid w:val="0"/>
              <w:ind w:left="-88" w:leftChars="-42"/>
              <w:jc w:val="center"/>
              <w:rPr>
                <w:rFonts w:ascii="宋体" w:hAnsi="宋体"/>
                <w:color w:val="auto"/>
                <w:szCs w:val="21"/>
              </w:rPr>
            </w:pPr>
          </w:p>
        </w:tc>
      </w:tr>
    </w:tbl>
    <w:p w14:paraId="6F70353B">
      <w:pPr>
        <w:adjustRightInd w:val="0"/>
        <w:snapToGrid w:val="0"/>
        <w:spacing w:line="360" w:lineRule="auto"/>
        <w:ind w:left="-88" w:leftChars="-42"/>
        <w:rPr>
          <w:rFonts w:ascii="宋体" w:hAnsi="宋体"/>
          <w:color w:val="auto"/>
          <w:szCs w:val="21"/>
        </w:rPr>
      </w:pPr>
      <w:r>
        <w:rPr>
          <w:rFonts w:hint="eastAsia" w:ascii="宋体" w:hAnsi="宋体"/>
          <w:color w:val="auto"/>
          <w:szCs w:val="21"/>
        </w:rPr>
        <w:t>说明：1、“响应与偏离”应注明“响应”或“偏离”。</w:t>
      </w:r>
    </w:p>
    <w:p w14:paraId="7264604D">
      <w:pPr>
        <w:adjustRightInd w:val="0"/>
        <w:snapToGrid w:val="0"/>
        <w:spacing w:line="360" w:lineRule="auto"/>
        <w:rPr>
          <w:rFonts w:ascii="宋体" w:hAnsi="宋体"/>
          <w:color w:val="auto"/>
          <w:szCs w:val="21"/>
        </w:rPr>
      </w:pPr>
      <w:r>
        <w:rPr>
          <w:rFonts w:hint="eastAsia" w:ascii="宋体" w:hAnsi="宋体"/>
          <w:b/>
          <w:color w:val="auto"/>
          <w:szCs w:val="21"/>
        </w:rPr>
        <w:t xml:space="preserve">     </w:t>
      </w:r>
      <w:r>
        <w:rPr>
          <w:rFonts w:hint="eastAsia" w:ascii="宋体" w:hAnsi="宋体"/>
          <w:color w:val="auto"/>
          <w:szCs w:val="21"/>
        </w:rPr>
        <w:t>2、属磋商文件规定可能变动的内容在“说明”栏中注明。</w:t>
      </w:r>
    </w:p>
    <w:p w14:paraId="6441D087">
      <w:pPr>
        <w:pStyle w:val="30"/>
        <w:adjustRightInd w:val="0"/>
        <w:snapToGrid w:val="0"/>
        <w:spacing w:line="360" w:lineRule="auto"/>
        <w:rPr>
          <w:rFonts w:ascii="宋体" w:hAnsi="宋体"/>
          <w:color w:val="auto"/>
          <w:sz w:val="21"/>
          <w:szCs w:val="21"/>
        </w:rPr>
      </w:pPr>
    </w:p>
    <w:p w14:paraId="09E54C64">
      <w:pPr>
        <w:rPr>
          <w:color w:val="auto"/>
        </w:rPr>
      </w:pPr>
    </w:p>
    <w:p w14:paraId="75A3AFB4">
      <w:pPr>
        <w:pStyle w:val="30"/>
        <w:adjustRightInd w:val="0"/>
        <w:snapToGrid w:val="0"/>
        <w:spacing w:line="360" w:lineRule="auto"/>
        <w:rPr>
          <w:rFonts w:ascii="宋体" w:hAnsi="宋体"/>
          <w:bCs/>
          <w:color w:val="auto"/>
          <w:sz w:val="21"/>
          <w:szCs w:val="21"/>
        </w:rPr>
      </w:pPr>
      <w:r>
        <w:rPr>
          <w:rFonts w:hint="eastAsia" w:ascii="宋体" w:hAnsi="宋体"/>
          <w:color w:val="auto"/>
          <w:sz w:val="21"/>
          <w:szCs w:val="21"/>
        </w:rPr>
        <w:t>供应商名称：</w:t>
      </w:r>
      <w:r>
        <w:rPr>
          <w:rFonts w:hint="eastAsia" w:ascii="宋体" w:hAnsi="宋体"/>
          <w:color w:val="auto"/>
          <w:sz w:val="21"/>
          <w:szCs w:val="21"/>
          <w:u w:val="single"/>
        </w:rPr>
        <w:t xml:space="preserve">                   </w:t>
      </w:r>
    </w:p>
    <w:p w14:paraId="033FA0DD">
      <w:pPr>
        <w:adjustRightInd w:val="0"/>
        <w:snapToGrid w:val="0"/>
        <w:spacing w:line="360" w:lineRule="auto"/>
        <w:rPr>
          <w:rFonts w:ascii="宋体" w:hAnsi="宋体"/>
          <w:color w:val="auto"/>
          <w:szCs w:val="21"/>
        </w:rPr>
      </w:pPr>
      <w:r>
        <w:rPr>
          <w:rFonts w:hint="eastAsia" w:ascii="宋体" w:hAnsi="宋体"/>
          <w:color w:val="auto"/>
          <w:szCs w:val="21"/>
        </w:rPr>
        <w:t>法定代表人或其委托代理人(签字)：</w:t>
      </w:r>
      <w:r>
        <w:rPr>
          <w:rFonts w:hint="eastAsia" w:ascii="宋体" w:hAnsi="宋体"/>
          <w:color w:val="auto"/>
          <w:szCs w:val="21"/>
          <w:u w:val="single"/>
        </w:rPr>
        <w:t xml:space="preserve">                   </w:t>
      </w:r>
    </w:p>
    <w:p w14:paraId="3FE25B93">
      <w:pPr>
        <w:adjustRightInd w:val="0"/>
        <w:snapToGrid w:val="0"/>
        <w:spacing w:line="360" w:lineRule="auto"/>
        <w:rPr>
          <w:rFonts w:ascii="宋体" w:hAnsi="宋体"/>
          <w:color w:val="auto"/>
          <w:szCs w:val="21"/>
        </w:rPr>
      </w:pPr>
      <w:r>
        <w:rPr>
          <w:rFonts w:hint="eastAsia" w:ascii="宋体" w:hAnsi="宋体"/>
          <w:color w:val="auto"/>
          <w:szCs w:val="21"/>
        </w:rPr>
        <w:t xml:space="preserve">日          期： </w:t>
      </w:r>
      <w:r>
        <w:rPr>
          <w:rFonts w:hint="eastAsia" w:ascii="宋体" w:hAnsi="宋体"/>
          <w:color w:val="auto"/>
          <w:szCs w:val="21"/>
          <w:u w:val="single"/>
        </w:rPr>
        <w:t xml:space="preserve">     </w:t>
      </w:r>
      <w:r>
        <w:rPr>
          <w:rFonts w:hint="eastAsia" w:ascii="宋体" w:hAnsi="宋体"/>
          <w:color w:val="auto"/>
          <w:szCs w:val="21"/>
        </w:rPr>
        <w:t xml:space="preserve"> 年 </w:t>
      </w:r>
      <w:r>
        <w:rPr>
          <w:rFonts w:hint="eastAsia" w:ascii="宋体" w:hAnsi="宋体"/>
          <w:color w:val="auto"/>
          <w:szCs w:val="21"/>
          <w:u w:val="single"/>
        </w:rPr>
        <w:t xml:space="preserve">    </w:t>
      </w:r>
      <w:r>
        <w:rPr>
          <w:rFonts w:hint="eastAsia" w:ascii="宋体" w:hAnsi="宋体"/>
          <w:color w:val="auto"/>
          <w:szCs w:val="21"/>
        </w:rPr>
        <w:t xml:space="preserve"> 月 </w:t>
      </w:r>
      <w:r>
        <w:rPr>
          <w:rFonts w:hint="eastAsia" w:ascii="宋体" w:hAnsi="宋体"/>
          <w:color w:val="auto"/>
          <w:szCs w:val="21"/>
          <w:u w:val="single"/>
        </w:rPr>
        <w:t xml:space="preserve">   </w:t>
      </w:r>
      <w:r>
        <w:rPr>
          <w:rFonts w:hint="eastAsia" w:ascii="宋体" w:hAnsi="宋体"/>
          <w:color w:val="auto"/>
          <w:szCs w:val="21"/>
        </w:rPr>
        <w:t xml:space="preserve"> 日</w:t>
      </w:r>
    </w:p>
    <w:p w14:paraId="3D69E1AD">
      <w:pPr>
        <w:rPr>
          <w:color w:val="auto"/>
        </w:rPr>
      </w:pPr>
    </w:p>
    <w:p w14:paraId="219A28A7">
      <w:pPr>
        <w:rPr>
          <w:color w:val="auto"/>
        </w:rPr>
      </w:pPr>
    </w:p>
    <w:p w14:paraId="57BCF5F4">
      <w:pPr>
        <w:rPr>
          <w:color w:val="auto"/>
        </w:rPr>
      </w:pPr>
    </w:p>
    <w:p w14:paraId="1EBE971A">
      <w:pPr>
        <w:rPr>
          <w:color w:val="auto"/>
        </w:rPr>
      </w:pPr>
    </w:p>
    <w:p w14:paraId="4AAF874B">
      <w:pPr>
        <w:rPr>
          <w:rFonts w:ascii="宋体" w:hAnsi="宋体"/>
          <w:color w:val="auto"/>
          <w:szCs w:val="21"/>
        </w:rPr>
      </w:pPr>
      <w:r>
        <w:rPr>
          <w:rFonts w:ascii="宋体" w:hAnsi="宋体"/>
          <w:color w:val="auto"/>
          <w:szCs w:val="21"/>
        </w:rPr>
        <w:br w:type="page"/>
      </w:r>
    </w:p>
    <w:p w14:paraId="7278A7FB">
      <w:pPr>
        <w:tabs>
          <w:tab w:val="left" w:pos="3600"/>
        </w:tabs>
        <w:adjustRightInd w:val="0"/>
        <w:snapToGrid w:val="0"/>
        <w:jc w:val="center"/>
        <w:rPr>
          <w:rFonts w:ascii="宋体" w:hAnsi="宋体"/>
          <w:b/>
          <w:color w:val="auto"/>
          <w:sz w:val="32"/>
          <w:szCs w:val="32"/>
        </w:rPr>
      </w:pPr>
      <w:r>
        <w:rPr>
          <w:rFonts w:hint="eastAsia" w:ascii="宋体" w:hAnsi="宋体"/>
          <w:b/>
          <w:color w:val="auto"/>
          <w:sz w:val="32"/>
          <w:szCs w:val="32"/>
        </w:rPr>
        <w:t>六、享受政府采购政策优惠的证明资料</w:t>
      </w:r>
    </w:p>
    <w:p w14:paraId="21ED8438">
      <w:pPr>
        <w:tabs>
          <w:tab w:val="left" w:pos="3600"/>
        </w:tabs>
        <w:adjustRightInd w:val="0"/>
        <w:snapToGrid w:val="0"/>
        <w:jc w:val="center"/>
        <w:rPr>
          <w:rFonts w:ascii="宋体" w:hAnsi="宋体"/>
          <w:b/>
          <w:color w:val="auto"/>
          <w:sz w:val="32"/>
          <w:szCs w:val="32"/>
        </w:rPr>
      </w:pPr>
    </w:p>
    <w:p w14:paraId="51CB82EE">
      <w:pPr>
        <w:rPr>
          <w:rFonts w:ascii="宋体" w:hAnsi="宋体"/>
          <w:b/>
          <w:color w:val="auto"/>
          <w:sz w:val="24"/>
        </w:rPr>
      </w:pPr>
      <w:r>
        <w:rPr>
          <w:rFonts w:hint="eastAsia" w:ascii="宋体" w:hAnsi="宋体"/>
          <w:b/>
          <w:color w:val="auto"/>
          <w:sz w:val="24"/>
        </w:rPr>
        <w:t>附件7</w:t>
      </w:r>
    </w:p>
    <w:p w14:paraId="563629EC">
      <w:pPr>
        <w:widowControl/>
        <w:adjustRightInd w:val="0"/>
        <w:snapToGrid w:val="0"/>
        <w:spacing w:line="360" w:lineRule="auto"/>
        <w:jc w:val="center"/>
        <w:rPr>
          <w:rFonts w:ascii="黑体" w:hAnsi="黑体" w:eastAsia="黑体" w:cs="宋体"/>
          <w:b/>
          <w:bCs/>
          <w:color w:val="auto"/>
          <w:spacing w:val="6"/>
          <w:kern w:val="0"/>
          <w:sz w:val="28"/>
          <w:szCs w:val="28"/>
        </w:rPr>
      </w:pPr>
      <w:r>
        <w:rPr>
          <w:rFonts w:hint="eastAsia" w:ascii="黑体" w:hAnsi="黑体" w:eastAsia="黑体" w:cs="黑体"/>
          <w:b/>
          <w:bCs/>
          <w:color w:val="auto"/>
          <w:spacing w:val="6"/>
          <w:kern w:val="0"/>
          <w:sz w:val="28"/>
          <w:szCs w:val="28"/>
        </w:rPr>
        <w:t>中小企业声明函（货物）</w:t>
      </w:r>
    </w:p>
    <w:p w14:paraId="4B65818D">
      <w:pPr>
        <w:widowControl/>
        <w:adjustRightInd w:val="0"/>
        <w:snapToGrid w:val="0"/>
        <w:spacing w:line="360" w:lineRule="auto"/>
        <w:jc w:val="center"/>
        <w:rPr>
          <w:rFonts w:ascii="宋体" w:hAnsi="宋体" w:cs="宋体"/>
          <w:b/>
          <w:color w:val="auto"/>
          <w:spacing w:val="6"/>
          <w:kern w:val="0"/>
          <w:szCs w:val="21"/>
        </w:rPr>
      </w:pPr>
      <w:r>
        <w:rPr>
          <w:rFonts w:hint="eastAsia" w:ascii="宋体" w:hAnsi="宋体" w:cs="宋体"/>
          <w:b/>
          <w:color w:val="auto"/>
          <w:spacing w:val="6"/>
          <w:kern w:val="0"/>
          <w:szCs w:val="21"/>
        </w:rPr>
        <w:t>(除专门面向中小企业采购情形外，不满足以下条件的无需提供)</w:t>
      </w:r>
    </w:p>
    <w:p w14:paraId="2B7E3122">
      <w:pPr>
        <w:rPr>
          <w:color w:val="auto"/>
        </w:rPr>
      </w:pPr>
    </w:p>
    <w:p w14:paraId="257A938C">
      <w:pPr>
        <w:widowControl/>
        <w:adjustRightInd w:val="0"/>
        <w:snapToGrid w:val="0"/>
        <w:spacing w:before="156" w:beforeLines="50" w:line="360" w:lineRule="auto"/>
        <w:ind w:firstLine="444" w:firstLineChars="200"/>
        <w:jc w:val="left"/>
        <w:rPr>
          <w:rFonts w:ascii="宋体" w:hAnsi="宋体" w:cs="宋体"/>
          <w:color w:val="auto"/>
          <w:spacing w:val="6"/>
          <w:kern w:val="0"/>
          <w:szCs w:val="21"/>
        </w:rPr>
      </w:pPr>
      <w:r>
        <w:rPr>
          <w:rFonts w:hint="eastAsia" w:ascii="宋体" w:hAnsi="宋体" w:cs="宋体"/>
          <w:color w:val="auto"/>
          <w:spacing w:val="6"/>
          <w:kern w:val="0"/>
          <w:szCs w:val="21"/>
        </w:rPr>
        <w:t>本公司（联合体）郑重声明，根据《政府采购促进中小企业发展管理办法》（财库﹝2020﹞46号）的规定，本公司（联合体）参加</w:t>
      </w:r>
      <w:r>
        <w:rPr>
          <w:rFonts w:hint="eastAsia" w:ascii="宋体" w:hAnsi="宋体" w:cs="宋体"/>
          <w:color w:val="auto"/>
          <w:spacing w:val="6"/>
          <w:kern w:val="0"/>
          <w:szCs w:val="21"/>
          <w:u w:val="single"/>
        </w:rPr>
        <w:t xml:space="preserve">    （单位名称）</w:t>
      </w:r>
      <w:r>
        <w:rPr>
          <w:rFonts w:hint="eastAsia" w:ascii="宋体" w:hAnsi="宋体" w:cs="宋体"/>
          <w:color w:val="auto"/>
          <w:spacing w:val="6"/>
          <w:kern w:val="0"/>
          <w:szCs w:val="21"/>
        </w:rPr>
        <w:t>的</w:t>
      </w:r>
      <w:r>
        <w:rPr>
          <w:rFonts w:hint="eastAsia" w:ascii="宋体" w:hAnsi="宋体" w:cs="宋体"/>
          <w:color w:val="auto"/>
          <w:spacing w:val="6"/>
          <w:kern w:val="0"/>
          <w:szCs w:val="21"/>
          <w:u w:val="single"/>
        </w:rPr>
        <w:t xml:space="preserve">     （项目名称）</w:t>
      </w:r>
      <w:r>
        <w:rPr>
          <w:rFonts w:hint="eastAsia" w:ascii="宋体" w:hAnsi="宋体" w:cs="宋体"/>
          <w:color w:val="auto"/>
          <w:spacing w:val="6"/>
          <w:kern w:val="0"/>
          <w:szCs w:val="21"/>
        </w:rPr>
        <w:t>采购活动，提供的货物全部由符合政策要求的中小企业制造。相关企业（含联合体中的中小企业、签订分包意向协议的中小企业）的具体情况如下：</w:t>
      </w:r>
    </w:p>
    <w:p w14:paraId="7148DA53">
      <w:pPr>
        <w:widowControl/>
        <w:adjustRightInd w:val="0"/>
        <w:snapToGrid w:val="0"/>
        <w:spacing w:before="156" w:beforeLines="50" w:line="360" w:lineRule="auto"/>
        <w:ind w:firstLine="444" w:firstLineChars="200"/>
        <w:jc w:val="left"/>
        <w:rPr>
          <w:rFonts w:ascii="宋体" w:hAnsi="宋体" w:cs="宋体"/>
          <w:color w:val="auto"/>
          <w:spacing w:val="6"/>
          <w:kern w:val="0"/>
          <w:szCs w:val="21"/>
        </w:rPr>
      </w:pPr>
      <w:r>
        <w:rPr>
          <w:rFonts w:hint="eastAsia" w:ascii="宋体" w:hAnsi="宋体" w:cs="宋体"/>
          <w:color w:val="auto"/>
          <w:spacing w:val="6"/>
          <w:kern w:val="0"/>
          <w:szCs w:val="21"/>
        </w:rPr>
        <w:t>1.</w:t>
      </w:r>
      <w:r>
        <w:rPr>
          <w:rFonts w:hint="eastAsia" w:ascii="宋体" w:hAnsi="宋体" w:cs="宋体"/>
          <w:color w:val="auto"/>
          <w:spacing w:val="6"/>
          <w:kern w:val="0"/>
          <w:szCs w:val="21"/>
          <w:u w:val="single"/>
        </w:rPr>
        <w:t xml:space="preserve">     （标的名称）</w:t>
      </w:r>
      <w:r>
        <w:rPr>
          <w:rFonts w:hint="eastAsia" w:ascii="宋体" w:hAnsi="宋体" w:cs="宋体"/>
          <w:color w:val="auto"/>
          <w:spacing w:val="6"/>
          <w:kern w:val="0"/>
          <w:szCs w:val="21"/>
        </w:rPr>
        <w:t>，属于</w:t>
      </w:r>
      <w:r>
        <w:rPr>
          <w:rFonts w:hint="eastAsia" w:ascii="宋体" w:hAnsi="宋体" w:cs="宋体"/>
          <w:color w:val="auto"/>
          <w:spacing w:val="6"/>
          <w:kern w:val="0"/>
          <w:szCs w:val="21"/>
          <w:u w:val="single"/>
        </w:rPr>
        <w:t xml:space="preserve">    （标的所属行业）行业</w:t>
      </w:r>
      <w:r>
        <w:rPr>
          <w:rFonts w:hint="eastAsia" w:ascii="宋体" w:hAnsi="宋体" w:cs="宋体"/>
          <w:color w:val="auto"/>
          <w:spacing w:val="6"/>
          <w:kern w:val="0"/>
          <w:szCs w:val="21"/>
        </w:rPr>
        <w:t>；制造商为</w:t>
      </w:r>
      <w:r>
        <w:rPr>
          <w:rFonts w:hint="eastAsia" w:ascii="宋体" w:hAnsi="宋体" w:cs="宋体"/>
          <w:color w:val="auto"/>
          <w:spacing w:val="6"/>
          <w:kern w:val="0"/>
          <w:szCs w:val="21"/>
          <w:u w:val="single"/>
        </w:rPr>
        <w:t xml:space="preserve">   （企业名称）</w:t>
      </w:r>
      <w:r>
        <w:rPr>
          <w:rFonts w:hint="eastAsia" w:ascii="宋体" w:hAnsi="宋体" w:cs="宋体"/>
          <w:color w:val="auto"/>
          <w:spacing w:val="6"/>
          <w:kern w:val="0"/>
          <w:szCs w:val="21"/>
        </w:rPr>
        <w:t>，从业人员</w:t>
      </w:r>
      <w:r>
        <w:rPr>
          <w:rFonts w:hint="eastAsia" w:ascii="宋体" w:hAnsi="宋体" w:cs="宋体"/>
          <w:color w:val="auto"/>
          <w:spacing w:val="6"/>
          <w:kern w:val="0"/>
          <w:szCs w:val="21"/>
          <w:u w:val="single"/>
        </w:rPr>
        <w:t xml:space="preserve">    </w:t>
      </w:r>
      <w:r>
        <w:rPr>
          <w:rFonts w:hint="eastAsia" w:ascii="宋体" w:hAnsi="宋体" w:cs="宋体"/>
          <w:color w:val="auto"/>
          <w:spacing w:val="6"/>
          <w:kern w:val="0"/>
          <w:szCs w:val="21"/>
        </w:rPr>
        <w:t>人，营业收入为</w:t>
      </w:r>
      <w:r>
        <w:rPr>
          <w:rFonts w:hint="eastAsia" w:ascii="宋体" w:hAnsi="宋体" w:cs="宋体"/>
          <w:color w:val="auto"/>
          <w:spacing w:val="6"/>
          <w:kern w:val="0"/>
          <w:szCs w:val="21"/>
          <w:u w:val="single"/>
        </w:rPr>
        <w:t xml:space="preserve">     </w:t>
      </w:r>
      <w:r>
        <w:rPr>
          <w:rFonts w:hint="eastAsia" w:ascii="宋体" w:hAnsi="宋体" w:cs="宋体"/>
          <w:color w:val="auto"/>
          <w:spacing w:val="6"/>
          <w:kern w:val="0"/>
          <w:szCs w:val="21"/>
        </w:rPr>
        <w:t>万元，资产总额为</w:t>
      </w:r>
      <w:r>
        <w:rPr>
          <w:rFonts w:hint="eastAsia" w:ascii="宋体" w:hAnsi="宋体" w:cs="宋体"/>
          <w:color w:val="auto"/>
          <w:spacing w:val="6"/>
          <w:kern w:val="0"/>
          <w:szCs w:val="21"/>
          <w:u w:val="single"/>
        </w:rPr>
        <w:t xml:space="preserve">     </w:t>
      </w:r>
      <w:r>
        <w:rPr>
          <w:rFonts w:hint="eastAsia" w:ascii="宋体" w:hAnsi="宋体" w:cs="宋体"/>
          <w:color w:val="auto"/>
          <w:spacing w:val="6"/>
          <w:kern w:val="0"/>
          <w:szCs w:val="21"/>
        </w:rPr>
        <w:t>万元，属于</w:t>
      </w:r>
      <w:r>
        <w:rPr>
          <w:rFonts w:hint="eastAsia" w:ascii="宋体" w:hAnsi="宋体" w:cs="宋体"/>
          <w:color w:val="auto"/>
          <w:spacing w:val="6"/>
          <w:kern w:val="0"/>
          <w:szCs w:val="21"/>
          <w:u w:val="single"/>
        </w:rPr>
        <w:t xml:space="preserve">   （中型企业、小型企业、微型企业）</w:t>
      </w:r>
      <w:r>
        <w:rPr>
          <w:rFonts w:hint="eastAsia" w:ascii="宋体" w:hAnsi="宋体" w:cs="宋体"/>
          <w:color w:val="auto"/>
          <w:spacing w:val="6"/>
          <w:kern w:val="0"/>
          <w:szCs w:val="21"/>
        </w:rPr>
        <w:t>；</w:t>
      </w:r>
    </w:p>
    <w:p w14:paraId="57D7E013">
      <w:pPr>
        <w:widowControl/>
        <w:adjustRightInd w:val="0"/>
        <w:snapToGrid w:val="0"/>
        <w:spacing w:before="156" w:beforeLines="50" w:line="360" w:lineRule="auto"/>
        <w:ind w:firstLine="444" w:firstLineChars="200"/>
        <w:jc w:val="left"/>
        <w:rPr>
          <w:rFonts w:ascii="宋体" w:hAnsi="宋体" w:cs="宋体"/>
          <w:color w:val="auto"/>
          <w:spacing w:val="6"/>
          <w:kern w:val="0"/>
          <w:szCs w:val="21"/>
        </w:rPr>
      </w:pPr>
      <w:r>
        <w:rPr>
          <w:rFonts w:hint="eastAsia" w:ascii="宋体" w:hAnsi="宋体" w:cs="宋体"/>
          <w:color w:val="auto"/>
          <w:spacing w:val="6"/>
          <w:kern w:val="0"/>
          <w:szCs w:val="21"/>
        </w:rPr>
        <w:t>2.</w:t>
      </w:r>
      <w:r>
        <w:rPr>
          <w:rFonts w:hint="eastAsia" w:ascii="宋体" w:hAnsi="宋体" w:cs="宋体"/>
          <w:color w:val="auto"/>
          <w:spacing w:val="6"/>
          <w:kern w:val="0"/>
          <w:szCs w:val="21"/>
          <w:u w:val="single"/>
        </w:rPr>
        <w:t xml:space="preserve">     （标的名称）</w:t>
      </w:r>
      <w:r>
        <w:rPr>
          <w:rFonts w:hint="eastAsia" w:ascii="宋体" w:hAnsi="宋体" w:cs="宋体"/>
          <w:color w:val="auto"/>
          <w:spacing w:val="6"/>
          <w:kern w:val="0"/>
          <w:szCs w:val="21"/>
        </w:rPr>
        <w:t>，属于</w:t>
      </w:r>
      <w:r>
        <w:rPr>
          <w:rFonts w:hint="eastAsia" w:ascii="宋体" w:hAnsi="宋体" w:cs="宋体"/>
          <w:color w:val="auto"/>
          <w:spacing w:val="6"/>
          <w:kern w:val="0"/>
          <w:szCs w:val="21"/>
          <w:u w:val="single"/>
        </w:rPr>
        <w:t xml:space="preserve">    （标的所属行业）行业</w:t>
      </w:r>
      <w:r>
        <w:rPr>
          <w:rFonts w:hint="eastAsia" w:ascii="宋体" w:hAnsi="宋体" w:cs="宋体"/>
          <w:color w:val="auto"/>
          <w:spacing w:val="6"/>
          <w:kern w:val="0"/>
          <w:szCs w:val="21"/>
        </w:rPr>
        <w:t>；制造商为</w:t>
      </w:r>
      <w:r>
        <w:rPr>
          <w:rFonts w:hint="eastAsia" w:ascii="宋体" w:hAnsi="宋体" w:cs="宋体"/>
          <w:color w:val="auto"/>
          <w:spacing w:val="6"/>
          <w:kern w:val="0"/>
          <w:szCs w:val="21"/>
          <w:u w:val="single"/>
        </w:rPr>
        <w:t xml:space="preserve">   （企业名称）</w:t>
      </w:r>
      <w:r>
        <w:rPr>
          <w:rFonts w:hint="eastAsia" w:ascii="宋体" w:hAnsi="宋体" w:cs="宋体"/>
          <w:color w:val="auto"/>
          <w:spacing w:val="6"/>
          <w:kern w:val="0"/>
          <w:szCs w:val="21"/>
        </w:rPr>
        <w:t>，从业人员</w:t>
      </w:r>
      <w:r>
        <w:rPr>
          <w:rFonts w:hint="eastAsia" w:ascii="宋体" w:hAnsi="宋体" w:cs="宋体"/>
          <w:color w:val="auto"/>
          <w:spacing w:val="6"/>
          <w:kern w:val="0"/>
          <w:szCs w:val="21"/>
          <w:u w:val="single"/>
        </w:rPr>
        <w:t xml:space="preserve">    </w:t>
      </w:r>
      <w:r>
        <w:rPr>
          <w:rFonts w:hint="eastAsia" w:ascii="宋体" w:hAnsi="宋体" w:cs="宋体"/>
          <w:color w:val="auto"/>
          <w:spacing w:val="6"/>
          <w:kern w:val="0"/>
          <w:szCs w:val="21"/>
        </w:rPr>
        <w:t>人，营业收入为</w:t>
      </w:r>
      <w:r>
        <w:rPr>
          <w:rFonts w:hint="eastAsia" w:ascii="宋体" w:hAnsi="宋体" w:cs="宋体"/>
          <w:color w:val="auto"/>
          <w:spacing w:val="6"/>
          <w:kern w:val="0"/>
          <w:szCs w:val="21"/>
          <w:u w:val="single"/>
        </w:rPr>
        <w:t xml:space="preserve">     </w:t>
      </w:r>
      <w:r>
        <w:rPr>
          <w:rFonts w:hint="eastAsia" w:ascii="宋体" w:hAnsi="宋体" w:cs="宋体"/>
          <w:color w:val="auto"/>
          <w:spacing w:val="6"/>
          <w:kern w:val="0"/>
          <w:szCs w:val="21"/>
        </w:rPr>
        <w:t>万元，资产总额为</w:t>
      </w:r>
      <w:r>
        <w:rPr>
          <w:rFonts w:hint="eastAsia" w:ascii="宋体" w:hAnsi="宋体" w:cs="宋体"/>
          <w:color w:val="auto"/>
          <w:spacing w:val="6"/>
          <w:kern w:val="0"/>
          <w:szCs w:val="21"/>
          <w:u w:val="single"/>
        </w:rPr>
        <w:t xml:space="preserve">     </w:t>
      </w:r>
      <w:r>
        <w:rPr>
          <w:rFonts w:hint="eastAsia" w:ascii="宋体" w:hAnsi="宋体" w:cs="宋体"/>
          <w:color w:val="auto"/>
          <w:spacing w:val="6"/>
          <w:kern w:val="0"/>
          <w:szCs w:val="21"/>
        </w:rPr>
        <w:t>万元，属于</w:t>
      </w:r>
      <w:r>
        <w:rPr>
          <w:rFonts w:hint="eastAsia" w:ascii="宋体" w:hAnsi="宋体" w:cs="宋体"/>
          <w:color w:val="auto"/>
          <w:spacing w:val="6"/>
          <w:kern w:val="0"/>
          <w:szCs w:val="21"/>
          <w:u w:val="single"/>
        </w:rPr>
        <w:t xml:space="preserve">   （中型企业、小型企业、微型企业）</w:t>
      </w:r>
      <w:r>
        <w:rPr>
          <w:rFonts w:hint="eastAsia" w:ascii="宋体" w:hAnsi="宋体" w:cs="宋体"/>
          <w:color w:val="auto"/>
          <w:spacing w:val="6"/>
          <w:kern w:val="0"/>
          <w:szCs w:val="21"/>
        </w:rPr>
        <w:t>；</w:t>
      </w:r>
    </w:p>
    <w:p w14:paraId="599FEB97">
      <w:pPr>
        <w:widowControl/>
        <w:adjustRightInd w:val="0"/>
        <w:snapToGrid w:val="0"/>
        <w:spacing w:before="156" w:beforeLines="50" w:line="360" w:lineRule="auto"/>
        <w:ind w:firstLine="444" w:firstLineChars="200"/>
        <w:jc w:val="left"/>
        <w:rPr>
          <w:rFonts w:ascii="宋体" w:hAnsi="宋体" w:cs="宋体"/>
          <w:color w:val="auto"/>
          <w:spacing w:val="6"/>
          <w:kern w:val="0"/>
          <w:szCs w:val="21"/>
        </w:rPr>
      </w:pPr>
      <w:r>
        <w:rPr>
          <w:rFonts w:hint="eastAsia" w:ascii="宋体" w:hAnsi="宋体" w:cs="宋体"/>
          <w:color w:val="auto"/>
          <w:spacing w:val="6"/>
          <w:kern w:val="0"/>
          <w:szCs w:val="21"/>
        </w:rPr>
        <w:t>……</w:t>
      </w:r>
    </w:p>
    <w:p w14:paraId="33F7F0C0">
      <w:pPr>
        <w:widowControl/>
        <w:adjustRightInd w:val="0"/>
        <w:snapToGrid w:val="0"/>
        <w:spacing w:before="156" w:beforeLines="50" w:line="360" w:lineRule="auto"/>
        <w:ind w:firstLine="444" w:firstLineChars="200"/>
        <w:jc w:val="left"/>
        <w:rPr>
          <w:rFonts w:ascii="宋体" w:hAnsi="宋体" w:cs="宋体"/>
          <w:color w:val="auto"/>
          <w:spacing w:val="6"/>
          <w:kern w:val="0"/>
          <w:szCs w:val="21"/>
        </w:rPr>
      </w:pPr>
      <w:r>
        <w:rPr>
          <w:rFonts w:hint="eastAsia" w:ascii="宋体" w:hAnsi="宋体" w:cs="宋体"/>
          <w:color w:val="auto"/>
          <w:spacing w:val="6"/>
          <w:kern w:val="0"/>
          <w:szCs w:val="21"/>
        </w:rPr>
        <w:t>以上企业，不属于大企业的分支机构，不存在控股股东为大企业的情形，也不存在与大企业的负责人为同一人的情形。</w:t>
      </w:r>
    </w:p>
    <w:p w14:paraId="19933F3E">
      <w:pPr>
        <w:widowControl/>
        <w:adjustRightInd w:val="0"/>
        <w:snapToGrid w:val="0"/>
        <w:spacing w:before="156" w:beforeLines="50" w:line="360" w:lineRule="auto"/>
        <w:ind w:firstLine="444" w:firstLineChars="200"/>
        <w:jc w:val="left"/>
        <w:rPr>
          <w:rFonts w:ascii="宋体" w:hAnsi="宋体" w:cs="宋体"/>
          <w:color w:val="auto"/>
          <w:spacing w:val="6"/>
          <w:kern w:val="0"/>
          <w:szCs w:val="21"/>
        </w:rPr>
      </w:pPr>
      <w:r>
        <w:rPr>
          <w:rFonts w:hint="eastAsia" w:ascii="宋体" w:hAnsi="宋体" w:cs="宋体"/>
          <w:color w:val="auto"/>
          <w:spacing w:val="6"/>
          <w:kern w:val="0"/>
          <w:szCs w:val="21"/>
        </w:rPr>
        <w:t>本企业对上述声明内容的真实性负责。如有虚假，将依法承担相应责任。</w:t>
      </w:r>
    </w:p>
    <w:p w14:paraId="508F48EE">
      <w:pPr>
        <w:widowControl/>
        <w:adjustRightInd w:val="0"/>
        <w:snapToGrid w:val="0"/>
        <w:spacing w:before="156" w:beforeLines="50" w:line="360" w:lineRule="auto"/>
        <w:ind w:firstLine="444" w:firstLineChars="200"/>
        <w:jc w:val="left"/>
        <w:rPr>
          <w:rFonts w:ascii="宋体" w:hAnsi="宋体" w:cs="宋体"/>
          <w:color w:val="auto"/>
          <w:spacing w:val="6"/>
          <w:kern w:val="0"/>
          <w:szCs w:val="21"/>
        </w:rPr>
      </w:pPr>
    </w:p>
    <w:p w14:paraId="6991B01D">
      <w:pPr>
        <w:widowControl/>
        <w:adjustRightInd w:val="0"/>
        <w:snapToGrid w:val="0"/>
        <w:spacing w:before="156" w:beforeLines="50" w:line="360" w:lineRule="auto"/>
        <w:ind w:firstLine="3330" w:firstLineChars="1500"/>
        <w:rPr>
          <w:rFonts w:ascii="宋体" w:hAnsi="宋体" w:cs="宋体"/>
          <w:color w:val="auto"/>
          <w:spacing w:val="6"/>
          <w:kern w:val="0"/>
          <w:szCs w:val="21"/>
        </w:rPr>
      </w:pPr>
      <w:r>
        <w:rPr>
          <w:rFonts w:hint="eastAsia" w:ascii="宋体" w:hAnsi="宋体" w:cs="宋体"/>
          <w:color w:val="auto"/>
          <w:spacing w:val="6"/>
          <w:kern w:val="0"/>
          <w:szCs w:val="21"/>
        </w:rPr>
        <w:t>企业名称（盖章）：</w:t>
      </w:r>
    </w:p>
    <w:p w14:paraId="4456CE63">
      <w:pPr>
        <w:widowControl/>
        <w:adjustRightInd w:val="0"/>
        <w:snapToGrid w:val="0"/>
        <w:spacing w:line="360" w:lineRule="auto"/>
        <w:ind w:firstLine="444" w:firstLineChars="200"/>
        <w:rPr>
          <w:rFonts w:ascii="宋体" w:hAnsi="宋体"/>
          <w:color w:val="auto"/>
          <w:szCs w:val="21"/>
        </w:rPr>
      </w:pPr>
      <w:r>
        <w:rPr>
          <w:rFonts w:hint="eastAsia" w:ascii="宋体" w:hAnsi="宋体" w:cs="宋体"/>
          <w:color w:val="auto"/>
          <w:spacing w:val="6"/>
          <w:kern w:val="0"/>
          <w:szCs w:val="21"/>
        </w:rPr>
        <w:t xml:space="preserve">          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6434DC91">
      <w:pPr>
        <w:adjustRightInd w:val="0"/>
        <w:snapToGrid w:val="0"/>
        <w:spacing w:line="360" w:lineRule="auto"/>
        <w:rPr>
          <w:rFonts w:ascii="宋体" w:hAnsi="宋体" w:cs="宋体"/>
          <w:b/>
          <w:bCs/>
          <w:color w:val="auto"/>
          <w:spacing w:val="6"/>
          <w:szCs w:val="21"/>
        </w:rPr>
      </w:pPr>
    </w:p>
    <w:p w14:paraId="4050ED00">
      <w:pPr>
        <w:adjustRightInd w:val="0"/>
        <w:snapToGrid w:val="0"/>
        <w:spacing w:line="360" w:lineRule="auto"/>
        <w:rPr>
          <w:rFonts w:ascii="仿宋_GB2312" w:hAnsi="宋体" w:eastAsia="仿宋_GB2312"/>
          <w:b/>
          <w:color w:val="auto"/>
          <w:szCs w:val="21"/>
        </w:rPr>
      </w:pPr>
      <w:r>
        <w:rPr>
          <w:rFonts w:hint="eastAsia" w:ascii="宋体" w:hAnsi="宋体" w:cs="宋体"/>
          <w:b/>
          <w:bCs/>
          <w:color w:val="auto"/>
          <w:spacing w:val="6"/>
          <w:szCs w:val="21"/>
        </w:rPr>
        <w:t>注：1、从业人员、营业收入、资产总额填报上一年度数据，无上一年度数据的新成立企业可不填报。</w:t>
      </w:r>
    </w:p>
    <w:p w14:paraId="3084FFAA">
      <w:pPr>
        <w:adjustRightInd w:val="0"/>
        <w:snapToGrid w:val="0"/>
        <w:spacing w:line="360" w:lineRule="auto"/>
        <w:rPr>
          <w:rFonts w:ascii="仿宋_GB2312" w:hAnsi="宋体" w:eastAsia="仿宋_GB2312"/>
          <w:b/>
          <w:color w:val="auto"/>
          <w:szCs w:val="21"/>
        </w:rPr>
      </w:pPr>
    </w:p>
    <w:p w14:paraId="4445EB7D">
      <w:pPr>
        <w:adjustRightInd w:val="0"/>
        <w:snapToGrid w:val="0"/>
        <w:spacing w:line="360" w:lineRule="auto"/>
        <w:rPr>
          <w:rFonts w:ascii="仿宋_GB2312" w:hAnsi="宋体" w:eastAsia="仿宋_GB2312"/>
          <w:color w:val="auto"/>
          <w:szCs w:val="21"/>
        </w:rPr>
      </w:pPr>
      <w:r>
        <w:rPr>
          <w:rFonts w:hint="eastAsia" w:ascii="仿宋_GB2312" w:hAnsi="宋体" w:eastAsia="仿宋_GB2312"/>
          <w:b/>
          <w:color w:val="auto"/>
          <w:szCs w:val="21"/>
        </w:rPr>
        <w:t>备注</w:t>
      </w:r>
      <w:r>
        <w:rPr>
          <w:rFonts w:hint="eastAsia" w:ascii="仿宋_GB2312" w:hAnsi="宋体" w:eastAsia="仿宋_GB2312"/>
          <w:color w:val="auto"/>
          <w:szCs w:val="21"/>
        </w:rPr>
        <w:t>：填写前请认真阅读</w:t>
      </w:r>
      <w:r>
        <w:rPr>
          <w:rFonts w:hint="eastAsia" w:ascii="仿宋_GB2312" w:hAnsi="宋体" w:eastAsia="仿宋_GB2312" w:cs="宋体"/>
          <w:color w:val="auto"/>
          <w:spacing w:val="6"/>
          <w:kern w:val="0"/>
          <w:szCs w:val="21"/>
        </w:rPr>
        <w:t>《工业和信息化部、国家统计局、国家发展和改革委员会、财政部关于印发中小企业划型标准规定的通知》（工信部联企业[2011]300号）和</w:t>
      </w:r>
      <w:r>
        <w:rPr>
          <w:rFonts w:hint="eastAsia" w:ascii="仿宋_GB2312" w:hAnsi="宋体" w:eastAsia="仿宋_GB2312"/>
          <w:color w:val="auto"/>
          <w:spacing w:val="6"/>
          <w:szCs w:val="21"/>
        </w:rPr>
        <w:t>《政府采购促进中小企业发展管理办法》（财库﹝2020﹞46号）</w:t>
      </w:r>
      <w:r>
        <w:rPr>
          <w:rFonts w:hint="eastAsia" w:ascii="仿宋_GB2312" w:hAnsi="宋体" w:eastAsia="仿宋_GB2312"/>
          <w:color w:val="auto"/>
          <w:szCs w:val="21"/>
        </w:rPr>
        <w:t>相关规定。</w:t>
      </w:r>
    </w:p>
    <w:p w14:paraId="065DECD5">
      <w:pPr>
        <w:rPr>
          <w:rFonts w:ascii="黑体" w:hAnsi="华文中宋" w:eastAsia="黑体" w:cs="宋体"/>
          <w:bCs/>
          <w:color w:val="auto"/>
          <w:spacing w:val="6"/>
          <w:kern w:val="0"/>
          <w:sz w:val="28"/>
          <w:szCs w:val="28"/>
        </w:rPr>
      </w:pPr>
      <w:r>
        <w:rPr>
          <w:rFonts w:hint="eastAsia" w:ascii="仿宋_GB2312" w:hAnsi="宋体" w:eastAsia="仿宋_GB2312"/>
          <w:color w:val="auto"/>
          <w:szCs w:val="21"/>
        </w:rPr>
        <w:br w:type="page"/>
      </w:r>
      <w:r>
        <w:rPr>
          <w:rFonts w:hint="eastAsia" w:ascii="宋体" w:hAnsi="宋体"/>
          <w:b/>
          <w:color w:val="auto"/>
          <w:sz w:val="24"/>
        </w:rPr>
        <w:t>附件7-1</w:t>
      </w:r>
    </w:p>
    <w:p w14:paraId="00F6F2B1">
      <w:pPr>
        <w:spacing w:line="588" w:lineRule="exact"/>
        <w:jc w:val="center"/>
        <w:rPr>
          <w:rFonts w:ascii="宋体" w:hAnsi="宋体" w:cs="宋体"/>
          <w:b/>
          <w:color w:val="auto"/>
          <w:spacing w:val="6"/>
          <w:sz w:val="32"/>
          <w:szCs w:val="32"/>
        </w:rPr>
      </w:pPr>
      <w:bookmarkStart w:id="69" w:name="OLE_LINK14"/>
      <w:bookmarkStart w:id="70" w:name="OLE_LINK13"/>
      <w:r>
        <w:rPr>
          <w:rFonts w:hint="eastAsia" w:ascii="黑体" w:hAnsi="华文中宋" w:eastAsia="黑体" w:cs="宋体"/>
          <w:bCs/>
          <w:color w:val="auto"/>
          <w:spacing w:val="6"/>
          <w:kern w:val="0"/>
          <w:sz w:val="28"/>
          <w:szCs w:val="28"/>
        </w:rPr>
        <w:t>残疾人福利性单位声明函</w:t>
      </w:r>
    </w:p>
    <w:bookmarkEnd w:id="69"/>
    <w:bookmarkEnd w:id="70"/>
    <w:p w14:paraId="6E724BB2">
      <w:pPr>
        <w:spacing w:line="588" w:lineRule="exact"/>
        <w:jc w:val="center"/>
        <w:rPr>
          <w:rFonts w:ascii="宋体" w:hAnsi="宋体" w:cs="宋体"/>
          <w:b/>
          <w:color w:val="auto"/>
          <w:spacing w:val="6"/>
          <w:sz w:val="30"/>
          <w:szCs w:val="30"/>
        </w:rPr>
      </w:pPr>
      <w:r>
        <w:rPr>
          <w:rFonts w:hint="eastAsia" w:ascii="宋体" w:hAnsi="宋体"/>
          <w:b/>
          <w:color w:val="auto"/>
          <w:spacing w:val="6"/>
          <w:szCs w:val="21"/>
        </w:rPr>
        <w:t>(不属于残疾人福利性单位的无需提供)</w:t>
      </w:r>
    </w:p>
    <w:p w14:paraId="3D235610">
      <w:pPr>
        <w:spacing w:line="588" w:lineRule="exact"/>
        <w:ind w:firstLine="444" w:firstLineChars="200"/>
        <w:rPr>
          <w:rFonts w:ascii="宋体" w:hAnsi="宋体" w:cs="宋体"/>
          <w:color w:val="auto"/>
          <w:spacing w:val="6"/>
          <w:szCs w:val="21"/>
        </w:rPr>
      </w:pPr>
    </w:p>
    <w:p w14:paraId="753B58F1">
      <w:pPr>
        <w:spacing w:line="588" w:lineRule="exact"/>
        <w:ind w:firstLine="444" w:firstLineChars="200"/>
        <w:rPr>
          <w:rFonts w:ascii="宋体" w:hAnsi="宋体" w:cs="宋体"/>
          <w:color w:val="auto"/>
          <w:spacing w:val="6"/>
          <w:szCs w:val="21"/>
        </w:rPr>
      </w:pPr>
      <w:r>
        <w:rPr>
          <w:rFonts w:hint="eastAsia" w:ascii="宋体" w:hAnsi="宋体" w:cs="宋体"/>
          <w:color w:val="auto"/>
          <w:spacing w:val="6"/>
          <w:szCs w:val="21"/>
        </w:rPr>
        <w:t>本单位郑重声明，根据《财政部 民政部 中国残疾人联合会关于促进残疾人就业政府采购政策的通知》（财库</w:t>
      </w:r>
      <w:r>
        <w:rPr>
          <w:rFonts w:hint="eastAsia" w:ascii="宋体" w:hAnsi="宋体" w:cs="宋体"/>
          <w:color w:val="auto"/>
          <w:szCs w:val="21"/>
        </w:rPr>
        <w:t>〔2017〕141</w:t>
      </w:r>
      <w:r>
        <w:rPr>
          <w:rFonts w:hint="eastAsia" w:ascii="宋体" w:hAnsi="宋体" w:cs="宋体"/>
          <w:color w:val="auto"/>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714A839">
      <w:pPr>
        <w:spacing w:line="588" w:lineRule="exact"/>
        <w:ind w:firstLine="444" w:firstLineChars="200"/>
        <w:rPr>
          <w:rFonts w:ascii="宋体" w:hAnsi="宋体" w:cs="宋体"/>
          <w:color w:val="auto"/>
          <w:spacing w:val="6"/>
          <w:szCs w:val="21"/>
        </w:rPr>
      </w:pPr>
      <w:r>
        <w:rPr>
          <w:rFonts w:hint="eastAsia" w:ascii="宋体" w:hAnsi="宋体" w:cs="宋体"/>
          <w:color w:val="auto"/>
          <w:spacing w:val="6"/>
          <w:szCs w:val="21"/>
        </w:rPr>
        <w:t>本单位对上述声明的真实性负责。如有虚假，将依法承担相应责任。</w:t>
      </w:r>
    </w:p>
    <w:p w14:paraId="4BCCD07A">
      <w:pPr>
        <w:spacing w:line="588" w:lineRule="exact"/>
        <w:ind w:firstLine="444" w:firstLineChars="200"/>
        <w:rPr>
          <w:rFonts w:ascii="宋体" w:hAnsi="宋体" w:cs="宋体"/>
          <w:color w:val="auto"/>
          <w:spacing w:val="6"/>
          <w:szCs w:val="21"/>
        </w:rPr>
      </w:pPr>
    </w:p>
    <w:p w14:paraId="1ADE4013">
      <w:pPr>
        <w:spacing w:line="588" w:lineRule="exact"/>
        <w:ind w:firstLine="444" w:firstLineChars="200"/>
        <w:rPr>
          <w:rFonts w:ascii="宋体" w:hAnsi="宋体" w:cs="宋体"/>
          <w:color w:val="auto"/>
          <w:spacing w:val="6"/>
          <w:szCs w:val="21"/>
        </w:rPr>
      </w:pPr>
    </w:p>
    <w:p w14:paraId="29679863">
      <w:pPr>
        <w:tabs>
          <w:tab w:val="left" w:pos="4860"/>
        </w:tabs>
        <w:spacing w:line="588" w:lineRule="exact"/>
        <w:ind w:right="1560" w:firstLine="444" w:firstLineChars="200"/>
        <w:jc w:val="center"/>
        <w:rPr>
          <w:rFonts w:ascii="宋体" w:hAnsi="宋体" w:cs="宋体"/>
          <w:color w:val="auto"/>
          <w:spacing w:val="6"/>
          <w:szCs w:val="21"/>
        </w:rPr>
      </w:pPr>
      <w:r>
        <w:rPr>
          <w:rFonts w:hint="eastAsia" w:ascii="宋体" w:hAnsi="宋体" w:cs="宋体"/>
          <w:color w:val="auto"/>
          <w:spacing w:val="6"/>
          <w:szCs w:val="21"/>
        </w:rPr>
        <w:t xml:space="preserve">               单位名称（盖章）：</w:t>
      </w:r>
    </w:p>
    <w:p w14:paraId="0A177E57">
      <w:pPr>
        <w:tabs>
          <w:tab w:val="left" w:pos="4860"/>
        </w:tabs>
        <w:spacing w:line="588" w:lineRule="exact"/>
        <w:ind w:right="1560" w:firstLine="444" w:firstLineChars="200"/>
        <w:jc w:val="center"/>
        <w:rPr>
          <w:rFonts w:ascii="仿宋_GB2312" w:eastAsia="仿宋_GB2312"/>
          <w:color w:val="auto"/>
          <w:spacing w:val="6"/>
          <w:szCs w:val="21"/>
        </w:rPr>
      </w:pPr>
      <w:r>
        <w:rPr>
          <w:rFonts w:hint="eastAsia" w:ascii="宋体" w:hAnsi="宋体" w:cs="宋体"/>
          <w:color w:val="auto"/>
          <w:spacing w:val="6"/>
          <w:szCs w:val="21"/>
        </w:rPr>
        <w:t xml:space="preserve">                    日  期：</w:t>
      </w:r>
      <w:r>
        <w:rPr>
          <w:rFonts w:hint="eastAsia" w:ascii="宋体" w:hAnsi="宋体" w:cs="宋体"/>
          <w:color w:val="auto"/>
          <w:spacing w:val="6"/>
          <w:kern w:val="0"/>
          <w:szCs w:val="21"/>
          <w:u w:val="single"/>
        </w:rPr>
        <w:t xml:space="preserve">              </w:t>
      </w:r>
    </w:p>
    <w:p w14:paraId="381AF155">
      <w:pPr>
        <w:adjustRightInd w:val="0"/>
        <w:snapToGrid w:val="0"/>
        <w:spacing w:line="360" w:lineRule="auto"/>
        <w:rPr>
          <w:rFonts w:ascii="仿宋_GB2312" w:hAnsi="宋体" w:eastAsia="仿宋_GB2312"/>
          <w:color w:val="auto"/>
          <w:szCs w:val="21"/>
        </w:rPr>
      </w:pPr>
    </w:p>
    <w:p w14:paraId="06720E2C">
      <w:pPr>
        <w:adjustRightInd w:val="0"/>
        <w:snapToGrid w:val="0"/>
        <w:spacing w:line="360" w:lineRule="auto"/>
        <w:rPr>
          <w:rFonts w:ascii="仿宋_GB2312" w:hAnsi="宋体" w:eastAsia="仿宋_GB2312"/>
          <w:color w:val="auto"/>
          <w:szCs w:val="21"/>
        </w:rPr>
      </w:pPr>
    </w:p>
    <w:p w14:paraId="024B920C">
      <w:pPr>
        <w:adjustRightInd w:val="0"/>
        <w:snapToGrid w:val="0"/>
        <w:spacing w:line="360" w:lineRule="auto"/>
        <w:rPr>
          <w:rFonts w:ascii="仿宋_GB2312" w:hAnsi="宋体" w:eastAsia="仿宋_GB2312"/>
          <w:color w:val="auto"/>
          <w:szCs w:val="21"/>
        </w:rPr>
      </w:pPr>
    </w:p>
    <w:p w14:paraId="0C83DF26">
      <w:pPr>
        <w:spacing w:line="360" w:lineRule="auto"/>
        <w:jc w:val="left"/>
        <w:rPr>
          <w:rFonts w:ascii="宋体" w:hAnsi="宋体" w:cs="宋体"/>
          <w:color w:val="auto"/>
          <w:szCs w:val="21"/>
        </w:rPr>
      </w:pPr>
      <w:r>
        <w:rPr>
          <w:rFonts w:hint="eastAsia" w:ascii="宋体" w:hAnsi="宋体" w:cs="宋体"/>
          <w:b/>
          <w:color w:val="auto"/>
          <w:szCs w:val="21"/>
        </w:rPr>
        <w:t>备注</w:t>
      </w:r>
      <w:r>
        <w:rPr>
          <w:rFonts w:hint="eastAsia" w:ascii="宋体" w:hAnsi="宋体" w:cs="宋体"/>
          <w:color w:val="auto"/>
          <w:szCs w:val="21"/>
        </w:rPr>
        <w:t>：填写前请认真阅读《关于促进残疾人就业政府采购政策的通知》（财库〔2017〕141号）相关规定。</w:t>
      </w:r>
    </w:p>
    <w:p w14:paraId="4F5623AF">
      <w:pPr>
        <w:rPr>
          <w:rFonts w:ascii="仿宋_GB2312" w:hAnsi="宋体" w:eastAsia="仿宋_GB2312"/>
          <w:color w:val="auto"/>
          <w:szCs w:val="21"/>
        </w:rPr>
      </w:pPr>
      <w:r>
        <w:rPr>
          <w:rFonts w:hint="eastAsia" w:ascii="仿宋_GB2312" w:hAnsi="宋体" w:eastAsia="仿宋_GB2312"/>
          <w:color w:val="auto"/>
          <w:szCs w:val="21"/>
        </w:rPr>
        <w:br w:type="page"/>
      </w:r>
    </w:p>
    <w:p w14:paraId="5CE9401E">
      <w:pPr>
        <w:rPr>
          <w:rFonts w:ascii="黑体" w:hAnsi="华文中宋" w:cs="宋体"/>
          <w:bCs/>
          <w:color w:val="auto"/>
          <w:spacing w:val="6"/>
          <w:kern w:val="0"/>
          <w:sz w:val="28"/>
          <w:szCs w:val="28"/>
        </w:rPr>
      </w:pPr>
      <w:r>
        <w:rPr>
          <w:rFonts w:hint="eastAsia" w:ascii="宋体" w:hAnsi="宋体"/>
          <w:b/>
          <w:color w:val="auto"/>
          <w:sz w:val="24"/>
        </w:rPr>
        <w:t>附件7-2</w:t>
      </w:r>
    </w:p>
    <w:p w14:paraId="7C660E5B">
      <w:pPr>
        <w:spacing w:line="588" w:lineRule="exact"/>
        <w:jc w:val="center"/>
        <w:rPr>
          <w:rFonts w:ascii="宋体" w:hAnsi="宋体" w:cs="宋体"/>
          <w:b/>
          <w:color w:val="auto"/>
          <w:spacing w:val="6"/>
          <w:sz w:val="32"/>
          <w:szCs w:val="32"/>
        </w:rPr>
      </w:pPr>
      <w:r>
        <w:rPr>
          <w:rFonts w:hint="eastAsia" w:ascii="黑体" w:hAnsi="华文中宋" w:eastAsia="黑体" w:cs="宋体"/>
          <w:bCs/>
          <w:color w:val="auto"/>
          <w:spacing w:val="6"/>
          <w:kern w:val="0"/>
          <w:sz w:val="28"/>
          <w:szCs w:val="28"/>
        </w:rPr>
        <w:t>监狱企业证明资料</w:t>
      </w:r>
    </w:p>
    <w:p w14:paraId="08F34893">
      <w:pPr>
        <w:spacing w:line="588" w:lineRule="exact"/>
        <w:jc w:val="center"/>
        <w:rPr>
          <w:rFonts w:ascii="宋体" w:hAnsi="宋体" w:cs="宋体"/>
          <w:b/>
          <w:color w:val="auto"/>
          <w:spacing w:val="6"/>
          <w:sz w:val="30"/>
          <w:szCs w:val="30"/>
        </w:rPr>
      </w:pPr>
      <w:r>
        <w:rPr>
          <w:rFonts w:hint="eastAsia" w:ascii="宋体" w:hAnsi="宋体"/>
          <w:b/>
          <w:color w:val="auto"/>
          <w:spacing w:val="6"/>
          <w:szCs w:val="21"/>
        </w:rPr>
        <w:t>(不属于监狱企业的无需提供)</w:t>
      </w:r>
    </w:p>
    <w:p w14:paraId="499F0DF9">
      <w:pPr>
        <w:spacing w:line="588" w:lineRule="exact"/>
        <w:ind w:firstLine="444" w:firstLineChars="200"/>
        <w:rPr>
          <w:rFonts w:ascii="宋体" w:hAnsi="宋体" w:cs="宋体"/>
          <w:color w:val="auto"/>
          <w:spacing w:val="6"/>
          <w:szCs w:val="21"/>
        </w:rPr>
      </w:pPr>
    </w:p>
    <w:p w14:paraId="7DA9606C">
      <w:pPr>
        <w:spacing w:line="588" w:lineRule="exact"/>
        <w:ind w:firstLine="444" w:firstLineChars="200"/>
        <w:rPr>
          <w:rFonts w:ascii="宋体" w:hAnsi="宋体" w:cs="宋体"/>
          <w:color w:val="auto"/>
          <w:spacing w:val="6"/>
          <w:szCs w:val="21"/>
        </w:rPr>
      </w:pPr>
      <w:r>
        <w:rPr>
          <w:rFonts w:hint="eastAsia" w:ascii="宋体" w:hAnsi="宋体" w:cs="宋体"/>
          <w:color w:val="auto"/>
          <w:spacing w:val="6"/>
          <w:szCs w:val="21"/>
        </w:rPr>
        <w:t>备注：按《财政部 司法部关于政府采购支持监狱企业发展有关问题的通知》(财库〔2014〕68号)文件规定提供证明文件（复印件）。</w:t>
      </w:r>
    </w:p>
    <w:p w14:paraId="707E7BE6">
      <w:pPr>
        <w:spacing w:line="588" w:lineRule="exact"/>
        <w:ind w:firstLine="444" w:firstLineChars="200"/>
        <w:rPr>
          <w:rFonts w:ascii="宋体" w:hAnsi="宋体" w:cs="宋体"/>
          <w:color w:val="auto"/>
          <w:spacing w:val="6"/>
          <w:szCs w:val="21"/>
        </w:rPr>
      </w:pPr>
    </w:p>
    <w:p w14:paraId="5A84A85C">
      <w:pPr>
        <w:spacing w:line="588" w:lineRule="exact"/>
        <w:ind w:firstLine="444" w:firstLineChars="200"/>
        <w:rPr>
          <w:rFonts w:ascii="宋体" w:hAnsi="宋体" w:cs="宋体"/>
          <w:color w:val="auto"/>
          <w:spacing w:val="6"/>
          <w:szCs w:val="21"/>
        </w:rPr>
      </w:pPr>
    </w:p>
    <w:p w14:paraId="550FD76C">
      <w:pPr>
        <w:rPr>
          <w:rFonts w:ascii="仿宋_GB2312" w:hAnsi="宋体" w:eastAsia="仿宋_GB2312"/>
          <w:color w:val="auto"/>
          <w:szCs w:val="21"/>
        </w:rPr>
      </w:pPr>
    </w:p>
    <w:p w14:paraId="47DC83A6">
      <w:pPr>
        <w:rPr>
          <w:rFonts w:ascii="仿宋_GB2312" w:hAnsi="宋体" w:eastAsia="仿宋_GB2312"/>
          <w:color w:val="auto"/>
          <w:szCs w:val="21"/>
        </w:rPr>
      </w:pPr>
      <w:r>
        <w:rPr>
          <w:rFonts w:hint="eastAsia" w:ascii="仿宋_GB2312" w:hAnsi="宋体" w:eastAsia="仿宋_GB2312"/>
          <w:color w:val="auto"/>
          <w:szCs w:val="21"/>
        </w:rPr>
        <w:br w:type="page"/>
      </w:r>
    </w:p>
    <w:p w14:paraId="533AC596">
      <w:pPr>
        <w:rPr>
          <w:rFonts w:ascii="宋体" w:hAnsi="宋体"/>
          <w:b/>
          <w:color w:val="auto"/>
          <w:sz w:val="24"/>
        </w:rPr>
      </w:pPr>
      <w:r>
        <w:rPr>
          <w:rFonts w:hint="eastAsia" w:ascii="宋体" w:hAnsi="宋体"/>
          <w:b/>
          <w:color w:val="auto"/>
          <w:sz w:val="24"/>
        </w:rPr>
        <w:t>附件8</w:t>
      </w:r>
    </w:p>
    <w:p w14:paraId="498ACE93">
      <w:pPr>
        <w:rPr>
          <w:color w:val="auto"/>
        </w:rPr>
      </w:pPr>
    </w:p>
    <w:p w14:paraId="4C42E76E">
      <w:pPr>
        <w:adjustRightInd w:val="0"/>
        <w:snapToGrid w:val="0"/>
        <w:spacing w:before="50" w:line="360" w:lineRule="auto"/>
        <w:jc w:val="center"/>
        <w:rPr>
          <w:rFonts w:ascii="黑体" w:hAnsi="华文中宋" w:eastAsia="黑体" w:cs="宋体"/>
          <w:bCs/>
          <w:color w:val="auto"/>
          <w:spacing w:val="6"/>
          <w:kern w:val="0"/>
          <w:sz w:val="28"/>
          <w:szCs w:val="28"/>
        </w:rPr>
      </w:pPr>
      <w:r>
        <w:rPr>
          <w:rFonts w:hint="eastAsia" w:ascii="黑体" w:hAnsi="华文中宋" w:eastAsia="黑体" w:cs="宋体"/>
          <w:bCs/>
          <w:color w:val="auto"/>
          <w:spacing w:val="6"/>
          <w:kern w:val="0"/>
          <w:sz w:val="28"/>
          <w:szCs w:val="28"/>
        </w:rPr>
        <w:t>“节能产品”、“环境标志产品”证明材料</w:t>
      </w:r>
    </w:p>
    <w:p w14:paraId="7A42E12B">
      <w:pPr>
        <w:adjustRightInd w:val="0"/>
        <w:snapToGrid w:val="0"/>
        <w:spacing w:before="50" w:line="360" w:lineRule="auto"/>
        <w:jc w:val="center"/>
        <w:rPr>
          <w:rFonts w:ascii="宋体" w:hAnsi="宋体"/>
          <w:b/>
          <w:color w:val="auto"/>
        </w:rPr>
      </w:pPr>
      <w:r>
        <w:rPr>
          <w:rFonts w:hint="eastAsia" w:ascii="宋体" w:hAnsi="宋体"/>
          <w:b/>
          <w:color w:val="auto"/>
          <w:spacing w:val="6"/>
          <w:szCs w:val="21"/>
        </w:rPr>
        <w:t>(不属于强制采购或者优先采购产品的无需提供)</w:t>
      </w:r>
    </w:p>
    <w:p w14:paraId="291881DC">
      <w:pPr>
        <w:pStyle w:val="36"/>
        <w:rPr>
          <w:color w:val="auto"/>
        </w:rPr>
      </w:pPr>
    </w:p>
    <w:p w14:paraId="717202DC">
      <w:pPr>
        <w:adjustRightInd w:val="0"/>
        <w:snapToGrid w:val="0"/>
        <w:spacing w:line="600" w:lineRule="auto"/>
        <w:ind w:firstLine="420" w:firstLineChars="200"/>
        <w:rPr>
          <w:rFonts w:ascii="宋体" w:hAnsi="宋体"/>
          <w:color w:val="auto"/>
        </w:rPr>
      </w:pPr>
      <w:r>
        <w:rPr>
          <w:rFonts w:hint="eastAsia" w:ascii="宋体" w:hAnsi="宋体"/>
          <w:color w:val="auto"/>
        </w:rPr>
        <w:t>说明：1、供应商提供的产品属于下列情形，应提供相关证明材料（财政部发布的最新一期的《节能产品政府采购品目清单》或者《环境标志产品政府采购品目清单》所在页复印件以及国家确定的认证机构出具的处于有效期之内的节能产品、环境标志产品认证证书复印件，并提供产品清单表。</w:t>
      </w:r>
    </w:p>
    <w:p w14:paraId="5E708353">
      <w:pPr>
        <w:adjustRightInd w:val="0"/>
        <w:snapToGrid w:val="0"/>
        <w:spacing w:line="600" w:lineRule="auto"/>
        <w:ind w:firstLine="840" w:firstLineChars="400"/>
        <w:rPr>
          <w:rFonts w:ascii="宋体" w:hAnsi="宋体"/>
          <w:color w:val="auto"/>
        </w:rPr>
      </w:pPr>
      <w:r>
        <w:rPr>
          <w:rFonts w:hint="eastAsia" w:ascii="宋体" w:hAnsi="宋体"/>
          <w:color w:val="auto"/>
        </w:rPr>
        <w:t>(1)符合政府采购强制采购政策的(《节能产品政府采购品目清单》中标记★符号节能产品及其他强制采购产品)。（财政部发布的最新一期目录所在页）。</w:t>
      </w:r>
    </w:p>
    <w:p w14:paraId="0D8ECFF3">
      <w:pPr>
        <w:adjustRightInd w:val="0"/>
        <w:snapToGrid w:val="0"/>
        <w:spacing w:line="600" w:lineRule="auto"/>
        <w:ind w:firstLine="840" w:firstLineChars="400"/>
        <w:rPr>
          <w:rFonts w:ascii="宋体" w:hAnsi="宋体"/>
          <w:color w:val="auto"/>
        </w:rPr>
      </w:pPr>
      <w:r>
        <w:rPr>
          <w:rFonts w:hint="eastAsia" w:ascii="宋体" w:hAnsi="宋体"/>
          <w:color w:val="auto"/>
        </w:rPr>
        <w:t>(2)符合政府采购优先采购政策的(《节能产品政府采购品目清单》中非标记★符号节能产品，《环境标志产品政府采购品目清单》中环境标志产品。（财政部发布的最新一期目录所在页）。</w:t>
      </w:r>
    </w:p>
    <w:p w14:paraId="197501FC">
      <w:pPr>
        <w:adjustRightInd w:val="0"/>
        <w:snapToGrid w:val="0"/>
        <w:spacing w:line="600" w:lineRule="auto"/>
        <w:ind w:firstLine="945" w:firstLineChars="450"/>
        <w:rPr>
          <w:rFonts w:ascii="宋体" w:hAnsi="宋体"/>
          <w:color w:val="auto"/>
        </w:rPr>
      </w:pPr>
      <w:r>
        <w:rPr>
          <w:rFonts w:hint="eastAsia" w:ascii="宋体" w:hAnsi="宋体"/>
          <w:color w:val="auto"/>
        </w:rPr>
        <w:t>2、未按上述要求提供，评审时不予以考虑。</w:t>
      </w:r>
    </w:p>
    <w:p w14:paraId="69001863">
      <w:pPr>
        <w:jc w:val="left"/>
        <w:rPr>
          <w:rFonts w:ascii="宋体" w:hAnsi="宋体"/>
          <w:color w:val="auto"/>
        </w:rPr>
        <w:sectPr>
          <w:pgSz w:w="11906" w:h="16838"/>
          <w:pgMar w:top="1440" w:right="1797" w:bottom="1440" w:left="1797" w:header="851" w:footer="992" w:gutter="0"/>
          <w:pgBorders>
            <w:top w:val="none" w:sz="0" w:space="0"/>
            <w:left w:val="none" w:sz="0" w:space="0"/>
            <w:bottom w:val="none" w:sz="0" w:space="0"/>
            <w:right w:val="none" w:sz="0" w:space="0"/>
          </w:pgBorders>
          <w:pgNumType w:fmt="numberInDash"/>
          <w:cols w:space="720" w:num="1"/>
          <w:docGrid w:type="linesAndChars" w:linePitch="312" w:charSpace="0"/>
        </w:sectPr>
      </w:pPr>
      <w:r>
        <w:rPr>
          <w:rFonts w:hint="eastAsia" w:ascii="仿宋_GB2312" w:hAnsi="宋体" w:eastAsia="仿宋_GB2312"/>
          <w:color w:val="auto"/>
          <w:szCs w:val="21"/>
        </w:rPr>
        <w:br w:type="page"/>
      </w:r>
    </w:p>
    <w:p w14:paraId="285A37E3">
      <w:pPr>
        <w:jc w:val="center"/>
        <w:outlineLvl w:val="1"/>
        <w:rPr>
          <w:rFonts w:ascii="宋体" w:hAnsi="宋体"/>
          <w:b/>
          <w:color w:val="auto"/>
          <w:sz w:val="32"/>
          <w:szCs w:val="32"/>
        </w:rPr>
      </w:pPr>
      <w:bookmarkStart w:id="71" w:name="_Toc17725"/>
      <w:bookmarkStart w:id="72" w:name="_Toc12577"/>
      <w:bookmarkStart w:id="73" w:name="_Toc27293"/>
      <w:r>
        <w:rPr>
          <w:rFonts w:hint="eastAsia" w:ascii="宋体" w:hAnsi="宋体"/>
          <w:b/>
          <w:bCs/>
          <w:color w:val="auto"/>
          <w:sz w:val="32"/>
          <w:szCs w:val="32"/>
        </w:rPr>
        <w:t>七、</w:t>
      </w:r>
      <w:r>
        <w:rPr>
          <w:rFonts w:hint="eastAsia" w:ascii="宋体" w:hAnsi="宋体"/>
          <w:b/>
          <w:color w:val="auto"/>
          <w:sz w:val="32"/>
          <w:szCs w:val="32"/>
        </w:rPr>
        <w:t>报价一览表及报价文件</w:t>
      </w:r>
      <w:bookmarkEnd w:id="71"/>
      <w:bookmarkEnd w:id="72"/>
      <w:bookmarkEnd w:id="73"/>
    </w:p>
    <w:p w14:paraId="1E84C163">
      <w:pPr>
        <w:ind w:firstLine="803"/>
        <w:jc w:val="center"/>
        <w:rPr>
          <w:rFonts w:ascii="宋体" w:hAnsi="宋体"/>
          <w:b/>
          <w:color w:val="auto"/>
          <w:sz w:val="24"/>
        </w:rPr>
      </w:pPr>
    </w:p>
    <w:p w14:paraId="068563F4">
      <w:pPr>
        <w:adjustRightInd w:val="0"/>
        <w:snapToGrid w:val="0"/>
        <w:rPr>
          <w:rFonts w:ascii="宋体" w:hAnsi="宋体"/>
          <w:b/>
          <w:color w:val="auto"/>
          <w:sz w:val="24"/>
        </w:rPr>
      </w:pPr>
      <w:r>
        <w:rPr>
          <w:rFonts w:hint="eastAsia" w:ascii="宋体" w:hAnsi="宋体"/>
          <w:b/>
          <w:color w:val="auto"/>
          <w:sz w:val="24"/>
        </w:rPr>
        <w:t>附件9</w:t>
      </w:r>
    </w:p>
    <w:p w14:paraId="4D4CDFFD">
      <w:pPr>
        <w:rPr>
          <w:rFonts w:ascii="宋体" w:hAnsi="宋体"/>
          <w:b/>
          <w:bCs/>
          <w:color w:val="auto"/>
          <w:sz w:val="24"/>
        </w:rPr>
      </w:pPr>
    </w:p>
    <w:p w14:paraId="2B190F58">
      <w:pPr>
        <w:rPr>
          <w:rFonts w:ascii="宋体" w:hAnsi="宋体"/>
          <w:b/>
          <w:bCs/>
          <w:color w:val="auto"/>
          <w:sz w:val="24"/>
        </w:rPr>
      </w:pPr>
      <w:r>
        <w:rPr>
          <w:rFonts w:hint="eastAsia" w:ascii="宋体" w:hAnsi="宋体"/>
          <w:b/>
          <w:bCs/>
          <w:color w:val="auto"/>
          <w:sz w:val="24"/>
        </w:rPr>
        <w:t>报价一览表（第一次报价表）</w:t>
      </w:r>
    </w:p>
    <w:p w14:paraId="6D1815B2">
      <w:pPr>
        <w:adjustRightInd w:val="0"/>
        <w:snapToGrid w:val="0"/>
        <w:jc w:val="center"/>
        <w:rPr>
          <w:rFonts w:ascii="宋体" w:hAnsi="宋体"/>
          <w:b/>
          <w:color w:val="auto"/>
          <w:sz w:val="24"/>
        </w:rPr>
      </w:pPr>
    </w:p>
    <w:p w14:paraId="3C48D96A">
      <w:pPr>
        <w:adjustRightInd w:val="0"/>
        <w:snapToGrid w:val="0"/>
        <w:rPr>
          <w:rFonts w:ascii="宋体" w:hAnsi="宋体"/>
          <w:b/>
          <w:color w:val="auto"/>
          <w:szCs w:val="21"/>
        </w:rPr>
      </w:pPr>
      <w:r>
        <w:rPr>
          <w:rFonts w:hint="eastAsia" w:ascii="宋体" w:hAnsi="宋体"/>
          <w:b/>
          <w:color w:val="auto"/>
          <w:szCs w:val="21"/>
        </w:rPr>
        <w:t xml:space="preserve">                                                              </w:t>
      </w:r>
      <w:r>
        <w:rPr>
          <w:rFonts w:hint="eastAsia" w:ascii="宋体" w:hAnsi="宋体"/>
          <w:bCs/>
          <w:color w:val="auto"/>
          <w:szCs w:val="21"/>
        </w:rPr>
        <w:t xml:space="preserve"> 金额单位：人民币元</w:t>
      </w:r>
    </w:p>
    <w:tbl>
      <w:tblPr>
        <w:tblStyle w:val="51"/>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58"/>
        <w:gridCol w:w="3133"/>
        <w:gridCol w:w="1659"/>
        <w:gridCol w:w="2582"/>
      </w:tblGrid>
      <w:tr w14:paraId="580CC5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918" w:type="pct"/>
            <w:vMerge w:val="restart"/>
            <w:tcBorders>
              <w:top w:val="double" w:color="auto" w:sz="4" w:space="0"/>
              <w:left w:val="double" w:color="auto" w:sz="4" w:space="0"/>
              <w:bottom w:val="single" w:color="auto" w:sz="6" w:space="0"/>
              <w:right w:val="single" w:color="auto" w:sz="6" w:space="0"/>
            </w:tcBorders>
            <w:vAlign w:val="center"/>
          </w:tcPr>
          <w:p w14:paraId="79EF5D24">
            <w:pPr>
              <w:tabs>
                <w:tab w:val="left" w:pos="403"/>
                <w:tab w:val="center" w:pos="3781"/>
              </w:tabs>
              <w:spacing w:line="420" w:lineRule="exact"/>
              <w:ind w:right="-5206" w:rightChars="-2479" w:firstLine="210" w:firstLineChars="100"/>
              <w:rPr>
                <w:rFonts w:ascii="宋体" w:hAnsi="宋体"/>
                <w:color w:val="auto"/>
                <w:szCs w:val="21"/>
              </w:rPr>
            </w:pPr>
            <w:r>
              <w:rPr>
                <w:rFonts w:hint="eastAsia" w:ascii="宋体" w:hAnsi="宋体"/>
                <w:color w:val="auto"/>
                <w:szCs w:val="21"/>
              </w:rPr>
              <w:t>项目名称</w:t>
            </w:r>
            <w:r>
              <w:rPr>
                <w:rFonts w:hint="eastAsia" w:ascii="宋体" w:hAnsi="宋体"/>
                <w:color w:val="auto"/>
                <w:szCs w:val="21"/>
              </w:rPr>
              <w:tab/>
            </w:r>
            <w:r>
              <w:rPr>
                <w:rFonts w:hint="eastAsia" w:ascii="宋体" w:hAnsi="宋体"/>
                <w:color w:val="auto"/>
                <w:szCs w:val="21"/>
              </w:rPr>
              <w:t>项目名称</w:t>
            </w:r>
          </w:p>
        </w:tc>
        <w:tc>
          <w:tcPr>
            <w:tcW w:w="1734" w:type="pct"/>
            <w:vMerge w:val="restart"/>
            <w:tcBorders>
              <w:top w:val="double" w:color="auto" w:sz="4" w:space="0"/>
              <w:left w:val="single" w:color="auto" w:sz="6" w:space="0"/>
              <w:bottom w:val="single" w:color="auto" w:sz="6" w:space="0"/>
              <w:right w:val="single" w:color="auto" w:sz="6" w:space="0"/>
            </w:tcBorders>
            <w:vAlign w:val="center"/>
          </w:tcPr>
          <w:p w14:paraId="668A3304">
            <w:pPr>
              <w:spacing w:line="420" w:lineRule="exact"/>
              <w:jc w:val="center"/>
              <w:rPr>
                <w:rFonts w:ascii="宋体" w:hAnsi="宋体"/>
                <w:color w:val="auto"/>
                <w:szCs w:val="21"/>
              </w:rPr>
            </w:pPr>
          </w:p>
        </w:tc>
        <w:tc>
          <w:tcPr>
            <w:tcW w:w="918" w:type="pct"/>
            <w:tcBorders>
              <w:top w:val="double" w:color="auto" w:sz="4" w:space="0"/>
              <w:left w:val="single" w:color="auto" w:sz="6" w:space="0"/>
              <w:bottom w:val="single" w:color="auto" w:sz="6" w:space="0"/>
              <w:right w:val="single" w:color="auto" w:sz="6" w:space="0"/>
            </w:tcBorders>
            <w:vAlign w:val="center"/>
          </w:tcPr>
          <w:p w14:paraId="2108608A">
            <w:pPr>
              <w:spacing w:line="420" w:lineRule="exact"/>
              <w:jc w:val="center"/>
              <w:rPr>
                <w:rFonts w:hint="eastAsia" w:ascii="宋体" w:hAnsi="宋体" w:eastAsia="宋体"/>
                <w:color w:val="auto"/>
                <w:szCs w:val="21"/>
                <w:lang w:eastAsia="zh-CN"/>
              </w:rPr>
            </w:pPr>
            <w:r>
              <w:rPr>
                <w:rFonts w:hint="eastAsia" w:ascii="宋体" w:hAnsi="宋体"/>
                <w:color w:val="auto"/>
                <w:szCs w:val="21"/>
                <w:lang w:eastAsia="zh-CN"/>
              </w:rPr>
              <w:t>政府采购编号</w:t>
            </w:r>
          </w:p>
        </w:tc>
        <w:tc>
          <w:tcPr>
            <w:tcW w:w="1428" w:type="pct"/>
            <w:tcBorders>
              <w:top w:val="double" w:color="auto" w:sz="4" w:space="0"/>
              <w:left w:val="single" w:color="auto" w:sz="6" w:space="0"/>
              <w:bottom w:val="single" w:color="auto" w:sz="6" w:space="0"/>
              <w:right w:val="double" w:color="auto" w:sz="4" w:space="0"/>
            </w:tcBorders>
            <w:vAlign w:val="center"/>
          </w:tcPr>
          <w:p w14:paraId="397AA57C">
            <w:pPr>
              <w:spacing w:line="420" w:lineRule="exact"/>
              <w:jc w:val="center"/>
              <w:rPr>
                <w:rFonts w:ascii="宋体" w:hAnsi="宋体"/>
                <w:color w:val="auto"/>
                <w:szCs w:val="21"/>
              </w:rPr>
            </w:pPr>
          </w:p>
        </w:tc>
      </w:tr>
      <w:tr w14:paraId="420D9D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18" w:type="pct"/>
            <w:vMerge w:val="continue"/>
            <w:tcBorders>
              <w:top w:val="double" w:color="auto" w:sz="4" w:space="0"/>
              <w:left w:val="double" w:color="auto" w:sz="4" w:space="0"/>
              <w:bottom w:val="single" w:color="auto" w:sz="6" w:space="0"/>
              <w:right w:val="single" w:color="auto" w:sz="6" w:space="0"/>
            </w:tcBorders>
            <w:vAlign w:val="center"/>
          </w:tcPr>
          <w:p w14:paraId="5195AA4D">
            <w:pPr>
              <w:widowControl/>
              <w:jc w:val="left"/>
              <w:rPr>
                <w:rFonts w:ascii="宋体" w:hAnsi="宋体"/>
                <w:color w:val="auto"/>
                <w:szCs w:val="21"/>
              </w:rPr>
            </w:pPr>
          </w:p>
        </w:tc>
        <w:tc>
          <w:tcPr>
            <w:tcW w:w="1734" w:type="pct"/>
            <w:vMerge w:val="continue"/>
            <w:tcBorders>
              <w:top w:val="double" w:color="auto" w:sz="4" w:space="0"/>
              <w:left w:val="single" w:color="auto" w:sz="6" w:space="0"/>
              <w:bottom w:val="single" w:color="auto" w:sz="6" w:space="0"/>
              <w:right w:val="single" w:color="auto" w:sz="6" w:space="0"/>
            </w:tcBorders>
            <w:vAlign w:val="center"/>
          </w:tcPr>
          <w:p w14:paraId="6223EF64">
            <w:pPr>
              <w:widowControl/>
              <w:jc w:val="left"/>
              <w:rPr>
                <w:rFonts w:ascii="宋体" w:hAnsi="宋体"/>
                <w:color w:val="auto"/>
                <w:szCs w:val="21"/>
              </w:rPr>
            </w:pPr>
          </w:p>
        </w:tc>
        <w:tc>
          <w:tcPr>
            <w:tcW w:w="918" w:type="pct"/>
            <w:tcBorders>
              <w:top w:val="single" w:color="auto" w:sz="6" w:space="0"/>
              <w:left w:val="single" w:color="auto" w:sz="6" w:space="0"/>
              <w:bottom w:val="single" w:color="auto" w:sz="6" w:space="0"/>
              <w:right w:val="single" w:color="auto" w:sz="6" w:space="0"/>
            </w:tcBorders>
            <w:vAlign w:val="center"/>
          </w:tcPr>
          <w:p w14:paraId="304A4198">
            <w:pPr>
              <w:spacing w:line="420" w:lineRule="exact"/>
              <w:jc w:val="center"/>
              <w:rPr>
                <w:rFonts w:ascii="宋体" w:hAnsi="宋体"/>
                <w:color w:val="auto"/>
                <w:szCs w:val="21"/>
              </w:rPr>
            </w:pPr>
            <w:r>
              <w:rPr>
                <w:rFonts w:hint="eastAsia" w:ascii="宋体" w:hAnsi="宋体"/>
                <w:color w:val="auto"/>
                <w:szCs w:val="21"/>
              </w:rPr>
              <w:t>委托代理编号</w:t>
            </w:r>
          </w:p>
        </w:tc>
        <w:tc>
          <w:tcPr>
            <w:tcW w:w="1428" w:type="pct"/>
            <w:tcBorders>
              <w:top w:val="single" w:color="auto" w:sz="6" w:space="0"/>
              <w:left w:val="single" w:color="auto" w:sz="6" w:space="0"/>
              <w:bottom w:val="single" w:color="auto" w:sz="6" w:space="0"/>
              <w:right w:val="double" w:color="auto" w:sz="4" w:space="0"/>
            </w:tcBorders>
            <w:vAlign w:val="center"/>
          </w:tcPr>
          <w:p w14:paraId="611172F2">
            <w:pPr>
              <w:spacing w:line="420" w:lineRule="exact"/>
              <w:jc w:val="center"/>
              <w:rPr>
                <w:rFonts w:ascii="宋体" w:hAnsi="宋体"/>
                <w:color w:val="auto"/>
                <w:szCs w:val="21"/>
              </w:rPr>
            </w:pPr>
          </w:p>
        </w:tc>
      </w:tr>
      <w:tr w14:paraId="0468B6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918" w:type="pct"/>
            <w:tcBorders>
              <w:top w:val="single" w:color="auto" w:sz="6" w:space="0"/>
              <w:left w:val="double" w:color="auto" w:sz="4" w:space="0"/>
              <w:bottom w:val="single" w:color="auto" w:sz="4" w:space="0"/>
              <w:right w:val="single" w:color="auto" w:sz="6" w:space="0"/>
            </w:tcBorders>
            <w:vAlign w:val="center"/>
          </w:tcPr>
          <w:p w14:paraId="7878E446">
            <w:pPr>
              <w:spacing w:line="420" w:lineRule="exact"/>
              <w:jc w:val="center"/>
              <w:rPr>
                <w:rFonts w:ascii="宋体" w:hAnsi="宋体"/>
                <w:color w:val="auto"/>
                <w:szCs w:val="21"/>
              </w:rPr>
            </w:pPr>
            <w:r>
              <w:rPr>
                <w:rFonts w:hint="eastAsia" w:ascii="宋体" w:hAnsi="宋体"/>
                <w:color w:val="auto"/>
                <w:szCs w:val="21"/>
              </w:rPr>
              <w:t>品目代码</w:t>
            </w:r>
          </w:p>
        </w:tc>
        <w:tc>
          <w:tcPr>
            <w:tcW w:w="4081" w:type="pct"/>
            <w:gridSpan w:val="3"/>
            <w:tcBorders>
              <w:top w:val="single" w:color="auto" w:sz="6" w:space="0"/>
              <w:left w:val="single" w:color="auto" w:sz="6" w:space="0"/>
              <w:bottom w:val="single" w:color="auto" w:sz="6" w:space="0"/>
              <w:right w:val="double" w:color="auto" w:sz="4" w:space="0"/>
            </w:tcBorders>
            <w:vAlign w:val="center"/>
          </w:tcPr>
          <w:p w14:paraId="3F2C0946">
            <w:pPr>
              <w:rPr>
                <w:rFonts w:ascii="宋体" w:hAnsi="宋体"/>
                <w:color w:val="auto"/>
                <w:szCs w:val="21"/>
              </w:rPr>
            </w:pPr>
          </w:p>
        </w:tc>
      </w:tr>
      <w:tr w14:paraId="194026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918" w:type="pct"/>
            <w:tcBorders>
              <w:top w:val="single" w:color="auto" w:sz="6" w:space="0"/>
              <w:left w:val="double" w:color="auto" w:sz="4" w:space="0"/>
              <w:bottom w:val="single" w:color="auto" w:sz="4" w:space="0"/>
              <w:right w:val="single" w:color="auto" w:sz="6" w:space="0"/>
            </w:tcBorders>
            <w:vAlign w:val="center"/>
          </w:tcPr>
          <w:p w14:paraId="5CFC1B6B">
            <w:pPr>
              <w:spacing w:line="420" w:lineRule="exact"/>
              <w:jc w:val="center"/>
              <w:rPr>
                <w:rFonts w:ascii="宋体" w:hAnsi="宋体"/>
                <w:b/>
                <w:bCs/>
                <w:color w:val="auto"/>
                <w:szCs w:val="21"/>
              </w:rPr>
            </w:pPr>
            <w:r>
              <w:rPr>
                <w:rFonts w:hint="eastAsia" w:ascii="宋体" w:hAnsi="宋体"/>
                <w:color w:val="auto"/>
                <w:szCs w:val="21"/>
              </w:rPr>
              <w:t>报价</w:t>
            </w:r>
          </w:p>
        </w:tc>
        <w:tc>
          <w:tcPr>
            <w:tcW w:w="4081" w:type="pct"/>
            <w:gridSpan w:val="3"/>
            <w:tcBorders>
              <w:top w:val="single" w:color="auto" w:sz="6" w:space="0"/>
              <w:left w:val="single" w:color="auto" w:sz="6" w:space="0"/>
              <w:bottom w:val="single" w:color="auto" w:sz="6" w:space="0"/>
              <w:right w:val="double" w:color="auto" w:sz="4" w:space="0"/>
            </w:tcBorders>
            <w:vAlign w:val="center"/>
          </w:tcPr>
          <w:p w14:paraId="13C4D48B">
            <w:pPr>
              <w:adjustRightInd w:val="0"/>
              <w:snapToGrid w:val="0"/>
              <w:spacing w:before="156" w:beforeLines="50" w:line="360" w:lineRule="auto"/>
              <w:ind w:firstLine="420" w:firstLineChars="200"/>
              <w:rPr>
                <w:rFonts w:asciiTheme="minorEastAsia" w:hAnsiTheme="minorEastAsia" w:eastAsiaTheme="minorEastAsia"/>
                <w:bCs/>
                <w:color w:val="auto"/>
                <w:kern w:val="0"/>
                <w:szCs w:val="21"/>
              </w:rPr>
            </w:pPr>
            <w:r>
              <w:rPr>
                <w:rFonts w:hint="eastAsia" w:asciiTheme="minorEastAsia" w:hAnsiTheme="minorEastAsia" w:eastAsiaTheme="minorEastAsia"/>
                <w:bCs/>
                <w:color w:val="auto"/>
                <w:kern w:val="0"/>
                <w:szCs w:val="21"/>
              </w:rPr>
              <w:t>小写金额：</w:t>
            </w:r>
            <w:r>
              <w:rPr>
                <w:rFonts w:hint="eastAsia" w:asciiTheme="minorEastAsia" w:hAnsiTheme="minorEastAsia" w:eastAsiaTheme="minorEastAsia"/>
                <w:bCs/>
                <w:color w:val="auto"/>
                <w:kern w:val="0"/>
                <w:szCs w:val="21"/>
                <w:u w:val="single"/>
              </w:rPr>
              <w:t xml:space="preserve">                     </w:t>
            </w:r>
          </w:p>
          <w:p w14:paraId="10397B21">
            <w:pPr>
              <w:spacing w:line="420" w:lineRule="exact"/>
              <w:ind w:firstLine="420" w:firstLineChars="200"/>
              <w:rPr>
                <w:rFonts w:ascii="宋体" w:hAnsi="宋体" w:eastAsiaTheme="minorEastAsia"/>
                <w:color w:val="auto"/>
                <w:szCs w:val="21"/>
              </w:rPr>
            </w:pPr>
            <w:r>
              <w:rPr>
                <w:rFonts w:hint="eastAsia" w:asciiTheme="minorEastAsia" w:hAnsiTheme="minorEastAsia" w:eastAsiaTheme="minorEastAsia"/>
                <w:bCs/>
                <w:color w:val="auto"/>
                <w:kern w:val="0"/>
                <w:szCs w:val="21"/>
              </w:rPr>
              <w:t>大写金额：</w:t>
            </w:r>
            <w:r>
              <w:rPr>
                <w:rFonts w:hint="eastAsia" w:asciiTheme="minorEastAsia" w:hAnsiTheme="minorEastAsia" w:eastAsiaTheme="minorEastAsia"/>
                <w:bCs/>
                <w:color w:val="auto"/>
                <w:kern w:val="0"/>
                <w:szCs w:val="21"/>
                <w:u w:val="single"/>
              </w:rPr>
              <w:t xml:space="preserve">                     </w:t>
            </w:r>
          </w:p>
        </w:tc>
      </w:tr>
      <w:tr w14:paraId="0AEBF7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918" w:type="pct"/>
            <w:tcBorders>
              <w:top w:val="single" w:color="auto" w:sz="6" w:space="0"/>
              <w:left w:val="double" w:color="auto" w:sz="4" w:space="0"/>
              <w:bottom w:val="single" w:color="auto" w:sz="6" w:space="0"/>
              <w:right w:val="single" w:color="auto" w:sz="6" w:space="0"/>
            </w:tcBorders>
            <w:vAlign w:val="center"/>
          </w:tcPr>
          <w:p w14:paraId="3BF754CB">
            <w:pPr>
              <w:spacing w:line="420" w:lineRule="exact"/>
              <w:jc w:val="center"/>
              <w:rPr>
                <w:rFonts w:ascii="宋体" w:hAnsi="宋体"/>
                <w:color w:val="auto"/>
                <w:szCs w:val="21"/>
              </w:rPr>
            </w:pPr>
            <w:r>
              <w:rPr>
                <w:rFonts w:hint="eastAsia" w:ascii="宋体" w:hAnsi="宋体"/>
                <w:color w:val="auto"/>
                <w:szCs w:val="21"/>
              </w:rPr>
              <w:t>交货期</w:t>
            </w:r>
          </w:p>
        </w:tc>
        <w:tc>
          <w:tcPr>
            <w:tcW w:w="4081" w:type="pct"/>
            <w:gridSpan w:val="3"/>
            <w:tcBorders>
              <w:top w:val="single" w:color="auto" w:sz="6" w:space="0"/>
              <w:left w:val="single" w:color="auto" w:sz="6" w:space="0"/>
              <w:bottom w:val="single" w:color="auto" w:sz="6" w:space="0"/>
              <w:right w:val="double" w:color="auto" w:sz="4" w:space="0"/>
            </w:tcBorders>
            <w:vAlign w:val="center"/>
          </w:tcPr>
          <w:p w14:paraId="5662286A">
            <w:pPr>
              <w:spacing w:line="420" w:lineRule="exact"/>
              <w:rPr>
                <w:rFonts w:ascii="宋体" w:hAnsi="宋体"/>
                <w:iCs/>
                <w:color w:val="auto"/>
                <w:szCs w:val="21"/>
              </w:rPr>
            </w:pPr>
          </w:p>
        </w:tc>
      </w:tr>
      <w:tr w14:paraId="0B1994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918" w:type="pct"/>
            <w:tcBorders>
              <w:top w:val="single" w:color="auto" w:sz="6" w:space="0"/>
              <w:left w:val="double" w:color="auto" w:sz="4" w:space="0"/>
              <w:bottom w:val="single" w:color="auto" w:sz="6" w:space="0"/>
              <w:right w:val="single" w:color="auto" w:sz="6" w:space="0"/>
            </w:tcBorders>
            <w:vAlign w:val="center"/>
          </w:tcPr>
          <w:p w14:paraId="15C3C2C3">
            <w:pPr>
              <w:jc w:val="center"/>
              <w:rPr>
                <w:rFonts w:ascii="宋体" w:hAnsi="宋体"/>
                <w:color w:val="auto"/>
                <w:szCs w:val="21"/>
              </w:rPr>
            </w:pPr>
            <w:r>
              <w:rPr>
                <w:rFonts w:hint="eastAsia" w:ascii="宋体" w:hAnsi="宋体"/>
                <w:color w:val="auto"/>
                <w:szCs w:val="21"/>
              </w:rPr>
              <w:t>项目负责人</w:t>
            </w:r>
          </w:p>
          <w:p w14:paraId="302ACC8D">
            <w:pPr>
              <w:jc w:val="center"/>
              <w:rPr>
                <w:rFonts w:ascii="宋体" w:hAnsi="宋体"/>
                <w:color w:val="auto"/>
                <w:szCs w:val="21"/>
              </w:rPr>
            </w:pPr>
            <w:r>
              <w:rPr>
                <w:rFonts w:hint="eastAsia" w:ascii="宋体" w:hAnsi="宋体"/>
                <w:color w:val="auto"/>
                <w:szCs w:val="21"/>
              </w:rPr>
              <w:t>及联系方式</w:t>
            </w:r>
          </w:p>
        </w:tc>
        <w:tc>
          <w:tcPr>
            <w:tcW w:w="4081" w:type="pct"/>
            <w:gridSpan w:val="3"/>
            <w:tcBorders>
              <w:top w:val="single" w:color="auto" w:sz="6" w:space="0"/>
              <w:left w:val="single" w:color="auto" w:sz="6" w:space="0"/>
              <w:bottom w:val="single" w:color="auto" w:sz="6" w:space="0"/>
              <w:right w:val="double" w:color="auto" w:sz="4" w:space="0"/>
            </w:tcBorders>
            <w:vAlign w:val="center"/>
          </w:tcPr>
          <w:p w14:paraId="74D93AD8">
            <w:pPr>
              <w:spacing w:line="420" w:lineRule="exact"/>
              <w:rPr>
                <w:rFonts w:ascii="宋体" w:hAnsi="宋体"/>
                <w:color w:val="auto"/>
                <w:szCs w:val="21"/>
              </w:rPr>
            </w:pPr>
          </w:p>
        </w:tc>
      </w:tr>
      <w:tr w14:paraId="5B3EA2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918" w:type="pct"/>
            <w:tcBorders>
              <w:top w:val="single" w:color="auto" w:sz="6" w:space="0"/>
              <w:left w:val="double" w:color="auto" w:sz="4" w:space="0"/>
              <w:bottom w:val="double" w:color="auto" w:sz="4" w:space="0"/>
              <w:right w:val="single" w:color="auto" w:sz="6" w:space="0"/>
            </w:tcBorders>
            <w:vAlign w:val="center"/>
          </w:tcPr>
          <w:p w14:paraId="7FAA1A3F">
            <w:pPr>
              <w:spacing w:line="420" w:lineRule="exact"/>
              <w:jc w:val="center"/>
              <w:rPr>
                <w:rFonts w:ascii="宋体" w:hAnsi="宋体"/>
                <w:color w:val="auto"/>
                <w:szCs w:val="21"/>
              </w:rPr>
            </w:pPr>
            <w:r>
              <w:rPr>
                <w:rFonts w:hint="eastAsia" w:ascii="宋体" w:hAnsi="宋体"/>
                <w:color w:val="auto"/>
                <w:szCs w:val="21"/>
              </w:rPr>
              <w:t>备  注</w:t>
            </w:r>
          </w:p>
        </w:tc>
        <w:tc>
          <w:tcPr>
            <w:tcW w:w="4081" w:type="pct"/>
            <w:gridSpan w:val="3"/>
            <w:tcBorders>
              <w:top w:val="single" w:color="auto" w:sz="6" w:space="0"/>
              <w:left w:val="single" w:color="auto" w:sz="6" w:space="0"/>
              <w:bottom w:val="double" w:color="auto" w:sz="4" w:space="0"/>
              <w:right w:val="double" w:color="auto" w:sz="4" w:space="0"/>
            </w:tcBorders>
            <w:vAlign w:val="center"/>
          </w:tcPr>
          <w:p w14:paraId="3763F7F9">
            <w:pPr>
              <w:spacing w:line="420" w:lineRule="exact"/>
              <w:rPr>
                <w:rFonts w:ascii="宋体" w:hAnsi="宋体"/>
                <w:color w:val="auto"/>
                <w:szCs w:val="21"/>
              </w:rPr>
            </w:pPr>
          </w:p>
        </w:tc>
      </w:tr>
    </w:tbl>
    <w:p w14:paraId="17D2A259">
      <w:pPr>
        <w:adjustRightInd w:val="0"/>
        <w:snapToGrid w:val="0"/>
        <w:spacing w:line="360" w:lineRule="auto"/>
        <w:ind w:left="-88" w:leftChars="-42"/>
        <w:rPr>
          <w:rFonts w:ascii="宋体" w:hAnsi="宋体"/>
          <w:color w:val="auto"/>
          <w:szCs w:val="21"/>
        </w:rPr>
      </w:pPr>
      <w:r>
        <w:rPr>
          <w:rFonts w:hint="eastAsia" w:ascii="宋体" w:hAnsi="宋体"/>
          <w:color w:val="auto"/>
          <w:szCs w:val="21"/>
        </w:rPr>
        <w:t>备注：</w:t>
      </w:r>
      <w:r>
        <w:rPr>
          <w:rFonts w:hint="eastAsia" w:asciiTheme="minorEastAsia" w:hAnsiTheme="minorEastAsia" w:eastAsiaTheme="minorEastAsia"/>
          <w:color w:val="auto"/>
          <w:szCs w:val="21"/>
        </w:rPr>
        <w:t>（1）</w:t>
      </w:r>
      <w:r>
        <w:rPr>
          <w:rFonts w:hint="eastAsia" w:asciiTheme="minorEastAsia" w:hAnsiTheme="minorEastAsia" w:eastAsiaTheme="minorEastAsia"/>
          <w:b/>
          <w:color w:val="auto"/>
          <w:szCs w:val="21"/>
        </w:rPr>
        <w:t>本表应对应</w:t>
      </w:r>
      <w:r>
        <w:rPr>
          <w:rFonts w:hint="eastAsia" w:ascii="宋体" w:hAnsi="宋体"/>
          <w:color w:val="auto"/>
          <w:szCs w:val="21"/>
        </w:rPr>
        <w:t>“</w:t>
      </w:r>
      <w:r>
        <w:rPr>
          <w:rFonts w:hint="eastAsia" w:asciiTheme="minorEastAsia" w:hAnsiTheme="minorEastAsia" w:eastAsiaTheme="minorEastAsia"/>
          <w:b/>
          <w:color w:val="auto"/>
          <w:szCs w:val="21"/>
        </w:rPr>
        <w:t>开标一览表</w:t>
      </w:r>
      <w:r>
        <w:rPr>
          <w:rFonts w:hint="eastAsia" w:ascii="宋体" w:hAnsi="宋体"/>
          <w:color w:val="auto"/>
          <w:szCs w:val="21"/>
        </w:rPr>
        <w:t>”</w:t>
      </w:r>
      <w:r>
        <w:rPr>
          <w:rFonts w:hint="eastAsia" w:asciiTheme="minorEastAsia" w:hAnsiTheme="minorEastAsia" w:eastAsiaTheme="minorEastAsia"/>
          <w:b/>
          <w:color w:val="auto"/>
          <w:szCs w:val="21"/>
        </w:rPr>
        <w:t>，按包填写</w:t>
      </w:r>
      <w:r>
        <w:rPr>
          <w:rFonts w:hint="eastAsia" w:asciiTheme="minorEastAsia" w:hAnsiTheme="minorEastAsia" w:eastAsiaTheme="minorEastAsia"/>
          <w:color w:val="auto"/>
          <w:szCs w:val="21"/>
        </w:rPr>
        <w:t>。</w:t>
      </w:r>
    </w:p>
    <w:p w14:paraId="363A248F">
      <w:pPr>
        <w:adjustRightInd w:val="0"/>
        <w:snapToGrid w:val="0"/>
        <w:spacing w:line="360" w:lineRule="auto"/>
        <w:rPr>
          <w:rFonts w:ascii="宋体" w:hAnsi="宋体"/>
          <w:color w:val="auto"/>
          <w:szCs w:val="21"/>
        </w:rPr>
      </w:pPr>
    </w:p>
    <w:p w14:paraId="3167245D">
      <w:pPr>
        <w:adjustRightInd w:val="0"/>
        <w:snapToGrid w:val="0"/>
        <w:spacing w:line="360" w:lineRule="auto"/>
        <w:rPr>
          <w:rFonts w:ascii="宋体" w:hAnsi="宋体"/>
          <w:color w:val="auto"/>
          <w:szCs w:val="21"/>
          <w:u w:val="single"/>
        </w:rPr>
      </w:pPr>
      <w:r>
        <w:rPr>
          <w:rFonts w:hint="eastAsia" w:ascii="宋体" w:hAnsi="宋体"/>
          <w:color w:val="auto"/>
          <w:szCs w:val="21"/>
        </w:rPr>
        <w:t>供应商（盖单位章）：</w:t>
      </w:r>
    </w:p>
    <w:p w14:paraId="4D5477B3">
      <w:pPr>
        <w:adjustRightInd w:val="0"/>
        <w:snapToGrid w:val="0"/>
        <w:spacing w:line="360" w:lineRule="auto"/>
        <w:rPr>
          <w:rFonts w:ascii="宋体" w:hAnsi="宋体"/>
          <w:color w:val="auto"/>
          <w:szCs w:val="21"/>
        </w:rPr>
      </w:pPr>
      <w:r>
        <w:rPr>
          <w:rFonts w:hint="eastAsia" w:ascii="宋体" w:hAnsi="宋体"/>
          <w:color w:val="auto"/>
          <w:szCs w:val="21"/>
        </w:rPr>
        <w:t>法定代表人或其委托代理人签字：</w:t>
      </w:r>
      <w:r>
        <w:rPr>
          <w:rFonts w:hint="eastAsia" w:ascii="宋体" w:hAnsi="宋体"/>
          <w:color w:val="auto"/>
          <w:szCs w:val="21"/>
          <w:u w:val="single"/>
        </w:rPr>
        <w:t xml:space="preserve">       </w:t>
      </w:r>
    </w:p>
    <w:p w14:paraId="059A3CA3">
      <w:pPr>
        <w:adjustRightInd w:val="0"/>
        <w:snapToGrid w:val="0"/>
        <w:spacing w:line="360" w:lineRule="auto"/>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517F72EC">
      <w:pPr>
        <w:adjustRightInd w:val="0"/>
        <w:snapToGrid w:val="0"/>
        <w:rPr>
          <w:rFonts w:ascii="宋体" w:hAnsi="宋体"/>
          <w:color w:val="auto"/>
          <w:sz w:val="24"/>
        </w:rPr>
      </w:pPr>
    </w:p>
    <w:p w14:paraId="5AD8F545">
      <w:pPr>
        <w:adjustRightInd w:val="0"/>
        <w:snapToGrid w:val="0"/>
        <w:spacing w:line="360" w:lineRule="auto"/>
        <w:rPr>
          <w:rFonts w:ascii="宋体" w:hAnsi="宋体"/>
          <w:color w:val="auto"/>
          <w:szCs w:val="21"/>
        </w:rPr>
      </w:pPr>
    </w:p>
    <w:p w14:paraId="1B8F7604">
      <w:pPr>
        <w:adjustRightInd w:val="0"/>
        <w:snapToGrid w:val="0"/>
        <w:spacing w:line="360" w:lineRule="auto"/>
        <w:rPr>
          <w:rFonts w:ascii="宋体" w:hAnsi="宋体"/>
          <w:color w:val="auto"/>
          <w:szCs w:val="21"/>
        </w:rPr>
      </w:pPr>
    </w:p>
    <w:p w14:paraId="08BD607E">
      <w:pPr>
        <w:adjustRightInd w:val="0"/>
        <w:snapToGrid w:val="0"/>
        <w:spacing w:line="360" w:lineRule="auto"/>
        <w:rPr>
          <w:rFonts w:ascii="仿宋" w:hAnsi="仿宋" w:eastAsia="仿宋" w:cs="仿宋"/>
          <w:color w:val="auto"/>
          <w:szCs w:val="21"/>
        </w:rPr>
      </w:pPr>
    </w:p>
    <w:p w14:paraId="165F92E5">
      <w:pPr>
        <w:adjustRightInd w:val="0"/>
        <w:snapToGrid w:val="0"/>
        <w:spacing w:line="360" w:lineRule="auto"/>
        <w:ind w:firstLine="630" w:firstLineChars="300"/>
        <w:rPr>
          <w:rFonts w:ascii="仿宋" w:hAnsi="仿宋" w:eastAsia="仿宋" w:cs="仿宋"/>
          <w:color w:val="auto"/>
          <w:szCs w:val="21"/>
        </w:rPr>
      </w:pPr>
    </w:p>
    <w:p w14:paraId="3E496F7D">
      <w:pPr>
        <w:adjustRightInd w:val="0"/>
        <w:snapToGrid w:val="0"/>
        <w:spacing w:line="360" w:lineRule="auto"/>
        <w:rPr>
          <w:rFonts w:ascii="宋体" w:hAnsi="宋体"/>
          <w:color w:val="auto"/>
          <w:szCs w:val="21"/>
        </w:rPr>
      </w:pPr>
    </w:p>
    <w:p w14:paraId="53A7E1C3">
      <w:pPr>
        <w:adjustRightInd w:val="0"/>
        <w:snapToGrid w:val="0"/>
        <w:rPr>
          <w:rFonts w:ascii="宋体" w:hAnsi="宋体"/>
          <w:b/>
          <w:color w:val="auto"/>
          <w:sz w:val="24"/>
        </w:rPr>
      </w:pPr>
    </w:p>
    <w:p w14:paraId="2A169934">
      <w:pPr>
        <w:widowControl/>
        <w:jc w:val="left"/>
        <w:rPr>
          <w:rFonts w:ascii="宋体" w:hAnsi="宋体"/>
          <w:b/>
          <w:color w:val="auto"/>
        </w:rPr>
        <w:sectPr>
          <w:pgSz w:w="11906" w:h="16838"/>
          <w:pgMar w:top="1440" w:right="1286"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73F1EF76">
      <w:pPr>
        <w:adjustRightInd w:val="0"/>
        <w:snapToGrid w:val="0"/>
        <w:jc w:val="center"/>
        <w:rPr>
          <w:rFonts w:ascii="宋体" w:hAnsi="宋体"/>
          <w:b/>
          <w:color w:val="auto"/>
          <w:sz w:val="28"/>
          <w:szCs w:val="28"/>
        </w:rPr>
      </w:pPr>
      <w:bookmarkStart w:id="74" w:name="_Toc31668"/>
      <w:bookmarkStart w:id="75" w:name="_Toc16579"/>
      <w:bookmarkStart w:id="76" w:name="_Toc12771"/>
      <w:r>
        <w:rPr>
          <w:rFonts w:hint="eastAsia" w:ascii="宋体" w:hAnsi="宋体"/>
          <w:b/>
          <w:color w:val="auto"/>
          <w:sz w:val="28"/>
          <w:szCs w:val="28"/>
        </w:rPr>
        <w:t>分项价格表</w:t>
      </w:r>
      <w:bookmarkEnd w:id="74"/>
      <w:bookmarkEnd w:id="75"/>
      <w:bookmarkEnd w:id="76"/>
    </w:p>
    <w:p w14:paraId="3B6BA046">
      <w:pPr>
        <w:rPr>
          <w:color w:val="auto"/>
        </w:rPr>
      </w:pPr>
    </w:p>
    <w:p w14:paraId="39F36BD8">
      <w:pPr>
        <w:adjustRightInd w:val="0"/>
        <w:snapToGrid w:val="0"/>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采购项目名称：</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 xml:space="preserve"> </w:t>
      </w:r>
    </w:p>
    <w:p w14:paraId="7D861CC6">
      <w:pPr>
        <w:adjustRightInd w:val="0"/>
        <w:snapToGrid w:val="0"/>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lang w:eastAsia="zh-CN"/>
        </w:rPr>
        <w:t>政府采购编号</w:t>
      </w:r>
      <w:r>
        <w:rPr>
          <w:rFonts w:hint="eastAsia" w:asciiTheme="minorEastAsia" w:hAnsiTheme="minorEastAsia" w:eastAsiaTheme="minorEastAsia"/>
          <w:color w:val="auto"/>
          <w:szCs w:val="21"/>
        </w:rPr>
        <w:t>：</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 xml:space="preserve">   包号：</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 xml:space="preserve">  </w:t>
      </w:r>
    </w:p>
    <w:tbl>
      <w:tblPr>
        <w:tblStyle w:val="51"/>
        <w:tblW w:w="4999" w:type="pct"/>
        <w:tblInd w:w="0" w:type="dxa"/>
        <w:tblLayout w:type="autofit"/>
        <w:tblCellMar>
          <w:top w:w="0" w:type="dxa"/>
          <w:left w:w="0" w:type="dxa"/>
          <w:bottom w:w="0" w:type="dxa"/>
          <w:right w:w="0" w:type="dxa"/>
        </w:tblCellMar>
      </w:tblPr>
      <w:tblGrid>
        <w:gridCol w:w="523"/>
        <w:gridCol w:w="2179"/>
        <w:gridCol w:w="3351"/>
        <w:gridCol w:w="1891"/>
        <w:gridCol w:w="1720"/>
        <w:gridCol w:w="1432"/>
        <w:gridCol w:w="1443"/>
        <w:gridCol w:w="1446"/>
      </w:tblGrid>
      <w:tr w14:paraId="0906BA8E">
        <w:tblPrEx>
          <w:tblCellMar>
            <w:top w:w="0" w:type="dxa"/>
            <w:left w:w="0" w:type="dxa"/>
            <w:bottom w:w="0" w:type="dxa"/>
            <w:right w:w="0" w:type="dxa"/>
          </w:tblCellMar>
        </w:tblPrEx>
        <w:trPr>
          <w:trHeight w:val="415" w:hRule="exact"/>
        </w:trPr>
        <w:tc>
          <w:tcPr>
            <w:tcW w:w="966" w:type="pct"/>
            <w:gridSpan w:val="2"/>
            <w:vMerge w:val="restart"/>
            <w:tcBorders>
              <w:top w:val="double" w:color="auto" w:sz="4" w:space="0"/>
              <w:left w:val="double" w:color="auto" w:sz="4" w:space="0"/>
              <w:right w:val="single" w:color="auto" w:sz="6" w:space="0"/>
            </w:tcBorders>
            <w:vAlign w:val="center"/>
          </w:tcPr>
          <w:p w14:paraId="25CC280B">
            <w:pPr>
              <w:autoSpaceDE w:val="0"/>
              <w:autoSpaceDN w:val="0"/>
              <w:adjustRightInd w:val="0"/>
              <w:snapToGrid w:val="0"/>
              <w:spacing w:line="360" w:lineRule="auto"/>
              <w:ind w:right="-20"/>
              <w:jc w:val="center"/>
              <w:rPr>
                <w:rFonts w:cs="微软雅黑" w:asciiTheme="minorEastAsia" w:hAnsiTheme="minorEastAsia" w:eastAsiaTheme="minorEastAsia"/>
                <w:color w:val="auto"/>
                <w:kern w:val="0"/>
                <w:position w:val="-1"/>
                <w:szCs w:val="21"/>
              </w:rPr>
            </w:pPr>
            <w:r>
              <w:rPr>
                <w:rFonts w:hint="eastAsia" w:cs="微软雅黑" w:asciiTheme="minorEastAsia" w:hAnsiTheme="minorEastAsia" w:eastAsiaTheme="minorEastAsia"/>
                <w:color w:val="auto"/>
                <w:kern w:val="0"/>
                <w:position w:val="-1"/>
                <w:szCs w:val="21"/>
              </w:rPr>
              <w:t>分项项目名称</w:t>
            </w:r>
          </w:p>
        </w:tc>
        <w:tc>
          <w:tcPr>
            <w:tcW w:w="1198" w:type="pct"/>
            <w:vMerge w:val="restart"/>
            <w:tcBorders>
              <w:top w:val="double" w:color="auto" w:sz="4" w:space="0"/>
              <w:left w:val="single" w:color="auto" w:sz="6" w:space="0"/>
              <w:bottom w:val="single" w:color="auto" w:sz="6" w:space="0"/>
              <w:right w:val="single" w:color="auto" w:sz="4" w:space="0"/>
            </w:tcBorders>
            <w:vAlign w:val="center"/>
          </w:tcPr>
          <w:p w14:paraId="1B697199">
            <w:pPr>
              <w:autoSpaceDE w:val="0"/>
              <w:autoSpaceDN w:val="0"/>
              <w:adjustRightInd w:val="0"/>
              <w:snapToGrid w:val="0"/>
              <w:spacing w:line="360" w:lineRule="auto"/>
              <w:ind w:right="-20"/>
              <w:jc w:val="center"/>
              <w:rPr>
                <w:rFonts w:ascii="宋体" w:hAnsi="宋体"/>
                <w:color w:val="auto"/>
                <w:szCs w:val="21"/>
              </w:rPr>
            </w:pPr>
            <w:r>
              <w:rPr>
                <w:rFonts w:hint="eastAsia" w:ascii="宋体" w:hAnsi="宋体"/>
                <w:color w:val="auto"/>
                <w:szCs w:val="21"/>
              </w:rPr>
              <w:t>规格型号</w:t>
            </w:r>
          </w:p>
          <w:p w14:paraId="046942EE">
            <w:pPr>
              <w:autoSpaceDE w:val="0"/>
              <w:autoSpaceDN w:val="0"/>
              <w:adjustRightInd w:val="0"/>
              <w:snapToGrid w:val="0"/>
              <w:spacing w:line="360" w:lineRule="auto"/>
              <w:ind w:right="-20"/>
              <w:jc w:val="center"/>
              <w:rPr>
                <w:rFonts w:ascii="宋体" w:hAnsi="宋体"/>
                <w:color w:val="auto"/>
                <w:szCs w:val="21"/>
              </w:rPr>
            </w:pPr>
            <w:r>
              <w:rPr>
                <w:rFonts w:hint="eastAsia" w:ascii="宋体" w:hAnsi="宋体"/>
                <w:color w:val="auto"/>
                <w:szCs w:val="21"/>
              </w:rPr>
              <w:t>（或项目特征描述</w:t>
            </w:r>
            <w:r>
              <w:rPr>
                <w:rFonts w:ascii="宋体" w:hAnsi="宋体"/>
                <w:color w:val="auto"/>
                <w:szCs w:val="21"/>
              </w:rPr>
              <w:t>）</w:t>
            </w:r>
          </w:p>
        </w:tc>
        <w:tc>
          <w:tcPr>
            <w:tcW w:w="676" w:type="pct"/>
            <w:vMerge w:val="restart"/>
            <w:tcBorders>
              <w:top w:val="double" w:color="auto" w:sz="4" w:space="0"/>
              <w:left w:val="single" w:color="auto" w:sz="4" w:space="0"/>
              <w:bottom w:val="single" w:color="auto" w:sz="6" w:space="0"/>
              <w:right w:val="single" w:color="auto" w:sz="6" w:space="0"/>
            </w:tcBorders>
            <w:vAlign w:val="center"/>
          </w:tcPr>
          <w:p w14:paraId="1B4A72D8">
            <w:pPr>
              <w:autoSpaceDE w:val="0"/>
              <w:autoSpaceDN w:val="0"/>
              <w:adjustRightInd w:val="0"/>
              <w:snapToGrid w:val="0"/>
              <w:spacing w:line="360" w:lineRule="auto"/>
              <w:ind w:right="-20"/>
              <w:jc w:val="center"/>
              <w:rPr>
                <w:rFonts w:ascii="宋体" w:hAnsi="宋体"/>
                <w:color w:val="auto"/>
                <w:szCs w:val="21"/>
              </w:rPr>
            </w:pPr>
            <w:r>
              <w:rPr>
                <w:rFonts w:hint="eastAsia" w:ascii="宋体" w:hAnsi="宋体"/>
                <w:color w:val="auto"/>
                <w:szCs w:val="21"/>
              </w:rPr>
              <w:t>品牌/产地</w:t>
            </w:r>
          </w:p>
        </w:tc>
        <w:tc>
          <w:tcPr>
            <w:tcW w:w="615" w:type="pct"/>
            <w:vMerge w:val="restart"/>
            <w:tcBorders>
              <w:top w:val="double" w:color="auto" w:sz="4" w:space="0"/>
              <w:left w:val="single" w:color="auto" w:sz="6" w:space="0"/>
              <w:right w:val="single" w:color="auto" w:sz="4" w:space="0"/>
            </w:tcBorders>
            <w:vAlign w:val="center"/>
          </w:tcPr>
          <w:p w14:paraId="04E3819D">
            <w:pPr>
              <w:autoSpaceDE w:val="0"/>
              <w:autoSpaceDN w:val="0"/>
              <w:adjustRightInd w:val="0"/>
              <w:snapToGrid w:val="0"/>
              <w:spacing w:line="360" w:lineRule="auto"/>
              <w:ind w:right="-20"/>
              <w:jc w:val="center"/>
              <w:rPr>
                <w:rFonts w:cs="微软雅黑" w:asciiTheme="minorEastAsia" w:hAnsiTheme="minorEastAsia" w:eastAsiaTheme="minorEastAsia"/>
                <w:color w:val="auto"/>
                <w:kern w:val="0"/>
                <w:position w:val="-1"/>
                <w:szCs w:val="21"/>
              </w:rPr>
            </w:pPr>
            <w:r>
              <w:rPr>
                <w:rFonts w:hint="eastAsia" w:asciiTheme="minorEastAsia" w:hAnsiTheme="minorEastAsia" w:eastAsiaTheme="minorEastAsia"/>
                <w:color w:val="auto"/>
                <w:kern w:val="0"/>
                <w:szCs w:val="21"/>
              </w:rPr>
              <w:t>数量/单位</w:t>
            </w:r>
          </w:p>
        </w:tc>
        <w:tc>
          <w:tcPr>
            <w:tcW w:w="1028" w:type="pct"/>
            <w:gridSpan w:val="2"/>
            <w:tcBorders>
              <w:top w:val="double" w:color="auto" w:sz="4" w:space="0"/>
              <w:left w:val="single" w:color="auto" w:sz="4" w:space="0"/>
              <w:bottom w:val="single" w:color="auto" w:sz="6" w:space="0"/>
              <w:right w:val="single" w:color="auto" w:sz="6" w:space="0"/>
            </w:tcBorders>
            <w:vAlign w:val="center"/>
          </w:tcPr>
          <w:p w14:paraId="4B6EB625">
            <w:pPr>
              <w:autoSpaceDE w:val="0"/>
              <w:autoSpaceDN w:val="0"/>
              <w:adjustRightInd w:val="0"/>
              <w:snapToGrid w:val="0"/>
              <w:spacing w:line="360" w:lineRule="auto"/>
              <w:ind w:right="-20"/>
              <w:jc w:val="center"/>
              <w:rPr>
                <w:rFonts w:cs="微软雅黑" w:asciiTheme="minorEastAsia" w:hAnsiTheme="minorEastAsia" w:eastAsiaTheme="minorEastAsia"/>
                <w:color w:val="auto"/>
                <w:kern w:val="0"/>
                <w:position w:val="-1"/>
                <w:szCs w:val="21"/>
              </w:rPr>
            </w:pPr>
            <w:r>
              <w:rPr>
                <w:rFonts w:hint="eastAsia" w:cs="微软雅黑" w:asciiTheme="minorEastAsia" w:hAnsiTheme="minorEastAsia" w:eastAsiaTheme="minorEastAsia"/>
                <w:color w:val="auto"/>
                <w:kern w:val="0"/>
                <w:position w:val="-1"/>
                <w:szCs w:val="21"/>
              </w:rPr>
              <w:t>金额（元）</w:t>
            </w:r>
          </w:p>
        </w:tc>
        <w:tc>
          <w:tcPr>
            <w:tcW w:w="514" w:type="pct"/>
            <w:vMerge w:val="restart"/>
            <w:tcBorders>
              <w:top w:val="double" w:color="auto" w:sz="4" w:space="0"/>
              <w:left w:val="single" w:color="auto" w:sz="6" w:space="0"/>
              <w:bottom w:val="single" w:color="auto" w:sz="6" w:space="0"/>
              <w:right w:val="double" w:color="auto" w:sz="4" w:space="0"/>
            </w:tcBorders>
            <w:vAlign w:val="center"/>
          </w:tcPr>
          <w:p w14:paraId="0E0C2F6A">
            <w:pPr>
              <w:autoSpaceDE w:val="0"/>
              <w:autoSpaceDN w:val="0"/>
              <w:adjustRightInd w:val="0"/>
              <w:snapToGrid w:val="0"/>
              <w:spacing w:line="360" w:lineRule="auto"/>
              <w:ind w:right="-20"/>
              <w:jc w:val="center"/>
              <w:rPr>
                <w:rFonts w:cs="微软雅黑" w:asciiTheme="minorEastAsia" w:hAnsiTheme="minorEastAsia" w:eastAsiaTheme="minorEastAsia"/>
                <w:color w:val="auto"/>
                <w:kern w:val="0"/>
                <w:position w:val="-1"/>
                <w:szCs w:val="21"/>
              </w:rPr>
            </w:pPr>
            <w:r>
              <w:rPr>
                <w:rFonts w:hint="eastAsia" w:cs="微软雅黑" w:asciiTheme="minorEastAsia" w:hAnsiTheme="minorEastAsia" w:eastAsiaTheme="minorEastAsia"/>
                <w:color w:val="auto"/>
                <w:kern w:val="0"/>
                <w:position w:val="-1"/>
                <w:szCs w:val="21"/>
              </w:rPr>
              <w:t>备注</w:t>
            </w:r>
          </w:p>
        </w:tc>
      </w:tr>
      <w:tr w14:paraId="38E308EA">
        <w:tblPrEx>
          <w:tblCellMar>
            <w:top w:w="0" w:type="dxa"/>
            <w:left w:w="0" w:type="dxa"/>
            <w:bottom w:w="0" w:type="dxa"/>
            <w:right w:w="0" w:type="dxa"/>
          </w:tblCellMar>
        </w:tblPrEx>
        <w:trPr>
          <w:trHeight w:val="415" w:hRule="exact"/>
        </w:trPr>
        <w:tc>
          <w:tcPr>
            <w:tcW w:w="966" w:type="pct"/>
            <w:gridSpan w:val="2"/>
            <w:vMerge w:val="continue"/>
            <w:tcBorders>
              <w:left w:val="double" w:color="auto" w:sz="4" w:space="0"/>
              <w:bottom w:val="single" w:color="auto" w:sz="6" w:space="0"/>
              <w:right w:val="single" w:color="auto" w:sz="6" w:space="0"/>
            </w:tcBorders>
          </w:tcPr>
          <w:p w14:paraId="553370CA">
            <w:pPr>
              <w:autoSpaceDE w:val="0"/>
              <w:autoSpaceDN w:val="0"/>
              <w:adjustRightInd w:val="0"/>
              <w:snapToGrid w:val="0"/>
              <w:spacing w:line="360" w:lineRule="auto"/>
              <w:ind w:left="352" w:right="-20"/>
              <w:jc w:val="left"/>
              <w:rPr>
                <w:rFonts w:asciiTheme="minorEastAsia" w:hAnsiTheme="minorEastAsia" w:eastAsiaTheme="minorEastAsia"/>
                <w:color w:val="auto"/>
                <w:kern w:val="0"/>
                <w:szCs w:val="21"/>
              </w:rPr>
            </w:pPr>
          </w:p>
        </w:tc>
        <w:tc>
          <w:tcPr>
            <w:tcW w:w="1198" w:type="pct"/>
            <w:vMerge w:val="continue"/>
            <w:tcBorders>
              <w:top w:val="single" w:color="auto" w:sz="6" w:space="0"/>
              <w:left w:val="single" w:color="auto" w:sz="6" w:space="0"/>
              <w:bottom w:val="single" w:color="auto" w:sz="6" w:space="0"/>
              <w:right w:val="single" w:color="auto" w:sz="4" w:space="0"/>
            </w:tcBorders>
            <w:vAlign w:val="center"/>
          </w:tcPr>
          <w:p w14:paraId="0080E45F">
            <w:pPr>
              <w:autoSpaceDE w:val="0"/>
              <w:autoSpaceDN w:val="0"/>
              <w:adjustRightInd w:val="0"/>
              <w:snapToGrid w:val="0"/>
              <w:spacing w:line="360" w:lineRule="auto"/>
              <w:ind w:right="-20"/>
              <w:jc w:val="center"/>
              <w:rPr>
                <w:rFonts w:asciiTheme="minorEastAsia" w:hAnsiTheme="minorEastAsia" w:eastAsiaTheme="minorEastAsia"/>
                <w:color w:val="auto"/>
                <w:kern w:val="0"/>
                <w:szCs w:val="21"/>
              </w:rPr>
            </w:pPr>
          </w:p>
        </w:tc>
        <w:tc>
          <w:tcPr>
            <w:tcW w:w="676" w:type="pct"/>
            <w:vMerge w:val="continue"/>
            <w:tcBorders>
              <w:top w:val="single" w:color="auto" w:sz="6" w:space="0"/>
              <w:left w:val="single" w:color="auto" w:sz="4" w:space="0"/>
              <w:bottom w:val="single" w:color="auto" w:sz="6" w:space="0"/>
              <w:right w:val="single" w:color="auto" w:sz="6" w:space="0"/>
            </w:tcBorders>
            <w:vAlign w:val="center"/>
          </w:tcPr>
          <w:p w14:paraId="4E8AC1DD">
            <w:pPr>
              <w:autoSpaceDE w:val="0"/>
              <w:autoSpaceDN w:val="0"/>
              <w:adjustRightInd w:val="0"/>
              <w:snapToGrid w:val="0"/>
              <w:spacing w:line="360" w:lineRule="auto"/>
              <w:ind w:right="-20"/>
              <w:jc w:val="center"/>
              <w:rPr>
                <w:rFonts w:asciiTheme="minorEastAsia" w:hAnsiTheme="minorEastAsia" w:eastAsiaTheme="minorEastAsia"/>
                <w:color w:val="auto"/>
                <w:kern w:val="0"/>
                <w:szCs w:val="21"/>
              </w:rPr>
            </w:pPr>
          </w:p>
        </w:tc>
        <w:tc>
          <w:tcPr>
            <w:tcW w:w="615" w:type="pct"/>
            <w:vMerge w:val="continue"/>
            <w:tcBorders>
              <w:left w:val="single" w:color="auto" w:sz="6" w:space="0"/>
              <w:bottom w:val="single" w:color="auto" w:sz="6" w:space="0"/>
              <w:right w:val="single" w:color="auto" w:sz="4" w:space="0"/>
            </w:tcBorders>
            <w:vAlign w:val="center"/>
          </w:tcPr>
          <w:p w14:paraId="01564FE3">
            <w:pPr>
              <w:autoSpaceDE w:val="0"/>
              <w:autoSpaceDN w:val="0"/>
              <w:adjustRightInd w:val="0"/>
              <w:snapToGrid w:val="0"/>
              <w:spacing w:line="360" w:lineRule="auto"/>
              <w:ind w:right="-20"/>
              <w:jc w:val="center"/>
              <w:rPr>
                <w:rFonts w:asciiTheme="minorEastAsia" w:hAnsiTheme="minorEastAsia" w:eastAsiaTheme="minorEastAsia"/>
                <w:color w:val="auto"/>
                <w:kern w:val="0"/>
                <w:szCs w:val="21"/>
              </w:rPr>
            </w:pPr>
          </w:p>
        </w:tc>
        <w:tc>
          <w:tcPr>
            <w:tcW w:w="512" w:type="pct"/>
            <w:tcBorders>
              <w:top w:val="single" w:color="auto" w:sz="6" w:space="0"/>
              <w:left w:val="single" w:color="auto" w:sz="4" w:space="0"/>
              <w:bottom w:val="single" w:color="auto" w:sz="6" w:space="0"/>
              <w:right w:val="single" w:color="auto" w:sz="4" w:space="0"/>
            </w:tcBorders>
            <w:vAlign w:val="center"/>
          </w:tcPr>
          <w:p w14:paraId="50052304">
            <w:pPr>
              <w:autoSpaceDE w:val="0"/>
              <w:autoSpaceDN w:val="0"/>
              <w:adjustRightInd w:val="0"/>
              <w:snapToGrid w:val="0"/>
              <w:spacing w:line="360" w:lineRule="auto"/>
              <w:ind w:right="-20"/>
              <w:jc w:val="center"/>
              <w:rPr>
                <w:rFonts w:asciiTheme="minorEastAsia" w:hAnsiTheme="minorEastAsia" w:eastAsiaTheme="minorEastAsia"/>
                <w:color w:val="auto"/>
                <w:kern w:val="0"/>
                <w:szCs w:val="21"/>
              </w:rPr>
            </w:pPr>
            <w:r>
              <w:rPr>
                <w:rFonts w:hint="eastAsia" w:cs="微软雅黑" w:asciiTheme="minorEastAsia" w:hAnsiTheme="minorEastAsia" w:eastAsiaTheme="minorEastAsia"/>
                <w:color w:val="auto"/>
                <w:kern w:val="0"/>
                <w:position w:val="-1"/>
                <w:szCs w:val="21"/>
              </w:rPr>
              <w:t>单价</w:t>
            </w:r>
          </w:p>
        </w:tc>
        <w:tc>
          <w:tcPr>
            <w:tcW w:w="516" w:type="pct"/>
            <w:tcBorders>
              <w:top w:val="single" w:color="auto" w:sz="6" w:space="0"/>
              <w:left w:val="single" w:color="auto" w:sz="4" w:space="0"/>
              <w:bottom w:val="single" w:color="auto" w:sz="6" w:space="0"/>
              <w:right w:val="single" w:color="auto" w:sz="6" w:space="0"/>
            </w:tcBorders>
            <w:vAlign w:val="center"/>
          </w:tcPr>
          <w:p w14:paraId="190E3E71">
            <w:pPr>
              <w:autoSpaceDE w:val="0"/>
              <w:autoSpaceDN w:val="0"/>
              <w:adjustRightInd w:val="0"/>
              <w:snapToGrid w:val="0"/>
              <w:spacing w:line="360" w:lineRule="auto"/>
              <w:ind w:left="70" w:right="-20"/>
              <w:jc w:val="center"/>
              <w:rPr>
                <w:rFonts w:asciiTheme="minorEastAsia" w:hAnsiTheme="minorEastAsia" w:eastAsiaTheme="minorEastAsia"/>
                <w:color w:val="auto"/>
                <w:kern w:val="0"/>
                <w:szCs w:val="21"/>
              </w:rPr>
            </w:pPr>
            <w:r>
              <w:rPr>
                <w:rFonts w:hint="eastAsia" w:asciiTheme="minorEastAsia" w:hAnsiTheme="minorEastAsia" w:eastAsiaTheme="minorEastAsia"/>
                <w:color w:val="auto"/>
                <w:kern w:val="0"/>
                <w:szCs w:val="21"/>
              </w:rPr>
              <w:t>小计</w:t>
            </w:r>
          </w:p>
        </w:tc>
        <w:tc>
          <w:tcPr>
            <w:tcW w:w="514" w:type="pct"/>
            <w:vMerge w:val="continue"/>
            <w:tcBorders>
              <w:top w:val="single" w:color="auto" w:sz="6" w:space="0"/>
              <w:left w:val="single" w:color="auto" w:sz="6" w:space="0"/>
              <w:bottom w:val="single" w:color="auto" w:sz="6" w:space="0"/>
              <w:right w:val="double" w:color="auto" w:sz="4" w:space="0"/>
            </w:tcBorders>
          </w:tcPr>
          <w:p w14:paraId="48015CD9">
            <w:pPr>
              <w:autoSpaceDE w:val="0"/>
              <w:autoSpaceDN w:val="0"/>
              <w:adjustRightInd w:val="0"/>
              <w:snapToGrid w:val="0"/>
              <w:spacing w:line="360" w:lineRule="auto"/>
              <w:ind w:left="422" w:right="-20"/>
              <w:jc w:val="left"/>
              <w:rPr>
                <w:rFonts w:asciiTheme="minorEastAsia" w:hAnsiTheme="minorEastAsia" w:eastAsiaTheme="minorEastAsia"/>
                <w:color w:val="auto"/>
                <w:kern w:val="0"/>
                <w:szCs w:val="21"/>
              </w:rPr>
            </w:pPr>
          </w:p>
        </w:tc>
      </w:tr>
      <w:tr w14:paraId="3021B911">
        <w:tblPrEx>
          <w:tblCellMar>
            <w:top w:w="0" w:type="dxa"/>
            <w:left w:w="0" w:type="dxa"/>
            <w:bottom w:w="0" w:type="dxa"/>
            <w:right w:w="0" w:type="dxa"/>
          </w:tblCellMar>
        </w:tblPrEx>
        <w:trPr>
          <w:trHeight w:val="378" w:hRule="exact"/>
        </w:trPr>
        <w:tc>
          <w:tcPr>
            <w:tcW w:w="187" w:type="pct"/>
            <w:tcBorders>
              <w:top w:val="single" w:color="auto" w:sz="6" w:space="0"/>
              <w:left w:val="double" w:color="auto" w:sz="4" w:space="0"/>
              <w:bottom w:val="single" w:color="auto" w:sz="6" w:space="0"/>
              <w:right w:val="single" w:color="auto" w:sz="6" w:space="0"/>
            </w:tcBorders>
            <w:vAlign w:val="center"/>
          </w:tcPr>
          <w:p w14:paraId="60DA7ABA">
            <w:pPr>
              <w:jc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w:t>
            </w:r>
          </w:p>
        </w:tc>
        <w:tc>
          <w:tcPr>
            <w:tcW w:w="779" w:type="pct"/>
            <w:tcBorders>
              <w:top w:val="single" w:color="auto" w:sz="6" w:space="0"/>
              <w:left w:val="single" w:color="auto" w:sz="6" w:space="0"/>
              <w:bottom w:val="single" w:color="auto" w:sz="6" w:space="0"/>
              <w:right w:val="single" w:color="auto" w:sz="6" w:space="0"/>
            </w:tcBorders>
            <w:vAlign w:val="center"/>
          </w:tcPr>
          <w:p w14:paraId="29307BA7">
            <w:pPr>
              <w:autoSpaceDE w:val="0"/>
              <w:autoSpaceDN w:val="0"/>
              <w:adjustRightInd w:val="0"/>
              <w:snapToGrid w:val="0"/>
              <w:spacing w:line="360" w:lineRule="auto"/>
              <w:jc w:val="center"/>
              <w:rPr>
                <w:rFonts w:asciiTheme="minorEastAsia" w:hAnsiTheme="minorEastAsia" w:eastAsiaTheme="minorEastAsia"/>
                <w:color w:val="auto"/>
                <w:kern w:val="0"/>
                <w:szCs w:val="21"/>
              </w:rPr>
            </w:pPr>
          </w:p>
        </w:tc>
        <w:tc>
          <w:tcPr>
            <w:tcW w:w="1198" w:type="pct"/>
            <w:tcBorders>
              <w:top w:val="single" w:color="auto" w:sz="6" w:space="0"/>
              <w:left w:val="single" w:color="auto" w:sz="6" w:space="0"/>
              <w:bottom w:val="single" w:color="auto" w:sz="6" w:space="0"/>
              <w:right w:val="single" w:color="auto" w:sz="4" w:space="0"/>
            </w:tcBorders>
          </w:tcPr>
          <w:p w14:paraId="297167A4">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676" w:type="pct"/>
            <w:tcBorders>
              <w:top w:val="single" w:color="auto" w:sz="6" w:space="0"/>
              <w:left w:val="single" w:color="auto" w:sz="4" w:space="0"/>
              <w:bottom w:val="single" w:color="auto" w:sz="6" w:space="0"/>
              <w:right w:val="single" w:color="auto" w:sz="6" w:space="0"/>
            </w:tcBorders>
          </w:tcPr>
          <w:p w14:paraId="7087797E">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615" w:type="pct"/>
            <w:tcBorders>
              <w:top w:val="single" w:color="auto" w:sz="6" w:space="0"/>
              <w:left w:val="single" w:color="auto" w:sz="6" w:space="0"/>
              <w:bottom w:val="single" w:color="auto" w:sz="6" w:space="0"/>
              <w:right w:val="single" w:color="auto" w:sz="4" w:space="0"/>
            </w:tcBorders>
          </w:tcPr>
          <w:p w14:paraId="547BC800">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2" w:type="pct"/>
            <w:tcBorders>
              <w:top w:val="single" w:color="auto" w:sz="6" w:space="0"/>
              <w:left w:val="single" w:color="auto" w:sz="6" w:space="0"/>
              <w:bottom w:val="single" w:color="auto" w:sz="6" w:space="0"/>
              <w:right w:val="single" w:color="auto" w:sz="6" w:space="0"/>
            </w:tcBorders>
          </w:tcPr>
          <w:p w14:paraId="6E1B077B">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6" w:type="pct"/>
            <w:tcBorders>
              <w:top w:val="single" w:color="auto" w:sz="6" w:space="0"/>
              <w:left w:val="single" w:color="auto" w:sz="6" w:space="0"/>
              <w:bottom w:val="single" w:color="auto" w:sz="6" w:space="0"/>
              <w:right w:val="single" w:color="auto" w:sz="6" w:space="0"/>
            </w:tcBorders>
          </w:tcPr>
          <w:p w14:paraId="613E47ED">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4" w:type="pct"/>
            <w:tcBorders>
              <w:top w:val="single" w:color="auto" w:sz="6" w:space="0"/>
              <w:left w:val="single" w:color="auto" w:sz="6" w:space="0"/>
              <w:bottom w:val="single" w:color="auto" w:sz="6" w:space="0"/>
              <w:right w:val="double" w:color="auto" w:sz="4" w:space="0"/>
            </w:tcBorders>
          </w:tcPr>
          <w:p w14:paraId="587F1175">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r>
      <w:tr w14:paraId="7199684E">
        <w:tblPrEx>
          <w:tblCellMar>
            <w:top w:w="0" w:type="dxa"/>
            <w:left w:w="0" w:type="dxa"/>
            <w:bottom w:w="0" w:type="dxa"/>
            <w:right w:w="0" w:type="dxa"/>
          </w:tblCellMar>
        </w:tblPrEx>
        <w:trPr>
          <w:trHeight w:val="415" w:hRule="exact"/>
        </w:trPr>
        <w:tc>
          <w:tcPr>
            <w:tcW w:w="187" w:type="pct"/>
            <w:tcBorders>
              <w:top w:val="single" w:color="auto" w:sz="6" w:space="0"/>
              <w:left w:val="double" w:color="auto" w:sz="4" w:space="0"/>
              <w:bottom w:val="single" w:color="auto" w:sz="6" w:space="0"/>
              <w:right w:val="single" w:color="auto" w:sz="6" w:space="0"/>
            </w:tcBorders>
            <w:vAlign w:val="center"/>
          </w:tcPr>
          <w:p w14:paraId="0043C18C">
            <w:pPr>
              <w:jc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w:t>
            </w:r>
          </w:p>
        </w:tc>
        <w:tc>
          <w:tcPr>
            <w:tcW w:w="779" w:type="pct"/>
            <w:tcBorders>
              <w:top w:val="single" w:color="auto" w:sz="6" w:space="0"/>
              <w:left w:val="single" w:color="auto" w:sz="6" w:space="0"/>
              <w:bottom w:val="single" w:color="auto" w:sz="6" w:space="0"/>
              <w:right w:val="single" w:color="auto" w:sz="6" w:space="0"/>
            </w:tcBorders>
            <w:vAlign w:val="center"/>
          </w:tcPr>
          <w:p w14:paraId="46363522">
            <w:pPr>
              <w:autoSpaceDE w:val="0"/>
              <w:autoSpaceDN w:val="0"/>
              <w:adjustRightInd w:val="0"/>
              <w:snapToGrid w:val="0"/>
              <w:spacing w:line="360" w:lineRule="auto"/>
              <w:jc w:val="center"/>
              <w:rPr>
                <w:rFonts w:asciiTheme="minorEastAsia" w:hAnsiTheme="minorEastAsia" w:eastAsiaTheme="minorEastAsia"/>
                <w:color w:val="auto"/>
                <w:kern w:val="0"/>
                <w:szCs w:val="21"/>
              </w:rPr>
            </w:pPr>
          </w:p>
        </w:tc>
        <w:tc>
          <w:tcPr>
            <w:tcW w:w="1198" w:type="pct"/>
            <w:tcBorders>
              <w:top w:val="single" w:color="auto" w:sz="6" w:space="0"/>
              <w:left w:val="single" w:color="auto" w:sz="6" w:space="0"/>
              <w:bottom w:val="single" w:color="auto" w:sz="6" w:space="0"/>
              <w:right w:val="single" w:color="auto" w:sz="4" w:space="0"/>
            </w:tcBorders>
          </w:tcPr>
          <w:p w14:paraId="5178736E">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676" w:type="pct"/>
            <w:tcBorders>
              <w:top w:val="single" w:color="auto" w:sz="6" w:space="0"/>
              <w:left w:val="single" w:color="auto" w:sz="4" w:space="0"/>
              <w:bottom w:val="single" w:color="auto" w:sz="6" w:space="0"/>
              <w:right w:val="single" w:color="auto" w:sz="6" w:space="0"/>
            </w:tcBorders>
          </w:tcPr>
          <w:p w14:paraId="495016DC">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615" w:type="pct"/>
            <w:tcBorders>
              <w:top w:val="single" w:color="auto" w:sz="6" w:space="0"/>
              <w:left w:val="single" w:color="auto" w:sz="6" w:space="0"/>
              <w:bottom w:val="single" w:color="auto" w:sz="6" w:space="0"/>
              <w:right w:val="single" w:color="auto" w:sz="4" w:space="0"/>
            </w:tcBorders>
          </w:tcPr>
          <w:p w14:paraId="0E745D88">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2" w:type="pct"/>
            <w:tcBorders>
              <w:top w:val="single" w:color="auto" w:sz="6" w:space="0"/>
              <w:left w:val="single" w:color="auto" w:sz="6" w:space="0"/>
              <w:bottom w:val="single" w:color="auto" w:sz="6" w:space="0"/>
              <w:right w:val="single" w:color="auto" w:sz="6" w:space="0"/>
            </w:tcBorders>
          </w:tcPr>
          <w:p w14:paraId="7C2CAB83">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6" w:type="pct"/>
            <w:tcBorders>
              <w:top w:val="single" w:color="auto" w:sz="6" w:space="0"/>
              <w:left w:val="single" w:color="auto" w:sz="6" w:space="0"/>
              <w:bottom w:val="single" w:color="auto" w:sz="6" w:space="0"/>
              <w:right w:val="single" w:color="auto" w:sz="6" w:space="0"/>
            </w:tcBorders>
          </w:tcPr>
          <w:p w14:paraId="3DA6B049">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4" w:type="pct"/>
            <w:tcBorders>
              <w:top w:val="single" w:color="auto" w:sz="6" w:space="0"/>
              <w:left w:val="single" w:color="auto" w:sz="6" w:space="0"/>
              <w:bottom w:val="single" w:color="auto" w:sz="6" w:space="0"/>
              <w:right w:val="double" w:color="auto" w:sz="4" w:space="0"/>
            </w:tcBorders>
          </w:tcPr>
          <w:p w14:paraId="437A5DD9">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r>
      <w:tr w14:paraId="475B9178">
        <w:tblPrEx>
          <w:tblCellMar>
            <w:top w:w="0" w:type="dxa"/>
            <w:left w:w="0" w:type="dxa"/>
            <w:bottom w:w="0" w:type="dxa"/>
            <w:right w:w="0" w:type="dxa"/>
          </w:tblCellMar>
        </w:tblPrEx>
        <w:trPr>
          <w:trHeight w:val="415" w:hRule="exact"/>
        </w:trPr>
        <w:tc>
          <w:tcPr>
            <w:tcW w:w="187" w:type="pct"/>
            <w:tcBorders>
              <w:top w:val="single" w:color="auto" w:sz="6" w:space="0"/>
              <w:left w:val="double" w:color="auto" w:sz="4" w:space="0"/>
              <w:bottom w:val="single" w:color="auto" w:sz="6" w:space="0"/>
              <w:right w:val="single" w:color="auto" w:sz="6" w:space="0"/>
            </w:tcBorders>
            <w:vAlign w:val="center"/>
          </w:tcPr>
          <w:p w14:paraId="114A0FD6">
            <w:pPr>
              <w:jc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w:t>
            </w:r>
          </w:p>
        </w:tc>
        <w:tc>
          <w:tcPr>
            <w:tcW w:w="779" w:type="pct"/>
            <w:tcBorders>
              <w:top w:val="single" w:color="auto" w:sz="6" w:space="0"/>
              <w:left w:val="single" w:color="auto" w:sz="6" w:space="0"/>
              <w:bottom w:val="single" w:color="auto" w:sz="6" w:space="0"/>
              <w:right w:val="single" w:color="auto" w:sz="6" w:space="0"/>
            </w:tcBorders>
            <w:vAlign w:val="center"/>
          </w:tcPr>
          <w:p w14:paraId="526A5343">
            <w:pPr>
              <w:autoSpaceDE w:val="0"/>
              <w:autoSpaceDN w:val="0"/>
              <w:adjustRightInd w:val="0"/>
              <w:snapToGrid w:val="0"/>
              <w:spacing w:line="360" w:lineRule="auto"/>
              <w:jc w:val="center"/>
              <w:rPr>
                <w:rFonts w:asciiTheme="minorEastAsia" w:hAnsiTheme="minorEastAsia" w:eastAsiaTheme="minorEastAsia"/>
                <w:color w:val="auto"/>
                <w:kern w:val="0"/>
                <w:szCs w:val="21"/>
              </w:rPr>
            </w:pPr>
          </w:p>
        </w:tc>
        <w:tc>
          <w:tcPr>
            <w:tcW w:w="1198" w:type="pct"/>
            <w:tcBorders>
              <w:top w:val="single" w:color="auto" w:sz="6" w:space="0"/>
              <w:left w:val="single" w:color="auto" w:sz="6" w:space="0"/>
              <w:bottom w:val="single" w:color="auto" w:sz="6" w:space="0"/>
              <w:right w:val="single" w:color="auto" w:sz="4" w:space="0"/>
            </w:tcBorders>
          </w:tcPr>
          <w:p w14:paraId="37A6644C">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676" w:type="pct"/>
            <w:tcBorders>
              <w:top w:val="single" w:color="auto" w:sz="6" w:space="0"/>
              <w:left w:val="single" w:color="auto" w:sz="4" w:space="0"/>
              <w:bottom w:val="single" w:color="auto" w:sz="6" w:space="0"/>
              <w:right w:val="single" w:color="auto" w:sz="6" w:space="0"/>
            </w:tcBorders>
          </w:tcPr>
          <w:p w14:paraId="2BF32A36">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615" w:type="pct"/>
            <w:tcBorders>
              <w:top w:val="single" w:color="auto" w:sz="6" w:space="0"/>
              <w:left w:val="single" w:color="auto" w:sz="6" w:space="0"/>
              <w:bottom w:val="single" w:color="auto" w:sz="6" w:space="0"/>
              <w:right w:val="single" w:color="auto" w:sz="4" w:space="0"/>
            </w:tcBorders>
          </w:tcPr>
          <w:p w14:paraId="59705B9F">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2" w:type="pct"/>
            <w:tcBorders>
              <w:top w:val="single" w:color="auto" w:sz="6" w:space="0"/>
              <w:left w:val="single" w:color="auto" w:sz="6" w:space="0"/>
              <w:bottom w:val="single" w:color="auto" w:sz="6" w:space="0"/>
              <w:right w:val="single" w:color="auto" w:sz="6" w:space="0"/>
            </w:tcBorders>
          </w:tcPr>
          <w:p w14:paraId="055BB9A1">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6" w:type="pct"/>
            <w:tcBorders>
              <w:top w:val="single" w:color="auto" w:sz="6" w:space="0"/>
              <w:left w:val="single" w:color="auto" w:sz="6" w:space="0"/>
              <w:bottom w:val="single" w:color="auto" w:sz="6" w:space="0"/>
              <w:right w:val="single" w:color="auto" w:sz="6" w:space="0"/>
            </w:tcBorders>
          </w:tcPr>
          <w:p w14:paraId="65E6635F">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4" w:type="pct"/>
            <w:tcBorders>
              <w:top w:val="single" w:color="auto" w:sz="6" w:space="0"/>
              <w:left w:val="single" w:color="auto" w:sz="6" w:space="0"/>
              <w:bottom w:val="single" w:color="auto" w:sz="6" w:space="0"/>
              <w:right w:val="double" w:color="auto" w:sz="4" w:space="0"/>
            </w:tcBorders>
          </w:tcPr>
          <w:p w14:paraId="672A7A12">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r>
      <w:tr w14:paraId="2FB4959F">
        <w:tblPrEx>
          <w:tblCellMar>
            <w:top w:w="0" w:type="dxa"/>
            <w:left w:w="0" w:type="dxa"/>
            <w:bottom w:w="0" w:type="dxa"/>
            <w:right w:w="0" w:type="dxa"/>
          </w:tblCellMar>
        </w:tblPrEx>
        <w:trPr>
          <w:trHeight w:val="415" w:hRule="exact"/>
        </w:trPr>
        <w:tc>
          <w:tcPr>
            <w:tcW w:w="187" w:type="pct"/>
            <w:tcBorders>
              <w:top w:val="single" w:color="auto" w:sz="6" w:space="0"/>
              <w:left w:val="double" w:color="auto" w:sz="4" w:space="0"/>
              <w:bottom w:val="single" w:color="auto" w:sz="6" w:space="0"/>
              <w:right w:val="single" w:color="auto" w:sz="6" w:space="0"/>
            </w:tcBorders>
            <w:vAlign w:val="center"/>
          </w:tcPr>
          <w:p w14:paraId="63DDA693">
            <w:pPr>
              <w:jc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w:t>
            </w:r>
          </w:p>
        </w:tc>
        <w:tc>
          <w:tcPr>
            <w:tcW w:w="779" w:type="pct"/>
            <w:tcBorders>
              <w:top w:val="single" w:color="auto" w:sz="6" w:space="0"/>
              <w:left w:val="single" w:color="auto" w:sz="6" w:space="0"/>
              <w:bottom w:val="single" w:color="auto" w:sz="6" w:space="0"/>
              <w:right w:val="single" w:color="auto" w:sz="6" w:space="0"/>
            </w:tcBorders>
            <w:vAlign w:val="center"/>
          </w:tcPr>
          <w:p w14:paraId="308B0398">
            <w:pPr>
              <w:autoSpaceDE w:val="0"/>
              <w:autoSpaceDN w:val="0"/>
              <w:adjustRightInd w:val="0"/>
              <w:snapToGrid w:val="0"/>
              <w:spacing w:line="360" w:lineRule="auto"/>
              <w:jc w:val="center"/>
              <w:rPr>
                <w:rFonts w:asciiTheme="minorEastAsia" w:hAnsiTheme="minorEastAsia" w:eastAsiaTheme="minorEastAsia"/>
                <w:color w:val="auto"/>
                <w:kern w:val="0"/>
                <w:szCs w:val="21"/>
              </w:rPr>
            </w:pPr>
          </w:p>
        </w:tc>
        <w:tc>
          <w:tcPr>
            <w:tcW w:w="1198" w:type="pct"/>
            <w:tcBorders>
              <w:top w:val="single" w:color="auto" w:sz="6" w:space="0"/>
              <w:left w:val="single" w:color="auto" w:sz="6" w:space="0"/>
              <w:bottom w:val="single" w:color="auto" w:sz="6" w:space="0"/>
              <w:right w:val="single" w:color="auto" w:sz="4" w:space="0"/>
            </w:tcBorders>
          </w:tcPr>
          <w:p w14:paraId="0C2B9896">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676" w:type="pct"/>
            <w:tcBorders>
              <w:top w:val="single" w:color="auto" w:sz="6" w:space="0"/>
              <w:left w:val="single" w:color="auto" w:sz="4" w:space="0"/>
              <w:bottom w:val="single" w:color="auto" w:sz="6" w:space="0"/>
              <w:right w:val="single" w:color="auto" w:sz="6" w:space="0"/>
            </w:tcBorders>
          </w:tcPr>
          <w:p w14:paraId="1C08B85C">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615" w:type="pct"/>
            <w:tcBorders>
              <w:top w:val="single" w:color="auto" w:sz="6" w:space="0"/>
              <w:left w:val="single" w:color="auto" w:sz="6" w:space="0"/>
              <w:bottom w:val="single" w:color="auto" w:sz="6" w:space="0"/>
              <w:right w:val="single" w:color="auto" w:sz="4" w:space="0"/>
            </w:tcBorders>
          </w:tcPr>
          <w:p w14:paraId="103D6DE4">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2" w:type="pct"/>
            <w:tcBorders>
              <w:top w:val="single" w:color="auto" w:sz="6" w:space="0"/>
              <w:left w:val="single" w:color="auto" w:sz="4" w:space="0"/>
              <w:bottom w:val="single" w:color="auto" w:sz="6" w:space="0"/>
              <w:right w:val="single" w:color="auto" w:sz="6" w:space="0"/>
            </w:tcBorders>
          </w:tcPr>
          <w:p w14:paraId="34F588B9">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6" w:type="pct"/>
            <w:tcBorders>
              <w:top w:val="single" w:color="auto" w:sz="6" w:space="0"/>
              <w:left w:val="single" w:color="auto" w:sz="6" w:space="0"/>
              <w:bottom w:val="single" w:color="auto" w:sz="6" w:space="0"/>
              <w:right w:val="single" w:color="auto" w:sz="6" w:space="0"/>
            </w:tcBorders>
          </w:tcPr>
          <w:p w14:paraId="1B5905D2">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4" w:type="pct"/>
            <w:tcBorders>
              <w:top w:val="single" w:color="auto" w:sz="6" w:space="0"/>
              <w:left w:val="single" w:color="auto" w:sz="6" w:space="0"/>
              <w:bottom w:val="single" w:color="auto" w:sz="6" w:space="0"/>
              <w:right w:val="double" w:color="auto" w:sz="4" w:space="0"/>
            </w:tcBorders>
          </w:tcPr>
          <w:p w14:paraId="75DE9FCC">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r>
      <w:tr w14:paraId="25FD1A90">
        <w:tblPrEx>
          <w:tblCellMar>
            <w:top w:w="0" w:type="dxa"/>
            <w:left w:w="0" w:type="dxa"/>
            <w:bottom w:w="0" w:type="dxa"/>
            <w:right w:w="0" w:type="dxa"/>
          </w:tblCellMar>
        </w:tblPrEx>
        <w:trPr>
          <w:trHeight w:val="415" w:hRule="exact"/>
        </w:trPr>
        <w:tc>
          <w:tcPr>
            <w:tcW w:w="187" w:type="pct"/>
            <w:tcBorders>
              <w:top w:val="single" w:color="auto" w:sz="6" w:space="0"/>
              <w:left w:val="double" w:color="auto" w:sz="4" w:space="0"/>
              <w:bottom w:val="single" w:color="auto" w:sz="6" w:space="0"/>
              <w:right w:val="single" w:color="auto" w:sz="6" w:space="0"/>
            </w:tcBorders>
            <w:vAlign w:val="center"/>
          </w:tcPr>
          <w:p w14:paraId="4ECAD3A3">
            <w:pPr>
              <w:jc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5</w:t>
            </w:r>
          </w:p>
        </w:tc>
        <w:tc>
          <w:tcPr>
            <w:tcW w:w="779" w:type="pct"/>
            <w:tcBorders>
              <w:top w:val="single" w:color="auto" w:sz="6" w:space="0"/>
              <w:left w:val="single" w:color="auto" w:sz="6" w:space="0"/>
              <w:bottom w:val="single" w:color="auto" w:sz="6" w:space="0"/>
              <w:right w:val="single" w:color="auto" w:sz="6" w:space="0"/>
            </w:tcBorders>
            <w:vAlign w:val="center"/>
          </w:tcPr>
          <w:p w14:paraId="0B6FF8B6">
            <w:pPr>
              <w:autoSpaceDE w:val="0"/>
              <w:autoSpaceDN w:val="0"/>
              <w:adjustRightInd w:val="0"/>
              <w:snapToGrid w:val="0"/>
              <w:spacing w:line="360" w:lineRule="auto"/>
              <w:jc w:val="center"/>
              <w:rPr>
                <w:rFonts w:asciiTheme="minorEastAsia" w:hAnsiTheme="minorEastAsia" w:eastAsiaTheme="minorEastAsia"/>
                <w:color w:val="auto"/>
                <w:kern w:val="0"/>
                <w:szCs w:val="21"/>
              </w:rPr>
            </w:pPr>
          </w:p>
        </w:tc>
        <w:tc>
          <w:tcPr>
            <w:tcW w:w="1198" w:type="pct"/>
            <w:tcBorders>
              <w:top w:val="single" w:color="auto" w:sz="6" w:space="0"/>
              <w:left w:val="single" w:color="auto" w:sz="6" w:space="0"/>
              <w:bottom w:val="single" w:color="auto" w:sz="6" w:space="0"/>
              <w:right w:val="single" w:color="auto" w:sz="4" w:space="0"/>
            </w:tcBorders>
          </w:tcPr>
          <w:p w14:paraId="753998E6">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676" w:type="pct"/>
            <w:tcBorders>
              <w:top w:val="single" w:color="auto" w:sz="6" w:space="0"/>
              <w:left w:val="single" w:color="auto" w:sz="4" w:space="0"/>
              <w:bottom w:val="single" w:color="auto" w:sz="6" w:space="0"/>
              <w:right w:val="single" w:color="auto" w:sz="6" w:space="0"/>
            </w:tcBorders>
          </w:tcPr>
          <w:p w14:paraId="3507F05F">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615" w:type="pct"/>
            <w:tcBorders>
              <w:top w:val="single" w:color="auto" w:sz="6" w:space="0"/>
              <w:left w:val="single" w:color="auto" w:sz="6" w:space="0"/>
              <w:bottom w:val="single" w:color="auto" w:sz="6" w:space="0"/>
              <w:right w:val="single" w:color="auto" w:sz="4" w:space="0"/>
            </w:tcBorders>
          </w:tcPr>
          <w:p w14:paraId="449E25A6">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2" w:type="pct"/>
            <w:tcBorders>
              <w:top w:val="single" w:color="auto" w:sz="6" w:space="0"/>
              <w:left w:val="single" w:color="auto" w:sz="4" w:space="0"/>
              <w:bottom w:val="single" w:color="auto" w:sz="6" w:space="0"/>
              <w:right w:val="single" w:color="auto" w:sz="6" w:space="0"/>
            </w:tcBorders>
          </w:tcPr>
          <w:p w14:paraId="456A8C6C">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6" w:type="pct"/>
            <w:tcBorders>
              <w:top w:val="single" w:color="auto" w:sz="6" w:space="0"/>
              <w:left w:val="single" w:color="auto" w:sz="6" w:space="0"/>
              <w:bottom w:val="single" w:color="auto" w:sz="6" w:space="0"/>
              <w:right w:val="single" w:color="auto" w:sz="6" w:space="0"/>
            </w:tcBorders>
          </w:tcPr>
          <w:p w14:paraId="6469A25E">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4" w:type="pct"/>
            <w:tcBorders>
              <w:top w:val="single" w:color="auto" w:sz="6" w:space="0"/>
              <w:left w:val="single" w:color="auto" w:sz="6" w:space="0"/>
              <w:bottom w:val="single" w:color="auto" w:sz="6" w:space="0"/>
              <w:right w:val="double" w:color="auto" w:sz="4" w:space="0"/>
            </w:tcBorders>
          </w:tcPr>
          <w:p w14:paraId="6011164F">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r>
      <w:tr w14:paraId="3BCC17C4">
        <w:tblPrEx>
          <w:tblCellMar>
            <w:top w:w="0" w:type="dxa"/>
            <w:left w:w="0" w:type="dxa"/>
            <w:bottom w:w="0" w:type="dxa"/>
            <w:right w:w="0" w:type="dxa"/>
          </w:tblCellMar>
        </w:tblPrEx>
        <w:trPr>
          <w:trHeight w:val="415" w:hRule="exact"/>
        </w:trPr>
        <w:tc>
          <w:tcPr>
            <w:tcW w:w="187" w:type="pct"/>
            <w:tcBorders>
              <w:top w:val="single" w:color="auto" w:sz="6" w:space="0"/>
              <w:left w:val="double" w:color="auto" w:sz="4" w:space="0"/>
              <w:bottom w:val="single" w:color="auto" w:sz="6" w:space="0"/>
              <w:right w:val="single" w:color="auto" w:sz="6" w:space="0"/>
            </w:tcBorders>
            <w:vAlign w:val="center"/>
          </w:tcPr>
          <w:p w14:paraId="35DC8B6F">
            <w:pPr>
              <w:jc w:val="center"/>
              <w:rPr>
                <w:color w:val="auto"/>
              </w:rPr>
            </w:pPr>
            <w:r>
              <w:rPr>
                <w:color w:val="auto"/>
              </w:rPr>
              <w:t>…</w:t>
            </w:r>
          </w:p>
        </w:tc>
        <w:tc>
          <w:tcPr>
            <w:tcW w:w="779" w:type="pct"/>
            <w:tcBorders>
              <w:top w:val="single" w:color="auto" w:sz="6" w:space="0"/>
              <w:left w:val="single" w:color="auto" w:sz="6" w:space="0"/>
              <w:bottom w:val="single" w:color="auto" w:sz="6" w:space="0"/>
              <w:right w:val="single" w:color="auto" w:sz="6" w:space="0"/>
            </w:tcBorders>
          </w:tcPr>
          <w:p w14:paraId="67FE89CA">
            <w:pPr>
              <w:autoSpaceDE w:val="0"/>
              <w:autoSpaceDN w:val="0"/>
              <w:adjustRightInd w:val="0"/>
              <w:snapToGrid w:val="0"/>
              <w:spacing w:line="360" w:lineRule="auto"/>
              <w:ind w:left="527" w:right="507"/>
              <w:jc w:val="center"/>
              <w:rPr>
                <w:rFonts w:asciiTheme="minorEastAsia" w:hAnsiTheme="minorEastAsia" w:eastAsiaTheme="minorEastAsia"/>
                <w:color w:val="auto"/>
                <w:kern w:val="0"/>
                <w:szCs w:val="21"/>
              </w:rPr>
            </w:pPr>
          </w:p>
        </w:tc>
        <w:tc>
          <w:tcPr>
            <w:tcW w:w="1198" w:type="pct"/>
            <w:tcBorders>
              <w:top w:val="single" w:color="auto" w:sz="6" w:space="0"/>
              <w:left w:val="single" w:color="auto" w:sz="6" w:space="0"/>
              <w:bottom w:val="single" w:color="auto" w:sz="6" w:space="0"/>
              <w:right w:val="single" w:color="auto" w:sz="4" w:space="0"/>
            </w:tcBorders>
          </w:tcPr>
          <w:p w14:paraId="50CE5D0D">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676" w:type="pct"/>
            <w:tcBorders>
              <w:top w:val="single" w:color="auto" w:sz="6" w:space="0"/>
              <w:left w:val="single" w:color="auto" w:sz="4" w:space="0"/>
              <w:bottom w:val="single" w:color="auto" w:sz="6" w:space="0"/>
              <w:right w:val="single" w:color="auto" w:sz="6" w:space="0"/>
            </w:tcBorders>
          </w:tcPr>
          <w:p w14:paraId="37B6DE51">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615" w:type="pct"/>
            <w:tcBorders>
              <w:top w:val="single" w:color="auto" w:sz="6" w:space="0"/>
              <w:left w:val="single" w:color="auto" w:sz="6" w:space="0"/>
              <w:bottom w:val="single" w:color="auto" w:sz="6" w:space="0"/>
              <w:right w:val="single" w:color="auto" w:sz="4" w:space="0"/>
            </w:tcBorders>
          </w:tcPr>
          <w:p w14:paraId="1831F756">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2" w:type="pct"/>
            <w:tcBorders>
              <w:top w:val="single" w:color="auto" w:sz="6" w:space="0"/>
              <w:left w:val="single" w:color="auto" w:sz="4" w:space="0"/>
              <w:bottom w:val="single" w:color="auto" w:sz="6" w:space="0"/>
              <w:right w:val="single" w:color="auto" w:sz="6" w:space="0"/>
            </w:tcBorders>
          </w:tcPr>
          <w:p w14:paraId="3455C513">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6" w:type="pct"/>
            <w:tcBorders>
              <w:top w:val="single" w:color="auto" w:sz="6" w:space="0"/>
              <w:left w:val="single" w:color="auto" w:sz="6" w:space="0"/>
              <w:bottom w:val="single" w:color="auto" w:sz="6" w:space="0"/>
              <w:right w:val="single" w:color="auto" w:sz="6" w:space="0"/>
            </w:tcBorders>
          </w:tcPr>
          <w:p w14:paraId="3337EEF4">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4" w:type="pct"/>
            <w:tcBorders>
              <w:top w:val="single" w:color="auto" w:sz="6" w:space="0"/>
              <w:left w:val="single" w:color="auto" w:sz="6" w:space="0"/>
              <w:bottom w:val="single" w:color="auto" w:sz="6" w:space="0"/>
              <w:right w:val="double" w:color="auto" w:sz="4" w:space="0"/>
            </w:tcBorders>
          </w:tcPr>
          <w:p w14:paraId="27D75924">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r>
      <w:tr w14:paraId="48F45693">
        <w:tblPrEx>
          <w:tblCellMar>
            <w:top w:w="0" w:type="dxa"/>
            <w:left w:w="0" w:type="dxa"/>
            <w:bottom w:w="0" w:type="dxa"/>
            <w:right w:w="0" w:type="dxa"/>
          </w:tblCellMar>
        </w:tblPrEx>
        <w:trPr>
          <w:trHeight w:val="415" w:hRule="exact"/>
        </w:trPr>
        <w:tc>
          <w:tcPr>
            <w:tcW w:w="187" w:type="pct"/>
            <w:tcBorders>
              <w:top w:val="single" w:color="auto" w:sz="6" w:space="0"/>
              <w:left w:val="double" w:color="auto" w:sz="4" w:space="0"/>
              <w:bottom w:val="single" w:color="auto" w:sz="6" w:space="0"/>
              <w:right w:val="single" w:color="auto" w:sz="6" w:space="0"/>
            </w:tcBorders>
            <w:vAlign w:val="center"/>
          </w:tcPr>
          <w:p w14:paraId="6C9AD2A0">
            <w:pPr>
              <w:jc w:val="center"/>
              <w:rPr>
                <w:color w:val="auto"/>
              </w:rPr>
            </w:pPr>
            <w:r>
              <w:rPr>
                <w:color w:val="auto"/>
              </w:rPr>
              <w:t>…</w:t>
            </w:r>
          </w:p>
        </w:tc>
        <w:tc>
          <w:tcPr>
            <w:tcW w:w="779" w:type="pct"/>
            <w:tcBorders>
              <w:top w:val="single" w:color="auto" w:sz="6" w:space="0"/>
              <w:left w:val="single" w:color="auto" w:sz="6" w:space="0"/>
              <w:bottom w:val="single" w:color="auto" w:sz="6" w:space="0"/>
              <w:right w:val="single" w:color="auto" w:sz="6" w:space="0"/>
            </w:tcBorders>
          </w:tcPr>
          <w:p w14:paraId="08498413">
            <w:pPr>
              <w:autoSpaceDE w:val="0"/>
              <w:autoSpaceDN w:val="0"/>
              <w:adjustRightInd w:val="0"/>
              <w:snapToGrid w:val="0"/>
              <w:spacing w:line="360" w:lineRule="auto"/>
              <w:ind w:left="527" w:right="507"/>
              <w:jc w:val="center"/>
              <w:rPr>
                <w:rFonts w:asciiTheme="minorEastAsia" w:hAnsiTheme="minorEastAsia" w:eastAsiaTheme="minorEastAsia"/>
                <w:color w:val="auto"/>
                <w:kern w:val="0"/>
                <w:szCs w:val="21"/>
              </w:rPr>
            </w:pPr>
          </w:p>
        </w:tc>
        <w:tc>
          <w:tcPr>
            <w:tcW w:w="1198" w:type="pct"/>
            <w:tcBorders>
              <w:top w:val="single" w:color="auto" w:sz="6" w:space="0"/>
              <w:left w:val="single" w:color="auto" w:sz="6" w:space="0"/>
              <w:bottom w:val="single" w:color="auto" w:sz="6" w:space="0"/>
              <w:right w:val="single" w:color="auto" w:sz="4" w:space="0"/>
            </w:tcBorders>
          </w:tcPr>
          <w:p w14:paraId="493094EF">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676" w:type="pct"/>
            <w:tcBorders>
              <w:top w:val="single" w:color="auto" w:sz="6" w:space="0"/>
              <w:left w:val="single" w:color="auto" w:sz="4" w:space="0"/>
              <w:bottom w:val="single" w:color="auto" w:sz="6" w:space="0"/>
              <w:right w:val="single" w:color="auto" w:sz="6" w:space="0"/>
            </w:tcBorders>
          </w:tcPr>
          <w:p w14:paraId="242B2FFE">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615" w:type="pct"/>
            <w:tcBorders>
              <w:top w:val="single" w:color="auto" w:sz="6" w:space="0"/>
              <w:left w:val="single" w:color="auto" w:sz="6" w:space="0"/>
              <w:bottom w:val="single" w:color="auto" w:sz="6" w:space="0"/>
              <w:right w:val="single" w:color="auto" w:sz="4" w:space="0"/>
            </w:tcBorders>
          </w:tcPr>
          <w:p w14:paraId="3FDA4D3A">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2" w:type="pct"/>
            <w:tcBorders>
              <w:top w:val="single" w:color="auto" w:sz="6" w:space="0"/>
              <w:left w:val="single" w:color="auto" w:sz="4" w:space="0"/>
              <w:bottom w:val="single" w:color="auto" w:sz="6" w:space="0"/>
              <w:right w:val="single" w:color="auto" w:sz="6" w:space="0"/>
            </w:tcBorders>
          </w:tcPr>
          <w:p w14:paraId="7F7E018E">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6" w:type="pct"/>
            <w:tcBorders>
              <w:top w:val="single" w:color="auto" w:sz="6" w:space="0"/>
              <w:left w:val="single" w:color="auto" w:sz="6" w:space="0"/>
              <w:bottom w:val="single" w:color="auto" w:sz="6" w:space="0"/>
              <w:right w:val="single" w:color="auto" w:sz="6" w:space="0"/>
            </w:tcBorders>
          </w:tcPr>
          <w:p w14:paraId="36B63626">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4" w:type="pct"/>
            <w:tcBorders>
              <w:top w:val="single" w:color="auto" w:sz="6" w:space="0"/>
              <w:left w:val="single" w:color="auto" w:sz="6" w:space="0"/>
              <w:bottom w:val="single" w:color="auto" w:sz="6" w:space="0"/>
              <w:right w:val="double" w:color="auto" w:sz="4" w:space="0"/>
            </w:tcBorders>
          </w:tcPr>
          <w:p w14:paraId="52B4F947">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r>
      <w:tr w14:paraId="3485C3C2">
        <w:tblPrEx>
          <w:tblCellMar>
            <w:top w:w="0" w:type="dxa"/>
            <w:left w:w="0" w:type="dxa"/>
            <w:bottom w:w="0" w:type="dxa"/>
            <w:right w:w="0" w:type="dxa"/>
          </w:tblCellMar>
        </w:tblPrEx>
        <w:trPr>
          <w:trHeight w:val="415" w:hRule="exact"/>
        </w:trPr>
        <w:tc>
          <w:tcPr>
            <w:tcW w:w="5000" w:type="pct"/>
            <w:gridSpan w:val="8"/>
            <w:tcBorders>
              <w:top w:val="single" w:color="auto" w:sz="6" w:space="0"/>
              <w:left w:val="double" w:color="auto" w:sz="4" w:space="0"/>
              <w:bottom w:val="double" w:color="auto" w:sz="4" w:space="0"/>
              <w:right w:val="double" w:color="auto" w:sz="4" w:space="0"/>
            </w:tcBorders>
            <w:vAlign w:val="center"/>
          </w:tcPr>
          <w:p w14:paraId="3B6932B7">
            <w:pPr>
              <w:autoSpaceDE w:val="0"/>
              <w:autoSpaceDN w:val="0"/>
              <w:adjustRightInd w:val="0"/>
              <w:snapToGrid w:val="0"/>
              <w:spacing w:line="360" w:lineRule="auto"/>
              <w:ind w:firstLine="2730" w:firstLineChars="1300"/>
              <w:jc w:val="left"/>
              <w:rPr>
                <w:rFonts w:asciiTheme="minorEastAsia" w:hAnsiTheme="minorEastAsia" w:eastAsiaTheme="minorEastAsia"/>
                <w:color w:val="auto"/>
                <w:kern w:val="0"/>
                <w:szCs w:val="21"/>
              </w:rPr>
            </w:pPr>
            <w:r>
              <w:rPr>
                <w:rFonts w:hint="eastAsia" w:cs="微软雅黑" w:asciiTheme="minorEastAsia" w:hAnsiTheme="minorEastAsia" w:eastAsiaTheme="minorEastAsia"/>
                <w:color w:val="auto"/>
                <w:kern w:val="0"/>
                <w:position w:val="-1"/>
                <w:szCs w:val="21"/>
              </w:rPr>
              <w:t>投标报价（元）：</w:t>
            </w:r>
            <w:r>
              <w:rPr>
                <w:rFonts w:hint="eastAsia" w:cs="微软雅黑" w:asciiTheme="minorEastAsia" w:hAnsiTheme="minorEastAsia" w:eastAsiaTheme="minorEastAsia"/>
                <w:color w:val="auto"/>
                <w:kern w:val="0"/>
                <w:position w:val="-1"/>
                <w:szCs w:val="21"/>
                <w:u w:val="single"/>
              </w:rPr>
              <w:t xml:space="preserve">                   </w:t>
            </w:r>
          </w:p>
        </w:tc>
      </w:tr>
    </w:tbl>
    <w:p w14:paraId="03555CF5">
      <w:pPr>
        <w:adjustRightInd w:val="0"/>
        <w:snapToGrid w:val="0"/>
        <w:spacing w:line="360" w:lineRule="auto"/>
        <w:rPr>
          <w:rFonts w:ascii="宋体" w:hAnsi="宋体"/>
          <w:color w:val="auto"/>
          <w:szCs w:val="21"/>
        </w:rPr>
      </w:pPr>
      <w:r>
        <w:rPr>
          <w:rFonts w:hint="eastAsia" w:ascii="宋体" w:hAnsi="宋体"/>
          <w:color w:val="auto"/>
          <w:szCs w:val="21"/>
        </w:rPr>
        <w:t>备注：</w:t>
      </w:r>
      <w:r>
        <w:rPr>
          <w:rFonts w:hint="eastAsia" w:asciiTheme="minorEastAsia" w:hAnsiTheme="minorEastAsia" w:eastAsiaTheme="minorEastAsia"/>
          <w:color w:val="auto"/>
          <w:szCs w:val="21"/>
        </w:rPr>
        <w:t>（1）</w:t>
      </w:r>
      <w:r>
        <w:rPr>
          <w:rFonts w:hint="eastAsia" w:asciiTheme="minorEastAsia" w:hAnsiTheme="minorEastAsia" w:eastAsiaTheme="minorEastAsia"/>
          <w:b/>
          <w:color w:val="auto"/>
          <w:szCs w:val="21"/>
        </w:rPr>
        <w:t>本表应对应</w:t>
      </w:r>
      <w:r>
        <w:rPr>
          <w:rFonts w:hint="eastAsia" w:ascii="宋体" w:hAnsi="宋体"/>
          <w:color w:val="auto"/>
          <w:szCs w:val="21"/>
        </w:rPr>
        <w:t>“</w:t>
      </w:r>
      <w:r>
        <w:rPr>
          <w:rFonts w:hint="eastAsia" w:asciiTheme="minorEastAsia" w:hAnsiTheme="minorEastAsia" w:eastAsiaTheme="minorEastAsia"/>
          <w:b/>
          <w:color w:val="auto"/>
          <w:szCs w:val="21"/>
        </w:rPr>
        <w:t>报价一览表</w:t>
      </w:r>
      <w:r>
        <w:rPr>
          <w:rFonts w:hint="eastAsia" w:ascii="宋体" w:hAnsi="宋体"/>
          <w:color w:val="auto"/>
          <w:szCs w:val="21"/>
        </w:rPr>
        <w:t>”</w:t>
      </w:r>
      <w:r>
        <w:rPr>
          <w:rFonts w:hint="eastAsia" w:asciiTheme="minorEastAsia" w:hAnsiTheme="minorEastAsia" w:eastAsiaTheme="minorEastAsia"/>
          <w:b/>
          <w:color w:val="auto"/>
          <w:szCs w:val="21"/>
        </w:rPr>
        <w:t>，按包填写</w:t>
      </w:r>
      <w:r>
        <w:rPr>
          <w:rFonts w:hint="eastAsia" w:asciiTheme="minorEastAsia" w:hAnsiTheme="minorEastAsia" w:eastAsiaTheme="minorEastAsia"/>
          <w:color w:val="auto"/>
          <w:szCs w:val="21"/>
        </w:rPr>
        <w:t>。</w:t>
      </w:r>
      <w:r>
        <w:rPr>
          <w:rFonts w:hint="eastAsia" w:ascii="宋体" w:hAnsi="宋体" w:eastAsiaTheme="minorEastAsia"/>
          <w:color w:val="auto"/>
          <w:szCs w:val="21"/>
        </w:rPr>
        <w:t>供应商</w:t>
      </w:r>
      <w:r>
        <w:rPr>
          <w:rFonts w:hint="eastAsia" w:ascii="宋体" w:hAnsi="宋体"/>
          <w:color w:val="auto"/>
          <w:szCs w:val="21"/>
        </w:rPr>
        <w:t>如果不提供分项报价明细表，其</w:t>
      </w:r>
      <w:r>
        <w:rPr>
          <w:rFonts w:hint="eastAsia" w:ascii="宋体" w:hAnsi="宋体"/>
          <w:b/>
          <w:color w:val="auto"/>
          <w:szCs w:val="21"/>
        </w:rPr>
        <w:t>投标无效</w:t>
      </w:r>
      <w:r>
        <w:rPr>
          <w:rFonts w:hint="eastAsia" w:ascii="宋体" w:hAnsi="宋体"/>
          <w:color w:val="auto"/>
          <w:szCs w:val="21"/>
        </w:rPr>
        <w:t>。</w:t>
      </w:r>
    </w:p>
    <w:p w14:paraId="7AE6E63B">
      <w:pPr>
        <w:adjustRightInd w:val="0"/>
        <w:snapToGrid w:val="0"/>
        <w:spacing w:line="360" w:lineRule="auto"/>
        <w:ind w:firstLine="630" w:firstLineChars="300"/>
        <w:rPr>
          <w:rFonts w:ascii="宋体" w:hAnsi="宋体"/>
          <w:color w:val="auto"/>
          <w:szCs w:val="21"/>
        </w:rPr>
      </w:pPr>
      <w:r>
        <w:rPr>
          <w:rFonts w:hint="eastAsia" w:asciiTheme="minorEastAsia" w:hAnsiTheme="minorEastAsia" w:eastAsiaTheme="minorEastAsia"/>
          <w:color w:val="auto"/>
          <w:szCs w:val="21"/>
        </w:rPr>
        <w:t>（2）</w:t>
      </w:r>
      <w:r>
        <w:rPr>
          <w:rFonts w:hint="eastAsia" w:ascii="宋体" w:hAnsi="宋体"/>
          <w:color w:val="auto"/>
          <w:szCs w:val="21"/>
        </w:rPr>
        <w:t>不得填写“免费”或“赠与”，也不得进行“零”报价，否则</w:t>
      </w:r>
      <w:r>
        <w:rPr>
          <w:rFonts w:hint="eastAsia" w:ascii="宋体" w:hAnsi="宋体"/>
          <w:b/>
          <w:color w:val="auto"/>
          <w:szCs w:val="21"/>
        </w:rPr>
        <w:t>投标无效</w:t>
      </w:r>
      <w:r>
        <w:rPr>
          <w:rFonts w:hint="eastAsia" w:ascii="宋体" w:hAnsi="宋体"/>
          <w:color w:val="auto"/>
          <w:szCs w:val="21"/>
        </w:rPr>
        <w:t>。</w:t>
      </w:r>
    </w:p>
    <w:p w14:paraId="6FAE411E">
      <w:pPr>
        <w:adjustRightInd w:val="0"/>
        <w:snapToGrid w:val="0"/>
        <w:spacing w:line="360" w:lineRule="auto"/>
        <w:rPr>
          <w:rFonts w:ascii="宋体" w:hAnsi="宋体"/>
          <w:color w:val="auto"/>
          <w:szCs w:val="21"/>
        </w:rPr>
      </w:pPr>
    </w:p>
    <w:p w14:paraId="4E37815B">
      <w:pPr>
        <w:adjustRightInd w:val="0"/>
        <w:snapToGrid w:val="0"/>
        <w:spacing w:line="360" w:lineRule="auto"/>
        <w:rPr>
          <w:rFonts w:ascii="宋体" w:hAnsi="宋体"/>
          <w:color w:val="auto"/>
          <w:szCs w:val="21"/>
          <w:u w:val="single"/>
        </w:rPr>
      </w:pPr>
      <w:r>
        <w:rPr>
          <w:rFonts w:hint="eastAsia" w:ascii="宋体" w:hAnsi="宋体"/>
          <w:color w:val="auto"/>
          <w:szCs w:val="21"/>
        </w:rPr>
        <w:t>供应商名称（盖单位章）：</w:t>
      </w:r>
      <w:r>
        <w:rPr>
          <w:rFonts w:hint="eastAsia" w:ascii="宋体" w:hAnsi="宋体"/>
          <w:color w:val="auto"/>
          <w:szCs w:val="21"/>
          <w:u w:val="single"/>
        </w:rPr>
        <w:t xml:space="preserve">                              </w:t>
      </w:r>
    </w:p>
    <w:p w14:paraId="24BACFEC">
      <w:pPr>
        <w:adjustRightInd w:val="0"/>
        <w:snapToGrid w:val="0"/>
        <w:spacing w:line="360" w:lineRule="auto"/>
        <w:rPr>
          <w:rFonts w:ascii="宋体" w:hAnsi="宋体"/>
          <w:color w:val="auto"/>
          <w:szCs w:val="21"/>
        </w:rPr>
      </w:pPr>
      <w:r>
        <w:rPr>
          <w:rFonts w:hint="eastAsia" w:cs="微软雅黑" w:asciiTheme="minorEastAsia" w:hAnsiTheme="minorEastAsia" w:eastAsiaTheme="minorEastAsia"/>
          <w:color w:val="auto"/>
          <w:spacing w:val="-2"/>
          <w:kern w:val="0"/>
          <w:szCs w:val="21"/>
        </w:rPr>
        <w:t>法</w:t>
      </w:r>
      <w:r>
        <w:rPr>
          <w:rFonts w:hint="eastAsia" w:cs="微软雅黑" w:asciiTheme="minorEastAsia" w:hAnsiTheme="minorEastAsia" w:eastAsiaTheme="minorEastAsia"/>
          <w:color w:val="auto"/>
          <w:kern w:val="0"/>
          <w:szCs w:val="21"/>
        </w:rPr>
        <w:t>定</w:t>
      </w:r>
      <w:r>
        <w:rPr>
          <w:rFonts w:hint="eastAsia" w:cs="微软雅黑" w:asciiTheme="minorEastAsia" w:hAnsiTheme="minorEastAsia" w:eastAsiaTheme="minorEastAsia"/>
          <w:color w:val="auto"/>
          <w:spacing w:val="-2"/>
          <w:kern w:val="0"/>
          <w:szCs w:val="21"/>
        </w:rPr>
        <w:t>代</w:t>
      </w:r>
      <w:r>
        <w:rPr>
          <w:rFonts w:hint="eastAsia" w:cs="微软雅黑" w:asciiTheme="minorEastAsia" w:hAnsiTheme="minorEastAsia" w:eastAsiaTheme="minorEastAsia"/>
          <w:color w:val="auto"/>
          <w:kern w:val="0"/>
          <w:szCs w:val="21"/>
        </w:rPr>
        <w:t>表</w:t>
      </w:r>
      <w:r>
        <w:rPr>
          <w:rFonts w:hint="eastAsia" w:cs="微软雅黑" w:asciiTheme="minorEastAsia" w:hAnsiTheme="minorEastAsia" w:eastAsiaTheme="minorEastAsia"/>
          <w:color w:val="auto"/>
          <w:spacing w:val="-2"/>
          <w:kern w:val="0"/>
          <w:szCs w:val="21"/>
        </w:rPr>
        <w:t>人</w:t>
      </w:r>
      <w:r>
        <w:rPr>
          <w:rFonts w:hint="eastAsia" w:cs="微软雅黑" w:asciiTheme="minorEastAsia" w:hAnsiTheme="minorEastAsia" w:eastAsiaTheme="minorEastAsia"/>
          <w:color w:val="auto"/>
          <w:kern w:val="0"/>
          <w:szCs w:val="21"/>
        </w:rPr>
        <w:t>（</w:t>
      </w:r>
      <w:r>
        <w:rPr>
          <w:rFonts w:hint="eastAsia" w:cs="微软雅黑" w:asciiTheme="minorEastAsia" w:hAnsiTheme="minorEastAsia" w:eastAsiaTheme="minorEastAsia"/>
          <w:color w:val="auto"/>
          <w:spacing w:val="-2"/>
          <w:kern w:val="0"/>
          <w:szCs w:val="21"/>
        </w:rPr>
        <w:t>单</w:t>
      </w:r>
      <w:r>
        <w:rPr>
          <w:rFonts w:hint="eastAsia" w:cs="微软雅黑" w:asciiTheme="minorEastAsia" w:hAnsiTheme="minorEastAsia" w:eastAsiaTheme="minorEastAsia"/>
          <w:color w:val="auto"/>
          <w:kern w:val="0"/>
          <w:szCs w:val="21"/>
        </w:rPr>
        <w:t>位</w:t>
      </w:r>
      <w:r>
        <w:rPr>
          <w:rFonts w:hint="eastAsia" w:cs="微软雅黑" w:asciiTheme="minorEastAsia" w:hAnsiTheme="minorEastAsia" w:eastAsiaTheme="minorEastAsia"/>
          <w:color w:val="auto"/>
          <w:spacing w:val="-2"/>
          <w:kern w:val="0"/>
          <w:szCs w:val="21"/>
        </w:rPr>
        <w:t>负</w:t>
      </w:r>
      <w:r>
        <w:rPr>
          <w:rFonts w:hint="eastAsia" w:cs="微软雅黑" w:asciiTheme="minorEastAsia" w:hAnsiTheme="minorEastAsia" w:eastAsiaTheme="minorEastAsia"/>
          <w:color w:val="auto"/>
          <w:kern w:val="0"/>
          <w:szCs w:val="21"/>
        </w:rPr>
        <w:t>责人</w:t>
      </w:r>
      <w:r>
        <w:rPr>
          <w:rFonts w:hint="eastAsia" w:cs="微软雅黑" w:asciiTheme="minorEastAsia" w:hAnsiTheme="minorEastAsia" w:eastAsiaTheme="minorEastAsia"/>
          <w:color w:val="auto"/>
          <w:spacing w:val="-2"/>
          <w:kern w:val="0"/>
          <w:szCs w:val="21"/>
        </w:rPr>
        <w:t>）</w:t>
      </w:r>
      <w:r>
        <w:rPr>
          <w:rFonts w:hint="eastAsia" w:ascii="宋体" w:hAnsi="宋体"/>
          <w:color w:val="auto"/>
          <w:szCs w:val="21"/>
        </w:rPr>
        <w:t>或其授权的代理人（签字或印章）：</w:t>
      </w:r>
      <w:r>
        <w:rPr>
          <w:rFonts w:hint="eastAsia" w:ascii="宋体" w:hAnsi="宋体"/>
          <w:color w:val="auto"/>
          <w:szCs w:val="21"/>
          <w:u w:val="single"/>
        </w:rPr>
        <w:t xml:space="preserve">            </w:t>
      </w:r>
    </w:p>
    <w:p w14:paraId="52F3DEA0">
      <w:pPr>
        <w:adjustRightInd w:val="0"/>
        <w:snapToGrid w:val="0"/>
        <w:spacing w:line="360" w:lineRule="auto"/>
        <w:rPr>
          <w:rFonts w:ascii="宋体" w:hAnsi="宋体"/>
          <w:color w:val="auto"/>
          <w:szCs w:val="21"/>
          <w:u w:val="single"/>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7426697C">
      <w:pPr>
        <w:widowControl/>
        <w:jc w:val="left"/>
        <w:rPr>
          <w:rFonts w:ascii="宋体" w:hAnsi="宋体"/>
          <w:color w:val="auto"/>
        </w:rPr>
        <w:sectPr>
          <w:pgSz w:w="16838" w:h="11906" w:orient="landscape"/>
          <w:pgMar w:top="1797" w:right="1440" w:bottom="1797" w:left="1440" w:header="851" w:footer="992" w:gutter="0"/>
          <w:pgBorders>
            <w:top w:val="none" w:sz="0" w:space="0"/>
            <w:left w:val="none" w:sz="0" w:space="0"/>
            <w:bottom w:val="none" w:sz="0" w:space="0"/>
            <w:right w:val="none" w:sz="0" w:space="0"/>
          </w:pgBorders>
          <w:pgNumType w:fmt="numberInDash"/>
          <w:cols w:space="720" w:num="1"/>
          <w:docGrid w:type="linesAndChars" w:linePitch="312" w:charSpace="0"/>
        </w:sectPr>
      </w:pPr>
    </w:p>
    <w:p w14:paraId="7EBC7F8F">
      <w:pPr>
        <w:adjustRightInd w:val="0"/>
        <w:snapToGrid w:val="0"/>
        <w:spacing w:line="360" w:lineRule="auto"/>
        <w:ind w:left="-88" w:leftChars="-42"/>
        <w:jc w:val="center"/>
        <w:outlineLvl w:val="1"/>
        <w:rPr>
          <w:rFonts w:ascii="宋体" w:hAnsi="宋体"/>
          <w:color w:val="auto"/>
          <w:sz w:val="28"/>
          <w:szCs w:val="28"/>
        </w:rPr>
      </w:pPr>
      <w:bookmarkStart w:id="77" w:name="_Toc27461"/>
      <w:bookmarkStart w:id="78" w:name="_Toc979"/>
      <w:bookmarkStart w:id="79" w:name="_Toc7455"/>
      <w:r>
        <w:rPr>
          <w:rFonts w:hint="eastAsia" w:ascii="宋体" w:hAnsi="宋体"/>
          <w:b/>
          <w:color w:val="auto"/>
          <w:sz w:val="32"/>
          <w:szCs w:val="32"/>
        </w:rPr>
        <w:t>八</w:t>
      </w:r>
      <w:r>
        <w:rPr>
          <w:rFonts w:hint="eastAsia" w:ascii="宋体" w:hAnsi="宋体"/>
          <w:b/>
          <w:bCs/>
          <w:color w:val="auto"/>
          <w:sz w:val="32"/>
          <w:szCs w:val="32"/>
        </w:rPr>
        <w:t>、供应商认为需要提供的其它资料</w:t>
      </w:r>
      <w:bookmarkEnd w:id="77"/>
      <w:bookmarkEnd w:id="78"/>
      <w:bookmarkEnd w:id="79"/>
    </w:p>
    <w:p w14:paraId="37AB7773">
      <w:pPr>
        <w:adjustRightInd w:val="0"/>
        <w:snapToGrid w:val="0"/>
        <w:spacing w:before="120" w:beforeLines="50" w:line="360" w:lineRule="auto"/>
        <w:jc w:val="center"/>
        <w:rPr>
          <w:rFonts w:ascii="宋体" w:hAnsi="宋体"/>
          <w:b/>
          <w:color w:val="auto"/>
          <w:sz w:val="24"/>
        </w:rPr>
      </w:pPr>
      <w:r>
        <w:rPr>
          <w:rFonts w:hint="eastAsia" w:ascii="宋体" w:hAnsi="宋体"/>
          <w:b/>
          <w:color w:val="auto"/>
          <w:sz w:val="24"/>
        </w:rPr>
        <w:t>（包括磋商标准中需提供的相关证明材料）</w:t>
      </w:r>
    </w:p>
    <w:p w14:paraId="006A183D">
      <w:pPr>
        <w:adjustRightInd w:val="0"/>
        <w:snapToGrid w:val="0"/>
        <w:spacing w:before="120" w:beforeLines="50" w:line="360" w:lineRule="auto"/>
        <w:jc w:val="center"/>
        <w:rPr>
          <w:rFonts w:ascii="宋体" w:hAnsi="宋体"/>
          <w:b/>
          <w:color w:val="auto"/>
          <w:sz w:val="32"/>
          <w:szCs w:val="32"/>
        </w:rPr>
      </w:pPr>
    </w:p>
    <w:p w14:paraId="2D6DA264">
      <w:pPr>
        <w:adjustRightInd w:val="0"/>
        <w:snapToGrid w:val="0"/>
        <w:spacing w:before="120" w:beforeLines="50" w:line="360" w:lineRule="auto"/>
        <w:jc w:val="center"/>
        <w:rPr>
          <w:rFonts w:ascii="宋体" w:hAnsi="宋体"/>
          <w:b/>
          <w:color w:val="auto"/>
          <w:sz w:val="32"/>
          <w:szCs w:val="32"/>
        </w:rPr>
      </w:pPr>
    </w:p>
    <w:p w14:paraId="308F4A57">
      <w:pPr>
        <w:adjustRightInd w:val="0"/>
        <w:snapToGrid w:val="0"/>
        <w:spacing w:before="120" w:beforeLines="50" w:line="360" w:lineRule="auto"/>
        <w:jc w:val="center"/>
        <w:rPr>
          <w:rFonts w:ascii="宋体" w:hAnsi="宋体"/>
          <w:b/>
          <w:color w:val="auto"/>
          <w:sz w:val="32"/>
          <w:szCs w:val="32"/>
        </w:rPr>
      </w:pPr>
    </w:p>
    <w:p w14:paraId="11CB39E8">
      <w:pPr>
        <w:adjustRightInd w:val="0"/>
        <w:snapToGrid w:val="0"/>
        <w:spacing w:before="120" w:beforeLines="50" w:line="360" w:lineRule="auto"/>
        <w:jc w:val="center"/>
        <w:rPr>
          <w:rFonts w:ascii="宋体" w:hAnsi="宋体"/>
          <w:b/>
          <w:color w:val="auto"/>
          <w:sz w:val="32"/>
          <w:szCs w:val="32"/>
        </w:rPr>
      </w:pPr>
    </w:p>
    <w:p w14:paraId="2899B73C">
      <w:pPr>
        <w:adjustRightInd w:val="0"/>
        <w:snapToGrid w:val="0"/>
        <w:spacing w:before="120" w:beforeLines="50" w:line="360" w:lineRule="auto"/>
        <w:jc w:val="center"/>
        <w:rPr>
          <w:rFonts w:ascii="宋体" w:hAnsi="宋体"/>
          <w:b/>
          <w:color w:val="auto"/>
          <w:sz w:val="32"/>
          <w:szCs w:val="32"/>
        </w:rPr>
      </w:pPr>
    </w:p>
    <w:p w14:paraId="46304789">
      <w:pPr>
        <w:adjustRightInd w:val="0"/>
        <w:snapToGrid w:val="0"/>
        <w:spacing w:before="120" w:beforeLines="50" w:line="360" w:lineRule="auto"/>
        <w:jc w:val="center"/>
        <w:rPr>
          <w:rFonts w:ascii="宋体" w:hAnsi="宋体"/>
          <w:b/>
          <w:color w:val="auto"/>
          <w:sz w:val="32"/>
          <w:szCs w:val="32"/>
        </w:rPr>
      </w:pPr>
    </w:p>
    <w:p w14:paraId="70682C69">
      <w:pPr>
        <w:adjustRightInd w:val="0"/>
        <w:snapToGrid w:val="0"/>
        <w:spacing w:before="120" w:beforeLines="50" w:line="360" w:lineRule="auto"/>
        <w:jc w:val="center"/>
        <w:rPr>
          <w:rFonts w:ascii="宋体" w:hAnsi="宋体"/>
          <w:b/>
          <w:color w:val="auto"/>
          <w:sz w:val="32"/>
          <w:szCs w:val="32"/>
        </w:rPr>
      </w:pPr>
    </w:p>
    <w:p w14:paraId="76B23E52">
      <w:pPr>
        <w:adjustRightInd w:val="0"/>
        <w:snapToGrid w:val="0"/>
        <w:spacing w:before="120" w:beforeLines="50" w:line="360" w:lineRule="auto"/>
        <w:jc w:val="center"/>
        <w:rPr>
          <w:rFonts w:ascii="宋体" w:hAnsi="宋体"/>
          <w:b/>
          <w:color w:val="auto"/>
          <w:sz w:val="32"/>
          <w:szCs w:val="32"/>
        </w:rPr>
      </w:pPr>
    </w:p>
    <w:p w14:paraId="0477A859">
      <w:pPr>
        <w:adjustRightInd w:val="0"/>
        <w:snapToGrid w:val="0"/>
        <w:spacing w:before="120" w:beforeLines="50" w:line="360" w:lineRule="auto"/>
        <w:jc w:val="center"/>
        <w:rPr>
          <w:rFonts w:ascii="宋体" w:hAnsi="宋体"/>
          <w:b/>
          <w:color w:val="auto"/>
          <w:sz w:val="32"/>
          <w:szCs w:val="32"/>
        </w:rPr>
      </w:pPr>
    </w:p>
    <w:p w14:paraId="5456B103">
      <w:pPr>
        <w:adjustRightInd w:val="0"/>
        <w:snapToGrid w:val="0"/>
        <w:spacing w:before="120" w:beforeLines="50" w:line="360" w:lineRule="auto"/>
        <w:jc w:val="center"/>
        <w:rPr>
          <w:rFonts w:ascii="宋体" w:hAnsi="宋体"/>
          <w:b/>
          <w:color w:val="auto"/>
          <w:sz w:val="32"/>
          <w:szCs w:val="32"/>
        </w:rPr>
      </w:pPr>
    </w:p>
    <w:p w14:paraId="464181EE">
      <w:pPr>
        <w:adjustRightInd w:val="0"/>
        <w:snapToGrid w:val="0"/>
        <w:spacing w:before="120" w:beforeLines="50" w:line="360" w:lineRule="auto"/>
        <w:jc w:val="center"/>
        <w:rPr>
          <w:rFonts w:ascii="宋体" w:hAnsi="宋体"/>
          <w:b/>
          <w:color w:val="auto"/>
          <w:sz w:val="32"/>
          <w:szCs w:val="32"/>
        </w:rPr>
      </w:pPr>
    </w:p>
    <w:p w14:paraId="45FB0AD5">
      <w:pPr>
        <w:adjustRightInd w:val="0"/>
        <w:snapToGrid w:val="0"/>
        <w:spacing w:before="120" w:beforeLines="50" w:line="360" w:lineRule="auto"/>
        <w:jc w:val="center"/>
        <w:rPr>
          <w:rFonts w:ascii="宋体" w:hAnsi="宋体"/>
          <w:b/>
          <w:color w:val="auto"/>
          <w:sz w:val="32"/>
          <w:szCs w:val="32"/>
        </w:rPr>
      </w:pPr>
    </w:p>
    <w:p w14:paraId="4728E838">
      <w:pPr>
        <w:adjustRightInd w:val="0"/>
        <w:snapToGrid w:val="0"/>
        <w:spacing w:before="120" w:beforeLines="50" w:line="360" w:lineRule="auto"/>
        <w:jc w:val="center"/>
        <w:rPr>
          <w:rFonts w:ascii="宋体" w:hAnsi="宋体"/>
          <w:b/>
          <w:color w:val="auto"/>
          <w:sz w:val="32"/>
          <w:szCs w:val="32"/>
        </w:rPr>
      </w:pPr>
    </w:p>
    <w:p w14:paraId="1F4DCB9A">
      <w:pPr>
        <w:adjustRightInd w:val="0"/>
        <w:snapToGrid w:val="0"/>
        <w:spacing w:before="120" w:beforeLines="50" w:line="360" w:lineRule="auto"/>
        <w:jc w:val="center"/>
        <w:rPr>
          <w:rFonts w:ascii="宋体" w:hAnsi="宋体"/>
          <w:b/>
          <w:color w:val="auto"/>
          <w:sz w:val="32"/>
          <w:szCs w:val="32"/>
        </w:rPr>
      </w:pPr>
    </w:p>
    <w:p w14:paraId="56A2E2BE">
      <w:pPr>
        <w:adjustRightInd w:val="0"/>
        <w:snapToGrid w:val="0"/>
        <w:spacing w:before="120" w:beforeLines="50" w:line="360" w:lineRule="auto"/>
        <w:jc w:val="center"/>
        <w:rPr>
          <w:rFonts w:ascii="宋体" w:hAnsi="宋体"/>
          <w:b/>
          <w:color w:val="auto"/>
          <w:sz w:val="32"/>
          <w:szCs w:val="32"/>
        </w:rPr>
      </w:pPr>
    </w:p>
    <w:p w14:paraId="6D135DD1">
      <w:pPr>
        <w:adjustRightInd w:val="0"/>
        <w:snapToGrid w:val="0"/>
        <w:spacing w:before="120" w:beforeLines="50" w:line="360" w:lineRule="auto"/>
        <w:jc w:val="center"/>
        <w:rPr>
          <w:rFonts w:ascii="宋体" w:hAnsi="宋体"/>
          <w:b/>
          <w:color w:val="auto"/>
          <w:sz w:val="32"/>
          <w:szCs w:val="32"/>
        </w:rPr>
      </w:pPr>
    </w:p>
    <w:p w14:paraId="2EC6B684">
      <w:pPr>
        <w:adjustRightInd w:val="0"/>
        <w:snapToGrid w:val="0"/>
        <w:spacing w:before="120" w:beforeLines="50" w:line="360" w:lineRule="auto"/>
        <w:jc w:val="center"/>
        <w:rPr>
          <w:rFonts w:ascii="宋体" w:hAnsi="宋体"/>
          <w:b/>
          <w:color w:val="auto"/>
          <w:sz w:val="32"/>
          <w:szCs w:val="32"/>
        </w:rPr>
      </w:pPr>
    </w:p>
    <w:p w14:paraId="3C3FF313">
      <w:pPr>
        <w:adjustRightInd w:val="0"/>
        <w:snapToGrid w:val="0"/>
        <w:spacing w:before="120" w:beforeLines="50" w:line="360" w:lineRule="auto"/>
        <w:jc w:val="center"/>
        <w:outlineLvl w:val="1"/>
        <w:rPr>
          <w:rFonts w:ascii="宋体" w:hAnsi="宋体"/>
          <w:b/>
          <w:color w:val="auto"/>
          <w:sz w:val="32"/>
          <w:szCs w:val="32"/>
        </w:rPr>
      </w:pPr>
      <w:bookmarkStart w:id="80" w:name="_Toc26212"/>
      <w:bookmarkStart w:id="81" w:name="_Toc12010"/>
      <w:bookmarkStart w:id="82" w:name="_Toc12492"/>
      <w:r>
        <w:rPr>
          <w:rFonts w:hint="eastAsia" w:ascii="宋体" w:hAnsi="宋体"/>
          <w:b/>
          <w:color w:val="auto"/>
          <w:sz w:val="32"/>
          <w:szCs w:val="32"/>
        </w:rPr>
        <w:t>九、最后报价</w:t>
      </w:r>
      <w:bookmarkEnd w:id="80"/>
      <w:bookmarkEnd w:id="81"/>
      <w:bookmarkEnd w:id="82"/>
    </w:p>
    <w:p w14:paraId="586A916B">
      <w:pPr>
        <w:adjustRightInd w:val="0"/>
        <w:snapToGrid w:val="0"/>
        <w:ind w:left="-88" w:leftChars="-42"/>
        <w:rPr>
          <w:rFonts w:ascii="宋体" w:hAnsi="宋体"/>
          <w:color w:val="auto"/>
          <w:szCs w:val="21"/>
        </w:rPr>
      </w:pPr>
    </w:p>
    <w:p w14:paraId="06D0CA16">
      <w:pPr>
        <w:adjustRightInd w:val="0"/>
        <w:snapToGrid w:val="0"/>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说明：最后报价按第二章磋商须知第29条规定提供。格式按第一次报价格式（见附件9，含分项价格表）。</w:t>
      </w:r>
    </w:p>
    <w:p w14:paraId="10B476C0">
      <w:pPr>
        <w:adjustRightInd w:val="0"/>
        <w:snapToGrid w:val="0"/>
        <w:spacing w:line="360" w:lineRule="auto"/>
        <w:ind w:firstLine="480" w:firstLineChars="200"/>
        <w:rPr>
          <w:rFonts w:ascii="宋体" w:hAnsi="宋体"/>
          <w:color w:val="auto"/>
          <w:sz w:val="24"/>
        </w:rPr>
      </w:pPr>
      <w:r>
        <w:rPr>
          <w:rFonts w:hint="eastAsia" w:ascii="仿宋" w:hAnsi="仿宋" w:eastAsia="仿宋" w:cs="仿宋"/>
          <w:color w:val="auto"/>
          <w:sz w:val="24"/>
        </w:rPr>
        <w:t>最后报价由各供应商先行加盖公章，不得装订入磋商响应文件中，由各供应商参加磋商的授权代表带至磋商现场，磋商后填写，请各供应商先行加盖单位公章。</w:t>
      </w:r>
    </w:p>
    <w:p w14:paraId="09F8C349">
      <w:pPr>
        <w:rPr>
          <w:color w:val="auto"/>
          <w:szCs w:val="20"/>
        </w:rPr>
      </w:pPr>
    </w:p>
    <w:p w14:paraId="716C8CE1">
      <w:pPr>
        <w:adjustRightInd w:val="0"/>
        <w:snapToGrid w:val="0"/>
        <w:spacing w:before="120" w:beforeLines="50" w:line="360" w:lineRule="auto"/>
        <w:jc w:val="center"/>
        <w:rPr>
          <w:rFonts w:ascii="宋体" w:hAnsi="宋体"/>
          <w:b/>
          <w:color w:val="auto"/>
          <w:sz w:val="32"/>
          <w:szCs w:val="32"/>
        </w:rPr>
      </w:pPr>
    </w:p>
    <w:p w14:paraId="584CBC70">
      <w:pPr>
        <w:adjustRightInd w:val="0"/>
        <w:snapToGrid w:val="0"/>
        <w:spacing w:before="120" w:beforeLines="50" w:line="360" w:lineRule="auto"/>
        <w:jc w:val="center"/>
        <w:rPr>
          <w:rFonts w:ascii="宋体" w:hAnsi="宋体"/>
          <w:b/>
          <w:color w:val="auto"/>
          <w:sz w:val="32"/>
          <w:szCs w:val="32"/>
        </w:rPr>
      </w:pPr>
    </w:p>
    <w:p w14:paraId="2C1486C9">
      <w:pPr>
        <w:adjustRightInd w:val="0"/>
        <w:snapToGrid w:val="0"/>
        <w:spacing w:before="120" w:beforeLines="50" w:line="360" w:lineRule="auto"/>
        <w:jc w:val="center"/>
        <w:rPr>
          <w:rFonts w:ascii="宋体" w:hAnsi="宋体"/>
          <w:b/>
          <w:color w:val="auto"/>
          <w:sz w:val="32"/>
          <w:szCs w:val="32"/>
        </w:rPr>
      </w:pPr>
    </w:p>
    <w:p w14:paraId="54F880E4">
      <w:pPr>
        <w:adjustRightInd w:val="0"/>
        <w:snapToGrid w:val="0"/>
        <w:spacing w:before="120" w:beforeLines="50" w:line="360" w:lineRule="auto"/>
        <w:jc w:val="center"/>
        <w:rPr>
          <w:rFonts w:ascii="宋体" w:hAnsi="宋体"/>
          <w:b/>
          <w:color w:val="auto"/>
          <w:sz w:val="32"/>
          <w:szCs w:val="32"/>
        </w:rPr>
      </w:pPr>
    </w:p>
    <w:p w14:paraId="2A3744E0">
      <w:pPr>
        <w:adjustRightInd w:val="0"/>
        <w:snapToGrid w:val="0"/>
        <w:spacing w:before="120" w:beforeLines="50" w:line="360" w:lineRule="auto"/>
        <w:jc w:val="center"/>
        <w:rPr>
          <w:rFonts w:ascii="宋体" w:hAnsi="宋体"/>
          <w:b/>
          <w:color w:val="auto"/>
          <w:sz w:val="32"/>
          <w:szCs w:val="32"/>
        </w:rPr>
      </w:pPr>
    </w:p>
    <w:p w14:paraId="2DFDCC0B">
      <w:pPr>
        <w:adjustRightInd w:val="0"/>
        <w:snapToGrid w:val="0"/>
        <w:spacing w:before="120" w:beforeLines="50" w:line="360" w:lineRule="auto"/>
        <w:jc w:val="center"/>
        <w:rPr>
          <w:rFonts w:ascii="宋体" w:hAnsi="宋体"/>
          <w:b/>
          <w:color w:val="auto"/>
          <w:sz w:val="32"/>
          <w:szCs w:val="32"/>
        </w:rPr>
      </w:pPr>
    </w:p>
    <w:p w14:paraId="3B2F51BE">
      <w:pPr>
        <w:adjustRightInd w:val="0"/>
        <w:snapToGrid w:val="0"/>
        <w:spacing w:before="120" w:beforeLines="50" w:line="360" w:lineRule="auto"/>
        <w:jc w:val="center"/>
        <w:rPr>
          <w:rFonts w:ascii="宋体" w:hAnsi="宋体"/>
          <w:b/>
          <w:color w:val="auto"/>
          <w:sz w:val="32"/>
          <w:szCs w:val="32"/>
        </w:rPr>
      </w:pPr>
    </w:p>
    <w:p w14:paraId="2478CA28">
      <w:pPr>
        <w:adjustRightInd w:val="0"/>
        <w:snapToGrid w:val="0"/>
        <w:spacing w:before="120" w:beforeLines="50" w:line="360" w:lineRule="auto"/>
        <w:jc w:val="center"/>
        <w:rPr>
          <w:rFonts w:ascii="宋体" w:hAnsi="宋体"/>
          <w:b/>
          <w:color w:val="auto"/>
          <w:sz w:val="32"/>
          <w:szCs w:val="32"/>
        </w:rPr>
      </w:pPr>
    </w:p>
    <w:p w14:paraId="0E8684E7">
      <w:pPr>
        <w:adjustRightInd w:val="0"/>
        <w:snapToGrid w:val="0"/>
        <w:spacing w:before="120" w:beforeLines="50" w:line="360" w:lineRule="auto"/>
        <w:jc w:val="center"/>
        <w:rPr>
          <w:rFonts w:ascii="宋体" w:hAnsi="宋体"/>
          <w:b/>
          <w:color w:val="auto"/>
          <w:sz w:val="32"/>
          <w:szCs w:val="32"/>
        </w:rPr>
      </w:pPr>
    </w:p>
    <w:p w14:paraId="48FF0F42">
      <w:pPr>
        <w:adjustRightInd w:val="0"/>
        <w:snapToGrid w:val="0"/>
        <w:spacing w:before="120" w:beforeLines="50" w:line="360" w:lineRule="auto"/>
        <w:jc w:val="center"/>
        <w:rPr>
          <w:rFonts w:ascii="宋体" w:hAnsi="宋体"/>
          <w:b/>
          <w:color w:val="auto"/>
          <w:sz w:val="32"/>
          <w:szCs w:val="32"/>
        </w:rPr>
      </w:pPr>
    </w:p>
    <w:p w14:paraId="79E8D4B4">
      <w:pPr>
        <w:adjustRightInd w:val="0"/>
        <w:snapToGrid w:val="0"/>
        <w:spacing w:before="120" w:beforeLines="50" w:line="360" w:lineRule="auto"/>
        <w:jc w:val="center"/>
        <w:rPr>
          <w:rFonts w:ascii="宋体" w:hAnsi="宋体"/>
          <w:b/>
          <w:color w:val="auto"/>
          <w:sz w:val="32"/>
          <w:szCs w:val="32"/>
        </w:rPr>
      </w:pPr>
    </w:p>
    <w:p w14:paraId="72E92A6F">
      <w:pPr>
        <w:adjustRightInd w:val="0"/>
        <w:snapToGrid w:val="0"/>
        <w:spacing w:before="120" w:beforeLines="50" w:line="360" w:lineRule="auto"/>
        <w:jc w:val="center"/>
        <w:rPr>
          <w:rFonts w:ascii="宋体" w:hAnsi="宋体"/>
          <w:b/>
          <w:color w:val="auto"/>
          <w:sz w:val="32"/>
          <w:szCs w:val="32"/>
        </w:rPr>
      </w:pPr>
    </w:p>
    <w:p w14:paraId="762EA348">
      <w:pPr>
        <w:rPr>
          <w:color w:val="auto"/>
          <w:szCs w:val="20"/>
        </w:rPr>
      </w:pPr>
    </w:p>
    <w:sectPr>
      <w:headerReference r:id="rId8" w:type="default"/>
      <w:footerReference r:id="rId9" w:type="default"/>
      <w:pgSz w:w="11906" w:h="16838"/>
      <w:pgMar w:top="1440" w:right="1803" w:bottom="1440" w:left="1803" w:header="851" w:footer="992" w:gutter="0"/>
      <w:pgBorders>
        <w:top w:val="none" w:sz="0" w:space="0"/>
        <w:left w:val="none" w:sz="0" w:space="0"/>
        <w:bottom w:val="none" w:sz="0" w:space="0"/>
        <w:right w:val="none" w:sz="0" w:space="0"/>
      </w:pgBorders>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E0EC68A-2080-47C8-B167-864E7DBFB0C8}"/>
  </w:font>
  <w:font w:name="黑体">
    <w:panose1 w:val="02010609060101010101"/>
    <w:charset w:val="86"/>
    <w:family w:val="auto"/>
    <w:pitch w:val="default"/>
    <w:sig w:usb0="800002BF" w:usb1="38CF7CFA" w:usb2="00000016" w:usb3="00000000" w:csb0="00040001" w:csb1="00000000"/>
    <w:embedRegular r:id="rId2" w:fontKey="{8559FA73-6F0F-4196-B9E8-52D7E2C5B885}"/>
  </w:font>
  <w:font w:name="Courier New">
    <w:panose1 w:val="02070309020205020404"/>
    <w:charset w:val="01"/>
    <w:family w:val="modern"/>
    <w:pitch w:val="default"/>
    <w:sig w:usb0="E0002EFF" w:usb1="C0007843" w:usb2="00000009" w:usb3="00000000" w:csb0="400001FF" w:csb1="FFFF0000"/>
    <w:embedRegular r:id="rId3" w:fontKey="{8F8652F7-0C4F-4B99-BF4A-9101F9DC8831}"/>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embedRegular r:id="rId4" w:fontKey="{7A274EA8-D23E-41F6-9AC6-1206EC25773D}"/>
  </w:font>
  <w:font w:name="仿宋_GB2312">
    <w:panose1 w:val="02010609030101010101"/>
    <w:charset w:val="86"/>
    <w:family w:val="modern"/>
    <w:pitch w:val="default"/>
    <w:sig w:usb0="00000001" w:usb1="080E0000" w:usb2="00000000" w:usb3="00000000" w:csb0="00040000" w:csb1="00000000"/>
    <w:embedRegular r:id="rId5" w:fontKey="{BCE67E55-79E2-41C5-9287-27534014AA04}"/>
  </w:font>
  <w:font w:name="楷体_GB2312">
    <w:panose1 w:val="02010609030101010101"/>
    <w:charset w:val="86"/>
    <w:family w:val="modern"/>
    <w:pitch w:val="default"/>
    <w:sig w:usb0="00000001" w:usb1="080E0000" w:usb2="00000000" w:usb3="00000000" w:csb0="00040000" w:csb1="00000000"/>
    <w:embedRegular r:id="rId6" w:fontKey="{15D6110D-E185-4486-A27D-2E926B7F5763}"/>
  </w:font>
  <w:font w:name="华文中宋">
    <w:panose1 w:val="02010600040101010101"/>
    <w:charset w:val="86"/>
    <w:family w:val="auto"/>
    <w:pitch w:val="default"/>
    <w:sig w:usb0="00000287" w:usb1="080F0000" w:usb2="00000000" w:usb3="00000000" w:csb0="0004009F" w:csb1="DFD70000"/>
    <w:embedRegular r:id="rId7" w:fontKey="{9F2B3AA5-0DC9-4390-8BEE-92B995EAA3D9}"/>
  </w:font>
  <w:font w:name="Cambria">
    <w:panose1 w:val="02040503050406030204"/>
    <w:charset w:val="00"/>
    <w:family w:val="roman"/>
    <w:pitch w:val="default"/>
    <w:sig w:usb0="E00006FF" w:usb1="420024FF" w:usb2="02000000" w:usb3="00000000" w:csb0="2000019F" w:csb1="00000000"/>
  </w:font>
  <w:font w:name="Arail">
    <w:altName w:val="Times New Roman"/>
    <w:panose1 w:val="00000000000000000000"/>
    <w:charset w:val="00"/>
    <w:family w:val="roman"/>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roman"/>
    <w:pitch w:val="default"/>
    <w:sig w:usb0="00000000" w:usb1="00000000" w:usb2="0000007F" w:usb3="00000000" w:csb0="203F01FF" w:csb1="DFFF0000"/>
  </w:font>
  <w:font w:name="长城仿宋">
    <w:altName w:val="微软雅黑"/>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embedRegular r:id="rId8" w:fontKey="{1703663B-0C8D-434E-B41A-02E6B6929274}"/>
  </w:font>
  <w:font w:name="仿宋">
    <w:panose1 w:val="02010609060101010101"/>
    <w:charset w:val="86"/>
    <w:family w:val="modern"/>
    <w:pitch w:val="default"/>
    <w:sig w:usb0="800002BF" w:usb1="38CF7CFA" w:usb2="00000016" w:usb3="00000000" w:csb0="00040001" w:csb1="00000000"/>
    <w:embedRegular r:id="rId9" w:fontKey="{4C4A5ACB-A674-42A5-99FB-6240298B90BA}"/>
  </w:font>
  <w:font w:name="方正大标宋简体">
    <w:panose1 w:val="02000000000000000000"/>
    <w:charset w:val="86"/>
    <w:family w:val="auto"/>
    <w:pitch w:val="default"/>
    <w:sig w:usb0="A00002BF" w:usb1="184F6CFA" w:usb2="00000012" w:usb3="00000000" w:csb0="00040001" w:csb1="00000000"/>
    <w:embedRegular r:id="rId10" w:fontKey="{262EE097-B702-469E-A0C5-D8C8F6377648}"/>
  </w:font>
  <w:font w:name="ˎ̥">
    <w:altName w:val="Times New Roman"/>
    <w:panose1 w:val="00000000000000000000"/>
    <w:charset w:val="00"/>
    <w:family w:val="roman"/>
    <w:pitch w:val="default"/>
    <w:sig w:usb0="00000000" w:usb1="00000000" w:usb2="00000000" w:usb3="00000000" w:csb0="00040001" w:csb1="00000000"/>
    <w:embedRegular r:id="rId11" w:fontKey="{F4F6F74E-CFBC-4F5E-B927-7656584AD5CA}"/>
  </w:font>
  <w:font w:name="华文行楷">
    <w:panose1 w:val="02010800040101010101"/>
    <w:charset w:val="86"/>
    <w:family w:val="auto"/>
    <w:pitch w:val="default"/>
    <w:sig w:usb0="00000001" w:usb1="080F0000" w:usb2="00000000" w:usb3="00000000" w:csb0="00040000" w:csb1="00000000"/>
    <w:embedRegular r:id="rId12" w:fontKey="{AA24A5A9-B643-4F7C-8F09-346FC5AACECD}"/>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6B41C">
    <w:pPr>
      <w:pStyle w:val="33"/>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238125" cy="139700"/>
              <wp:effectExtent l="0" t="0" r="0" b="0"/>
              <wp:wrapNone/>
              <wp:docPr id="5" name="Text Box 1026"/>
              <wp:cNvGraphicFramePr/>
              <a:graphic xmlns:a="http://schemas.openxmlformats.org/drawingml/2006/main">
                <a:graphicData uri="http://schemas.microsoft.com/office/word/2010/wordprocessingShape">
                  <wps:wsp>
                    <wps:cNvSpPr txBox="1">
                      <a:spLocks noChangeArrowheads="1"/>
                    </wps:cNvSpPr>
                    <wps:spPr bwMode="auto">
                      <a:xfrm>
                        <a:off x="0" y="0"/>
                        <a:ext cx="238125" cy="139700"/>
                      </a:xfrm>
                      <a:prstGeom prst="rect">
                        <a:avLst/>
                      </a:prstGeom>
                      <a:noFill/>
                      <a:ln>
                        <a:noFill/>
                      </a:ln>
                    </wps:spPr>
                    <wps:txbx>
                      <w:txbxContent>
                        <w:p w14:paraId="1937A900">
                          <w:pPr>
                            <w:pStyle w:val="33"/>
                          </w:pPr>
                          <w:r>
                            <w:fldChar w:fldCharType="begin"/>
                          </w:r>
                          <w:r>
                            <w:instrText xml:space="preserve"> PAGE  \* MERGEFORMAT </w:instrText>
                          </w:r>
                          <w:r>
                            <w:fldChar w:fldCharType="separate"/>
                          </w:r>
                          <w:r>
                            <w:t>- 28 -</w:t>
                          </w:r>
                          <w:r>
                            <w:fldChar w:fldCharType="end"/>
                          </w:r>
                        </w:p>
                      </w:txbxContent>
                    </wps:txbx>
                    <wps:bodyPr rot="0" vert="horz" wrap="none" lIns="0" tIns="0" rIns="0" bIns="0" anchor="t" anchorCtr="0" upright="1">
                      <a:spAutoFit/>
                    </wps:bodyPr>
                  </wps:wsp>
                </a:graphicData>
              </a:graphic>
            </wp:anchor>
          </w:drawing>
        </mc:Choice>
        <mc:Fallback>
          <w:pict>
            <v:shape id="Text Box 1026" o:spid="_x0000_s1026" o:spt="202" type="#_x0000_t202" style="position:absolute;left:0pt;margin-top:0pt;height:11pt;width:18.75pt;mso-position-horizontal:right;mso-position-horizontal-relative:margin;mso-wrap-style:none;z-index:251659264;mso-width-relative:page;mso-height-relative:page;" filled="f" stroked="f" coordsize="21600,21600" o:gfxdata="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LaZmfRAAAAAwEAAA8AAAAAAAAAAQAgAAAAIgAAAGRycy9kb3ducmV2LnhtbFBL&#10;AQIUABQAAAAIAIdO4kAWzium/QEAAAQEAAAOAAAAAAAAAAEAIAAAACABAABkcnMvZTJvRG9jLnht&#10;bFBLBQYAAAAABgAGAFkBAACPBQAAAAA=&#10;">
              <v:fill on="f" focussize="0,0"/>
              <v:stroke on="f"/>
              <v:imagedata o:title=""/>
              <o:lock v:ext="edit" aspectratio="f"/>
              <v:textbox inset="0mm,0mm,0mm,0mm" style="mso-fit-shape-to-text:t;">
                <w:txbxContent>
                  <w:p w14:paraId="1937A900">
                    <w:pPr>
                      <w:pStyle w:val="33"/>
                    </w:pPr>
                    <w:r>
                      <w:fldChar w:fldCharType="begin"/>
                    </w:r>
                    <w:r>
                      <w:instrText xml:space="preserve"> PAGE  \* MERGEFORMAT </w:instrText>
                    </w:r>
                    <w:r>
                      <w:fldChar w:fldCharType="separate"/>
                    </w:r>
                    <w:r>
                      <w:t>- 28 -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27979">
    <w:pPr>
      <w:pStyle w:val="33"/>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79705" cy="139700"/>
              <wp:effectExtent l="0" t="0" r="0" b="0"/>
              <wp:wrapNone/>
              <wp:docPr id="4"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179705" cy="139700"/>
                      </a:xfrm>
                      <a:prstGeom prst="rect">
                        <a:avLst/>
                      </a:prstGeom>
                      <a:noFill/>
                      <a:ln>
                        <a:noFill/>
                      </a:ln>
                    </wps:spPr>
                    <wps:txbx>
                      <w:txbxContent>
                        <w:p w14:paraId="2959CAFD">
                          <w:pPr>
                            <w:pStyle w:val="33"/>
                          </w:pPr>
                          <w:r>
                            <w:fldChar w:fldCharType="begin"/>
                          </w:r>
                          <w:r>
                            <w:instrText xml:space="preserve"> PAGE  \* MERGEFORMAT </w:instrText>
                          </w:r>
                          <w:r>
                            <w:fldChar w:fldCharType="separate"/>
                          </w:r>
                          <w:r>
                            <w:t>- 1 -</w:t>
                          </w:r>
                          <w:r>
                            <w:fldChar w:fldCharType="end"/>
                          </w: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11pt;width:14.15pt;mso-position-horizontal:right;mso-position-horizontal-relative:margin;mso-wrap-style:none;z-index:251660288;mso-width-relative:page;mso-height-relative:page;" filled="f" stroked="f" coordsize="21600,21600" o:gfxdata="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qRZ6x0AAAAAMBAAAPAAAAAAAAAAEAIAAAACIAAABkcnMvZG93bnJldi54bWxQSwEC&#10;FAAUAAAACACHTuJAscsmWPwBAAAEBAAADgAAAAAAAAABACAAAAAfAQAAZHJzL2Uyb0RvYy54bWxQ&#10;SwUGAAAAAAYABgBZAQAAjQUAAAAA&#10;">
              <v:fill on="f" focussize="0,0"/>
              <v:stroke on="f"/>
              <v:imagedata o:title=""/>
              <o:lock v:ext="edit" aspectratio="f"/>
              <v:textbox inset="0mm,0mm,0mm,0mm" style="mso-fit-shape-to-text:t;">
                <w:txbxContent>
                  <w:p w14:paraId="2959CAFD">
                    <w:pPr>
                      <w:pStyle w:val="33"/>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4F955">
    <w:pPr>
      <w:spacing w:line="242" w:lineRule="exact"/>
      <w:rPr>
        <w:rFonts w:eastAsia="Times New Roman"/>
        <w:sz w:val="17"/>
        <w:szCs w:val="17"/>
      </w:rPr>
    </w:pPr>
    <w:r>
      <w:rPr>
        <w:sz w:val="17"/>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238125" cy="139700"/>
              <wp:effectExtent l="0" t="0" r="0" b="0"/>
              <wp:wrapNone/>
              <wp:docPr id="3" name="Text Box 1027"/>
              <wp:cNvGraphicFramePr/>
              <a:graphic xmlns:a="http://schemas.openxmlformats.org/drawingml/2006/main">
                <a:graphicData uri="http://schemas.microsoft.com/office/word/2010/wordprocessingShape">
                  <wps:wsp>
                    <wps:cNvSpPr txBox="1">
                      <a:spLocks noChangeArrowheads="1"/>
                    </wps:cNvSpPr>
                    <wps:spPr bwMode="auto">
                      <a:xfrm>
                        <a:off x="0" y="0"/>
                        <a:ext cx="238125" cy="139700"/>
                      </a:xfrm>
                      <a:prstGeom prst="rect">
                        <a:avLst/>
                      </a:prstGeom>
                      <a:noFill/>
                      <a:ln>
                        <a:noFill/>
                      </a:ln>
                    </wps:spPr>
                    <wps:txbx>
                      <w:txbxContent>
                        <w:p w14:paraId="48C541DB">
                          <w:pPr>
                            <w:pStyle w:val="33"/>
                          </w:pPr>
                          <w:r>
                            <w:fldChar w:fldCharType="begin"/>
                          </w:r>
                          <w:r>
                            <w:instrText xml:space="preserve"> PAGE  \* MERGEFORMAT </w:instrText>
                          </w:r>
                          <w:r>
                            <w:fldChar w:fldCharType="separate"/>
                          </w:r>
                          <w:r>
                            <w:t>- 29 -</w:t>
                          </w:r>
                          <w:r>
                            <w:fldChar w:fldCharType="end"/>
                          </w:r>
                        </w:p>
                      </w:txbxContent>
                    </wps:txbx>
                    <wps:bodyPr rot="0" vert="horz" wrap="none" lIns="0" tIns="0" rIns="0" bIns="0" anchor="t" anchorCtr="0" upright="1">
                      <a:spAutoFit/>
                    </wps:bodyPr>
                  </wps:wsp>
                </a:graphicData>
              </a:graphic>
            </wp:anchor>
          </w:drawing>
        </mc:Choice>
        <mc:Fallback>
          <w:pict>
            <v:shape id="Text Box 1027" o:spid="_x0000_s1026" o:spt="202" type="#_x0000_t202" style="position:absolute;left:0pt;margin-top:0pt;height:11pt;width:18.75pt;mso-position-horizontal:right;mso-position-horizontal-relative:margin;mso-wrap-style:none;z-index:251661312;mso-width-relative:page;mso-height-relative:page;" filled="f" stroked="f" coordsize="21600,21600" o:gfxdata="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LaZmfRAAAAAwEAAA8AAAAAAAAAAQAgAAAAIgAAAGRycy9kb3ducmV2LnhtbFBL&#10;AQIUABQAAAAIAIdO4kCRwJ7z/QEAAAQEAAAOAAAAAAAAAAEAIAAAACABAABkcnMvZTJvRG9jLnht&#10;bFBLBQYAAAAABgAGAFkBAACPBQAAAAA=&#10;">
              <v:fill on="f" focussize="0,0"/>
              <v:stroke on="f"/>
              <v:imagedata o:title=""/>
              <o:lock v:ext="edit" aspectratio="f"/>
              <v:textbox inset="0mm,0mm,0mm,0mm" style="mso-fit-shape-to-text:t;">
                <w:txbxContent>
                  <w:p w14:paraId="48C541DB">
                    <w:pPr>
                      <w:pStyle w:val="33"/>
                    </w:pPr>
                    <w:r>
                      <w:fldChar w:fldCharType="begin"/>
                    </w:r>
                    <w:r>
                      <w:instrText xml:space="preserve"> PAGE  \* MERGEFORMAT </w:instrText>
                    </w:r>
                    <w:r>
                      <w:fldChar w:fldCharType="separate"/>
                    </w:r>
                    <w:r>
                      <w:t>- 29 -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236EA">
    <w:pPr>
      <w:pStyle w:val="33"/>
      <w:ind w:right="360"/>
      <w:jc w:val="right"/>
      <w:rPr>
        <w:rFonts w:eastAsia="楷体_GB2312"/>
      </w:rPr>
    </w:pP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238125" cy="139700"/>
              <wp:effectExtent l="0" t="0" r="0" b="0"/>
              <wp:wrapNone/>
              <wp:docPr id="2" name="Text Box 1028"/>
              <wp:cNvGraphicFramePr/>
              <a:graphic xmlns:a="http://schemas.openxmlformats.org/drawingml/2006/main">
                <a:graphicData uri="http://schemas.microsoft.com/office/word/2010/wordprocessingShape">
                  <wps:wsp>
                    <wps:cNvSpPr txBox="1">
                      <a:spLocks noChangeArrowheads="1"/>
                    </wps:cNvSpPr>
                    <wps:spPr bwMode="auto">
                      <a:xfrm>
                        <a:off x="0" y="0"/>
                        <a:ext cx="238125" cy="139700"/>
                      </a:xfrm>
                      <a:prstGeom prst="rect">
                        <a:avLst/>
                      </a:prstGeom>
                      <a:noFill/>
                      <a:ln>
                        <a:noFill/>
                      </a:ln>
                    </wps:spPr>
                    <wps:txbx>
                      <w:txbxContent>
                        <w:p w14:paraId="1F80761D">
                          <w:pPr>
                            <w:pStyle w:val="33"/>
                          </w:pPr>
                          <w:r>
                            <w:fldChar w:fldCharType="begin"/>
                          </w:r>
                          <w:r>
                            <w:instrText xml:space="preserve"> PAGE  \* MERGEFORMAT </w:instrText>
                          </w:r>
                          <w:r>
                            <w:fldChar w:fldCharType="separate"/>
                          </w:r>
                          <w:r>
                            <w:t>- 63 -</w:t>
                          </w:r>
                          <w:r>
                            <w:fldChar w:fldCharType="end"/>
                          </w:r>
                        </w:p>
                      </w:txbxContent>
                    </wps:txbx>
                    <wps:bodyPr rot="0" vert="horz" wrap="none" lIns="0" tIns="0" rIns="0" bIns="0" anchor="t" anchorCtr="0" upright="1">
                      <a:spAutoFit/>
                    </wps:bodyPr>
                  </wps:wsp>
                </a:graphicData>
              </a:graphic>
            </wp:anchor>
          </w:drawing>
        </mc:Choice>
        <mc:Fallback>
          <w:pict>
            <v:shape id="Text Box 1028" o:spid="_x0000_s1026" o:spt="202" type="#_x0000_t202" style="position:absolute;left:0pt;margin-top:0pt;height:11pt;width:18.75pt;mso-position-horizontal:right;mso-position-horizontal-relative:margin;mso-wrap-style:none;z-index:251662336;mso-width-relative:page;mso-height-relative:page;" filled="f" stroked="f" coordsize="21600,21600" o:gfxdata="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LaZmfRAAAAAwEAAA8AAAAAAAAAAQAgAAAAIgAAAGRycy9kb3ducmV2LnhtbFBL&#10;AQIUABQAAAAIAIdO4kDBYY4r/QEAAAQEAAAOAAAAAAAAAAEAIAAAACABAABkcnMvZTJvRG9jLnht&#10;bFBLBQYAAAAABgAGAFkBAACPBQAAAAA=&#10;">
              <v:fill on="f" focussize="0,0"/>
              <v:stroke on="f"/>
              <v:imagedata o:title=""/>
              <o:lock v:ext="edit" aspectratio="f"/>
              <v:textbox inset="0mm,0mm,0mm,0mm" style="mso-fit-shape-to-text:t;">
                <w:txbxContent>
                  <w:p w14:paraId="1F80761D">
                    <w:pPr>
                      <w:pStyle w:val="33"/>
                    </w:pPr>
                    <w:r>
                      <w:fldChar w:fldCharType="begin"/>
                    </w:r>
                    <w:r>
                      <w:instrText xml:space="preserve"> PAGE  \* MERGEFORMAT </w:instrText>
                    </w:r>
                    <w:r>
                      <w:fldChar w:fldCharType="separate"/>
                    </w:r>
                    <w:r>
                      <w:t>- 63 -</w:t>
                    </w:r>
                    <w:r>
                      <w:fldChar w:fldCharType="end"/>
                    </w:r>
                  </w:p>
                </w:txbxContent>
              </v:textbox>
            </v:shape>
          </w:pict>
        </mc:Fallback>
      </mc:AlternateContent>
    </w:r>
    <w:r>
      <w:rPr>
        <w:rFonts w:hint="eastAsia" w:eastAsia="楷体_GB2312"/>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775C4">
    <w:pPr>
      <w:pStyle w:val="3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84186">
    <w:pPr>
      <w:pStyle w:val="35"/>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0F7F2">
    <w:pPr>
      <w:pStyle w:val="35"/>
      <w:pBdr>
        <w:bottom w:val="none" w:color="auto" w:sz="0" w:space="1"/>
      </w:pBdr>
      <w:jc w:val="both"/>
      <w:rPr>
        <w:rFonts w:eastAsia="华文行楷"/>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AwODljODQ5ZTJjZWUxZjRlZDYxYjgyMTc0YzhjYWMifQ=="/>
    <w:docVar w:name="KSO_WPS_MARK_KEY" w:val="46fb89cb-c0e1-4bf6-ab44-c075f113d80b"/>
  </w:docVars>
  <w:rsids>
    <w:rsidRoot w:val="00172A27"/>
    <w:rsid w:val="00000B79"/>
    <w:rsid w:val="00001D41"/>
    <w:rsid w:val="00004479"/>
    <w:rsid w:val="00005FD1"/>
    <w:rsid w:val="00006C78"/>
    <w:rsid w:val="00007BDE"/>
    <w:rsid w:val="00016152"/>
    <w:rsid w:val="00020F53"/>
    <w:rsid w:val="000231B4"/>
    <w:rsid w:val="00030FA3"/>
    <w:rsid w:val="00031F1A"/>
    <w:rsid w:val="0003681C"/>
    <w:rsid w:val="0004081A"/>
    <w:rsid w:val="00041B54"/>
    <w:rsid w:val="00043446"/>
    <w:rsid w:val="0004542B"/>
    <w:rsid w:val="00045EED"/>
    <w:rsid w:val="000541E2"/>
    <w:rsid w:val="000565FA"/>
    <w:rsid w:val="00056A7C"/>
    <w:rsid w:val="000633A3"/>
    <w:rsid w:val="000647AE"/>
    <w:rsid w:val="00070F94"/>
    <w:rsid w:val="00072104"/>
    <w:rsid w:val="00075048"/>
    <w:rsid w:val="00075E73"/>
    <w:rsid w:val="00086F05"/>
    <w:rsid w:val="0009073C"/>
    <w:rsid w:val="00090C66"/>
    <w:rsid w:val="0009122F"/>
    <w:rsid w:val="000912F9"/>
    <w:rsid w:val="00092B34"/>
    <w:rsid w:val="000932A2"/>
    <w:rsid w:val="00093C12"/>
    <w:rsid w:val="00093D29"/>
    <w:rsid w:val="000A00EB"/>
    <w:rsid w:val="000A03D4"/>
    <w:rsid w:val="000A3939"/>
    <w:rsid w:val="000A5463"/>
    <w:rsid w:val="000A66AB"/>
    <w:rsid w:val="000B0BCE"/>
    <w:rsid w:val="000B3E59"/>
    <w:rsid w:val="000B4D99"/>
    <w:rsid w:val="000B5410"/>
    <w:rsid w:val="000B6C43"/>
    <w:rsid w:val="000C3167"/>
    <w:rsid w:val="000C654C"/>
    <w:rsid w:val="000D292B"/>
    <w:rsid w:val="000E132F"/>
    <w:rsid w:val="000E1E0A"/>
    <w:rsid w:val="000E24DE"/>
    <w:rsid w:val="000E320A"/>
    <w:rsid w:val="000E34EC"/>
    <w:rsid w:val="000E3DB9"/>
    <w:rsid w:val="000E440F"/>
    <w:rsid w:val="000E55E4"/>
    <w:rsid w:val="000F005A"/>
    <w:rsid w:val="000F19CE"/>
    <w:rsid w:val="000F2368"/>
    <w:rsid w:val="000F3FEF"/>
    <w:rsid w:val="000F54C2"/>
    <w:rsid w:val="000F56E8"/>
    <w:rsid w:val="000F6EB5"/>
    <w:rsid w:val="00101E09"/>
    <w:rsid w:val="00105C07"/>
    <w:rsid w:val="00106AB4"/>
    <w:rsid w:val="00107DE6"/>
    <w:rsid w:val="00113DF6"/>
    <w:rsid w:val="0011412D"/>
    <w:rsid w:val="001171B8"/>
    <w:rsid w:val="00131B10"/>
    <w:rsid w:val="001328A6"/>
    <w:rsid w:val="001334F8"/>
    <w:rsid w:val="00133A79"/>
    <w:rsid w:val="00134436"/>
    <w:rsid w:val="00134979"/>
    <w:rsid w:val="00134E96"/>
    <w:rsid w:val="00137B46"/>
    <w:rsid w:val="00137ECE"/>
    <w:rsid w:val="001402A9"/>
    <w:rsid w:val="00140C27"/>
    <w:rsid w:val="00141E41"/>
    <w:rsid w:val="001420B5"/>
    <w:rsid w:val="00143CE6"/>
    <w:rsid w:val="00143D06"/>
    <w:rsid w:val="00146BD9"/>
    <w:rsid w:val="00147CF0"/>
    <w:rsid w:val="0015270D"/>
    <w:rsid w:val="00153A35"/>
    <w:rsid w:val="0015545D"/>
    <w:rsid w:val="00157582"/>
    <w:rsid w:val="001616C8"/>
    <w:rsid w:val="00172A27"/>
    <w:rsid w:val="0017488B"/>
    <w:rsid w:val="00176634"/>
    <w:rsid w:val="0018325E"/>
    <w:rsid w:val="00184045"/>
    <w:rsid w:val="00184A07"/>
    <w:rsid w:val="001861D6"/>
    <w:rsid w:val="00186C6B"/>
    <w:rsid w:val="00193FD2"/>
    <w:rsid w:val="00196F3A"/>
    <w:rsid w:val="00197AD6"/>
    <w:rsid w:val="001A1A39"/>
    <w:rsid w:val="001A1A41"/>
    <w:rsid w:val="001A2879"/>
    <w:rsid w:val="001A2908"/>
    <w:rsid w:val="001A3C8E"/>
    <w:rsid w:val="001A4C33"/>
    <w:rsid w:val="001B0612"/>
    <w:rsid w:val="001B18FA"/>
    <w:rsid w:val="001B4AD3"/>
    <w:rsid w:val="001B4BA3"/>
    <w:rsid w:val="001B623E"/>
    <w:rsid w:val="001C2F9B"/>
    <w:rsid w:val="001C4D58"/>
    <w:rsid w:val="001C584C"/>
    <w:rsid w:val="001C6314"/>
    <w:rsid w:val="001C68E5"/>
    <w:rsid w:val="001C6FE3"/>
    <w:rsid w:val="001C74C7"/>
    <w:rsid w:val="001D0EFC"/>
    <w:rsid w:val="001E0BCB"/>
    <w:rsid w:val="001E72E1"/>
    <w:rsid w:val="001F013C"/>
    <w:rsid w:val="001F0C4B"/>
    <w:rsid w:val="001F59C3"/>
    <w:rsid w:val="001F7B3A"/>
    <w:rsid w:val="002010D9"/>
    <w:rsid w:val="00201717"/>
    <w:rsid w:val="00204CA1"/>
    <w:rsid w:val="00206F0D"/>
    <w:rsid w:val="00207B61"/>
    <w:rsid w:val="00211C89"/>
    <w:rsid w:val="00212532"/>
    <w:rsid w:val="002137C6"/>
    <w:rsid w:val="00216EDC"/>
    <w:rsid w:val="00221BD8"/>
    <w:rsid w:val="002222CE"/>
    <w:rsid w:val="00224D70"/>
    <w:rsid w:val="00226B69"/>
    <w:rsid w:val="00230DAB"/>
    <w:rsid w:val="00231D02"/>
    <w:rsid w:val="0023324F"/>
    <w:rsid w:val="00234E11"/>
    <w:rsid w:val="002354C5"/>
    <w:rsid w:val="00236E22"/>
    <w:rsid w:val="002379B9"/>
    <w:rsid w:val="00242544"/>
    <w:rsid w:val="002504A9"/>
    <w:rsid w:val="00250F17"/>
    <w:rsid w:val="00252D56"/>
    <w:rsid w:val="00254025"/>
    <w:rsid w:val="0025522D"/>
    <w:rsid w:val="00260585"/>
    <w:rsid w:val="00262CD6"/>
    <w:rsid w:val="00270F89"/>
    <w:rsid w:val="002719F7"/>
    <w:rsid w:val="002756B8"/>
    <w:rsid w:val="0028062A"/>
    <w:rsid w:val="0028069D"/>
    <w:rsid w:val="00283082"/>
    <w:rsid w:val="00283F13"/>
    <w:rsid w:val="00286E82"/>
    <w:rsid w:val="00292728"/>
    <w:rsid w:val="002933E3"/>
    <w:rsid w:val="002938EA"/>
    <w:rsid w:val="002A373E"/>
    <w:rsid w:val="002A5DD9"/>
    <w:rsid w:val="002A6675"/>
    <w:rsid w:val="002A7E72"/>
    <w:rsid w:val="002B0361"/>
    <w:rsid w:val="002B19DF"/>
    <w:rsid w:val="002B51E5"/>
    <w:rsid w:val="002C4FEA"/>
    <w:rsid w:val="002C5F39"/>
    <w:rsid w:val="002D1AF7"/>
    <w:rsid w:val="002E1337"/>
    <w:rsid w:val="002E1C48"/>
    <w:rsid w:val="002E69AC"/>
    <w:rsid w:val="002E74AE"/>
    <w:rsid w:val="002E7A1E"/>
    <w:rsid w:val="002F3625"/>
    <w:rsid w:val="002F4E9F"/>
    <w:rsid w:val="002F56B1"/>
    <w:rsid w:val="002F5BF1"/>
    <w:rsid w:val="002F5C51"/>
    <w:rsid w:val="00300E7E"/>
    <w:rsid w:val="0030124F"/>
    <w:rsid w:val="003062DC"/>
    <w:rsid w:val="00312B63"/>
    <w:rsid w:val="003144EB"/>
    <w:rsid w:val="003160AE"/>
    <w:rsid w:val="00316A8C"/>
    <w:rsid w:val="00321F52"/>
    <w:rsid w:val="00322815"/>
    <w:rsid w:val="00324294"/>
    <w:rsid w:val="00324681"/>
    <w:rsid w:val="00325023"/>
    <w:rsid w:val="00325213"/>
    <w:rsid w:val="00325E33"/>
    <w:rsid w:val="00326BC9"/>
    <w:rsid w:val="00335115"/>
    <w:rsid w:val="003405CA"/>
    <w:rsid w:val="00342BF6"/>
    <w:rsid w:val="00342F68"/>
    <w:rsid w:val="00346C3D"/>
    <w:rsid w:val="003509FD"/>
    <w:rsid w:val="003536E7"/>
    <w:rsid w:val="003543F9"/>
    <w:rsid w:val="00355E0C"/>
    <w:rsid w:val="00356D8E"/>
    <w:rsid w:val="00360414"/>
    <w:rsid w:val="003604F4"/>
    <w:rsid w:val="00361E97"/>
    <w:rsid w:val="003635CD"/>
    <w:rsid w:val="00366DC2"/>
    <w:rsid w:val="00380DDC"/>
    <w:rsid w:val="0039234B"/>
    <w:rsid w:val="00395CC9"/>
    <w:rsid w:val="00396C13"/>
    <w:rsid w:val="0039790E"/>
    <w:rsid w:val="003A38CF"/>
    <w:rsid w:val="003A5799"/>
    <w:rsid w:val="003B1604"/>
    <w:rsid w:val="003B3539"/>
    <w:rsid w:val="003B5682"/>
    <w:rsid w:val="003B67E6"/>
    <w:rsid w:val="003B7CE5"/>
    <w:rsid w:val="003C2078"/>
    <w:rsid w:val="003C3B6A"/>
    <w:rsid w:val="003C4B54"/>
    <w:rsid w:val="003C66D7"/>
    <w:rsid w:val="003C72C7"/>
    <w:rsid w:val="003C7A4F"/>
    <w:rsid w:val="003D11E6"/>
    <w:rsid w:val="003D312A"/>
    <w:rsid w:val="003D3857"/>
    <w:rsid w:val="003D56B6"/>
    <w:rsid w:val="003E0538"/>
    <w:rsid w:val="003E67EC"/>
    <w:rsid w:val="003E6D23"/>
    <w:rsid w:val="003F2028"/>
    <w:rsid w:val="003F43D8"/>
    <w:rsid w:val="003F4E17"/>
    <w:rsid w:val="00403775"/>
    <w:rsid w:val="00406A95"/>
    <w:rsid w:val="00406C27"/>
    <w:rsid w:val="004077BC"/>
    <w:rsid w:val="00410AED"/>
    <w:rsid w:val="004112DD"/>
    <w:rsid w:val="0041253F"/>
    <w:rsid w:val="00414771"/>
    <w:rsid w:val="0042097D"/>
    <w:rsid w:val="00421246"/>
    <w:rsid w:val="00423AFC"/>
    <w:rsid w:val="00423EEA"/>
    <w:rsid w:val="004265A8"/>
    <w:rsid w:val="0042661A"/>
    <w:rsid w:val="00426C2A"/>
    <w:rsid w:val="004300BC"/>
    <w:rsid w:val="00431D39"/>
    <w:rsid w:val="00432A94"/>
    <w:rsid w:val="00434BB1"/>
    <w:rsid w:val="00434D59"/>
    <w:rsid w:val="00434D76"/>
    <w:rsid w:val="00440254"/>
    <w:rsid w:val="004417B0"/>
    <w:rsid w:val="0044406E"/>
    <w:rsid w:val="00446402"/>
    <w:rsid w:val="004521CF"/>
    <w:rsid w:val="0045404C"/>
    <w:rsid w:val="0045543A"/>
    <w:rsid w:val="004557E9"/>
    <w:rsid w:val="00456CC8"/>
    <w:rsid w:val="004575BA"/>
    <w:rsid w:val="00460117"/>
    <w:rsid w:val="004601A1"/>
    <w:rsid w:val="004615B9"/>
    <w:rsid w:val="00461EB7"/>
    <w:rsid w:val="00465A0C"/>
    <w:rsid w:val="00465D94"/>
    <w:rsid w:val="00473E9A"/>
    <w:rsid w:val="00474999"/>
    <w:rsid w:val="00475908"/>
    <w:rsid w:val="00476D20"/>
    <w:rsid w:val="00482A7C"/>
    <w:rsid w:val="00482D8A"/>
    <w:rsid w:val="0048779E"/>
    <w:rsid w:val="0049111F"/>
    <w:rsid w:val="00493842"/>
    <w:rsid w:val="00493D3D"/>
    <w:rsid w:val="004A253E"/>
    <w:rsid w:val="004A2AF3"/>
    <w:rsid w:val="004A328C"/>
    <w:rsid w:val="004A3F0C"/>
    <w:rsid w:val="004A5F4A"/>
    <w:rsid w:val="004A7C0C"/>
    <w:rsid w:val="004B2118"/>
    <w:rsid w:val="004B2974"/>
    <w:rsid w:val="004B2E54"/>
    <w:rsid w:val="004B5FDD"/>
    <w:rsid w:val="004B71AD"/>
    <w:rsid w:val="004C1E31"/>
    <w:rsid w:val="004C2B47"/>
    <w:rsid w:val="004C4A07"/>
    <w:rsid w:val="004C5C3C"/>
    <w:rsid w:val="004C751A"/>
    <w:rsid w:val="004D02BD"/>
    <w:rsid w:val="004D3DD8"/>
    <w:rsid w:val="004D5420"/>
    <w:rsid w:val="004D79A6"/>
    <w:rsid w:val="004E105C"/>
    <w:rsid w:val="004E380F"/>
    <w:rsid w:val="004E3C53"/>
    <w:rsid w:val="004E63C9"/>
    <w:rsid w:val="004F2B41"/>
    <w:rsid w:val="004F5C7B"/>
    <w:rsid w:val="004F6B70"/>
    <w:rsid w:val="004F7D2A"/>
    <w:rsid w:val="00504E99"/>
    <w:rsid w:val="005063C5"/>
    <w:rsid w:val="00507731"/>
    <w:rsid w:val="0051283F"/>
    <w:rsid w:val="005128CA"/>
    <w:rsid w:val="00513234"/>
    <w:rsid w:val="005140D5"/>
    <w:rsid w:val="00514E7F"/>
    <w:rsid w:val="00515983"/>
    <w:rsid w:val="00521454"/>
    <w:rsid w:val="0052154C"/>
    <w:rsid w:val="00522C81"/>
    <w:rsid w:val="00524341"/>
    <w:rsid w:val="00524A1C"/>
    <w:rsid w:val="00526380"/>
    <w:rsid w:val="00527DB6"/>
    <w:rsid w:val="00530168"/>
    <w:rsid w:val="0053016D"/>
    <w:rsid w:val="00530AC4"/>
    <w:rsid w:val="005341E7"/>
    <w:rsid w:val="005376C8"/>
    <w:rsid w:val="00540E5C"/>
    <w:rsid w:val="00545AF3"/>
    <w:rsid w:val="005462BE"/>
    <w:rsid w:val="00552079"/>
    <w:rsid w:val="00553BBE"/>
    <w:rsid w:val="00557AE8"/>
    <w:rsid w:val="00560463"/>
    <w:rsid w:val="00560908"/>
    <w:rsid w:val="00560D11"/>
    <w:rsid w:val="0056175A"/>
    <w:rsid w:val="00561975"/>
    <w:rsid w:val="005671E4"/>
    <w:rsid w:val="00570E0B"/>
    <w:rsid w:val="00571962"/>
    <w:rsid w:val="00572CCC"/>
    <w:rsid w:val="0057451D"/>
    <w:rsid w:val="005771A0"/>
    <w:rsid w:val="00580221"/>
    <w:rsid w:val="00585BB1"/>
    <w:rsid w:val="00587474"/>
    <w:rsid w:val="005916E0"/>
    <w:rsid w:val="00591709"/>
    <w:rsid w:val="0059273E"/>
    <w:rsid w:val="00594434"/>
    <w:rsid w:val="00595C6D"/>
    <w:rsid w:val="00596447"/>
    <w:rsid w:val="005A043F"/>
    <w:rsid w:val="005A1416"/>
    <w:rsid w:val="005A2273"/>
    <w:rsid w:val="005A2967"/>
    <w:rsid w:val="005A2EB9"/>
    <w:rsid w:val="005A4458"/>
    <w:rsid w:val="005A4BFB"/>
    <w:rsid w:val="005A4C09"/>
    <w:rsid w:val="005A5EA3"/>
    <w:rsid w:val="005A7F23"/>
    <w:rsid w:val="005B0CFB"/>
    <w:rsid w:val="005B1271"/>
    <w:rsid w:val="005B32BF"/>
    <w:rsid w:val="005B5B0F"/>
    <w:rsid w:val="005B694F"/>
    <w:rsid w:val="005C3647"/>
    <w:rsid w:val="005C5431"/>
    <w:rsid w:val="005C63B1"/>
    <w:rsid w:val="005C750D"/>
    <w:rsid w:val="005D2709"/>
    <w:rsid w:val="005D5E29"/>
    <w:rsid w:val="005E18BD"/>
    <w:rsid w:val="005E2798"/>
    <w:rsid w:val="005E2E51"/>
    <w:rsid w:val="005E664A"/>
    <w:rsid w:val="005F12D1"/>
    <w:rsid w:val="005F2103"/>
    <w:rsid w:val="005F4A8B"/>
    <w:rsid w:val="005F6AAD"/>
    <w:rsid w:val="005F7CB3"/>
    <w:rsid w:val="00604317"/>
    <w:rsid w:val="006063B6"/>
    <w:rsid w:val="0061041E"/>
    <w:rsid w:val="0061165B"/>
    <w:rsid w:val="00611AE6"/>
    <w:rsid w:val="006140F3"/>
    <w:rsid w:val="00614208"/>
    <w:rsid w:val="0061578C"/>
    <w:rsid w:val="00616363"/>
    <w:rsid w:val="0061733A"/>
    <w:rsid w:val="00626C76"/>
    <w:rsid w:val="0063021A"/>
    <w:rsid w:val="006308DC"/>
    <w:rsid w:val="00633B89"/>
    <w:rsid w:val="00634C2E"/>
    <w:rsid w:val="00634F88"/>
    <w:rsid w:val="00635D34"/>
    <w:rsid w:val="006440E3"/>
    <w:rsid w:val="006444E2"/>
    <w:rsid w:val="0064776A"/>
    <w:rsid w:val="00650C39"/>
    <w:rsid w:val="00652429"/>
    <w:rsid w:val="00655F9B"/>
    <w:rsid w:val="0065701C"/>
    <w:rsid w:val="006576CE"/>
    <w:rsid w:val="006669C1"/>
    <w:rsid w:val="00671B1F"/>
    <w:rsid w:val="00671F80"/>
    <w:rsid w:val="0067202E"/>
    <w:rsid w:val="00674CDA"/>
    <w:rsid w:val="00674F20"/>
    <w:rsid w:val="00680162"/>
    <w:rsid w:val="00680DCB"/>
    <w:rsid w:val="00681189"/>
    <w:rsid w:val="0068146B"/>
    <w:rsid w:val="0068188A"/>
    <w:rsid w:val="00683C44"/>
    <w:rsid w:val="00686578"/>
    <w:rsid w:val="00690BD9"/>
    <w:rsid w:val="00692399"/>
    <w:rsid w:val="00692C39"/>
    <w:rsid w:val="00692E71"/>
    <w:rsid w:val="00693077"/>
    <w:rsid w:val="006966FD"/>
    <w:rsid w:val="006A24AE"/>
    <w:rsid w:val="006A6092"/>
    <w:rsid w:val="006A782C"/>
    <w:rsid w:val="006B1455"/>
    <w:rsid w:val="006B2279"/>
    <w:rsid w:val="006B468A"/>
    <w:rsid w:val="006B6DB7"/>
    <w:rsid w:val="006B724C"/>
    <w:rsid w:val="006C0425"/>
    <w:rsid w:val="006C498F"/>
    <w:rsid w:val="006C572E"/>
    <w:rsid w:val="006D2730"/>
    <w:rsid w:val="006D37AE"/>
    <w:rsid w:val="006D5E04"/>
    <w:rsid w:val="006D6074"/>
    <w:rsid w:val="006E109F"/>
    <w:rsid w:val="006F075D"/>
    <w:rsid w:val="006F2928"/>
    <w:rsid w:val="006F504B"/>
    <w:rsid w:val="006F7576"/>
    <w:rsid w:val="00700CE8"/>
    <w:rsid w:val="007027C0"/>
    <w:rsid w:val="007037FA"/>
    <w:rsid w:val="00703F2C"/>
    <w:rsid w:val="00704571"/>
    <w:rsid w:val="007063AD"/>
    <w:rsid w:val="007069D9"/>
    <w:rsid w:val="00710CA1"/>
    <w:rsid w:val="00712110"/>
    <w:rsid w:val="00712ADD"/>
    <w:rsid w:val="00712F6F"/>
    <w:rsid w:val="00713799"/>
    <w:rsid w:val="007159C0"/>
    <w:rsid w:val="007160A4"/>
    <w:rsid w:val="00723583"/>
    <w:rsid w:val="007247CA"/>
    <w:rsid w:val="00724842"/>
    <w:rsid w:val="00726886"/>
    <w:rsid w:val="00726DA7"/>
    <w:rsid w:val="007279AA"/>
    <w:rsid w:val="00730C1E"/>
    <w:rsid w:val="00731075"/>
    <w:rsid w:val="00740E71"/>
    <w:rsid w:val="00741BD3"/>
    <w:rsid w:val="007428EB"/>
    <w:rsid w:val="00744597"/>
    <w:rsid w:val="00744D5C"/>
    <w:rsid w:val="00744E0B"/>
    <w:rsid w:val="00746D05"/>
    <w:rsid w:val="0075027D"/>
    <w:rsid w:val="00750DC5"/>
    <w:rsid w:val="007527F2"/>
    <w:rsid w:val="00754643"/>
    <w:rsid w:val="00754C33"/>
    <w:rsid w:val="00755EF6"/>
    <w:rsid w:val="00757B37"/>
    <w:rsid w:val="0076197F"/>
    <w:rsid w:val="00762F1B"/>
    <w:rsid w:val="00765981"/>
    <w:rsid w:val="0077235D"/>
    <w:rsid w:val="00774158"/>
    <w:rsid w:val="0077598C"/>
    <w:rsid w:val="00781094"/>
    <w:rsid w:val="00781BED"/>
    <w:rsid w:val="00782FC5"/>
    <w:rsid w:val="00783A82"/>
    <w:rsid w:val="0078574D"/>
    <w:rsid w:val="00785A9F"/>
    <w:rsid w:val="007909C3"/>
    <w:rsid w:val="00790B3C"/>
    <w:rsid w:val="00792455"/>
    <w:rsid w:val="00792842"/>
    <w:rsid w:val="00793983"/>
    <w:rsid w:val="007A16DD"/>
    <w:rsid w:val="007A7059"/>
    <w:rsid w:val="007A75C0"/>
    <w:rsid w:val="007A7652"/>
    <w:rsid w:val="007B0219"/>
    <w:rsid w:val="007B055F"/>
    <w:rsid w:val="007B16BB"/>
    <w:rsid w:val="007B4EDD"/>
    <w:rsid w:val="007B55F1"/>
    <w:rsid w:val="007C0882"/>
    <w:rsid w:val="007C5745"/>
    <w:rsid w:val="007C57E6"/>
    <w:rsid w:val="007C5C79"/>
    <w:rsid w:val="007C5D15"/>
    <w:rsid w:val="007D5605"/>
    <w:rsid w:val="007D5C76"/>
    <w:rsid w:val="007D61B1"/>
    <w:rsid w:val="007E0B55"/>
    <w:rsid w:val="007E3B05"/>
    <w:rsid w:val="007E5C3E"/>
    <w:rsid w:val="007E686A"/>
    <w:rsid w:val="007E7B18"/>
    <w:rsid w:val="007F092D"/>
    <w:rsid w:val="007F29E0"/>
    <w:rsid w:val="007F5030"/>
    <w:rsid w:val="007F55C7"/>
    <w:rsid w:val="007F7528"/>
    <w:rsid w:val="00803B06"/>
    <w:rsid w:val="008055EA"/>
    <w:rsid w:val="00805D13"/>
    <w:rsid w:val="008100BE"/>
    <w:rsid w:val="0081197A"/>
    <w:rsid w:val="00816E88"/>
    <w:rsid w:val="00816EF8"/>
    <w:rsid w:val="00820B41"/>
    <w:rsid w:val="008235CE"/>
    <w:rsid w:val="00823E22"/>
    <w:rsid w:val="0082694A"/>
    <w:rsid w:val="008315AD"/>
    <w:rsid w:val="00831F98"/>
    <w:rsid w:val="0083782F"/>
    <w:rsid w:val="0084318F"/>
    <w:rsid w:val="0084453D"/>
    <w:rsid w:val="008449C7"/>
    <w:rsid w:val="00844FB2"/>
    <w:rsid w:val="0084665D"/>
    <w:rsid w:val="00850C27"/>
    <w:rsid w:val="00854646"/>
    <w:rsid w:val="0085493C"/>
    <w:rsid w:val="0086047D"/>
    <w:rsid w:val="008611A7"/>
    <w:rsid w:val="00862EEB"/>
    <w:rsid w:val="0087469A"/>
    <w:rsid w:val="00887526"/>
    <w:rsid w:val="0089001B"/>
    <w:rsid w:val="00895084"/>
    <w:rsid w:val="00895B66"/>
    <w:rsid w:val="00897918"/>
    <w:rsid w:val="00897AC7"/>
    <w:rsid w:val="008A0DED"/>
    <w:rsid w:val="008A0FAF"/>
    <w:rsid w:val="008A1AC2"/>
    <w:rsid w:val="008A4B65"/>
    <w:rsid w:val="008B14D3"/>
    <w:rsid w:val="008B49B3"/>
    <w:rsid w:val="008B5455"/>
    <w:rsid w:val="008B7CEA"/>
    <w:rsid w:val="008C1C41"/>
    <w:rsid w:val="008C21FA"/>
    <w:rsid w:val="008C46DD"/>
    <w:rsid w:val="008C51B8"/>
    <w:rsid w:val="008D23DB"/>
    <w:rsid w:val="008D359A"/>
    <w:rsid w:val="008D531D"/>
    <w:rsid w:val="008E01BB"/>
    <w:rsid w:val="008E062B"/>
    <w:rsid w:val="008E0B24"/>
    <w:rsid w:val="008E5454"/>
    <w:rsid w:val="008E5E95"/>
    <w:rsid w:val="008F0DAA"/>
    <w:rsid w:val="008F3A57"/>
    <w:rsid w:val="008F504C"/>
    <w:rsid w:val="008F7D69"/>
    <w:rsid w:val="00900690"/>
    <w:rsid w:val="00906E61"/>
    <w:rsid w:val="00912B78"/>
    <w:rsid w:val="009162D9"/>
    <w:rsid w:val="00921088"/>
    <w:rsid w:val="009225BB"/>
    <w:rsid w:val="009243CB"/>
    <w:rsid w:val="00925EA9"/>
    <w:rsid w:val="0092727A"/>
    <w:rsid w:val="00927E40"/>
    <w:rsid w:val="00930903"/>
    <w:rsid w:val="009311C0"/>
    <w:rsid w:val="0093166F"/>
    <w:rsid w:val="00931BA1"/>
    <w:rsid w:val="009325D4"/>
    <w:rsid w:val="00932A03"/>
    <w:rsid w:val="009339AD"/>
    <w:rsid w:val="00934F8D"/>
    <w:rsid w:val="009350DB"/>
    <w:rsid w:val="00941B2F"/>
    <w:rsid w:val="00944049"/>
    <w:rsid w:val="00946AA4"/>
    <w:rsid w:val="00946E7A"/>
    <w:rsid w:val="00946FC8"/>
    <w:rsid w:val="009516B8"/>
    <w:rsid w:val="009522F4"/>
    <w:rsid w:val="009618FB"/>
    <w:rsid w:val="00962DEE"/>
    <w:rsid w:val="009722E2"/>
    <w:rsid w:val="00973B1D"/>
    <w:rsid w:val="009740E9"/>
    <w:rsid w:val="00974192"/>
    <w:rsid w:val="00974AF0"/>
    <w:rsid w:val="00977898"/>
    <w:rsid w:val="00983821"/>
    <w:rsid w:val="00986C7F"/>
    <w:rsid w:val="00991A67"/>
    <w:rsid w:val="009922BA"/>
    <w:rsid w:val="00993041"/>
    <w:rsid w:val="00993BB2"/>
    <w:rsid w:val="00995FB3"/>
    <w:rsid w:val="0099622A"/>
    <w:rsid w:val="00996A6D"/>
    <w:rsid w:val="00997D30"/>
    <w:rsid w:val="009A108D"/>
    <w:rsid w:val="009A13DB"/>
    <w:rsid w:val="009A1E7A"/>
    <w:rsid w:val="009A540E"/>
    <w:rsid w:val="009A678B"/>
    <w:rsid w:val="009A726B"/>
    <w:rsid w:val="009A7521"/>
    <w:rsid w:val="009B17C0"/>
    <w:rsid w:val="009B2728"/>
    <w:rsid w:val="009B3223"/>
    <w:rsid w:val="009B4BAA"/>
    <w:rsid w:val="009B5181"/>
    <w:rsid w:val="009B64D1"/>
    <w:rsid w:val="009B7B41"/>
    <w:rsid w:val="009C3C66"/>
    <w:rsid w:val="009C40F1"/>
    <w:rsid w:val="009C4290"/>
    <w:rsid w:val="009D0B10"/>
    <w:rsid w:val="009D21BB"/>
    <w:rsid w:val="009D55EF"/>
    <w:rsid w:val="009D5A00"/>
    <w:rsid w:val="009D6CED"/>
    <w:rsid w:val="009D7C12"/>
    <w:rsid w:val="009E04E7"/>
    <w:rsid w:val="009E1BED"/>
    <w:rsid w:val="009E36B5"/>
    <w:rsid w:val="009E3FA3"/>
    <w:rsid w:val="009E57DB"/>
    <w:rsid w:val="009E64F7"/>
    <w:rsid w:val="009E7056"/>
    <w:rsid w:val="009E74B1"/>
    <w:rsid w:val="009E7BE6"/>
    <w:rsid w:val="009E7DA6"/>
    <w:rsid w:val="009F07B3"/>
    <w:rsid w:val="009F0D64"/>
    <w:rsid w:val="009F5067"/>
    <w:rsid w:val="009F5163"/>
    <w:rsid w:val="00A02666"/>
    <w:rsid w:val="00A03A32"/>
    <w:rsid w:val="00A07F45"/>
    <w:rsid w:val="00A10628"/>
    <w:rsid w:val="00A1582B"/>
    <w:rsid w:val="00A160B0"/>
    <w:rsid w:val="00A20A23"/>
    <w:rsid w:val="00A23D08"/>
    <w:rsid w:val="00A26BCC"/>
    <w:rsid w:val="00A26D8F"/>
    <w:rsid w:val="00A3281E"/>
    <w:rsid w:val="00A3498E"/>
    <w:rsid w:val="00A35C7F"/>
    <w:rsid w:val="00A403DE"/>
    <w:rsid w:val="00A41B27"/>
    <w:rsid w:val="00A43913"/>
    <w:rsid w:val="00A44099"/>
    <w:rsid w:val="00A44AC0"/>
    <w:rsid w:val="00A45D30"/>
    <w:rsid w:val="00A47C19"/>
    <w:rsid w:val="00A50E20"/>
    <w:rsid w:val="00A529C4"/>
    <w:rsid w:val="00A563F5"/>
    <w:rsid w:val="00A570D3"/>
    <w:rsid w:val="00A601D2"/>
    <w:rsid w:val="00A606A7"/>
    <w:rsid w:val="00A610DF"/>
    <w:rsid w:val="00A622F6"/>
    <w:rsid w:val="00A625DD"/>
    <w:rsid w:val="00A67215"/>
    <w:rsid w:val="00A67F1B"/>
    <w:rsid w:val="00A7015D"/>
    <w:rsid w:val="00A732FE"/>
    <w:rsid w:val="00A733FB"/>
    <w:rsid w:val="00A738EA"/>
    <w:rsid w:val="00A73D96"/>
    <w:rsid w:val="00A75CA2"/>
    <w:rsid w:val="00A76250"/>
    <w:rsid w:val="00A76298"/>
    <w:rsid w:val="00A76301"/>
    <w:rsid w:val="00A771EE"/>
    <w:rsid w:val="00A80095"/>
    <w:rsid w:val="00A82623"/>
    <w:rsid w:val="00A83FFE"/>
    <w:rsid w:val="00A848BC"/>
    <w:rsid w:val="00A91B97"/>
    <w:rsid w:val="00A971CC"/>
    <w:rsid w:val="00AA0AF2"/>
    <w:rsid w:val="00AA205F"/>
    <w:rsid w:val="00AA7F5D"/>
    <w:rsid w:val="00AB1CB0"/>
    <w:rsid w:val="00AC31B2"/>
    <w:rsid w:val="00AC44B2"/>
    <w:rsid w:val="00AC46B5"/>
    <w:rsid w:val="00AC6CA2"/>
    <w:rsid w:val="00AC72F0"/>
    <w:rsid w:val="00AC75DF"/>
    <w:rsid w:val="00AC7704"/>
    <w:rsid w:val="00AD03B4"/>
    <w:rsid w:val="00AD06F4"/>
    <w:rsid w:val="00AD0A2F"/>
    <w:rsid w:val="00AD2E17"/>
    <w:rsid w:val="00AD5976"/>
    <w:rsid w:val="00AD5BBB"/>
    <w:rsid w:val="00AD6E4C"/>
    <w:rsid w:val="00AE0517"/>
    <w:rsid w:val="00AE661C"/>
    <w:rsid w:val="00AF19DE"/>
    <w:rsid w:val="00B00A7F"/>
    <w:rsid w:val="00B0244A"/>
    <w:rsid w:val="00B02F83"/>
    <w:rsid w:val="00B038D4"/>
    <w:rsid w:val="00B0622D"/>
    <w:rsid w:val="00B067F0"/>
    <w:rsid w:val="00B06DA5"/>
    <w:rsid w:val="00B10D8D"/>
    <w:rsid w:val="00B1386C"/>
    <w:rsid w:val="00B21A40"/>
    <w:rsid w:val="00B2348F"/>
    <w:rsid w:val="00B2615E"/>
    <w:rsid w:val="00B278D4"/>
    <w:rsid w:val="00B3252F"/>
    <w:rsid w:val="00B411B8"/>
    <w:rsid w:val="00B4372C"/>
    <w:rsid w:val="00B46304"/>
    <w:rsid w:val="00B47200"/>
    <w:rsid w:val="00B5146C"/>
    <w:rsid w:val="00B51483"/>
    <w:rsid w:val="00B51824"/>
    <w:rsid w:val="00B5224E"/>
    <w:rsid w:val="00B60F2A"/>
    <w:rsid w:val="00B61C43"/>
    <w:rsid w:val="00B62138"/>
    <w:rsid w:val="00B641AF"/>
    <w:rsid w:val="00B665CF"/>
    <w:rsid w:val="00B6798A"/>
    <w:rsid w:val="00B71A20"/>
    <w:rsid w:val="00B71D5C"/>
    <w:rsid w:val="00B73906"/>
    <w:rsid w:val="00B8554F"/>
    <w:rsid w:val="00B85979"/>
    <w:rsid w:val="00B85F35"/>
    <w:rsid w:val="00B91D75"/>
    <w:rsid w:val="00B92010"/>
    <w:rsid w:val="00B94C96"/>
    <w:rsid w:val="00B953F8"/>
    <w:rsid w:val="00B95EF5"/>
    <w:rsid w:val="00B95F4C"/>
    <w:rsid w:val="00BA0DD1"/>
    <w:rsid w:val="00BA0F82"/>
    <w:rsid w:val="00BA273E"/>
    <w:rsid w:val="00BA297B"/>
    <w:rsid w:val="00BA2A2B"/>
    <w:rsid w:val="00BA455E"/>
    <w:rsid w:val="00BA7BEA"/>
    <w:rsid w:val="00BB46B0"/>
    <w:rsid w:val="00BC08BB"/>
    <w:rsid w:val="00BC54D4"/>
    <w:rsid w:val="00BD0281"/>
    <w:rsid w:val="00BD5081"/>
    <w:rsid w:val="00BD591D"/>
    <w:rsid w:val="00BD7A13"/>
    <w:rsid w:val="00BE0920"/>
    <w:rsid w:val="00BE1190"/>
    <w:rsid w:val="00BE14C0"/>
    <w:rsid w:val="00BE46BF"/>
    <w:rsid w:val="00BE5BAC"/>
    <w:rsid w:val="00BE6ED2"/>
    <w:rsid w:val="00BF38EF"/>
    <w:rsid w:val="00BF4F65"/>
    <w:rsid w:val="00C0145C"/>
    <w:rsid w:val="00C03938"/>
    <w:rsid w:val="00C04AFA"/>
    <w:rsid w:val="00C04D16"/>
    <w:rsid w:val="00C05516"/>
    <w:rsid w:val="00C060BC"/>
    <w:rsid w:val="00C0720B"/>
    <w:rsid w:val="00C11C28"/>
    <w:rsid w:val="00C12880"/>
    <w:rsid w:val="00C12C43"/>
    <w:rsid w:val="00C13065"/>
    <w:rsid w:val="00C1388E"/>
    <w:rsid w:val="00C14358"/>
    <w:rsid w:val="00C1502D"/>
    <w:rsid w:val="00C156C6"/>
    <w:rsid w:val="00C15E93"/>
    <w:rsid w:val="00C16A26"/>
    <w:rsid w:val="00C1740C"/>
    <w:rsid w:val="00C174EA"/>
    <w:rsid w:val="00C2109A"/>
    <w:rsid w:val="00C25A14"/>
    <w:rsid w:val="00C2776D"/>
    <w:rsid w:val="00C310B1"/>
    <w:rsid w:val="00C317EA"/>
    <w:rsid w:val="00C31B7F"/>
    <w:rsid w:val="00C37577"/>
    <w:rsid w:val="00C40B8D"/>
    <w:rsid w:val="00C40D87"/>
    <w:rsid w:val="00C444BB"/>
    <w:rsid w:val="00C47385"/>
    <w:rsid w:val="00C5260D"/>
    <w:rsid w:val="00C53CE8"/>
    <w:rsid w:val="00C6076B"/>
    <w:rsid w:val="00C62991"/>
    <w:rsid w:val="00C64243"/>
    <w:rsid w:val="00C654EC"/>
    <w:rsid w:val="00C660E3"/>
    <w:rsid w:val="00C6660D"/>
    <w:rsid w:val="00C72EDC"/>
    <w:rsid w:val="00C80BCA"/>
    <w:rsid w:val="00C80BED"/>
    <w:rsid w:val="00C86144"/>
    <w:rsid w:val="00C8715E"/>
    <w:rsid w:val="00C92855"/>
    <w:rsid w:val="00C9374C"/>
    <w:rsid w:val="00CA012A"/>
    <w:rsid w:val="00CA089D"/>
    <w:rsid w:val="00CA0E7C"/>
    <w:rsid w:val="00CA149C"/>
    <w:rsid w:val="00CA184A"/>
    <w:rsid w:val="00CA65A5"/>
    <w:rsid w:val="00CB0F2F"/>
    <w:rsid w:val="00CB3D39"/>
    <w:rsid w:val="00CB6552"/>
    <w:rsid w:val="00CC36F4"/>
    <w:rsid w:val="00CC5338"/>
    <w:rsid w:val="00CC7C76"/>
    <w:rsid w:val="00CD2BE5"/>
    <w:rsid w:val="00CD3EA3"/>
    <w:rsid w:val="00CD556D"/>
    <w:rsid w:val="00CD5994"/>
    <w:rsid w:val="00CD6258"/>
    <w:rsid w:val="00CD6795"/>
    <w:rsid w:val="00CE2C13"/>
    <w:rsid w:val="00CE370B"/>
    <w:rsid w:val="00CE4A66"/>
    <w:rsid w:val="00CE4A79"/>
    <w:rsid w:val="00CE74A1"/>
    <w:rsid w:val="00CE7F61"/>
    <w:rsid w:val="00CF1AF1"/>
    <w:rsid w:val="00CF6579"/>
    <w:rsid w:val="00CF7EAF"/>
    <w:rsid w:val="00D01796"/>
    <w:rsid w:val="00D12D90"/>
    <w:rsid w:val="00D14163"/>
    <w:rsid w:val="00D22991"/>
    <w:rsid w:val="00D24421"/>
    <w:rsid w:val="00D25AC4"/>
    <w:rsid w:val="00D30677"/>
    <w:rsid w:val="00D33304"/>
    <w:rsid w:val="00D341D7"/>
    <w:rsid w:val="00D405EA"/>
    <w:rsid w:val="00D43E5F"/>
    <w:rsid w:val="00D46E2D"/>
    <w:rsid w:val="00D52301"/>
    <w:rsid w:val="00D52511"/>
    <w:rsid w:val="00D5359C"/>
    <w:rsid w:val="00D5438F"/>
    <w:rsid w:val="00D5549D"/>
    <w:rsid w:val="00D559AB"/>
    <w:rsid w:val="00D55DE0"/>
    <w:rsid w:val="00D568AE"/>
    <w:rsid w:val="00D665AF"/>
    <w:rsid w:val="00D67CC6"/>
    <w:rsid w:val="00D7663F"/>
    <w:rsid w:val="00D85A3E"/>
    <w:rsid w:val="00D861F4"/>
    <w:rsid w:val="00D87214"/>
    <w:rsid w:val="00D91BD8"/>
    <w:rsid w:val="00D93EFA"/>
    <w:rsid w:val="00D95841"/>
    <w:rsid w:val="00D9742A"/>
    <w:rsid w:val="00DA37F0"/>
    <w:rsid w:val="00DA48A0"/>
    <w:rsid w:val="00DA51CF"/>
    <w:rsid w:val="00DB0BFA"/>
    <w:rsid w:val="00DB28C1"/>
    <w:rsid w:val="00DB3BD3"/>
    <w:rsid w:val="00DB521F"/>
    <w:rsid w:val="00DB5F46"/>
    <w:rsid w:val="00DB6BE1"/>
    <w:rsid w:val="00DB6BF5"/>
    <w:rsid w:val="00DB7978"/>
    <w:rsid w:val="00DC1C7E"/>
    <w:rsid w:val="00DC36A0"/>
    <w:rsid w:val="00DC5E37"/>
    <w:rsid w:val="00DC7EBB"/>
    <w:rsid w:val="00DD1384"/>
    <w:rsid w:val="00DD18F0"/>
    <w:rsid w:val="00DD2074"/>
    <w:rsid w:val="00DD208C"/>
    <w:rsid w:val="00DD2306"/>
    <w:rsid w:val="00DD38D4"/>
    <w:rsid w:val="00DD3FE9"/>
    <w:rsid w:val="00DD7D3B"/>
    <w:rsid w:val="00DD7FB7"/>
    <w:rsid w:val="00DE40EE"/>
    <w:rsid w:val="00DE4595"/>
    <w:rsid w:val="00DE56D2"/>
    <w:rsid w:val="00DF07E8"/>
    <w:rsid w:val="00DF21C3"/>
    <w:rsid w:val="00DF60D6"/>
    <w:rsid w:val="00DF6730"/>
    <w:rsid w:val="00DF68C7"/>
    <w:rsid w:val="00DF6C49"/>
    <w:rsid w:val="00E0085A"/>
    <w:rsid w:val="00E03530"/>
    <w:rsid w:val="00E0452E"/>
    <w:rsid w:val="00E07E2F"/>
    <w:rsid w:val="00E1180C"/>
    <w:rsid w:val="00E12594"/>
    <w:rsid w:val="00E14A5A"/>
    <w:rsid w:val="00E17651"/>
    <w:rsid w:val="00E17AE2"/>
    <w:rsid w:val="00E216F1"/>
    <w:rsid w:val="00E227F1"/>
    <w:rsid w:val="00E24B7A"/>
    <w:rsid w:val="00E25557"/>
    <w:rsid w:val="00E30A53"/>
    <w:rsid w:val="00E31334"/>
    <w:rsid w:val="00E328A8"/>
    <w:rsid w:val="00E3563F"/>
    <w:rsid w:val="00E35E67"/>
    <w:rsid w:val="00E40CC9"/>
    <w:rsid w:val="00E42144"/>
    <w:rsid w:val="00E449F9"/>
    <w:rsid w:val="00E457CA"/>
    <w:rsid w:val="00E46A4C"/>
    <w:rsid w:val="00E52AED"/>
    <w:rsid w:val="00E57599"/>
    <w:rsid w:val="00E61A9C"/>
    <w:rsid w:val="00E72AC1"/>
    <w:rsid w:val="00E72CE1"/>
    <w:rsid w:val="00E749E5"/>
    <w:rsid w:val="00E757FB"/>
    <w:rsid w:val="00E76734"/>
    <w:rsid w:val="00E802E5"/>
    <w:rsid w:val="00E81C0E"/>
    <w:rsid w:val="00E92895"/>
    <w:rsid w:val="00E92D9B"/>
    <w:rsid w:val="00E93C63"/>
    <w:rsid w:val="00E974E6"/>
    <w:rsid w:val="00EA0338"/>
    <w:rsid w:val="00EA0FFA"/>
    <w:rsid w:val="00EA40E7"/>
    <w:rsid w:val="00EB244F"/>
    <w:rsid w:val="00EB2C6B"/>
    <w:rsid w:val="00EB3B2D"/>
    <w:rsid w:val="00EB4562"/>
    <w:rsid w:val="00EB51CA"/>
    <w:rsid w:val="00EC2489"/>
    <w:rsid w:val="00EC4E45"/>
    <w:rsid w:val="00ED6218"/>
    <w:rsid w:val="00EE156A"/>
    <w:rsid w:val="00EE26DB"/>
    <w:rsid w:val="00EE38B8"/>
    <w:rsid w:val="00EE6424"/>
    <w:rsid w:val="00EE7156"/>
    <w:rsid w:val="00EE76B8"/>
    <w:rsid w:val="00EF130F"/>
    <w:rsid w:val="00EF343B"/>
    <w:rsid w:val="00EF57FF"/>
    <w:rsid w:val="00F02DFB"/>
    <w:rsid w:val="00F02FBD"/>
    <w:rsid w:val="00F03CB7"/>
    <w:rsid w:val="00F03D8B"/>
    <w:rsid w:val="00F11105"/>
    <w:rsid w:val="00F146FC"/>
    <w:rsid w:val="00F16691"/>
    <w:rsid w:val="00F17A94"/>
    <w:rsid w:val="00F200B3"/>
    <w:rsid w:val="00F22F9D"/>
    <w:rsid w:val="00F258FF"/>
    <w:rsid w:val="00F2592C"/>
    <w:rsid w:val="00F31E12"/>
    <w:rsid w:val="00F32239"/>
    <w:rsid w:val="00F40702"/>
    <w:rsid w:val="00F41C7B"/>
    <w:rsid w:val="00F424D5"/>
    <w:rsid w:val="00F429E4"/>
    <w:rsid w:val="00F505B7"/>
    <w:rsid w:val="00F515AC"/>
    <w:rsid w:val="00F54DD7"/>
    <w:rsid w:val="00F554DF"/>
    <w:rsid w:val="00F55AA8"/>
    <w:rsid w:val="00F564BC"/>
    <w:rsid w:val="00F62401"/>
    <w:rsid w:val="00F62BE3"/>
    <w:rsid w:val="00F64A02"/>
    <w:rsid w:val="00F66024"/>
    <w:rsid w:val="00F6632D"/>
    <w:rsid w:val="00F66AB3"/>
    <w:rsid w:val="00F71EA3"/>
    <w:rsid w:val="00F73854"/>
    <w:rsid w:val="00F7524B"/>
    <w:rsid w:val="00F7718A"/>
    <w:rsid w:val="00F82CC2"/>
    <w:rsid w:val="00F83D3E"/>
    <w:rsid w:val="00F84F55"/>
    <w:rsid w:val="00F850D6"/>
    <w:rsid w:val="00F85F99"/>
    <w:rsid w:val="00F86C68"/>
    <w:rsid w:val="00F90906"/>
    <w:rsid w:val="00F923A1"/>
    <w:rsid w:val="00F93317"/>
    <w:rsid w:val="00F93D05"/>
    <w:rsid w:val="00F94CF6"/>
    <w:rsid w:val="00F94D58"/>
    <w:rsid w:val="00F94F7C"/>
    <w:rsid w:val="00F9770E"/>
    <w:rsid w:val="00F97A54"/>
    <w:rsid w:val="00FA04E3"/>
    <w:rsid w:val="00FA098C"/>
    <w:rsid w:val="00FA35F6"/>
    <w:rsid w:val="00FA5C83"/>
    <w:rsid w:val="00FA5F68"/>
    <w:rsid w:val="00FA66A8"/>
    <w:rsid w:val="00FB438E"/>
    <w:rsid w:val="00FB4653"/>
    <w:rsid w:val="00FB5563"/>
    <w:rsid w:val="00FB7AE4"/>
    <w:rsid w:val="00FC0678"/>
    <w:rsid w:val="00FC1A1C"/>
    <w:rsid w:val="00FC4442"/>
    <w:rsid w:val="00FC7842"/>
    <w:rsid w:val="00FD0EB6"/>
    <w:rsid w:val="00FD3F22"/>
    <w:rsid w:val="00FD52DA"/>
    <w:rsid w:val="00FD7490"/>
    <w:rsid w:val="00FD7D31"/>
    <w:rsid w:val="00FE2527"/>
    <w:rsid w:val="00FE2736"/>
    <w:rsid w:val="00FE5EE8"/>
    <w:rsid w:val="00FE60FE"/>
    <w:rsid w:val="00FE78D0"/>
    <w:rsid w:val="00FF0169"/>
    <w:rsid w:val="00FF0704"/>
    <w:rsid w:val="00FF2505"/>
    <w:rsid w:val="00FF4320"/>
    <w:rsid w:val="00FF4A40"/>
    <w:rsid w:val="00FF5EB0"/>
    <w:rsid w:val="00FF6BF6"/>
    <w:rsid w:val="010E3F17"/>
    <w:rsid w:val="01183671"/>
    <w:rsid w:val="0144517A"/>
    <w:rsid w:val="015170E8"/>
    <w:rsid w:val="0172125D"/>
    <w:rsid w:val="01795229"/>
    <w:rsid w:val="017E2A82"/>
    <w:rsid w:val="017E6F26"/>
    <w:rsid w:val="01810B64"/>
    <w:rsid w:val="01826811"/>
    <w:rsid w:val="01A868CF"/>
    <w:rsid w:val="01AC7C1B"/>
    <w:rsid w:val="01C03307"/>
    <w:rsid w:val="01C30439"/>
    <w:rsid w:val="01CC24BC"/>
    <w:rsid w:val="01D07843"/>
    <w:rsid w:val="01DB101A"/>
    <w:rsid w:val="01DC2B5D"/>
    <w:rsid w:val="01E3082B"/>
    <w:rsid w:val="01E8254E"/>
    <w:rsid w:val="01EC0DED"/>
    <w:rsid w:val="0200796D"/>
    <w:rsid w:val="020415C2"/>
    <w:rsid w:val="02080F1A"/>
    <w:rsid w:val="021254E9"/>
    <w:rsid w:val="021939BC"/>
    <w:rsid w:val="02230C5B"/>
    <w:rsid w:val="022C0315"/>
    <w:rsid w:val="024C2D4B"/>
    <w:rsid w:val="024F3510"/>
    <w:rsid w:val="02577549"/>
    <w:rsid w:val="02610556"/>
    <w:rsid w:val="02667208"/>
    <w:rsid w:val="02707B4E"/>
    <w:rsid w:val="027246E0"/>
    <w:rsid w:val="028B3AC8"/>
    <w:rsid w:val="02A6527E"/>
    <w:rsid w:val="02A751E2"/>
    <w:rsid w:val="02AA79EF"/>
    <w:rsid w:val="02B37357"/>
    <w:rsid w:val="02BD5425"/>
    <w:rsid w:val="02BF4DB6"/>
    <w:rsid w:val="02C50503"/>
    <w:rsid w:val="02C52DD9"/>
    <w:rsid w:val="02C556B0"/>
    <w:rsid w:val="02F15082"/>
    <w:rsid w:val="02F20834"/>
    <w:rsid w:val="02F30EEE"/>
    <w:rsid w:val="03086400"/>
    <w:rsid w:val="03145260"/>
    <w:rsid w:val="031F2043"/>
    <w:rsid w:val="032C298F"/>
    <w:rsid w:val="033835B9"/>
    <w:rsid w:val="033C0A9E"/>
    <w:rsid w:val="03552E14"/>
    <w:rsid w:val="0355453F"/>
    <w:rsid w:val="035E3EC8"/>
    <w:rsid w:val="036A1653"/>
    <w:rsid w:val="03722553"/>
    <w:rsid w:val="0385634A"/>
    <w:rsid w:val="03947A14"/>
    <w:rsid w:val="039611D1"/>
    <w:rsid w:val="039A566A"/>
    <w:rsid w:val="03AD1FD8"/>
    <w:rsid w:val="03AE6ED2"/>
    <w:rsid w:val="03AF451E"/>
    <w:rsid w:val="03C1490A"/>
    <w:rsid w:val="03D15432"/>
    <w:rsid w:val="03E10B6A"/>
    <w:rsid w:val="03E84FE9"/>
    <w:rsid w:val="03EE5C83"/>
    <w:rsid w:val="04062777"/>
    <w:rsid w:val="04095549"/>
    <w:rsid w:val="040D3303"/>
    <w:rsid w:val="040D33BC"/>
    <w:rsid w:val="04107BCB"/>
    <w:rsid w:val="04163446"/>
    <w:rsid w:val="041A51AD"/>
    <w:rsid w:val="041E6E5B"/>
    <w:rsid w:val="04225A57"/>
    <w:rsid w:val="042B250C"/>
    <w:rsid w:val="043B5BAC"/>
    <w:rsid w:val="043E24E5"/>
    <w:rsid w:val="043F1D3E"/>
    <w:rsid w:val="04405814"/>
    <w:rsid w:val="04451A44"/>
    <w:rsid w:val="044749C6"/>
    <w:rsid w:val="04490DFE"/>
    <w:rsid w:val="04562158"/>
    <w:rsid w:val="04651CD8"/>
    <w:rsid w:val="046570BF"/>
    <w:rsid w:val="046873CE"/>
    <w:rsid w:val="046C5C2E"/>
    <w:rsid w:val="04844854"/>
    <w:rsid w:val="048A698E"/>
    <w:rsid w:val="04974587"/>
    <w:rsid w:val="049A7BD3"/>
    <w:rsid w:val="049B21B4"/>
    <w:rsid w:val="04A01AFE"/>
    <w:rsid w:val="04A76DFF"/>
    <w:rsid w:val="04B0007D"/>
    <w:rsid w:val="04B65EDF"/>
    <w:rsid w:val="04BB7486"/>
    <w:rsid w:val="04BF3A0A"/>
    <w:rsid w:val="04C34AD8"/>
    <w:rsid w:val="04DD4A9D"/>
    <w:rsid w:val="04E30906"/>
    <w:rsid w:val="04F90CDF"/>
    <w:rsid w:val="04F97316"/>
    <w:rsid w:val="04FB603D"/>
    <w:rsid w:val="04FC6C83"/>
    <w:rsid w:val="05005914"/>
    <w:rsid w:val="050B0C4F"/>
    <w:rsid w:val="051A6243"/>
    <w:rsid w:val="051D048B"/>
    <w:rsid w:val="051E4BB9"/>
    <w:rsid w:val="052405FB"/>
    <w:rsid w:val="052907B7"/>
    <w:rsid w:val="052A0005"/>
    <w:rsid w:val="052C2DEB"/>
    <w:rsid w:val="053254FF"/>
    <w:rsid w:val="05340D50"/>
    <w:rsid w:val="05341DD6"/>
    <w:rsid w:val="05462EFF"/>
    <w:rsid w:val="054A197A"/>
    <w:rsid w:val="055E597C"/>
    <w:rsid w:val="055F7B21"/>
    <w:rsid w:val="05611C9F"/>
    <w:rsid w:val="0563668F"/>
    <w:rsid w:val="05767251"/>
    <w:rsid w:val="05780857"/>
    <w:rsid w:val="05982AF3"/>
    <w:rsid w:val="05B272AB"/>
    <w:rsid w:val="05B525D2"/>
    <w:rsid w:val="05BA4DD7"/>
    <w:rsid w:val="05C44383"/>
    <w:rsid w:val="05DF2E8D"/>
    <w:rsid w:val="05EA39FE"/>
    <w:rsid w:val="05F73C83"/>
    <w:rsid w:val="0609596A"/>
    <w:rsid w:val="0615527A"/>
    <w:rsid w:val="06206D64"/>
    <w:rsid w:val="0635094C"/>
    <w:rsid w:val="063C038A"/>
    <w:rsid w:val="064360E6"/>
    <w:rsid w:val="064E6388"/>
    <w:rsid w:val="064F1B08"/>
    <w:rsid w:val="06550A3E"/>
    <w:rsid w:val="06587C94"/>
    <w:rsid w:val="06616262"/>
    <w:rsid w:val="066F314B"/>
    <w:rsid w:val="067508F8"/>
    <w:rsid w:val="067C0E39"/>
    <w:rsid w:val="068F658C"/>
    <w:rsid w:val="069069ED"/>
    <w:rsid w:val="06A34E0C"/>
    <w:rsid w:val="06A37AEF"/>
    <w:rsid w:val="06A413DD"/>
    <w:rsid w:val="06AC71B3"/>
    <w:rsid w:val="06AE6F96"/>
    <w:rsid w:val="06B85B1E"/>
    <w:rsid w:val="06BA6B9B"/>
    <w:rsid w:val="06D2211E"/>
    <w:rsid w:val="06E8669C"/>
    <w:rsid w:val="07013CB4"/>
    <w:rsid w:val="07055031"/>
    <w:rsid w:val="070B65D9"/>
    <w:rsid w:val="07105743"/>
    <w:rsid w:val="07107703"/>
    <w:rsid w:val="07113BD6"/>
    <w:rsid w:val="07132B80"/>
    <w:rsid w:val="07174CE0"/>
    <w:rsid w:val="071A68E6"/>
    <w:rsid w:val="071F6F74"/>
    <w:rsid w:val="07280805"/>
    <w:rsid w:val="072A7328"/>
    <w:rsid w:val="073659F4"/>
    <w:rsid w:val="07462FA5"/>
    <w:rsid w:val="07542346"/>
    <w:rsid w:val="07602112"/>
    <w:rsid w:val="076939B1"/>
    <w:rsid w:val="077B5E33"/>
    <w:rsid w:val="07A34C8C"/>
    <w:rsid w:val="07AB485E"/>
    <w:rsid w:val="07AD3FE5"/>
    <w:rsid w:val="07AD66C3"/>
    <w:rsid w:val="07B43586"/>
    <w:rsid w:val="07B56793"/>
    <w:rsid w:val="07BC2729"/>
    <w:rsid w:val="07C177E1"/>
    <w:rsid w:val="07D61332"/>
    <w:rsid w:val="07D70442"/>
    <w:rsid w:val="07DC4CF1"/>
    <w:rsid w:val="07E32B27"/>
    <w:rsid w:val="07E45B4C"/>
    <w:rsid w:val="07E926A3"/>
    <w:rsid w:val="07F200F1"/>
    <w:rsid w:val="080904F7"/>
    <w:rsid w:val="08130789"/>
    <w:rsid w:val="08265B9E"/>
    <w:rsid w:val="08374B13"/>
    <w:rsid w:val="083D09BB"/>
    <w:rsid w:val="084C1961"/>
    <w:rsid w:val="085C70E3"/>
    <w:rsid w:val="08634780"/>
    <w:rsid w:val="087F5A5E"/>
    <w:rsid w:val="08894E5C"/>
    <w:rsid w:val="088A6835"/>
    <w:rsid w:val="088B592C"/>
    <w:rsid w:val="08A72527"/>
    <w:rsid w:val="08AA4B51"/>
    <w:rsid w:val="08B04E26"/>
    <w:rsid w:val="08B71469"/>
    <w:rsid w:val="08B7532F"/>
    <w:rsid w:val="08C43471"/>
    <w:rsid w:val="08D05D99"/>
    <w:rsid w:val="08D306C7"/>
    <w:rsid w:val="08D56BA1"/>
    <w:rsid w:val="08DC3ED4"/>
    <w:rsid w:val="08EF2B41"/>
    <w:rsid w:val="09060634"/>
    <w:rsid w:val="090E7F21"/>
    <w:rsid w:val="091F4324"/>
    <w:rsid w:val="09305239"/>
    <w:rsid w:val="095B5BD4"/>
    <w:rsid w:val="096164E5"/>
    <w:rsid w:val="096B32CA"/>
    <w:rsid w:val="097078B6"/>
    <w:rsid w:val="09766D5E"/>
    <w:rsid w:val="09794E91"/>
    <w:rsid w:val="098175B4"/>
    <w:rsid w:val="09926C87"/>
    <w:rsid w:val="099E0166"/>
    <w:rsid w:val="09AE16E4"/>
    <w:rsid w:val="09B53F57"/>
    <w:rsid w:val="09D77460"/>
    <w:rsid w:val="09DC1584"/>
    <w:rsid w:val="09E244F6"/>
    <w:rsid w:val="0A1A6385"/>
    <w:rsid w:val="0A1E6D67"/>
    <w:rsid w:val="0A423B22"/>
    <w:rsid w:val="0A503F38"/>
    <w:rsid w:val="0A524FB1"/>
    <w:rsid w:val="0A562853"/>
    <w:rsid w:val="0A5C0540"/>
    <w:rsid w:val="0A651AD9"/>
    <w:rsid w:val="0A68776C"/>
    <w:rsid w:val="0A6E6087"/>
    <w:rsid w:val="0A735943"/>
    <w:rsid w:val="0A774D0B"/>
    <w:rsid w:val="0A7D0EAB"/>
    <w:rsid w:val="0A7F6940"/>
    <w:rsid w:val="0A90609D"/>
    <w:rsid w:val="0A9617A0"/>
    <w:rsid w:val="0AA536C8"/>
    <w:rsid w:val="0AA8172F"/>
    <w:rsid w:val="0AAF1EFF"/>
    <w:rsid w:val="0AB01615"/>
    <w:rsid w:val="0AB21F41"/>
    <w:rsid w:val="0ABF468A"/>
    <w:rsid w:val="0AC44B82"/>
    <w:rsid w:val="0AEE098D"/>
    <w:rsid w:val="0AFC3057"/>
    <w:rsid w:val="0B141D0B"/>
    <w:rsid w:val="0B157FD6"/>
    <w:rsid w:val="0B16442C"/>
    <w:rsid w:val="0B2002DF"/>
    <w:rsid w:val="0B305A2C"/>
    <w:rsid w:val="0B385D95"/>
    <w:rsid w:val="0B3B3792"/>
    <w:rsid w:val="0B3E7C13"/>
    <w:rsid w:val="0B41178A"/>
    <w:rsid w:val="0B42127D"/>
    <w:rsid w:val="0B4A0698"/>
    <w:rsid w:val="0B7169C8"/>
    <w:rsid w:val="0B750846"/>
    <w:rsid w:val="0B7B5D25"/>
    <w:rsid w:val="0B927BA2"/>
    <w:rsid w:val="0B952F4D"/>
    <w:rsid w:val="0B9D36EA"/>
    <w:rsid w:val="0BA51E67"/>
    <w:rsid w:val="0BB3482A"/>
    <w:rsid w:val="0BB37BAC"/>
    <w:rsid w:val="0BB538AC"/>
    <w:rsid w:val="0BC86597"/>
    <w:rsid w:val="0BD45995"/>
    <w:rsid w:val="0BDA602D"/>
    <w:rsid w:val="0BDE08D4"/>
    <w:rsid w:val="0BDF21ED"/>
    <w:rsid w:val="0BE4305D"/>
    <w:rsid w:val="0BFE4F2A"/>
    <w:rsid w:val="0C022BF0"/>
    <w:rsid w:val="0C074385"/>
    <w:rsid w:val="0C105525"/>
    <w:rsid w:val="0C182D3A"/>
    <w:rsid w:val="0C207F47"/>
    <w:rsid w:val="0C2701D5"/>
    <w:rsid w:val="0C2B7812"/>
    <w:rsid w:val="0C50445F"/>
    <w:rsid w:val="0C611C76"/>
    <w:rsid w:val="0C627450"/>
    <w:rsid w:val="0C6364E2"/>
    <w:rsid w:val="0C690FDF"/>
    <w:rsid w:val="0C81645F"/>
    <w:rsid w:val="0C840344"/>
    <w:rsid w:val="0C841E1E"/>
    <w:rsid w:val="0C9851B0"/>
    <w:rsid w:val="0C9D1203"/>
    <w:rsid w:val="0C9E6A53"/>
    <w:rsid w:val="0CAD246E"/>
    <w:rsid w:val="0CBC5373"/>
    <w:rsid w:val="0CCF478A"/>
    <w:rsid w:val="0CD1164A"/>
    <w:rsid w:val="0CD42801"/>
    <w:rsid w:val="0CD649CC"/>
    <w:rsid w:val="0CE110CB"/>
    <w:rsid w:val="0CE560AB"/>
    <w:rsid w:val="0CE91379"/>
    <w:rsid w:val="0CF8120E"/>
    <w:rsid w:val="0CF87B8D"/>
    <w:rsid w:val="0CF90F08"/>
    <w:rsid w:val="0D0E475A"/>
    <w:rsid w:val="0D110ECA"/>
    <w:rsid w:val="0D2729F3"/>
    <w:rsid w:val="0D352CAF"/>
    <w:rsid w:val="0D3A63F7"/>
    <w:rsid w:val="0D566044"/>
    <w:rsid w:val="0D633925"/>
    <w:rsid w:val="0D665E9C"/>
    <w:rsid w:val="0D7116ED"/>
    <w:rsid w:val="0D755681"/>
    <w:rsid w:val="0D763D66"/>
    <w:rsid w:val="0D882E12"/>
    <w:rsid w:val="0D890C00"/>
    <w:rsid w:val="0D894C89"/>
    <w:rsid w:val="0D9645CE"/>
    <w:rsid w:val="0D9814A9"/>
    <w:rsid w:val="0D9F5624"/>
    <w:rsid w:val="0DA07959"/>
    <w:rsid w:val="0DA71E16"/>
    <w:rsid w:val="0DAD3239"/>
    <w:rsid w:val="0DB454AB"/>
    <w:rsid w:val="0DB63C59"/>
    <w:rsid w:val="0DC363ED"/>
    <w:rsid w:val="0DC43F13"/>
    <w:rsid w:val="0DCB1FA1"/>
    <w:rsid w:val="0DD650BD"/>
    <w:rsid w:val="0DE03144"/>
    <w:rsid w:val="0DE620DB"/>
    <w:rsid w:val="0DF10A5B"/>
    <w:rsid w:val="0DF75DF5"/>
    <w:rsid w:val="0DF92CE0"/>
    <w:rsid w:val="0E0D2201"/>
    <w:rsid w:val="0E160A58"/>
    <w:rsid w:val="0E1675C4"/>
    <w:rsid w:val="0E185C00"/>
    <w:rsid w:val="0E193821"/>
    <w:rsid w:val="0E395D20"/>
    <w:rsid w:val="0E3D599F"/>
    <w:rsid w:val="0E4313EC"/>
    <w:rsid w:val="0E4D5575"/>
    <w:rsid w:val="0E4E18BF"/>
    <w:rsid w:val="0E542434"/>
    <w:rsid w:val="0E5D060E"/>
    <w:rsid w:val="0E6B1369"/>
    <w:rsid w:val="0E6E73F1"/>
    <w:rsid w:val="0E84519B"/>
    <w:rsid w:val="0E8C6489"/>
    <w:rsid w:val="0E905A81"/>
    <w:rsid w:val="0E9728C0"/>
    <w:rsid w:val="0E9B1DE3"/>
    <w:rsid w:val="0E9D1B3F"/>
    <w:rsid w:val="0EA7186A"/>
    <w:rsid w:val="0ECA137F"/>
    <w:rsid w:val="0ECA61ED"/>
    <w:rsid w:val="0ECC4567"/>
    <w:rsid w:val="0ECD05D8"/>
    <w:rsid w:val="0ECE03B0"/>
    <w:rsid w:val="0EE07262"/>
    <w:rsid w:val="0EF54B6B"/>
    <w:rsid w:val="0EF95629"/>
    <w:rsid w:val="0F043F7C"/>
    <w:rsid w:val="0F0A5895"/>
    <w:rsid w:val="0F1146A1"/>
    <w:rsid w:val="0F141C2F"/>
    <w:rsid w:val="0F1462B4"/>
    <w:rsid w:val="0F223EFD"/>
    <w:rsid w:val="0F2710C1"/>
    <w:rsid w:val="0F39192B"/>
    <w:rsid w:val="0F561155"/>
    <w:rsid w:val="0F58445F"/>
    <w:rsid w:val="0F657FFD"/>
    <w:rsid w:val="0F713C26"/>
    <w:rsid w:val="0F750D17"/>
    <w:rsid w:val="0F7722CF"/>
    <w:rsid w:val="0F8932E2"/>
    <w:rsid w:val="0F9563FC"/>
    <w:rsid w:val="0F9658E5"/>
    <w:rsid w:val="0F9B068F"/>
    <w:rsid w:val="0FA31024"/>
    <w:rsid w:val="0FA84851"/>
    <w:rsid w:val="0FB12F47"/>
    <w:rsid w:val="0FBA49DF"/>
    <w:rsid w:val="0FC07D33"/>
    <w:rsid w:val="0FC71A98"/>
    <w:rsid w:val="0FD577DB"/>
    <w:rsid w:val="0FDC51FE"/>
    <w:rsid w:val="0FDC63D6"/>
    <w:rsid w:val="0FF35A6B"/>
    <w:rsid w:val="100576C9"/>
    <w:rsid w:val="100C4A12"/>
    <w:rsid w:val="10167C25"/>
    <w:rsid w:val="1019262A"/>
    <w:rsid w:val="101D790A"/>
    <w:rsid w:val="10201266"/>
    <w:rsid w:val="10320702"/>
    <w:rsid w:val="10380885"/>
    <w:rsid w:val="104650B3"/>
    <w:rsid w:val="104D3057"/>
    <w:rsid w:val="104D7032"/>
    <w:rsid w:val="10534DBE"/>
    <w:rsid w:val="105A3B87"/>
    <w:rsid w:val="105F5E96"/>
    <w:rsid w:val="10627CC6"/>
    <w:rsid w:val="1069385F"/>
    <w:rsid w:val="106D64CC"/>
    <w:rsid w:val="106F65B3"/>
    <w:rsid w:val="107E02AB"/>
    <w:rsid w:val="108C1B65"/>
    <w:rsid w:val="10A127E7"/>
    <w:rsid w:val="10AD4943"/>
    <w:rsid w:val="10B35078"/>
    <w:rsid w:val="10B4270F"/>
    <w:rsid w:val="10B44196"/>
    <w:rsid w:val="10E416F2"/>
    <w:rsid w:val="10E72F79"/>
    <w:rsid w:val="10EB5372"/>
    <w:rsid w:val="1100369E"/>
    <w:rsid w:val="11034D52"/>
    <w:rsid w:val="11085112"/>
    <w:rsid w:val="111111DB"/>
    <w:rsid w:val="11114787"/>
    <w:rsid w:val="11151522"/>
    <w:rsid w:val="11166833"/>
    <w:rsid w:val="111B3927"/>
    <w:rsid w:val="112A43CB"/>
    <w:rsid w:val="11381429"/>
    <w:rsid w:val="114B7BCD"/>
    <w:rsid w:val="11516102"/>
    <w:rsid w:val="11590524"/>
    <w:rsid w:val="11763776"/>
    <w:rsid w:val="11984951"/>
    <w:rsid w:val="11A1179E"/>
    <w:rsid w:val="11B54C60"/>
    <w:rsid w:val="11B72AD4"/>
    <w:rsid w:val="11C97D4A"/>
    <w:rsid w:val="11D44ABA"/>
    <w:rsid w:val="11D55422"/>
    <w:rsid w:val="11D86E67"/>
    <w:rsid w:val="11E83A70"/>
    <w:rsid w:val="11E93F48"/>
    <w:rsid w:val="121000EC"/>
    <w:rsid w:val="12147955"/>
    <w:rsid w:val="12174343"/>
    <w:rsid w:val="121B7487"/>
    <w:rsid w:val="12237278"/>
    <w:rsid w:val="12261455"/>
    <w:rsid w:val="123B5737"/>
    <w:rsid w:val="123E374A"/>
    <w:rsid w:val="124114E6"/>
    <w:rsid w:val="124F05F1"/>
    <w:rsid w:val="12551D51"/>
    <w:rsid w:val="1258582A"/>
    <w:rsid w:val="12601BA1"/>
    <w:rsid w:val="126139CF"/>
    <w:rsid w:val="126C14E2"/>
    <w:rsid w:val="127D608B"/>
    <w:rsid w:val="12802254"/>
    <w:rsid w:val="12857D27"/>
    <w:rsid w:val="12954D54"/>
    <w:rsid w:val="12991D48"/>
    <w:rsid w:val="129D6872"/>
    <w:rsid w:val="129F1B30"/>
    <w:rsid w:val="12A204B1"/>
    <w:rsid w:val="12A55421"/>
    <w:rsid w:val="12AE414C"/>
    <w:rsid w:val="12AE6ABA"/>
    <w:rsid w:val="12AF642C"/>
    <w:rsid w:val="12B72298"/>
    <w:rsid w:val="12C16AC3"/>
    <w:rsid w:val="12CB4854"/>
    <w:rsid w:val="12CD7567"/>
    <w:rsid w:val="12CE4C3D"/>
    <w:rsid w:val="12EB4341"/>
    <w:rsid w:val="12F62921"/>
    <w:rsid w:val="12F82D6A"/>
    <w:rsid w:val="13077910"/>
    <w:rsid w:val="131274CE"/>
    <w:rsid w:val="13167A5C"/>
    <w:rsid w:val="13180581"/>
    <w:rsid w:val="132B7930"/>
    <w:rsid w:val="132E394C"/>
    <w:rsid w:val="134212E3"/>
    <w:rsid w:val="13435426"/>
    <w:rsid w:val="134569D0"/>
    <w:rsid w:val="134D2F57"/>
    <w:rsid w:val="13540CE3"/>
    <w:rsid w:val="13705F44"/>
    <w:rsid w:val="138463D2"/>
    <w:rsid w:val="13866787"/>
    <w:rsid w:val="138E21AE"/>
    <w:rsid w:val="13907ADD"/>
    <w:rsid w:val="13932882"/>
    <w:rsid w:val="13994037"/>
    <w:rsid w:val="13A47911"/>
    <w:rsid w:val="13AB6CAF"/>
    <w:rsid w:val="13B77964"/>
    <w:rsid w:val="13C72F72"/>
    <w:rsid w:val="13D15742"/>
    <w:rsid w:val="13DF5603"/>
    <w:rsid w:val="13EA652B"/>
    <w:rsid w:val="13F53078"/>
    <w:rsid w:val="14070F9D"/>
    <w:rsid w:val="14072E72"/>
    <w:rsid w:val="14160817"/>
    <w:rsid w:val="141B28F1"/>
    <w:rsid w:val="141C6857"/>
    <w:rsid w:val="142D3770"/>
    <w:rsid w:val="14342850"/>
    <w:rsid w:val="14481234"/>
    <w:rsid w:val="14515DD5"/>
    <w:rsid w:val="145F4995"/>
    <w:rsid w:val="146125B1"/>
    <w:rsid w:val="14624D7D"/>
    <w:rsid w:val="14671667"/>
    <w:rsid w:val="14804B2F"/>
    <w:rsid w:val="148349D2"/>
    <w:rsid w:val="14874DB3"/>
    <w:rsid w:val="148B67D3"/>
    <w:rsid w:val="148B7305"/>
    <w:rsid w:val="149367F0"/>
    <w:rsid w:val="14A93728"/>
    <w:rsid w:val="14AA67C1"/>
    <w:rsid w:val="14AE4D21"/>
    <w:rsid w:val="14B44A9E"/>
    <w:rsid w:val="14B73162"/>
    <w:rsid w:val="14BD6048"/>
    <w:rsid w:val="14C73A06"/>
    <w:rsid w:val="14DC1398"/>
    <w:rsid w:val="14DE64E6"/>
    <w:rsid w:val="14E37374"/>
    <w:rsid w:val="14E64696"/>
    <w:rsid w:val="14EF1875"/>
    <w:rsid w:val="14F8006A"/>
    <w:rsid w:val="14FB55A5"/>
    <w:rsid w:val="150150F6"/>
    <w:rsid w:val="150A038E"/>
    <w:rsid w:val="150C19E0"/>
    <w:rsid w:val="151A67F9"/>
    <w:rsid w:val="153A05FF"/>
    <w:rsid w:val="153A3533"/>
    <w:rsid w:val="153E4883"/>
    <w:rsid w:val="154502CF"/>
    <w:rsid w:val="1548072A"/>
    <w:rsid w:val="154D43A4"/>
    <w:rsid w:val="15545EB9"/>
    <w:rsid w:val="15567B46"/>
    <w:rsid w:val="15571597"/>
    <w:rsid w:val="15571BF4"/>
    <w:rsid w:val="15635C12"/>
    <w:rsid w:val="15706004"/>
    <w:rsid w:val="158A4781"/>
    <w:rsid w:val="158D0509"/>
    <w:rsid w:val="15944E34"/>
    <w:rsid w:val="15A05E98"/>
    <w:rsid w:val="15A33518"/>
    <w:rsid w:val="15B4203E"/>
    <w:rsid w:val="15BD56DF"/>
    <w:rsid w:val="15BE242B"/>
    <w:rsid w:val="15C2295F"/>
    <w:rsid w:val="15CA298A"/>
    <w:rsid w:val="15E66C64"/>
    <w:rsid w:val="15F1074A"/>
    <w:rsid w:val="15F159DB"/>
    <w:rsid w:val="15F25BF9"/>
    <w:rsid w:val="15F72D9B"/>
    <w:rsid w:val="15F731EB"/>
    <w:rsid w:val="16074E97"/>
    <w:rsid w:val="16442139"/>
    <w:rsid w:val="164C3B1D"/>
    <w:rsid w:val="16523DE0"/>
    <w:rsid w:val="169D2B99"/>
    <w:rsid w:val="16A16DEE"/>
    <w:rsid w:val="16AD3796"/>
    <w:rsid w:val="16B643F7"/>
    <w:rsid w:val="16C3087E"/>
    <w:rsid w:val="16C91830"/>
    <w:rsid w:val="16CF652D"/>
    <w:rsid w:val="16E11600"/>
    <w:rsid w:val="16E7586C"/>
    <w:rsid w:val="16E91CD9"/>
    <w:rsid w:val="16EA64D9"/>
    <w:rsid w:val="16EF042E"/>
    <w:rsid w:val="16F62026"/>
    <w:rsid w:val="170A6841"/>
    <w:rsid w:val="17130116"/>
    <w:rsid w:val="17132163"/>
    <w:rsid w:val="171644D4"/>
    <w:rsid w:val="171B480E"/>
    <w:rsid w:val="171D5DE5"/>
    <w:rsid w:val="172C50FB"/>
    <w:rsid w:val="173A2E4A"/>
    <w:rsid w:val="174D7369"/>
    <w:rsid w:val="17577BA6"/>
    <w:rsid w:val="175A1685"/>
    <w:rsid w:val="175E3336"/>
    <w:rsid w:val="176D17B3"/>
    <w:rsid w:val="177C7B87"/>
    <w:rsid w:val="1784001D"/>
    <w:rsid w:val="178C5789"/>
    <w:rsid w:val="179258AA"/>
    <w:rsid w:val="17BA6B71"/>
    <w:rsid w:val="17BB7323"/>
    <w:rsid w:val="17BD20FF"/>
    <w:rsid w:val="17D26F00"/>
    <w:rsid w:val="17D61B79"/>
    <w:rsid w:val="17E60C33"/>
    <w:rsid w:val="17EE0DF9"/>
    <w:rsid w:val="17EE105C"/>
    <w:rsid w:val="17EE22B8"/>
    <w:rsid w:val="17F324AA"/>
    <w:rsid w:val="17F90C7E"/>
    <w:rsid w:val="17FE5912"/>
    <w:rsid w:val="180439A8"/>
    <w:rsid w:val="180841A7"/>
    <w:rsid w:val="18085E1C"/>
    <w:rsid w:val="18090BE9"/>
    <w:rsid w:val="18131008"/>
    <w:rsid w:val="18162573"/>
    <w:rsid w:val="181A43E8"/>
    <w:rsid w:val="182E6B2B"/>
    <w:rsid w:val="1838796E"/>
    <w:rsid w:val="183D7C32"/>
    <w:rsid w:val="186112F0"/>
    <w:rsid w:val="186B4C91"/>
    <w:rsid w:val="18782C27"/>
    <w:rsid w:val="1894143C"/>
    <w:rsid w:val="1897327F"/>
    <w:rsid w:val="189F782C"/>
    <w:rsid w:val="18A21AD3"/>
    <w:rsid w:val="18A57274"/>
    <w:rsid w:val="18AE32F2"/>
    <w:rsid w:val="18B376BD"/>
    <w:rsid w:val="18B60AB8"/>
    <w:rsid w:val="18C364EB"/>
    <w:rsid w:val="18C87A43"/>
    <w:rsid w:val="18E77E27"/>
    <w:rsid w:val="18ED096A"/>
    <w:rsid w:val="18F03E0E"/>
    <w:rsid w:val="18F156A4"/>
    <w:rsid w:val="19000D74"/>
    <w:rsid w:val="190212E1"/>
    <w:rsid w:val="190A6B8D"/>
    <w:rsid w:val="191C2AA3"/>
    <w:rsid w:val="192C753C"/>
    <w:rsid w:val="193841C3"/>
    <w:rsid w:val="193B2B9F"/>
    <w:rsid w:val="193D3E2A"/>
    <w:rsid w:val="193F00C3"/>
    <w:rsid w:val="19476AB2"/>
    <w:rsid w:val="194E2830"/>
    <w:rsid w:val="19537CC7"/>
    <w:rsid w:val="195E2FAA"/>
    <w:rsid w:val="196C1830"/>
    <w:rsid w:val="196C6B62"/>
    <w:rsid w:val="196E5169"/>
    <w:rsid w:val="197744D1"/>
    <w:rsid w:val="198B67D8"/>
    <w:rsid w:val="19921369"/>
    <w:rsid w:val="19927FEA"/>
    <w:rsid w:val="19A3572B"/>
    <w:rsid w:val="19B46405"/>
    <w:rsid w:val="19C601E2"/>
    <w:rsid w:val="19D25C0D"/>
    <w:rsid w:val="19D75542"/>
    <w:rsid w:val="19E31B6C"/>
    <w:rsid w:val="19E962F6"/>
    <w:rsid w:val="19EE1986"/>
    <w:rsid w:val="19EE2754"/>
    <w:rsid w:val="19F65FCA"/>
    <w:rsid w:val="19F779CC"/>
    <w:rsid w:val="19F811CC"/>
    <w:rsid w:val="19FD475D"/>
    <w:rsid w:val="19FE6CA7"/>
    <w:rsid w:val="1A087034"/>
    <w:rsid w:val="1A180644"/>
    <w:rsid w:val="1A1D50D7"/>
    <w:rsid w:val="1A205827"/>
    <w:rsid w:val="1A2119CE"/>
    <w:rsid w:val="1A30490E"/>
    <w:rsid w:val="1A35445F"/>
    <w:rsid w:val="1A357D4E"/>
    <w:rsid w:val="1A681E40"/>
    <w:rsid w:val="1A683FDF"/>
    <w:rsid w:val="1A732ED9"/>
    <w:rsid w:val="1A7F1BA0"/>
    <w:rsid w:val="1A8D2E09"/>
    <w:rsid w:val="1A985B09"/>
    <w:rsid w:val="1A991B43"/>
    <w:rsid w:val="1AA61B7D"/>
    <w:rsid w:val="1AAF3324"/>
    <w:rsid w:val="1ABC0B28"/>
    <w:rsid w:val="1ABE6734"/>
    <w:rsid w:val="1ACF6AE9"/>
    <w:rsid w:val="1ADB5169"/>
    <w:rsid w:val="1AE36246"/>
    <w:rsid w:val="1AE9298C"/>
    <w:rsid w:val="1AEB7D91"/>
    <w:rsid w:val="1AFB4489"/>
    <w:rsid w:val="1AFE63D7"/>
    <w:rsid w:val="1B1720E5"/>
    <w:rsid w:val="1B1B7916"/>
    <w:rsid w:val="1B1F35B3"/>
    <w:rsid w:val="1B232571"/>
    <w:rsid w:val="1B26097B"/>
    <w:rsid w:val="1B26235E"/>
    <w:rsid w:val="1B2705CA"/>
    <w:rsid w:val="1B3758EF"/>
    <w:rsid w:val="1B3E7DDB"/>
    <w:rsid w:val="1B410951"/>
    <w:rsid w:val="1B4579A1"/>
    <w:rsid w:val="1B506269"/>
    <w:rsid w:val="1B53467E"/>
    <w:rsid w:val="1B5C20B3"/>
    <w:rsid w:val="1B610626"/>
    <w:rsid w:val="1B7024BA"/>
    <w:rsid w:val="1B775A8D"/>
    <w:rsid w:val="1B7776D3"/>
    <w:rsid w:val="1B934BBE"/>
    <w:rsid w:val="1B9413C8"/>
    <w:rsid w:val="1B9463EF"/>
    <w:rsid w:val="1B9F66F9"/>
    <w:rsid w:val="1BB93E21"/>
    <w:rsid w:val="1BD05364"/>
    <w:rsid w:val="1BE93168"/>
    <w:rsid w:val="1C0E1F87"/>
    <w:rsid w:val="1C114F82"/>
    <w:rsid w:val="1C134EC0"/>
    <w:rsid w:val="1C19514A"/>
    <w:rsid w:val="1C1C0FBC"/>
    <w:rsid w:val="1C3717C3"/>
    <w:rsid w:val="1C3D4670"/>
    <w:rsid w:val="1C475BF6"/>
    <w:rsid w:val="1C597F1C"/>
    <w:rsid w:val="1C5C1609"/>
    <w:rsid w:val="1C6F3876"/>
    <w:rsid w:val="1C7726DF"/>
    <w:rsid w:val="1C7A1D14"/>
    <w:rsid w:val="1C8E5E18"/>
    <w:rsid w:val="1C952E58"/>
    <w:rsid w:val="1C964CCC"/>
    <w:rsid w:val="1CA8501E"/>
    <w:rsid w:val="1CAA2129"/>
    <w:rsid w:val="1CBA5FDB"/>
    <w:rsid w:val="1CC124E5"/>
    <w:rsid w:val="1CC25AC1"/>
    <w:rsid w:val="1CCD6C87"/>
    <w:rsid w:val="1CFE4B98"/>
    <w:rsid w:val="1D1631C4"/>
    <w:rsid w:val="1D183ACD"/>
    <w:rsid w:val="1D2064B7"/>
    <w:rsid w:val="1D2628B9"/>
    <w:rsid w:val="1D285233"/>
    <w:rsid w:val="1D414BF2"/>
    <w:rsid w:val="1D6700EF"/>
    <w:rsid w:val="1D717832"/>
    <w:rsid w:val="1D75063E"/>
    <w:rsid w:val="1D76195E"/>
    <w:rsid w:val="1D854C69"/>
    <w:rsid w:val="1D8D16AD"/>
    <w:rsid w:val="1D90692B"/>
    <w:rsid w:val="1D97789C"/>
    <w:rsid w:val="1DA55D97"/>
    <w:rsid w:val="1DB80043"/>
    <w:rsid w:val="1DC344C5"/>
    <w:rsid w:val="1DC40017"/>
    <w:rsid w:val="1DC84B3B"/>
    <w:rsid w:val="1DD31B32"/>
    <w:rsid w:val="1DDE7C7C"/>
    <w:rsid w:val="1DF47EFC"/>
    <w:rsid w:val="1DF50B2C"/>
    <w:rsid w:val="1DFE6525"/>
    <w:rsid w:val="1E024ED4"/>
    <w:rsid w:val="1E1B36DB"/>
    <w:rsid w:val="1E262080"/>
    <w:rsid w:val="1E2A7DC2"/>
    <w:rsid w:val="1E506148"/>
    <w:rsid w:val="1E735344"/>
    <w:rsid w:val="1E7A1D1E"/>
    <w:rsid w:val="1E7E58D0"/>
    <w:rsid w:val="1E813C53"/>
    <w:rsid w:val="1E8534FA"/>
    <w:rsid w:val="1E8D0825"/>
    <w:rsid w:val="1E95630A"/>
    <w:rsid w:val="1EAC5A9B"/>
    <w:rsid w:val="1EB87D00"/>
    <w:rsid w:val="1EBA3405"/>
    <w:rsid w:val="1EBC2D27"/>
    <w:rsid w:val="1EC02562"/>
    <w:rsid w:val="1ECF62AC"/>
    <w:rsid w:val="1EDC3211"/>
    <w:rsid w:val="1EE84D61"/>
    <w:rsid w:val="1EE9633B"/>
    <w:rsid w:val="1EF64F8C"/>
    <w:rsid w:val="1EFF369F"/>
    <w:rsid w:val="1F071EB1"/>
    <w:rsid w:val="1F3219D7"/>
    <w:rsid w:val="1F3D3B25"/>
    <w:rsid w:val="1F4230E2"/>
    <w:rsid w:val="1F492925"/>
    <w:rsid w:val="1F4A3F7D"/>
    <w:rsid w:val="1F574BE7"/>
    <w:rsid w:val="1F6028E4"/>
    <w:rsid w:val="1F72194A"/>
    <w:rsid w:val="1F7C772C"/>
    <w:rsid w:val="1F9660D6"/>
    <w:rsid w:val="1F9D3F25"/>
    <w:rsid w:val="1F9D73B5"/>
    <w:rsid w:val="1FAD3DC4"/>
    <w:rsid w:val="1FAF6724"/>
    <w:rsid w:val="1FB671F3"/>
    <w:rsid w:val="1FB93013"/>
    <w:rsid w:val="1FBF15D5"/>
    <w:rsid w:val="1FCB7383"/>
    <w:rsid w:val="1FDC5809"/>
    <w:rsid w:val="1FE33C5E"/>
    <w:rsid w:val="1FF90936"/>
    <w:rsid w:val="200F6422"/>
    <w:rsid w:val="20137345"/>
    <w:rsid w:val="20180D29"/>
    <w:rsid w:val="2026321B"/>
    <w:rsid w:val="20366AE2"/>
    <w:rsid w:val="204B439B"/>
    <w:rsid w:val="204D1B46"/>
    <w:rsid w:val="205B4263"/>
    <w:rsid w:val="20674B6A"/>
    <w:rsid w:val="2074293F"/>
    <w:rsid w:val="20825C93"/>
    <w:rsid w:val="20832D24"/>
    <w:rsid w:val="20850EBA"/>
    <w:rsid w:val="20854E05"/>
    <w:rsid w:val="208B53C3"/>
    <w:rsid w:val="209F0435"/>
    <w:rsid w:val="20AC71D9"/>
    <w:rsid w:val="20AF756C"/>
    <w:rsid w:val="20B50353"/>
    <w:rsid w:val="20BB4A95"/>
    <w:rsid w:val="20BC02E9"/>
    <w:rsid w:val="20EE7EE8"/>
    <w:rsid w:val="20F2258F"/>
    <w:rsid w:val="21062FBC"/>
    <w:rsid w:val="21065A8D"/>
    <w:rsid w:val="212E69A2"/>
    <w:rsid w:val="213256D3"/>
    <w:rsid w:val="21362238"/>
    <w:rsid w:val="213928BD"/>
    <w:rsid w:val="21426E78"/>
    <w:rsid w:val="21471B8F"/>
    <w:rsid w:val="215020DD"/>
    <w:rsid w:val="215F744D"/>
    <w:rsid w:val="217345B8"/>
    <w:rsid w:val="217C2B46"/>
    <w:rsid w:val="218A5B65"/>
    <w:rsid w:val="218E2F14"/>
    <w:rsid w:val="219F23DC"/>
    <w:rsid w:val="219F4623"/>
    <w:rsid w:val="21C10A3D"/>
    <w:rsid w:val="21F02176"/>
    <w:rsid w:val="21F25D56"/>
    <w:rsid w:val="21FE722D"/>
    <w:rsid w:val="22121301"/>
    <w:rsid w:val="22180564"/>
    <w:rsid w:val="22183599"/>
    <w:rsid w:val="221D3E57"/>
    <w:rsid w:val="224D7A95"/>
    <w:rsid w:val="2255750B"/>
    <w:rsid w:val="225F50CA"/>
    <w:rsid w:val="22734673"/>
    <w:rsid w:val="227A3848"/>
    <w:rsid w:val="22820F8A"/>
    <w:rsid w:val="229144C4"/>
    <w:rsid w:val="22937D62"/>
    <w:rsid w:val="229B5DA9"/>
    <w:rsid w:val="229D3BCC"/>
    <w:rsid w:val="22C4551F"/>
    <w:rsid w:val="22D93C11"/>
    <w:rsid w:val="22DD1306"/>
    <w:rsid w:val="22DD3C25"/>
    <w:rsid w:val="22F328A9"/>
    <w:rsid w:val="22FF181D"/>
    <w:rsid w:val="23120EAB"/>
    <w:rsid w:val="2312270F"/>
    <w:rsid w:val="23184960"/>
    <w:rsid w:val="231C450F"/>
    <w:rsid w:val="2325346A"/>
    <w:rsid w:val="2336262C"/>
    <w:rsid w:val="23390D4C"/>
    <w:rsid w:val="23400F0A"/>
    <w:rsid w:val="234C4337"/>
    <w:rsid w:val="236F7F4F"/>
    <w:rsid w:val="2374545A"/>
    <w:rsid w:val="237815D0"/>
    <w:rsid w:val="237A167D"/>
    <w:rsid w:val="237A78FB"/>
    <w:rsid w:val="238976E5"/>
    <w:rsid w:val="2391118E"/>
    <w:rsid w:val="239C7A0E"/>
    <w:rsid w:val="23A005ED"/>
    <w:rsid w:val="23A41AAB"/>
    <w:rsid w:val="23BF71FF"/>
    <w:rsid w:val="23CC1F70"/>
    <w:rsid w:val="23CE221A"/>
    <w:rsid w:val="23CE6FF0"/>
    <w:rsid w:val="23CF5383"/>
    <w:rsid w:val="23E72CD7"/>
    <w:rsid w:val="23F97A9B"/>
    <w:rsid w:val="241E2177"/>
    <w:rsid w:val="24260BAC"/>
    <w:rsid w:val="24313600"/>
    <w:rsid w:val="243657EF"/>
    <w:rsid w:val="24395050"/>
    <w:rsid w:val="2452597D"/>
    <w:rsid w:val="245C2B17"/>
    <w:rsid w:val="245F1650"/>
    <w:rsid w:val="246A7E16"/>
    <w:rsid w:val="246B778A"/>
    <w:rsid w:val="24832815"/>
    <w:rsid w:val="24B93275"/>
    <w:rsid w:val="24BC1939"/>
    <w:rsid w:val="24C056F2"/>
    <w:rsid w:val="24C220F1"/>
    <w:rsid w:val="24D42E36"/>
    <w:rsid w:val="24EA02AB"/>
    <w:rsid w:val="24F11CDA"/>
    <w:rsid w:val="24F72995"/>
    <w:rsid w:val="25053399"/>
    <w:rsid w:val="25065FBC"/>
    <w:rsid w:val="250E31F5"/>
    <w:rsid w:val="25200B09"/>
    <w:rsid w:val="2528774B"/>
    <w:rsid w:val="252E4E21"/>
    <w:rsid w:val="252E750F"/>
    <w:rsid w:val="254D0D17"/>
    <w:rsid w:val="25535BBD"/>
    <w:rsid w:val="255733A4"/>
    <w:rsid w:val="25696C2E"/>
    <w:rsid w:val="256E7CB5"/>
    <w:rsid w:val="257B092F"/>
    <w:rsid w:val="25840EEC"/>
    <w:rsid w:val="2589324B"/>
    <w:rsid w:val="258E6E89"/>
    <w:rsid w:val="258F4271"/>
    <w:rsid w:val="25965599"/>
    <w:rsid w:val="25966F57"/>
    <w:rsid w:val="259E7119"/>
    <w:rsid w:val="25A71601"/>
    <w:rsid w:val="25A81E04"/>
    <w:rsid w:val="25BF0315"/>
    <w:rsid w:val="25C74A12"/>
    <w:rsid w:val="25D4139B"/>
    <w:rsid w:val="25D435A0"/>
    <w:rsid w:val="25D54046"/>
    <w:rsid w:val="25DB50B2"/>
    <w:rsid w:val="25E50823"/>
    <w:rsid w:val="25EC56AF"/>
    <w:rsid w:val="25EF3AEE"/>
    <w:rsid w:val="25F5564F"/>
    <w:rsid w:val="25FA0A39"/>
    <w:rsid w:val="2605035E"/>
    <w:rsid w:val="26081F7B"/>
    <w:rsid w:val="260D6749"/>
    <w:rsid w:val="261D3C1B"/>
    <w:rsid w:val="261F096E"/>
    <w:rsid w:val="2621342F"/>
    <w:rsid w:val="26230698"/>
    <w:rsid w:val="26275F54"/>
    <w:rsid w:val="263122AC"/>
    <w:rsid w:val="26357E70"/>
    <w:rsid w:val="2667409D"/>
    <w:rsid w:val="266B595E"/>
    <w:rsid w:val="26981DBA"/>
    <w:rsid w:val="26B23E11"/>
    <w:rsid w:val="26CF03B6"/>
    <w:rsid w:val="26F7548D"/>
    <w:rsid w:val="271F0CF9"/>
    <w:rsid w:val="27266C7B"/>
    <w:rsid w:val="27374B36"/>
    <w:rsid w:val="274014A2"/>
    <w:rsid w:val="275C3AAB"/>
    <w:rsid w:val="275D4004"/>
    <w:rsid w:val="2766414A"/>
    <w:rsid w:val="27683E51"/>
    <w:rsid w:val="27686268"/>
    <w:rsid w:val="276F1A45"/>
    <w:rsid w:val="27731758"/>
    <w:rsid w:val="277B110A"/>
    <w:rsid w:val="27807922"/>
    <w:rsid w:val="27861965"/>
    <w:rsid w:val="278C6F0B"/>
    <w:rsid w:val="279D600A"/>
    <w:rsid w:val="279F5E19"/>
    <w:rsid w:val="27A25446"/>
    <w:rsid w:val="27BB0664"/>
    <w:rsid w:val="27D74517"/>
    <w:rsid w:val="27E80D73"/>
    <w:rsid w:val="27F8342E"/>
    <w:rsid w:val="27F84ABA"/>
    <w:rsid w:val="27F92457"/>
    <w:rsid w:val="27FA6A57"/>
    <w:rsid w:val="280452F7"/>
    <w:rsid w:val="281A5C0F"/>
    <w:rsid w:val="28313505"/>
    <w:rsid w:val="283B4F6B"/>
    <w:rsid w:val="284427AB"/>
    <w:rsid w:val="284A3C02"/>
    <w:rsid w:val="2850640D"/>
    <w:rsid w:val="288D6656"/>
    <w:rsid w:val="289D7E88"/>
    <w:rsid w:val="28A436B4"/>
    <w:rsid w:val="28A87747"/>
    <w:rsid w:val="28AC369B"/>
    <w:rsid w:val="28CC47C7"/>
    <w:rsid w:val="28DC43AF"/>
    <w:rsid w:val="28E05C4D"/>
    <w:rsid w:val="28F50F2D"/>
    <w:rsid w:val="28FD2C9D"/>
    <w:rsid w:val="29097D6B"/>
    <w:rsid w:val="290A2CCA"/>
    <w:rsid w:val="290F6159"/>
    <w:rsid w:val="291122AA"/>
    <w:rsid w:val="294842B1"/>
    <w:rsid w:val="295178A8"/>
    <w:rsid w:val="295C53AB"/>
    <w:rsid w:val="296A4F45"/>
    <w:rsid w:val="296B486E"/>
    <w:rsid w:val="29700347"/>
    <w:rsid w:val="29744C93"/>
    <w:rsid w:val="29802F8C"/>
    <w:rsid w:val="29854BEB"/>
    <w:rsid w:val="29954FDC"/>
    <w:rsid w:val="2998249F"/>
    <w:rsid w:val="29A01FF5"/>
    <w:rsid w:val="29CB384A"/>
    <w:rsid w:val="29D86924"/>
    <w:rsid w:val="29DE254B"/>
    <w:rsid w:val="29E46E5E"/>
    <w:rsid w:val="29E9515E"/>
    <w:rsid w:val="29F81EF0"/>
    <w:rsid w:val="29F84572"/>
    <w:rsid w:val="29F976F7"/>
    <w:rsid w:val="2A025189"/>
    <w:rsid w:val="2A056559"/>
    <w:rsid w:val="2A1056AF"/>
    <w:rsid w:val="2A110088"/>
    <w:rsid w:val="2A143CB8"/>
    <w:rsid w:val="2A153A3A"/>
    <w:rsid w:val="2A16760D"/>
    <w:rsid w:val="2A181800"/>
    <w:rsid w:val="2A1E192F"/>
    <w:rsid w:val="2A2A2253"/>
    <w:rsid w:val="2A325E95"/>
    <w:rsid w:val="2A346129"/>
    <w:rsid w:val="2A3D4ED6"/>
    <w:rsid w:val="2A485229"/>
    <w:rsid w:val="2A595F18"/>
    <w:rsid w:val="2A6D1D7E"/>
    <w:rsid w:val="2A6F62CF"/>
    <w:rsid w:val="2A7B1062"/>
    <w:rsid w:val="2A7C3829"/>
    <w:rsid w:val="2A895E5E"/>
    <w:rsid w:val="2A9C201A"/>
    <w:rsid w:val="2A9D6B50"/>
    <w:rsid w:val="2AA13D24"/>
    <w:rsid w:val="2AA4560E"/>
    <w:rsid w:val="2AA92766"/>
    <w:rsid w:val="2ABB14AC"/>
    <w:rsid w:val="2AC711DF"/>
    <w:rsid w:val="2AD34AB7"/>
    <w:rsid w:val="2B100330"/>
    <w:rsid w:val="2B1206DC"/>
    <w:rsid w:val="2B1C3C7F"/>
    <w:rsid w:val="2B285A09"/>
    <w:rsid w:val="2B2B586D"/>
    <w:rsid w:val="2B4301D2"/>
    <w:rsid w:val="2B4E2CDC"/>
    <w:rsid w:val="2B5F299A"/>
    <w:rsid w:val="2B78324A"/>
    <w:rsid w:val="2B9A19C1"/>
    <w:rsid w:val="2B9F1A31"/>
    <w:rsid w:val="2BA32E52"/>
    <w:rsid w:val="2BA51841"/>
    <w:rsid w:val="2BAC62BA"/>
    <w:rsid w:val="2BB80DAB"/>
    <w:rsid w:val="2BBB474F"/>
    <w:rsid w:val="2BC21FA9"/>
    <w:rsid w:val="2BCB7E69"/>
    <w:rsid w:val="2BE02A8B"/>
    <w:rsid w:val="2BE46882"/>
    <w:rsid w:val="2BE617CC"/>
    <w:rsid w:val="2BFA1494"/>
    <w:rsid w:val="2C03417C"/>
    <w:rsid w:val="2C056FC3"/>
    <w:rsid w:val="2C06412D"/>
    <w:rsid w:val="2C274160"/>
    <w:rsid w:val="2C2E0A7D"/>
    <w:rsid w:val="2C3636A1"/>
    <w:rsid w:val="2C4B4362"/>
    <w:rsid w:val="2C666469"/>
    <w:rsid w:val="2C6D0C83"/>
    <w:rsid w:val="2C9A6113"/>
    <w:rsid w:val="2CC0450C"/>
    <w:rsid w:val="2CCE7543"/>
    <w:rsid w:val="2CD65645"/>
    <w:rsid w:val="2CFC3C57"/>
    <w:rsid w:val="2D1808E2"/>
    <w:rsid w:val="2D3322E5"/>
    <w:rsid w:val="2D3E175F"/>
    <w:rsid w:val="2D466022"/>
    <w:rsid w:val="2D4C4B2E"/>
    <w:rsid w:val="2D5C609F"/>
    <w:rsid w:val="2D613652"/>
    <w:rsid w:val="2D720EC6"/>
    <w:rsid w:val="2D7D4CFC"/>
    <w:rsid w:val="2D8A7117"/>
    <w:rsid w:val="2D8F7C42"/>
    <w:rsid w:val="2D9215E4"/>
    <w:rsid w:val="2D9461B0"/>
    <w:rsid w:val="2DAE4BCF"/>
    <w:rsid w:val="2DCB0788"/>
    <w:rsid w:val="2DD23B61"/>
    <w:rsid w:val="2DD5324B"/>
    <w:rsid w:val="2DF167F9"/>
    <w:rsid w:val="2E122595"/>
    <w:rsid w:val="2E165A38"/>
    <w:rsid w:val="2E1F2E65"/>
    <w:rsid w:val="2E1F5F33"/>
    <w:rsid w:val="2E20089A"/>
    <w:rsid w:val="2E280806"/>
    <w:rsid w:val="2E2C0D50"/>
    <w:rsid w:val="2E2E3515"/>
    <w:rsid w:val="2E324B61"/>
    <w:rsid w:val="2E490BF5"/>
    <w:rsid w:val="2E5920BD"/>
    <w:rsid w:val="2E683DD6"/>
    <w:rsid w:val="2E72208A"/>
    <w:rsid w:val="2E827689"/>
    <w:rsid w:val="2E864BA1"/>
    <w:rsid w:val="2E877700"/>
    <w:rsid w:val="2E8B5A20"/>
    <w:rsid w:val="2E9E6300"/>
    <w:rsid w:val="2EA94167"/>
    <w:rsid w:val="2EBD728D"/>
    <w:rsid w:val="2EC46E21"/>
    <w:rsid w:val="2EC8145A"/>
    <w:rsid w:val="2EDD5C80"/>
    <w:rsid w:val="2EDE198D"/>
    <w:rsid w:val="2EF97FED"/>
    <w:rsid w:val="2F0831DB"/>
    <w:rsid w:val="2F1847ED"/>
    <w:rsid w:val="2F1E6861"/>
    <w:rsid w:val="2F212087"/>
    <w:rsid w:val="2F231AE0"/>
    <w:rsid w:val="2F2E00BF"/>
    <w:rsid w:val="2F3263A1"/>
    <w:rsid w:val="2F451992"/>
    <w:rsid w:val="2F48087E"/>
    <w:rsid w:val="2F587873"/>
    <w:rsid w:val="2F5F53F2"/>
    <w:rsid w:val="2F724D4D"/>
    <w:rsid w:val="2F8434F9"/>
    <w:rsid w:val="2F970416"/>
    <w:rsid w:val="2F990599"/>
    <w:rsid w:val="2FA8323D"/>
    <w:rsid w:val="2FAB58C1"/>
    <w:rsid w:val="2FCE1D68"/>
    <w:rsid w:val="2FDF6814"/>
    <w:rsid w:val="2FE14059"/>
    <w:rsid w:val="2FEE1C9F"/>
    <w:rsid w:val="2FF07251"/>
    <w:rsid w:val="2FF417D2"/>
    <w:rsid w:val="2FFE59F9"/>
    <w:rsid w:val="30036DF7"/>
    <w:rsid w:val="301F404F"/>
    <w:rsid w:val="30296543"/>
    <w:rsid w:val="302F1428"/>
    <w:rsid w:val="30346BC9"/>
    <w:rsid w:val="303602A8"/>
    <w:rsid w:val="303626F5"/>
    <w:rsid w:val="303A2EF2"/>
    <w:rsid w:val="30500122"/>
    <w:rsid w:val="305F6BB5"/>
    <w:rsid w:val="30682EC7"/>
    <w:rsid w:val="306A2A1E"/>
    <w:rsid w:val="306B6C60"/>
    <w:rsid w:val="306B7990"/>
    <w:rsid w:val="306F7E0E"/>
    <w:rsid w:val="30700056"/>
    <w:rsid w:val="3081665F"/>
    <w:rsid w:val="308B3324"/>
    <w:rsid w:val="308D2819"/>
    <w:rsid w:val="30A23DD7"/>
    <w:rsid w:val="30A80AFD"/>
    <w:rsid w:val="30CE2751"/>
    <w:rsid w:val="30CF6F85"/>
    <w:rsid w:val="30D22080"/>
    <w:rsid w:val="30DC7E37"/>
    <w:rsid w:val="30E06BCF"/>
    <w:rsid w:val="30E20ED0"/>
    <w:rsid w:val="30E327D8"/>
    <w:rsid w:val="30E97ADA"/>
    <w:rsid w:val="30ED6422"/>
    <w:rsid w:val="30F61CE7"/>
    <w:rsid w:val="3100090C"/>
    <w:rsid w:val="311873C2"/>
    <w:rsid w:val="311A7038"/>
    <w:rsid w:val="31307046"/>
    <w:rsid w:val="31311240"/>
    <w:rsid w:val="313E79B5"/>
    <w:rsid w:val="314350F7"/>
    <w:rsid w:val="31557D3C"/>
    <w:rsid w:val="31561098"/>
    <w:rsid w:val="318A0ECC"/>
    <w:rsid w:val="31B77767"/>
    <w:rsid w:val="31CD7446"/>
    <w:rsid w:val="31D9148B"/>
    <w:rsid w:val="31E87EE1"/>
    <w:rsid w:val="31F67ECC"/>
    <w:rsid w:val="32033712"/>
    <w:rsid w:val="320539CB"/>
    <w:rsid w:val="32067196"/>
    <w:rsid w:val="32080419"/>
    <w:rsid w:val="32080AB7"/>
    <w:rsid w:val="32144689"/>
    <w:rsid w:val="321E2365"/>
    <w:rsid w:val="322824C3"/>
    <w:rsid w:val="32306893"/>
    <w:rsid w:val="3236068C"/>
    <w:rsid w:val="324178CF"/>
    <w:rsid w:val="324266F4"/>
    <w:rsid w:val="32655415"/>
    <w:rsid w:val="326D21DB"/>
    <w:rsid w:val="326F445C"/>
    <w:rsid w:val="328007DD"/>
    <w:rsid w:val="32952267"/>
    <w:rsid w:val="329A50BF"/>
    <w:rsid w:val="32A62146"/>
    <w:rsid w:val="32A77A8F"/>
    <w:rsid w:val="32B448FB"/>
    <w:rsid w:val="32B46304"/>
    <w:rsid w:val="32C8085E"/>
    <w:rsid w:val="32CB6096"/>
    <w:rsid w:val="32D3412D"/>
    <w:rsid w:val="32DC73B7"/>
    <w:rsid w:val="32DF5123"/>
    <w:rsid w:val="330D74B8"/>
    <w:rsid w:val="330E2D4D"/>
    <w:rsid w:val="331E22B4"/>
    <w:rsid w:val="331F66F1"/>
    <w:rsid w:val="333D1736"/>
    <w:rsid w:val="334475F2"/>
    <w:rsid w:val="33486290"/>
    <w:rsid w:val="334960C8"/>
    <w:rsid w:val="3359561A"/>
    <w:rsid w:val="33596894"/>
    <w:rsid w:val="336A23C5"/>
    <w:rsid w:val="33717108"/>
    <w:rsid w:val="338F5EFF"/>
    <w:rsid w:val="3394094B"/>
    <w:rsid w:val="33A930DF"/>
    <w:rsid w:val="33AF52A6"/>
    <w:rsid w:val="33AF629A"/>
    <w:rsid w:val="33BB1298"/>
    <w:rsid w:val="33C013C7"/>
    <w:rsid w:val="33C0280E"/>
    <w:rsid w:val="33D84CFC"/>
    <w:rsid w:val="33E23765"/>
    <w:rsid w:val="33F3460F"/>
    <w:rsid w:val="33FA529A"/>
    <w:rsid w:val="33FB1B8D"/>
    <w:rsid w:val="341354DD"/>
    <w:rsid w:val="34142C4F"/>
    <w:rsid w:val="341E53CF"/>
    <w:rsid w:val="342004AC"/>
    <w:rsid w:val="34264241"/>
    <w:rsid w:val="343F5AE2"/>
    <w:rsid w:val="34403E13"/>
    <w:rsid w:val="344126E2"/>
    <w:rsid w:val="345042D8"/>
    <w:rsid w:val="345312E6"/>
    <w:rsid w:val="34817225"/>
    <w:rsid w:val="3484498A"/>
    <w:rsid w:val="34910576"/>
    <w:rsid w:val="349B3FD8"/>
    <w:rsid w:val="34CF439C"/>
    <w:rsid w:val="34D728B0"/>
    <w:rsid w:val="34E57508"/>
    <w:rsid w:val="34E6296F"/>
    <w:rsid w:val="34EB1864"/>
    <w:rsid w:val="35035980"/>
    <w:rsid w:val="3505165F"/>
    <w:rsid w:val="35165B0E"/>
    <w:rsid w:val="351D013C"/>
    <w:rsid w:val="351F2137"/>
    <w:rsid w:val="352C29A9"/>
    <w:rsid w:val="352F0250"/>
    <w:rsid w:val="353204E8"/>
    <w:rsid w:val="353321DC"/>
    <w:rsid w:val="354657A8"/>
    <w:rsid w:val="356A3B03"/>
    <w:rsid w:val="357065AB"/>
    <w:rsid w:val="35777939"/>
    <w:rsid w:val="357833AB"/>
    <w:rsid w:val="357907D4"/>
    <w:rsid w:val="357C3666"/>
    <w:rsid w:val="358821F6"/>
    <w:rsid w:val="358B752B"/>
    <w:rsid w:val="359F4498"/>
    <w:rsid w:val="35A61D43"/>
    <w:rsid w:val="35A91A40"/>
    <w:rsid w:val="35B54197"/>
    <w:rsid w:val="35B73A6F"/>
    <w:rsid w:val="35C81148"/>
    <w:rsid w:val="35CD1307"/>
    <w:rsid w:val="35CE773E"/>
    <w:rsid w:val="35D13656"/>
    <w:rsid w:val="35D5156F"/>
    <w:rsid w:val="35D92179"/>
    <w:rsid w:val="35F235DF"/>
    <w:rsid w:val="35F960CD"/>
    <w:rsid w:val="35F97536"/>
    <w:rsid w:val="360447FA"/>
    <w:rsid w:val="3607536A"/>
    <w:rsid w:val="3608376B"/>
    <w:rsid w:val="36131B57"/>
    <w:rsid w:val="36160608"/>
    <w:rsid w:val="36214CFA"/>
    <w:rsid w:val="3628411C"/>
    <w:rsid w:val="362877D1"/>
    <w:rsid w:val="362C4EB0"/>
    <w:rsid w:val="36375EDB"/>
    <w:rsid w:val="363E3851"/>
    <w:rsid w:val="36433A19"/>
    <w:rsid w:val="364C4C48"/>
    <w:rsid w:val="364E017C"/>
    <w:rsid w:val="36611E5C"/>
    <w:rsid w:val="36630477"/>
    <w:rsid w:val="36631982"/>
    <w:rsid w:val="367003DE"/>
    <w:rsid w:val="3680527C"/>
    <w:rsid w:val="368B674F"/>
    <w:rsid w:val="369B150A"/>
    <w:rsid w:val="36A1178A"/>
    <w:rsid w:val="36AF4EB1"/>
    <w:rsid w:val="36B04C59"/>
    <w:rsid w:val="36B933B3"/>
    <w:rsid w:val="36C93AEA"/>
    <w:rsid w:val="36D05C48"/>
    <w:rsid w:val="36D54201"/>
    <w:rsid w:val="36DA1082"/>
    <w:rsid w:val="36DD1A24"/>
    <w:rsid w:val="36DF0B4F"/>
    <w:rsid w:val="36E27268"/>
    <w:rsid w:val="36FF0E71"/>
    <w:rsid w:val="37135744"/>
    <w:rsid w:val="371A1A56"/>
    <w:rsid w:val="371F33F1"/>
    <w:rsid w:val="371F502D"/>
    <w:rsid w:val="372B040C"/>
    <w:rsid w:val="372C22E6"/>
    <w:rsid w:val="372F0468"/>
    <w:rsid w:val="3735254D"/>
    <w:rsid w:val="37393D6D"/>
    <w:rsid w:val="373A0202"/>
    <w:rsid w:val="374A1B78"/>
    <w:rsid w:val="374A4E06"/>
    <w:rsid w:val="37502638"/>
    <w:rsid w:val="37585548"/>
    <w:rsid w:val="376433A9"/>
    <w:rsid w:val="37893D36"/>
    <w:rsid w:val="37A432CE"/>
    <w:rsid w:val="37AD2B0E"/>
    <w:rsid w:val="37AD4425"/>
    <w:rsid w:val="37B46FCD"/>
    <w:rsid w:val="37B9579D"/>
    <w:rsid w:val="37C237EC"/>
    <w:rsid w:val="37CF47FE"/>
    <w:rsid w:val="37D048D6"/>
    <w:rsid w:val="37E4238A"/>
    <w:rsid w:val="37E56DDC"/>
    <w:rsid w:val="37F9603B"/>
    <w:rsid w:val="37FC61DF"/>
    <w:rsid w:val="380D5E54"/>
    <w:rsid w:val="38147538"/>
    <w:rsid w:val="381622A4"/>
    <w:rsid w:val="381B0A50"/>
    <w:rsid w:val="382C6E42"/>
    <w:rsid w:val="38361BD8"/>
    <w:rsid w:val="383D1512"/>
    <w:rsid w:val="38455046"/>
    <w:rsid w:val="38500F06"/>
    <w:rsid w:val="386C626C"/>
    <w:rsid w:val="38712827"/>
    <w:rsid w:val="38747024"/>
    <w:rsid w:val="38750555"/>
    <w:rsid w:val="38805FCE"/>
    <w:rsid w:val="388233B9"/>
    <w:rsid w:val="38A02056"/>
    <w:rsid w:val="38A56AFD"/>
    <w:rsid w:val="38C40E60"/>
    <w:rsid w:val="38C641BE"/>
    <w:rsid w:val="38CD7870"/>
    <w:rsid w:val="38D10BEE"/>
    <w:rsid w:val="38D30D48"/>
    <w:rsid w:val="38DB318F"/>
    <w:rsid w:val="38F207D6"/>
    <w:rsid w:val="38F556A0"/>
    <w:rsid w:val="390A4620"/>
    <w:rsid w:val="392C72EF"/>
    <w:rsid w:val="392F0A92"/>
    <w:rsid w:val="39303EDD"/>
    <w:rsid w:val="39355ABC"/>
    <w:rsid w:val="393F0B82"/>
    <w:rsid w:val="395E4C4A"/>
    <w:rsid w:val="39673E6F"/>
    <w:rsid w:val="39723ED5"/>
    <w:rsid w:val="39803F30"/>
    <w:rsid w:val="39834472"/>
    <w:rsid w:val="398C10E2"/>
    <w:rsid w:val="399A7C5F"/>
    <w:rsid w:val="399C7AF9"/>
    <w:rsid w:val="399E194D"/>
    <w:rsid w:val="399F00DD"/>
    <w:rsid w:val="39AC1E22"/>
    <w:rsid w:val="39B217C1"/>
    <w:rsid w:val="39D81FF4"/>
    <w:rsid w:val="39DE624B"/>
    <w:rsid w:val="39E676B1"/>
    <w:rsid w:val="39EF74E3"/>
    <w:rsid w:val="39FD0DA7"/>
    <w:rsid w:val="3A0E654C"/>
    <w:rsid w:val="3A19526E"/>
    <w:rsid w:val="3A286229"/>
    <w:rsid w:val="3A316C8A"/>
    <w:rsid w:val="3A3712E8"/>
    <w:rsid w:val="3A375C4F"/>
    <w:rsid w:val="3A4C6AEF"/>
    <w:rsid w:val="3A4F50B5"/>
    <w:rsid w:val="3A512D97"/>
    <w:rsid w:val="3A66384F"/>
    <w:rsid w:val="3A7C78BB"/>
    <w:rsid w:val="3AA32C70"/>
    <w:rsid w:val="3AA45581"/>
    <w:rsid w:val="3AB26D1E"/>
    <w:rsid w:val="3AB90087"/>
    <w:rsid w:val="3AC370E8"/>
    <w:rsid w:val="3AC834FB"/>
    <w:rsid w:val="3ACF2D0A"/>
    <w:rsid w:val="3AE125ED"/>
    <w:rsid w:val="3AEB381D"/>
    <w:rsid w:val="3AF06B21"/>
    <w:rsid w:val="3AF76336"/>
    <w:rsid w:val="3AFC0CAA"/>
    <w:rsid w:val="3B0347F9"/>
    <w:rsid w:val="3B0F4194"/>
    <w:rsid w:val="3B112D6A"/>
    <w:rsid w:val="3B167957"/>
    <w:rsid w:val="3B1E5521"/>
    <w:rsid w:val="3B3360B0"/>
    <w:rsid w:val="3B4F19E2"/>
    <w:rsid w:val="3B51009F"/>
    <w:rsid w:val="3B582259"/>
    <w:rsid w:val="3B615BF5"/>
    <w:rsid w:val="3B657737"/>
    <w:rsid w:val="3B6C1F50"/>
    <w:rsid w:val="3B732948"/>
    <w:rsid w:val="3B765F9D"/>
    <w:rsid w:val="3B84690C"/>
    <w:rsid w:val="3B8B5E72"/>
    <w:rsid w:val="3BA174BE"/>
    <w:rsid w:val="3BA56B49"/>
    <w:rsid w:val="3BBD230C"/>
    <w:rsid w:val="3BC658B8"/>
    <w:rsid w:val="3BCD6245"/>
    <w:rsid w:val="3BCF39AA"/>
    <w:rsid w:val="3BDA3E78"/>
    <w:rsid w:val="3BFE1C36"/>
    <w:rsid w:val="3C140C49"/>
    <w:rsid w:val="3C166588"/>
    <w:rsid w:val="3C4C1552"/>
    <w:rsid w:val="3C4F5518"/>
    <w:rsid w:val="3C576F0E"/>
    <w:rsid w:val="3C594572"/>
    <w:rsid w:val="3C6B495A"/>
    <w:rsid w:val="3C752D99"/>
    <w:rsid w:val="3C7A371F"/>
    <w:rsid w:val="3C7A4FBF"/>
    <w:rsid w:val="3C8959ED"/>
    <w:rsid w:val="3C8A3591"/>
    <w:rsid w:val="3C8C7A02"/>
    <w:rsid w:val="3C9A5B2B"/>
    <w:rsid w:val="3CA258A2"/>
    <w:rsid w:val="3CBC4FDE"/>
    <w:rsid w:val="3CC365A0"/>
    <w:rsid w:val="3CC578F6"/>
    <w:rsid w:val="3CC75824"/>
    <w:rsid w:val="3CCE7C1F"/>
    <w:rsid w:val="3CE05DC4"/>
    <w:rsid w:val="3CE902FE"/>
    <w:rsid w:val="3CEA77AF"/>
    <w:rsid w:val="3CEC7D3D"/>
    <w:rsid w:val="3D0F7127"/>
    <w:rsid w:val="3D1604CA"/>
    <w:rsid w:val="3D1B39D1"/>
    <w:rsid w:val="3D4E3417"/>
    <w:rsid w:val="3D5171F3"/>
    <w:rsid w:val="3D563C4B"/>
    <w:rsid w:val="3D6C00EE"/>
    <w:rsid w:val="3D7D6EF6"/>
    <w:rsid w:val="3D864B77"/>
    <w:rsid w:val="3D945C38"/>
    <w:rsid w:val="3DA04686"/>
    <w:rsid w:val="3DA522A6"/>
    <w:rsid w:val="3DA702E1"/>
    <w:rsid w:val="3DAB200D"/>
    <w:rsid w:val="3DAB54D9"/>
    <w:rsid w:val="3DB76623"/>
    <w:rsid w:val="3DBA0F8F"/>
    <w:rsid w:val="3DD841DC"/>
    <w:rsid w:val="3DDF0273"/>
    <w:rsid w:val="3DE006FF"/>
    <w:rsid w:val="3DF55E3C"/>
    <w:rsid w:val="3DF7585E"/>
    <w:rsid w:val="3DF97790"/>
    <w:rsid w:val="3E1C660D"/>
    <w:rsid w:val="3E201A3D"/>
    <w:rsid w:val="3E202780"/>
    <w:rsid w:val="3E212B90"/>
    <w:rsid w:val="3E2277F4"/>
    <w:rsid w:val="3E24240F"/>
    <w:rsid w:val="3E290354"/>
    <w:rsid w:val="3E3871B2"/>
    <w:rsid w:val="3E394B41"/>
    <w:rsid w:val="3E497394"/>
    <w:rsid w:val="3E577BBA"/>
    <w:rsid w:val="3E5D53F9"/>
    <w:rsid w:val="3E6A0E9A"/>
    <w:rsid w:val="3E7316AE"/>
    <w:rsid w:val="3E75078E"/>
    <w:rsid w:val="3E7837F2"/>
    <w:rsid w:val="3E991829"/>
    <w:rsid w:val="3E9D5E6C"/>
    <w:rsid w:val="3EAC445D"/>
    <w:rsid w:val="3EB55FA9"/>
    <w:rsid w:val="3EBF0F87"/>
    <w:rsid w:val="3ECA7564"/>
    <w:rsid w:val="3ECD23C9"/>
    <w:rsid w:val="3ECD3897"/>
    <w:rsid w:val="3ED50157"/>
    <w:rsid w:val="3ED731F7"/>
    <w:rsid w:val="3ED77DD4"/>
    <w:rsid w:val="3EE30466"/>
    <w:rsid w:val="3EEC4988"/>
    <w:rsid w:val="3EF67B21"/>
    <w:rsid w:val="3EF774D2"/>
    <w:rsid w:val="3F235316"/>
    <w:rsid w:val="3F251D5C"/>
    <w:rsid w:val="3F281A71"/>
    <w:rsid w:val="3F3F115A"/>
    <w:rsid w:val="3F422029"/>
    <w:rsid w:val="3F5817A0"/>
    <w:rsid w:val="3F5E5863"/>
    <w:rsid w:val="3F615994"/>
    <w:rsid w:val="3F672E55"/>
    <w:rsid w:val="3F757081"/>
    <w:rsid w:val="3F77731A"/>
    <w:rsid w:val="3F7901A3"/>
    <w:rsid w:val="3F7D728A"/>
    <w:rsid w:val="3F964792"/>
    <w:rsid w:val="3FAA2E49"/>
    <w:rsid w:val="3FC533A1"/>
    <w:rsid w:val="3FCA1B1D"/>
    <w:rsid w:val="3FDE0102"/>
    <w:rsid w:val="3FE25EEC"/>
    <w:rsid w:val="4001677D"/>
    <w:rsid w:val="400D71A0"/>
    <w:rsid w:val="40143E23"/>
    <w:rsid w:val="40144BB8"/>
    <w:rsid w:val="402141CB"/>
    <w:rsid w:val="402D55A1"/>
    <w:rsid w:val="403B2E99"/>
    <w:rsid w:val="4045220D"/>
    <w:rsid w:val="405745EF"/>
    <w:rsid w:val="40644D88"/>
    <w:rsid w:val="406B43A6"/>
    <w:rsid w:val="407E5AB6"/>
    <w:rsid w:val="407F5888"/>
    <w:rsid w:val="40913720"/>
    <w:rsid w:val="40927809"/>
    <w:rsid w:val="409A272E"/>
    <w:rsid w:val="409C747D"/>
    <w:rsid w:val="40A12E50"/>
    <w:rsid w:val="40AE07A6"/>
    <w:rsid w:val="40C24483"/>
    <w:rsid w:val="40CD2D5D"/>
    <w:rsid w:val="40E10251"/>
    <w:rsid w:val="40E92967"/>
    <w:rsid w:val="40EE2BF5"/>
    <w:rsid w:val="40EE2EE1"/>
    <w:rsid w:val="40F9780B"/>
    <w:rsid w:val="410E3BF0"/>
    <w:rsid w:val="41135833"/>
    <w:rsid w:val="41181813"/>
    <w:rsid w:val="41253C76"/>
    <w:rsid w:val="413064C3"/>
    <w:rsid w:val="4132438B"/>
    <w:rsid w:val="413C58F7"/>
    <w:rsid w:val="41452319"/>
    <w:rsid w:val="414E587F"/>
    <w:rsid w:val="415474D3"/>
    <w:rsid w:val="41564658"/>
    <w:rsid w:val="41685188"/>
    <w:rsid w:val="419B2CA0"/>
    <w:rsid w:val="41A363FA"/>
    <w:rsid w:val="41A53CD3"/>
    <w:rsid w:val="41A85456"/>
    <w:rsid w:val="41BE0C97"/>
    <w:rsid w:val="41C348F1"/>
    <w:rsid w:val="41C5144B"/>
    <w:rsid w:val="41DA6655"/>
    <w:rsid w:val="41DD1D33"/>
    <w:rsid w:val="41FD01E9"/>
    <w:rsid w:val="41FF382E"/>
    <w:rsid w:val="4209374A"/>
    <w:rsid w:val="42110603"/>
    <w:rsid w:val="42162288"/>
    <w:rsid w:val="421C20FC"/>
    <w:rsid w:val="422918E9"/>
    <w:rsid w:val="423A4383"/>
    <w:rsid w:val="423D264B"/>
    <w:rsid w:val="424F168A"/>
    <w:rsid w:val="425379F0"/>
    <w:rsid w:val="42674214"/>
    <w:rsid w:val="42675F18"/>
    <w:rsid w:val="4275514B"/>
    <w:rsid w:val="427622E2"/>
    <w:rsid w:val="427A2A32"/>
    <w:rsid w:val="427D61B0"/>
    <w:rsid w:val="428E75AF"/>
    <w:rsid w:val="42AB2436"/>
    <w:rsid w:val="42C643FF"/>
    <w:rsid w:val="42CD033A"/>
    <w:rsid w:val="42D41E73"/>
    <w:rsid w:val="42D625DE"/>
    <w:rsid w:val="42E76ADF"/>
    <w:rsid w:val="42ED4D17"/>
    <w:rsid w:val="42F4514A"/>
    <w:rsid w:val="43016A94"/>
    <w:rsid w:val="43055FE4"/>
    <w:rsid w:val="430A28E2"/>
    <w:rsid w:val="430B3CC1"/>
    <w:rsid w:val="431A1904"/>
    <w:rsid w:val="431F37EA"/>
    <w:rsid w:val="433B34BF"/>
    <w:rsid w:val="433F660B"/>
    <w:rsid w:val="43483966"/>
    <w:rsid w:val="434972B8"/>
    <w:rsid w:val="436C7253"/>
    <w:rsid w:val="436D302C"/>
    <w:rsid w:val="436E541F"/>
    <w:rsid w:val="43770755"/>
    <w:rsid w:val="43810DB2"/>
    <w:rsid w:val="439909AC"/>
    <w:rsid w:val="43A00EAB"/>
    <w:rsid w:val="43A07E09"/>
    <w:rsid w:val="43A16F73"/>
    <w:rsid w:val="43A7763B"/>
    <w:rsid w:val="43B47283"/>
    <w:rsid w:val="43B74DD6"/>
    <w:rsid w:val="43BE0DBB"/>
    <w:rsid w:val="43CB275E"/>
    <w:rsid w:val="43DA644B"/>
    <w:rsid w:val="43F20392"/>
    <w:rsid w:val="43F20B21"/>
    <w:rsid w:val="43F648EA"/>
    <w:rsid w:val="43FA39F8"/>
    <w:rsid w:val="44047066"/>
    <w:rsid w:val="441148DB"/>
    <w:rsid w:val="44292EB3"/>
    <w:rsid w:val="4430272A"/>
    <w:rsid w:val="44341486"/>
    <w:rsid w:val="443B1206"/>
    <w:rsid w:val="44542159"/>
    <w:rsid w:val="44581AC0"/>
    <w:rsid w:val="445C4E37"/>
    <w:rsid w:val="44606CD5"/>
    <w:rsid w:val="44613DA3"/>
    <w:rsid w:val="44653FAE"/>
    <w:rsid w:val="44691B4C"/>
    <w:rsid w:val="446C180D"/>
    <w:rsid w:val="4473751E"/>
    <w:rsid w:val="44743F8C"/>
    <w:rsid w:val="448A18AA"/>
    <w:rsid w:val="44925401"/>
    <w:rsid w:val="449974E9"/>
    <w:rsid w:val="44D02BC2"/>
    <w:rsid w:val="44F114C2"/>
    <w:rsid w:val="44F75EBD"/>
    <w:rsid w:val="450B0799"/>
    <w:rsid w:val="45116CEE"/>
    <w:rsid w:val="45132AAF"/>
    <w:rsid w:val="45191A7D"/>
    <w:rsid w:val="451A4565"/>
    <w:rsid w:val="451E7F92"/>
    <w:rsid w:val="452948A4"/>
    <w:rsid w:val="4531573E"/>
    <w:rsid w:val="4533740B"/>
    <w:rsid w:val="45515E2A"/>
    <w:rsid w:val="455D673C"/>
    <w:rsid w:val="45645251"/>
    <w:rsid w:val="456A0098"/>
    <w:rsid w:val="456F4189"/>
    <w:rsid w:val="457E36C4"/>
    <w:rsid w:val="4587683C"/>
    <w:rsid w:val="45902C62"/>
    <w:rsid w:val="45937372"/>
    <w:rsid w:val="45957B80"/>
    <w:rsid w:val="459F7B5A"/>
    <w:rsid w:val="45A75BA2"/>
    <w:rsid w:val="45AA4A7F"/>
    <w:rsid w:val="45B21B97"/>
    <w:rsid w:val="45BB491C"/>
    <w:rsid w:val="45BF02C9"/>
    <w:rsid w:val="45C41E83"/>
    <w:rsid w:val="45CC07C2"/>
    <w:rsid w:val="45D60C4F"/>
    <w:rsid w:val="45DD5733"/>
    <w:rsid w:val="45EE5BA9"/>
    <w:rsid w:val="45F16EC9"/>
    <w:rsid w:val="45FC2C48"/>
    <w:rsid w:val="45FD7F04"/>
    <w:rsid w:val="45FF65BC"/>
    <w:rsid w:val="460102A4"/>
    <w:rsid w:val="46114683"/>
    <w:rsid w:val="46167983"/>
    <w:rsid w:val="461A2E5F"/>
    <w:rsid w:val="464E1599"/>
    <w:rsid w:val="4650264D"/>
    <w:rsid w:val="46511717"/>
    <w:rsid w:val="466F731F"/>
    <w:rsid w:val="46731A30"/>
    <w:rsid w:val="46791BF7"/>
    <w:rsid w:val="467D28D5"/>
    <w:rsid w:val="46811268"/>
    <w:rsid w:val="468846E9"/>
    <w:rsid w:val="46974D46"/>
    <w:rsid w:val="46997040"/>
    <w:rsid w:val="46A36348"/>
    <w:rsid w:val="46A77952"/>
    <w:rsid w:val="46A937CA"/>
    <w:rsid w:val="46AD4F2C"/>
    <w:rsid w:val="46AD50D7"/>
    <w:rsid w:val="46C531FB"/>
    <w:rsid w:val="46CA42D6"/>
    <w:rsid w:val="46D76561"/>
    <w:rsid w:val="46E162AC"/>
    <w:rsid w:val="46E73397"/>
    <w:rsid w:val="47080934"/>
    <w:rsid w:val="471C353F"/>
    <w:rsid w:val="47354F5E"/>
    <w:rsid w:val="474A2D9C"/>
    <w:rsid w:val="47543AA6"/>
    <w:rsid w:val="4756678A"/>
    <w:rsid w:val="47576A0D"/>
    <w:rsid w:val="475A4FF7"/>
    <w:rsid w:val="475B049E"/>
    <w:rsid w:val="475C6724"/>
    <w:rsid w:val="4771787B"/>
    <w:rsid w:val="477B78AB"/>
    <w:rsid w:val="478058DD"/>
    <w:rsid w:val="4799095E"/>
    <w:rsid w:val="47A660FE"/>
    <w:rsid w:val="47B441D8"/>
    <w:rsid w:val="47BC700B"/>
    <w:rsid w:val="47C9664D"/>
    <w:rsid w:val="47D27E79"/>
    <w:rsid w:val="47D32328"/>
    <w:rsid w:val="47D44777"/>
    <w:rsid w:val="47E21143"/>
    <w:rsid w:val="47F36C9C"/>
    <w:rsid w:val="47F94AA5"/>
    <w:rsid w:val="47F954DD"/>
    <w:rsid w:val="48027E70"/>
    <w:rsid w:val="480E3358"/>
    <w:rsid w:val="481B29BE"/>
    <w:rsid w:val="48444900"/>
    <w:rsid w:val="485F657B"/>
    <w:rsid w:val="486C3162"/>
    <w:rsid w:val="486E2878"/>
    <w:rsid w:val="487E4AE0"/>
    <w:rsid w:val="48827A68"/>
    <w:rsid w:val="48836CF1"/>
    <w:rsid w:val="48895562"/>
    <w:rsid w:val="488957EF"/>
    <w:rsid w:val="488A5754"/>
    <w:rsid w:val="488D6BE8"/>
    <w:rsid w:val="48905D85"/>
    <w:rsid w:val="48970D4C"/>
    <w:rsid w:val="489D1D00"/>
    <w:rsid w:val="48A15CFB"/>
    <w:rsid w:val="48C51933"/>
    <w:rsid w:val="48CD3A16"/>
    <w:rsid w:val="48D97ABC"/>
    <w:rsid w:val="48DD58AD"/>
    <w:rsid w:val="48E919A8"/>
    <w:rsid w:val="48ED12D1"/>
    <w:rsid w:val="48F64AC6"/>
    <w:rsid w:val="48F72BF5"/>
    <w:rsid w:val="48F7696F"/>
    <w:rsid w:val="48FD0081"/>
    <w:rsid w:val="49236455"/>
    <w:rsid w:val="492C2DD1"/>
    <w:rsid w:val="4944651A"/>
    <w:rsid w:val="4944776E"/>
    <w:rsid w:val="49504727"/>
    <w:rsid w:val="49513E21"/>
    <w:rsid w:val="495A69EA"/>
    <w:rsid w:val="496B0BF7"/>
    <w:rsid w:val="496D37E9"/>
    <w:rsid w:val="4980416B"/>
    <w:rsid w:val="49831FB1"/>
    <w:rsid w:val="49911F17"/>
    <w:rsid w:val="49945C26"/>
    <w:rsid w:val="49966DAE"/>
    <w:rsid w:val="499A3B86"/>
    <w:rsid w:val="49B56DFE"/>
    <w:rsid w:val="49BA57B9"/>
    <w:rsid w:val="49DE18DD"/>
    <w:rsid w:val="49DF0B35"/>
    <w:rsid w:val="49E07016"/>
    <w:rsid w:val="49E37C6D"/>
    <w:rsid w:val="49E64202"/>
    <w:rsid w:val="49F24AB0"/>
    <w:rsid w:val="4A0F5900"/>
    <w:rsid w:val="4A250A0A"/>
    <w:rsid w:val="4A277634"/>
    <w:rsid w:val="4A3013D3"/>
    <w:rsid w:val="4A462FA5"/>
    <w:rsid w:val="4A4C2F5A"/>
    <w:rsid w:val="4A702DDA"/>
    <w:rsid w:val="4A751AC3"/>
    <w:rsid w:val="4A7623BD"/>
    <w:rsid w:val="4A843F01"/>
    <w:rsid w:val="4AAA6132"/>
    <w:rsid w:val="4ABB59B9"/>
    <w:rsid w:val="4AE253C8"/>
    <w:rsid w:val="4AE80D51"/>
    <w:rsid w:val="4AF72EB6"/>
    <w:rsid w:val="4AFB1A74"/>
    <w:rsid w:val="4B025030"/>
    <w:rsid w:val="4B09426C"/>
    <w:rsid w:val="4B0C0014"/>
    <w:rsid w:val="4B190BDE"/>
    <w:rsid w:val="4B312C12"/>
    <w:rsid w:val="4B392CD5"/>
    <w:rsid w:val="4B41073B"/>
    <w:rsid w:val="4B460AE7"/>
    <w:rsid w:val="4B465627"/>
    <w:rsid w:val="4B490F6B"/>
    <w:rsid w:val="4B5736F5"/>
    <w:rsid w:val="4B797CDA"/>
    <w:rsid w:val="4B9073A9"/>
    <w:rsid w:val="4B9B1829"/>
    <w:rsid w:val="4B9C2893"/>
    <w:rsid w:val="4BA56641"/>
    <w:rsid w:val="4BB645E0"/>
    <w:rsid w:val="4BBA3C84"/>
    <w:rsid w:val="4BD304AC"/>
    <w:rsid w:val="4BD761F0"/>
    <w:rsid w:val="4BE81CC3"/>
    <w:rsid w:val="4BE96317"/>
    <w:rsid w:val="4BF41F4C"/>
    <w:rsid w:val="4BFF4362"/>
    <w:rsid w:val="4C0A4933"/>
    <w:rsid w:val="4C133023"/>
    <w:rsid w:val="4C227D62"/>
    <w:rsid w:val="4C34700E"/>
    <w:rsid w:val="4C3E076D"/>
    <w:rsid w:val="4C4351E5"/>
    <w:rsid w:val="4C4B0972"/>
    <w:rsid w:val="4C5F6C91"/>
    <w:rsid w:val="4C753F52"/>
    <w:rsid w:val="4C756947"/>
    <w:rsid w:val="4C782051"/>
    <w:rsid w:val="4C795D3B"/>
    <w:rsid w:val="4C8F51CB"/>
    <w:rsid w:val="4C9F4AD9"/>
    <w:rsid w:val="4CA24CB4"/>
    <w:rsid w:val="4CAD39C5"/>
    <w:rsid w:val="4CAF3E21"/>
    <w:rsid w:val="4CBA1465"/>
    <w:rsid w:val="4CBD2DB2"/>
    <w:rsid w:val="4CCE1636"/>
    <w:rsid w:val="4CD15373"/>
    <w:rsid w:val="4CD62D3F"/>
    <w:rsid w:val="4CDD6C8B"/>
    <w:rsid w:val="4CEB77AD"/>
    <w:rsid w:val="4CEE7096"/>
    <w:rsid w:val="4CF973E3"/>
    <w:rsid w:val="4D003284"/>
    <w:rsid w:val="4D023544"/>
    <w:rsid w:val="4D1861C4"/>
    <w:rsid w:val="4D277082"/>
    <w:rsid w:val="4D317DE4"/>
    <w:rsid w:val="4D37096A"/>
    <w:rsid w:val="4D4E2968"/>
    <w:rsid w:val="4D5078A4"/>
    <w:rsid w:val="4D6410CA"/>
    <w:rsid w:val="4D860440"/>
    <w:rsid w:val="4D900D62"/>
    <w:rsid w:val="4D941E98"/>
    <w:rsid w:val="4DB53618"/>
    <w:rsid w:val="4DCB6D07"/>
    <w:rsid w:val="4DCC31CD"/>
    <w:rsid w:val="4DDD5524"/>
    <w:rsid w:val="4DDF6D27"/>
    <w:rsid w:val="4DEC65C7"/>
    <w:rsid w:val="4DF437C5"/>
    <w:rsid w:val="4E0162F6"/>
    <w:rsid w:val="4E082964"/>
    <w:rsid w:val="4E0917F9"/>
    <w:rsid w:val="4E0E490C"/>
    <w:rsid w:val="4E1A59EE"/>
    <w:rsid w:val="4E224FCE"/>
    <w:rsid w:val="4E293534"/>
    <w:rsid w:val="4E3473B6"/>
    <w:rsid w:val="4E35233A"/>
    <w:rsid w:val="4E4B5462"/>
    <w:rsid w:val="4E4B6C0D"/>
    <w:rsid w:val="4E4F5458"/>
    <w:rsid w:val="4E563456"/>
    <w:rsid w:val="4E563C31"/>
    <w:rsid w:val="4E576EE3"/>
    <w:rsid w:val="4E596B7D"/>
    <w:rsid w:val="4E617524"/>
    <w:rsid w:val="4E683847"/>
    <w:rsid w:val="4E712D20"/>
    <w:rsid w:val="4E7C4C7C"/>
    <w:rsid w:val="4E8462BE"/>
    <w:rsid w:val="4E893947"/>
    <w:rsid w:val="4E8B7E98"/>
    <w:rsid w:val="4E913211"/>
    <w:rsid w:val="4E947749"/>
    <w:rsid w:val="4E9C50B5"/>
    <w:rsid w:val="4EAD262A"/>
    <w:rsid w:val="4EB14A71"/>
    <w:rsid w:val="4EB83C38"/>
    <w:rsid w:val="4EBC327B"/>
    <w:rsid w:val="4EC866B8"/>
    <w:rsid w:val="4EE449DA"/>
    <w:rsid w:val="4EEC4D74"/>
    <w:rsid w:val="4EEF104C"/>
    <w:rsid w:val="4EF132C3"/>
    <w:rsid w:val="4F17193E"/>
    <w:rsid w:val="4F301DA9"/>
    <w:rsid w:val="4F425F16"/>
    <w:rsid w:val="4F437129"/>
    <w:rsid w:val="4F443E37"/>
    <w:rsid w:val="4F4B1AB9"/>
    <w:rsid w:val="4F627617"/>
    <w:rsid w:val="4F6A2427"/>
    <w:rsid w:val="4F9475B1"/>
    <w:rsid w:val="4FAB2261"/>
    <w:rsid w:val="4FB23F18"/>
    <w:rsid w:val="4FBD3B35"/>
    <w:rsid w:val="4FD875FD"/>
    <w:rsid w:val="4FD940E8"/>
    <w:rsid w:val="4FE40987"/>
    <w:rsid w:val="4FFB0A93"/>
    <w:rsid w:val="4FFB37BF"/>
    <w:rsid w:val="50000824"/>
    <w:rsid w:val="500258B5"/>
    <w:rsid w:val="50191E2E"/>
    <w:rsid w:val="502A571D"/>
    <w:rsid w:val="502B43A7"/>
    <w:rsid w:val="50320D48"/>
    <w:rsid w:val="50323EAB"/>
    <w:rsid w:val="50423A59"/>
    <w:rsid w:val="50522173"/>
    <w:rsid w:val="505E0A64"/>
    <w:rsid w:val="505E5526"/>
    <w:rsid w:val="50607DDD"/>
    <w:rsid w:val="50612555"/>
    <w:rsid w:val="50623315"/>
    <w:rsid w:val="506845B0"/>
    <w:rsid w:val="506A4473"/>
    <w:rsid w:val="5072363C"/>
    <w:rsid w:val="507D6CD7"/>
    <w:rsid w:val="507F49D9"/>
    <w:rsid w:val="50A213E9"/>
    <w:rsid w:val="50AB1CCE"/>
    <w:rsid w:val="50B0344D"/>
    <w:rsid w:val="50BB03E1"/>
    <w:rsid w:val="50BD70C8"/>
    <w:rsid w:val="50C14AF5"/>
    <w:rsid w:val="50C524EE"/>
    <w:rsid w:val="50D94B74"/>
    <w:rsid w:val="50E64EFD"/>
    <w:rsid w:val="50EA5985"/>
    <w:rsid w:val="50EB30F6"/>
    <w:rsid w:val="510B2FF9"/>
    <w:rsid w:val="510C0730"/>
    <w:rsid w:val="510D3A1A"/>
    <w:rsid w:val="51276EA6"/>
    <w:rsid w:val="512F520F"/>
    <w:rsid w:val="5135680E"/>
    <w:rsid w:val="513C6049"/>
    <w:rsid w:val="51437169"/>
    <w:rsid w:val="5154546D"/>
    <w:rsid w:val="5155074A"/>
    <w:rsid w:val="516279C1"/>
    <w:rsid w:val="51633E29"/>
    <w:rsid w:val="516763EB"/>
    <w:rsid w:val="516962EE"/>
    <w:rsid w:val="517B639D"/>
    <w:rsid w:val="51810D04"/>
    <w:rsid w:val="51AE7211"/>
    <w:rsid w:val="51AE7698"/>
    <w:rsid w:val="51BD69BF"/>
    <w:rsid w:val="51C17635"/>
    <w:rsid w:val="51F320EF"/>
    <w:rsid w:val="51FB502B"/>
    <w:rsid w:val="522312D8"/>
    <w:rsid w:val="52235C30"/>
    <w:rsid w:val="52363EF8"/>
    <w:rsid w:val="524167A7"/>
    <w:rsid w:val="524242D3"/>
    <w:rsid w:val="52495B70"/>
    <w:rsid w:val="524B086F"/>
    <w:rsid w:val="524D3BDE"/>
    <w:rsid w:val="525628E3"/>
    <w:rsid w:val="52573847"/>
    <w:rsid w:val="52585AB8"/>
    <w:rsid w:val="52694D87"/>
    <w:rsid w:val="526D46C6"/>
    <w:rsid w:val="52753C44"/>
    <w:rsid w:val="52881C12"/>
    <w:rsid w:val="528A050C"/>
    <w:rsid w:val="528C2E2C"/>
    <w:rsid w:val="529009CE"/>
    <w:rsid w:val="529024C6"/>
    <w:rsid w:val="52A05842"/>
    <w:rsid w:val="52AD287E"/>
    <w:rsid w:val="52AD4542"/>
    <w:rsid w:val="52BA2867"/>
    <w:rsid w:val="52BE40AB"/>
    <w:rsid w:val="52BF0F06"/>
    <w:rsid w:val="52C807F4"/>
    <w:rsid w:val="53082F25"/>
    <w:rsid w:val="530A3568"/>
    <w:rsid w:val="53170BC1"/>
    <w:rsid w:val="533B2C88"/>
    <w:rsid w:val="533F13C1"/>
    <w:rsid w:val="53400330"/>
    <w:rsid w:val="53591E86"/>
    <w:rsid w:val="53600F56"/>
    <w:rsid w:val="536C5EBC"/>
    <w:rsid w:val="53717440"/>
    <w:rsid w:val="537C041E"/>
    <w:rsid w:val="537C3595"/>
    <w:rsid w:val="537E2EA2"/>
    <w:rsid w:val="5384523D"/>
    <w:rsid w:val="53956159"/>
    <w:rsid w:val="539754BD"/>
    <w:rsid w:val="539B0D9B"/>
    <w:rsid w:val="53A05391"/>
    <w:rsid w:val="53B53AB2"/>
    <w:rsid w:val="53B63BDE"/>
    <w:rsid w:val="53BF5D01"/>
    <w:rsid w:val="53DC044E"/>
    <w:rsid w:val="53DD0766"/>
    <w:rsid w:val="53E00E0F"/>
    <w:rsid w:val="53E67A1E"/>
    <w:rsid w:val="53EC2E48"/>
    <w:rsid w:val="53FD2C8A"/>
    <w:rsid w:val="540B47A1"/>
    <w:rsid w:val="540C63F7"/>
    <w:rsid w:val="541E045F"/>
    <w:rsid w:val="541E4DB2"/>
    <w:rsid w:val="542258CB"/>
    <w:rsid w:val="54246F78"/>
    <w:rsid w:val="542D032A"/>
    <w:rsid w:val="54336352"/>
    <w:rsid w:val="543D4F97"/>
    <w:rsid w:val="543E6814"/>
    <w:rsid w:val="54402FF2"/>
    <w:rsid w:val="544A0306"/>
    <w:rsid w:val="54530FAD"/>
    <w:rsid w:val="545720E4"/>
    <w:rsid w:val="545B7BCF"/>
    <w:rsid w:val="545C34ED"/>
    <w:rsid w:val="546F790B"/>
    <w:rsid w:val="548C25D3"/>
    <w:rsid w:val="549209D1"/>
    <w:rsid w:val="549B186B"/>
    <w:rsid w:val="54A97AB6"/>
    <w:rsid w:val="54C3270F"/>
    <w:rsid w:val="54D23CD1"/>
    <w:rsid w:val="54D42A85"/>
    <w:rsid w:val="54D8521F"/>
    <w:rsid w:val="54E567D6"/>
    <w:rsid w:val="54E95FF3"/>
    <w:rsid w:val="54EC02DE"/>
    <w:rsid w:val="54F2275D"/>
    <w:rsid w:val="54F33615"/>
    <w:rsid w:val="551C4892"/>
    <w:rsid w:val="55251528"/>
    <w:rsid w:val="55296F6D"/>
    <w:rsid w:val="55325E6D"/>
    <w:rsid w:val="554747DA"/>
    <w:rsid w:val="554A45E8"/>
    <w:rsid w:val="554B1EE2"/>
    <w:rsid w:val="55613A04"/>
    <w:rsid w:val="55642E8C"/>
    <w:rsid w:val="556F4103"/>
    <w:rsid w:val="55773B5C"/>
    <w:rsid w:val="557E66F9"/>
    <w:rsid w:val="55876D58"/>
    <w:rsid w:val="559909B8"/>
    <w:rsid w:val="559F2F88"/>
    <w:rsid w:val="55A71C5F"/>
    <w:rsid w:val="55AA246D"/>
    <w:rsid w:val="55DF2767"/>
    <w:rsid w:val="55DF6415"/>
    <w:rsid w:val="55E27EA4"/>
    <w:rsid w:val="55EB7E93"/>
    <w:rsid w:val="55F03E12"/>
    <w:rsid w:val="55F74CC6"/>
    <w:rsid w:val="55F935FB"/>
    <w:rsid w:val="55FD758F"/>
    <w:rsid w:val="560E5A7F"/>
    <w:rsid w:val="56243C73"/>
    <w:rsid w:val="56266D7D"/>
    <w:rsid w:val="562B67C9"/>
    <w:rsid w:val="564515C1"/>
    <w:rsid w:val="564C4BD7"/>
    <w:rsid w:val="565418E6"/>
    <w:rsid w:val="567B5A89"/>
    <w:rsid w:val="56A65031"/>
    <w:rsid w:val="56D13CB3"/>
    <w:rsid w:val="56D7455D"/>
    <w:rsid w:val="56DC003D"/>
    <w:rsid w:val="56FE7CE6"/>
    <w:rsid w:val="57061CFC"/>
    <w:rsid w:val="57091447"/>
    <w:rsid w:val="5713736D"/>
    <w:rsid w:val="57164D3C"/>
    <w:rsid w:val="57174233"/>
    <w:rsid w:val="571C25F9"/>
    <w:rsid w:val="57236B81"/>
    <w:rsid w:val="572D428E"/>
    <w:rsid w:val="572E4448"/>
    <w:rsid w:val="57397068"/>
    <w:rsid w:val="57506C89"/>
    <w:rsid w:val="5756360E"/>
    <w:rsid w:val="57627B5B"/>
    <w:rsid w:val="57711BCC"/>
    <w:rsid w:val="578515EA"/>
    <w:rsid w:val="57887C3E"/>
    <w:rsid w:val="578B7877"/>
    <w:rsid w:val="57924EDC"/>
    <w:rsid w:val="57940EC9"/>
    <w:rsid w:val="57985EAC"/>
    <w:rsid w:val="57A37B97"/>
    <w:rsid w:val="57AD38D0"/>
    <w:rsid w:val="57B95737"/>
    <w:rsid w:val="57C67218"/>
    <w:rsid w:val="57C92D9B"/>
    <w:rsid w:val="57D53CBB"/>
    <w:rsid w:val="57D64190"/>
    <w:rsid w:val="57EE371D"/>
    <w:rsid w:val="57F426AD"/>
    <w:rsid w:val="58014BE2"/>
    <w:rsid w:val="580249E9"/>
    <w:rsid w:val="58084B34"/>
    <w:rsid w:val="580C5352"/>
    <w:rsid w:val="58123CFC"/>
    <w:rsid w:val="581251F8"/>
    <w:rsid w:val="58132315"/>
    <w:rsid w:val="58226E39"/>
    <w:rsid w:val="582A329E"/>
    <w:rsid w:val="58313954"/>
    <w:rsid w:val="583874D0"/>
    <w:rsid w:val="5843374A"/>
    <w:rsid w:val="58483D98"/>
    <w:rsid w:val="584E4B3C"/>
    <w:rsid w:val="585E01AB"/>
    <w:rsid w:val="585E0A6D"/>
    <w:rsid w:val="585F1140"/>
    <w:rsid w:val="58613C1C"/>
    <w:rsid w:val="586438F5"/>
    <w:rsid w:val="5875460E"/>
    <w:rsid w:val="58843743"/>
    <w:rsid w:val="58A16F35"/>
    <w:rsid w:val="58A817F1"/>
    <w:rsid w:val="58AE34D6"/>
    <w:rsid w:val="58B00C63"/>
    <w:rsid w:val="58BC59C0"/>
    <w:rsid w:val="58BC6DCD"/>
    <w:rsid w:val="58C12AF6"/>
    <w:rsid w:val="58D00F8B"/>
    <w:rsid w:val="58D2260D"/>
    <w:rsid w:val="58DA27A4"/>
    <w:rsid w:val="58EE1D43"/>
    <w:rsid w:val="590E1652"/>
    <w:rsid w:val="590F419A"/>
    <w:rsid w:val="5911177F"/>
    <w:rsid w:val="592635D8"/>
    <w:rsid w:val="592F3741"/>
    <w:rsid w:val="594015B1"/>
    <w:rsid w:val="594A6A35"/>
    <w:rsid w:val="594F0A7E"/>
    <w:rsid w:val="5954396A"/>
    <w:rsid w:val="59550AFC"/>
    <w:rsid w:val="59582D6E"/>
    <w:rsid w:val="595E3F2E"/>
    <w:rsid w:val="59607471"/>
    <w:rsid w:val="596C3B16"/>
    <w:rsid w:val="596F32A0"/>
    <w:rsid w:val="597A37A6"/>
    <w:rsid w:val="597E20F6"/>
    <w:rsid w:val="597E40F8"/>
    <w:rsid w:val="598E7D48"/>
    <w:rsid w:val="59934492"/>
    <w:rsid w:val="599C11B7"/>
    <w:rsid w:val="59A10771"/>
    <w:rsid w:val="59A55F84"/>
    <w:rsid w:val="59AE4861"/>
    <w:rsid w:val="59BD4E33"/>
    <w:rsid w:val="59C51D8C"/>
    <w:rsid w:val="59CA7F2A"/>
    <w:rsid w:val="59F409CA"/>
    <w:rsid w:val="59F83A56"/>
    <w:rsid w:val="59FA79C7"/>
    <w:rsid w:val="59FF3F68"/>
    <w:rsid w:val="5A1D0200"/>
    <w:rsid w:val="5A1F5EE9"/>
    <w:rsid w:val="5A266FDA"/>
    <w:rsid w:val="5A380B96"/>
    <w:rsid w:val="5A3B1430"/>
    <w:rsid w:val="5A51050D"/>
    <w:rsid w:val="5A8B6E0D"/>
    <w:rsid w:val="5A8F6333"/>
    <w:rsid w:val="5A9E087D"/>
    <w:rsid w:val="5ABC1339"/>
    <w:rsid w:val="5AD50B17"/>
    <w:rsid w:val="5AD908AA"/>
    <w:rsid w:val="5AF4295F"/>
    <w:rsid w:val="5B051CDC"/>
    <w:rsid w:val="5B0A07A6"/>
    <w:rsid w:val="5B0E771E"/>
    <w:rsid w:val="5B1B19FC"/>
    <w:rsid w:val="5B1F1C3A"/>
    <w:rsid w:val="5B234C47"/>
    <w:rsid w:val="5B264ED4"/>
    <w:rsid w:val="5B266F26"/>
    <w:rsid w:val="5B393F9A"/>
    <w:rsid w:val="5B437B30"/>
    <w:rsid w:val="5B505CE1"/>
    <w:rsid w:val="5B696DA3"/>
    <w:rsid w:val="5B6C2828"/>
    <w:rsid w:val="5B736EA7"/>
    <w:rsid w:val="5B7A0374"/>
    <w:rsid w:val="5B7C5E45"/>
    <w:rsid w:val="5B8F1E8D"/>
    <w:rsid w:val="5B99417E"/>
    <w:rsid w:val="5B9A4C65"/>
    <w:rsid w:val="5BA22A36"/>
    <w:rsid w:val="5BA36C6F"/>
    <w:rsid w:val="5BA870A7"/>
    <w:rsid w:val="5BB506A7"/>
    <w:rsid w:val="5BB71F8E"/>
    <w:rsid w:val="5BB8195E"/>
    <w:rsid w:val="5BC953C5"/>
    <w:rsid w:val="5BCF6CFA"/>
    <w:rsid w:val="5BD90156"/>
    <w:rsid w:val="5BE85AF0"/>
    <w:rsid w:val="5BEF6EF3"/>
    <w:rsid w:val="5BF20D8F"/>
    <w:rsid w:val="5BF44F90"/>
    <w:rsid w:val="5BF57851"/>
    <w:rsid w:val="5BF62AB6"/>
    <w:rsid w:val="5C01398A"/>
    <w:rsid w:val="5C0A5E0A"/>
    <w:rsid w:val="5C0D5856"/>
    <w:rsid w:val="5C1765D4"/>
    <w:rsid w:val="5C1C473C"/>
    <w:rsid w:val="5C1E1839"/>
    <w:rsid w:val="5C1E730D"/>
    <w:rsid w:val="5C4E4C68"/>
    <w:rsid w:val="5C5622AA"/>
    <w:rsid w:val="5C573DC2"/>
    <w:rsid w:val="5C576E99"/>
    <w:rsid w:val="5C5A6DAF"/>
    <w:rsid w:val="5C770009"/>
    <w:rsid w:val="5C815BC9"/>
    <w:rsid w:val="5C9238ED"/>
    <w:rsid w:val="5C970D3F"/>
    <w:rsid w:val="5CA102ED"/>
    <w:rsid w:val="5CB44175"/>
    <w:rsid w:val="5CBB714F"/>
    <w:rsid w:val="5CC0411F"/>
    <w:rsid w:val="5CC64D26"/>
    <w:rsid w:val="5CCD4BDC"/>
    <w:rsid w:val="5CD231C9"/>
    <w:rsid w:val="5CD27D42"/>
    <w:rsid w:val="5CD544A4"/>
    <w:rsid w:val="5CF6076D"/>
    <w:rsid w:val="5CFE41D7"/>
    <w:rsid w:val="5D013F5C"/>
    <w:rsid w:val="5D0928E5"/>
    <w:rsid w:val="5D146135"/>
    <w:rsid w:val="5D187372"/>
    <w:rsid w:val="5D1D61C6"/>
    <w:rsid w:val="5D2D5EB5"/>
    <w:rsid w:val="5D317D29"/>
    <w:rsid w:val="5D4F7A19"/>
    <w:rsid w:val="5D51762F"/>
    <w:rsid w:val="5D6C29E3"/>
    <w:rsid w:val="5D70567F"/>
    <w:rsid w:val="5D801B4F"/>
    <w:rsid w:val="5D8A7776"/>
    <w:rsid w:val="5D97130E"/>
    <w:rsid w:val="5DA03974"/>
    <w:rsid w:val="5DA42E7F"/>
    <w:rsid w:val="5DA56E48"/>
    <w:rsid w:val="5DB26D32"/>
    <w:rsid w:val="5DCF1843"/>
    <w:rsid w:val="5DD74322"/>
    <w:rsid w:val="5DD918DF"/>
    <w:rsid w:val="5E030A33"/>
    <w:rsid w:val="5E0362E4"/>
    <w:rsid w:val="5E066600"/>
    <w:rsid w:val="5E0B2D45"/>
    <w:rsid w:val="5E0E6B96"/>
    <w:rsid w:val="5E183CE4"/>
    <w:rsid w:val="5E2F56B7"/>
    <w:rsid w:val="5E3765BE"/>
    <w:rsid w:val="5E3B430B"/>
    <w:rsid w:val="5E422DAD"/>
    <w:rsid w:val="5E4556A0"/>
    <w:rsid w:val="5E49074C"/>
    <w:rsid w:val="5E4B4400"/>
    <w:rsid w:val="5E543AC4"/>
    <w:rsid w:val="5E547DF0"/>
    <w:rsid w:val="5E560DC8"/>
    <w:rsid w:val="5E58123C"/>
    <w:rsid w:val="5E6058F6"/>
    <w:rsid w:val="5E657279"/>
    <w:rsid w:val="5E6722B3"/>
    <w:rsid w:val="5E714676"/>
    <w:rsid w:val="5E7B56A8"/>
    <w:rsid w:val="5E7C23D4"/>
    <w:rsid w:val="5E836961"/>
    <w:rsid w:val="5EA52D7F"/>
    <w:rsid w:val="5EB758A1"/>
    <w:rsid w:val="5EC04DDD"/>
    <w:rsid w:val="5EC2182D"/>
    <w:rsid w:val="5EC549C2"/>
    <w:rsid w:val="5EDA226B"/>
    <w:rsid w:val="5EF31C45"/>
    <w:rsid w:val="5EF32781"/>
    <w:rsid w:val="5EFC63CC"/>
    <w:rsid w:val="5F0B5CF5"/>
    <w:rsid w:val="5F0D17F5"/>
    <w:rsid w:val="5F0D286B"/>
    <w:rsid w:val="5F120DA4"/>
    <w:rsid w:val="5F1C4B42"/>
    <w:rsid w:val="5F1E7DDA"/>
    <w:rsid w:val="5F205337"/>
    <w:rsid w:val="5F352762"/>
    <w:rsid w:val="5F3F707A"/>
    <w:rsid w:val="5F482E83"/>
    <w:rsid w:val="5F5818BD"/>
    <w:rsid w:val="5F5B70CA"/>
    <w:rsid w:val="5F5D22F9"/>
    <w:rsid w:val="5F63751D"/>
    <w:rsid w:val="5F653149"/>
    <w:rsid w:val="5F6944F4"/>
    <w:rsid w:val="5F720EF2"/>
    <w:rsid w:val="5F751BA8"/>
    <w:rsid w:val="5F7A57AC"/>
    <w:rsid w:val="5F943C06"/>
    <w:rsid w:val="5F9805A0"/>
    <w:rsid w:val="5F9A362D"/>
    <w:rsid w:val="5F9D1B10"/>
    <w:rsid w:val="5FAD0A26"/>
    <w:rsid w:val="5FBD755B"/>
    <w:rsid w:val="5FC62A05"/>
    <w:rsid w:val="5FC657DD"/>
    <w:rsid w:val="5FCB3966"/>
    <w:rsid w:val="5FD74855"/>
    <w:rsid w:val="5FE33B7B"/>
    <w:rsid w:val="5FEE6597"/>
    <w:rsid w:val="600A2FD4"/>
    <w:rsid w:val="6024250D"/>
    <w:rsid w:val="603012AD"/>
    <w:rsid w:val="60457EDB"/>
    <w:rsid w:val="6047533B"/>
    <w:rsid w:val="604A592A"/>
    <w:rsid w:val="60570E59"/>
    <w:rsid w:val="605F4603"/>
    <w:rsid w:val="60644B6B"/>
    <w:rsid w:val="60675EC7"/>
    <w:rsid w:val="606A77CD"/>
    <w:rsid w:val="606E3563"/>
    <w:rsid w:val="60786190"/>
    <w:rsid w:val="607D065B"/>
    <w:rsid w:val="608C5797"/>
    <w:rsid w:val="60B154EC"/>
    <w:rsid w:val="60BA46EA"/>
    <w:rsid w:val="60C96143"/>
    <w:rsid w:val="60DB671F"/>
    <w:rsid w:val="60E304AE"/>
    <w:rsid w:val="60EB1E1F"/>
    <w:rsid w:val="60F13276"/>
    <w:rsid w:val="60FA66B2"/>
    <w:rsid w:val="60FF3D16"/>
    <w:rsid w:val="61075217"/>
    <w:rsid w:val="610F1F6A"/>
    <w:rsid w:val="613E479D"/>
    <w:rsid w:val="616013D3"/>
    <w:rsid w:val="616B277E"/>
    <w:rsid w:val="617141B4"/>
    <w:rsid w:val="617438E6"/>
    <w:rsid w:val="618C2C39"/>
    <w:rsid w:val="61992377"/>
    <w:rsid w:val="61A80C83"/>
    <w:rsid w:val="61AA5C05"/>
    <w:rsid w:val="61AB4CEA"/>
    <w:rsid w:val="61B57EC8"/>
    <w:rsid w:val="61CC3764"/>
    <w:rsid w:val="61CD5F94"/>
    <w:rsid w:val="61F0608E"/>
    <w:rsid w:val="61F34802"/>
    <w:rsid w:val="61FE57BA"/>
    <w:rsid w:val="62072FF7"/>
    <w:rsid w:val="6207793F"/>
    <w:rsid w:val="620B470C"/>
    <w:rsid w:val="6210516B"/>
    <w:rsid w:val="622153A4"/>
    <w:rsid w:val="62246EAC"/>
    <w:rsid w:val="622F2C7F"/>
    <w:rsid w:val="623015F6"/>
    <w:rsid w:val="62365AE9"/>
    <w:rsid w:val="62386666"/>
    <w:rsid w:val="623A00CC"/>
    <w:rsid w:val="623F0248"/>
    <w:rsid w:val="623F5BE2"/>
    <w:rsid w:val="623F720C"/>
    <w:rsid w:val="625849F2"/>
    <w:rsid w:val="62630B19"/>
    <w:rsid w:val="62672BE2"/>
    <w:rsid w:val="626D47E1"/>
    <w:rsid w:val="62761CB4"/>
    <w:rsid w:val="627A4F65"/>
    <w:rsid w:val="62822622"/>
    <w:rsid w:val="62964681"/>
    <w:rsid w:val="629A5F2E"/>
    <w:rsid w:val="62A32E82"/>
    <w:rsid w:val="62B20589"/>
    <w:rsid w:val="62B41576"/>
    <w:rsid w:val="62B858EF"/>
    <w:rsid w:val="62BC497E"/>
    <w:rsid w:val="62BD283C"/>
    <w:rsid w:val="62CB0945"/>
    <w:rsid w:val="62CD1314"/>
    <w:rsid w:val="62DE0EBE"/>
    <w:rsid w:val="62DE2526"/>
    <w:rsid w:val="62F950F8"/>
    <w:rsid w:val="6309004D"/>
    <w:rsid w:val="63112DD4"/>
    <w:rsid w:val="63121DF8"/>
    <w:rsid w:val="63155EC9"/>
    <w:rsid w:val="631F19E0"/>
    <w:rsid w:val="6320219F"/>
    <w:rsid w:val="632A0569"/>
    <w:rsid w:val="63344A56"/>
    <w:rsid w:val="63507EF5"/>
    <w:rsid w:val="63654DAB"/>
    <w:rsid w:val="63675F95"/>
    <w:rsid w:val="636A0C9B"/>
    <w:rsid w:val="6375786D"/>
    <w:rsid w:val="637B48FF"/>
    <w:rsid w:val="638B7152"/>
    <w:rsid w:val="638D02AE"/>
    <w:rsid w:val="63AB687C"/>
    <w:rsid w:val="63AC7EFE"/>
    <w:rsid w:val="63AE7AD9"/>
    <w:rsid w:val="63B56229"/>
    <w:rsid w:val="63BA086D"/>
    <w:rsid w:val="63CA1F53"/>
    <w:rsid w:val="63E358D7"/>
    <w:rsid w:val="63EB79D1"/>
    <w:rsid w:val="64033973"/>
    <w:rsid w:val="640A37B3"/>
    <w:rsid w:val="641F0121"/>
    <w:rsid w:val="643439CC"/>
    <w:rsid w:val="64432611"/>
    <w:rsid w:val="644840CB"/>
    <w:rsid w:val="644F5885"/>
    <w:rsid w:val="64662DAD"/>
    <w:rsid w:val="646E6790"/>
    <w:rsid w:val="64723C6E"/>
    <w:rsid w:val="648F5856"/>
    <w:rsid w:val="649C1116"/>
    <w:rsid w:val="649D61FC"/>
    <w:rsid w:val="64B40BDD"/>
    <w:rsid w:val="64B6225F"/>
    <w:rsid w:val="64CE1AF0"/>
    <w:rsid w:val="64D91F61"/>
    <w:rsid w:val="64E83CA7"/>
    <w:rsid w:val="64EC4CA4"/>
    <w:rsid w:val="650669E1"/>
    <w:rsid w:val="650A4DF7"/>
    <w:rsid w:val="65382575"/>
    <w:rsid w:val="653A5FEF"/>
    <w:rsid w:val="653C22CD"/>
    <w:rsid w:val="653D3504"/>
    <w:rsid w:val="6542430F"/>
    <w:rsid w:val="655F26E6"/>
    <w:rsid w:val="6576554A"/>
    <w:rsid w:val="657E577F"/>
    <w:rsid w:val="6589499B"/>
    <w:rsid w:val="659047CC"/>
    <w:rsid w:val="65950135"/>
    <w:rsid w:val="65AA223B"/>
    <w:rsid w:val="65BF3A26"/>
    <w:rsid w:val="65C02EB2"/>
    <w:rsid w:val="65C644FC"/>
    <w:rsid w:val="65D425B6"/>
    <w:rsid w:val="65DE4616"/>
    <w:rsid w:val="65F16135"/>
    <w:rsid w:val="65FF2CD0"/>
    <w:rsid w:val="66091813"/>
    <w:rsid w:val="660C0B93"/>
    <w:rsid w:val="6610728C"/>
    <w:rsid w:val="661C6D07"/>
    <w:rsid w:val="66330699"/>
    <w:rsid w:val="66332701"/>
    <w:rsid w:val="66456F52"/>
    <w:rsid w:val="664A36FF"/>
    <w:rsid w:val="665E10CA"/>
    <w:rsid w:val="665F793B"/>
    <w:rsid w:val="66642DE4"/>
    <w:rsid w:val="66657F88"/>
    <w:rsid w:val="66893E19"/>
    <w:rsid w:val="6689665E"/>
    <w:rsid w:val="66A03D4A"/>
    <w:rsid w:val="66AA15FC"/>
    <w:rsid w:val="66AF1A99"/>
    <w:rsid w:val="66B4115C"/>
    <w:rsid w:val="66BD7A81"/>
    <w:rsid w:val="66BF1F2A"/>
    <w:rsid w:val="66C3540E"/>
    <w:rsid w:val="66CF7336"/>
    <w:rsid w:val="66D44A21"/>
    <w:rsid w:val="66DC3981"/>
    <w:rsid w:val="66E61DDE"/>
    <w:rsid w:val="671A6296"/>
    <w:rsid w:val="67202C42"/>
    <w:rsid w:val="672911E4"/>
    <w:rsid w:val="67470ED8"/>
    <w:rsid w:val="67471EC5"/>
    <w:rsid w:val="67620A83"/>
    <w:rsid w:val="676D0C93"/>
    <w:rsid w:val="67A664DA"/>
    <w:rsid w:val="67B149F5"/>
    <w:rsid w:val="67B37262"/>
    <w:rsid w:val="67BF7F70"/>
    <w:rsid w:val="67C34FEE"/>
    <w:rsid w:val="67C3512C"/>
    <w:rsid w:val="67CD3F14"/>
    <w:rsid w:val="67ED117D"/>
    <w:rsid w:val="67EE021A"/>
    <w:rsid w:val="680854EB"/>
    <w:rsid w:val="681A745E"/>
    <w:rsid w:val="682A2EE3"/>
    <w:rsid w:val="68315C65"/>
    <w:rsid w:val="68386804"/>
    <w:rsid w:val="683B4DB8"/>
    <w:rsid w:val="6843275B"/>
    <w:rsid w:val="684941AF"/>
    <w:rsid w:val="684A0BCC"/>
    <w:rsid w:val="684E59D4"/>
    <w:rsid w:val="686D36B1"/>
    <w:rsid w:val="687E662D"/>
    <w:rsid w:val="688320DE"/>
    <w:rsid w:val="68950336"/>
    <w:rsid w:val="68AC32D7"/>
    <w:rsid w:val="68AC7ED1"/>
    <w:rsid w:val="68B30C82"/>
    <w:rsid w:val="68BF08FC"/>
    <w:rsid w:val="68BF16F5"/>
    <w:rsid w:val="68D074A3"/>
    <w:rsid w:val="68D16203"/>
    <w:rsid w:val="68D61D57"/>
    <w:rsid w:val="68EF0D46"/>
    <w:rsid w:val="68F37CDF"/>
    <w:rsid w:val="68F81EB3"/>
    <w:rsid w:val="690A315E"/>
    <w:rsid w:val="690F790C"/>
    <w:rsid w:val="691F3D17"/>
    <w:rsid w:val="69276FFB"/>
    <w:rsid w:val="692924A8"/>
    <w:rsid w:val="693A5CFE"/>
    <w:rsid w:val="694002F9"/>
    <w:rsid w:val="69472E32"/>
    <w:rsid w:val="694A1263"/>
    <w:rsid w:val="69521573"/>
    <w:rsid w:val="695574DF"/>
    <w:rsid w:val="69590F75"/>
    <w:rsid w:val="696A576E"/>
    <w:rsid w:val="69872FA0"/>
    <w:rsid w:val="6987641E"/>
    <w:rsid w:val="69953DA0"/>
    <w:rsid w:val="699D06C2"/>
    <w:rsid w:val="69A13C3E"/>
    <w:rsid w:val="69B46675"/>
    <w:rsid w:val="69B70353"/>
    <w:rsid w:val="69CA3077"/>
    <w:rsid w:val="69CD6811"/>
    <w:rsid w:val="69D30D43"/>
    <w:rsid w:val="69D925D7"/>
    <w:rsid w:val="69DA5CCA"/>
    <w:rsid w:val="69E61764"/>
    <w:rsid w:val="69E71C90"/>
    <w:rsid w:val="69E93980"/>
    <w:rsid w:val="69EA712C"/>
    <w:rsid w:val="69F140C0"/>
    <w:rsid w:val="69F30B4C"/>
    <w:rsid w:val="69FE3B23"/>
    <w:rsid w:val="69FF2BC9"/>
    <w:rsid w:val="6A025AC7"/>
    <w:rsid w:val="6A0D6A92"/>
    <w:rsid w:val="6A1551DE"/>
    <w:rsid w:val="6A1F12E0"/>
    <w:rsid w:val="6A225BE9"/>
    <w:rsid w:val="6A3B2734"/>
    <w:rsid w:val="6A3C3A41"/>
    <w:rsid w:val="6A4A37DD"/>
    <w:rsid w:val="6A523C26"/>
    <w:rsid w:val="6A5518EB"/>
    <w:rsid w:val="6A5A1DEB"/>
    <w:rsid w:val="6A5E607B"/>
    <w:rsid w:val="6A746B99"/>
    <w:rsid w:val="6A805EC9"/>
    <w:rsid w:val="6A815E7D"/>
    <w:rsid w:val="6A830CFC"/>
    <w:rsid w:val="6A887017"/>
    <w:rsid w:val="6A8A0AF9"/>
    <w:rsid w:val="6A933BC6"/>
    <w:rsid w:val="6AA13E25"/>
    <w:rsid w:val="6AA91504"/>
    <w:rsid w:val="6ADD5433"/>
    <w:rsid w:val="6AE968C3"/>
    <w:rsid w:val="6AE976B7"/>
    <w:rsid w:val="6AF05468"/>
    <w:rsid w:val="6AF117A2"/>
    <w:rsid w:val="6B0022F4"/>
    <w:rsid w:val="6B0A44EB"/>
    <w:rsid w:val="6B0C097A"/>
    <w:rsid w:val="6B17316D"/>
    <w:rsid w:val="6B1B5180"/>
    <w:rsid w:val="6B1C5D1F"/>
    <w:rsid w:val="6B1F3C87"/>
    <w:rsid w:val="6B2626D6"/>
    <w:rsid w:val="6B511AB7"/>
    <w:rsid w:val="6B5168D9"/>
    <w:rsid w:val="6B655079"/>
    <w:rsid w:val="6B7072DA"/>
    <w:rsid w:val="6BB02E29"/>
    <w:rsid w:val="6BB4591A"/>
    <w:rsid w:val="6BB51070"/>
    <w:rsid w:val="6BCA4782"/>
    <w:rsid w:val="6BCE460C"/>
    <w:rsid w:val="6BED2004"/>
    <w:rsid w:val="6BF07522"/>
    <w:rsid w:val="6BF13455"/>
    <w:rsid w:val="6BF4745D"/>
    <w:rsid w:val="6BFF2E2E"/>
    <w:rsid w:val="6C021BC5"/>
    <w:rsid w:val="6C0578D5"/>
    <w:rsid w:val="6C096DF7"/>
    <w:rsid w:val="6C0E0F4A"/>
    <w:rsid w:val="6C1D442C"/>
    <w:rsid w:val="6C295B47"/>
    <w:rsid w:val="6C401F3C"/>
    <w:rsid w:val="6C552807"/>
    <w:rsid w:val="6C6F5185"/>
    <w:rsid w:val="6C841B20"/>
    <w:rsid w:val="6C8A4247"/>
    <w:rsid w:val="6C9E0132"/>
    <w:rsid w:val="6C9F6436"/>
    <w:rsid w:val="6CB93DBA"/>
    <w:rsid w:val="6CC91389"/>
    <w:rsid w:val="6CD0127C"/>
    <w:rsid w:val="6CD429A0"/>
    <w:rsid w:val="6CDB6C4B"/>
    <w:rsid w:val="6CE11F16"/>
    <w:rsid w:val="6CE84D8B"/>
    <w:rsid w:val="6CEB5705"/>
    <w:rsid w:val="6CFB2DA5"/>
    <w:rsid w:val="6D0061F6"/>
    <w:rsid w:val="6D08089B"/>
    <w:rsid w:val="6D0D4E9B"/>
    <w:rsid w:val="6D153287"/>
    <w:rsid w:val="6D176986"/>
    <w:rsid w:val="6D1E1E6D"/>
    <w:rsid w:val="6D34312C"/>
    <w:rsid w:val="6D413A67"/>
    <w:rsid w:val="6D4F40E1"/>
    <w:rsid w:val="6D591ECD"/>
    <w:rsid w:val="6D5A526F"/>
    <w:rsid w:val="6D695244"/>
    <w:rsid w:val="6D82740C"/>
    <w:rsid w:val="6D85677A"/>
    <w:rsid w:val="6D882752"/>
    <w:rsid w:val="6D914840"/>
    <w:rsid w:val="6DAC42B6"/>
    <w:rsid w:val="6DD32C57"/>
    <w:rsid w:val="6DDD2BFE"/>
    <w:rsid w:val="6DF33A3B"/>
    <w:rsid w:val="6DF71808"/>
    <w:rsid w:val="6DF82319"/>
    <w:rsid w:val="6E066E82"/>
    <w:rsid w:val="6E1119D2"/>
    <w:rsid w:val="6E1421DD"/>
    <w:rsid w:val="6E1F50AB"/>
    <w:rsid w:val="6E211F53"/>
    <w:rsid w:val="6E334DC9"/>
    <w:rsid w:val="6E3E3969"/>
    <w:rsid w:val="6E50107E"/>
    <w:rsid w:val="6E6767F5"/>
    <w:rsid w:val="6E6B33D9"/>
    <w:rsid w:val="6E8A3033"/>
    <w:rsid w:val="6E9309E1"/>
    <w:rsid w:val="6EA246AD"/>
    <w:rsid w:val="6EA56B0C"/>
    <w:rsid w:val="6EAB7671"/>
    <w:rsid w:val="6EB0547A"/>
    <w:rsid w:val="6EB873D1"/>
    <w:rsid w:val="6EBC413D"/>
    <w:rsid w:val="6EC778FD"/>
    <w:rsid w:val="6EC97FE7"/>
    <w:rsid w:val="6EE34DCF"/>
    <w:rsid w:val="6EE94F0A"/>
    <w:rsid w:val="6EFD04AE"/>
    <w:rsid w:val="6F1302E4"/>
    <w:rsid w:val="6F140590"/>
    <w:rsid w:val="6F183E33"/>
    <w:rsid w:val="6F1D7C03"/>
    <w:rsid w:val="6F2A1462"/>
    <w:rsid w:val="6F2D104D"/>
    <w:rsid w:val="6F3625C5"/>
    <w:rsid w:val="6F4F378A"/>
    <w:rsid w:val="6F514088"/>
    <w:rsid w:val="6F600F73"/>
    <w:rsid w:val="6F672B2E"/>
    <w:rsid w:val="6F6D654F"/>
    <w:rsid w:val="6F72162C"/>
    <w:rsid w:val="6F796245"/>
    <w:rsid w:val="6F7E1056"/>
    <w:rsid w:val="6F833207"/>
    <w:rsid w:val="6F9D65B5"/>
    <w:rsid w:val="6FA91211"/>
    <w:rsid w:val="6FAD24DC"/>
    <w:rsid w:val="6FB4319F"/>
    <w:rsid w:val="6FB5230F"/>
    <w:rsid w:val="6FB737D6"/>
    <w:rsid w:val="6FC746B7"/>
    <w:rsid w:val="6FC94265"/>
    <w:rsid w:val="6FE86525"/>
    <w:rsid w:val="6FEA05C0"/>
    <w:rsid w:val="6FF16847"/>
    <w:rsid w:val="6FF260A2"/>
    <w:rsid w:val="6FF712C6"/>
    <w:rsid w:val="70047E97"/>
    <w:rsid w:val="701318C7"/>
    <w:rsid w:val="70147319"/>
    <w:rsid w:val="7026560F"/>
    <w:rsid w:val="702A5F16"/>
    <w:rsid w:val="702B7EB0"/>
    <w:rsid w:val="702C327C"/>
    <w:rsid w:val="703F4BA4"/>
    <w:rsid w:val="70554B4B"/>
    <w:rsid w:val="70565530"/>
    <w:rsid w:val="706B64E1"/>
    <w:rsid w:val="706F015B"/>
    <w:rsid w:val="707D5C10"/>
    <w:rsid w:val="707F038B"/>
    <w:rsid w:val="708244C1"/>
    <w:rsid w:val="70825A31"/>
    <w:rsid w:val="70952446"/>
    <w:rsid w:val="709836C2"/>
    <w:rsid w:val="70A14C18"/>
    <w:rsid w:val="70A36E95"/>
    <w:rsid w:val="70BA4A1C"/>
    <w:rsid w:val="70BC1BAE"/>
    <w:rsid w:val="70E508FB"/>
    <w:rsid w:val="70EF2237"/>
    <w:rsid w:val="71040D65"/>
    <w:rsid w:val="710D024E"/>
    <w:rsid w:val="711241F2"/>
    <w:rsid w:val="71141FE6"/>
    <w:rsid w:val="71156AB4"/>
    <w:rsid w:val="71156C62"/>
    <w:rsid w:val="711E0D35"/>
    <w:rsid w:val="7123493C"/>
    <w:rsid w:val="71315B25"/>
    <w:rsid w:val="71323962"/>
    <w:rsid w:val="714B49BC"/>
    <w:rsid w:val="71640DB1"/>
    <w:rsid w:val="716F5A55"/>
    <w:rsid w:val="717F3473"/>
    <w:rsid w:val="718D32CB"/>
    <w:rsid w:val="71940FAD"/>
    <w:rsid w:val="71D704D0"/>
    <w:rsid w:val="71F37CA7"/>
    <w:rsid w:val="71F71793"/>
    <w:rsid w:val="71F944A4"/>
    <w:rsid w:val="720129C3"/>
    <w:rsid w:val="72075DC4"/>
    <w:rsid w:val="720A5776"/>
    <w:rsid w:val="721459FF"/>
    <w:rsid w:val="721F3A3A"/>
    <w:rsid w:val="72223613"/>
    <w:rsid w:val="72492C4F"/>
    <w:rsid w:val="724F1D63"/>
    <w:rsid w:val="72512000"/>
    <w:rsid w:val="725162FB"/>
    <w:rsid w:val="725903E4"/>
    <w:rsid w:val="725F2166"/>
    <w:rsid w:val="72621D7E"/>
    <w:rsid w:val="72762602"/>
    <w:rsid w:val="72856872"/>
    <w:rsid w:val="728876D1"/>
    <w:rsid w:val="72907369"/>
    <w:rsid w:val="72940971"/>
    <w:rsid w:val="729529A1"/>
    <w:rsid w:val="72967B48"/>
    <w:rsid w:val="72984ADA"/>
    <w:rsid w:val="72A51193"/>
    <w:rsid w:val="72BF1BF3"/>
    <w:rsid w:val="72C9287B"/>
    <w:rsid w:val="72E651DB"/>
    <w:rsid w:val="72E962F8"/>
    <w:rsid w:val="7320432E"/>
    <w:rsid w:val="7352461E"/>
    <w:rsid w:val="735F439B"/>
    <w:rsid w:val="73647C48"/>
    <w:rsid w:val="736A27ED"/>
    <w:rsid w:val="737B3685"/>
    <w:rsid w:val="738301C6"/>
    <w:rsid w:val="738824EE"/>
    <w:rsid w:val="738B0358"/>
    <w:rsid w:val="738F700E"/>
    <w:rsid w:val="73B2144B"/>
    <w:rsid w:val="73B40E35"/>
    <w:rsid w:val="73C445EE"/>
    <w:rsid w:val="73C80F10"/>
    <w:rsid w:val="73C85CB2"/>
    <w:rsid w:val="73D9089C"/>
    <w:rsid w:val="73DD54A5"/>
    <w:rsid w:val="73DF10D2"/>
    <w:rsid w:val="73E5172E"/>
    <w:rsid w:val="73E624C0"/>
    <w:rsid w:val="73E96870"/>
    <w:rsid w:val="73F07B09"/>
    <w:rsid w:val="73FB7F59"/>
    <w:rsid w:val="740F15CA"/>
    <w:rsid w:val="741518E7"/>
    <w:rsid w:val="741C6A3A"/>
    <w:rsid w:val="74203485"/>
    <w:rsid w:val="74234A5B"/>
    <w:rsid w:val="742C2D16"/>
    <w:rsid w:val="742F1EA8"/>
    <w:rsid w:val="74302B9B"/>
    <w:rsid w:val="743E4A75"/>
    <w:rsid w:val="745443C6"/>
    <w:rsid w:val="746C5134"/>
    <w:rsid w:val="746E2DCA"/>
    <w:rsid w:val="746F561B"/>
    <w:rsid w:val="746F779C"/>
    <w:rsid w:val="74843EF7"/>
    <w:rsid w:val="74926B16"/>
    <w:rsid w:val="749A4977"/>
    <w:rsid w:val="74AD4DC4"/>
    <w:rsid w:val="74C635F2"/>
    <w:rsid w:val="74C9637A"/>
    <w:rsid w:val="74CA4C0D"/>
    <w:rsid w:val="74CF5861"/>
    <w:rsid w:val="74D442FB"/>
    <w:rsid w:val="74E26423"/>
    <w:rsid w:val="74F60331"/>
    <w:rsid w:val="75165F95"/>
    <w:rsid w:val="752712D7"/>
    <w:rsid w:val="75305687"/>
    <w:rsid w:val="7545775C"/>
    <w:rsid w:val="75464731"/>
    <w:rsid w:val="75484ADB"/>
    <w:rsid w:val="75575D8D"/>
    <w:rsid w:val="75666CE9"/>
    <w:rsid w:val="756C4B2E"/>
    <w:rsid w:val="759A6D68"/>
    <w:rsid w:val="75A0403B"/>
    <w:rsid w:val="75A115E3"/>
    <w:rsid w:val="75A25FEF"/>
    <w:rsid w:val="75A42544"/>
    <w:rsid w:val="75AE410C"/>
    <w:rsid w:val="75AE5E97"/>
    <w:rsid w:val="75B6221C"/>
    <w:rsid w:val="75B74231"/>
    <w:rsid w:val="75EB114A"/>
    <w:rsid w:val="75F25A93"/>
    <w:rsid w:val="76051ED4"/>
    <w:rsid w:val="76150516"/>
    <w:rsid w:val="76213127"/>
    <w:rsid w:val="762B6BFB"/>
    <w:rsid w:val="76326DB2"/>
    <w:rsid w:val="763809FD"/>
    <w:rsid w:val="764247B2"/>
    <w:rsid w:val="76511B01"/>
    <w:rsid w:val="76557EC2"/>
    <w:rsid w:val="765B7BA5"/>
    <w:rsid w:val="7660015C"/>
    <w:rsid w:val="7677355A"/>
    <w:rsid w:val="7681712F"/>
    <w:rsid w:val="76986395"/>
    <w:rsid w:val="76A3740D"/>
    <w:rsid w:val="76A83177"/>
    <w:rsid w:val="76B3005E"/>
    <w:rsid w:val="76C713CB"/>
    <w:rsid w:val="76C92E49"/>
    <w:rsid w:val="76CD1818"/>
    <w:rsid w:val="76EB7E51"/>
    <w:rsid w:val="76ED4FFF"/>
    <w:rsid w:val="76EE7546"/>
    <w:rsid w:val="770B0224"/>
    <w:rsid w:val="772A514F"/>
    <w:rsid w:val="77422C84"/>
    <w:rsid w:val="77425A66"/>
    <w:rsid w:val="774F6FC5"/>
    <w:rsid w:val="775916A3"/>
    <w:rsid w:val="775A25DC"/>
    <w:rsid w:val="775F730A"/>
    <w:rsid w:val="777245B0"/>
    <w:rsid w:val="77C3319D"/>
    <w:rsid w:val="77C83101"/>
    <w:rsid w:val="77CC6333"/>
    <w:rsid w:val="77CD3D06"/>
    <w:rsid w:val="77D42D33"/>
    <w:rsid w:val="77D53E99"/>
    <w:rsid w:val="77E36C6D"/>
    <w:rsid w:val="77F273D8"/>
    <w:rsid w:val="77F758DB"/>
    <w:rsid w:val="77FF3359"/>
    <w:rsid w:val="7816490B"/>
    <w:rsid w:val="781C6994"/>
    <w:rsid w:val="782811CD"/>
    <w:rsid w:val="782D48F4"/>
    <w:rsid w:val="78485FF0"/>
    <w:rsid w:val="785430E1"/>
    <w:rsid w:val="78556200"/>
    <w:rsid w:val="785E3CAF"/>
    <w:rsid w:val="786D0F5C"/>
    <w:rsid w:val="78A333BC"/>
    <w:rsid w:val="78B06666"/>
    <w:rsid w:val="78B41C36"/>
    <w:rsid w:val="78C20B88"/>
    <w:rsid w:val="791D3B65"/>
    <w:rsid w:val="791E1470"/>
    <w:rsid w:val="79200D1B"/>
    <w:rsid w:val="792A22DB"/>
    <w:rsid w:val="79314B57"/>
    <w:rsid w:val="793B7C8D"/>
    <w:rsid w:val="79520DCD"/>
    <w:rsid w:val="795413AF"/>
    <w:rsid w:val="795D5EED"/>
    <w:rsid w:val="79604182"/>
    <w:rsid w:val="797E03EC"/>
    <w:rsid w:val="797F3C93"/>
    <w:rsid w:val="79815591"/>
    <w:rsid w:val="79853455"/>
    <w:rsid w:val="79853A93"/>
    <w:rsid w:val="798A5F70"/>
    <w:rsid w:val="798F5344"/>
    <w:rsid w:val="79912A1F"/>
    <w:rsid w:val="79A74F98"/>
    <w:rsid w:val="79AA42EF"/>
    <w:rsid w:val="79AC713F"/>
    <w:rsid w:val="79AD5238"/>
    <w:rsid w:val="79B628C1"/>
    <w:rsid w:val="79C1381A"/>
    <w:rsid w:val="79DA1E1A"/>
    <w:rsid w:val="79DD5C5F"/>
    <w:rsid w:val="79E7560C"/>
    <w:rsid w:val="79FB2928"/>
    <w:rsid w:val="79FC6D2F"/>
    <w:rsid w:val="7A2778CD"/>
    <w:rsid w:val="7A29469B"/>
    <w:rsid w:val="7A362652"/>
    <w:rsid w:val="7A4B1AE2"/>
    <w:rsid w:val="7A654DEB"/>
    <w:rsid w:val="7A756E44"/>
    <w:rsid w:val="7A810CE2"/>
    <w:rsid w:val="7A8269AF"/>
    <w:rsid w:val="7A8D77ED"/>
    <w:rsid w:val="7A9B78D5"/>
    <w:rsid w:val="7AA00416"/>
    <w:rsid w:val="7AA45E06"/>
    <w:rsid w:val="7AC6152F"/>
    <w:rsid w:val="7ADA473C"/>
    <w:rsid w:val="7AE70672"/>
    <w:rsid w:val="7AE808AE"/>
    <w:rsid w:val="7AF03AC3"/>
    <w:rsid w:val="7AF31B94"/>
    <w:rsid w:val="7AF4277D"/>
    <w:rsid w:val="7AF807D5"/>
    <w:rsid w:val="7B175E85"/>
    <w:rsid w:val="7B2353F7"/>
    <w:rsid w:val="7B2565D8"/>
    <w:rsid w:val="7B323900"/>
    <w:rsid w:val="7B370B20"/>
    <w:rsid w:val="7B3C40CF"/>
    <w:rsid w:val="7B401B46"/>
    <w:rsid w:val="7B4F7332"/>
    <w:rsid w:val="7B551150"/>
    <w:rsid w:val="7B5F1C02"/>
    <w:rsid w:val="7B655433"/>
    <w:rsid w:val="7B6A281F"/>
    <w:rsid w:val="7B781022"/>
    <w:rsid w:val="7B7B02D5"/>
    <w:rsid w:val="7B7C4EB1"/>
    <w:rsid w:val="7B87662F"/>
    <w:rsid w:val="7B8F31E8"/>
    <w:rsid w:val="7B963516"/>
    <w:rsid w:val="7B975DAC"/>
    <w:rsid w:val="7B9F5AFD"/>
    <w:rsid w:val="7BA03AEE"/>
    <w:rsid w:val="7BA11556"/>
    <w:rsid w:val="7BAD2EC7"/>
    <w:rsid w:val="7BB523C6"/>
    <w:rsid w:val="7BBB078D"/>
    <w:rsid w:val="7BCC0150"/>
    <w:rsid w:val="7BE24534"/>
    <w:rsid w:val="7BEF1A41"/>
    <w:rsid w:val="7BF87BCC"/>
    <w:rsid w:val="7BFA2EC5"/>
    <w:rsid w:val="7C013AC1"/>
    <w:rsid w:val="7C1101E9"/>
    <w:rsid w:val="7C2B3EF5"/>
    <w:rsid w:val="7C2C0543"/>
    <w:rsid w:val="7C2D2F77"/>
    <w:rsid w:val="7C382D61"/>
    <w:rsid w:val="7C3D265F"/>
    <w:rsid w:val="7C476457"/>
    <w:rsid w:val="7C6178F6"/>
    <w:rsid w:val="7C68172B"/>
    <w:rsid w:val="7C7145D6"/>
    <w:rsid w:val="7C8336F1"/>
    <w:rsid w:val="7C8B10CA"/>
    <w:rsid w:val="7C8D19CC"/>
    <w:rsid w:val="7C8D584A"/>
    <w:rsid w:val="7CAF4A4A"/>
    <w:rsid w:val="7CBA4636"/>
    <w:rsid w:val="7CBD4375"/>
    <w:rsid w:val="7CC0084B"/>
    <w:rsid w:val="7CE87CF7"/>
    <w:rsid w:val="7CEF74C3"/>
    <w:rsid w:val="7CF16B76"/>
    <w:rsid w:val="7CFA10AF"/>
    <w:rsid w:val="7D023EAD"/>
    <w:rsid w:val="7D034BDB"/>
    <w:rsid w:val="7D0420A4"/>
    <w:rsid w:val="7D070CC3"/>
    <w:rsid w:val="7D0E0C96"/>
    <w:rsid w:val="7D0F3586"/>
    <w:rsid w:val="7D1455A9"/>
    <w:rsid w:val="7D157953"/>
    <w:rsid w:val="7D206F50"/>
    <w:rsid w:val="7D2A732B"/>
    <w:rsid w:val="7D2F5AB3"/>
    <w:rsid w:val="7D330D91"/>
    <w:rsid w:val="7D492BD8"/>
    <w:rsid w:val="7D495894"/>
    <w:rsid w:val="7D4B23F2"/>
    <w:rsid w:val="7D4C4CED"/>
    <w:rsid w:val="7D611959"/>
    <w:rsid w:val="7D683A8E"/>
    <w:rsid w:val="7D6F5498"/>
    <w:rsid w:val="7D734314"/>
    <w:rsid w:val="7D734436"/>
    <w:rsid w:val="7D8111BA"/>
    <w:rsid w:val="7D87580C"/>
    <w:rsid w:val="7D886841"/>
    <w:rsid w:val="7D947B87"/>
    <w:rsid w:val="7DA71DFD"/>
    <w:rsid w:val="7DAF2631"/>
    <w:rsid w:val="7DB94E07"/>
    <w:rsid w:val="7DC06421"/>
    <w:rsid w:val="7DDF1D34"/>
    <w:rsid w:val="7DDF2C35"/>
    <w:rsid w:val="7DDF2F52"/>
    <w:rsid w:val="7E0846C6"/>
    <w:rsid w:val="7E0A6B0C"/>
    <w:rsid w:val="7E0C66D8"/>
    <w:rsid w:val="7E2168F5"/>
    <w:rsid w:val="7E317C02"/>
    <w:rsid w:val="7E3D405F"/>
    <w:rsid w:val="7E4559A9"/>
    <w:rsid w:val="7E4C278B"/>
    <w:rsid w:val="7E531884"/>
    <w:rsid w:val="7E567602"/>
    <w:rsid w:val="7E5F5B4C"/>
    <w:rsid w:val="7E680DD3"/>
    <w:rsid w:val="7E72291D"/>
    <w:rsid w:val="7E8B2609"/>
    <w:rsid w:val="7E8B4E88"/>
    <w:rsid w:val="7E9354B8"/>
    <w:rsid w:val="7E962539"/>
    <w:rsid w:val="7E967AAD"/>
    <w:rsid w:val="7EA5385D"/>
    <w:rsid w:val="7EAC7098"/>
    <w:rsid w:val="7EAD7AB9"/>
    <w:rsid w:val="7EB602D6"/>
    <w:rsid w:val="7EB83D8E"/>
    <w:rsid w:val="7EBE12D9"/>
    <w:rsid w:val="7EC16749"/>
    <w:rsid w:val="7ECB2F1C"/>
    <w:rsid w:val="7ED475BF"/>
    <w:rsid w:val="7ED91B4C"/>
    <w:rsid w:val="7EE0449B"/>
    <w:rsid w:val="7EEC6743"/>
    <w:rsid w:val="7EF023FC"/>
    <w:rsid w:val="7EF43F5F"/>
    <w:rsid w:val="7EFE1AFE"/>
    <w:rsid w:val="7F0718BB"/>
    <w:rsid w:val="7F097635"/>
    <w:rsid w:val="7F0E29B0"/>
    <w:rsid w:val="7F0E7D57"/>
    <w:rsid w:val="7F245C4D"/>
    <w:rsid w:val="7F276560"/>
    <w:rsid w:val="7F395CC1"/>
    <w:rsid w:val="7F471C5D"/>
    <w:rsid w:val="7F627628"/>
    <w:rsid w:val="7F6F6D94"/>
    <w:rsid w:val="7F7D2A23"/>
    <w:rsid w:val="7F805EDD"/>
    <w:rsid w:val="7F8244DD"/>
    <w:rsid w:val="7F8E4C30"/>
    <w:rsid w:val="7F9A2311"/>
    <w:rsid w:val="7F9C372F"/>
    <w:rsid w:val="7FA63A05"/>
    <w:rsid w:val="7FCB7484"/>
    <w:rsid w:val="7FE11934"/>
    <w:rsid w:val="7FE34D24"/>
    <w:rsid w:val="7FE50658"/>
    <w:rsid w:val="7FEC1610"/>
    <w:rsid w:val="7FED4A4C"/>
    <w:rsid w:val="7FF2742E"/>
    <w:rsid w:val="7FF47FE1"/>
    <w:rsid w:val="7FF90A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iPriority="0" w:semiHidden="0" w:name="toc 2"/>
    <w:lsdException w:qFormat="1"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qFormat="1"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qFormat="1" w:unhideWhenUsed="0" w:uiPriority="6"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qFormat="1" w:unhideWhenUsed="0" w:uiPriority="0" w:semiHidden="0" w:name="HTML Preformatted"/>
    <w:lsdException w:qFormat="1" w:uiPriority="0" w:semiHidden="0" w:name="HTML Sample"/>
    <w:lsdException w:unhideWhenUsed="0" w:uiPriority="0" w:semiHidden="0" w:name="HTML Typewriter"/>
    <w:lsdException w:qFormat="1"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62"/>
    <w:qFormat/>
    <w:uiPriority w:val="0"/>
    <w:pPr>
      <w:keepNext/>
      <w:jc w:val="center"/>
      <w:outlineLvl w:val="0"/>
    </w:pPr>
    <w:rPr>
      <w:b/>
      <w:bCs/>
      <w:sz w:val="24"/>
      <w:szCs w:val="20"/>
    </w:rPr>
  </w:style>
  <w:style w:type="paragraph" w:styleId="3">
    <w:name w:val="heading 2"/>
    <w:basedOn w:val="1"/>
    <w:next w:val="1"/>
    <w:link w:val="163"/>
    <w:qFormat/>
    <w:uiPriority w:val="0"/>
    <w:pPr>
      <w:keepNext/>
      <w:keepLines/>
      <w:spacing w:line="360" w:lineRule="auto"/>
      <w:outlineLvl w:val="1"/>
    </w:pPr>
    <w:rPr>
      <w:rFonts w:ascii="Arial" w:hAnsi="Arial"/>
      <w:b/>
      <w:bCs/>
      <w:sz w:val="24"/>
      <w:szCs w:val="32"/>
    </w:rPr>
  </w:style>
  <w:style w:type="paragraph" w:styleId="4">
    <w:name w:val="heading 3"/>
    <w:basedOn w:val="1"/>
    <w:next w:val="1"/>
    <w:link w:val="117"/>
    <w:qFormat/>
    <w:uiPriority w:val="0"/>
    <w:pPr>
      <w:keepNext/>
      <w:keepLines/>
      <w:spacing w:before="260" w:after="260" w:line="416" w:lineRule="auto"/>
      <w:outlineLvl w:val="2"/>
    </w:pPr>
    <w:rPr>
      <w:b/>
      <w:bCs/>
      <w:sz w:val="32"/>
      <w:szCs w:val="32"/>
    </w:rPr>
  </w:style>
  <w:style w:type="paragraph" w:styleId="5">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76"/>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148"/>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119"/>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151"/>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100"/>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style>
  <w:style w:type="paragraph" w:styleId="12">
    <w:name w:val="toc 7"/>
    <w:basedOn w:val="1"/>
    <w:next w:val="1"/>
    <w:unhideWhenUsed/>
    <w:qFormat/>
    <w:uiPriority w:val="0"/>
    <w:pPr>
      <w:ind w:left="2520" w:leftChars="1200"/>
    </w:pPr>
    <w:rPr>
      <w:szCs w:val="22"/>
    </w:rPr>
  </w:style>
  <w:style w:type="paragraph" w:styleId="13">
    <w:name w:val="Normal Indent"/>
    <w:basedOn w:val="1"/>
    <w:link w:val="81"/>
    <w:qFormat/>
    <w:uiPriority w:val="0"/>
    <w:pPr>
      <w:widowControl/>
      <w:ind w:firstLine="420"/>
      <w:jc w:val="left"/>
    </w:pPr>
    <w:rPr>
      <w:kern w:val="0"/>
      <w:sz w:val="20"/>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List Bullet"/>
    <w:basedOn w:val="1"/>
    <w:qFormat/>
    <w:uiPriority w:val="0"/>
    <w:pPr>
      <w:ind w:left="100" w:leftChars="200" w:hanging="200" w:hangingChars="200"/>
    </w:pPr>
    <w:rPr>
      <w:rFonts w:hint="eastAsia"/>
    </w:rPr>
  </w:style>
  <w:style w:type="paragraph" w:styleId="16">
    <w:name w:val="Document Map"/>
    <w:basedOn w:val="1"/>
    <w:link w:val="138"/>
    <w:qFormat/>
    <w:uiPriority w:val="0"/>
    <w:pPr>
      <w:shd w:val="clear" w:color="auto" w:fill="000080"/>
    </w:pPr>
  </w:style>
  <w:style w:type="paragraph" w:styleId="17">
    <w:name w:val="toa heading"/>
    <w:basedOn w:val="1"/>
    <w:next w:val="1"/>
    <w:unhideWhenUsed/>
    <w:qFormat/>
    <w:uiPriority w:val="99"/>
    <w:pPr>
      <w:widowControl/>
      <w:spacing w:before="120" w:after="120" w:line="264" w:lineRule="auto"/>
      <w:ind w:firstLine="1572" w:firstLineChars="200"/>
      <w:jc w:val="left"/>
    </w:pPr>
    <w:rPr>
      <w:rFonts w:ascii="Arial" w:hAnsi="Arial" w:eastAsia="Microsoft YaHei UI" w:cs="Tahoma"/>
      <w:color w:val="3F3F3F"/>
      <w:kern w:val="0"/>
      <w:sz w:val="24"/>
      <w:szCs w:val="20"/>
      <w:lang w:val="zh-CN"/>
    </w:rPr>
  </w:style>
  <w:style w:type="paragraph" w:styleId="18">
    <w:name w:val="annotation text"/>
    <w:basedOn w:val="1"/>
    <w:link w:val="122"/>
    <w:qFormat/>
    <w:uiPriority w:val="0"/>
    <w:pPr>
      <w:jc w:val="left"/>
    </w:pPr>
  </w:style>
  <w:style w:type="paragraph" w:styleId="19">
    <w:name w:val="Salutation"/>
    <w:basedOn w:val="1"/>
    <w:next w:val="1"/>
    <w:link w:val="70"/>
    <w:qFormat/>
    <w:uiPriority w:val="0"/>
    <w:rPr>
      <w:rFonts w:ascii="仿宋_GB2312" w:eastAsia="仿宋_GB2312"/>
      <w:sz w:val="24"/>
    </w:rPr>
  </w:style>
  <w:style w:type="paragraph" w:styleId="20">
    <w:name w:val="Body Text 3"/>
    <w:basedOn w:val="1"/>
    <w:link w:val="93"/>
    <w:qFormat/>
    <w:uiPriority w:val="0"/>
    <w:pPr>
      <w:spacing w:after="120"/>
    </w:pPr>
    <w:rPr>
      <w:sz w:val="16"/>
      <w:szCs w:val="20"/>
    </w:rPr>
  </w:style>
  <w:style w:type="paragraph" w:styleId="21">
    <w:name w:val="Body Text"/>
    <w:basedOn w:val="1"/>
    <w:next w:val="1"/>
    <w:link w:val="129"/>
    <w:qFormat/>
    <w:uiPriority w:val="0"/>
    <w:pPr>
      <w:spacing w:after="120"/>
    </w:pPr>
  </w:style>
  <w:style w:type="paragraph" w:styleId="22">
    <w:name w:val="Body Text Indent"/>
    <w:basedOn w:val="1"/>
    <w:next w:val="1"/>
    <w:link w:val="142"/>
    <w:qFormat/>
    <w:uiPriority w:val="0"/>
    <w:pPr>
      <w:spacing w:after="120"/>
      <w:ind w:left="420" w:leftChars="200"/>
    </w:pPr>
  </w:style>
  <w:style w:type="paragraph" w:styleId="23">
    <w:name w:val="List 2"/>
    <w:basedOn w:val="1"/>
    <w:qFormat/>
    <w:uiPriority w:val="0"/>
    <w:pPr>
      <w:ind w:left="100" w:leftChars="200" w:hanging="200" w:hangingChars="200"/>
    </w:pPr>
  </w:style>
  <w:style w:type="paragraph" w:styleId="24">
    <w:name w:val="Block Text"/>
    <w:basedOn w:val="1"/>
    <w:qFormat/>
    <w:uiPriority w:val="0"/>
    <w:pPr>
      <w:ind w:left="1171" w:right="91" w:hanging="1080"/>
    </w:pPr>
    <w:rPr>
      <w:rFonts w:eastAsia="楷体_GB2312"/>
      <w:szCs w:val="20"/>
    </w:rPr>
  </w:style>
  <w:style w:type="paragraph" w:styleId="25">
    <w:name w:val="index 4"/>
    <w:basedOn w:val="1"/>
    <w:next w:val="1"/>
    <w:unhideWhenUsed/>
    <w:qFormat/>
    <w:uiPriority w:val="99"/>
    <w:pPr>
      <w:ind w:left="600" w:leftChars="600"/>
    </w:pPr>
  </w:style>
  <w:style w:type="paragraph" w:styleId="26">
    <w:name w:val="toc 5"/>
    <w:basedOn w:val="1"/>
    <w:next w:val="1"/>
    <w:unhideWhenUsed/>
    <w:qFormat/>
    <w:uiPriority w:val="0"/>
    <w:pPr>
      <w:ind w:left="1680" w:leftChars="800"/>
    </w:pPr>
    <w:rPr>
      <w:szCs w:val="22"/>
    </w:rPr>
  </w:style>
  <w:style w:type="paragraph" w:styleId="27">
    <w:name w:val="toc 3"/>
    <w:basedOn w:val="1"/>
    <w:next w:val="1"/>
    <w:unhideWhenUsed/>
    <w:qFormat/>
    <w:uiPriority w:val="0"/>
    <w:pPr>
      <w:ind w:left="840" w:leftChars="400"/>
    </w:pPr>
  </w:style>
  <w:style w:type="paragraph" w:styleId="28">
    <w:name w:val="Plain Text"/>
    <w:basedOn w:val="1"/>
    <w:link w:val="89"/>
    <w:qFormat/>
    <w:uiPriority w:val="0"/>
    <w:rPr>
      <w:rFonts w:ascii="宋体" w:hAnsi="Courier New" w:cs="Courier New"/>
      <w:szCs w:val="21"/>
    </w:rPr>
  </w:style>
  <w:style w:type="paragraph" w:styleId="29">
    <w:name w:val="toc 8"/>
    <w:basedOn w:val="1"/>
    <w:next w:val="1"/>
    <w:unhideWhenUsed/>
    <w:qFormat/>
    <w:uiPriority w:val="0"/>
    <w:pPr>
      <w:ind w:left="2940" w:leftChars="1400"/>
    </w:pPr>
    <w:rPr>
      <w:szCs w:val="22"/>
    </w:rPr>
  </w:style>
  <w:style w:type="paragraph" w:styleId="30">
    <w:name w:val="Date"/>
    <w:basedOn w:val="1"/>
    <w:next w:val="1"/>
    <w:link w:val="126"/>
    <w:qFormat/>
    <w:uiPriority w:val="0"/>
    <w:rPr>
      <w:sz w:val="24"/>
      <w:szCs w:val="20"/>
    </w:rPr>
  </w:style>
  <w:style w:type="paragraph" w:styleId="31">
    <w:name w:val="Body Text Indent 2"/>
    <w:basedOn w:val="1"/>
    <w:link w:val="180"/>
    <w:qFormat/>
    <w:uiPriority w:val="0"/>
    <w:pPr>
      <w:spacing w:after="120" w:line="480" w:lineRule="auto"/>
      <w:ind w:left="420" w:leftChars="200"/>
    </w:pPr>
  </w:style>
  <w:style w:type="paragraph" w:styleId="32">
    <w:name w:val="Balloon Text"/>
    <w:basedOn w:val="1"/>
    <w:link w:val="154"/>
    <w:qFormat/>
    <w:uiPriority w:val="0"/>
    <w:rPr>
      <w:sz w:val="18"/>
      <w:szCs w:val="18"/>
    </w:rPr>
  </w:style>
  <w:style w:type="paragraph" w:styleId="33">
    <w:name w:val="footer"/>
    <w:basedOn w:val="1"/>
    <w:link w:val="160"/>
    <w:qFormat/>
    <w:uiPriority w:val="0"/>
    <w:pPr>
      <w:tabs>
        <w:tab w:val="center" w:pos="4153"/>
        <w:tab w:val="right" w:pos="8306"/>
      </w:tabs>
      <w:snapToGrid w:val="0"/>
      <w:jc w:val="left"/>
    </w:pPr>
    <w:rPr>
      <w:sz w:val="18"/>
      <w:szCs w:val="18"/>
    </w:rPr>
  </w:style>
  <w:style w:type="paragraph" w:styleId="34">
    <w:name w:val="envelope return"/>
    <w:basedOn w:val="1"/>
    <w:qFormat/>
    <w:uiPriority w:val="0"/>
    <w:pPr>
      <w:snapToGrid w:val="0"/>
    </w:pPr>
    <w:rPr>
      <w:rFonts w:ascii="Arial" w:hAnsi="Arial"/>
    </w:rPr>
  </w:style>
  <w:style w:type="paragraph" w:styleId="35">
    <w:name w:val="header"/>
    <w:basedOn w:val="1"/>
    <w:link w:val="172"/>
    <w:qFormat/>
    <w:uiPriority w:val="0"/>
    <w:pPr>
      <w:pBdr>
        <w:bottom w:val="single" w:color="auto" w:sz="6" w:space="1"/>
      </w:pBdr>
      <w:tabs>
        <w:tab w:val="center" w:pos="4153"/>
        <w:tab w:val="right" w:pos="8306"/>
      </w:tabs>
      <w:snapToGrid w:val="0"/>
      <w:jc w:val="center"/>
    </w:pPr>
    <w:rPr>
      <w:sz w:val="18"/>
      <w:szCs w:val="18"/>
    </w:rPr>
  </w:style>
  <w:style w:type="paragraph" w:styleId="36">
    <w:name w:val="toc 1"/>
    <w:basedOn w:val="1"/>
    <w:next w:val="1"/>
    <w:qFormat/>
    <w:uiPriority w:val="0"/>
    <w:rPr>
      <w:rFonts w:ascii="华文中宋" w:hAnsi="华文中宋" w:eastAsia="华文中宋"/>
      <w:b/>
      <w:sz w:val="28"/>
      <w:szCs w:val="28"/>
    </w:rPr>
  </w:style>
  <w:style w:type="paragraph" w:styleId="37">
    <w:name w:val="toc 4"/>
    <w:basedOn w:val="1"/>
    <w:next w:val="1"/>
    <w:unhideWhenUsed/>
    <w:qFormat/>
    <w:uiPriority w:val="0"/>
    <w:pPr>
      <w:ind w:left="1260" w:leftChars="600"/>
    </w:pPr>
  </w:style>
  <w:style w:type="paragraph" w:styleId="38">
    <w:name w:val="Subtitle"/>
    <w:basedOn w:val="1"/>
    <w:next w:val="1"/>
    <w:link w:val="156"/>
    <w:qFormat/>
    <w:uiPriority w:val="0"/>
    <w:pPr>
      <w:spacing w:before="240" w:after="60" w:line="312" w:lineRule="auto"/>
      <w:jc w:val="center"/>
      <w:outlineLvl w:val="1"/>
    </w:pPr>
    <w:rPr>
      <w:rFonts w:ascii="Cambria" w:hAnsi="Cambria" w:cs="黑体"/>
      <w:b/>
      <w:bCs/>
      <w:kern w:val="28"/>
      <w:sz w:val="28"/>
      <w:szCs w:val="28"/>
    </w:rPr>
  </w:style>
  <w:style w:type="paragraph" w:styleId="39">
    <w:name w:val="List"/>
    <w:basedOn w:val="1"/>
    <w:qFormat/>
    <w:uiPriority w:val="0"/>
    <w:pPr>
      <w:ind w:left="200" w:hanging="200" w:hangingChars="200"/>
    </w:pPr>
  </w:style>
  <w:style w:type="paragraph" w:styleId="40">
    <w:name w:val="toc 6"/>
    <w:basedOn w:val="1"/>
    <w:next w:val="1"/>
    <w:unhideWhenUsed/>
    <w:qFormat/>
    <w:uiPriority w:val="0"/>
    <w:pPr>
      <w:ind w:left="2100" w:leftChars="1000"/>
    </w:pPr>
    <w:rPr>
      <w:szCs w:val="22"/>
    </w:rPr>
  </w:style>
  <w:style w:type="paragraph" w:styleId="41">
    <w:name w:val="Body Text Indent 3"/>
    <w:basedOn w:val="1"/>
    <w:link w:val="86"/>
    <w:qFormat/>
    <w:uiPriority w:val="0"/>
    <w:pPr>
      <w:spacing w:after="120"/>
      <w:ind w:left="420" w:leftChars="200"/>
    </w:pPr>
    <w:rPr>
      <w:sz w:val="16"/>
      <w:szCs w:val="16"/>
    </w:rPr>
  </w:style>
  <w:style w:type="paragraph" w:styleId="42">
    <w:name w:val="toc 2"/>
    <w:basedOn w:val="1"/>
    <w:next w:val="1"/>
    <w:unhideWhenUsed/>
    <w:qFormat/>
    <w:uiPriority w:val="0"/>
    <w:pPr>
      <w:ind w:left="420" w:leftChars="200"/>
    </w:pPr>
  </w:style>
  <w:style w:type="paragraph" w:styleId="43">
    <w:name w:val="toc 9"/>
    <w:basedOn w:val="1"/>
    <w:next w:val="1"/>
    <w:unhideWhenUsed/>
    <w:qFormat/>
    <w:uiPriority w:val="0"/>
    <w:pPr>
      <w:ind w:left="3360" w:leftChars="1600"/>
    </w:pPr>
    <w:rPr>
      <w:szCs w:val="22"/>
    </w:rPr>
  </w:style>
  <w:style w:type="paragraph" w:styleId="44">
    <w:name w:val="Body Text 2"/>
    <w:basedOn w:val="1"/>
    <w:link w:val="132"/>
    <w:qFormat/>
    <w:uiPriority w:val="0"/>
    <w:pPr>
      <w:spacing w:after="120" w:line="480" w:lineRule="auto"/>
    </w:pPr>
  </w:style>
  <w:style w:type="paragraph" w:styleId="45">
    <w:name w:val="HTML Preformatted"/>
    <w:basedOn w:val="1"/>
    <w:link w:val="15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4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7">
    <w:name w:val="index 1"/>
    <w:basedOn w:val="1"/>
    <w:next w:val="1"/>
    <w:qFormat/>
    <w:uiPriority w:val="0"/>
    <w:pPr>
      <w:spacing w:line="220" w:lineRule="exact"/>
      <w:jc w:val="center"/>
    </w:pPr>
    <w:rPr>
      <w:rFonts w:ascii="仿宋_GB2312" w:eastAsia="仿宋_GB2312"/>
      <w:szCs w:val="20"/>
    </w:rPr>
  </w:style>
  <w:style w:type="paragraph" w:styleId="48">
    <w:name w:val="Title"/>
    <w:basedOn w:val="1"/>
    <w:next w:val="1"/>
    <w:link w:val="166"/>
    <w:qFormat/>
    <w:uiPriority w:val="0"/>
    <w:pPr>
      <w:spacing w:before="240" w:after="60"/>
      <w:jc w:val="center"/>
      <w:outlineLvl w:val="0"/>
    </w:pPr>
    <w:rPr>
      <w:rFonts w:ascii="Cambria" w:hAnsi="Cambria"/>
      <w:b/>
      <w:bCs/>
      <w:sz w:val="32"/>
      <w:szCs w:val="32"/>
    </w:rPr>
  </w:style>
  <w:style w:type="paragraph" w:styleId="49">
    <w:name w:val="annotation subject"/>
    <w:basedOn w:val="18"/>
    <w:next w:val="1"/>
    <w:link w:val="125"/>
    <w:qFormat/>
    <w:uiPriority w:val="0"/>
    <w:rPr>
      <w:b/>
      <w:bCs/>
    </w:rPr>
  </w:style>
  <w:style w:type="paragraph" w:styleId="50">
    <w:name w:val="Body Text First Indent 2"/>
    <w:basedOn w:val="22"/>
    <w:next w:val="13"/>
    <w:qFormat/>
    <w:uiPriority w:val="6"/>
    <w:pPr>
      <w:ind w:firstLine="420"/>
      <w:jc w:val="left"/>
    </w:pPr>
    <w:rPr>
      <w:rFonts w:cs="Calibri"/>
      <w:kern w:val="0"/>
    </w:rPr>
  </w:style>
  <w:style w:type="table" w:styleId="52">
    <w:name w:val="Table Grid"/>
    <w:basedOn w:val="5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basedOn w:val="53"/>
    <w:qFormat/>
    <w:uiPriority w:val="0"/>
    <w:rPr>
      <w:b/>
      <w:bCs/>
    </w:rPr>
  </w:style>
  <w:style w:type="character" w:styleId="55">
    <w:name w:val="page number"/>
    <w:basedOn w:val="53"/>
    <w:qFormat/>
    <w:uiPriority w:val="0"/>
  </w:style>
  <w:style w:type="character" w:styleId="56">
    <w:name w:val="FollowedHyperlink"/>
    <w:basedOn w:val="53"/>
    <w:qFormat/>
    <w:uiPriority w:val="0"/>
    <w:rPr>
      <w:color w:val="800080"/>
      <w:u w:val="single"/>
    </w:rPr>
  </w:style>
  <w:style w:type="character" w:styleId="57">
    <w:name w:val="Emphasis"/>
    <w:basedOn w:val="53"/>
    <w:qFormat/>
    <w:uiPriority w:val="0"/>
    <w:rPr>
      <w:rFonts w:hint="default" w:ascii="Times New Roman" w:hAnsi="Times New Roman" w:eastAsia="宋体" w:cs="Times New Roman"/>
    </w:rPr>
  </w:style>
  <w:style w:type="character" w:styleId="58">
    <w:name w:val="HTML Definition"/>
    <w:basedOn w:val="53"/>
    <w:unhideWhenUsed/>
    <w:qFormat/>
    <w:uiPriority w:val="0"/>
    <w:rPr>
      <w:rFonts w:hint="default" w:ascii="Times New Roman" w:hAnsi="Times New Roman" w:eastAsia="宋体" w:cs="Times New Roman"/>
    </w:rPr>
  </w:style>
  <w:style w:type="character" w:styleId="59">
    <w:name w:val="HTML Variable"/>
    <w:basedOn w:val="53"/>
    <w:unhideWhenUsed/>
    <w:qFormat/>
    <w:uiPriority w:val="0"/>
    <w:rPr>
      <w:rFonts w:hint="default" w:ascii="Times New Roman" w:hAnsi="Times New Roman" w:eastAsia="宋体" w:cs="Times New Roman"/>
    </w:rPr>
  </w:style>
  <w:style w:type="character" w:styleId="60">
    <w:name w:val="Hyperlink"/>
    <w:basedOn w:val="53"/>
    <w:qFormat/>
    <w:uiPriority w:val="0"/>
    <w:rPr>
      <w:color w:val="136EC2"/>
      <w:u w:val="single"/>
    </w:rPr>
  </w:style>
  <w:style w:type="character" w:styleId="61">
    <w:name w:val="HTML Code"/>
    <w:basedOn w:val="53"/>
    <w:unhideWhenUsed/>
    <w:qFormat/>
    <w:uiPriority w:val="0"/>
    <w:rPr>
      <w:rFonts w:hint="default" w:ascii="Courier New" w:hAnsi="Courier New" w:eastAsia="Courier New" w:cs="Courier New"/>
      <w:sz w:val="24"/>
      <w:szCs w:val="24"/>
    </w:rPr>
  </w:style>
  <w:style w:type="character" w:styleId="62">
    <w:name w:val="annotation reference"/>
    <w:basedOn w:val="53"/>
    <w:qFormat/>
    <w:uiPriority w:val="0"/>
    <w:rPr>
      <w:sz w:val="21"/>
      <w:szCs w:val="21"/>
    </w:rPr>
  </w:style>
  <w:style w:type="character" w:styleId="63">
    <w:name w:val="HTML Cite"/>
    <w:basedOn w:val="53"/>
    <w:unhideWhenUsed/>
    <w:qFormat/>
    <w:uiPriority w:val="0"/>
    <w:rPr>
      <w:rFonts w:hint="default" w:ascii="Times New Roman" w:hAnsi="Times New Roman" w:eastAsia="宋体" w:cs="Times New Roman"/>
    </w:rPr>
  </w:style>
  <w:style w:type="character" w:styleId="64">
    <w:name w:val="HTML Keyboard"/>
    <w:basedOn w:val="53"/>
    <w:unhideWhenUsed/>
    <w:qFormat/>
    <w:uiPriority w:val="0"/>
    <w:rPr>
      <w:rFonts w:hint="default" w:ascii="Courier New" w:hAnsi="Courier New" w:eastAsia="Courier New" w:cs="Courier New"/>
      <w:sz w:val="24"/>
      <w:szCs w:val="24"/>
    </w:rPr>
  </w:style>
  <w:style w:type="character" w:styleId="65">
    <w:name w:val="HTML Sample"/>
    <w:basedOn w:val="53"/>
    <w:unhideWhenUsed/>
    <w:qFormat/>
    <w:uiPriority w:val="0"/>
    <w:rPr>
      <w:rFonts w:hint="default" w:ascii="Courier New" w:hAnsi="Courier New" w:eastAsia="Courier New" w:cs="Courier New"/>
    </w:rPr>
  </w:style>
  <w:style w:type="paragraph" w:customStyle="1" w:styleId="66">
    <w:name w:val="xl110"/>
    <w:qFormat/>
    <w:uiPriority w:val="0"/>
    <w:pPr>
      <w:spacing w:before="100" w:beforeAutospacing="1" w:after="100" w:afterAutospacing="1"/>
      <w:jc w:val="center"/>
      <w:textAlignment w:val="center"/>
    </w:pPr>
    <w:rPr>
      <w:rFonts w:ascii="宋体" w:hAnsi="宋体" w:eastAsia="宋体" w:cs="宋体"/>
      <w:lang w:val="en-US" w:eastAsia="zh-CN" w:bidi="ar-SA"/>
    </w:rPr>
  </w:style>
  <w:style w:type="paragraph" w:customStyle="1" w:styleId="67">
    <w:name w:val="表格文字"/>
    <w:basedOn w:val="1"/>
    <w:qFormat/>
    <w:uiPriority w:val="0"/>
    <w:pPr>
      <w:jc w:val="left"/>
    </w:pPr>
    <w:rPr>
      <w:bCs/>
      <w:spacing w:val="10"/>
      <w:kern w:val="0"/>
      <w:sz w:val="24"/>
    </w:rPr>
  </w:style>
  <w:style w:type="paragraph" w:customStyle="1" w:styleId="68">
    <w:name w:val="Default"/>
    <w:qFormat/>
    <w:uiPriority w:val="0"/>
    <w:pPr>
      <w:widowControl w:val="0"/>
      <w:autoSpaceDE w:val="0"/>
      <w:autoSpaceDN w:val="0"/>
      <w:adjustRightInd w:val="0"/>
    </w:pPr>
    <w:rPr>
      <w:rFonts w:ascii="黑体" w:hAnsi="Calibri" w:eastAsia="黑体" w:cs="Times New Roman"/>
      <w:lang w:val="en-US" w:eastAsia="zh-CN" w:bidi="ar-SA"/>
    </w:rPr>
  </w:style>
  <w:style w:type="paragraph" w:customStyle="1" w:styleId="69">
    <w:name w:val="样式2"/>
    <w:basedOn w:val="1"/>
    <w:qFormat/>
    <w:uiPriority w:val="99"/>
    <w:pPr>
      <w:widowControl/>
      <w:shd w:val="clear" w:color="auto" w:fill="FFFFFF"/>
      <w:spacing w:before="100" w:beforeAutospacing="1" w:after="100" w:afterAutospacing="1"/>
      <w:ind w:left="562"/>
      <w:jc w:val="center"/>
    </w:pPr>
    <w:rPr>
      <w:rFonts w:ascii="宋体" w:hAnsi="宋体" w:cs="宋体"/>
      <w:b/>
      <w:bCs/>
    </w:rPr>
  </w:style>
  <w:style w:type="character" w:customStyle="1" w:styleId="70">
    <w:name w:val="称呼 字符"/>
    <w:basedOn w:val="53"/>
    <w:link w:val="19"/>
    <w:qFormat/>
    <w:uiPriority w:val="0"/>
    <w:rPr>
      <w:rFonts w:ascii="仿宋_GB2312" w:eastAsia="仿宋_GB2312"/>
      <w:kern w:val="2"/>
      <w:sz w:val="24"/>
      <w:szCs w:val="24"/>
    </w:rPr>
  </w:style>
  <w:style w:type="character" w:customStyle="1" w:styleId="71">
    <w:name w:val="sort1"/>
    <w:basedOn w:val="53"/>
    <w:qFormat/>
    <w:uiPriority w:val="0"/>
    <w:rPr>
      <w:rFonts w:hint="default" w:ascii="Times New Roman" w:hAnsi="Times New Roman" w:eastAsia="宋体" w:cs="Times New Roman"/>
    </w:rPr>
  </w:style>
  <w:style w:type="character" w:customStyle="1" w:styleId="72">
    <w:name w:val="Font Style124"/>
    <w:basedOn w:val="53"/>
    <w:qFormat/>
    <w:uiPriority w:val="0"/>
    <w:rPr>
      <w:rFonts w:hint="eastAsia" w:ascii="宋体" w:hAnsi="宋体" w:eastAsia="宋体"/>
      <w:spacing w:val="30"/>
      <w:sz w:val="24"/>
    </w:rPr>
  </w:style>
  <w:style w:type="character" w:customStyle="1" w:styleId="73">
    <w:name w:val="p0 Char"/>
    <w:qFormat/>
    <w:locked/>
    <w:uiPriority w:val="0"/>
    <w:rPr>
      <w:sz w:val="21"/>
      <w:szCs w:val="21"/>
    </w:rPr>
  </w:style>
  <w:style w:type="character" w:customStyle="1" w:styleId="74">
    <w:name w:val="标题 Char2"/>
    <w:basedOn w:val="53"/>
    <w:qFormat/>
    <w:locked/>
    <w:uiPriority w:val="0"/>
    <w:rPr>
      <w:rFonts w:ascii="Cambria" w:hAnsi="Cambria"/>
      <w:b/>
      <w:kern w:val="2"/>
      <w:sz w:val="32"/>
      <w:szCs w:val="24"/>
    </w:rPr>
  </w:style>
  <w:style w:type="character" w:customStyle="1" w:styleId="75">
    <w:name w:val="font81"/>
    <w:basedOn w:val="53"/>
    <w:qFormat/>
    <w:uiPriority w:val="0"/>
    <w:rPr>
      <w:rFonts w:hint="eastAsia" w:ascii="宋体" w:hAnsi="宋体" w:eastAsia="宋体"/>
      <w:color w:val="000000"/>
      <w:sz w:val="18"/>
      <w:szCs w:val="18"/>
      <w:u w:val="none"/>
    </w:rPr>
  </w:style>
  <w:style w:type="character" w:customStyle="1" w:styleId="76">
    <w:name w:val="sidecatalog-dot1"/>
    <w:basedOn w:val="53"/>
    <w:qFormat/>
    <w:uiPriority w:val="0"/>
    <w:rPr>
      <w:rFonts w:hint="default" w:ascii="Times New Roman" w:hAnsi="Times New Roman" w:eastAsia="宋体" w:cs="Times New Roman"/>
    </w:rPr>
  </w:style>
  <w:style w:type="character" w:customStyle="1" w:styleId="77">
    <w:name w:val="polysemyred"/>
    <w:basedOn w:val="53"/>
    <w:qFormat/>
    <w:uiPriority w:val="0"/>
    <w:rPr>
      <w:rFonts w:hint="default" w:ascii="Times New Roman" w:hAnsi="Times New Roman" w:eastAsia="宋体" w:cs="Times New Roman"/>
      <w:color w:val="FF6666"/>
      <w:sz w:val="18"/>
      <w:szCs w:val="18"/>
    </w:rPr>
  </w:style>
  <w:style w:type="character" w:customStyle="1" w:styleId="78">
    <w:name w:val="sort"/>
    <w:basedOn w:val="53"/>
    <w:qFormat/>
    <w:uiPriority w:val="0"/>
    <w:rPr>
      <w:rFonts w:hint="default" w:ascii="Times New Roman" w:hAnsi="Times New Roman" w:eastAsia="宋体" w:cs="Times New Roman"/>
      <w:color w:val="FFFFFF"/>
      <w:bdr w:val="single" w:color="auto" w:sz="24" w:space="0"/>
    </w:rPr>
  </w:style>
  <w:style w:type="character" w:customStyle="1" w:styleId="79">
    <w:name w:val="Font Style116"/>
    <w:basedOn w:val="53"/>
    <w:qFormat/>
    <w:uiPriority w:val="0"/>
    <w:rPr>
      <w:rFonts w:hint="eastAsia" w:ascii="宋体" w:hAnsi="宋体" w:eastAsia="宋体"/>
      <w:spacing w:val="-20"/>
      <w:sz w:val="24"/>
    </w:rPr>
  </w:style>
  <w:style w:type="character" w:customStyle="1" w:styleId="80">
    <w:name w:val="Font Style133"/>
    <w:basedOn w:val="53"/>
    <w:qFormat/>
    <w:uiPriority w:val="0"/>
    <w:rPr>
      <w:rFonts w:hint="eastAsia" w:ascii="宋体" w:hAnsi="宋体" w:eastAsia="宋体"/>
      <w:spacing w:val="30"/>
      <w:sz w:val="24"/>
    </w:rPr>
  </w:style>
  <w:style w:type="character" w:customStyle="1" w:styleId="81">
    <w:name w:val="正文缩进 字符"/>
    <w:link w:val="13"/>
    <w:qFormat/>
    <w:uiPriority w:val="0"/>
    <w:rPr>
      <w:rFonts w:eastAsia="宋体"/>
      <w:lang w:val="en-US" w:eastAsia="zh-CN" w:bidi="ar-SA"/>
    </w:rPr>
  </w:style>
  <w:style w:type="character" w:customStyle="1" w:styleId="82">
    <w:name w:val="标题 8 Char1"/>
    <w:semiHidden/>
    <w:qFormat/>
    <w:locked/>
    <w:uiPriority w:val="0"/>
    <w:rPr>
      <w:rFonts w:ascii="Arial" w:hAnsi="Arial" w:eastAsia="黑体"/>
      <w:sz w:val="24"/>
      <w:szCs w:val="24"/>
    </w:rPr>
  </w:style>
  <w:style w:type="character" w:customStyle="1" w:styleId="83">
    <w:name w:val="Font Style94"/>
    <w:basedOn w:val="53"/>
    <w:qFormat/>
    <w:uiPriority w:val="0"/>
    <w:rPr>
      <w:rFonts w:hint="default" w:ascii="Times New Roman" w:hAnsi="Times New Roman" w:eastAsia="Times New Roman" w:cs="Times New Roman"/>
      <w:sz w:val="28"/>
    </w:rPr>
  </w:style>
  <w:style w:type="character" w:customStyle="1" w:styleId="84">
    <w:name w:val="Font Style104"/>
    <w:basedOn w:val="53"/>
    <w:qFormat/>
    <w:uiPriority w:val="0"/>
    <w:rPr>
      <w:rFonts w:hint="eastAsia" w:ascii="宋体" w:hAnsi="宋体" w:eastAsia="宋体"/>
      <w:spacing w:val="30"/>
      <w:sz w:val="18"/>
    </w:rPr>
  </w:style>
  <w:style w:type="character" w:customStyle="1" w:styleId="85">
    <w:name w:val="font31"/>
    <w:basedOn w:val="53"/>
    <w:qFormat/>
    <w:uiPriority w:val="0"/>
    <w:rPr>
      <w:rFonts w:hint="eastAsia" w:ascii="宋体" w:hAnsi="宋体" w:eastAsia="宋体"/>
      <w:b/>
      <w:bCs/>
      <w:i/>
      <w:iCs/>
      <w:color w:val="000000"/>
      <w:sz w:val="18"/>
      <w:szCs w:val="18"/>
      <w:u w:val="none"/>
    </w:rPr>
  </w:style>
  <w:style w:type="character" w:customStyle="1" w:styleId="86">
    <w:name w:val="正文文本缩进 3 字符"/>
    <w:basedOn w:val="53"/>
    <w:link w:val="41"/>
    <w:qFormat/>
    <w:uiPriority w:val="0"/>
    <w:rPr>
      <w:kern w:val="2"/>
      <w:sz w:val="16"/>
      <w:szCs w:val="16"/>
    </w:rPr>
  </w:style>
  <w:style w:type="character" w:customStyle="1" w:styleId="87">
    <w:name w:val="Font Style115"/>
    <w:basedOn w:val="53"/>
    <w:qFormat/>
    <w:uiPriority w:val="0"/>
    <w:rPr>
      <w:rFonts w:hint="default" w:ascii="Times New Roman" w:hAnsi="Times New Roman" w:eastAsia="Times New Roman" w:cs="Times New Roman"/>
      <w:sz w:val="16"/>
    </w:rPr>
  </w:style>
  <w:style w:type="character" w:customStyle="1" w:styleId="88">
    <w:name w:val="font51"/>
    <w:basedOn w:val="53"/>
    <w:qFormat/>
    <w:uiPriority w:val="0"/>
    <w:rPr>
      <w:rFonts w:hint="eastAsia" w:ascii="宋体" w:hAnsi="宋体" w:eastAsia="宋体" w:cs="宋体"/>
      <w:color w:val="000000"/>
      <w:sz w:val="20"/>
      <w:szCs w:val="20"/>
      <w:u w:val="single"/>
    </w:rPr>
  </w:style>
  <w:style w:type="character" w:customStyle="1" w:styleId="89">
    <w:name w:val="纯文本 字符"/>
    <w:basedOn w:val="53"/>
    <w:link w:val="28"/>
    <w:qFormat/>
    <w:uiPriority w:val="0"/>
    <w:rPr>
      <w:rFonts w:ascii="宋体" w:hAnsi="Courier New" w:cs="Courier New"/>
      <w:kern w:val="2"/>
      <w:sz w:val="21"/>
      <w:szCs w:val="21"/>
    </w:rPr>
  </w:style>
  <w:style w:type="character" w:customStyle="1" w:styleId="90">
    <w:name w:val="Font Style86"/>
    <w:basedOn w:val="53"/>
    <w:qFormat/>
    <w:uiPriority w:val="0"/>
    <w:rPr>
      <w:rFonts w:hint="eastAsia" w:ascii="黑体" w:hAnsi="黑体" w:eastAsia="黑体"/>
      <w:spacing w:val="10"/>
      <w:sz w:val="30"/>
    </w:rPr>
  </w:style>
  <w:style w:type="character" w:customStyle="1" w:styleId="91">
    <w:name w:val="标题 6 Char1"/>
    <w:semiHidden/>
    <w:qFormat/>
    <w:locked/>
    <w:uiPriority w:val="0"/>
    <w:rPr>
      <w:rFonts w:ascii="Arial" w:hAnsi="Arial" w:eastAsia="黑体"/>
      <w:b/>
      <w:bCs/>
      <w:sz w:val="24"/>
      <w:szCs w:val="24"/>
    </w:rPr>
  </w:style>
  <w:style w:type="character" w:customStyle="1" w:styleId="92">
    <w:name w:val="Font Style123"/>
    <w:basedOn w:val="53"/>
    <w:qFormat/>
    <w:uiPriority w:val="0"/>
    <w:rPr>
      <w:rFonts w:hint="eastAsia" w:ascii="宋体" w:hAnsi="宋体" w:eastAsia="宋体"/>
      <w:b/>
      <w:sz w:val="32"/>
    </w:rPr>
  </w:style>
  <w:style w:type="character" w:customStyle="1" w:styleId="93">
    <w:name w:val="正文文本 3 字符"/>
    <w:link w:val="20"/>
    <w:qFormat/>
    <w:uiPriority w:val="0"/>
    <w:rPr>
      <w:rFonts w:hint="default" w:eastAsia="宋体"/>
      <w:kern w:val="2"/>
      <w:sz w:val="16"/>
      <w:lang w:val="en-US" w:eastAsia="zh-CN"/>
    </w:rPr>
  </w:style>
  <w:style w:type="character" w:customStyle="1" w:styleId="94">
    <w:name w:val="sidecatalog-index2"/>
    <w:basedOn w:val="53"/>
    <w:qFormat/>
    <w:uiPriority w:val="0"/>
    <w:rPr>
      <w:rFonts w:hint="default" w:ascii="Arail" w:hAnsi="Arail" w:eastAsia="Arail" w:cs="Arail"/>
      <w:color w:val="999999"/>
      <w:sz w:val="21"/>
      <w:szCs w:val="21"/>
    </w:rPr>
  </w:style>
  <w:style w:type="character" w:customStyle="1" w:styleId="95">
    <w:name w:val="Font Style134"/>
    <w:basedOn w:val="53"/>
    <w:qFormat/>
    <w:uiPriority w:val="0"/>
    <w:rPr>
      <w:rFonts w:hint="eastAsia" w:ascii="宋体" w:hAnsi="宋体" w:eastAsia="宋体"/>
      <w:spacing w:val="20"/>
      <w:sz w:val="22"/>
    </w:rPr>
  </w:style>
  <w:style w:type="character" w:customStyle="1" w:styleId="96">
    <w:name w:val="标题 7 Char1"/>
    <w:semiHidden/>
    <w:qFormat/>
    <w:locked/>
    <w:uiPriority w:val="0"/>
    <w:rPr>
      <w:b/>
      <w:bCs/>
      <w:sz w:val="24"/>
      <w:szCs w:val="24"/>
    </w:rPr>
  </w:style>
  <w:style w:type="character" w:customStyle="1" w:styleId="97">
    <w:name w:val="font01"/>
    <w:basedOn w:val="53"/>
    <w:qFormat/>
    <w:uiPriority w:val="0"/>
    <w:rPr>
      <w:rFonts w:hint="default" w:ascii="Times New Roman" w:hAnsi="Times New Roman" w:cs="Times New Roman"/>
      <w:color w:val="000000"/>
      <w:sz w:val="18"/>
      <w:szCs w:val="18"/>
      <w:u w:val="none"/>
    </w:rPr>
  </w:style>
  <w:style w:type="character" w:customStyle="1" w:styleId="98">
    <w:name w:val="标题 3 Char1"/>
    <w:semiHidden/>
    <w:qFormat/>
    <w:locked/>
    <w:uiPriority w:val="0"/>
    <w:rPr>
      <w:b/>
      <w:bCs/>
      <w:kern w:val="2"/>
      <w:sz w:val="32"/>
      <w:szCs w:val="32"/>
    </w:rPr>
  </w:style>
  <w:style w:type="character" w:customStyle="1" w:styleId="99">
    <w:name w:val="标题 4 字符"/>
    <w:basedOn w:val="53"/>
    <w:link w:val="5"/>
    <w:qFormat/>
    <w:uiPriority w:val="0"/>
    <w:rPr>
      <w:rFonts w:ascii="Arial" w:hAnsi="Arial" w:eastAsia="黑体"/>
      <w:b/>
      <w:bCs/>
      <w:kern w:val="2"/>
      <w:sz w:val="28"/>
      <w:szCs w:val="28"/>
    </w:rPr>
  </w:style>
  <w:style w:type="character" w:customStyle="1" w:styleId="100">
    <w:name w:val="标题 9 字符"/>
    <w:basedOn w:val="53"/>
    <w:link w:val="10"/>
    <w:qFormat/>
    <w:uiPriority w:val="0"/>
    <w:rPr>
      <w:rFonts w:ascii="Arial" w:hAnsi="Arial" w:eastAsia="黑体"/>
      <w:sz w:val="21"/>
      <w:szCs w:val="21"/>
    </w:rPr>
  </w:style>
  <w:style w:type="character" w:customStyle="1" w:styleId="101">
    <w:name w:val="plus"/>
    <w:basedOn w:val="53"/>
    <w:qFormat/>
    <w:uiPriority w:val="0"/>
    <w:rPr>
      <w:rFonts w:hint="default" w:ascii="Times New Roman" w:hAnsi="Times New Roman" w:eastAsia="宋体" w:cs="Times New Roman"/>
      <w:b/>
      <w:vanish/>
      <w:color w:val="1F8DEF"/>
      <w:sz w:val="24"/>
      <w:szCs w:val="24"/>
    </w:rPr>
  </w:style>
  <w:style w:type="character" w:customStyle="1" w:styleId="102">
    <w:name w:val="font21"/>
    <w:basedOn w:val="53"/>
    <w:qFormat/>
    <w:uiPriority w:val="0"/>
    <w:rPr>
      <w:rFonts w:hint="eastAsia" w:ascii="宋体" w:hAnsi="宋体" w:eastAsia="宋体"/>
      <w:color w:val="000000"/>
      <w:sz w:val="18"/>
      <w:szCs w:val="18"/>
      <w:u w:val="none"/>
    </w:rPr>
  </w:style>
  <w:style w:type="character" w:customStyle="1" w:styleId="103">
    <w:name w:val="Char Char17"/>
    <w:basedOn w:val="53"/>
    <w:qFormat/>
    <w:uiPriority w:val="0"/>
    <w:rPr>
      <w:rFonts w:hint="eastAsia" w:ascii="宋体" w:hAnsi="Times New Roman" w:eastAsia="宋体"/>
      <w:b/>
      <w:sz w:val="28"/>
      <w:lang w:val="en-US" w:eastAsia="zh-CN" w:bidi="ar-SA"/>
    </w:rPr>
  </w:style>
  <w:style w:type="character" w:customStyle="1" w:styleId="104">
    <w:name w:val="Font Style122"/>
    <w:basedOn w:val="53"/>
    <w:qFormat/>
    <w:uiPriority w:val="0"/>
    <w:rPr>
      <w:rFonts w:hint="eastAsia" w:ascii="宋体" w:hAnsi="宋体" w:eastAsia="宋体"/>
      <w:spacing w:val="20"/>
      <w:sz w:val="24"/>
    </w:rPr>
  </w:style>
  <w:style w:type="character" w:customStyle="1" w:styleId="105">
    <w:name w:val="Font Style105"/>
    <w:basedOn w:val="53"/>
    <w:qFormat/>
    <w:uiPriority w:val="0"/>
    <w:rPr>
      <w:rFonts w:hint="default" w:ascii="Times New Roman" w:hAnsi="Times New Roman" w:eastAsia="Times New Roman" w:cs="Times New Roman"/>
      <w:w w:val="60"/>
      <w:sz w:val="26"/>
    </w:rPr>
  </w:style>
  <w:style w:type="character" w:customStyle="1" w:styleId="106">
    <w:name w:val="标书的正文 Char Char"/>
    <w:link w:val="107"/>
    <w:qFormat/>
    <w:uiPriority w:val="0"/>
    <w:rPr>
      <w:rFonts w:ascii="宋体" w:hAnsi="宋体" w:eastAsia="宋体"/>
      <w:kern w:val="2"/>
      <w:sz w:val="24"/>
      <w:lang w:val="en-US" w:eastAsia="zh-CN" w:bidi="ar-SA"/>
    </w:rPr>
  </w:style>
  <w:style w:type="paragraph" w:customStyle="1" w:styleId="107">
    <w:name w:val="标书的正文"/>
    <w:basedOn w:val="1"/>
    <w:link w:val="106"/>
    <w:qFormat/>
    <w:uiPriority w:val="0"/>
    <w:pPr>
      <w:spacing w:line="312" w:lineRule="auto"/>
      <w:ind w:firstLine="480" w:firstLineChars="200"/>
      <w:jc w:val="left"/>
    </w:pPr>
    <w:rPr>
      <w:rFonts w:ascii="宋体" w:hAnsi="宋体"/>
      <w:sz w:val="24"/>
      <w:szCs w:val="20"/>
    </w:rPr>
  </w:style>
  <w:style w:type="character" w:customStyle="1" w:styleId="108">
    <w:name w:val="font11"/>
    <w:basedOn w:val="53"/>
    <w:qFormat/>
    <w:uiPriority w:val="0"/>
    <w:rPr>
      <w:rFonts w:hint="eastAsia" w:ascii="宋体" w:hAnsi="宋体" w:eastAsia="宋体"/>
      <w:color w:val="000000"/>
      <w:sz w:val="18"/>
      <w:szCs w:val="18"/>
      <w:u w:val="none"/>
    </w:rPr>
  </w:style>
  <w:style w:type="character" w:customStyle="1" w:styleId="109">
    <w:name w:val="Font Style90"/>
    <w:basedOn w:val="53"/>
    <w:qFormat/>
    <w:uiPriority w:val="0"/>
    <w:rPr>
      <w:rFonts w:hint="eastAsia" w:ascii="宋体" w:hAnsi="宋体" w:eastAsia="宋体"/>
      <w:b/>
      <w:spacing w:val="-20"/>
      <w:sz w:val="40"/>
    </w:rPr>
  </w:style>
  <w:style w:type="character" w:customStyle="1" w:styleId="110">
    <w:name w:val="批注文字 Char1"/>
    <w:semiHidden/>
    <w:qFormat/>
    <w:locked/>
    <w:uiPriority w:val="0"/>
    <w:rPr>
      <w:kern w:val="2"/>
      <w:sz w:val="21"/>
      <w:szCs w:val="24"/>
    </w:rPr>
  </w:style>
  <w:style w:type="character" w:customStyle="1" w:styleId="111">
    <w:name w:val="polysemyexp"/>
    <w:basedOn w:val="53"/>
    <w:qFormat/>
    <w:uiPriority w:val="0"/>
    <w:rPr>
      <w:rFonts w:hint="default" w:ascii="Times New Roman" w:hAnsi="Times New Roman" w:eastAsia="宋体" w:cs="Times New Roman"/>
      <w:color w:val="AAAAAA"/>
      <w:sz w:val="18"/>
      <w:szCs w:val="18"/>
    </w:rPr>
  </w:style>
  <w:style w:type="character" w:customStyle="1" w:styleId="112">
    <w:name w:val="标题 Char1"/>
    <w:basedOn w:val="53"/>
    <w:qFormat/>
    <w:uiPriority w:val="0"/>
    <w:rPr>
      <w:rFonts w:hint="default" w:ascii="Cambria" w:hAnsi="Cambria" w:eastAsia="宋体" w:cs="Times New Roman"/>
      <w:b/>
      <w:bCs/>
      <w:sz w:val="32"/>
      <w:szCs w:val="32"/>
    </w:rPr>
  </w:style>
  <w:style w:type="character" w:customStyle="1" w:styleId="113">
    <w:name w:val="页眉 Char1"/>
    <w:qFormat/>
    <w:locked/>
    <w:uiPriority w:val="0"/>
    <w:rPr>
      <w:kern w:val="2"/>
      <w:sz w:val="18"/>
      <w:szCs w:val="18"/>
    </w:rPr>
  </w:style>
  <w:style w:type="character" w:customStyle="1" w:styleId="114">
    <w:name w:val="morelink-item"/>
    <w:basedOn w:val="53"/>
    <w:qFormat/>
    <w:uiPriority w:val="0"/>
    <w:rPr>
      <w:rFonts w:hint="default" w:ascii="Times New Roman" w:hAnsi="Times New Roman" w:eastAsia="宋体" w:cs="Times New Roman"/>
    </w:rPr>
  </w:style>
  <w:style w:type="character" w:customStyle="1" w:styleId="115">
    <w:name w:val="Font Style128"/>
    <w:basedOn w:val="53"/>
    <w:qFormat/>
    <w:uiPriority w:val="0"/>
    <w:rPr>
      <w:rFonts w:hint="default" w:ascii="Times New Roman" w:hAnsi="Times New Roman" w:eastAsia="Times New Roman" w:cs="Times New Roman"/>
      <w:sz w:val="16"/>
    </w:rPr>
  </w:style>
  <w:style w:type="character" w:customStyle="1" w:styleId="116">
    <w:name w:val="sidecatalog-index1"/>
    <w:basedOn w:val="53"/>
    <w:qFormat/>
    <w:uiPriority w:val="0"/>
    <w:rPr>
      <w:rFonts w:hint="default" w:ascii="Arial" w:hAnsi="Arial" w:eastAsia="宋体" w:cs="Arial"/>
      <w:b/>
      <w:color w:val="999999"/>
      <w:sz w:val="21"/>
      <w:szCs w:val="21"/>
    </w:rPr>
  </w:style>
  <w:style w:type="character" w:customStyle="1" w:styleId="117">
    <w:name w:val="标题 3 字符"/>
    <w:link w:val="4"/>
    <w:qFormat/>
    <w:uiPriority w:val="0"/>
    <w:rPr>
      <w:rFonts w:eastAsia="宋体"/>
      <w:b/>
      <w:bCs/>
      <w:kern w:val="2"/>
      <w:sz w:val="32"/>
      <w:szCs w:val="32"/>
      <w:lang w:val="en-US" w:eastAsia="zh-CN" w:bidi="ar-SA"/>
    </w:rPr>
  </w:style>
  <w:style w:type="character" w:customStyle="1" w:styleId="118">
    <w:name w:val="font61"/>
    <w:basedOn w:val="53"/>
    <w:qFormat/>
    <w:uiPriority w:val="0"/>
    <w:rPr>
      <w:rFonts w:ascii="Arial" w:hAnsi="Arial" w:cs="Arial"/>
      <w:color w:val="000000"/>
      <w:sz w:val="20"/>
      <w:szCs w:val="20"/>
      <w:u w:val="none"/>
    </w:rPr>
  </w:style>
  <w:style w:type="character" w:customStyle="1" w:styleId="119">
    <w:name w:val="标题 7 字符"/>
    <w:basedOn w:val="53"/>
    <w:link w:val="8"/>
    <w:qFormat/>
    <w:uiPriority w:val="0"/>
    <w:rPr>
      <w:b/>
      <w:bCs/>
      <w:sz w:val="24"/>
      <w:szCs w:val="24"/>
    </w:rPr>
  </w:style>
  <w:style w:type="character" w:customStyle="1" w:styleId="120">
    <w:name w:val="批注文字 Char Char"/>
    <w:qFormat/>
    <w:uiPriority w:val="0"/>
    <w:rPr>
      <w:kern w:val="2"/>
      <w:sz w:val="21"/>
      <w:szCs w:val="24"/>
      <w:lang w:bidi="ar-SA"/>
    </w:rPr>
  </w:style>
  <w:style w:type="character" w:customStyle="1" w:styleId="121">
    <w:name w:val="bds_nopic1"/>
    <w:basedOn w:val="53"/>
    <w:qFormat/>
    <w:uiPriority w:val="0"/>
    <w:rPr>
      <w:rFonts w:hint="default" w:ascii="Times New Roman" w:hAnsi="Times New Roman" w:eastAsia="宋体" w:cs="Times New Roman"/>
    </w:rPr>
  </w:style>
  <w:style w:type="character" w:customStyle="1" w:styleId="122">
    <w:name w:val="批注文字 字符"/>
    <w:basedOn w:val="53"/>
    <w:link w:val="18"/>
    <w:qFormat/>
    <w:uiPriority w:val="0"/>
    <w:rPr>
      <w:kern w:val="2"/>
      <w:sz w:val="21"/>
      <w:szCs w:val="24"/>
    </w:rPr>
  </w:style>
  <w:style w:type="character" w:customStyle="1" w:styleId="123">
    <w:name w:val="页脚 Char1"/>
    <w:qFormat/>
    <w:locked/>
    <w:uiPriority w:val="0"/>
    <w:rPr>
      <w:kern w:val="2"/>
      <w:sz w:val="18"/>
      <w:szCs w:val="18"/>
    </w:rPr>
  </w:style>
  <w:style w:type="character" w:customStyle="1" w:styleId="124">
    <w:name w:val="bds_more8"/>
    <w:basedOn w:val="53"/>
    <w:qFormat/>
    <w:uiPriority w:val="0"/>
    <w:rPr>
      <w:rFonts w:hint="default" w:ascii="Times New Roman" w:hAnsi="Times New Roman" w:eastAsia="宋体" w:cs="Times New Roman"/>
    </w:rPr>
  </w:style>
  <w:style w:type="character" w:customStyle="1" w:styleId="125">
    <w:name w:val="批注主题 字符"/>
    <w:basedOn w:val="122"/>
    <w:link w:val="49"/>
    <w:qFormat/>
    <w:uiPriority w:val="0"/>
    <w:rPr>
      <w:b/>
      <w:bCs/>
      <w:kern w:val="2"/>
      <w:sz w:val="21"/>
      <w:szCs w:val="24"/>
    </w:rPr>
  </w:style>
  <w:style w:type="character" w:customStyle="1" w:styleId="126">
    <w:name w:val="日期 字符"/>
    <w:basedOn w:val="53"/>
    <w:link w:val="30"/>
    <w:qFormat/>
    <w:uiPriority w:val="0"/>
    <w:rPr>
      <w:kern w:val="2"/>
      <w:sz w:val="24"/>
    </w:rPr>
  </w:style>
  <w:style w:type="character" w:customStyle="1" w:styleId="127">
    <w:name w:val="bds_more9"/>
    <w:basedOn w:val="53"/>
    <w:qFormat/>
    <w:uiPriority w:val="0"/>
    <w:rPr>
      <w:rFonts w:hint="default" w:ascii="Times New Roman" w:hAnsi="Times New Roman" w:eastAsia="宋体" w:cs="Times New Roman"/>
    </w:rPr>
  </w:style>
  <w:style w:type="character" w:customStyle="1" w:styleId="128">
    <w:name w:val="sidecatalog-dot"/>
    <w:basedOn w:val="53"/>
    <w:qFormat/>
    <w:uiPriority w:val="0"/>
    <w:rPr>
      <w:rFonts w:hint="default" w:ascii="Times New Roman" w:hAnsi="Times New Roman" w:eastAsia="宋体" w:cs="Times New Roman"/>
    </w:rPr>
  </w:style>
  <w:style w:type="character" w:customStyle="1" w:styleId="129">
    <w:name w:val="正文文本 字符"/>
    <w:link w:val="21"/>
    <w:qFormat/>
    <w:locked/>
    <w:uiPriority w:val="0"/>
    <w:rPr>
      <w:rFonts w:eastAsia="宋体"/>
      <w:kern w:val="2"/>
      <w:sz w:val="21"/>
      <w:szCs w:val="24"/>
      <w:lang w:val="en-US" w:eastAsia="zh-CN" w:bidi="ar-SA"/>
    </w:rPr>
  </w:style>
  <w:style w:type="character" w:customStyle="1" w:styleId="130">
    <w:name w:val="p0 Char Char"/>
    <w:link w:val="131"/>
    <w:qFormat/>
    <w:uiPriority w:val="0"/>
    <w:rPr>
      <w:rFonts w:eastAsia="宋体"/>
      <w:sz w:val="21"/>
      <w:szCs w:val="21"/>
      <w:lang w:val="en-US" w:eastAsia="zh-CN" w:bidi="ar-SA"/>
    </w:rPr>
  </w:style>
  <w:style w:type="paragraph" w:customStyle="1" w:styleId="131">
    <w:name w:val="p0"/>
    <w:basedOn w:val="1"/>
    <w:link w:val="130"/>
    <w:qFormat/>
    <w:uiPriority w:val="0"/>
    <w:pPr>
      <w:widowControl/>
    </w:pPr>
    <w:rPr>
      <w:kern w:val="0"/>
      <w:szCs w:val="21"/>
    </w:rPr>
  </w:style>
  <w:style w:type="character" w:customStyle="1" w:styleId="132">
    <w:name w:val="正文文本 2 字符"/>
    <w:basedOn w:val="53"/>
    <w:link w:val="44"/>
    <w:qFormat/>
    <w:uiPriority w:val="0"/>
    <w:rPr>
      <w:kern w:val="2"/>
      <w:sz w:val="21"/>
      <w:szCs w:val="24"/>
    </w:rPr>
  </w:style>
  <w:style w:type="character" w:customStyle="1" w:styleId="133">
    <w:name w:val="日期 Char1"/>
    <w:qFormat/>
    <w:locked/>
    <w:uiPriority w:val="0"/>
    <w:rPr>
      <w:kern w:val="2"/>
      <w:sz w:val="24"/>
    </w:rPr>
  </w:style>
  <w:style w:type="character" w:customStyle="1" w:styleId="134">
    <w:name w:val="批注主题 Char1"/>
    <w:qFormat/>
    <w:locked/>
    <w:uiPriority w:val="0"/>
    <w:rPr>
      <w:b/>
      <w:bCs/>
      <w:kern w:val="2"/>
      <w:sz w:val="21"/>
      <w:szCs w:val="24"/>
    </w:rPr>
  </w:style>
  <w:style w:type="character" w:customStyle="1" w:styleId="135">
    <w:name w:val="样式21 Char Char"/>
    <w:basedOn w:val="53"/>
    <w:link w:val="136"/>
    <w:qFormat/>
    <w:uiPriority w:val="0"/>
    <w:rPr>
      <w:rFonts w:ascii="宋体" w:hAnsi="宋体"/>
      <w:color w:val="000000"/>
      <w:kern w:val="2"/>
      <w:sz w:val="21"/>
      <w:szCs w:val="24"/>
      <w:lang w:bidi="ar-SA"/>
    </w:rPr>
  </w:style>
  <w:style w:type="paragraph" w:customStyle="1" w:styleId="136">
    <w:name w:val="样式21"/>
    <w:basedOn w:val="1"/>
    <w:link w:val="135"/>
    <w:qFormat/>
    <w:uiPriority w:val="0"/>
    <w:pPr>
      <w:spacing w:line="400" w:lineRule="exact"/>
      <w:ind w:firstLine="200" w:firstLineChars="200"/>
    </w:pPr>
    <w:rPr>
      <w:rFonts w:ascii="宋体" w:hAnsi="宋体" w:eastAsia="Times New Roman"/>
      <w:color w:val="000000"/>
    </w:rPr>
  </w:style>
  <w:style w:type="character" w:customStyle="1" w:styleId="137">
    <w:name w:val="lemmatitleh12"/>
    <w:basedOn w:val="53"/>
    <w:qFormat/>
    <w:uiPriority w:val="0"/>
    <w:rPr>
      <w:rFonts w:hint="default" w:ascii="Times New Roman" w:hAnsi="Times New Roman" w:eastAsia="宋体" w:cs="Times New Roman"/>
    </w:rPr>
  </w:style>
  <w:style w:type="character" w:customStyle="1" w:styleId="138">
    <w:name w:val="文档结构图 字符"/>
    <w:basedOn w:val="53"/>
    <w:link w:val="16"/>
    <w:qFormat/>
    <w:uiPriority w:val="0"/>
    <w:rPr>
      <w:kern w:val="2"/>
      <w:sz w:val="21"/>
      <w:szCs w:val="24"/>
      <w:shd w:val="clear" w:color="auto" w:fill="000080"/>
    </w:rPr>
  </w:style>
  <w:style w:type="character" w:customStyle="1" w:styleId="139">
    <w:name w:val="标题 1 Char1"/>
    <w:qFormat/>
    <w:locked/>
    <w:uiPriority w:val="0"/>
    <w:rPr>
      <w:b/>
      <w:bCs/>
      <w:kern w:val="2"/>
      <w:sz w:val="24"/>
    </w:rPr>
  </w:style>
  <w:style w:type="character" w:customStyle="1" w:styleId="140">
    <w:name w:val="Char Char13"/>
    <w:basedOn w:val="53"/>
    <w:qFormat/>
    <w:uiPriority w:val="0"/>
    <w:rPr>
      <w:rFonts w:hint="eastAsia" w:ascii="宋体" w:hAnsi="宋体" w:eastAsia="宋体"/>
      <w:kern w:val="2"/>
      <w:sz w:val="21"/>
      <w:szCs w:val="24"/>
      <w:lang w:val="en-US" w:eastAsia="zh-CN" w:bidi="ar-SA"/>
    </w:rPr>
  </w:style>
  <w:style w:type="character" w:customStyle="1" w:styleId="141">
    <w:name w:val="Char Char14"/>
    <w:basedOn w:val="53"/>
    <w:qFormat/>
    <w:uiPriority w:val="0"/>
    <w:rPr>
      <w:rFonts w:hint="default" w:ascii="Arial" w:hAnsi="Arial" w:eastAsia="黑体" w:cs="Arial"/>
      <w:b/>
      <w:bCs/>
      <w:sz w:val="28"/>
      <w:szCs w:val="28"/>
      <w:lang w:val="en-US" w:eastAsia="zh-CN" w:bidi="ar-SA"/>
    </w:rPr>
  </w:style>
  <w:style w:type="character" w:customStyle="1" w:styleId="142">
    <w:name w:val="正文文本缩进 字符"/>
    <w:basedOn w:val="53"/>
    <w:link w:val="22"/>
    <w:qFormat/>
    <w:uiPriority w:val="0"/>
    <w:rPr>
      <w:kern w:val="2"/>
      <w:sz w:val="21"/>
      <w:szCs w:val="24"/>
    </w:rPr>
  </w:style>
  <w:style w:type="character" w:customStyle="1" w:styleId="143">
    <w:name w:val="Char Char16"/>
    <w:basedOn w:val="53"/>
    <w:qFormat/>
    <w:uiPriority w:val="0"/>
    <w:rPr>
      <w:rFonts w:hint="eastAsia" w:ascii="宋体" w:hAnsi="Times New Roman" w:eastAsia="宋体"/>
      <w:b/>
      <w:sz w:val="24"/>
      <w:lang w:val="en-US" w:eastAsia="zh-CN" w:bidi="ar-SA"/>
    </w:rPr>
  </w:style>
  <w:style w:type="character" w:customStyle="1" w:styleId="144">
    <w:name w:val="标题 5 Char1"/>
    <w:semiHidden/>
    <w:qFormat/>
    <w:locked/>
    <w:uiPriority w:val="0"/>
    <w:rPr>
      <w:b/>
      <w:bCs/>
      <w:sz w:val="28"/>
      <w:szCs w:val="28"/>
    </w:rPr>
  </w:style>
  <w:style w:type="character" w:customStyle="1" w:styleId="145">
    <w:name w:val="bds_more6"/>
    <w:basedOn w:val="53"/>
    <w:qFormat/>
    <w:uiPriority w:val="0"/>
    <w:rPr>
      <w:rFonts w:hint="eastAsia" w:ascii="宋体" w:hAnsi="宋体" w:eastAsia="宋体" w:cs="宋体"/>
    </w:rPr>
  </w:style>
  <w:style w:type="character" w:customStyle="1" w:styleId="146">
    <w:name w:val="bds_nopic"/>
    <w:basedOn w:val="53"/>
    <w:qFormat/>
    <w:uiPriority w:val="0"/>
    <w:rPr>
      <w:rFonts w:hint="default" w:ascii="Times New Roman" w:hAnsi="Times New Roman" w:eastAsia="宋体" w:cs="Times New Roman"/>
    </w:rPr>
  </w:style>
  <w:style w:type="character" w:customStyle="1" w:styleId="147">
    <w:name w:val="标题 4 Char1"/>
    <w:semiHidden/>
    <w:qFormat/>
    <w:locked/>
    <w:uiPriority w:val="0"/>
    <w:rPr>
      <w:rFonts w:ascii="Arial" w:hAnsi="Arial" w:eastAsia="黑体"/>
      <w:b/>
      <w:bCs/>
      <w:kern w:val="2"/>
      <w:sz w:val="28"/>
      <w:szCs w:val="28"/>
    </w:rPr>
  </w:style>
  <w:style w:type="character" w:customStyle="1" w:styleId="148">
    <w:name w:val="标题 6 字符"/>
    <w:basedOn w:val="53"/>
    <w:link w:val="7"/>
    <w:qFormat/>
    <w:uiPriority w:val="0"/>
    <w:rPr>
      <w:rFonts w:ascii="Arial" w:hAnsi="Arial" w:eastAsia="黑体"/>
      <w:b/>
      <w:bCs/>
      <w:sz w:val="24"/>
      <w:szCs w:val="24"/>
    </w:rPr>
  </w:style>
  <w:style w:type="character" w:customStyle="1" w:styleId="149">
    <w:name w:val="Char Char15"/>
    <w:qFormat/>
    <w:uiPriority w:val="0"/>
    <w:rPr>
      <w:b/>
      <w:bCs/>
      <w:sz w:val="24"/>
      <w:szCs w:val="24"/>
    </w:rPr>
  </w:style>
  <w:style w:type="character" w:customStyle="1" w:styleId="150">
    <w:name w:val="样式2 Char Char"/>
    <w:qFormat/>
    <w:uiPriority w:val="0"/>
    <w:rPr>
      <w:rFonts w:hint="eastAsia" w:ascii="宋体" w:hAnsi="宋体" w:eastAsia="宋体"/>
      <w:kern w:val="2"/>
      <w:sz w:val="18"/>
      <w:szCs w:val="18"/>
      <w:lang w:val="en-US" w:eastAsia="zh-CN" w:bidi="ar-SA"/>
    </w:rPr>
  </w:style>
  <w:style w:type="character" w:customStyle="1" w:styleId="151">
    <w:name w:val="标题 8 字符"/>
    <w:basedOn w:val="53"/>
    <w:link w:val="9"/>
    <w:qFormat/>
    <w:uiPriority w:val="0"/>
    <w:rPr>
      <w:rFonts w:ascii="Arial" w:hAnsi="Arial" w:eastAsia="黑体"/>
      <w:sz w:val="24"/>
      <w:szCs w:val="24"/>
    </w:rPr>
  </w:style>
  <w:style w:type="character" w:customStyle="1" w:styleId="152">
    <w:name w:val="标题 9 Char1"/>
    <w:semiHidden/>
    <w:qFormat/>
    <w:locked/>
    <w:uiPriority w:val="0"/>
    <w:rPr>
      <w:rFonts w:ascii="Arial" w:hAnsi="Arial" w:eastAsia="黑体"/>
      <w:sz w:val="21"/>
      <w:szCs w:val="21"/>
    </w:rPr>
  </w:style>
  <w:style w:type="character" w:customStyle="1" w:styleId="153">
    <w:name w:val="正文文本缩进 3 Char1"/>
    <w:qFormat/>
    <w:locked/>
    <w:uiPriority w:val="0"/>
    <w:rPr>
      <w:kern w:val="2"/>
      <w:sz w:val="16"/>
      <w:szCs w:val="16"/>
    </w:rPr>
  </w:style>
  <w:style w:type="character" w:customStyle="1" w:styleId="154">
    <w:name w:val="批注框文本 字符"/>
    <w:basedOn w:val="53"/>
    <w:link w:val="32"/>
    <w:qFormat/>
    <w:uiPriority w:val="0"/>
    <w:rPr>
      <w:kern w:val="2"/>
      <w:sz w:val="18"/>
      <w:szCs w:val="18"/>
    </w:rPr>
  </w:style>
  <w:style w:type="character" w:customStyle="1" w:styleId="155">
    <w:name w:val="desc"/>
    <w:basedOn w:val="53"/>
    <w:qFormat/>
    <w:uiPriority w:val="0"/>
    <w:rPr>
      <w:rFonts w:hint="default" w:ascii="Times New Roman" w:hAnsi="Times New Roman" w:eastAsia="宋体" w:cs="Times New Roman"/>
      <w:color w:val="000000"/>
      <w:sz w:val="18"/>
      <w:szCs w:val="18"/>
    </w:rPr>
  </w:style>
  <w:style w:type="character" w:customStyle="1" w:styleId="156">
    <w:name w:val="副标题 字符"/>
    <w:basedOn w:val="53"/>
    <w:link w:val="38"/>
    <w:qFormat/>
    <w:uiPriority w:val="0"/>
    <w:rPr>
      <w:rFonts w:ascii="Cambria" w:hAnsi="Cambria" w:cs="黑体"/>
      <w:b/>
      <w:bCs/>
      <w:kern w:val="28"/>
      <w:sz w:val="28"/>
      <w:szCs w:val="28"/>
    </w:rPr>
  </w:style>
  <w:style w:type="character" w:customStyle="1" w:styleId="157">
    <w:name w:val="Font Style127"/>
    <w:basedOn w:val="53"/>
    <w:qFormat/>
    <w:uiPriority w:val="0"/>
    <w:rPr>
      <w:rFonts w:hint="default" w:ascii="Times New Roman" w:hAnsi="Times New Roman" w:eastAsia="Times New Roman" w:cs="Times New Roman"/>
      <w:sz w:val="20"/>
    </w:rPr>
  </w:style>
  <w:style w:type="character" w:customStyle="1" w:styleId="158">
    <w:name w:val="bds_more7"/>
    <w:basedOn w:val="53"/>
    <w:qFormat/>
    <w:uiPriority w:val="0"/>
    <w:rPr>
      <w:rFonts w:hint="default" w:ascii="Times New Roman" w:hAnsi="Times New Roman" w:eastAsia="宋体" w:cs="Times New Roman"/>
    </w:rPr>
  </w:style>
  <w:style w:type="character" w:customStyle="1" w:styleId="159">
    <w:name w:val="HTML 预设格式 字符"/>
    <w:basedOn w:val="53"/>
    <w:link w:val="45"/>
    <w:qFormat/>
    <w:uiPriority w:val="0"/>
    <w:rPr>
      <w:rFonts w:ascii="Arial" w:hAnsi="Arial" w:cs="Arial"/>
      <w:sz w:val="24"/>
      <w:szCs w:val="24"/>
    </w:rPr>
  </w:style>
  <w:style w:type="character" w:customStyle="1" w:styleId="160">
    <w:name w:val="页脚 字符"/>
    <w:link w:val="33"/>
    <w:qFormat/>
    <w:uiPriority w:val="0"/>
    <w:rPr>
      <w:rFonts w:eastAsia="宋体"/>
      <w:kern w:val="2"/>
      <w:sz w:val="18"/>
      <w:szCs w:val="18"/>
      <w:lang w:val="en-US" w:eastAsia="zh-CN" w:bidi="ar-SA"/>
    </w:rPr>
  </w:style>
  <w:style w:type="character" w:customStyle="1" w:styleId="161">
    <w:name w:val="标题 4 Char Char"/>
    <w:qFormat/>
    <w:uiPriority w:val="0"/>
    <w:rPr>
      <w:rFonts w:hint="default" w:ascii="Arial" w:hAnsi="Arial" w:eastAsia="宋体" w:cs="Arial"/>
      <w:b/>
      <w:bCs/>
      <w:kern w:val="2"/>
      <w:sz w:val="21"/>
      <w:szCs w:val="28"/>
      <w:lang w:val="en-US" w:eastAsia="zh-CN" w:bidi="ar-SA"/>
    </w:rPr>
  </w:style>
  <w:style w:type="character" w:customStyle="1" w:styleId="162">
    <w:name w:val="标题 1 字符"/>
    <w:link w:val="2"/>
    <w:qFormat/>
    <w:uiPriority w:val="0"/>
    <w:rPr>
      <w:rFonts w:eastAsia="宋体"/>
      <w:b/>
      <w:bCs/>
      <w:kern w:val="2"/>
      <w:sz w:val="24"/>
      <w:lang w:val="en-US" w:eastAsia="zh-CN" w:bidi="ar-SA"/>
    </w:rPr>
  </w:style>
  <w:style w:type="character" w:customStyle="1" w:styleId="163">
    <w:name w:val="标题 2 字符"/>
    <w:basedOn w:val="53"/>
    <w:link w:val="3"/>
    <w:qFormat/>
    <w:uiPriority w:val="0"/>
    <w:rPr>
      <w:rFonts w:ascii="Arial" w:hAnsi="Arial"/>
      <w:b/>
      <w:bCs/>
      <w:kern w:val="2"/>
      <w:sz w:val="24"/>
      <w:szCs w:val="32"/>
    </w:rPr>
  </w:style>
  <w:style w:type="character" w:customStyle="1" w:styleId="164">
    <w:name w:val="bds_nopic2"/>
    <w:basedOn w:val="53"/>
    <w:qFormat/>
    <w:uiPriority w:val="0"/>
    <w:rPr>
      <w:rFonts w:hint="default" w:ascii="Times New Roman" w:hAnsi="Times New Roman" w:eastAsia="宋体" w:cs="Times New Roman"/>
    </w:rPr>
  </w:style>
  <w:style w:type="character" w:customStyle="1" w:styleId="165">
    <w:name w:val="标题 2 Char1"/>
    <w:semiHidden/>
    <w:qFormat/>
    <w:locked/>
    <w:uiPriority w:val="0"/>
    <w:rPr>
      <w:rFonts w:ascii="Arial" w:hAnsi="Arial"/>
      <w:b/>
      <w:bCs/>
      <w:kern w:val="2"/>
      <w:sz w:val="24"/>
      <w:szCs w:val="32"/>
    </w:rPr>
  </w:style>
  <w:style w:type="character" w:customStyle="1" w:styleId="166">
    <w:name w:val="标题 字符"/>
    <w:link w:val="48"/>
    <w:qFormat/>
    <w:uiPriority w:val="0"/>
    <w:rPr>
      <w:rFonts w:ascii="Cambria" w:hAnsi="Cambria" w:eastAsia="宋体"/>
      <w:b/>
      <w:bCs/>
      <w:kern w:val="2"/>
      <w:sz w:val="32"/>
      <w:szCs w:val="32"/>
      <w:lang w:val="en-US" w:eastAsia="zh-CN" w:bidi="ar-SA"/>
    </w:rPr>
  </w:style>
  <w:style w:type="character" w:customStyle="1" w:styleId="167">
    <w:name w:val="Font Style126"/>
    <w:basedOn w:val="53"/>
    <w:qFormat/>
    <w:uiPriority w:val="0"/>
    <w:rPr>
      <w:rFonts w:hint="eastAsia" w:ascii="宋体" w:hAnsi="宋体" w:eastAsia="宋体"/>
      <w:b/>
      <w:spacing w:val="-30"/>
      <w:sz w:val="28"/>
    </w:rPr>
  </w:style>
  <w:style w:type="character" w:customStyle="1" w:styleId="168">
    <w:name w:val="Font Style121"/>
    <w:basedOn w:val="53"/>
    <w:qFormat/>
    <w:uiPriority w:val="0"/>
    <w:rPr>
      <w:rFonts w:hint="eastAsia" w:ascii="宋体" w:hAnsi="宋体" w:eastAsia="宋体"/>
      <w:spacing w:val="-10"/>
      <w:sz w:val="30"/>
    </w:rPr>
  </w:style>
  <w:style w:type="character" w:customStyle="1" w:styleId="169">
    <w:name w:val="bds_more10"/>
    <w:basedOn w:val="53"/>
    <w:qFormat/>
    <w:uiPriority w:val="0"/>
    <w:rPr>
      <w:rFonts w:hint="default" w:ascii="Times New Roman" w:hAnsi="Times New Roman" w:eastAsia="宋体" w:cs="Times New Roman"/>
    </w:rPr>
  </w:style>
  <w:style w:type="character" w:customStyle="1" w:styleId="170">
    <w:name w:val="Char Char6"/>
    <w:qFormat/>
    <w:uiPriority w:val="0"/>
    <w:rPr>
      <w:rFonts w:hint="default" w:ascii="Arial" w:hAnsi="Arial" w:eastAsia="黑体" w:cs="Arial"/>
      <w:sz w:val="24"/>
      <w:szCs w:val="24"/>
      <w:lang w:val="en-US" w:eastAsia="zh-CN" w:bidi="ar-SA"/>
    </w:rPr>
  </w:style>
  <w:style w:type="character" w:customStyle="1" w:styleId="171">
    <w:name w:val="Char Char Char Char Char"/>
    <w:qFormat/>
    <w:uiPriority w:val="0"/>
    <w:rPr>
      <w:rFonts w:eastAsia="宋体"/>
      <w:kern w:val="2"/>
      <w:sz w:val="16"/>
      <w:szCs w:val="16"/>
      <w:lang w:val="en-US" w:eastAsia="zh-CN" w:bidi="ar-SA"/>
    </w:rPr>
  </w:style>
  <w:style w:type="character" w:customStyle="1" w:styleId="172">
    <w:name w:val="页眉 字符"/>
    <w:link w:val="35"/>
    <w:qFormat/>
    <w:uiPriority w:val="0"/>
    <w:rPr>
      <w:rFonts w:eastAsia="宋体"/>
      <w:kern w:val="2"/>
      <w:sz w:val="18"/>
      <w:szCs w:val="18"/>
      <w:lang w:val="en-US" w:eastAsia="zh-CN" w:bidi="ar-SA"/>
    </w:rPr>
  </w:style>
  <w:style w:type="character" w:customStyle="1" w:styleId="173">
    <w:name w:val="Font Style125"/>
    <w:basedOn w:val="53"/>
    <w:qFormat/>
    <w:uiPriority w:val="0"/>
    <w:rPr>
      <w:rFonts w:hint="eastAsia" w:ascii="宋体" w:hAnsi="宋体" w:eastAsia="宋体"/>
      <w:b/>
      <w:sz w:val="26"/>
    </w:rPr>
  </w:style>
  <w:style w:type="character" w:customStyle="1" w:styleId="174">
    <w:name w:val="Font Style131"/>
    <w:basedOn w:val="53"/>
    <w:qFormat/>
    <w:uiPriority w:val="0"/>
    <w:rPr>
      <w:rFonts w:hint="default" w:ascii="Times New Roman" w:hAnsi="Times New Roman" w:eastAsia="Times New Roman" w:cs="Times New Roman"/>
      <w:sz w:val="18"/>
    </w:rPr>
  </w:style>
  <w:style w:type="character" w:customStyle="1" w:styleId="175">
    <w:name w:val="Font Style119"/>
    <w:basedOn w:val="53"/>
    <w:qFormat/>
    <w:uiPriority w:val="0"/>
    <w:rPr>
      <w:rFonts w:hint="eastAsia" w:ascii="宋体" w:hAnsi="宋体" w:eastAsia="宋体"/>
      <w:sz w:val="24"/>
    </w:rPr>
  </w:style>
  <w:style w:type="character" w:customStyle="1" w:styleId="176">
    <w:name w:val="标题 5 字符"/>
    <w:basedOn w:val="53"/>
    <w:link w:val="6"/>
    <w:qFormat/>
    <w:uiPriority w:val="0"/>
    <w:rPr>
      <w:b/>
      <w:bCs/>
      <w:sz w:val="28"/>
      <w:szCs w:val="28"/>
    </w:rPr>
  </w:style>
  <w:style w:type="character" w:customStyle="1" w:styleId="177">
    <w:name w:val="批注框文本 Char1"/>
    <w:qFormat/>
    <w:locked/>
    <w:uiPriority w:val="0"/>
    <w:rPr>
      <w:rFonts w:hint="default" w:ascii="Calibri" w:hAnsi="Calibri"/>
      <w:kern w:val="2"/>
      <w:sz w:val="18"/>
      <w:szCs w:val="18"/>
    </w:rPr>
  </w:style>
  <w:style w:type="character" w:customStyle="1" w:styleId="178">
    <w:name w:val="font91"/>
    <w:basedOn w:val="53"/>
    <w:qFormat/>
    <w:uiPriority w:val="0"/>
    <w:rPr>
      <w:rFonts w:ascii="Arial" w:hAnsi="Arial" w:cs="Arial"/>
      <w:color w:val="000000"/>
      <w:sz w:val="20"/>
      <w:szCs w:val="20"/>
      <w:u w:val="none"/>
    </w:rPr>
  </w:style>
  <w:style w:type="character" w:customStyle="1" w:styleId="179">
    <w:name w:val="Char Char Char Char Char Char"/>
    <w:qFormat/>
    <w:uiPriority w:val="0"/>
    <w:rPr>
      <w:rFonts w:hint="default" w:eastAsia="宋体"/>
      <w:kern w:val="2"/>
      <w:sz w:val="16"/>
      <w:lang w:val="en-US" w:eastAsia="zh-CN"/>
    </w:rPr>
  </w:style>
  <w:style w:type="character" w:customStyle="1" w:styleId="180">
    <w:name w:val="正文文本缩进 2 字符"/>
    <w:basedOn w:val="53"/>
    <w:link w:val="31"/>
    <w:qFormat/>
    <w:uiPriority w:val="0"/>
    <w:rPr>
      <w:kern w:val="2"/>
      <w:sz w:val="21"/>
      <w:szCs w:val="24"/>
    </w:rPr>
  </w:style>
  <w:style w:type="character" w:customStyle="1" w:styleId="181">
    <w:name w:val="Font Style117"/>
    <w:basedOn w:val="53"/>
    <w:qFormat/>
    <w:uiPriority w:val="0"/>
    <w:rPr>
      <w:rFonts w:hint="eastAsia" w:ascii="宋体" w:hAnsi="宋体" w:eastAsia="宋体"/>
      <w:spacing w:val="20"/>
      <w:sz w:val="24"/>
    </w:rPr>
  </w:style>
  <w:style w:type="paragraph" w:customStyle="1" w:styleId="182">
    <w:name w:val="Char1 Char Char Char"/>
    <w:basedOn w:val="1"/>
    <w:qFormat/>
    <w:uiPriority w:val="0"/>
    <w:pPr>
      <w:widowControl/>
      <w:spacing w:after="160" w:line="240" w:lineRule="exact"/>
      <w:jc w:val="left"/>
    </w:pPr>
    <w:rPr>
      <w:kern w:val="0"/>
      <w:sz w:val="24"/>
      <w:szCs w:val="20"/>
    </w:rPr>
  </w:style>
  <w:style w:type="paragraph" w:customStyle="1" w:styleId="183">
    <w:name w:val="Style60"/>
    <w:basedOn w:val="1"/>
    <w:qFormat/>
    <w:uiPriority w:val="0"/>
    <w:pPr>
      <w:spacing w:line="566" w:lineRule="exact"/>
    </w:pPr>
  </w:style>
  <w:style w:type="paragraph" w:customStyle="1" w:styleId="184">
    <w:name w:val="MM Topic 1"/>
    <w:basedOn w:val="2"/>
    <w:qFormat/>
    <w:uiPriority w:val="0"/>
    <w:pPr>
      <w:keepLines/>
      <w:tabs>
        <w:tab w:val="left" w:pos="1320"/>
      </w:tabs>
      <w:spacing w:before="340" w:after="330" w:line="578" w:lineRule="auto"/>
      <w:ind w:left="1320" w:hanging="720"/>
      <w:jc w:val="both"/>
    </w:pPr>
    <w:rPr>
      <w:kern w:val="44"/>
      <w:sz w:val="44"/>
      <w:szCs w:val="44"/>
    </w:rPr>
  </w:style>
  <w:style w:type="paragraph" w:customStyle="1" w:styleId="185">
    <w:name w:val="Style47"/>
    <w:basedOn w:val="1"/>
    <w:qFormat/>
    <w:uiPriority w:val="0"/>
  </w:style>
  <w:style w:type="paragraph" w:customStyle="1" w:styleId="186">
    <w:name w:val="Style64"/>
    <w:basedOn w:val="1"/>
    <w:qFormat/>
    <w:uiPriority w:val="0"/>
  </w:style>
  <w:style w:type="paragraph" w:customStyle="1" w:styleId="187">
    <w:name w:val="Style72"/>
    <w:basedOn w:val="1"/>
    <w:qFormat/>
    <w:uiPriority w:val="0"/>
  </w:style>
  <w:style w:type="paragraph" w:customStyle="1" w:styleId="188">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89">
    <w:name w:val="Style45"/>
    <w:basedOn w:val="1"/>
    <w:qFormat/>
    <w:uiPriority w:val="0"/>
  </w:style>
  <w:style w:type="paragraph" w:customStyle="1" w:styleId="190">
    <w:name w:val="p16"/>
    <w:basedOn w:val="1"/>
    <w:qFormat/>
    <w:uiPriority w:val="0"/>
    <w:pPr>
      <w:widowControl/>
      <w:jc w:val="left"/>
    </w:pPr>
    <w:rPr>
      <w:kern w:val="0"/>
      <w:szCs w:val="21"/>
    </w:rPr>
  </w:style>
  <w:style w:type="paragraph" w:customStyle="1" w:styleId="191">
    <w:name w:val="附录标识"/>
    <w:basedOn w:val="192"/>
    <w:qFormat/>
    <w:uiPriority w:val="0"/>
    <w:pPr>
      <w:tabs>
        <w:tab w:val="left" w:pos="360"/>
        <w:tab w:val="left" w:pos="720"/>
        <w:tab w:val="left" w:pos="6405"/>
      </w:tabs>
      <w:spacing w:after="200"/>
    </w:pPr>
    <w:rPr>
      <w:sz w:val="21"/>
    </w:rPr>
  </w:style>
  <w:style w:type="paragraph" w:customStyle="1" w:styleId="192">
    <w:name w:val="前言、引言标题"/>
    <w:next w:val="1"/>
    <w:qFormat/>
    <w:uiPriority w:val="0"/>
    <w:pPr>
      <w:shd w:val="clear" w:color="auto" w:fill="FFFFFF"/>
      <w:tabs>
        <w:tab w:val="left" w:pos="360"/>
        <w:tab w:val="left" w:pos="720"/>
      </w:tabs>
      <w:spacing w:before="640" w:after="560"/>
      <w:ind w:left="720" w:hanging="720"/>
      <w:jc w:val="center"/>
      <w:outlineLvl w:val="0"/>
    </w:pPr>
    <w:rPr>
      <w:rFonts w:ascii="黑体" w:hAnsi="Calibri" w:eastAsia="黑体" w:cs="Times New Roman"/>
      <w:sz w:val="32"/>
      <w:lang w:val="en-US" w:eastAsia="zh-CN" w:bidi="ar-SA"/>
    </w:rPr>
  </w:style>
  <w:style w:type="paragraph" w:customStyle="1" w:styleId="193">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194">
    <w:name w:val="Char1 Char Char Char 字元 Char Char 字元 Char 字元 Char1 Char Char Char"/>
    <w:basedOn w:val="1"/>
    <w:qFormat/>
    <w:uiPriority w:val="0"/>
    <w:rPr>
      <w:szCs w:val="20"/>
    </w:rPr>
  </w:style>
  <w:style w:type="paragraph" w:customStyle="1" w:styleId="195">
    <w:name w:val="Style21"/>
    <w:basedOn w:val="1"/>
    <w:qFormat/>
    <w:uiPriority w:val="0"/>
    <w:pPr>
      <w:spacing w:line="566" w:lineRule="exact"/>
      <w:ind w:firstLine="682"/>
    </w:pPr>
  </w:style>
  <w:style w:type="paragraph" w:customStyle="1" w:styleId="196">
    <w:name w:val="Char"/>
    <w:basedOn w:val="1"/>
    <w:qFormat/>
    <w:uiPriority w:val="0"/>
    <w:pPr>
      <w:tabs>
        <w:tab w:val="left" w:pos="360"/>
      </w:tabs>
      <w:ind w:left="360" w:hanging="360" w:hangingChars="200"/>
    </w:pPr>
    <w:rPr>
      <w:sz w:val="24"/>
    </w:rPr>
  </w:style>
  <w:style w:type="paragraph" w:customStyle="1" w:styleId="197">
    <w:name w:val="表格内容"/>
    <w:basedOn w:val="21"/>
    <w:qFormat/>
    <w:uiPriority w:val="0"/>
    <w:pPr>
      <w:suppressLineNumbers/>
      <w:suppressAutoHyphens/>
      <w:jc w:val="left"/>
    </w:pPr>
    <w:rPr>
      <w:rFonts w:cs="Tahoma"/>
      <w:kern w:val="0"/>
      <w:sz w:val="24"/>
    </w:rPr>
  </w:style>
  <w:style w:type="paragraph" w:customStyle="1" w:styleId="198">
    <w:name w:val="Style77"/>
    <w:basedOn w:val="1"/>
    <w:qFormat/>
    <w:uiPriority w:val="0"/>
  </w:style>
  <w:style w:type="paragraph" w:customStyle="1" w:styleId="199">
    <w:name w:val="Char Char1 Char Char Char Char Char1 Char Char Char Char"/>
    <w:basedOn w:val="16"/>
    <w:qFormat/>
    <w:uiPriority w:val="0"/>
    <w:rPr>
      <w:rFonts w:ascii="Tahoma" w:hAnsi="Tahoma"/>
    </w:rPr>
  </w:style>
  <w:style w:type="paragraph" w:customStyle="1" w:styleId="200">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201">
    <w:name w:val="正文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202">
    <w:name w:val="Style26"/>
    <w:basedOn w:val="1"/>
    <w:qFormat/>
    <w:uiPriority w:val="0"/>
  </w:style>
  <w:style w:type="paragraph" w:customStyle="1" w:styleId="203">
    <w:name w:val="Style63"/>
    <w:basedOn w:val="1"/>
    <w:qFormat/>
    <w:uiPriority w:val="0"/>
    <w:pPr>
      <w:spacing w:line="564" w:lineRule="exact"/>
      <w:ind w:firstLine="682"/>
    </w:pPr>
  </w:style>
  <w:style w:type="paragraph" w:customStyle="1" w:styleId="204">
    <w:name w:val="表正文"/>
    <w:qFormat/>
    <w:uiPriority w:val="0"/>
    <w:pPr>
      <w:widowControl w:val="0"/>
      <w:ind w:left="840" w:leftChars="350"/>
      <w:jc w:val="both"/>
      <w:outlineLvl w:val="0"/>
    </w:pPr>
    <w:rPr>
      <w:rFonts w:ascii="宋体" w:hAnsi="Calibri" w:eastAsia="宋体" w:cs="Times New Roman"/>
      <w:b/>
      <w:sz w:val="24"/>
      <w:lang w:val="en-US" w:eastAsia="zh-CN" w:bidi="ar-SA"/>
    </w:rPr>
  </w:style>
  <w:style w:type="paragraph" w:customStyle="1" w:styleId="205">
    <w:name w:val="Style52"/>
    <w:basedOn w:val="1"/>
    <w:qFormat/>
    <w:uiPriority w:val="0"/>
    <w:pPr>
      <w:spacing w:line="682" w:lineRule="exact"/>
      <w:ind w:firstLine="557"/>
    </w:pPr>
  </w:style>
  <w:style w:type="paragraph" w:customStyle="1" w:styleId="206">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07">
    <w:name w:val="Style13"/>
    <w:basedOn w:val="1"/>
    <w:qFormat/>
    <w:uiPriority w:val="0"/>
  </w:style>
  <w:style w:type="paragraph" w:customStyle="1" w:styleId="208">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09">
    <w:name w:val="Style27"/>
    <w:basedOn w:val="1"/>
    <w:qFormat/>
    <w:uiPriority w:val="0"/>
  </w:style>
  <w:style w:type="paragraph" w:customStyle="1" w:styleId="210">
    <w:name w:val="Style42"/>
    <w:basedOn w:val="1"/>
    <w:qFormat/>
    <w:uiPriority w:val="0"/>
    <w:pPr>
      <w:spacing w:line="542" w:lineRule="exact"/>
      <w:ind w:firstLine="547"/>
    </w:pPr>
  </w:style>
  <w:style w:type="paragraph" w:customStyle="1" w:styleId="211">
    <w:name w:val="NO3"/>
    <w:basedOn w:val="1"/>
    <w:qFormat/>
    <w:uiPriority w:val="0"/>
    <w:pPr>
      <w:tabs>
        <w:tab w:val="left" w:pos="907"/>
      </w:tabs>
      <w:spacing w:line="360" w:lineRule="auto"/>
    </w:pPr>
    <w:rPr>
      <w:rFonts w:ascii="宋体" w:hAnsi="宋体"/>
      <w:sz w:val="24"/>
    </w:rPr>
  </w:style>
  <w:style w:type="paragraph" w:customStyle="1" w:styleId="212">
    <w:name w:val="Style67"/>
    <w:basedOn w:val="1"/>
    <w:qFormat/>
    <w:uiPriority w:val="0"/>
    <w:pPr>
      <w:spacing w:line="566" w:lineRule="exact"/>
      <w:ind w:firstLine="552"/>
    </w:pPr>
  </w:style>
  <w:style w:type="paragraph" w:customStyle="1" w:styleId="213">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214">
    <w:name w:val="样式1"/>
    <w:basedOn w:val="1"/>
    <w:qFormat/>
    <w:uiPriority w:val="0"/>
    <w:pPr>
      <w:tabs>
        <w:tab w:val="left" w:pos="360"/>
      </w:tabs>
      <w:adjustRightInd w:val="0"/>
      <w:ind w:left="360" w:hanging="360"/>
      <w:textAlignment w:val="baseline"/>
    </w:pPr>
    <w:rPr>
      <w:rFonts w:ascii="宋体" w:hAnsi="宋体"/>
      <w:kern w:val="0"/>
      <w:szCs w:val="21"/>
    </w:rPr>
  </w:style>
  <w:style w:type="paragraph" w:customStyle="1" w:styleId="215">
    <w:name w:val="修订1"/>
    <w:semiHidden/>
    <w:qFormat/>
    <w:uiPriority w:val="0"/>
    <w:rPr>
      <w:rFonts w:ascii="Calibri" w:hAnsi="Calibri" w:eastAsia="宋体" w:cs="Times New Roman"/>
      <w:kern w:val="2"/>
      <w:sz w:val="21"/>
      <w:szCs w:val="24"/>
      <w:lang w:val="en-US" w:eastAsia="zh-CN" w:bidi="ar-SA"/>
    </w:rPr>
  </w:style>
  <w:style w:type="paragraph" w:customStyle="1" w:styleId="216">
    <w:name w:val="Style76"/>
    <w:basedOn w:val="1"/>
    <w:qFormat/>
    <w:uiPriority w:val="0"/>
  </w:style>
  <w:style w:type="paragraph" w:customStyle="1" w:styleId="217">
    <w:name w:val="Style71"/>
    <w:basedOn w:val="1"/>
    <w:qFormat/>
    <w:uiPriority w:val="0"/>
    <w:pPr>
      <w:spacing w:line="538" w:lineRule="exact"/>
      <w:ind w:firstLine="101"/>
    </w:pPr>
  </w:style>
  <w:style w:type="paragraph" w:customStyle="1" w:styleId="218">
    <w:name w:val="列出段落1"/>
    <w:basedOn w:val="1"/>
    <w:qFormat/>
    <w:uiPriority w:val="0"/>
    <w:pPr>
      <w:ind w:firstLine="420" w:firstLineChars="200"/>
    </w:pPr>
    <w:rPr>
      <w:rFonts w:cs="黑体"/>
      <w:szCs w:val="22"/>
    </w:rPr>
  </w:style>
  <w:style w:type="paragraph" w:customStyle="1" w:styleId="219">
    <w:name w:val="Style28"/>
    <w:basedOn w:val="1"/>
    <w:qFormat/>
    <w:uiPriority w:val="0"/>
    <w:pPr>
      <w:spacing w:line="552" w:lineRule="exact"/>
      <w:ind w:firstLine="547"/>
    </w:pPr>
  </w:style>
  <w:style w:type="paragraph" w:customStyle="1" w:styleId="220">
    <w:name w:val="Style8"/>
    <w:basedOn w:val="1"/>
    <w:qFormat/>
    <w:uiPriority w:val="0"/>
    <w:pPr>
      <w:spacing w:line="566" w:lineRule="exact"/>
      <w:jc w:val="center"/>
    </w:pPr>
  </w:style>
  <w:style w:type="paragraph" w:customStyle="1" w:styleId="221">
    <w:name w:val="列出段落2"/>
    <w:basedOn w:val="1"/>
    <w:qFormat/>
    <w:uiPriority w:val="0"/>
    <w:pPr>
      <w:widowControl/>
      <w:ind w:firstLine="420" w:firstLineChars="200"/>
      <w:jc w:val="left"/>
    </w:pPr>
    <w:rPr>
      <w:rFonts w:ascii="宋体" w:hAnsi="宋体" w:cs="宋体"/>
      <w:kern w:val="0"/>
      <w:sz w:val="24"/>
    </w:rPr>
  </w:style>
  <w:style w:type="paragraph" w:customStyle="1" w:styleId="222">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223">
    <w:name w:val="Style15"/>
    <w:basedOn w:val="1"/>
    <w:qFormat/>
    <w:uiPriority w:val="0"/>
    <w:pPr>
      <w:spacing w:line="557" w:lineRule="exact"/>
      <w:ind w:firstLine="672"/>
    </w:pPr>
  </w:style>
  <w:style w:type="paragraph" w:customStyle="1" w:styleId="224">
    <w:name w:val="Char Char Char1 Char"/>
    <w:basedOn w:val="1"/>
    <w:qFormat/>
    <w:uiPriority w:val="0"/>
    <w:pPr>
      <w:tabs>
        <w:tab w:val="left" w:pos="360"/>
      </w:tabs>
      <w:snapToGrid w:val="0"/>
      <w:spacing w:line="360" w:lineRule="auto"/>
    </w:pPr>
    <w:rPr>
      <w:rFonts w:eastAsia="仿宋_GB2312" w:cs="宋体"/>
      <w:sz w:val="24"/>
    </w:rPr>
  </w:style>
  <w:style w:type="paragraph" w:customStyle="1" w:styleId="225">
    <w:name w:val="Char2"/>
    <w:basedOn w:val="1"/>
    <w:qFormat/>
    <w:uiPriority w:val="0"/>
    <w:rPr>
      <w:rFonts w:ascii="Tahoma" w:hAnsi="Tahoma"/>
      <w:sz w:val="24"/>
      <w:szCs w:val="20"/>
    </w:rPr>
  </w:style>
  <w:style w:type="paragraph" w:customStyle="1" w:styleId="226">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227">
    <w:name w:val="Style4"/>
    <w:basedOn w:val="1"/>
    <w:qFormat/>
    <w:uiPriority w:val="0"/>
  </w:style>
  <w:style w:type="paragraph" w:customStyle="1" w:styleId="228">
    <w:name w:val="List Paragraph1"/>
    <w:basedOn w:val="1"/>
    <w:qFormat/>
    <w:uiPriority w:val="0"/>
    <w:pPr>
      <w:ind w:firstLine="420" w:firstLineChars="200"/>
    </w:pPr>
  </w:style>
  <w:style w:type="paragraph" w:customStyle="1" w:styleId="229">
    <w:name w:val="标题3"/>
    <w:basedOn w:val="2"/>
    <w:qFormat/>
    <w:uiPriority w:val="0"/>
    <w:pPr>
      <w:spacing w:beforeLines="50" w:afterLines="50" w:line="400" w:lineRule="exact"/>
      <w:jc w:val="both"/>
    </w:pPr>
    <w:rPr>
      <w:rFonts w:ascii="宋体" w:hAnsi="宋体"/>
      <w:kern w:val="32"/>
      <w:szCs w:val="32"/>
    </w:rPr>
  </w:style>
  <w:style w:type="paragraph" w:customStyle="1" w:styleId="230">
    <w:name w:val="1"/>
    <w:basedOn w:val="1"/>
    <w:qFormat/>
    <w:uiPriority w:val="0"/>
    <w:pPr>
      <w:spacing w:afterLines="50" w:line="360" w:lineRule="auto"/>
    </w:pPr>
    <w:rPr>
      <w:rFonts w:ascii="宋体" w:hAnsi="宋体"/>
      <w:b/>
      <w:sz w:val="30"/>
      <w:szCs w:val="21"/>
    </w:rPr>
  </w:style>
  <w:style w:type="paragraph" w:customStyle="1" w:styleId="231">
    <w:name w:val="Style61"/>
    <w:basedOn w:val="1"/>
    <w:qFormat/>
    <w:uiPriority w:val="0"/>
  </w:style>
  <w:style w:type="paragraph" w:customStyle="1" w:styleId="232">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33">
    <w:name w:val="Style62"/>
    <w:basedOn w:val="1"/>
    <w:qFormat/>
    <w:uiPriority w:val="0"/>
  </w:style>
  <w:style w:type="paragraph" w:customStyle="1" w:styleId="234">
    <w:name w:val="标题2"/>
    <w:basedOn w:val="48"/>
    <w:qFormat/>
    <w:uiPriority w:val="0"/>
    <w:pPr>
      <w:spacing w:after="240"/>
      <w:jc w:val="left"/>
    </w:pPr>
    <w:rPr>
      <w:bCs w:val="0"/>
      <w:sz w:val="30"/>
      <w:szCs w:val="24"/>
    </w:rPr>
  </w:style>
  <w:style w:type="paragraph" w:customStyle="1" w:styleId="235">
    <w:name w:val="1 Char Char Char Char"/>
    <w:basedOn w:val="1"/>
    <w:qFormat/>
    <w:uiPriority w:val="0"/>
  </w:style>
  <w:style w:type="paragraph" w:customStyle="1" w:styleId="236">
    <w:name w:val="Style41"/>
    <w:basedOn w:val="1"/>
    <w:qFormat/>
    <w:uiPriority w:val="0"/>
    <w:pPr>
      <w:spacing w:line="542" w:lineRule="exact"/>
      <w:ind w:firstLine="125"/>
    </w:pPr>
  </w:style>
  <w:style w:type="paragraph" w:customStyle="1" w:styleId="237">
    <w:name w:val="Style5"/>
    <w:basedOn w:val="1"/>
    <w:qFormat/>
    <w:uiPriority w:val="0"/>
  </w:style>
  <w:style w:type="paragraph" w:customStyle="1" w:styleId="238">
    <w:name w:val="Style59"/>
    <w:basedOn w:val="1"/>
    <w:qFormat/>
    <w:uiPriority w:val="0"/>
  </w:style>
  <w:style w:type="paragraph" w:customStyle="1" w:styleId="239">
    <w:name w:val="Char Char Char"/>
    <w:basedOn w:val="1"/>
    <w:qFormat/>
    <w:uiPriority w:val="0"/>
    <w:rPr>
      <w:rFonts w:ascii="宋体" w:hAnsi="宋体"/>
      <w:b/>
      <w:sz w:val="28"/>
      <w:szCs w:val="28"/>
    </w:rPr>
  </w:style>
  <w:style w:type="paragraph" w:customStyle="1" w:styleId="240">
    <w:name w:val="Style74"/>
    <w:basedOn w:val="1"/>
    <w:qFormat/>
    <w:uiPriority w:val="0"/>
    <w:pPr>
      <w:spacing w:line="437" w:lineRule="exact"/>
    </w:pPr>
  </w:style>
  <w:style w:type="paragraph" w:customStyle="1" w:styleId="241">
    <w:name w:val="Style54"/>
    <w:basedOn w:val="1"/>
    <w:qFormat/>
    <w:uiPriority w:val="0"/>
  </w:style>
  <w:style w:type="paragraph" w:customStyle="1" w:styleId="242">
    <w:name w:val="Style24"/>
    <w:basedOn w:val="1"/>
    <w:qFormat/>
    <w:uiPriority w:val="0"/>
  </w:style>
  <w:style w:type="paragraph" w:customStyle="1" w:styleId="243">
    <w:name w:val="_Style 37"/>
    <w:basedOn w:val="1"/>
    <w:qFormat/>
    <w:uiPriority w:val="0"/>
  </w:style>
  <w:style w:type="paragraph" w:customStyle="1" w:styleId="244">
    <w:name w:val="Style81"/>
    <w:basedOn w:val="1"/>
    <w:qFormat/>
    <w:uiPriority w:val="0"/>
    <w:pPr>
      <w:spacing w:line="547" w:lineRule="exact"/>
    </w:pPr>
  </w:style>
  <w:style w:type="paragraph" w:customStyle="1" w:styleId="245">
    <w:name w:val="Style23"/>
    <w:basedOn w:val="1"/>
    <w:qFormat/>
    <w:uiPriority w:val="0"/>
  </w:style>
  <w:style w:type="paragraph" w:customStyle="1" w:styleId="246">
    <w:name w:val="Style78"/>
    <w:basedOn w:val="1"/>
    <w:qFormat/>
    <w:uiPriority w:val="0"/>
  </w:style>
  <w:style w:type="paragraph" w:customStyle="1" w:styleId="247">
    <w:name w:val="Style46"/>
    <w:basedOn w:val="1"/>
    <w:qFormat/>
    <w:uiPriority w:val="0"/>
    <w:pPr>
      <w:spacing w:line="672" w:lineRule="exact"/>
    </w:pPr>
  </w:style>
  <w:style w:type="paragraph" w:customStyle="1" w:styleId="248">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49">
    <w:name w:val="_Style 39"/>
    <w:basedOn w:val="201"/>
    <w:qFormat/>
    <w:uiPriority w:val="0"/>
  </w:style>
  <w:style w:type="paragraph" w:customStyle="1" w:styleId="250">
    <w:name w:val="Style9"/>
    <w:basedOn w:val="1"/>
    <w:qFormat/>
    <w:uiPriority w:val="0"/>
  </w:style>
  <w:style w:type="paragraph" w:customStyle="1" w:styleId="251">
    <w:name w:val="Char Char1 Char Char Char"/>
    <w:basedOn w:val="1"/>
    <w:qFormat/>
    <w:uiPriority w:val="0"/>
    <w:rPr>
      <w:kern w:val="0"/>
      <w:sz w:val="20"/>
      <w:szCs w:val="20"/>
    </w:rPr>
  </w:style>
  <w:style w:type="paragraph" w:customStyle="1" w:styleId="252">
    <w:name w:val="文档正文"/>
    <w:basedOn w:val="1"/>
    <w:qFormat/>
    <w:uiPriority w:val="0"/>
    <w:pPr>
      <w:suppressAutoHyphens/>
      <w:spacing w:line="312" w:lineRule="atLeast"/>
      <w:ind w:firstLine="567"/>
      <w:jc w:val="left"/>
    </w:pPr>
    <w:rPr>
      <w:rFonts w:ascii="长城仿宋" w:hAnsi="长城仿宋" w:eastAsia="长城仿宋" w:cs="Tahoma"/>
      <w:b/>
      <w:w w:val="80"/>
      <w:sz w:val="28"/>
      <w:szCs w:val="20"/>
    </w:rPr>
  </w:style>
  <w:style w:type="paragraph" w:customStyle="1" w:styleId="253">
    <w:name w:val="Style70"/>
    <w:basedOn w:val="1"/>
    <w:qFormat/>
    <w:uiPriority w:val="0"/>
    <w:pPr>
      <w:spacing w:line="549" w:lineRule="exact"/>
      <w:ind w:firstLine="686"/>
    </w:pPr>
  </w:style>
  <w:style w:type="paragraph" w:customStyle="1" w:styleId="254">
    <w:name w:val="标题 1 +"/>
    <w:basedOn w:val="2"/>
    <w:next w:val="1"/>
    <w:qFormat/>
    <w:uiPriority w:val="0"/>
    <w:pPr>
      <w:keepLines/>
      <w:spacing w:line="600" w:lineRule="auto"/>
    </w:pPr>
    <w:rPr>
      <w:rFonts w:eastAsia="黑体"/>
      <w:kern w:val="0"/>
      <w:sz w:val="32"/>
      <w:szCs w:val="32"/>
    </w:rPr>
  </w:style>
  <w:style w:type="paragraph" w:customStyle="1" w:styleId="255">
    <w:name w:val="Style16"/>
    <w:basedOn w:val="1"/>
    <w:qFormat/>
    <w:uiPriority w:val="0"/>
    <w:pPr>
      <w:jc w:val="right"/>
    </w:pPr>
  </w:style>
  <w:style w:type="paragraph" w:customStyle="1" w:styleId="256">
    <w:name w:val="Style44"/>
    <w:basedOn w:val="1"/>
    <w:qFormat/>
    <w:uiPriority w:val="0"/>
  </w:style>
  <w:style w:type="paragraph" w:customStyle="1" w:styleId="257">
    <w:name w:val="Style36"/>
    <w:basedOn w:val="1"/>
    <w:qFormat/>
    <w:uiPriority w:val="0"/>
  </w:style>
  <w:style w:type="paragraph" w:customStyle="1" w:styleId="258">
    <w:name w:val="Style69"/>
    <w:basedOn w:val="1"/>
    <w:qFormat/>
    <w:uiPriority w:val="0"/>
    <w:pPr>
      <w:spacing w:line="557" w:lineRule="exact"/>
      <w:ind w:firstLine="1666"/>
    </w:pPr>
  </w:style>
  <w:style w:type="paragraph" w:customStyle="1" w:styleId="259">
    <w:name w:val="Style12"/>
    <w:basedOn w:val="1"/>
    <w:qFormat/>
    <w:uiPriority w:val="0"/>
    <w:pPr>
      <w:spacing w:line="564" w:lineRule="exact"/>
      <w:ind w:hanging="115"/>
    </w:pPr>
  </w:style>
  <w:style w:type="paragraph" w:customStyle="1" w:styleId="26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61">
    <w:name w:val="默认段落字体 Para Char Char Char Char Char Char Char Char Char Char Char Char Char Char Char Char Char Char Char"/>
    <w:basedOn w:val="1"/>
    <w:qFormat/>
    <w:uiPriority w:val="0"/>
  </w:style>
  <w:style w:type="paragraph" w:customStyle="1" w:styleId="262">
    <w:name w:val="Style10"/>
    <w:basedOn w:val="1"/>
    <w:qFormat/>
    <w:uiPriority w:val="0"/>
    <w:pPr>
      <w:spacing w:line="538" w:lineRule="exact"/>
    </w:pPr>
  </w:style>
  <w:style w:type="paragraph" w:customStyle="1" w:styleId="263">
    <w:name w:val="p17"/>
    <w:basedOn w:val="1"/>
    <w:qFormat/>
    <w:uiPriority w:val="0"/>
    <w:pPr>
      <w:widowControl/>
      <w:spacing w:after="120"/>
    </w:pPr>
    <w:rPr>
      <w:kern w:val="0"/>
      <w:szCs w:val="21"/>
    </w:rPr>
  </w:style>
  <w:style w:type="paragraph" w:customStyle="1" w:styleId="264">
    <w:name w:val="Style11"/>
    <w:basedOn w:val="1"/>
    <w:qFormat/>
    <w:uiPriority w:val="0"/>
    <w:pPr>
      <w:spacing w:line="559" w:lineRule="exact"/>
      <w:ind w:firstLine="590"/>
    </w:pPr>
  </w:style>
  <w:style w:type="paragraph" w:customStyle="1" w:styleId="265">
    <w:name w:val="4"/>
    <w:basedOn w:val="1"/>
    <w:qFormat/>
    <w:uiPriority w:val="0"/>
    <w:rPr>
      <w:rFonts w:ascii="Tahoma" w:hAnsi="Tahoma"/>
      <w:sz w:val="24"/>
      <w:szCs w:val="20"/>
    </w:rPr>
  </w:style>
  <w:style w:type="paragraph" w:customStyle="1" w:styleId="266">
    <w:name w:val="Char Char Char Char Char Char Char"/>
    <w:basedOn w:val="1"/>
    <w:qFormat/>
    <w:uiPriority w:val="0"/>
    <w:pPr>
      <w:snapToGrid w:val="0"/>
      <w:spacing w:line="360" w:lineRule="auto"/>
      <w:ind w:firstLine="200" w:firstLineChars="200"/>
    </w:pPr>
    <w:rPr>
      <w:rFonts w:eastAsia="仿宋_GB2312"/>
      <w:sz w:val="24"/>
    </w:rPr>
  </w:style>
  <w:style w:type="paragraph" w:styleId="267">
    <w:name w:val="List Paragraph"/>
    <w:basedOn w:val="1"/>
    <w:qFormat/>
    <w:uiPriority w:val="0"/>
    <w:pPr>
      <w:widowControl/>
      <w:ind w:firstLine="420" w:firstLineChars="200"/>
      <w:jc w:val="left"/>
    </w:pPr>
    <w:rPr>
      <w:rFonts w:ascii="宋体" w:hAnsi="宋体" w:cs="宋体"/>
      <w:kern w:val="0"/>
      <w:sz w:val="24"/>
    </w:rPr>
  </w:style>
  <w:style w:type="paragraph" w:customStyle="1" w:styleId="268">
    <w:name w:val="Style73"/>
    <w:basedOn w:val="1"/>
    <w:qFormat/>
    <w:uiPriority w:val="0"/>
    <w:pPr>
      <w:spacing w:line="538" w:lineRule="exact"/>
      <w:ind w:firstLine="533"/>
    </w:pPr>
  </w:style>
  <w:style w:type="paragraph" w:customStyle="1" w:styleId="269">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70">
    <w:name w:val="p18"/>
    <w:basedOn w:val="1"/>
    <w:qFormat/>
    <w:uiPriority w:val="0"/>
    <w:pPr>
      <w:widowControl/>
      <w:spacing w:before="340" w:after="330" w:line="576" w:lineRule="auto"/>
      <w:ind w:left="1320" w:hanging="720"/>
    </w:pPr>
    <w:rPr>
      <w:b/>
      <w:bCs/>
      <w:kern w:val="0"/>
      <w:sz w:val="44"/>
      <w:szCs w:val="44"/>
    </w:rPr>
  </w:style>
  <w:style w:type="paragraph" w:customStyle="1" w:styleId="271">
    <w:name w:val="Style56"/>
    <w:basedOn w:val="1"/>
    <w:qFormat/>
    <w:uiPriority w:val="0"/>
  </w:style>
  <w:style w:type="paragraph" w:customStyle="1" w:styleId="272">
    <w:name w:val="Style29"/>
    <w:basedOn w:val="1"/>
    <w:qFormat/>
    <w:uiPriority w:val="0"/>
    <w:pPr>
      <w:spacing w:line="547" w:lineRule="exact"/>
      <w:ind w:firstLine="547"/>
    </w:pPr>
  </w:style>
  <w:style w:type="paragraph" w:customStyle="1" w:styleId="273">
    <w:name w:val="Style50"/>
    <w:basedOn w:val="1"/>
    <w:qFormat/>
    <w:uiPriority w:val="0"/>
  </w:style>
  <w:style w:type="paragraph" w:customStyle="1" w:styleId="274">
    <w:name w:val="Char11"/>
    <w:basedOn w:val="1"/>
    <w:qFormat/>
    <w:uiPriority w:val="0"/>
    <w:pPr>
      <w:widowControl/>
      <w:spacing w:after="160" w:line="240" w:lineRule="exact"/>
      <w:jc w:val="left"/>
    </w:pPr>
    <w:rPr>
      <w:sz w:val="16"/>
    </w:rPr>
  </w:style>
  <w:style w:type="paragraph" w:customStyle="1" w:styleId="275">
    <w:name w:val="Style53"/>
    <w:basedOn w:val="1"/>
    <w:qFormat/>
    <w:uiPriority w:val="0"/>
    <w:pPr>
      <w:spacing w:line="533" w:lineRule="exact"/>
      <w:ind w:firstLine="581"/>
    </w:pPr>
  </w:style>
  <w:style w:type="paragraph" w:customStyle="1" w:styleId="276">
    <w:name w:val="Style58"/>
    <w:basedOn w:val="1"/>
    <w:qFormat/>
    <w:uiPriority w:val="0"/>
    <w:pPr>
      <w:spacing w:line="413" w:lineRule="exact"/>
    </w:pPr>
  </w:style>
  <w:style w:type="paragraph" w:customStyle="1" w:styleId="277">
    <w:name w:val="Char Char1 Char Char Char Char Char Char Char"/>
    <w:basedOn w:val="1"/>
    <w:qFormat/>
    <w:uiPriority w:val="0"/>
    <w:pPr>
      <w:widowControl/>
      <w:spacing w:after="160" w:line="240" w:lineRule="exact"/>
      <w:jc w:val="left"/>
    </w:pPr>
  </w:style>
  <w:style w:type="paragraph" w:customStyle="1" w:styleId="278">
    <w:name w:val="Style65"/>
    <w:basedOn w:val="1"/>
    <w:qFormat/>
    <w:uiPriority w:val="0"/>
  </w:style>
  <w:style w:type="paragraph" w:customStyle="1" w:styleId="279">
    <w:name w:val="Style80"/>
    <w:basedOn w:val="1"/>
    <w:qFormat/>
    <w:uiPriority w:val="0"/>
  </w:style>
  <w:style w:type="paragraph" w:customStyle="1" w:styleId="280">
    <w:name w:val="Style48"/>
    <w:basedOn w:val="1"/>
    <w:qFormat/>
    <w:uiPriority w:val="0"/>
    <w:pPr>
      <w:spacing w:line="542" w:lineRule="exact"/>
      <w:jc w:val="right"/>
    </w:pPr>
  </w:style>
  <w:style w:type="paragraph" w:customStyle="1" w:styleId="281">
    <w:name w:val="Char1 Char Char Char Char Char Char Char Char Char"/>
    <w:basedOn w:val="1"/>
    <w:qFormat/>
    <w:uiPriority w:val="0"/>
    <w:rPr>
      <w:szCs w:val="20"/>
    </w:rPr>
  </w:style>
  <w:style w:type="paragraph" w:customStyle="1" w:styleId="282">
    <w:name w:val="Style34"/>
    <w:basedOn w:val="1"/>
    <w:qFormat/>
    <w:uiPriority w:val="0"/>
    <w:pPr>
      <w:spacing w:line="375" w:lineRule="exact"/>
    </w:pPr>
  </w:style>
  <w:style w:type="paragraph" w:customStyle="1" w:styleId="283">
    <w:name w:val="Style68"/>
    <w:basedOn w:val="1"/>
    <w:qFormat/>
    <w:uiPriority w:val="0"/>
    <w:pPr>
      <w:spacing w:line="547" w:lineRule="exact"/>
    </w:pPr>
  </w:style>
  <w:style w:type="character" w:customStyle="1" w:styleId="284">
    <w:name w:val="font41"/>
    <w:basedOn w:val="53"/>
    <w:qFormat/>
    <w:uiPriority w:val="0"/>
    <w:rPr>
      <w:rFonts w:hint="eastAsia" w:ascii="仿宋" w:hAnsi="仿宋" w:eastAsia="仿宋" w:cs="仿宋"/>
      <w:b/>
      <w:color w:val="000000"/>
      <w:sz w:val="20"/>
      <w:szCs w:val="20"/>
      <w:u w:val="single"/>
    </w:rPr>
  </w:style>
  <w:style w:type="paragraph" w:customStyle="1" w:styleId="285">
    <w:name w:val="样式 首行缩进:  0 字符"/>
    <w:basedOn w:val="1"/>
    <w:qFormat/>
    <w:uiPriority w:val="0"/>
    <w:pPr>
      <w:spacing w:line="360" w:lineRule="auto"/>
      <w:ind w:firstLine="200" w:firstLineChars="200"/>
    </w:pPr>
    <w:rPr>
      <w:rFonts w:ascii="Times New Roman" w:hAnsi="Times New Roman" w:cs="宋体"/>
      <w:sz w:val="24"/>
      <w:szCs w:val="20"/>
    </w:rPr>
  </w:style>
  <w:style w:type="paragraph" w:customStyle="1" w:styleId="286">
    <w:name w:val="正文缩进2字符"/>
    <w:qFormat/>
    <w:uiPriority w:val="0"/>
    <w:pPr>
      <w:widowControl w:val="0"/>
      <w:tabs>
        <w:tab w:val="left" w:pos="0"/>
      </w:tabs>
      <w:spacing w:line="360" w:lineRule="auto"/>
      <w:ind w:firstLine="540"/>
      <w:jc w:val="both"/>
    </w:pPr>
    <w:rPr>
      <w:rFonts w:ascii="Times New Roman" w:hAnsi="Times New Roman" w:eastAsia="宋体" w:cs="Times New Roman"/>
      <w:bCs/>
      <w:kern w:val="2"/>
      <w:sz w:val="28"/>
      <w:szCs w:val="28"/>
      <w:lang w:val="en-US" w:eastAsia="zh-CN" w:bidi="ar-SA"/>
    </w:rPr>
  </w:style>
  <w:style w:type="paragraph" w:customStyle="1" w:styleId="287">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88">
    <w:name w:val="font71"/>
    <w:basedOn w:val="53"/>
    <w:qFormat/>
    <w:uiPriority w:val="0"/>
    <w:rPr>
      <w:rFonts w:hint="eastAsia" w:ascii="宋体" w:hAnsi="宋体" w:eastAsia="宋体" w:cs="宋体"/>
      <w:color w:val="000000"/>
      <w:sz w:val="20"/>
      <w:szCs w:val="20"/>
      <w:u w:val="none"/>
    </w:rPr>
  </w:style>
  <w:style w:type="character" w:customStyle="1" w:styleId="289">
    <w:name w:val="font101"/>
    <w:basedOn w:val="53"/>
    <w:qFormat/>
    <w:uiPriority w:val="0"/>
    <w:rPr>
      <w:rFonts w:hint="eastAsia" w:ascii="宋体" w:hAnsi="宋体" w:eastAsia="宋体" w:cs="宋体"/>
      <w:color w:val="000000"/>
      <w:sz w:val="20"/>
      <w:szCs w:val="20"/>
      <w:u w:val="none"/>
    </w:rPr>
  </w:style>
  <w:style w:type="table" w:customStyle="1" w:styleId="290">
    <w:name w:val="Table Normal"/>
    <w:semiHidden/>
    <w:unhideWhenUsed/>
    <w:qFormat/>
    <w:uiPriority w:val="0"/>
    <w:tblPr>
      <w:tblCellMar>
        <w:top w:w="0" w:type="dxa"/>
        <w:left w:w="0" w:type="dxa"/>
        <w:bottom w:w="0" w:type="dxa"/>
        <w:right w:w="0" w:type="dxa"/>
      </w:tblCellMar>
    </w:tblPr>
  </w:style>
  <w:style w:type="paragraph" w:customStyle="1" w:styleId="291">
    <w:name w:val="Table Text"/>
    <w:basedOn w:val="1"/>
    <w:semiHidden/>
    <w:qFormat/>
    <w:uiPriority w:val="0"/>
    <w:rPr>
      <w:rFonts w:ascii="Arial" w:hAnsi="Arial" w:eastAsia="Arial" w:cs="Arial"/>
      <w:szCs w:val="21"/>
      <w:lang w:eastAsia="en-US"/>
    </w:rPr>
  </w:style>
  <w:style w:type="paragraph" w:customStyle="1" w:styleId="292">
    <w:name w:val="正文_0"/>
    <w:next w:val="5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3">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79</Pages>
  <Words>20574</Words>
  <Characters>21662</Characters>
  <Lines>268</Lines>
  <Paragraphs>75</Paragraphs>
  <TotalTime>1</TotalTime>
  <ScaleCrop>false</ScaleCrop>
  <LinksUpToDate>false</LinksUpToDate>
  <CharactersWithSpaces>22532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2026-05-07T01:00:00Z</dcterms:created>
  <dc:creator>User</dc:creator>
  <cp:lastModifiedBy>玲兒</cp:lastModifiedBy>
  <cp:lastPrinted>2025-06-12T02:33:00Z</cp:lastPrinted>
  <dcterms:modified xsi:type="dcterms:W3CDTF">2026-08-13T03:08:02Z</dcterms:modified>
  <dc:title>附件：Ⅲ-1-1</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4D559813B51342A999C5D7A61215C424</vt:lpwstr>
  </property>
  <property fmtid="{D5CDD505-2E9C-101B-9397-08002B2CF9AE}" pid="4" name="commondata">
    <vt:lpwstr>eyJoZGlkIjoiOWE4ZjFhMThlNmMzYjZkMzc2YTUzYzg0MzRhZThhYTIifQ==</vt:lpwstr>
  </property>
  <property fmtid="{D5CDD505-2E9C-101B-9397-08002B2CF9AE}" pid="5" name="KSOTemplateDocerSaveRecord">
    <vt:lpwstr>eyJoZGlkIjoiNDAwODljODQ5ZTJjZWUxZjRlZDYxYjgyMTc0YzhjYWMiLCJ1c2VySWQiOiIxMDUxOTA0MzE4In0=</vt:lpwstr>
  </property>
</Properties>
</file>