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988BF">
      <w:pPr>
        <w:pStyle w:val="23"/>
        <w:jc w:val="center"/>
        <w:rPr>
          <w:rFonts w:hAnsi="宋体"/>
          <w:b/>
          <w:color w:val="auto"/>
          <w:sz w:val="84"/>
          <w:szCs w:val="84"/>
          <w:highlight w:val="none"/>
          <w:lang w:val="en-GB"/>
        </w:rPr>
      </w:pPr>
    </w:p>
    <w:p w14:paraId="71356BF8">
      <w:pPr>
        <w:pStyle w:val="23"/>
        <w:jc w:val="center"/>
        <w:rPr>
          <w:rFonts w:hAnsi="宋体"/>
          <w:b/>
          <w:color w:val="auto"/>
          <w:sz w:val="84"/>
          <w:szCs w:val="84"/>
          <w:highlight w:val="none"/>
          <w:lang w:val="en-GB"/>
        </w:rPr>
      </w:pPr>
    </w:p>
    <w:p w14:paraId="4476AA8E">
      <w:pPr>
        <w:pStyle w:val="23"/>
        <w:spacing w:line="360" w:lineRule="auto"/>
        <w:jc w:val="center"/>
        <w:rPr>
          <w:rFonts w:hAnsi="宋体"/>
          <w:b/>
          <w:bCs/>
          <w:color w:val="auto"/>
          <w:sz w:val="84"/>
          <w:szCs w:val="84"/>
          <w:highlight w:val="none"/>
        </w:rPr>
      </w:pPr>
      <w:r>
        <w:rPr>
          <w:rFonts w:hint="eastAsia" w:hAnsi="宋体"/>
          <w:b/>
          <w:color w:val="auto"/>
          <w:sz w:val="84"/>
          <w:szCs w:val="84"/>
          <w:highlight w:val="none"/>
        </w:rPr>
        <w:t>政府采购</w:t>
      </w:r>
    </w:p>
    <w:p w14:paraId="178F94FA">
      <w:pPr>
        <w:pStyle w:val="23"/>
        <w:adjustRightInd w:val="0"/>
        <w:snapToGrid w:val="0"/>
        <w:spacing w:line="360" w:lineRule="auto"/>
        <w:jc w:val="center"/>
        <w:rPr>
          <w:rFonts w:hAnsi="宋体"/>
          <w:b/>
          <w:color w:val="auto"/>
          <w:sz w:val="84"/>
          <w:szCs w:val="84"/>
          <w:highlight w:val="none"/>
        </w:rPr>
      </w:pPr>
      <w:r>
        <w:rPr>
          <w:rFonts w:hint="eastAsia" w:hAnsi="宋体"/>
          <w:b/>
          <w:color w:val="auto"/>
          <w:sz w:val="84"/>
          <w:szCs w:val="84"/>
          <w:highlight w:val="none"/>
        </w:rPr>
        <w:t>竞争性磋商文件</w:t>
      </w:r>
    </w:p>
    <w:p w14:paraId="6578382C">
      <w:pPr>
        <w:spacing w:after="120" w:afterLines="50" w:line="400" w:lineRule="exact"/>
        <w:ind w:right="622" w:rightChars="296"/>
        <w:rPr>
          <w:rFonts w:ascii="宋体" w:hAnsi="宋体"/>
          <w:b/>
          <w:color w:val="auto"/>
          <w:sz w:val="32"/>
          <w:szCs w:val="32"/>
          <w:highlight w:val="none"/>
        </w:rPr>
      </w:pPr>
    </w:p>
    <w:p w14:paraId="4972C672">
      <w:pPr>
        <w:spacing w:after="120" w:afterLines="50" w:line="400" w:lineRule="exact"/>
        <w:ind w:left="3368" w:leftChars="533" w:right="622" w:rightChars="296" w:hanging="2249" w:hangingChars="700"/>
        <w:rPr>
          <w:rFonts w:ascii="宋体" w:hAnsi="宋体"/>
          <w:b/>
          <w:color w:val="auto"/>
          <w:sz w:val="32"/>
          <w:szCs w:val="32"/>
          <w:highlight w:val="none"/>
        </w:rPr>
      </w:pPr>
    </w:p>
    <w:p w14:paraId="3C913A6C">
      <w:pPr>
        <w:spacing w:after="120" w:afterLines="50" w:line="400" w:lineRule="exact"/>
        <w:ind w:left="3368" w:leftChars="533" w:right="622" w:rightChars="296" w:hanging="2249" w:hangingChars="700"/>
        <w:rPr>
          <w:rFonts w:ascii="宋体" w:hAnsi="宋体"/>
          <w:b/>
          <w:color w:val="auto"/>
          <w:sz w:val="32"/>
          <w:szCs w:val="32"/>
          <w:highlight w:val="none"/>
        </w:rPr>
      </w:pPr>
    </w:p>
    <w:p w14:paraId="4C0FD688">
      <w:pPr>
        <w:spacing w:after="120" w:afterLines="50" w:line="360" w:lineRule="auto"/>
        <w:ind w:left="2562" w:leftChars="608" w:right="622" w:rightChars="296" w:hanging="1285" w:hangingChars="400"/>
        <w:rPr>
          <w:rFonts w:hint="eastAsia" w:ascii="宋体" w:hAnsi="宋体"/>
          <w:b/>
          <w:color w:val="auto"/>
          <w:sz w:val="32"/>
          <w:szCs w:val="32"/>
          <w:highlight w:val="none"/>
          <w:lang w:eastAsia="zh-CN"/>
        </w:rPr>
      </w:pPr>
      <w:r>
        <w:rPr>
          <w:rFonts w:hint="eastAsia" w:ascii="宋体" w:hAnsi="宋体"/>
          <w:b/>
          <w:color w:val="auto"/>
          <w:sz w:val="32"/>
          <w:szCs w:val="32"/>
          <w:highlight w:val="none"/>
        </w:rPr>
        <w:t>采购项目名称：</w:t>
      </w:r>
      <w:r>
        <w:rPr>
          <w:rFonts w:hint="eastAsia" w:ascii="宋体" w:hAnsi="宋体"/>
          <w:b/>
          <w:color w:val="auto"/>
          <w:sz w:val="32"/>
          <w:szCs w:val="32"/>
          <w:highlight w:val="none"/>
          <w:lang w:eastAsia="zh-CN"/>
        </w:rPr>
        <w:t>岭南连接通道拓宽及护坡加固项目</w:t>
      </w:r>
    </w:p>
    <w:p w14:paraId="5030909D">
      <w:pPr>
        <w:spacing w:after="120" w:afterLines="50" w:line="360" w:lineRule="auto"/>
        <w:ind w:right="622" w:rightChars="296" w:firstLine="1285" w:firstLineChars="400"/>
        <w:rPr>
          <w:rFonts w:ascii="宋体" w:hAnsi="宋体"/>
          <w:b/>
          <w:color w:val="auto"/>
          <w:sz w:val="32"/>
          <w:szCs w:val="32"/>
          <w:highlight w:val="none"/>
        </w:rPr>
      </w:pPr>
      <w:r>
        <w:rPr>
          <w:rFonts w:hint="eastAsia" w:ascii="宋体" w:hAnsi="宋体"/>
          <w:b/>
          <w:color w:val="auto"/>
          <w:sz w:val="32"/>
          <w:szCs w:val="32"/>
          <w:highlight w:val="none"/>
        </w:rPr>
        <w:t>采   购   人：湖南工商大学</w:t>
      </w:r>
    </w:p>
    <w:p w14:paraId="24ECFD23">
      <w:pPr>
        <w:spacing w:after="120" w:afterLines="50" w:line="360" w:lineRule="auto"/>
        <w:ind w:right="622" w:rightChars="296" w:firstLine="1285" w:firstLineChars="4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政府采购编号：</w:t>
      </w:r>
      <w:r>
        <w:rPr>
          <w:rFonts w:hint="eastAsia" w:ascii="宋体" w:hAnsi="宋体"/>
          <w:b/>
          <w:color w:val="auto"/>
          <w:sz w:val="32"/>
          <w:szCs w:val="32"/>
          <w:highlight w:val="none"/>
          <w:lang w:eastAsia="zh-CN"/>
        </w:rPr>
        <w:t>湘财采计[2026]  号</w:t>
      </w:r>
    </w:p>
    <w:p w14:paraId="36E9959E">
      <w:pPr>
        <w:spacing w:after="120" w:afterLines="50" w:line="360" w:lineRule="auto"/>
        <w:ind w:right="622" w:rightChars="296" w:firstLine="1285" w:firstLineChars="400"/>
        <w:rPr>
          <w:rFonts w:hint="eastAsia" w:ascii="宋体" w:hAnsi="宋体" w:eastAsia="宋体"/>
          <w:b/>
          <w:color w:val="auto"/>
          <w:sz w:val="32"/>
          <w:szCs w:val="32"/>
          <w:highlight w:val="none"/>
          <w:lang w:val="en-US" w:eastAsia="zh-CN"/>
        </w:rPr>
      </w:pPr>
      <w:r>
        <w:rPr>
          <w:rFonts w:hint="eastAsia" w:ascii="宋体" w:hAnsi="宋体"/>
          <w:b/>
          <w:color w:val="auto"/>
          <w:sz w:val="32"/>
          <w:szCs w:val="32"/>
          <w:highlight w:val="none"/>
        </w:rPr>
        <w:t>采购代理编号：</w:t>
      </w:r>
      <w:r>
        <w:rPr>
          <w:rFonts w:hint="eastAsia" w:ascii="宋体" w:hAnsi="宋体"/>
          <w:b/>
          <w:color w:val="auto"/>
          <w:sz w:val="32"/>
          <w:szCs w:val="32"/>
          <w:highlight w:val="none"/>
          <w:lang w:eastAsia="zh-CN"/>
        </w:rPr>
        <w:t>湘智招字[2026]第0271号</w:t>
      </w:r>
    </w:p>
    <w:p w14:paraId="06FAA145">
      <w:pPr>
        <w:spacing w:after="120" w:afterLines="50" w:line="360" w:lineRule="auto"/>
        <w:ind w:right="622" w:rightChars="296" w:firstLine="1285" w:firstLineChars="4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智埔国际建设集团有限公司</w:t>
      </w:r>
    </w:p>
    <w:p w14:paraId="14B88A6D">
      <w:pPr>
        <w:pStyle w:val="23"/>
        <w:adjustRightInd w:val="0"/>
        <w:snapToGrid w:val="0"/>
        <w:spacing w:line="360" w:lineRule="auto"/>
        <w:ind w:firstLine="944" w:firstLineChars="295"/>
        <w:rPr>
          <w:rFonts w:hAnsi="宋体"/>
          <w:color w:val="auto"/>
          <w:sz w:val="32"/>
          <w:szCs w:val="32"/>
          <w:highlight w:val="none"/>
          <w:u w:val="single"/>
        </w:rPr>
      </w:pPr>
    </w:p>
    <w:p w14:paraId="55C0517C">
      <w:pPr>
        <w:pStyle w:val="23"/>
        <w:adjustRightInd w:val="0"/>
        <w:snapToGrid w:val="0"/>
        <w:spacing w:line="360" w:lineRule="auto"/>
        <w:rPr>
          <w:rFonts w:hAnsi="宋体"/>
          <w:b/>
          <w:color w:val="auto"/>
          <w:sz w:val="32"/>
          <w:highlight w:val="none"/>
        </w:rPr>
      </w:pPr>
    </w:p>
    <w:p w14:paraId="3025E1B2">
      <w:pPr>
        <w:jc w:val="center"/>
        <w:rPr>
          <w:color w:val="auto"/>
          <w:highlight w:val="none"/>
        </w:rPr>
      </w:pPr>
      <w:r>
        <w:rPr>
          <w:rFonts w:hint="eastAsia" w:hAnsi="宋体"/>
          <w:b/>
          <w:color w:val="auto"/>
          <w:sz w:val="32"/>
          <w:highlight w:val="none"/>
        </w:rPr>
        <w:t>二О二</w:t>
      </w:r>
      <w:r>
        <w:rPr>
          <w:rFonts w:hint="eastAsia" w:hAnsi="宋体"/>
          <w:b/>
          <w:color w:val="auto"/>
          <w:sz w:val="32"/>
          <w:highlight w:val="none"/>
          <w:lang w:val="en-US" w:eastAsia="zh-CN"/>
        </w:rPr>
        <w:t>六</w:t>
      </w:r>
      <w:r>
        <w:rPr>
          <w:rFonts w:hint="eastAsia" w:hAnsi="宋体"/>
          <w:b/>
          <w:color w:val="auto"/>
          <w:sz w:val="32"/>
          <w:highlight w:val="none"/>
        </w:rPr>
        <w:t>年</w:t>
      </w:r>
      <w:r>
        <w:rPr>
          <w:rFonts w:hint="eastAsia" w:hAnsi="宋体"/>
          <w:b/>
          <w:color w:val="auto"/>
          <w:sz w:val="32"/>
          <w:highlight w:val="none"/>
          <w:lang w:val="en-US" w:eastAsia="zh-CN"/>
        </w:rPr>
        <w:t>六</w:t>
      </w:r>
      <w:r>
        <w:rPr>
          <w:rFonts w:hint="eastAsia" w:hAnsi="宋体"/>
          <w:b/>
          <w:color w:val="auto"/>
          <w:sz w:val="32"/>
          <w:highlight w:val="none"/>
        </w:rPr>
        <w:t>月</w:t>
      </w:r>
    </w:p>
    <w:p w14:paraId="099690C7">
      <w:pPr>
        <w:rPr>
          <w:color w:val="auto"/>
          <w:highlight w:val="none"/>
        </w:rPr>
        <w:sectPr>
          <w:headerReference r:id="rId3" w:type="default"/>
          <w:pgSz w:w="11906" w:h="16838"/>
          <w:pgMar w:top="1440" w:right="1080" w:bottom="1440" w:left="1080" w:header="510" w:footer="624" w:gutter="0"/>
          <w:cols w:space="720" w:num="1"/>
          <w:docGrid w:linePitch="312" w:charSpace="0"/>
        </w:sectPr>
      </w:pPr>
    </w:p>
    <w:p w14:paraId="023CCC06">
      <w:pPr>
        <w:pStyle w:val="23"/>
        <w:adjustRightInd w:val="0"/>
        <w:snapToGrid w:val="0"/>
        <w:spacing w:line="360" w:lineRule="auto"/>
        <w:jc w:val="center"/>
        <w:rPr>
          <w:rFonts w:ascii="方正小标宋_GBK" w:hAnsi="宋体" w:eastAsia="方正小标宋_GBK"/>
          <w:color w:val="auto"/>
          <w:spacing w:val="160"/>
          <w:sz w:val="36"/>
          <w:szCs w:val="36"/>
          <w:highlight w:val="none"/>
        </w:rPr>
      </w:pPr>
      <w:r>
        <w:rPr>
          <w:rFonts w:hint="eastAsia" w:ascii="方正小标宋_GBK" w:hAnsi="宋体" w:eastAsia="方正小标宋_GBK"/>
          <w:color w:val="auto"/>
          <w:spacing w:val="160"/>
          <w:sz w:val="36"/>
          <w:szCs w:val="36"/>
          <w:highlight w:val="none"/>
        </w:rPr>
        <w:t>目录</w:t>
      </w:r>
    </w:p>
    <w:p w14:paraId="7F245B71">
      <w:pPr>
        <w:pStyle w:val="23"/>
        <w:adjustRightInd w:val="0"/>
        <w:snapToGrid w:val="0"/>
        <w:spacing w:line="360" w:lineRule="auto"/>
        <w:rPr>
          <w:rFonts w:hAnsi="宋体"/>
          <w:b/>
          <w:color w:val="auto"/>
          <w:sz w:val="24"/>
          <w:szCs w:val="24"/>
          <w:highlight w:val="none"/>
        </w:rPr>
      </w:pPr>
    </w:p>
    <w:p w14:paraId="09D48F40">
      <w:pPr>
        <w:pStyle w:val="23"/>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第一章  磋商邀请</w:t>
      </w:r>
    </w:p>
    <w:p w14:paraId="7C647236">
      <w:pPr>
        <w:pStyle w:val="23"/>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第二章  磋商须知</w:t>
      </w:r>
    </w:p>
    <w:p w14:paraId="4F4E664E">
      <w:pPr>
        <w:tabs>
          <w:tab w:val="left" w:pos="144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磋商须知前附表</w:t>
      </w:r>
    </w:p>
    <w:p w14:paraId="245A07D1">
      <w:pPr>
        <w:tabs>
          <w:tab w:val="left" w:pos="144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磋商须知正文</w:t>
      </w:r>
    </w:p>
    <w:p w14:paraId="25404426">
      <w:pPr>
        <w:tabs>
          <w:tab w:val="left" w:pos="1440"/>
        </w:tabs>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一、说明</w:t>
      </w:r>
    </w:p>
    <w:p w14:paraId="6F91A6B0">
      <w:pPr>
        <w:tabs>
          <w:tab w:val="left" w:pos="1440"/>
        </w:tabs>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磋商</w:t>
      </w:r>
      <w:r>
        <w:rPr>
          <w:rFonts w:hint="eastAsia" w:ascii="宋体" w:hAnsi="宋体"/>
          <w:color w:val="auto"/>
          <w:szCs w:val="21"/>
          <w:highlight w:val="none"/>
        </w:rPr>
        <w:t>文件</w:t>
      </w:r>
    </w:p>
    <w:p w14:paraId="2DF8E831">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三、响应文件</w:t>
      </w:r>
    </w:p>
    <w:p w14:paraId="3087C460">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四、响应文件的递交</w:t>
      </w:r>
    </w:p>
    <w:p w14:paraId="73008D6A">
      <w:pPr>
        <w:adjustRightInd w:val="0"/>
        <w:snapToGrid w:val="0"/>
        <w:spacing w:line="360" w:lineRule="auto"/>
        <w:ind w:firstLine="630" w:firstLineChars="300"/>
        <w:rPr>
          <w:rFonts w:ascii="宋体" w:hAnsi="宋体"/>
          <w:bCs/>
          <w:color w:val="auto"/>
          <w:szCs w:val="21"/>
          <w:highlight w:val="none"/>
        </w:rPr>
      </w:pPr>
      <w:r>
        <w:rPr>
          <w:rFonts w:hint="eastAsia" w:ascii="宋体" w:hAnsi="宋体"/>
          <w:bCs/>
          <w:color w:val="auto"/>
          <w:szCs w:val="21"/>
          <w:highlight w:val="none"/>
        </w:rPr>
        <w:t>五、</w:t>
      </w:r>
      <w:r>
        <w:rPr>
          <w:rFonts w:hint="eastAsia" w:ascii="宋体" w:hAnsi="宋体"/>
          <w:color w:val="auto"/>
          <w:szCs w:val="21"/>
          <w:highlight w:val="none"/>
        </w:rPr>
        <w:t>响应文件</w:t>
      </w:r>
      <w:r>
        <w:rPr>
          <w:rFonts w:hint="eastAsia" w:ascii="宋体" w:hAnsi="宋体"/>
          <w:bCs/>
          <w:color w:val="auto"/>
          <w:szCs w:val="21"/>
          <w:highlight w:val="none"/>
        </w:rPr>
        <w:t>的</w:t>
      </w:r>
      <w:r>
        <w:rPr>
          <w:rFonts w:hint="eastAsia" w:ascii="宋体" w:hAnsi="宋体"/>
          <w:color w:val="auto"/>
          <w:szCs w:val="21"/>
          <w:highlight w:val="none"/>
        </w:rPr>
        <w:t>磋商与评审</w:t>
      </w:r>
    </w:p>
    <w:p w14:paraId="6BB3FADD">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六、成交结果信息公布与授予合同</w:t>
      </w:r>
    </w:p>
    <w:p w14:paraId="5B9AF227">
      <w:pPr>
        <w:adjustRightInd w:val="0"/>
        <w:snapToGrid w:val="0"/>
        <w:spacing w:line="360" w:lineRule="auto"/>
        <w:ind w:firstLine="630" w:firstLineChars="300"/>
        <w:jc w:val="left"/>
        <w:rPr>
          <w:rFonts w:ascii="宋体" w:hAnsi="宋体"/>
          <w:color w:val="auto"/>
          <w:szCs w:val="21"/>
          <w:highlight w:val="none"/>
        </w:rPr>
      </w:pPr>
      <w:r>
        <w:rPr>
          <w:rFonts w:hint="eastAsia" w:ascii="宋体" w:hAnsi="宋体"/>
          <w:color w:val="auto"/>
          <w:szCs w:val="21"/>
          <w:highlight w:val="none"/>
        </w:rPr>
        <w:t>七、其他规定</w:t>
      </w:r>
    </w:p>
    <w:p w14:paraId="750A3998">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第三章  政府采购合同格式</w:t>
      </w:r>
    </w:p>
    <w:p w14:paraId="1AD49DF1">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xml:space="preserve">第四章  </w:t>
      </w:r>
      <w:r>
        <w:rPr>
          <w:rFonts w:hint="eastAsia" w:hAnsi="宋体"/>
          <w:b/>
          <w:color w:val="auto"/>
          <w:sz w:val="24"/>
          <w:highlight w:val="none"/>
        </w:rPr>
        <w:t>采购需求</w:t>
      </w:r>
    </w:p>
    <w:p w14:paraId="7386A637">
      <w:pPr>
        <w:pStyle w:val="23"/>
        <w:adjustRightInd w:val="0"/>
        <w:snapToGrid w:val="0"/>
        <w:spacing w:line="360" w:lineRule="auto"/>
        <w:rPr>
          <w:rFonts w:hAnsi="宋体"/>
          <w:b/>
          <w:color w:val="auto"/>
          <w:sz w:val="24"/>
          <w:highlight w:val="none"/>
        </w:rPr>
        <w:sectPr>
          <w:headerReference r:id="rId4" w:type="default"/>
          <w:footerReference r:id="rId5" w:type="default"/>
          <w:footerReference r:id="rId6" w:type="even"/>
          <w:pgSz w:w="11906" w:h="16838"/>
          <w:pgMar w:top="1440" w:right="1080" w:bottom="1440" w:left="1080" w:header="851" w:footer="992" w:gutter="0"/>
          <w:cols w:space="720" w:num="1"/>
          <w:docGrid w:linePitch="312" w:charSpace="0"/>
        </w:sectPr>
      </w:pPr>
      <w:r>
        <w:rPr>
          <w:rFonts w:hint="eastAsia" w:hAnsi="宋体"/>
          <w:b/>
          <w:color w:val="auto"/>
          <w:sz w:val="24"/>
          <w:szCs w:val="24"/>
          <w:highlight w:val="none"/>
        </w:rPr>
        <w:t xml:space="preserve">第五章  </w:t>
      </w:r>
      <w:r>
        <w:rPr>
          <w:rFonts w:hint="eastAsia" w:hAnsi="宋体"/>
          <w:b/>
          <w:color w:val="auto"/>
          <w:sz w:val="24"/>
          <w:highlight w:val="none"/>
        </w:rPr>
        <w:t>响应文件组成</w:t>
      </w:r>
    </w:p>
    <w:p w14:paraId="42D61F84">
      <w:pPr>
        <w:jc w:val="center"/>
        <w:rPr>
          <w:rFonts w:ascii="宋体" w:hAnsi="宋体" w:cs="宋体"/>
          <w:color w:val="auto"/>
          <w:kern w:val="0"/>
          <w:szCs w:val="21"/>
          <w:highlight w:val="none"/>
        </w:rPr>
      </w:pPr>
      <w:r>
        <w:rPr>
          <w:rFonts w:hint="eastAsia" w:ascii="黑体" w:hAnsi="宋体" w:eastAsia="黑体"/>
          <w:b/>
          <w:color w:val="auto"/>
          <w:sz w:val="32"/>
          <w:szCs w:val="32"/>
          <w:highlight w:val="none"/>
        </w:rPr>
        <w:t>第一章  磋商邀请</w:t>
      </w:r>
    </w:p>
    <w:p w14:paraId="48599FC2">
      <w:pPr>
        <w:widowControl/>
        <w:spacing w:before="75" w:line="420" w:lineRule="atLeast"/>
        <w:ind w:firstLine="420"/>
        <w:jc w:val="left"/>
        <w:rPr>
          <w:rFonts w:ascii="宋体" w:hAnsi="宋体" w:cs="宋体"/>
          <w:color w:val="auto"/>
          <w:szCs w:val="21"/>
          <w:highlight w:val="none"/>
        </w:rPr>
      </w:pPr>
      <w:bookmarkStart w:id="0" w:name="_Toc1488"/>
      <w:bookmarkStart w:id="1" w:name="_Toc19083"/>
      <w:bookmarkStart w:id="2" w:name="_Toc2033"/>
      <w:r>
        <w:rPr>
          <w:rFonts w:hint="eastAsia" w:ascii="宋体" w:hAnsi="宋体"/>
          <w:color w:val="auto"/>
          <w:szCs w:val="21"/>
          <w:highlight w:val="none"/>
        </w:rPr>
        <w:t>湖南工商大学的</w:t>
      </w:r>
      <w:r>
        <w:rPr>
          <w:rFonts w:hint="eastAsia" w:ascii="宋体" w:hAnsi="宋体"/>
          <w:color w:val="auto"/>
          <w:szCs w:val="21"/>
          <w:highlight w:val="none"/>
          <w:lang w:eastAsia="zh-CN"/>
        </w:rPr>
        <w:t>岭南连接通道拓宽及护坡加固项目</w:t>
      </w:r>
      <w:r>
        <w:rPr>
          <w:rFonts w:hint="eastAsia" w:ascii="宋体" w:hAnsi="宋体" w:cs="宋体"/>
          <w:color w:val="auto"/>
          <w:kern w:val="0"/>
          <w:szCs w:val="21"/>
          <w:highlight w:val="none"/>
          <w:lang w:bidi="ar"/>
        </w:rPr>
        <w:t>进行采购，现邀请合格投标人参加投标。</w:t>
      </w:r>
    </w:p>
    <w:p w14:paraId="79E33546">
      <w:pPr>
        <w:pStyle w:val="6"/>
        <w:keepNext w:val="0"/>
        <w:keepLines w:val="0"/>
        <w:widowControl/>
        <w:spacing w:before="75"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一、采购项目基本信息</w:t>
      </w:r>
    </w:p>
    <w:p w14:paraId="70292249">
      <w:pPr>
        <w:widowControl/>
        <w:spacing w:before="75" w:line="420" w:lineRule="atLeast"/>
        <w:ind w:firstLine="42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1、采购项目名称：</w:t>
      </w:r>
      <w:r>
        <w:rPr>
          <w:rFonts w:hint="eastAsia" w:ascii="宋体" w:hAnsi="宋体" w:cs="宋体"/>
          <w:color w:val="auto"/>
          <w:kern w:val="0"/>
          <w:szCs w:val="21"/>
          <w:highlight w:val="none"/>
          <w:lang w:eastAsia="zh-CN"/>
        </w:rPr>
        <w:t>岭南连接通道拓宽及护坡加固项目</w:t>
      </w:r>
    </w:p>
    <w:p w14:paraId="60F513FB">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2、政府采购计划编号：</w:t>
      </w:r>
      <w:r>
        <w:rPr>
          <w:rFonts w:hint="eastAsia" w:ascii="宋体" w:hAnsi="宋体" w:cs="宋体"/>
          <w:color w:val="auto"/>
          <w:kern w:val="0"/>
          <w:szCs w:val="21"/>
          <w:highlight w:val="none"/>
          <w:lang w:eastAsia="zh-CN" w:bidi="ar"/>
        </w:rPr>
        <w:t>湘财采计[2026]  号</w:t>
      </w:r>
      <w:r>
        <w:rPr>
          <w:rFonts w:hint="eastAsia" w:ascii="宋体" w:hAnsi="宋体" w:cs="宋体"/>
          <w:color w:val="auto"/>
          <w:kern w:val="0"/>
          <w:szCs w:val="21"/>
          <w:highlight w:val="none"/>
        </w:rPr>
        <w:t xml:space="preserve"> </w:t>
      </w:r>
    </w:p>
    <w:p w14:paraId="0D769492">
      <w:pPr>
        <w:widowControl/>
        <w:spacing w:before="75" w:line="420" w:lineRule="atLeast"/>
        <w:ind w:firstLine="42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3、委托代理编号：</w:t>
      </w:r>
      <w:r>
        <w:rPr>
          <w:rFonts w:hint="eastAsia" w:ascii="宋体" w:hAnsi="宋体" w:cs="宋体"/>
          <w:color w:val="auto"/>
          <w:kern w:val="0"/>
          <w:szCs w:val="21"/>
          <w:highlight w:val="none"/>
          <w:lang w:eastAsia="zh-CN" w:bidi="ar"/>
        </w:rPr>
        <w:t>湘智招字[2026]第0271号</w:t>
      </w:r>
    </w:p>
    <w:p w14:paraId="2631708C">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4、采购项目预算：</w:t>
      </w:r>
      <w:r>
        <w:rPr>
          <w:rFonts w:hint="eastAsia" w:ascii="宋体" w:hAnsi="宋体" w:cs="宋体"/>
          <w:b/>
          <w:color w:val="auto"/>
          <w:kern w:val="0"/>
          <w:szCs w:val="21"/>
          <w:highlight w:val="none"/>
          <w:lang w:val="en-US" w:eastAsia="zh-CN"/>
        </w:rPr>
        <w:t xml:space="preserve">3900000元 </w:t>
      </w:r>
    </w:p>
    <w:p w14:paraId="0BC352B6">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5、本项目对应的中小企业划分标准所属行业：</w:t>
      </w:r>
      <w:r>
        <w:rPr>
          <w:rFonts w:hint="eastAsia" w:ascii="宋体" w:hAnsi="宋体"/>
          <w:b/>
          <w:bCs/>
          <w:color w:val="auto"/>
          <w:szCs w:val="21"/>
          <w:highlight w:val="none"/>
        </w:rPr>
        <w:t>建筑业</w:t>
      </w:r>
    </w:p>
    <w:p w14:paraId="77656F78">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6、评标方法： </w:t>
      </w:r>
      <w:r>
        <w:rPr>
          <w:rFonts w:ascii="宋体" w:hAnsi="宋体" w:cs="宋体"/>
          <w:color w:val="auto"/>
          <w:kern w:val="0"/>
          <w:szCs w:val="21"/>
          <w:highlight w:val="none"/>
        </w:rPr>
        <w:drawing>
          <wp:inline distT="0" distB="0" distL="0" distR="0">
            <wp:extent cx="255270" cy="20193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最低价法 </w:t>
      </w:r>
      <w:r>
        <w:rPr>
          <w:rFonts w:ascii="宋体" w:hAnsi="宋体" w:cs="宋体"/>
          <w:color w:val="auto"/>
          <w:kern w:val="0"/>
          <w:szCs w:val="21"/>
          <w:highlight w:val="none"/>
        </w:rPr>
        <w:drawing>
          <wp:inline distT="0" distB="0" distL="0" distR="0">
            <wp:extent cx="255270" cy="201930"/>
            <wp:effectExtent l="0" t="0" r="1905" b="762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综合评分法</w:t>
      </w:r>
    </w:p>
    <w:p w14:paraId="46A6A4EE">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7、合同定价方式：</w:t>
      </w:r>
      <w:r>
        <w:rPr>
          <w:rFonts w:ascii="宋体" w:hAnsi="宋体" w:cs="宋体"/>
          <w:color w:val="auto"/>
          <w:kern w:val="0"/>
          <w:szCs w:val="21"/>
          <w:highlight w:val="none"/>
        </w:rPr>
        <w:drawing>
          <wp:inline distT="0" distB="0" distL="0" distR="0">
            <wp:extent cx="255270" cy="20193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固定总价 </w:t>
      </w:r>
      <w:r>
        <w:rPr>
          <w:rFonts w:ascii="宋体" w:hAnsi="宋体" w:cs="宋体"/>
          <w:color w:val="auto"/>
          <w:kern w:val="0"/>
          <w:szCs w:val="21"/>
          <w:highlight w:val="none"/>
        </w:rPr>
        <w:drawing>
          <wp:inline distT="0" distB="0" distL="0" distR="0">
            <wp:extent cx="255270" cy="20193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固定单价 </w:t>
      </w:r>
      <w:r>
        <w:rPr>
          <w:rFonts w:ascii="宋体" w:hAnsi="宋体" w:cs="宋体"/>
          <w:color w:val="auto"/>
          <w:kern w:val="0"/>
          <w:szCs w:val="21"/>
          <w:highlight w:val="none"/>
          <w:lang w:bidi="ar"/>
        </w:rPr>
        <w:object>
          <v:shape id="_x0000_i1025" o:spt="201" alt="" type="#_x0000_t201" style="height:15.75pt;width:20.25pt;" o:ole="t" filled="f" o:preferrelative="t" stroked="f" coordsize="21600,21600">
            <v:path/>
            <v:fill on="f" focussize="0,0"/>
            <v:stroke on="f"/>
            <v:imagedata r:id="rId12" o:title=""/>
            <o:lock v:ext="edit" aspectratio="t"/>
            <w10:wrap type="none"/>
            <w10:anchorlock/>
          </v:shape>
          <w:control r:id="rId14" w:name="Control 1" w:shapeid="_x0000_i1025"/>
        </w:object>
      </w:r>
      <w:r>
        <w:rPr>
          <w:rFonts w:hint="eastAsia" w:ascii="宋体" w:hAnsi="宋体" w:cs="宋体"/>
          <w:color w:val="auto"/>
          <w:kern w:val="0"/>
          <w:szCs w:val="21"/>
          <w:highlight w:val="none"/>
          <w:lang w:bidi="ar"/>
        </w:rPr>
        <w:t>成本补偿 </w:t>
      </w:r>
      <w:r>
        <w:rPr>
          <w:rFonts w:ascii="宋体" w:hAnsi="宋体" w:cs="宋体"/>
          <w:color w:val="auto"/>
          <w:kern w:val="0"/>
          <w:szCs w:val="21"/>
          <w:highlight w:val="none"/>
          <w:lang w:bidi="ar"/>
        </w:rPr>
        <w:object>
          <v:shape id="_x0000_i1026" o:spt="201" alt="" type="#_x0000_t201" style="height:15.75pt;width:20.25pt;" o:ole="t" filled="f" o:preferrelative="t" stroked="f" coordsize="21600,21600">
            <v:path/>
            <v:fill on="f" focussize="0,0"/>
            <v:stroke on="f"/>
            <v:imagedata r:id="rId12" o:title=""/>
            <o:lock v:ext="edit" aspectratio="t"/>
            <w10:wrap type="none"/>
            <w10:anchorlock/>
          </v:shape>
          <w:control r:id="rId15" w:name="Control 2" w:shapeid="_x0000_i1026"/>
        </w:object>
      </w:r>
      <w:r>
        <w:rPr>
          <w:rFonts w:hint="eastAsia" w:ascii="宋体" w:hAnsi="宋体" w:cs="宋体"/>
          <w:color w:val="auto"/>
          <w:kern w:val="0"/>
          <w:szCs w:val="21"/>
          <w:highlight w:val="none"/>
          <w:lang w:bidi="ar"/>
        </w:rPr>
        <w:t>绩效激励</w:t>
      </w:r>
    </w:p>
    <w:p w14:paraId="1BFDE99E">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8、合同履行期限：详见磋商文件</w:t>
      </w:r>
    </w:p>
    <w:p w14:paraId="1AE0D8DD">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9、本项目分阶段要求投标人提供以下保证：  </w:t>
      </w:r>
    </w:p>
    <w:p w14:paraId="7F8593F7">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投标保证金：采购项目预算的</w:t>
      </w:r>
      <w:r>
        <w:rPr>
          <w:rFonts w:hint="eastAsia" w:ascii="宋体" w:hAnsi="宋体" w:cs="宋体"/>
          <w:color w:val="auto"/>
          <w:kern w:val="0"/>
          <w:szCs w:val="21"/>
          <w:highlight w:val="none"/>
          <w:u w:val="single"/>
          <w:lang w:bidi="ar"/>
        </w:rPr>
        <w:t>/</w:t>
      </w:r>
      <w:r>
        <w:rPr>
          <w:rFonts w:hint="eastAsia" w:ascii="宋体" w:hAnsi="宋体" w:cs="宋体"/>
          <w:color w:val="auto"/>
          <w:kern w:val="0"/>
          <w:szCs w:val="21"/>
          <w:highlight w:val="none"/>
          <w:lang w:bidi="ar"/>
        </w:rPr>
        <w:t>%；</w:t>
      </w:r>
    </w:p>
    <w:p w14:paraId="0B6D16BB">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190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履约保证金：中标金额的</w:t>
      </w:r>
      <w:r>
        <w:rPr>
          <w:rFonts w:hint="eastAsia" w:ascii="宋体" w:hAnsi="宋体" w:cs="宋体"/>
          <w:color w:val="auto"/>
          <w:kern w:val="0"/>
          <w:szCs w:val="21"/>
          <w:highlight w:val="none"/>
          <w:u w:val="single"/>
          <w:lang w:val="en-US" w:eastAsia="zh-CN" w:bidi="ar"/>
        </w:rPr>
        <w:t>10</w:t>
      </w:r>
      <w:r>
        <w:rPr>
          <w:rFonts w:hint="eastAsia" w:ascii="宋体" w:hAnsi="宋体" w:cs="宋体"/>
          <w:color w:val="auto"/>
          <w:kern w:val="0"/>
          <w:szCs w:val="21"/>
          <w:highlight w:val="none"/>
          <w:lang w:bidi="ar"/>
        </w:rPr>
        <w:t>%；</w:t>
      </w:r>
    </w:p>
    <w:p w14:paraId="67D868C6">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预付款保证金：预付款的</w:t>
      </w:r>
      <w:r>
        <w:rPr>
          <w:rFonts w:hint="eastAsia" w:ascii="宋体" w:hAnsi="宋体" w:cs="宋体"/>
          <w:color w:val="auto"/>
          <w:kern w:val="0"/>
          <w:szCs w:val="21"/>
          <w:highlight w:val="none"/>
          <w:u w:val="single"/>
          <w:lang w:bidi="ar"/>
        </w:rPr>
        <w:t>/</w:t>
      </w:r>
      <w:r>
        <w:rPr>
          <w:rFonts w:hint="eastAsia" w:ascii="宋体" w:hAnsi="宋体" w:cs="宋体"/>
          <w:color w:val="auto"/>
          <w:kern w:val="0"/>
          <w:szCs w:val="21"/>
          <w:highlight w:val="none"/>
          <w:lang w:bidi="ar"/>
        </w:rPr>
        <w:t>%；</w:t>
      </w:r>
    </w:p>
    <w:p w14:paraId="67C4C1BE">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190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质量保证金：合同金额的</w:t>
      </w:r>
      <w:r>
        <w:rPr>
          <w:rFonts w:hint="eastAsia" w:ascii="宋体" w:hAnsi="宋体" w:cs="宋体"/>
          <w:color w:val="auto"/>
          <w:kern w:val="0"/>
          <w:szCs w:val="21"/>
          <w:highlight w:val="none"/>
          <w:u w:val="single"/>
          <w:lang w:val="en-US" w:eastAsia="zh-CN" w:bidi="ar"/>
        </w:rPr>
        <w:t>3</w:t>
      </w:r>
      <w:r>
        <w:rPr>
          <w:rFonts w:hint="eastAsia" w:ascii="宋体" w:hAnsi="宋体" w:cs="宋体"/>
          <w:color w:val="auto"/>
          <w:kern w:val="0"/>
          <w:szCs w:val="21"/>
          <w:highlight w:val="none"/>
          <w:lang w:bidi="ar"/>
        </w:rPr>
        <w:t>%；</w:t>
      </w:r>
    </w:p>
    <w:p w14:paraId="65C99185">
      <w:pPr>
        <w:pStyle w:val="6"/>
        <w:keepNext w:val="0"/>
        <w:keepLines w:val="0"/>
        <w:widowControl/>
        <w:spacing w:before="75"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二、采购人的采购需求</w:t>
      </w:r>
    </w:p>
    <w:tbl>
      <w:tblPr>
        <w:tblStyle w:val="34"/>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4"/>
        <w:gridCol w:w="1502"/>
        <w:gridCol w:w="1801"/>
        <w:gridCol w:w="1626"/>
        <w:gridCol w:w="451"/>
        <w:gridCol w:w="1502"/>
        <w:gridCol w:w="881"/>
        <w:gridCol w:w="882"/>
      </w:tblGrid>
      <w:tr w14:paraId="44FB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24" w:type="dxa"/>
            <w:noWrap/>
            <w:vAlign w:val="center"/>
          </w:tcPr>
          <w:p w14:paraId="029E9A28">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包名称</w:t>
            </w:r>
          </w:p>
        </w:tc>
        <w:tc>
          <w:tcPr>
            <w:tcW w:w="1502" w:type="dxa"/>
            <w:noWrap/>
            <w:vAlign w:val="center"/>
          </w:tcPr>
          <w:p w14:paraId="62192EB2">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最高限价（元）</w:t>
            </w:r>
          </w:p>
        </w:tc>
        <w:tc>
          <w:tcPr>
            <w:tcW w:w="1801" w:type="dxa"/>
            <w:noWrap/>
            <w:vAlign w:val="center"/>
          </w:tcPr>
          <w:p w14:paraId="7DAC6591">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标的名称</w:t>
            </w:r>
          </w:p>
        </w:tc>
        <w:tc>
          <w:tcPr>
            <w:tcW w:w="1626" w:type="dxa"/>
            <w:noWrap/>
            <w:vAlign w:val="center"/>
          </w:tcPr>
          <w:p w14:paraId="71F2BA99">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简要技术要求</w:t>
            </w:r>
          </w:p>
        </w:tc>
        <w:tc>
          <w:tcPr>
            <w:tcW w:w="451" w:type="dxa"/>
            <w:noWrap/>
            <w:vAlign w:val="center"/>
          </w:tcPr>
          <w:p w14:paraId="4C3C88E3">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数量</w:t>
            </w:r>
          </w:p>
        </w:tc>
        <w:tc>
          <w:tcPr>
            <w:tcW w:w="1502" w:type="dxa"/>
            <w:noWrap/>
            <w:vAlign w:val="center"/>
          </w:tcPr>
          <w:p w14:paraId="55ECA432">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标的预算（元）</w:t>
            </w:r>
          </w:p>
        </w:tc>
        <w:tc>
          <w:tcPr>
            <w:tcW w:w="881" w:type="dxa"/>
            <w:noWrap/>
            <w:vAlign w:val="center"/>
          </w:tcPr>
          <w:p w14:paraId="322AA7BA">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节能产品</w:t>
            </w:r>
          </w:p>
        </w:tc>
        <w:tc>
          <w:tcPr>
            <w:tcW w:w="882" w:type="dxa"/>
            <w:noWrap/>
            <w:vAlign w:val="center"/>
          </w:tcPr>
          <w:p w14:paraId="68AF3C37">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进口产品</w:t>
            </w:r>
          </w:p>
        </w:tc>
      </w:tr>
      <w:tr w14:paraId="2F70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24" w:type="dxa"/>
            <w:vAlign w:val="center"/>
          </w:tcPr>
          <w:p w14:paraId="431C473A">
            <w:pPr>
              <w:widowControl/>
              <w:spacing w:before="75" w:line="420" w:lineRule="atLeas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包1</w:t>
            </w:r>
          </w:p>
        </w:tc>
        <w:tc>
          <w:tcPr>
            <w:tcW w:w="1502" w:type="dxa"/>
            <w:vAlign w:val="center"/>
          </w:tcPr>
          <w:p w14:paraId="698429DF">
            <w:pPr>
              <w:widowControl/>
              <w:spacing w:before="75" w:line="420" w:lineRule="atLeast"/>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3346991.82</w:t>
            </w:r>
          </w:p>
        </w:tc>
        <w:tc>
          <w:tcPr>
            <w:tcW w:w="1801" w:type="dxa"/>
            <w:vAlign w:val="center"/>
          </w:tcPr>
          <w:p w14:paraId="01AACC04">
            <w:pPr>
              <w:widowControl/>
              <w:spacing w:before="75" w:line="420" w:lineRule="atLeast"/>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岭南连接通道拓宽及护坡加固项目</w:t>
            </w:r>
          </w:p>
        </w:tc>
        <w:tc>
          <w:tcPr>
            <w:tcW w:w="1626" w:type="dxa"/>
            <w:vAlign w:val="center"/>
          </w:tcPr>
          <w:p w14:paraId="2D6D0DF3">
            <w:pPr>
              <w:widowControl/>
              <w:spacing w:before="75" w:line="420" w:lineRule="atLeas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详见磋商文件</w:t>
            </w:r>
          </w:p>
        </w:tc>
        <w:tc>
          <w:tcPr>
            <w:tcW w:w="451" w:type="dxa"/>
            <w:vAlign w:val="center"/>
          </w:tcPr>
          <w:p w14:paraId="39F0188B">
            <w:pPr>
              <w:widowControl/>
              <w:spacing w:before="75" w:line="420" w:lineRule="atLeas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502" w:type="dxa"/>
            <w:vAlign w:val="center"/>
          </w:tcPr>
          <w:p w14:paraId="28872989">
            <w:pPr>
              <w:widowControl/>
              <w:spacing w:before="75" w:line="420" w:lineRule="atLeast"/>
              <w:jc w:val="center"/>
              <w:rPr>
                <w:rFonts w:hint="default" w:ascii="宋体" w:hAnsi="宋体" w:cs="宋体"/>
                <w:color w:val="auto"/>
                <w:kern w:val="0"/>
                <w:szCs w:val="21"/>
                <w:highlight w:val="none"/>
                <w:lang w:val="en-US" w:bidi="ar"/>
              </w:rPr>
            </w:pPr>
            <w:r>
              <w:rPr>
                <w:rFonts w:hint="eastAsia" w:ascii="宋体" w:hAnsi="宋体" w:cs="宋体"/>
                <w:b/>
                <w:color w:val="auto"/>
                <w:kern w:val="0"/>
                <w:szCs w:val="21"/>
                <w:highlight w:val="none"/>
                <w:lang w:val="en-US" w:eastAsia="zh-CN"/>
              </w:rPr>
              <w:t>3900000</w:t>
            </w:r>
          </w:p>
        </w:tc>
        <w:tc>
          <w:tcPr>
            <w:tcW w:w="881" w:type="dxa"/>
            <w:vAlign w:val="center"/>
          </w:tcPr>
          <w:p w14:paraId="3A084770">
            <w:pPr>
              <w:widowControl/>
              <w:spacing w:before="75" w:line="420" w:lineRule="atLeast"/>
              <w:jc w:val="center"/>
              <w:rPr>
                <w:rFonts w:ascii="宋体" w:hAnsi="宋体" w:cs="宋体"/>
                <w:color w:val="auto"/>
                <w:kern w:val="0"/>
                <w:szCs w:val="21"/>
                <w:highlight w:val="none"/>
                <w:lang w:bidi="ar"/>
              </w:rPr>
            </w:pPr>
            <w:r>
              <w:rPr>
                <w:rFonts w:ascii="宋体" w:hAnsi="宋体" w:cs="宋体"/>
                <w:color w:val="auto"/>
                <w:kern w:val="0"/>
                <w:szCs w:val="21"/>
                <w:highlight w:val="none"/>
              </w:rPr>
              <w:drawing>
                <wp:inline distT="0" distB="0" distL="0" distR="0">
                  <wp:extent cx="255270" cy="20193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p>
        </w:tc>
        <w:tc>
          <w:tcPr>
            <w:tcW w:w="882" w:type="dxa"/>
            <w:vAlign w:val="center"/>
          </w:tcPr>
          <w:p w14:paraId="080F49DE">
            <w:pPr>
              <w:widowControl/>
              <w:spacing w:before="75" w:line="420" w:lineRule="atLeast"/>
              <w:jc w:val="center"/>
              <w:rPr>
                <w:rFonts w:ascii="宋体" w:hAnsi="宋体" w:cs="宋体"/>
                <w:color w:val="auto"/>
                <w:kern w:val="0"/>
                <w:szCs w:val="21"/>
                <w:highlight w:val="none"/>
                <w:lang w:bidi="ar"/>
              </w:rPr>
            </w:pPr>
            <w:r>
              <w:rPr>
                <w:rFonts w:ascii="宋体" w:hAnsi="宋体" w:cs="宋体"/>
                <w:color w:val="auto"/>
                <w:kern w:val="0"/>
                <w:szCs w:val="21"/>
                <w:highlight w:val="none"/>
              </w:rPr>
              <w:drawing>
                <wp:inline distT="0" distB="0" distL="0" distR="0">
                  <wp:extent cx="255270" cy="20193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p>
        </w:tc>
      </w:tr>
    </w:tbl>
    <w:p w14:paraId="6E4DD316">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说明：</w:t>
      </w:r>
    </w:p>
    <w:p w14:paraId="53D308AD">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1.节能产品实行强制采购的，需提供国家认证机构出具的、处于有效期内的节能产品证书。</w:t>
      </w:r>
    </w:p>
    <w:p w14:paraId="4F042B50">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2.同意购买进口产品的，不限制满足采购需求的国内产品参与投标。</w:t>
      </w:r>
    </w:p>
    <w:p w14:paraId="67889E44">
      <w:pPr>
        <w:pStyle w:val="6"/>
        <w:keepNext w:val="0"/>
        <w:keepLines w:val="0"/>
        <w:widowControl/>
        <w:spacing w:before="75"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三、采购项目需落实的政府采购政策：</w:t>
      </w:r>
    </w:p>
    <w:p w14:paraId="335AAE68">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1、优先采购：节能产品、环境标志产品、两型产品享受加分或价格折扣。</w:t>
      </w:r>
    </w:p>
    <w:p w14:paraId="376A8868">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2、支持中小企业：中小企业享受预留采购份额或价格折扣。</w:t>
      </w:r>
    </w:p>
    <w:p w14:paraId="121B195B">
      <w:pPr>
        <w:pStyle w:val="6"/>
        <w:keepNext w:val="0"/>
        <w:keepLines w:val="0"/>
        <w:widowControl/>
        <w:spacing w:before="75"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四、投标人的资格要求：</w:t>
      </w:r>
    </w:p>
    <w:p w14:paraId="3C801A90">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1、投标人的基本资格条件：投标人必须是在中华人民共和国境内注册登记的法人、其他组织或者自然人，且应当符合《政府采购法》第二十二条第一款的规定。</w:t>
      </w:r>
    </w:p>
    <w:p w14:paraId="6E9D074F">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2、落实政府采购政策需满足的资格要求：</w:t>
      </w:r>
    </w:p>
    <w:p w14:paraId="61736078">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专门面向： </w:t>
      </w:r>
      <w:bookmarkStart w:id="3" w:name="_1735491108"/>
      <w:bookmarkEnd w:id="3"/>
      <w:r>
        <w:rPr>
          <w:rFonts w:ascii="宋体" w:hAnsi="宋体" w:cs="宋体"/>
          <w:color w:val="auto"/>
          <w:kern w:val="0"/>
          <w:szCs w:val="21"/>
          <w:highlight w:val="none"/>
        </w:rPr>
        <w:drawing>
          <wp:inline distT="0" distB="0" distL="0" distR="0">
            <wp:extent cx="255270" cy="20193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中小企业 </w:t>
      </w:r>
      <w:bookmarkStart w:id="4" w:name="_1735491109"/>
      <w:bookmarkEnd w:id="4"/>
      <w:r>
        <w:rPr>
          <w:rFonts w:ascii="宋体" w:hAnsi="宋体" w:cs="宋体"/>
          <w:color w:val="auto"/>
          <w:kern w:val="0"/>
          <w:szCs w:val="21"/>
          <w:highlight w:val="none"/>
        </w:rPr>
        <w:drawing>
          <wp:inline distT="0" distB="0" distL="0" distR="0">
            <wp:extent cx="255270" cy="20193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小微企业 </w:t>
      </w:r>
      <w:r>
        <w:rPr>
          <w:rFonts w:ascii="宋体" w:hAnsi="宋体" w:cs="宋体"/>
          <w:color w:val="auto"/>
          <w:kern w:val="0"/>
          <w:szCs w:val="21"/>
          <w:highlight w:val="none"/>
        </w:rPr>
        <w:drawing>
          <wp:inline distT="0" distB="0" distL="0" distR="0">
            <wp:extent cx="255270" cy="20193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监狱企业 </w:t>
      </w:r>
      <w:r>
        <w:rPr>
          <w:rFonts w:ascii="宋体" w:hAnsi="宋体" w:cs="宋体"/>
          <w:color w:val="auto"/>
          <w:kern w:val="0"/>
          <w:szCs w:val="21"/>
          <w:highlight w:val="none"/>
        </w:rPr>
        <w:drawing>
          <wp:inline distT="0" distB="0" distL="0" distR="0">
            <wp:extent cx="255270" cy="20193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福利性单位</w:t>
      </w:r>
    </w:p>
    <w:p w14:paraId="2082A493">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强制分包：大型企业应将采购份额的</w:t>
      </w:r>
      <w:r>
        <w:rPr>
          <w:rFonts w:hint="eastAsia" w:ascii="宋体" w:hAnsi="宋体" w:cs="宋体"/>
          <w:color w:val="auto"/>
          <w:kern w:val="0"/>
          <w:szCs w:val="21"/>
          <w:highlight w:val="none"/>
          <w:u w:val="single"/>
          <w:lang w:bidi="ar"/>
        </w:rPr>
        <w:t>/</w:t>
      </w:r>
      <w:r>
        <w:rPr>
          <w:rFonts w:hint="eastAsia" w:ascii="宋体" w:hAnsi="宋体" w:cs="宋体"/>
          <w:color w:val="auto"/>
          <w:kern w:val="0"/>
          <w:szCs w:val="21"/>
          <w:highlight w:val="none"/>
          <w:lang w:bidi="ar"/>
        </w:rPr>
        <w:t>%分包给中小企业。</w:t>
      </w:r>
    </w:p>
    <w:p w14:paraId="667C508C">
      <w:pPr>
        <w:widowControl/>
        <w:spacing w:before="75" w:line="360" w:lineRule="auto"/>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3、供应商特定资格条件：</w:t>
      </w:r>
    </w:p>
    <w:p w14:paraId="33001102">
      <w:pPr>
        <w:keepNext w:val="0"/>
        <w:keepLines w:val="0"/>
        <w:pageBreakBefore w:val="0"/>
        <w:widowControl/>
        <w:numPr>
          <w:ilvl w:val="0"/>
          <w:numId w:val="0"/>
        </w:numPr>
        <w:kinsoku/>
        <w:wordWrap/>
        <w:overflowPunct/>
        <w:topLinePunct w:val="0"/>
        <w:autoSpaceDE/>
        <w:autoSpaceDN/>
        <w:bidi w:val="0"/>
        <w:spacing w:line="400" w:lineRule="exact"/>
        <w:ind w:firstLine="422" w:firstLineChars="200"/>
        <w:jc w:val="left"/>
        <w:textAlignment w:val="auto"/>
        <w:rPr>
          <w:rFonts w:hint="eastAsia" w:ascii="宋体" w:hAnsi="宋体" w:cs="宋体"/>
          <w:b/>
          <w:bCs w:val="0"/>
          <w:color w:val="auto"/>
          <w:kern w:val="0"/>
          <w:szCs w:val="21"/>
          <w:highlight w:val="none"/>
          <w:u w:val="single"/>
        </w:rPr>
      </w:pPr>
      <w:bookmarkStart w:id="5" w:name="OLE_LINK18"/>
      <w:bookmarkStart w:id="6" w:name="OLE_LINK1"/>
      <w:r>
        <w:rPr>
          <w:rFonts w:hint="eastAsia" w:ascii="宋体" w:hAnsi="宋体" w:cs="宋体"/>
          <w:b/>
          <w:bCs w:val="0"/>
          <w:color w:val="auto"/>
          <w:kern w:val="0"/>
          <w:sz w:val="21"/>
          <w:szCs w:val="21"/>
          <w:highlight w:val="none"/>
          <w:lang w:val="en-US" w:eastAsia="zh-CN" w:bidi="ar-SA"/>
        </w:rPr>
        <w:t>（1）</w:t>
      </w:r>
      <w:r>
        <w:rPr>
          <w:rFonts w:hint="eastAsia" w:ascii="宋体" w:hAnsi="宋体" w:cs="宋体"/>
          <w:b/>
          <w:bCs w:val="0"/>
          <w:color w:val="auto"/>
          <w:kern w:val="0"/>
          <w:szCs w:val="21"/>
          <w:highlight w:val="none"/>
          <w:u w:val="single"/>
          <w:lang w:eastAsia="zh-CN"/>
        </w:rPr>
        <w:t>具有建设行政主管部门颁发的市政公用工程施工总承包叁级及以上资质</w:t>
      </w:r>
      <w:r>
        <w:rPr>
          <w:rFonts w:hint="eastAsia" w:ascii="宋体" w:hAnsi="宋体" w:cs="宋体"/>
          <w:b/>
          <w:bCs w:val="0"/>
          <w:color w:val="auto"/>
          <w:kern w:val="0"/>
          <w:szCs w:val="21"/>
          <w:highlight w:val="none"/>
          <w:u w:val="single"/>
        </w:rPr>
        <w:t>，资质证书处于有效期内；具备有效的安全生产许可证。</w:t>
      </w:r>
    </w:p>
    <w:p w14:paraId="558DAA4F">
      <w:pPr>
        <w:keepNext w:val="0"/>
        <w:keepLines w:val="0"/>
        <w:pageBreakBefore w:val="0"/>
        <w:widowControl/>
        <w:numPr>
          <w:ilvl w:val="0"/>
          <w:numId w:val="0"/>
        </w:numPr>
        <w:kinsoku/>
        <w:wordWrap/>
        <w:overflowPunct/>
        <w:topLinePunct w:val="0"/>
        <w:autoSpaceDE/>
        <w:autoSpaceDN/>
        <w:bidi w:val="0"/>
        <w:spacing w:line="400" w:lineRule="exact"/>
        <w:ind w:firstLine="422" w:firstLineChars="200"/>
        <w:jc w:val="left"/>
        <w:textAlignment w:val="auto"/>
        <w:rPr>
          <w:rFonts w:hint="eastAsia" w:ascii="宋体" w:hAnsi="宋体" w:cs="宋体"/>
          <w:b/>
          <w:bCs w:val="0"/>
          <w:color w:val="auto"/>
          <w:kern w:val="0"/>
          <w:szCs w:val="21"/>
          <w:highlight w:val="none"/>
          <w:u w:val="single"/>
        </w:rPr>
      </w:pPr>
      <w:r>
        <w:rPr>
          <w:rFonts w:hint="eastAsia" w:ascii="宋体" w:hAnsi="宋体" w:cs="宋体"/>
          <w:b/>
          <w:bCs w:val="0"/>
          <w:color w:val="auto"/>
          <w:kern w:val="0"/>
          <w:sz w:val="21"/>
          <w:szCs w:val="21"/>
          <w:highlight w:val="none"/>
          <w:lang w:val="en-US" w:eastAsia="zh-CN" w:bidi="ar-SA"/>
        </w:rPr>
        <w:t>（2）</w:t>
      </w:r>
      <w:r>
        <w:rPr>
          <w:rFonts w:hint="eastAsia" w:ascii="宋体" w:hAnsi="宋体" w:cs="宋体"/>
          <w:b/>
          <w:bCs w:val="0"/>
          <w:color w:val="auto"/>
          <w:kern w:val="0"/>
          <w:szCs w:val="21"/>
          <w:highlight w:val="none"/>
          <w:u w:val="single"/>
        </w:rPr>
        <w:t>湖南省外施工企业须按照湘建建</w:t>
      </w:r>
      <w:r>
        <w:rPr>
          <w:rFonts w:hint="eastAsia" w:hAnsi="宋体" w:cs="宋体"/>
          <w:b/>
          <w:bCs w:val="0"/>
          <w:color w:val="auto"/>
          <w:highlight w:val="none"/>
          <w:u w:val="single"/>
        </w:rPr>
        <w:t>[2015]190号</w:t>
      </w:r>
      <w:r>
        <w:rPr>
          <w:rFonts w:hint="eastAsia" w:ascii="宋体" w:hAnsi="宋体" w:cs="宋体"/>
          <w:b/>
          <w:bCs w:val="0"/>
          <w:color w:val="auto"/>
          <w:kern w:val="0"/>
          <w:szCs w:val="21"/>
          <w:highlight w:val="none"/>
          <w:u w:val="single"/>
        </w:rPr>
        <w:t>文件要求办理省外入湘企业基本情况登记（以“湖南省住房和城乡建设网”查询为准）或具有入湘施工登记证（处于有效期内）。</w:t>
      </w:r>
    </w:p>
    <w:p w14:paraId="45DFBFD6">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cs="宋体"/>
          <w:b/>
          <w:bCs w:val="0"/>
          <w:color w:val="auto"/>
          <w:kern w:val="0"/>
          <w:szCs w:val="21"/>
          <w:highlight w:val="none"/>
          <w:u w:val="single"/>
        </w:rPr>
      </w:pPr>
      <w:r>
        <w:rPr>
          <w:rFonts w:hint="eastAsia" w:ascii="宋体" w:hAnsi="宋体" w:cs="宋体"/>
          <w:b/>
          <w:bCs w:val="0"/>
          <w:color w:val="auto"/>
          <w:kern w:val="0"/>
          <w:szCs w:val="21"/>
          <w:highlight w:val="none"/>
          <w:u w:val="single"/>
        </w:rPr>
        <w:t>（</w:t>
      </w:r>
      <w:r>
        <w:rPr>
          <w:rFonts w:hint="eastAsia" w:ascii="宋体" w:hAnsi="宋体" w:cs="宋体"/>
          <w:b/>
          <w:bCs w:val="0"/>
          <w:color w:val="auto"/>
          <w:kern w:val="0"/>
          <w:szCs w:val="21"/>
          <w:highlight w:val="none"/>
          <w:u w:val="single"/>
          <w:lang w:val="en-US" w:eastAsia="zh-CN"/>
        </w:rPr>
        <w:t>3</w:t>
      </w:r>
      <w:r>
        <w:rPr>
          <w:rFonts w:hint="eastAsia" w:ascii="宋体" w:hAnsi="宋体" w:cs="宋体"/>
          <w:b/>
          <w:bCs w:val="0"/>
          <w:color w:val="auto"/>
          <w:kern w:val="0"/>
          <w:szCs w:val="21"/>
          <w:highlight w:val="none"/>
          <w:u w:val="single"/>
        </w:rPr>
        <w:t>）拟任项目负责人具有</w:t>
      </w:r>
      <w:r>
        <w:rPr>
          <w:rFonts w:hint="eastAsia" w:ascii="宋体" w:hAnsi="宋体" w:cs="宋体"/>
          <w:b/>
          <w:bCs w:val="0"/>
          <w:color w:val="auto"/>
          <w:kern w:val="0"/>
          <w:szCs w:val="21"/>
          <w:highlight w:val="none"/>
          <w:u w:val="single"/>
          <w:lang w:eastAsia="zh-CN"/>
        </w:rPr>
        <w:t>建设行政主管部门颁发的市政公用工程专业贰级及以</w:t>
      </w:r>
      <w:r>
        <w:rPr>
          <w:rFonts w:hint="eastAsia" w:ascii="宋体" w:hAnsi="宋体" w:cs="宋体"/>
          <w:b/>
          <w:bCs w:val="0"/>
          <w:color w:val="auto"/>
          <w:kern w:val="0"/>
          <w:szCs w:val="21"/>
          <w:highlight w:val="none"/>
          <w:u w:val="single"/>
        </w:rPr>
        <w:t>上注册建造师执业资格，同时具有有效期内的项目负责人B类安全生产考核合格证，证书上的单位名称必须与供应商名称一致，且</w:t>
      </w:r>
      <w:r>
        <w:rPr>
          <w:rFonts w:hint="eastAsia" w:hAnsi="宋体" w:cs="宋体"/>
          <w:b/>
          <w:bCs w:val="0"/>
          <w:color w:val="auto"/>
          <w:highlight w:val="none"/>
          <w:u w:val="single"/>
        </w:rPr>
        <w:t>不得有在建项目</w:t>
      </w:r>
      <w:r>
        <w:rPr>
          <w:rFonts w:hint="eastAsia" w:ascii="宋体" w:hAnsi="宋体" w:cs="宋体"/>
          <w:b/>
          <w:bCs w:val="0"/>
          <w:color w:val="auto"/>
          <w:kern w:val="0"/>
          <w:szCs w:val="21"/>
          <w:highlight w:val="none"/>
          <w:u w:val="single"/>
        </w:rPr>
        <w:t>。</w:t>
      </w:r>
    </w:p>
    <w:p w14:paraId="756ED2A5">
      <w:pPr>
        <w:keepNext w:val="0"/>
        <w:keepLines w:val="0"/>
        <w:pageBreakBefore w:val="0"/>
        <w:widowControl/>
        <w:kinsoku/>
        <w:wordWrap/>
        <w:overflowPunct/>
        <w:topLinePunct w:val="0"/>
        <w:autoSpaceDE/>
        <w:autoSpaceDN/>
        <w:bidi w:val="0"/>
        <w:spacing w:line="400" w:lineRule="exact"/>
        <w:ind w:firstLine="422" w:firstLineChars="200"/>
        <w:textAlignment w:val="auto"/>
        <w:rPr>
          <w:rFonts w:hint="eastAsia" w:hAnsi="宋体" w:cs="宋体"/>
          <w:b/>
          <w:bCs w:val="0"/>
          <w:color w:val="auto"/>
          <w:highlight w:val="none"/>
          <w:u w:val="single"/>
        </w:rPr>
      </w:pPr>
      <w:r>
        <w:rPr>
          <w:rFonts w:hint="eastAsia" w:hAnsi="宋体" w:cs="宋体"/>
          <w:b/>
          <w:bCs w:val="0"/>
          <w:color w:val="auto"/>
          <w:highlight w:val="none"/>
          <w:u w:val="single"/>
        </w:rPr>
        <w:t>注：如已按照《住房和城乡建设部关于印发建设工程企业资质管理制度改革方案的通知》（建市〔2020〕94号）规定取得新资质证书的，资质相应等级对应上述要求。</w:t>
      </w:r>
    </w:p>
    <w:bookmarkEnd w:id="5"/>
    <w:bookmarkEnd w:id="6"/>
    <w:p w14:paraId="2FF6F89B">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4、单位负责人为同一人或者存在直接控股、管理关系的不同投标人，不得参加同一合同项下的政府采购活动。</w:t>
      </w:r>
    </w:p>
    <w:p w14:paraId="4D3BEC49">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5、为本采购项目提供整体设计、规范编制或者项目管理、监理、检测等服务的，不得再参加此项目的其他采购活动。</w:t>
      </w:r>
    </w:p>
    <w:p w14:paraId="0242C595">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6、列入失信被执行人、重大税收违法失信主体名单、政府采购严重违法失信行为记录名单的，拒绝其参与政府采购活动。</w:t>
      </w:r>
    </w:p>
    <w:p w14:paraId="627D0F6D">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7、联合体投标。本次招标</w:t>
      </w:r>
      <w:r>
        <w:rPr>
          <w:rFonts w:hint="eastAsia" w:ascii="宋体" w:hAnsi="宋体" w:cs="宋体"/>
          <w:color w:val="auto"/>
          <w:kern w:val="0"/>
          <w:szCs w:val="21"/>
          <w:highlight w:val="none"/>
          <w:u w:val="single"/>
          <w:lang w:bidi="ar"/>
        </w:rPr>
        <w:t>不接受</w:t>
      </w:r>
      <w:r>
        <w:rPr>
          <w:rFonts w:hint="eastAsia" w:ascii="宋体" w:hAnsi="宋体" w:cs="宋体"/>
          <w:color w:val="auto"/>
          <w:kern w:val="0"/>
          <w:szCs w:val="21"/>
          <w:highlight w:val="none"/>
          <w:lang w:bidi="ar"/>
        </w:rPr>
        <w:t>联合体投标。</w:t>
      </w:r>
    </w:p>
    <w:p w14:paraId="5F2BD427">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五、获取招标文件的时间、期限、地点及方式</w:t>
      </w:r>
    </w:p>
    <w:p w14:paraId="2311844E">
      <w:pPr>
        <w:widowControl/>
        <w:spacing w:before="75" w:line="420" w:lineRule="atLeast"/>
        <w:ind w:firstLine="42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有意参加投标者，于202</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 xml:space="preserve"> 6</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30</w:t>
      </w:r>
      <w:r>
        <w:rPr>
          <w:rFonts w:hint="eastAsia" w:ascii="宋体" w:hAnsi="宋体" w:cs="宋体"/>
          <w:color w:val="auto"/>
          <w:kern w:val="0"/>
          <w:szCs w:val="21"/>
          <w:highlight w:val="none"/>
          <w:lang w:bidi="ar"/>
        </w:rPr>
        <w:t>日至202</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 xml:space="preserve">7 </w:t>
      </w:r>
      <w:r>
        <w:rPr>
          <w:rFonts w:hint="eastAsia" w:ascii="宋体" w:hAnsi="宋体" w:cs="宋体"/>
          <w:color w:val="auto"/>
          <w:kern w:val="0"/>
          <w:szCs w:val="21"/>
          <w:highlight w:val="none"/>
          <w:lang w:bidi="ar"/>
        </w:rPr>
        <w:t>日，每日上午9:00至12:00，下午14:30至17:00（北京时间，双休日及节假日除外）在</w:t>
      </w:r>
      <w:r>
        <w:rPr>
          <w:rFonts w:hint="eastAsia" w:ascii="宋体" w:hAnsi="宋体" w:cs="宋体"/>
          <w:color w:val="auto"/>
          <w:kern w:val="0"/>
          <w:szCs w:val="21"/>
          <w:highlight w:val="none"/>
          <w:lang w:eastAsia="zh-CN" w:bidi="ar"/>
        </w:rPr>
        <w:t>智埔国际建设集团有限公司（长沙市岳麓区文轩路27号麓谷企业广场B5栋5楼）</w:t>
      </w:r>
      <w:r>
        <w:rPr>
          <w:rFonts w:hint="eastAsia" w:ascii="宋体" w:hAnsi="宋体" w:cs="宋体"/>
          <w:color w:val="auto"/>
          <w:kern w:val="0"/>
          <w:szCs w:val="21"/>
          <w:highlight w:val="none"/>
          <w:lang w:bidi="ar"/>
        </w:rPr>
        <w:t>持法定代表人身份证明或授权委托书(附法定代表人身份证明)、个人身份证获取竞争性磋商文件。</w:t>
      </w:r>
    </w:p>
    <w:p w14:paraId="7F5F2559">
      <w:pPr>
        <w:widowControl/>
        <w:spacing w:before="75" w:line="420" w:lineRule="atLeast"/>
        <w:ind w:firstLine="42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本项目实行电子交易，有意参加投标者，在</w:t>
      </w:r>
      <w:r>
        <w:rPr>
          <w:rFonts w:hint="eastAsia" w:ascii="宋体" w:hAnsi="宋体" w:cs="宋体"/>
          <w:color w:val="auto"/>
          <w:kern w:val="0"/>
          <w:szCs w:val="21"/>
          <w:highlight w:val="none"/>
          <w:lang w:eastAsia="zh-CN" w:bidi="ar"/>
        </w:rPr>
        <w:t>智埔国际建设集团有限公司（长沙市岳麓区文轩路27号麓谷企业广场B5栋5楼）</w:t>
      </w:r>
      <w:r>
        <w:rPr>
          <w:rFonts w:hint="eastAsia" w:ascii="宋体" w:hAnsi="宋体" w:cs="宋体"/>
          <w:color w:val="auto"/>
          <w:kern w:val="0"/>
          <w:szCs w:val="21"/>
          <w:highlight w:val="none"/>
          <w:lang w:bidi="ar"/>
        </w:rPr>
        <w:t>持法定代表人身份证明或授权委托书(附法定代表人身份证明)、个人身份证获取电子版招标文件。</w:t>
      </w:r>
    </w:p>
    <w:p w14:paraId="6C276E51">
      <w:pPr>
        <w:widowControl/>
        <w:spacing w:before="75" w:line="420" w:lineRule="atLeast"/>
        <w:ind w:firstLine="42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本项目进行资格预审，招标文件将向所有通过资格预审的供应商提供。</w:t>
      </w:r>
    </w:p>
    <w:p w14:paraId="5C67C001">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六、投标截止时间、开标时间及地点</w:t>
      </w:r>
    </w:p>
    <w:p w14:paraId="6EDF40D5">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1、提交投标文件的截止时间：202</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 xml:space="preserve">7 </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13</w:t>
      </w:r>
      <w:r>
        <w:rPr>
          <w:rFonts w:hint="eastAsia" w:ascii="宋体" w:hAnsi="宋体" w:cs="宋体"/>
          <w:color w:val="auto"/>
          <w:kern w:val="0"/>
          <w:szCs w:val="21"/>
          <w:highlight w:val="none"/>
          <w:lang w:bidi="ar"/>
        </w:rPr>
        <w:t>日</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0（北京时间）</w:t>
      </w:r>
    </w:p>
    <w:p w14:paraId="524017BA">
      <w:pPr>
        <w:widowControl/>
        <w:spacing w:before="75" w:line="420" w:lineRule="atLeast"/>
        <w:ind w:firstLine="42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2、提交投标文件地点：</w:t>
      </w:r>
      <w:r>
        <w:rPr>
          <w:rFonts w:hint="eastAsia" w:ascii="宋体" w:hAnsi="宋体" w:cs="宋体"/>
          <w:color w:val="auto"/>
          <w:kern w:val="0"/>
          <w:szCs w:val="21"/>
          <w:highlight w:val="none"/>
          <w:lang w:eastAsia="zh-CN" w:bidi="ar"/>
        </w:rPr>
        <w:t>智埔国际建设集团有限公司（长沙市岳麓区文轩路27号麓谷企业广场B5栋5楼）</w:t>
      </w:r>
    </w:p>
    <w:p w14:paraId="5FE427E1">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3、开标时间：202</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13</w:t>
      </w:r>
      <w:r>
        <w:rPr>
          <w:rFonts w:hint="eastAsia" w:ascii="宋体" w:hAnsi="宋体" w:cs="宋体"/>
          <w:color w:val="auto"/>
          <w:kern w:val="0"/>
          <w:szCs w:val="21"/>
          <w:highlight w:val="none"/>
          <w:lang w:bidi="ar"/>
        </w:rPr>
        <w:t>日</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0（北京时间）</w:t>
      </w:r>
    </w:p>
    <w:p w14:paraId="3F55B5A5">
      <w:pPr>
        <w:widowControl/>
        <w:spacing w:before="75" w:line="420" w:lineRule="atLeast"/>
        <w:ind w:firstLine="42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4、开标地点：</w:t>
      </w:r>
      <w:r>
        <w:rPr>
          <w:rFonts w:hint="eastAsia" w:ascii="宋体" w:hAnsi="宋体" w:cs="宋体"/>
          <w:color w:val="auto"/>
          <w:kern w:val="0"/>
          <w:szCs w:val="21"/>
          <w:highlight w:val="none"/>
          <w:lang w:eastAsia="zh-CN" w:bidi="ar"/>
        </w:rPr>
        <w:t>智埔国际建设集团有限公司（长沙市岳麓区文轩路27号麓谷企业广场B5栋5楼）</w:t>
      </w:r>
    </w:p>
    <w:p w14:paraId="53280C97">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七、公告期限</w:t>
      </w:r>
    </w:p>
    <w:p w14:paraId="41B7246B">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1、本招标公告在中国湖南政府采购网（www.ccgp-hunan.gov.cn）发布。公告期限从本招标公告发布之日起5个工作日。</w:t>
      </w:r>
    </w:p>
    <w:p w14:paraId="30572987">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2、在其他媒体发布的招标公告，公告内容以本招标公告指定媒体发布的公告为准；公告期限自本招标公告指定媒体最先发布公告之日起算。</w:t>
      </w:r>
    </w:p>
    <w:p w14:paraId="768C81FA">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八、询问及质疑</w:t>
      </w:r>
    </w:p>
    <w:p w14:paraId="7D802660">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1、投标人对政府采购活动事项如有疑问的，可以向采购人、采购代理机构提出询问。采购人、采购代理机构将在3个工作日内作出答复。</w:t>
      </w:r>
    </w:p>
    <w:p w14:paraId="6C288E4A">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2、投标人对电子交易平台办理CA证书、操作等如有疑问，请咨询电子交易平台服务机构。</w:t>
      </w:r>
    </w:p>
    <w:p w14:paraId="25CA363C">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14:paraId="13FFC40E">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九、投标说明</w:t>
      </w:r>
    </w:p>
    <w:p w14:paraId="2A2BC595">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1、本公告选项：</w:t>
      </w:r>
      <w:r>
        <w:rPr>
          <w:rFonts w:ascii="宋体" w:hAnsi="宋体" w:cs="宋体"/>
          <w:color w:val="auto"/>
          <w:kern w:val="0"/>
          <w:szCs w:val="21"/>
          <w:highlight w:val="none"/>
        </w:rPr>
        <w:drawing>
          <wp:inline distT="0" distB="0" distL="0" distR="0">
            <wp:extent cx="255270" cy="20193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表示选择，</w:t>
      </w:r>
      <w:r>
        <w:rPr>
          <w:rFonts w:ascii="宋体" w:hAnsi="宋体" w:cs="宋体"/>
          <w:color w:val="auto"/>
          <w:kern w:val="0"/>
          <w:szCs w:val="21"/>
          <w:highlight w:val="none"/>
        </w:rPr>
        <w:drawing>
          <wp:inline distT="0" distB="0" distL="0" distR="0">
            <wp:extent cx="255270" cy="20193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表示未选择。</w:t>
      </w:r>
    </w:p>
    <w:p w14:paraId="50443154">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2、投标人参与政府采购活动，无需向采购人、代理机构、交易平台缴纳任何费用。</w:t>
      </w:r>
    </w:p>
    <w:p w14:paraId="73E4FA1A">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十、采购项目联系人姓名和电话</w:t>
      </w:r>
    </w:p>
    <w:p w14:paraId="4FE9D1C4">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1、联系人姓名：</w:t>
      </w:r>
      <w:r>
        <w:rPr>
          <w:rFonts w:hint="eastAsia" w:ascii="宋体" w:hAnsi="宋体" w:cs="宋体"/>
          <w:color w:val="auto"/>
          <w:kern w:val="0"/>
          <w:szCs w:val="21"/>
          <w:highlight w:val="none"/>
          <w:lang w:eastAsia="zh-CN" w:bidi="ar"/>
        </w:rPr>
        <w:t>李红平、张轶、黄小溪</w:t>
      </w:r>
      <w:r>
        <w:rPr>
          <w:rFonts w:hint="eastAsia" w:ascii="宋体" w:hAnsi="宋体" w:cs="宋体"/>
          <w:color w:val="auto"/>
          <w:kern w:val="0"/>
          <w:szCs w:val="21"/>
          <w:highlight w:val="none"/>
          <w:lang w:bidi="ar"/>
        </w:rPr>
        <w:t xml:space="preserve">    </w:t>
      </w:r>
    </w:p>
    <w:p w14:paraId="30D487C9">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2、电话：</w:t>
      </w:r>
      <w:r>
        <w:rPr>
          <w:rFonts w:hint="eastAsia" w:ascii="宋体" w:hAnsi="宋体" w:cs="宋体"/>
          <w:color w:val="auto"/>
          <w:szCs w:val="21"/>
          <w:highlight w:val="none"/>
          <w:lang w:eastAsia="zh-CN"/>
        </w:rPr>
        <w:t>0731-89670268</w:t>
      </w:r>
      <w:r>
        <w:rPr>
          <w:rFonts w:hint="eastAsia" w:ascii="宋体" w:hAnsi="宋体" w:cs="宋体"/>
          <w:color w:val="auto"/>
          <w:kern w:val="0"/>
          <w:szCs w:val="21"/>
          <w:highlight w:val="none"/>
          <w:lang w:bidi="ar"/>
        </w:rPr>
        <w:t xml:space="preserve">   </w:t>
      </w:r>
    </w:p>
    <w:p w14:paraId="1DC6792A">
      <w:pPr>
        <w:adjustRightInd w:val="0"/>
        <w:snapToGrid w:val="0"/>
        <w:spacing w:line="420" w:lineRule="exact"/>
        <w:ind w:firstLine="422" w:firstLineChars="200"/>
        <w:outlineLvl w:val="0"/>
        <w:rPr>
          <w:rFonts w:ascii="宋体" w:hAnsi="宋体" w:cs="宋体"/>
          <w:color w:val="auto"/>
          <w:szCs w:val="21"/>
          <w:highlight w:val="none"/>
        </w:rPr>
      </w:pPr>
      <w:r>
        <w:rPr>
          <w:rFonts w:hint="eastAsia" w:ascii="宋体" w:hAnsi="宋体" w:cs="宋体"/>
          <w:b/>
          <w:bCs/>
          <w:color w:val="auto"/>
          <w:szCs w:val="21"/>
          <w:highlight w:val="none"/>
        </w:rPr>
        <w:t>十一、采购人、采购代理机构的名称、地址和联系方法</w:t>
      </w:r>
    </w:p>
    <w:bookmarkEnd w:id="0"/>
    <w:bookmarkEnd w:id="1"/>
    <w:bookmarkEnd w:id="2"/>
    <w:p w14:paraId="6A2E2A6F">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1、</w:t>
      </w:r>
      <w:r>
        <w:rPr>
          <w:rFonts w:hint="eastAsia" w:ascii="宋体" w:hAnsi="宋体" w:cs="宋体"/>
          <w:b/>
          <w:bCs/>
          <w:color w:val="auto"/>
          <w:szCs w:val="21"/>
          <w:highlight w:val="none"/>
        </w:rPr>
        <w:t>采购人信息</w:t>
      </w:r>
    </w:p>
    <w:p w14:paraId="66B6DB68">
      <w:pPr>
        <w:spacing w:line="420" w:lineRule="exact"/>
        <w:ind w:firstLine="420" w:firstLineChars="200"/>
        <w:rPr>
          <w:rFonts w:ascii="宋体" w:hAnsi="宋体"/>
          <w:b/>
          <w:color w:val="auto"/>
          <w:highlight w:val="none"/>
        </w:rPr>
      </w:pPr>
      <w:r>
        <w:rPr>
          <w:rFonts w:hint="eastAsia" w:ascii="宋体" w:hAnsi="宋体"/>
          <w:bCs/>
          <w:color w:val="auto"/>
          <w:szCs w:val="21"/>
          <w:highlight w:val="none"/>
        </w:rPr>
        <w:t>采 购 人：</w:t>
      </w:r>
      <w:r>
        <w:rPr>
          <w:rFonts w:hint="eastAsia" w:ascii="宋体" w:hAnsi="宋体"/>
          <w:bCs/>
          <w:color w:val="auto"/>
          <w:highlight w:val="none"/>
        </w:rPr>
        <w:t>湖南工商大学</w:t>
      </w:r>
    </w:p>
    <w:p w14:paraId="2444D5F6">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highlight w:val="none"/>
        </w:rPr>
        <w:t>地    址：</w:t>
      </w:r>
      <w:r>
        <w:rPr>
          <w:rFonts w:hint="eastAsia" w:ascii="宋体" w:hAnsi="宋体" w:cs="宋体"/>
          <w:color w:val="auto"/>
          <w:szCs w:val="21"/>
          <w:highlight w:val="none"/>
        </w:rPr>
        <w:t>长沙市岳麓大道569号</w:t>
      </w:r>
    </w:p>
    <w:p w14:paraId="223E9014">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联 系 人：王老师</w:t>
      </w:r>
    </w:p>
    <w:p w14:paraId="708BBF07">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s="宋体"/>
          <w:color w:val="auto"/>
          <w:szCs w:val="21"/>
          <w:highlight w:val="none"/>
        </w:rPr>
        <w:t>0731-88688224</w:t>
      </w:r>
    </w:p>
    <w:p w14:paraId="05F826A5">
      <w:pPr>
        <w:adjustRightInd w:val="0"/>
        <w:snapToGrid w:val="0"/>
        <w:spacing w:line="420" w:lineRule="exact"/>
        <w:ind w:firstLine="422" w:firstLineChars="200"/>
        <w:rPr>
          <w:b/>
          <w:color w:val="auto"/>
          <w:highlight w:val="none"/>
        </w:rPr>
      </w:pPr>
      <w:r>
        <w:rPr>
          <w:rFonts w:hint="eastAsia"/>
          <w:b/>
          <w:color w:val="auto"/>
          <w:highlight w:val="none"/>
        </w:rPr>
        <w:t>2、采购代理机构信息</w:t>
      </w:r>
    </w:p>
    <w:p w14:paraId="2292DC15">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代理机构：智埔国际建设集团有限公司 </w:t>
      </w:r>
    </w:p>
    <w:p w14:paraId="3696ADDE">
      <w:pPr>
        <w:keepNext w:val="0"/>
        <w:keepLines w:val="0"/>
        <w:pageBreakBefore w:val="0"/>
        <w:widowControl/>
        <w:kinsoku/>
        <w:wordWrap/>
        <w:overflowPunct/>
        <w:topLinePunct w:val="0"/>
        <w:autoSpaceDE/>
        <w:autoSpaceDN/>
        <w:bidi w:val="0"/>
        <w:spacing w:line="400" w:lineRule="exact"/>
        <w:ind w:left="420" w:left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地</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址： 长沙市岳麓区文轩路27号麓谷企业广场B5栋5楼</w:t>
      </w:r>
    </w:p>
    <w:p w14:paraId="629AFDE7">
      <w:pPr>
        <w:keepNext w:val="0"/>
        <w:keepLines w:val="0"/>
        <w:pageBreakBefore w:val="0"/>
        <w:widowControl/>
        <w:kinsoku/>
        <w:wordWrap/>
        <w:overflowPunct/>
        <w:topLinePunct w:val="0"/>
        <w:autoSpaceDE/>
        <w:autoSpaceDN/>
        <w:bidi w:val="0"/>
        <w:spacing w:line="400" w:lineRule="exact"/>
        <w:ind w:left="420" w:left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联</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系</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人：</w:t>
      </w:r>
      <w:r>
        <w:rPr>
          <w:rFonts w:hint="eastAsia" w:ascii="宋体" w:hAnsi="宋体" w:cs="宋体"/>
          <w:color w:val="auto"/>
          <w:kern w:val="0"/>
          <w:szCs w:val="21"/>
          <w:highlight w:val="none"/>
          <w:lang w:eastAsia="zh-CN" w:bidi="ar"/>
        </w:rPr>
        <w:t>李红平、张轶、黄小溪</w:t>
      </w:r>
      <w:r>
        <w:rPr>
          <w:rFonts w:hint="eastAsia" w:ascii="宋体" w:hAnsi="宋体" w:cs="宋体"/>
          <w:color w:val="auto"/>
          <w:kern w:val="0"/>
          <w:szCs w:val="21"/>
          <w:highlight w:val="none"/>
          <w:lang w:bidi="ar"/>
        </w:rPr>
        <w:t xml:space="preserve">      </w:t>
      </w:r>
    </w:p>
    <w:p w14:paraId="55F5923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联系电话：</w:t>
      </w:r>
      <w:r>
        <w:rPr>
          <w:rFonts w:hint="eastAsia" w:ascii="宋体" w:hAnsi="宋体" w:cs="宋体"/>
          <w:color w:val="auto"/>
          <w:szCs w:val="21"/>
          <w:highlight w:val="none"/>
          <w:lang w:eastAsia="zh-CN"/>
        </w:rPr>
        <w:t>0731-89670268</w:t>
      </w:r>
      <w:r>
        <w:rPr>
          <w:rFonts w:hint="eastAsia" w:ascii="宋体" w:hAnsi="宋体" w:cs="宋体"/>
          <w:color w:val="auto"/>
          <w:kern w:val="0"/>
          <w:szCs w:val="21"/>
          <w:highlight w:val="none"/>
          <w:lang w:bidi="ar"/>
        </w:rPr>
        <w:t xml:space="preserve">    </w:t>
      </w:r>
    </w:p>
    <w:p w14:paraId="0E36FCB1">
      <w:pPr>
        <w:jc w:val="center"/>
        <w:rPr>
          <w:rFonts w:ascii="黑体" w:eastAsia="黑体"/>
          <w:b/>
          <w:color w:val="auto"/>
          <w:sz w:val="32"/>
          <w:szCs w:val="32"/>
          <w:highlight w:val="none"/>
        </w:rPr>
      </w:pPr>
      <w:r>
        <w:rPr>
          <w:rFonts w:hint="eastAsia" w:ascii="黑体" w:eastAsia="黑体"/>
          <w:b/>
          <w:color w:val="auto"/>
          <w:sz w:val="32"/>
          <w:szCs w:val="32"/>
          <w:highlight w:val="none"/>
        </w:rPr>
        <w:br w:type="page"/>
      </w:r>
      <w:r>
        <w:rPr>
          <w:rFonts w:hint="eastAsia" w:ascii="黑体" w:eastAsia="黑体"/>
          <w:b/>
          <w:color w:val="auto"/>
          <w:sz w:val="32"/>
          <w:szCs w:val="32"/>
          <w:highlight w:val="none"/>
        </w:rPr>
        <w:t>第二章 磋商须知</w:t>
      </w:r>
    </w:p>
    <w:p w14:paraId="76BEB05F">
      <w:pPr>
        <w:pStyle w:val="23"/>
        <w:spacing w:line="420" w:lineRule="exact"/>
        <w:jc w:val="center"/>
        <w:rPr>
          <w:rFonts w:ascii="黑体" w:eastAsia="黑体"/>
          <w:b/>
          <w:color w:val="auto"/>
          <w:sz w:val="24"/>
          <w:szCs w:val="24"/>
          <w:highlight w:val="none"/>
        </w:rPr>
      </w:pPr>
      <w:r>
        <w:rPr>
          <w:rFonts w:hint="eastAsia" w:ascii="黑体" w:eastAsia="黑体"/>
          <w:b/>
          <w:color w:val="auto"/>
          <w:sz w:val="24"/>
          <w:szCs w:val="24"/>
          <w:highlight w:val="none"/>
        </w:rPr>
        <w:t>磋商须知前附表</w:t>
      </w:r>
    </w:p>
    <w:p w14:paraId="29798381">
      <w:pPr>
        <w:pStyle w:val="23"/>
        <w:spacing w:line="420" w:lineRule="exact"/>
        <w:rPr>
          <w:rFonts w:ascii="楷体_GB2312" w:hAnsi="宋体" w:eastAsia="楷体_GB2312"/>
          <w:color w:val="auto"/>
          <w:highlight w:val="none"/>
        </w:rPr>
      </w:pPr>
      <w:r>
        <w:rPr>
          <w:rFonts w:hint="eastAsia" w:ascii="楷体_GB2312" w:hAnsi="宋体" w:eastAsia="楷体_GB2312"/>
          <w:color w:val="auto"/>
          <w:highlight w:val="none"/>
        </w:rPr>
        <w:t>注： 请在方框□内划√选择，在“条款号”内限选一项。（本项目采用的条款用“■”标示）</w:t>
      </w:r>
    </w:p>
    <w:tbl>
      <w:tblPr>
        <w:tblStyle w:val="3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1913"/>
        <w:gridCol w:w="5624"/>
      </w:tblGrid>
      <w:tr w14:paraId="350BB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4" w:hRule="atLeast"/>
          <w:tblHeader/>
        </w:trPr>
        <w:tc>
          <w:tcPr>
            <w:tcW w:w="1843" w:type="dxa"/>
            <w:vAlign w:val="center"/>
          </w:tcPr>
          <w:p w14:paraId="71595ECB">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913" w:type="dxa"/>
            <w:vAlign w:val="center"/>
          </w:tcPr>
          <w:p w14:paraId="116C771E">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5624" w:type="dxa"/>
            <w:vAlign w:val="center"/>
          </w:tcPr>
          <w:p w14:paraId="4334BBA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编列内容规定</w:t>
            </w:r>
          </w:p>
        </w:tc>
      </w:tr>
      <w:tr w14:paraId="56210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380" w:type="dxa"/>
            <w:gridSpan w:val="3"/>
            <w:vAlign w:val="center"/>
          </w:tcPr>
          <w:p w14:paraId="1B1171C0">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第二章 磋商须知（前附表）</w:t>
            </w:r>
          </w:p>
        </w:tc>
      </w:tr>
      <w:tr w14:paraId="6BA736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380" w:type="dxa"/>
            <w:gridSpan w:val="3"/>
            <w:vAlign w:val="center"/>
          </w:tcPr>
          <w:p w14:paraId="6098198C">
            <w:pPr>
              <w:adjustRightInd w:val="0"/>
              <w:snapToGrid w:val="0"/>
              <w:rPr>
                <w:rFonts w:ascii="宋体" w:hAnsi="宋体" w:cs="宋体"/>
                <w:color w:val="auto"/>
                <w:szCs w:val="21"/>
                <w:highlight w:val="none"/>
              </w:rPr>
            </w:pPr>
            <w:r>
              <w:rPr>
                <w:rFonts w:hint="eastAsia" w:ascii="宋体" w:hAnsi="宋体" w:cs="宋体"/>
                <w:b/>
                <w:color w:val="auto"/>
                <w:szCs w:val="21"/>
                <w:highlight w:val="none"/>
              </w:rPr>
              <w:t>一、说明</w:t>
            </w:r>
          </w:p>
        </w:tc>
      </w:tr>
      <w:tr w14:paraId="27EA8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843" w:type="dxa"/>
            <w:vAlign w:val="center"/>
          </w:tcPr>
          <w:p w14:paraId="5DC5D87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 第1.1</w:t>
            </w:r>
            <w:r>
              <w:rPr>
                <w:rFonts w:hint="eastAsia" w:ascii="宋体" w:hAnsi="宋体" w:cs="宋体"/>
                <w:color w:val="auto"/>
                <w:kern w:val="0"/>
                <w:szCs w:val="21"/>
                <w:highlight w:val="none"/>
                <w:lang w:val="zh-CN"/>
              </w:rPr>
              <w:t>款</w:t>
            </w:r>
          </w:p>
        </w:tc>
        <w:tc>
          <w:tcPr>
            <w:tcW w:w="1913" w:type="dxa"/>
            <w:vAlign w:val="center"/>
          </w:tcPr>
          <w:p w14:paraId="4C104A4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采购项目</w:t>
            </w:r>
          </w:p>
        </w:tc>
        <w:tc>
          <w:tcPr>
            <w:tcW w:w="5624" w:type="dxa"/>
            <w:vAlign w:val="center"/>
          </w:tcPr>
          <w:p w14:paraId="61AE72C7">
            <w:pPr>
              <w:adjustRightInd w:val="0"/>
              <w:snapToGrid w:val="0"/>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rPr>
              <w:t>岭南连接通道拓宽及护坡加固项目</w:t>
            </w:r>
          </w:p>
        </w:tc>
      </w:tr>
      <w:tr w14:paraId="4675C8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8" w:hRule="atLeast"/>
        </w:trPr>
        <w:tc>
          <w:tcPr>
            <w:tcW w:w="1843" w:type="dxa"/>
            <w:vAlign w:val="center"/>
          </w:tcPr>
          <w:p w14:paraId="5C29E91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第二章第2.1</w:t>
            </w:r>
            <w:r>
              <w:rPr>
                <w:rFonts w:hint="eastAsia" w:ascii="宋体" w:hAnsi="宋体" w:cs="宋体"/>
                <w:color w:val="auto"/>
                <w:kern w:val="0"/>
                <w:szCs w:val="21"/>
                <w:highlight w:val="none"/>
                <w:lang w:val="zh-CN"/>
              </w:rPr>
              <w:t>款</w:t>
            </w:r>
          </w:p>
        </w:tc>
        <w:tc>
          <w:tcPr>
            <w:tcW w:w="1913" w:type="dxa"/>
            <w:vAlign w:val="center"/>
          </w:tcPr>
          <w:p w14:paraId="3FE6243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采购人</w:t>
            </w:r>
          </w:p>
        </w:tc>
        <w:tc>
          <w:tcPr>
            <w:tcW w:w="5624" w:type="dxa"/>
            <w:vAlign w:val="center"/>
          </w:tcPr>
          <w:p w14:paraId="11BA4F27">
            <w:pPr>
              <w:adjustRightInd w:val="0"/>
              <w:snapToGrid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采购人：湖南工商大学</w:t>
            </w:r>
          </w:p>
          <w:p w14:paraId="55F1E035">
            <w:pPr>
              <w:adjustRightInd w:val="0"/>
              <w:snapToGrid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地  址：长沙市岳麓大道569号</w:t>
            </w:r>
          </w:p>
          <w:p w14:paraId="04F64390">
            <w:pPr>
              <w:adjustRightInd w:val="0"/>
              <w:snapToGrid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联系人：王老师</w:t>
            </w:r>
          </w:p>
          <w:p w14:paraId="3B059970">
            <w:pPr>
              <w:adjustRightInd w:val="0"/>
              <w:snapToGrid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电 话：0731-88688224</w:t>
            </w:r>
          </w:p>
        </w:tc>
      </w:tr>
      <w:tr w14:paraId="11D784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843" w:type="dxa"/>
            <w:vAlign w:val="center"/>
          </w:tcPr>
          <w:p w14:paraId="78E2D10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第二章第2.2</w:t>
            </w:r>
            <w:r>
              <w:rPr>
                <w:rFonts w:hint="eastAsia" w:ascii="宋体" w:hAnsi="宋体" w:cs="宋体"/>
                <w:color w:val="auto"/>
                <w:kern w:val="0"/>
                <w:szCs w:val="21"/>
                <w:highlight w:val="none"/>
                <w:lang w:val="zh-CN"/>
              </w:rPr>
              <w:t>款</w:t>
            </w:r>
          </w:p>
        </w:tc>
        <w:tc>
          <w:tcPr>
            <w:tcW w:w="1913" w:type="dxa"/>
            <w:vAlign w:val="center"/>
          </w:tcPr>
          <w:p w14:paraId="2B90872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采购代理机构</w:t>
            </w:r>
          </w:p>
        </w:tc>
        <w:tc>
          <w:tcPr>
            <w:tcW w:w="5624" w:type="dxa"/>
            <w:vAlign w:val="center"/>
          </w:tcPr>
          <w:p w14:paraId="51DF7ADD">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代理机构：智埔国际建设集团有限公司 </w:t>
            </w:r>
          </w:p>
          <w:p w14:paraId="6FECE195">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地址：长沙市岳麓区文轩路27号麓谷企业广场B5栋5楼</w:t>
            </w:r>
          </w:p>
          <w:p w14:paraId="2C4F781A">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联系人： </w:t>
            </w:r>
            <w:r>
              <w:rPr>
                <w:rFonts w:hint="eastAsia" w:ascii="宋体" w:hAnsi="宋体" w:cs="宋体"/>
                <w:color w:val="auto"/>
                <w:kern w:val="0"/>
                <w:szCs w:val="21"/>
                <w:highlight w:val="none"/>
                <w:lang w:eastAsia="zh-CN" w:bidi="ar"/>
              </w:rPr>
              <w:t>李红平、张轶、黄小溪</w:t>
            </w:r>
            <w:r>
              <w:rPr>
                <w:rFonts w:hint="eastAsia" w:ascii="宋体" w:hAnsi="宋体" w:cs="宋体"/>
                <w:color w:val="auto"/>
                <w:kern w:val="0"/>
                <w:szCs w:val="21"/>
                <w:highlight w:val="none"/>
                <w:lang w:bidi="ar"/>
              </w:rPr>
              <w:t xml:space="preserve">      </w:t>
            </w:r>
          </w:p>
          <w:p w14:paraId="3FDC86EC">
            <w:pPr>
              <w:adjustRightInd w:val="0"/>
              <w:snapToGrid w:val="0"/>
              <w:spacing w:line="360" w:lineRule="auto"/>
              <w:rPr>
                <w:color w:val="auto"/>
                <w:highlight w:val="none"/>
              </w:rPr>
            </w:pPr>
            <w:r>
              <w:rPr>
                <w:rFonts w:hint="eastAsia" w:ascii="宋体" w:hAnsi="宋体" w:cs="宋体"/>
                <w:color w:val="auto"/>
                <w:kern w:val="0"/>
                <w:szCs w:val="21"/>
                <w:highlight w:val="none"/>
                <w:lang w:bidi="ar"/>
              </w:rPr>
              <w:t xml:space="preserve">联系电话： </w:t>
            </w:r>
            <w:r>
              <w:rPr>
                <w:rFonts w:hint="eastAsia" w:ascii="宋体" w:hAnsi="宋体" w:cs="宋体"/>
                <w:color w:val="auto"/>
                <w:kern w:val="0"/>
                <w:szCs w:val="21"/>
                <w:highlight w:val="none"/>
                <w:lang w:eastAsia="zh-CN" w:bidi="ar"/>
              </w:rPr>
              <w:t>0731-89670268</w:t>
            </w:r>
            <w:r>
              <w:rPr>
                <w:rFonts w:hint="eastAsia" w:ascii="宋体" w:hAnsi="宋体" w:cs="宋体"/>
                <w:color w:val="auto"/>
                <w:kern w:val="0"/>
                <w:szCs w:val="21"/>
                <w:highlight w:val="none"/>
                <w:lang w:bidi="ar"/>
              </w:rPr>
              <w:t xml:space="preserve"> </w:t>
            </w:r>
          </w:p>
        </w:tc>
      </w:tr>
      <w:tr w14:paraId="5B7CED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1843" w:type="dxa"/>
            <w:vMerge w:val="restart"/>
            <w:vAlign w:val="center"/>
          </w:tcPr>
          <w:p w14:paraId="789F842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第二章第2.3款</w:t>
            </w:r>
          </w:p>
        </w:tc>
        <w:tc>
          <w:tcPr>
            <w:tcW w:w="1913" w:type="dxa"/>
            <w:vAlign w:val="center"/>
          </w:tcPr>
          <w:p w14:paraId="4DEA588D">
            <w:pPr>
              <w:adjustRightInd w:val="0"/>
              <w:snapToGrid w:val="0"/>
              <w:rPr>
                <w:rFonts w:ascii="宋体" w:hAnsi="宋体" w:cs="宋体"/>
                <w:bCs/>
                <w:color w:val="auto"/>
                <w:szCs w:val="21"/>
                <w:highlight w:val="none"/>
              </w:rPr>
            </w:pPr>
            <w:r>
              <w:rPr>
                <w:rFonts w:hint="eastAsia" w:ascii="宋体" w:hAnsi="宋体" w:cs="宋体"/>
                <w:color w:val="auto"/>
                <w:kern w:val="0"/>
                <w:szCs w:val="21"/>
                <w:highlight w:val="none"/>
              </w:rPr>
              <w:t>供应商的</w:t>
            </w:r>
            <w:r>
              <w:rPr>
                <w:rFonts w:hint="eastAsia" w:ascii="宋体" w:hAnsi="宋体" w:cs="宋体"/>
                <w:color w:val="auto"/>
                <w:szCs w:val="21"/>
                <w:highlight w:val="none"/>
              </w:rPr>
              <w:t>邀请方式</w:t>
            </w:r>
          </w:p>
        </w:tc>
        <w:tc>
          <w:tcPr>
            <w:tcW w:w="5624" w:type="dxa"/>
            <w:vAlign w:val="center"/>
          </w:tcPr>
          <w:p w14:paraId="15D7CB75">
            <w:pPr>
              <w:pStyle w:val="10"/>
              <w:adjustRightInd w:val="0"/>
              <w:snapToGrid w:val="0"/>
              <w:spacing w:before="0" w:beforeAutospacing="0" w:after="0" w:afterAutospacing="0"/>
              <w:rPr>
                <w:color w:val="auto"/>
                <w:sz w:val="21"/>
                <w:szCs w:val="21"/>
                <w:highlight w:val="none"/>
              </w:rPr>
            </w:pPr>
            <w:r>
              <w:rPr>
                <w:rFonts w:hint="eastAsia"/>
                <w:color w:val="auto"/>
                <w:sz w:val="21"/>
                <w:szCs w:val="21"/>
                <w:highlight w:val="none"/>
              </w:rPr>
              <w:t>■ 发布公告</w:t>
            </w:r>
          </w:p>
          <w:p w14:paraId="5FA8101F">
            <w:pPr>
              <w:pStyle w:val="10"/>
              <w:adjustRightInd w:val="0"/>
              <w:snapToGrid w:val="0"/>
              <w:spacing w:before="0" w:beforeAutospacing="0" w:after="0" w:afterAutospacing="0"/>
              <w:rPr>
                <w:color w:val="auto"/>
                <w:sz w:val="21"/>
                <w:szCs w:val="21"/>
                <w:highlight w:val="none"/>
              </w:rPr>
            </w:pPr>
            <w:r>
              <w:rPr>
                <w:rFonts w:hint="eastAsia"/>
                <w:color w:val="auto"/>
                <w:sz w:val="21"/>
                <w:szCs w:val="21"/>
                <w:highlight w:val="none"/>
              </w:rPr>
              <w:t>□ 从省级以上财政部门建立的供应商库中随机抽取</w:t>
            </w:r>
          </w:p>
          <w:p w14:paraId="504E9BFA">
            <w:pPr>
              <w:pStyle w:val="10"/>
              <w:adjustRightInd w:val="0"/>
              <w:snapToGrid w:val="0"/>
              <w:spacing w:before="0" w:beforeAutospacing="0" w:after="0" w:afterAutospacing="0"/>
              <w:rPr>
                <w:color w:val="auto"/>
                <w:sz w:val="21"/>
                <w:szCs w:val="21"/>
                <w:highlight w:val="none"/>
              </w:rPr>
            </w:pPr>
            <w:r>
              <w:rPr>
                <w:rFonts w:hint="eastAsia"/>
                <w:color w:val="auto"/>
                <w:sz w:val="21"/>
                <w:szCs w:val="21"/>
                <w:highlight w:val="none"/>
              </w:rPr>
              <w:t>□ 采购人和评审专家分别书面推荐的方式</w:t>
            </w:r>
          </w:p>
        </w:tc>
      </w:tr>
      <w:tr w14:paraId="18E575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843" w:type="dxa"/>
            <w:vMerge w:val="continue"/>
            <w:vAlign w:val="center"/>
          </w:tcPr>
          <w:p w14:paraId="0DF80CF8">
            <w:pPr>
              <w:adjustRightInd w:val="0"/>
              <w:snapToGrid w:val="0"/>
              <w:jc w:val="center"/>
              <w:rPr>
                <w:rFonts w:ascii="宋体" w:hAnsi="宋体" w:cs="宋体"/>
                <w:color w:val="auto"/>
                <w:szCs w:val="21"/>
                <w:highlight w:val="none"/>
              </w:rPr>
            </w:pPr>
          </w:p>
        </w:tc>
        <w:tc>
          <w:tcPr>
            <w:tcW w:w="1913" w:type="dxa"/>
            <w:vAlign w:val="center"/>
          </w:tcPr>
          <w:p w14:paraId="5858EBBF">
            <w:pPr>
              <w:adjustRightInd w:val="0"/>
              <w:snapToGrid w:val="0"/>
              <w:rPr>
                <w:rFonts w:ascii="宋体" w:hAnsi="宋体" w:cs="宋体"/>
                <w:color w:val="auto"/>
                <w:szCs w:val="21"/>
                <w:highlight w:val="none"/>
              </w:rPr>
            </w:pPr>
            <w:r>
              <w:rPr>
                <w:rFonts w:hint="eastAsia" w:ascii="宋体" w:hAnsi="宋体" w:cs="宋体"/>
                <w:color w:val="auto"/>
                <w:szCs w:val="21"/>
                <w:highlight w:val="none"/>
              </w:rPr>
              <w:t>购买磋商文件时应提供的资料</w:t>
            </w:r>
          </w:p>
        </w:tc>
        <w:tc>
          <w:tcPr>
            <w:tcW w:w="5624" w:type="dxa"/>
            <w:vAlign w:val="center"/>
          </w:tcPr>
          <w:p w14:paraId="15A070D4">
            <w:pPr>
              <w:adjustRightInd w:val="0"/>
              <w:snapToGrid w:val="0"/>
              <w:rPr>
                <w:color w:val="auto"/>
                <w:szCs w:val="21"/>
                <w:highlight w:val="none"/>
              </w:rPr>
            </w:pPr>
            <w:r>
              <w:rPr>
                <w:rFonts w:hint="eastAsia" w:ascii="宋体" w:hAnsi="宋体" w:cs="宋体"/>
                <w:color w:val="auto"/>
                <w:kern w:val="0"/>
                <w:szCs w:val="21"/>
                <w:highlight w:val="none"/>
                <w:lang w:bidi="ar"/>
              </w:rPr>
              <w:t>法定代表人身份证明或授权委托书(附法定代表人身份证明)、个人身份证</w:t>
            </w:r>
          </w:p>
        </w:tc>
      </w:tr>
      <w:tr w14:paraId="1BC3F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43" w:type="dxa"/>
            <w:vAlign w:val="center"/>
          </w:tcPr>
          <w:p w14:paraId="225DC87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第二章第3.1</w:t>
            </w:r>
            <w:r>
              <w:rPr>
                <w:rFonts w:hint="eastAsia" w:ascii="宋体" w:hAnsi="宋体" w:cs="宋体"/>
                <w:color w:val="auto"/>
                <w:kern w:val="0"/>
                <w:szCs w:val="21"/>
                <w:highlight w:val="none"/>
                <w:lang w:val="zh-CN"/>
              </w:rPr>
              <w:t>款</w:t>
            </w:r>
          </w:p>
        </w:tc>
        <w:tc>
          <w:tcPr>
            <w:tcW w:w="1913" w:type="dxa"/>
            <w:vAlign w:val="center"/>
          </w:tcPr>
          <w:p w14:paraId="6359CE28">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供应商</w:t>
            </w:r>
            <w:r>
              <w:rPr>
                <w:rFonts w:hint="eastAsia" w:ascii="宋体" w:hAnsi="宋体" w:cs="宋体"/>
                <w:color w:val="auto"/>
                <w:szCs w:val="21"/>
                <w:highlight w:val="none"/>
              </w:rPr>
              <w:t>资格条件</w:t>
            </w:r>
          </w:p>
        </w:tc>
        <w:tc>
          <w:tcPr>
            <w:tcW w:w="5624" w:type="dxa"/>
            <w:vAlign w:val="center"/>
          </w:tcPr>
          <w:p w14:paraId="59F7B8FA">
            <w:pPr>
              <w:adjustRightInd w:val="0"/>
              <w:snapToGrid w:val="0"/>
              <w:spacing w:line="340" w:lineRule="exact"/>
              <w:outlineLvl w:val="0"/>
              <w:rPr>
                <w:color w:val="auto"/>
                <w:highlight w:val="none"/>
              </w:rPr>
            </w:pPr>
            <w:r>
              <w:rPr>
                <w:rFonts w:hint="eastAsia"/>
                <w:color w:val="auto"/>
                <w:highlight w:val="none"/>
              </w:rPr>
              <w:t>1、供应商基本资格条件：供应商需具备《中华人民共和国政府采购法》第二十二条规定的基本资格条件，并提供以下资格证明文件：</w:t>
            </w:r>
          </w:p>
          <w:p w14:paraId="5195C575">
            <w:pPr>
              <w:adjustRightInd w:val="0"/>
              <w:snapToGrid w:val="0"/>
              <w:spacing w:line="340" w:lineRule="exact"/>
              <w:jc w:val="left"/>
              <w:rPr>
                <w:color w:val="auto"/>
                <w:highlight w:val="none"/>
              </w:rPr>
            </w:pPr>
            <w:r>
              <w:rPr>
                <w:rFonts w:hint="eastAsia"/>
                <w:color w:val="auto"/>
                <w:highlight w:val="none"/>
              </w:rPr>
              <w:t>（1）供应商法人营业执照副本复印件；</w:t>
            </w:r>
          </w:p>
          <w:p w14:paraId="409E1C0A">
            <w:pPr>
              <w:adjustRightInd w:val="0"/>
              <w:snapToGrid w:val="0"/>
              <w:spacing w:line="340" w:lineRule="exact"/>
              <w:jc w:val="left"/>
              <w:rPr>
                <w:color w:val="auto"/>
                <w:highlight w:val="none"/>
              </w:rPr>
            </w:pPr>
            <w:r>
              <w:rPr>
                <w:rFonts w:hint="eastAsia"/>
                <w:color w:val="auto"/>
                <w:highlight w:val="none"/>
              </w:rPr>
              <w:t>（2）法定代表人授权委托书原件及双方身份证复印件；</w:t>
            </w:r>
          </w:p>
          <w:p w14:paraId="7A7DFD05">
            <w:pPr>
              <w:adjustRightInd w:val="0"/>
              <w:snapToGrid w:val="0"/>
              <w:spacing w:line="340" w:lineRule="exact"/>
              <w:jc w:val="left"/>
              <w:rPr>
                <w:color w:val="auto"/>
                <w:highlight w:val="none"/>
              </w:rPr>
            </w:pPr>
            <w:r>
              <w:rPr>
                <w:rFonts w:hint="eastAsia"/>
                <w:color w:val="auto"/>
                <w:highlight w:val="none"/>
              </w:rPr>
              <w:t>（3）供应商税务登记证(国税或地税)复印件；</w:t>
            </w:r>
          </w:p>
          <w:p w14:paraId="56E93910">
            <w:pPr>
              <w:adjustRightInd w:val="0"/>
              <w:snapToGrid w:val="0"/>
              <w:spacing w:line="340" w:lineRule="exact"/>
              <w:jc w:val="left"/>
              <w:rPr>
                <w:color w:val="auto"/>
                <w:highlight w:val="none"/>
              </w:rPr>
            </w:pPr>
            <w:r>
              <w:rPr>
                <w:rFonts w:hint="eastAsia"/>
                <w:color w:val="auto"/>
                <w:highlight w:val="none"/>
              </w:rPr>
              <w:t>（4）供应商社会保险登记证或缴纳社会保险的凭证复印件；</w:t>
            </w:r>
          </w:p>
          <w:p w14:paraId="35C2666F">
            <w:pPr>
              <w:adjustRightInd w:val="0"/>
              <w:snapToGrid w:val="0"/>
              <w:spacing w:line="340" w:lineRule="exact"/>
              <w:jc w:val="left"/>
              <w:rPr>
                <w:color w:val="auto"/>
                <w:highlight w:val="none"/>
              </w:rPr>
            </w:pPr>
            <w:r>
              <w:rPr>
                <w:rFonts w:hint="eastAsia"/>
                <w:color w:val="auto"/>
                <w:highlight w:val="none"/>
              </w:rPr>
              <w:t>（5）供应商参加本次政府采购活动前3年内没有重大违法记录的书面声明。</w:t>
            </w:r>
          </w:p>
          <w:p w14:paraId="2B818531">
            <w:pPr>
              <w:adjustRightInd w:val="0"/>
              <w:snapToGrid w:val="0"/>
              <w:spacing w:line="340" w:lineRule="exact"/>
              <w:rPr>
                <w:color w:val="auto"/>
                <w:highlight w:val="none"/>
              </w:rPr>
            </w:pPr>
            <w:r>
              <w:rPr>
                <w:rFonts w:hint="eastAsia"/>
                <w:color w:val="auto"/>
                <w:highlight w:val="none"/>
              </w:rPr>
              <w:t>2、供应商特定资格条件：</w:t>
            </w:r>
          </w:p>
          <w:p w14:paraId="1096A7C6">
            <w:pPr>
              <w:spacing w:line="276" w:lineRule="auto"/>
              <w:rPr>
                <w:rFonts w:hint="eastAsia"/>
                <w:b/>
                <w:bCs/>
                <w:color w:val="auto"/>
                <w:highlight w:val="none"/>
              </w:rPr>
            </w:pPr>
            <w:r>
              <w:rPr>
                <w:rFonts w:hint="eastAsia"/>
                <w:b/>
                <w:bCs/>
                <w:color w:val="auto"/>
                <w:highlight w:val="none"/>
                <w:lang w:val="en-US" w:eastAsia="zh-CN"/>
              </w:rPr>
              <w:t>（1）</w:t>
            </w:r>
            <w:r>
              <w:rPr>
                <w:rFonts w:hint="eastAsia"/>
                <w:b/>
                <w:bCs/>
                <w:color w:val="auto"/>
                <w:highlight w:val="none"/>
                <w:lang w:eastAsia="zh-CN"/>
              </w:rPr>
              <w:t>具有建设行政主管部门颁发的市政公用工程施工总承包叁级及以上资质</w:t>
            </w:r>
            <w:r>
              <w:rPr>
                <w:rFonts w:hint="eastAsia"/>
                <w:b/>
                <w:bCs/>
                <w:color w:val="auto"/>
                <w:highlight w:val="none"/>
              </w:rPr>
              <w:t>，资质证书处于有效期内；具备有效的安全生产许可证。</w:t>
            </w:r>
          </w:p>
          <w:p w14:paraId="65F348A1">
            <w:pPr>
              <w:spacing w:line="276" w:lineRule="auto"/>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湖南省外施工企业须按照湘建建[2015]190号文件要求办理省外入湘企业基本情况登记（以“湖南省住房和城乡建设网”查询为准）或具有入湘施工登记证（处于有效期内）。</w:t>
            </w:r>
          </w:p>
          <w:p w14:paraId="7EDAB694">
            <w:pPr>
              <w:spacing w:line="276" w:lineRule="auto"/>
              <w:rPr>
                <w:rFonts w:hint="eastAsia"/>
                <w:b/>
                <w:bCs/>
                <w:color w:val="auto"/>
                <w:highlight w:val="none"/>
              </w:rPr>
            </w:pPr>
            <w:r>
              <w:rPr>
                <w:rFonts w:hint="eastAsia"/>
                <w:b/>
                <w:bCs/>
                <w:color w:val="auto"/>
                <w:highlight w:val="none"/>
              </w:rPr>
              <w:t>（</w:t>
            </w:r>
            <w:r>
              <w:rPr>
                <w:rFonts w:hint="eastAsia"/>
                <w:b/>
                <w:bCs/>
                <w:color w:val="auto"/>
                <w:highlight w:val="none"/>
                <w:lang w:val="en-US" w:eastAsia="zh-CN"/>
              </w:rPr>
              <w:t>3</w:t>
            </w:r>
            <w:r>
              <w:rPr>
                <w:rFonts w:hint="eastAsia"/>
                <w:b/>
                <w:bCs/>
                <w:color w:val="auto"/>
                <w:highlight w:val="none"/>
              </w:rPr>
              <w:t>）拟任项目负责人具有</w:t>
            </w:r>
            <w:r>
              <w:rPr>
                <w:rFonts w:hint="eastAsia"/>
                <w:b/>
                <w:bCs/>
                <w:color w:val="auto"/>
                <w:highlight w:val="none"/>
                <w:lang w:eastAsia="zh-CN"/>
              </w:rPr>
              <w:t>建设行政主管部门颁发的市政公用工程专业贰级及以</w:t>
            </w:r>
            <w:r>
              <w:rPr>
                <w:rFonts w:hint="eastAsia"/>
                <w:b/>
                <w:bCs/>
                <w:color w:val="auto"/>
                <w:highlight w:val="none"/>
              </w:rPr>
              <w:t>上注册建造师执业资格，同时具有有效期内的项目负责人B类安全生产考核合格证，证书上的单位名称必须与供应商名称一致，且不得有在建项目。</w:t>
            </w:r>
          </w:p>
          <w:p w14:paraId="4FF79A9E">
            <w:pPr>
              <w:spacing w:line="360" w:lineRule="auto"/>
              <w:rPr>
                <w:rFonts w:hint="eastAsia"/>
                <w:color w:val="auto"/>
                <w:highlight w:val="none"/>
              </w:rPr>
            </w:pPr>
            <w:r>
              <w:rPr>
                <w:rFonts w:hint="eastAsia"/>
                <w:color w:val="auto"/>
                <w:highlight w:val="none"/>
              </w:rPr>
              <w:t>注：如已按照《住房和城乡建设部关于印发建设工程企业资质管理制度改革方案的通知》（建市〔2020〕94号）规定取得新资质证书的，资质相应等级对应上述要求。</w:t>
            </w:r>
          </w:p>
          <w:p w14:paraId="41470E0E">
            <w:pPr>
              <w:spacing w:line="360" w:lineRule="auto"/>
              <w:rPr>
                <w:rFonts w:ascii="宋体" w:hAnsi="宋体"/>
                <w:bCs/>
                <w:color w:val="auto"/>
                <w:szCs w:val="21"/>
                <w:highlight w:val="none"/>
              </w:rPr>
            </w:pPr>
            <w:r>
              <w:rPr>
                <w:rFonts w:hint="eastAsia" w:ascii="宋体" w:hAnsi="宋体"/>
                <w:b/>
                <w:color w:val="auto"/>
                <w:szCs w:val="21"/>
                <w:highlight w:val="none"/>
              </w:rPr>
              <w:t>注：</w:t>
            </w:r>
            <w:r>
              <w:rPr>
                <w:rFonts w:hint="eastAsia" w:ascii="宋体" w:hAnsi="宋体"/>
                <w:bCs/>
                <w:color w:val="auto"/>
                <w:szCs w:val="21"/>
                <w:highlight w:val="none"/>
              </w:rPr>
              <w:t>本项目按照《湖南省财政厅关于政府采购促进中小企业发展有关措施的通知》规定，符合法定条件的供应商凭《湖南省政府采购供应商资格承诺函》（格式见附件）参与政府采购活动，无需提供财务状况、缴纳税收和社会保障资金等资格证明材料。</w:t>
            </w:r>
          </w:p>
          <w:p w14:paraId="279F77FF">
            <w:pPr>
              <w:spacing w:line="360" w:lineRule="auto"/>
              <w:ind w:firstLine="420" w:firstLineChars="200"/>
              <w:rPr>
                <w:color w:val="auto"/>
                <w:highlight w:val="none"/>
              </w:rPr>
            </w:pPr>
            <w:r>
              <w:rPr>
                <w:rFonts w:hint="eastAsia" w:ascii="宋体" w:hAnsi="宋体"/>
                <w:bCs/>
                <w:color w:val="auto"/>
                <w:szCs w:val="21"/>
                <w:highlight w:val="none"/>
              </w:rPr>
              <w:t>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税务登记证和社会保险登记证，符合基本资格条件的相关条款，供应商如是“三证合一或五证合一”请自行说明。</w:t>
            </w:r>
          </w:p>
        </w:tc>
      </w:tr>
      <w:tr w14:paraId="6B0452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843" w:type="dxa"/>
            <w:vAlign w:val="center"/>
          </w:tcPr>
          <w:p w14:paraId="5506556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第二章第6.1</w:t>
            </w:r>
            <w:r>
              <w:rPr>
                <w:rFonts w:hint="eastAsia" w:ascii="宋体" w:hAnsi="宋体" w:cs="宋体"/>
                <w:color w:val="auto"/>
                <w:kern w:val="0"/>
                <w:szCs w:val="21"/>
                <w:highlight w:val="none"/>
                <w:lang w:val="zh-CN"/>
              </w:rPr>
              <w:t>款</w:t>
            </w:r>
          </w:p>
        </w:tc>
        <w:tc>
          <w:tcPr>
            <w:tcW w:w="1913" w:type="dxa"/>
            <w:vAlign w:val="center"/>
          </w:tcPr>
          <w:p w14:paraId="4A48ED9A">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联合体形式</w:t>
            </w:r>
          </w:p>
        </w:tc>
        <w:tc>
          <w:tcPr>
            <w:tcW w:w="5624" w:type="dxa"/>
            <w:vAlign w:val="center"/>
          </w:tcPr>
          <w:p w14:paraId="453AF7A1">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 不接受</w:t>
            </w:r>
          </w:p>
          <w:p w14:paraId="03959663">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 接受</w:t>
            </w:r>
          </w:p>
        </w:tc>
      </w:tr>
      <w:tr w14:paraId="6F2C7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843" w:type="dxa"/>
            <w:vAlign w:val="center"/>
          </w:tcPr>
          <w:p w14:paraId="4DBAA5D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第二章第6.2款</w:t>
            </w:r>
          </w:p>
        </w:tc>
        <w:tc>
          <w:tcPr>
            <w:tcW w:w="1913" w:type="dxa"/>
            <w:vAlign w:val="center"/>
          </w:tcPr>
          <w:p w14:paraId="29133B60">
            <w:pPr>
              <w:adjustRightInd w:val="0"/>
              <w:snapToGrid w:val="0"/>
              <w:rPr>
                <w:rFonts w:ascii="宋体" w:hAnsi="宋体" w:cs="宋体"/>
                <w:color w:val="auto"/>
                <w:szCs w:val="21"/>
                <w:highlight w:val="none"/>
              </w:rPr>
            </w:pPr>
            <w:r>
              <w:rPr>
                <w:rFonts w:hint="eastAsia" w:ascii="宋体" w:hAnsi="宋体" w:cs="宋体"/>
                <w:color w:val="auto"/>
                <w:szCs w:val="21"/>
                <w:highlight w:val="none"/>
              </w:rPr>
              <w:t>对联合体各方的要求</w:t>
            </w:r>
          </w:p>
        </w:tc>
        <w:tc>
          <w:tcPr>
            <w:tcW w:w="5624" w:type="dxa"/>
            <w:vAlign w:val="center"/>
          </w:tcPr>
          <w:p w14:paraId="355C33C7">
            <w:pPr>
              <w:adjustRightInd w:val="0"/>
              <w:snapToGrid w:val="0"/>
              <w:rPr>
                <w:rFonts w:ascii="宋体" w:hAnsi="宋体" w:cs="宋体"/>
                <w:color w:val="auto"/>
                <w:szCs w:val="21"/>
                <w:highlight w:val="none"/>
              </w:rPr>
            </w:pPr>
            <w:r>
              <w:rPr>
                <w:rFonts w:hint="eastAsia" w:ascii="宋体" w:hAnsi="宋体" w:cs="宋体"/>
                <w:color w:val="auto"/>
                <w:szCs w:val="21"/>
                <w:highlight w:val="none"/>
              </w:rPr>
              <w:t>无。</w:t>
            </w:r>
          </w:p>
        </w:tc>
      </w:tr>
      <w:tr w14:paraId="659087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843" w:type="dxa"/>
            <w:vAlign w:val="center"/>
          </w:tcPr>
          <w:p w14:paraId="4478A63C">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66B89DD4">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第7.1款</w:t>
            </w:r>
          </w:p>
        </w:tc>
        <w:tc>
          <w:tcPr>
            <w:tcW w:w="1913" w:type="dxa"/>
            <w:vAlign w:val="center"/>
          </w:tcPr>
          <w:p w14:paraId="64FB0666">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现场勘察</w:t>
            </w:r>
          </w:p>
        </w:tc>
        <w:tc>
          <w:tcPr>
            <w:tcW w:w="5624" w:type="dxa"/>
            <w:vAlign w:val="center"/>
          </w:tcPr>
          <w:p w14:paraId="1A2B29CC">
            <w:pPr>
              <w:adjustRightInd w:val="0"/>
              <w:snapToGrid w:val="0"/>
              <w:spacing w:line="276"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■采购人不统一组织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投标人自行踏勘现场，联系电话：88689072 ，联系人，叶老师。</w:t>
            </w:r>
          </w:p>
          <w:p w14:paraId="2E70807E">
            <w:pPr>
              <w:adjustRightInd w:val="0"/>
              <w:snapToGrid w:val="0"/>
              <w:spacing w:line="276" w:lineRule="auto"/>
              <w:jc w:val="left"/>
              <w:rPr>
                <w:rFonts w:ascii="宋体" w:hAnsi="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采购人组织，时间：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  </w:t>
            </w:r>
          </w:p>
        </w:tc>
      </w:tr>
      <w:tr w14:paraId="73FC7A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1843" w:type="dxa"/>
            <w:vAlign w:val="center"/>
          </w:tcPr>
          <w:p w14:paraId="35B808C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第二章第8.1</w:t>
            </w:r>
            <w:r>
              <w:rPr>
                <w:rFonts w:hint="eastAsia" w:ascii="宋体" w:hAnsi="宋体" w:cs="宋体"/>
                <w:color w:val="auto"/>
                <w:kern w:val="0"/>
                <w:szCs w:val="21"/>
                <w:highlight w:val="none"/>
                <w:lang w:val="zh-CN"/>
              </w:rPr>
              <w:t>款</w:t>
            </w:r>
          </w:p>
        </w:tc>
        <w:tc>
          <w:tcPr>
            <w:tcW w:w="1913" w:type="dxa"/>
            <w:vAlign w:val="center"/>
          </w:tcPr>
          <w:p w14:paraId="05C3678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采购进口产品</w:t>
            </w:r>
          </w:p>
        </w:tc>
        <w:tc>
          <w:tcPr>
            <w:tcW w:w="5624" w:type="dxa"/>
          </w:tcPr>
          <w:p w14:paraId="1827BB14">
            <w:pPr>
              <w:adjustRightInd w:val="0"/>
              <w:snapToGrid w:val="0"/>
              <w:spacing w:line="360" w:lineRule="exact"/>
              <w:rPr>
                <w:rFonts w:ascii="宋体" w:hAnsi="宋体" w:cs="宋体"/>
                <w:snapToGrid w:val="0"/>
                <w:color w:val="auto"/>
                <w:kern w:val="0"/>
                <w:szCs w:val="21"/>
                <w:highlight w:val="none"/>
                <w:shd w:val="clear" w:color="auto" w:fill="FFFFFF"/>
              </w:rPr>
            </w:pPr>
            <w:r>
              <w:rPr>
                <w:rFonts w:hint="eastAsia" w:ascii="宋体" w:hAnsi="宋体"/>
                <w:color w:val="auto"/>
                <w:szCs w:val="21"/>
                <w:highlight w:val="none"/>
              </w:rPr>
              <w:t>■</w:t>
            </w:r>
            <w:r>
              <w:rPr>
                <w:rFonts w:hint="eastAsia" w:ascii="宋体" w:hAnsi="宋体" w:cs="宋体"/>
                <w:snapToGrid w:val="0"/>
                <w:color w:val="auto"/>
                <w:kern w:val="0"/>
                <w:szCs w:val="21"/>
                <w:highlight w:val="none"/>
                <w:shd w:val="clear" w:color="auto" w:fill="FFFFFF"/>
              </w:rPr>
              <w:t>本采购项目拒绝进口产品参加投标。</w:t>
            </w:r>
          </w:p>
          <w:p w14:paraId="63373220">
            <w:pPr>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shd w:val="clear" w:color="auto" w:fill="FFFFFF"/>
              </w:rPr>
              <w:t>本采购项目已经财政部门审核同意购买进口产品。</w:t>
            </w:r>
          </w:p>
        </w:tc>
      </w:tr>
      <w:tr w14:paraId="46B2EA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1843" w:type="dxa"/>
            <w:vAlign w:val="center"/>
          </w:tcPr>
          <w:p w14:paraId="62030E6B">
            <w:pPr>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23D87FF5">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第9.1款</w:t>
            </w:r>
          </w:p>
        </w:tc>
        <w:tc>
          <w:tcPr>
            <w:tcW w:w="1913" w:type="dxa"/>
            <w:vAlign w:val="center"/>
          </w:tcPr>
          <w:p w14:paraId="1FF57126">
            <w:pPr>
              <w:adjustRightInd w:val="0"/>
              <w:snapToGrid w:val="0"/>
              <w:spacing w:line="320" w:lineRule="exact"/>
              <w:jc w:val="left"/>
              <w:rPr>
                <w:rFonts w:ascii="宋体" w:hAnsi="宋体"/>
                <w:color w:val="auto"/>
                <w:szCs w:val="21"/>
                <w:highlight w:val="none"/>
              </w:rPr>
            </w:pPr>
            <w:r>
              <w:rPr>
                <w:rFonts w:hint="eastAsia" w:ascii="宋体" w:hAnsi="宋体" w:cs="宋体"/>
                <w:color w:val="auto"/>
                <w:szCs w:val="21"/>
                <w:highlight w:val="none"/>
              </w:rPr>
              <w:t>政府采购强制采购节能产品</w:t>
            </w:r>
          </w:p>
        </w:tc>
        <w:tc>
          <w:tcPr>
            <w:tcW w:w="5624" w:type="dxa"/>
            <w:vAlign w:val="center"/>
          </w:tcPr>
          <w:p w14:paraId="0F7E8E33">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 否</w:t>
            </w:r>
          </w:p>
          <w:p w14:paraId="65FA320D">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 是，采购《节能产品政府采购清单》（第</w:t>
            </w:r>
            <w:r>
              <w:rPr>
                <w:rFonts w:hint="eastAsia" w:ascii="宋体" w:hAnsi="宋体"/>
                <w:color w:val="auto"/>
                <w:szCs w:val="21"/>
                <w:highlight w:val="none"/>
                <w:u w:val="single"/>
              </w:rPr>
              <w:t xml:space="preserve"> / </w:t>
            </w:r>
            <w:r>
              <w:rPr>
                <w:rFonts w:hint="eastAsia" w:ascii="宋体" w:hAnsi="宋体"/>
                <w:color w:val="auto"/>
                <w:szCs w:val="21"/>
                <w:highlight w:val="none"/>
              </w:rPr>
              <w:t>期）内标记★符号的节能产品。</w:t>
            </w:r>
          </w:p>
        </w:tc>
      </w:tr>
      <w:tr w14:paraId="37AAC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1843" w:type="dxa"/>
            <w:vAlign w:val="center"/>
          </w:tcPr>
          <w:p w14:paraId="526256C3">
            <w:pPr>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6B6FB337">
            <w:pPr>
              <w:spacing w:line="320" w:lineRule="exact"/>
              <w:jc w:val="center"/>
              <w:rPr>
                <w:rFonts w:ascii="宋体" w:hAnsi="宋体"/>
                <w:color w:val="auto"/>
                <w:szCs w:val="21"/>
                <w:highlight w:val="none"/>
              </w:rPr>
            </w:pPr>
            <w:r>
              <w:rPr>
                <w:rFonts w:hint="eastAsia" w:ascii="宋体" w:hAnsi="宋体"/>
                <w:color w:val="auto"/>
                <w:szCs w:val="21"/>
                <w:highlight w:val="none"/>
              </w:rPr>
              <w:t>第9.2款</w:t>
            </w:r>
          </w:p>
        </w:tc>
        <w:tc>
          <w:tcPr>
            <w:tcW w:w="1913" w:type="dxa"/>
            <w:vAlign w:val="center"/>
          </w:tcPr>
          <w:p w14:paraId="41035F5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政府采购优先采购环境标志产品</w:t>
            </w:r>
          </w:p>
        </w:tc>
        <w:tc>
          <w:tcPr>
            <w:tcW w:w="5624" w:type="dxa"/>
            <w:vAlign w:val="center"/>
          </w:tcPr>
          <w:p w14:paraId="6B4C6DF2">
            <w:pPr>
              <w:adjustRightInd w:val="0"/>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否。</w:t>
            </w:r>
          </w:p>
          <w:p w14:paraId="0648285B">
            <w:pPr>
              <w:adjustRightInd w:val="0"/>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 xml:space="preserve"> 是，采购产品为《环境标志产品政府采购清单》内的：</w:t>
            </w:r>
          </w:p>
          <w:p w14:paraId="553200B9">
            <w:pPr>
              <w:adjustRightInd w:val="0"/>
              <w:snapToGrid w:val="0"/>
              <w:rPr>
                <w:rFonts w:ascii="宋体" w:hAnsi="宋体" w:cs="宋体"/>
                <w:color w:val="auto"/>
                <w:szCs w:val="21"/>
                <w:highlight w:val="none"/>
              </w:rPr>
            </w:pPr>
            <w:r>
              <w:rPr>
                <w:rFonts w:hint="eastAsia" w:ascii="宋体" w:hAnsi="宋体" w:cs="宋体"/>
                <w:color w:val="auto"/>
                <w:szCs w:val="21"/>
                <w:highlight w:val="none"/>
              </w:rPr>
              <w:t>在采用综合评审时，对于技术和价格分，应分别给予总分值4%-8%的加分。本项目具体加分比例分别为 ：技术</w:t>
            </w:r>
            <w:r>
              <w:rPr>
                <w:rFonts w:hint="eastAsia" w:ascii="宋体" w:hAnsi="宋体" w:cs="宋体"/>
                <w:color w:val="auto"/>
                <w:szCs w:val="21"/>
                <w:highlight w:val="none"/>
                <w:u w:val="single"/>
              </w:rPr>
              <w:t xml:space="preserve">  4%  </w:t>
            </w:r>
            <w:r>
              <w:rPr>
                <w:rFonts w:hint="eastAsia" w:ascii="宋体" w:hAnsi="宋体" w:cs="宋体"/>
                <w:color w:val="auto"/>
                <w:szCs w:val="21"/>
                <w:highlight w:val="none"/>
              </w:rPr>
              <w:t>分、价格</w:t>
            </w:r>
            <w:r>
              <w:rPr>
                <w:rFonts w:hint="eastAsia" w:ascii="宋体" w:hAnsi="宋体" w:cs="宋体"/>
                <w:color w:val="auto"/>
                <w:szCs w:val="21"/>
                <w:highlight w:val="none"/>
                <w:u w:val="single"/>
              </w:rPr>
              <w:t xml:space="preserve">  4%  </w:t>
            </w:r>
            <w:r>
              <w:rPr>
                <w:rFonts w:hint="eastAsia" w:ascii="宋体" w:hAnsi="宋体" w:cs="宋体"/>
                <w:color w:val="auto"/>
                <w:szCs w:val="21"/>
                <w:highlight w:val="none"/>
              </w:rPr>
              <w:t>分；</w:t>
            </w:r>
          </w:p>
        </w:tc>
      </w:tr>
      <w:tr w14:paraId="255E6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1843" w:type="dxa"/>
            <w:vAlign w:val="center"/>
          </w:tcPr>
          <w:p w14:paraId="57A8488B">
            <w:pPr>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024775D8">
            <w:pPr>
              <w:spacing w:line="320" w:lineRule="exact"/>
              <w:jc w:val="center"/>
              <w:rPr>
                <w:rFonts w:ascii="宋体" w:hAnsi="宋体"/>
                <w:color w:val="auto"/>
                <w:szCs w:val="21"/>
                <w:highlight w:val="none"/>
              </w:rPr>
            </w:pPr>
            <w:r>
              <w:rPr>
                <w:rFonts w:hint="eastAsia" w:ascii="宋体" w:hAnsi="宋体"/>
                <w:color w:val="auto"/>
                <w:szCs w:val="21"/>
                <w:highlight w:val="none"/>
              </w:rPr>
              <w:t>第9.2款</w:t>
            </w:r>
          </w:p>
        </w:tc>
        <w:tc>
          <w:tcPr>
            <w:tcW w:w="1913" w:type="dxa"/>
            <w:vAlign w:val="center"/>
          </w:tcPr>
          <w:p w14:paraId="1EF3A1B4">
            <w:pPr>
              <w:adjustRightInd w:val="0"/>
              <w:snapToGrid w:val="0"/>
              <w:jc w:val="left"/>
              <w:rPr>
                <w:rFonts w:ascii="宋体" w:hAnsi="宋体"/>
                <w:color w:val="auto"/>
                <w:szCs w:val="21"/>
                <w:highlight w:val="none"/>
              </w:rPr>
            </w:pPr>
            <w:r>
              <w:rPr>
                <w:rFonts w:hint="eastAsia" w:ascii="宋体" w:hAnsi="宋体" w:cs="宋体"/>
                <w:color w:val="auto"/>
                <w:szCs w:val="21"/>
                <w:highlight w:val="none"/>
              </w:rPr>
              <w:t>政府采购</w:t>
            </w:r>
            <w:r>
              <w:rPr>
                <w:rFonts w:hint="eastAsia" w:ascii="宋体" w:hAnsi="宋体" w:cs="宋体"/>
                <w:bCs/>
                <w:color w:val="auto"/>
                <w:kern w:val="0"/>
                <w:szCs w:val="21"/>
                <w:highlight w:val="none"/>
              </w:rPr>
              <w:t>支持</w:t>
            </w:r>
            <w:r>
              <w:rPr>
                <w:rFonts w:hint="eastAsia" w:ascii="宋体" w:hAnsi="宋体" w:cs="宋体"/>
                <w:color w:val="auto"/>
                <w:szCs w:val="21"/>
                <w:highlight w:val="none"/>
              </w:rPr>
              <w:t>中小企业发展</w:t>
            </w:r>
          </w:p>
        </w:tc>
        <w:tc>
          <w:tcPr>
            <w:tcW w:w="5624" w:type="dxa"/>
            <w:vAlign w:val="center"/>
          </w:tcPr>
          <w:p w14:paraId="1911A393">
            <w:pPr>
              <w:adjustRightInd w:val="0"/>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 xml:space="preserve"> </w:t>
            </w:r>
            <w:r>
              <w:rPr>
                <w:rFonts w:hint="eastAsia" w:ascii="宋体" w:hAnsi="宋体" w:cs="宋体"/>
                <w:color w:val="auto"/>
                <w:spacing w:val="-10"/>
                <w:szCs w:val="21"/>
                <w:highlight w:val="none"/>
              </w:rPr>
              <w:t>专门面向中小企业采购（应同时在采购公告中注明）</w:t>
            </w:r>
            <w:r>
              <w:rPr>
                <w:rFonts w:hint="eastAsia" w:ascii="宋体" w:hAnsi="宋体" w:cs="宋体"/>
                <w:color w:val="auto"/>
                <w:spacing w:val="-10"/>
                <w:kern w:val="0"/>
                <w:szCs w:val="21"/>
                <w:highlight w:val="none"/>
              </w:rPr>
              <w:t>。</w:t>
            </w:r>
          </w:p>
          <w:p w14:paraId="216F0F15">
            <w:pPr>
              <w:adjustRightInd w:val="0"/>
              <w:snapToGrid w:val="0"/>
              <w:rPr>
                <w:rFonts w:ascii="宋体" w:hAnsi="宋体" w:cs="宋体"/>
                <w:color w:val="auto"/>
                <w:szCs w:val="21"/>
                <w:highlight w:val="none"/>
              </w:rPr>
            </w:pPr>
            <w:r>
              <w:rPr>
                <w:rFonts w:hint="eastAsia" w:ascii="宋体" w:hAnsi="宋体" w:cs="宋体"/>
                <w:color w:val="auto"/>
                <w:szCs w:val="21"/>
                <w:highlight w:val="none"/>
              </w:rPr>
              <w:t>□ 非专门面向中小企业采购：</w:t>
            </w:r>
          </w:p>
          <w:p w14:paraId="1F8E873E">
            <w:pPr>
              <w:adjustRightInd w:val="0"/>
              <w:snapToGrid w:val="0"/>
              <w:rPr>
                <w:rFonts w:ascii="宋体" w:hAnsi="宋体" w:cs="宋体"/>
                <w:color w:val="auto"/>
                <w:szCs w:val="21"/>
                <w:highlight w:val="none"/>
              </w:rPr>
            </w:pPr>
            <w:r>
              <w:rPr>
                <w:rFonts w:hint="eastAsia" w:ascii="宋体" w:hAnsi="宋体" w:cs="宋体"/>
                <w:color w:val="auto"/>
                <w:szCs w:val="21"/>
                <w:highlight w:val="none"/>
              </w:rPr>
              <w:t>1、给予小型和微型企业产品的价格给予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%的扣除，用扣除后的价格参与评审，本项目具体扣除比例为</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14:paraId="6F4D10C0">
            <w:pPr>
              <w:adjustRightInd w:val="0"/>
              <w:snapToGrid w:val="0"/>
              <w:rPr>
                <w:rFonts w:ascii="宋体" w:hAnsi="宋体" w:cs="宋体"/>
                <w:color w:val="auto"/>
                <w:szCs w:val="21"/>
                <w:highlight w:val="none"/>
              </w:rPr>
            </w:pPr>
            <w:r>
              <w:rPr>
                <w:rFonts w:hint="eastAsia" w:ascii="宋体" w:hAnsi="宋体" w:cs="宋体"/>
                <w:color w:val="auto"/>
                <w:szCs w:val="21"/>
                <w:highlight w:val="none"/>
              </w:rPr>
              <w:t>2、给予联合体4%-6%的价格扣除。本项目具体扣除比例为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71B405F">
            <w:pPr>
              <w:adjustRightInd w:val="0"/>
              <w:snapToGrid w:val="0"/>
              <w:spacing w:line="360" w:lineRule="auto"/>
              <w:rPr>
                <w:rFonts w:ascii="宋体" w:hAnsi="宋体" w:cs="宋体"/>
                <w:color w:val="auto"/>
                <w:spacing w:val="-6"/>
                <w:szCs w:val="21"/>
                <w:highlight w:val="none"/>
              </w:rPr>
            </w:pPr>
            <w:r>
              <w:rPr>
                <w:rFonts w:hint="eastAsia" w:ascii="宋体" w:hAnsi="宋体" w:cs="宋体"/>
                <w:color w:val="auto"/>
                <w:szCs w:val="21"/>
                <w:highlight w:val="none"/>
              </w:rPr>
              <w:t>3、</w:t>
            </w:r>
            <w:r>
              <w:rPr>
                <w:rFonts w:hint="eastAsia" w:ascii="宋体" w:hAnsi="宋体" w:cs="宋体"/>
                <w:color w:val="auto"/>
                <w:spacing w:val="-6"/>
                <w:szCs w:val="21"/>
                <w:highlight w:val="none"/>
              </w:rPr>
              <w:t>给予中型企业产品的价格给予3%-5%的扣除，用扣除后的价格参与评审，本项目具体扣除比例为</w:t>
            </w:r>
            <w:r>
              <w:rPr>
                <w:rFonts w:hint="eastAsia" w:ascii="宋体" w:hAnsi="宋体" w:cs="宋体"/>
                <w:b/>
                <w:color w:val="auto"/>
                <w:spacing w:val="-6"/>
                <w:szCs w:val="21"/>
                <w:highlight w:val="none"/>
                <w:u w:val="single"/>
              </w:rPr>
              <w:t xml:space="preserve"> /  </w:t>
            </w:r>
            <w:r>
              <w:rPr>
                <w:rFonts w:hint="eastAsia" w:ascii="宋体" w:hAnsi="宋体" w:cs="宋体"/>
                <w:color w:val="auto"/>
                <w:spacing w:val="-6"/>
                <w:szCs w:val="21"/>
                <w:highlight w:val="none"/>
              </w:rPr>
              <w:t>％。</w:t>
            </w:r>
          </w:p>
          <w:p w14:paraId="765DF17D">
            <w:pPr>
              <w:pStyle w:val="2"/>
              <w:ind w:left="0" w:leftChars="0" w:firstLine="0" w:firstLineChars="0"/>
              <w:rPr>
                <w:color w:val="auto"/>
                <w:highlight w:val="none"/>
              </w:rPr>
            </w:pPr>
            <w:r>
              <w:rPr>
                <w:rFonts w:hint="eastAsia" w:ascii="宋体" w:hAnsi="宋体" w:cs="宋体"/>
                <w:color w:val="auto"/>
                <w:spacing w:val="-6"/>
                <w:szCs w:val="21"/>
                <w:highlight w:val="none"/>
              </w:rPr>
              <w:t>4、</w:t>
            </w:r>
            <w:r>
              <w:rPr>
                <w:rFonts w:hint="eastAsia" w:ascii="宋体" w:hAnsi="宋体" w:cs="宋体"/>
                <w:color w:val="auto"/>
                <w:szCs w:val="21"/>
                <w:highlight w:val="none"/>
              </w:rPr>
              <w:t>在政府采购活动中，残疾人福利性单位、监狱企业视同小型、微型企业。</w:t>
            </w:r>
          </w:p>
        </w:tc>
      </w:tr>
      <w:tr w14:paraId="72DD8A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1843" w:type="dxa"/>
            <w:vAlign w:val="center"/>
          </w:tcPr>
          <w:p w14:paraId="1C8D230F">
            <w:pPr>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386B5942">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第9.6款</w:t>
            </w:r>
          </w:p>
        </w:tc>
        <w:tc>
          <w:tcPr>
            <w:tcW w:w="1913" w:type="dxa"/>
            <w:vAlign w:val="center"/>
          </w:tcPr>
          <w:p w14:paraId="4C487144">
            <w:pPr>
              <w:adjustRightInd w:val="0"/>
              <w:snapToGrid w:val="0"/>
              <w:spacing w:line="320" w:lineRule="exact"/>
              <w:jc w:val="center"/>
              <w:rPr>
                <w:rFonts w:ascii="宋体" w:hAnsi="宋体"/>
                <w:color w:val="auto"/>
                <w:szCs w:val="21"/>
                <w:highlight w:val="none"/>
              </w:rPr>
            </w:pPr>
            <w:r>
              <w:rPr>
                <w:rFonts w:hint="eastAsia" w:ascii="宋体" w:hAnsi="宋体" w:cs="宋体"/>
                <w:bCs/>
                <w:color w:val="auto"/>
                <w:kern w:val="0"/>
                <w:szCs w:val="21"/>
                <w:highlight w:val="none"/>
              </w:rPr>
              <w:t>中小企业融资、信用担保</w:t>
            </w:r>
          </w:p>
        </w:tc>
        <w:tc>
          <w:tcPr>
            <w:tcW w:w="5624" w:type="dxa"/>
            <w:vAlign w:val="center"/>
          </w:tcPr>
          <w:p w14:paraId="55C7D407">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有融资、履约担保或融资担保需求的，可登陆中国湖南政府采购网查询。</w:t>
            </w:r>
          </w:p>
        </w:tc>
      </w:tr>
      <w:tr w14:paraId="77538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380" w:type="dxa"/>
            <w:gridSpan w:val="3"/>
            <w:vAlign w:val="center"/>
          </w:tcPr>
          <w:p w14:paraId="1F456585">
            <w:pPr>
              <w:adjustRightInd w:val="0"/>
              <w:snapToGrid w:val="0"/>
              <w:rPr>
                <w:rFonts w:ascii="宋体" w:hAnsi="宋体" w:cs="宋体"/>
                <w:b/>
                <w:color w:val="auto"/>
                <w:szCs w:val="21"/>
                <w:highlight w:val="none"/>
              </w:rPr>
            </w:pPr>
            <w:r>
              <w:rPr>
                <w:rFonts w:hint="eastAsia" w:ascii="宋体" w:hAnsi="宋体" w:cs="宋体"/>
                <w:b/>
                <w:color w:val="auto"/>
                <w:szCs w:val="21"/>
                <w:highlight w:val="none"/>
              </w:rPr>
              <w:t>二、磋商文件</w:t>
            </w:r>
          </w:p>
        </w:tc>
      </w:tr>
      <w:tr w14:paraId="04B21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843" w:type="dxa"/>
            <w:vAlign w:val="center"/>
          </w:tcPr>
          <w:p w14:paraId="7DF04A9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第二章第10.2款</w:t>
            </w:r>
          </w:p>
        </w:tc>
        <w:tc>
          <w:tcPr>
            <w:tcW w:w="1913" w:type="dxa"/>
            <w:vAlign w:val="center"/>
          </w:tcPr>
          <w:p w14:paraId="5565573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磋商文件的可能实质性变动内容</w:t>
            </w:r>
          </w:p>
        </w:tc>
        <w:tc>
          <w:tcPr>
            <w:tcW w:w="5624" w:type="dxa"/>
            <w:vAlign w:val="center"/>
          </w:tcPr>
          <w:p w14:paraId="078227C7">
            <w:pPr>
              <w:adjustRightInd w:val="0"/>
              <w:snapToGrid w:val="0"/>
              <w:rPr>
                <w:rFonts w:ascii="宋体" w:hAnsi="宋体" w:cs="宋体"/>
                <w:color w:val="auto"/>
                <w:szCs w:val="21"/>
                <w:highlight w:val="none"/>
              </w:rPr>
            </w:pPr>
            <w:r>
              <w:rPr>
                <w:color w:val="auto"/>
                <w:szCs w:val="21"/>
                <w:highlight w:val="none"/>
              </w:rPr>
              <w:t>磋商文件的实质性变动内容为磋商文件的组成部分，实质性变动内容</w:t>
            </w:r>
            <w:r>
              <w:rPr>
                <w:color w:val="auto"/>
                <w:szCs w:val="21"/>
                <w:highlight w:val="none"/>
                <w:lang w:val="zh-CN"/>
              </w:rPr>
              <w:t>与</w:t>
            </w:r>
            <w:r>
              <w:rPr>
                <w:color w:val="auto"/>
                <w:szCs w:val="21"/>
                <w:highlight w:val="none"/>
              </w:rPr>
              <w:t>磋商文件</w:t>
            </w:r>
            <w:r>
              <w:rPr>
                <w:color w:val="auto"/>
                <w:szCs w:val="21"/>
                <w:highlight w:val="none"/>
                <w:lang w:val="zh-CN"/>
              </w:rPr>
              <w:t>不一致时，以</w:t>
            </w:r>
            <w:r>
              <w:rPr>
                <w:color w:val="auto"/>
                <w:szCs w:val="21"/>
                <w:highlight w:val="none"/>
              </w:rPr>
              <w:t>实质性变动内容</w:t>
            </w:r>
            <w:r>
              <w:rPr>
                <w:color w:val="auto"/>
                <w:szCs w:val="21"/>
                <w:highlight w:val="none"/>
                <w:lang w:val="zh-CN"/>
              </w:rPr>
              <w:t>为准。</w:t>
            </w:r>
          </w:p>
        </w:tc>
      </w:tr>
      <w:tr w14:paraId="09C70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843" w:type="dxa"/>
            <w:vAlign w:val="center"/>
          </w:tcPr>
          <w:p w14:paraId="6246AC0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第二章第11.1款</w:t>
            </w:r>
          </w:p>
        </w:tc>
        <w:tc>
          <w:tcPr>
            <w:tcW w:w="1913" w:type="dxa"/>
            <w:vAlign w:val="center"/>
          </w:tcPr>
          <w:p w14:paraId="30215C45">
            <w:pPr>
              <w:adjustRightInd w:val="0"/>
              <w:snapToGrid w:val="0"/>
              <w:rPr>
                <w:rFonts w:ascii="宋体" w:hAnsi="宋体" w:cs="宋体"/>
                <w:color w:val="auto"/>
                <w:szCs w:val="21"/>
                <w:highlight w:val="none"/>
              </w:rPr>
            </w:pPr>
            <w:r>
              <w:rPr>
                <w:rFonts w:hint="eastAsia" w:ascii="宋体" w:hAnsi="宋体" w:cs="宋体"/>
                <w:color w:val="auto"/>
                <w:szCs w:val="21"/>
                <w:highlight w:val="none"/>
              </w:rPr>
              <w:t>提交首次响应文件的截止时间</w:t>
            </w:r>
          </w:p>
        </w:tc>
        <w:tc>
          <w:tcPr>
            <w:tcW w:w="5624" w:type="dxa"/>
            <w:vAlign w:val="center"/>
          </w:tcPr>
          <w:p w14:paraId="606DB81F">
            <w:pPr>
              <w:adjustRightInd w:val="0"/>
              <w:snapToGrid w:val="0"/>
              <w:jc w:val="left"/>
              <w:rPr>
                <w:rFonts w:ascii="宋体" w:hAnsi="宋体" w:cs="宋体"/>
                <w:b/>
                <w:color w:val="auto"/>
                <w:szCs w:val="21"/>
                <w:highlight w:val="none"/>
              </w:rPr>
            </w:pPr>
            <w:r>
              <w:rPr>
                <w:rFonts w:hint="eastAsia" w:ascii="宋体" w:hAnsi="宋体" w:cs="宋体"/>
                <w:color w:val="auto"/>
                <w:kern w:val="0"/>
                <w:szCs w:val="21"/>
                <w:highlight w:val="none"/>
                <w:lang w:bidi="ar"/>
              </w:rPr>
              <w:t>详见第一章磋商邀请</w:t>
            </w:r>
          </w:p>
        </w:tc>
      </w:tr>
      <w:tr w14:paraId="2CEC4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380" w:type="dxa"/>
            <w:gridSpan w:val="3"/>
            <w:vAlign w:val="center"/>
          </w:tcPr>
          <w:p w14:paraId="4E0FEA59">
            <w:pPr>
              <w:adjustRightInd w:val="0"/>
              <w:snapToGrid w:val="0"/>
              <w:rPr>
                <w:rFonts w:ascii="宋体" w:hAnsi="宋体" w:cs="宋体"/>
                <w:color w:val="auto"/>
                <w:szCs w:val="21"/>
                <w:highlight w:val="none"/>
              </w:rPr>
            </w:pPr>
            <w:r>
              <w:rPr>
                <w:rFonts w:hint="eastAsia" w:ascii="宋体" w:hAnsi="宋体" w:cs="宋体"/>
                <w:b/>
                <w:color w:val="auto"/>
                <w:szCs w:val="21"/>
                <w:highlight w:val="none"/>
              </w:rPr>
              <w:t>三、响应文件的编写</w:t>
            </w:r>
          </w:p>
        </w:tc>
      </w:tr>
      <w:tr w14:paraId="17541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1843" w:type="dxa"/>
            <w:vAlign w:val="center"/>
          </w:tcPr>
          <w:p w14:paraId="037BDF5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第二章第15.4款</w:t>
            </w:r>
          </w:p>
        </w:tc>
        <w:tc>
          <w:tcPr>
            <w:tcW w:w="1913" w:type="dxa"/>
            <w:vAlign w:val="center"/>
          </w:tcPr>
          <w:p w14:paraId="66C0C290">
            <w:pPr>
              <w:adjustRightInd w:val="0"/>
              <w:snapToGrid w:val="0"/>
              <w:rPr>
                <w:rFonts w:ascii="宋体" w:hAnsi="宋体" w:cs="宋体"/>
                <w:color w:val="auto"/>
                <w:szCs w:val="21"/>
                <w:highlight w:val="none"/>
              </w:rPr>
            </w:pPr>
            <w:r>
              <w:rPr>
                <w:rFonts w:hint="eastAsia" w:ascii="宋体" w:hAnsi="宋体" w:cs="宋体"/>
                <w:color w:val="auto"/>
                <w:szCs w:val="21"/>
                <w:highlight w:val="none"/>
              </w:rPr>
              <w:t>采购项目预算</w:t>
            </w:r>
          </w:p>
        </w:tc>
        <w:tc>
          <w:tcPr>
            <w:tcW w:w="5624" w:type="dxa"/>
            <w:vAlign w:val="center"/>
          </w:tcPr>
          <w:p w14:paraId="0C1BB4F7">
            <w:pPr>
              <w:adjustRightInd w:val="0"/>
              <w:snapToGrid w:val="0"/>
              <w:rPr>
                <w:color w:val="auto"/>
                <w:highlight w:val="none"/>
              </w:rPr>
            </w:pPr>
            <w:r>
              <w:rPr>
                <w:rFonts w:hint="eastAsia" w:ascii="宋体" w:hAnsi="宋体" w:cs="宋体"/>
                <w:color w:val="auto"/>
                <w:szCs w:val="21"/>
                <w:highlight w:val="none"/>
              </w:rPr>
              <w:t>项目预算：</w:t>
            </w:r>
            <w:r>
              <w:rPr>
                <w:rFonts w:hint="eastAsia" w:ascii="宋体" w:hAnsi="宋体" w:cs="宋体"/>
                <w:b/>
                <w:color w:val="auto"/>
                <w:kern w:val="0"/>
                <w:szCs w:val="21"/>
                <w:highlight w:val="none"/>
                <w:lang w:val="en-US" w:eastAsia="zh-CN"/>
              </w:rPr>
              <w:t xml:space="preserve">3900000元 </w:t>
            </w:r>
            <w:r>
              <w:rPr>
                <w:rFonts w:hint="eastAsia" w:ascii="宋体" w:hAnsi="宋体" w:cs="宋体"/>
                <w:color w:val="auto"/>
                <w:szCs w:val="21"/>
                <w:highlight w:val="none"/>
              </w:rPr>
              <w:t xml:space="preserve"> ；最高限价：</w:t>
            </w:r>
            <w:r>
              <w:rPr>
                <w:rFonts w:hint="eastAsia" w:ascii="宋体" w:hAnsi="宋体" w:cs="宋体"/>
                <w:color w:val="auto"/>
                <w:kern w:val="0"/>
                <w:szCs w:val="21"/>
                <w:highlight w:val="none"/>
                <w:lang w:val="en-US" w:eastAsia="zh-CN" w:bidi="ar"/>
              </w:rPr>
              <w:t>3346991.82</w:t>
            </w:r>
            <w:r>
              <w:rPr>
                <w:rFonts w:hint="eastAsia" w:ascii="宋体" w:hAnsi="宋体" w:cs="宋体"/>
                <w:color w:val="auto"/>
                <w:szCs w:val="21"/>
                <w:highlight w:val="none"/>
                <w:lang w:val="en-US" w:eastAsia="zh-CN"/>
              </w:rPr>
              <w:t xml:space="preserve">  </w:t>
            </w:r>
            <w:r>
              <w:rPr>
                <w:color w:val="auto"/>
                <w:highlight w:val="none"/>
              </w:rPr>
              <w:t>元</w:t>
            </w:r>
            <w:r>
              <w:rPr>
                <w:rFonts w:hint="eastAsia"/>
                <w:color w:val="auto"/>
                <w:highlight w:val="none"/>
              </w:rPr>
              <w:t>。</w:t>
            </w:r>
          </w:p>
          <w:p w14:paraId="5D41FE54">
            <w:pPr>
              <w:adjustRightInd w:val="0"/>
              <w:snapToGrid w:val="0"/>
              <w:rPr>
                <w:color w:val="auto"/>
                <w:highlight w:val="none"/>
              </w:rPr>
            </w:pPr>
            <w:r>
              <w:rPr>
                <w:rFonts w:hint="eastAsia"/>
                <w:b/>
                <w:bCs/>
                <w:color w:val="auto"/>
                <w:highlight w:val="none"/>
              </w:rPr>
              <w:t>投标报价不得</w:t>
            </w:r>
            <w:r>
              <w:rPr>
                <w:b/>
                <w:bCs/>
                <w:color w:val="auto"/>
                <w:highlight w:val="none"/>
              </w:rPr>
              <w:t>超过</w:t>
            </w:r>
            <w:r>
              <w:rPr>
                <w:rFonts w:hint="eastAsia"/>
                <w:b/>
                <w:bCs/>
                <w:color w:val="auto"/>
                <w:highlight w:val="none"/>
              </w:rPr>
              <w:t>最高限价，否则投标无效。</w:t>
            </w:r>
          </w:p>
        </w:tc>
      </w:tr>
      <w:tr w14:paraId="74F964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6" w:hRule="atLeast"/>
        </w:trPr>
        <w:tc>
          <w:tcPr>
            <w:tcW w:w="1843" w:type="dxa"/>
            <w:vAlign w:val="center"/>
          </w:tcPr>
          <w:p w14:paraId="41E1981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第二章第17.1</w:t>
            </w:r>
            <w:r>
              <w:rPr>
                <w:rFonts w:hint="eastAsia" w:ascii="宋体" w:hAnsi="宋体" w:cs="宋体"/>
                <w:color w:val="auto"/>
                <w:kern w:val="0"/>
                <w:szCs w:val="21"/>
                <w:highlight w:val="none"/>
                <w:lang w:val="zh-CN"/>
              </w:rPr>
              <w:t>款</w:t>
            </w:r>
          </w:p>
        </w:tc>
        <w:tc>
          <w:tcPr>
            <w:tcW w:w="1913" w:type="dxa"/>
            <w:vAlign w:val="center"/>
          </w:tcPr>
          <w:p w14:paraId="3DEC0376">
            <w:pPr>
              <w:adjustRightInd w:val="0"/>
              <w:snapToGrid w:val="0"/>
              <w:rPr>
                <w:rFonts w:ascii="宋体" w:hAnsi="宋体" w:cs="宋体"/>
                <w:color w:val="auto"/>
                <w:szCs w:val="21"/>
                <w:highlight w:val="none"/>
              </w:rPr>
            </w:pPr>
            <w:r>
              <w:rPr>
                <w:rFonts w:hint="eastAsia" w:ascii="宋体" w:hAnsi="宋体"/>
                <w:color w:val="auto"/>
                <w:szCs w:val="21"/>
                <w:highlight w:val="none"/>
              </w:rPr>
              <w:t>磋商</w:t>
            </w:r>
            <w:r>
              <w:rPr>
                <w:rFonts w:hint="eastAsia" w:ascii="宋体" w:hAnsi="宋体" w:cs="宋体"/>
                <w:color w:val="auto"/>
                <w:szCs w:val="21"/>
                <w:highlight w:val="none"/>
              </w:rPr>
              <w:t>保证金</w:t>
            </w:r>
          </w:p>
        </w:tc>
        <w:tc>
          <w:tcPr>
            <w:tcW w:w="5624" w:type="dxa"/>
            <w:vAlign w:val="center"/>
          </w:tcPr>
          <w:p w14:paraId="1F35546B">
            <w:pPr>
              <w:adjustRightInd w:val="0"/>
              <w:snapToGrid w:val="0"/>
              <w:spacing w:line="320" w:lineRule="exact"/>
              <w:rPr>
                <w:color w:val="auto"/>
                <w:highlight w:val="none"/>
              </w:rPr>
            </w:pPr>
            <w:r>
              <w:rPr>
                <w:rFonts w:hint="eastAsia"/>
                <w:color w:val="auto"/>
                <w:highlight w:val="none"/>
              </w:rPr>
              <w:t>■不要求提供</w:t>
            </w:r>
          </w:p>
          <w:p w14:paraId="10E38AD7">
            <w:pPr>
              <w:spacing w:line="320" w:lineRule="exact"/>
              <w:rPr>
                <w:color w:val="auto"/>
                <w:highlight w:val="none"/>
              </w:rPr>
            </w:pPr>
            <w:r>
              <w:rPr>
                <w:rFonts w:hint="eastAsia"/>
                <w:color w:val="auto"/>
                <w:highlight w:val="none"/>
              </w:rPr>
              <w:sym w:font="Wingdings 2" w:char="00A3"/>
            </w:r>
            <w:r>
              <w:rPr>
                <w:rFonts w:hint="eastAsia"/>
                <w:color w:val="auto"/>
                <w:highlight w:val="none"/>
              </w:rPr>
              <w:t>要求提供</w:t>
            </w:r>
          </w:p>
          <w:p w14:paraId="3459609C">
            <w:pPr>
              <w:spacing w:line="400" w:lineRule="exact"/>
              <w:rPr>
                <w:color w:val="auto"/>
                <w:highlight w:val="none"/>
              </w:rPr>
            </w:pPr>
            <w:r>
              <w:rPr>
                <w:rFonts w:hint="eastAsia"/>
                <w:color w:val="auto"/>
                <w:highlight w:val="none"/>
              </w:rPr>
              <w:t>1、保证金数额：/元</w:t>
            </w:r>
            <w:r>
              <w:rPr>
                <w:color w:val="auto"/>
                <w:highlight w:val="none"/>
              </w:rPr>
              <w:t xml:space="preserve"> </w:t>
            </w:r>
          </w:p>
          <w:p w14:paraId="7F68E470">
            <w:pPr>
              <w:spacing w:line="400" w:lineRule="exact"/>
              <w:rPr>
                <w:color w:val="auto"/>
                <w:highlight w:val="none"/>
              </w:rPr>
            </w:pPr>
            <w:r>
              <w:rPr>
                <w:rFonts w:hint="eastAsia"/>
                <w:color w:val="auto"/>
                <w:highlight w:val="none"/>
              </w:rPr>
              <w:t>2、缴纳方式：银行转账,从各投标单位基本账户转让到如下投标保证金托管专户，并在进账单用途栏或备注栏中注明所投标的项目名称。</w:t>
            </w:r>
          </w:p>
          <w:p w14:paraId="755B4E61">
            <w:pPr>
              <w:rPr>
                <w:color w:val="auto"/>
                <w:szCs w:val="21"/>
                <w:highlight w:val="none"/>
              </w:rPr>
            </w:pPr>
            <w:r>
              <w:rPr>
                <w:color w:val="auto"/>
                <w:szCs w:val="21"/>
                <w:highlight w:val="none"/>
              </w:rPr>
              <w:t>名称：</w:t>
            </w:r>
            <w:r>
              <w:rPr>
                <w:rStyle w:val="41"/>
                <w:rFonts w:hint="eastAsia" w:ascii="宋体" w:hAnsi="宋体"/>
                <w:color w:val="auto"/>
                <w:szCs w:val="21"/>
                <w:highlight w:val="none"/>
              </w:rPr>
              <w:t>/</w:t>
            </w:r>
          </w:p>
          <w:p w14:paraId="4098E01D">
            <w:pPr>
              <w:rPr>
                <w:color w:val="auto"/>
                <w:szCs w:val="21"/>
                <w:highlight w:val="none"/>
              </w:rPr>
            </w:pPr>
            <w:r>
              <w:rPr>
                <w:color w:val="auto"/>
                <w:szCs w:val="21"/>
                <w:highlight w:val="none"/>
              </w:rPr>
              <w:t>开户行：</w:t>
            </w:r>
            <w:r>
              <w:rPr>
                <w:rStyle w:val="41"/>
                <w:rFonts w:hint="eastAsia" w:ascii="宋体" w:hAnsi="宋体"/>
                <w:color w:val="auto"/>
                <w:szCs w:val="21"/>
                <w:highlight w:val="none"/>
              </w:rPr>
              <w:t>/</w:t>
            </w:r>
          </w:p>
          <w:p w14:paraId="360480B0">
            <w:pPr>
              <w:spacing w:line="360" w:lineRule="exact"/>
              <w:rPr>
                <w:rFonts w:ascii="宋体" w:hAnsi="宋体"/>
                <w:color w:val="auto"/>
                <w:szCs w:val="21"/>
                <w:highlight w:val="none"/>
              </w:rPr>
            </w:pPr>
            <w:r>
              <w:rPr>
                <w:color w:val="auto"/>
                <w:szCs w:val="21"/>
                <w:highlight w:val="none"/>
              </w:rPr>
              <w:t>帐号：</w:t>
            </w:r>
            <w:r>
              <w:rPr>
                <w:rStyle w:val="41"/>
                <w:rFonts w:hint="eastAsia" w:ascii="宋体" w:hAnsi="宋体"/>
                <w:color w:val="auto"/>
                <w:szCs w:val="21"/>
                <w:highlight w:val="none"/>
              </w:rPr>
              <w:t>/</w:t>
            </w:r>
          </w:p>
          <w:p w14:paraId="1CBB0D85">
            <w:pPr>
              <w:spacing w:line="400" w:lineRule="exact"/>
              <w:rPr>
                <w:color w:val="auto"/>
                <w:highlight w:val="none"/>
              </w:rPr>
            </w:pPr>
            <w:r>
              <w:rPr>
                <w:rFonts w:hint="eastAsia"/>
                <w:color w:val="auto"/>
                <w:highlight w:val="none"/>
              </w:rPr>
              <w:t>3、缴纳时间：</w:t>
            </w:r>
            <w:r>
              <w:rPr>
                <w:rFonts w:hint="eastAsia" w:ascii="宋体" w:hAnsi="宋体" w:cs="宋体"/>
                <w:b/>
                <w:bCs/>
                <w:color w:val="auto"/>
                <w:highlight w:val="none"/>
                <w:u w:val="single"/>
              </w:rPr>
              <w:t>投标截止日期前</w:t>
            </w:r>
            <w:r>
              <w:rPr>
                <w:rFonts w:hint="eastAsia" w:ascii="宋体" w:hAnsi="宋体"/>
                <w:bCs/>
                <w:color w:val="auto"/>
                <w:szCs w:val="21"/>
                <w:highlight w:val="none"/>
                <w:u w:val="single"/>
              </w:rPr>
              <w:t>，</w:t>
            </w:r>
            <w:r>
              <w:rPr>
                <w:rFonts w:hint="eastAsia" w:ascii="宋体" w:hAnsi="宋体"/>
                <w:color w:val="auto"/>
                <w:szCs w:val="21"/>
                <w:highlight w:val="none"/>
              </w:rPr>
              <w:t xml:space="preserve"> 以银行到账回单为准。</w:t>
            </w:r>
          </w:p>
          <w:p w14:paraId="4AECEF43">
            <w:pPr>
              <w:adjustRightInd w:val="0"/>
              <w:snapToGrid w:val="0"/>
              <w:spacing w:line="400" w:lineRule="exact"/>
              <w:rPr>
                <w:color w:val="auto"/>
                <w:highlight w:val="none"/>
              </w:rPr>
            </w:pPr>
            <w:r>
              <w:rPr>
                <w:rFonts w:hint="eastAsia"/>
                <w:color w:val="auto"/>
                <w:highlight w:val="none"/>
              </w:rPr>
              <w:t>4、未按时足额缴纳保证金的，其响应文件将被拒绝。</w:t>
            </w:r>
          </w:p>
          <w:p w14:paraId="17727C2F">
            <w:pPr>
              <w:pStyle w:val="16"/>
              <w:spacing w:line="400" w:lineRule="exact"/>
              <w:rPr>
                <w:b/>
                <w:color w:val="auto"/>
                <w:highlight w:val="none"/>
              </w:rPr>
            </w:pPr>
            <w:r>
              <w:rPr>
                <w:rFonts w:hint="eastAsia" w:ascii="Times New Roman" w:eastAsia="宋体"/>
                <w:color w:val="auto"/>
                <w:kern w:val="2"/>
                <w:sz w:val="21"/>
                <w:szCs w:val="24"/>
                <w:highlight w:val="none"/>
              </w:rPr>
              <w:t>备注：须在进账单“款项来源”栏注明</w:t>
            </w:r>
            <w:r>
              <w:rPr>
                <w:rFonts w:hint="eastAsia" w:ascii="Times New Roman" w:eastAsia="宋体"/>
                <w:b/>
                <w:color w:val="auto"/>
                <w:kern w:val="2"/>
                <w:sz w:val="21"/>
                <w:szCs w:val="24"/>
                <w:highlight w:val="none"/>
              </w:rPr>
              <w:t>“</w:t>
            </w:r>
            <w:r>
              <w:rPr>
                <w:rFonts w:hint="eastAsia" w:asciiTheme="minorEastAsia" w:hAnsiTheme="minorEastAsia" w:eastAsiaTheme="minorEastAsia"/>
                <w:color w:val="auto"/>
                <w:szCs w:val="21"/>
                <w:highlight w:val="none"/>
              </w:rPr>
              <w:t>xx项目保证金</w:t>
            </w:r>
            <w:r>
              <w:rPr>
                <w:rFonts w:hint="eastAsia" w:ascii="Times New Roman" w:eastAsia="宋体"/>
                <w:b/>
                <w:color w:val="auto"/>
                <w:kern w:val="2"/>
                <w:sz w:val="21"/>
                <w:szCs w:val="24"/>
                <w:highlight w:val="none"/>
              </w:rPr>
              <w:t>”</w:t>
            </w:r>
            <w:r>
              <w:rPr>
                <w:rFonts w:hint="eastAsia" w:ascii="Times New Roman" w:eastAsia="宋体"/>
                <w:color w:val="auto"/>
                <w:kern w:val="2"/>
                <w:sz w:val="21"/>
                <w:szCs w:val="24"/>
                <w:highlight w:val="none"/>
              </w:rPr>
              <w:t>。</w:t>
            </w:r>
          </w:p>
        </w:tc>
      </w:tr>
      <w:tr w14:paraId="70319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1843" w:type="dxa"/>
            <w:vAlign w:val="center"/>
          </w:tcPr>
          <w:p w14:paraId="786346E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第二章第18.1款</w:t>
            </w:r>
          </w:p>
        </w:tc>
        <w:tc>
          <w:tcPr>
            <w:tcW w:w="1913" w:type="dxa"/>
            <w:vAlign w:val="center"/>
          </w:tcPr>
          <w:p w14:paraId="5B5A207B">
            <w:pPr>
              <w:adjustRightInd w:val="0"/>
              <w:snapToGrid w:val="0"/>
              <w:rPr>
                <w:rFonts w:ascii="宋体" w:hAnsi="宋体" w:cs="宋体"/>
                <w:bCs/>
                <w:color w:val="auto"/>
                <w:szCs w:val="21"/>
                <w:highlight w:val="none"/>
              </w:rPr>
            </w:pPr>
            <w:r>
              <w:rPr>
                <w:rFonts w:hint="eastAsia" w:ascii="宋体" w:hAnsi="宋体" w:cs="宋体"/>
                <w:bCs/>
                <w:color w:val="auto"/>
                <w:szCs w:val="21"/>
                <w:highlight w:val="none"/>
              </w:rPr>
              <w:t>响应文件有效期</w:t>
            </w:r>
          </w:p>
        </w:tc>
        <w:tc>
          <w:tcPr>
            <w:tcW w:w="5624" w:type="dxa"/>
            <w:vAlign w:val="center"/>
          </w:tcPr>
          <w:p w14:paraId="25768280">
            <w:pPr>
              <w:adjustRightInd w:val="0"/>
              <w:snapToGrid w:val="0"/>
              <w:rPr>
                <w:rFonts w:ascii="宋体" w:hAnsi="宋体" w:cs="宋体"/>
                <w:bCs/>
                <w:color w:val="auto"/>
                <w:szCs w:val="21"/>
                <w:highlight w:val="none"/>
              </w:rPr>
            </w:pP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日（日历日）。</w:t>
            </w:r>
          </w:p>
        </w:tc>
      </w:tr>
      <w:tr w14:paraId="5A59B9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1843" w:type="dxa"/>
            <w:vAlign w:val="center"/>
          </w:tcPr>
          <w:p w14:paraId="4604825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第二章第19.1款</w:t>
            </w:r>
          </w:p>
        </w:tc>
        <w:tc>
          <w:tcPr>
            <w:tcW w:w="1913" w:type="dxa"/>
            <w:vAlign w:val="center"/>
          </w:tcPr>
          <w:p w14:paraId="47AB4433">
            <w:pPr>
              <w:adjustRightInd w:val="0"/>
              <w:snapToGrid w:val="0"/>
              <w:rPr>
                <w:rFonts w:ascii="宋体" w:hAnsi="宋体" w:cs="宋体"/>
                <w:color w:val="auto"/>
                <w:szCs w:val="21"/>
                <w:highlight w:val="none"/>
              </w:rPr>
            </w:pPr>
            <w:r>
              <w:rPr>
                <w:rFonts w:hint="eastAsia" w:ascii="宋体" w:hAnsi="宋体" w:cs="宋体"/>
                <w:color w:val="auto"/>
                <w:szCs w:val="21"/>
                <w:highlight w:val="none"/>
              </w:rPr>
              <w:t>响应文件份数</w:t>
            </w:r>
          </w:p>
        </w:tc>
        <w:tc>
          <w:tcPr>
            <w:tcW w:w="5624" w:type="dxa"/>
            <w:vAlign w:val="center"/>
          </w:tcPr>
          <w:p w14:paraId="7071FDED">
            <w:pPr>
              <w:adjustRightInd w:val="0"/>
              <w:snapToGrid w:val="0"/>
              <w:rPr>
                <w:rFonts w:ascii="宋体" w:hAnsi="宋体" w:cs="宋体"/>
                <w:color w:val="auto"/>
                <w:szCs w:val="21"/>
                <w:highlight w:val="none"/>
              </w:rPr>
            </w:pPr>
            <w:r>
              <w:rPr>
                <w:rFonts w:hint="eastAsia" w:ascii="宋体" w:hAnsi="宋体" w:cs="宋体"/>
                <w:color w:val="auto"/>
                <w:szCs w:val="21"/>
                <w:highlight w:val="none"/>
              </w:rPr>
              <w:t>壹正贰副，投标文件胶装成册，正本和副本均密封包装(电子文件装入密封袋中)；电子文件壹份(U盘装投标文件盖章签字后的PDF格式版本，未提交投标文件电子档的其投标无效)。</w:t>
            </w:r>
          </w:p>
        </w:tc>
      </w:tr>
      <w:tr w14:paraId="41B743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380" w:type="dxa"/>
            <w:gridSpan w:val="3"/>
            <w:vAlign w:val="center"/>
          </w:tcPr>
          <w:p w14:paraId="1342092F">
            <w:pPr>
              <w:adjustRightInd w:val="0"/>
              <w:snapToGrid w:val="0"/>
              <w:rPr>
                <w:rFonts w:ascii="宋体" w:hAnsi="宋体" w:cs="宋体"/>
                <w:b/>
                <w:bCs/>
                <w:color w:val="auto"/>
                <w:szCs w:val="21"/>
                <w:highlight w:val="none"/>
              </w:rPr>
            </w:pPr>
            <w:r>
              <w:rPr>
                <w:rFonts w:hint="eastAsia" w:ascii="宋体" w:hAnsi="宋体" w:cs="宋体"/>
                <w:b/>
                <w:color w:val="auto"/>
                <w:szCs w:val="21"/>
                <w:highlight w:val="none"/>
              </w:rPr>
              <w:t>四、响应文件的递交</w:t>
            </w:r>
          </w:p>
        </w:tc>
      </w:tr>
      <w:tr w14:paraId="472999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43" w:type="dxa"/>
            <w:vAlign w:val="center"/>
          </w:tcPr>
          <w:p w14:paraId="50D607F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第二章第20.2款</w:t>
            </w:r>
          </w:p>
        </w:tc>
        <w:tc>
          <w:tcPr>
            <w:tcW w:w="1913" w:type="dxa"/>
            <w:vAlign w:val="center"/>
          </w:tcPr>
          <w:p w14:paraId="1EDBCF0F">
            <w:pPr>
              <w:adjustRightInd w:val="0"/>
              <w:snapToGrid w:val="0"/>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5624" w:type="dxa"/>
            <w:vAlign w:val="center"/>
          </w:tcPr>
          <w:p w14:paraId="73F03CE6">
            <w:pPr>
              <w:adjustRightInd w:val="0"/>
              <w:snapToGrid w:val="0"/>
              <w:rPr>
                <w:rFonts w:ascii="宋体" w:hAnsi="宋体" w:cs="宋体"/>
                <w:color w:val="auto"/>
                <w:szCs w:val="21"/>
                <w:highlight w:val="none"/>
              </w:rPr>
            </w:pP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响应文件</w:t>
            </w:r>
          </w:p>
          <w:p w14:paraId="5CCECF9A">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政府采购编号：</w:t>
            </w:r>
          </w:p>
          <w:p w14:paraId="67AC9A6D">
            <w:pPr>
              <w:adjustRightInd w:val="0"/>
              <w:snapToGrid w:val="0"/>
              <w:rPr>
                <w:rFonts w:ascii="宋体" w:hAnsi="宋体" w:cs="宋体"/>
                <w:color w:val="auto"/>
                <w:szCs w:val="21"/>
                <w:highlight w:val="none"/>
              </w:rPr>
            </w:pPr>
            <w:r>
              <w:rPr>
                <w:rFonts w:hint="eastAsia" w:ascii="宋体" w:hAnsi="宋体" w:cs="宋体"/>
                <w:color w:val="auto"/>
                <w:szCs w:val="21"/>
                <w:highlight w:val="none"/>
              </w:rPr>
              <w:t>委托代理编号：</w:t>
            </w:r>
          </w:p>
          <w:p w14:paraId="3C192405">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供应商名称：                    </w:t>
            </w:r>
          </w:p>
          <w:p w14:paraId="7CE1BC12">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供应商地址：                    </w:t>
            </w:r>
          </w:p>
          <w:p w14:paraId="5DF5222D">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在  年  月  日   时  分之前不得启封 </w:t>
            </w:r>
          </w:p>
        </w:tc>
      </w:tr>
      <w:tr w14:paraId="736B4D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843" w:type="dxa"/>
            <w:vAlign w:val="center"/>
          </w:tcPr>
          <w:p w14:paraId="3D9D044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第二章第22.1款</w:t>
            </w:r>
          </w:p>
        </w:tc>
        <w:tc>
          <w:tcPr>
            <w:tcW w:w="1913" w:type="dxa"/>
            <w:vAlign w:val="center"/>
          </w:tcPr>
          <w:p w14:paraId="75E4B4E9">
            <w:pPr>
              <w:adjustRightInd w:val="0"/>
              <w:snapToGrid w:val="0"/>
              <w:rPr>
                <w:rFonts w:ascii="宋体" w:hAnsi="宋体" w:cs="宋体"/>
                <w:color w:val="auto"/>
                <w:szCs w:val="21"/>
                <w:highlight w:val="none"/>
              </w:rPr>
            </w:pPr>
            <w:r>
              <w:rPr>
                <w:rFonts w:hint="eastAsia" w:ascii="宋体" w:hAnsi="宋体" w:cs="宋体"/>
                <w:color w:val="auto"/>
                <w:szCs w:val="21"/>
                <w:highlight w:val="none"/>
              </w:rPr>
              <w:t>响应文件的递交地点</w:t>
            </w:r>
          </w:p>
        </w:tc>
        <w:tc>
          <w:tcPr>
            <w:tcW w:w="5624" w:type="dxa"/>
            <w:vAlign w:val="center"/>
          </w:tcPr>
          <w:p w14:paraId="3D175B62">
            <w:pPr>
              <w:adjustRightInd w:val="0"/>
              <w:snapToGrid w:val="0"/>
              <w:jc w:val="center"/>
              <w:rPr>
                <w:rFonts w:ascii="宋体" w:hAnsi="宋体" w:cs="宋体"/>
                <w:b/>
                <w:bCs/>
                <w:color w:val="auto"/>
                <w:szCs w:val="21"/>
                <w:highlight w:val="none"/>
              </w:rPr>
            </w:pPr>
            <w:r>
              <w:rPr>
                <w:rFonts w:hint="eastAsia" w:ascii="宋体" w:hAnsi="宋体" w:cs="宋体"/>
                <w:color w:val="auto"/>
                <w:kern w:val="0"/>
                <w:szCs w:val="21"/>
                <w:highlight w:val="none"/>
                <w:lang w:eastAsia="zh-CN" w:bidi="ar"/>
              </w:rPr>
              <w:t>智埔国际建设集团有限公司（长沙市岳麓区文轩路27号麓谷企业广场B5栋5楼）</w:t>
            </w:r>
          </w:p>
        </w:tc>
      </w:tr>
      <w:tr w14:paraId="70707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380" w:type="dxa"/>
            <w:gridSpan w:val="3"/>
            <w:vAlign w:val="center"/>
          </w:tcPr>
          <w:p w14:paraId="6B21CBB4">
            <w:pPr>
              <w:adjustRightInd w:val="0"/>
              <w:snapToGrid w:val="0"/>
              <w:rPr>
                <w:rFonts w:ascii="宋体" w:hAnsi="宋体"/>
                <w:color w:val="auto"/>
                <w:szCs w:val="21"/>
                <w:highlight w:val="none"/>
              </w:rPr>
            </w:pPr>
            <w:r>
              <w:rPr>
                <w:rFonts w:hint="eastAsia" w:ascii="宋体" w:hAnsi="宋体"/>
                <w:b/>
                <w:bCs/>
                <w:color w:val="auto"/>
                <w:szCs w:val="21"/>
                <w:highlight w:val="none"/>
              </w:rPr>
              <w:t>五、响应文件的磋商与评审</w:t>
            </w:r>
          </w:p>
        </w:tc>
      </w:tr>
      <w:tr w14:paraId="067EF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843" w:type="dxa"/>
            <w:vAlign w:val="center"/>
          </w:tcPr>
          <w:p w14:paraId="21DE0518">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56692C0A">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第29.2款</w:t>
            </w:r>
          </w:p>
        </w:tc>
        <w:tc>
          <w:tcPr>
            <w:tcW w:w="1913" w:type="dxa"/>
            <w:vAlign w:val="center"/>
          </w:tcPr>
          <w:p w14:paraId="0C8DC4C6">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评审因素和标准</w:t>
            </w:r>
          </w:p>
        </w:tc>
        <w:tc>
          <w:tcPr>
            <w:tcW w:w="5624" w:type="dxa"/>
            <w:vAlign w:val="center"/>
          </w:tcPr>
          <w:p w14:paraId="25BF0A68">
            <w:pPr>
              <w:adjustRightInd w:val="0"/>
              <w:snapToGrid w:val="0"/>
              <w:spacing w:line="320" w:lineRule="exact"/>
              <w:rPr>
                <w:rFonts w:ascii="宋体" w:hAnsi="宋体"/>
                <w:bCs/>
                <w:color w:val="auto"/>
                <w:szCs w:val="21"/>
                <w:highlight w:val="none"/>
              </w:rPr>
            </w:pPr>
            <w:r>
              <w:rPr>
                <w:rFonts w:hint="eastAsia" w:ascii="宋体" w:hAnsi="宋体"/>
                <w:bCs/>
                <w:color w:val="auto"/>
                <w:szCs w:val="21"/>
                <w:highlight w:val="none"/>
              </w:rPr>
              <w:t>见评标办法</w:t>
            </w:r>
          </w:p>
        </w:tc>
      </w:tr>
      <w:tr w14:paraId="7F083E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1843" w:type="dxa"/>
            <w:vAlign w:val="center"/>
          </w:tcPr>
          <w:p w14:paraId="0ABC432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第二章第35.1款、</w:t>
            </w:r>
          </w:p>
        </w:tc>
        <w:tc>
          <w:tcPr>
            <w:tcW w:w="1913" w:type="dxa"/>
            <w:vAlign w:val="center"/>
          </w:tcPr>
          <w:p w14:paraId="29487C45">
            <w:pPr>
              <w:adjustRightInd w:val="0"/>
              <w:snapToGrid w:val="0"/>
              <w:rPr>
                <w:rFonts w:ascii="宋体" w:hAnsi="宋体" w:cs="宋体"/>
                <w:color w:val="auto"/>
                <w:szCs w:val="21"/>
                <w:highlight w:val="none"/>
              </w:rPr>
            </w:pPr>
            <w:r>
              <w:rPr>
                <w:rFonts w:hint="eastAsia" w:ascii="宋体" w:hAnsi="宋体" w:cs="宋体"/>
                <w:color w:val="auto"/>
                <w:szCs w:val="21"/>
                <w:highlight w:val="none"/>
              </w:rPr>
              <w:t>指定的媒体</w:t>
            </w:r>
          </w:p>
        </w:tc>
        <w:tc>
          <w:tcPr>
            <w:tcW w:w="5624" w:type="dxa"/>
            <w:vAlign w:val="center"/>
          </w:tcPr>
          <w:p w14:paraId="57B3052A">
            <w:pPr>
              <w:adjustRightInd w:val="0"/>
              <w:snapToGrid w:val="0"/>
              <w:rPr>
                <w:rFonts w:ascii="宋体" w:hAnsi="宋体"/>
                <w:color w:val="auto"/>
                <w:szCs w:val="21"/>
                <w:highlight w:val="none"/>
              </w:rPr>
            </w:pPr>
            <w:r>
              <w:rPr>
                <w:rFonts w:hint="eastAsia" w:ascii="宋体" w:hAnsi="宋体"/>
                <w:color w:val="auto"/>
                <w:szCs w:val="21"/>
                <w:highlight w:val="none"/>
              </w:rPr>
              <w:t>中国湖南政府采购网</w:t>
            </w:r>
          </w:p>
          <w:p w14:paraId="3E12CA5C">
            <w:pPr>
              <w:adjustRightInd w:val="0"/>
              <w:snapToGrid w:val="0"/>
              <w:jc w:val="left"/>
              <w:rPr>
                <w:rFonts w:ascii="宋体" w:hAnsi="宋体" w:cs="宋体"/>
                <w:color w:val="auto"/>
                <w:szCs w:val="21"/>
                <w:highlight w:val="none"/>
                <w:u w:val="single"/>
              </w:rPr>
            </w:pPr>
            <w:r>
              <w:rPr>
                <w:rFonts w:ascii="宋体" w:hAnsi="宋体"/>
                <w:color w:val="auto"/>
                <w:szCs w:val="21"/>
                <w:highlight w:val="none"/>
                <w:u w:val="single"/>
              </w:rPr>
              <w:t>http：//ccgp-hunan.gov.cn</w:t>
            </w:r>
          </w:p>
        </w:tc>
      </w:tr>
      <w:tr w14:paraId="4B5AE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843" w:type="dxa"/>
            <w:vAlign w:val="center"/>
          </w:tcPr>
          <w:p w14:paraId="52E1336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第二章第37.3款</w:t>
            </w:r>
          </w:p>
        </w:tc>
        <w:tc>
          <w:tcPr>
            <w:tcW w:w="1913" w:type="dxa"/>
            <w:vAlign w:val="center"/>
          </w:tcPr>
          <w:p w14:paraId="1F7BD027">
            <w:pPr>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w:t>
            </w:r>
          </w:p>
        </w:tc>
        <w:tc>
          <w:tcPr>
            <w:tcW w:w="5624" w:type="dxa"/>
            <w:vAlign w:val="center"/>
          </w:tcPr>
          <w:p w14:paraId="27AB4E89">
            <w:pPr>
              <w:adjustRightInd w:val="0"/>
              <w:snapToGrid w:val="0"/>
              <w:rPr>
                <w:rFonts w:ascii="宋体" w:hAnsi="宋体" w:cs="宋体"/>
                <w:color w:val="auto"/>
                <w:szCs w:val="21"/>
                <w:highlight w:val="none"/>
              </w:rPr>
            </w:pPr>
            <w:r>
              <w:rPr>
                <w:rFonts w:hint="eastAsia" w:ascii="宋体" w:hAnsi="宋体" w:cs="宋体"/>
                <w:color w:val="auto"/>
                <w:szCs w:val="21"/>
                <w:highlight w:val="none"/>
              </w:rPr>
              <w:t>□不要求提供。</w:t>
            </w:r>
          </w:p>
          <w:p w14:paraId="4148072C">
            <w:pPr>
              <w:adjustRightInd w:val="0"/>
              <w:snapToGrid w:val="0"/>
              <w:rPr>
                <w:rFonts w:ascii="宋体" w:hAnsi="宋体" w:cs="宋体"/>
                <w:color w:val="auto"/>
                <w:szCs w:val="21"/>
                <w:highlight w:val="none"/>
              </w:rPr>
            </w:pPr>
            <w:r>
              <w:rPr>
                <w:rFonts w:hint="eastAsia" w:ascii="宋体" w:hAnsi="宋体" w:cs="宋体"/>
                <w:bCs/>
                <w:color w:val="auto"/>
                <w:kern w:val="0"/>
                <w:szCs w:val="21"/>
                <w:highlight w:val="none"/>
              </w:rPr>
              <w:t>■</w:t>
            </w:r>
            <w:r>
              <w:rPr>
                <w:rFonts w:hint="eastAsia" w:ascii="宋体" w:hAnsi="宋体" w:cs="宋体"/>
                <w:color w:val="auto"/>
                <w:szCs w:val="21"/>
                <w:highlight w:val="none"/>
              </w:rPr>
              <w:t>要求提供，履约担保的金额为：</w:t>
            </w:r>
            <w:r>
              <w:rPr>
                <w:rFonts w:hint="eastAsia" w:ascii="宋体" w:hAnsi="宋体" w:cs="宋体"/>
                <w:color w:val="auto"/>
                <w:szCs w:val="21"/>
                <w:highlight w:val="none"/>
                <w:lang w:val="en-US" w:eastAsia="zh-CN"/>
              </w:rPr>
              <w:t>中标合同金额的10%</w:t>
            </w:r>
          </w:p>
        </w:tc>
      </w:tr>
      <w:tr w14:paraId="29B76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9380" w:type="dxa"/>
            <w:gridSpan w:val="3"/>
            <w:vAlign w:val="center"/>
          </w:tcPr>
          <w:p w14:paraId="570D92EB">
            <w:pPr>
              <w:adjustRightInd w:val="0"/>
              <w:snapToGrid w:val="0"/>
              <w:jc w:val="left"/>
              <w:rPr>
                <w:rFonts w:ascii="宋体" w:hAnsi="宋体" w:cs="宋体"/>
                <w:color w:val="auto"/>
                <w:szCs w:val="21"/>
                <w:highlight w:val="none"/>
              </w:rPr>
            </w:pPr>
            <w:r>
              <w:rPr>
                <w:rFonts w:hint="eastAsia" w:ascii="宋体" w:hAnsi="宋体"/>
                <w:b/>
                <w:color w:val="auto"/>
                <w:szCs w:val="21"/>
                <w:highlight w:val="none"/>
              </w:rPr>
              <w:t>七、其他规定</w:t>
            </w:r>
          </w:p>
        </w:tc>
      </w:tr>
      <w:tr w14:paraId="4D0584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1843" w:type="dxa"/>
            <w:vAlign w:val="center"/>
          </w:tcPr>
          <w:p w14:paraId="51F4B54B">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00C9DE59">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第39.1款</w:t>
            </w:r>
          </w:p>
        </w:tc>
        <w:tc>
          <w:tcPr>
            <w:tcW w:w="1913" w:type="dxa"/>
            <w:vAlign w:val="center"/>
          </w:tcPr>
          <w:p w14:paraId="7ABB155C">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采购代理服务费</w:t>
            </w:r>
          </w:p>
        </w:tc>
        <w:tc>
          <w:tcPr>
            <w:tcW w:w="5624" w:type="dxa"/>
            <w:vAlign w:val="center"/>
          </w:tcPr>
          <w:p w14:paraId="520E86D6">
            <w:pPr>
              <w:snapToGrid w:val="0"/>
              <w:spacing w:line="360" w:lineRule="exact"/>
              <w:rPr>
                <w:color w:val="auto"/>
                <w:highlight w:val="none"/>
              </w:rPr>
            </w:pPr>
            <w:r>
              <w:rPr>
                <w:rFonts w:hint="eastAsia" w:ascii="宋体" w:hAnsi="宋体"/>
                <w:color w:val="auto"/>
                <w:szCs w:val="21"/>
                <w:highlight w:val="none"/>
              </w:rPr>
              <w:t>1、本项目采购代理服务费由采购人向采购代理机构支付</w:t>
            </w:r>
            <w:r>
              <w:rPr>
                <w:color w:val="auto"/>
                <w:highlight w:val="none"/>
              </w:rPr>
              <w:t>。</w:t>
            </w:r>
          </w:p>
          <w:p w14:paraId="16686825">
            <w:pPr>
              <w:adjustRightInd w:val="0"/>
              <w:snapToGrid w:val="0"/>
              <w:jc w:val="left"/>
              <w:rPr>
                <w:rFonts w:ascii="宋体" w:hAnsi="宋体"/>
                <w:color w:val="auto"/>
                <w:szCs w:val="21"/>
                <w:highlight w:val="none"/>
              </w:rPr>
            </w:pPr>
            <w:r>
              <w:rPr>
                <w:rFonts w:hint="eastAsia"/>
                <w:color w:val="auto"/>
                <w:highlight w:val="none"/>
              </w:rPr>
              <w:t>2、评审费由采购人支付。</w:t>
            </w:r>
          </w:p>
        </w:tc>
      </w:tr>
      <w:tr w14:paraId="4C05A8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843" w:type="dxa"/>
            <w:vAlign w:val="center"/>
          </w:tcPr>
          <w:p w14:paraId="7D6EF7C4">
            <w:pPr>
              <w:adjustRightInd w:val="0"/>
              <w:snapToGrid w:val="0"/>
              <w:jc w:val="center"/>
              <w:rPr>
                <w:rFonts w:ascii="宋体" w:hAnsi="宋体" w:cs="宋体"/>
                <w:color w:val="auto"/>
                <w:szCs w:val="21"/>
                <w:highlight w:val="none"/>
              </w:rPr>
            </w:pPr>
            <w:r>
              <w:rPr>
                <w:rFonts w:hint="eastAsia" w:ascii="宋体" w:hAnsi="宋体"/>
                <w:color w:val="auto"/>
                <w:szCs w:val="21"/>
                <w:highlight w:val="none"/>
              </w:rPr>
              <w:t>第二章第40.1款</w:t>
            </w:r>
          </w:p>
        </w:tc>
        <w:tc>
          <w:tcPr>
            <w:tcW w:w="1913" w:type="dxa"/>
            <w:vAlign w:val="center"/>
          </w:tcPr>
          <w:p w14:paraId="37A82909">
            <w:pPr>
              <w:adjustRightInd w:val="0"/>
              <w:snapToGrid w:val="0"/>
              <w:rPr>
                <w:rFonts w:ascii="宋体" w:hAnsi="宋体" w:cs="宋体"/>
                <w:color w:val="auto"/>
                <w:szCs w:val="21"/>
                <w:highlight w:val="none"/>
              </w:rPr>
            </w:pPr>
            <w:r>
              <w:rPr>
                <w:rFonts w:hint="eastAsia" w:ascii="宋体" w:hAnsi="宋体"/>
                <w:color w:val="auto"/>
                <w:szCs w:val="21"/>
                <w:highlight w:val="none"/>
              </w:rPr>
              <w:t>其他规定</w:t>
            </w:r>
          </w:p>
        </w:tc>
        <w:tc>
          <w:tcPr>
            <w:tcW w:w="5624" w:type="dxa"/>
            <w:vAlign w:val="center"/>
          </w:tcPr>
          <w:p w14:paraId="66FB202F">
            <w:pPr>
              <w:adjustRightInd w:val="0"/>
              <w:snapToGrid w:val="0"/>
              <w:spacing w:line="360" w:lineRule="exact"/>
              <w:rPr>
                <w:rFonts w:ascii="宋体" w:hAnsi="宋体"/>
                <w:color w:val="auto"/>
                <w:highlight w:val="none"/>
              </w:rPr>
            </w:pPr>
            <w:r>
              <w:rPr>
                <w:rFonts w:hint="eastAsia" w:ascii="宋体" w:hAnsi="宋体"/>
                <w:color w:val="auto"/>
                <w:highlight w:val="none"/>
              </w:rPr>
              <w:t>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773553">
            <w:pPr>
              <w:adjustRightInd w:val="0"/>
              <w:snapToGrid w:val="0"/>
              <w:spacing w:line="360" w:lineRule="exact"/>
              <w:rPr>
                <w:rFonts w:ascii="宋体" w:hAnsi="宋体"/>
                <w:color w:val="auto"/>
                <w:highlight w:val="none"/>
              </w:rPr>
            </w:pPr>
            <w:r>
              <w:rPr>
                <w:rFonts w:hint="eastAsia" w:ascii="宋体" w:hAnsi="宋体"/>
                <w:color w:val="auto"/>
                <w:highlight w:val="none"/>
              </w:rPr>
              <w:t>1.信用信息查询的查询渠道：信用中国网站（www.creditchina.gov.cn）、中国政府采购网（www.ccgp.gov.cn）。</w:t>
            </w:r>
          </w:p>
          <w:p w14:paraId="4942FD95">
            <w:pPr>
              <w:adjustRightInd w:val="0"/>
              <w:snapToGrid w:val="0"/>
              <w:spacing w:line="360" w:lineRule="exact"/>
              <w:rPr>
                <w:rFonts w:ascii="宋体" w:hAnsi="宋体"/>
                <w:color w:val="auto"/>
                <w:highlight w:val="none"/>
              </w:rPr>
            </w:pPr>
            <w:r>
              <w:rPr>
                <w:rFonts w:hint="eastAsia" w:ascii="宋体" w:hAnsi="宋体"/>
                <w:color w:val="auto"/>
                <w:highlight w:val="none"/>
              </w:rPr>
              <w:t>2.信用信息查询的截止时点：开标时间（投标截止时间）后至评标结束。</w:t>
            </w:r>
          </w:p>
          <w:p w14:paraId="136AC10E">
            <w:pPr>
              <w:adjustRightInd w:val="0"/>
              <w:snapToGrid w:val="0"/>
              <w:spacing w:line="360" w:lineRule="exact"/>
              <w:rPr>
                <w:rFonts w:ascii="宋体" w:hAnsi="宋体"/>
                <w:color w:val="auto"/>
                <w:highlight w:val="none"/>
              </w:rPr>
            </w:pPr>
            <w:r>
              <w:rPr>
                <w:rFonts w:hint="eastAsia" w:ascii="宋体" w:hAnsi="宋体"/>
                <w:color w:val="auto"/>
                <w:highlight w:val="none"/>
              </w:rPr>
              <w:t>3.信用信息查询记录的具体方式：由采购人或采购代理机构在规定的查询渠道进行查询。</w:t>
            </w:r>
          </w:p>
          <w:p w14:paraId="41EC5893">
            <w:pPr>
              <w:adjustRightInd w:val="0"/>
              <w:snapToGrid w:val="0"/>
              <w:spacing w:line="360" w:lineRule="exact"/>
              <w:rPr>
                <w:rFonts w:ascii="宋体" w:hAnsi="宋体"/>
                <w:color w:val="auto"/>
                <w:highlight w:val="none"/>
              </w:rPr>
            </w:pPr>
            <w:r>
              <w:rPr>
                <w:rFonts w:hint="eastAsia" w:ascii="宋体" w:hAnsi="宋体"/>
                <w:color w:val="auto"/>
                <w:highlight w:val="none"/>
              </w:rPr>
              <w:t>4.信用信息查询记录证据留存的具体方式：查询记录的网上打印件。</w:t>
            </w:r>
          </w:p>
          <w:p w14:paraId="72F19291">
            <w:pPr>
              <w:adjustRightInd w:val="0"/>
              <w:snapToGrid w:val="0"/>
              <w:spacing w:line="360" w:lineRule="exact"/>
              <w:rPr>
                <w:rFonts w:ascii="宋体" w:hAnsi="宋体"/>
                <w:color w:val="auto"/>
                <w:highlight w:val="none"/>
              </w:rPr>
            </w:pPr>
            <w:r>
              <w:rPr>
                <w:rFonts w:hint="eastAsia" w:ascii="宋体" w:hAnsi="宋体"/>
                <w:color w:val="auto"/>
                <w:highlight w:val="none"/>
              </w:rPr>
              <w:t>5.信用信息的使用规则：查询后交由评标委员会评定，并留存备查。</w:t>
            </w:r>
          </w:p>
          <w:p w14:paraId="4340C22B">
            <w:pPr>
              <w:adjustRightInd w:val="0"/>
              <w:snapToGrid w:val="0"/>
              <w:spacing w:line="360" w:lineRule="auto"/>
              <w:rPr>
                <w:rFonts w:ascii="宋体" w:hAnsi="宋体"/>
                <w:b/>
                <w:bCs/>
                <w:color w:val="auto"/>
                <w:highlight w:val="none"/>
              </w:rPr>
            </w:pPr>
            <w:r>
              <w:rPr>
                <w:rFonts w:hint="eastAsia"/>
                <w:color w:val="auto"/>
                <w:highlight w:val="none"/>
              </w:rPr>
              <w:t>2</w:t>
            </w:r>
            <w:r>
              <w:rPr>
                <w:rFonts w:hint="eastAsia" w:ascii="宋体" w:hAnsi="宋体"/>
                <w:color w:val="auto"/>
                <w:highlight w:val="none"/>
              </w:rPr>
              <w:t>、</w:t>
            </w:r>
            <w:r>
              <w:rPr>
                <w:rFonts w:hint="eastAsia" w:ascii="宋体" w:hAnsi="宋体"/>
                <w:b/>
                <w:bCs/>
                <w:color w:val="auto"/>
                <w:highlight w:val="none"/>
              </w:rPr>
              <w:t>本项目为专门面向中小微企业采购，中小微企业划分标准所属行业</w:t>
            </w:r>
            <w:r>
              <w:rPr>
                <w:rFonts w:hint="eastAsia" w:ascii="宋体" w:hAnsi="宋体"/>
                <w:b/>
                <w:bCs/>
                <w:color w:val="auto"/>
                <w:highlight w:val="none"/>
                <w:u w:val="single"/>
              </w:rPr>
              <w:t>（三）建筑业</w:t>
            </w:r>
          </w:p>
          <w:p w14:paraId="0E802CFA">
            <w:pPr>
              <w:adjustRightInd w:val="0"/>
              <w:snapToGrid w:val="0"/>
              <w:spacing w:line="360" w:lineRule="auto"/>
              <w:rPr>
                <w:rFonts w:ascii="宋体" w:hAnsi="宋体"/>
                <w:color w:val="auto"/>
                <w:highlight w:val="none"/>
              </w:rPr>
            </w:pPr>
            <w:r>
              <w:rPr>
                <w:rFonts w:hint="eastAsia" w:ascii="宋体" w:hAnsi="宋体"/>
                <w:color w:val="auto"/>
                <w:highlight w:val="none"/>
              </w:rPr>
              <w:t>（一）农、林、牧、渔业</w:t>
            </w:r>
          </w:p>
          <w:p w14:paraId="4984C997">
            <w:pPr>
              <w:adjustRightInd w:val="0"/>
              <w:snapToGrid w:val="0"/>
              <w:spacing w:line="360" w:lineRule="auto"/>
              <w:rPr>
                <w:rFonts w:ascii="宋体" w:hAnsi="宋体"/>
                <w:color w:val="auto"/>
                <w:highlight w:val="none"/>
              </w:rPr>
            </w:pPr>
            <w:r>
              <w:rPr>
                <w:rFonts w:hint="eastAsia" w:ascii="宋体" w:hAnsi="宋体"/>
                <w:color w:val="auto"/>
                <w:highlight w:val="none"/>
              </w:rPr>
              <w:t>（二）工业</w:t>
            </w:r>
          </w:p>
          <w:p w14:paraId="5D6861C1">
            <w:pPr>
              <w:adjustRightInd w:val="0"/>
              <w:snapToGrid w:val="0"/>
              <w:spacing w:line="360" w:lineRule="auto"/>
              <w:rPr>
                <w:rFonts w:ascii="宋体" w:hAnsi="宋体"/>
                <w:color w:val="auto"/>
                <w:highlight w:val="none"/>
              </w:rPr>
            </w:pPr>
            <w:r>
              <w:rPr>
                <w:rFonts w:hint="eastAsia" w:ascii="宋体" w:hAnsi="宋体"/>
                <w:color w:val="auto"/>
                <w:highlight w:val="none"/>
              </w:rPr>
              <w:t>（三）建筑业</w:t>
            </w:r>
          </w:p>
          <w:p w14:paraId="57132291">
            <w:pPr>
              <w:adjustRightInd w:val="0"/>
              <w:snapToGrid w:val="0"/>
              <w:spacing w:line="360" w:lineRule="auto"/>
              <w:rPr>
                <w:rFonts w:ascii="宋体" w:hAnsi="宋体"/>
                <w:color w:val="auto"/>
                <w:highlight w:val="none"/>
              </w:rPr>
            </w:pPr>
            <w:r>
              <w:rPr>
                <w:rFonts w:hint="eastAsia" w:ascii="宋体" w:hAnsi="宋体"/>
                <w:color w:val="auto"/>
                <w:highlight w:val="none"/>
              </w:rPr>
              <w:t>（四）批发业</w:t>
            </w:r>
          </w:p>
          <w:p w14:paraId="0D513738">
            <w:pPr>
              <w:adjustRightInd w:val="0"/>
              <w:snapToGrid w:val="0"/>
              <w:spacing w:line="360" w:lineRule="auto"/>
              <w:rPr>
                <w:rFonts w:ascii="宋体" w:hAnsi="宋体"/>
                <w:color w:val="auto"/>
                <w:highlight w:val="none"/>
              </w:rPr>
            </w:pPr>
            <w:r>
              <w:rPr>
                <w:rFonts w:hint="eastAsia" w:ascii="宋体" w:hAnsi="宋体"/>
                <w:color w:val="auto"/>
                <w:highlight w:val="none"/>
              </w:rPr>
              <w:t>（五）零售业</w:t>
            </w:r>
          </w:p>
          <w:p w14:paraId="55093B0A">
            <w:pPr>
              <w:adjustRightInd w:val="0"/>
              <w:snapToGrid w:val="0"/>
              <w:spacing w:line="360" w:lineRule="auto"/>
              <w:rPr>
                <w:rFonts w:ascii="宋体" w:hAnsi="宋体"/>
                <w:color w:val="auto"/>
                <w:highlight w:val="none"/>
              </w:rPr>
            </w:pPr>
            <w:r>
              <w:rPr>
                <w:rFonts w:hint="eastAsia" w:ascii="宋体" w:hAnsi="宋体"/>
                <w:color w:val="auto"/>
                <w:highlight w:val="none"/>
              </w:rPr>
              <w:t>（六）交通运输业</w:t>
            </w:r>
          </w:p>
          <w:p w14:paraId="671134AD">
            <w:pPr>
              <w:adjustRightInd w:val="0"/>
              <w:snapToGrid w:val="0"/>
              <w:spacing w:line="360" w:lineRule="auto"/>
              <w:rPr>
                <w:rFonts w:ascii="宋体" w:hAnsi="宋体"/>
                <w:color w:val="auto"/>
                <w:highlight w:val="none"/>
              </w:rPr>
            </w:pPr>
            <w:r>
              <w:rPr>
                <w:rFonts w:hint="eastAsia" w:ascii="宋体" w:hAnsi="宋体"/>
                <w:color w:val="auto"/>
                <w:highlight w:val="none"/>
              </w:rPr>
              <w:t>（七）仓储业</w:t>
            </w:r>
          </w:p>
          <w:p w14:paraId="77A45FF3">
            <w:pPr>
              <w:adjustRightInd w:val="0"/>
              <w:snapToGrid w:val="0"/>
              <w:spacing w:line="360" w:lineRule="auto"/>
              <w:rPr>
                <w:rFonts w:ascii="宋体" w:hAnsi="宋体"/>
                <w:color w:val="auto"/>
                <w:highlight w:val="none"/>
              </w:rPr>
            </w:pPr>
            <w:r>
              <w:rPr>
                <w:rFonts w:hint="eastAsia" w:ascii="宋体" w:hAnsi="宋体"/>
                <w:color w:val="auto"/>
                <w:highlight w:val="none"/>
              </w:rPr>
              <w:t>（八）邮政业</w:t>
            </w:r>
          </w:p>
          <w:p w14:paraId="4C7E6C1B">
            <w:pPr>
              <w:adjustRightInd w:val="0"/>
              <w:snapToGrid w:val="0"/>
              <w:spacing w:line="360" w:lineRule="auto"/>
              <w:rPr>
                <w:rFonts w:ascii="宋体" w:hAnsi="宋体"/>
                <w:color w:val="auto"/>
                <w:highlight w:val="none"/>
              </w:rPr>
            </w:pPr>
            <w:r>
              <w:rPr>
                <w:rFonts w:hint="eastAsia" w:ascii="宋体" w:hAnsi="宋体"/>
                <w:color w:val="auto"/>
                <w:highlight w:val="none"/>
              </w:rPr>
              <w:t>（九）住宿业</w:t>
            </w:r>
          </w:p>
          <w:p w14:paraId="7ABEF4C2">
            <w:pPr>
              <w:adjustRightInd w:val="0"/>
              <w:snapToGrid w:val="0"/>
              <w:spacing w:line="360" w:lineRule="auto"/>
              <w:rPr>
                <w:rFonts w:ascii="宋体" w:hAnsi="宋体"/>
                <w:color w:val="auto"/>
                <w:highlight w:val="none"/>
              </w:rPr>
            </w:pPr>
            <w:r>
              <w:rPr>
                <w:rFonts w:hint="eastAsia" w:ascii="宋体" w:hAnsi="宋体"/>
                <w:color w:val="auto"/>
                <w:highlight w:val="none"/>
              </w:rPr>
              <w:t>（十）餐饮业</w:t>
            </w:r>
          </w:p>
          <w:p w14:paraId="034CB3D7">
            <w:pPr>
              <w:adjustRightInd w:val="0"/>
              <w:snapToGrid w:val="0"/>
              <w:spacing w:line="360" w:lineRule="auto"/>
              <w:rPr>
                <w:rFonts w:ascii="宋体" w:hAnsi="宋体"/>
                <w:color w:val="auto"/>
                <w:highlight w:val="none"/>
              </w:rPr>
            </w:pPr>
            <w:r>
              <w:rPr>
                <w:rFonts w:hint="eastAsia" w:ascii="宋体" w:hAnsi="宋体"/>
                <w:color w:val="auto"/>
                <w:highlight w:val="none"/>
              </w:rPr>
              <w:t>（十一）信息传输业</w:t>
            </w:r>
          </w:p>
          <w:p w14:paraId="18F237DC">
            <w:pPr>
              <w:adjustRightInd w:val="0"/>
              <w:snapToGrid w:val="0"/>
              <w:spacing w:line="360" w:lineRule="auto"/>
              <w:rPr>
                <w:rFonts w:ascii="宋体" w:hAnsi="宋体"/>
                <w:color w:val="auto"/>
                <w:highlight w:val="none"/>
              </w:rPr>
            </w:pPr>
            <w:r>
              <w:rPr>
                <w:rFonts w:hint="eastAsia" w:ascii="宋体" w:hAnsi="宋体"/>
                <w:color w:val="auto"/>
                <w:highlight w:val="none"/>
              </w:rPr>
              <w:t>（十二）软件和信息技术服务业</w:t>
            </w:r>
          </w:p>
          <w:p w14:paraId="29678EE5">
            <w:pPr>
              <w:adjustRightInd w:val="0"/>
              <w:snapToGrid w:val="0"/>
              <w:spacing w:line="360" w:lineRule="auto"/>
              <w:rPr>
                <w:rFonts w:ascii="宋体" w:hAnsi="宋体"/>
                <w:color w:val="auto"/>
                <w:highlight w:val="none"/>
              </w:rPr>
            </w:pPr>
            <w:r>
              <w:rPr>
                <w:rFonts w:hint="eastAsia" w:ascii="宋体" w:hAnsi="宋体"/>
                <w:color w:val="auto"/>
                <w:highlight w:val="none"/>
              </w:rPr>
              <w:t>（十三）房地产开发经营</w:t>
            </w:r>
          </w:p>
          <w:p w14:paraId="45CA9CE6">
            <w:pPr>
              <w:adjustRightInd w:val="0"/>
              <w:snapToGrid w:val="0"/>
              <w:spacing w:line="360" w:lineRule="auto"/>
              <w:rPr>
                <w:rFonts w:ascii="宋体" w:hAnsi="宋体"/>
                <w:color w:val="auto"/>
                <w:highlight w:val="none"/>
              </w:rPr>
            </w:pPr>
            <w:r>
              <w:rPr>
                <w:rFonts w:hint="eastAsia" w:ascii="宋体" w:hAnsi="宋体"/>
                <w:color w:val="auto"/>
                <w:highlight w:val="none"/>
              </w:rPr>
              <w:t>（十四）物业管理</w:t>
            </w:r>
          </w:p>
          <w:p w14:paraId="1FE015FE">
            <w:pPr>
              <w:adjustRightInd w:val="0"/>
              <w:snapToGrid w:val="0"/>
              <w:spacing w:line="360" w:lineRule="auto"/>
              <w:rPr>
                <w:rFonts w:ascii="宋体" w:hAnsi="宋体"/>
                <w:color w:val="auto"/>
                <w:highlight w:val="none"/>
              </w:rPr>
            </w:pPr>
            <w:r>
              <w:rPr>
                <w:rFonts w:hint="eastAsia" w:ascii="宋体" w:hAnsi="宋体"/>
                <w:color w:val="auto"/>
                <w:highlight w:val="none"/>
              </w:rPr>
              <w:t>（十五）租赁和商务服务业</w:t>
            </w:r>
          </w:p>
          <w:p w14:paraId="4CAA3B57">
            <w:pPr>
              <w:pStyle w:val="2"/>
              <w:ind w:left="0" w:leftChars="0" w:firstLine="0" w:firstLineChars="0"/>
              <w:rPr>
                <w:color w:val="auto"/>
                <w:highlight w:val="none"/>
              </w:rPr>
            </w:pPr>
            <w:r>
              <w:rPr>
                <w:rFonts w:hint="eastAsia" w:ascii="宋体" w:hAnsi="宋体"/>
                <w:color w:val="auto"/>
                <w:highlight w:val="none"/>
              </w:rPr>
              <w:t>（十六）其他未列明行业</w:t>
            </w:r>
          </w:p>
        </w:tc>
      </w:tr>
      <w:tr w14:paraId="0BBA9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843" w:type="dxa"/>
            <w:vAlign w:val="center"/>
          </w:tcPr>
          <w:p w14:paraId="2F5DA704">
            <w:pPr>
              <w:adjustRightInd w:val="0"/>
              <w:snapToGrid w:val="0"/>
              <w:jc w:val="center"/>
              <w:rPr>
                <w:rFonts w:ascii="宋体" w:hAnsi="宋体" w:cs="宋体"/>
                <w:color w:val="auto"/>
                <w:szCs w:val="21"/>
                <w:highlight w:val="none"/>
              </w:rPr>
            </w:pPr>
            <w:r>
              <w:rPr>
                <w:rFonts w:hint="eastAsia" w:ascii="宋体" w:hAnsi="宋体"/>
                <w:color w:val="auto"/>
                <w:szCs w:val="21"/>
                <w:highlight w:val="none"/>
              </w:rPr>
              <w:t>第二章第40.2款</w:t>
            </w:r>
          </w:p>
        </w:tc>
        <w:tc>
          <w:tcPr>
            <w:tcW w:w="1913" w:type="dxa"/>
            <w:vAlign w:val="center"/>
          </w:tcPr>
          <w:p w14:paraId="232DDDC7">
            <w:pPr>
              <w:adjustRightInd w:val="0"/>
              <w:snapToGrid w:val="0"/>
              <w:rPr>
                <w:rFonts w:ascii="宋体" w:hAnsi="宋体" w:cs="宋体"/>
                <w:color w:val="auto"/>
                <w:szCs w:val="21"/>
                <w:highlight w:val="none"/>
              </w:rPr>
            </w:pPr>
            <w:r>
              <w:rPr>
                <w:rFonts w:hint="eastAsia" w:ascii="宋体" w:hAnsi="宋体"/>
                <w:color w:val="auto"/>
                <w:szCs w:val="21"/>
                <w:highlight w:val="none"/>
              </w:rPr>
              <w:t>其他规定</w:t>
            </w:r>
          </w:p>
        </w:tc>
        <w:tc>
          <w:tcPr>
            <w:tcW w:w="5624" w:type="dxa"/>
            <w:vAlign w:val="center"/>
          </w:tcPr>
          <w:p w14:paraId="2F16D7EE">
            <w:pPr>
              <w:adjustRightInd w:val="0"/>
              <w:snapToGrid w:val="0"/>
              <w:spacing w:line="320" w:lineRule="exact"/>
              <w:jc w:val="left"/>
              <w:rPr>
                <w:rFonts w:ascii="宋体" w:hAnsi="宋体"/>
                <w:color w:val="auto"/>
                <w:szCs w:val="21"/>
                <w:highlight w:val="none"/>
              </w:rPr>
            </w:pPr>
            <w:r>
              <w:rPr>
                <w:rFonts w:hint="eastAsia" w:ascii="宋体" w:hAnsi="宋体" w:cs="宋体"/>
                <w:color w:val="auto"/>
                <w:szCs w:val="21"/>
                <w:highlight w:val="none"/>
              </w:rPr>
              <w:t>无</w:t>
            </w:r>
          </w:p>
        </w:tc>
      </w:tr>
    </w:tbl>
    <w:p w14:paraId="78B6445A">
      <w:pPr>
        <w:adjustRightInd w:val="0"/>
        <w:snapToGrid w:val="0"/>
        <w:spacing w:line="360" w:lineRule="auto"/>
        <w:rPr>
          <w:rFonts w:ascii="宋体" w:hAnsi="宋体"/>
          <w:b/>
          <w:bCs/>
          <w:color w:val="auto"/>
          <w:szCs w:val="21"/>
          <w:highlight w:val="none"/>
        </w:rPr>
      </w:pPr>
    </w:p>
    <w:p w14:paraId="70B98BC6">
      <w:pPr>
        <w:rPr>
          <w:rFonts w:ascii="宋体" w:hAnsi="宋体"/>
          <w:b/>
          <w:bCs/>
          <w:color w:val="auto"/>
          <w:szCs w:val="21"/>
          <w:highlight w:val="none"/>
        </w:rPr>
      </w:pPr>
      <w:r>
        <w:rPr>
          <w:rFonts w:hint="eastAsia" w:ascii="宋体" w:hAnsi="宋体"/>
          <w:b/>
          <w:bCs/>
          <w:color w:val="auto"/>
          <w:szCs w:val="21"/>
          <w:highlight w:val="none"/>
        </w:rPr>
        <w:br w:type="page"/>
      </w:r>
    </w:p>
    <w:p w14:paraId="393D255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附页1</w:t>
      </w:r>
    </w:p>
    <w:p w14:paraId="5D8F5045">
      <w:pPr>
        <w:adjustRightInd w:val="0"/>
        <w:snapToGrid w:val="0"/>
        <w:spacing w:line="360" w:lineRule="auto"/>
        <w:jc w:val="center"/>
        <w:rPr>
          <w:rFonts w:ascii="宋体" w:hAnsi="宋体"/>
          <w:b/>
          <w:bCs/>
          <w:color w:val="auto"/>
          <w:sz w:val="28"/>
          <w:szCs w:val="28"/>
          <w:highlight w:val="none"/>
        </w:rPr>
      </w:pPr>
      <w:r>
        <w:rPr>
          <w:rFonts w:hint="eastAsia" w:ascii="宋体" w:hAnsi="宋体" w:cs="宋体"/>
          <w:b/>
          <w:bCs/>
          <w:color w:val="auto"/>
          <w:kern w:val="0"/>
          <w:sz w:val="28"/>
          <w:szCs w:val="28"/>
          <w:highlight w:val="none"/>
        </w:rPr>
        <w:t>湖南省政府采购支持中小企业融资合作银行及联系人名单</w:t>
      </w:r>
    </w:p>
    <w:tbl>
      <w:tblPr>
        <w:tblStyle w:val="3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14:paraId="62B733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9" w:hRule="atLeast"/>
        </w:trPr>
        <w:tc>
          <w:tcPr>
            <w:tcW w:w="2700" w:type="dxa"/>
            <w:vAlign w:val="center"/>
          </w:tcPr>
          <w:p w14:paraId="78CC72AE">
            <w:pPr>
              <w:adjustRightInd w:val="0"/>
              <w:snapToGrid w:val="0"/>
              <w:spacing w:before="120" w:beforeLines="50"/>
              <w:jc w:val="center"/>
              <w:rPr>
                <w:rFonts w:ascii="宋体" w:hAnsi="宋体"/>
                <w:b/>
                <w:color w:val="auto"/>
                <w:szCs w:val="21"/>
                <w:highlight w:val="none"/>
              </w:rPr>
            </w:pPr>
            <w:r>
              <w:rPr>
                <w:rFonts w:hint="eastAsia" w:ascii="宋体" w:hAnsi="宋体" w:cs="宋体"/>
                <w:b/>
                <w:bCs/>
                <w:color w:val="auto"/>
                <w:kern w:val="0"/>
                <w:szCs w:val="21"/>
                <w:highlight w:val="none"/>
              </w:rPr>
              <w:t>银行名称</w:t>
            </w:r>
          </w:p>
        </w:tc>
        <w:tc>
          <w:tcPr>
            <w:tcW w:w="1080" w:type="dxa"/>
            <w:vAlign w:val="center"/>
          </w:tcPr>
          <w:p w14:paraId="624EAFB9">
            <w:pPr>
              <w:adjustRightInd w:val="0"/>
              <w:snapToGrid w:val="0"/>
              <w:spacing w:before="120" w:beforeLines="50"/>
              <w:jc w:val="center"/>
              <w:rPr>
                <w:rFonts w:ascii="宋体" w:hAnsi="宋体"/>
                <w:b/>
                <w:color w:val="auto"/>
                <w:szCs w:val="21"/>
                <w:highlight w:val="none"/>
              </w:rPr>
            </w:pPr>
            <w:r>
              <w:rPr>
                <w:rFonts w:hint="eastAsia" w:ascii="宋体" w:hAnsi="宋体" w:cs="宋体"/>
                <w:b/>
                <w:bCs/>
                <w:color w:val="auto"/>
                <w:kern w:val="0"/>
                <w:szCs w:val="21"/>
                <w:highlight w:val="none"/>
              </w:rPr>
              <w:t>联系人</w:t>
            </w:r>
          </w:p>
        </w:tc>
        <w:tc>
          <w:tcPr>
            <w:tcW w:w="3060" w:type="dxa"/>
            <w:vAlign w:val="center"/>
          </w:tcPr>
          <w:p w14:paraId="3056E28F">
            <w:pPr>
              <w:adjustRightInd w:val="0"/>
              <w:snapToGrid w:val="0"/>
              <w:spacing w:before="120" w:beforeLines="50"/>
              <w:jc w:val="center"/>
              <w:rPr>
                <w:rFonts w:ascii="宋体" w:hAnsi="宋体"/>
                <w:b/>
                <w:color w:val="auto"/>
                <w:szCs w:val="21"/>
                <w:highlight w:val="none"/>
              </w:rPr>
            </w:pPr>
            <w:r>
              <w:rPr>
                <w:rFonts w:hint="eastAsia" w:ascii="宋体" w:hAnsi="宋体" w:cs="宋体"/>
                <w:b/>
                <w:bCs/>
                <w:color w:val="auto"/>
                <w:kern w:val="0"/>
                <w:szCs w:val="21"/>
                <w:highlight w:val="none"/>
              </w:rPr>
              <w:t>职 务</w:t>
            </w:r>
          </w:p>
        </w:tc>
        <w:tc>
          <w:tcPr>
            <w:tcW w:w="2340" w:type="dxa"/>
            <w:vAlign w:val="center"/>
          </w:tcPr>
          <w:p w14:paraId="52839DDF">
            <w:pPr>
              <w:adjustRightInd w:val="0"/>
              <w:snapToGrid w:val="0"/>
              <w:spacing w:before="120" w:beforeLines="50"/>
              <w:jc w:val="center"/>
              <w:rPr>
                <w:rFonts w:ascii="宋体" w:hAnsi="宋体"/>
                <w:b/>
                <w:color w:val="auto"/>
                <w:szCs w:val="21"/>
                <w:highlight w:val="none"/>
              </w:rPr>
            </w:pPr>
            <w:r>
              <w:rPr>
                <w:rFonts w:hint="eastAsia" w:ascii="宋体" w:hAnsi="宋体" w:cs="宋体"/>
                <w:b/>
                <w:bCs/>
                <w:color w:val="auto"/>
                <w:kern w:val="0"/>
                <w:szCs w:val="21"/>
                <w:highlight w:val="none"/>
              </w:rPr>
              <w:t>联系电话</w:t>
            </w:r>
          </w:p>
        </w:tc>
      </w:tr>
      <w:tr w14:paraId="79490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9" w:hRule="atLeast"/>
        </w:trPr>
        <w:tc>
          <w:tcPr>
            <w:tcW w:w="2700" w:type="dxa"/>
            <w:vAlign w:val="center"/>
          </w:tcPr>
          <w:p w14:paraId="66698B1A">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080" w:type="dxa"/>
            <w:vAlign w:val="center"/>
          </w:tcPr>
          <w:p w14:paraId="7D3B48E2">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刘  波</w:t>
            </w:r>
          </w:p>
        </w:tc>
        <w:tc>
          <w:tcPr>
            <w:tcW w:w="3060" w:type="dxa"/>
            <w:vAlign w:val="center"/>
          </w:tcPr>
          <w:p w14:paraId="1AF38F01">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名城支行客户经理</w:t>
            </w:r>
          </w:p>
        </w:tc>
        <w:tc>
          <w:tcPr>
            <w:tcW w:w="2340" w:type="dxa"/>
            <w:vAlign w:val="center"/>
          </w:tcPr>
          <w:p w14:paraId="400A7272">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13874998873</w:t>
            </w:r>
          </w:p>
        </w:tc>
      </w:tr>
      <w:tr w14:paraId="6A42C7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 w:hRule="atLeast"/>
        </w:trPr>
        <w:tc>
          <w:tcPr>
            <w:tcW w:w="2700" w:type="dxa"/>
            <w:vAlign w:val="center"/>
          </w:tcPr>
          <w:p w14:paraId="7500F0C4">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080" w:type="dxa"/>
            <w:vAlign w:val="center"/>
          </w:tcPr>
          <w:p w14:paraId="250E9270">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肖勇光</w:t>
            </w:r>
          </w:p>
        </w:tc>
        <w:tc>
          <w:tcPr>
            <w:tcW w:w="3060" w:type="dxa"/>
            <w:vAlign w:val="center"/>
          </w:tcPr>
          <w:p w14:paraId="6D771062">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分行高级经理</w:t>
            </w:r>
          </w:p>
        </w:tc>
        <w:tc>
          <w:tcPr>
            <w:tcW w:w="2340" w:type="dxa"/>
            <w:vAlign w:val="center"/>
          </w:tcPr>
          <w:p w14:paraId="55A67EDA">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13755192647</w:t>
            </w:r>
          </w:p>
        </w:tc>
      </w:tr>
      <w:tr w14:paraId="10381D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64AAD51C">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080" w:type="dxa"/>
            <w:vAlign w:val="center"/>
          </w:tcPr>
          <w:p w14:paraId="4FBDD4DF">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黄飞燕</w:t>
            </w:r>
          </w:p>
        </w:tc>
        <w:tc>
          <w:tcPr>
            <w:tcW w:w="3060" w:type="dxa"/>
            <w:vAlign w:val="center"/>
          </w:tcPr>
          <w:p w14:paraId="37F48AF5">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营业部总经理</w:t>
            </w:r>
          </w:p>
        </w:tc>
        <w:tc>
          <w:tcPr>
            <w:tcW w:w="2340" w:type="dxa"/>
            <w:vAlign w:val="center"/>
          </w:tcPr>
          <w:p w14:paraId="768A5026">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13308463468</w:t>
            </w:r>
          </w:p>
        </w:tc>
      </w:tr>
      <w:tr w14:paraId="700130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261BCF57">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080" w:type="dxa"/>
            <w:vAlign w:val="center"/>
          </w:tcPr>
          <w:p w14:paraId="3BC0AA04">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蒋寒奇</w:t>
            </w:r>
          </w:p>
        </w:tc>
        <w:tc>
          <w:tcPr>
            <w:tcW w:w="3060" w:type="dxa"/>
            <w:vAlign w:val="center"/>
          </w:tcPr>
          <w:p w14:paraId="1FF91E67">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营业部中小企业客户经理</w:t>
            </w:r>
          </w:p>
        </w:tc>
        <w:tc>
          <w:tcPr>
            <w:tcW w:w="2340" w:type="dxa"/>
            <w:vAlign w:val="center"/>
          </w:tcPr>
          <w:p w14:paraId="1F8697FD">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13548982975</w:t>
            </w:r>
          </w:p>
        </w:tc>
      </w:tr>
      <w:tr w14:paraId="24A24F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700" w:type="dxa"/>
            <w:vAlign w:val="center"/>
          </w:tcPr>
          <w:p w14:paraId="11B9C315">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080" w:type="dxa"/>
            <w:vAlign w:val="center"/>
          </w:tcPr>
          <w:p w14:paraId="1291A270">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刘栅延</w:t>
            </w:r>
          </w:p>
        </w:tc>
        <w:tc>
          <w:tcPr>
            <w:tcW w:w="3060" w:type="dxa"/>
            <w:vAlign w:val="center"/>
          </w:tcPr>
          <w:p w14:paraId="4AF4EE00">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支行行长</w:t>
            </w:r>
          </w:p>
        </w:tc>
        <w:tc>
          <w:tcPr>
            <w:tcW w:w="2340" w:type="dxa"/>
            <w:vAlign w:val="center"/>
          </w:tcPr>
          <w:p w14:paraId="3C250C40">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13337316405</w:t>
            </w:r>
          </w:p>
        </w:tc>
      </w:tr>
      <w:tr w14:paraId="02315F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00" w:type="dxa"/>
            <w:vAlign w:val="center"/>
          </w:tcPr>
          <w:p w14:paraId="3359DEFF">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080" w:type="dxa"/>
            <w:vAlign w:val="center"/>
          </w:tcPr>
          <w:p w14:paraId="1C8B9C0E">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蒋修远</w:t>
            </w:r>
          </w:p>
        </w:tc>
        <w:tc>
          <w:tcPr>
            <w:tcW w:w="3060" w:type="dxa"/>
            <w:vAlign w:val="center"/>
          </w:tcPr>
          <w:p w14:paraId="2333C071">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支行客户经理</w:t>
            </w:r>
          </w:p>
        </w:tc>
        <w:tc>
          <w:tcPr>
            <w:tcW w:w="2340" w:type="dxa"/>
            <w:vAlign w:val="center"/>
          </w:tcPr>
          <w:p w14:paraId="25B21903">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18607310422</w:t>
            </w:r>
          </w:p>
        </w:tc>
      </w:tr>
      <w:tr w14:paraId="197C8A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2700" w:type="dxa"/>
            <w:vAlign w:val="center"/>
          </w:tcPr>
          <w:p w14:paraId="73D4EC11">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中国光大银行长沙分行</w:t>
            </w:r>
          </w:p>
        </w:tc>
        <w:tc>
          <w:tcPr>
            <w:tcW w:w="1080" w:type="dxa"/>
            <w:vAlign w:val="center"/>
          </w:tcPr>
          <w:p w14:paraId="0B337DA3">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邓永胜</w:t>
            </w:r>
          </w:p>
        </w:tc>
        <w:tc>
          <w:tcPr>
            <w:tcW w:w="3060" w:type="dxa"/>
            <w:vAlign w:val="center"/>
          </w:tcPr>
          <w:p w14:paraId="25214A00">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岳麓支行副行长</w:t>
            </w:r>
          </w:p>
        </w:tc>
        <w:tc>
          <w:tcPr>
            <w:tcW w:w="2340" w:type="dxa"/>
            <w:vAlign w:val="center"/>
          </w:tcPr>
          <w:p w14:paraId="211A6B3B">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13617319650</w:t>
            </w:r>
          </w:p>
        </w:tc>
      </w:tr>
      <w:tr w14:paraId="07FFA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2700" w:type="dxa"/>
            <w:vAlign w:val="center"/>
          </w:tcPr>
          <w:p w14:paraId="7B0F66C9">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080" w:type="dxa"/>
            <w:vAlign w:val="center"/>
          </w:tcPr>
          <w:p w14:paraId="7E0D7418">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蔡学军</w:t>
            </w:r>
          </w:p>
        </w:tc>
        <w:tc>
          <w:tcPr>
            <w:tcW w:w="3060" w:type="dxa"/>
            <w:vAlign w:val="center"/>
          </w:tcPr>
          <w:p w14:paraId="46828501">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公司银行部负责人</w:t>
            </w:r>
          </w:p>
        </w:tc>
        <w:tc>
          <w:tcPr>
            <w:tcW w:w="2340" w:type="dxa"/>
            <w:vAlign w:val="center"/>
          </w:tcPr>
          <w:p w14:paraId="3B3306F1">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13055167195</w:t>
            </w:r>
          </w:p>
        </w:tc>
      </w:tr>
      <w:tr w14:paraId="5367D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766F075C">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080" w:type="dxa"/>
            <w:vAlign w:val="center"/>
          </w:tcPr>
          <w:p w14:paraId="28363A3B">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宋学农</w:t>
            </w:r>
          </w:p>
        </w:tc>
        <w:tc>
          <w:tcPr>
            <w:tcW w:w="3060" w:type="dxa"/>
            <w:vAlign w:val="center"/>
          </w:tcPr>
          <w:p w14:paraId="2DE83D67">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银行部综合管理部副总经理</w:t>
            </w:r>
          </w:p>
        </w:tc>
        <w:tc>
          <w:tcPr>
            <w:tcW w:w="2340" w:type="dxa"/>
            <w:vAlign w:val="center"/>
          </w:tcPr>
          <w:p w14:paraId="59A20044">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0731-845822141</w:t>
            </w:r>
          </w:p>
        </w:tc>
      </w:tr>
    </w:tbl>
    <w:p w14:paraId="0C5D0437">
      <w:pPr>
        <w:adjustRightInd w:val="0"/>
        <w:snapToGrid w:val="0"/>
        <w:spacing w:line="360" w:lineRule="auto"/>
        <w:rPr>
          <w:rFonts w:ascii="宋体" w:hAnsi="宋体"/>
          <w:b/>
          <w:bCs/>
          <w:color w:val="auto"/>
          <w:szCs w:val="21"/>
          <w:highlight w:val="none"/>
        </w:rPr>
      </w:pPr>
    </w:p>
    <w:p w14:paraId="667E6990">
      <w:pPr>
        <w:adjustRightInd w:val="0"/>
        <w:snapToGrid w:val="0"/>
        <w:spacing w:line="360" w:lineRule="auto"/>
        <w:rPr>
          <w:rFonts w:ascii="宋体" w:hAnsi="宋体"/>
          <w:b/>
          <w:bCs/>
          <w:color w:val="auto"/>
          <w:szCs w:val="21"/>
          <w:highlight w:val="none"/>
        </w:rPr>
      </w:pPr>
    </w:p>
    <w:p w14:paraId="187B8A95">
      <w:pPr>
        <w:adjustRightInd w:val="0"/>
        <w:snapToGrid w:val="0"/>
        <w:spacing w:line="360" w:lineRule="auto"/>
        <w:rPr>
          <w:rFonts w:ascii="宋体" w:hAnsi="宋体"/>
          <w:b/>
          <w:bCs/>
          <w:color w:val="auto"/>
          <w:szCs w:val="21"/>
          <w:highlight w:val="none"/>
        </w:rPr>
      </w:pPr>
    </w:p>
    <w:p w14:paraId="11BB062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附页2</w:t>
      </w:r>
    </w:p>
    <w:p w14:paraId="364733D1">
      <w:pPr>
        <w:adjustRightInd w:val="0"/>
        <w:snapToGrid w:val="0"/>
        <w:spacing w:line="360" w:lineRule="auto"/>
        <w:jc w:val="center"/>
        <w:rPr>
          <w:rFonts w:ascii="宋体" w:hAnsi="宋体"/>
          <w:b/>
          <w:bCs/>
          <w:color w:val="auto"/>
          <w:sz w:val="28"/>
          <w:szCs w:val="28"/>
          <w:highlight w:val="none"/>
        </w:rPr>
      </w:pPr>
      <w:r>
        <w:rPr>
          <w:rFonts w:hint="eastAsia" w:ascii="宋体" w:hAnsi="宋体" w:cs="宋体"/>
          <w:b/>
          <w:bCs/>
          <w:color w:val="auto"/>
          <w:kern w:val="0"/>
          <w:sz w:val="28"/>
          <w:szCs w:val="28"/>
          <w:highlight w:val="none"/>
        </w:rPr>
        <w:t>湖南省政府采购信用担保试点工作的</w:t>
      </w:r>
      <w:r>
        <w:rPr>
          <w:rFonts w:hint="eastAsia" w:ascii="宋体" w:hAnsi="宋体"/>
          <w:b/>
          <w:color w:val="auto"/>
          <w:sz w:val="28"/>
          <w:szCs w:val="28"/>
          <w:highlight w:val="none"/>
        </w:rPr>
        <w:t>信用担保机构名单</w:t>
      </w:r>
    </w:p>
    <w:tbl>
      <w:tblPr>
        <w:tblStyle w:val="3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5C7816D0">
        <w:tblPrEx>
          <w:tblCellMar>
            <w:top w:w="0" w:type="dxa"/>
            <w:left w:w="108" w:type="dxa"/>
            <w:bottom w:w="0" w:type="dxa"/>
            <w:right w:w="108" w:type="dxa"/>
          </w:tblCellMar>
        </w:tblPrEx>
        <w:trPr>
          <w:trHeight w:val="450" w:hRule="atLeast"/>
        </w:trPr>
        <w:tc>
          <w:tcPr>
            <w:tcW w:w="4320" w:type="dxa"/>
            <w:vAlign w:val="center"/>
          </w:tcPr>
          <w:p w14:paraId="4CB93080">
            <w:pPr>
              <w:adjustRightInd w:val="0"/>
              <w:snapToGrid w:val="0"/>
              <w:spacing w:line="240" w:lineRule="exact"/>
              <w:jc w:val="center"/>
              <w:rPr>
                <w:rFonts w:ascii="宋体" w:hAnsi="宋体" w:cs="宋体"/>
                <w:b/>
                <w:bCs/>
                <w:color w:val="auto"/>
                <w:kern w:val="0"/>
                <w:szCs w:val="21"/>
                <w:highlight w:val="none"/>
              </w:rPr>
            </w:pPr>
            <w:r>
              <w:rPr>
                <w:rFonts w:hint="eastAsia" w:ascii="宋体" w:hAnsi="宋体"/>
                <w:b/>
                <w:color w:val="auto"/>
                <w:szCs w:val="21"/>
                <w:highlight w:val="none"/>
              </w:rPr>
              <w:t>信用担保机构</w:t>
            </w:r>
          </w:p>
        </w:tc>
        <w:tc>
          <w:tcPr>
            <w:tcW w:w="1080" w:type="dxa"/>
            <w:vAlign w:val="center"/>
          </w:tcPr>
          <w:p w14:paraId="04784FAA">
            <w:pPr>
              <w:adjustRightInd w:val="0"/>
              <w:snapToGrid w:val="0"/>
              <w:spacing w:line="240" w:lineRule="exact"/>
              <w:jc w:val="center"/>
              <w:rPr>
                <w:rFonts w:ascii="宋体" w:hAnsi="宋体" w:cs="宋体"/>
                <w:b/>
                <w:bCs/>
                <w:color w:val="auto"/>
                <w:kern w:val="0"/>
                <w:szCs w:val="21"/>
                <w:highlight w:val="none"/>
              </w:rPr>
            </w:pPr>
            <w:r>
              <w:rPr>
                <w:rFonts w:hint="eastAsia" w:ascii="宋体" w:hAnsi="宋体"/>
                <w:b/>
                <w:color w:val="auto"/>
                <w:szCs w:val="21"/>
                <w:highlight w:val="none"/>
              </w:rPr>
              <w:t>联系人</w:t>
            </w:r>
          </w:p>
        </w:tc>
        <w:tc>
          <w:tcPr>
            <w:tcW w:w="3780" w:type="dxa"/>
            <w:vAlign w:val="center"/>
          </w:tcPr>
          <w:p w14:paraId="438CB89A">
            <w:pPr>
              <w:adjustRightInd w:val="0"/>
              <w:snapToGrid w:val="0"/>
              <w:spacing w:line="240" w:lineRule="exact"/>
              <w:jc w:val="center"/>
              <w:rPr>
                <w:rFonts w:ascii="宋体" w:hAnsi="宋体" w:cs="宋体"/>
                <w:b/>
                <w:bCs/>
                <w:color w:val="auto"/>
                <w:kern w:val="0"/>
                <w:szCs w:val="21"/>
                <w:highlight w:val="none"/>
              </w:rPr>
            </w:pPr>
            <w:r>
              <w:rPr>
                <w:rFonts w:hint="eastAsia" w:ascii="宋体" w:hAnsi="宋体"/>
                <w:b/>
                <w:color w:val="auto"/>
                <w:szCs w:val="21"/>
                <w:highlight w:val="none"/>
              </w:rPr>
              <w:t>联系电话</w:t>
            </w:r>
          </w:p>
        </w:tc>
      </w:tr>
      <w:tr w14:paraId="5496E4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vAlign w:val="center"/>
          </w:tcPr>
          <w:p w14:paraId="2047A6CA">
            <w:pPr>
              <w:adjustRightInd w:val="0"/>
              <w:snapToGrid w:val="0"/>
              <w:spacing w:line="240" w:lineRule="exact"/>
              <w:jc w:val="left"/>
              <w:rPr>
                <w:rFonts w:ascii="宋体" w:hAnsi="宋体" w:cs="宋体"/>
                <w:bCs/>
                <w:color w:val="auto"/>
                <w:kern w:val="0"/>
                <w:szCs w:val="21"/>
                <w:highlight w:val="none"/>
              </w:rPr>
            </w:pPr>
            <w:r>
              <w:rPr>
                <w:rFonts w:hint="eastAsia" w:ascii="宋体" w:hAnsi="宋体"/>
                <w:color w:val="auto"/>
                <w:szCs w:val="21"/>
                <w:highlight w:val="none"/>
              </w:rPr>
              <w:t>中国投资担保公司</w:t>
            </w:r>
          </w:p>
        </w:tc>
        <w:tc>
          <w:tcPr>
            <w:tcW w:w="1080" w:type="dxa"/>
            <w:vAlign w:val="center"/>
          </w:tcPr>
          <w:p w14:paraId="77576C8D">
            <w:pPr>
              <w:adjustRightInd w:val="0"/>
              <w:snapToGrid w:val="0"/>
              <w:spacing w:line="240" w:lineRule="exact"/>
              <w:jc w:val="center"/>
              <w:rPr>
                <w:rFonts w:ascii="宋体" w:hAnsi="宋体" w:cs="宋体"/>
                <w:bCs/>
                <w:color w:val="auto"/>
                <w:kern w:val="0"/>
                <w:szCs w:val="21"/>
                <w:highlight w:val="none"/>
              </w:rPr>
            </w:pPr>
            <w:r>
              <w:rPr>
                <w:rFonts w:hint="eastAsia" w:ascii="宋体" w:hAnsi="宋体"/>
                <w:color w:val="auto"/>
                <w:szCs w:val="21"/>
                <w:highlight w:val="none"/>
              </w:rPr>
              <w:t>何  嘉</w:t>
            </w:r>
          </w:p>
        </w:tc>
        <w:tc>
          <w:tcPr>
            <w:tcW w:w="3780" w:type="dxa"/>
            <w:vAlign w:val="center"/>
          </w:tcPr>
          <w:p w14:paraId="172C336D">
            <w:pPr>
              <w:adjustRightInd w:val="0"/>
              <w:snapToGrid w:val="0"/>
              <w:spacing w:line="240" w:lineRule="exact"/>
              <w:jc w:val="left"/>
              <w:rPr>
                <w:rFonts w:ascii="宋体" w:hAnsi="宋体" w:cs="宋体"/>
                <w:bCs/>
                <w:color w:val="auto"/>
                <w:kern w:val="0"/>
                <w:szCs w:val="21"/>
                <w:highlight w:val="none"/>
              </w:rPr>
            </w:pPr>
            <w:r>
              <w:rPr>
                <w:rFonts w:hint="eastAsia" w:ascii="宋体" w:hAnsi="宋体"/>
                <w:color w:val="auto"/>
                <w:szCs w:val="21"/>
                <w:highlight w:val="none"/>
              </w:rPr>
              <w:t>010-88822659/13718642233</w:t>
            </w:r>
          </w:p>
        </w:tc>
      </w:tr>
      <w:tr w14:paraId="6AA9AA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vAlign w:val="center"/>
          </w:tcPr>
          <w:p w14:paraId="2B277DB3">
            <w:pPr>
              <w:adjustRightInd w:val="0"/>
              <w:snapToGrid w:val="0"/>
              <w:spacing w:line="240" w:lineRule="exact"/>
              <w:jc w:val="left"/>
              <w:rPr>
                <w:rFonts w:ascii="宋体" w:hAnsi="宋体" w:cs="宋体"/>
                <w:bCs/>
                <w:color w:val="auto"/>
                <w:kern w:val="0"/>
                <w:szCs w:val="21"/>
                <w:highlight w:val="none"/>
              </w:rPr>
            </w:pPr>
            <w:r>
              <w:rPr>
                <w:rFonts w:hint="eastAsia" w:ascii="宋体" w:hAnsi="宋体"/>
                <w:color w:val="auto"/>
                <w:szCs w:val="21"/>
                <w:highlight w:val="none"/>
              </w:rPr>
              <w:t>湖南省中小企业信用担保有限责任公司</w:t>
            </w:r>
          </w:p>
        </w:tc>
        <w:tc>
          <w:tcPr>
            <w:tcW w:w="1080" w:type="dxa"/>
            <w:vAlign w:val="center"/>
          </w:tcPr>
          <w:p w14:paraId="45BF4A2A">
            <w:pPr>
              <w:adjustRightInd w:val="0"/>
              <w:snapToGrid w:val="0"/>
              <w:spacing w:line="240" w:lineRule="exact"/>
              <w:jc w:val="center"/>
              <w:rPr>
                <w:rFonts w:ascii="宋体" w:hAnsi="宋体" w:cs="宋体"/>
                <w:bCs/>
                <w:color w:val="auto"/>
                <w:kern w:val="0"/>
                <w:szCs w:val="21"/>
                <w:highlight w:val="none"/>
              </w:rPr>
            </w:pPr>
            <w:r>
              <w:rPr>
                <w:rFonts w:hint="eastAsia" w:ascii="宋体" w:hAnsi="宋体"/>
                <w:color w:val="auto"/>
                <w:szCs w:val="21"/>
                <w:highlight w:val="none"/>
              </w:rPr>
              <w:t>蔡建雄</w:t>
            </w:r>
          </w:p>
        </w:tc>
        <w:tc>
          <w:tcPr>
            <w:tcW w:w="3780" w:type="dxa"/>
            <w:vAlign w:val="center"/>
          </w:tcPr>
          <w:p w14:paraId="42D7EEB4">
            <w:pPr>
              <w:adjustRightInd w:val="0"/>
              <w:snapToGrid w:val="0"/>
              <w:spacing w:line="240" w:lineRule="exact"/>
              <w:jc w:val="left"/>
              <w:rPr>
                <w:rFonts w:ascii="宋体" w:hAnsi="宋体" w:cs="宋体"/>
                <w:bCs/>
                <w:color w:val="auto"/>
                <w:kern w:val="0"/>
                <w:szCs w:val="21"/>
                <w:highlight w:val="none"/>
              </w:rPr>
            </w:pPr>
            <w:r>
              <w:rPr>
                <w:rFonts w:hint="eastAsia" w:ascii="宋体" w:hAnsi="宋体"/>
                <w:color w:val="auto"/>
                <w:szCs w:val="21"/>
                <w:highlight w:val="none"/>
              </w:rPr>
              <w:t>0731-84172390-201/15573193555</w:t>
            </w:r>
          </w:p>
        </w:tc>
      </w:tr>
      <w:tr w14:paraId="08491E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trPr>
        <w:tc>
          <w:tcPr>
            <w:tcW w:w="4320" w:type="dxa"/>
            <w:vAlign w:val="center"/>
          </w:tcPr>
          <w:p w14:paraId="09798DAC">
            <w:pPr>
              <w:adjustRightInd w:val="0"/>
              <w:snapToGrid w:val="0"/>
              <w:spacing w:line="240" w:lineRule="exact"/>
              <w:rPr>
                <w:rFonts w:ascii="宋体" w:hAnsi="宋体" w:cs="宋体"/>
                <w:color w:val="auto"/>
                <w:szCs w:val="21"/>
                <w:highlight w:val="none"/>
              </w:rPr>
            </w:pPr>
            <w:r>
              <w:rPr>
                <w:rFonts w:hint="eastAsia" w:ascii="宋体" w:hAnsi="宋体"/>
                <w:color w:val="auto"/>
                <w:szCs w:val="21"/>
                <w:highlight w:val="none"/>
              </w:rPr>
              <w:t>湖南农业信用担保有限公司</w:t>
            </w:r>
          </w:p>
        </w:tc>
        <w:tc>
          <w:tcPr>
            <w:tcW w:w="1080" w:type="dxa"/>
            <w:vAlign w:val="center"/>
          </w:tcPr>
          <w:p w14:paraId="07D2F471">
            <w:pPr>
              <w:adjustRightInd w:val="0"/>
              <w:snapToGrid w:val="0"/>
              <w:spacing w:line="240" w:lineRule="exact"/>
              <w:jc w:val="center"/>
              <w:rPr>
                <w:rFonts w:ascii="宋体" w:hAnsi="宋体"/>
                <w:color w:val="auto"/>
                <w:szCs w:val="21"/>
                <w:highlight w:val="none"/>
              </w:rPr>
            </w:pPr>
            <w:r>
              <w:rPr>
                <w:rFonts w:hint="eastAsia" w:ascii="宋体" w:hAnsi="宋体"/>
                <w:color w:val="auto"/>
                <w:szCs w:val="21"/>
                <w:highlight w:val="none"/>
              </w:rPr>
              <w:t>彭  球</w:t>
            </w:r>
          </w:p>
          <w:p w14:paraId="70FF1CA6">
            <w:pPr>
              <w:adjustRightInd w:val="0"/>
              <w:snapToGrid w:val="0"/>
              <w:spacing w:line="240" w:lineRule="exact"/>
              <w:jc w:val="center"/>
              <w:rPr>
                <w:rFonts w:ascii="宋体" w:hAnsi="宋体" w:cs="宋体"/>
                <w:bCs/>
                <w:color w:val="auto"/>
                <w:kern w:val="0"/>
                <w:szCs w:val="21"/>
                <w:highlight w:val="none"/>
              </w:rPr>
            </w:pPr>
            <w:r>
              <w:rPr>
                <w:rFonts w:hint="eastAsia" w:ascii="宋体" w:hAnsi="宋体"/>
                <w:color w:val="auto"/>
                <w:szCs w:val="21"/>
                <w:highlight w:val="none"/>
              </w:rPr>
              <w:t>邓霞英</w:t>
            </w:r>
          </w:p>
        </w:tc>
        <w:tc>
          <w:tcPr>
            <w:tcW w:w="3780" w:type="dxa"/>
            <w:vAlign w:val="center"/>
          </w:tcPr>
          <w:p w14:paraId="12CF5D81">
            <w:pPr>
              <w:adjustRightInd w:val="0"/>
              <w:snapToGrid w:val="0"/>
              <w:spacing w:line="240" w:lineRule="exact"/>
              <w:jc w:val="left"/>
              <w:rPr>
                <w:rFonts w:ascii="宋体" w:hAnsi="宋体" w:cs="宋体"/>
                <w:bCs/>
                <w:color w:val="auto"/>
                <w:kern w:val="0"/>
                <w:szCs w:val="21"/>
                <w:highlight w:val="none"/>
              </w:rPr>
            </w:pPr>
            <w:r>
              <w:rPr>
                <w:rFonts w:hint="eastAsia" w:ascii="宋体" w:hAnsi="宋体"/>
                <w:color w:val="auto"/>
                <w:szCs w:val="21"/>
                <w:highlight w:val="none"/>
              </w:rPr>
              <w:t>0731-89761702/13875980906 0731-89761706/13574125851</w:t>
            </w:r>
          </w:p>
        </w:tc>
      </w:tr>
    </w:tbl>
    <w:p w14:paraId="1D5573E1">
      <w:pPr>
        <w:adjustRightInd w:val="0"/>
        <w:snapToGrid w:val="0"/>
        <w:spacing w:line="360" w:lineRule="auto"/>
        <w:rPr>
          <w:rFonts w:ascii="宋体" w:hAnsi="宋体"/>
          <w:b/>
          <w:color w:val="auto"/>
          <w:szCs w:val="21"/>
          <w:highlight w:val="none"/>
        </w:rPr>
        <w:sectPr>
          <w:footerReference r:id="rId7" w:type="default"/>
          <w:pgSz w:w="11906" w:h="16838"/>
          <w:pgMar w:top="1440" w:right="1080" w:bottom="1440" w:left="1080" w:header="851" w:footer="992" w:gutter="0"/>
          <w:cols w:space="720" w:num="1"/>
          <w:docGrid w:linePitch="312" w:charSpace="0"/>
        </w:sectPr>
      </w:pPr>
    </w:p>
    <w:p w14:paraId="7BF64931">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附页3</w:t>
      </w:r>
    </w:p>
    <w:p w14:paraId="63A4542B">
      <w:pPr>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政府采购履约担保函</w:t>
      </w:r>
    </w:p>
    <w:p w14:paraId="18CEAEA5">
      <w:pPr>
        <w:adjustRightInd w:val="0"/>
        <w:snapToGrid w:val="0"/>
        <w:spacing w:line="360" w:lineRule="auto"/>
        <w:ind w:firstLine="6510" w:firstLineChars="3100"/>
        <w:rPr>
          <w:rFonts w:ascii="宋体" w:hAnsi="宋体" w:cs="宋体"/>
          <w:b/>
          <w:color w:val="auto"/>
          <w:kern w:val="0"/>
          <w:szCs w:val="21"/>
          <w:highlight w:val="none"/>
        </w:rPr>
      </w:pPr>
      <w:r>
        <w:rPr>
          <w:rFonts w:hint="eastAsia" w:ascii="宋体" w:hAnsi="宋体" w:cs="宋体"/>
          <w:color w:val="auto"/>
          <w:kern w:val="0"/>
          <w:szCs w:val="21"/>
          <w:highlight w:val="none"/>
        </w:rPr>
        <w:t>编号：</w:t>
      </w:r>
    </w:p>
    <w:p w14:paraId="0A1C2D3E">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（采购人）： </w:t>
      </w:r>
    </w:p>
    <w:p w14:paraId="6599F84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0FE441F5">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一、保证责任的情形及保证金额</w:t>
      </w:r>
    </w:p>
    <w:p w14:paraId="1FF137B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（一）在供应商出现下列情形之一时，我方承担保证责任：</w:t>
      </w:r>
    </w:p>
    <w:p w14:paraId="6F4B1FA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1．将中标项目转让给他人，或者在投标文件中未说明，且未经采购人同意，将中标项目分包给他人的；</w:t>
      </w:r>
    </w:p>
    <w:p w14:paraId="0BD2997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2．主合同约定的应当缴纳履约保证金的情形: </w:t>
      </w:r>
    </w:p>
    <w:p w14:paraId="0A2C4E6B">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 xml:space="preserve">（1）未按主合同约定的质量、数量和期限供应货物/提供服务/完成工程的； </w:t>
      </w:r>
    </w:p>
    <w:p w14:paraId="051EFB2A">
      <w:pPr>
        <w:adjustRightInd w:val="0"/>
        <w:snapToGri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（2）。</w:t>
      </w:r>
    </w:p>
    <w:p w14:paraId="283AB8E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（二）我方的保证范围是主合同约定的合同价款总额的%数额为元（大写），币种为。（即主合同履约保证金金额）</w:t>
      </w:r>
    </w:p>
    <w:p w14:paraId="05F741F0">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二、保证的方式及保证期间 </w:t>
      </w:r>
    </w:p>
    <w:p w14:paraId="25372FE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我方保证的方式为：连带责任保证。 </w:t>
      </w:r>
    </w:p>
    <w:p w14:paraId="740154A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我方保证的期间为：自本合同生效之日起至供应商按照主合同约定的供货/完工期限届满后10日内。</w:t>
      </w:r>
    </w:p>
    <w:p w14:paraId="1045E44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如果供应商未按主合同约定向贵方供应货物/提供服务/完成工程的，由我方在保证金额内向你方支付上述款项。 </w:t>
      </w:r>
    </w:p>
    <w:p w14:paraId="78EDA183">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三、承担保证责任的程序</w:t>
      </w:r>
    </w:p>
    <w:p w14:paraId="6BECA08F">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0EF26617">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5B59AE9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2．我方收到你方的书面索赔通知及相应证明材料，在工作日内进行核定后按照本保函的承诺承担保证责任。</w:t>
      </w:r>
    </w:p>
    <w:p w14:paraId="5CEA235C">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四、保证责任的终止</w:t>
      </w:r>
    </w:p>
    <w:p w14:paraId="000F61C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82E0CC0">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2．我方按照本保函向你方履行了保证责任后，自我方向你方支付款项（支付款项从我方账户划出）之日起，保证责任即终止。</w:t>
      </w:r>
    </w:p>
    <w:p w14:paraId="53BEAEA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3．按照法律法规的规定或出现应终止我方保证责任的其它情形的，我方在本保函项下的保证责任亦终止。</w:t>
      </w:r>
    </w:p>
    <w:p w14:paraId="465A344D">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D10ED7B">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五、免责条款</w:t>
      </w:r>
    </w:p>
    <w:p w14:paraId="0ABEFBFD">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1．因你方违反主合同约定致使供应商不能履行义务的，我方不承担保证责任。</w:t>
      </w:r>
    </w:p>
    <w:p w14:paraId="68119124">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2．依照法律法规的规定或你方与供应商的另行约定，全部或者部分免除供应商应缴纳的保证金义务的，我方亦免除相应的保证责任。</w:t>
      </w:r>
    </w:p>
    <w:p w14:paraId="7CCAF57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3．因不可抗力造成供应商不能履行供货义务的，我方不承担保证责任。</w:t>
      </w:r>
    </w:p>
    <w:p w14:paraId="7FA57AF9">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六、争议的解决</w:t>
      </w:r>
    </w:p>
    <w:p w14:paraId="109D315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因本保函发生的纠纷，由你我双方协商解决，协商不成的，通过诉讼程序解决，诉讼管辖地法院为法院。</w:t>
      </w:r>
    </w:p>
    <w:p w14:paraId="12EDCC8A">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七、保函的生效 </w:t>
      </w:r>
    </w:p>
    <w:p w14:paraId="0BE1C9C6">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本保函自我方加盖公章之日起生效。 </w:t>
      </w:r>
    </w:p>
    <w:p w14:paraId="3FD77DBC">
      <w:pPr>
        <w:tabs>
          <w:tab w:val="left" w:pos="2850"/>
        </w:tabs>
        <w:adjustRightInd w:val="0"/>
        <w:snapToGrid w:val="0"/>
        <w:spacing w:line="360" w:lineRule="auto"/>
        <w:jc w:val="right"/>
        <w:rPr>
          <w:rFonts w:ascii="宋体" w:hAnsi="宋体" w:cs="宋体"/>
          <w:color w:val="auto"/>
          <w:kern w:val="0"/>
          <w:szCs w:val="21"/>
          <w:highlight w:val="none"/>
        </w:rPr>
      </w:pPr>
      <w:r>
        <w:rPr>
          <w:rFonts w:ascii="宋体" w:hAnsi="宋体" w:cs="宋体"/>
          <w:color w:val="auto"/>
          <w:kern w:val="0"/>
          <w:szCs w:val="21"/>
          <w:highlight w:val="none"/>
        </w:rPr>
        <w:tab/>
      </w:r>
      <w:r>
        <w:rPr>
          <w:rFonts w:hint="eastAsia" w:ascii="宋体" w:hAnsi="宋体" w:cs="宋体"/>
          <w:color w:val="auto"/>
          <w:kern w:val="0"/>
          <w:szCs w:val="21"/>
          <w:highlight w:val="none"/>
        </w:rPr>
        <w:t xml:space="preserve">          保证人：（公章） </w:t>
      </w:r>
    </w:p>
    <w:p w14:paraId="7304CC01">
      <w:pPr>
        <w:adjustRightInd w:val="0"/>
        <w:snapToGrid w:val="0"/>
        <w:spacing w:line="360" w:lineRule="auto"/>
        <w:jc w:val="right"/>
        <w:rPr>
          <w:rFonts w:ascii="宋体" w:hAnsi="宋体" w:cs="宋体"/>
          <w:color w:val="auto"/>
          <w:kern w:val="0"/>
          <w:szCs w:val="21"/>
          <w:highlight w:val="none"/>
        </w:rPr>
        <w:sectPr>
          <w:pgSz w:w="11906" w:h="16838"/>
          <w:pgMar w:top="1440" w:right="1080" w:bottom="1440" w:left="1080" w:header="851" w:footer="992" w:gutter="0"/>
          <w:cols w:space="720" w:num="1"/>
          <w:docGrid w:linePitch="312" w:charSpace="0"/>
        </w:sectPr>
      </w:pPr>
      <w:r>
        <w:rPr>
          <w:rFonts w:hint="eastAsia" w:ascii="宋体" w:hAnsi="宋体" w:cs="宋体"/>
          <w:color w:val="auto"/>
          <w:kern w:val="0"/>
          <w:szCs w:val="21"/>
          <w:highlight w:val="none"/>
        </w:rPr>
        <w:t xml:space="preserve"> 年月 日</w:t>
      </w:r>
    </w:p>
    <w:p w14:paraId="6126517A">
      <w:pPr>
        <w:jc w:val="left"/>
        <w:rPr>
          <w:rFonts w:ascii="宋体" w:hAnsi="宋体" w:eastAsia="等线"/>
          <w:b/>
          <w:color w:val="auto"/>
          <w:szCs w:val="21"/>
          <w:highlight w:val="none"/>
        </w:rPr>
      </w:pPr>
      <w:r>
        <w:rPr>
          <w:rFonts w:hint="eastAsia" w:ascii="宋体" w:hAnsi="宋体"/>
          <w:b/>
          <w:bCs/>
          <w:color w:val="auto"/>
          <w:szCs w:val="21"/>
          <w:highlight w:val="none"/>
        </w:rPr>
        <w:t xml:space="preserve">附页4                              </w:t>
      </w:r>
      <w:r>
        <w:rPr>
          <w:rFonts w:hint="eastAsia" w:ascii="宋体" w:hAnsi="宋体"/>
          <w:b/>
          <w:color w:val="auto"/>
          <w:sz w:val="28"/>
          <w:szCs w:val="28"/>
          <w:highlight w:val="none"/>
        </w:rPr>
        <w:t>评审因素和标准</w:t>
      </w:r>
    </w:p>
    <w:p w14:paraId="215CEEA6">
      <w:pPr>
        <w:pStyle w:val="16"/>
        <w:rPr>
          <w:color w:val="auto"/>
          <w:highlight w:val="none"/>
        </w:rPr>
      </w:pPr>
    </w:p>
    <w:p w14:paraId="2CCBC3D9">
      <w:pPr>
        <w:ind w:left="2" w:leftChars="1"/>
        <w:jc w:val="left"/>
        <w:rPr>
          <w:rStyle w:val="41"/>
          <w:rFonts w:ascii="宋体" w:hAnsi="宋体"/>
          <w:color w:val="auto"/>
          <w:szCs w:val="21"/>
          <w:highlight w:val="none"/>
        </w:rPr>
      </w:pPr>
      <w:r>
        <w:rPr>
          <w:rStyle w:val="41"/>
          <w:rFonts w:ascii="宋体" w:hAnsi="宋体"/>
          <w:color w:val="auto"/>
          <w:szCs w:val="21"/>
          <w:highlight w:val="none"/>
        </w:rPr>
        <w:t>1、综合评分法：是指在满足</w:t>
      </w:r>
      <w:r>
        <w:rPr>
          <w:rStyle w:val="41"/>
          <w:rFonts w:hint="eastAsia" w:ascii="宋体" w:hAnsi="宋体"/>
          <w:color w:val="auto"/>
          <w:szCs w:val="21"/>
          <w:highlight w:val="none"/>
        </w:rPr>
        <w:t>磋商</w:t>
      </w:r>
      <w:r>
        <w:rPr>
          <w:rStyle w:val="41"/>
          <w:rFonts w:ascii="宋体" w:hAnsi="宋体"/>
          <w:color w:val="auto"/>
          <w:szCs w:val="21"/>
          <w:highlight w:val="none"/>
        </w:rPr>
        <w:t>文件实质性要求前提下，按照本招标文件中规定的各项因素进行综合评审后，以评标综合总得分最高的投标人作为中标候选人的评标方法。</w:t>
      </w:r>
    </w:p>
    <w:p w14:paraId="7106E128">
      <w:pPr>
        <w:pStyle w:val="16"/>
        <w:rPr>
          <w:b/>
          <w:color w:val="auto"/>
          <w:highlight w:val="none"/>
        </w:rPr>
      </w:pPr>
      <w:r>
        <w:rPr>
          <w:rStyle w:val="41"/>
          <w:rFonts w:ascii="宋体" w:hAnsi="宋体"/>
          <w:color w:val="auto"/>
          <w:sz w:val="24"/>
          <w:highlight w:val="none"/>
        </w:rPr>
        <w:t>2、</w:t>
      </w:r>
      <w:r>
        <w:rPr>
          <w:rStyle w:val="41"/>
          <w:rFonts w:ascii="宋体" w:hAnsi="宋体"/>
          <w:color w:val="auto"/>
          <w:szCs w:val="21"/>
          <w:highlight w:val="none"/>
        </w:rPr>
        <w:t>综合评分标准</w:t>
      </w:r>
    </w:p>
    <w:tbl>
      <w:tblPr>
        <w:tblStyle w:val="34"/>
        <w:tblW w:w="9785"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
        <w:gridCol w:w="641"/>
        <w:gridCol w:w="1096"/>
        <w:gridCol w:w="1431"/>
        <w:gridCol w:w="660"/>
        <w:gridCol w:w="5945"/>
      </w:tblGrid>
      <w:tr w14:paraId="7BA9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2" w:type="dxa"/>
          <w:trHeight w:val="454" w:hRule="exact"/>
        </w:trPr>
        <w:tc>
          <w:tcPr>
            <w:tcW w:w="9773" w:type="dxa"/>
            <w:gridSpan w:val="5"/>
            <w:tcMar>
              <w:left w:w="0" w:type="dxa"/>
              <w:right w:w="0" w:type="dxa"/>
            </w:tcMar>
          </w:tcPr>
          <w:p w14:paraId="27768CD4">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评审因素及权值</w:t>
            </w:r>
          </w:p>
        </w:tc>
      </w:tr>
      <w:tr w14:paraId="5A53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2" w:type="dxa"/>
          <w:trHeight w:val="454" w:hRule="exact"/>
        </w:trPr>
        <w:tc>
          <w:tcPr>
            <w:tcW w:w="3828" w:type="dxa"/>
            <w:gridSpan w:val="4"/>
            <w:tcMar>
              <w:left w:w="0" w:type="dxa"/>
              <w:right w:w="0" w:type="dxa"/>
            </w:tcMar>
          </w:tcPr>
          <w:p w14:paraId="7B05C9F6">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945" w:type="dxa"/>
            <w:tcMar>
              <w:left w:w="0" w:type="dxa"/>
              <w:right w:w="0" w:type="dxa"/>
            </w:tcMar>
          </w:tcPr>
          <w:p w14:paraId="037BB8CB">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权值范围</w:t>
            </w:r>
          </w:p>
        </w:tc>
      </w:tr>
      <w:tr w14:paraId="20BF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2" w:type="dxa"/>
          <w:trHeight w:val="454" w:hRule="exact"/>
        </w:trPr>
        <w:tc>
          <w:tcPr>
            <w:tcW w:w="3828" w:type="dxa"/>
            <w:gridSpan w:val="4"/>
            <w:tcMar>
              <w:left w:w="0" w:type="dxa"/>
              <w:right w:w="0" w:type="dxa"/>
            </w:tcMar>
          </w:tcPr>
          <w:p w14:paraId="517D5C28">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报价</w:t>
            </w:r>
          </w:p>
        </w:tc>
        <w:tc>
          <w:tcPr>
            <w:tcW w:w="5945" w:type="dxa"/>
            <w:tcMar>
              <w:left w:w="0" w:type="dxa"/>
              <w:right w:w="0" w:type="dxa"/>
            </w:tcMar>
          </w:tcPr>
          <w:p w14:paraId="66D66698">
            <w:pPr>
              <w:adjustRightInd w:val="0"/>
              <w:snapToGrid w:val="0"/>
              <w:spacing w:line="300" w:lineRule="exact"/>
              <w:ind w:left="628" w:leftChars="1" w:hanging="626" w:hangingChars="297"/>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A1=0.</w:t>
            </w:r>
            <w:r>
              <w:rPr>
                <w:rFonts w:hint="eastAsia" w:ascii="宋体" w:hAnsi="宋体" w:cs="宋体"/>
                <w:b/>
                <w:color w:val="auto"/>
                <w:szCs w:val="21"/>
                <w:highlight w:val="none"/>
                <w:lang w:val="en-US" w:eastAsia="zh-CN"/>
              </w:rPr>
              <w:t>55</w:t>
            </w:r>
          </w:p>
        </w:tc>
      </w:tr>
      <w:tr w14:paraId="4AFE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2" w:type="dxa"/>
          <w:trHeight w:val="454" w:hRule="exact"/>
        </w:trPr>
        <w:tc>
          <w:tcPr>
            <w:tcW w:w="3828" w:type="dxa"/>
            <w:gridSpan w:val="4"/>
            <w:tcMar>
              <w:left w:w="0" w:type="dxa"/>
              <w:right w:w="0" w:type="dxa"/>
            </w:tcMar>
          </w:tcPr>
          <w:p w14:paraId="334BBA26">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技术部分</w:t>
            </w:r>
          </w:p>
        </w:tc>
        <w:tc>
          <w:tcPr>
            <w:tcW w:w="5945" w:type="dxa"/>
            <w:tcMar>
              <w:left w:w="0" w:type="dxa"/>
              <w:right w:w="0" w:type="dxa"/>
            </w:tcMar>
          </w:tcPr>
          <w:p w14:paraId="5207E0D4">
            <w:pPr>
              <w:adjustRightInd w:val="0"/>
              <w:snapToGrid w:val="0"/>
              <w:spacing w:line="300" w:lineRule="exact"/>
              <w:ind w:left="628" w:leftChars="1" w:hanging="626" w:hangingChars="297"/>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A2=0.</w:t>
            </w:r>
            <w:r>
              <w:rPr>
                <w:rFonts w:hint="eastAsia" w:ascii="宋体" w:hAnsi="宋体" w:cs="宋体"/>
                <w:b/>
                <w:color w:val="auto"/>
                <w:szCs w:val="21"/>
                <w:highlight w:val="none"/>
                <w:lang w:val="en-US" w:eastAsia="zh-CN"/>
              </w:rPr>
              <w:t>25</w:t>
            </w:r>
          </w:p>
        </w:tc>
      </w:tr>
      <w:tr w14:paraId="66AF8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2" w:type="dxa"/>
          <w:trHeight w:val="454" w:hRule="exact"/>
        </w:trPr>
        <w:tc>
          <w:tcPr>
            <w:tcW w:w="3828" w:type="dxa"/>
            <w:gridSpan w:val="4"/>
            <w:tcMar>
              <w:left w:w="0" w:type="dxa"/>
              <w:right w:w="0" w:type="dxa"/>
            </w:tcMar>
          </w:tcPr>
          <w:p w14:paraId="6226C732">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商务部分</w:t>
            </w:r>
          </w:p>
        </w:tc>
        <w:tc>
          <w:tcPr>
            <w:tcW w:w="5945" w:type="dxa"/>
            <w:tcMar>
              <w:left w:w="0" w:type="dxa"/>
              <w:right w:w="0" w:type="dxa"/>
            </w:tcMar>
          </w:tcPr>
          <w:p w14:paraId="3AA93E42">
            <w:pPr>
              <w:adjustRightInd w:val="0"/>
              <w:snapToGrid w:val="0"/>
              <w:spacing w:line="300" w:lineRule="exact"/>
              <w:ind w:left="628" w:leftChars="1" w:hanging="626" w:hangingChars="297"/>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A3=0.</w:t>
            </w:r>
            <w:r>
              <w:rPr>
                <w:rFonts w:hint="eastAsia" w:ascii="宋体" w:hAnsi="宋体" w:cs="宋体"/>
                <w:b/>
                <w:color w:val="auto"/>
                <w:szCs w:val="21"/>
                <w:highlight w:val="none"/>
                <w:lang w:val="en-US" w:eastAsia="zh-CN"/>
              </w:rPr>
              <w:t>20</w:t>
            </w:r>
          </w:p>
        </w:tc>
      </w:tr>
      <w:tr w14:paraId="282CE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653" w:type="dxa"/>
            <w:gridSpan w:val="2"/>
            <w:vAlign w:val="center"/>
          </w:tcPr>
          <w:p w14:paraId="2540FC59">
            <w:pPr>
              <w:adjustRightInd w:val="0"/>
              <w:snapToGrid w:val="0"/>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96" w:type="dxa"/>
            <w:vAlign w:val="center"/>
          </w:tcPr>
          <w:p w14:paraId="1CCA57AD">
            <w:pPr>
              <w:adjustRightInd w:val="0"/>
              <w:snapToGrid w:val="0"/>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1431" w:type="dxa"/>
            <w:vAlign w:val="center"/>
          </w:tcPr>
          <w:p w14:paraId="0A347DC5">
            <w:pPr>
              <w:adjustRightInd w:val="0"/>
              <w:snapToGrid w:val="0"/>
              <w:spacing w:line="360" w:lineRule="exact"/>
              <w:jc w:val="center"/>
              <w:rPr>
                <w:rFonts w:ascii="宋体" w:hAnsi="宋体" w:cs="宋体"/>
                <w:b/>
                <w:bCs/>
                <w:color w:val="auto"/>
                <w:szCs w:val="21"/>
                <w:highlight w:val="none"/>
              </w:rPr>
            </w:pPr>
            <w:r>
              <w:rPr>
                <w:rFonts w:hint="eastAsia" w:ascii="宋体" w:hAnsi="宋体" w:cs="宋体"/>
                <w:b/>
                <w:bCs/>
                <w:color w:val="auto"/>
                <w:spacing w:val="-6"/>
                <w:szCs w:val="21"/>
                <w:highlight w:val="none"/>
              </w:rPr>
              <w:t>计分因素</w:t>
            </w:r>
          </w:p>
        </w:tc>
        <w:tc>
          <w:tcPr>
            <w:tcW w:w="660" w:type="dxa"/>
            <w:vAlign w:val="center"/>
          </w:tcPr>
          <w:p w14:paraId="275B0513">
            <w:pPr>
              <w:adjustRightInd w:val="0"/>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5945" w:type="dxa"/>
            <w:vAlign w:val="center"/>
          </w:tcPr>
          <w:p w14:paraId="5CF1F5A1">
            <w:pPr>
              <w:adjustRightInd w:val="0"/>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42F36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653" w:type="dxa"/>
            <w:gridSpan w:val="2"/>
            <w:vMerge w:val="restart"/>
            <w:vAlign w:val="center"/>
          </w:tcPr>
          <w:p w14:paraId="04A868FB">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096" w:type="dxa"/>
            <w:vMerge w:val="restart"/>
            <w:vAlign w:val="center"/>
          </w:tcPr>
          <w:p w14:paraId="2863044E">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技术 </w:t>
            </w:r>
            <w:r>
              <w:rPr>
                <w:rFonts w:hint="eastAsia" w:ascii="宋体" w:hAnsi="宋体" w:cs="宋体"/>
                <w:b/>
                <w:color w:val="auto"/>
                <w:szCs w:val="21"/>
                <w:highlight w:val="none"/>
              </w:rPr>
              <w:t>A2</w:t>
            </w:r>
          </w:p>
          <w:p w14:paraId="37F6A311">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7427064B">
            <w:pPr>
              <w:pStyle w:val="16"/>
              <w:keepNext w:val="0"/>
              <w:keepLines w:val="0"/>
              <w:pageBreakBefore w:val="0"/>
              <w:shd w:val="clear" w:color="auto" w:fill="auto"/>
              <w:kinsoku/>
              <w:wordWrap/>
              <w:overflowPunct/>
              <w:topLinePunct w:val="0"/>
              <w:bidi w:val="0"/>
              <w:spacing w:line="360" w:lineRule="auto"/>
              <w:jc w:val="center"/>
              <w:textAlignment w:val="auto"/>
              <w:rPr>
                <w:rFonts w:hint="eastAsia" w:ascii="宋体" w:hAnsi="宋体" w:eastAsia="黑体" w:cs="宋体"/>
                <w:color w:val="auto"/>
                <w:sz w:val="21"/>
                <w:szCs w:val="21"/>
                <w:highlight w:val="none"/>
                <w:lang w:val="en-US" w:eastAsia="zh-CN" w:bidi="ar-SA"/>
              </w:rPr>
            </w:pPr>
            <w:r>
              <w:rPr>
                <w:rFonts w:hint="eastAsia" w:ascii="宋体" w:hAnsi="宋体" w:eastAsia="宋体" w:cs="宋体"/>
                <w:color w:val="auto"/>
                <w:sz w:val="21"/>
                <w:szCs w:val="21"/>
                <w:highlight w:val="none"/>
              </w:rPr>
              <w:t>施工方案与技术措施</w:t>
            </w:r>
          </w:p>
        </w:tc>
        <w:tc>
          <w:tcPr>
            <w:tcW w:w="660" w:type="dxa"/>
            <w:shd w:val="clear" w:color="auto" w:fill="auto"/>
            <w:vAlign w:val="center"/>
          </w:tcPr>
          <w:p w14:paraId="3C125AE6">
            <w:pPr>
              <w:pStyle w:val="16"/>
              <w:keepNext w:val="0"/>
              <w:keepLines w:val="0"/>
              <w:pageBreakBefore w:val="0"/>
              <w:shd w:val="clear" w:color="auto" w:fill="auto"/>
              <w:kinsoku/>
              <w:wordWrap/>
              <w:overflowPunct/>
              <w:topLinePunct w:val="0"/>
              <w:bidi w:val="0"/>
              <w:spacing w:line="360" w:lineRule="auto"/>
              <w:jc w:val="center"/>
              <w:textAlignment w:val="auto"/>
              <w:rPr>
                <w:rFonts w:hint="eastAsia" w:ascii="宋体" w:hAnsi="宋体" w:eastAsia="黑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945" w:type="dxa"/>
            <w:shd w:val="clear" w:color="auto" w:fill="auto"/>
            <w:vAlign w:val="center"/>
          </w:tcPr>
          <w:p w14:paraId="24AF2D0E">
            <w:pPr>
              <w:keepNext w:val="0"/>
              <w:keepLines w:val="0"/>
              <w:pageBreakBefore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供应商针对本项目提供施工方案与技术措施方案，内容</w:t>
            </w:r>
            <w:r>
              <w:rPr>
                <w:rFonts w:hint="eastAsia" w:ascii="宋体" w:hAnsi="宋体" w:cs="宋体"/>
                <w:color w:val="auto"/>
                <w:sz w:val="21"/>
                <w:szCs w:val="21"/>
                <w:highlight w:val="none"/>
                <w:lang w:val="en-US" w:eastAsia="zh-CN"/>
              </w:rPr>
              <w:t>应</w:t>
            </w:r>
            <w:r>
              <w:rPr>
                <w:rFonts w:hint="eastAsia" w:ascii="宋体" w:hAnsi="宋体" w:cs="宋体"/>
                <w:color w:val="auto"/>
                <w:sz w:val="21"/>
                <w:szCs w:val="21"/>
                <w:highlight w:val="none"/>
              </w:rPr>
              <w:t>包括：①施工顺序、施工工艺、作业方法及流程等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kern w:val="2"/>
                <w:sz w:val="21"/>
                <w:szCs w:val="21"/>
                <w:highlight w:val="none"/>
              </w:rPr>
              <w:t>项目</w:t>
            </w:r>
            <w:r>
              <w:rPr>
                <w:rFonts w:hint="eastAsia" w:ascii="宋体" w:hAnsi="宋体" w:eastAsia="宋体" w:cs="宋体"/>
                <w:color w:val="auto"/>
                <w:sz w:val="21"/>
                <w:szCs w:val="21"/>
                <w:highlight w:val="none"/>
              </w:rPr>
              <w:t>总进度计划、控制性工程和重难点工程的具体分析及针对性进度计划、工期保证措施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应急预案、③</w:t>
            </w:r>
            <w:r>
              <w:rPr>
                <w:rFonts w:hint="eastAsia" w:ascii="宋体" w:hAnsi="宋体" w:eastAsia="宋体" w:cs="宋体"/>
                <w:color w:val="auto"/>
                <w:sz w:val="21"/>
                <w:szCs w:val="21"/>
                <w:highlight w:val="none"/>
              </w:rPr>
              <w:t>质量管理体系与措施方案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质量目标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质量控制方法等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kern w:val="2"/>
                <w:sz w:val="21"/>
                <w:szCs w:val="21"/>
                <w:highlight w:val="none"/>
              </w:rPr>
              <w:t>安全管理体系与措施方案</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安全防护、文明施工方案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应急预案</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⑤</w:t>
            </w:r>
            <w:r>
              <w:rPr>
                <w:rFonts w:hint="eastAsia" w:ascii="宋体" w:hAnsi="宋体" w:cs="宋体"/>
                <w:color w:val="auto"/>
                <w:kern w:val="2"/>
                <w:sz w:val="21"/>
                <w:szCs w:val="21"/>
                <w:highlight w:val="none"/>
              </w:rPr>
              <w:t>环境保护管理体系与措施</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环境目标</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管理制度</w:t>
            </w:r>
            <w:r>
              <w:rPr>
                <w:rFonts w:hint="eastAsia" w:ascii="宋体" w:hAnsi="宋体" w:cs="宋体"/>
                <w:color w:val="auto"/>
                <w:kern w:val="2"/>
                <w:sz w:val="21"/>
                <w:szCs w:val="21"/>
                <w:highlight w:val="none"/>
                <w:lang w:eastAsia="zh-CN"/>
              </w:rPr>
              <w:t>、防扰民措施</w:t>
            </w:r>
            <w:r>
              <w:rPr>
                <w:rFonts w:hint="eastAsia" w:ascii="宋体" w:hAnsi="宋体" w:cs="宋体"/>
                <w:color w:val="auto"/>
                <w:kern w:val="2"/>
                <w:sz w:val="21"/>
                <w:szCs w:val="21"/>
                <w:highlight w:val="none"/>
              </w:rPr>
              <w:t>等</w:t>
            </w:r>
            <w:r>
              <w:rPr>
                <w:rFonts w:hint="eastAsia" w:ascii="宋体" w:hAnsi="宋体" w:eastAsia="宋体" w:cs="宋体"/>
                <w:color w:val="auto"/>
                <w:sz w:val="21"/>
                <w:szCs w:val="21"/>
                <w:highlight w:val="none"/>
                <w:lang w:eastAsia="zh-CN"/>
              </w:rPr>
              <w:t>。</w:t>
            </w:r>
          </w:p>
          <w:p w14:paraId="5A2F9AC2">
            <w:pPr>
              <w:keepNext w:val="0"/>
              <w:keepLines w:val="0"/>
              <w:pageBreakBefore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上述方案内容完整、规范、可操作性强的计 10分。</w:t>
            </w:r>
          </w:p>
          <w:p w14:paraId="71D9A7F4">
            <w:pPr>
              <w:keepNext w:val="0"/>
              <w:keepLines w:val="0"/>
              <w:pageBreakBefore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有缺漏项的每项扣2分，</w:t>
            </w:r>
            <w:r>
              <w:rPr>
                <w:rFonts w:hint="eastAsia" w:ascii="宋体" w:hAnsi="宋体" w:eastAsia="宋体" w:cs="宋体"/>
                <w:color w:val="auto"/>
                <w:kern w:val="2"/>
                <w:sz w:val="21"/>
                <w:szCs w:val="21"/>
                <w:highlight w:val="none"/>
                <w:lang w:val="zh-CN"/>
              </w:rPr>
              <w:t>每项</w:t>
            </w:r>
            <w:r>
              <w:rPr>
                <w:rFonts w:hint="eastAsia" w:ascii="宋体" w:hAnsi="宋体" w:eastAsia="宋体" w:cs="宋体"/>
                <w:color w:val="auto"/>
                <w:kern w:val="2"/>
                <w:sz w:val="21"/>
                <w:szCs w:val="21"/>
                <w:highlight w:val="none"/>
                <w:lang w:val="en-US" w:eastAsia="zh-CN"/>
              </w:rPr>
              <w:t>有缺陷的1</w:t>
            </w:r>
            <w:r>
              <w:rPr>
                <w:rFonts w:hint="eastAsia" w:ascii="宋体" w:hAnsi="宋体" w:eastAsia="宋体" w:cs="宋体"/>
                <w:color w:val="auto"/>
                <w:kern w:val="2"/>
                <w:sz w:val="21"/>
                <w:szCs w:val="21"/>
                <w:highlight w:val="none"/>
                <w:lang w:val="zh-CN"/>
              </w:rPr>
              <w:t>分，</w:t>
            </w:r>
            <w:r>
              <w:rPr>
                <w:rFonts w:hint="eastAsia" w:ascii="宋体" w:hAnsi="宋体" w:eastAsia="宋体" w:cs="宋体"/>
                <w:color w:val="auto"/>
                <w:kern w:val="2"/>
                <w:sz w:val="21"/>
                <w:szCs w:val="21"/>
                <w:highlight w:val="none"/>
                <w:lang w:val="en-US" w:eastAsia="zh-CN"/>
              </w:rPr>
              <w:t>扣完为止。</w:t>
            </w:r>
            <w:r>
              <w:rPr>
                <w:rFonts w:hint="eastAsia" w:ascii="宋体" w:hAnsi="宋体" w:eastAsia="宋体" w:cs="宋体"/>
                <w:color w:val="auto"/>
                <w:kern w:val="2"/>
                <w:sz w:val="21"/>
                <w:szCs w:val="21"/>
                <w:highlight w:val="none"/>
              </w:rPr>
              <w:t>（缺陷是指：非专门针对本项目或不适用项目的情形、内容不完整或缺少关键节点、套用其他项目方案、内容前后矛盾、涉及的规范及标准错误、不利于项目建设、不可能实现的情形等任意一种情形。</w:t>
            </w:r>
            <w:r>
              <w:rPr>
                <w:rFonts w:hint="eastAsia" w:ascii="宋体" w:hAnsi="宋体" w:eastAsia="宋体" w:cs="宋体"/>
                <w:color w:val="auto"/>
                <w:kern w:val="2"/>
                <w:sz w:val="21"/>
                <w:szCs w:val="21"/>
                <w:highlight w:val="none"/>
                <w:lang w:eastAsia="zh-CN"/>
              </w:rPr>
              <w:t>）</w:t>
            </w:r>
          </w:p>
        </w:tc>
      </w:tr>
      <w:tr w14:paraId="0C491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9" w:hRule="atLeast"/>
        </w:trPr>
        <w:tc>
          <w:tcPr>
            <w:tcW w:w="653" w:type="dxa"/>
            <w:gridSpan w:val="2"/>
            <w:vMerge w:val="continue"/>
            <w:vAlign w:val="center"/>
          </w:tcPr>
          <w:p w14:paraId="2DA57DAC">
            <w:pPr>
              <w:adjustRightInd w:val="0"/>
              <w:snapToGrid w:val="0"/>
              <w:spacing w:line="360" w:lineRule="exact"/>
              <w:jc w:val="center"/>
              <w:rPr>
                <w:rFonts w:ascii="宋体" w:hAnsi="宋体" w:cs="宋体"/>
                <w:color w:val="auto"/>
                <w:szCs w:val="21"/>
                <w:highlight w:val="none"/>
              </w:rPr>
            </w:pPr>
          </w:p>
        </w:tc>
        <w:tc>
          <w:tcPr>
            <w:tcW w:w="1096" w:type="dxa"/>
            <w:vMerge w:val="continue"/>
            <w:vAlign w:val="center"/>
          </w:tcPr>
          <w:p w14:paraId="2AA461DA">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0C761502">
            <w:pPr>
              <w:keepNext w:val="0"/>
              <w:keepLines w:val="0"/>
              <w:pageBreakBefore w:val="0"/>
              <w:shd w:val="clear" w:color="auto" w:fill="auto"/>
              <w:kinsoku/>
              <w:wordWrap/>
              <w:overflowPunct/>
              <w:topLinePunct w:val="0"/>
              <w:bidi w:val="0"/>
              <w:snapToGrid w:val="0"/>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安全专项施工方案</w:t>
            </w:r>
          </w:p>
        </w:tc>
        <w:tc>
          <w:tcPr>
            <w:tcW w:w="660" w:type="dxa"/>
            <w:shd w:val="clear" w:color="auto" w:fill="auto"/>
            <w:vAlign w:val="center"/>
          </w:tcPr>
          <w:p w14:paraId="3896DBA1">
            <w:pPr>
              <w:keepNext w:val="0"/>
              <w:keepLines w:val="0"/>
              <w:pageBreakBefore w:val="0"/>
              <w:shd w:val="clear" w:color="auto" w:fill="auto"/>
              <w:kinsoku/>
              <w:wordWrap/>
              <w:overflowPunct/>
              <w:topLinePunct w:val="0"/>
              <w:bidi w:val="0"/>
              <w:snapToGrid w:val="0"/>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5分</w:t>
            </w:r>
          </w:p>
        </w:tc>
        <w:tc>
          <w:tcPr>
            <w:tcW w:w="5945" w:type="dxa"/>
            <w:shd w:val="clear" w:color="auto" w:fill="auto"/>
            <w:vAlign w:val="center"/>
          </w:tcPr>
          <w:p w14:paraId="00AC4453">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供应商针对本项目提供的安全管理体系与措施</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包括但不限于①安全管理目标明确②管理机构健全，职责分工明确③管理制度齐全④实施与监控措施全面、有效</w:t>
            </w:r>
            <w:r>
              <w:rPr>
                <w:rFonts w:hint="eastAsia" w:ascii="宋体" w:hAnsi="宋体" w:eastAsia="宋体" w:cs="宋体"/>
                <w:color w:val="auto"/>
                <w:kern w:val="2"/>
                <w:sz w:val="21"/>
                <w:szCs w:val="21"/>
                <w:highlight w:val="none"/>
                <w:lang w:eastAsia="zh-CN"/>
              </w:rPr>
              <w:t>）。</w:t>
            </w:r>
          </w:p>
          <w:p w14:paraId="2571E88C">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上述方案经济、合理配需资源，承诺完善、可信且有操作性的计</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分。有缺漏项的每项扣</w:t>
            </w:r>
            <w:r>
              <w:rPr>
                <w:rFonts w:hint="eastAsia" w:ascii="宋体" w:hAnsi="宋体" w:eastAsia="宋体" w:cs="宋体"/>
                <w:color w:val="auto"/>
                <w:kern w:val="2"/>
                <w:sz w:val="21"/>
                <w:szCs w:val="21"/>
                <w:highlight w:val="none"/>
                <w:lang w:val="en-US" w:eastAsia="zh-CN"/>
              </w:rPr>
              <w:t>1.25</w:t>
            </w:r>
            <w:r>
              <w:rPr>
                <w:rFonts w:hint="eastAsia" w:ascii="宋体" w:hAnsi="宋体" w:eastAsia="宋体" w:cs="宋体"/>
                <w:color w:val="auto"/>
                <w:kern w:val="2"/>
                <w:sz w:val="21"/>
                <w:szCs w:val="21"/>
                <w:highlight w:val="none"/>
              </w:rPr>
              <w:t>分，每项有缺陷的扣</w:t>
            </w:r>
            <w:r>
              <w:rPr>
                <w:rFonts w:hint="eastAsia" w:ascii="宋体" w:hAnsi="宋体" w:eastAsia="宋体" w:cs="宋体"/>
                <w:color w:val="auto"/>
                <w:kern w:val="2"/>
                <w:sz w:val="21"/>
                <w:szCs w:val="21"/>
                <w:highlight w:val="none"/>
                <w:lang w:val="en-US" w:eastAsia="zh-CN"/>
              </w:rPr>
              <w:t>0.6</w:t>
            </w:r>
            <w:r>
              <w:rPr>
                <w:rFonts w:hint="eastAsia" w:ascii="宋体" w:hAnsi="宋体" w:eastAsia="宋体" w:cs="宋体"/>
                <w:color w:val="auto"/>
                <w:kern w:val="2"/>
                <w:sz w:val="21"/>
                <w:szCs w:val="21"/>
                <w:highlight w:val="none"/>
              </w:rPr>
              <w:t>分，扣完为止。</w:t>
            </w:r>
          </w:p>
          <w:p w14:paraId="085C805A">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（缺陷是指：非专门针对本项目或不适用项目的情形、内容不完整或缺少关键节点、套用其他项目方案、内容前后矛盾、涉及的规范及标准错误、不利于项目建设、不可能实现的情形等任意一种情形。）</w:t>
            </w:r>
          </w:p>
        </w:tc>
      </w:tr>
      <w:tr w14:paraId="35C40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5" w:hRule="atLeast"/>
        </w:trPr>
        <w:tc>
          <w:tcPr>
            <w:tcW w:w="653" w:type="dxa"/>
            <w:gridSpan w:val="2"/>
            <w:vMerge w:val="continue"/>
            <w:vAlign w:val="center"/>
          </w:tcPr>
          <w:p w14:paraId="5D9449B7">
            <w:pPr>
              <w:adjustRightInd w:val="0"/>
              <w:snapToGrid w:val="0"/>
              <w:spacing w:line="360" w:lineRule="exact"/>
              <w:jc w:val="center"/>
              <w:rPr>
                <w:rFonts w:ascii="宋体" w:hAnsi="宋体" w:cs="宋体"/>
                <w:color w:val="auto"/>
                <w:szCs w:val="21"/>
                <w:highlight w:val="none"/>
              </w:rPr>
            </w:pPr>
          </w:p>
        </w:tc>
        <w:tc>
          <w:tcPr>
            <w:tcW w:w="1096" w:type="dxa"/>
            <w:vMerge w:val="continue"/>
            <w:vAlign w:val="center"/>
          </w:tcPr>
          <w:p w14:paraId="00FBD47B">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0B184EEE">
            <w:pPr>
              <w:keepNext w:val="0"/>
              <w:keepLines w:val="0"/>
              <w:pageBreakBefore w:val="0"/>
              <w:shd w:val="clear" w:color="auto" w:fill="auto"/>
              <w:kinsoku/>
              <w:wordWrap/>
              <w:overflowPunct/>
              <w:topLinePunct w:val="0"/>
              <w:bidi w:val="0"/>
              <w:spacing w:line="36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资源配备</w:t>
            </w:r>
          </w:p>
          <w:p w14:paraId="407BA4B5">
            <w:pPr>
              <w:keepNext w:val="0"/>
              <w:keepLines w:val="0"/>
              <w:pageBreakBefore w:val="0"/>
              <w:shd w:val="clear" w:color="auto" w:fill="auto"/>
              <w:kinsoku/>
              <w:wordWrap/>
              <w:overflowPunct/>
              <w:topLinePunct w:val="0"/>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计划</w:t>
            </w:r>
          </w:p>
        </w:tc>
        <w:tc>
          <w:tcPr>
            <w:tcW w:w="660" w:type="dxa"/>
            <w:shd w:val="clear" w:color="auto" w:fill="auto"/>
            <w:vAlign w:val="center"/>
          </w:tcPr>
          <w:p w14:paraId="6CB08D7A">
            <w:pPr>
              <w:keepNext w:val="0"/>
              <w:keepLines w:val="0"/>
              <w:pageBreakBefore w:val="0"/>
              <w:shd w:val="clear" w:color="auto" w:fill="auto"/>
              <w:kinsoku/>
              <w:wordWrap/>
              <w:overflowPunct/>
              <w:topLinePunct w:val="0"/>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5945" w:type="dxa"/>
            <w:shd w:val="clear" w:color="auto" w:fill="auto"/>
            <w:vAlign w:val="center"/>
          </w:tcPr>
          <w:p w14:paraId="6DF7820D">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rPr>
              <w:t>供应商针对本项目提供资源配备计划方案，内容</w:t>
            </w:r>
            <w:r>
              <w:rPr>
                <w:rFonts w:hint="eastAsia" w:ascii="宋体" w:hAnsi="宋体" w:cs="宋体"/>
                <w:color w:val="auto"/>
                <w:kern w:val="2"/>
                <w:sz w:val="21"/>
                <w:szCs w:val="21"/>
                <w:highlight w:val="none"/>
                <w:lang w:val="en-US" w:eastAsia="zh-CN"/>
              </w:rPr>
              <w:t>应</w:t>
            </w:r>
            <w:r>
              <w:rPr>
                <w:rFonts w:hint="eastAsia" w:ascii="宋体" w:hAnsi="宋体" w:cs="宋体"/>
                <w:color w:val="auto"/>
                <w:kern w:val="2"/>
                <w:sz w:val="21"/>
                <w:szCs w:val="21"/>
                <w:highlight w:val="none"/>
              </w:rPr>
              <w:t>包括：</w:t>
            </w:r>
            <w:r>
              <w:rPr>
                <w:rFonts w:hint="eastAsia" w:ascii="宋体" w:hAnsi="宋体" w:cs="宋体"/>
                <w:color w:val="auto"/>
                <w:sz w:val="21"/>
                <w:szCs w:val="21"/>
                <w:highlight w:val="none"/>
              </w:rPr>
              <w:t>①</w:t>
            </w:r>
            <w:r>
              <w:rPr>
                <w:rFonts w:hint="eastAsia" w:ascii="宋体" w:hAnsi="宋体" w:cs="宋体"/>
                <w:color w:val="auto"/>
                <w:kern w:val="2"/>
                <w:sz w:val="21"/>
                <w:szCs w:val="21"/>
                <w:highlight w:val="none"/>
              </w:rPr>
              <w:t>资源投入劳动力配备、②设备配置、③材料计划</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④人员配置计划</w:t>
            </w:r>
            <w:r>
              <w:rPr>
                <w:rFonts w:hint="eastAsia" w:ascii="宋体" w:hAnsi="宋体" w:cs="宋体"/>
                <w:color w:val="auto"/>
                <w:kern w:val="2"/>
                <w:sz w:val="21"/>
                <w:szCs w:val="21"/>
                <w:highlight w:val="none"/>
                <w:lang w:eastAsia="zh-CN"/>
              </w:rPr>
              <w:t>。</w:t>
            </w:r>
          </w:p>
          <w:p w14:paraId="7D40AF3F">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上述方案经济、合理配需资源，承诺完善、可信且有操作性的计</w:t>
            </w:r>
            <w:r>
              <w:rPr>
                <w:rFonts w:hint="eastAsia" w:ascii="宋体" w:hAnsi="宋体" w:cs="宋体"/>
                <w:color w:val="auto"/>
                <w:kern w:val="2"/>
                <w:sz w:val="21"/>
                <w:szCs w:val="21"/>
                <w:highlight w:val="none"/>
                <w:lang w:val="en-US" w:eastAsia="zh-CN"/>
              </w:rPr>
              <w:t>5</w:t>
            </w:r>
            <w:r>
              <w:rPr>
                <w:rFonts w:hint="eastAsia" w:ascii="宋体" w:hAnsi="宋体" w:cs="宋体"/>
                <w:color w:val="auto"/>
                <w:kern w:val="2"/>
                <w:sz w:val="21"/>
                <w:szCs w:val="21"/>
                <w:highlight w:val="none"/>
              </w:rPr>
              <w:t>分。有缺漏项的每项扣</w:t>
            </w:r>
            <w:r>
              <w:rPr>
                <w:rFonts w:hint="eastAsia" w:ascii="宋体" w:hAnsi="宋体" w:cs="宋体"/>
                <w:color w:val="auto"/>
                <w:kern w:val="2"/>
                <w:sz w:val="21"/>
                <w:szCs w:val="21"/>
                <w:highlight w:val="none"/>
                <w:lang w:val="en-US" w:eastAsia="zh-CN"/>
              </w:rPr>
              <w:t>1.25</w:t>
            </w:r>
            <w:r>
              <w:rPr>
                <w:rFonts w:hint="eastAsia" w:ascii="宋体" w:hAnsi="宋体" w:cs="宋体"/>
                <w:color w:val="auto"/>
                <w:kern w:val="2"/>
                <w:sz w:val="21"/>
                <w:szCs w:val="21"/>
                <w:highlight w:val="none"/>
              </w:rPr>
              <w:t>分，每项有缺陷的扣</w:t>
            </w:r>
            <w:r>
              <w:rPr>
                <w:rFonts w:hint="eastAsia" w:ascii="宋体" w:hAnsi="宋体" w:cs="宋体"/>
                <w:color w:val="auto"/>
                <w:kern w:val="2"/>
                <w:sz w:val="21"/>
                <w:szCs w:val="21"/>
                <w:highlight w:val="none"/>
                <w:lang w:val="en-US" w:eastAsia="zh-CN"/>
              </w:rPr>
              <w:t>0.6</w:t>
            </w:r>
            <w:r>
              <w:rPr>
                <w:rFonts w:hint="eastAsia" w:ascii="宋体" w:hAnsi="宋体" w:cs="宋体"/>
                <w:color w:val="auto"/>
                <w:kern w:val="2"/>
                <w:sz w:val="21"/>
                <w:szCs w:val="21"/>
                <w:highlight w:val="none"/>
              </w:rPr>
              <w:t>分，扣完为止。</w:t>
            </w:r>
          </w:p>
          <w:p w14:paraId="047C56D3">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rPr>
              <w:t>（缺陷是指：非专门针对本项目或不适用项目的情形、内容不完整或缺少关键节点、套用其他项目方案、内容前后矛盾、涉及的规范及标准错误、不利于项目建设、不可能实现的情形等任意一种情形。）</w:t>
            </w:r>
          </w:p>
        </w:tc>
      </w:tr>
      <w:tr w14:paraId="5B5D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653" w:type="dxa"/>
            <w:gridSpan w:val="2"/>
            <w:vMerge w:val="continue"/>
            <w:vAlign w:val="center"/>
          </w:tcPr>
          <w:p w14:paraId="70C0078F">
            <w:pPr>
              <w:adjustRightInd w:val="0"/>
              <w:snapToGrid w:val="0"/>
              <w:spacing w:line="360" w:lineRule="exact"/>
              <w:jc w:val="center"/>
              <w:rPr>
                <w:rFonts w:ascii="宋体" w:hAnsi="宋体" w:cs="宋体"/>
                <w:color w:val="auto"/>
                <w:szCs w:val="21"/>
                <w:highlight w:val="none"/>
              </w:rPr>
            </w:pPr>
          </w:p>
        </w:tc>
        <w:tc>
          <w:tcPr>
            <w:tcW w:w="1096" w:type="dxa"/>
            <w:vMerge w:val="continue"/>
            <w:vAlign w:val="center"/>
          </w:tcPr>
          <w:p w14:paraId="58DED8C4">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2BF24AD1">
            <w:pPr>
              <w:keepNext w:val="0"/>
              <w:keepLines w:val="0"/>
              <w:pageBreakBefore w:val="0"/>
              <w:shd w:val="clear" w:color="auto" w:fill="auto"/>
              <w:kinsoku/>
              <w:wordWrap/>
              <w:overflowPunct/>
              <w:topLinePunct w:val="0"/>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保修期服务方案与措施</w:t>
            </w:r>
          </w:p>
        </w:tc>
        <w:tc>
          <w:tcPr>
            <w:tcW w:w="660" w:type="dxa"/>
            <w:shd w:val="clear" w:color="auto" w:fill="auto"/>
            <w:vAlign w:val="center"/>
          </w:tcPr>
          <w:p w14:paraId="01C9F8AD">
            <w:pPr>
              <w:keepNext w:val="0"/>
              <w:keepLines w:val="0"/>
              <w:pageBreakBefore w:val="0"/>
              <w:shd w:val="clear" w:color="auto" w:fill="auto"/>
              <w:kinsoku/>
              <w:wordWrap/>
              <w:overflowPunct/>
              <w:topLinePunct w:val="0"/>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5分</w:t>
            </w:r>
          </w:p>
        </w:tc>
        <w:tc>
          <w:tcPr>
            <w:tcW w:w="5945" w:type="dxa"/>
            <w:shd w:val="clear" w:color="auto" w:fill="auto"/>
            <w:vAlign w:val="center"/>
          </w:tcPr>
          <w:p w14:paraId="1A654284">
            <w:pPr>
              <w:pStyle w:val="2"/>
              <w:keepNext w:val="0"/>
              <w:keepLines w:val="0"/>
              <w:pageBreakBefore w:val="0"/>
              <w:shd w:val="clear" w:color="auto" w:fill="auto"/>
              <w:kinsoku/>
              <w:wordWrap/>
              <w:overflowPunct/>
              <w:topLinePunct w:val="0"/>
              <w:bidi w:val="0"/>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根据供应商提供的保修期服务方案与措施，应包括:①质量保证措施、②服务方案、③服务响应时间、④服务人员。</w:t>
            </w:r>
          </w:p>
          <w:p w14:paraId="4C555218">
            <w:pPr>
              <w:pStyle w:val="2"/>
              <w:keepNext w:val="0"/>
              <w:keepLines w:val="0"/>
              <w:pageBreakBefore w:val="0"/>
              <w:shd w:val="clear" w:color="auto" w:fill="auto"/>
              <w:kinsoku/>
              <w:wordWrap/>
              <w:overflowPunct/>
              <w:topLinePunct w:val="0"/>
              <w:bidi w:val="0"/>
              <w:spacing w:after="0" w:afterLines="0" w:line="360" w:lineRule="exact"/>
              <w:ind w:left="0" w:leftChars="0" w:firstLine="0" w:firstLineChars="0"/>
              <w:textAlignment w:val="auto"/>
              <w:rPr>
                <w:rFonts w:hint="eastAsia" w:ascii="宋体" w:hAnsi="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上述方案经济、合理配需资源，承诺完善、可信且有操作性的</w:t>
            </w:r>
            <w:r>
              <w:rPr>
                <w:rFonts w:hint="eastAsia" w:ascii="宋体" w:hAnsi="宋体" w:cs="宋体"/>
                <w:color w:val="auto"/>
                <w:kern w:val="2"/>
                <w:sz w:val="21"/>
                <w:szCs w:val="21"/>
                <w:highlight w:val="none"/>
                <w:lang w:val="en-US" w:eastAsia="zh-CN"/>
              </w:rPr>
              <w:t>5</w:t>
            </w:r>
            <w:r>
              <w:rPr>
                <w:rFonts w:hint="eastAsia" w:ascii="宋体" w:hAnsi="宋体" w:cs="宋体"/>
                <w:color w:val="auto"/>
                <w:kern w:val="2"/>
                <w:sz w:val="21"/>
                <w:szCs w:val="21"/>
                <w:highlight w:val="none"/>
              </w:rPr>
              <w:t>分。有缺漏项的每项扣</w:t>
            </w:r>
            <w:r>
              <w:rPr>
                <w:rFonts w:hint="eastAsia" w:ascii="宋体" w:hAnsi="宋体" w:cs="宋体"/>
                <w:color w:val="auto"/>
                <w:kern w:val="2"/>
                <w:sz w:val="21"/>
                <w:szCs w:val="21"/>
                <w:highlight w:val="none"/>
                <w:lang w:val="en-US" w:eastAsia="zh-CN"/>
              </w:rPr>
              <w:t>1.25</w:t>
            </w:r>
            <w:r>
              <w:rPr>
                <w:rFonts w:hint="eastAsia" w:ascii="宋体" w:hAnsi="宋体" w:cs="宋体"/>
                <w:color w:val="auto"/>
                <w:kern w:val="2"/>
                <w:sz w:val="21"/>
                <w:szCs w:val="21"/>
                <w:highlight w:val="none"/>
              </w:rPr>
              <w:t>分</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每项有缺陷的扣</w:t>
            </w:r>
            <w:r>
              <w:rPr>
                <w:rFonts w:hint="eastAsia" w:ascii="宋体" w:hAnsi="宋体" w:cs="宋体"/>
                <w:color w:val="auto"/>
                <w:kern w:val="2"/>
                <w:sz w:val="21"/>
                <w:szCs w:val="21"/>
                <w:highlight w:val="none"/>
                <w:lang w:val="en-US" w:eastAsia="zh-CN"/>
              </w:rPr>
              <w:t>0.6</w:t>
            </w:r>
            <w:r>
              <w:rPr>
                <w:rFonts w:hint="eastAsia" w:ascii="宋体" w:hAnsi="宋体" w:cs="宋体"/>
                <w:color w:val="auto"/>
                <w:kern w:val="2"/>
                <w:sz w:val="21"/>
                <w:szCs w:val="21"/>
                <w:highlight w:val="none"/>
              </w:rPr>
              <w:t>分，扣完为止。</w:t>
            </w:r>
          </w:p>
          <w:p w14:paraId="59C62AA3">
            <w:pPr>
              <w:pStyle w:val="2"/>
              <w:keepNext w:val="0"/>
              <w:keepLines w:val="0"/>
              <w:pageBreakBefore w:val="0"/>
              <w:shd w:val="clear" w:color="auto" w:fill="auto"/>
              <w:kinsoku/>
              <w:wordWrap/>
              <w:overflowPunct/>
              <w:topLinePunct w:val="0"/>
              <w:bidi w:val="0"/>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rPr>
              <w:t>（缺陷是指：非专门针对本项目或不适用项目的情形、内容不完整或缺少关键节点、套用其他项目方案、内容前后矛盾、涉及的规范及标准错误、不利于项目建设、不可能实现的情形等任意一种情形。）</w:t>
            </w:r>
          </w:p>
        </w:tc>
      </w:tr>
      <w:tr w14:paraId="65581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67" w:hRule="atLeast"/>
        </w:trPr>
        <w:tc>
          <w:tcPr>
            <w:tcW w:w="653" w:type="dxa"/>
            <w:gridSpan w:val="2"/>
            <w:vMerge w:val="restart"/>
            <w:vAlign w:val="center"/>
          </w:tcPr>
          <w:p w14:paraId="75424217">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096" w:type="dxa"/>
            <w:vMerge w:val="restart"/>
            <w:vAlign w:val="center"/>
          </w:tcPr>
          <w:p w14:paraId="6E4EDF01">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商务 </w:t>
            </w:r>
            <w:r>
              <w:rPr>
                <w:rFonts w:hint="eastAsia" w:ascii="宋体" w:hAnsi="宋体" w:cs="宋体"/>
                <w:b/>
                <w:color w:val="auto"/>
                <w:szCs w:val="21"/>
                <w:highlight w:val="none"/>
              </w:rPr>
              <w:t>A3</w:t>
            </w:r>
          </w:p>
          <w:p w14:paraId="281AEC76">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6B6D264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投标人类似工程业绩</w:t>
            </w:r>
          </w:p>
        </w:tc>
        <w:tc>
          <w:tcPr>
            <w:tcW w:w="660" w:type="dxa"/>
            <w:shd w:val="clear" w:color="auto" w:fill="auto"/>
            <w:vAlign w:val="center"/>
          </w:tcPr>
          <w:p w14:paraId="1FFD531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tc>
        <w:tc>
          <w:tcPr>
            <w:tcW w:w="5945" w:type="dxa"/>
            <w:shd w:val="clear" w:color="auto" w:fill="auto"/>
            <w:vAlign w:val="center"/>
          </w:tcPr>
          <w:p w14:paraId="56E8D7A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近三年内（以提交首次响应文件截止时间前</w:t>
            </w:r>
            <w:r>
              <w:rPr>
                <w:rFonts w:hint="eastAsia" w:ascii="宋体" w:hAnsi="宋体" w:cs="宋体"/>
                <w:color w:val="auto"/>
                <w:sz w:val="21"/>
                <w:szCs w:val="21"/>
                <w:highlight w:val="none"/>
                <w:lang w:val="en-US" w:eastAsia="zh-CN"/>
              </w:rPr>
              <w:t>36个月，</w:t>
            </w:r>
            <w:r>
              <w:rPr>
                <w:rFonts w:hint="eastAsia" w:ascii="宋体" w:hAnsi="宋体" w:cs="宋体"/>
                <w:color w:val="auto"/>
                <w:sz w:val="21"/>
                <w:szCs w:val="21"/>
                <w:highlight w:val="none"/>
              </w:rPr>
              <w:t>以合同签订时间为准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，投标人自行承担过一个类似施工业绩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边坡支护或护坡加固或基础支护</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的计5分，最多计</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个。</w:t>
            </w:r>
          </w:p>
          <w:p w14:paraId="070936A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项目业绩</w:t>
            </w:r>
            <w:r>
              <w:rPr>
                <w:rFonts w:hint="eastAsia" w:ascii="宋体" w:hAnsi="宋体" w:eastAsia="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rPr>
              <w:t>提供中标通知书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招标工程提供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w:t>
            </w:r>
            <w:r>
              <w:rPr>
                <w:rFonts w:hint="eastAsia" w:ascii="宋体" w:hAnsi="宋体" w:eastAsia="宋体" w:cs="宋体"/>
                <w:b/>
                <w:bCs/>
                <w:color w:val="auto"/>
                <w:sz w:val="21"/>
                <w:szCs w:val="21"/>
                <w:highlight w:val="none"/>
                <w:lang w:val="en-US" w:eastAsia="zh-CN"/>
              </w:rPr>
              <w:t>竣工验收材料（至少包含建设单位盖章）</w:t>
            </w:r>
            <w:r>
              <w:rPr>
                <w:rFonts w:hint="eastAsia" w:ascii="宋体" w:hAnsi="宋体" w:eastAsia="宋体" w:cs="宋体"/>
                <w:b/>
                <w:bCs/>
                <w:color w:val="auto"/>
                <w:sz w:val="21"/>
                <w:szCs w:val="21"/>
                <w:highlight w:val="none"/>
              </w:rPr>
              <w:t>复印件并加盖供应商公章，否则不予计分。</w:t>
            </w:r>
          </w:p>
        </w:tc>
      </w:tr>
      <w:tr w14:paraId="5C45A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9" w:hRule="atLeast"/>
        </w:trPr>
        <w:tc>
          <w:tcPr>
            <w:tcW w:w="653" w:type="dxa"/>
            <w:gridSpan w:val="2"/>
            <w:vMerge w:val="continue"/>
            <w:vAlign w:val="center"/>
          </w:tcPr>
          <w:p w14:paraId="0CE5DB74">
            <w:pPr>
              <w:adjustRightInd w:val="0"/>
              <w:snapToGrid w:val="0"/>
              <w:spacing w:line="360" w:lineRule="exact"/>
              <w:jc w:val="center"/>
              <w:rPr>
                <w:rFonts w:ascii="宋体" w:hAnsi="宋体" w:cs="宋体"/>
                <w:color w:val="auto"/>
                <w:szCs w:val="21"/>
                <w:highlight w:val="none"/>
              </w:rPr>
            </w:pPr>
          </w:p>
        </w:tc>
        <w:tc>
          <w:tcPr>
            <w:tcW w:w="1096" w:type="dxa"/>
            <w:vMerge w:val="continue"/>
            <w:vAlign w:val="center"/>
          </w:tcPr>
          <w:p w14:paraId="7EFC360D">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336F32B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拟任项目经理业绩</w:t>
            </w:r>
          </w:p>
        </w:tc>
        <w:tc>
          <w:tcPr>
            <w:tcW w:w="660" w:type="dxa"/>
            <w:shd w:val="clear" w:color="auto" w:fill="auto"/>
            <w:vAlign w:val="center"/>
          </w:tcPr>
          <w:p w14:paraId="3435283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5945" w:type="dxa"/>
            <w:shd w:val="clear" w:color="auto" w:fill="auto"/>
            <w:vAlign w:val="center"/>
          </w:tcPr>
          <w:p w14:paraId="3DD79F5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近三年内（以提交首次响应文件截止时间前</w:t>
            </w:r>
            <w:r>
              <w:rPr>
                <w:rFonts w:hint="eastAsia" w:ascii="宋体" w:hAnsi="宋体" w:cs="宋体"/>
                <w:color w:val="auto"/>
                <w:sz w:val="21"/>
                <w:szCs w:val="21"/>
                <w:highlight w:val="none"/>
                <w:lang w:val="en-US" w:eastAsia="zh-CN"/>
              </w:rPr>
              <w:t>36个月</w:t>
            </w:r>
            <w:r>
              <w:rPr>
                <w:rFonts w:hint="eastAsia" w:ascii="宋体" w:hAnsi="宋体" w:cs="宋体"/>
                <w:color w:val="auto"/>
                <w:sz w:val="21"/>
                <w:szCs w:val="21"/>
                <w:highlight w:val="none"/>
              </w:rPr>
              <w:t>，以合同签订时间为准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，拟派项目经理自行承担过一个类似施工业绩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边坡支护或护坡加固或基础支护</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的计</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5分，最多计2个。</w:t>
            </w:r>
          </w:p>
          <w:p w14:paraId="09E3B72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注：项目业绩</w:t>
            </w:r>
            <w:r>
              <w:rPr>
                <w:rFonts w:hint="eastAsia" w:ascii="宋体" w:hAnsi="宋体" w:eastAsia="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rPr>
              <w:t>提供中标通知书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招标工程提供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w:t>
            </w:r>
            <w:r>
              <w:rPr>
                <w:rFonts w:hint="eastAsia" w:ascii="宋体" w:hAnsi="宋体" w:eastAsia="宋体" w:cs="宋体"/>
                <w:b/>
                <w:bCs/>
                <w:color w:val="auto"/>
                <w:sz w:val="21"/>
                <w:szCs w:val="21"/>
                <w:highlight w:val="none"/>
                <w:lang w:val="en-US" w:eastAsia="zh-CN"/>
              </w:rPr>
              <w:t>竣工验收材料（至少包含建设单位盖章）</w:t>
            </w:r>
            <w:r>
              <w:rPr>
                <w:rFonts w:hint="eastAsia" w:ascii="宋体" w:hAnsi="宋体" w:eastAsia="宋体" w:cs="宋体"/>
                <w:color w:val="auto"/>
                <w:spacing w:val="-6"/>
                <w:kern w:val="2"/>
                <w:sz w:val="21"/>
                <w:szCs w:val="21"/>
                <w:highlight w:val="none"/>
                <w:lang w:val="en-US" w:eastAsia="zh-CN" w:bidi="ar-SA"/>
              </w:rPr>
              <w:t>复印件并加盖供应商公章，上述材料不能体现拟任项目负责人相关信息的，还须提供本业绩为拟任项目负责人的证明材料，并加盖供应商公章，否则不计分。)</w:t>
            </w:r>
          </w:p>
        </w:tc>
      </w:tr>
      <w:tr w14:paraId="38BFA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653" w:type="dxa"/>
            <w:gridSpan w:val="2"/>
            <w:vAlign w:val="center"/>
          </w:tcPr>
          <w:p w14:paraId="286EE7F5">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096" w:type="dxa"/>
            <w:vAlign w:val="center"/>
          </w:tcPr>
          <w:p w14:paraId="20187231">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磋商报价</w:t>
            </w:r>
          </w:p>
          <w:p w14:paraId="3274D9EF">
            <w:pPr>
              <w:adjustRightInd w:val="0"/>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rPr>
              <w:t>A1</w:t>
            </w:r>
          </w:p>
        </w:tc>
        <w:tc>
          <w:tcPr>
            <w:tcW w:w="8036" w:type="dxa"/>
            <w:gridSpan w:val="3"/>
            <w:vAlign w:val="center"/>
          </w:tcPr>
          <w:p w14:paraId="01C08488">
            <w:pPr>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1、满足磋商文件要求且最后报价最低的供应商的价格为磋商基准价，其价格分为满分。其他供应商的价格分统一按照下列公式计算：</w:t>
            </w:r>
          </w:p>
          <w:p w14:paraId="54073085">
            <w:pPr>
              <w:adjustRightInd w:val="0"/>
              <w:snapToGrid w:val="0"/>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磋商报价得分=（磋商基准价/最后磋商报价）×价格权值×</w:t>
            </w:r>
            <w:r>
              <w:rPr>
                <w:rFonts w:hint="eastAsia" w:ascii="宋体" w:hAnsi="宋体" w:cs="宋体"/>
                <w:color w:val="auto"/>
                <w:szCs w:val="21"/>
                <w:highlight w:val="none"/>
                <w:lang w:val="en-US" w:eastAsia="zh-CN"/>
              </w:rPr>
              <w:t>55</w:t>
            </w:r>
          </w:p>
          <w:p w14:paraId="703847FC">
            <w:pPr>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项目评审过程中，不得去掉最后报价中的最高报价和最低报价。</w:t>
            </w:r>
          </w:p>
          <w:p w14:paraId="5356490D">
            <w:pPr>
              <w:pStyle w:val="16"/>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根据《财政部关于推动解决政府采购异常低价问题的通知》（财库[2026]2号）要求，出现下列情形之一的，评审委员会应当启动异常低价投标（响应）审查程序：</w:t>
            </w:r>
          </w:p>
          <w:p w14:paraId="57DD0D61">
            <w:pPr>
              <w:pStyle w:val="16"/>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1.投标（响应）报价低于全部通过符合性审查供应商投标（响应）报价平均值</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%的，即投标（响应）报价&lt;全部通过符合性审查供应商投标（响应）报价平均值×</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w:t>
            </w:r>
          </w:p>
          <w:p w14:paraId="1971CE3F">
            <w:pPr>
              <w:pStyle w:val="16"/>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2.投标（响应）报价低于通过符合性审查的次低报价供应商投标（响应）报价</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%的，即投标（响应）报价&lt;通过符合性审查的次低报价供应商投标（响应）报价×</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w:t>
            </w:r>
          </w:p>
          <w:p w14:paraId="14064BA5">
            <w:pPr>
              <w:pStyle w:val="16"/>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3.投标（响应）报价低于采购项目最高限价</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%的，即投标（响应）报价&lt;采购项目最高限价×</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w:t>
            </w:r>
          </w:p>
          <w:p w14:paraId="490C4FC7">
            <w:pPr>
              <w:pStyle w:val="16"/>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4.评审委员会基于专业判断，认为供应商报价过低，有可能影响产品质量或者不能诚信履约的其他情形。</w:t>
            </w:r>
          </w:p>
          <w:p w14:paraId="76748F82">
            <w:pPr>
              <w:pStyle w:val="16"/>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60068ED">
            <w:pPr>
              <w:pStyle w:val="16"/>
              <w:spacing w:line="360" w:lineRule="exact"/>
              <w:rPr>
                <w:rFonts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color w:val="auto"/>
                <w:sz w:val="21"/>
                <w:szCs w:val="21"/>
                <w:highlight w:val="none"/>
              </w:rPr>
              <w:t>。</w:t>
            </w:r>
          </w:p>
        </w:tc>
      </w:tr>
      <w:tr w14:paraId="0702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1" w:hRule="atLeast"/>
        </w:trPr>
        <w:tc>
          <w:tcPr>
            <w:tcW w:w="9785" w:type="dxa"/>
            <w:gridSpan w:val="6"/>
            <w:vAlign w:val="center"/>
          </w:tcPr>
          <w:p w14:paraId="0D776B6A">
            <w:pPr>
              <w:rPr>
                <w:rFonts w:ascii="宋体" w:hAnsi="宋体" w:cs="宋体"/>
                <w:color w:val="auto"/>
                <w:szCs w:val="21"/>
                <w:highlight w:val="none"/>
              </w:rPr>
            </w:pPr>
            <w:r>
              <w:rPr>
                <w:rFonts w:hint="eastAsia" w:ascii="宋体" w:hAnsi="宋体" w:cs="宋体"/>
                <w:color w:val="auto"/>
                <w:szCs w:val="21"/>
                <w:highlight w:val="none"/>
              </w:rPr>
              <w:t>说明：</w:t>
            </w:r>
          </w:p>
          <w:p w14:paraId="5C428A31">
            <w:pPr>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1、供应商的综合得分为：所有评标委员会成员对其评标的综合得分。</w:t>
            </w:r>
          </w:p>
          <w:p w14:paraId="0C78D0BD">
            <w:pPr>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2、计算过程中，算术平均值保留2位小数（百分比亦取2位小数），第三位小数四舍五入。</w:t>
            </w:r>
          </w:p>
          <w:p w14:paraId="5DC87957">
            <w:pPr>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3、评标结果按评审后得分由高到低顺序排列。</w:t>
            </w:r>
            <w:r>
              <w:rPr>
                <w:rFonts w:hint="eastAsia" w:ascii="宋体" w:hAnsi="宋体" w:cs="宋体"/>
                <w:bCs/>
                <w:color w:val="auto"/>
                <w:szCs w:val="21"/>
                <w:highlight w:val="none"/>
              </w:rPr>
              <w:t>评审得分相同的，按照最后报价由低到高的顺序推荐。评审得分且最后报价相同的，按照技术指标优劣顺序推荐</w:t>
            </w:r>
            <w:r>
              <w:rPr>
                <w:rFonts w:hint="eastAsia" w:ascii="宋体" w:hAnsi="宋体" w:cs="宋体"/>
                <w:color w:val="auto"/>
                <w:szCs w:val="21"/>
                <w:highlight w:val="none"/>
              </w:rPr>
              <w:t>排名第一的中标候选人。</w:t>
            </w:r>
          </w:p>
          <w:p w14:paraId="6942E1F1">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4、凡评委评分项牵涉到的证明文件、数据、承诺，投标文件中未提供、或已提供但是字迹模糊无法辨认、语义模糊易造成误解、前后文件内容不一致的则该评分项计0分处理。</w:t>
            </w:r>
          </w:p>
          <w:p w14:paraId="367799F5">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5、竞争性磋商文件中要求查验的原件应当在投标截止时间之前递交至投标文件递交地点。</w:t>
            </w:r>
          </w:p>
          <w:p w14:paraId="3A6BF5C0">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6、若提交的相关证明材料无法得到核实或未在规定的时间内提交，评委会将对其所对应的评分项记0分。相关证明资料需提供复印件加盖公章，提供虚假资料的供应商将取消投标资格。</w:t>
            </w:r>
          </w:p>
          <w:p w14:paraId="545D575D">
            <w:pPr>
              <w:adjustRightInd w:val="0"/>
              <w:snapToGrid w:val="0"/>
              <w:spacing w:line="360" w:lineRule="exact"/>
              <w:rPr>
                <w:color w:val="auto"/>
                <w:highlight w:val="none"/>
              </w:rPr>
            </w:pPr>
            <w:r>
              <w:rPr>
                <w:rFonts w:hint="eastAsia" w:ascii="宋体" w:hAnsi="宋体" w:cs="宋体"/>
                <w:b/>
                <w:color w:val="auto"/>
                <w:szCs w:val="21"/>
                <w:highlight w:val="none"/>
              </w:rPr>
              <w:t>7、技术评审中，欠完善、不合理是指具有明显缺陷, 前后内容无法连贯,逻辑不通,文字内容不能清楚表达意图；内容脱离了该项目实际情况；与国家或行业相关政策法规或管理办法不符,或与行业惯例不符；不具备实施的可能性或套用其他项目方案或引用错误或前后内容不一致甚至矛盾或存在与本项目无关的内容。</w:t>
            </w:r>
          </w:p>
        </w:tc>
      </w:tr>
    </w:tbl>
    <w:p w14:paraId="2DCC090D">
      <w:pPr>
        <w:pStyle w:val="16"/>
        <w:rPr>
          <w:color w:val="auto"/>
          <w:highlight w:val="none"/>
        </w:rPr>
      </w:pPr>
    </w:p>
    <w:p w14:paraId="576E8F7C">
      <w:pPr>
        <w:adjustRightInd w:val="0"/>
        <w:snapToGrid w:val="0"/>
        <w:spacing w:line="360" w:lineRule="auto"/>
        <w:jc w:val="center"/>
        <w:rPr>
          <w:rFonts w:eastAsia="黑体"/>
          <w:b/>
          <w:color w:val="auto"/>
          <w:sz w:val="28"/>
          <w:szCs w:val="28"/>
          <w:highlight w:val="none"/>
        </w:rPr>
      </w:pPr>
    </w:p>
    <w:p w14:paraId="6BB9E101">
      <w:pPr>
        <w:rPr>
          <w:rFonts w:eastAsia="黑体"/>
          <w:b/>
          <w:color w:val="auto"/>
          <w:sz w:val="28"/>
          <w:szCs w:val="28"/>
          <w:highlight w:val="none"/>
        </w:rPr>
      </w:pPr>
      <w:r>
        <w:rPr>
          <w:rFonts w:eastAsia="黑体"/>
          <w:b/>
          <w:color w:val="auto"/>
          <w:sz w:val="28"/>
          <w:szCs w:val="28"/>
          <w:highlight w:val="none"/>
        </w:rPr>
        <w:br w:type="page"/>
      </w:r>
    </w:p>
    <w:p w14:paraId="4BE86B53">
      <w:pPr>
        <w:adjustRightInd w:val="0"/>
        <w:snapToGrid w:val="0"/>
        <w:spacing w:line="360" w:lineRule="auto"/>
        <w:jc w:val="center"/>
        <w:rPr>
          <w:rFonts w:eastAsia="黑体"/>
          <w:b/>
          <w:color w:val="auto"/>
          <w:sz w:val="28"/>
          <w:szCs w:val="28"/>
          <w:highlight w:val="none"/>
        </w:rPr>
      </w:pPr>
      <w:r>
        <w:rPr>
          <w:rFonts w:eastAsia="黑体"/>
          <w:b/>
          <w:color w:val="auto"/>
          <w:sz w:val="28"/>
          <w:szCs w:val="28"/>
          <w:highlight w:val="none"/>
        </w:rPr>
        <w:t>磋商须知正文</w:t>
      </w:r>
    </w:p>
    <w:p w14:paraId="625DBB52">
      <w:pPr>
        <w:adjustRightInd w:val="0"/>
        <w:snapToGrid w:val="0"/>
        <w:spacing w:line="420" w:lineRule="exact"/>
        <w:rPr>
          <w:rFonts w:ascii="黑体" w:hAnsi="宋体" w:eastAsia="黑体"/>
          <w:color w:val="auto"/>
          <w:sz w:val="24"/>
          <w:highlight w:val="none"/>
        </w:rPr>
      </w:pPr>
      <w:r>
        <w:rPr>
          <w:rFonts w:hint="eastAsia" w:ascii="黑体" w:hAnsi="宋体" w:eastAsia="黑体"/>
          <w:color w:val="auto"/>
          <w:sz w:val="24"/>
          <w:highlight w:val="none"/>
        </w:rPr>
        <w:t>一、说明</w:t>
      </w:r>
    </w:p>
    <w:p w14:paraId="4ACD3FB1">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1.适用范围</w:t>
      </w:r>
    </w:p>
    <w:p w14:paraId="78FEAC24">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1.1 本磋商文件仅适用于磋商须知前附表(以下简称</w:t>
      </w:r>
      <w:r>
        <w:rPr>
          <w:rFonts w:hint="eastAsia" w:ascii="宋体" w:hAnsi="宋体"/>
          <w:b/>
          <w:color w:val="auto"/>
          <w:szCs w:val="21"/>
          <w:highlight w:val="none"/>
        </w:rPr>
        <w:t>磋商须知前附表)</w:t>
      </w:r>
      <w:r>
        <w:rPr>
          <w:rFonts w:hint="eastAsia" w:ascii="宋体" w:hAnsi="宋体"/>
          <w:color w:val="auto"/>
          <w:szCs w:val="21"/>
          <w:highlight w:val="none"/>
        </w:rPr>
        <w:t>中所叙述的采购项目。</w:t>
      </w:r>
    </w:p>
    <w:p w14:paraId="3E7ECE48">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2.定义</w:t>
      </w:r>
    </w:p>
    <w:p w14:paraId="4E658A06">
      <w:pPr>
        <w:adjustRightInd w:val="0"/>
        <w:snapToGrid w:val="0"/>
        <w:spacing w:line="420" w:lineRule="exact"/>
        <w:ind w:firstLine="420" w:firstLineChars="200"/>
        <w:rPr>
          <w:rFonts w:ascii="宋体" w:hAnsi="宋体"/>
          <w:b/>
          <w:color w:val="auto"/>
          <w:szCs w:val="21"/>
          <w:highlight w:val="none"/>
        </w:rPr>
      </w:pPr>
      <w:r>
        <w:rPr>
          <w:rFonts w:hint="eastAsia" w:ascii="宋体" w:hAnsi="宋体"/>
          <w:color w:val="auto"/>
          <w:szCs w:val="21"/>
          <w:highlight w:val="none"/>
        </w:rPr>
        <w:t>2.1 “采购人”是指依法进行政府采购的国家机关、事业单位、团体组织。本次政府采购的采购人名称、地址、电话、联系人见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24739D41">
      <w:pPr>
        <w:adjustRightInd w:val="0"/>
        <w:snapToGrid w:val="0"/>
        <w:spacing w:line="420" w:lineRule="exact"/>
        <w:ind w:firstLine="420" w:firstLineChars="200"/>
        <w:rPr>
          <w:rFonts w:ascii="宋体" w:hAnsi="宋体"/>
          <w:b/>
          <w:color w:val="auto"/>
          <w:szCs w:val="21"/>
          <w:highlight w:val="none"/>
        </w:rPr>
      </w:pPr>
      <w:r>
        <w:rPr>
          <w:rFonts w:hint="eastAsia" w:ascii="宋体" w:hAnsi="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b/>
          <w:color w:val="auto"/>
          <w:szCs w:val="21"/>
          <w:highlight w:val="none"/>
        </w:rPr>
        <w:t>磋商须知前附表。</w:t>
      </w:r>
    </w:p>
    <w:p w14:paraId="124F21E8">
      <w:pPr>
        <w:adjustRightInd w:val="0"/>
        <w:snapToGrid w:val="0"/>
        <w:spacing w:line="420" w:lineRule="exact"/>
        <w:ind w:firstLine="420" w:firstLineChars="200"/>
        <w:rPr>
          <w:rFonts w:ascii="宋体" w:hAnsi="宋体" w:cs="宋体"/>
          <w:bCs/>
          <w:color w:val="auto"/>
          <w:kern w:val="36"/>
          <w:szCs w:val="21"/>
          <w:highlight w:val="none"/>
        </w:rPr>
      </w:pPr>
      <w:r>
        <w:rPr>
          <w:rFonts w:hint="eastAsia" w:ascii="宋体" w:hAnsi="宋体"/>
          <w:color w:val="auto"/>
          <w:szCs w:val="21"/>
          <w:highlight w:val="none"/>
        </w:rPr>
        <w:t>2.3 “供应商”是指响应磋商文件要求、参加竞争性磋商采购的法人、其他组织或者自然人。本次政</w:t>
      </w:r>
      <w:bookmarkStart w:id="14" w:name="_GoBack"/>
      <w:bookmarkEnd w:id="14"/>
      <w:r>
        <w:rPr>
          <w:rFonts w:hint="eastAsia" w:ascii="宋体" w:hAnsi="宋体"/>
          <w:color w:val="auto"/>
          <w:szCs w:val="21"/>
          <w:highlight w:val="none"/>
        </w:rPr>
        <w:t>府采购项目</w:t>
      </w:r>
      <w:r>
        <w:rPr>
          <w:rFonts w:hint="eastAsia" w:ascii="宋体" w:hAnsi="宋体" w:cs="宋体"/>
          <w:color w:val="auto"/>
          <w:kern w:val="0"/>
          <w:szCs w:val="21"/>
          <w:highlight w:val="none"/>
        </w:rPr>
        <w:t>邀请</w:t>
      </w:r>
      <w:r>
        <w:rPr>
          <w:rFonts w:hint="eastAsia" w:ascii="宋体" w:hAnsi="宋体"/>
          <w:color w:val="auto"/>
          <w:szCs w:val="21"/>
          <w:highlight w:val="none"/>
        </w:rPr>
        <w:t>的</w:t>
      </w:r>
      <w:r>
        <w:rPr>
          <w:rFonts w:hint="eastAsia" w:ascii="宋体" w:hAnsi="宋体" w:cs="宋体"/>
          <w:color w:val="auto"/>
          <w:kern w:val="0"/>
          <w:szCs w:val="21"/>
          <w:highlight w:val="none"/>
        </w:rPr>
        <w:t>供应商通过</w:t>
      </w:r>
      <w:r>
        <w:rPr>
          <w:rFonts w:hint="eastAsia" w:ascii="宋体" w:hAnsi="宋体"/>
          <w:b/>
          <w:color w:val="auto"/>
          <w:szCs w:val="21"/>
          <w:highlight w:val="none"/>
        </w:rPr>
        <w:t>磋商须知前附表</w:t>
      </w:r>
      <w:r>
        <w:rPr>
          <w:rFonts w:hint="eastAsia" w:ascii="宋体" w:hAnsi="宋体"/>
          <w:color w:val="auto"/>
          <w:szCs w:val="21"/>
          <w:highlight w:val="none"/>
        </w:rPr>
        <w:t>所述方式</w:t>
      </w:r>
      <w:r>
        <w:rPr>
          <w:rFonts w:hint="eastAsia" w:ascii="宋体" w:hAnsi="宋体" w:cs="宋体"/>
          <w:color w:val="auto"/>
          <w:kern w:val="0"/>
          <w:szCs w:val="21"/>
          <w:highlight w:val="none"/>
        </w:rPr>
        <w:t>，邀请符合资格条件的供应商提交响应文件（含资格证明资料），参与竞争性磋商采购活动。</w:t>
      </w:r>
    </w:p>
    <w:p w14:paraId="3BEAE375">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2.4 “磋商小组”是指</w:t>
      </w:r>
      <w:r>
        <w:rPr>
          <w:rFonts w:hint="eastAsia" w:ascii="宋体" w:hAnsi="宋体" w:cs="宋体"/>
          <w:color w:val="auto"/>
          <w:kern w:val="0"/>
          <w:szCs w:val="21"/>
          <w:highlight w:val="none"/>
        </w:rPr>
        <w:t>依据财政部</w:t>
      </w:r>
      <w:r>
        <w:rPr>
          <w:rFonts w:ascii="宋体" w:hAnsi="宋体" w:cs="宋体"/>
          <w:bCs/>
          <w:color w:val="auto"/>
          <w:kern w:val="36"/>
          <w:szCs w:val="21"/>
          <w:highlight w:val="none"/>
        </w:rPr>
        <w:t>《</w:t>
      </w:r>
      <w:r>
        <w:rPr>
          <w:rFonts w:hint="eastAsia" w:ascii="宋体" w:hAnsi="宋体" w:cs="宋体"/>
          <w:bCs/>
          <w:color w:val="auto"/>
          <w:kern w:val="36"/>
          <w:szCs w:val="21"/>
          <w:highlight w:val="none"/>
        </w:rPr>
        <w:t>政府采购竞争性磋商采购方式管理暂行办法</w:t>
      </w:r>
      <w:r>
        <w:rPr>
          <w:rFonts w:ascii="宋体" w:hAnsi="宋体" w:cs="宋体"/>
          <w:bCs/>
          <w:color w:val="auto"/>
          <w:kern w:val="36"/>
          <w:szCs w:val="21"/>
          <w:highlight w:val="none"/>
        </w:rPr>
        <w:t>》</w:t>
      </w:r>
      <w:r>
        <w:rPr>
          <w:rFonts w:hint="eastAsia" w:ascii="宋体" w:hAnsi="宋体" w:cs="宋体"/>
          <w:bCs/>
          <w:color w:val="auto"/>
          <w:kern w:val="36"/>
          <w:szCs w:val="21"/>
          <w:highlight w:val="none"/>
        </w:rPr>
        <w:t>有关规定组建，依法依规</w:t>
      </w:r>
      <w:r>
        <w:rPr>
          <w:rFonts w:hint="eastAsia" w:ascii="宋体" w:hAnsi="宋体" w:cs="宋体"/>
          <w:color w:val="auto"/>
          <w:kern w:val="0"/>
          <w:szCs w:val="21"/>
          <w:highlight w:val="none"/>
        </w:rPr>
        <w:t>履行其职责和义务的机构。</w:t>
      </w:r>
    </w:p>
    <w:p w14:paraId="3BD2DA31">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2.5 “货物”是指各种形态和种类的物品，包括原资料、燃料、设备、产品等，详见《政府采购品目分类目录》(财库[2022]31号)。</w:t>
      </w:r>
    </w:p>
    <w:p w14:paraId="5E7CE65B">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2.6 “工程类品目”包括房屋施工、构筑物施工、施工工程准备、装修工程、修缮工程等10个门类，详见《政府采购品目分类目录》(财库[2022]31号)。</w:t>
      </w:r>
    </w:p>
    <w:p w14:paraId="0BEBE421">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2.7 “服务类品目”包括科学研究、教育服务、社会服务等25个门类，详见《政府采购品目分类目录》(财库[2022]31号)。</w:t>
      </w:r>
    </w:p>
    <w:p w14:paraId="1CAF1AA1">
      <w:pPr>
        <w:adjustRightInd w:val="0"/>
        <w:snapToGrid w:val="0"/>
        <w:spacing w:line="420" w:lineRule="exact"/>
        <w:ind w:firstLine="420" w:firstLineChars="200"/>
        <w:rPr>
          <w:rFonts w:ascii="宋体" w:hAnsi="宋体"/>
          <w:color w:val="auto"/>
          <w:szCs w:val="21"/>
          <w:highlight w:val="none"/>
        </w:rPr>
      </w:pPr>
      <w:r>
        <w:rPr>
          <w:rFonts w:hint="eastAsia" w:ascii="宋体" w:hAnsi="宋体" w:cs="宋体"/>
          <w:color w:val="auto"/>
          <w:kern w:val="0"/>
          <w:szCs w:val="21"/>
          <w:highlight w:val="none"/>
        </w:rPr>
        <w:t>2.8</w:t>
      </w:r>
      <w:r>
        <w:rPr>
          <w:rFonts w:hint="eastAsia" w:ascii="宋体" w:hAnsi="宋体"/>
          <w:color w:val="auto"/>
          <w:szCs w:val="21"/>
          <w:highlight w:val="none"/>
        </w:rPr>
        <w:t xml:space="preserve"> </w:t>
      </w:r>
      <w:r>
        <w:rPr>
          <w:rStyle w:val="41"/>
          <w:rFonts w:ascii="宋体" w:hAnsi="宋体"/>
          <w:color w:val="auto"/>
          <w:szCs w:val="21"/>
          <w:highlight w:val="none"/>
        </w:rPr>
        <w:t>“节能产品”或者“环保产品”是指财政部发布的《节能产品政府采购品目清单》或者《环境标志产品政府采购品目清单》的产品</w:t>
      </w:r>
      <w:r>
        <w:rPr>
          <w:rFonts w:hint="eastAsia" w:ascii="宋体" w:hAnsi="宋体"/>
          <w:color w:val="auto"/>
          <w:szCs w:val="21"/>
          <w:highlight w:val="none"/>
        </w:rPr>
        <w:t>。</w:t>
      </w:r>
    </w:p>
    <w:p w14:paraId="167FD1E1">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2.9</w:t>
      </w:r>
      <w:r>
        <w:rPr>
          <w:rFonts w:hint="eastAsia" w:ascii="宋体" w:hAnsi="宋体" w:cs="宋体"/>
          <w:color w:val="auto"/>
          <w:kern w:val="0"/>
          <w:szCs w:val="21"/>
          <w:highlight w:val="none"/>
        </w:rPr>
        <w:t xml:space="preserve"> “进口产品”是指通过中国海关报关验放进入中国境内且产自关境外的产品，详见《政府采购进口产品管理办法》(财库[2007]119号)或《关于政府采购进口产品管理有关问题的通知》(财办库[2008]248号)。</w:t>
      </w:r>
    </w:p>
    <w:p w14:paraId="47AA5D8E">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3.供应商的资格要求</w:t>
      </w:r>
    </w:p>
    <w:p w14:paraId="686154E2">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3.1 供应商应当符合</w:t>
      </w:r>
      <w:r>
        <w:rPr>
          <w:rFonts w:hint="eastAsia" w:ascii="宋体" w:hAnsi="宋体"/>
          <w:b/>
          <w:color w:val="auto"/>
          <w:szCs w:val="21"/>
          <w:highlight w:val="none"/>
        </w:rPr>
        <w:t>磋商须知前附表</w:t>
      </w:r>
      <w:r>
        <w:rPr>
          <w:rFonts w:hint="eastAsia" w:ascii="宋体" w:hAnsi="宋体"/>
          <w:color w:val="auto"/>
          <w:szCs w:val="21"/>
          <w:highlight w:val="none"/>
        </w:rPr>
        <w:t>中规定的资格条件要求。</w:t>
      </w:r>
    </w:p>
    <w:p w14:paraId="28A3DFBC">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3.2供应商</w:t>
      </w:r>
      <w:r>
        <w:rPr>
          <w:rFonts w:hint="eastAsia" w:hAnsi="宋体"/>
          <w:color w:val="auto"/>
          <w:highlight w:val="none"/>
        </w:rPr>
        <w:t>为联合体形式的</w:t>
      </w:r>
      <w:r>
        <w:rPr>
          <w:rFonts w:hint="eastAsia" w:ascii="宋体" w:hAnsi="宋体"/>
          <w:color w:val="auto"/>
          <w:szCs w:val="21"/>
          <w:highlight w:val="none"/>
        </w:rPr>
        <w:t xml:space="preserve">，除应满足本章第3.1款资格条件要求及第3.3款规定外，还应遵守以下规定： </w:t>
      </w:r>
    </w:p>
    <w:p w14:paraId="25A04441">
      <w:pPr>
        <w:adjustRightInd w:val="0"/>
        <w:snapToGrid w:val="0"/>
        <w:spacing w:line="420" w:lineRule="exact"/>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（1）联合体各方应按磋商文件提供的格式签订联合体协议书，明确联合体牵头人和各方权利义务(含承担工作及工作量比例)；</w:t>
      </w:r>
    </w:p>
    <w:p w14:paraId="05887A5C">
      <w:pPr>
        <w:adjustRightInd w:val="0"/>
        <w:snapToGrid w:val="0"/>
        <w:spacing w:line="420" w:lineRule="exact"/>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（2）联合体中有同类资质的供应商按照联合体分工承担相同工作的，应当按照资质等级较低的供应商确定资质等级；</w:t>
      </w:r>
    </w:p>
    <w:p w14:paraId="5E310670">
      <w:pPr>
        <w:adjustRightInd w:val="0"/>
        <w:snapToGrid w:val="0"/>
        <w:spacing w:line="420" w:lineRule="exact"/>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（3）以联合体形式参加政府采购活动的，联合体各方不得再单独参加或者与其他供应商另外组成联合体参加同一合同项下的政府采购活动。</w:t>
      </w:r>
    </w:p>
    <w:p w14:paraId="2313C76E">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3.3 供应商不得存在下列情形之一：</w:t>
      </w:r>
    </w:p>
    <w:p w14:paraId="102B55CD">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（l）与采购人、采购代理机构存在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5CC2C031">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（2）与其他供应商的法定代表人（或者负责人）为同一人，或者与其他供应商存在直接控股、管理关系。</w:t>
      </w:r>
    </w:p>
    <w:p w14:paraId="6C90DB29">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color w:val="auto"/>
          <w:szCs w:val="21"/>
          <w:highlight w:val="none"/>
        </w:rPr>
        <w:t>财政部门认定的其他重大违法记录。</w:t>
      </w:r>
    </w:p>
    <w:p w14:paraId="2A53A6CE">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 xml:space="preserve">4.参与磋商的费用 </w:t>
      </w:r>
    </w:p>
    <w:p w14:paraId="6DF0989D">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4.1 无论磋商的结果如何，供应商应自行承担所有与竞争性磋商采购活动有关的全部费用。</w:t>
      </w:r>
    </w:p>
    <w:p w14:paraId="0A420D92">
      <w:pPr>
        <w:pStyle w:val="23"/>
        <w:adjustRightInd w:val="0"/>
        <w:snapToGrid w:val="0"/>
        <w:spacing w:line="420" w:lineRule="exact"/>
        <w:rPr>
          <w:rFonts w:hAnsi="宋体"/>
          <w:b/>
          <w:bCs/>
          <w:color w:val="auto"/>
          <w:highlight w:val="none"/>
        </w:rPr>
      </w:pPr>
      <w:r>
        <w:rPr>
          <w:rFonts w:hint="eastAsia" w:hAnsi="宋体"/>
          <w:b/>
          <w:color w:val="auto"/>
          <w:highlight w:val="none"/>
        </w:rPr>
        <w:t>5．</w:t>
      </w:r>
      <w:r>
        <w:rPr>
          <w:rFonts w:hint="eastAsia" w:hAnsi="宋体"/>
          <w:b/>
          <w:bCs/>
          <w:color w:val="auto"/>
          <w:highlight w:val="none"/>
        </w:rPr>
        <w:t>授权委托</w:t>
      </w:r>
    </w:p>
    <w:p w14:paraId="75D0EBEE">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5.1供应商代表为供应商法定代表人的，应持有法定代表人身份证明。供应商代表不是供应商法定代表人的，应持有法定代表人授权书，并附法定代表人身份证明。</w:t>
      </w:r>
    </w:p>
    <w:p w14:paraId="0E5E45BB">
      <w:pPr>
        <w:pStyle w:val="23"/>
        <w:adjustRightInd w:val="0"/>
        <w:snapToGrid w:val="0"/>
        <w:spacing w:line="420" w:lineRule="exact"/>
        <w:rPr>
          <w:rFonts w:hAnsi="宋体"/>
          <w:b/>
          <w:color w:val="auto"/>
          <w:highlight w:val="none"/>
        </w:rPr>
      </w:pPr>
      <w:r>
        <w:rPr>
          <w:rFonts w:hint="eastAsia" w:hAnsi="宋体"/>
          <w:b/>
          <w:color w:val="auto"/>
          <w:highlight w:val="none"/>
        </w:rPr>
        <w:t>6．联合体形式</w:t>
      </w:r>
    </w:p>
    <w:p w14:paraId="5562B70C">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6.1除</w:t>
      </w:r>
      <w:r>
        <w:rPr>
          <w:rFonts w:hint="eastAsia" w:hAnsi="宋体"/>
          <w:b/>
          <w:color w:val="auto"/>
          <w:highlight w:val="none"/>
        </w:rPr>
        <w:t>磋商须知前附表</w:t>
      </w:r>
      <w:r>
        <w:rPr>
          <w:rFonts w:hint="eastAsia" w:hAnsi="宋体"/>
          <w:color w:val="auto"/>
          <w:highlight w:val="none"/>
        </w:rPr>
        <w:t>中另有规定，本次谈判采购不接受为联合体形式的供应商。</w:t>
      </w:r>
    </w:p>
    <w:p w14:paraId="234B4106">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6.2供应商</w:t>
      </w:r>
      <w:r>
        <w:rPr>
          <w:rFonts w:hint="eastAsia" w:hAnsi="宋体"/>
          <w:color w:val="auto"/>
          <w:highlight w:val="none"/>
        </w:rPr>
        <w:t>为联合体形式的</w:t>
      </w:r>
      <w:r>
        <w:rPr>
          <w:rFonts w:hint="eastAsia" w:ascii="宋体" w:hAnsi="宋体"/>
          <w:color w:val="auto"/>
          <w:szCs w:val="21"/>
          <w:highlight w:val="none"/>
        </w:rPr>
        <w:t>，除应符合本章第3条规定外，还应遵守以下规定：</w:t>
      </w:r>
    </w:p>
    <w:p w14:paraId="2A649787">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（l）联合体各方必须签订联合体协议书，明确联合体牵头人和各方的义务、工作、合同工作量比例；</w:t>
      </w:r>
    </w:p>
    <w:p w14:paraId="5FFDAA1F">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（2）联合体各方均应当符合本章第3.1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规定的供应商基本资格条件；</w:t>
      </w:r>
    </w:p>
    <w:p w14:paraId="0C4D6AB4">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除</w:t>
      </w:r>
      <w:r>
        <w:rPr>
          <w:rFonts w:hint="eastAsia" w:ascii="宋体" w:hAnsi="宋体"/>
          <w:b/>
          <w:color w:val="auto"/>
          <w:highlight w:val="none"/>
        </w:rPr>
        <w:t>磋商须知前附表</w:t>
      </w:r>
      <w:r>
        <w:rPr>
          <w:rFonts w:hint="eastAsia" w:ascii="宋体" w:hAnsi="宋体"/>
          <w:color w:val="auto"/>
          <w:highlight w:val="none"/>
        </w:rPr>
        <w:t>中另有规定，</w:t>
      </w:r>
      <w:r>
        <w:rPr>
          <w:rFonts w:hint="eastAsia" w:ascii="宋体" w:hAnsi="宋体"/>
          <w:color w:val="auto"/>
          <w:szCs w:val="21"/>
          <w:highlight w:val="none"/>
        </w:rPr>
        <w:t>联合体各方中至少有一方应当符合本章第3.1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规定的供应商特定资格条件；</w:t>
      </w:r>
    </w:p>
    <w:p w14:paraId="53465979">
      <w:pPr>
        <w:adjustRightInd w:val="0"/>
        <w:snapToGrid w:val="0"/>
        <w:spacing w:line="420" w:lineRule="exact"/>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（4）</w:t>
      </w:r>
      <w:r>
        <w:rPr>
          <w:rFonts w:hint="eastAsia" w:ascii="宋体" w:hAnsi="宋体" w:cs="宋体"/>
          <w:color w:val="auto"/>
          <w:kern w:val="0"/>
          <w:szCs w:val="21"/>
          <w:highlight w:val="none"/>
          <w:lang w:val="zh-CN"/>
        </w:rPr>
        <w:t>联合体各方不得再单独或与其他供应商组成新的联合体参加同一项目的采购活动。</w:t>
      </w:r>
    </w:p>
    <w:p w14:paraId="52331485">
      <w:pPr>
        <w:adjustRightInd w:val="0"/>
        <w:snapToGrid w:val="0"/>
        <w:spacing w:line="420" w:lineRule="exact"/>
        <w:rPr>
          <w:rFonts w:ascii="宋体" w:hAnsi="宋体"/>
          <w:b/>
          <w:color w:val="auto"/>
          <w:szCs w:val="21"/>
          <w:highlight w:val="none"/>
        </w:rPr>
      </w:pPr>
      <w:r>
        <w:rPr>
          <w:rFonts w:hint="eastAsia" w:ascii="宋体" w:hAnsi="宋体"/>
          <w:b/>
          <w:color w:val="auto"/>
          <w:szCs w:val="21"/>
          <w:highlight w:val="none"/>
        </w:rPr>
        <w:t>7.现场勘察</w:t>
      </w:r>
    </w:p>
    <w:p w14:paraId="2BCADAD3">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7.1供应商应按</w:t>
      </w:r>
      <w:r>
        <w:rPr>
          <w:rFonts w:hint="eastAsia" w:hAnsi="宋体"/>
          <w:b/>
          <w:color w:val="auto"/>
          <w:highlight w:val="none"/>
        </w:rPr>
        <w:t>磋商须知前附表</w:t>
      </w:r>
      <w:r>
        <w:rPr>
          <w:rFonts w:hint="eastAsia" w:hAnsi="宋体"/>
          <w:color w:val="auto"/>
          <w:highlight w:val="none"/>
        </w:rPr>
        <w:t>中规定</w:t>
      </w:r>
      <w:r>
        <w:rPr>
          <w:rFonts w:hint="eastAsia" w:ascii="宋体" w:hAnsi="宋体"/>
          <w:color w:val="auto"/>
          <w:szCs w:val="21"/>
          <w:highlight w:val="none"/>
        </w:rPr>
        <w:t>对采购项目现场和周围环境的现场考察。</w:t>
      </w:r>
    </w:p>
    <w:p w14:paraId="08170502">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7.2勘察现场的费用由供应商自己承担，勘察期间所发生的人身伤害及财产损失由供应商自己负责。</w:t>
      </w:r>
    </w:p>
    <w:p w14:paraId="337E032A">
      <w:pPr>
        <w:adjustRightInd w:val="0"/>
        <w:snapToGrid w:val="0"/>
        <w:spacing w:line="42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7.3采购人不对供应商据此而做出的推论、理解和结论负责。一旦成交，供应商不得以任何借口，提出额外补偿，或延长合同期限的要求。</w:t>
      </w:r>
    </w:p>
    <w:p w14:paraId="1DFE88DD">
      <w:pPr>
        <w:adjustRightInd w:val="0"/>
        <w:snapToGrid w:val="0"/>
        <w:spacing w:line="420" w:lineRule="exact"/>
        <w:jc w:val="left"/>
        <w:rPr>
          <w:rFonts w:ascii="宋体" w:hAnsi="宋体"/>
          <w:b/>
          <w:color w:val="auto"/>
          <w:szCs w:val="21"/>
          <w:highlight w:val="none"/>
        </w:rPr>
      </w:pPr>
      <w:r>
        <w:rPr>
          <w:rFonts w:hint="eastAsia" w:ascii="宋体" w:hAnsi="宋体"/>
          <w:b/>
          <w:color w:val="auto"/>
          <w:szCs w:val="21"/>
          <w:highlight w:val="none"/>
        </w:rPr>
        <w:t>8.采购进口产品</w:t>
      </w:r>
    </w:p>
    <w:p w14:paraId="59AF1C2F">
      <w:pPr>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8.1除</w:t>
      </w:r>
      <w:r>
        <w:rPr>
          <w:rFonts w:hint="eastAsia" w:ascii="宋体" w:hAnsi="宋体"/>
          <w:b/>
          <w:color w:val="auto"/>
          <w:szCs w:val="21"/>
          <w:highlight w:val="none"/>
        </w:rPr>
        <w:t>磋商文件前附表</w:t>
      </w:r>
      <w:r>
        <w:rPr>
          <w:rFonts w:hint="eastAsia" w:ascii="宋体" w:hAnsi="宋体"/>
          <w:color w:val="auto"/>
          <w:szCs w:val="21"/>
          <w:highlight w:val="none"/>
        </w:rPr>
        <w:t>另有规定外，本项目</w:t>
      </w:r>
      <w:r>
        <w:rPr>
          <w:rFonts w:hint="eastAsia" w:ascii="宋体" w:hAnsi="宋体" w:cs="宋体"/>
          <w:color w:val="auto"/>
          <w:kern w:val="0"/>
          <w:szCs w:val="21"/>
          <w:highlight w:val="none"/>
        </w:rPr>
        <w:t>拒绝进口产品参加</w:t>
      </w:r>
      <w:r>
        <w:rPr>
          <w:rFonts w:hint="eastAsia" w:ascii="宋体" w:hAnsi="宋体"/>
          <w:color w:val="auto"/>
          <w:szCs w:val="21"/>
          <w:highlight w:val="none"/>
        </w:rPr>
        <w:t>竞争性磋商采购活动</w:t>
      </w:r>
      <w:r>
        <w:rPr>
          <w:rFonts w:hint="eastAsia" w:ascii="宋体" w:hAnsi="宋体" w:cs="宋体"/>
          <w:color w:val="auto"/>
          <w:kern w:val="0"/>
          <w:szCs w:val="21"/>
          <w:highlight w:val="none"/>
        </w:rPr>
        <w:t>。</w:t>
      </w:r>
    </w:p>
    <w:p w14:paraId="1E27B2DE">
      <w:pPr>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8.2</w:t>
      </w:r>
      <w:r>
        <w:rPr>
          <w:rFonts w:hint="eastAsia" w:ascii="宋体" w:hAnsi="宋体"/>
          <w:color w:val="auto"/>
          <w:szCs w:val="21"/>
          <w:highlight w:val="none"/>
        </w:rPr>
        <w:t>本章第8.1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w:t>
      </w:r>
      <w:r>
        <w:rPr>
          <w:rFonts w:ascii="宋体" w:hAnsi="宋体" w:cs="宋体"/>
          <w:color w:val="auto"/>
          <w:kern w:val="0"/>
          <w:szCs w:val="21"/>
          <w:highlight w:val="none"/>
        </w:rPr>
        <w:t>同意购买进口产品的</w:t>
      </w:r>
      <w:r>
        <w:rPr>
          <w:rFonts w:hint="eastAsia" w:ascii="宋体" w:hAnsi="宋体" w:cs="宋体"/>
          <w:color w:val="auto"/>
          <w:kern w:val="0"/>
          <w:szCs w:val="21"/>
          <w:highlight w:val="none"/>
        </w:rPr>
        <w:t>，</w:t>
      </w:r>
      <w:r>
        <w:rPr>
          <w:rFonts w:hint="eastAsia" w:ascii="宋体" w:hAnsi="宋体"/>
          <w:color w:val="auto"/>
          <w:szCs w:val="21"/>
          <w:highlight w:val="none"/>
        </w:rPr>
        <w:t>本项目</w:t>
      </w:r>
      <w:r>
        <w:rPr>
          <w:rFonts w:hint="eastAsia" w:ascii="宋体" w:hAnsi="宋体" w:cs="宋体"/>
          <w:color w:val="auto"/>
          <w:kern w:val="0"/>
          <w:szCs w:val="21"/>
          <w:highlight w:val="none"/>
          <w:lang w:val="zh-CN"/>
        </w:rPr>
        <w:t>采购活动</w:t>
      </w:r>
      <w:r>
        <w:rPr>
          <w:rFonts w:hint="eastAsia" w:ascii="宋体" w:hAnsi="宋体" w:cs="宋体"/>
          <w:color w:val="auto"/>
          <w:kern w:val="0"/>
          <w:szCs w:val="21"/>
          <w:highlight w:val="none"/>
        </w:rPr>
        <w:t>不</w:t>
      </w:r>
      <w:r>
        <w:rPr>
          <w:rFonts w:ascii="宋体" w:hAnsi="宋体" w:cs="宋体"/>
          <w:color w:val="auto"/>
          <w:kern w:val="0"/>
          <w:szCs w:val="21"/>
          <w:highlight w:val="none"/>
        </w:rPr>
        <w:t>限制满足</w:t>
      </w:r>
      <w:r>
        <w:rPr>
          <w:rFonts w:hint="eastAsia" w:ascii="宋体" w:hAnsi="宋体"/>
          <w:color w:val="auto"/>
          <w:szCs w:val="21"/>
          <w:highlight w:val="none"/>
        </w:rPr>
        <w:t>磋商文件要求</w:t>
      </w:r>
      <w:r>
        <w:rPr>
          <w:rFonts w:ascii="宋体" w:hAnsi="宋体" w:cs="宋体"/>
          <w:color w:val="auto"/>
          <w:kern w:val="0"/>
          <w:szCs w:val="21"/>
          <w:highlight w:val="none"/>
        </w:rPr>
        <w:t>的国内产品参与</w:t>
      </w:r>
      <w:r>
        <w:rPr>
          <w:rFonts w:hint="eastAsia" w:ascii="宋体" w:hAnsi="宋体"/>
          <w:color w:val="auto"/>
          <w:szCs w:val="21"/>
          <w:highlight w:val="none"/>
        </w:rPr>
        <w:t>竞争性磋商</w:t>
      </w:r>
      <w:r>
        <w:rPr>
          <w:rFonts w:ascii="宋体" w:hAnsi="宋体" w:cs="宋体"/>
          <w:color w:val="auto"/>
          <w:kern w:val="0"/>
          <w:szCs w:val="21"/>
          <w:highlight w:val="none"/>
        </w:rPr>
        <w:t>。</w:t>
      </w:r>
    </w:p>
    <w:p w14:paraId="206CC68C">
      <w:pPr>
        <w:adjustRightInd w:val="0"/>
        <w:snapToGrid w:val="0"/>
        <w:spacing w:line="420" w:lineRule="exact"/>
        <w:jc w:val="left"/>
        <w:rPr>
          <w:rFonts w:ascii="宋体" w:hAnsi="宋体"/>
          <w:b/>
          <w:color w:val="auto"/>
          <w:szCs w:val="21"/>
          <w:highlight w:val="none"/>
        </w:rPr>
      </w:pPr>
      <w:r>
        <w:rPr>
          <w:rFonts w:hint="eastAsia" w:ascii="宋体" w:hAnsi="宋体"/>
          <w:b/>
          <w:bCs/>
          <w:color w:val="auto"/>
          <w:szCs w:val="21"/>
          <w:highlight w:val="none"/>
        </w:rPr>
        <w:t>9.</w:t>
      </w:r>
      <w:r>
        <w:rPr>
          <w:rFonts w:hint="eastAsia" w:ascii="宋体" w:hAnsi="宋体"/>
          <w:b/>
          <w:color w:val="auto"/>
          <w:szCs w:val="21"/>
          <w:highlight w:val="none"/>
        </w:rPr>
        <w:t xml:space="preserve"> 政府采购政策支持</w:t>
      </w:r>
    </w:p>
    <w:p w14:paraId="26A0C7D6">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color w:val="auto"/>
          <w:kern w:val="0"/>
          <w:szCs w:val="21"/>
          <w:highlight w:val="none"/>
        </w:rPr>
        <w:t>磋商文件前附表。</w:t>
      </w:r>
    </w:p>
    <w:p w14:paraId="74D71186">
      <w:pPr>
        <w:pStyle w:val="23"/>
        <w:adjustRightInd w:val="0"/>
        <w:snapToGrid w:val="0"/>
        <w:spacing w:line="420" w:lineRule="exact"/>
        <w:ind w:firstLine="420" w:firstLineChars="200"/>
        <w:rPr>
          <w:color w:val="auto"/>
          <w:highlight w:val="none"/>
        </w:rPr>
      </w:pPr>
      <w:r>
        <w:rPr>
          <w:rFonts w:hint="eastAsia" w:hAnsi="宋体" w:cs="宋体"/>
          <w:color w:val="auto"/>
          <w:kern w:val="0"/>
          <w:highlight w:val="none"/>
        </w:rPr>
        <w:t>9.2对列入财政部、国家发展改革委发布的《节能产品政府采购清单》的“非强制采购节能产品”，财政部、环境保护部发布的《环境标志产品政府采购清单》的“环境标志产品”，实行政府采购优先采购的优惠率见</w:t>
      </w:r>
      <w:r>
        <w:rPr>
          <w:rFonts w:hint="eastAsia" w:hAnsi="宋体" w:cs="宋体"/>
          <w:b/>
          <w:color w:val="auto"/>
          <w:kern w:val="0"/>
          <w:highlight w:val="none"/>
        </w:rPr>
        <w:t>磋商文件前附表。</w:t>
      </w:r>
    </w:p>
    <w:p w14:paraId="76D539D5">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50CD103C">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9.4同一项目中部分产品属于优先采购政策的，评审时只对该部分产品的报价实行价格扣除及加分。</w:t>
      </w:r>
    </w:p>
    <w:p w14:paraId="5DAEC0D9">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9.5符合本章第9.1</w:t>
      </w:r>
      <w:r>
        <w:rPr>
          <w:rFonts w:hint="eastAsia" w:ascii="宋体" w:hAnsi="宋体" w:cs="宋体"/>
          <w:color w:val="auto"/>
          <w:kern w:val="0"/>
          <w:szCs w:val="21"/>
          <w:highlight w:val="none"/>
          <w:lang w:val="zh-CN"/>
        </w:rPr>
        <w:t>款、</w:t>
      </w:r>
      <w:r>
        <w:rPr>
          <w:rFonts w:hint="eastAsia" w:ascii="宋体" w:hAnsi="宋体"/>
          <w:color w:val="auto"/>
          <w:szCs w:val="21"/>
          <w:highlight w:val="none"/>
        </w:rPr>
        <w:t>第9.2</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规定的，应提供相关证明资料。</w:t>
      </w:r>
    </w:p>
    <w:p w14:paraId="0FD09D6A">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9.6供应商有融资、担保需求的，具体办理流程可向</w:t>
      </w:r>
      <w:r>
        <w:rPr>
          <w:rFonts w:hint="eastAsia" w:ascii="宋体" w:hAnsi="宋体"/>
          <w:b/>
          <w:color w:val="auto"/>
          <w:szCs w:val="21"/>
          <w:highlight w:val="none"/>
        </w:rPr>
        <w:t>磋商须知前附表</w:t>
      </w:r>
      <w:r>
        <w:rPr>
          <w:rFonts w:hint="eastAsia" w:ascii="宋体" w:hAnsi="宋体"/>
          <w:color w:val="auto"/>
          <w:szCs w:val="21"/>
          <w:highlight w:val="none"/>
        </w:rPr>
        <w:t>所列金融机构和担保机构询问。</w:t>
      </w:r>
    </w:p>
    <w:p w14:paraId="39CD76DE">
      <w:pPr>
        <w:adjustRightInd w:val="0"/>
        <w:snapToGrid w:val="0"/>
        <w:spacing w:line="420" w:lineRule="exact"/>
        <w:ind w:left="902" w:hanging="902" w:hangingChars="376"/>
        <w:rPr>
          <w:rFonts w:ascii="黑体" w:hAnsi="宋体" w:eastAsia="黑体"/>
          <w:color w:val="auto"/>
          <w:sz w:val="24"/>
          <w:highlight w:val="none"/>
        </w:rPr>
      </w:pPr>
      <w:r>
        <w:rPr>
          <w:rFonts w:hint="eastAsia" w:ascii="黑体" w:hAnsi="宋体" w:eastAsia="黑体"/>
          <w:color w:val="auto"/>
          <w:sz w:val="24"/>
          <w:highlight w:val="none"/>
        </w:rPr>
        <w:t>二、磋商文件</w:t>
      </w:r>
    </w:p>
    <w:p w14:paraId="203D8BD3">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10．磋商文件的组成</w:t>
      </w:r>
    </w:p>
    <w:p w14:paraId="7BE4A238">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10.1 磋商文件由下列文件组成：</w:t>
      </w:r>
    </w:p>
    <w:p w14:paraId="762D796D">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第一章 磋商邀请</w:t>
      </w:r>
    </w:p>
    <w:p w14:paraId="07FCEB82">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第二章 磋商须知</w:t>
      </w:r>
    </w:p>
    <w:p w14:paraId="2F6B5A23">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第三章 政府采购合同格式条款</w:t>
      </w:r>
    </w:p>
    <w:p w14:paraId="7DB6F7C8">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第四章 采购需求</w:t>
      </w:r>
    </w:p>
    <w:p w14:paraId="352EB9F9">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第五章 响应文件组成</w:t>
      </w:r>
    </w:p>
    <w:p w14:paraId="075DBF26">
      <w:pPr>
        <w:pStyle w:val="23"/>
        <w:adjustRightInd w:val="0"/>
        <w:snapToGrid w:val="0"/>
        <w:spacing w:line="420" w:lineRule="exact"/>
        <w:ind w:firstLine="420" w:firstLineChars="200"/>
        <w:rPr>
          <w:rFonts w:hAnsi="宋体" w:cs="宋体"/>
          <w:color w:val="auto"/>
          <w:kern w:val="0"/>
          <w:highlight w:val="none"/>
        </w:rPr>
      </w:pPr>
      <w:r>
        <w:rPr>
          <w:rFonts w:hint="eastAsia"/>
          <w:color w:val="auto"/>
          <w:highlight w:val="none"/>
        </w:rPr>
        <w:t>10.2</w:t>
      </w:r>
      <w:r>
        <w:rPr>
          <w:rFonts w:hint="eastAsia" w:hAnsi="宋体" w:cs="宋体"/>
          <w:color w:val="auto"/>
          <w:kern w:val="0"/>
          <w:highlight w:val="none"/>
        </w:rPr>
        <w:t>磋商小组根据与供应商磋商情况可能实质性变动的内容，包括采购需求中的技术、服务要求以及合同条款，</w:t>
      </w:r>
      <w:r>
        <w:rPr>
          <w:rFonts w:hint="eastAsia"/>
          <w:color w:val="auto"/>
          <w:highlight w:val="none"/>
        </w:rPr>
        <w:t>在</w:t>
      </w:r>
      <w:r>
        <w:rPr>
          <w:rFonts w:hint="eastAsia"/>
          <w:b/>
          <w:color w:val="auto"/>
          <w:highlight w:val="none"/>
        </w:rPr>
        <w:t>磋商须知前附表</w:t>
      </w:r>
      <w:r>
        <w:rPr>
          <w:rFonts w:hint="eastAsia"/>
          <w:color w:val="auto"/>
          <w:highlight w:val="none"/>
        </w:rPr>
        <w:t>中明确。</w:t>
      </w:r>
    </w:p>
    <w:p w14:paraId="468D1481">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highlight w:val="none"/>
        </w:rPr>
        <w:t>10.3</w:t>
      </w:r>
      <w:r>
        <w:rPr>
          <w:rFonts w:hint="eastAsia" w:ascii="宋体" w:hAnsi="宋体"/>
          <w:color w:val="auto"/>
          <w:szCs w:val="21"/>
          <w:highlight w:val="none"/>
        </w:rPr>
        <w:t>供应商应仔细阅读</w:t>
      </w:r>
      <w:r>
        <w:rPr>
          <w:rFonts w:hint="eastAsia" w:ascii="宋体" w:hAnsi="宋体"/>
          <w:bCs/>
          <w:color w:val="auto"/>
          <w:szCs w:val="21"/>
          <w:highlight w:val="none"/>
        </w:rPr>
        <w:t>磋商</w:t>
      </w:r>
      <w:r>
        <w:rPr>
          <w:rFonts w:hint="eastAsia" w:ascii="宋体" w:hAnsi="宋体"/>
          <w:color w:val="auto"/>
          <w:szCs w:val="21"/>
          <w:highlight w:val="none"/>
        </w:rPr>
        <w:t>文件的全部内容，按照</w:t>
      </w:r>
      <w:r>
        <w:rPr>
          <w:rFonts w:hint="eastAsia" w:ascii="宋体" w:hAnsi="宋体"/>
          <w:bCs/>
          <w:color w:val="auto"/>
          <w:szCs w:val="21"/>
          <w:highlight w:val="none"/>
        </w:rPr>
        <w:t>磋商</w:t>
      </w:r>
      <w:r>
        <w:rPr>
          <w:rFonts w:hint="eastAsia" w:ascii="宋体" w:hAnsi="宋体"/>
          <w:color w:val="auto"/>
          <w:szCs w:val="21"/>
          <w:highlight w:val="none"/>
        </w:rPr>
        <w:t>文件要求编制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磋商</w:t>
      </w:r>
      <w:r>
        <w:rPr>
          <w:rFonts w:hint="eastAsia" w:ascii="宋体" w:hAnsi="宋体"/>
          <w:color w:val="auto"/>
          <w:szCs w:val="21"/>
          <w:highlight w:val="none"/>
        </w:rPr>
        <w:t>文件的忽略或误解不能作为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14:paraId="294D23A2">
      <w:pPr>
        <w:adjustRightInd w:val="0"/>
        <w:snapToGrid w:val="0"/>
        <w:spacing w:line="420" w:lineRule="exact"/>
        <w:rPr>
          <w:rFonts w:ascii="宋体" w:hAnsi="宋体"/>
          <w:b/>
          <w:color w:val="auto"/>
          <w:szCs w:val="21"/>
          <w:highlight w:val="none"/>
        </w:rPr>
      </w:pPr>
      <w:r>
        <w:rPr>
          <w:rFonts w:hint="eastAsia" w:ascii="宋体" w:hAnsi="宋体"/>
          <w:b/>
          <w:color w:val="auto"/>
          <w:szCs w:val="21"/>
          <w:highlight w:val="none"/>
        </w:rPr>
        <w:t>11.磋商文件的提供期限</w:t>
      </w:r>
    </w:p>
    <w:p w14:paraId="7A3985AF">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11.1磋商文件的提供期限自开始发出之日起不得少于五个工作日。具体提供期限见</w:t>
      </w:r>
      <w:r>
        <w:rPr>
          <w:rFonts w:hint="eastAsia" w:ascii="宋体" w:hAnsi="宋体"/>
          <w:b/>
          <w:color w:val="auto"/>
          <w:szCs w:val="21"/>
          <w:highlight w:val="none"/>
        </w:rPr>
        <w:t>磋商文件前附表</w:t>
      </w:r>
      <w:r>
        <w:rPr>
          <w:rFonts w:hint="eastAsia" w:ascii="宋体" w:hAnsi="宋体"/>
          <w:color w:val="auto"/>
          <w:szCs w:val="21"/>
          <w:highlight w:val="none"/>
        </w:rPr>
        <w:t>。</w:t>
      </w:r>
    </w:p>
    <w:p w14:paraId="174D1F58">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11.2供应商应持</w:t>
      </w:r>
      <w:r>
        <w:rPr>
          <w:rFonts w:hint="eastAsia" w:ascii="宋体" w:hAnsi="宋体"/>
          <w:b/>
          <w:color w:val="auto"/>
          <w:szCs w:val="21"/>
          <w:highlight w:val="none"/>
        </w:rPr>
        <w:t>磋商文件前附表</w:t>
      </w:r>
      <w:r>
        <w:rPr>
          <w:rFonts w:hint="eastAsia" w:ascii="宋体" w:hAnsi="宋体"/>
          <w:color w:val="auto"/>
          <w:szCs w:val="21"/>
          <w:highlight w:val="none"/>
        </w:rPr>
        <w:t>规定的资料领取或购买磋商文件。</w:t>
      </w:r>
    </w:p>
    <w:p w14:paraId="5E9EEADE">
      <w:pPr>
        <w:pStyle w:val="23"/>
        <w:adjustRightInd w:val="0"/>
        <w:snapToGrid w:val="0"/>
        <w:spacing w:line="420" w:lineRule="exact"/>
        <w:rPr>
          <w:rFonts w:hAnsi="宋体"/>
          <w:color w:val="auto"/>
          <w:highlight w:val="none"/>
        </w:rPr>
      </w:pPr>
      <w:r>
        <w:rPr>
          <w:rFonts w:hint="eastAsia" w:hAnsi="宋体"/>
          <w:b/>
          <w:color w:val="auto"/>
          <w:highlight w:val="none"/>
        </w:rPr>
        <w:t>12.</w:t>
      </w:r>
      <w:r>
        <w:rPr>
          <w:rFonts w:hint="eastAsia" w:hAnsi="宋体" w:cs="宋体"/>
          <w:b/>
          <w:color w:val="auto"/>
          <w:kern w:val="0"/>
          <w:highlight w:val="none"/>
        </w:rPr>
        <w:t>提交首次响应文件</w:t>
      </w:r>
      <w:r>
        <w:rPr>
          <w:rFonts w:hint="eastAsia" w:hAnsi="宋体"/>
          <w:b/>
          <w:color w:val="auto"/>
          <w:highlight w:val="none"/>
        </w:rPr>
        <w:t>的</w:t>
      </w:r>
      <w:r>
        <w:rPr>
          <w:rFonts w:hint="eastAsia" w:hAnsi="宋体" w:cs="宋体"/>
          <w:b/>
          <w:color w:val="auto"/>
          <w:kern w:val="0"/>
          <w:highlight w:val="none"/>
        </w:rPr>
        <w:t>截止</w:t>
      </w:r>
      <w:r>
        <w:rPr>
          <w:rFonts w:hint="eastAsia" w:hAnsi="宋体"/>
          <w:b/>
          <w:color w:val="auto"/>
          <w:highlight w:val="none"/>
        </w:rPr>
        <w:t>时间</w:t>
      </w:r>
    </w:p>
    <w:p w14:paraId="2B75EB9C">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12.1</w:t>
      </w:r>
      <w:r>
        <w:rPr>
          <w:rFonts w:hint="eastAsia" w:hAnsi="宋体" w:cs="宋体"/>
          <w:color w:val="auto"/>
          <w:kern w:val="0"/>
          <w:highlight w:val="none"/>
        </w:rPr>
        <w:t>供应商提交首次响应文件截止</w:t>
      </w:r>
      <w:r>
        <w:rPr>
          <w:rFonts w:hint="eastAsia" w:hAnsi="宋体"/>
          <w:color w:val="auto"/>
          <w:highlight w:val="none"/>
        </w:rPr>
        <w:t>时间见</w:t>
      </w:r>
      <w:r>
        <w:rPr>
          <w:rFonts w:hint="eastAsia" w:hAnsi="宋体"/>
          <w:b/>
          <w:color w:val="auto"/>
          <w:highlight w:val="none"/>
        </w:rPr>
        <w:t>磋商须知前附表</w:t>
      </w:r>
      <w:r>
        <w:rPr>
          <w:rFonts w:hint="eastAsia" w:hAnsi="宋体"/>
          <w:color w:val="auto"/>
          <w:highlight w:val="none"/>
        </w:rPr>
        <w:t>。</w:t>
      </w:r>
    </w:p>
    <w:p w14:paraId="7FFA8A5B">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13.磋商文件的澄清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14:paraId="7801B7E1">
      <w:pPr>
        <w:adjustRightInd w:val="0"/>
        <w:snapToGrid w:val="0"/>
        <w:spacing w:line="420" w:lineRule="exact"/>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13.1在</w:t>
      </w:r>
      <w:r>
        <w:rPr>
          <w:rFonts w:hint="eastAsia" w:ascii="宋体" w:hAnsi="宋体" w:cs="宋体"/>
          <w:color w:val="auto"/>
          <w:kern w:val="0"/>
          <w:szCs w:val="21"/>
          <w:highlight w:val="none"/>
        </w:rPr>
        <w:t xml:space="preserve">提交首次响应文件截止之日前，采购人、采购代理机构可以对已发出的磋商文件进行必要的澄清或者修改。 </w:t>
      </w:r>
    </w:p>
    <w:p w14:paraId="15E37CB4">
      <w:pPr>
        <w:adjustRightInd w:val="0"/>
        <w:snapToGrid w:val="0"/>
        <w:spacing w:line="420" w:lineRule="exact"/>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13.2</w:t>
      </w:r>
      <w:r>
        <w:rPr>
          <w:rFonts w:hint="eastAsia" w:ascii="宋体" w:hAnsi="宋体" w:cs="宋体"/>
          <w:color w:val="auto"/>
          <w:kern w:val="0"/>
          <w:szCs w:val="21"/>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1E44B9E6">
      <w:pPr>
        <w:pStyle w:val="23"/>
        <w:adjustRightInd w:val="0"/>
        <w:snapToGrid w:val="0"/>
        <w:spacing w:line="420" w:lineRule="exact"/>
        <w:ind w:firstLine="420" w:firstLineChars="200"/>
        <w:rPr>
          <w:color w:val="auto"/>
          <w:highlight w:val="none"/>
        </w:rPr>
      </w:pPr>
      <w:r>
        <w:rPr>
          <w:rFonts w:hint="eastAsia"/>
          <w:color w:val="auto"/>
          <w:highlight w:val="none"/>
        </w:rPr>
        <w:t>13.2</w:t>
      </w:r>
      <w:r>
        <w:rPr>
          <w:rFonts w:hint="eastAsia" w:hAnsi="宋体" w:cs="宋体"/>
          <w:color w:val="auto"/>
          <w:kern w:val="0"/>
          <w:highlight w:val="none"/>
        </w:rPr>
        <w:t>提交首次响应文件截止时间前对磋商文件澄清或者修改内容，为磋商文件的组成部分。</w:t>
      </w:r>
    </w:p>
    <w:p w14:paraId="2334BB59">
      <w:pPr>
        <w:adjustRightInd w:val="0"/>
        <w:snapToGrid w:val="0"/>
        <w:spacing w:line="420" w:lineRule="exact"/>
        <w:ind w:left="902" w:hanging="902" w:hangingChars="376"/>
        <w:rPr>
          <w:rFonts w:ascii="黑体" w:hAnsi="宋体" w:eastAsia="黑体"/>
          <w:color w:val="auto"/>
          <w:sz w:val="24"/>
          <w:highlight w:val="none"/>
        </w:rPr>
      </w:pPr>
      <w:r>
        <w:rPr>
          <w:rFonts w:hint="eastAsia" w:ascii="黑体" w:hAnsi="宋体" w:eastAsia="黑体"/>
          <w:color w:val="auto"/>
          <w:sz w:val="24"/>
          <w:highlight w:val="none"/>
        </w:rPr>
        <w:t>三、响应文件</w:t>
      </w:r>
    </w:p>
    <w:p w14:paraId="46B074B6">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14.一般要求</w:t>
      </w:r>
    </w:p>
    <w:p w14:paraId="1041BE7A">
      <w:pPr>
        <w:adjustRightInd w:val="0"/>
        <w:snapToGrid w:val="0"/>
        <w:spacing w:line="420" w:lineRule="exact"/>
        <w:ind w:firstLine="420" w:firstLineChars="200"/>
        <w:rPr>
          <w:rFonts w:ascii="宋体" w:hAnsi="宋体"/>
          <w:bCs/>
          <w:color w:val="auto"/>
          <w:szCs w:val="21"/>
          <w:highlight w:val="none"/>
        </w:rPr>
      </w:pPr>
      <w:r>
        <w:rPr>
          <w:rFonts w:hint="eastAsia" w:ascii="宋体" w:hAnsi="宋体"/>
          <w:bCs/>
          <w:color w:val="auto"/>
          <w:szCs w:val="21"/>
          <w:highlight w:val="none"/>
        </w:rPr>
        <w:t>14.1 供应商应仔细阅读磋商文件的所有内容，按磋商文件的要求编制响应文件，并保证所提供的全部资料的真实性，以使其响应文件对磋商文件做出实质性的响应。</w:t>
      </w:r>
    </w:p>
    <w:p w14:paraId="47151B2F">
      <w:pPr>
        <w:adjustRightInd w:val="0"/>
        <w:snapToGrid w:val="0"/>
        <w:spacing w:line="420" w:lineRule="exact"/>
        <w:ind w:firstLine="420" w:firstLineChars="200"/>
        <w:rPr>
          <w:rFonts w:ascii="宋体" w:hAnsi="宋体"/>
          <w:bCs/>
          <w:color w:val="auto"/>
          <w:szCs w:val="21"/>
          <w:highlight w:val="none"/>
        </w:rPr>
      </w:pPr>
      <w:r>
        <w:rPr>
          <w:rFonts w:hint="eastAsia" w:ascii="宋体" w:hAnsi="宋体"/>
          <w:bCs/>
          <w:color w:val="auto"/>
          <w:szCs w:val="21"/>
          <w:highlight w:val="none"/>
        </w:rPr>
        <w:t xml:space="preserve">14.2 </w:t>
      </w:r>
      <w:r>
        <w:rPr>
          <w:rFonts w:hint="eastAsia" w:ascii="宋体" w:hAnsi="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4E3427F6">
      <w:pPr>
        <w:pStyle w:val="23"/>
        <w:adjustRightInd w:val="0"/>
        <w:snapToGrid w:val="0"/>
        <w:spacing w:line="420" w:lineRule="exact"/>
        <w:ind w:firstLine="420" w:firstLineChars="200"/>
        <w:rPr>
          <w:rFonts w:hAnsi="宋体"/>
          <w:color w:val="auto"/>
          <w:highlight w:val="none"/>
        </w:rPr>
      </w:pPr>
      <w:r>
        <w:rPr>
          <w:rFonts w:hint="eastAsia" w:hAnsi="宋体"/>
          <w:bCs/>
          <w:color w:val="auto"/>
          <w:highlight w:val="none"/>
        </w:rPr>
        <w:t xml:space="preserve">14.3 </w:t>
      </w:r>
      <w:r>
        <w:rPr>
          <w:rFonts w:hint="eastAsia" w:hAnsi="宋体"/>
          <w:color w:val="auto"/>
          <w:highlight w:val="none"/>
        </w:rPr>
        <w:t>计量单位应使用我国法定计量单位，未列明时应默认为我国法定计量单位。</w:t>
      </w:r>
    </w:p>
    <w:p w14:paraId="65CB2ED6">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14.4 响应文件应采用书面形式，电报、传真、电子邮件形式的响应文件概不接受。</w:t>
      </w:r>
    </w:p>
    <w:p w14:paraId="486DDC3B">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14.5 供应商应按磋商文件中提供的响应文件格式填写。</w:t>
      </w:r>
    </w:p>
    <w:p w14:paraId="5803EA05">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15.</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14:paraId="24130744">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（1）磋商响应声明</w:t>
      </w:r>
    </w:p>
    <w:p w14:paraId="31C80CA6">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（2）保证金（本项目不适用）</w:t>
      </w:r>
    </w:p>
    <w:p w14:paraId="63168A02">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（3）联合体协议(格式)（本项目不适用）</w:t>
      </w:r>
    </w:p>
    <w:p w14:paraId="4734F3DE">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（4）供应商的资格证明资料</w:t>
      </w:r>
    </w:p>
    <w:p w14:paraId="1C5B332B">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（5）施工组织设计方案说明</w:t>
      </w:r>
    </w:p>
    <w:p w14:paraId="0E637CEA">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（6）技术/商务响应与偏离表</w:t>
      </w:r>
    </w:p>
    <w:p w14:paraId="739EB7F9">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（7）提供享受政府采购政策的证明资料和清单表</w:t>
      </w:r>
    </w:p>
    <w:p w14:paraId="269BF732">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（8）报价一览表及分项价格表</w:t>
      </w:r>
    </w:p>
    <w:p w14:paraId="22E060F5">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（9）供应商认为需提供的其它资料</w:t>
      </w:r>
    </w:p>
    <w:p w14:paraId="346DDB66">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（10）最后报价</w:t>
      </w:r>
    </w:p>
    <w:p w14:paraId="72424588">
      <w:pPr>
        <w:adjustRightInd w:val="0"/>
        <w:snapToGrid w:val="0"/>
        <w:spacing w:line="420" w:lineRule="exact"/>
        <w:ind w:firstLine="420" w:firstLineChars="200"/>
        <w:rPr>
          <w:rFonts w:hAnsi="宋体"/>
          <w:color w:val="auto"/>
          <w:highlight w:val="none"/>
        </w:rPr>
      </w:pPr>
      <w:r>
        <w:rPr>
          <w:rFonts w:hint="eastAsia" w:ascii="宋体" w:hAnsi="宋体"/>
          <w:color w:val="auto"/>
          <w:highlight w:val="none"/>
        </w:rPr>
        <w:t>15.2在磋商过程中，</w:t>
      </w:r>
      <w:r>
        <w:rPr>
          <w:rFonts w:hint="eastAsia" w:ascii="宋体" w:hAnsi="宋体"/>
          <w:color w:val="auto"/>
          <w:szCs w:val="21"/>
          <w:highlight w:val="none"/>
        </w:rPr>
        <w:t>供应商</w:t>
      </w:r>
      <w:r>
        <w:rPr>
          <w:rFonts w:hint="eastAsia" w:ascii="宋体" w:hAnsi="宋体"/>
          <w:color w:val="auto"/>
          <w:highlight w:val="none"/>
        </w:rPr>
        <w:t>根据</w:t>
      </w:r>
      <w:r>
        <w:rPr>
          <w:rFonts w:hint="eastAsia" w:ascii="宋体" w:hAnsi="宋体" w:cs="宋体"/>
          <w:color w:val="auto"/>
          <w:kern w:val="0"/>
          <w:szCs w:val="21"/>
          <w:highlight w:val="none"/>
        </w:rPr>
        <w:t>磋商小组</w:t>
      </w:r>
      <w:r>
        <w:rPr>
          <w:rFonts w:hint="eastAsia" w:ascii="宋体" w:hAnsi="宋体"/>
          <w:bCs/>
          <w:color w:val="auto"/>
          <w:szCs w:val="21"/>
          <w:highlight w:val="none"/>
        </w:rPr>
        <w:t>书面形式要求</w:t>
      </w:r>
      <w:r>
        <w:rPr>
          <w:rFonts w:hint="eastAsia" w:ascii="宋体" w:hAnsi="宋体" w:cs="宋体"/>
          <w:color w:val="auto"/>
          <w:kern w:val="0"/>
          <w:szCs w:val="21"/>
          <w:highlight w:val="none"/>
        </w:rPr>
        <w:t>提交的</w:t>
      </w:r>
      <w:r>
        <w:rPr>
          <w:rFonts w:hint="eastAsia" w:hAnsi="宋体"/>
          <w:color w:val="auto"/>
          <w:highlight w:val="none"/>
        </w:rPr>
        <w:t>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w:t>
      </w:r>
      <w:r>
        <w:rPr>
          <w:rFonts w:hint="eastAsia" w:hAnsi="宋体"/>
          <w:color w:val="auto"/>
          <w:highlight w:val="none"/>
        </w:rPr>
        <w:t>最后报价)是</w:t>
      </w:r>
      <w:r>
        <w:rPr>
          <w:rFonts w:hint="eastAsia" w:ascii="宋体" w:hAnsi="宋体"/>
          <w:color w:val="auto"/>
          <w:szCs w:val="21"/>
          <w:highlight w:val="none"/>
        </w:rPr>
        <w:t>响应文件</w:t>
      </w:r>
      <w:r>
        <w:rPr>
          <w:rFonts w:hint="eastAsia" w:hAnsi="宋体"/>
          <w:color w:val="auto"/>
          <w:highlight w:val="none"/>
        </w:rPr>
        <w:t>的有效组成部分。</w:t>
      </w:r>
    </w:p>
    <w:p w14:paraId="7DAEA1A7">
      <w:pPr>
        <w:adjustRightInd w:val="0"/>
        <w:snapToGrid w:val="0"/>
        <w:spacing w:line="420" w:lineRule="exact"/>
        <w:ind w:firstLine="420" w:firstLineChars="200"/>
        <w:rPr>
          <w:rFonts w:hAnsi="宋体"/>
          <w:b/>
          <w:color w:val="auto"/>
          <w:highlight w:val="none"/>
        </w:rPr>
      </w:pPr>
      <w:r>
        <w:rPr>
          <w:rFonts w:hint="eastAsia" w:ascii="宋体" w:hAnsi="宋体"/>
          <w:color w:val="auto"/>
          <w:highlight w:val="none"/>
        </w:rPr>
        <w:t>15.3</w:t>
      </w:r>
      <w:r>
        <w:rPr>
          <w:rFonts w:hint="eastAsia" w:ascii="宋体" w:hAnsi="宋体" w:cs="宋体"/>
          <w:color w:val="auto"/>
          <w:kern w:val="0"/>
          <w:szCs w:val="21"/>
          <w:highlight w:val="none"/>
        </w:rPr>
        <w:t>磋商文件规定可能发生实质性变动的，供应商应当在</w:t>
      </w:r>
      <w:r>
        <w:rPr>
          <w:rFonts w:hint="eastAsia" w:hAnsi="宋体"/>
          <w:color w:val="auto"/>
          <w:highlight w:val="none"/>
        </w:rPr>
        <w:t>《技术/商务响应与偏离表》中对应内容注明。</w:t>
      </w:r>
    </w:p>
    <w:p w14:paraId="37298EF4">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highlight w:val="none"/>
        </w:rPr>
        <w:t>15.4</w:t>
      </w:r>
      <w:r>
        <w:rPr>
          <w:rFonts w:hint="eastAsia" w:ascii="宋体" w:hAnsi="宋体"/>
          <w:color w:val="auto"/>
          <w:szCs w:val="21"/>
          <w:highlight w:val="none"/>
        </w:rPr>
        <w:t>根据《政府采购法》第四十二条的规定，供应商无论成交与否，其响应文件不予退还。</w:t>
      </w:r>
    </w:p>
    <w:p w14:paraId="2A21FA78">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16.报价</w:t>
      </w:r>
    </w:p>
    <w:p w14:paraId="196B8C4D">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16.1供应商应当根据磋商文件要求和范围，以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5C5FE4B5">
      <w:pPr>
        <w:pStyle w:val="69"/>
        <w:adjustRightInd w:val="0"/>
        <w:snapToGrid w:val="0"/>
        <w:spacing w:line="420" w:lineRule="exact"/>
        <w:ind w:firstLine="420" w:firstLineChars="200"/>
        <w:rPr>
          <w:rFonts w:ascii="宋体" w:hAnsi="宋体"/>
          <w:color w:val="auto"/>
          <w:highlight w:val="none"/>
        </w:rPr>
      </w:pPr>
      <w:r>
        <w:rPr>
          <w:rFonts w:hint="eastAsia" w:ascii="宋体" w:hAnsi="宋体"/>
          <w:color w:val="auto"/>
          <w:highlight w:val="none"/>
        </w:rPr>
        <w:t>16.2供应商应按第五章 响应文件组成格式填写。</w:t>
      </w:r>
    </w:p>
    <w:p w14:paraId="77919A04">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16.3响应文件中标明的价格在合同执行过程中是固定不变的，不得以任何理由予以变更。以可变动价格提交的报价将被认为是非实质响应而被拒绝。</w:t>
      </w:r>
    </w:p>
    <w:p w14:paraId="130D217F">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16.4</w:t>
      </w:r>
      <w:r>
        <w:rPr>
          <w:rFonts w:hint="eastAsia" w:hAnsi="宋体" w:cs="宋体"/>
          <w:color w:val="auto"/>
          <w:kern w:val="0"/>
          <w:highlight w:val="none"/>
          <w:lang w:val="zh-CN"/>
        </w:rPr>
        <w:t>供应商</w:t>
      </w:r>
      <w:r>
        <w:rPr>
          <w:rFonts w:hint="eastAsia" w:hAnsi="宋体"/>
          <w:color w:val="auto"/>
          <w:highlight w:val="none"/>
        </w:rPr>
        <w:t>的报价不得超过采购项目预算，采购项目预算或其计算方法见</w:t>
      </w:r>
      <w:r>
        <w:rPr>
          <w:rFonts w:hint="eastAsia" w:hAnsi="宋体"/>
          <w:b/>
          <w:color w:val="auto"/>
          <w:highlight w:val="none"/>
        </w:rPr>
        <w:t>磋商须知前附表</w:t>
      </w:r>
      <w:r>
        <w:rPr>
          <w:rFonts w:hint="eastAsia" w:hAnsi="宋体"/>
          <w:color w:val="auto"/>
          <w:highlight w:val="none"/>
        </w:rPr>
        <w:t>。</w:t>
      </w:r>
    </w:p>
    <w:p w14:paraId="45B7D60D">
      <w:pPr>
        <w:pStyle w:val="23"/>
        <w:adjustRightInd w:val="0"/>
        <w:snapToGrid w:val="0"/>
        <w:spacing w:line="420" w:lineRule="exact"/>
        <w:rPr>
          <w:b/>
          <w:color w:val="auto"/>
          <w:highlight w:val="none"/>
        </w:rPr>
      </w:pPr>
      <w:r>
        <w:rPr>
          <w:rFonts w:hint="eastAsia"/>
          <w:b/>
          <w:color w:val="auto"/>
          <w:highlight w:val="none"/>
        </w:rPr>
        <w:t>17.供应商符合磋商文件规定的证明文件</w:t>
      </w:r>
    </w:p>
    <w:p w14:paraId="7BB10F00">
      <w:pPr>
        <w:adjustRightInd w:val="0"/>
        <w:snapToGrid w:val="0"/>
        <w:spacing w:line="420" w:lineRule="exact"/>
        <w:ind w:firstLine="420" w:firstLineChars="200"/>
        <w:jc w:val="left"/>
        <w:rPr>
          <w:rFonts w:ascii="宋体" w:hAnsi="宋体"/>
          <w:color w:val="auto"/>
          <w:highlight w:val="none"/>
        </w:rPr>
      </w:pPr>
      <w:r>
        <w:rPr>
          <w:rFonts w:hint="eastAsia" w:ascii="宋体" w:hAnsi="宋体"/>
          <w:color w:val="auto"/>
          <w:highlight w:val="none"/>
        </w:rPr>
        <w:t>17.1供应商应提交满足本章第3.1款规定的资格条件要求的证明文件,该证明文件作为响应文件的一部分。</w:t>
      </w:r>
    </w:p>
    <w:p w14:paraId="15810047">
      <w:pPr>
        <w:adjustRightInd w:val="0"/>
        <w:snapToGrid w:val="0"/>
        <w:spacing w:line="420" w:lineRule="exact"/>
        <w:ind w:firstLine="420" w:firstLineChars="200"/>
        <w:jc w:val="left"/>
        <w:rPr>
          <w:rFonts w:ascii="宋体" w:hAnsi="宋体"/>
          <w:color w:val="auto"/>
          <w:highlight w:val="none"/>
        </w:rPr>
      </w:pPr>
      <w:r>
        <w:rPr>
          <w:rFonts w:hint="eastAsia" w:ascii="宋体" w:hAnsi="宋体"/>
          <w:color w:val="auto"/>
          <w:highlight w:val="none"/>
        </w:rPr>
        <w:t>17.2如果供应商为联合体，则应提交联合体各方资格证明文件、联合体协议。否则，在评审时将其视为无效响应。</w:t>
      </w:r>
    </w:p>
    <w:p w14:paraId="2C23AAC6">
      <w:pPr>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17.3 除</w:t>
      </w:r>
      <w:r>
        <w:rPr>
          <w:rFonts w:hint="eastAsia" w:ascii="宋体" w:hAnsi="宋体"/>
          <w:b/>
          <w:color w:val="auto"/>
          <w:szCs w:val="21"/>
          <w:highlight w:val="none"/>
        </w:rPr>
        <w:t>磋商须知前附表</w:t>
      </w:r>
      <w:r>
        <w:rPr>
          <w:rFonts w:hint="eastAsia" w:ascii="宋体" w:hAnsi="宋体"/>
          <w:color w:val="auto"/>
          <w:szCs w:val="21"/>
          <w:highlight w:val="none"/>
        </w:rPr>
        <w:t>另有规定外，供应商提供的货物及服务不是供应商制造或拥有的，则必须提供经销、或代理采购货物、或采购货物提供售后服务的证明文件。</w:t>
      </w:r>
    </w:p>
    <w:p w14:paraId="7FED455F">
      <w:pPr>
        <w:adjustRightInd w:val="0"/>
        <w:snapToGrid w:val="0"/>
        <w:spacing w:before="120" w:beforeLines="50" w:line="420" w:lineRule="exact"/>
        <w:jc w:val="left"/>
        <w:rPr>
          <w:rFonts w:ascii="宋体" w:hAnsi="宋体"/>
          <w:b/>
          <w:color w:val="auto"/>
          <w:szCs w:val="21"/>
          <w:highlight w:val="none"/>
        </w:rPr>
      </w:pPr>
      <w:r>
        <w:rPr>
          <w:rFonts w:hint="eastAsia" w:ascii="宋体" w:hAnsi="宋体"/>
          <w:b/>
          <w:color w:val="auto"/>
          <w:szCs w:val="21"/>
          <w:highlight w:val="none"/>
        </w:rPr>
        <w:t>18．样品提供</w:t>
      </w:r>
    </w:p>
    <w:p w14:paraId="77EEACED">
      <w:pPr>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18.1 </w:t>
      </w:r>
      <w:r>
        <w:rPr>
          <w:rFonts w:hint="eastAsia" w:ascii="宋体" w:hAnsi="宋体"/>
          <w:b/>
          <w:color w:val="auto"/>
          <w:highlight w:val="none"/>
        </w:rPr>
        <w:t>磋商须知前附表</w:t>
      </w:r>
      <w:r>
        <w:rPr>
          <w:rFonts w:hint="eastAsia" w:ascii="宋体" w:hAnsi="宋体"/>
          <w:color w:val="auto"/>
          <w:szCs w:val="21"/>
          <w:highlight w:val="none"/>
        </w:rPr>
        <w:t>规定</w:t>
      </w:r>
      <w:r>
        <w:rPr>
          <w:rFonts w:hint="eastAsia" w:ascii="宋体" w:hAnsi="宋体"/>
          <w:bCs/>
          <w:color w:val="auto"/>
          <w:highlight w:val="none"/>
        </w:rPr>
        <w:t>供应商</w:t>
      </w:r>
      <w:r>
        <w:rPr>
          <w:rFonts w:hint="eastAsia" w:ascii="宋体" w:hAnsi="宋体"/>
          <w:color w:val="auto"/>
          <w:szCs w:val="21"/>
          <w:highlight w:val="none"/>
        </w:rPr>
        <w:t>在</w:t>
      </w:r>
      <w:r>
        <w:rPr>
          <w:rFonts w:hint="eastAsia" w:ascii="宋体" w:hAnsi="宋体"/>
          <w:color w:val="auto"/>
          <w:highlight w:val="none"/>
        </w:rPr>
        <w:t>磋商</w:t>
      </w:r>
      <w:r>
        <w:rPr>
          <w:rFonts w:hint="eastAsia" w:ascii="宋体" w:hAnsi="宋体"/>
          <w:color w:val="auto"/>
          <w:szCs w:val="21"/>
          <w:highlight w:val="none"/>
        </w:rPr>
        <w:t>时提供样品的，</w:t>
      </w:r>
      <w:r>
        <w:rPr>
          <w:rFonts w:hint="eastAsia" w:ascii="宋体" w:hAnsi="宋体"/>
          <w:bCs/>
          <w:color w:val="auto"/>
          <w:highlight w:val="none"/>
        </w:rPr>
        <w:t>供应商</w:t>
      </w:r>
      <w:r>
        <w:rPr>
          <w:rFonts w:ascii="宋体" w:hAnsi="宋体"/>
          <w:color w:val="auto"/>
          <w:szCs w:val="21"/>
          <w:highlight w:val="none"/>
        </w:rPr>
        <w:t>有以下情形之一的</w:t>
      </w:r>
      <w:r>
        <w:rPr>
          <w:rFonts w:hint="eastAsia" w:ascii="宋体" w:hAnsi="宋体"/>
          <w:color w:val="auto"/>
          <w:szCs w:val="21"/>
          <w:highlight w:val="none"/>
        </w:rPr>
        <w:t>，在评审时将其视为无效响应。</w:t>
      </w:r>
    </w:p>
    <w:p w14:paraId="64E6F85A">
      <w:pPr>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（1）未在</w:t>
      </w:r>
      <w:r>
        <w:rPr>
          <w:rFonts w:hint="eastAsia" w:ascii="宋体" w:hAnsi="宋体"/>
          <w:b/>
          <w:color w:val="auto"/>
          <w:highlight w:val="none"/>
        </w:rPr>
        <w:t>磋商须知前附表</w:t>
      </w:r>
      <w:r>
        <w:rPr>
          <w:rFonts w:hint="eastAsia" w:ascii="宋体" w:hAnsi="宋体"/>
          <w:color w:val="auto"/>
          <w:szCs w:val="21"/>
          <w:highlight w:val="none"/>
        </w:rPr>
        <w:t>规定的提交时间、地点提交</w:t>
      </w:r>
      <w:r>
        <w:rPr>
          <w:rFonts w:ascii="宋体" w:hAnsi="宋体"/>
          <w:color w:val="auto"/>
          <w:szCs w:val="21"/>
          <w:highlight w:val="none"/>
        </w:rPr>
        <w:t>的</w:t>
      </w:r>
      <w:r>
        <w:rPr>
          <w:rFonts w:hint="eastAsia" w:ascii="宋体" w:hAnsi="宋体"/>
          <w:color w:val="auto"/>
          <w:szCs w:val="21"/>
          <w:highlight w:val="none"/>
        </w:rPr>
        <w:t>；</w:t>
      </w:r>
    </w:p>
    <w:p w14:paraId="1B10673B">
      <w:pPr>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highlight w:val="none"/>
        </w:rPr>
        <w:t>供应商</w:t>
      </w:r>
      <w:r>
        <w:rPr>
          <w:rFonts w:hint="eastAsia" w:ascii="宋体" w:hAnsi="宋体"/>
          <w:color w:val="auto"/>
          <w:szCs w:val="21"/>
          <w:highlight w:val="none"/>
        </w:rPr>
        <w:t>提供的样品与磋商文件中要求提供样品的型号、规格不一致</w:t>
      </w:r>
      <w:r>
        <w:rPr>
          <w:rFonts w:ascii="宋体" w:hAnsi="宋体"/>
          <w:color w:val="auto"/>
          <w:szCs w:val="21"/>
          <w:highlight w:val="none"/>
        </w:rPr>
        <w:t>的</w:t>
      </w:r>
      <w:r>
        <w:rPr>
          <w:rFonts w:hint="eastAsia" w:ascii="宋体" w:hAnsi="宋体"/>
          <w:color w:val="auto"/>
          <w:szCs w:val="21"/>
          <w:highlight w:val="none"/>
        </w:rPr>
        <w:t>。</w:t>
      </w:r>
    </w:p>
    <w:p w14:paraId="6D85C0C7">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19.磋商保证金</w:t>
      </w:r>
    </w:p>
    <w:p w14:paraId="7772FB3B">
      <w:pPr>
        <w:pStyle w:val="23"/>
        <w:adjustRightInd w:val="0"/>
        <w:snapToGrid w:val="0"/>
        <w:spacing w:line="420" w:lineRule="exact"/>
        <w:ind w:firstLine="420" w:firstLineChars="200"/>
        <w:rPr>
          <w:rFonts w:hAnsi="宋体"/>
          <w:bCs/>
          <w:color w:val="auto"/>
          <w:highlight w:val="none"/>
        </w:rPr>
      </w:pPr>
      <w:r>
        <w:rPr>
          <w:rFonts w:hint="eastAsia" w:hAnsi="宋体"/>
          <w:color w:val="auto"/>
          <w:highlight w:val="none"/>
        </w:rPr>
        <w:t>19.1</w:t>
      </w:r>
      <w:r>
        <w:rPr>
          <w:rFonts w:hint="eastAsia" w:hAnsi="宋体"/>
          <w:b/>
          <w:color w:val="auto"/>
          <w:highlight w:val="none"/>
        </w:rPr>
        <w:t>磋商须知前附表</w:t>
      </w:r>
      <w:r>
        <w:rPr>
          <w:rFonts w:hint="eastAsia" w:hAnsi="宋体"/>
          <w:color w:val="auto"/>
          <w:highlight w:val="none"/>
        </w:rPr>
        <w:t>规定交纳磋商</w:t>
      </w:r>
      <w:r>
        <w:rPr>
          <w:rFonts w:hint="eastAsia" w:hAnsi="宋体"/>
          <w:bCs/>
          <w:color w:val="auto"/>
          <w:highlight w:val="none"/>
        </w:rPr>
        <w:t>保证金的</w:t>
      </w:r>
      <w:r>
        <w:rPr>
          <w:rFonts w:hint="eastAsia" w:hAnsi="宋体"/>
          <w:color w:val="auto"/>
          <w:highlight w:val="none"/>
        </w:rPr>
        <w:t>，应按</w:t>
      </w:r>
      <w:r>
        <w:rPr>
          <w:rFonts w:hint="eastAsia" w:hAnsi="宋体"/>
          <w:b/>
          <w:color w:val="auto"/>
          <w:highlight w:val="none"/>
        </w:rPr>
        <w:t>磋商须知前附表</w:t>
      </w:r>
      <w:r>
        <w:rPr>
          <w:rFonts w:hint="eastAsia" w:hAnsi="宋体"/>
          <w:color w:val="auto"/>
          <w:highlight w:val="none"/>
        </w:rPr>
        <w:t>规定的磋商</w:t>
      </w:r>
      <w:r>
        <w:rPr>
          <w:rFonts w:hint="eastAsia" w:hAnsi="宋体"/>
          <w:bCs/>
          <w:color w:val="auto"/>
          <w:highlight w:val="none"/>
        </w:rPr>
        <w:t>保证金形式交纳，不得以现金方式交纳</w:t>
      </w:r>
      <w:r>
        <w:rPr>
          <w:rFonts w:hint="eastAsia" w:hAnsi="宋体"/>
          <w:color w:val="auto"/>
          <w:highlight w:val="none"/>
        </w:rPr>
        <w:t>，在</w:t>
      </w:r>
      <w:r>
        <w:rPr>
          <w:rFonts w:hint="eastAsia" w:hAnsi="宋体" w:cs="宋体"/>
          <w:color w:val="auto"/>
          <w:kern w:val="0"/>
          <w:highlight w:val="none"/>
        </w:rPr>
        <w:t>提交首次响应文件截止时间</w:t>
      </w:r>
      <w:r>
        <w:rPr>
          <w:rFonts w:hint="eastAsia" w:hAnsi="宋体"/>
          <w:color w:val="auto"/>
          <w:highlight w:val="none"/>
        </w:rPr>
        <w:t>前，</w:t>
      </w:r>
      <w:r>
        <w:rPr>
          <w:rFonts w:hint="eastAsia" w:hAnsi="宋体"/>
          <w:bCs/>
          <w:color w:val="auto"/>
          <w:highlight w:val="none"/>
        </w:rPr>
        <w:t>向采购代理机构交纳不超过</w:t>
      </w:r>
      <w:r>
        <w:rPr>
          <w:rFonts w:hint="eastAsia" w:hAnsi="宋体" w:cs="宋体"/>
          <w:color w:val="auto"/>
          <w:kern w:val="0"/>
          <w:highlight w:val="none"/>
          <w:lang w:val="zh-CN"/>
        </w:rPr>
        <w:t>采购项目预算2﹪</w:t>
      </w:r>
      <w:r>
        <w:rPr>
          <w:rFonts w:hint="eastAsia" w:hAnsi="宋体"/>
          <w:bCs/>
          <w:color w:val="auto"/>
          <w:highlight w:val="none"/>
        </w:rPr>
        <w:t>的磋商保证金(数额采用四舍五入，计算至元)</w:t>
      </w:r>
      <w:r>
        <w:rPr>
          <w:rFonts w:hint="eastAsia" w:hAnsi="宋体"/>
          <w:color w:val="auto"/>
          <w:highlight w:val="none"/>
        </w:rPr>
        <w:t>。磋商</w:t>
      </w:r>
      <w:r>
        <w:rPr>
          <w:rFonts w:hint="eastAsia" w:hAnsi="宋体"/>
          <w:bCs/>
          <w:color w:val="auto"/>
          <w:highlight w:val="none"/>
        </w:rPr>
        <w:t>保证金有效期应当与</w:t>
      </w:r>
      <w:r>
        <w:rPr>
          <w:rFonts w:hint="eastAsia" w:hAnsi="宋体"/>
          <w:color w:val="auto"/>
          <w:highlight w:val="none"/>
        </w:rPr>
        <w:t>本章第20.1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bCs/>
          <w:color w:val="auto"/>
          <w:highlight w:val="none"/>
        </w:rPr>
        <w:t>响应文件有效期一致。</w:t>
      </w:r>
    </w:p>
    <w:p w14:paraId="711D6041">
      <w:pPr>
        <w:adjustRightInd w:val="0"/>
        <w:snapToGrid w:val="0"/>
        <w:spacing w:line="420" w:lineRule="exact"/>
        <w:ind w:firstLine="420" w:firstLineChars="200"/>
        <w:rPr>
          <w:rFonts w:ascii="宋体" w:hAnsi="宋体"/>
          <w:b/>
          <w:color w:val="auto"/>
          <w:szCs w:val="21"/>
          <w:highlight w:val="none"/>
        </w:rPr>
      </w:pPr>
      <w:r>
        <w:rPr>
          <w:rFonts w:hint="eastAsia" w:ascii="宋体" w:hAnsi="宋体"/>
          <w:color w:val="auto"/>
          <w:szCs w:val="21"/>
          <w:highlight w:val="none"/>
        </w:rPr>
        <w:t>19.2</w:t>
      </w:r>
      <w:r>
        <w:rPr>
          <w:rFonts w:hint="eastAsia" w:ascii="宋体" w:hAnsi="宋体" w:cs="宋体"/>
          <w:color w:val="auto"/>
          <w:kern w:val="0"/>
          <w:szCs w:val="21"/>
          <w:highlight w:val="none"/>
          <w:lang w:val="zh-CN"/>
        </w:rPr>
        <w:t>供应商为联合体的，可以由联合体中的一方或者共同交纳磋商保证金，其交纳的磋商保证金，对联合体各方均具有约束力。</w:t>
      </w:r>
    </w:p>
    <w:p w14:paraId="2FED3457">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19.3供应商未按照磋商文件要求提交磋商保证金的，响应无效。</w:t>
      </w:r>
    </w:p>
    <w:p w14:paraId="4B7A73C7">
      <w:pPr>
        <w:pStyle w:val="23"/>
        <w:tabs>
          <w:tab w:val="left" w:pos="6300"/>
        </w:tabs>
        <w:adjustRightInd w:val="0"/>
        <w:snapToGrid w:val="0"/>
        <w:spacing w:line="420" w:lineRule="exact"/>
        <w:ind w:firstLine="420" w:firstLineChars="200"/>
        <w:rPr>
          <w:rFonts w:hAnsi="宋体"/>
          <w:color w:val="auto"/>
          <w:highlight w:val="none"/>
        </w:rPr>
      </w:pPr>
      <w:r>
        <w:rPr>
          <w:rFonts w:hint="eastAsia" w:hAnsi="宋体"/>
          <w:color w:val="auto"/>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69654028">
      <w:pPr>
        <w:pStyle w:val="23"/>
        <w:adjustRightInd w:val="0"/>
        <w:snapToGrid w:val="0"/>
        <w:spacing w:line="420" w:lineRule="exact"/>
        <w:ind w:firstLine="420" w:firstLineChars="200"/>
        <w:rPr>
          <w:color w:val="auto"/>
          <w:kern w:val="0"/>
          <w:highlight w:val="none"/>
        </w:rPr>
      </w:pPr>
      <w:r>
        <w:rPr>
          <w:rFonts w:hint="eastAsia"/>
          <w:color w:val="auto"/>
          <w:highlight w:val="none"/>
        </w:rPr>
        <w:t xml:space="preserve">19.5 </w:t>
      </w:r>
      <w:r>
        <w:rPr>
          <w:rFonts w:hint="eastAsia"/>
          <w:color w:val="auto"/>
          <w:kern w:val="0"/>
          <w:highlight w:val="none"/>
        </w:rPr>
        <w:t>有下列情形之一的，磋商保证金不予退还，并上缴本级财政国库：</w:t>
      </w:r>
    </w:p>
    <w:p w14:paraId="0B87B098">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（1）供应商在提交首次响应文件截止时间后撤回响应文件的；</w:t>
      </w:r>
    </w:p>
    <w:p w14:paraId="43BFE36B">
      <w:pPr>
        <w:widowControl/>
        <w:adjustRightInd w:val="0"/>
        <w:snapToGrid w:val="0"/>
        <w:spacing w:line="420" w:lineRule="exact"/>
        <w:ind w:firstLine="420" w:firstLineChars="200"/>
        <w:jc w:val="left"/>
        <w:rPr>
          <w:color w:val="auto"/>
          <w:kern w:val="0"/>
          <w:highlight w:val="none"/>
        </w:rPr>
      </w:pPr>
      <w:r>
        <w:rPr>
          <w:rFonts w:hint="eastAsia"/>
          <w:color w:val="auto"/>
          <w:kern w:val="0"/>
          <w:highlight w:val="none"/>
        </w:rPr>
        <w:t>（2）供应商在响应文件中提供虚假资料的；</w:t>
      </w:r>
    </w:p>
    <w:p w14:paraId="67AF0498">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color w:val="auto"/>
          <w:kern w:val="0"/>
          <w:highlight w:val="none"/>
        </w:rPr>
        <w:t>（3）</w:t>
      </w:r>
      <w:r>
        <w:rPr>
          <w:rFonts w:hint="eastAsia"/>
          <w:color w:val="auto"/>
          <w:highlight w:val="none"/>
        </w:rPr>
        <w:t>确定成交结果后，无正当理由放弃成交资格的；</w:t>
      </w:r>
    </w:p>
    <w:p w14:paraId="274B3B55">
      <w:pPr>
        <w:widowControl/>
        <w:adjustRightInd w:val="0"/>
        <w:snapToGrid w:val="0"/>
        <w:spacing w:line="42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(4) 除因不可抗力或磋商文件认可的情形以外，成交供应商不与采购人签订合同的；</w:t>
      </w:r>
    </w:p>
    <w:p w14:paraId="027E08D0">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（5）供应商与采购人、其他供应商或者采购代理机构恶意串通的；</w:t>
      </w:r>
    </w:p>
    <w:p w14:paraId="79CB77A4">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（6）磋商文件规定的其他情形。</w:t>
      </w:r>
    </w:p>
    <w:p w14:paraId="0E17DCC8">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20.</w:t>
      </w:r>
      <w:r>
        <w:rPr>
          <w:rFonts w:hint="eastAsia" w:hAnsi="宋体"/>
          <w:b/>
          <w:color w:val="auto"/>
          <w:highlight w:val="none"/>
        </w:rPr>
        <w:t>响应文件</w:t>
      </w:r>
      <w:r>
        <w:rPr>
          <w:rFonts w:hint="eastAsia" w:ascii="宋体" w:hAnsi="宋体"/>
          <w:b/>
          <w:color w:val="auto"/>
          <w:szCs w:val="21"/>
          <w:highlight w:val="none"/>
        </w:rPr>
        <w:t>有效期</w:t>
      </w:r>
    </w:p>
    <w:p w14:paraId="4AFEDF99">
      <w:pPr>
        <w:adjustRightInd w:val="0"/>
        <w:snapToGrid w:val="0"/>
        <w:spacing w:line="420" w:lineRule="exact"/>
        <w:ind w:firstLine="420" w:firstLineChars="200"/>
        <w:jc w:val="left"/>
        <w:rPr>
          <w:rFonts w:hAnsi="宋体"/>
          <w:color w:val="auto"/>
          <w:highlight w:val="none"/>
        </w:rPr>
      </w:pPr>
      <w:r>
        <w:rPr>
          <w:rFonts w:hint="eastAsia" w:ascii="宋体" w:hAnsi="宋体"/>
          <w:color w:val="auto"/>
          <w:highlight w:val="none"/>
        </w:rPr>
        <w:t>20.1响应文件</w:t>
      </w:r>
      <w:r>
        <w:rPr>
          <w:rFonts w:hint="eastAsia" w:ascii="宋体" w:hAnsi="宋体"/>
          <w:color w:val="auto"/>
          <w:szCs w:val="21"/>
          <w:highlight w:val="none"/>
        </w:rPr>
        <w:t>有效期见</w:t>
      </w:r>
      <w:r>
        <w:rPr>
          <w:rFonts w:hint="eastAsia" w:ascii="宋体" w:hAnsi="宋体"/>
          <w:b/>
          <w:color w:val="auto"/>
          <w:highlight w:val="none"/>
        </w:rPr>
        <w:t>磋商须知前附表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s="宋体"/>
          <w:color w:val="auto"/>
          <w:kern w:val="0"/>
          <w:szCs w:val="21"/>
          <w:highlight w:val="none"/>
        </w:rPr>
        <w:t>提交首次响应文件截止时间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14:paraId="27B2C696">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21.响应文件的签署及规定</w:t>
      </w:r>
    </w:p>
    <w:p w14:paraId="180B780E">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21.1响应文件的正本和副本应装订成册，正本一份，副本份数见</w:t>
      </w:r>
      <w:r>
        <w:rPr>
          <w:rFonts w:hint="eastAsia" w:hAnsi="宋体"/>
          <w:b/>
          <w:color w:val="auto"/>
          <w:highlight w:val="none"/>
        </w:rPr>
        <w:t>磋商须知前附表</w:t>
      </w:r>
      <w:r>
        <w:rPr>
          <w:rFonts w:hint="eastAsia" w:hAnsi="宋体"/>
          <w:color w:val="auto"/>
          <w:highlight w:val="none"/>
        </w:rPr>
        <w:t>。正本和副本的封面上应标记“正本”或“副本”的字样，当正本和副本有差异时，以正本为准。</w:t>
      </w:r>
    </w:p>
    <w:p w14:paraId="1BA105E8">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150D64D6">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21.3 在磋商过程中，供应商按磋商文件规定和磋商小组要求</w:t>
      </w:r>
      <w:r>
        <w:rPr>
          <w:rFonts w:hint="eastAsia" w:hAnsi="宋体" w:cs="宋体"/>
          <w:color w:val="auto"/>
          <w:kern w:val="0"/>
          <w:highlight w:val="none"/>
        </w:rPr>
        <w:t>提交的</w:t>
      </w:r>
      <w:r>
        <w:rPr>
          <w:rFonts w:hint="eastAsia" w:hAnsi="宋体"/>
          <w:color w:val="auto"/>
          <w:highlight w:val="none"/>
        </w:rPr>
        <w:t>最后报价(或者</w:t>
      </w:r>
      <w:r>
        <w:rPr>
          <w:rFonts w:hint="eastAsia" w:hAnsi="宋体"/>
          <w:bCs/>
          <w:color w:val="auto"/>
          <w:highlight w:val="none"/>
        </w:rPr>
        <w:t>重</w:t>
      </w:r>
      <w:r>
        <w:rPr>
          <w:rFonts w:hint="eastAsia" w:hAnsi="宋体" w:cs="宋体"/>
          <w:color w:val="auto"/>
          <w:kern w:val="0"/>
          <w:highlight w:val="none"/>
        </w:rPr>
        <w:t>新提交的响应文件和</w:t>
      </w:r>
      <w:r>
        <w:rPr>
          <w:rFonts w:hint="eastAsia" w:hAnsi="宋体"/>
          <w:color w:val="auto"/>
          <w:highlight w:val="none"/>
        </w:rPr>
        <w:t>最后报价)，一式两份，可打印或用不退色墨水书写，但需经法定代表人或其委托代理人签字，</w:t>
      </w:r>
      <w:r>
        <w:rPr>
          <w:rFonts w:hint="eastAsia" w:hAnsi="宋体" w:cs="宋体"/>
          <w:color w:val="auto"/>
          <w:kern w:val="0"/>
          <w:highlight w:val="none"/>
        </w:rPr>
        <w:t>或者加盖供应商单位章</w:t>
      </w:r>
      <w:r>
        <w:rPr>
          <w:rFonts w:hint="eastAsia" w:hAnsi="宋体"/>
          <w:color w:val="auto"/>
          <w:highlight w:val="none"/>
        </w:rPr>
        <w:t>。否则，将导致响应文件无效。</w:t>
      </w:r>
    </w:p>
    <w:p w14:paraId="2F0911BB">
      <w:pPr>
        <w:adjustRightInd w:val="0"/>
        <w:snapToGrid w:val="0"/>
        <w:spacing w:line="420" w:lineRule="exact"/>
        <w:rPr>
          <w:rFonts w:ascii="黑体" w:hAnsi="宋体" w:eastAsia="黑体"/>
          <w:color w:val="auto"/>
          <w:sz w:val="24"/>
          <w:highlight w:val="none"/>
        </w:rPr>
      </w:pPr>
      <w:r>
        <w:rPr>
          <w:rFonts w:hint="eastAsia" w:ascii="黑体" w:hAnsi="宋体" w:eastAsia="黑体"/>
          <w:color w:val="auto"/>
          <w:sz w:val="24"/>
          <w:highlight w:val="none"/>
        </w:rPr>
        <w:t>四、响应文件的递交</w:t>
      </w:r>
    </w:p>
    <w:p w14:paraId="681CB7C1">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22.</w:t>
      </w:r>
      <w:r>
        <w:rPr>
          <w:rFonts w:hint="eastAsia" w:ascii="宋体" w:hAnsi="宋体"/>
          <w:b/>
          <w:color w:val="auto"/>
          <w:szCs w:val="21"/>
          <w:highlight w:val="none"/>
        </w:rPr>
        <w:t>响应文件</w:t>
      </w:r>
      <w:r>
        <w:rPr>
          <w:rFonts w:hint="eastAsia" w:ascii="宋体" w:hAnsi="宋体"/>
          <w:b/>
          <w:bCs/>
          <w:color w:val="auto"/>
          <w:szCs w:val="21"/>
          <w:highlight w:val="none"/>
        </w:rPr>
        <w:t>的密封和标记</w:t>
      </w:r>
    </w:p>
    <w:p w14:paraId="1AAA8245">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22.1响应文件应密封包装，加贴封条，并在封套的封口处盖供应商单位章或由法定代表人或其委托代理人签字。</w:t>
      </w:r>
    </w:p>
    <w:p w14:paraId="155A441C">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22.2响应文件封套上应写明的内容见</w:t>
      </w:r>
      <w:r>
        <w:rPr>
          <w:rFonts w:hint="eastAsia" w:ascii="宋体" w:hAnsi="宋体"/>
          <w:b/>
          <w:color w:val="auto"/>
          <w:szCs w:val="21"/>
          <w:highlight w:val="none"/>
        </w:rPr>
        <w:t>磋商须知前附表。</w:t>
      </w:r>
    </w:p>
    <w:p w14:paraId="59099500">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22.3响应文件如果未按上述规定密封和加写标记，采购人或采购代理机构将拒绝接收。</w:t>
      </w:r>
    </w:p>
    <w:p w14:paraId="507A6058">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23.响应文件的</w:t>
      </w:r>
      <w:r>
        <w:rPr>
          <w:rFonts w:hint="eastAsia" w:ascii="宋体" w:hAnsi="宋体" w:cs="宋体"/>
          <w:b/>
          <w:color w:val="auto"/>
          <w:kern w:val="0"/>
          <w:szCs w:val="21"/>
          <w:highlight w:val="none"/>
          <w:lang w:val="zh-CN"/>
        </w:rPr>
        <w:t>补充、修改或者撤回</w:t>
      </w:r>
    </w:p>
    <w:p w14:paraId="5B4F2D77">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23.1</w:t>
      </w:r>
      <w:r>
        <w:rPr>
          <w:rFonts w:hint="eastAsia" w:hAnsi="宋体" w:cs="宋体"/>
          <w:color w:val="auto"/>
          <w:kern w:val="0"/>
          <w:highlight w:val="none"/>
        </w:rPr>
        <w:t>供应商在提交首次响应文件截止时间前，可以对所提交的首次响应文件进行补充、修改或者撤回，并书面通知采购人、采购代理机构。</w:t>
      </w:r>
      <w:r>
        <w:rPr>
          <w:rFonts w:hint="eastAsia" w:hAnsi="宋体"/>
          <w:color w:val="auto"/>
          <w:highlight w:val="none"/>
        </w:rPr>
        <w:t>该通知应有供应商法定代表人或其委托代理人签字。</w:t>
      </w:r>
    </w:p>
    <w:p w14:paraId="3565DB1A">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23.2</w:t>
      </w:r>
      <w:r>
        <w:rPr>
          <w:rFonts w:hint="eastAsia" w:hAnsi="宋体" w:cs="宋体"/>
          <w:color w:val="auto"/>
          <w:kern w:val="0"/>
          <w:highlight w:val="none"/>
          <w:lang w:val="zh-CN"/>
        </w:rPr>
        <w:t>补充、修改的内容与响应文件不一致时，以补充、修改的内容为准。</w:t>
      </w:r>
    </w:p>
    <w:p w14:paraId="01CB16CD">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24.响应文件的递交与接收</w:t>
      </w:r>
    </w:p>
    <w:p w14:paraId="45219453">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24.1 供应商应在</w:t>
      </w:r>
      <w:r>
        <w:rPr>
          <w:rFonts w:hint="eastAsia" w:ascii="宋体" w:hAnsi="宋体" w:cs="宋体"/>
          <w:color w:val="auto"/>
          <w:kern w:val="0"/>
          <w:szCs w:val="21"/>
          <w:highlight w:val="none"/>
        </w:rPr>
        <w:t>提交首次响应文件截止时间</w:t>
      </w:r>
      <w:r>
        <w:rPr>
          <w:rFonts w:hint="eastAsia" w:ascii="宋体" w:hAnsi="宋体"/>
          <w:color w:val="auto"/>
          <w:szCs w:val="21"/>
          <w:highlight w:val="none"/>
        </w:rPr>
        <w:t>前，将响应文件送</w:t>
      </w:r>
      <w:r>
        <w:rPr>
          <w:rFonts w:hint="eastAsia" w:ascii="宋体" w:hAnsi="宋体" w:cs="Arial"/>
          <w:color w:val="auto"/>
          <w:szCs w:val="21"/>
          <w:highlight w:val="none"/>
        </w:rPr>
        <w:t>达</w:t>
      </w:r>
      <w:r>
        <w:rPr>
          <w:rFonts w:hint="eastAsia" w:ascii="宋体" w:hAnsi="宋体"/>
          <w:b/>
          <w:color w:val="auto"/>
          <w:szCs w:val="21"/>
          <w:highlight w:val="none"/>
        </w:rPr>
        <w:t>磋商须知前附表</w:t>
      </w:r>
      <w:r>
        <w:rPr>
          <w:rFonts w:hint="eastAsia" w:ascii="宋体" w:hAnsi="宋体"/>
          <w:color w:val="auto"/>
          <w:szCs w:val="21"/>
          <w:highlight w:val="none"/>
        </w:rPr>
        <w:t>中指定的地点。</w:t>
      </w:r>
      <w:r>
        <w:rPr>
          <w:rFonts w:hint="eastAsia" w:hAnsi="宋体" w:cs="宋体"/>
          <w:color w:val="auto"/>
          <w:kern w:val="0"/>
          <w:highlight w:val="none"/>
        </w:rPr>
        <w:t>在截止时间后送达的响应文件，采购人、采购代理机构或者磋商小组应当拒收。</w:t>
      </w:r>
    </w:p>
    <w:p w14:paraId="6EE6B270">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24.2</w:t>
      </w:r>
      <w:r>
        <w:rPr>
          <w:rFonts w:hint="eastAsia" w:hAnsi="宋体" w:cs="宋体"/>
          <w:color w:val="auto"/>
          <w:kern w:val="0"/>
          <w:highlight w:val="none"/>
        </w:rPr>
        <w:t>在提交首次响应文件截止时间后，</w:t>
      </w:r>
      <w:r>
        <w:rPr>
          <w:rFonts w:hint="eastAsia" w:hAnsi="宋体"/>
          <w:color w:val="auto"/>
          <w:highlight w:val="none"/>
        </w:rPr>
        <w:t>由</w:t>
      </w:r>
      <w:r>
        <w:rPr>
          <w:rFonts w:hint="eastAsia" w:hAnsi="宋体"/>
          <w:bCs/>
          <w:color w:val="auto"/>
          <w:highlight w:val="none"/>
        </w:rPr>
        <w:t>供应商代表</w:t>
      </w:r>
      <w:r>
        <w:rPr>
          <w:rFonts w:hint="eastAsia" w:hAnsi="宋体"/>
          <w:color w:val="auto"/>
          <w:highlight w:val="none"/>
        </w:rPr>
        <w:t>当场查验</w:t>
      </w:r>
      <w:r>
        <w:rPr>
          <w:rFonts w:hint="eastAsia" w:hAnsi="宋体"/>
          <w:bCs/>
          <w:color w:val="auto"/>
          <w:highlight w:val="none"/>
        </w:rPr>
        <w:t>响应文件</w:t>
      </w:r>
      <w:r>
        <w:rPr>
          <w:rFonts w:hint="eastAsia" w:hAnsi="宋体"/>
          <w:color w:val="auto"/>
          <w:highlight w:val="none"/>
        </w:rPr>
        <w:t>的密封状况，采购人或</w:t>
      </w:r>
      <w:r>
        <w:rPr>
          <w:rFonts w:hint="eastAsia" w:hAnsi="宋体"/>
          <w:bCs/>
          <w:color w:val="auto"/>
          <w:highlight w:val="none"/>
        </w:rPr>
        <w:t>采购代理机构</w:t>
      </w:r>
      <w:r>
        <w:rPr>
          <w:rFonts w:hint="eastAsia" w:hAnsi="宋体"/>
          <w:color w:val="auto"/>
          <w:highlight w:val="none"/>
        </w:rPr>
        <w:t>不当场拆封</w:t>
      </w:r>
      <w:r>
        <w:rPr>
          <w:rFonts w:hint="eastAsia" w:hAnsi="宋体"/>
          <w:bCs/>
          <w:color w:val="auto"/>
          <w:highlight w:val="none"/>
        </w:rPr>
        <w:t>响应文件</w:t>
      </w:r>
      <w:r>
        <w:rPr>
          <w:rFonts w:hint="eastAsia" w:hAnsi="宋体"/>
          <w:color w:val="auto"/>
          <w:highlight w:val="none"/>
        </w:rPr>
        <w:t>。</w:t>
      </w:r>
    </w:p>
    <w:p w14:paraId="3CEBDF25">
      <w:pPr>
        <w:adjustRightInd w:val="0"/>
        <w:snapToGrid w:val="0"/>
        <w:spacing w:line="420" w:lineRule="exact"/>
        <w:rPr>
          <w:rFonts w:ascii="黑体" w:hAnsi="宋体" w:eastAsia="黑体"/>
          <w:color w:val="auto"/>
          <w:sz w:val="24"/>
          <w:highlight w:val="none"/>
        </w:rPr>
      </w:pPr>
      <w:r>
        <w:rPr>
          <w:rFonts w:hint="eastAsia" w:ascii="黑体" w:hAnsi="宋体" w:eastAsia="黑体"/>
          <w:color w:val="auto"/>
          <w:sz w:val="24"/>
          <w:highlight w:val="none"/>
        </w:rPr>
        <w:t>五、响应文件的磋商与评审</w:t>
      </w:r>
    </w:p>
    <w:p w14:paraId="00559D2D">
      <w:pPr>
        <w:tabs>
          <w:tab w:val="left" w:pos="0"/>
        </w:tabs>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25.磋商程序</w:t>
      </w:r>
    </w:p>
    <w:p w14:paraId="0FEC0370">
      <w:pPr>
        <w:widowControl/>
        <w:adjustRightInd w:val="0"/>
        <w:snapToGrid w:val="0"/>
        <w:spacing w:line="420" w:lineRule="exact"/>
        <w:ind w:firstLine="420"/>
        <w:jc w:val="left"/>
        <w:rPr>
          <w:rFonts w:ascii="宋体" w:hAnsi="宋体"/>
          <w:bCs/>
          <w:color w:val="auto"/>
          <w:szCs w:val="21"/>
          <w:highlight w:val="none"/>
        </w:rPr>
      </w:pPr>
      <w:r>
        <w:rPr>
          <w:rFonts w:hint="eastAsia" w:ascii="宋体" w:hAnsi="宋体" w:cs="宋体"/>
          <w:color w:val="auto"/>
          <w:kern w:val="0"/>
          <w:szCs w:val="21"/>
          <w:highlight w:val="none"/>
        </w:rPr>
        <w:t>25.1磋商程序：响应文件审查、磋商（包括澄清）、响应文件评审、</w:t>
      </w:r>
      <w:r>
        <w:rPr>
          <w:rFonts w:hint="eastAsia" w:ascii="宋体" w:hAnsi="宋体"/>
          <w:bCs/>
          <w:color w:val="auto"/>
          <w:szCs w:val="21"/>
          <w:highlight w:val="none"/>
        </w:rPr>
        <w:t>提出成交供应商。其中，</w:t>
      </w:r>
      <w:r>
        <w:rPr>
          <w:rFonts w:hint="eastAsia" w:ascii="宋体" w:hAnsi="宋体" w:cs="宋体"/>
          <w:color w:val="auto"/>
          <w:kern w:val="0"/>
          <w:szCs w:val="21"/>
          <w:highlight w:val="none"/>
        </w:rPr>
        <w:t>磋商按</w:t>
      </w:r>
      <w:r>
        <w:rPr>
          <w:rFonts w:hint="eastAsia" w:ascii="宋体" w:hAnsi="宋体"/>
          <w:color w:val="auto"/>
          <w:szCs w:val="21"/>
          <w:highlight w:val="none"/>
        </w:rPr>
        <w:t>本章</w:t>
      </w:r>
      <w:r>
        <w:rPr>
          <w:rFonts w:hint="eastAsia" w:hAnsi="宋体"/>
          <w:color w:val="auto"/>
          <w:highlight w:val="none"/>
        </w:rPr>
        <w:t>第</w:t>
      </w:r>
      <w:r>
        <w:rPr>
          <w:rFonts w:hint="eastAsia" w:ascii="宋体" w:hAnsi="宋体"/>
          <w:color w:val="auto"/>
          <w:highlight w:val="none"/>
        </w:rPr>
        <w:t>30.1</w:t>
      </w:r>
      <w:r>
        <w:rPr>
          <w:rFonts w:hint="eastAsia" w:ascii="宋体" w:hAnsi="宋体" w:cs="宋体"/>
          <w:color w:val="auto"/>
          <w:kern w:val="0"/>
          <w:szCs w:val="21"/>
          <w:highlight w:val="none"/>
          <w:lang w:val="zh-CN"/>
        </w:rPr>
        <w:t>款或者</w:t>
      </w:r>
      <w:r>
        <w:rPr>
          <w:rFonts w:hint="eastAsia" w:ascii="宋体" w:hAnsi="宋体"/>
          <w:color w:val="auto"/>
          <w:highlight w:val="none"/>
        </w:rPr>
        <w:t>第30.2</w:t>
      </w:r>
      <w:r>
        <w:rPr>
          <w:rFonts w:hint="eastAsia" w:ascii="宋体" w:hAnsi="宋体" w:cs="宋体"/>
          <w:color w:val="auto"/>
          <w:kern w:val="0"/>
          <w:szCs w:val="21"/>
          <w:highlight w:val="none"/>
          <w:lang w:val="zh-CN"/>
        </w:rPr>
        <w:t>款</w:t>
      </w:r>
      <w:r>
        <w:rPr>
          <w:rFonts w:hint="eastAsia" w:hAnsi="宋体"/>
          <w:color w:val="auto"/>
          <w:highlight w:val="none"/>
        </w:rPr>
        <w:t>情形</w:t>
      </w:r>
      <w:r>
        <w:rPr>
          <w:rFonts w:hint="eastAsia" w:ascii="宋体" w:hAnsi="宋体"/>
          <w:bCs/>
          <w:color w:val="auto"/>
          <w:szCs w:val="21"/>
          <w:highlight w:val="none"/>
        </w:rPr>
        <w:t>进行。</w:t>
      </w:r>
    </w:p>
    <w:p w14:paraId="131D22F3">
      <w:pPr>
        <w:widowControl/>
        <w:adjustRightInd w:val="0"/>
        <w:snapToGrid w:val="0"/>
        <w:spacing w:line="420" w:lineRule="exact"/>
        <w:rPr>
          <w:rFonts w:ascii="宋体" w:hAnsi="宋体"/>
          <w:b/>
          <w:color w:val="auto"/>
          <w:szCs w:val="21"/>
          <w:highlight w:val="none"/>
        </w:rPr>
      </w:pPr>
      <w:r>
        <w:rPr>
          <w:rFonts w:hint="eastAsia" w:ascii="宋体" w:hAnsi="宋体" w:cs="宋体"/>
          <w:b/>
          <w:color w:val="auto"/>
          <w:kern w:val="0"/>
          <w:szCs w:val="21"/>
          <w:highlight w:val="none"/>
        </w:rPr>
        <w:t>26.响应文件审查</w:t>
      </w:r>
    </w:p>
    <w:p w14:paraId="115A27C8">
      <w:pPr>
        <w:adjustRightInd w:val="0"/>
        <w:snapToGrid w:val="0"/>
        <w:spacing w:before="120" w:beforeLines="50" w:line="420" w:lineRule="exact"/>
        <w:ind w:firstLine="420" w:firstLineChars="200"/>
        <w:rPr>
          <w:rFonts w:ascii="宋体" w:hAnsi="宋体"/>
          <w:color w:val="auto"/>
          <w:szCs w:val="21"/>
          <w:highlight w:val="none"/>
        </w:rPr>
      </w:pPr>
      <w:r>
        <w:rPr>
          <w:rFonts w:hint="eastAsia" w:ascii="宋体" w:hAnsi="宋体"/>
          <w:color w:val="auto"/>
          <w:szCs w:val="21"/>
          <w:highlight w:val="none"/>
        </w:rPr>
        <w:t>26.1 资格性审查：根据本章第3.1项规定的供应商资格条件要求，对</w:t>
      </w:r>
      <w:r>
        <w:rPr>
          <w:rFonts w:hint="eastAsia" w:ascii="宋体" w:hAnsi="宋体"/>
          <w:color w:val="auto"/>
          <w:highlight w:val="none"/>
        </w:rPr>
        <w:t>响应</w:t>
      </w:r>
      <w:r>
        <w:rPr>
          <w:rFonts w:hint="eastAsia" w:ascii="宋体" w:hAnsi="宋体"/>
          <w:color w:val="auto"/>
          <w:szCs w:val="21"/>
          <w:highlight w:val="none"/>
        </w:rPr>
        <w:t>文件的资格证明等进行审查，以确定供应商是否具备磋商资格条件。</w:t>
      </w:r>
    </w:p>
    <w:p w14:paraId="4D606CC0">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26.2符合性审查: 对响应文件(包括首次提交的响应文件、重新提交的响应文件)的有效性、完整性和响应程度进行审查，以确定是否对磋商文件的实质性要求作出响应。</w:t>
      </w:r>
    </w:p>
    <w:p w14:paraId="19AD712C">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26.3响应文件审查结束后，磋商小组所有成员集中与单一供应商分别进行磋商，并给予所有参加磋商的供应商平等的磋商机会。供应商应派其法定代表人或委托代理人参加磋商，且须携带身份证或其他与法定代表人或其代理人身份相符的有效证件原件，以备查验。</w:t>
      </w:r>
    </w:p>
    <w:p w14:paraId="7EE422FC">
      <w:pPr>
        <w:pStyle w:val="23"/>
        <w:adjustRightInd w:val="0"/>
        <w:snapToGrid w:val="0"/>
        <w:spacing w:line="420" w:lineRule="exact"/>
        <w:rPr>
          <w:rFonts w:hAnsi="宋体" w:cs="宋体"/>
          <w:b/>
          <w:color w:val="auto"/>
          <w:kern w:val="0"/>
          <w:highlight w:val="none"/>
        </w:rPr>
      </w:pPr>
      <w:r>
        <w:rPr>
          <w:rFonts w:hint="eastAsia" w:hAnsi="宋体" w:cs="宋体"/>
          <w:b/>
          <w:color w:val="auto"/>
          <w:kern w:val="0"/>
          <w:highlight w:val="none"/>
        </w:rPr>
        <w:t>27.实质性响应</w:t>
      </w:r>
    </w:p>
    <w:p w14:paraId="3CC059F3">
      <w:pPr>
        <w:pStyle w:val="23"/>
        <w:adjustRightInd w:val="0"/>
        <w:snapToGrid w:val="0"/>
        <w:spacing w:line="420" w:lineRule="exact"/>
        <w:ind w:firstLine="420" w:firstLineChars="200"/>
        <w:rPr>
          <w:rFonts w:hAnsi="宋体" w:cs="Arial"/>
          <w:color w:val="auto"/>
          <w:kern w:val="0"/>
          <w:highlight w:val="none"/>
          <w:u w:val="single"/>
        </w:rPr>
      </w:pPr>
      <w:r>
        <w:rPr>
          <w:rFonts w:hint="eastAsia" w:hAnsi="宋体" w:cs="宋体"/>
          <w:color w:val="auto"/>
          <w:kern w:val="0"/>
          <w:highlight w:val="none"/>
        </w:rPr>
        <w:t>27.1</w:t>
      </w:r>
      <w:r>
        <w:rPr>
          <w:rFonts w:hint="eastAsia" w:hAnsi="宋体"/>
          <w:color w:val="auto"/>
          <w:highlight w:val="none"/>
        </w:rPr>
        <w:t>实质性响应是指响应文件(包括首次响应文件、重新提交的响应文件)与磋商文件要求的所有条款、条件和规格相符，没有偏离。偏离</w:t>
      </w:r>
      <w:r>
        <w:rPr>
          <w:rFonts w:hint="eastAsia"/>
          <w:color w:val="auto"/>
          <w:highlight w:val="none"/>
        </w:rPr>
        <w:t>指不满足、或不响应</w:t>
      </w:r>
      <w:r>
        <w:rPr>
          <w:rFonts w:hint="eastAsia" w:hAnsi="宋体"/>
          <w:color w:val="auto"/>
          <w:highlight w:val="none"/>
        </w:rPr>
        <w:t>磋商文件</w:t>
      </w:r>
      <w:r>
        <w:rPr>
          <w:rFonts w:hint="eastAsia"/>
          <w:color w:val="auto"/>
          <w:highlight w:val="none"/>
        </w:rPr>
        <w:t>的要求。</w:t>
      </w:r>
    </w:p>
    <w:p w14:paraId="4A56C3C1">
      <w:pPr>
        <w:tabs>
          <w:tab w:val="left" w:pos="0"/>
          <w:tab w:val="left" w:pos="7560"/>
          <w:tab w:val="left" w:pos="7740"/>
          <w:tab w:val="left" w:pos="7920"/>
        </w:tabs>
        <w:adjustRightInd w:val="0"/>
        <w:snapToGrid w:val="0"/>
        <w:spacing w:line="420" w:lineRule="exact"/>
        <w:ind w:right="23" w:rightChars="11" w:firstLine="420" w:firstLineChars="200"/>
        <w:rPr>
          <w:rFonts w:ascii="宋体" w:hAnsi="宋体"/>
          <w:color w:val="auto"/>
          <w:szCs w:val="21"/>
          <w:highlight w:val="none"/>
        </w:rPr>
      </w:pPr>
      <w:r>
        <w:rPr>
          <w:rFonts w:hint="eastAsia" w:ascii="宋体" w:hAnsi="宋体"/>
          <w:color w:val="auto"/>
          <w:szCs w:val="21"/>
          <w:highlight w:val="none"/>
        </w:rPr>
        <w:t>27.2</w:t>
      </w:r>
      <w:r>
        <w:rPr>
          <w:rFonts w:hint="eastAsia" w:ascii="宋体" w:hAnsi="宋体"/>
          <w:color w:val="auto"/>
          <w:highlight w:val="none"/>
        </w:rPr>
        <w:t>响应文件是否实质性响应磋商文件要求由磋商小组依据磋商文件规定认定。</w:t>
      </w:r>
      <w:r>
        <w:rPr>
          <w:rFonts w:hint="eastAsia" w:ascii="宋体" w:hAnsi="宋体" w:cs="宋体"/>
          <w:color w:val="auto"/>
          <w:kern w:val="0"/>
          <w:szCs w:val="21"/>
          <w:highlight w:val="none"/>
        </w:rPr>
        <w:t>磋商小组</w:t>
      </w:r>
      <w:r>
        <w:rPr>
          <w:rFonts w:hint="eastAsia" w:ascii="宋体" w:hAnsi="宋体"/>
          <w:color w:val="auto"/>
          <w:szCs w:val="21"/>
          <w:highlight w:val="none"/>
        </w:rPr>
        <w:t>决定</w:t>
      </w:r>
      <w:r>
        <w:rPr>
          <w:rFonts w:hint="eastAsia" w:ascii="宋体" w:hAnsi="宋体"/>
          <w:color w:val="auto"/>
          <w:highlight w:val="none"/>
        </w:rPr>
        <w:t>响应文件</w:t>
      </w:r>
      <w:r>
        <w:rPr>
          <w:rFonts w:hint="eastAsia" w:ascii="宋体" w:hAnsi="宋体"/>
          <w:color w:val="auto"/>
          <w:szCs w:val="21"/>
          <w:highlight w:val="none"/>
        </w:rPr>
        <w:t>的响应性只根据</w:t>
      </w:r>
      <w:r>
        <w:rPr>
          <w:rFonts w:hint="eastAsia" w:ascii="宋体" w:hAnsi="宋体"/>
          <w:color w:val="auto"/>
          <w:highlight w:val="none"/>
        </w:rPr>
        <w:t>响应文件</w:t>
      </w:r>
      <w:r>
        <w:rPr>
          <w:rFonts w:hint="eastAsia" w:ascii="宋体" w:hAnsi="宋体"/>
          <w:color w:val="auto"/>
          <w:szCs w:val="21"/>
          <w:highlight w:val="none"/>
        </w:rPr>
        <w:t>本身的真实无误的内容，而不依据外部的证据。</w:t>
      </w:r>
    </w:p>
    <w:p w14:paraId="428074D2">
      <w:pPr>
        <w:pStyle w:val="23"/>
        <w:adjustRightInd w:val="0"/>
        <w:snapToGrid w:val="0"/>
        <w:spacing w:line="420" w:lineRule="exact"/>
        <w:rPr>
          <w:rFonts w:cs="宋体"/>
          <w:b/>
          <w:color w:val="auto"/>
          <w:kern w:val="0"/>
          <w:highlight w:val="none"/>
        </w:rPr>
      </w:pPr>
      <w:r>
        <w:rPr>
          <w:rFonts w:hint="eastAsia" w:cs="宋体"/>
          <w:b/>
          <w:color w:val="auto"/>
          <w:kern w:val="0"/>
          <w:highlight w:val="none"/>
        </w:rPr>
        <w:t xml:space="preserve">28.无效响应 </w:t>
      </w:r>
    </w:p>
    <w:p w14:paraId="745F58A3">
      <w:pPr>
        <w:pStyle w:val="23"/>
        <w:adjustRightInd w:val="0"/>
        <w:snapToGrid w:val="0"/>
        <w:spacing w:line="420" w:lineRule="exact"/>
        <w:ind w:firstLine="411" w:firstLineChars="196"/>
        <w:rPr>
          <w:rFonts w:hAnsi="宋体" w:cs="宋体"/>
          <w:b/>
          <w:color w:val="auto"/>
          <w:kern w:val="0"/>
          <w:highlight w:val="none"/>
        </w:rPr>
      </w:pPr>
      <w:r>
        <w:rPr>
          <w:rFonts w:hint="eastAsia" w:cs="宋体"/>
          <w:color w:val="auto"/>
          <w:kern w:val="0"/>
          <w:highlight w:val="none"/>
        </w:rPr>
        <w:t>28.1</w:t>
      </w:r>
      <w:r>
        <w:rPr>
          <w:rFonts w:hint="eastAsia"/>
          <w:color w:val="auto"/>
          <w:highlight w:val="none"/>
        </w:rPr>
        <w:t>磋商小组在对资格性和符合性进行审查时，有下列情况之一的，属无效响应，</w:t>
      </w:r>
      <w:r>
        <w:rPr>
          <w:rFonts w:hint="eastAsia" w:cs="宋体"/>
          <w:color w:val="auto"/>
          <w:kern w:val="0"/>
          <w:highlight w:val="none"/>
        </w:rPr>
        <w:t>磋商小组应当告知有关供应商</w:t>
      </w:r>
      <w:r>
        <w:rPr>
          <w:rFonts w:hint="eastAsia"/>
          <w:color w:val="auto"/>
          <w:highlight w:val="none"/>
        </w:rPr>
        <w:t>：</w:t>
      </w:r>
    </w:p>
    <w:p w14:paraId="75C43323">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（1）供应商不具备本章第3.1款规定的供应商资格条件要求，或存在本章第3.3款情形的；</w:t>
      </w:r>
    </w:p>
    <w:p w14:paraId="307FDB82">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（2）联合体不符合本章第3.2款规定的；</w:t>
      </w:r>
    </w:p>
    <w:p w14:paraId="20392E09">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（3）应交未交磋商保证金或金额不足、磋商保证金缴纳形式不符合磋商文件要求的；</w:t>
      </w:r>
    </w:p>
    <w:p w14:paraId="1828AA35">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（4）响应文件未按照磋商文件要求签署、盖章的；</w:t>
      </w:r>
    </w:p>
    <w:p w14:paraId="2683C262">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（4）响应文件不满足本章第27.1款规定的实质性要求的；</w:t>
      </w:r>
    </w:p>
    <w:p w14:paraId="61C3FFE9">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（5）报价超过采购项目预算的；</w:t>
      </w:r>
    </w:p>
    <w:p w14:paraId="5544EFF7">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（6）响应文件有效期不足的；</w:t>
      </w:r>
    </w:p>
    <w:p w14:paraId="3C00ABE0">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（7）响应文件不符合法律、规章、规范性文件和磋商文件规定及要求的。</w:t>
      </w:r>
    </w:p>
    <w:p w14:paraId="42153A54">
      <w:pPr>
        <w:widowControl/>
        <w:adjustRightInd w:val="0"/>
        <w:snapToGrid w:val="0"/>
        <w:spacing w:line="42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29.澄清</w:t>
      </w:r>
    </w:p>
    <w:p w14:paraId="7E4CF731">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65D3256B">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29.2 最后报价计算错误修正的原则：最后报价</w:t>
      </w:r>
      <w:r>
        <w:rPr>
          <w:rFonts w:hint="eastAsia" w:ascii="宋体" w:hAnsi="宋体" w:cs="Arial"/>
          <w:color w:val="auto"/>
          <w:kern w:val="0"/>
          <w:szCs w:val="21"/>
          <w:highlight w:val="none"/>
        </w:rPr>
        <w:t>的大写金额和小写金额不一致的，以大写金额为准；总价金额与按分项报价汇总金额不一致的，以分项报价金额计算结果为准；分项报价金额小数点有明显错位的，应以总价为准，并修改分项报价。</w:t>
      </w:r>
    </w:p>
    <w:p w14:paraId="6E59BD02">
      <w:pPr>
        <w:widowControl/>
        <w:adjustRightInd w:val="0"/>
        <w:snapToGrid w:val="0"/>
        <w:spacing w:line="42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30.磋商</w:t>
      </w:r>
    </w:p>
    <w:p w14:paraId="67F45579">
      <w:pPr>
        <w:widowControl/>
        <w:adjustRightInd w:val="0"/>
        <w:snapToGrid w:val="0"/>
        <w:spacing w:line="420" w:lineRule="exact"/>
        <w:ind w:firstLine="420"/>
        <w:jc w:val="left"/>
        <w:rPr>
          <w:rFonts w:ascii="宋体" w:hAnsi="宋体" w:cs="宋体"/>
          <w:color w:val="auto"/>
          <w:kern w:val="0"/>
          <w:szCs w:val="21"/>
          <w:highlight w:val="none"/>
          <w:lang w:val="zh-CN"/>
        </w:rPr>
      </w:pPr>
      <w:r>
        <w:rPr>
          <w:rFonts w:hint="eastAsia" w:ascii="宋体" w:hAnsi="宋体" w:cs="宋体"/>
          <w:color w:val="auto"/>
          <w:kern w:val="0"/>
          <w:szCs w:val="21"/>
          <w:highlight w:val="none"/>
        </w:rPr>
        <w:t>30.1</w:t>
      </w:r>
      <w:r>
        <w:rPr>
          <w:rFonts w:hint="eastAsia" w:ascii="宋体" w:hAnsi="宋体"/>
          <w:color w:val="auto"/>
          <w:highlight w:val="none"/>
        </w:rPr>
        <w:t>本章第10.2项</w:t>
      </w:r>
      <w:r>
        <w:rPr>
          <w:rFonts w:hint="eastAsia" w:ascii="宋体" w:hAnsi="宋体" w:cs="宋体"/>
          <w:color w:val="auto"/>
          <w:kern w:val="0"/>
          <w:szCs w:val="21"/>
          <w:highlight w:val="none"/>
        </w:rPr>
        <w:t>未明确磋商文件实质性变动内容的，或者磋商文件明确了可能发生实质性变动内容，但在磋商过程中，</w:t>
      </w:r>
      <w:r>
        <w:rPr>
          <w:rFonts w:hint="eastAsia" w:ascii="宋体" w:hAnsi="宋体"/>
          <w:bCs/>
          <w:color w:val="auto"/>
          <w:szCs w:val="21"/>
          <w:highlight w:val="none"/>
        </w:rPr>
        <w:t>磋商小组</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磋商情况</w:t>
      </w:r>
      <w:r>
        <w:rPr>
          <w:rFonts w:hint="eastAsia" w:ascii="宋体" w:hAnsi="宋体"/>
          <w:bCs/>
          <w:color w:val="auto"/>
          <w:szCs w:val="21"/>
          <w:highlight w:val="none"/>
        </w:rPr>
        <w:t>认为</w:t>
      </w:r>
      <w:r>
        <w:rPr>
          <w:rFonts w:hint="eastAsia" w:ascii="宋体" w:hAnsi="宋体" w:cs="宋体"/>
          <w:color w:val="auto"/>
          <w:kern w:val="0"/>
          <w:szCs w:val="21"/>
          <w:highlight w:val="none"/>
        </w:rPr>
        <w:t>磋商文件无需发生实质性变动的，磋商小组应当直接与响应文件审查合格的供应商就价格组织多轮磋商。</w:t>
      </w:r>
    </w:p>
    <w:p w14:paraId="4EBB41E1">
      <w:pPr>
        <w:widowControl/>
        <w:tabs>
          <w:tab w:val="left" w:pos="1080"/>
          <w:tab w:val="left" w:pos="1260"/>
        </w:tabs>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（1）磋商结束后，磋商小组应当要求所有继续参加磋商的供应商在磋商小组规定时间内提交最后报价。</w:t>
      </w:r>
    </w:p>
    <w:p w14:paraId="10770137">
      <w:pPr>
        <w:widowControl/>
        <w:tabs>
          <w:tab w:val="left" w:pos="1080"/>
          <w:tab w:val="left" w:pos="1260"/>
        </w:tabs>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（2）磋商文件明确可能发生实质性变动，但在磋商过程中</w:t>
      </w:r>
      <w:r>
        <w:rPr>
          <w:rFonts w:hint="eastAsia" w:ascii="宋体" w:hAnsi="宋体"/>
          <w:bCs/>
          <w:color w:val="auto"/>
          <w:szCs w:val="21"/>
          <w:highlight w:val="none"/>
        </w:rPr>
        <w:t>磋商小组</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磋商情况</w:t>
      </w:r>
      <w:r>
        <w:rPr>
          <w:rFonts w:hint="eastAsia" w:ascii="宋体" w:hAnsi="宋体"/>
          <w:bCs/>
          <w:color w:val="auto"/>
          <w:szCs w:val="21"/>
          <w:highlight w:val="none"/>
        </w:rPr>
        <w:t>认为</w:t>
      </w:r>
      <w:r>
        <w:rPr>
          <w:rFonts w:hint="eastAsia" w:ascii="宋体" w:hAnsi="宋体" w:cs="宋体"/>
          <w:color w:val="auto"/>
          <w:kern w:val="0"/>
          <w:szCs w:val="21"/>
          <w:highlight w:val="none"/>
        </w:rPr>
        <w:t>磋商文件无需发生实质性变动的，磋商小组不另行通知。</w:t>
      </w:r>
    </w:p>
    <w:p w14:paraId="465F3E39">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30.2</w:t>
      </w:r>
      <w:r>
        <w:rPr>
          <w:rFonts w:hint="eastAsia" w:ascii="宋体" w:hAnsi="宋体"/>
          <w:color w:val="auto"/>
          <w:highlight w:val="none"/>
        </w:rPr>
        <w:t>本章第10.2</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明确磋商文件实质性变动内容的，</w:t>
      </w:r>
      <w:r>
        <w:rPr>
          <w:rFonts w:hint="eastAsia" w:ascii="宋体" w:hAnsi="宋体"/>
          <w:bCs/>
          <w:color w:val="auto"/>
          <w:szCs w:val="21"/>
          <w:highlight w:val="none"/>
        </w:rPr>
        <w:t>磋商小组</w:t>
      </w:r>
      <w:r>
        <w:rPr>
          <w:rFonts w:hint="eastAsia" w:ascii="宋体" w:hAnsi="宋体" w:cs="宋体"/>
          <w:color w:val="auto"/>
          <w:kern w:val="0"/>
          <w:szCs w:val="21"/>
          <w:highlight w:val="none"/>
        </w:rPr>
        <w:t>可以组织多轮磋商。</w:t>
      </w:r>
      <w:r>
        <w:rPr>
          <w:rFonts w:hint="eastAsia" w:ascii="宋体" w:hAnsi="宋体"/>
          <w:bCs/>
          <w:color w:val="auto"/>
          <w:szCs w:val="21"/>
          <w:highlight w:val="none"/>
        </w:rPr>
        <w:t>在每一轮磋商中，磋商小组</w:t>
      </w:r>
      <w:r>
        <w:rPr>
          <w:rFonts w:hint="eastAsia" w:ascii="宋体" w:hAnsi="宋体" w:cs="宋体"/>
          <w:color w:val="auto"/>
          <w:kern w:val="0"/>
          <w:szCs w:val="21"/>
          <w:highlight w:val="none"/>
        </w:rPr>
        <w:t>可以</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磋商文件规定和磋商情况，</w:t>
      </w:r>
      <w:r>
        <w:rPr>
          <w:rFonts w:hint="eastAsia" w:ascii="宋体" w:hAnsi="宋体"/>
          <w:bCs/>
          <w:color w:val="auto"/>
          <w:szCs w:val="21"/>
          <w:highlight w:val="none"/>
        </w:rPr>
        <w:t>对磋商文件的</w:t>
      </w:r>
      <w:r>
        <w:rPr>
          <w:rFonts w:hint="eastAsia" w:ascii="宋体" w:hAnsi="宋体" w:cs="宋体"/>
          <w:color w:val="auto"/>
          <w:kern w:val="0"/>
          <w:szCs w:val="21"/>
          <w:highlight w:val="none"/>
        </w:rPr>
        <w:t>采购需求中的技术、服务要求以及合同草案条款</w:t>
      </w:r>
      <w:r>
        <w:rPr>
          <w:rFonts w:hint="eastAsia" w:ascii="宋体" w:hAnsi="宋体"/>
          <w:bCs/>
          <w:color w:val="auto"/>
          <w:szCs w:val="21"/>
          <w:highlight w:val="none"/>
        </w:rPr>
        <w:t>作实质性变动(磋商文件的实质性变动内容为磋商文件的组成部分)，并以书面形式要求</w:t>
      </w:r>
      <w:r>
        <w:rPr>
          <w:rFonts w:hint="eastAsia" w:ascii="宋体" w:hAnsi="宋体" w:cs="宋体"/>
          <w:color w:val="auto"/>
          <w:kern w:val="0"/>
          <w:szCs w:val="21"/>
          <w:highlight w:val="none"/>
        </w:rPr>
        <w:t>响应文件审查合格</w:t>
      </w:r>
      <w:r>
        <w:rPr>
          <w:rFonts w:hint="eastAsia" w:ascii="宋体" w:hAnsi="宋体"/>
          <w:bCs/>
          <w:color w:val="auto"/>
          <w:szCs w:val="21"/>
          <w:highlight w:val="none"/>
        </w:rPr>
        <w:t>的供应商，在规定的</w:t>
      </w:r>
      <w:r>
        <w:rPr>
          <w:rFonts w:hint="eastAsia" w:ascii="宋体" w:hAnsi="宋体" w:cs="宋体"/>
          <w:color w:val="auto"/>
          <w:kern w:val="0"/>
          <w:szCs w:val="21"/>
          <w:highlight w:val="none"/>
        </w:rPr>
        <w:t>截止时间前</w:t>
      </w:r>
      <w:r>
        <w:rPr>
          <w:rFonts w:hint="eastAsia" w:ascii="宋体" w:hAnsi="宋体"/>
          <w:bCs/>
          <w:color w:val="auto"/>
          <w:szCs w:val="21"/>
          <w:highlight w:val="none"/>
        </w:rPr>
        <w:t>重</w:t>
      </w:r>
      <w:r>
        <w:rPr>
          <w:rFonts w:hint="eastAsia" w:ascii="宋体" w:hAnsi="宋体" w:cs="宋体"/>
          <w:color w:val="auto"/>
          <w:kern w:val="0"/>
          <w:szCs w:val="21"/>
          <w:highlight w:val="none"/>
        </w:rPr>
        <w:t>新提交响应文件</w:t>
      </w:r>
      <w:r>
        <w:rPr>
          <w:rFonts w:hint="eastAsia" w:ascii="宋体" w:hAnsi="宋体"/>
          <w:bCs/>
          <w:color w:val="auto"/>
          <w:szCs w:val="21"/>
          <w:highlight w:val="none"/>
        </w:rPr>
        <w:t>。</w:t>
      </w:r>
      <w:r>
        <w:rPr>
          <w:rFonts w:hint="eastAsia" w:ascii="宋体" w:hAnsi="宋体" w:cs="宋体"/>
          <w:color w:val="auto"/>
          <w:kern w:val="0"/>
          <w:szCs w:val="21"/>
          <w:highlight w:val="none"/>
        </w:rPr>
        <w:t>磋商小组应当</w:t>
      </w:r>
      <w:r>
        <w:rPr>
          <w:rFonts w:hint="eastAsia" w:ascii="宋体" w:hAnsi="宋体"/>
          <w:color w:val="auto"/>
          <w:szCs w:val="21"/>
          <w:highlight w:val="none"/>
        </w:rPr>
        <w:t>根据本章第26.2</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w:t>
      </w:r>
      <w:r>
        <w:rPr>
          <w:rFonts w:hint="eastAsia" w:ascii="宋体" w:hAnsi="宋体" w:cs="宋体"/>
          <w:color w:val="auto"/>
          <w:kern w:val="0"/>
          <w:szCs w:val="21"/>
          <w:highlight w:val="none"/>
        </w:rPr>
        <w:t>对供应商重新提交的响应文件进行审查。供应商重新提交的响应文件审查不合格的，不得进入下一轮磋商，也不得要求提交最后报价。</w:t>
      </w:r>
    </w:p>
    <w:p w14:paraId="13BA2706">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（1）磋商文件能够详细列明采购需求的技术、服务要求的，磋商结束后，磋商小组应当要求所有继续参加磋商的供应商在规定时间内提交最后报价。</w:t>
      </w:r>
    </w:p>
    <w:p w14:paraId="79E569BE">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D5626D0">
      <w:pPr>
        <w:widowControl/>
        <w:adjustRightInd w:val="0"/>
        <w:snapToGrid w:val="0"/>
        <w:spacing w:line="420" w:lineRule="exact"/>
        <w:ind w:firstLine="420"/>
        <w:jc w:val="left"/>
        <w:rPr>
          <w:rFonts w:ascii="宋体" w:hAnsi="宋体"/>
          <w:bCs/>
          <w:color w:val="auto"/>
          <w:szCs w:val="21"/>
          <w:highlight w:val="none"/>
        </w:rPr>
      </w:pPr>
      <w:r>
        <w:rPr>
          <w:rFonts w:hint="eastAsia" w:ascii="宋体" w:hAnsi="宋体"/>
          <w:bCs/>
          <w:color w:val="auto"/>
          <w:szCs w:val="21"/>
          <w:highlight w:val="none"/>
        </w:rPr>
        <w:t>30.3</w:t>
      </w:r>
      <w:r>
        <w:rPr>
          <w:rFonts w:hint="eastAsia" w:ascii="宋体" w:hAnsi="宋体"/>
          <w:bCs/>
          <w:color w:val="auto"/>
          <w:highlight w:val="none"/>
        </w:rPr>
        <w:t>重</w:t>
      </w:r>
      <w:r>
        <w:rPr>
          <w:rFonts w:hint="eastAsia" w:ascii="宋体" w:hAnsi="宋体" w:cs="宋体"/>
          <w:color w:val="auto"/>
          <w:kern w:val="0"/>
          <w:highlight w:val="none"/>
        </w:rPr>
        <w:t>新提交的响应文件</w:t>
      </w:r>
      <w:r>
        <w:rPr>
          <w:rFonts w:hint="eastAsia" w:ascii="宋体" w:hAnsi="宋体"/>
          <w:color w:val="auto"/>
          <w:highlight w:val="none"/>
        </w:rPr>
        <w:t>或者最后报价应按</w:t>
      </w:r>
      <w:r>
        <w:rPr>
          <w:rFonts w:hint="eastAsia" w:ascii="宋体" w:hAnsi="宋体" w:cs="宋体"/>
          <w:color w:val="auto"/>
          <w:kern w:val="0"/>
          <w:szCs w:val="21"/>
          <w:highlight w:val="none"/>
        </w:rPr>
        <w:t>本章第</w:t>
      </w:r>
      <w:r>
        <w:rPr>
          <w:rFonts w:hint="eastAsia" w:ascii="宋体" w:hAnsi="宋体"/>
          <w:color w:val="auto"/>
          <w:highlight w:val="none"/>
        </w:rPr>
        <w:t>21.3</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由其法定代表人或其委托代理人签字或者加盖</w:t>
      </w:r>
      <w:r>
        <w:rPr>
          <w:rFonts w:hint="eastAsia" w:ascii="宋体" w:hAnsi="宋体" w:cs="宋体"/>
          <w:color w:val="auto"/>
          <w:kern w:val="0"/>
          <w:highlight w:val="none"/>
        </w:rPr>
        <w:t>供应商单位</w:t>
      </w:r>
      <w:r>
        <w:rPr>
          <w:rFonts w:hint="eastAsia" w:ascii="宋体" w:hAnsi="宋体" w:cs="宋体"/>
          <w:color w:val="auto"/>
          <w:kern w:val="0"/>
          <w:szCs w:val="21"/>
          <w:highlight w:val="none"/>
        </w:rPr>
        <w:t>章，在规定时间内密封递交给磋商小组</w:t>
      </w:r>
      <w:r>
        <w:rPr>
          <w:rFonts w:hint="eastAsia" w:ascii="宋体" w:hAnsi="宋体"/>
          <w:bCs/>
          <w:color w:val="auto"/>
          <w:szCs w:val="21"/>
          <w:highlight w:val="none"/>
        </w:rPr>
        <w:t>。</w:t>
      </w:r>
    </w:p>
    <w:p w14:paraId="297E6D88">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30.4</w:t>
      </w:r>
      <w:r>
        <w:rPr>
          <w:rFonts w:hint="eastAsia" w:ascii="宋体" w:hAnsi="宋体" w:cs="宋体"/>
          <w:color w:val="auto"/>
          <w:kern w:val="0"/>
          <w:szCs w:val="21"/>
          <w:highlight w:val="none"/>
          <w:lang w:val="zh-CN"/>
        </w:rPr>
        <w:t>供应商的</w:t>
      </w:r>
      <w:r>
        <w:rPr>
          <w:rFonts w:hint="eastAsia" w:ascii="宋体" w:hAnsi="宋体"/>
          <w:bCs/>
          <w:color w:val="auto"/>
          <w:szCs w:val="21"/>
          <w:highlight w:val="none"/>
        </w:rPr>
        <w:t>最</w:t>
      </w:r>
      <w:r>
        <w:rPr>
          <w:rFonts w:hint="eastAsia" w:ascii="宋体" w:hAnsi="宋体" w:cs="宋体"/>
          <w:color w:val="auto"/>
          <w:kern w:val="0"/>
          <w:szCs w:val="21"/>
          <w:highlight w:val="none"/>
          <w:lang w:val="zh-CN"/>
        </w:rPr>
        <w:t>后</w:t>
      </w:r>
      <w:r>
        <w:rPr>
          <w:rFonts w:hint="eastAsia" w:ascii="宋体" w:hAnsi="宋体"/>
          <w:bCs/>
          <w:color w:val="auto"/>
          <w:szCs w:val="21"/>
          <w:highlight w:val="none"/>
        </w:rPr>
        <w:t>报价及</w:t>
      </w:r>
      <w:r>
        <w:rPr>
          <w:rFonts w:hint="eastAsia" w:ascii="宋体" w:hAnsi="宋体" w:cs="宋体"/>
          <w:color w:val="auto"/>
          <w:kern w:val="0"/>
          <w:szCs w:val="21"/>
          <w:highlight w:val="none"/>
        </w:rPr>
        <w:t>政府采购政策规定的价格扣除情况，磋商小组应召集所有参加最后报价的供应商当场开封</w:t>
      </w:r>
      <w:r>
        <w:rPr>
          <w:rFonts w:hint="eastAsia" w:ascii="宋体" w:hAnsi="宋体"/>
          <w:bCs/>
          <w:color w:val="auto"/>
          <w:szCs w:val="21"/>
          <w:highlight w:val="none"/>
        </w:rPr>
        <w:t>公布，并由供应商代表签字确认。</w:t>
      </w:r>
    </w:p>
    <w:p w14:paraId="296296FB">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30.5提交首次响应文件的供应商，在提交最后报价之前，可以根据磋商情况退出磋商，</w:t>
      </w:r>
      <w:r>
        <w:rPr>
          <w:rFonts w:hint="eastAsia" w:ascii="宋体" w:hAnsi="宋体" w:cs="宋体"/>
          <w:color w:val="auto"/>
          <w:kern w:val="0"/>
          <w:highlight w:val="none"/>
        </w:rPr>
        <w:t>并书面通知采购代理机构或者磋商小组。</w:t>
      </w:r>
      <w:r>
        <w:rPr>
          <w:rFonts w:hint="eastAsia" w:ascii="宋体" w:hAnsi="宋体"/>
          <w:color w:val="auto"/>
          <w:highlight w:val="none"/>
        </w:rPr>
        <w:t>该通知由供应商法定代表人或其委托代理人签字。</w:t>
      </w:r>
      <w:r>
        <w:rPr>
          <w:rFonts w:hint="eastAsia" w:ascii="宋体" w:hAnsi="宋体" w:cs="宋体"/>
          <w:color w:val="auto"/>
          <w:kern w:val="0"/>
          <w:szCs w:val="21"/>
          <w:highlight w:val="none"/>
        </w:rPr>
        <w:t>采购代理机构</w:t>
      </w:r>
      <w:r>
        <w:rPr>
          <w:rFonts w:hint="eastAsia" w:ascii="宋体" w:hAnsi="宋体" w:cs="宋体"/>
          <w:color w:val="auto"/>
          <w:kern w:val="0"/>
          <w:highlight w:val="none"/>
        </w:rPr>
        <w:t>按</w:t>
      </w:r>
      <w:r>
        <w:rPr>
          <w:rFonts w:hint="eastAsia" w:ascii="宋体" w:hAnsi="宋体" w:cs="宋体"/>
          <w:color w:val="auto"/>
          <w:kern w:val="0"/>
          <w:szCs w:val="21"/>
          <w:highlight w:val="none"/>
        </w:rPr>
        <w:t>本章第</w:t>
      </w:r>
      <w:r>
        <w:rPr>
          <w:rFonts w:hint="eastAsia" w:ascii="宋体" w:hAnsi="宋体"/>
          <w:color w:val="auto"/>
          <w:highlight w:val="none"/>
        </w:rPr>
        <w:t>19.4</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退还退出磋商的供应商的磋商保证金。</w:t>
      </w:r>
    </w:p>
    <w:p w14:paraId="312F6505">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bCs/>
          <w:color w:val="auto"/>
          <w:szCs w:val="21"/>
          <w:highlight w:val="none"/>
        </w:rPr>
        <w:t>30.6</w:t>
      </w:r>
      <w:r>
        <w:rPr>
          <w:rFonts w:hint="eastAsia" w:ascii="宋体" w:hAnsi="宋体" w:cs="宋体"/>
          <w:color w:val="auto"/>
          <w:kern w:val="0"/>
          <w:szCs w:val="21"/>
          <w:highlight w:val="none"/>
        </w:rPr>
        <w:t>提交首次响应文件的供应商，未按磋商文件规定及磋商小组要求提交最后报价(或者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新提交的响应文件和最后报价)，且又</w:t>
      </w:r>
      <w:r>
        <w:rPr>
          <w:rFonts w:hint="eastAsia" w:ascii="宋体" w:hAnsi="宋体" w:cs="宋体"/>
          <w:color w:val="auto"/>
          <w:kern w:val="0"/>
          <w:highlight w:val="none"/>
        </w:rPr>
        <w:t>未按</w:t>
      </w:r>
      <w:r>
        <w:rPr>
          <w:rFonts w:hint="eastAsia" w:ascii="宋体" w:hAnsi="宋体" w:cs="宋体"/>
          <w:color w:val="auto"/>
          <w:kern w:val="0"/>
          <w:szCs w:val="21"/>
          <w:highlight w:val="none"/>
        </w:rPr>
        <w:t>本章第</w:t>
      </w:r>
      <w:r>
        <w:rPr>
          <w:rFonts w:hint="eastAsia" w:ascii="宋体" w:hAnsi="宋体"/>
          <w:color w:val="auto"/>
          <w:highlight w:val="none"/>
        </w:rPr>
        <w:t>30.5</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退出磋商的，供应商的磋商保证金不予退还。</w:t>
      </w:r>
    </w:p>
    <w:p w14:paraId="344ADC1F">
      <w:pPr>
        <w:widowControl/>
        <w:adjustRightInd w:val="0"/>
        <w:snapToGrid w:val="0"/>
        <w:spacing w:line="420" w:lineRule="exact"/>
        <w:jc w:val="left"/>
        <w:rPr>
          <w:rFonts w:ascii="宋体" w:hAnsi="宋体"/>
          <w:b/>
          <w:bCs/>
          <w:color w:val="auto"/>
          <w:szCs w:val="21"/>
          <w:highlight w:val="none"/>
        </w:rPr>
      </w:pPr>
      <w:r>
        <w:rPr>
          <w:rFonts w:hint="eastAsia" w:ascii="宋体" w:hAnsi="宋体" w:cs="宋体"/>
          <w:b/>
          <w:color w:val="auto"/>
          <w:kern w:val="0"/>
          <w:szCs w:val="21"/>
          <w:highlight w:val="none"/>
        </w:rPr>
        <w:t>31.响应文件评审</w:t>
      </w:r>
    </w:p>
    <w:p w14:paraId="3232EAE8">
      <w:pPr>
        <w:widowControl/>
        <w:adjustRightInd w:val="0"/>
        <w:snapToGrid w:val="0"/>
        <w:spacing w:line="42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31.1经磋商确定最终采购需求和提交最后报价的供应商后，由磋商小组采用综合评分法对提交最后报价的供应商的响应文件和最后报价进行综合评价。</w:t>
      </w:r>
    </w:p>
    <w:p w14:paraId="384FF08B">
      <w:pPr>
        <w:widowControl/>
        <w:adjustRightInd w:val="0"/>
        <w:snapToGrid w:val="0"/>
        <w:spacing w:line="42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color w:val="auto"/>
          <w:szCs w:val="21"/>
          <w:highlight w:val="none"/>
        </w:rPr>
        <w:t>磋商须知前附表。</w:t>
      </w:r>
    </w:p>
    <w:p w14:paraId="6D1DF63D">
      <w:pPr>
        <w:widowControl/>
        <w:adjustRightInd w:val="0"/>
        <w:snapToGrid w:val="0"/>
        <w:spacing w:before="120" w:beforeLines="50" w:line="420" w:lineRule="exact"/>
        <w:ind w:firstLine="420" w:firstLineChars="200"/>
        <w:jc w:val="left"/>
        <w:rPr>
          <w:rFonts w:ascii="宋体" w:hAnsi="宋体"/>
          <w:bCs/>
          <w:color w:val="auto"/>
          <w:szCs w:val="21"/>
          <w:highlight w:val="none"/>
        </w:rPr>
      </w:pPr>
      <w:r>
        <w:rPr>
          <w:rFonts w:hint="eastAsia" w:ascii="宋体" w:hAnsi="宋体" w:cs="宋体"/>
          <w:color w:val="auto"/>
          <w:kern w:val="0"/>
          <w:szCs w:val="21"/>
          <w:highlight w:val="none"/>
        </w:rPr>
        <w:t>31.3</w:t>
      </w:r>
      <w:r>
        <w:rPr>
          <w:rFonts w:hint="eastAsia" w:ascii="宋体" w:hAnsi="宋体"/>
          <w:color w:val="auto"/>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7EFCC165">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1E3E6EEB">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磋商报价得分=（磋商基准价/最后磋商报价）×价格分值</w:t>
      </w:r>
    </w:p>
    <w:p w14:paraId="23EBC165">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项目评审过程中，不得去掉最后报价中的最高报价和最低报价。</w:t>
      </w:r>
    </w:p>
    <w:p w14:paraId="25ED2A72">
      <w:pPr>
        <w:widowControl/>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31.5</w:t>
      </w:r>
      <w:r>
        <w:rPr>
          <w:rFonts w:hint="eastAsia" w:ascii="宋体" w:hAnsi="宋体"/>
          <w:color w:val="auto"/>
          <w:szCs w:val="21"/>
          <w:highlight w:val="none"/>
        </w:rPr>
        <w:t>涉及政府采购政策优惠对供应商分值进行调整的，</w:t>
      </w:r>
      <w:r>
        <w:rPr>
          <w:rFonts w:hint="eastAsia" w:ascii="宋体" w:hAnsi="宋体"/>
          <w:bCs/>
          <w:color w:val="auto"/>
          <w:szCs w:val="21"/>
          <w:highlight w:val="none"/>
        </w:rPr>
        <w:t>按</w:t>
      </w:r>
      <w:r>
        <w:rPr>
          <w:rFonts w:hint="eastAsia" w:ascii="宋体" w:hAnsi="宋体"/>
          <w:b/>
          <w:color w:val="auto"/>
          <w:szCs w:val="21"/>
          <w:highlight w:val="none"/>
        </w:rPr>
        <w:t>磋商须知前附表</w:t>
      </w:r>
      <w:r>
        <w:rPr>
          <w:rFonts w:hint="eastAsia" w:ascii="宋体" w:hAnsi="宋体"/>
          <w:bCs/>
          <w:color w:val="auto"/>
          <w:szCs w:val="21"/>
          <w:highlight w:val="none"/>
        </w:rPr>
        <w:t>规定</w:t>
      </w:r>
      <w:r>
        <w:rPr>
          <w:rFonts w:hint="eastAsia" w:ascii="宋体" w:hAnsi="宋体"/>
          <w:color w:val="auto"/>
          <w:szCs w:val="21"/>
          <w:highlight w:val="none"/>
        </w:rPr>
        <w:t>调整供应商的技术、商务、价格</w:t>
      </w:r>
      <w:r>
        <w:rPr>
          <w:rFonts w:hint="eastAsia" w:ascii="宋体" w:hAnsi="宋体" w:cs="宋体"/>
          <w:color w:val="auto"/>
          <w:kern w:val="0"/>
          <w:szCs w:val="21"/>
          <w:highlight w:val="none"/>
        </w:rPr>
        <w:t>得分或总得分</w:t>
      </w:r>
      <w:r>
        <w:rPr>
          <w:rFonts w:hint="eastAsia" w:ascii="宋体" w:hAnsi="宋体"/>
          <w:color w:val="auto"/>
          <w:szCs w:val="21"/>
          <w:highlight w:val="none"/>
        </w:rPr>
        <w:t>。</w:t>
      </w:r>
    </w:p>
    <w:p w14:paraId="177EFD30">
      <w:pPr>
        <w:adjustRightInd w:val="0"/>
        <w:snapToGrid w:val="0"/>
        <w:spacing w:before="120" w:beforeLines="50" w:line="420" w:lineRule="exact"/>
        <w:ind w:firstLine="420" w:firstLineChars="200"/>
        <w:rPr>
          <w:rFonts w:ascii="宋体" w:hAnsi="宋体"/>
          <w:color w:val="auto"/>
          <w:szCs w:val="21"/>
          <w:highlight w:val="none"/>
        </w:rPr>
      </w:pPr>
      <w:r>
        <w:rPr>
          <w:rFonts w:hint="eastAsia" w:ascii="宋体" w:hAnsi="宋体"/>
          <w:color w:val="auto"/>
          <w:szCs w:val="21"/>
          <w:highlight w:val="none"/>
        </w:rPr>
        <w:t>31.6涉及多处或部分获得政府采购政策优惠的，其多处或部分享受政府采购优惠政策的计算方法见</w:t>
      </w:r>
      <w:r>
        <w:rPr>
          <w:rFonts w:hint="eastAsia" w:ascii="宋体" w:hAnsi="宋体"/>
          <w:b/>
          <w:color w:val="auto"/>
          <w:szCs w:val="21"/>
          <w:highlight w:val="none"/>
        </w:rPr>
        <w:t>磋商须知前附表</w:t>
      </w:r>
      <w:r>
        <w:rPr>
          <w:rFonts w:hint="eastAsia" w:ascii="宋体" w:hAnsi="宋体"/>
          <w:color w:val="auto"/>
          <w:szCs w:val="21"/>
          <w:highlight w:val="none"/>
        </w:rPr>
        <w:t>相关规定。</w:t>
      </w:r>
    </w:p>
    <w:p w14:paraId="64B29511">
      <w:pPr>
        <w:widowControl/>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31.7</w:t>
      </w:r>
      <w:r>
        <w:rPr>
          <w:rFonts w:hint="eastAsia" w:ascii="宋体" w:hAnsi="宋体"/>
          <w:color w:val="auto"/>
          <w:szCs w:val="21"/>
          <w:highlight w:val="none"/>
        </w:rPr>
        <w:t>评审时，磋商小组各成员应当独立对每个供应商的</w:t>
      </w:r>
      <w:r>
        <w:rPr>
          <w:rFonts w:hint="eastAsia" w:ascii="宋体" w:hAnsi="宋体"/>
          <w:bCs/>
          <w:color w:val="auto"/>
          <w:szCs w:val="21"/>
          <w:highlight w:val="none"/>
        </w:rPr>
        <w:t>响应文件</w:t>
      </w:r>
      <w:r>
        <w:rPr>
          <w:rFonts w:hint="eastAsia" w:ascii="宋体" w:hAnsi="宋体"/>
          <w:color w:val="auto"/>
          <w:szCs w:val="21"/>
          <w:highlight w:val="none"/>
        </w:rPr>
        <w:t>进行评价、评分，并按照政府采购优惠政策对最后报价进行价格扣除和技术、商务、价格加分后，汇总各供应商的总得分。</w:t>
      </w:r>
    </w:p>
    <w:p w14:paraId="307FF1EF">
      <w:pPr>
        <w:widowControl/>
        <w:adjustRightInd w:val="0"/>
        <w:snapToGrid w:val="0"/>
        <w:spacing w:line="420" w:lineRule="exact"/>
        <w:jc w:val="left"/>
        <w:rPr>
          <w:rFonts w:ascii="宋体" w:hAnsi="宋体"/>
          <w:b/>
          <w:bCs/>
          <w:color w:val="auto"/>
          <w:szCs w:val="21"/>
          <w:highlight w:val="none"/>
        </w:rPr>
      </w:pPr>
      <w:r>
        <w:rPr>
          <w:rFonts w:hint="eastAsia" w:ascii="宋体" w:hAnsi="宋体"/>
          <w:b/>
          <w:bCs/>
          <w:color w:val="auto"/>
          <w:szCs w:val="21"/>
          <w:highlight w:val="none"/>
        </w:rPr>
        <w:t>32</w:t>
      </w:r>
      <w:r>
        <w:rPr>
          <w:rFonts w:hint="eastAsia" w:ascii="宋体" w:hAnsi="宋体" w:cs="宋体"/>
          <w:b/>
          <w:color w:val="auto"/>
          <w:kern w:val="0"/>
          <w:szCs w:val="21"/>
          <w:highlight w:val="none"/>
        </w:rPr>
        <w:t>.</w:t>
      </w:r>
      <w:r>
        <w:rPr>
          <w:rFonts w:hint="eastAsia" w:ascii="宋体" w:hAnsi="宋体"/>
          <w:b/>
          <w:bCs/>
          <w:color w:val="auto"/>
          <w:szCs w:val="21"/>
          <w:highlight w:val="none"/>
        </w:rPr>
        <w:t>提出成交供应商</w:t>
      </w:r>
    </w:p>
    <w:p w14:paraId="4123F309">
      <w:pPr>
        <w:widowControl/>
        <w:spacing w:line="4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32.1</w:t>
      </w:r>
      <w:r>
        <w:rPr>
          <w:rFonts w:hint="eastAsia" w:ascii="宋体" w:hAnsi="宋体"/>
          <w:bCs/>
          <w:color w:val="auto"/>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cs="宋体"/>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color w:val="auto"/>
          <w:szCs w:val="21"/>
          <w:highlight w:val="none"/>
        </w:rPr>
        <w:t>可以推荐2家成交候选供应商。</w:t>
      </w:r>
    </w:p>
    <w:p w14:paraId="21701B8C">
      <w:pPr>
        <w:tabs>
          <w:tab w:val="left" w:pos="0"/>
        </w:tabs>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33.确定成交供应商</w:t>
      </w:r>
    </w:p>
    <w:p w14:paraId="1DD35CDE">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33.1采购代理机构应当在评审结束后2个工作日内将评审报告送采购人确认。</w:t>
      </w:r>
    </w:p>
    <w:p w14:paraId="04236A02">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6B04F686">
      <w:pPr>
        <w:pStyle w:val="23"/>
        <w:adjustRightInd w:val="0"/>
        <w:snapToGrid w:val="0"/>
        <w:spacing w:line="420" w:lineRule="exact"/>
        <w:ind w:left="632" w:hanging="632" w:hangingChars="300"/>
        <w:rPr>
          <w:rFonts w:hAnsi="宋体"/>
          <w:b/>
          <w:color w:val="auto"/>
          <w:highlight w:val="none"/>
        </w:rPr>
      </w:pPr>
      <w:r>
        <w:rPr>
          <w:rFonts w:hint="eastAsia" w:hAnsi="宋体"/>
          <w:b/>
          <w:color w:val="auto"/>
          <w:highlight w:val="none"/>
        </w:rPr>
        <w:t>34.磋商终止</w:t>
      </w:r>
    </w:p>
    <w:p w14:paraId="76880D9E">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34.1</w:t>
      </w:r>
      <w:r>
        <w:rPr>
          <w:rFonts w:hint="eastAsia" w:ascii="宋体" w:hAnsi="宋体" w:cs="宋体"/>
          <w:color w:val="auto"/>
          <w:kern w:val="0"/>
          <w:szCs w:val="21"/>
          <w:highlight w:val="none"/>
        </w:rPr>
        <w:t>出现下列情形之一的，采购人或者采购代理机构应当终止竞争性磋商采购活动，</w:t>
      </w:r>
      <w:r>
        <w:rPr>
          <w:rFonts w:hint="eastAsia" w:ascii="宋体" w:hAnsi="宋体"/>
          <w:color w:val="auto"/>
          <w:highlight w:val="none"/>
        </w:rPr>
        <w:t>在本章第37.1款指定的媒体上</w:t>
      </w:r>
      <w:r>
        <w:rPr>
          <w:rFonts w:hint="eastAsia" w:ascii="宋体" w:hAnsi="宋体" w:cs="宋体"/>
          <w:color w:val="auto"/>
          <w:kern w:val="0"/>
          <w:szCs w:val="21"/>
          <w:highlight w:val="none"/>
        </w:rPr>
        <w:t xml:space="preserve">发布项目终止公告并说明原因，重新开展采购活动： </w:t>
      </w:r>
    </w:p>
    <w:p w14:paraId="16C3BE79">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（1）因情况变化，不再符合规定的竞争性磋商采购方式适用情形的；</w:t>
      </w:r>
    </w:p>
    <w:p w14:paraId="7B82FBC3">
      <w:pPr>
        <w:widowControl/>
        <w:adjustRightInd w:val="0"/>
        <w:snapToGrid w:val="0"/>
        <w:spacing w:line="420" w:lineRule="exact"/>
        <w:ind w:firstLine="200"/>
        <w:jc w:val="left"/>
        <w:rPr>
          <w:rFonts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09155A51">
      <w:pPr>
        <w:widowControl/>
        <w:adjustRightInd w:val="0"/>
        <w:snapToGrid w:val="0"/>
        <w:spacing w:line="420" w:lineRule="exact"/>
        <w:ind w:firstLine="200"/>
        <w:jc w:val="left"/>
        <w:rPr>
          <w:rFonts w:ascii="宋体" w:hAnsi="宋体"/>
          <w:bCs/>
          <w:color w:val="auto"/>
          <w:szCs w:val="21"/>
          <w:highlight w:val="none"/>
        </w:rPr>
      </w:pPr>
      <w:r>
        <w:rPr>
          <w:rFonts w:hint="eastAsia" w:ascii="宋体" w:hAnsi="宋体" w:cs="宋体"/>
          <w:color w:val="auto"/>
          <w:kern w:val="0"/>
          <w:szCs w:val="21"/>
          <w:highlight w:val="none"/>
        </w:rPr>
        <w:t>（3）</w:t>
      </w:r>
      <w:r>
        <w:rPr>
          <w:rFonts w:hint="eastAsia" w:ascii="宋体" w:hAnsi="宋体"/>
          <w:bCs/>
          <w:color w:val="auto"/>
          <w:szCs w:val="21"/>
          <w:highlight w:val="none"/>
        </w:rPr>
        <w:t>除《政府采购竞争性磋商采购方式管理暂行办法》(财库〔2014〕214号)</w:t>
      </w:r>
      <w:r>
        <w:rPr>
          <w:rFonts w:hint="eastAsia" w:ascii="宋体" w:hAnsi="宋体" w:cs="宋体"/>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color w:val="auto"/>
          <w:szCs w:val="21"/>
          <w:highlight w:val="none"/>
        </w:rPr>
        <w:t>情形外，在采购过程中符合要求的供应商或者报价未超过采购预算的供应商不足3家的；</w:t>
      </w:r>
    </w:p>
    <w:p w14:paraId="48F6D8B4">
      <w:pPr>
        <w:widowControl/>
        <w:adjustRightInd w:val="0"/>
        <w:snapToGrid w:val="0"/>
        <w:spacing w:line="420" w:lineRule="exact"/>
        <w:ind w:firstLine="200"/>
        <w:jc w:val="left"/>
        <w:rPr>
          <w:rFonts w:ascii="宋体" w:hAnsi="宋体"/>
          <w:bCs/>
          <w:color w:val="auto"/>
          <w:szCs w:val="21"/>
          <w:highlight w:val="none"/>
        </w:rPr>
      </w:pPr>
      <w:r>
        <w:rPr>
          <w:rFonts w:hint="eastAsia" w:ascii="宋体" w:hAnsi="宋体" w:cs="宋体"/>
          <w:color w:val="auto"/>
          <w:kern w:val="0"/>
          <w:szCs w:val="21"/>
          <w:highlight w:val="none"/>
        </w:rPr>
        <w:t>（4）因重大变故，采购任务取消的。</w:t>
      </w:r>
    </w:p>
    <w:p w14:paraId="430D847A">
      <w:pPr>
        <w:widowControl/>
        <w:adjustRightInd w:val="0"/>
        <w:snapToGrid w:val="0"/>
        <w:spacing w:line="42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35．重新评审</w:t>
      </w:r>
    </w:p>
    <w:p w14:paraId="2A7D18E2">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2CBEC376">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36.保密及串通行为</w:t>
      </w:r>
    </w:p>
    <w:p w14:paraId="22CE0639">
      <w:pPr>
        <w:adjustRightInd w:val="0"/>
        <w:snapToGrid w:val="0"/>
        <w:spacing w:line="420" w:lineRule="exact"/>
        <w:ind w:firstLine="420" w:firstLineChars="200"/>
        <w:rPr>
          <w:rFonts w:ascii="宋体" w:hAnsi="宋体"/>
          <w:color w:val="auto"/>
          <w:highlight w:val="none"/>
        </w:rPr>
      </w:pPr>
      <w:r>
        <w:rPr>
          <w:rFonts w:hint="eastAsia" w:ascii="宋体" w:hAnsi="宋体"/>
          <w:color w:val="auto"/>
          <w:highlight w:val="none"/>
        </w:rPr>
        <w:t>36.1磋商小组成员以及与评审工作有关的人员不得泄露评审情况以及评审过程中获悉的国家秘密、商业秘密。</w:t>
      </w:r>
    </w:p>
    <w:p w14:paraId="23AEE580">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36.2</w:t>
      </w:r>
      <w:r>
        <w:rPr>
          <w:rFonts w:hint="eastAsia" w:ascii="宋体" w:hAnsi="宋体" w:cs="宋体"/>
          <w:color w:val="auto"/>
          <w:kern w:val="0"/>
          <w:szCs w:val="21"/>
          <w:highlight w:val="none"/>
        </w:rPr>
        <w:t>供应商</w:t>
      </w:r>
      <w:r>
        <w:rPr>
          <w:rFonts w:hint="eastAsia" w:ascii="宋体" w:hAnsi="宋体"/>
          <w:color w:val="auto"/>
          <w:szCs w:val="21"/>
          <w:highlight w:val="none"/>
        </w:rPr>
        <w:t>不得与</w:t>
      </w:r>
      <w:r>
        <w:rPr>
          <w:rFonts w:hint="eastAsia" w:ascii="宋体" w:hAnsi="宋体" w:cs="宋体"/>
          <w:color w:val="auto"/>
          <w:kern w:val="0"/>
          <w:szCs w:val="21"/>
          <w:highlight w:val="none"/>
        </w:rPr>
        <w:t>采购人、采购代理机构、其他供应商恶意</w:t>
      </w:r>
      <w:r>
        <w:rPr>
          <w:rFonts w:hint="eastAsia" w:ascii="宋体" w:hAnsi="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olor w:val="auto"/>
          <w:szCs w:val="21"/>
          <w:highlight w:val="none"/>
        </w:rPr>
        <w:t>或者磋商小组成员行贿或者提供其他不正当利益；不得提供虚假资料谋取成交；不得以任何方式干扰、影响采购工作。</w:t>
      </w:r>
    </w:p>
    <w:p w14:paraId="3675DDB8">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s="Arial"/>
          <w:color w:val="auto"/>
          <w:sz w:val="21"/>
          <w:szCs w:val="21"/>
          <w:highlight w:val="none"/>
        </w:rPr>
        <w:t>36.3</w:t>
      </w:r>
      <w:r>
        <w:rPr>
          <w:rFonts w:hint="eastAsia"/>
          <w:color w:val="auto"/>
          <w:sz w:val="21"/>
          <w:szCs w:val="21"/>
          <w:highlight w:val="none"/>
          <w:lang w:val="zh-CN"/>
        </w:rPr>
        <w:t>有下列情形之一的，属于恶意串通，对供应商依照政府采购法第七十七条第一款的规定追究法律责任：</w:t>
      </w:r>
    </w:p>
    <w:p w14:paraId="6181B73F">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（一）供应商直接或者间接从采购人或者采购代理机构处获得其他供应商的相关情况并修改其投标文件或者响应文件；</w:t>
      </w:r>
    </w:p>
    <w:p w14:paraId="0E88CF63">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（二）供应商按照采购人或者采购代理机构的授意撤换、修改投标文件或者响应文件；</w:t>
      </w:r>
    </w:p>
    <w:p w14:paraId="41CEB7AE">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（三）供应商之间协商报价、技术方案等投标文件或者响应文件的实质性内容；</w:t>
      </w:r>
    </w:p>
    <w:p w14:paraId="7051CA03">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（四）属于同一集团、协会、商会等组织成员的供应商按照该组织要求协同参加政府采购活动；</w:t>
      </w:r>
    </w:p>
    <w:p w14:paraId="1CEE6254">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（五）供应商之间事先约定由某一特定供应商中标、成交；</w:t>
      </w:r>
    </w:p>
    <w:p w14:paraId="1E8C406B">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（六）供应商之间商定部分供应商放弃参加政府采购活动或者放弃中标、成交；</w:t>
      </w:r>
    </w:p>
    <w:p w14:paraId="2DB75D6E">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（七）供应商与采购人或者采购代理机构之间、供应商相互之间，为谋求特定供应商中标、成交或者排斥其他供应商的其他串通行为。</w:t>
      </w:r>
    </w:p>
    <w:p w14:paraId="1CFD6F03">
      <w:pPr>
        <w:adjustRightInd w:val="0"/>
        <w:snapToGrid w:val="0"/>
        <w:spacing w:line="420" w:lineRule="exact"/>
        <w:rPr>
          <w:rFonts w:ascii="黑体" w:hAnsi="宋体" w:eastAsia="黑体"/>
          <w:color w:val="auto"/>
          <w:sz w:val="24"/>
          <w:highlight w:val="none"/>
        </w:rPr>
      </w:pPr>
      <w:r>
        <w:rPr>
          <w:rFonts w:hint="eastAsia" w:ascii="黑体" w:hAnsi="宋体" w:eastAsia="黑体"/>
          <w:color w:val="auto"/>
          <w:sz w:val="24"/>
          <w:highlight w:val="none"/>
        </w:rPr>
        <w:t>六、成交结果信息公布与授予合同</w:t>
      </w:r>
    </w:p>
    <w:p w14:paraId="5C9942AA">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37.成交信息的公布</w:t>
      </w:r>
    </w:p>
    <w:p w14:paraId="64487E98">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37.1成交供应商确定后2个工作日内，成交结果信息将在</w:t>
      </w:r>
      <w:r>
        <w:rPr>
          <w:rFonts w:hint="eastAsia" w:hAnsi="宋体"/>
          <w:b/>
          <w:color w:val="auto"/>
          <w:highlight w:val="none"/>
        </w:rPr>
        <w:t>磋商须知前附表</w:t>
      </w:r>
      <w:r>
        <w:rPr>
          <w:rFonts w:hint="eastAsia" w:hAnsi="宋体"/>
          <w:color w:val="auto"/>
          <w:highlight w:val="none"/>
        </w:rPr>
        <w:t>指定的媒体上公布。</w:t>
      </w:r>
    </w:p>
    <w:p w14:paraId="4889D7B9">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38.询问及质疑</w:t>
      </w:r>
    </w:p>
    <w:p w14:paraId="29B3A5D3">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38.1供应商对政府采购活动事项有疑问的，可以向采购人或采购代理机构提出询问。</w:t>
      </w:r>
    </w:p>
    <w:p w14:paraId="49BE422E">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38.2供应商若认为磋商文件、采购过程和成交结果使自己的权益受到损害，可以按法律、规章，以书面形式、一次性向采购人或采购代理机构提出针对同一采购程序环节的质疑。</w:t>
      </w:r>
    </w:p>
    <w:p w14:paraId="4045FA70">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39.成交通知</w:t>
      </w:r>
    </w:p>
    <w:p w14:paraId="2835325C">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39.1成交供应商确定后，采购人或采购代理机构将以书面形式向成交供应商发出成交通知书。成交通知书对采购人和成交供应商具有同等法律效力。</w:t>
      </w:r>
    </w:p>
    <w:p w14:paraId="70973257">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39.2 成交通知书是合同文件的组成部分。</w:t>
      </w:r>
    </w:p>
    <w:p w14:paraId="3AF64347">
      <w:pPr>
        <w:tabs>
          <w:tab w:val="left" w:pos="7560"/>
          <w:tab w:val="left" w:pos="7740"/>
          <w:tab w:val="left" w:pos="7920"/>
        </w:tabs>
        <w:autoSpaceDN w:val="0"/>
        <w:adjustRightInd w:val="0"/>
        <w:snapToGrid w:val="0"/>
        <w:spacing w:line="420" w:lineRule="exact"/>
        <w:ind w:firstLine="420" w:firstLineChars="200"/>
        <w:rPr>
          <w:rFonts w:ascii="宋体" w:hAnsi="宋体"/>
          <w:color w:val="auto"/>
          <w:szCs w:val="21"/>
          <w:highlight w:val="none"/>
        </w:rPr>
      </w:pPr>
      <w:r>
        <w:rPr>
          <w:rFonts w:hint="eastAsia" w:ascii="宋体" w:hAnsi="宋体" w:cs="宋体"/>
          <w:color w:val="auto"/>
          <w:kern w:val="0"/>
          <w:szCs w:val="21"/>
          <w:highlight w:val="none"/>
        </w:rPr>
        <w:t xml:space="preserve">39.3 </w:t>
      </w:r>
      <w:r>
        <w:rPr>
          <w:rFonts w:hint="eastAsia" w:ascii="宋体" w:hAnsi="宋体"/>
          <w:color w:val="auto"/>
          <w:szCs w:val="21"/>
          <w:highlight w:val="none"/>
        </w:rPr>
        <w:t>成交供应商在收到采购代理机构的成交通知书后10日内，应按照</w:t>
      </w:r>
      <w:r>
        <w:rPr>
          <w:rFonts w:hint="eastAsia" w:ascii="宋体" w:hAnsi="宋体"/>
          <w:b/>
          <w:color w:val="auto"/>
          <w:szCs w:val="21"/>
          <w:highlight w:val="none"/>
        </w:rPr>
        <w:t>磋商须知前附表</w:t>
      </w:r>
      <w:r>
        <w:rPr>
          <w:rFonts w:hint="eastAsia" w:ascii="宋体" w:hAnsi="宋体"/>
          <w:color w:val="auto"/>
          <w:szCs w:val="21"/>
          <w:highlight w:val="none"/>
        </w:rPr>
        <w:t>的规定，向采购人提交履约担保。联合体成交的，履约担保由联合体各方或联合体中牵头人的名义提交。</w:t>
      </w:r>
    </w:p>
    <w:p w14:paraId="39100DA8">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39.4 成交供应商</w:t>
      </w:r>
      <w:r>
        <w:rPr>
          <w:rFonts w:hint="eastAsia" w:hAnsi="宋体"/>
          <w:color w:val="auto"/>
          <w:spacing w:val="4"/>
          <w:highlight w:val="none"/>
        </w:rPr>
        <w:t>没有按照本章第39.3</w:t>
      </w:r>
      <w:r>
        <w:rPr>
          <w:rFonts w:hint="eastAsia" w:hAnsi="宋体" w:cs="宋体"/>
          <w:color w:val="auto"/>
          <w:kern w:val="0"/>
          <w:highlight w:val="none"/>
          <w:lang w:val="zh-CN"/>
        </w:rPr>
        <w:t>款</w:t>
      </w:r>
      <w:r>
        <w:rPr>
          <w:rFonts w:hint="eastAsia" w:hAnsi="宋体"/>
          <w:color w:val="auto"/>
          <w:spacing w:val="4"/>
          <w:highlight w:val="none"/>
        </w:rPr>
        <w:t>规定</w:t>
      </w:r>
      <w:r>
        <w:rPr>
          <w:rFonts w:hint="eastAsia" w:hAnsi="宋体"/>
          <w:color w:val="auto"/>
          <w:highlight w:val="none"/>
        </w:rPr>
        <w:t>提交履约担保的</w:t>
      </w:r>
      <w:r>
        <w:rPr>
          <w:rFonts w:hint="eastAsia" w:hAnsi="宋体"/>
          <w:color w:val="auto"/>
          <w:spacing w:val="4"/>
          <w:highlight w:val="none"/>
        </w:rPr>
        <w:t>，视为放弃</w:t>
      </w:r>
      <w:r>
        <w:rPr>
          <w:rFonts w:hint="eastAsia" w:hAnsi="宋体"/>
          <w:color w:val="auto"/>
          <w:highlight w:val="none"/>
        </w:rPr>
        <w:t>成交资格</w:t>
      </w:r>
      <w:r>
        <w:rPr>
          <w:rFonts w:hint="eastAsia" w:hAnsi="宋体"/>
          <w:color w:val="auto"/>
          <w:spacing w:val="4"/>
          <w:highlight w:val="none"/>
        </w:rPr>
        <w:t>，</w:t>
      </w:r>
      <w:r>
        <w:rPr>
          <w:rFonts w:hint="eastAsia" w:hAnsi="宋体"/>
          <w:color w:val="auto"/>
          <w:spacing w:val="2"/>
          <w:highlight w:val="none"/>
        </w:rPr>
        <w:t>其保证金不予退还。</w:t>
      </w:r>
    </w:p>
    <w:p w14:paraId="3708732F">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40.签订合同</w:t>
      </w:r>
    </w:p>
    <w:p w14:paraId="0E207D3B">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40.1成交供应商应当在成交通知书发出之日起5日内与采购人签订政府采购合同。</w:t>
      </w:r>
    </w:p>
    <w:p w14:paraId="32E59CE3">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40.2磋商文件、成交供应商的响应文件等均为签订政府采购合同的依据。</w:t>
      </w:r>
    </w:p>
    <w:p w14:paraId="104F32BA">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40.3 成交供应商应当按照合同约定履行义务。成交供应商不得向他人转让成交项目，也不得将成交项目分包后分别向他人转让。</w:t>
      </w:r>
    </w:p>
    <w:p w14:paraId="5531E321">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40.4 成交供应商有下列情形之一的，责令限期改正，情节严重的，列入不良行为记录名单，在1至3年内禁止参加政府采购活动，并予以通报：</w:t>
      </w:r>
    </w:p>
    <w:p w14:paraId="7AA90EAA">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（一）成交后无正当理由不与采购人签订合同的；</w:t>
      </w:r>
    </w:p>
    <w:p w14:paraId="69652BFB">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（二）未按照磋商文件确定的事项签订政府采购合同，或者与采购人另行订立背离合同实质性内容的协议的；</w:t>
      </w:r>
    </w:p>
    <w:p w14:paraId="31746B24">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（三）拒绝履行合同义务的；</w:t>
      </w:r>
    </w:p>
    <w:p w14:paraId="1456E098">
      <w:pPr>
        <w:pStyle w:val="23"/>
        <w:adjustRightInd w:val="0"/>
        <w:snapToGrid w:val="0"/>
        <w:spacing w:line="420" w:lineRule="exact"/>
        <w:ind w:firstLine="420" w:firstLineChars="200"/>
        <w:rPr>
          <w:rFonts w:hAnsi="宋体" w:cs="宋体"/>
          <w:color w:val="auto"/>
          <w:kern w:val="0"/>
          <w:highlight w:val="none"/>
        </w:rPr>
      </w:pPr>
      <w:r>
        <w:rPr>
          <w:rFonts w:hint="eastAsia" w:hAnsi="宋体"/>
          <w:color w:val="auto"/>
          <w:highlight w:val="none"/>
        </w:rPr>
        <w:t>（四）</w:t>
      </w:r>
      <w:r>
        <w:rPr>
          <w:rFonts w:hint="eastAsia" w:hAnsi="宋体" w:cs="宋体"/>
          <w:color w:val="auto"/>
          <w:kern w:val="0"/>
          <w:highlight w:val="none"/>
        </w:rPr>
        <w:t>违反法律、规章、规范性文件规定的。</w:t>
      </w:r>
    </w:p>
    <w:p w14:paraId="7A2A3041">
      <w:pPr>
        <w:adjustRightInd w:val="0"/>
        <w:snapToGrid w:val="0"/>
        <w:spacing w:line="420" w:lineRule="exact"/>
        <w:rPr>
          <w:rFonts w:ascii="黑体" w:hAnsi="宋体" w:eastAsia="黑体"/>
          <w:color w:val="auto"/>
          <w:sz w:val="24"/>
          <w:highlight w:val="none"/>
        </w:rPr>
      </w:pPr>
      <w:r>
        <w:rPr>
          <w:rFonts w:hint="eastAsia" w:ascii="黑体" w:hAnsi="宋体" w:eastAsia="黑体"/>
          <w:color w:val="auto"/>
          <w:sz w:val="24"/>
          <w:highlight w:val="none"/>
        </w:rPr>
        <w:t>七、其他规定</w:t>
      </w:r>
    </w:p>
    <w:p w14:paraId="4664D6F8">
      <w:pPr>
        <w:adjustRightInd w:val="0"/>
        <w:snapToGrid w:val="0"/>
        <w:spacing w:line="420" w:lineRule="exact"/>
        <w:jc w:val="left"/>
        <w:rPr>
          <w:rFonts w:ascii="宋体" w:hAnsi="宋体"/>
          <w:b/>
          <w:color w:val="auto"/>
          <w:szCs w:val="21"/>
          <w:highlight w:val="none"/>
        </w:rPr>
      </w:pPr>
      <w:r>
        <w:rPr>
          <w:rFonts w:hint="eastAsia" w:ascii="宋体" w:hAnsi="宋体"/>
          <w:b/>
          <w:color w:val="auto"/>
          <w:szCs w:val="21"/>
          <w:highlight w:val="none"/>
        </w:rPr>
        <w:t>41.1采购代理服务费及专家评审费</w:t>
      </w:r>
    </w:p>
    <w:p w14:paraId="549AB60F">
      <w:pPr>
        <w:tabs>
          <w:tab w:val="left" w:pos="420"/>
          <w:tab w:val="left" w:pos="7560"/>
          <w:tab w:val="left" w:pos="7740"/>
          <w:tab w:val="left" w:pos="7920"/>
        </w:tabs>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41.1采购代理机构应按</w:t>
      </w:r>
      <w:r>
        <w:rPr>
          <w:rFonts w:hint="eastAsia" w:ascii="宋体" w:hAnsi="宋体"/>
          <w:b/>
          <w:color w:val="auto"/>
          <w:szCs w:val="21"/>
          <w:highlight w:val="none"/>
        </w:rPr>
        <w:t>磋商须知前附表</w:t>
      </w:r>
      <w:r>
        <w:rPr>
          <w:rFonts w:hint="eastAsia" w:ascii="宋体" w:hAnsi="宋体"/>
          <w:color w:val="auto"/>
          <w:szCs w:val="21"/>
          <w:highlight w:val="none"/>
        </w:rPr>
        <w:t>规定收取采购代理服务费。</w:t>
      </w:r>
    </w:p>
    <w:p w14:paraId="708CDA06">
      <w:pPr>
        <w:tabs>
          <w:tab w:val="left" w:pos="420"/>
          <w:tab w:val="left" w:pos="7560"/>
          <w:tab w:val="left" w:pos="7740"/>
          <w:tab w:val="left" w:pos="7920"/>
        </w:tabs>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41.2专家评审费用按《湖南省政府采购项目评审劳务报酬管理办法》（湘财购〔2017〕9号）规定执行。</w:t>
      </w:r>
    </w:p>
    <w:p w14:paraId="46163C02">
      <w:pPr>
        <w:tabs>
          <w:tab w:val="left" w:pos="420"/>
          <w:tab w:val="left" w:pos="7560"/>
          <w:tab w:val="left" w:pos="7740"/>
          <w:tab w:val="left" w:pos="7920"/>
        </w:tabs>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41.3集中采购机构不得收取采购代理服务费。</w:t>
      </w:r>
    </w:p>
    <w:p w14:paraId="2758FD15">
      <w:pPr>
        <w:tabs>
          <w:tab w:val="left" w:pos="420"/>
          <w:tab w:val="left" w:pos="7560"/>
          <w:tab w:val="left" w:pos="7740"/>
          <w:tab w:val="left" w:pos="7920"/>
        </w:tabs>
        <w:adjustRightInd w:val="0"/>
        <w:snapToGrid w:val="0"/>
        <w:spacing w:line="420" w:lineRule="exact"/>
        <w:rPr>
          <w:rFonts w:hAnsi="宋体"/>
          <w:b/>
          <w:color w:val="auto"/>
          <w:highlight w:val="none"/>
        </w:rPr>
      </w:pPr>
      <w:r>
        <w:rPr>
          <w:rFonts w:hint="eastAsia" w:ascii="宋体" w:hAnsi="宋体"/>
          <w:b/>
          <w:color w:val="auto"/>
          <w:szCs w:val="21"/>
          <w:highlight w:val="none"/>
        </w:rPr>
        <w:t>42.</w:t>
      </w:r>
      <w:r>
        <w:rPr>
          <w:rFonts w:hint="eastAsia" w:hAnsi="宋体"/>
          <w:b/>
          <w:color w:val="auto"/>
          <w:highlight w:val="none"/>
        </w:rPr>
        <w:t>其他规定</w:t>
      </w:r>
    </w:p>
    <w:p w14:paraId="4FF96BEB">
      <w:pPr>
        <w:tabs>
          <w:tab w:val="left" w:pos="420"/>
          <w:tab w:val="left" w:pos="7560"/>
          <w:tab w:val="left" w:pos="7740"/>
          <w:tab w:val="left" w:pos="7920"/>
        </w:tabs>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highlight w:val="none"/>
        </w:rPr>
        <w:t>42.1</w:t>
      </w:r>
      <w:r>
        <w:rPr>
          <w:rFonts w:hint="eastAsia" w:ascii="宋体" w:hAnsi="宋体"/>
          <w:color w:val="auto"/>
          <w:szCs w:val="21"/>
          <w:highlight w:val="none"/>
        </w:rPr>
        <w:t>磋商文件</w:t>
      </w:r>
      <w:r>
        <w:rPr>
          <w:rFonts w:hint="eastAsia" w:hAnsi="宋体"/>
          <w:color w:val="auto"/>
          <w:highlight w:val="none"/>
        </w:rPr>
        <w:t>的其他规定</w:t>
      </w:r>
      <w:r>
        <w:rPr>
          <w:rFonts w:hint="eastAsia" w:ascii="宋体" w:hAnsi="宋体"/>
          <w:color w:val="auto"/>
          <w:szCs w:val="21"/>
          <w:highlight w:val="none"/>
        </w:rPr>
        <w:t>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1E5BD762">
      <w:pPr>
        <w:adjustRightInd w:val="0"/>
        <w:snapToGrid w:val="0"/>
        <w:spacing w:before="120" w:beforeLines="50" w:line="360" w:lineRule="auto"/>
        <w:jc w:val="center"/>
        <w:rPr>
          <w:rFonts w:ascii="黑体" w:eastAsia="黑体"/>
          <w:b/>
          <w:color w:val="auto"/>
          <w:sz w:val="32"/>
          <w:szCs w:val="32"/>
          <w:highlight w:val="none"/>
        </w:rPr>
      </w:pPr>
    </w:p>
    <w:p w14:paraId="5B310322">
      <w:pPr>
        <w:adjustRightInd w:val="0"/>
        <w:snapToGrid w:val="0"/>
        <w:spacing w:before="120" w:beforeLines="50" w:line="360" w:lineRule="auto"/>
        <w:jc w:val="center"/>
        <w:rPr>
          <w:rFonts w:ascii="黑体" w:eastAsia="黑体"/>
          <w:b/>
          <w:color w:val="auto"/>
          <w:sz w:val="32"/>
          <w:szCs w:val="32"/>
          <w:highlight w:val="none"/>
        </w:rPr>
      </w:pPr>
    </w:p>
    <w:p w14:paraId="41F2B837">
      <w:pPr>
        <w:pStyle w:val="4"/>
        <w:keepNext w:val="0"/>
        <w:rPr>
          <w:rFonts w:ascii="宋体" w:hAnsi="宋体"/>
          <w:color w:val="auto"/>
          <w:sz w:val="32"/>
          <w:szCs w:val="32"/>
          <w:highlight w:val="none"/>
        </w:rPr>
      </w:pPr>
    </w:p>
    <w:p w14:paraId="71B12963">
      <w:pPr>
        <w:pStyle w:val="4"/>
        <w:keepNext w:val="0"/>
        <w:jc w:val="both"/>
        <w:rPr>
          <w:rFonts w:ascii="宋体" w:hAnsi="宋体"/>
          <w:color w:val="auto"/>
          <w:sz w:val="32"/>
          <w:szCs w:val="32"/>
          <w:highlight w:val="none"/>
        </w:rPr>
      </w:pPr>
    </w:p>
    <w:p w14:paraId="4A6C641C">
      <w:pPr>
        <w:pStyle w:val="4"/>
        <w:keepNext w:val="0"/>
        <w:rPr>
          <w:rFonts w:ascii="宋体" w:hAnsi="宋体"/>
          <w:color w:val="auto"/>
          <w:sz w:val="32"/>
          <w:szCs w:val="32"/>
          <w:highlight w:val="none"/>
        </w:rPr>
      </w:pPr>
      <w:r>
        <w:rPr>
          <w:rFonts w:hint="eastAsia" w:ascii="宋体" w:hAnsi="宋体"/>
          <w:color w:val="auto"/>
          <w:sz w:val="32"/>
          <w:szCs w:val="32"/>
          <w:highlight w:val="none"/>
        </w:rPr>
        <w:br w:type="page"/>
      </w:r>
      <w:r>
        <w:rPr>
          <w:rFonts w:hint="eastAsia" w:ascii="宋体" w:hAnsi="宋体"/>
          <w:color w:val="auto"/>
          <w:sz w:val="32"/>
          <w:szCs w:val="32"/>
          <w:highlight w:val="none"/>
        </w:rPr>
        <w:t>第三章  政府采购合同格式</w:t>
      </w:r>
    </w:p>
    <w:p w14:paraId="2C0CCA0D">
      <w:pPr>
        <w:rPr>
          <w:color w:val="auto"/>
          <w:highlight w:val="none"/>
        </w:rPr>
      </w:pPr>
    </w:p>
    <w:p w14:paraId="7C27E291">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（以实际签订合同为准）</w:t>
      </w:r>
    </w:p>
    <w:p w14:paraId="00E4CD38">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采购合同编号：</w:t>
      </w:r>
    </w:p>
    <w:p w14:paraId="3F10F8C0">
      <w:pPr>
        <w:keepLines w:val="0"/>
        <w:pageBreakBefore w:val="0"/>
        <w:kinsoku/>
        <w:wordWrap/>
        <w:overflowPunct/>
        <w:topLinePunct w:val="0"/>
        <w:autoSpaceDE/>
        <w:autoSpaceDN/>
        <w:bidi w:val="0"/>
        <w:spacing w:line="360" w:lineRule="auto"/>
        <w:ind w:left="0" w:right="0" w:firstLine="562"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u w:val="single"/>
          <w:lang w:eastAsia="zh-CN"/>
        </w:rPr>
        <w:t>岭南连接通道拓宽及护坡加固项目</w:t>
      </w:r>
      <w:r>
        <w:rPr>
          <w:rFonts w:hint="eastAsia" w:ascii="宋体" w:hAnsi="宋体" w:eastAsia="宋体" w:cs="宋体"/>
          <w:b/>
          <w:bCs/>
          <w:color w:val="auto"/>
          <w:sz w:val="28"/>
          <w:szCs w:val="28"/>
          <w:highlight w:val="none"/>
        </w:rPr>
        <w:t>施工合同</w:t>
      </w:r>
    </w:p>
    <w:p w14:paraId="1BF4504B">
      <w:pPr>
        <w:keepLines w:val="0"/>
        <w:pageBreakBefore w:val="0"/>
        <w:kinsoku/>
        <w:wordWrap/>
        <w:overflowPunct/>
        <w:topLinePunct w:val="0"/>
        <w:autoSpaceDE/>
        <w:autoSpaceDN/>
        <w:bidi w:val="0"/>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甲方：湖南工商大学</w:t>
      </w:r>
    </w:p>
    <w:p w14:paraId="0AF17FEE">
      <w:pPr>
        <w:keepLines w:val="0"/>
        <w:pageBreakBefore w:val="0"/>
        <w:widowControl/>
        <w:kinsoku/>
        <w:wordWrap/>
        <w:overflowPunct/>
        <w:topLinePunct w:val="0"/>
        <w:autoSpaceDE/>
        <w:autoSpaceDN/>
        <w:bidi w:val="0"/>
        <w:spacing w:line="360" w:lineRule="auto"/>
        <w:ind w:left="0" w:right="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lang w:val="en-US" w:eastAsia="zh-CN"/>
        </w:rPr>
        <w:t xml:space="preserve">            </w:t>
      </w:r>
    </w:p>
    <w:p w14:paraId="3571C19B">
      <w:pPr>
        <w:keepLines w:val="0"/>
        <w:pageBreakBefore w:val="0"/>
        <w:kinsoku/>
        <w:wordWrap/>
        <w:overflowPunct/>
        <w:topLinePunct w:val="0"/>
        <w:autoSpaceDE/>
        <w:autoSpaceDN/>
        <w:bidi w:val="0"/>
        <w:snapToGrid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岭南连接通道拓宽及护坡加固项目</w:t>
      </w:r>
      <w:r>
        <w:rPr>
          <w:rFonts w:hint="eastAsia" w:ascii="宋体" w:hAnsi="宋体" w:eastAsia="宋体" w:cs="宋体"/>
          <w:color w:val="auto"/>
          <w:sz w:val="21"/>
          <w:szCs w:val="21"/>
          <w:highlight w:val="none"/>
        </w:rPr>
        <w:t>政府采购由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施工，为明确双方的责、权、利，根据工程内容及要求，经甲乙双方协商一致，确定以下合同条款。 </w:t>
      </w:r>
    </w:p>
    <w:p w14:paraId="7BF1EBCC">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75B1D2C">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（一）工程名称：</w:t>
      </w:r>
      <w:r>
        <w:rPr>
          <w:rFonts w:hint="eastAsia" w:ascii="宋体" w:hAnsi="宋体" w:eastAsia="宋体" w:cs="宋体"/>
          <w:color w:val="auto"/>
          <w:sz w:val="21"/>
          <w:szCs w:val="21"/>
          <w:highlight w:val="none"/>
          <w:u w:val="single"/>
          <w:lang w:eastAsia="zh-CN"/>
        </w:rPr>
        <w:t>岭南连接通道拓宽及护坡加固项目</w:t>
      </w:r>
    </w:p>
    <w:p w14:paraId="1F1D3AB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（二）工程地点：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BB41288">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（三）项目内容：招标工程量清单内明确的全部内容。</w:t>
      </w:r>
    </w:p>
    <w:p w14:paraId="370587F1">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二、工程造价及承包方式</w:t>
      </w:r>
    </w:p>
    <w:p w14:paraId="507F3817">
      <w:pPr>
        <w:keepLines w:val="0"/>
        <w:pageBreakBefore w:val="0"/>
        <w:widowControl/>
        <w:kinsoku/>
        <w:wordWrap/>
        <w:overflowPunct/>
        <w:topLinePunct w:val="0"/>
        <w:autoSpaceDE/>
        <w:autoSpaceDN/>
        <w:bidi w:val="0"/>
        <w:spacing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（一）工程造价：本工程招标工程量</w:t>
      </w:r>
      <w:r>
        <w:rPr>
          <w:rFonts w:hint="eastAsia" w:ascii="宋体" w:hAnsi="宋体" w:eastAsia="宋体" w:cs="宋体"/>
          <w:bCs/>
          <w:color w:val="auto"/>
          <w:sz w:val="21"/>
          <w:szCs w:val="21"/>
          <w:highlight w:val="none"/>
        </w:rPr>
        <w:t>中标总价</w:t>
      </w:r>
      <w:r>
        <w:rPr>
          <w:rFonts w:hint="eastAsia" w:ascii="宋体" w:hAnsi="宋体" w:eastAsia="宋体" w:cs="宋体"/>
          <w:color w:val="auto"/>
          <w:sz w:val="21"/>
          <w:szCs w:val="21"/>
          <w:highlight w:val="none"/>
        </w:rPr>
        <w:t>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最终价格以</w:t>
      </w:r>
      <w:r>
        <w:rPr>
          <w:rFonts w:hint="eastAsia" w:ascii="宋体" w:hAnsi="宋体" w:eastAsia="宋体" w:cs="宋体"/>
          <w:bCs/>
          <w:color w:val="auto"/>
          <w:sz w:val="21"/>
          <w:szCs w:val="21"/>
          <w:highlight w:val="none"/>
        </w:rPr>
        <w:t>财评或委托机构审定</w:t>
      </w:r>
      <w:r>
        <w:rPr>
          <w:rFonts w:hint="eastAsia" w:ascii="宋体" w:hAnsi="宋体" w:eastAsia="宋体" w:cs="宋体"/>
          <w:bCs/>
          <w:color w:val="auto"/>
          <w:sz w:val="21"/>
          <w:szCs w:val="21"/>
          <w:highlight w:val="none"/>
          <w:lang w:val="en-US" w:eastAsia="zh-CN"/>
        </w:rPr>
        <w:t>为准。</w:t>
      </w:r>
    </w:p>
    <w:p w14:paraId="6C52D101">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（二）承包方式：</w:t>
      </w:r>
      <w:r>
        <w:rPr>
          <w:rFonts w:hint="eastAsia" w:ascii="宋体" w:hAnsi="宋体" w:eastAsia="宋体" w:cs="宋体"/>
          <w:bCs/>
          <w:color w:val="auto"/>
          <w:sz w:val="21"/>
          <w:szCs w:val="21"/>
          <w:highlight w:val="none"/>
        </w:rPr>
        <w:t>包工包料。</w:t>
      </w:r>
    </w:p>
    <w:p w14:paraId="5455F835">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三、结算方式</w:t>
      </w:r>
    </w:p>
    <w:p w14:paraId="117BDE1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color w:val="auto"/>
          <w:sz w:val="21"/>
          <w:szCs w:val="21"/>
          <w:highlight w:val="none"/>
        </w:rPr>
        <w:t>本工程采用工程量清单计价方式。</w:t>
      </w:r>
    </w:p>
    <w:p w14:paraId="10A9F531">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工程结算总价=招标清单范围内的结算金额－暂列金额－专业工程暂估价+变更签证</w:t>
      </w:r>
    </w:p>
    <w:p w14:paraId="1CA7F95B">
      <w:pPr>
        <w:keepLines w:val="0"/>
        <w:pageBreakBefore w:val="0"/>
        <w:kinsoku/>
        <w:wordWrap/>
        <w:overflowPunct/>
        <w:topLinePunct w:val="0"/>
        <w:autoSpaceDE/>
        <w:autoSpaceDN/>
        <w:bidi w:val="0"/>
        <w:spacing w:line="360" w:lineRule="auto"/>
        <w:ind w:left="0" w:leftChars="0" w:right="0" w:rightChars="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（一）招标清单范围内工程结算方法与依据</w:t>
      </w:r>
    </w:p>
    <w:p w14:paraId="62005AF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1.分部分项实际完成且予以计量的工程量（含措施项目）乘成交工程量清单综合单价的总和。 </w:t>
      </w:r>
    </w:p>
    <w:p w14:paraId="7D121BB3">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2.施工过程中若出现物价、工资、机械费涨跌等政策性调整时，按相关文件予以调整。</w:t>
      </w:r>
    </w:p>
    <w:p w14:paraId="02965DDC">
      <w:pPr>
        <w:keepLines w:val="0"/>
        <w:pageBreakBefore w:val="0"/>
        <w:kinsoku/>
        <w:wordWrap/>
        <w:overflowPunct/>
        <w:topLinePunct w:val="0"/>
        <w:autoSpaceDE/>
        <w:autoSpaceDN/>
        <w:bidi w:val="0"/>
        <w:spacing w:line="360" w:lineRule="auto"/>
        <w:ind w:left="0" w:leftChars="0" w:right="0" w:rightChars="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（二）变更签证的结算方法与依据</w:t>
      </w:r>
    </w:p>
    <w:p w14:paraId="3368821E">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1.成交工程量清单综合单价中有适用于变更签证工程的，按该综合价格变更合同价款。</w:t>
      </w:r>
    </w:p>
    <w:p w14:paraId="2A3B192E">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2.成交工程量清单综合单价中有类似变更签证工程的，可以参照类似价格变更合同价款。</w:t>
      </w:r>
    </w:p>
    <w:p w14:paraId="6451D90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3.成交工程量清单综合单价中没有适用或类似于变更签证工程的：</w:t>
      </w:r>
    </w:p>
    <w:p w14:paraId="050A6D8B">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年《湖南省建</w:t>
      </w:r>
      <w:r>
        <w:rPr>
          <w:rFonts w:hint="eastAsia" w:ascii="宋体" w:hAnsi="宋体" w:eastAsia="宋体" w:cs="宋体"/>
          <w:color w:val="auto"/>
          <w:sz w:val="21"/>
          <w:szCs w:val="21"/>
          <w:highlight w:val="none"/>
          <w:lang w:val="en-US" w:eastAsia="zh-CN"/>
        </w:rPr>
        <w:t>设</w:t>
      </w:r>
      <w:r>
        <w:rPr>
          <w:rFonts w:hint="eastAsia" w:ascii="宋体" w:hAnsi="宋体" w:eastAsia="宋体" w:cs="宋体"/>
          <w:color w:val="auto"/>
          <w:sz w:val="21"/>
          <w:szCs w:val="21"/>
          <w:highlight w:val="none"/>
        </w:rPr>
        <w:t>工程消耗量标准》(湘建科函〔2025〕151号)。</w:t>
      </w:r>
    </w:p>
    <w:p w14:paraId="5C3D0ED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（2）材料价格按《长沙建设造价》发布的同期材料价格，《长沙建设造价》预算价中未列的材料﹑设备，参照现行市场价执行并报招标人确认。</w:t>
      </w:r>
    </w:p>
    <w:p w14:paraId="1536D9C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（3）人工工资单价按中标单位响应文件中相应人工单价执行。</w:t>
      </w:r>
    </w:p>
    <w:p w14:paraId="75BE7E1B">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（4）变更签证结算的优惠率（税后优惠率=1-合同报价/招标控制价），其中合同报价为：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元，招标控制价为：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14:paraId="01CC7118">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（5）工程量按实计算。</w:t>
      </w:r>
    </w:p>
    <w:p w14:paraId="40D6984E">
      <w:pPr>
        <w:keepLines w:val="0"/>
        <w:pageBreakBefore w:val="0"/>
        <w:kinsoku/>
        <w:wordWrap/>
        <w:overflowPunct/>
        <w:topLinePunct w:val="0"/>
        <w:autoSpaceDE/>
        <w:autoSpaceDN/>
        <w:bidi w:val="0"/>
        <w:spacing w:line="360" w:lineRule="auto"/>
        <w:ind w:left="0" w:leftChars="0" w:right="0" w:rightChars="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（三）设计变更、经济签证</w:t>
      </w:r>
    </w:p>
    <w:p w14:paraId="6358106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过程中，所有的设计（含图纸会审、设计单位提出的设计变更）变更必须经甲方主管负责人签字认可后方可实施，乙方不得擅自对原工程设计进行变更，因乙方擅自变更设计发生的费用和因此导致甲方的直接损失，由乙方承担，延误的工期不予顺延。</w:t>
      </w:r>
    </w:p>
    <w:p w14:paraId="0925055C">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2.乙方擅自超出施工图纸、变更通知要求增加的工程量和因自身原因造成返工的工程量，不予计算。</w:t>
      </w:r>
    </w:p>
    <w:p w14:paraId="3732EB9B">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所有工程变更严格按照学校有关规定办理，必须填写《湖南工商大学（工程类）变更签证审批单》，附上相关资料（包括工作联系单、变更设计图纸、影像资料、工程量计算式及其他资料），办理审批手续后方可实施。特别紧急的情况乙方也必须先请示甲方同意后方可实施，乙方应在一周内补办相关手续。                                     </w:t>
      </w:r>
    </w:p>
    <w:p w14:paraId="477B84CF">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4.被变更工程价款的扣回：工程施工过程中被变更工程工程量的扣回按投标时采用的施工图纸计算，价格套用成交工程量清单综合单价执行。</w:t>
      </w:r>
    </w:p>
    <w:p w14:paraId="216E647C">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四、工期约定</w:t>
      </w:r>
    </w:p>
    <w:p w14:paraId="45A6E4DE">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本工程要求于</w:t>
      </w:r>
      <w:r>
        <w:rPr>
          <w:rFonts w:hint="eastAsia" w:ascii="宋体" w:hAnsi="宋体" w:eastAsia="宋体" w:cs="宋体"/>
          <w:color w:val="auto"/>
          <w:sz w:val="21"/>
          <w:szCs w:val="21"/>
          <w:highlight w:val="none"/>
          <w:u w:val="single"/>
          <w:lang w:val="en-US" w:eastAsia="zh-CN"/>
        </w:rPr>
        <w:t xml:space="preserve">       内</w:t>
      </w:r>
      <w:r>
        <w:rPr>
          <w:rFonts w:hint="eastAsia" w:ascii="宋体" w:hAnsi="宋体" w:eastAsia="宋体" w:cs="宋体"/>
          <w:color w:val="auto"/>
          <w:sz w:val="21"/>
          <w:szCs w:val="21"/>
          <w:highlight w:val="none"/>
        </w:rPr>
        <w:t xml:space="preserve">完成施工，该日期不受雨雪季节等外界因素的影响（不可抗力因素除外）。因乙方原因不能按时竣工，每超过一天处以2000元/天逾期费，并以超过总天数累计计算，提前竣工甲方不给乙方奖励。 </w:t>
      </w:r>
    </w:p>
    <w:p w14:paraId="14F9EAD4">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五、竣工验收</w:t>
      </w:r>
    </w:p>
    <w:p w14:paraId="74B3CC28">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（一）所有材料进场前必须通过甲方代表验收并符合要求，经其同意后方能投入使用，同时应有材料出厂质量等级证明或试验资料证明以及工程的保证资料，作为结算时的依据。</w:t>
      </w:r>
    </w:p>
    <w:p w14:paraId="4276BF1E">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（二）工程竣工后，乙方向甲方提出验收申请，由甲方组织验收，验收标准为《工程施工质量验收规范》及相应分部分项工程质量验收规范的要求达到合格标准。</w:t>
      </w:r>
    </w:p>
    <w:p w14:paraId="2E1B6485">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（三）工程质量等级：合格。</w:t>
      </w:r>
    </w:p>
    <w:p w14:paraId="5B69B6DC">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六、付款方式</w:t>
      </w:r>
    </w:p>
    <w:p w14:paraId="0A84A7A1">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本工程竣工后在甲方组织终验收达到合格后，按程序支付中标总价的</w:t>
      </w:r>
      <w:r>
        <w:rPr>
          <w:rFonts w:hint="eastAsia" w:ascii="宋体" w:hAnsi="宋体" w:eastAsia="宋体" w:cs="宋体"/>
          <w:bCs/>
          <w:color w:val="auto"/>
          <w:sz w:val="21"/>
          <w:szCs w:val="21"/>
          <w:highlight w:val="none"/>
          <w:lang w:val="en-US" w:eastAsia="zh-CN"/>
        </w:rPr>
        <w:t>80</w:t>
      </w:r>
      <w:r>
        <w:rPr>
          <w:rFonts w:hint="eastAsia" w:ascii="宋体" w:hAnsi="宋体" w:eastAsia="宋体" w:cs="宋体"/>
          <w:bCs/>
          <w:color w:val="auto"/>
          <w:sz w:val="21"/>
          <w:szCs w:val="21"/>
          <w:highlight w:val="none"/>
        </w:rPr>
        <w:t>%；结算经</w:t>
      </w:r>
      <w:r>
        <w:rPr>
          <w:rFonts w:hint="eastAsia" w:ascii="宋体" w:hAnsi="宋体" w:eastAsia="宋体" w:cs="宋体"/>
          <w:bCs/>
          <w:color w:val="auto"/>
          <w:sz w:val="21"/>
          <w:szCs w:val="21"/>
          <w:highlight w:val="none"/>
          <w:lang w:val="en-US" w:eastAsia="zh-CN"/>
        </w:rPr>
        <w:t>委托机构</w:t>
      </w:r>
      <w:r>
        <w:rPr>
          <w:rFonts w:hint="eastAsia" w:ascii="宋体" w:hAnsi="宋体" w:eastAsia="宋体" w:cs="宋体"/>
          <w:bCs/>
          <w:color w:val="auto"/>
          <w:sz w:val="21"/>
          <w:szCs w:val="21"/>
          <w:highlight w:val="none"/>
        </w:rPr>
        <w:t>审定后，支付至最终结算总价的97%；剩余的3%作为保修金，缺陷责任期（24个月）</w:t>
      </w:r>
      <w:r>
        <w:rPr>
          <w:rFonts w:hint="eastAsia" w:ascii="宋体" w:hAnsi="宋体" w:eastAsia="宋体" w:cs="宋体"/>
          <w:bCs/>
          <w:color w:val="auto"/>
          <w:sz w:val="21"/>
          <w:szCs w:val="21"/>
          <w:highlight w:val="none"/>
          <w:lang w:val="en-US" w:eastAsia="zh-CN"/>
        </w:rPr>
        <w:t>满</w:t>
      </w:r>
      <w:r>
        <w:rPr>
          <w:rFonts w:hint="eastAsia" w:ascii="宋体" w:hAnsi="宋体" w:eastAsia="宋体" w:cs="宋体"/>
          <w:bCs/>
          <w:color w:val="auto"/>
          <w:sz w:val="21"/>
          <w:szCs w:val="21"/>
          <w:highlight w:val="none"/>
        </w:rPr>
        <w:t>后余款付清（质保金不计利息）</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保修期内如发生甲方自行维修情况，相应费用在保修金中扣除</w:t>
      </w:r>
      <w:r>
        <w:rPr>
          <w:rFonts w:hint="eastAsia" w:ascii="宋体" w:hAnsi="宋体" w:eastAsia="宋体" w:cs="宋体"/>
          <w:color w:val="auto"/>
          <w:sz w:val="21"/>
          <w:szCs w:val="21"/>
          <w:highlight w:val="none"/>
        </w:rPr>
        <w:t>。</w:t>
      </w:r>
    </w:p>
    <w:p w14:paraId="5414D89A">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七、双方职责</w:t>
      </w:r>
    </w:p>
    <w:p w14:paraId="6DBDCE9C">
      <w:pPr>
        <w:keepLines w:val="0"/>
        <w:pageBreakBefore w:val="0"/>
        <w:kinsoku/>
        <w:wordWrap/>
        <w:overflowPunct/>
        <w:topLinePunct w:val="0"/>
        <w:autoSpaceDE/>
        <w:autoSpaceDN/>
        <w:bidi w:val="0"/>
        <w:spacing w:line="360" w:lineRule="auto"/>
        <w:ind w:left="0" w:leftChars="0" w:right="0" w:rightChars="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8161947">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1.施工前组织技术交底工作，施工过程中协调甲方内部各部门配合施工。</w:t>
      </w:r>
    </w:p>
    <w:p w14:paraId="25519127">
      <w:pPr>
        <w:keepLines w:val="0"/>
        <w:pageBreakBefore w:val="0"/>
        <w:tabs>
          <w:tab w:val="left" w:pos="4082"/>
        </w:tabs>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2.开工前将施工所需水源、电源接至施工现场。水电费收取标准按学校相关文件执行。</w:t>
      </w:r>
    </w:p>
    <w:p w14:paraId="7A231E7C">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3.按本合同约定的时间支付工程款。</w:t>
      </w:r>
    </w:p>
    <w:p w14:paraId="0C33D3DF">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softHyphen/>
      </w:r>
      <w:r>
        <w:rPr>
          <w:rFonts w:hint="eastAsia" w:ascii="宋体" w:hAnsi="宋体" w:eastAsia="宋体" w:cs="宋体"/>
          <w:color w:val="auto"/>
          <w:sz w:val="21"/>
          <w:szCs w:val="21"/>
          <w:highlight w:val="none"/>
        </w:rPr>
        <w:t>委派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同志为甲方现场施工代表，全面负责监督工程施工质量、工程量签证和施工材料验收把关。</w:t>
      </w:r>
    </w:p>
    <w:p w14:paraId="532FAB6D">
      <w:pPr>
        <w:keepLines w:val="0"/>
        <w:pageBreakBefore w:val="0"/>
        <w:kinsoku/>
        <w:wordWrap/>
        <w:overflowPunct/>
        <w:topLinePunct w:val="0"/>
        <w:autoSpaceDE/>
        <w:autoSpaceDN/>
        <w:bidi w:val="0"/>
        <w:spacing w:line="360" w:lineRule="auto"/>
        <w:ind w:left="0" w:leftChars="0" w:right="0" w:rightChars="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C1F47FF">
      <w:pPr>
        <w:keepLines w:val="0"/>
        <w:pageBreakBefore w:val="0"/>
        <w:tabs>
          <w:tab w:val="left" w:pos="4082"/>
        </w:tabs>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1.严格按照施工设计图纸（含经甲方批准的变更通知）和经甲方审定的施工组织设计（或施工方案）及进度计划进行施工，服从并接受甲方现场施工代表的检查、监督。</w:t>
      </w:r>
    </w:p>
    <w:p w14:paraId="24892B13">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2.严格执行国家现行的施工验收规范，保证施工质量达到合格。</w:t>
      </w:r>
    </w:p>
    <w:p w14:paraId="768E6F3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3.认真做好施工现场内部及周围各项设施、设备的安全保卫工作，如发生乙方人员盗窃、破坏甲方财产的行为，除照价赔偿外，每发现一次罚款2000元，从乙方工程款中扣除。</w:t>
      </w:r>
    </w:p>
    <w:p w14:paraId="4E7208E9">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4.施工期间不影响学校正常的工作、学习、生活秩序。</w:t>
      </w:r>
    </w:p>
    <w:p w14:paraId="400DC76E">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5.开工后一周内到甲方保卫、计生办、纪委等部门办理相关手续，如不办理，所造成的一切后果由乙方负责。</w:t>
      </w:r>
    </w:p>
    <w:p w14:paraId="69B8AC0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6.保证安全施工，若施工中发生安全事故和伤亡事件，其责任和损失均由乙方承担。</w:t>
      </w:r>
    </w:p>
    <w:p w14:paraId="5F2BFF60">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7.认真做好邻近住户及周边的协调工作，施工过程中如遇村民阻工，均由乙方处理，所发生的费用概由乙方负责。</w:t>
      </w:r>
    </w:p>
    <w:p w14:paraId="32450ED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工程保修执行国务院第279号令《建设工程质量管理条例》中的相关规定，保修期内出现施工质量问题，24小时内由乙方无条件派人维修，否则甲方可自行维修，费用由乙方负责并从乙方质保金中先行扣除，不足部分由乙方另行承担。</w:t>
      </w:r>
    </w:p>
    <w:p w14:paraId="0247E673">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9.委派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为该工程项目负责人（身份证号：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6E4F74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10.施工期间不得更换项目负责人，项目负责人不得再行委托第三人，项目负责人须实际全职在岗履责，严格实行对施工项目部关键岗位人员的指纹考勤管理,否则甲方可拒付工程款。</w:t>
      </w:r>
    </w:p>
    <w:p w14:paraId="140FDB06">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11.施工中若有疑问或需要变更应及时通知甲方，乙方不得随意自行处理。</w:t>
      </w:r>
    </w:p>
    <w:p w14:paraId="384F4C0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12.工程竣工后，应做完整资料送甲方审核签字，方能办理工程结算，否则甲方不予办理结算。</w:t>
      </w:r>
    </w:p>
    <w:p w14:paraId="07E11063">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13.隐蔽工程：隐蔽前必须通知甲方施工代表现场验收合格后方能进入下一工序施工，同时做好隐蔽工程记录，经甲方施工代表签字方能生效。</w:t>
      </w:r>
    </w:p>
    <w:p w14:paraId="7AE69714">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办理竣工结算时，保证报价全面真实。乙方竣工结算送甲方审核时，如果审减额（初审与终审审减额之和）超过送审额（总价包干工程只以变更部分为基数）的5%以上，甲方将按审减额超过送审额5%以上部分的10%计取审核费用，并从施工方的工程款中扣除。</w:t>
      </w:r>
    </w:p>
    <w:p w14:paraId="77695677">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15.</w:t>
      </w:r>
      <w:r>
        <w:rPr>
          <w:rFonts w:hint="eastAsia" w:ascii="宋体" w:hAnsi="宋体" w:eastAsia="宋体" w:cs="宋体"/>
          <w:b/>
          <w:bCs w:val="0"/>
          <w:color w:val="auto"/>
          <w:kern w:val="0"/>
          <w:sz w:val="21"/>
          <w:szCs w:val="21"/>
          <w:highlight w:val="none"/>
        </w:rPr>
        <w:t>施工进场前，负责协调街道城建部门，城管，湘江新区质安监督部门施工报备并办理相应手续</w:t>
      </w:r>
      <w:r>
        <w:rPr>
          <w:rFonts w:hint="eastAsia" w:ascii="宋体" w:hAnsi="宋体" w:eastAsia="宋体" w:cs="宋体"/>
          <w:bCs/>
          <w:color w:val="auto"/>
          <w:kern w:val="0"/>
          <w:sz w:val="21"/>
          <w:szCs w:val="21"/>
          <w:highlight w:val="none"/>
        </w:rPr>
        <w:t>(如需要)</w:t>
      </w:r>
      <w:r>
        <w:rPr>
          <w:rFonts w:hint="eastAsia" w:ascii="宋体" w:hAnsi="宋体" w:eastAsia="宋体" w:cs="宋体"/>
          <w:bCs/>
          <w:color w:val="auto"/>
          <w:kern w:val="0"/>
          <w:sz w:val="21"/>
          <w:szCs w:val="21"/>
          <w:highlight w:val="none"/>
          <w:lang w:eastAsia="zh-CN"/>
        </w:rPr>
        <w:t>。</w:t>
      </w:r>
    </w:p>
    <w:p w14:paraId="62541E4F">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16.</w:t>
      </w:r>
      <w:r>
        <w:rPr>
          <w:rFonts w:hint="eastAsia" w:ascii="宋体" w:hAnsi="宋体" w:eastAsia="宋体" w:cs="宋体"/>
          <w:b/>
          <w:bCs w:val="0"/>
          <w:color w:val="auto"/>
          <w:kern w:val="0"/>
          <w:sz w:val="21"/>
          <w:szCs w:val="21"/>
          <w:highlight w:val="none"/>
        </w:rPr>
        <w:t>周边关系:协调校内外周边居民，校外社区街道，城管，燃气公司等外围关系</w:t>
      </w:r>
      <w:r>
        <w:rPr>
          <w:rFonts w:hint="eastAsia" w:ascii="宋体" w:hAnsi="宋体" w:eastAsia="宋体" w:cs="宋体"/>
          <w:b/>
          <w:bCs w:val="0"/>
          <w:color w:val="auto"/>
          <w:kern w:val="0"/>
          <w:sz w:val="21"/>
          <w:szCs w:val="21"/>
          <w:highlight w:val="none"/>
          <w:lang w:eastAsia="zh-CN"/>
        </w:rPr>
        <w:t>。</w:t>
      </w:r>
    </w:p>
    <w:p w14:paraId="18E54C7E">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八、其它</w:t>
      </w:r>
    </w:p>
    <w:p w14:paraId="475B7CF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明确提供拟任本项目的项目负责人：1.</w:t>
      </w:r>
      <w:r>
        <w:rPr>
          <w:rFonts w:hint="eastAsia" w:ascii="宋体" w:hAnsi="宋体" w:eastAsia="宋体" w:cs="宋体"/>
          <w:color w:val="auto"/>
          <w:sz w:val="21"/>
          <w:szCs w:val="21"/>
          <w:highlight w:val="none"/>
          <w:lang w:val="en-US" w:eastAsia="zh-CN"/>
        </w:rPr>
        <w:t>签订合同时</w:t>
      </w:r>
      <w:r>
        <w:rPr>
          <w:rFonts w:hint="eastAsia" w:ascii="宋体" w:hAnsi="宋体" w:eastAsia="宋体" w:cs="宋体"/>
          <w:color w:val="auto"/>
          <w:sz w:val="21"/>
          <w:szCs w:val="21"/>
          <w:highlight w:val="none"/>
        </w:rPr>
        <w:t>提供法定代表人授权的项目负责人委托书；2.提供项目负责人身份证复印件；3.提供在投标单位缴纳的社保证明。以上均需加盖单位公章。</w:t>
      </w:r>
    </w:p>
    <w:p w14:paraId="3AF00D39">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中标后不得变更项目负责人、项目负责人不得再行委托第三人、项目负责人须实际全职在岗履责等，否则</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承担违约责任（如经济</w:t>
      </w:r>
      <w:r>
        <w:rPr>
          <w:rFonts w:hint="eastAsia" w:ascii="宋体" w:hAnsi="宋体" w:eastAsia="宋体" w:cs="宋体"/>
          <w:color w:val="auto"/>
          <w:sz w:val="21"/>
          <w:szCs w:val="21"/>
          <w:highlight w:val="none"/>
          <w:lang w:val="en-US" w:eastAsia="zh-CN"/>
        </w:rPr>
        <w:t>赔偿</w:t>
      </w:r>
      <w:r>
        <w:rPr>
          <w:rFonts w:hint="eastAsia" w:ascii="宋体" w:hAnsi="宋体" w:eastAsia="宋体" w:cs="宋体"/>
          <w:color w:val="auto"/>
          <w:sz w:val="21"/>
          <w:szCs w:val="21"/>
          <w:highlight w:val="none"/>
        </w:rPr>
        <w:t>、停工整改、终止合同履行、上报相关省级行政主管部门）等。</w:t>
      </w:r>
    </w:p>
    <w:p w14:paraId="56C6D45C">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（三）本合同未尽事宜由甲、乙双方协商解决，如不能达成一致，可通过长沙仲裁委员会仲裁解决。</w:t>
      </w:r>
    </w:p>
    <w:p w14:paraId="0AF0DBB7">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（四）本合同一式陆份，甲方执肆份，乙方执贰份，自双方签字盖章之日起生效，甲、乙双方均不得违约，违约方负责赔偿对方一切损失。</w:t>
      </w:r>
    </w:p>
    <w:p w14:paraId="63E23A9A">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4520"/>
      </w:tblGrid>
      <w:tr w14:paraId="1064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4519" w:type="dxa"/>
            <w:shd w:val="clear" w:color="auto" w:fill="C0C0C0"/>
            <w:noWrap w:val="0"/>
            <w:vAlign w:val="center"/>
          </w:tcPr>
          <w:p w14:paraId="41563EE0">
            <w:pPr>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 方</w:t>
            </w:r>
          </w:p>
        </w:tc>
        <w:tc>
          <w:tcPr>
            <w:tcW w:w="4520" w:type="dxa"/>
            <w:shd w:val="clear" w:color="auto" w:fill="C0C0C0"/>
            <w:noWrap w:val="0"/>
            <w:vAlign w:val="center"/>
          </w:tcPr>
          <w:p w14:paraId="5C12684C">
            <w:pPr>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  方</w:t>
            </w:r>
          </w:p>
        </w:tc>
      </w:tr>
      <w:tr w14:paraId="38D0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1" w:hRule="atLeast"/>
        </w:trPr>
        <w:tc>
          <w:tcPr>
            <w:tcW w:w="4519" w:type="dxa"/>
            <w:noWrap w:val="0"/>
            <w:vAlign w:val="top"/>
          </w:tcPr>
          <w:p w14:paraId="6DF8581B">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单位名称（签章）：</w:t>
            </w:r>
            <w:r>
              <w:rPr>
                <w:rFonts w:hint="eastAsia" w:ascii="宋体" w:hAnsi="宋体" w:eastAsia="宋体" w:cs="宋体"/>
                <w:color w:val="auto"/>
                <w:sz w:val="21"/>
                <w:szCs w:val="21"/>
                <w:highlight w:val="none"/>
                <w:lang w:val="en-US" w:eastAsia="zh-CN"/>
              </w:rPr>
              <w:t>湖南工商大学</w:t>
            </w:r>
          </w:p>
          <w:p w14:paraId="5AF4A42F">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1D4FBA80">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33CF859F">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法人代表或代理人：</w:t>
            </w:r>
          </w:p>
          <w:p w14:paraId="021DD800">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7253503F">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0788A09C">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75756899">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469C2FA9">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1BB582DB">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1B0824AF">
            <w:pPr>
              <w:pStyle w:val="4"/>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p>
          <w:p w14:paraId="514428DB">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06DA6553">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tc>
        <w:tc>
          <w:tcPr>
            <w:tcW w:w="4520" w:type="dxa"/>
            <w:noWrap w:val="0"/>
            <w:vAlign w:val="top"/>
          </w:tcPr>
          <w:p w14:paraId="10A2F88F">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单位名称（签章）：</w:t>
            </w:r>
          </w:p>
          <w:p w14:paraId="6B560C72">
            <w:pPr>
              <w:pStyle w:val="4"/>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2811E9AA">
            <w:pPr>
              <w:pStyle w:val="4"/>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7EFC321E">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法定代表人： </w:t>
            </w:r>
          </w:p>
          <w:p w14:paraId="25965FD2">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21822FB9">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3D296FE0">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p>
          <w:p w14:paraId="66F70677">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17FABFF7">
            <w:pPr>
              <w:pStyle w:val="75"/>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开户银行：</w:t>
            </w:r>
          </w:p>
          <w:p w14:paraId="5E6E4387">
            <w:pPr>
              <w:pStyle w:val="75"/>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SA"/>
              </w:rPr>
              <w:t xml:space="preserve">  </w:t>
            </w:r>
          </w:p>
          <w:p w14:paraId="57B75A63">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帐    号：</w:t>
            </w:r>
            <w:r>
              <w:rPr>
                <w:rFonts w:hint="eastAsia" w:ascii="宋体" w:hAnsi="宋体" w:eastAsia="宋体" w:cs="宋体"/>
                <w:color w:val="auto"/>
                <w:sz w:val="21"/>
                <w:szCs w:val="21"/>
                <w:highlight w:val="none"/>
                <w:lang w:val="en-US" w:eastAsia="zh-CN"/>
              </w:rPr>
              <w:t xml:space="preserve"> </w:t>
            </w:r>
          </w:p>
          <w:p w14:paraId="5A1EAF7B">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7E603277">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tc>
      </w:tr>
    </w:tbl>
    <w:p w14:paraId="5CA27E16">
      <w:pPr>
        <w:pStyle w:val="76"/>
        <w:ind w:firstLine="420"/>
        <w:rPr>
          <w:rFonts w:hint="eastAsia" w:ascii="宋体" w:hAnsi="宋体" w:eastAsia="宋体" w:cs="宋体"/>
          <w:color w:val="auto"/>
          <w:highlight w:val="none"/>
          <w:lang w:val="en-US"/>
        </w:rPr>
      </w:pPr>
    </w:p>
    <w:p w14:paraId="696C1508">
      <w:pPr>
        <w:pStyle w:val="21"/>
        <w:snapToGrid w:val="0"/>
        <w:ind w:left="105" w:leftChars="50"/>
        <w:rPr>
          <w:rFonts w:ascii="宋体" w:hAnsi="宋体"/>
          <w:bCs/>
          <w:color w:val="auto"/>
          <w:szCs w:val="21"/>
          <w:highlight w:val="none"/>
        </w:rPr>
      </w:pPr>
    </w:p>
    <w:p w14:paraId="5DE3FC81">
      <w:pPr>
        <w:pStyle w:val="21"/>
        <w:snapToGrid w:val="0"/>
        <w:ind w:left="105" w:leftChars="50"/>
        <w:rPr>
          <w:rFonts w:ascii="宋体" w:hAnsi="宋体"/>
          <w:bCs/>
          <w:color w:val="auto"/>
          <w:szCs w:val="21"/>
          <w:highlight w:val="none"/>
        </w:rPr>
      </w:pPr>
    </w:p>
    <w:p w14:paraId="38E73557">
      <w:pPr>
        <w:pStyle w:val="21"/>
        <w:snapToGrid w:val="0"/>
        <w:ind w:left="105" w:leftChars="50"/>
        <w:rPr>
          <w:rFonts w:ascii="宋体" w:hAnsi="宋体"/>
          <w:bCs/>
          <w:color w:val="auto"/>
          <w:szCs w:val="21"/>
          <w:highlight w:val="none"/>
        </w:rPr>
      </w:pPr>
    </w:p>
    <w:p w14:paraId="71D21ECD">
      <w:pPr>
        <w:pStyle w:val="21"/>
        <w:snapToGrid w:val="0"/>
        <w:ind w:left="105" w:leftChars="50"/>
        <w:rPr>
          <w:rFonts w:ascii="宋体" w:hAnsi="宋体"/>
          <w:bCs/>
          <w:color w:val="auto"/>
          <w:szCs w:val="21"/>
          <w:highlight w:val="none"/>
        </w:rPr>
      </w:pPr>
    </w:p>
    <w:p w14:paraId="5F639EC8">
      <w:pPr>
        <w:pStyle w:val="21"/>
        <w:snapToGrid w:val="0"/>
        <w:ind w:left="105" w:leftChars="50"/>
        <w:rPr>
          <w:rFonts w:ascii="宋体" w:hAnsi="宋体"/>
          <w:bCs/>
          <w:color w:val="auto"/>
          <w:szCs w:val="21"/>
          <w:highlight w:val="none"/>
        </w:rPr>
      </w:pPr>
    </w:p>
    <w:p w14:paraId="5C780299">
      <w:pPr>
        <w:snapToGrid w:val="0"/>
        <w:rPr>
          <w:rFonts w:ascii="宋体" w:hAnsi="宋体"/>
          <w:bCs/>
          <w:color w:val="auto"/>
          <w:szCs w:val="21"/>
          <w:highlight w:val="none"/>
        </w:rPr>
      </w:pPr>
    </w:p>
    <w:p w14:paraId="1C7A5DD6">
      <w:pPr>
        <w:spacing w:line="360" w:lineRule="exact"/>
        <w:jc w:val="center"/>
        <w:rPr>
          <w:rFonts w:ascii="宋体" w:hAnsi="宋体" w:cs="宋体"/>
          <w:b/>
          <w:color w:val="auto"/>
          <w:sz w:val="32"/>
          <w:szCs w:val="32"/>
          <w:highlight w:val="none"/>
        </w:rPr>
      </w:pPr>
      <w:r>
        <w:rPr>
          <w:rFonts w:hint="eastAsia" w:ascii="宋体" w:hAnsi="宋体"/>
          <w:color w:val="auto"/>
          <w:sz w:val="32"/>
          <w:szCs w:val="32"/>
          <w:highlight w:val="none"/>
        </w:rPr>
        <w:br w:type="page"/>
      </w:r>
      <w:r>
        <w:rPr>
          <w:rFonts w:hint="eastAsia" w:ascii="宋体" w:hAnsi="宋体" w:cs="宋体"/>
          <w:b/>
          <w:bCs/>
          <w:color w:val="auto"/>
          <w:sz w:val="32"/>
          <w:szCs w:val="32"/>
          <w:highlight w:val="none"/>
        </w:rPr>
        <w:t xml:space="preserve">第四章 </w:t>
      </w:r>
      <w:r>
        <w:rPr>
          <w:rFonts w:hint="eastAsia" w:ascii="宋体" w:hAnsi="宋体" w:cs="宋体"/>
          <w:b/>
          <w:color w:val="auto"/>
          <w:sz w:val="32"/>
          <w:szCs w:val="32"/>
          <w:highlight w:val="none"/>
        </w:rPr>
        <w:t>采购需求</w:t>
      </w:r>
    </w:p>
    <w:p w14:paraId="6CA34773">
      <w:pPr>
        <w:keepNext w:val="0"/>
        <w:keepLines w:val="0"/>
        <w:pageBreakBefore w:val="0"/>
        <w:kinsoku/>
        <w:wordWrap/>
        <w:overflowPunct/>
        <w:topLinePunct w:val="0"/>
        <w:autoSpaceDE/>
        <w:autoSpaceDN/>
        <w:bidi w:val="0"/>
        <w:adjustRightInd w:val="0"/>
        <w:snapToGrid w:val="0"/>
        <w:spacing w:line="360" w:lineRule="auto"/>
        <w:ind w:right="23" w:rightChars="11" w:firstLine="422" w:firstLineChars="200"/>
        <w:textAlignment w:val="auto"/>
        <w:rPr>
          <w:rFonts w:hint="eastAsia" w:ascii="宋体" w:hAnsi="宋体" w:eastAsia="宋体"/>
          <w:b w:val="0"/>
          <w:bCs/>
          <w:color w:val="auto"/>
          <w:szCs w:val="21"/>
          <w:highlight w:val="none"/>
          <w:lang w:eastAsia="zh-CN"/>
        </w:rPr>
      </w:pPr>
      <w:bookmarkStart w:id="7" w:name="_Toc300678508"/>
      <w:r>
        <w:rPr>
          <w:rFonts w:hint="eastAsia" w:ascii="宋体" w:hAnsi="宋体"/>
          <w:b/>
          <w:color w:val="auto"/>
          <w:szCs w:val="21"/>
          <w:highlight w:val="none"/>
        </w:rPr>
        <w:t xml:space="preserve">一、采购项目名称 </w:t>
      </w:r>
      <w:r>
        <w:rPr>
          <w:rFonts w:hint="eastAsia" w:ascii="宋体" w:hAnsi="宋体"/>
          <w:b w:val="0"/>
          <w:bCs/>
          <w:color w:val="auto"/>
          <w:szCs w:val="21"/>
          <w:highlight w:val="none"/>
        </w:rPr>
        <w:t>:</w:t>
      </w:r>
      <w:r>
        <w:rPr>
          <w:rFonts w:hint="eastAsia" w:ascii="宋体" w:hAnsi="宋体"/>
          <w:b w:val="0"/>
          <w:bCs/>
          <w:color w:val="auto"/>
          <w:szCs w:val="21"/>
          <w:highlight w:val="none"/>
          <w:lang w:eastAsia="zh-CN"/>
        </w:rPr>
        <w:t>岭南连接通道拓宽及护坡加固项目</w:t>
      </w:r>
    </w:p>
    <w:bookmarkEnd w:id="7"/>
    <w:p w14:paraId="0901C4DB">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b/>
          <w:color w:val="auto"/>
          <w:szCs w:val="21"/>
          <w:highlight w:val="none"/>
        </w:rPr>
      </w:pPr>
      <w:bookmarkStart w:id="8" w:name="_Toc225336549"/>
      <w:r>
        <w:rPr>
          <w:rFonts w:hint="eastAsia" w:ascii="宋体" w:hAnsi="宋体"/>
          <w:b/>
          <w:color w:val="auto"/>
          <w:szCs w:val="21"/>
          <w:highlight w:val="none"/>
          <w:lang w:val="en-US" w:eastAsia="zh-CN"/>
        </w:rPr>
        <w:t>二</w:t>
      </w:r>
      <w:r>
        <w:rPr>
          <w:rFonts w:hint="eastAsia" w:ascii="宋体" w:hAnsi="宋体"/>
          <w:b/>
          <w:color w:val="auto"/>
          <w:szCs w:val="21"/>
          <w:highlight w:val="none"/>
        </w:rPr>
        <w:t>、工程概况：</w:t>
      </w:r>
    </w:p>
    <w:bookmarkEnd w:id="8"/>
    <w:p w14:paraId="0F176312">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olor w:val="auto"/>
          <w:kern w:val="0"/>
          <w:szCs w:val="21"/>
          <w:highlight w:val="none"/>
          <w:lang w:eastAsia="zh-CN"/>
        </w:rPr>
      </w:pPr>
      <w:bookmarkStart w:id="9" w:name="_Toc225336550"/>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工程概况：项目位于长沙市湘江新区湖南工商大学校区内，主要是净园小区18#栋北侧边坡支护、工会西侧及北侧边坡支护、道路拓宽改造。18#栋北侧边坡支护高度为12.8~14.3m，安全等级为一级，支护形式为上部锚索（杆）框架梁+下部锚索抗滑桩+挡土板，工作年限为50年。工会西侧及北侧边坡支护高度为4.62~1.05m，安全等级为二、三级，支护形式为壁板式锚杆挡土墙（外壁板+内锚杆），工作年限为50年。岭南连接通道拓宽为校园道路，北起工会楼北侧现状道路，南至净园小区18栋北侧现状道路，全长265m。</w:t>
      </w:r>
    </w:p>
    <w:p w14:paraId="32F986ED">
      <w:pPr>
        <w:keepNext w:val="0"/>
        <w:keepLines w:val="0"/>
        <w:pageBreakBefore w:val="0"/>
        <w:kinsoku/>
        <w:wordWrap/>
        <w:overflowPunct/>
        <w:topLinePunct w:val="0"/>
        <w:autoSpaceDE/>
        <w:autoSpaceDN/>
        <w:bidi w:val="0"/>
        <w:spacing w:line="360" w:lineRule="auto"/>
        <w:ind w:firstLine="411" w:firstLineChars="196"/>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w:t>
      </w:r>
      <w:r>
        <w:rPr>
          <w:rFonts w:ascii="宋体" w:hAnsi="宋体"/>
          <w:bCs/>
          <w:color w:val="auto"/>
          <w:szCs w:val="21"/>
          <w:highlight w:val="none"/>
        </w:rPr>
        <w:t>工程承包范围：</w:t>
      </w:r>
      <w:r>
        <w:rPr>
          <w:rFonts w:hint="eastAsia" w:ascii="宋体" w:hAnsi="宋体"/>
          <w:bCs/>
          <w:color w:val="auto"/>
          <w:szCs w:val="21"/>
          <w:highlight w:val="none"/>
          <w:lang w:val="en-US" w:eastAsia="zh-CN"/>
        </w:rPr>
        <w:t xml:space="preserve">边坡支护、截排水设施、道路改造及其他附属工程，具体内容以本项目的工程量清单及设计施工图纸为准,发包人有权对承发包范围进行调整，承包人应无条件接受。 </w:t>
      </w:r>
      <w:r>
        <w:rPr>
          <w:rFonts w:hint="eastAsia" w:ascii="宋体" w:hAnsi="宋体"/>
          <w:color w:val="auto"/>
          <w:kern w:val="0"/>
          <w:szCs w:val="21"/>
          <w:highlight w:val="none"/>
        </w:rPr>
        <w:t xml:space="preserve">                                </w:t>
      </w:r>
    </w:p>
    <w:p w14:paraId="70B34A56">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、质量标准：符合现行国家有关工程施工规范、验收标准要求，并达到合格工程标准。</w:t>
      </w:r>
    </w:p>
    <w:p w14:paraId="0AA4EAA2">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color w:val="auto"/>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、保修承诺：按</w:t>
      </w:r>
      <w:r>
        <w:rPr>
          <w:rFonts w:hint="eastAsia" w:ascii="宋体"/>
          <w:bCs/>
          <w:color w:val="auto"/>
          <w:kern w:val="32"/>
          <w:szCs w:val="21"/>
          <w:highlight w:val="none"/>
        </w:rPr>
        <w:t>国务院2000年279号令相关规定保修</w:t>
      </w:r>
      <w:r>
        <w:rPr>
          <w:rFonts w:hint="eastAsia" w:ascii="宋体" w:hAnsi="宋体"/>
          <w:color w:val="auto"/>
          <w:kern w:val="0"/>
          <w:szCs w:val="21"/>
          <w:highlight w:val="none"/>
        </w:rPr>
        <w:t>。</w:t>
      </w:r>
    </w:p>
    <w:p w14:paraId="0FDF72C7">
      <w:pPr>
        <w:keepNext w:val="0"/>
        <w:keepLines w:val="0"/>
        <w:pageBreakBefore w:val="0"/>
        <w:widowControl w:val="0"/>
        <w:kinsoku/>
        <w:wordWrap/>
        <w:overflowPunct/>
        <w:topLinePunct w:val="0"/>
        <w:autoSpaceDE/>
        <w:autoSpaceDN/>
        <w:bidi w:val="0"/>
        <w:spacing w:line="360" w:lineRule="auto"/>
        <w:ind w:left="0" w:leftChars="0" w:right="0" w:rightChars="0" w:firstLine="422" w:firstLineChars="200"/>
        <w:jc w:val="left"/>
        <w:textAlignment w:val="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三、项目清单及说明：</w:t>
      </w:r>
    </w:p>
    <w:p w14:paraId="671A0C1E">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以提供的电子版工程量清单为准，请各投标人根据采购人发布的工程量清单进行投标报价，并单独根据采购人发布的工程量清单编制投标报价书，编制投标报价书时不得缺项漏项并完整响应发布的工程量清单内容。电子图纸领取磋商文件时提供。</w:t>
      </w:r>
    </w:p>
    <w:bookmarkEnd w:id="9"/>
    <w:p w14:paraId="2F6F13D3">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四、清单编制及合同主要条款约定：</w:t>
      </w:r>
    </w:p>
    <w:p w14:paraId="678E1EDC">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color w:val="auto"/>
          <w:sz w:val="21"/>
          <w:szCs w:val="21"/>
          <w:highlight w:val="none"/>
        </w:rPr>
      </w:pPr>
      <w:r>
        <w:rPr>
          <w:rFonts w:hint="eastAsia" w:ascii="宋体"/>
          <w:color w:val="auto"/>
          <w:sz w:val="21"/>
          <w:szCs w:val="21"/>
          <w:highlight w:val="none"/>
        </w:rPr>
        <w:t>本工程采用工程量清单计价方式，具体详见《建设工程工程量清单计价</w:t>
      </w:r>
      <w:r>
        <w:rPr>
          <w:rFonts w:hint="eastAsia" w:ascii="宋体"/>
          <w:color w:val="auto"/>
          <w:sz w:val="21"/>
          <w:szCs w:val="21"/>
          <w:highlight w:val="none"/>
          <w:lang w:val="en-US" w:eastAsia="zh-CN"/>
        </w:rPr>
        <w:t>标准</w:t>
      </w:r>
      <w:r>
        <w:rPr>
          <w:rFonts w:hint="eastAsia" w:ascii="宋体"/>
          <w:color w:val="auto"/>
          <w:sz w:val="21"/>
          <w:szCs w:val="21"/>
          <w:highlight w:val="none"/>
        </w:rPr>
        <w:t>》（GB</w:t>
      </w:r>
      <w:r>
        <w:rPr>
          <w:rFonts w:hint="eastAsia" w:ascii="宋体"/>
          <w:color w:val="auto"/>
          <w:sz w:val="21"/>
          <w:szCs w:val="21"/>
          <w:highlight w:val="none"/>
          <w:lang w:val="en-US" w:eastAsia="zh-CN"/>
        </w:rPr>
        <w:t>/T</w:t>
      </w:r>
      <w:r>
        <w:rPr>
          <w:rFonts w:hint="eastAsia" w:ascii="宋体"/>
          <w:color w:val="auto"/>
          <w:sz w:val="21"/>
          <w:szCs w:val="21"/>
          <w:highlight w:val="none"/>
        </w:rPr>
        <w:t xml:space="preserve"> 50500-20</w:t>
      </w:r>
      <w:r>
        <w:rPr>
          <w:rFonts w:hint="eastAsia" w:ascii="宋体"/>
          <w:color w:val="auto"/>
          <w:sz w:val="21"/>
          <w:szCs w:val="21"/>
          <w:highlight w:val="none"/>
          <w:lang w:val="en-US" w:eastAsia="zh-CN"/>
        </w:rPr>
        <w:t>24</w:t>
      </w:r>
      <w:r>
        <w:rPr>
          <w:rFonts w:hint="eastAsia" w:ascii="宋体"/>
          <w:color w:val="auto"/>
          <w:sz w:val="21"/>
          <w:szCs w:val="21"/>
          <w:highlight w:val="none"/>
        </w:rPr>
        <w:t>）、</w:t>
      </w:r>
      <w:r>
        <w:rPr>
          <w:rFonts w:hint="eastAsia"/>
          <w:color w:val="auto"/>
          <w:highlight w:val="none"/>
        </w:rPr>
        <w:t>《房屋建筑与装饰工程工程量清单计算标准》(GB/T50854-2024)</w:t>
      </w:r>
      <w:r>
        <w:rPr>
          <w:rFonts w:hint="eastAsia"/>
          <w:color w:val="auto"/>
          <w:highlight w:val="none"/>
          <w:lang w:eastAsia="zh-CN"/>
        </w:rPr>
        <w:t>、2025《湖南省房屋建筑与装饰工程消耗量标准》、《湖南省安装工程消耗量标准》、《湖南省市政工程消耗量标准》、《湖南省园林绿化工程消耗量标准》、《湖南省市政排水设施维护工程消耗量标准》、湖南省建设工程造价管理总站关于发布2026年湖南省建设工程人工费指数的通知(湘建价建(2026)20号)、《关于调整建设工程销项税额税率和材料</w:t>
      </w:r>
      <w:r>
        <w:rPr>
          <w:rFonts w:hint="eastAsia"/>
          <w:color w:val="auto"/>
          <w:highlight w:val="none"/>
          <w:lang w:val="en-US" w:eastAsia="zh-CN"/>
        </w:rPr>
        <w:t>综合税率计费标准的通知》(</w:t>
      </w:r>
      <w:r>
        <w:rPr>
          <w:rFonts w:hint="eastAsia"/>
          <w:color w:val="auto"/>
          <w:highlight w:val="none"/>
          <w:lang w:eastAsia="zh-CN"/>
        </w:rPr>
        <w:t>湘建价(2019)47号</w:t>
      </w:r>
      <w:r>
        <w:rPr>
          <w:rFonts w:hint="eastAsia"/>
          <w:color w:val="auto"/>
          <w:highlight w:val="none"/>
          <w:lang w:val="en-US" w:eastAsia="zh-CN"/>
        </w:rPr>
        <w:t>)、</w:t>
      </w:r>
      <w:r>
        <w:rPr>
          <w:rFonts w:hint="eastAsia"/>
          <w:color w:val="auto"/>
          <w:highlight w:val="none"/>
          <w:lang w:eastAsia="zh-CN"/>
        </w:rPr>
        <w:t>《关于调整新型智能环保渣土车运输和建设工程扬尘防治计价规定的通知》</w:t>
      </w:r>
      <w:r>
        <w:rPr>
          <w:rFonts w:hint="eastAsia"/>
          <w:color w:val="auto"/>
          <w:highlight w:val="none"/>
          <w:lang w:val="en-US" w:eastAsia="zh-CN"/>
        </w:rPr>
        <w:t>(</w:t>
      </w:r>
      <w:r>
        <w:rPr>
          <w:rFonts w:hint="eastAsia"/>
          <w:color w:val="auto"/>
          <w:highlight w:val="none"/>
          <w:lang w:eastAsia="zh-CN"/>
        </w:rPr>
        <w:t>长住建发(2020)103号</w:t>
      </w:r>
      <w:r>
        <w:rPr>
          <w:rFonts w:hint="eastAsia"/>
          <w:color w:val="auto"/>
          <w:highlight w:val="none"/>
          <w:lang w:val="en-US" w:eastAsia="zh-CN"/>
        </w:rPr>
        <w:t>)、</w:t>
      </w:r>
      <w:r>
        <w:rPr>
          <w:rFonts w:hint="eastAsia"/>
          <w:color w:val="auto"/>
          <w:highlight w:val="none"/>
          <w:lang w:eastAsia="zh-CN"/>
        </w:rPr>
        <w:t>《长沙建设造价》2026年第4期、长沙市2025年财评价格及部分材料设备市场询价、现行国家、地方及行业规范、规定及标准图集</w:t>
      </w:r>
      <w:r>
        <w:rPr>
          <w:rFonts w:hint="eastAsia"/>
          <w:color w:val="auto"/>
          <w:highlight w:val="none"/>
          <w:lang w:val="en-US" w:eastAsia="zh-CN"/>
        </w:rPr>
        <w:t>等</w:t>
      </w:r>
      <w:r>
        <w:rPr>
          <w:rFonts w:hint="eastAsia"/>
          <w:color w:val="auto"/>
          <w:highlight w:val="none"/>
          <w:lang w:eastAsia="zh-CN"/>
        </w:rPr>
        <w:t>。</w:t>
      </w:r>
    </w:p>
    <w:p w14:paraId="7EED3D9F">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 工程结算总价=招标清单范围内的结算金额—暂列金额-专业工程暂估价+变更签证</w:t>
      </w:r>
    </w:p>
    <w:p w14:paraId="5D88692B">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1、招标清单范围内工程结算方法与依据：</w:t>
      </w:r>
    </w:p>
    <w:p w14:paraId="789E6FC7">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1.1分部分项实际完成且予以计量的工程量（含措施项目）乘以成交工程量清单综合单价（指按最后报价，以下同）的总和；</w:t>
      </w:r>
    </w:p>
    <w:p w14:paraId="1015F261">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1.2施工过程中若出现物价、工资、机械费涨跌等政策性调整时，按相关文件予以调整。</w:t>
      </w:r>
    </w:p>
    <w:p w14:paraId="5DA23D94">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2、变更签证的结算方法与依据：</w:t>
      </w:r>
    </w:p>
    <w:p w14:paraId="2697C3E2">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2.1成交工程量清单综合单价中有适用于变更签证工程的，按该综合价格变更合同价款；</w:t>
      </w:r>
    </w:p>
    <w:p w14:paraId="2D9DBED4">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2.2成交工程量清单综合单价中只有类似于变更签证工程的，可以参照类似价格变更合同价款；</w:t>
      </w:r>
    </w:p>
    <w:p w14:paraId="3AE04B49">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2.3成交工程量清单综合单价中没有适用或类似于变更签证工程的：</w:t>
      </w:r>
    </w:p>
    <w:p w14:paraId="1D4F98EE">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color w:val="auto"/>
          <w:highlight w:val="none"/>
          <w:lang w:eastAsia="zh-CN"/>
        </w:rPr>
        <w:t>2025《湖南省房屋建筑与装饰工程消耗量标准》、《湖南省安装工程消耗量标准》、《湖南省市政工程消耗量标准》、《湖南省园林绿化工程消耗量标准》、《湖南省市政排水设施维护工程消耗量标准》</w:t>
      </w:r>
      <w:r>
        <w:rPr>
          <w:rFonts w:hint="eastAsia" w:ascii="宋体" w:hAnsi="宋体" w:eastAsia="宋体" w:cs="宋体"/>
          <w:bCs/>
          <w:color w:val="auto"/>
          <w:kern w:val="0"/>
          <w:sz w:val="21"/>
          <w:szCs w:val="21"/>
          <w:highlight w:val="none"/>
        </w:rPr>
        <w:t>等各专业消耗量标准及相关补充文件，其中取费费率按成交供应商投标报价书中相应费率执行；</w:t>
      </w:r>
    </w:p>
    <w:p w14:paraId="6B76F074">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2）材料价格按《长沙建设造价》发布的同期材料价格，《长沙建设造价》预算价中未列的材料﹑设备，参照现行市场价执行报招标人确认；</w:t>
      </w:r>
    </w:p>
    <w:p w14:paraId="1CD1D90A">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3）人工费按最新文件中相应人工费标准执行；</w:t>
      </w:r>
    </w:p>
    <w:p w14:paraId="38690434">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4）变更签证结算的优惠率（税后优惠率=1—最后报价/本项目最高限价）；</w:t>
      </w:r>
    </w:p>
    <w:p w14:paraId="74F4FE80">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5）工程量按实计算。</w:t>
      </w:r>
    </w:p>
    <w:p w14:paraId="0CF2285E">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3、设计变更、经济签证：</w:t>
      </w:r>
    </w:p>
    <w:p w14:paraId="1DCB0CC0">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在工程施工过程中，所有的设计（含图纸会审、设计单位提出的设计变更）变更必须经发包人主管负责人签字并加盖发包人印章认可后方可实施，承包人不得对原工程设计进行变更，因承包人擅自变更设计发生的费用和由此导致发包人的直接损失，由承包人承担，延误的工期不予顺延。</w:t>
      </w:r>
    </w:p>
    <w:p w14:paraId="74BB4858">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3.2中标人擅自超出施工图纸、变更通知要求增加的工程量和因自身原因造成返工的工程量，不予计算。</w:t>
      </w:r>
    </w:p>
    <w:p w14:paraId="3646443A">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3.3所有工程变更严格按照《湖南工商大学基建与维修改造项目管理规定》的通知办理，必须填写《湖南工商大学基建与维修工程变更签证审批》，附上相关资料（包括变更设计图纸、工程量计算式及其它资料等），办理审批手续后方可实施。特别紧急的情况承包方也必须先请示发包方同意后方可实施，承包方应在一周内补办相关手续。</w:t>
      </w:r>
    </w:p>
    <w:p w14:paraId="6ADA3624">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3.4被变更工程价款的扣回：工程施工过程中被变更工程的工程量扣回按投标时采用的施工图纸计算，价格套用成交工程量清单综合单价执行。</w:t>
      </w:r>
    </w:p>
    <w:p w14:paraId="299482D4">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4、付款人及支付方式：</w:t>
      </w:r>
    </w:p>
    <w:p w14:paraId="327BB9A2">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4.1付款人：湖南工商大学；</w:t>
      </w:r>
    </w:p>
    <w:p w14:paraId="4E3D178A">
      <w:pPr>
        <w:adjustRightInd w:val="0"/>
        <w:snapToGrid w:val="0"/>
        <w:spacing w:line="440" w:lineRule="exact"/>
        <w:ind w:right="21" w:rightChars="10" w:firstLine="420" w:firstLineChars="200"/>
        <w:jc w:val="left"/>
        <w:rPr>
          <w:rFonts w:ascii="宋体" w:hAnsi="Times New Roman" w:eastAsia="宋体" w:cs="Times New Roman"/>
          <w:color w:val="auto"/>
          <w:highlight w:val="none"/>
        </w:rPr>
      </w:pPr>
      <w:r>
        <w:rPr>
          <w:rFonts w:hint="eastAsia" w:ascii="宋体" w:hAnsi="宋体" w:eastAsia="宋体" w:cs="宋体"/>
          <w:bCs/>
          <w:color w:val="auto"/>
          <w:kern w:val="0"/>
          <w:sz w:val="21"/>
          <w:szCs w:val="21"/>
          <w:highlight w:val="none"/>
        </w:rPr>
        <w:t>4.2支付方式：</w:t>
      </w:r>
      <w:r>
        <w:rPr>
          <w:rFonts w:hint="eastAsia" w:ascii="宋体" w:hAnsi="宋体" w:eastAsia="宋体" w:cs="宋体"/>
          <w:b/>
          <w:bCs/>
          <w:color w:val="auto"/>
          <w:kern w:val="0"/>
          <w:sz w:val="21"/>
          <w:szCs w:val="21"/>
          <w:highlight w:val="none"/>
        </w:rPr>
        <w:t>本工程竣工后在采购人组织验收达到合格后，七日内支付中标总价的</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0%；结算经委托机构审定后，支付至总价的97%；剩余的3%作为保修金，缺陷责任期（24个月）满后如无质量问题，付清余款（质保金不计利息），保修期内如发生采购人自行维修情况，相应费用在保修金中扣除。</w:t>
      </w:r>
    </w:p>
    <w:p w14:paraId="77FD1EB6">
      <w:pPr>
        <w:adjustRightInd w:val="0"/>
        <w:snapToGrid w:val="0"/>
        <w:spacing w:line="440" w:lineRule="exact"/>
        <w:ind w:right="21" w:rightChars="10" w:firstLine="420" w:firstLineChars="200"/>
        <w:rPr>
          <w:rFonts w:hint="eastAsia" w:ascii="宋体" w:hAnsi="宋体" w:eastAsia="宋体" w:cs="宋体"/>
          <w:b/>
          <w:bCs/>
          <w:color w:val="auto"/>
          <w:kern w:val="0"/>
          <w:sz w:val="21"/>
          <w:szCs w:val="21"/>
          <w:highlight w:val="none"/>
        </w:rPr>
      </w:pPr>
      <w:r>
        <w:rPr>
          <w:rFonts w:hint="eastAsia" w:ascii="宋体" w:hAnsi="宋体" w:eastAsia="宋体" w:cs="宋体"/>
          <w:color w:val="auto"/>
          <w:highlight w:val="none"/>
          <w:lang w:val="en-US" w:eastAsia="zh-CN"/>
        </w:rPr>
        <w:t>4</w:t>
      </w:r>
      <w:r>
        <w:rPr>
          <w:rFonts w:ascii="宋体" w:hAnsi="宋体" w:eastAsia="宋体" w:cs="宋体"/>
          <w:color w:val="auto"/>
          <w:highlight w:val="none"/>
        </w:rPr>
        <w:t xml:space="preserve">.3 </w:t>
      </w:r>
      <w:r>
        <w:rPr>
          <w:rFonts w:hint="eastAsia" w:ascii="宋体" w:hAnsi="宋体" w:eastAsia="宋体" w:cs="宋体"/>
          <w:color w:val="auto"/>
          <w:highlight w:val="none"/>
        </w:rPr>
        <w:t>本项目中标金额不能作为总价包干依据，最终结算价以</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rPr>
        <w:t>规定的程序进行审计的审计结论为准。供应商应根据项目要求和现场情况，详细列明项目所需的设备、材料以及所有人工、管理、财务等所有费用，如供应商遗漏谈判文件中所列工程量清单内容，均由供应商自负，付款人不再支付任何费用。</w:t>
      </w:r>
    </w:p>
    <w:p w14:paraId="2571668B">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5、结算审计：</w:t>
      </w:r>
    </w:p>
    <w:p w14:paraId="0FDAD5A7">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办理竣工结算时，保证报价全面真实。供应商竣工结算送采购人审核时，如果审减额（</w:t>
      </w:r>
      <w:r>
        <w:rPr>
          <w:rFonts w:hint="eastAsia" w:ascii="宋体" w:hAnsi="宋体" w:eastAsia="宋体" w:cs="宋体"/>
          <w:bCs/>
          <w:color w:val="auto"/>
          <w:kern w:val="0"/>
          <w:sz w:val="21"/>
          <w:szCs w:val="21"/>
          <w:highlight w:val="none"/>
          <w:lang w:val="en-US" w:eastAsia="zh-CN"/>
        </w:rPr>
        <w:t>送</w:t>
      </w:r>
      <w:r>
        <w:rPr>
          <w:rFonts w:hint="eastAsia" w:ascii="宋体" w:hAnsi="宋体" w:eastAsia="宋体" w:cs="宋体"/>
          <w:bCs/>
          <w:color w:val="auto"/>
          <w:kern w:val="0"/>
          <w:sz w:val="21"/>
          <w:szCs w:val="21"/>
          <w:highlight w:val="none"/>
        </w:rPr>
        <w:t>审与终审审减额之和）超过送审额（总价包干工程只以变更部分为基数）的5%以上，采购人将按审减额超过送审额5%以上部分的10%计取审核费用，并从中标方的工程款中扣除。</w:t>
      </w:r>
    </w:p>
    <w:p w14:paraId="42938064">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五、工期、质量标准：</w:t>
      </w:r>
    </w:p>
    <w:p w14:paraId="12510833">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1、工期：</w:t>
      </w:r>
      <w:r>
        <w:rPr>
          <w:rFonts w:hint="eastAsia" w:ascii="宋体" w:hAnsi="宋体" w:eastAsia="宋体" w:cs="宋体"/>
          <w:bCs/>
          <w:color w:val="auto"/>
          <w:kern w:val="0"/>
          <w:sz w:val="21"/>
          <w:szCs w:val="21"/>
          <w:highlight w:val="none"/>
        </w:rPr>
        <w:t>本工程要求于签订合同后</w:t>
      </w:r>
      <w:r>
        <w:rPr>
          <w:rFonts w:hint="eastAsia" w:ascii="宋体" w:hAnsi="宋体" w:eastAsia="宋体" w:cs="宋体"/>
          <w:bCs/>
          <w:color w:val="auto"/>
          <w:kern w:val="0"/>
          <w:sz w:val="21"/>
          <w:szCs w:val="21"/>
          <w:highlight w:val="none"/>
          <w:lang w:val="en-US" w:eastAsia="zh-CN"/>
        </w:rPr>
        <w:t>120天</w:t>
      </w:r>
      <w:r>
        <w:rPr>
          <w:rFonts w:hint="eastAsia" w:ascii="宋体" w:hAnsi="宋体" w:eastAsia="宋体" w:cs="宋体"/>
          <w:bCs/>
          <w:color w:val="auto"/>
          <w:kern w:val="0"/>
          <w:sz w:val="21"/>
          <w:szCs w:val="21"/>
          <w:highlight w:val="none"/>
        </w:rPr>
        <w:t>以内完成施工，该日期不受雨雪季节等外界因素的影响（不可抗力因素除外）。因乙方原因不能按时竣工，每超过一天处以2000元/天逾期费，并以超过总天数累计计算，提前竣工甲方不给乙方奖励。</w:t>
      </w:r>
      <w:r>
        <w:rPr>
          <w:rFonts w:hint="eastAsia" w:ascii="宋体" w:hAnsi="宋体" w:eastAsia="宋体" w:cs="宋体"/>
          <w:b/>
          <w:color w:val="auto"/>
          <w:kern w:val="0"/>
          <w:sz w:val="21"/>
          <w:szCs w:val="21"/>
          <w:highlight w:val="none"/>
        </w:rPr>
        <w:t xml:space="preserve"> </w:t>
      </w:r>
    </w:p>
    <w:p w14:paraId="6693E67D">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2、质量标准</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Cs/>
          <w:color w:val="auto"/>
          <w:kern w:val="0"/>
          <w:sz w:val="21"/>
          <w:szCs w:val="21"/>
          <w:highlight w:val="none"/>
        </w:rPr>
        <w:t>达到现行国家有关工程施工验收规范和标准</w:t>
      </w:r>
      <w:r>
        <w:rPr>
          <w:rFonts w:hint="eastAsia" w:ascii="宋体" w:hAnsi="宋体" w:eastAsia="宋体" w:cs="宋体"/>
          <w:bCs/>
          <w:color w:val="auto"/>
          <w:kern w:val="0"/>
          <w:sz w:val="21"/>
          <w:szCs w:val="21"/>
          <w:highlight w:val="none"/>
          <w:lang w:val="en-US" w:eastAsia="zh-CN"/>
        </w:rPr>
        <w:t>的</w:t>
      </w:r>
      <w:r>
        <w:rPr>
          <w:rFonts w:hint="eastAsia" w:ascii="宋体" w:hAnsi="宋体" w:eastAsia="宋体" w:cs="宋体"/>
          <w:bCs/>
          <w:color w:val="auto"/>
          <w:kern w:val="0"/>
          <w:sz w:val="21"/>
          <w:szCs w:val="21"/>
          <w:highlight w:val="none"/>
        </w:rPr>
        <w:t>合格标准。</w:t>
      </w:r>
    </w:p>
    <w:p w14:paraId="66A5631A">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六、项目实施要求：</w:t>
      </w:r>
    </w:p>
    <w:p w14:paraId="38518A5C">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outlineLvl w:val="1"/>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1、产品运输、保险及保管</w:t>
      </w:r>
    </w:p>
    <w:p w14:paraId="719BEAFA">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1.1成交供应商负责产品到施工地点的全部运输，包括装卸及现场搬运等。</w:t>
      </w:r>
    </w:p>
    <w:p w14:paraId="416C4E6A">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1.2成交供应商负责产品在施工地点的保管，直至项目验收合格。</w:t>
      </w:r>
    </w:p>
    <w:p w14:paraId="4897BD6C">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1.3成交供应商负责其派出的施工人员的人身意外保险。</w:t>
      </w:r>
    </w:p>
    <w:p w14:paraId="0E85A213">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outlineLvl w:val="1"/>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2、施工要求</w:t>
      </w:r>
    </w:p>
    <w:p w14:paraId="100FA85A">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 成交供应商须加强施工的组织管理，所有施工人员须遵守文明安全施工的有关规章制度，持证上岗。施工期间，应接受采购人的监督管理，遵守有关规定。</w:t>
      </w:r>
    </w:p>
    <w:p w14:paraId="2FE293C1">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2.2工程竣工验收后，成交供应商应在20天内提交完整齐备的工程竣工资料和验收资料装整成册交采购人四套存档，并必须保证所有归档资料的真实性。</w:t>
      </w:r>
    </w:p>
    <w:p w14:paraId="79CF0FF8">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2.3 施工单位必须按照设计图纸及国家颁布的有关施工规范要求施工，所有使用的产品应符合国家标准，采用得到国家认证的厂家产品。</w:t>
      </w:r>
    </w:p>
    <w:p w14:paraId="6C88DA39">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outlineLvl w:val="1"/>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3、验收要求</w:t>
      </w:r>
    </w:p>
    <w:p w14:paraId="3B1861FB">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3.1工程验收标准：现行国家有关工程施工验收规范和标准</w:t>
      </w:r>
    </w:p>
    <w:p w14:paraId="789A0000">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3.2工程验收阶段：</w:t>
      </w:r>
    </w:p>
    <w:p w14:paraId="0FA97289">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程中间验收：工程正式施工前，成交供应商应该严格按照采购人所提供施工图及工程量清单要求，向采购人提出书面验收申请（如配电设备、建筑材料），由采购人签字认可后，方可进行后续施工；相关设备等均应在安装前按其规格、质量分批进行阶段检测、验收；建筑材料应在铺安装、修筑前进行验收。</w:t>
      </w:r>
    </w:p>
    <w:p w14:paraId="2411243C">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工程竣工验收：采购人应在施工单位递交书面工程竣工验收申请报告15天内，组织项目验收。</w:t>
      </w:r>
    </w:p>
    <w:p w14:paraId="027B7ED4">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3.3工程应符合现行国家有关工程施工验收规范和标准。</w:t>
      </w:r>
    </w:p>
    <w:p w14:paraId="4E249EEE">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outlineLvl w:val="1"/>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4、质量保证</w:t>
      </w:r>
    </w:p>
    <w:p w14:paraId="6C7779FB">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4.1本工程质量应符合现行国家有关工程施工验收规范和标准且验收合格。</w:t>
      </w:r>
    </w:p>
    <w:p w14:paraId="70F49D60">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4.2项目整体质保期为两年。</w:t>
      </w:r>
      <w:r>
        <w:rPr>
          <w:rFonts w:hint="eastAsia"/>
          <w:color w:val="auto"/>
          <w:highlight w:val="none"/>
          <w:lang w:val="en-US" w:eastAsia="zh-CN"/>
        </w:rPr>
        <w:t>《建设工程质量管理条例》规定最低保修期限超过两年的，以《建设工程质量管理条例》规定的最低保修期限为准。</w:t>
      </w:r>
      <w:r>
        <w:rPr>
          <w:rFonts w:hint="eastAsia" w:ascii="宋体" w:hAnsi="宋体" w:eastAsia="宋体" w:cs="宋体"/>
          <w:bCs/>
          <w:color w:val="auto"/>
          <w:kern w:val="0"/>
          <w:sz w:val="21"/>
          <w:szCs w:val="21"/>
          <w:highlight w:val="none"/>
        </w:rPr>
        <w:t>维护期内出现任何工程质量问题，成交供应商必须无偿整改，相关费用全部由成交供应商承担。</w:t>
      </w:r>
    </w:p>
    <w:p w14:paraId="71C22D81">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4.3质量保修费用</w:t>
      </w:r>
    </w:p>
    <w:p w14:paraId="4AB389BD">
      <w:pPr>
        <w:pStyle w:val="2"/>
        <w:keepNext w:val="0"/>
        <w:keepLines w:val="0"/>
        <w:pageBreakBefore w:val="0"/>
        <w:widowControl w:val="0"/>
        <w:kinsoku/>
        <w:wordWrap/>
        <w:overflowPunct/>
        <w:topLinePunct w:val="0"/>
        <w:bidi w:val="0"/>
        <w:spacing w:after="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质量保修费用及相关的损害赔偿费，由造成质量缺陷的责任方承担。</w:t>
      </w:r>
    </w:p>
    <w:p w14:paraId="3ED5FB66">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outlineLvl w:val="1"/>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5.保修要求：按</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建设工程质量管理条例</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（2019年修正版）国务院令（第714号）相关规定执行。</w:t>
      </w:r>
    </w:p>
    <w:p w14:paraId="62BB6EA4">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0"/>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七、项目特别说明：</w:t>
      </w:r>
    </w:p>
    <w:p w14:paraId="540CFFA3">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1、中标后不得变更项目负责人，项目负责人不得再行委托第三人，项目负责人须实际全职在岗履责等，否则投标人承担违约责任（如经济</w:t>
      </w:r>
      <w:r>
        <w:rPr>
          <w:rFonts w:hint="eastAsia" w:ascii="宋体" w:hAnsi="宋体" w:eastAsia="宋体" w:cs="宋体"/>
          <w:b/>
          <w:bCs/>
          <w:color w:val="auto"/>
          <w:kern w:val="0"/>
          <w:sz w:val="21"/>
          <w:szCs w:val="21"/>
          <w:highlight w:val="none"/>
          <w:lang w:val="en-US" w:eastAsia="zh-CN"/>
        </w:rPr>
        <w:t>赔偿</w:t>
      </w:r>
      <w:r>
        <w:rPr>
          <w:rFonts w:hint="eastAsia" w:ascii="宋体" w:hAnsi="宋体" w:eastAsia="宋体" w:cs="宋体"/>
          <w:b/>
          <w:bCs/>
          <w:color w:val="auto"/>
          <w:kern w:val="0"/>
          <w:sz w:val="21"/>
          <w:szCs w:val="21"/>
          <w:highlight w:val="none"/>
        </w:rPr>
        <w:t>、停工整改、</w:t>
      </w:r>
      <w:r>
        <w:rPr>
          <w:rFonts w:hint="eastAsia" w:ascii="宋体" w:hAnsi="宋体" w:eastAsia="宋体" w:cs="宋体"/>
          <w:b/>
          <w:bCs/>
          <w:color w:val="auto"/>
          <w:kern w:val="0"/>
          <w:sz w:val="21"/>
          <w:szCs w:val="21"/>
          <w:highlight w:val="none"/>
          <w:lang w:val="en-US" w:eastAsia="zh-CN"/>
        </w:rPr>
        <w:t>终</w:t>
      </w:r>
      <w:r>
        <w:rPr>
          <w:rFonts w:hint="eastAsia" w:ascii="宋体" w:hAnsi="宋体" w:eastAsia="宋体" w:cs="宋体"/>
          <w:b/>
          <w:bCs/>
          <w:color w:val="auto"/>
          <w:kern w:val="0"/>
          <w:sz w:val="21"/>
          <w:szCs w:val="21"/>
          <w:highlight w:val="none"/>
        </w:rPr>
        <w:t>止合同履行、上报相关省级行政主管部门）等。</w:t>
      </w:r>
    </w:p>
    <w:p w14:paraId="6BF48B96">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rPr>
        <w:t>应根据项目要求和现场情况</w:t>
      </w:r>
      <w:r>
        <w:rPr>
          <w:rFonts w:hint="eastAsia" w:ascii="宋体" w:hAnsi="宋体" w:eastAsia="宋体" w:cs="宋体"/>
          <w:bCs/>
          <w:color w:val="auto"/>
          <w:kern w:val="0"/>
          <w:sz w:val="21"/>
          <w:szCs w:val="21"/>
          <w:highlight w:val="none"/>
          <w:lang w:val="en-US" w:eastAsia="zh-CN"/>
        </w:rPr>
        <w:t>报价，</w:t>
      </w:r>
      <w:r>
        <w:rPr>
          <w:rFonts w:hint="eastAsia" w:ascii="宋体" w:hAnsi="宋体" w:eastAsia="宋体" w:cs="宋体"/>
          <w:bCs/>
          <w:color w:val="auto"/>
          <w:kern w:val="0"/>
          <w:sz w:val="21"/>
          <w:szCs w:val="21"/>
          <w:highlight w:val="none"/>
        </w:rPr>
        <w:t>投标人</w:t>
      </w:r>
      <w:r>
        <w:rPr>
          <w:rFonts w:hint="eastAsia" w:ascii="宋体" w:hAnsi="宋体" w:eastAsia="宋体" w:cs="宋体"/>
          <w:bCs/>
          <w:color w:val="auto"/>
          <w:kern w:val="0"/>
          <w:sz w:val="21"/>
          <w:szCs w:val="21"/>
          <w:highlight w:val="none"/>
          <w:lang w:val="en-US" w:eastAsia="zh-CN"/>
        </w:rPr>
        <w:t>所报综合单价</w:t>
      </w:r>
      <w:r>
        <w:rPr>
          <w:rFonts w:hint="eastAsia" w:ascii="宋体" w:hAnsi="宋体" w:eastAsia="宋体" w:cs="宋体"/>
          <w:bCs/>
          <w:color w:val="auto"/>
          <w:kern w:val="0"/>
          <w:sz w:val="21"/>
          <w:szCs w:val="21"/>
          <w:highlight w:val="none"/>
        </w:rPr>
        <w:t>（包括最后报价</w:t>
      </w:r>
      <w:r>
        <w:rPr>
          <w:rFonts w:hint="eastAsia" w:ascii="宋体" w:hAnsi="宋体" w:eastAsia="宋体" w:cs="宋体"/>
          <w:bCs/>
          <w:color w:val="auto"/>
          <w:kern w:val="0"/>
          <w:sz w:val="21"/>
          <w:szCs w:val="21"/>
          <w:highlight w:val="none"/>
          <w:lang w:val="en-US" w:eastAsia="zh-CN"/>
        </w:rPr>
        <w:t>的综合单价</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应</w:t>
      </w:r>
      <w:r>
        <w:rPr>
          <w:rFonts w:hint="eastAsia" w:ascii="宋体" w:hAnsi="宋体" w:eastAsia="宋体" w:cs="宋体"/>
          <w:bCs/>
          <w:color w:val="auto"/>
          <w:kern w:val="0"/>
          <w:sz w:val="21"/>
          <w:szCs w:val="21"/>
          <w:highlight w:val="none"/>
        </w:rPr>
        <w:t>包含项目所需的设备及材料购置，以及产品运输保险保管、项目安装调试、质保期保修维护等所有人工、管理、财务等所有费用，如一旦中标，在项目实施中除暂定价项目以外，出现任何遗漏，均视为包含在投标人所报综合单价中，采购人不再支付任何费用。</w:t>
      </w:r>
    </w:p>
    <w:p w14:paraId="437C0948">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
          <w:bCs w:val="0"/>
          <w:color w:val="auto"/>
          <w:kern w:val="0"/>
          <w:sz w:val="21"/>
          <w:szCs w:val="21"/>
          <w:highlight w:val="none"/>
        </w:rPr>
        <w:t>施工进场前，负责协调街道城建部门，城管，湘江新区质安监督部门施工报备并办理相应手续</w:t>
      </w:r>
      <w:r>
        <w:rPr>
          <w:rFonts w:hint="eastAsia" w:ascii="宋体" w:hAnsi="宋体" w:eastAsia="宋体" w:cs="宋体"/>
          <w:bCs/>
          <w:color w:val="auto"/>
          <w:kern w:val="0"/>
          <w:sz w:val="21"/>
          <w:szCs w:val="21"/>
          <w:highlight w:val="none"/>
        </w:rPr>
        <w:t>(如需要)</w:t>
      </w:r>
      <w:r>
        <w:rPr>
          <w:rFonts w:hint="eastAsia" w:ascii="宋体" w:hAnsi="宋体" w:eastAsia="宋体" w:cs="宋体"/>
          <w:bCs/>
          <w:color w:val="auto"/>
          <w:kern w:val="0"/>
          <w:sz w:val="21"/>
          <w:szCs w:val="21"/>
          <w:highlight w:val="none"/>
          <w:lang w:eastAsia="zh-CN"/>
        </w:rPr>
        <w:t>。</w:t>
      </w:r>
    </w:p>
    <w:p w14:paraId="7C8383AE">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4、</w:t>
      </w:r>
      <w:r>
        <w:rPr>
          <w:rFonts w:hint="eastAsia" w:ascii="宋体" w:hAnsi="宋体" w:eastAsia="宋体" w:cs="宋体"/>
          <w:b/>
          <w:bCs w:val="0"/>
          <w:color w:val="auto"/>
          <w:kern w:val="0"/>
          <w:sz w:val="21"/>
          <w:szCs w:val="21"/>
          <w:highlight w:val="none"/>
        </w:rPr>
        <w:t>周边关系:协调校内外周边居民，校外社区街道，城管，燃气公司等外围关系</w:t>
      </w:r>
      <w:r>
        <w:rPr>
          <w:rFonts w:hint="eastAsia" w:ascii="宋体" w:hAnsi="宋体" w:eastAsia="宋体" w:cs="宋体"/>
          <w:b/>
          <w:bCs w:val="0"/>
          <w:color w:val="auto"/>
          <w:kern w:val="0"/>
          <w:sz w:val="21"/>
          <w:szCs w:val="21"/>
          <w:highlight w:val="none"/>
          <w:lang w:eastAsia="zh-CN"/>
        </w:rPr>
        <w:t>。</w:t>
      </w:r>
    </w:p>
    <w:p w14:paraId="683FCE16">
      <w:pPr>
        <w:keepNext w:val="0"/>
        <w:keepLines w:val="0"/>
        <w:pageBreakBefore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b/>
          <w:color w:val="auto"/>
          <w:szCs w:val="21"/>
          <w:highlight w:val="none"/>
          <w:lang w:val="en-US" w:eastAsia="zh-CN"/>
        </w:rPr>
      </w:pPr>
    </w:p>
    <w:p w14:paraId="49FF93DE">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color w:val="auto"/>
          <w:kern w:val="0"/>
          <w:sz w:val="24"/>
          <w:highlight w:val="none"/>
        </w:rPr>
      </w:pPr>
      <w:r>
        <w:rPr>
          <w:rFonts w:hint="eastAsia"/>
          <w:b/>
          <w:color w:val="auto"/>
          <w:highlight w:val="none"/>
        </w:rPr>
        <w:t>注：</w:t>
      </w:r>
      <w:r>
        <w:rPr>
          <w:rFonts w:hint="eastAsia" w:ascii="宋体" w:hAnsi="宋体" w:eastAsia="宋体" w:cs="宋体"/>
          <w:b/>
          <w:color w:val="auto"/>
          <w:kern w:val="0"/>
          <w:sz w:val="21"/>
          <w:szCs w:val="21"/>
          <w:highlight w:val="none"/>
        </w:rPr>
        <w:t>对于上述项目要求，供应商应在投标文件中进行回应，作出承诺及说明。</w:t>
      </w:r>
    </w:p>
    <w:p w14:paraId="1EC2BC5C">
      <w:pPr>
        <w:jc w:val="center"/>
        <w:rPr>
          <w:rFonts w:ascii="黑体" w:eastAsia="黑体"/>
          <w:b/>
          <w:color w:val="auto"/>
          <w:sz w:val="32"/>
          <w:szCs w:val="32"/>
          <w:highlight w:val="none"/>
        </w:rPr>
      </w:pPr>
      <w:r>
        <w:rPr>
          <w:rFonts w:hint="eastAsia" w:ascii="黑体" w:eastAsia="黑体"/>
          <w:b/>
          <w:color w:val="auto"/>
          <w:sz w:val="32"/>
          <w:szCs w:val="32"/>
          <w:highlight w:val="none"/>
        </w:rPr>
        <w:br w:type="page"/>
      </w:r>
      <w:r>
        <w:rPr>
          <w:rFonts w:hint="eastAsia" w:ascii="黑体" w:eastAsia="黑体"/>
          <w:b/>
          <w:color w:val="auto"/>
          <w:sz w:val="32"/>
          <w:szCs w:val="32"/>
          <w:highlight w:val="none"/>
        </w:rPr>
        <w:t>第五章 响应文件组成</w:t>
      </w:r>
    </w:p>
    <w:p w14:paraId="44FA49B1">
      <w:pPr>
        <w:spacing w:line="360" w:lineRule="exact"/>
        <w:rPr>
          <w:rFonts w:ascii="宋体"/>
          <w:color w:val="auto"/>
          <w:highlight w:val="none"/>
        </w:rPr>
      </w:pPr>
    </w:p>
    <w:p w14:paraId="664352F5">
      <w:pPr>
        <w:spacing w:line="360" w:lineRule="auto"/>
        <w:rPr>
          <w:rFonts w:ascii="宋体"/>
          <w:color w:val="auto"/>
          <w:highlight w:val="none"/>
        </w:rPr>
      </w:pPr>
      <w:r>
        <w:rPr>
          <w:rFonts w:hint="eastAsia" w:ascii="宋体"/>
          <w:color w:val="auto"/>
          <w:highlight w:val="none"/>
        </w:rPr>
        <w:t>供应商的响应文件应包含以下十个部分：</w:t>
      </w:r>
    </w:p>
    <w:p w14:paraId="126378E7">
      <w:pPr>
        <w:adjustRightInd w:val="0"/>
        <w:snapToGrid w:val="0"/>
        <w:spacing w:line="360" w:lineRule="auto"/>
        <w:ind w:right="23" w:rightChars="11"/>
        <w:jc w:val="left"/>
        <w:outlineLvl w:val="0"/>
        <w:rPr>
          <w:rFonts w:ascii="宋体" w:hAnsi="宋体" w:cs="宋体"/>
          <w:b/>
          <w:color w:val="auto"/>
          <w:szCs w:val="21"/>
          <w:highlight w:val="none"/>
        </w:rPr>
      </w:pPr>
      <w:r>
        <w:rPr>
          <w:rFonts w:hint="eastAsia" w:ascii="宋体" w:hAnsi="宋体" w:cs="宋体"/>
          <w:b/>
          <w:color w:val="auto"/>
          <w:szCs w:val="21"/>
          <w:highlight w:val="none"/>
        </w:rPr>
        <w:t>一、磋商响应声明</w:t>
      </w:r>
    </w:p>
    <w:p w14:paraId="774F26CF">
      <w:pPr>
        <w:adjustRightInd w:val="0"/>
        <w:snapToGrid w:val="0"/>
        <w:spacing w:line="360" w:lineRule="auto"/>
        <w:ind w:right="23" w:rightChars="11" w:firstLine="420" w:firstLineChars="200"/>
        <w:jc w:val="left"/>
        <w:outlineLvl w:val="0"/>
        <w:rPr>
          <w:rFonts w:ascii="宋体" w:hAnsi="宋体" w:cs="宋体"/>
          <w:color w:val="auto"/>
          <w:szCs w:val="21"/>
          <w:highlight w:val="none"/>
        </w:rPr>
      </w:pPr>
      <w:r>
        <w:rPr>
          <w:rFonts w:hint="eastAsia" w:ascii="宋体" w:hAnsi="宋体" w:cs="宋体"/>
          <w:color w:val="auto"/>
          <w:szCs w:val="21"/>
          <w:highlight w:val="none"/>
        </w:rPr>
        <w:t>附件1：法定代表人身份证明</w:t>
      </w:r>
    </w:p>
    <w:p w14:paraId="24EA8666">
      <w:pPr>
        <w:adjustRightInd w:val="0"/>
        <w:snapToGrid w:val="0"/>
        <w:spacing w:line="360" w:lineRule="auto"/>
        <w:ind w:right="23" w:rightChars="11" w:firstLine="420" w:firstLineChars="200"/>
        <w:jc w:val="left"/>
        <w:outlineLvl w:val="0"/>
        <w:rPr>
          <w:rFonts w:ascii="宋体" w:hAnsi="宋体" w:cs="宋体"/>
          <w:color w:val="auto"/>
          <w:szCs w:val="21"/>
          <w:highlight w:val="none"/>
        </w:rPr>
      </w:pPr>
      <w:r>
        <w:rPr>
          <w:rFonts w:hint="eastAsia" w:ascii="宋体" w:hAnsi="宋体" w:cs="宋体"/>
          <w:color w:val="auto"/>
          <w:szCs w:val="21"/>
          <w:highlight w:val="none"/>
        </w:rPr>
        <w:t>附件2：法定代表人授权书</w:t>
      </w:r>
    </w:p>
    <w:p w14:paraId="414DCC7F">
      <w:pPr>
        <w:adjustRightInd w:val="0"/>
        <w:snapToGrid w:val="0"/>
        <w:spacing w:line="360" w:lineRule="auto"/>
        <w:ind w:right="23" w:rightChars="11" w:firstLine="420" w:firstLineChars="200"/>
        <w:jc w:val="left"/>
        <w:outlineLvl w:val="0"/>
        <w:rPr>
          <w:rFonts w:ascii="宋体" w:hAnsi="宋体" w:cs="宋体"/>
          <w:color w:val="auto"/>
          <w:szCs w:val="21"/>
          <w:highlight w:val="none"/>
        </w:rPr>
      </w:pPr>
      <w:r>
        <w:rPr>
          <w:rFonts w:hint="eastAsia" w:ascii="宋体" w:hAnsi="宋体" w:cs="宋体"/>
          <w:color w:val="auto"/>
          <w:szCs w:val="21"/>
          <w:highlight w:val="none"/>
        </w:rPr>
        <w:t>附件3：工程质量保修书</w:t>
      </w:r>
    </w:p>
    <w:p w14:paraId="35D702F7">
      <w:pPr>
        <w:adjustRightInd w:val="0"/>
        <w:snapToGrid w:val="0"/>
        <w:spacing w:line="360" w:lineRule="auto"/>
        <w:ind w:right="23" w:rightChars="11" w:firstLine="420" w:firstLineChars="200"/>
        <w:jc w:val="left"/>
        <w:outlineLvl w:val="0"/>
        <w:rPr>
          <w:rFonts w:hint="eastAsia" w:ascii="宋体" w:hAnsi="宋体" w:cs="宋体"/>
          <w:color w:val="auto"/>
          <w:szCs w:val="21"/>
          <w:highlight w:val="none"/>
        </w:rPr>
      </w:pPr>
      <w:r>
        <w:rPr>
          <w:rFonts w:hint="eastAsia" w:ascii="宋体" w:hAnsi="宋体" w:cs="宋体"/>
          <w:color w:val="auto"/>
          <w:szCs w:val="21"/>
          <w:highlight w:val="none"/>
        </w:rPr>
        <w:t>附件4：不拖欠民工工资承诺书</w:t>
      </w:r>
    </w:p>
    <w:p w14:paraId="12713A8C">
      <w:pPr>
        <w:pStyle w:val="2"/>
        <w:ind w:left="0" w:leftChars="0" w:firstLine="420" w:firstLineChars="200"/>
        <w:rPr>
          <w:color w:val="auto"/>
          <w:highlight w:val="none"/>
        </w:rPr>
      </w:pPr>
      <w:r>
        <w:rPr>
          <w:rFonts w:hint="eastAsia" w:ascii="宋体" w:hAnsi="宋体" w:cs="宋体"/>
          <w:color w:val="auto"/>
          <w:szCs w:val="21"/>
          <w:highlight w:val="none"/>
        </w:rPr>
        <w:t>附件5：</w:t>
      </w:r>
      <w:r>
        <w:rPr>
          <w:color w:val="auto"/>
          <w:highlight w:val="none"/>
        </w:rPr>
        <w:t>项目</w:t>
      </w:r>
      <w:r>
        <w:rPr>
          <w:rFonts w:hint="eastAsia"/>
          <w:color w:val="auto"/>
          <w:highlight w:val="none"/>
          <w:lang w:eastAsia="zh-CN"/>
        </w:rPr>
        <w:t>不</w:t>
      </w:r>
      <w:r>
        <w:rPr>
          <w:rFonts w:hint="eastAsia"/>
          <w:color w:val="auto"/>
          <w:highlight w:val="none"/>
        </w:rPr>
        <w:t>挂靠</w:t>
      </w:r>
      <w:r>
        <w:rPr>
          <w:rFonts w:hint="eastAsia"/>
          <w:color w:val="auto"/>
          <w:highlight w:val="none"/>
          <w:lang w:eastAsia="zh-CN"/>
        </w:rPr>
        <w:t>、不</w:t>
      </w:r>
      <w:r>
        <w:rPr>
          <w:rFonts w:hint="eastAsia"/>
          <w:color w:val="auto"/>
          <w:highlight w:val="none"/>
        </w:rPr>
        <w:t>转包</w:t>
      </w:r>
      <w:r>
        <w:rPr>
          <w:rFonts w:hint="eastAsia"/>
          <w:color w:val="auto"/>
          <w:highlight w:val="none"/>
          <w:lang w:eastAsia="zh-CN"/>
        </w:rPr>
        <w:t>、不违法分包</w:t>
      </w:r>
      <w:r>
        <w:rPr>
          <w:color w:val="auto"/>
          <w:highlight w:val="none"/>
        </w:rPr>
        <w:t>承诺书</w:t>
      </w:r>
    </w:p>
    <w:p w14:paraId="7EA68B14">
      <w:pPr>
        <w:adjustRightInd w:val="0"/>
        <w:snapToGrid w:val="0"/>
        <w:spacing w:line="360" w:lineRule="auto"/>
        <w:ind w:right="23" w:rightChars="11"/>
        <w:jc w:val="left"/>
        <w:outlineLvl w:val="0"/>
        <w:rPr>
          <w:rFonts w:ascii="宋体" w:hAnsi="宋体" w:cs="宋体"/>
          <w:color w:val="auto"/>
          <w:szCs w:val="21"/>
          <w:highlight w:val="none"/>
        </w:rPr>
      </w:pPr>
      <w:r>
        <w:rPr>
          <w:rFonts w:hint="eastAsia" w:ascii="宋体" w:hAnsi="宋体" w:cs="宋体"/>
          <w:b/>
          <w:color w:val="auto"/>
          <w:szCs w:val="21"/>
          <w:highlight w:val="none"/>
        </w:rPr>
        <w:t>二、保证金（本项目不适用）</w:t>
      </w:r>
    </w:p>
    <w:p w14:paraId="61FAB7B9">
      <w:pPr>
        <w:adjustRightInd w:val="0"/>
        <w:snapToGrid w:val="0"/>
        <w:spacing w:line="360" w:lineRule="auto"/>
        <w:jc w:val="left"/>
        <w:outlineLvl w:val="0"/>
        <w:rPr>
          <w:rFonts w:ascii="宋体" w:hAnsi="宋体"/>
          <w:b/>
          <w:color w:val="auto"/>
          <w:szCs w:val="21"/>
          <w:highlight w:val="none"/>
        </w:rPr>
      </w:pPr>
      <w:r>
        <w:rPr>
          <w:rFonts w:hint="eastAsia" w:ascii="宋体" w:hAnsi="宋体"/>
          <w:b/>
          <w:color w:val="auto"/>
          <w:szCs w:val="21"/>
          <w:highlight w:val="none"/>
        </w:rPr>
        <w:t>三、联合体协议(本项目不适用)</w:t>
      </w:r>
    </w:p>
    <w:p w14:paraId="7F7D2D66">
      <w:pPr>
        <w:adjustRightInd w:val="0"/>
        <w:snapToGrid w:val="0"/>
        <w:spacing w:line="360" w:lineRule="auto"/>
        <w:jc w:val="left"/>
        <w:outlineLvl w:val="0"/>
        <w:rPr>
          <w:rFonts w:ascii="宋体" w:hAnsi="宋体"/>
          <w:b/>
          <w:color w:val="auto"/>
          <w:szCs w:val="21"/>
          <w:highlight w:val="none"/>
        </w:rPr>
      </w:pPr>
      <w:r>
        <w:rPr>
          <w:rFonts w:hint="eastAsia" w:ascii="宋体" w:hAnsi="宋体"/>
          <w:b/>
          <w:color w:val="auto"/>
          <w:szCs w:val="21"/>
          <w:highlight w:val="none"/>
        </w:rPr>
        <w:t>四、供应商的资格证明资料</w:t>
      </w:r>
    </w:p>
    <w:p w14:paraId="5E02055F">
      <w:pPr>
        <w:adjustRightInd w:val="0"/>
        <w:snapToGrid w:val="0"/>
        <w:spacing w:line="360" w:lineRule="auto"/>
        <w:ind w:firstLine="420" w:firstLineChars="200"/>
        <w:jc w:val="left"/>
        <w:outlineLvl w:val="0"/>
        <w:rPr>
          <w:rFonts w:ascii="宋体" w:hAnsi="宋体"/>
          <w:color w:val="auto"/>
          <w:szCs w:val="21"/>
          <w:highlight w:val="none"/>
        </w:rPr>
      </w:pPr>
      <w:r>
        <w:rPr>
          <w:rFonts w:hint="eastAsia" w:ascii="宋体" w:hAnsi="宋体"/>
          <w:color w:val="auto"/>
          <w:szCs w:val="21"/>
          <w:highlight w:val="none"/>
        </w:rPr>
        <w:t>附件6：供应商基本情况表</w:t>
      </w:r>
    </w:p>
    <w:p w14:paraId="18534344">
      <w:pPr>
        <w:adjustRightInd w:val="0"/>
        <w:snapToGrid w:val="0"/>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附件7：磋商文件规定的基本资格条件证明资料</w:t>
      </w:r>
    </w:p>
    <w:p w14:paraId="4305F0FC">
      <w:pPr>
        <w:adjustRightInd w:val="0"/>
        <w:snapToGrid w:val="0"/>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附件8：磋商文件规定的特定资格条件证明资料</w:t>
      </w:r>
    </w:p>
    <w:p w14:paraId="5722E9E2">
      <w:pPr>
        <w:adjustRightInd w:val="0"/>
        <w:snapToGrid w:val="0"/>
        <w:spacing w:line="360" w:lineRule="auto"/>
        <w:ind w:right="23" w:rightChars="11" w:firstLine="420" w:firstLineChars="200"/>
        <w:rPr>
          <w:color w:val="auto"/>
          <w:szCs w:val="21"/>
          <w:highlight w:val="none"/>
        </w:rPr>
      </w:pPr>
      <w:r>
        <w:rPr>
          <w:rFonts w:hint="eastAsia" w:ascii="宋体" w:hAnsi="宋体"/>
          <w:bCs/>
          <w:color w:val="auto"/>
          <w:szCs w:val="21"/>
          <w:highlight w:val="none"/>
        </w:rPr>
        <w:t>附件9：</w:t>
      </w:r>
      <w:r>
        <w:rPr>
          <w:rFonts w:hint="eastAsia" w:ascii="宋体" w:hAnsi="宋体"/>
          <w:color w:val="auto"/>
          <w:szCs w:val="21"/>
          <w:highlight w:val="none"/>
        </w:rPr>
        <w:t>法定代表人授权项目负责人委托书</w:t>
      </w:r>
    </w:p>
    <w:p w14:paraId="4E2AE008">
      <w:pPr>
        <w:pStyle w:val="23"/>
        <w:adjustRightInd w:val="0"/>
        <w:snapToGrid w:val="0"/>
        <w:spacing w:line="360" w:lineRule="auto"/>
        <w:ind w:right="23" w:rightChars="11"/>
        <w:rPr>
          <w:rFonts w:hAnsi="宋体" w:cs="宋体"/>
          <w:b/>
          <w:color w:val="auto"/>
          <w:highlight w:val="none"/>
        </w:rPr>
      </w:pPr>
      <w:r>
        <w:rPr>
          <w:rFonts w:hint="eastAsia" w:hAnsi="宋体"/>
          <w:b/>
          <w:color w:val="auto"/>
          <w:highlight w:val="none"/>
        </w:rPr>
        <w:t>五、</w:t>
      </w:r>
      <w:r>
        <w:rPr>
          <w:rFonts w:hint="eastAsia" w:hAnsi="宋体" w:cs="宋体"/>
          <w:b/>
          <w:color w:val="auto"/>
          <w:highlight w:val="none"/>
        </w:rPr>
        <w:t>技术方案</w:t>
      </w:r>
    </w:p>
    <w:p w14:paraId="705D5620">
      <w:pPr>
        <w:adjustRightInd w:val="0"/>
        <w:snapToGrid w:val="0"/>
        <w:ind w:left="-88" w:leftChars="-42" w:right="23" w:rightChars="11"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附件10：技术方案</w:t>
      </w:r>
    </w:p>
    <w:p w14:paraId="104396E5">
      <w:pPr>
        <w:adjustRightInd w:val="0"/>
        <w:snapToGrid w:val="0"/>
        <w:ind w:left="-88" w:leftChars="-42" w:right="23" w:rightChars="11" w:firstLine="525" w:firstLineChars="250"/>
        <w:rPr>
          <w:rFonts w:hAnsi="宋体"/>
          <w:b/>
          <w:color w:val="auto"/>
          <w:highlight w:val="none"/>
        </w:rPr>
      </w:pPr>
      <w:r>
        <w:rPr>
          <w:rFonts w:hint="eastAsia" w:ascii="宋体" w:hAnsi="宋体" w:cs="宋体"/>
          <w:color w:val="auto"/>
          <w:szCs w:val="21"/>
          <w:highlight w:val="none"/>
        </w:rPr>
        <w:t>附件11：主要人员简历表</w:t>
      </w:r>
    </w:p>
    <w:p w14:paraId="60125A02">
      <w:pPr>
        <w:pStyle w:val="23"/>
        <w:adjustRightInd w:val="0"/>
        <w:snapToGrid w:val="0"/>
        <w:spacing w:line="360" w:lineRule="auto"/>
        <w:ind w:right="23" w:rightChars="11"/>
        <w:rPr>
          <w:rFonts w:hAnsi="宋体" w:cs="宋体"/>
          <w:b/>
          <w:color w:val="auto"/>
          <w:highlight w:val="none"/>
        </w:rPr>
      </w:pPr>
      <w:r>
        <w:rPr>
          <w:rFonts w:hint="eastAsia" w:hAnsi="宋体" w:cs="宋体"/>
          <w:b/>
          <w:color w:val="auto"/>
          <w:highlight w:val="none"/>
        </w:rPr>
        <w:t>六、</w:t>
      </w:r>
      <w:r>
        <w:rPr>
          <w:rFonts w:hint="eastAsia" w:hAnsi="宋体"/>
          <w:b/>
          <w:color w:val="auto"/>
          <w:highlight w:val="none"/>
        </w:rPr>
        <w:t>技术/商务响应与偏离表</w:t>
      </w:r>
    </w:p>
    <w:p w14:paraId="15A00416">
      <w:pPr>
        <w:pStyle w:val="23"/>
        <w:adjustRightInd w:val="0"/>
        <w:snapToGrid w:val="0"/>
        <w:spacing w:line="360" w:lineRule="auto"/>
        <w:ind w:right="23" w:rightChars="11"/>
        <w:rPr>
          <w:rFonts w:hAnsi="宋体" w:cs="宋体"/>
          <w:b/>
          <w:color w:val="auto"/>
          <w:highlight w:val="none"/>
        </w:rPr>
      </w:pPr>
      <w:r>
        <w:rPr>
          <w:rFonts w:hint="eastAsia" w:hAnsi="宋体" w:cs="宋体"/>
          <w:b/>
          <w:color w:val="auto"/>
          <w:highlight w:val="none"/>
        </w:rPr>
        <w:t>七、提供政府采购政策产品等证明材料</w:t>
      </w:r>
    </w:p>
    <w:p w14:paraId="35C76D21">
      <w:pPr>
        <w:pStyle w:val="23"/>
        <w:adjustRightInd w:val="0"/>
        <w:snapToGrid w:val="0"/>
        <w:spacing w:line="360" w:lineRule="auto"/>
        <w:ind w:right="23" w:rightChars="11" w:firstLine="420" w:firstLineChars="200"/>
        <w:rPr>
          <w:rFonts w:hAnsi="宋体" w:cs="宋体"/>
          <w:color w:val="auto"/>
          <w:highlight w:val="none"/>
        </w:rPr>
      </w:pPr>
      <w:r>
        <w:rPr>
          <w:rFonts w:hint="eastAsia" w:hAnsi="宋体" w:cs="宋体"/>
          <w:color w:val="auto"/>
          <w:highlight w:val="none"/>
        </w:rPr>
        <w:t>附件12：中小企业声明函</w:t>
      </w:r>
    </w:p>
    <w:p w14:paraId="131DB026">
      <w:pPr>
        <w:pStyle w:val="23"/>
        <w:adjustRightInd w:val="0"/>
        <w:snapToGrid w:val="0"/>
        <w:spacing w:line="360" w:lineRule="auto"/>
        <w:ind w:right="23" w:rightChars="11"/>
        <w:rPr>
          <w:rFonts w:hAnsi="宋体" w:cs="宋体"/>
          <w:b/>
          <w:color w:val="auto"/>
          <w:highlight w:val="none"/>
        </w:rPr>
      </w:pPr>
      <w:r>
        <w:rPr>
          <w:rFonts w:hint="eastAsia" w:hAnsi="宋体" w:cs="宋体"/>
          <w:b/>
          <w:color w:val="auto"/>
          <w:highlight w:val="none"/>
        </w:rPr>
        <w:t>八、报价一览表及报价文件</w:t>
      </w:r>
    </w:p>
    <w:p w14:paraId="0EE5A776">
      <w:pPr>
        <w:adjustRightInd w:val="0"/>
        <w:snapToGrid w:val="0"/>
        <w:spacing w:line="360" w:lineRule="auto"/>
        <w:ind w:right="23" w:rightChars="11" w:firstLine="420" w:firstLineChars="200"/>
        <w:jc w:val="left"/>
        <w:outlineLvl w:val="0"/>
        <w:rPr>
          <w:rFonts w:ascii="宋体" w:hAnsi="宋体" w:cs="宋体"/>
          <w:color w:val="auto"/>
          <w:szCs w:val="21"/>
          <w:highlight w:val="none"/>
        </w:rPr>
      </w:pPr>
      <w:r>
        <w:rPr>
          <w:rFonts w:hint="eastAsia" w:ascii="宋体" w:hAnsi="宋体" w:cs="宋体"/>
          <w:color w:val="auto"/>
          <w:szCs w:val="21"/>
          <w:highlight w:val="none"/>
        </w:rPr>
        <w:t>附件13-1：报价一览表</w:t>
      </w:r>
    </w:p>
    <w:p w14:paraId="21DDA8E5">
      <w:pPr>
        <w:pStyle w:val="23"/>
        <w:adjustRightInd w:val="0"/>
        <w:snapToGrid w:val="0"/>
        <w:spacing w:line="360" w:lineRule="auto"/>
        <w:ind w:right="23" w:rightChars="11" w:firstLine="420" w:firstLineChars="200"/>
        <w:rPr>
          <w:rFonts w:hAnsi="宋体" w:cs="宋体"/>
          <w:b/>
          <w:bCs/>
          <w:color w:val="auto"/>
          <w:highlight w:val="none"/>
        </w:rPr>
      </w:pPr>
      <w:r>
        <w:rPr>
          <w:rFonts w:hint="eastAsia" w:hAnsi="宋体" w:cs="宋体"/>
          <w:color w:val="auto"/>
          <w:highlight w:val="none"/>
        </w:rPr>
        <w:t>附件13-2：工程量清单及分项报价表</w:t>
      </w:r>
    </w:p>
    <w:p w14:paraId="478A9B99">
      <w:pPr>
        <w:pStyle w:val="23"/>
        <w:adjustRightInd w:val="0"/>
        <w:snapToGrid w:val="0"/>
        <w:spacing w:line="360" w:lineRule="auto"/>
        <w:ind w:right="23" w:rightChars="11"/>
        <w:rPr>
          <w:rFonts w:hAnsi="宋体" w:cs="宋体"/>
          <w:b/>
          <w:color w:val="auto"/>
          <w:highlight w:val="none"/>
        </w:rPr>
      </w:pPr>
      <w:r>
        <w:rPr>
          <w:rFonts w:hint="eastAsia" w:hAnsi="宋体" w:cs="宋体"/>
          <w:b/>
          <w:color w:val="auto"/>
          <w:highlight w:val="none"/>
        </w:rPr>
        <w:t>九、供应商认为需要提供的其它资料</w:t>
      </w:r>
    </w:p>
    <w:p w14:paraId="25C2BCBE">
      <w:pPr>
        <w:pStyle w:val="23"/>
        <w:adjustRightInd w:val="0"/>
        <w:snapToGrid w:val="0"/>
        <w:spacing w:line="360" w:lineRule="auto"/>
        <w:ind w:right="23" w:rightChars="11"/>
        <w:rPr>
          <w:rFonts w:hAnsi="宋体" w:cs="宋体"/>
          <w:b/>
          <w:color w:val="auto"/>
          <w:highlight w:val="none"/>
        </w:rPr>
      </w:pPr>
      <w:r>
        <w:rPr>
          <w:rFonts w:hint="eastAsia" w:hAnsi="宋体" w:cs="宋体"/>
          <w:b/>
          <w:color w:val="auto"/>
          <w:highlight w:val="none"/>
        </w:rPr>
        <w:t>十、最后报价</w:t>
      </w:r>
    </w:p>
    <w:p w14:paraId="117EF93A">
      <w:pPr>
        <w:spacing w:line="360" w:lineRule="exact"/>
        <w:rPr>
          <w:rFonts w:ascii="黑体" w:eastAsia="黑体"/>
          <w:color w:val="auto"/>
          <w:sz w:val="32"/>
          <w:szCs w:val="32"/>
          <w:highlight w:val="none"/>
        </w:rPr>
        <w:sectPr>
          <w:headerReference r:id="rId9" w:type="first"/>
          <w:headerReference r:id="rId8" w:type="even"/>
          <w:footerReference r:id="rId10" w:type="even"/>
          <w:pgSz w:w="11906" w:h="16838"/>
          <w:pgMar w:top="1440" w:right="1080" w:bottom="1440" w:left="1080" w:header="851" w:footer="992" w:gutter="0"/>
          <w:cols w:space="720" w:num="1"/>
          <w:docGrid w:linePitch="312" w:charSpace="0"/>
        </w:sectPr>
      </w:pPr>
    </w:p>
    <w:p w14:paraId="049AD343">
      <w:pPr>
        <w:spacing w:line="360" w:lineRule="auto"/>
        <w:ind w:firstLine="422" w:firstLineChars="200"/>
        <w:jc w:val="center"/>
        <w:rPr>
          <w:rFonts w:ascii="宋体" w:hAnsi="宋体"/>
          <w:b/>
          <w:bCs/>
          <w:color w:val="auto"/>
          <w:szCs w:val="21"/>
          <w:highlight w:val="none"/>
        </w:rPr>
      </w:pPr>
      <w:r>
        <w:rPr>
          <w:rFonts w:hint="eastAsia" w:ascii="宋体" w:hAnsi="宋体"/>
          <w:b/>
          <w:bCs/>
          <w:color w:val="auto"/>
          <w:szCs w:val="21"/>
          <w:highlight w:val="none"/>
        </w:rPr>
        <w:t>评分索引</w:t>
      </w:r>
    </w:p>
    <w:p w14:paraId="629D4076">
      <w:pPr>
        <w:spacing w:line="360" w:lineRule="auto"/>
        <w:ind w:firstLine="420" w:firstLineChars="200"/>
        <w:jc w:val="left"/>
        <w:rPr>
          <w:rFonts w:ascii="宋体" w:hAnsi="宋体"/>
          <w:color w:val="auto"/>
          <w:szCs w:val="21"/>
          <w:highlight w:val="none"/>
        </w:rPr>
      </w:pPr>
    </w:p>
    <w:p w14:paraId="40424A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根据第二章“附页4表”内容依次提供。</w:t>
      </w:r>
    </w:p>
    <w:tbl>
      <w:tblPr>
        <w:tblStyle w:val="34"/>
        <w:tblW w:w="4997"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3164"/>
        <w:gridCol w:w="2238"/>
        <w:gridCol w:w="2796"/>
      </w:tblGrid>
      <w:tr w14:paraId="187F48E2">
        <w:tblPrEx>
          <w:tblCellMar>
            <w:top w:w="0" w:type="dxa"/>
            <w:left w:w="108" w:type="dxa"/>
            <w:bottom w:w="0" w:type="dxa"/>
            <w:right w:w="108" w:type="dxa"/>
          </w:tblCellMar>
        </w:tblPrEx>
        <w:trPr>
          <w:trHeight w:val="454" w:hRule="exact"/>
          <w:jc w:val="center"/>
        </w:trPr>
        <w:tc>
          <w:tcPr>
            <w:tcW w:w="740" w:type="pct"/>
            <w:noWrap w:val="0"/>
            <w:vAlign w:val="center"/>
          </w:tcPr>
          <w:p w14:paraId="6023C61A">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644" w:type="pct"/>
            <w:noWrap w:val="0"/>
            <w:vAlign w:val="center"/>
          </w:tcPr>
          <w:p w14:paraId="65A6F2B0">
            <w:pPr>
              <w:spacing w:line="360" w:lineRule="auto"/>
              <w:jc w:val="center"/>
              <w:rPr>
                <w:rFonts w:ascii="宋体" w:hAnsi="宋体"/>
                <w:color w:val="auto"/>
                <w:szCs w:val="21"/>
                <w:highlight w:val="none"/>
              </w:rPr>
            </w:pPr>
            <w:r>
              <w:rPr>
                <w:rFonts w:ascii="宋体" w:hAnsi="宋体"/>
                <w:color w:val="auto"/>
                <w:szCs w:val="21"/>
                <w:highlight w:val="none"/>
              </w:rPr>
              <w:t>评审因素</w:t>
            </w:r>
          </w:p>
        </w:tc>
        <w:tc>
          <w:tcPr>
            <w:tcW w:w="1163" w:type="pct"/>
            <w:noWrap w:val="0"/>
            <w:vAlign w:val="center"/>
          </w:tcPr>
          <w:p w14:paraId="413BC105">
            <w:pPr>
              <w:spacing w:line="360" w:lineRule="auto"/>
              <w:jc w:val="center"/>
              <w:rPr>
                <w:rFonts w:ascii="宋体" w:hAnsi="宋体"/>
                <w:color w:val="auto"/>
                <w:szCs w:val="21"/>
                <w:highlight w:val="none"/>
              </w:rPr>
            </w:pPr>
            <w:r>
              <w:rPr>
                <w:rFonts w:hint="eastAsia" w:ascii="宋体" w:hAnsi="宋体"/>
                <w:color w:val="auto"/>
                <w:szCs w:val="21"/>
                <w:highlight w:val="none"/>
              </w:rPr>
              <w:t>对应页码</w:t>
            </w:r>
          </w:p>
        </w:tc>
        <w:tc>
          <w:tcPr>
            <w:tcW w:w="1453" w:type="pct"/>
            <w:noWrap w:val="0"/>
            <w:vAlign w:val="center"/>
          </w:tcPr>
          <w:p w14:paraId="025A4FA2">
            <w:pPr>
              <w:spacing w:line="360" w:lineRule="auto"/>
              <w:jc w:val="center"/>
              <w:rPr>
                <w:rFonts w:ascii="宋体" w:hAnsi="宋体"/>
                <w:color w:val="auto"/>
                <w:szCs w:val="21"/>
                <w:highlight w:val="none"/>
              </w:rPr>
            </w:pPr>
            <w:r>
              <w:rPr>
                <w:rFonts w:hint="eastAsia" w:ascii="宋体" w:hAnsi="宋体"/>
                <w:color w:val="auto"/>
                <w:szCs w:val="21"/>
                <w:highlight w:val="none"/>
              </w:rPr>
              <w:t>备注或说明</w:t>
            </w:r>
          </w:p>
        </w:tc>
      </w:tr>
      <w:tr w14:paraId="745778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524DA4AE">
            <w:pPr>
              <w:tabs>
                <w:tab w:val="left" w:pos="720"/>
              </w:tabs>
              <w:spacing w:line="360" w:lineRule="auto"/>
              <w:ind w:left="-2" w:firstLine="1"/>
              <w:jc w:val="center"/>
              <w:rPr>
                <w:rFonts w:ascii="宋体" w:hAnsi="宋体"/>
                <w:color w:val="auto"/>
                <w:szCs w:val="21"/>
                <w:highlight w:val="none"/>
              </w:rPr>
            </w:pPr>
            <w:r>
              <w:rPr>
                <w:rFonts w:hint="eastAsia" w:ascii="宋体" w:hAnsi="宋体"/>
                <w:color w:val="auto"/>
                <w:szCs w:val="21"/>
                <w:highlight w:val="none"/>
              </w:rPr>
              <w:t>1</w:t>
            </w:r>
          </w:p>
        </w:tc>
        <w:tc>
          <w:tcPr>
            <w:tcW w:w="1644" w:type="pct"/>
            <w:noWrap w:val="0"/>
            <w:vAlign w:val="center"/>
          </w:tcPr>
          <w:p w14:paraId="097F835A">
            <w:pPr>
              <w:tabs>
                <w:tab w:val="left" w:pos="720"/>
              </w:tabs>
              <w:spacing w:line="360" w:lineRule="auto"/>
              <w:ind w:left="-2" w:firstLine="1"/>
              <w:jc w:val="center"/>
              <w:rPr>
                <w:rFonts w:ascii="宋体" w:hAnsi="宋体"/>
                <w:color w:val="auto"/>
                <w:szCs w:val="21"/>
                <w:highlight w:val="none"/>
              </w:rPr>
            </w:pPr>
          </w:p>
        </w:tc>
        <w:tc>
          <w:tcPr>
            <w:tcW w:w="1163" w:type="pct"/>
            <w:noWrap w:val="0"/>
            <w:vAlign w:val="center"/>
          </w:tcPr>
          <w:p w14:paraId="3EFD708D">
            <w:pPr>
              <w:tabs>
                <w:tab w:val="left" w:pos="720"/>
              </w:tabs>
              <w:spacing w:line="360" w:lineRule="auto"/>
              <w:jc w:val="center"/>
              <w:rPr>
                <w:rFonts w:ascii="宋体" w:hAnsi="宋体"/>
                <w:color w:val="auto"/>
                <w:szCs w:val="21"/>
                <w:highlight w:val="none"/>
              </w:rPr>
            </w:pPr>
          </w:p>
        </w:tc>
        <w:tc>
          <w:tcPr>
            <w:tcW w:w="1453" w:type="pct"/>
            <w:noWrap w:val="0"/>
            <w:vAlign w:val="center"/>
          </w:tcPr>
          <w:p w14:paraId="1146C3DF">
            <w:pPr>
              <w:tabs>
                <w:tab w:val="left" w:pos="720"/>
              </w:tabs>
              <w:spacing w:line="360" w:lineRule="auto"/>
              <w:jc w:val="center"/>
              <w:rPr>
                <w:rFonts w:ascii="宋体" w:hAnsi="宋体"/>
                <w:color w:val="auto"/>
                <w:szCs w:val="21"/>
                <w:highlight w:val="none"/>
              </w:rPr>
            </w:pPr>
          </w:p>
        </w:tc>
      </w:tr>
      <w:tr w14:paraId="34E5B6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342642D5">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644" w:type="pct"/>
            <w:noWrap w:val="0"/>
            <w:vAlign w:val="center"/>
          </w:tcPr>
          <w:p w14:paraId="51B8636D">
            <w:pPr>
              <w:tabs>
                <w:tab w:val="left" w:pos="720"/>
              </w:tabs>
              <w:spacing w:line="360" w:lineRule="auto"/>
              <w:jc w:val="center"/>
              <w:rPr>
                <w:rFonts w:ascii="宋体" w:hAnsi="宋体"/>
                <w:color w:val="auto"/>
                <w:szCs w:val="21"/>
                <w:highlight w:val="none"/>
              </w:rPr>
            </w:pPr>
          </w:p>
        </w:tc>
        <w:tc>
          <w:tcPr>
            <w:tcW w:w="1163" w:type="pct"/>
            <w:noWrap w:val="0"/>
            <w:vAlign w:val="center"/>
          </w:tcPr>
          <w:p w14:paraId="2B56C8DC">
            <w:pPr>
              <w:tabs>
                <w:tab w:val="left" w:pos="720"/>
              </w:tabs>
              <w:spacing w:line="360" w:lineRule="auto"/>
              <w:jc w:val="center"/>
              <w:rPr>
                <w:rFonts w:ascii="宋体" w:hAnsi="宋体"/>
                <w:color w:val="auto"/>
                <w:szCs w:val="21"/>
                <w:highlight w:val="none"/>
              </w:rPr>
            </w:pPr>
          </w:p>
        </w:tc>
        <w:tc>
          <w:tcPr>
            <w:tcW w:w="1453" w:type="pct"/>
            <w:noWrap w:val="0"/>
            <w:vAlign w:val="center"/>
          </w:tcPr>
          <w:p w14:paraId="2D8859F6">
            <w:pPr>
              <w:tabs>
                <w:tab w:val="left" w:pos="720"/>
              </w:tabs>
              <w:spacing w:line="360" w:lineRule="auto"/>
              <w:jc w:val="center"/>
              <w:rPr>
                <w:rFonts w:ascii="宋体" w:hAnsi="宋体"/>
                <w:color w:val="auto"/>
                <w:szCs w:val="21"/>
                <w:highlight w:val="none"/>
              </w:rPr>
            </w:pPr>
          </w:p>
        </w:tc>
      </w:tr>
      <w:tr w14:paraId="155462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3FD715C2">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644" w:type="pct"/>
            <w:noWrap w:val="0"/>
            <w:vAlign w:val="center"/>
          </w:tcPr>
          <w:p w14:paraId="7F112190">
            <w:pPr>
              <w:tabs>
                <w:tab w:val="left" w:pos="720"/>
              </w:tabs>
              <w:spacing w:line="360" w:lineRule="auto"/>
              <w:jc w:val="center"/>
              <w:rPr>
                <w:rFonts w:ascii="宋体" w:hAnsi="宋体"/>
                <w:color w:val="auto"/>
                <w:szCs w:val="21"/>
                <w:highlight w:val="none"/>
              </w:rPr>
            </w:pPr>
          </w:p>
        </w:tc>
        <w:tc>
          <w:tcPr>
            <w:tcW w:w="1163" w:type="pct"/>
            <w:noWrap w:val="0"/>
            <w:vAlign w:val="center"/>
          </w:tcPr>
          <w:p w14:paraId="5B23A081">
            <w:pPr>
              <w:tabs>
                <w:tab w:val="left" w:pos="720"/>
              </w:tabs>
              <w:spacing w:line="360" w:lineRule="auto"/>
              <w:jc w:val="center"/>
              <w:rPr>
                <w:rFonts w:ascii="宋体" w:hAnsi="宋体"/>
                <w:color w:val="auto"/>
                <w:szCs w:val="21"/>
                <w:highlight w:val="none"/>
              </w:rPr>
            </w:pPr>
          </w:p>
        </w:tc>
        <w:tc>
          <w:tcPr>
            <w:tcW w:w="1453" w:type="pct"/>
            <w:noWrap w:val="0"/>
            <w:vAlign w:val="center"/>
          </w:tcPr>
          <w:p w14:paraId="7BDCA4A3">
            <w:pPr>
              <w:tabs>
                <w:tab w:val="left" w:pos="720"/>
              </w:tabs>
              <w:spacing w:line="360" w:lineRule="auto"/>
              <w:jc w:val="center"/>
              <w:rPr>
                <w:rFonts w:ascii="宋体" w:hAnsi="宋体"/>
                <w:color w:val="auto"/>
                <w:szCs w:val="21"/>
                <w:highlight w:val="none"/>
              </w:rPr>
            </w:pPr>
          </w:p>
        </w:tc>
      </w:tr>
      <w:tr w14:paraId="050341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7546A1D8">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644" w:type="pct"/>
            <w:noWrap w:val="0"/>
            <w:vAlign w:val="center"/>
          </w:tcPr>
          <w:p w14:paraId="6BF23855">
            <w:pPr>
              <w:tabs>
                <w:tab w:val="left" w:pos="720"/>
              </w:tabs>
              <w:spacing w:line="360" w:lineRule="auto"/>
              <w:jc w:val="center"/>
              <w:rPr>
                <w:rFonts w:ascii="宋体" w:hAnsi="宋体"/>
                <w:color w:val="auto"/>
                <w:szCs w:val="21"/>
                <w:highlight w:val="none"/>
              </w:rPr>
            </w:pPr>
          </w:p>
        </w:tc>
        <w:tc>
          <w:tcPr>
            <w:tcW w:w="1163" w:type="pct"/>
            <w:noWrap w:val="0"/>
            <w:vAlign w:val="center"/>
          </w:tcPr>
          <w:p w14:paraId="263714B7">
            <w:pPr>
              <w:tabs>
                <w:tab w:val="left" w:pos="720"/>
              </w:tabs>
              <w:spacing w:line="360" w:lineRule="auto"/>
              <w:jc w:val="center"/>
              <w:rPr>
                <w:rFonts w:ascii="宋体" w:hAnsi="宋体"/>
                <w:color w:val="auto"/>
                <w:szCs w:val="21"/>
                <w:highlight w:val="none"/>
              </w:rPr>
            </w:pPr>
          </w:p>
        </w:tc>
        <w:tc>
          <w:tcPr>
            <w:tcW w:w="1453" w:type="pct"/>
            <w:noWrap w:val="0"/>
            <w:vAlign w:val="center"/>
          </w:tcPr>
          <w:p w14:paraId="5AA9D5A0">
            <w:pPr>
              <w:tabs>
                <w:tab w:val="left" w:pos="720"/>
              </w:tabs>
              <w:spacing w:line="360" w:lineRule="auto"/>
              <w:jc w:val="center"/>
              <w:rPr>
                <w:rFonts w:ascii="宋体" w:hAnsi="宋体"/>
                <w:color w:val="auto"/>
                <w:szCs w:val="21"/>
                <w:highlight w:val="none"/>
              </w:rPr>
            </w:pPr>
          </w:p>
        </w:tc>
      </w:tr>
      <w:tr w14:paraId="593246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36D9C5F0">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644" w:type="pct"/>
            <w:noWrap w:val="0"/>
            <w:vAlign w:val="center"/>
          </w:tcPr>
          <w:p w14:paraId="33A5AE7C">
            <w:pPr>
              <w:tabs>
                <w:tab w:val="left" w:pos="720"/>
              </w:tabs>
              <w:spacing w:line="360" w:lineRule="auto"/>
              <w:jc w:val="center"/>
              <w:rPr>
                <w:rFonts w:ascii="宋体" w:hAnsi="宋体"/>
                <w:color w:val="auto"/>
                <w:szCs w:val="21"/>
                <w:highlight w:val="none"/>
              </w:rPr>
            </w:pPr>
          </w:p>
        </w:tc>
        <w:tc>
          <w:tcPr>
            <w:tcW w:w="1163" w:type="pct"/>
            <w:noWrap w:val="0"/>
            <w:vAlign w:val="center"/>
          </w:tcPr>
          <w:p w14:paraId="32AB63A5">
            <w:pPr>
              <w:tabs>
                <w:tab w:val="left" w:pos="720"/>
              </w:tabs>
              <w:spacing w:line="360" w:lineRule="auto"/>
              <w:jc w:val="center"/>
              <w:rPr>
                <w:rFonts w:ascii="宋体" w:hAnsi="宋体"/>
                <w:color w:val="auto"/>
                <w:szCs w:val="21"/>
                <w:highlight w:val="none"/>
              </w:rPr>
            </w:pPr>
          </w:p>
        </w:tc>
        <w:tc>
          <w:tcPr>
            <w:tcW w:w="1453" w:type="pct"/>
            <w:noWrap w:val="0"/>
            <w:vAlign w:val="center"/>
          </w:tcPr>
          <w:p w14:paraId="228A5CE3">
            <w:pPr>
              <w:tabs>
                <w:tab w:val="left" w:pos="720"/>
              </w:tabs>
              <w:spacing w:line="360" w:lineRule="auto"/>
              <w:jc w:val="center"/>
              <w:rPr>
                <w:rFonts w:ascii="宋体" w:hAnsi="宋体"/>
                <w:color w:val="auto"/>
                <w:szCs w:val="21"/>
                <w:highlight w:val="none"/>
              </w:rPr>
            </w:pPr>
          </w:p>
        </w:tc>
      </w:tr>
      <w:tr w14:paraId="05FFAD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716DEE27">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1644" w:type="pct"/>
            <w:noWrap w:val="0"/>
            <w:vAlign w:val="center"/>
          </w:tcPr>
          <w:p w14:paraId="3E9A1ECB">
            <w:pPr>
              <w:tabs>
                <w:tab w:val="left" w:pos="720"/>
              </w:tabs>
              <w:spacing w:line="360" w:lineRule="auto"/>
              <w:jc w:val="center"/>
              <w:rPr>
                <w:rFonts w:ascii="宋体" w:hAnsi="宋体"/>
                <w:color w:val="auto"/>
                <w:szCs w:val="21"/>
                <w:highlight w:val="none"/>
              </w:rPr>
            </w:pPr>
          </w:p>
        </w:tc>
        <w:tc>
          <w:tcPr>
            <w:tcW w:w="1163" w:type="pct"/>
            <w:noWrap w:val="0"/>
            <w:vAlign w:val="center"/>
          </w:tcPr>
          <w:p w14:paraId="6FAE88ED">
            <w:pPr>
              <w:tabs>
                <w:tab w:val="left" w:pos="720"/>
              </w:tabs>
              <w:spacing w:line="360" w:lineRule="auto"/>
              <w:jc w:val="center"/>
              <w:rPr>
                <w:rFonts w:ascii="宋体" w:hAnsi="宋体"/>
                <w:color w:val="auto"/>
                <w:szCs w:val="21"/>
                <w:highlight w:val="none"/>
              </w:rPr>
            </w:pPr>
          </w:p>
        </w:tc>
        <w:tc>
          <w:tcPr>
            <w:tcW w:w="1453" w:type="pct"/>
            <w:noWrap w:val="0"/>
            <w:vAlign w:val="center"/>
          </w:tcPr>
          <w:p w14:paraId="7C9618B3">
            <w:pPr>
              <w:tabs>
                <w:tab w:val="left" w:pos="720"/>
              </w:tabs>
              <w:spacing w:line="360" w:lineRule="auto"/>
              <w:jc w:val="center"/>
              <w:rPr>
                <w:rFonts w:ascii="宋体" w:hAnsi="宋体"/>
                <w:color w:val="auto"/>
                <w:szCs w:val="21"/>
                <w:highlight w:val="none"/>
              </w:rPr>
            </w:pPr>
          </w:p>
        </w:tc>
      </w:tr>
      <w:tr w14:paraId="7AA63D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1D7CAEDB">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1644" w:type="pct"/>
            <w:noWrap w:val="0"/>
            <w:vAlign w:val="center"/>
          </w:tcPr>
          <w:p w14:paraId="5BCB8C58">
            <w:pPr>
              <w:tabs>
                <w:tab w:val="left" w:pos="720"/>
              </w:tabs>
              <w:spacing w:line="360" w:lineRule="auto"/>
              <w:jc w:val="center"/>
              <w:rPr>
                <w:rFonts w:ascii="宋体" w:hAnsi="宋体" w:cs="宋体"/>
                <w:color w:val="auto"/>
                <w:szCs w:val="21"/>
                <w:highlight w:val="none"/>
              </w:rPr>
            </w:pPr>
          </w:p>
        </w:tc>
        <w:tc>
          <w:tcPr>
            <w:tcW w:w="1163" w:type="pct"/>
            <w:noWrap w:val="0"/>
            <w:vAlign w:val="center"/>
          </w:tcPr>
          <w:p w14:paraId="1C34F35E">
            <w:pPr>
              <w:tabs>
                <w:tab w:val="left" w:pos="720"/>
              </w:tabs>
              <w:spacing w:line="360" w:lineRule="auto"/>
              <w:jc w:val="center"/>
              <w:rPr>
                <w:rFonts w:ascii="宋体" w:hAnsi="宋体"/>
                <w:color w:val="auto"/>
                <w:szCs w:val="21"/>
                <w:highlight w:val="none"/>
              </w:rPr>
            </w:pPr>
          </w:p>
        </w:tc>
        <w:tc>
          <w:tcPr>
            <w:tcW w:w="1453" w:type="pct"/>
            <w:noWrap w:val="0"/>
            <w:vAlign w:val="center"/>
          </w:tcPr>
          <w:p w14:paraId="041B2FDF">
            <w:pPr>
              <w:tabs>
                <w:tab w:val="left" w:pos="720"/>
              </w:tabs>
              <w:spacing w:line="360" w:lineRule="auto"/>
              <w:jc w:val="center"/>
              <w:rPr>
                <w:rFonts w:ascii="宋体" w:hAnsi="宋体"/>
                <w:color w:val="auto"/>
                <w:szCs w:val="21"/>
                <w:highlight w:val="none"/>
              </w:rPr>
            </w:pPr>
          </w:p>
        </w:tc>
      </w:tr>
      <w:tr w14:paraId="4C170B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4C52955E">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1644" w:type="pct"/>
            <w:noWrap w:val="0"/>
            <w:vAlign w:val="center"/>
          </w:tcPr>
          <w:p w14:paraId="0031AA4F">
            <w:pPr>
              <w:tabs>
                <w:tab w:val="left" w:pos="720"/>
              </w:tabs>
              <w:spacing w:line="360" w:lineRule="auto"/>
              <w:jc w:val="center"/>
              <w:rPr>
                <w:rFonts w:ascii="宋体" w:hAnsi="宋体" w:cs="宋体"/>
                <w:color w:val="auto"/>
                <w:szCs w:val="21"/>
                <w:highlight w:val="none"/>
              </w:rPr>
            </w:pPr>
          </w:p>
        </w:tc>
        <w:tc>
          <w:tcPr>
            <w:tcW w:w="1163" w:type="pct"/>
            <w:noWrap w:val="0"/>
            <w:vAlign w:val="center"/>
          </w:tcPr>
          <w:p w14:paraId="5ED9223E">
            <w:pPr>
              <w:tabs>
                <w:tab w:val="left" w:pos="720"/>
              </w:tabs>
              <w:spacing w:line="360" w:lineRule="auto"/>
              <w:jc w:val="center"/>
              <w:rPr>
                <w:rFonts w:ascii="宋体" w:hAnsi="宋体"/>
                <w:color w:val="auto"/>
                <w:szCs w:val="21"/>
                <w:highlight w:val="none"/>
              </w:rPr>
            </w:pPr>
          </w:p>
        </w:tc>
        <w:tc>
          <w:tcPr>
            <w:tcW w:w="1453" w:type="pct"/>
            <w:noWrap w:val="0"/>
            <w:vAlign w:val="center"/>
          </w:tcPr>
          <w:p w14:paraId="6744ACC0">
            <w:pPr>
              <w:tabs>
                <w:tab w:val="left" w:pos="720"/>
              </w:tabs>
              <w:spacing w:line="360" w:lineRule="auto"/>
              <w:jc w:val="center"/>
              <w:rPr>
                <w:rFonts w:ascii="宋体" w:hAnsi="宋体"/>
                <w:color w:val="auto"/>
                <w:szCs w:val="21"/>
                <w:highlight w:val="none"/>
              </w:rPr>
            </w:pPr>
          </w:p>
        </w:tc>
      </w:tr>
      <w:tr w14:paraId="0A9D30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488A2577">
            <w:pPr>
              <w:tabs>
                <w:tab w:val="left" w:pos="720"/>
              </w:tabs>
              <w:spacing w:line="360" w:lineRule="auto"/>
              <w:ind w:left="-2" w:firstLine="1"/>
              <w:jc w:val="center"/>
              <w:rPr>
                <w:rFonts w:ascii="宋体" w:hAnsi="宋体"/>
                <w:color w:val="auto"/>
                <w:szCs w:val="21"/>
                <w:highlight w:val="none"/>
              </w:rPr>
            </w:pPr>
            <w:r>
              <w:rPr>
                <w:rFonts w:hint="eastAsia" w:ascii="宋体" w:hAnsi="宋体"/>
                <w:color w:val="auto"/>
                <w:szCs w:val="21"/>
                <w:highlight w:val="none"/>
              </w:rPr>
              <w:t>9</w:t>
            </w:r>
          </w:p>
        </w:tc>
        <w:tc>
          <w:tcPr>
            <w:tcW w:w="1644" w:type="pct"/>
            <w:noWrap w:val="0"/>
            <w:vAlign w:val="center"/>
          </w:tcPr>
          <w:p w14:paraId="23ABD1F4">
            <w:pPr>
              <w:tabs>
                <w:tab w:val="left" w:pos="720"/>
              </w:tabs>
              <w:spacing w:line="360" w:lineRule="auto"/>
              <w:ind w:left="-2" w:firstLine="1"/>
              <w:jc w:val="center"/>
              <w:rPr>
                <w:rFonts w:ascii="宋体" w:hAnsi="宋体"/>
                <w:color w:val="auto"/>
                <w:szCs w:val="21"/>
                <w:highlight w:val="none"/>
              </w:rPr>
            </w:pPr>
          </w:p>
        </w:tc>
        <w:tc>
          <w:tcPr>
            <w:tcW w:w="1163" w:type="pct"/>
            <w:noWrap w:val="0"/>
            <w:vAlign w:val="center"/>
          </w:tcPr>
          <w:p w14:paraId="0F4F60DB">
            <w:pPr>
              <w:tabs>
                <w:tab w:val="left" w:pos="720"/>
              </w:tabs>
              <w:spacing w:line="360" w:lineRule="auto"/>
              <w:jc w:val="center"/>
              <w:rPr>
                <w:rFonts w:ascii="宋体" w:hAnsi="宋体"/>
                <w:color w:val="auto"/>
                <w:szCs w:val="21"/>
                <w:highlight w:val="none"/>
              </w:rPr>
            </w:pPr>
          </w:p>
        </w:tc>
        <w:tc>
          <w:tcPr>
            <w:tcW w:w="1453" w:type="pct"/>
            <w:noWrap w:val="0"/>
            <w:vAlign w:val="center"/>
          </w:tcPr>
          <w:p w14:paraId="44B6FDD4">
            <w:pPr>
              <w:tabs>
                <w:tab w:val="left" w:pos="720"/>
              </w:tabs>
              <w:spacing w:line="360" w:lineRule="auto"/>
              <w:jc w:val="center"/>
              <w:rPr>
                <w:rFonts w:ascii="宋体" w:hAnsi="宋体"/>
                <w:color w:val="auto"/>
                <w:szCs w:val="21"/>
                <w:highlight w:val="none"/>
              </w:rPr>
            </w:pPr>
          </w:p>
        </w:tc>
      </w:tr>
      <w:tr w14:paraId="35C948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4255CAFE">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1644" w:type="pct"/>
            <w:noWrap w:val="0"/>
            <w:vAlign w:val="center"/>
          </w:tcPr>
          <w:p w14:paraId="5B12AEAB">
            <w:pPr>
              <w:tabs>
                <w:tab w:val="left" w:pos="720"/>
              </w:tabs>
              <w:spacing w:line="360" w:lineRule="auto"/>
              <w:jc w:val="center"/>
              <w:rPr>
                <w:rFonts w:ascii="宋体" w:hAnsi="宋体"/>
                <w:color w:val="auto"/>
                <w:szCs w:val="21"/>
                <w:highlight w:val="none"/>
              </w:rPr>
            </w:pPr>
          </w:p>
        </w:tc>
        <w:tc>
          <w:tcPr>
            <w:tcW w:w="1163" w:type="pct"/>
            <w:noWrap w:val="0"/>
            <w:vAlign w:val="center"/>
          </w:tcPr>
          <w:p w14:paraId="0A718146">
            <w:pPr>
              <w:tabs>
                <w:tab w:val="left" w:pos="720"/>
              </w:tabs>
              <w:spacing w:line="360" w:lineRule="auto"/>
              <w:jc w:val="center"/>
              <w:rPr>
                <w:rFonts w:ascii="宋体" w:hAnsi="宋体"/>
                <w:color w:val="auto"/>
                <w:szCs w:val="21"/>
                <w:highlight w:val="none"/>
              </w:rPr>
            </w:pPr>
          </w:p>
        </w:tc>
        <w:tc>
          <w:tcPr>
            <w:tcW w:w="1453" w:type="pct"/>
            <w:noWrap w:val="0"/>
            <w:vAlign w:val="center"/>
          </w:tcPr>
          <w:p w14:paraId="7AC3B4CD">
            <w:pPr>
              <w:tabs>
                <w:tab w:val="left" w:pos="720"/>
              </w:tabs>
              <w:spacing w:line="360" w:lineRule="auto"/>
              <w:jc w:val="center"/>
              <w:rPr>
                <w:rFonts w:ascii="宋体" w:hAnsi="宋体"/>
                <w:color w:val="auto"/>
                <w:szCs w:val="21"/>
                <w:highlight w:val="none"/>
              </w:rPr>
            </w:pPr>
          </w:p>
        </w:tc>
      </w:tr>
      <w:tr w14:paraId="29B3AF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3F671B4D">
            <w:pPr>
              <w:tabs>
                <w:tab w:val="left" w:pos="720"/>
              </w:tabs>
              <w:spacing w:line="360" w:lineRule="auto"/>
              <w:ind w:left="-2" w:firstLine="1"/>
              <w:jc w:val="center"/>
              <w:rPr>
                <w:rFonts w:ascii="宋体" w:hAnsi="宋体"/>
                <w:color w:val="auto"/>
                <w:szCs w:val="21"/>
                <w:highlight w:val="none"/>
              </w:rPr>
            </w:pPr>
            <w:r>
              <w:rPr>
                <w:rFonts w:ascii="宋体" w:hAnsi="宋体"/>
                <w:color w:val="auto"/>
                <w:szCs w:val="21"/>
                <w:highlight w:val="none"/>
              </w:rPr>
              <w:t>……</w:t>
            </w:r>
          </w:p>
        </w:tc>
        <w:tc>
          <w:tcPr>
            <w:tcW w:w="1644" w:type="pct"/>
            <w:noWrap w:val="0"/>
            <w:vAlign w:val="center"/>
          </w:tcPr>
          <w:p w14:paraId="7AC3497F">
            <w:pPr>
              <w:tabs>
                <w:tab w:val="left" w:pos="720"/>
              </w:tabs>
              <w:spacing w:line="360" w:lineRule="auto"/>
              <w:ind w:left="-2" w:firstLine="1"/>
              <w:jc w:val="center"/>
              <w:rPr>
                <w:rFonts w:ascii="宋体" w:hAnsi="宋体"/>
                <w:color w:val="auto"/>
                <w:szCs w:val="21"/>
                <w:highlight w:val="none"/>
              </w:rPr>
            </w:pPr>
            <w:r>
              <w:rPr>
                <w:rFonts w:ascii="宋体" w:hAnsi="宋体"/>
                <w:color w:val="auto"/>
                <w:szCs w:val="21"/>
                <w:highlight w:val="none"/>
              </w:rPr>
              <w:t>……</w:t>
            </w:r>
          </w:p>
        </w:tc>
        <w:tc>
          <w:tcPr>
            <w:tcW w:w="1163" w:type="pct"/>
            <w:noWrap w:val="0"/>
            <w:vAlign w:val="center"/>
          </w:tcPr>
          <w:p w14:paraId="587A5A22">
            <w:pPr>
              <w:tabs>
                <w:tab w:val="left" w:pos="720"/>
              </w:tabs>
              <w:spacing w:line="360" w:lineRule="auto"/>
              <w:jc w:val="center"/>
              <w:rPr>
                <w:rFonts w:ascii="宋体" w:hAnsi="宋体"/>
                <w:color w:val="auto"/>
                <w:szCs w:val="21"/>
                <w:highlight w:val="none"/>
              </w:rPr>
            </w:pPr>
          </w:p>
        </w:tc>
        <w:tc>
          <w:tcPr>
            <w:tcW w:w="1453" w:type="pct"/>
            <w:noWrap w:val="0"/>
            <w:vAlign w:val="center"/>
          </w:tcPr>
          <w:p w14:paraId="609B5720">
            <w:pPr>
              <w:tabs>
                <w:tab w:val="left" w:pos="720"/>
              </w:tabs>
              <w:spacing w:line="360" w:lineRule="auto"/>
              <w:jc w:val="center"/>
              <w:rPr>
                <w:rFonts w:ascii="宋体" w:hAnsi="宋体"/>
                <w:color w:val="auto"/>
                <w:szCs w:val="21"/>
                <w:highlight w:val="none"/>
              </w:rPr>
            </w:pPr>
          </w:p>
        </w:tc>
      </w:tr>
    </w:tbl>
    <w:p w14:paraId="6EA6B894">
      <w:pPr>
        <w:rPr>
          <w:rFonts w:ascii="宋体" w:hAnsi="宋体" w:cs="宋体"/>
          <w:b/>
          <w:bCs/>
          <w:color w:val="auto"/>
          <w:szCs w:val="21"/>
          <w:highlight w:val="none"/>
        </w:rPr>
        <w:sectPr>
          <w:pgSz w:w="11906" w:h="16838"/>
          <w:pgMar w:top="1440" w:right="1247" w:bottom="1440" w:left="1247" w:header="851" w:footer="992" w:gutter="0"/>
          <w:pgBorders w:offsetFrom="page">
            <w:top w:val="none" w:sz="0" w:space="0"/>
            <w:left w:val="none" w:sz="0" w:space="0"/>
            <w:bottom w:val="none" w:sz="0" w:space="0"/>
            <w:right w:val="none" w:sz="0" w:space="0"/>
          </w:pgBorders>
          <w:cols w:space="720" w:num="1"/>
          <w:docGrid w:linePitch="312" w:charSpace="0"/>
        </w:sectPr>
      </w:pPr>
      <w:r>
        <w:rPr>
          <w:rFonts w:hint="eastAsia" w:ascii="宋体" w:hAnsi="宋体" w:cs="宋体"/>
          <w:b/>
          <w:bCs/>
          <w:color w:val="auto"/>
          <w:szCs w:val="21"/>
          <w:highlight w:val="none"/>
        </w:rPr>
        <w:t>说明：供应商可以根据响应文件编制需要增行。</w:t>
      </w:r>
    </w:p>
    <w:p w14:paraId="74854B49">
      <w:pPr>
        <w:spacing w:line="360" w:lineRule="exact"/>
        <w:jc w:val="center"/>
        <w:rPr>
          <w:rFonts w:ascii="黑体" w:eastAsia="黑体"/>
          <w:b/>
          <w:color w:val="auto"/>
          <w:sz w:val="32"/>
          <w:szCs w:val="32"/>
          <w:highlight w:val="none"/>
        </w:rPr>
      </w:pPr>
      <w:r>
        <w:rPr>
          <w:rFonts w:hint="eastAsia" w:ascii="黑体" w:eastAsia="黑体"/>
          <w:b/>
          <w:color w:val="auto"/>
          <w:sz w:val="32"/>
          <w:szCs w:val="32"/>
          <w:highlight w:val="none"/>
        </w:rPr>
        <w:t>一、</w:t>
      </w:r>
      <w:r>
        <w:rPr>
          <w:rFonts w:hint="eastAsia" w:ascii="黑体" w:hAnsi="宋体" w:eastAsia="黑体"/>
          <w:b/>
          <w:color w:val="auto"/>
          <w:sz w:val="32"/>
          <w:szCs w:val="32"/>
          <w:highlight w:val="none"/>
        </w:rPr>
        <w:t>磋商响应声明</w:t>
      </w:r>
    </w:p>
    <w:p w14:paraId="29BB2223">
      <w:pPr>
        <w:adjustRightInd w:val="0"/>
        <w:snapToGrid w:val="0"/>
        <w:spacing w:line="360" w:lineRule="auto"/>
        <w:rPr>
          <w:rFonts w:ascii="仿宋_GB2312" w:hAnsi="宋体" w:eastAsia="仿宋_GB2312"/>
          <w:color w:val="auto"/>
          <w:sz w:val="24"/>
          <w:highlight w:val="none"/>
        </w:rPr>
      </w:pPr>
    </w:p>
    <w:p w14:paraId="10F188F4">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致 (采购人或采购代理机构)：</w:t>
      </w:r>
    </w:p>
    <w:p w14:paraId="05AF56F8">
      <w:pPr>
        <w:adjustRightInd w:val="0"/>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项目名称)的竞争性磋商文件（政府采购编号：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w:t>
      </w:r>
      <w:r>
        <w:rPr>
          <w:rFonts w:hint="eastAsia" w:hAnsi="宋体"/>
          <w:color w:val="auto"/>
          <w:highlight w:val="none"/>
        </w:rPr>
        <w:t>知悉参加竞争性磋商的风险，我方承诺接受磋商文件的全部条款且无任何异议。</w:t>
      </w:r>
    </w:p>
    <w:p w14:paraId="2FA9D3CA">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一、我方同意在磋商文件中规定的提交首次响应文件截止时间起</w:t>
      </w:r>
      <w:r>
        <w:rPr>
          <w:rFonts w:hint="eastAsia" w:hAnsi="宋体"/>
          <w:color w:val="auto"/>
          <w:highlight w:val="none"/>
          <w:u w:val="single"/>
        </w:rPr>
        <w:t xml:space="preserve">         </w:t>
      </w:r>
      <w:r>
        <w:rPr>
          <w:rFonts w:hint="eastAsia" w:hAnsi="宋体"/>
          <w:color w:val="auto"/>
          <w:highlight w:val="none"/>
        </w:rPr>
        <w:t>日内(响应文件有效期)遵守本响应文件中的承诺且在此期限期满之前均具有法律约束力。</w:t>
      </w:r>
    </w:p>
    <w:p w14:paraId="13E0E537">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二、我方提交响应文件正本一份和副本一式</w:t>
      </w:r>
      <w:r>
        <w:rPr>
          <w:rFonts w:hint="eastAsia" w:hAnsi="宋体"/>
          <w:color w:val="auto"/>
          <w:highlight w:val="none"/>
          <w:u w:val="single"/>
        </w:rPr>
        <w:t xml:space="preserve">   </w:t>
      </w:r>
      <w:r>
        <w:rPr>
          <w:rFonts w:hint="eastAsia" w:hAnsi="宋体"/>
          <w:color w:val="auto"/>
          <w:highlight w:val="none"/>
        </w:rPr>
        <w:t>份，并保证响应文件提供的数据和资料全部内容真实、合法、准确和完整，我们对此负责，并愿承担由此引起的法律责任。</w:t>
      </w:r>
    </w:p>
    <w:p w14:paraId="1BD1BC13">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三、我方愿意向贵方提供任何与本项采购有关的数据、情况和技术资料。若贵方需要，我方愿意提供我方作出的一切承诺的证明资料。</w:t>
      </w:r>
    </w:p>
    <w:p w14:paraId="38C91B1E">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四、我方愿意按磋商文件规定和磋商小组要求重新提交响应文件和最后报价。</w:t>
      </w:r>
    </w:p>
    <w:p w14:paraId="4E3C80F3">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五、我方承诺遵守《中华人民共和国政府采购法》的有关规定，保证在获得成交资格后，按照磋商文件确定的事项签订政府采购合同，履行双方所签订的合同，并承担合同规定的责任和义务。</w:t>
      </w:r>
    </w:p>
    <w:p w14:paraId="054D664E">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 xml:space="preserve">六、我方在此声明： </w:t>
      </w:r>
    </w:p>
    <w:p w14:paraId="03C80002">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（一）我方与采购人或采购代理机构不存在隶属关系或者其他利害关系。</w:t>
      </w:r>
    </w:p>
    <w:p w14:paraId="123322D6">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（二）我方与参加本项目的其他供应商不存在直接控股、管理关系，或者与其他供应商法定代表人（或者负责人）为同一人。</w:t>
      </w:r>
    </w:p>
    <w:p w14:paraId="2EC7227B">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（三）我方未为本项目前期准备提供设计或咨询服务。</w:t>
      </w:r>
    </w:p>
    <w:p w14:paraId="0EED402F">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（四）我方承诺（承诺期：成立三年以上的，为提交首次响应文件截止时间前三年内；成立不足三年的，为实际时间）：</w:t>
      </w:r>
    </w:p>
    <w:p w14:paraId="3B594EEA">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1、我方依法缴纳了各项税费及各项社会保障资金，没有偷税、漏税及欠缴行为。</w:t>
      </w:r>
    </w:p>
    <w:p w14:paraId="224A6D54">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2、我方在经营活动中没有存在下列重大违法记录：</w:t>
      </w:r>
    </w:p>
    <w:p w14:paraId="17A078D9">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(1)受到刑事处罚；</w:t>
      </w:r>
    </w:p>
    <w:p w14:paraId="271FA376">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(2)受到</w:t>
      </w:r>
      <w:r>
        <w:rPr>
          <w:rFonts w:hint="eastAsia" w:hAnsi="宋体" w:cs="宋体"/>
          <w:color w:val="auto"/>
          <w:highlight w:val="none"/>
        </w:rPr>
        <w:t>较大数额</w:t>
      </w:r>
      <w:r>
        <w:rPr>
          <w:rFonts w:hint="eastAsia" w:hAnsi="宋体"/>
          <w:color w:val="auto"/>
          <w:highlight w:val="none"/>
        </w:rPr>
        <w:t>罚款、责令停产停业、在一至三年内禁止参加政府采购活动、暂扣或者吊销许可证、暂扣或者吊销执照的行政处罚。</w:t>
      </w:r>
    </w:p>
    <w:p w14:paraId="4B7D03BF">
      <w:pPr>
        <w:adjustRightInd w:val="0"/>
        <w:snapToGrid w:val="0"/>
        <w:spacing w:line="360" w:lineRule="exact"/>
        <w:ind w:right="24"/>
        <w:rPr>
          <w:rFonts w:hint="eastAsia" w:ascii="宋体" w:hAnsi="宋体"/>
          <w:bCs/>
          <w:color w:val="auto"/>
          <w:szCs w:val="21"/>
          <w:highlight w:val="none"/>
        </w:rPr>
      </w:pPr>
    </w:p>
    <w:p w14:paraId="086D6B3A">
      <w:pPr>
        <w:adjustRightInd w:val="0"/>
        <w:snapToGrid w:val="0"/>
        <w:spacing w:line="360" w:lineRule="exact"/>
        <w:ind w:right="24"/>
        <w:rPr>
          <w:rFonts w:ascii="宋体" w:hAnsi="宋体"/>
          <w:color w:val="auto"/>
          <w:szCs w:val="21"/>
          <w:highlight w:val="none"/>
        </w:rPr>
      </w:pPr>
      <w:r>
        <w:rPr>
          <w:rFonts w:hint="eastAsia" w:ascii="宋体" w:hAnsi="宋体"/>
          <w:bCs/>
          <w:color w:val="auto"/>
          <w:szCs w:val="21"/>
          <w:highlight w:val="none"/>
        </w:rPr>
        <w:t>附件1：</w:t>
      </w:r>
      <w:r>
        <w:rPr>
          <w:rFonts w:hint="eastAsia" w:ascii="宋体" w:hAnsi="宋体"/>
          <w:color w:val="auto"/>
          <w:szCs w:val="21"/>
          <w:highlight w:val="none"/>
        </w:rPr>
        <w:t>法定代表人身份证明</w:t>
      </w:r>
    </w:p>
    <w:p w14:paraId="7FEC6ACA">
      <w:pPr>
        <w:adjustRightInd w:val="0"/>
        <w:snapToGrid w:val="0"/>
        <w:spacing w:line="360" w:lineRule="exact"/>
        <w:ind w:right="24"/>
        <w:rPr>
          <w:rFonts w:ascii="宋体" w:hAnsi="宋体"/>
          <w:color w:val="auto"/>
          <w:szCs w:val="21"/>
          <w:highlight w:val="none"/>
        </w:rPr>
      </w:pPr>
      <w:r>
        <w:rPr>
          <w:rFonts w:hint="eastAsia" w:ascii="宋体" w:hAnsi="宋体"/>
          <w:bCs/>
          <w:color w:val="auto"/>
          <w:szCs w:val="21"/>
          <w:highlight w:val="none"/>
        </w:rPr>
        <w:t>附件2</w:t>
      </w:r>
      <w:r>
        <w:rPr>
          <w:rFonts w:hint="eastAsia" w:ascii="宋体" w:hAnsi="宋体"/>
          <w:color w:val="auto"/>
          <w:szCs w:val="21"/>
          <w:highlight w:val="none"/>
        </w:rPr>
        <w:t>：法定代表人授权书</w:t>
      </w:r>
    </w:p>
    <w:p w14:paraId="69FFCD7C">
      <w:pPr>
        <w:adjustRightInd w:val="0"/>
        <w:snapToGrid w:val="0"/>
        <w:spacing w:line="360" w:lineRule="exact"/>
        <w:ind w:right="23" w:rightChars="11"/>
        <w:rPr>
          <w:rFonts w:ascii="宋体" w:hAnsi="宋体" w:cs="宋体"/>
          <w:color w:val="auto"/>
          <w:szCs w:val="21"/>
          <w:highlight w:val="none"/>
        </w:rPr>
      </w:pPr>
      <w:r>
        <w:rPr>
          <w:rFonts w:hint="eastAsia" w:ascii="宋体" w:hAnsi="宋体" w:cs="宋体"/>
          <w:bCs/>
          <w:color w:val="auto"/>
          <w:szCs w:val="21"/>
          <w:highlight w:val="none"/>
        </w:rPr>
        <w:t>附件3</w:t>
      </w:r>
      <w:r>
        <w:rPr>
          <w:rFonts w:hint="eastAsia" w:ascii="宋体" w:hAnsi="宋体" w:cs="宋体"/>
          <w:color w:val="auto"/>
          <w:szCs w:val="21"/>
          <w:highlight w:val="none"/>
        </w:rPr>
        <w:t>：工程质量保修书</w:t>
      </w:r>
    </w:p>
    <w:p w14:paraId="08DEF768">
      <w:pPr>
        <w:adjustRightInd w:val="0"/>
        <w:snapToGrid w:val="0"/>
        <w:spacing w:line="360" w:lineRule="exact"/>
        <w:ind w:right="23" w:rightChars="11"/>
        <w:rPr>
          <w:color w:val="auto"/>
          <w:highlight w:val="none"/>
        </w:rPr>
      </w:pPr>
      <w:r>
        <w:rPr>
          <w:rFonts w:hint="eastAsia" w:ascii="宋体" w:hAnsi="宋体" w:cs="宋体"/>
          <w:color w:val="auto"/>
          <w:szCs w:val="21"/>
          <w:highlight w:val="none"/>
        </w:rPr>
        <w:t>附件4：不拖欠民工工资承诺书</w:t>
      </w:r>
    </w:p>
    <w:p w14:paraId="42E7DA68">
      <w:pPr>
        <w:pStyle w:val="23"/>
        <w:adjustRightInd w:val="0"/>
        <w:snapToGrid w:val="0"/>
        <w:spacing w:line="360" w:lineRule="exact"/>
        <w:rPr>
          <w:rFonts w:hint="eastAsia" w:hAnsi="宋体"/>
          <w:color w:val="auto"/>
          <w:highlight w:val="none"/>
        </w:rPr>
      </w:pPr>
    </w:p>
    <w:p w14:paraId="33EF3607">
      <w:pPr>
        <w:pStyle w:val="23"/>
        <w:adjustRightInd w:val="0"/>
        <w:snapToGrid w:val="0"/>
        <w:spacing w:line="360" w:lineRule="exact"/>
        <w:rPr>
          <w:rFonts w:hAnsi="宋体"/>
          <w:color w:val="auto"/>
          <w:highlight w:val="none"/>
        </w:rPr>
      </w:pPr>
      <w:r>
        <w:rPr>
          <w:rFonts w:hint="eastAsia" w:hAnsi="宋体"/>
          <w:color w:val="auto"/>
          <w:highlight w:val="none"/>
        </w:rPr>
        <w:t>供应商名称(盖单位章)：</w:t>
      </w:r>
    </w:p>
    <w:p w14:paraId="26F36FEA">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 (</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olor w:val="auto"/>
          <w:szCs w:val="21"/>
          <w:highlight w:val="none"/>
        </w:rPr>
        <w:t>)：</w:t>
      </w:r>
    </w:p>
    <w:p w14:paraId="73B6FB2B">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867BD9F">
      <w:pPr>
        <w:adjustRightInd w:val="0"/>
        <w:snapToGrid w:val="0"/>
        <w:spacing w:line="360" w:lineRule="auto"/>
        <w:ind w:right="24"/>
        <w:rPr>
          <w:rFonts w:ascii="黑体" w:hAnsi="黑体" w:eastAsia="黑体"/>
          <w:bCs/>
          <w:color w:val="auto"/>
          <w:sz w:val="30"/>
          <w:szCs w:val="30"/>
          <w:highlight w:val="none"/>
        </w:rPr>
      </w:pPr>
    </w:p>
    <w:p w14:paraId="795CC424">
      <w:pPr>
        <w:pStyle w:val="16"/>
        <w:rPr>
          <w:rFonts w:hAnsi="黑体"/>
          <w:bCs/>
          <w:color w:val="auto"/>
          <w:sz w:val="30"/>
          <w:szCs w:val="30"/>
          <w:highlight w:val="none"/>
        </w:rPr>
      </w:pPr>
    </w:p>
    <w:p w14:paraId="69DFF27D">
      <w:pPr>
        <w:adjustRightInd w:val="0"/>
        <w:snapToGrid w:val="0"/>
        <w:spacing w:line="360" w:lineRule="auto"/>
        <w:ind w:right="24"/>
        <w:rPr>
          <w:rFonts w:ascii="黑体" w:hAnsi="黑体" w:eastAsia="黑体"/>
          <w:bCs/>
          <w:color w:val="auto"/>
          <w:sz w:val="30"/>
          <w:szCs w:val="30"/>
          <w:highlight w:val="none"/>
        </w:rPr>
      </w:pPr>
      <w:r>
        <w:rPr>
          <w:rFonts w:hint="eastAsia" w:ascii="黑体" w:hAnsi="黑体" w:eastAsia="黑体"/>
          <w:bCs/>
          <w:color w:val="auto"/>
          <w:sz w:val="30"/>
          <w:szCs w:val="30"/>
          <w:highlight w:val="none"/>
        </w:rPr>
        <w:br w:type="page"/>
      </w:r>
      <w:r>
        <w:rPr>
          <w:rFonts w:hint="eastAsia" w:ascii="黑体" w:hAnsi="黑体" w:eastAsia="黑体"/>
          <w:bCs/>
          <w:color w:val="auto"/>
          <w:sz w:val="30"/>
          <w:szCs w:val="30"/>
          <w:highlight w:val="none"/>
        </w:rPr>
        <w:t>附件1</w:t>
      </w:r>
    </w:p>
    <w:p w14:paraId="51962E1C">
      <w:pPr>
        <w:adjustRightInd w:val="0"/>
        <w:snapToGrid w:val="0"/>
        <w:spacing w:line="360" w:lineRule="auto"/>
        <w:ind w:right="23" w:rightChars="11"/>
        <w:jc w:val="center"/>
        <w:rPr>
          <w:rFonts w:ascii="宋体" w:hAnsi="宋体" w:cs="宋体"/>
          <w:color w:val="auto"/>
          <w:szCs w:val="21"/>
          <w:highlight w:val="none"/>
        </w:rPr>
      </w:pPr>
      <w:r>
        <w:rPr>
          <w:rFonts w:hint="eastAsia" w:ascii="宋体" w:hAnsi="宋体" w:cs="宋体"/>
          <w:b/>
          <w:color w:val="auto"/>
          <w:sz w:val="28"/>
          <w:szCs w:val="28"/>
          <w:highlight w:val="none"/>
        </w:rPr>
        <w:t>法定代表人身份证明</w:t>
      </w:r>
    </w:p>
    <w:p w14:paraId="45F625F7">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olor w:val="auto"/>
          <w:szCs w:val="21"/>
          <w:highlight w:val="none"/>
          <w:u w:val="single"/>
        </w:rPr>
        <w:t xml:space="preserve">    </w:t>
      </w:r>
    </w:p>
    <w:p w14:paraId="7E534B08">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kern w:val="0"/>
          <w:szCs w:val="21"/>
          <w:highlight w:val="none"/>
        </w:rPr>
        <w:t>注册号：</w:t>
      </w:r>
      <w:r>
        <w:rPr>
          <w:rFonts w:hint="eastAsia" w:ascii="宋体" w:hAnsi="宋体"/>
          <w:color w:val="auto"/>
          <w:szCs w:val="21"/>
          <w:highlight w:val="none"/>
          <w:u w:val="single"/>
        </w:rPr>
        <w:t xml:space="preserve">    </w:t>
      </w:r>
    </w:p>
    <w:p w14:paraId="750425CB">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olor w:val="auto"/>
          <w:szCs w:val="21"/>
          <w:highlight w:val="none"/>
          <w:u w:val="single"/>
        </w:rPr>
        <w:t xml:space="preserve">    </w:t>
      </w:r>
    </w:p>
    <w:p w14:paraId="41A0C393">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 xml:space="preserve"> 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 xml:space="preserve"> 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 xml:space="preserve"> 日</w:t>
      </w:r>
    </w:p>
    <w:p w14:paraId="0B8A4986">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olor w:val="auto"/>
          <w:szCs w:val="21"/>
          <w:highlight w:val="none"/>
          <w:u w:val="single"/>
        </w:rPr>
        <w:t xml:space="preserve">    </w:t>
      </w:r>
    </w:p>
    <w:p w14:paraId="4FBF0458">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olor w:val="auto"/>
          <w:szCs w:val="21"/>
          <w:highlight w:val="none"/>
          <w:u w:val="single"/>
        </w:rPr>
        <w:t xml:space="preserve">    </w:t>
      </w:r>
    </w:p>
    <w:p w14:paraId="60C8948F">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性别：</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年龄：</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系</w:t>
      </w:r>
      <w:r>
        <w:rPr>
          <w:rFonts w:hint="eastAsia" w:ascii="宋体" w:hAnsi="宋体" w:cs="宋体"/>
          <w:color w:val="auto"/>
          <w:kern w:val="0"/>
          <w:szCs w:val="21"/>
          <w:highlight w:val="none"/>
          <w:lang w:val="en-US" w:eastAsia="zh-CN"/>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zCs w:val="21"/>
          <w:highlight w:val="none"/>
        </w:rPr>
        <w:t>供应商</w:t>
      </w:r>
      <w:r>
        <w:rPr>
          <w:rFonts w:hint="eastAsia" w:ascii="宋体" w:hAnsi="宋体" w:cs="宋体"/>
          <w:color w:val="auto"/>
          <w:kern w:val="0"/>
          <w:szCs w:val="21"/>
          <w:highlight w:val="none"/>
        </w:rPr>
        <w:t>名称）的法定代表人。</w:t>
      </w:r>
    </w:p>
    <w:p w14:paraId="12954807">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62E5C72B">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szCs w:val="21"/>
          <w:highlight w:val="none"/>
        </w:rPr>
        <w:t>附：法定代表人身份证复印件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0"/>
      </w:tblGrid>
      <w:tr w14:paraId="6A0A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trPr>
        <w:tc>
          <w:tcPr>
            <w:tcW w:w="10120" w:type="dxa"/>
          </w:tcPr>
          <w:p w14:paraId="4C4429DA">
            <w:pPr>
              <w:snapToGrid w:val="0"/>
              <w:spacing w:line="480" w:lineRule="auto"/>
              <w:ind w:right="23" w:rightChars="11"/>
              <w:rPr>
                <w:rFonts w:ascii="宋体" w:hAnsi="宋体" w:cs="宋体"/>
                <w:color w:val="auto"/>
                <w:szCs w:val="21"/>
                <w:highlight w:val="none"/>
              </w:rPr>
            </w:pPr>
          </w:p>
        </w:tc>
      </w:tr>
    </w:tbl>
    <w:p w14:paraId="199311FE">
      <w:pPr>
        <w:snapToGrid w:val="0"/>
        <w:spacing w:line="480" w:lineRule="auto"/>
        <w:ind w:right="23" w:rightChars="11"/>
        <w:rPr>
          <w:rFonts w:ascii="宋体" w:hAnsi="宋体" w:cs="宋体"/>
          <w:color w:val="auto"/>
          <w:szCs w:val="21"/>
          <w:highlight w:val="none"/>
        </w:rPr>
      </w:pPr>
    </w:p>
    <w:p w14:paraId="68593AE9">
      <w:pPr>
        <w:snapToGrid w:val="0"/>
        <w:ind w:right="23" w:rightChars="11"/>
        <w:rPr>
          <w:rFonts w:ascii="宋体" w:hAnsi="宋体" w:cs="宋体"/>
          <w:color w:val="auto"/>
          <w:szCs w:val="21"/>
          <w:highlight w:val="none"/>
        </w:rPr>
      </w:pPr>
    </w:p>
    <w:p w14:paraId="398D6A12">
      <w:pPr>
        <w:snapToGrid w:val="0"/>
        <w:ind w:right="23" w:rightChars="11"/>
        <w:rPr>
          <w:rFonts w:ascii="宋体" w:hAnsi="宋体" w:cs="宋体"/>
          <w:color w:val="auto"/>
          <w:szCs w:val="21"/>
          <w:highlight w:val="none"/>
        </w:rPr>
      </w:pPr>
    </w:p>
    <w:p w14:paraId="45FEB459">
      <w:pPr>
        <w:adjustRightInd w:val="0"/>
        <w:snapToGrid w:val="0"/>
        <w:spacing w:line="360" w:lineRule="auto"/>
        <w:ind w:right="23" w:rightChars="11"/>
        <w:rPr>
          <w:rFonts w:ascii="宋体" w:hAnsi="宋体" w:cs="宋体"/>
          <w:color w:val="auto"/>
          <w:szCs w:val="21"/>
          <w:highlight w:val="none"/>
        </w:rPr>
      </w:pPr>
    </w:p>
    <w:p w14:paraId="0ACBF636">
      <w:pPr>
        <w:adjustRightInd w:val="0"/>
        <w:snapToGrid w:val="0"/>
        <w:spacing w:line="360" w:lineRule="auto"/>
        <w:ind w:right="23" w:rightChars="11"/>
        <w:rPr>
          <w:rFonts w:ascii="宋体" w:hAnsi="宋体" w:cs="宋体"/>
          <w:color w:val="auto"/>
          <w:szCs w:val="21"/>
          <w:highlight w:val="none"/>
        </w:rPr>
      </w:pPr>
      <w:r>
        <w:rPr>
          <w:rFonts w:hint="eastAsia" w:ascii="宋体" w:hAnsi="宋体" w:cs="宋体"/>
          <w:color w:val="auto"/>
          <w:szCs w:val="21"/>
          <w:highlight w:val="none"/>
        </w:rPr>
        <w:t>供应商名称（盖单位章）：</w:t>
      </w:r>
    </w:p>
    <w:p w14:paraId="1DEB5CE5">
      <w:pPr>
        <w:adjustRightInd w:val="0"/>
        <w:snapToGrid w:val="0"/>
        <w:spacing w:line="360" w:lineRule="auto"/>
        <w:ind w:right="23" w:rightChars="11"/>
        <w:rPr>
          <w:rFonts w:ascii="宋体" w:hAnsi="宋体" w:cs="宋体"/>
          <w:color w:val="auto"/>
          <w:szCs w:val="21"/>
          <w:highlight w:val="none"/>
        </w:rPr>
      </w:pPr>
      <w:r>
        <w:rPr>
          <w:rFonts w:hint="eastAsia" w:ascii="宋体" w:hAnsi="宋体" w:cs="宋体"/>
          <w:color w:val="auto"/>
          <w:szCs w:val="21"/>
          <w:highlight w:val="none"/>
        </w:rPr>
        <w:t xml:space="preserve">日期：年月日      </w:t>
      </w:r>
    </w:p>
    <w:p w14:paraId="4D5A754D">
      <w:pPr>
        <w:adjustRightInd w:val="0"/>
        <w:snapToGrid w:val="0"/>
        <w:spacing w:before="120" w:beforeLines="50" w:line="360" w:lineRule="auto"/>
        <w:ind w:right="23" w:rightChars="11"/>
        <w:rPr>
          <w:rFonts w:ascii="宋体" w:hAnsi="宋体" w:cs="宋体"/>
          <w:color w:val="auto"/>
          <w:szCs w:val="21"/>
          <w:highlight w:val="none"/>
        </w:rPr>
      </w:pPr>
    </w:p>
    <w:p w14:paraId="3068C7B5">
      <w:pPr>
        <w:adjustRightInd w:val="0"/>
        <w:snapToGrid w:val="0"/>
        <w:spacing w:before="120" w:beforeLines="50" w:line="360" w:lineRule="auto"/>
        <w:ind w:right="23" w:rightChars="11"/>
        <w:rPr>
          <w:rFonts w:ascii="宋体" w:hAnsi="宋体" w:cs="宋体"/>
          <w:color w:val="auto"/>
          <w:szCs w:val="21"/>
          <w:highlight w:val="none"/>
        </w:rPr>
      </w:pPr>
      <w:r>
        <w:rPr>
          <w:rStyle w:val="41"/>
          <w:b/>
          <w:color w:val="auto"/>
          <w:highlight w:val="none"/>
        </w:rPr>
        <w:t>注：此身份证明一式二份，一份装入投标文件，一份在提交项目的投标文件时单独递交。</w:t>
      </w:r>
    </w:p>
    <w:p w14:paraId="41448B5B">
      <w:pPr>
        <w:spacing w:line="360" w:lineRule="exact"/>
        <w:ind w:right="23" w:rightChars="11"/>
        <w:rPr>
          <w:rFonts w:ascii="宋体" w:hAnsi="宋体" w:cs="宋体"/>
          <w:b/>
          <w:color w:val="auto"/>
          <w:highlight w:val="none"/>
        </w:rPr>
      </w:pPr>
    </w:p>
    <w:p w14:paraId="30C557B6">
      <w:pPr>
        <w:adjustRightInd w:val="0"/>
        <w:snapToGrid w:val="0"/>
        <w:spacing w:line="360" w:lineRule="auto"/>
        <w:ind w:right="23" w:rightChars="11"/>
        <w:rPr>
          <w:rFonts w:ascii="宋体" w:hAnsi="宋体" w:cs="宋体"/>
          <w:color w:val="auto"/>
          <w:sz w:val="24"/>
          <w:highlight w:val="none"/>
        </w:rPr>
      </w:pPr>
      <w:r>
        <w:rPr>
          <w:rFonts w:hint="eastAsia" w:ascii="宋体" w:hAnsi="宋体" w:cs="宋体"/>
          <w:bCs/>
          <w:color w:val="auto"/>
          <w:sz w:val="24"/>
          <w:highlight w:val="none"/>
        </w:rPr>
        <w:br w:type="page"/>
      </w:r>
      <w:r>
        <w:rPr>
          <w:rFonts w:hint="eastAsia" w:ascii="宋体" w:hAnsi="宋体" w:cs="宋体"/>
          <w:bCs/>
          <w:color w:val="auto"/>
          <w:sz w:val="24"/>
          <w:highlight w:val="none"/>
        </w:rPr>
        <w:t>附件2</w:t>
      </w:r>
      <w:r>
        <w:rPr>
          <w:rFonts w:hint="eastAsia" w:ascii="宋体" w:hAnsi="宋体" w:cs="宋体"/>
          <w:color w:val="auto"/>
          <w:sz w:val="24"/>
          <w:highlight w:val="none"/>
        </w:rPr>
        <w:t>：</w:t>
      </w:r>
    </w:p>
    <w:p w14:paraId="2DC32489">
      <w:pPr>
        <w:adjustRightInd w:val="0"/>
        <w:snapToGrid w:val="0"/>
        <w:spacing w:line="360" w:lineRule="auto"/>
        <w:ind w:right="23" w:rightChars="11"/>
        <w:jc w:val="center"/>
        <w:rPr>
          <w:rFonts w:ascii="宋体" w:hAnsi="宋体" w:cs="宋体"/>
          <w:b/>
          <w:color w:val="auto"/>
          <w:sz w:val="28"/>
          <w:szCs w:val="28"/>
          <w:highlight w:val="none"/>
        </w:rPr>
      </w:pPr>
      <w:r>
        <w:rPr>
          <w:rFonts w:hint="eastAsia" w:ascii="宋体" w:hAnsi="宋体" w:cs="宋体"/>
          <w:b/>
          <w:color w:val="auto"/>
          <w:sz w:val="28"/>
          <w:szCs w:val="28"/>
          <w:highlight w:val="none"/>
        </w:rPr>
        <w:t>法定代表人授权书</w:t>
      </w:r>
    </w:p>
    <w:p w14:paraId="24523B40">
      <w:pPr>
        <w:adjustRightInd w:val="0"/>
        <w:snapToGrid w:val="0"/>
        <w:spacing w:line="360" w:lineRule="auto"/>
        <w:ind w:right="23" w:rightChars="11"/>
        <w:rPr>
          <w:rFonts w:ascii="宋体" w:hAnsi="宋体" w:cs="宋体"/>
          <w:b/>
          <w:color w:val="auto"/>
          <w:sz w:val="28"/>
          <w:szCs w:val="28"/>
          <w:highlight w:val="none"/>
        </w:rPr>
      </w:pPr>
    </w:p>
    <w:p w14:paraId="38459C89">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 xml:space="preserve">（姓名、职务）系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zCs w:val="21"/>
          <w:highlight w:val="none"/>
        </w:rPr>
        <w:t>供应商</w:t>
      </w:r>
      <w:r>
        <w:rPr>
          <w:rFonts w:hint="eastAsia" w:ascii="宋体" w:hAnsi="宋体" w:cs="宋体"/>
          <w:color w:val="auto"/>
          <w:kern w:val="0"/>
          <w:szCs w:val="21"/>
          <w:highlight w:val="none"/>
        </w:rPr>
        <w:t>名称）的法定代表人，现授权</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（姓名、职务）为我方代理人。代理人根据授权，以我方名义：(1)签署、澄清、补正、修改、撤回、提交</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（项目名称、委托代理编号）响应文件；(2)签署并重新提交响应文件及最后报价；(3)签订合同和处理有关事宜，其法律后果由我方承担；（4）询问、质疑、投诉等相关事项，其法律后果由我方承担。</w:t>
      </w:r>
    </w:p>
    <w:p w14:paraId="09332259">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p>
    <w:p w14:paraId="77EE382B">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委托期限：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F60F67A">
      <w:pPr>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22C10222">
      <w:pP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p w14:paraId="11D1DAF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附：委托代理人身份证复印件及法定代表人身份证明(附件1，原件)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0"/>
      </w:tblGrid>
      <w:tr w14:paraId="5C00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trPr>
        <w:tc>
          <w:tcPr>
            <w:tcW w:w="10120" w:type="dxa"/>
          </w:tcPr>
          <w:p w14:paraId="7C2F2C35">
            <w:pPr>
              <w:snapToGrid w:val="0"/>
              <w:spacing w:line="480" w:lineRule="auto"/>
              <w:ind w:right="23" w:rightChars="11"/>
              <w:rPr>
                <w:rFonts w:ascii="宋体" w:hAnsi="宋体" w:cs="宋体"/>
                <w:color w:val="auto"/>
                <w:szCs w:val="21"/>
                <w:highlight w:val="none"/>
              </w:rPr>
            </w:pPr>
          </w:p>
        </w:tc>
      </w:tr>
    </w:tbl>
    <w:p w14:paraId="4C1A5CAB">
      <w:pPr>
        <w:adjustRightInd w:val="0"/>
        <w:snapToGrid w:val="0"/>
        <w:spacing w:line="360" w:lineRule="auto"/>
        <w:ind w:right="23" w:rightChars="11"/>
        <w:rPr>
          <w:rFonts w:ascii="宋体" w:hAnsi="宋体" w:cs="宋体"/>
          <w:color w:val="auto"/>
          <w:szCs w:val="21"/>
          <w:highlight w:val="none"/>
        </w:rPr>
      </w:pPr>
    </w:p>
    <w:p w14:paraId="543B91D5">
      <w:pPr>
        <w:adjustRightInd w:val="0"/>
        <w:snapToGrid w:val="0"/>
        <w:spacing w:line="360" w:lineRule="auto"/>
        <w:ind w:right="23" w:rightChars="11"/>
        <w:rPr>
          <w:rFonts w:ascii="宋体" w:hAnsi="宋体" w:cs="宋体"/>
          <w:color w:val="auto"/>
          <w:szCs w:val="21"/>
          <w:highlight w:val="none"/>
        </w:rPr>
      </w:pPr>
    </w:p>
    <w:p w14:paraId="5B00080A">
      <w:pPr>
        <w:pStyle w:val="23"/>
        <w:adjustRightInd w:val="0"/>
        <w:snapToGrid w:val="0"/>
        <w:spacing w:line="360" w:lineRule="exact"/>
        <w:ind w:right="23" w:rightChars="11"/>
        <w:rPr>
          <w:rFonts w:hAnsi="宋体" w:cs="宋体"/>
          <w:color w:val="auto"/>
          <w:highlight w:val="none"/>
        </w:rPr>
      </w:pPr>
      <w:r>
        <w:rPr>
          <w:rFonts w:hint="eastAsia" w:hAnsi="宋体" w:cs="宋体"/>
          <w:color w:val="auto"/>
          <w:highlight w:val="none"/>
        </w:rPr>
        <w:t>供应商名称(盖单位章)：</w:t>
      </w:r>
    </w:p>
    <w:p w14:paraId="2CEDE4E7">
      <w:pPr>
        <w:pStyle w:val="23"/>
        <w:adjustRightInd w:val="0"/>
        <w:snapToGrid w:val="0"/>
        <w:spacing w:line="360" w:lineRule="exact"/>
        <w:ind w:right="23" w:rightChars="11"/>
        <w:rPr>
          <w:rFonts w:hAnsi="宋体" w:cs="宋体"/>
          <w:color w:val="auto"/>
          <w:highlight w:val="none"/>
        </w:rPr>
      </w:pPr>
    </w:p>
    <w:p w14:paraId="48DE75A2">
      <w:pPr>
        <w:adjustRightInd w:val="0"/>
        <w:snapToGrid w:val="0"/>
        <w:spacing w:line="480" w:lineRule="auto"/>
        <w:ind w:right="23" w:rightChars="11"/>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w:t>
      </w:r>
    </w:p>
    <w:p w14:paraId="266E24D9">
      <w:pPr>
        <w:adjustRightInd w:val="0"/>
        <w:snapToGrid w:val="0"/>
        <w:spacing w:line="480" w:lineRule="auto"/>
        <w:ind w:right="23" w:rightChars="11"/>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w:t>
      </w:r>
    </w:p>
    <w:p w14:paraId="6924FD65">
      <w:pPr>
        <w:adjustRightInd w:val="0"/>
        <w:snapToGrid w:val="0"/>
        <w:spacing w:line="480" w:lineRule="auto"/>
        <w:ind w:right="23" w:rightChars="11"/>
        <w:rPr>
          <w:rFonts w:ascii="宋体" w:hAnsi="宋体" w:cs="宋体"/>
          <w:color w:val="auto"/>
          <w:szCs w:val="21"/>
          <w:highlight w:val="none"/>
        </w:rPr>
      </w:pPr>
      <w:r>
        <w:rPr>
          <w:rFonts w:hint="eastAsia" w:ascii="宋体" w:hAnsi="宋体" w:cs="宋体"/>
          <w:color w:val="auto"/>
          <w:szCs w:val="21"/>
          <w:highlight w:val="none"/>
        </w:rPr>
        <w:t>日期：年月日</w:t>
      </w:r>
    </w:p>
    <w:p w14:paraId="7D51CB26">
      <w:pPr>
        <w:adjustRightInd w:val="0"/>
        <w:snapToGrid w:val="0"/>
        <w:spacing w:line="360" w:lineRule="auto"/>
        <w:ind w:right="24"/>
        <w:rPr>
          <w:rFonts w:ascii="黑体" w:hAnsi="华文中宋" w:eastAsia="黑体"/>
          <w:bCs/>
          <w:color w:val="auto"/>
          <w:sz w:val="28"/>
          <w:szCs w:val="28"/>
          <w:highlight w:val="none"/>
        </w:rPr>
      </w:pPr>
    </w:p>
    <w:p w14:paraId="101F2A5D">
      <w:pPr>
        <w:pStyle w:val="16"/>
        <w:rPr>
          <w:color w:val="auto"/>
          <w:highlight w:val="none"/>
        </w:rPr>
      </w:pPr>
      <w:r>
        <w:rPr>
          <w:rStyle w:val="41"/>
          <w:b/>
          <w:color w:val="auto"/>
          <w:highlight w:val="none"/>
        </w:rPr>
        <w:t>注：此身份证明一式二份，一份装入投标文件，一份在提交项目的投标文件时单独递交。</w:t>
      </w:r>
    </w:p>
    <w:p w14:paraId="15C50822">
      <w:pPr>
        <w:spacing w:line="360" w:lineRule="exact"/>
        <w:ind w:right="23" w:rightChars="11"/>
        <w:rPr>
          <w:rFonts w:ascii="宋体" w:hAnsi="宋体" w:cs="宋体"/>
          <w:b/>
          <w:color w:val="auto"/>
          <w:highlight w:val="none"/>
        </w:rPr>
      </w:pPr>
    </w:p>
    <w:p w14:paraId="678A40C6">
      <w:pPr>
        <w:widowControl/>
        <w:jc w:val="left"/>
        <w:rPr>
          <w:rFonts w:ascii="宋体" w:hAnsi="宋体" w:cs="宋体"/>
          <w:bCs/>
          <w:color w:val="auto"/>
          <w:sz w:val="24"/>
          <w:highlight w:val="none"/>
        </w:rPr>
      </w:pPr>
      <w:r>
        <w:rPr>
          <w:rFonts w:ascii="宋体" w:hAnsi="宋体" w:cs="宋体"/>
          <w:bCs/>
          <w:color w:val="auto"/>
          <w:sz w:val="24"/>
          <w:highlight w:val="none"/>
        </w:rPr>
        <w:br w:type="page"/>
      </w:r>
    </w:p>
    <w:p w14:paraId="11ECE2B1">
      <w:pPr>
        <w:spacing w:line="360" w:lineRule="exact"/>
        <w:ind w:right="23" w:rightChars="11"/>
        <w:rPr>
          <w:rFonts w:ascii="宋体" w:hAnsi="宋体" w:cs="宋体"/>
          <w:color w:val="auto"/>
          <w:sz w:val="24"/>
          <w:highlight w:val="none"/>
        </w:rPr>
      </w:pPr>
      <w:r>
        <w:rPr>
          <w:rFonts w:hint="eastAsia" w:ascii="宋体" w:hAnsi="宋体" w:cs="宋体"/>
          <w:bCs/>
          <w:color w:val="auto"/>
          <w:sz w:val="24"/>
          <w:highlight w:val="none"/>
        </w:rPr>
        <w:t>附件3</w:t>
      </w:r>
      <w:r>
        <w:rPr>
          <w:rFonts w:hint="eastAsia" w:ascii="宋体" w:hAnsi="宋体" w:cs="宋体"/>
          <w:color w:val="auto"/>
          <w:sz w:val="24"/>
          <w:highlight w:val="none"/>
        </w:rPr>
        <w:t>：</w:t>
      </w:r>
    </w:p>
    <w:p w14:paraId="64F8858F">
      <w:pPr>
        <w:adjustRightInd w:val="0"/>
        <w:snapToGrid w:val="0"/>
        <w:spacing w:line="480" w:lineRule="exact"/>
        <w:ind w:right="23" w:rightChars="11"/>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工程质量保修书</w:t>
      </w:r>
    </w:p>
    <w:p w14:paraId="21E6352B">
      <w:pPr>
        <w:adjustRightInd w:val="0"/>
        <w:snapToGrid w:val="0"/>
        <w:spacing w:line="360" w:lineRule="auto"/>
        <w:ind w:right="23" w:rightChars="11"/>
        <w:rPr>
          <w:rFonts w:ascii="宋体" w:hAnsi="宋体" w:cs="宋体"/>
          <w:color w:val="auto"/>
          <w:sz w:val="24"/>
          <w:szCs w:val="18"/>
          <w:highlight w:val="none"/>
        </w:rPr>
      </w:pPr>
    </w:p>
    <w:p w14:paraId="2AC79008">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s="宋体"/>
          <w:color w:val="auto"/>
          <w:szCs w:val="21"/>
          <w:highlight w:val="none"/>
        </w:rPr>
        <w:t>（甲方）</w:t>
      </w:r>
    </w:p>
    <w:p w14:paraId="13A97C17">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s="宋体"/>
          <w:color w:val="auto"/>
          <w:szCs w:val="21"/>
          <w:highlight w:val="none"/>
        </w:rPr>
        <w:t>（乙方）</w:t>
      </w:r>
    </w:p>
    <w:p w14:paraId="6666288D">
      <w:pPr>
        <w:adjustRightInd w:val="0"/>
        <w:snapToGrid w:val="0"/>
        <w:spacing w:line="360" w:lineRule="auto"/>
        <w:ind w:right="23" w:rightChars="11" w:firstLine="480"/>
        <w:rPr>
          <w:rFonts w:ascii="宋体" w:hAnsi="宋体" w:cs="宋体"/>
          <w:color w:val="auto"/>
          <w:szCs w:val="21"/>
          <w:highlight w:val="none"/>
          <w:u w:val="single"/>
        </w:rPr>
      </w:pPr>
    </w:p>
    <w:p w14:paraId="729BD4F5">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为保证</w:t>
      </w:r>
      <w:r>
        <w:rPr>
          <w:rFonts w:hint="eastAsia" w:ascii="宋体" w:hAnsi="宋体"/>
          <w:color w:val="auto"/>
          <w:szCs w:val="21"/>
          <w:highlight w:val="none"/>
          <w:u w:val="single"/>
        </w:rPr>
        <w:t xml:space="preserve">    </w:t>
      </w:r>
      <w:r>
        <w:rPr>
          <w:rFonts w:hint="eastAsia" w:ascii="宋体" w:hAnsi="宋体" w:cs="宋体"/>
          <w:color w:val="auto"/>
          <w:szCs w:val="21"/>
          <w:highlight w:val="none"/>
        </w:rPr>
        <w:t>（工程名称）在合理使用期限内正常使用，甲方和乙方根据《中华人民共和国建筑法》、《建设工程质量管理条例》和《房屋建筑工程质量保修办法》，经协商一致，签订工程质量保修书，乙方在质量保修期内应按照有关规定及双方约定承担工程质量保修责任。</w:t>
      </w:r>
    </w:p>
    <w:p w14:paraId="02267E81">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1 质量保修范围</w:t>
      </w:r>
    </w:p>
    <w:p w14:paraId="204704C8">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质量保修范围包括图纸及清单包含的内容以及双方约定其他项目。具体质量保修范围，双方约定如下：</w:t>
      </w:r>
    </w:p>
    <w:p w14:paraId="4ED7B2BA">
      <w:pPr>
        <w:adjustRightInd w:val="0"/>
        <w:snapToGrid w:val="0"/>
        <w:spacing w:line="360" w:lineRule="auto"/>
        <w:ind w:right="23" w:rightChars="11"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p>
    <w:p w14:paraId="69A26CFC">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（2）</w:t>
      </w:r>
    </w:p>
    <w:p w14:paraId="5468D583">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w:t>
      </w:r>
    </w:p>
    <w:p w14:paraId="726C7A28">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2 质量保修期</w:t>
      </w:r>
    </w:p>
    <w:p w14:paraId="05105B39">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2.1 质量保修期从工程实际竣工验收合格之日起计算。单项竣工验收的工程，按单项工程分别计算质量保修期。</w:t>
      </w:r>
    </w:p>
    <w:p w14:paraId="62C2F07C">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2.2 双方根据《建设工程质量管理条例》及有关规定，约定本工程质量保修期如下：</w:t>
      </w:r>
    </w:p>
    <w:p w14:paraId="50F066A1">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（1）地基基础工程、主体结构工程为设计文件规定的合理使用年限；</w:t>
      </w:r>
    </w:p>
    <w:p w14:paraId="53410E47">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（2）屋面防水工程、有防水要求的卫生间、房间和外墙面的防渗漏工程为：</w:t>
      </w:r>
      <w:r>
        <w:rPr>
          <w:rFonts w:hint="eastAsia" w:ascii="宋体" w:hAnsi="宋体"/>
          <w:color w:val="auto"/>
          <w:szCs w:val="21"/>
          <w:highlight w:val="none"/>
          <w:u w:val="single"/>
        </w:rPr>
        <w:t xml:space="preserve">    </w:t>
      </w:r>
      <w:r>
        <w:rPr>
          <w:rFonts w:hint="eastAsia" w:ascii="宋体" w:hAnsi="宋体" w:cs="宋体"/>
          <w:color w:val="auto"/>
          <w:szCs w:val="21"/>
          <w:highlight w:val="none"/>
        </w:rPr>
        <w:t>年；</w:t>
      </w:r>
    </w:p>
    <w:p w14:paraId="058154E7">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（3）电气管线工程、给排水管道、设备安装工程为：</w:t>
      </w:r>
      <w:r>
        <w:rPr>
          <w:rFonts w:hint="eastAsia" w:ascii="宋体" w:hAnsi="宋体"/>
          <w:color w:val="auto"/>
          <w:szCs w:val="21"/>
          <w:highlight w:val="none"/>
          <w:u w:val="single"/>
        </w:rPr>
        <w:t xml:space="preserve">    </w:t>
      </w:r>
      <w:r>
        <w:rPr>
          <w:rFonts w:hint="eastAsia" w:ascii="宋体" w:hAnsi="宋体" w:cs="宋体"/>
          <w:color w:val="auto"/>
          <w:szCs w:val="21"/>
          <w:highlight w:val="none"/>
        </w:rPr>
        <w:t>年；</w:t>
      </w:r>
    </w:p>
    <w:p w14:paraId="3CB18995">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（4）供热、供冷系统工程为：</w:t>
      </w:r>
      <w:r>
        <w:rPr>
          <w:rFonts w:hint="eastAsia" w:ascii="宋体" w:hAnsi="宋体"/>
          <w:color w:val="auto"/>
          <w:szCs w:val="21"/>
          <w:highlight w:val="none"/>
          <w:u w:val="single"/>
        </w:rPr>
        <w:t xml:space="preserve">    </w:t>
      </w:r>
      <w:r>
        <w:rPr>
          <w:rFonts w:hint="eastAsia" w:ascii="宋体" w:hAnsi="宋体" w:cs="宋体"/>
          <w:color w:val="auto"/>
          <w:szCs w:val="21"/>
          <w:highlight w:val="none"/>
        </w:rPr>
        <w:t>个采暖期、供冷期；</w:t>
      </w:r>
    </w:p>
    <w:p w14:paraId="1B7DBE94">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（5）装饰装修工程为</w:t>
      </w:r>
      <w:r>
        <w:rPr>
          <w:rFonts w:hint="eastAsia" w:ascii="宋体" w:hAnsi="宋体"/>
          <w:color w:val="auto"/>
          <w:szCs w:val="21"/>
          <w:highlight w:val="none"/>
          <w:u w:val="single"/>
        </w:rPr>
        <w:t xml:space="preserve">    </w:t>
      </w:r>
      <w:r>
        <w:rPr>
          <w:rFonts w:hint="eastAsia" w:ascii="宋体" w:hAnsi="宋体" w:cs="宋体"/>
          <w:color w:val="auto"/>
          <w:szCs w:val="21"/>
          <w:highlight w:val="none"/>
        </w:rPr>
        <w:t>年；</w:t>
      </w:r>
    </w:p>
    <w:p w14:paraId="48B5D0F1">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（6）其他项目</w:t>
      </w:r>
      <w:r>
        <w:rPr>
          <w:rFonts w:hint="eastAsia" w:ascii="宋体" w:hAnsi="宋体"/>
          <w:color w:val="auto"/>
          <w:szCs w:val="21"/>
          <w:highlight w:val="none"/>
          <w:u w:val="single"/>
        </w:rPr>
        <w:t xml:space="preserve">    </w:t>
      </w:r>
      <w:r>
        <w:rPr>
          <w:rFonts w:hint="eastAsia" w:ascii="宋体" w:hAnsi="宋体" w:cs="宋体"/>
          <w:color w:val="auto"/>
          <w:szCs w:val="21"/>
          <w:highlight w:val="none"/>
        </w:rPr>
        <w:t>年。</w:t>
      </w:r>
    </w:p>
    <w:p w14:paraId="401B6DA2">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3 质量保修责任</w:t>
      </w:r>
    </w:p>
    <w:p w14:paraId="311291F1">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3.1 属于保修范围的项目，乙方应在接到通知后的7天内派人保修，乙方不在约定期限内派人保修，甲方可自行或指派第三方保修。</w:t>
      </w:r>
    </w:p>
    <w:p w14:paraId="7578B2BF">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3.2 发生紧急抢修事故的，乙方在接到通知后，应立即到达事故现场抢修。</w:t>
      </w:r>
    </w:p>
    <w:p w14:paraId="3B184920">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3.3 在国家规定的工程合理使用期限内，乙方应确保地基基础工程和主体结构的安全和质量。凡出现其质量问题，应立即报告当地建设行政主管部门，由设计单位提出保修方案，乙方应立即实施保修。</w:t>
      </w:r>
    </w:p>
    <w:p w14:paraId="6FA160D5">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3.4 质量保修完成后，由甲方组织验收。</w:t>
      </w:r>
    </w:p>
    <w:p w14:paraId="062CBEE1">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4 质量保修费用</w:t>
      </w:r>
    </w:p>
    <w:p w14:paraId="1D9893B0">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质量保修费用及相关的损害赔偿费，由造成质量缺陷的责任方承担。</w:t>
      </w:r>
    </w:p>
    <w:p w14:paraId="2A9E2976">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5 质量保证金</w:t>
      </w:r>
    </w:p>
    <w:p w14:paraId="09F56FB0">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质量保证金的使用、约定、支付、返还与本合同的质量保证金赋予的约定一致。</w:t>
      </w:r>
    </w:p>
    <w:p w14:paraId="03E46245">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6 其他</w:t>
      </w:r>
    </w:p>
    <w:p w14:paraId="4EC95728">
      <w:pPr>
        <w:adjustRightInd w:val="0"/>
        <w:snapToGrid w:val="0"/>
        <w:spacing w:line="360" w:lineRule="auto"/>
        <w:ind w:right="23" w:rightChars="11" w:firstLine="420" w:firstLineChars="200"/>
        <w:rPr>
          <w:rFonts w:ascii="宋体" w:hAnsi="宋体" w:cs="宋体"/>
          <w:color w:val="auto"/>
          <w:szCs w:val="21"/>
          <w:highlight w:val="none"/>
          <w:u w:val="single"/>
        </w:rPr>
      </w:pPr>
      <w:r>
        <w:rPr>
          <w:rFonts w:hint="eastAsia" w:ascii="宋体" w:hAnsi="宋体" w:cs="宋体"/>
          <w:color w:val="auto"/>
          <w:szCs w:val="21"/>
          <w:highlight w:val="none"/>
        </w:rPr>
        <w:t>6.1 双方约定的其它工程质量保修事项：</w:t>
      </w:r>
    </w:p>
    <w:p w14:paraId="3511D761">
      <w:pPr>
        <w:adjustRightInd w:val="0"/>
        <w:snapToGrid w:val="0"/>
        <w:spacing w:line="360" w:lineRule="auto"/>
        <w:ind w:right="23" w:rightChars="11"/>
        <w:rPr>
          <w:rFonts w:ascii="宋体" w:hAnsi="宋体" w:cs="宋体"/>
          <w:color w:val="auto"/>
          <w:szCs w:val="21"/>
          <w:highlight w:val="none"/>
          <w:u w:val="single"/>
        </w:rPr>
      </w:pPr>
    </w:p>
    <w:p w14:paraId="6DF9DB4C">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6.2 本工程质量保修书，由甲方乙方在工程竣工验收前签署，作为合同附件，其有效期限至保修期满。</w:t>
      </w:r>
    </w:p>
    <w:p w14:paraId="4A022556">
      <w:pPr>
        <w:adjustRightInd w:val="0"/>
        <w:snapToGrid w:val="0"/>
        <w:spacing w:line="360" w:lineRule="auto"/>
        <w:ind w:right="23" w:rightChars="11" w:firstLine="480"/>
        <w:rPr>
          <w:rFonts w:ascii="宋体" w:hAnsi="宋体" w:cs="宋体"/>
          <w:color w:val="auto"/>
          <w:szCs w:val="21"/>
          <w:highlight w:val="none"/>
        </w:rPr>
      </w:pPr>
    </w:p>
    <w:p w14:paraId="11691E6C">
      <w:pPr>
        <w:adjustRightInd w:val="0"/>
        <w:snapToGrid w:val="0"/>
        <w:spacing w:line="360" w:lineRule="auto"/>
        <w:ind w:right="23" w:rightChars="11" w:firstLine="480"/>
        <w:rPr>
          <w:rFonts w:ascii="宋体" w:hAnsi="宋体" w:cs="宋体"/>
          <w:color w:val="auto"/>
          <w:szCs w:val="21"/>
          <w:highlight w:val="none"/>
        </w:rPr>
      </w:pPr>
    </w:p>
    <w:p w14:paraId="34900D0C">
      <w:pPr>
        <w:adjustRightInd w:val="0"/>
        <w:snapToGrid w:val="0"/>
        <w:spacing w:line="360" w:lineRule="auto"/>
        <w:ind w:right="23" w:rightChars="11"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甲方（公章）：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乙方（公章）：</w:t>
      </w:r>
    </w:p>
    <w:p w14:paraId="11D44E4E">
      <w:pPr>
        <w:adjustRightInd w:val="0"/>
        <w:snapToGrid w:val="0"/>
        <w:spacing w:line="360" w:lineRule="auto"/>
        <w:ind w:right="23" w:rightChars="11" w:firstLine="420" w:firstLineChars="200"/>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       法定代表人（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w:t>
      </w:r>
    </w:p>
    <w:p w14:paraId="0FDB5A3D">
      <w:pPr>
        <w:adjustRightInd w:val="0"/>
        <w:snapToGrid w:val="0"/>
        <w:spacing w:line="360" w:lineRule="auto"/>
        <w:ind w:right="23" w:rightChars="11" w:firstLine="420" w:firstLineChars="200"/>
        <w:rPr>
          <w:rFonts w:ascii="宋体" w:hAnsi="宋体" w:cs="宋体"/>
          <w:b/>
          <w:color w:val="auto"/>
          <w:szCs w:val="21"/>
          <w:highlight w:val="none"/>
        </w:rPr>
      </w:pPr>
      <w:r>
        <w:rPr>
          <w:rFonts w:hint="eastAsia" w:ascii="宋体" w:hAnsi="宋体" w:cs="宋体"/>
          <w:color w:val="auto"/>
          <w:szCs w:val="21"/>
          <w:highlight w:val="none"/>
        </w:rPr>
        <w:t>年月日                            年月日</w:t>
      </w:r>
    </w:p>
    <w:p w14:paraId="47EF5879">
      <w:pPr>
        <w:spacing w:line="360" w:lineRule="exact"/>
        <w:ind w:right="23" w:rightChars="11"/>
        <w:rPr>
          <w:rFonts w:ascii="宋体" w:hAnsi="宋体" w:cs="宋体"/>
          <w:b/>
          <w:color w:val="auto"/>
          <w:highlight w:val="none"/>
        </w:rPr>
      </w:pPr>
    </w:p>
    <w:p w14:paraId="690CC99E">
      <w:pPr>
        <w:spacing w:line="480" w:lineRule="exact"/>
        <w:ind w:right="23" w:rightChars="11"/>
        <w:rPr>
          <w:rFonts w:ascii="宋体" w:hAnsi="宋体" w:cs="宋体"/>
          <w:color w:val="auto"/>
          <w:sz w:val="24"/>
          <w:highlight w:val="none"/>
        </w:rPr>
      </w:pPr>
    </w:p>
    <w:p w14:paraId="62D29A4D">
      <w:pPr>
        <w:pStyle w:val="23"/>
        <w:adjustRightInd w:val="0"/>
        <w:snapToGrid w:val="0"/>
        <w:spacing w:line="360" w:lineRule="auto"/>
        <w:ind w:right="23" w:rightChars="11"/>
        <w:rPr>
          <w:rFonts w:hAnsi="宋体" w:cs="宋体"/>
          <w:b/>
          <w:color w:val="auto"/>
          <w:sz w:val="32"/>
          <w:szCs w:val="32"/>
          <w:highlight w:val="none"/>
        </w:rPr>
      </w:pPr>
    </w:p>
    <w:p w14:paraId="3346FA9C">
      <w:pPr>
        <w:pStyle w:val="23"/>
        <w:adjustRightInd w:val="0"/>
        <w:snapToGrid w:val="0"/>
        <w:spacing w:line="360" w:lineRule="auto"/>
        <w:ind w:right="23" w:rightChars="11"/>
        <w:rPr>
          <w:rFonts w:hAnsi="宋体" w:cs="宋体"/>
          <w:b/>
          <w:color w:val="auto"/>
          <w:sz w:val="32"/>
          <w:szCs w:val="32"/>
          <w:highlight w:val="none"/>
        </w:rPr>
      </w:pPr>
    </w:p>
    <w:p w14:paraId="185A2BEC">
      <w:pPr>
        <w:pStyle w:val="23"/>
        <w:adjustRightInd w:val="0"/>
        <w:snapToGrid w:val="0"/>
        <w:spacing w:line="360" w:lineRule="auto"/>
        <w:ind w:right="23" w:rightChars="11"/>
        <w:rPr>
          <w:rFonts w:hAnsi="宋体" w:cs="宋体"/>
          <w:b/>
          <w:color w:val="auto"/>
          <w:sz w:val="32"/>
          <w:szCs w:val="32"/>
          <w:highlight w:val="none"/>
        </w:rPr>
      </w:pPr>
    </w:p>
    <w:p w14:paraId="62837C44">
      <w:pPr>
        <w:pStyle w:val="23"/>
        <w:adjustRightInd w:val="0"/>
        <w:snapToGrid w:val="0"/>
        <w:spacing w:line="360" w:lineRule="auto"/>
        <w:ind w:right="23" w:rightChars="11"/>
        <w:rPr>
          <w:rFonts w:hAnsi="宋体" w:cs="宋体"/>
          <w:b/>
          <w:color w:val="auto"/>
          <w:sz w:val="28"/>
          <w:szCs w:val="28"/>
          <w:highlight w:val="none"/>
        </w:rPr>
      </w:pPr>
      <w:r>
        <w:rPr>
          <w:rFonts w:hint="eastAsia" w:hAnsi="宋体" w:cs="宋体"/>
          <w:b/>
          <w:color w:val="auto"/>
          <w:sz w:val="32"/>
          <w:szCs w:val="32"/>
          <w:highlight w:val="none"/>
        </w:rPr>
        <w:br w:type="page"/>
      </w:r>
      <w:r>
        <w:rPr>
          <w:rFonts w:hint="eastAsia" w:hAnsi="宋体" w:cs="宋体"/>
          <w:bCs/>
          <w:color w:val="auto"/>
          <w:sz w:val="24"/>
          <w:highlight w:val="none"/>
        </w:rPr>
        <w:t xml:space="preserve">附件4：                 </w:t>
      </w:r>
      <w:r>
        <w:rPr>
          <w:rFonts w:hint="eastAsia" w:hAnsi="宋体" w:cs="宋体"/>
          <w:b/>
          <w:color w:val="auto"/>
          <w:sz w:val="28"/>
          <w:szCs w:val="28"/>
          <w:highlight w:val="none"/>
        </w:rPr>
        <w:t>不拖欠民工工资承诺书</w:t>
      </w:r>
    </w:p>
    <w:p w14:paraId="3249465A">
      <w:pPr>
        <w:adjustRightInd w:val="0"/>
        <w:snapToGrid w:val="0"/>
        <w:spacing w:line="480" w:lineRule="exact"/>
        <w:ind w:right="23" w:rightChars="11"/>
        <w:rPr>
          <w:rFonts w:ascii="宋体" w:hAnsi="宋体" w:cs="宋体"/>
          <w:b/>
          <w:color w:val="auto"/>
          <w:sz w:val="28"/>
          <w:szCs w:val="28"/>
          <w:highlight w:val="none"/>
        </w:rPr>
      </w:pPr>
    </w:p>
    <w:p w14:paraId="65FC9B52">
      <w:pPr>
        <w:adjustRightInd w:val="0"/>
        <w:snapToGrid w:val="0"/>
        <w:spacing w:line="480" w:lineRule="exact"/>
        <w:ind w:right="23" w:rightChars="11"/>
        <w:rPr>
          <w:rFonts w:ascii="宋体" w:hAnsi="宋体" w:cs="宋体"/>
          <w:b/>
          <w:color w:val="auto"/>
          <w:sz w:val="28"/>
          <w:szCs w:val="28"/>
          <w:highlight w:val="none"/>
        </w:rPr>
      </w:pPr>
    </w:p>
    <w:p w14:paraId="577B0938">
      <w:pPr>
        <w:adjustRightInd w:val="0"/>
        <w:snapToGrid w:val="0"/>
        <w:spacing w:line="480" w:lineRule="exact"/>
        <w:ind w:right="23" w:rightChars="11"/>
        <w:rPr>
          <w:rFonts w:ascii="宋体" w:hAnsi="宋体" w:cs="宋体"/>
          <w:color w:val="auto"/>
          <w:szCs w:val="21"/>
          <w:highlight w:val="none"/>
        </w:rPr>
      </w:pPr>
      <w:r>
        <w:rPr>
          <w:rFonts w:hint="eastAsia" w:ascii="宋体" w:hAnsi="宋体" w:cs="宋体"/>
          <w:color w:val="auto"/>
          <w:szCs w:val="21"/>
          <w:highlight w:val="none"/>
        </w:rPr>
        <w:t>格式自拟</w:t>
      </w:r>
    </w:p>
    <w:p w14:paraId="3279F4ED">
      <w:pPr>
        <w:adjustRightInd w:val="0"/>
        <w:snapToGrid w:val="0"/>
        <w:spacing w:line="480" w:lineRule="exact"/>
        <w:ind w:right="23" w:rightChars="11"/>
        <w:rPr>
          <w:rFonts w:ascii="宋体" w:hAnsi="宋体" w:cs="宋体"/>
          <w:color w:val="auto"/>
          <w:szCs w:val="21"/>
          <w:highlight w:val="none"/>
        </w:rPr>
      </w:pPr>
    </w:p>
    <w:p w14:paraId="3B286BEF">
      <w:pPr>
        <w:adjustRightInd w:val="0"/>
        <w:snapToGrid w:val="0"/>
        <w:spacing w:line="480" w:lineRule="exact"/>
        <w:ind w:right="23" w:rightChars="11"/>
        <w:rPr>
          <w:rFonts w:ascii="宋体" w:hAnsi="宋体" w:cs="宋体"/>
          <w:color w:val="auto"/>
          <w:szCs w:val="21"/>
          <w:highlight w:val="none"/>
        </w:rPr>
      </w:pPr>
    </w:p>
    <w:p w14:paraId="4C22CF70">
      <w:pPr>
        <w:adjustRightInd w:val="0"/>
        <w:snapToGrid w:val="0"/>
        <w:spacing w:line="480" w:lineRule="exact"/>
        <w:ind w:right="23" w:rightChars="11"/>
        <w:rPr>
          <w:rFonts w:ascii="宋体" w:hAnsi="宋体" w:cs="宋体"/>
          <w:color w:val="auto"/>
          <w:szCs w:val="21"/>
          <w:highlight w:val="none"/>
        </w:rPr>
      </w:pPr>
    </w:p>
    <w:p w14:paraId="345AF115">
      <w:pPr>
        <w:adjustRightInd w:val="0"/>
        <w:snapToGrid w:val="0"/>
        <w:spacing w:line="480" w:lineRule="exact"/>
        <w:ind w:right="23" w:rightChars="11"/>
        <w:rPr>
          <w:rFonts w:ascii="宋体" w:hAnsi="宋体" w:cs="宋体"/>
          <w:color w:val="auto"/>
          <w:szCs w:val="21"/>
          <w:highlight w:val="none"/>
        </w:rPr>
      </w:pPr>
      <w:r>
        <w:rPr>
          <w:rFonts w:hint="eastAsia" w:ascii="宋体" w:hAnsi="宋体" w:cs="宋体"/>
          <w:color w:val="auto"/>
          <w:szCs w:val="21"/>
          <w:highlight w:val="none"/>
        </w:rPr>
        <w:t>供应商名称（盖</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章）：</w:t>
      </w:r>
    </w:p>
    <w:p w14:paraId="723921F5">
      <w:pPr>
        <w:adjustRightInd w:val="0"/>
        <w:snapToGrid w:val="0"/>
        <w:spacing w:line="480" w:lineRule="exact"/>
        <w:ind w:right="23" w:rightChars="11"/>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w:t>
      </w:r>
    </w:p>
    <w:p w14:paraId="3F8EDD50">
      <w:pPr>
        <w:adjustRightInd w:val="0"/>
        <w:snapToGrid w:val="0"/>
        <w:spacing w:line="360" w:lineRule="auto"/>
        <w:ind w:right="23" w:rightChars="11"/>
        <w:rPr>
          <w:rFonts w:ascii="宋体" w:hAnsi="宋体" w:cs="宋体"/>
          <w:color w:val="auto"/>
          <w:szCs w:val="21"/>
          <w:highlight w:val="none"/>
        </w:rPr>
      </w:pPr>
    </w:p>
    <w:p w14:paraId="19C1E199">
      <w:pPr>
        <w:adjustRightInd w:val="0"/>
        <w:snapToGrid w:val="0"/>
        <w:spacing w:line="360" w:lineRule="auto"/>
        <w:ind w:right="23" w:rightChars="11"/>
        <w:rPr>
          <w:rFonts w:ascii="宋体" w:hAnsi="宋体" w:cs="宋体"/>
          <w:color w:val="auto"/>
          <w:szCs w:val="21"/>
          <w:highlight w:val="none"/>
        </w:rPr>
      </w:pPr>
      <w:r>
        <w:rPr>
          <w:rFonts w:hint="eastAsia" w:ascii="宋体" w:hAnsi="宋体" w:cs="宋体"/>
          <w:color w:val="auto"/>
          <w:szCs w:val="21"/>
          <w:highlight w:val="none"/>
        </w:rPr>
        <w:t>日期：年月日</w:t>
      </w:r>
    </w:p>
    <w:p w14:paraId="3A762938">
      <w:pPr>
        <w:adjustRightInd w:val="0"/>
        <w:snapToGrid w:val="0"/>
        <w:spacing w:line="480" w:lineRule="exact"/>
        <w:ind w:right="23" w:rightChars="11"/>
        <w:rPr>
          <w:rFonts w:ascii="宋体" w:hAnsi="宋体" w:cs="宋体"/>
          <w:b/>
          <w:color w:val="auto"/>
          <w:sz w:val="28"/>
          <w:szCs w:val="28"/>
          <w:highlight w:val="none"/>
        </w:rPr>
      </w:pPr>
    </w:p>
    <w:p w14:paraId="1F0AD7D5">
      <w:pPr>
        <w:adjustRightInd w:val="0"/>
        <w:snapToGrid w:val="0"/>
        <w:spacing w:line="480" w:lineRule="exact"/>
        <w:ind w:right="23" w:rightChars="11"/>
        <w:rPr>
          <w:rFonts w:ascii="宋体" w:hAnsi="宋体" w:cs="宋体"/>
          <w:bCs/>
          <w:color w:val="auto"/>
          <w:sz w:val="24"/>
          <w:highlight w:val="none"/>
        </w:rPr>
      </w:pPr>
    </w:p>
    <w:p w14:paraId="275C325F">
      <w:pPr>
        <w:pStyle w:val="23"/>
        <w:adjustRightInd w:val="0"/>
        <w:snapToGrid w:val="0"/>
        <w:spacing w:line="360" w:lineRule="auto"/>
        <w:ind w:right="23" w:rightChars="11"/>
        <w:rPr>
          <w:rFonts w:hAnsi="宋体" w:cs="宋体"/>
          <w:b/>
          <w:color w:val="auto"/>
          <w:sz w:val="32"/>
          <w:szCs w:val="32"/>
          <w:highlight w:val="none"/>
        </w:rPr>
      </w:pPr>
    </w:p>
    <w:p w14:paraId="38ABC356">
      <w:pPr>
        <w:rPr>
          <w:rFonts w:hAnsi="宋体" w:cs="宋体"/>
          <w:b/>
          <w:color w:val="auto"/>
          <w:sz w:val="32"/>
          <w:szCs w:val="32"/>
          <w:highlight w:val="none"/>
        </w:rPr>
      </w:pPr>
      <w:r>
        <w:rPr>
          <w:rFonts w:hAnsi="宋体" w:cs="宋体"/>
          <w:b/>
          <w:color w:val="auto"/>
          <w:sz w:val="32"/>
          <w:szCs w:val="32"/>
          <w:highlight w:val="none"/>
        </w:rPr>
        <w:br w:type="page"/>
      </w:r>
    </w:p>
    <w:p w14:paraId="20C8325C">
      <w:pPr>
        <w:spacing w:line="360" w:lineRule="exact"/>
        <w:rPr>
          <w:rFonts w:hint="eastAsia" w:hAnsi="宋体" w:cs="宋体"/>
          <w:bCs/>
          <w:color w:val="auto"/>
          <w:sz w:val="24"/>
          <w:highlight w:val="none"/>
        </w:rPr>
      </w:pPr>
      <w:r>
        <w:rPr>
          <w:rFonts w:hint="eastAsia" w:hAnsi="宋体" w:cs="宋体"/>
          <w:bCs/>
          <w:color w:val="auto"/>
          <w:sz w:val="24"/>
          <w:highlight w:val="none"/>
        </w:rPr>
        <w:t>附件</w:t>
      </w:r>
      <w:r>
        <w:rPr>
          <w:rFonts w:hint="eastAsia" w:hAnsi="宋体" w:cs="宋体"/>
          <w:bCs/>
          <w:color w:val="auto"/>
          <w:sz w:val="24"/>
          <w:highlight w:val="none"/>
          <w:lang w:val="en-US" w:eastAsia="zh-CN"/>
        </w:rPr>
        <w:t>5</w:t>
      </w:r>
      <w:r>
        <w:rPr>
          <w:rFonts w:hint="eastAsia" w:hAnsi="宋体" w:cs="宋体"/>
          <w:bCs/>
          <w:color w:val="auto"/>
          <w:sz w:val="24"/>
          <w:highlight w:val="none"/>
        </w:rPr>
        <w:t>：</w:t>
      </w:r>
    </w:p>
    <w:p w14:paraId="3828FD98">
      <w:pPr>
        <w:pStyle w:val="23"/>
        <w:adjustRightInd w:val="0"/>
        <w:snapToGrid w:val="0"/>
        <w:spacing w:line="360" w:lineRule="auto"/>
        <w:ind w:right="23" w:rightChars="11"/>
        <w:jc w:val="center"/>
        <w:rPr>
          <w:rFonts w:hint="eastAsia" w:hAnsi="宋体" w:cs="宋体"/>
          <w:b/>
          <w:color w:val="auto"/>
          <w:sz w:val="28"/>
          <w:szCs w:val="28"/>
          <w:highlight w:val="none"/>
        </w:rPr>
      </w:pPr>
      <w:r>
        <w:rPr>
          <w:rFonts w:hint="eastAsia" w:hAnsi="宋体" w:cs="宋体"/>
          <w:b/>
          <w:color w:val="auto"/>
          <w:sz w:val="28"/>
          <w:szCs w:val="28"/>
          <w:highlight w:val="none"/>
        </w:rPr>
        <w:t>项目</w:t>
      </w:r>
      <w:r>
        <w:rPr>
          <w:rFonts w:hint="eastAsia" w:hAnsi="宋体" w:cs="宋体"/>
          <w:b/>
          <w:color w:val="auto"/>
          <w:sz w:val="28"/>
          <w:szCs w:val="28"/>
          <w:highlight w:val="none"/>
          <w:lang w:eastAsia="zh-CN"/>
        </w:rPr>
        <w:t>不</w:t>
      </w:r>
      <w:r>
        <w:rPr>
          <w:rFonts w:hint="eastAsia" w:hAnsi="宋体" w:cs="宋体"/>
          <w:b/>
          <w:color w:val="auto"/>
          <w:sz w:val="28"/>
          <w:szCs w:val="28"/>
          <w:highlight w:val="none"/>
        </w:rPr>
        <w:t>挂靠</w:t>
      </w:r>
      <w:r>
        <w:rPr>
          <w:rFonts w:hint="eastAsia" w:hAnsi="宋体" w:cs="宋体"/>
          <w:b/>
          <w:color w:val="auto"/>
          <w:sz w:val="28"/>
          <w:szCs w:val="28"/>
          <w:highlight w:val="none"/>
          <w:lang w:eastAsia="zh-CN"/>
        </w:rPr>
        <w:t>、不</w:t>
      </w:r>
      <w:r>
        <w:rPr>
          <w:rFonts w:hint="eastAsia" w:hAnsi="宋体" w:cs="宋体"/>
          <w:b/>
          <w:color w:val="auto"/>
          <w:sz w:val="28"/>
          <w:szCs w:val="28"/>
          <w:highlight w:val="none"/>
        </w:rPr>
        <w:t>转包</w:t>
      </w:r>
      <w:r>
        <w:rPr>
          <w:rFonts w:hint="eastAsia" w:hAnsi="宋体" w:cs="宋体"/>
          <w:b/>
          <w:color w:val="auto"/>
          <w:sz w:val="28"/>
          <w:szCs w:val="28"/>
          <w:highlight w:val="none"/>
          <w:lang w:eastAsia="zh-CN"/>
        </w:rPr>
        <w:t>、不违法分包</w:t>
      </w:r>
      <w:r>
        <w:rPr>
          <w:rFonts w:hint="eastAsia" w:hAnsi="宋体" w:cs="宋体"/>
          <w:b/>
          <w:color w:val="auto"/>
          <w:sz w:val="28"/>
          <w:szCs w:val="28"/>
          <w:highlight w:val="none"/>
        </w:rPr>
        <w:t>承诺书</w:t>
      </w:r>
    </w:p>
    <w:p w14:paraId="5CA1110F">
      <w:pPr>
        <w:pStyle w:val="2"/>
        <w:rPr>
          <w:rFonts w:ascii="宋体" w:hAnsi="宋体" w:eastAsia="宋体" w:cs="宋体"/>
          <w:b/>
          <w:color w:val="auto"/>
          <w:sz w:val="28"/>
          <w:szCs w:val="28"/>
          <w:highlight w:val="none"/>
        </w:rPr>
      </w:pPr>
    </w:p>
    <w:p w14:paraId="0ED26AA0">
      <w:pPr>
        <w:spacing w:line="500" w:lineRule="exact"/>
        <w:jc w:val="left"/>
        <w:rPr>
          <w:rFonts w:eastAsia="宋体"/>
          <w:color w:val="auto"/>
          <w:sz w:val="24"/>
          <w:highlight w:val="none"/>
        </w:rPr>
      </w:pPr>
      <w:r>
        <w:rPr>
          <w:rFonts w:ascii="宋体" w:hAnsi="宋体" w:eastAsia="宋体" w:cs="宋体"/>
          <w:color w:val="auto"/>
          <w:sz w:val="24"/>
          <w:highlight w:val="none"/>
        </w:rPr>
        <w:t>致：</w:t>
      </w:r>
      <w:r>
        <w:rPr>
          <w:rFonts w:hint="eastAsia" w:ascii="宋体" w:hAnsi="宋体" w:eastAsia="宋体" w:cs="宋体"/>
          <w:color w:val="auto"/>
          <w:sz w:val="24"/>
          <w:highlight w:val="none"/>
        </w:rPr>
        <w:t>湖南工商大学</w:t>
      </w:r>
    </w:p>
    <w:p w14:paraId="11A34749">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我方（以下简称“承诺方”）作为</w:t>
      </w:r>
      <w:r>
        <w:rPr>
          <w:rFonts w:hint="eastAsia"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rPr>
        <w:t>[编号]）的供应商，为维护公平、公正、诚实信用的政府采购市场秩序，保证所供服务</w:t>
      </w:r>
      <w:r>
        <w:rPr>
          <w:rFonts w:hint="eastAsia" w:ascii="宋体" w:hAnsi="宋体" w:eastAsia="宋体" w:cs="宋体"/>
          <w:color w:val="auto"/>
          <w:sz w:val="21"/>
          <w:szCs w:val="21"/>
          <w:highlight w:val="none"/>
          <w:lang w:eastAsia="zh-CN"/>
        </w:rPr>
        <w:t>服务</w:t>
      </w:r>
      <w:r>
        <w:rPr>
          <w:rFonts w:ascii="宋体" w:hAnsi="宋体" w:eastAsia="宋体" w:cs="宋体"/>
          <w:color w:val="auto"/>
          <w:sz w:val="21"/>
          <w:szCs w:val="21"/>
          <w:highlight w:val="none"/>
        </w:rPr>
        <w:t>，根据《中华人民共和国政府采购法》、《中华人民共和国招标投标法》等相关法律法规的规定，现就本项目不存在</w:t>
      </w:r>
      <w:r>
        <w:rPr>
          <w:rFonts w:hint="eastAsia" w:ascii="宋体" w:hAnsi="宋体" w:eastAsia="宋体" w:cs="宋体"/>
          <w:color w:val="auto"/>
          <w:sz w:val="21"/>
          <w:szCs w:val="21"/>
          <w:highlight w:val="none"/>
        </w:rPr>
        <w:t>挂靠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转包</w:t>
      </w:r>
      <w:r>
        <w:rPr>
          <w:rFonts w:hint="eastAsia" w:ascii="宋体" w:hAnsi="宋体" w:eastAsia="宋体" w:cs="宋体"/>
          <w:color w:val="auto"/>
          <w:sz w:val="21"/>
          <w:szCs w:val="21"/>
          <w:highlight w:val="none"/>
          <w:lang w:eastAsia="zh-CN"/>
        </w:rPr>
        <w:t>、违法分包</w:t>
      </w:r>
      <w:r>
        <w:rPr>
          <w:rFonts w:ascii="宋体" w:hAnsi="宋体" w:eastAsia="宋体" w:cs="宋体"/>
          <w:color w:val="auto"/>
          <w:sz w:val="21"/>
          <w:szCs w:val="21"/>
          <w:highlight w:val="none"/>
        </w:rPr>
        <w:t>行为郑重承诺如下：</w:t>
      </w:r>
    </w:p>
    <w:p w14:paraId="19B95726">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一、承诺方保证以自身的名义参与本项目投标（或响应），具备独立承担民事责任的能力。承诺方保证不以任何形式允许其他单位或个人使用本单位的营业执照、资质证书等文件参与投标或承揽业务；不向任何单位或个人出借资质；不与任何单位或个人达成</w:t>
      </w:r>
      <w:r>
        <w:rPr>
          <w:rFonts w:hint="eastAsia" w:ascii="宋体" w:hAnsi="宋体" w:eastAsia="宋体" w:cs="宋体"/>
          <w:color w:val="auto"/>
          <w:sz w:val="21"/>
          <w:szCs w:val="21"/>
          <w:highlight w:val="none"/>
        </w:rPr>
        <w:t>挂靠和转包</w:t>
      </w:r>
      <w:r>
        <w:rPr>
          <w:rFonts w:ascii="宋体" w:hAnsi="宋体" w:eastAsia="宋体" w:cs="宋体"/>
          <w:color w:val="auto"/>
          <w:sz w:val="21"/>
          <w:szCs w:val="21"/>
          <w:highlight w:val="none"/>
        </w:rPr>
        <w:t>协议或默契。</w:t>
      </w:r>
    </w:p>
    <w:p w14:paraId="53CC2C22">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二、承诺方保证若中标（或成交），将严格履行政府采购合同义务。承诺方保证项目负责人</w:t>
      </w:r>
      <w:r>
        <w:rPr>
          <w:rFonts w:hint="eastAsia" w:ascii="宋体" w:hAnsi="宋体" w:cs="宋体"/>
          <w:color w:val="auto"/>
          <w:sz w:val="21"/>
          <w:szCs w:val="21"/>
          <w:highlight w:val="none"/>
          <w:lang w:eastAsia="zh-CN"/>
        </w:rPr>
        <w:t>及专业技术人员</w:t>
      </w:r>
      <w:r>
        <w:rPr>
          <w:rFonts w:ascii="宋体" w:hAnsi="宋体" w:eastAsia="宋体" w:cs="宋体"/>
          <w:color w:val="auto"/>
          <w:sz w:val="21"/>
          <w:szCs w:val="21"/>
          <w:highlight w:val="none"/>
        </w:rPr>
        <w:t>为本单位在职人员，并按</w:t>
      </w:r>
      <w:r>
        <w:rPr>
          <w:rFonts w:hint="eastAsia" w:ascii="宋体" w:hAnsi="宋体" w:eastAsia="宋体" w:cs="宋体"/>
          <w:color w:val="auto"/>
          <w:sz w:val="21"/>
          <w:szCs w:val="21"/>
          <w:highlight w:val="none"/>
          <w:lang w:eastAsia="zh-CN"/>
        </w:rPr>
        <w:t>招投文件</w:t>
      </w:r>
      <w:r>
        <w:rPr>
          <w:rFonts w:ascii="宋体" w:hAnsi="宋体" w:eastAsia="宋体" w:cs="宋体"/>
          <w:color w:val="auto"/>
          <w:sz w:val="21"/>
          <w:szCs w:val="21"/>
          <w:highlight w:val="none"/>
        </w:rPr>
        <w:t>规定履行职责。</w:t>
      </w:r>
    </w:p>
    <w:p w14:paraId="5EF0A73E">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三、承诺方保证本项目的资金流向清晰、合法。项目款项将全部进入承诺方公司账户，并由承诺方统一核算、统一管理，不向任何</w:t>
      </w:r>
      <w:r>
        <w:rPr>
          <w:rFonts w:hint="eastAsia" w:ascii="宋体" w:hAnsi="宋体" w:eastAsia="宋体" w:cs="宋体"/>
          <w:color w:val="auto"/>
          <w:sz w:val="21"/>
          <w:szCs w:val="21"/>
          <w:highlight w:val="none"/>
        </w:rPr>
        <w:t>挂靠和转包</w:t>
      </w:r>
      <w:r>
        <w:rPr>
          <w:rFonts w:ascii="宋体" w:hAnsi="宋体" w:eastAsia="宋体" w:cs="宋体"/>
          <w:color w:val="auto"/>
          <w:sz w:val="21"/>
          <w:szCs w:val="21"/>
          <w:highlight w:val="none"/>
        </w:rPr>
        <w:t>方或</w:t>
      </w:r>
      <w:r>
        <w:rPr>
          <w:rFonts w:hint="eastAsia" w:ascii="宋体" w:hAnsi="宋体" w:eastAsia="宋体" w:cs="宋体"/>
          <w:color w:val="auto"/>
          <w:sz w:val="21"/>
          <w:szCs w:val="21"/>
          <w:highlight w:val="none"/>
          <w:lang w:eastAsia="zh-CN"/>
        </w:rPr>
        <w:t>违法分包方</w:t>
      </w:r>
      <w:r>
        <w:rPr>
          <w:rFonts w:ascii="宋体" w:hAnsi="宋体" w:eastAsia="宋体" w:cs="宋体"/>
          <w:color w:val="auto"/>
          <w:sz w:val="21"/>
          <w:szCs w:val="21"/>
          <w:highlight w:val="none"/>
        </w:rPr>
        <w:t>支付任何形式的“管理费”、“</w:t>
      </w:r>
      <w:r>
        <w:rPr>
          <w:rFonts w:hint="eastAsia" w:ascii="宋体" w:hAnsi="宋体" w:eastAsia="宋体" w:cs="宋体"/>
          <w:color w:val="auto"/>
          <w:sz w:val="21"/>
          <w:szCs w:val="21"/>
          <w:highlight w:val="none"/>
        </w:rPr>
        <w:t>挂靠或转包</w:t>
      </w:r>
      <w:r>
        <w:rPr>
          <w:rFonts w:ascii="宋体" w:hAnsi="宋体" w:eastAsia="宋体" w:cs="宋体"/>
          <w:color w:val="auto"/>
          <w:sz w:val="21"/>
          <w:szCs w:val="21"/>
          <w:highlight w:val="none"/>
        </w:rPr>
        <w:t>费”或进行违规的资金拆借。</w:t>
      </w:r>
    </w:p>
    <w:p w14:paraId="3C4FD977">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四、承诺方保证提供的所有投标（或响应）文件资料，包括但不限于业绩合同、中小企业声明函等，均为真实、合法、有效，不存在提供虚假材料谋取中标的情形。</w:t>
      </w:r>
    </w:p>
    <w:p w14:paraId="10AB1827">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五、如违反本承诺书中的任何条款，承诺方自愿接受以下处理：</w:t>
      </w:r>
    </w:p>
    <w:p w14:paraId="58EA6DA6">
      <w:pPr>
        <w:spacing w:line="500" w:lineRule="exact"/>
        <w:ind w:firstLine="420" w:firstLineChars="200"/>
        <w:rPr>
          <w:color w:val="auto"/>
          <w:sz w:val="21"/>
          <w:szCs w:val="21"/>
          <w:highlight w:val="none"/>
        </w:rPr>
      </w:pPr>
      <w:r>
        <w:rPr>
          <w:rFonts w:hint="eastAsia" w:ascii="宋体" w:hAnsi="宋体" w:eastAsia="宋体" w:cs="宋体"/>
          <w:color w:val="auto"/>
          <w:sz w:val="21"/>
          <w:szCs w:val="21"/>
          <w:highlight w:val="none"/>
        </w:rPr>
        <w:t>1</w:t>
      </w:r>
      <w:r>
        <w:rPr>
          <w:rFonts w:ascii="宋体" w:hAnsi="宋体" w:eastAsia="宋体" w:cs="宋体"/>
          <w:color w:val="auto"/>
          <w:sz w:val="21"/>
          <w:szCs w:val="21"/>
          <w:highlight w:val="none"/>
        </w:rPr>
        <w:t>.贵方有权取消承诺方的中标（或成交）资格，不予退还投标保证金（如有）；若已签订合同，贵方有权单方面解除合同，并要求承诺方承担由此造成的一切经济损失。</w:t>
      </w:r>
    </w:p>
    <w:p w14:paraId="627B0FE2">
      <w:pPr>
        <w:spacing w:line="500" w:lineRule="exact"/>
        <w:ind w:firstLine="420" w:firstLineChars="200"/>
        <w:rPr>
          <w:rFonts w:hint="eastAsia" w:eastAsia="宋体"/>
          <w:color w:val="auto"/>
          <w:sz w:val="21"/>
          <w:szCs w:val="21"/>
          <w:highlight w:val="none"/>
          <w:lang w:eastAsia="zh-CN"/>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.承诺方愿意接受财政部门依法给予的列入不良行为记录名单、在一至三年内禁止参加政府采购活动等行政处罚。</w:t>
      </w:r>
      <w:r>
        <w:rPr>
          <w:rFonts w:hint="eastAsia" w:ascii="宋体" w:hAnsi="宋体" w:eastAsia="宋体" w:cs="宋体"/>
          <w:color w:val="auto"/>
          <w:sz w:val="21"/>
          <w:szCs w:val="21"/>
          <w:highlight w:val="none"/>
          <w:lang w:eastAsia="zh-CN"/>
        </w:rPr>
        <w:t>同时，列入学校黑名单，三年内不可参加学校项目建设。</w:t>
      </w:r>
    </w:p>
    <w:p w14:paraId="19C71840">
      <w:pPr>
        <w:spacing w:line="500" w:lineRule="exact"/>
        <w:ind w:firstLine="420" w:firstLineChars="200"/>
        <w:rPr>
          <w:color w:val="auto"/>
          <w:sz w:val="21"/>
          <w:szCs w:val="21"/>
          <w:highlight w:val="none"/>
        </w:rPr>
      </w:pPr>
      <w:r>
        <w:rPr>
          <w:rFonts w:hint="eastAsia" w:ascii="宋体" w:hAnsi="宋体" w:eastAsia="宋体" w:cs="宋体"/>
          <w:color w:val="auto"/>
          <w:sz w:val="21"/>
          <w:szCs w:val="21"/>
          <w:highlight w:val="none"/>
        </w:rPr>
        <w:t>3</w:t>
      </w:r>
      <w:r>
        <w:rPr>
          <w:rFonts w:ascii="宋体" w:hAnsi="宋体" w:eastAsia="宋体" w:cs="宋体"/>
          <w:color w:val="auto"/>
          <w:sz w:val="21"/>
          <w:szCs w:val="21"/>
          <w:highlight w:val="none"/>
        </w:rPr>
        <w:t>.对因</w:t>
      </w:r>
      <w:r>
        <w:rPr>
          <w:rFonts w:hint="eastAsia" w:ascii="宋体" w:hAnsi="宋体" w:eastAsia="宋体" w:cs="宋体"/>
          <w:color w:val="auto"/>
          <w:sz w:val="21"/>
          <w:szCs w:val="21"/>
          <w:highlight w:val="none"/>
        </w:rPr>
        <w:t>挂靠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转包</w:t>
      </w:r>
      <w:r>
        <w:rPr>
          <w:rFonts w:hint="eastAsia" w:ascii="宋体" w:hAnsi="宋体" w:eastAsia="宋体" w:cs="宋体"/>
          <w:color w:val="auto"/>
          <w:sz w:val="21"/>
          <w:szCs w:val="21"/>
          <w:highlight w:val="none"/>
          <w:lang w:eastAsia="zh-CN"/>
        </w:rPr>
        <w:t>和违法分包</w:t>
      </w:r>
      <w:r>
        <w:rPr>
          <w:rFonts w:ascii="宋体" w:hAnsi="宋体" w:eastAsia="宋体" w:cs="宋体"/>
          <w:color w:val="auto"/>
          <w:sz w:val="21"/>
          <w:szCs w:val="21"/>
          <w:highlight w:val="none"/>
        </w:rPr>
        <w:t>行为导致的一切法律纠纷及后果，承诺方愿意承担全部法律责任。</w:t>
      </w:r>
    </w:p>
    <w:p w14:paraId="0578D1BE">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本承诺书自承诺方签字盖章之日起生效，作为本项目采购文件的组成部分，具有同等法律效力。</w:t>
      </w:r>
    </w:p>
    <w:p w14:paraId="0ABCA464">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特此承诺！</w:t>
      </w:r>
    </w:p>
    <w:p w14:paraId="47AC0DFF">
      <w:pPr>
        <w:spacing w:before="160"/>
        <w:ind w:firstLine="420" w:firstLineChars="200"/>
        <w:jc w:val="left"/>
        <w:rPr>
          <w:rFonts w:ascii="宋体" w:hAnsi="宋体" w:eastAsia="宋体" w:cs="宋体"/>
          <w:color w:val="auto"/>
          <w:sz w:val="21"/>
          <w:szCs w:val="21"/>
          <w:highlight w:val="none"/>
        </w:rPr>
      </w:pPr>
    </w:p>
    <w:p w14:paraId="697F4156">
      <w:pPr>
        <w:spacing w:before="160"/>
        <w:ind w:firstLine="420" w:firstLineChars="200"/>
        <w:jc w:val="left"/>
        <w:rPr>
          <w:color w:val="auto"/>
          <w:sz w:val="21"/>
          <w:szCs w:val="21"/>
          <w:highlight w:val="none"/>
        </w:rPr>
      </w:pPr>
      <w:r>
        <w:rPr>
          <w:rFonts w:ascii="宋体" w:hAnsi="宋体" w:eastAsia="宋体" w:cs="宋体"/>
          <w:color w:val="auto"/>
          <w:sz w:val="21"/>
          <w:szCs w:val="21"/>
          <w:highlight w:val="none"/>
        </w:rPr>
        <w:t>承诺方（</w:t>
      </w:r>
      <w:r>
        <w:rPr>
          <w:rFonts w:hint="eastAsia" w:ascii="宋体" w:hAnsi="宋体" w:cs="宋体"/>
          <w:color w:val="auto"/>
          <w:szCs w:val="21"/>
          <w:highlight w:val="none"/>
        </w:rPr>
        <w:t>盖</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章</w:t>
      </w:r>
      <w:r>
        <w:rPr>
          <w:rFonts w:ascii="宋体" w:hAnsi="宋体" w:eastAsia="宋体" w:cs="宋体"/>
          <w:color w:val="auto"/>
          <w:sz w:val="21"/>
          <w:szCs w:val="21"/>
          <w:highlight w:val="none"/>
        </w:rPr>
        <w:t>）：[公司全称]</w:t>
      </w:r>
    </w:p>
    <w:p w14:paraId="7B192313">
      <w:pPr>
        <w:spacing w:before="160"/>
        <w:ind w:firstLine="420" w:firstLineChars="200"/>
        <w:jc w:val="left"/>
        <w:rPr>
          <w:color w:val="auto"/>
          <w:sz w:val="21"/>
          <w:szCs w:val="21"/>
          <w:highlight w:val="none"/>
        </w:rPr>
      </w:pPr>
      <w:r>
        <w:rPr>
          <w:rFonts w:ascii="宋体" w:hAnsi="宋体" w:eastAsia="宋体" w:cs="宋体"/>
          <w:color w:val="auto"/>
          <w:sz w:val="21"/>
          <w:szCs w:val="21"/>
          <w:highlight w:val="none"/>
        </w:rPr>
        <w:t>法定代表人或其授权委托人（签字）：_________________</w:t>
      </w:r>
    </w:p>
    <w:p w14:paraId="1992FD43">
      <w:pPr>
        <w:spacing w:before="160"/>
        <w:ind w:firstLine="420" w:firstLineChars="200"/>
        <w:jc w:val="left"/>
        <w:rPr>
          <w:color w:val="auto"/>
          <w:sz w:val="24"/>
          <w:highlight w:val="none"/>
        </w:rPr>
      </w:pPr>
      <w:r>
        <w:rPr>
          <w:rFonts w:ascii="宋体" w:hAnsi="宋体" w:eastAsia="宋体" w:cs="宋体"/>
          <w:color w:val="auto"/>
          <w:sz w:val="21"/>
          <w:szCs w:val="21"/>
          <w:highlight w:val="none"/>
        </w:rPr>
        <w:t>日期：_______年_______月_______日</w:t>
      </w:r>
    </w:p>
    <w:p w14:paraId="3AAF2306">
      <w:pPr>
        <w:pStyle w:val="15"/>
        <w:rPr>
          <w:color w:val="auto"/>
          <w:highlight w:val="none"/>
        </w:rPr>
        <w:sectPr>
          <w:pgSz w:w="11906" w:h="16838"/>
          <w:pgMar w:top="1440" w:right="1080" w:bottom="1440" w:left="1080" w:header="851" w:footer="992" w:gutter="0"/>
          <w:cols w:space="720" w:num="1"/>
          <w:docGrid w:linePitch="312" w:charSpace="0"/>
        </w:sectPr>
      </w:pPr>
    </w:p>
    <w:p w14:paraId="3A0495D6">
      <w:pPr>
        <w:spacing w:line="360" w:lineRule="exact"/>
        <w:jc w:val="center"/>
        <w:rPr>
          <w:rFonts w:ascii="黑体" w:eastAsia="黑体"/>
          <w:b/>
          <w:color w:val="auto"/>
          <w:sz w:val="32"/>
          <w:szCs w:val="32"/>
          <w:highlight w:val="none"/>
        </w:rPr>
      </w:pPr>
      <w:r>
        <w:rPr>
          <w:rFonts w:hint="eastAsia" w:ascii="黑体" w:eastAsia="黑体"/>
          <w:b/>
          <w:color w:val="auto"/>
          <w:sz w:val="32"/>
          <w:szCs w:val="32"/>
          <w:highlight w:val="none"/>
        </w:rPr>
        <w:t>二</w:t>
      </w:r>
      <w:r>
        <w:rPr>
          <w:rFonts w:hint="eastAsia" w:ascii="黑体" w:hAnsi="宋体" w:eastAsia="黑体"/>
          <w:b/>
          <w:color w:val="auto"/>
          <w:sz w:val="32"/>
          <w:szCs w:val="32"/>
          <w:highlight w:val="none"/>
        </w:rPr>
        <w:t>、磋商</w:t>
      </w:r>
      <w:r>
        <w:rPr>
          <w:rFonts w:hint="eastAsia" w:ascii="黑体" w:eastAsia="黑体"/>
          <w:b/>
          <w:color w:val="auto"/>
          <w:sz w:val="32"/>
          <w:szCs w:val="32"/>
          <w:highlight w:val="none"/>
        </w:rPr>
        <w:t>保证金缴纳证明材料（本项目不适用）</w:t>
      </w:r>
    </w:p>
    <w:p w14:paraId="76AC3B27">
      <w:pPr>
        <w:pStyle w:val="23"/>
        <w:adjustRightInd w:val="0"/>
        <w:snapToGrid w:val="0"/>
        <w:spacing w:before="120" w:beforeLines="50" w:line="360" w:lineRule="auto"/>
        <w:rPr>
          <w:rFonts w:hAnsi="宋体"/>
          <w:color w:val="auto"/>
          <w:highlight w:val="none"/>
        </w:rPr>
      </w:pPr>
    </w:p>
    <w:p w14:paraId="646F6B98">
      <w:pPr>
        <w:rPr>
          <w:rFonts w:ascii="Calibri" w:hAnsi="Calibri"/>
          <w:color w:val="auto"/>
          <w:szCs w:val="22"/>
          <w:highlight w:val="none"/>
        </w:rPr>
      </w:pPr>
      <w:r>
        <w:rPr>
          <w:rFonts w:hint="eastAsia" w:ascii="Calibri" w:hAnsi="Calibri"/>
          <w:color w:val="auto"/>
          <w:szCs w:val="22"/>
          <w:highlight w:val="none"/>
        </w:rPr>
        <w:t>1、提供银行进帐单复印件。</w:t>
      </w:r>
    </w:p>
    <w:p w14:paraId="0122DD99">
      <w:pPr>
        <w:adjustRightInd w:val="0"/>
        <w:snapToGrid w:val="0"/>
        <w:spacing w:line="360" w:lineRule="auto"/>
        <w:rPr>
          <w:rFonts w:ascii="Calibri" w:hAnsi="Calibri"/>
          <w:color w:val="auto"/>
          <w:szCs w:val="22"/>
          <w:highlight w:val="none"/>
        </w:rPr>
      </w:pPr>
      <w:r>
        <w:rPr>
          <w:rFonts w:hint="eastAsia" w:ascii="Calibri" w:hAnsi="Calibri"/>
          <w:color w:val="auto"/>
          <w:szCs w:val="22"/>
          <w:highlight w:val="none"/>
        </w:rPr>
        <w:t>2、根据供应商递交的《投标保证金退还申请书》上的账户信息，以转账或电汇方式退还至供应商的原缴纳账户。</w:t>
      </w:r>
    </w:p>
    <w:p w14:paraId="18791155">
      <w:pPr>
        <w:widowControl/>
        <w:jc w:val="left"/>
        <w:rPr>
          <w:rFonts w:ascii="宋体" w:hAnsi="宋体" w:cs="宋体"/>
          <w:bCs/>
          <w:color w:val="auto"/>
          <w:sz w:val="24"/>
          <w:szCs w:val="21"/>
          <w:highlight w:val="none"/>
        </w:rPr>
      </w:pPr>
      <w:r>
        <w:rPr>
          <w:rFonts w:ascii="宋体" w:hAnsi="宋体" w:cs="宋体"/>
          <w:bCs/>
          <w:color w:val="auto"/>
          <w:sz w:val="24"/>
          <w:szCs w:val="21"/>
          <w:highlight w:val="none"/>
        </w:rPr>
        <w:br w:type="page"/>
      </w:r>
    </w:p>
    <w:p w14:paraId="147A5BBA">
      <w:pPr>
        <w:adjustRightInd w:val="0"/>
        <w:snapToGrid w:val="0"/>
        <w:spacing w:line="360" w:lineRule="auto"/>
        <w:jc w:val="center"/>
        <w:outlineLvl w:val="0"/>
        <w:rPr>
          <w:rFonts w:ascii="黑体" w:hAnsi="黑体" w:eastAsia="黑体"/>
          <w:b/>
          <w:bCs/>
          <w:color w:val="auto"/>
          <w:sz w:val="32"/>
          <w:szCs w:val="32"/>
          <w:highlight w:val="none"/>
        </w:rPr>
      </w:pPr>
      <w:r>
        <w:rPr>
          <w:rFonts w:hint="eastAsia" w:ascii="黑体" w:hAnsi="黑体" w:eastAsia="黑体"/>
          <w:b/>
          <w:color w:val="auto"/>
          <w:sz w:val="32"/>
          <w:szCs w:val="32"/>
          <w:highlight w:val="none"/>
        </w:rPr>
        <w:t>三、联合体协议(本项目不适用)</w:t>
      </w:r>
    </w:p>
    <w:p w14:paraId="12861ACC">
      <w:pPr>
        <w:adjustRightInd w:val="0"/>
        <w:snapToGrid w:val="0"/>
        <w:spacing w:line="360" w:lineRule="auto"/>
        <w:rPr>
          <w:rFonts w:ascii="宋体" w:hAnsi="宋体"/>
          <w:color w:val="auto"/>
          <w:sz w:val="24"/>
          <w:szCs w:val="21"/>
          <w:highlight w:val="none"/>
        </w:rPr>
      </w:pPr>
    </w:p>
    <w:p w14:paraId="1038065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致(采购人或采购代理机构)：</w:t>
      </w:r>
    </w:p>
    <w:p w14:paraId="6C04641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经研究，我们决定自愿组成联合体共同申请参加（项目名称）项目（政府采购编号、采购代理编号）的竞争性磋商。现就联合体事宜订立如下协议：</w:t>
      </w:r>
    </w:p>
    <w:p w14:paraId="1A6C26B7">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一、联合体基本信息：（各方公司名称、地址、营业执照、法定代表人姓名）。</w:t>
      </w:r>
    </w:p>
    <w:p w14:paraId="564FDB6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二、（某成员单位名称）为（联合体名称）牵头人。</w:t>
      </w:r>
    </w:p>
    <w:p w14:paraId="630D0AD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2A0CAD5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四．联合体将严格按照磋商文件的各项要求，递交响应文件，参加磋商，履行成交义务和成交后的合同，并向采购人承担连带责任。</w:t>
      </w:r>
    </w:p>
    <w:p w14:paraId="47742BB0">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五、联合体各成员单位内部的职责分工如下：按照本条上述分工，联合体成员单位各自所承担的合同工作量比例如下： 。</w:t>
      </w:r>
    </w:p>
    <w:p w14:paraId="244BA1C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六、本协议书自签署之日起生效，合同履行完毕后自动失效。</w:t>
      </w:r>
    </w:p>
    <w:p w14:paraId="7EBEF3E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七、本协议书一式份，联合体成员和采购人各执一份。</w:t>
      </w:r>
    </w:p>
    <w:p w14:paraId="6B5C907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牵头人名称（盖单位章）：</w:t>
      </w:r>
    </w:p>
    <w:p w14:paraId="4F8322C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olor w:val="auto"/>
          <w:szCs w:val="21"/>
          <w:highlight w:val="none"/>
        </w:rPr>
        <w:t>）：</w:t>
      </w:r>
    </w:p>
    <w:p w14:paraId="3D6DD1B5">
      <w:pPr>
        <w:adjustRightInd w:val="0"/>
        <w:snapToGrid w:val="0"/>
        <w:spacing w:line="360" w:lineRule="auto"/>
        <w:rPr>
          <w:rFonts w:ascii="宋体" w:hAnsi="宋体"/>
          <w:color w:val="auto"/>
          <w:szCs w:val="21"/>
          <w:highlight w:val="none"/>
        </w:rPr>
      </w:pPr>
    </w:p>
    <w:p w14:paraId="4463527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成员二名称（盖单位章）：</w:t>
      </w:r>
    </w:p>
    <w:p w14:paraId="20BE18D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olor w:val="auto"/>
          <w:szCs w:val="21"/>
          <w:highlight w:val="none"/>
        </w:rPr>
        <w:t>）：</w:t>
      </w:r>
    </w:p>
    <w:p w14:paraId="602A496A">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 xml:space="preserve">年月日  </w:t>
      </w:r>
    </w:p>
    <w:p w14:paraId="19A0E93F">
      <w:pPr>
        <w:adjustRightInd w:val="0"/>
        <w:snapToGrid w:val="0"/>
        <w:spacing w:line="360" w:lineRule="auto"/>
        <w:jc w:val="center"/>
        <w:rPr>
          <w:rFonts w:ascii="黑体" w:hAnsi="宋体" w:eastAsia="黑体"/>
          <w:b/>
          <w:color w:val="auto"/>
          <w:sz w:val="32"/>
          <w:szCs w:val="32"/>
          <w:highlight w:val="none"/>
        </w:rPr>
      </w:pPr>
    </w:p>
    <w:p w14:paraId="459A482B">
      <w:pPr>
        <w:adjustRightInd w:val="0"/>
        <w:snapToGrid w:val="0"/>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说明：1、本协议书由委托代理人签字的，应附法定代表人签字的授权委托书。</w:t>
      </w:r>
    </w:p>
    <w:p w14:paraId="19E8C997">
      <w:pPr>
        <w:adjustRightInd w:val="0"/>
        <w:snapToGrid w:val="0"/>
        <w:spacing w:line="360" w:lineRule="auto"/>
        <w:ind w:firstLine="630" w:firstLineChars="300"/>
        <w:rPr>
          <w:rFonts w:ascii="仿宋_GB2312" w:hAnsi="宋体" w:eastAsia="仿宋_GB2312" w:cs="宋体"/>
          <w:color w:val="auto"/>
          <w:kern w:val="0"/>
          <w:szCs w:val="21"/>
          <w:highlight w:val="none"/>
        </w:rPr>
      </w:pPr>
      <w:r>
        <w:rPr>
          <w:rFonts w:hint="eastAsia" w:ascii="仿宋_GB2312" w:hAnsi="宋体" w:eastAsia="仿宋_GB2312"/>
          <w:color w:val="auto"/>
          <w:szCs w:val="21"/>
          <w:highlight w:val="none"/>
        </w:rPr>
        <w:t>2、联合体符合</w:t>
      </w:r>
      <w:r>
        <w:rPr>
          <w:rFonts w:hint="eastAsia" w:ascii="仿宋_GB2312" w:hAnsi="宋体" w:eastAsia="仿宋_GB2312" w:cs="宋体"/>
          <w:color w:val="auto"/>
          <w:spacing w:val="6"/>
          <w:kern w:val="0"/>
          <w:szCs w:val="21"/>
          <w:highlight w:val="none"/>
        </w:rPr>
        <w:t>《工业和信息化部、国家统计局、国家发展和改革委员会、财政部关于印发中小企业划型标准规定的通知》（工信部联企业[2011]300号）和财政部、工业和信息化部《政府采购促进中小企业发展管理办法》（财库〔2020〕46号）</w:t>
      </w:r>
      <w:r>
        <w:rPr>
          <w:rFonts w:hint="eastAsia" w:ascii="仿宋_GB2312" w:hAnsi="宋体" w:eastAsia="仿宋_GB2312"/>
          <w:color w:val="auto"/>
          <w:szCs w:val="21"/>
          <w:highlight w:val="none"/>
        </w:rPr>
        <w:t>相关规定的，应提交《附件8-2：</w:t>
      </w:r>
      <w:r>
        <w:rPr>
          <w:rFonts w:hint="eastAsia" w:ascii="仿宋_GB2312" w:hAnsi="宋体" w:eastAsia="仿宋_GB2312" w:cs="宋体"/>
          <w:bCs/>
          <w:color w:val="auto"/>
          <w:spacing w:val="6"/>
          <w:kern w:val="0"/>
          <w:szCs w:val="21"/>
          <w:highlight w:val="none"/>
        </w:rPr>
        <w:t>中小企业声明函》。</w:t>
      </w:r>
    </w:p>
    <w:p w14:paraId="7695174A">
      <w:pPr>
        <w:adjustRightInd w:val="0"/>
        <w:snapToGrid w:val="0"/>
        <w:spacing w:line="360" w:lineRule="auto"/>
        <w:jc w:val="center"/>
        <w:rPr>
          <w:rFonts w:ascii="黑体" w:hAnsi="宋体" w:eastAsia="黑体"/>
          <w:b/>
          <w:color w:val="auto"/>
          <w:sz w:val="32"/>
          <w:szCs w:val="32"/>
          <w:highlight w:val="none"/>
        </w:rPr>
      </w:pPr>
    </w:p>
    <w:p w14:paraId="31EC6651">
      <w:pPr>
        <w:adjustRightInd w:val="0"/>
        <w:snapToGrid w:val="0"/>
        <w:spacing w:line="360" w:lineRule="auto"/>
        <w:rPr>
          <w:rFonts w:ascii="黑体" w:hAnsi="宋体" w:eastAsia="黑体"/>
          <w:b/>
          <w:color w:val="auto"/>
          <w:sz w:val="32"/>
          <w:szCs w:val="32"/>
          <w:highlight w:val="none"/>
        </w:rPr>
      </w:pPr>
    </w:p>
    <w:p w14:paraId="3EE2D26D">
      <w:pPr>
        <w:adjustRightInd w:val="0"/>
        <w:snapToGrid w:val="0"/>
        <w:spacing w:line="360" w:lineRule="auto"/>
        <w:jc w:val="center"/>
        <w:rPr>
          <w:rFonts w:ascii="黑体" w:hAnsi="宋体" w:eastAsia="黑体"/>
          <w:b/>
          <w:color w:val="auto"/>
          <w:sz w:val="32"/>
          <w:szCs w:val="32"/>
          <w:highlight w:val="none"/>
        </w:rPr>
      </w:pPr>
    </w:p>
    <w:p w14:paraId="1D274841">
      <w:pPr>
        <w:jc w:val="center"/>
        <w:rPr>
          <w:rFonts w:ascii="黑体" w:hAnsi="宋体" w:eastAsia="黑体"/>
          <w:b/>
          <w:bCs/>
          <w:color w:val="auto"/>
          <w:sz w:val="32"/>
          <w:szCs w:val="32"/>
          <w:highlight w:val="none"/>
        </w:rPr>
      </w:pPr>
      <w:r>
        <w:rPr>
          <w:rFonts w:hint="eastAsia" w:ascii="黑体" w:hAnsi="宋体" w:eastAsia="黑体"/>
          <w:b/>
          <w:color w:val="auto"/>
          <w:sz w:val="32"/>
          <w:szCs w:val="32"/>
          <w:highlight w:val="none"/>
        </w:rPr>
        <w:br w:type="page"/>
      </w:r>
      <w:r>
        <w:rPr>
          <w:rFonts w:hint="eastAsia" w:ascii="黑体" w:hAnsi="宋体" w:eastAsia="黑体"/>
          <w:b/>
          <w:color w:val="auto"/>
          <w:sz w:val="32"/>
          <w:szCs w:val="32"/>
          <w:highlight w:val="none"/>
        </w:rPr>
        <w:t>四</w:t>
      </w:r>
      <w:r>
        <w:rPr>
          <w:rFonts w:hint="eastAsia" w:ascii="黑体" w:eastAsia="黑体"/>
          <w:b/>
          <w:color w:val="auto"/>
          <w:sz w:val="32"/>
          <w:szCs w:val="32"/>
          <w:highlight w:val="none"/>
        </w:rPr>
        <w:t>、</w:t>
      </w:r>
      <w:r>
        <w:rPr>
          <w:rFonts w:hint="eastAsia" w:ascii="黑体" w:hAnsi="宋体" w:eastAsia="黑体"/>
          <w:b/>
          <w:color w:val="auto"/>
          <w:sz w:val="32"/>
          <w:szCs w:val="32"/>
          <w:highlight w:val="none"/>
        </w:rPr>
        <w:t>供应商</w:t>
      </w:r>
      <w:r>
        <w:rPr>
          <w:rFonts w:hint="eastAsia" w:ascii="黑体" w:hAnsi="宋体" w:eastAsia="黑体"/>
          <w:b/>
          <w:bCs/>
          <w:color w:val="auto"/>
          <w:sz w:val="32"/>
          <w:szCs w:val="32"/>
          <w:highlight w:val="none"/>
        </w:rPr>
        <w:t>的资格证明资料</w:t>
      </w:r>
    </w:p>
    <w:p w14:paraId="51371619">
      <w:pPr>
        <w:spacing w:line="480" w:lineRule="exact"/>
        <w:rPr>
          <w:rFonts w:ascii="黑体" w:hAnsi="黑体" w:eastAsia="黑体"/>
          <w:color w:val="auto"/>
          <w:sz w:val="30"/>
          <w:szCs w:val="30"/>
          <w:highlight w:val="none"/>
        </w:rPr>
      </w:pPr>
      <w:r>
        <w:rPr>
          <w:rFonts w:hint="eastAsia" w:ascii="黑体" w:hAnsi="黑体" w:eastAsia="黑体"/>
          <w:color w:val="auto"/>
          <w:sz w:val="30"/>
          <w:szCs w:val="30"/>
          <w:highlight w:val="none"/>
        </w:rPr>
        <w:t>附件6             供应商基本情况表</w:t>
      </w:r>
    </w:p>
    <w:p w14:paraId="703E2F7A">
      <w:pPr>
        <w:spacing w:line="480" w:lineRule="exact"/>
        <w:rPr>
          <w:rFonts w:ascii="黑体" w:hAnsi="黑体" w:eastAsia="黑体"/>
          <w:color w:val="auto"/>
          <w:sz w:val="30"/>
          <w:szCs w:val="30"/>
          <w:highlight w:val="none"/>
        </w:rPr>
      </w:pPr>
    </w:p>
    <w:p w14:paraId="289CFB4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盖</w:t>
      </w:r>
      <w:r>
        <w:rPr>
          <w:rFonts w:hint="eastAsia" w:ascii="宋体" w:hAnsi="宋体"/>
          <w:color w:val="auto"/>
          <w:szCs w:val="21"/>
          <w:highlight w:val="none"/>
        </w:rPr>
        <w:t>单位章</w:t>
      </w:r>
      <w:r>
        <w:rPr>
          <w:rFonts w:hint="eastAsia" w:ascii="宋体" w:hAnsi="宋体"/>
          <w:color w:val="auto"/>
          <w:szCs w:val="21"/>
          <w:highlight w:val="none"/>
          <w:lang w:eastAsia="zh-CN"/>
        </w:rPr>
        <w:t>）</w:t>
      </w:r>
    </w:p>
    <w:tbl>
      <w:tblPr>
        <w:tblStyle w:val="34"/>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1"/>
        <w:gridCol w:w="608"/>
        <w:gridCol w:w="410"/>
        <w:gridCol w:w="1289"/>
        <w:gridCol w:w="962"/>
        <w:gridCol w:w="663"/>
        <w:gridCol w:w="333"/>
        <w:gridCol w:w="1225"/>
        <w:gridCol w:w="1500"/>
        <w:gridCol w:w="2159"/>
      </w:tblGrid>
      <w:tr w14:paraId="667B9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18" w:type="pct"/>
            <w:gridSpan w:val="3"/>
            <w:tcBorders>
              <w:top w:val="double" w:color="auto" w:sz="4" w:space="0"/>
              <w:left w:val="double" w:color="auto" w:sz="4" w:space="0"/>
              <w:bottom w:val="single" w:color="auto" w:sz="6" w:space="0"/>
              <w:right w:val="single" w:color="auto" w:sz="6" w:space="0"/>
            </w:tcBorders>
            <w:vAlign w:val="center"/>
          </w:tcPr>
          <w:p w14:paraId="27055715">
            <w:pPr>
              <w:topLinePunct/>
              <w:spacing w:line="440" w:lineRule="exact"/>
              <w:jc w:val="center"/>
              <w:rPr>
                <w:rFonts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名称</w:t>
            </w:r>
          </w:p>
        </w:tc>
        <w:tc>
          <w:tcPr>
            <w:tcW w:w="2245" w:type="pct"/>
            <w:gridSpan w:val="5"/>
            <w:tcBorders>
              <w:top w:val="double" w:color="auto" w:sz="4" w:space="0"/>
              <w:left w:val="single" w:color="auto" w:sz="6" w:space="0"/>
              <w:bottom w:val="single" w:color="auto" w:sz="6" w:space="0"/>
              <w:right w:val="single" w:color="auto" w:sz="6" w:space="0"/>
            </w:tcBorders>
            <w:vAlign w:val="center"/>
          </w:tcPr>
          <w:p w14:paraId="029B9D0A">
            <w:pPr>
              <w:topLinePunct/>
              <w:spacing w:line="440" w:lineRule="exact"/>
              <w:jc w:val="center"/>
              <w:rPr>
                <w:rFonts w:ascii="宋体" w:hAnsi="宋体"/>
                <w:color w:val="auto"/>
                <w:szCs w:val="21"/>
                <w:highlight w:val="none"/>
              </w:rPr>
            </w:pPr>
          </w:p>
        </w:tc>
        <w:tc>
          <w:tcPr>
            <w:tcW w:w="753" w:type="pct"/>
            <w:tcBorders>
              <w:top w:val="double" w:color="auto" w:sz="4" w:space="0"/>
              <w:left w:val="single" w:color="auto" w:sz="6" w:space="0"/>
              <w:bottom w:val="single" w:color="auto" w:sz="6" w:space="0"/>
              <w:right w:val="single" w:color="auto" w:sz="6" w:space="0"/>
            </w:tcBorders>
            <w:vAlign w:val="center"/>
          </w:tcPr>
          <w:p w14:paraId="2AEFA611">
            <w:pPr>
              <w:topLinePunct/>
              <w:spacing w:line="440" w:lineRule="exact"/>
              <w:jc w:val="center"/>
              <w:rPr>
                <w:rFonts w:ascii="宋体" w:hAnsi="宋体"/>
                <w:color w:val="auto"/>
                <w:szCs w:val="21"/>
                <w:highlight w:val="none"/>
              </w:rPr>
            </w:pPr>
            <w:r>
              <w:rPr>
                <w:rFonts w:ascii="宋体" w:hAnsi="宋体"/>
                <w:color w:val="auto"/>
                <w:szCs w:val="21"/>
                <w:highlight w:val="none"/>
              </w:rPr>
              <w:t>法定代表人</w:t>
            </w:r>
          </w:p>
        </w:tc>
        <w:tc>
          <w:tcPr>
            <w:tcW w:w="1082" w:type="pct"/>
            <w:tcBorders>
              <w:top w:val="double" w:color="auto" w:sz="4" w:space="0"/>
              <w:left w:val="single" w:color="auto" w:sz="6" w:space="0"/>
              <w:bottom w:val="single" w:color="auto" w:sz="6" w:space="0"/>
              <w:right w:val="double" w:color="auto" w:sz="4" w:space="0"/>
            </w:tcBorders>
            <w:vAlign w:val="center"/>
          </w:tcPr>
          <w:p w14:paraId="653799FF">
            <w:pPr>
              <w:topLinePunct/>
              <w:spacing w:line="440" w:lineRule="exact"/>
              <w:jc w:val="center"/>
              <w:rPr>
                <w:rFonts w:ascii="宋体" w:hAnsi="宋体"/>
                <w:color w:val="auto"/>
                <w:szCs w:val="21"/>
                <w:highlight w:val="none"/>
              </w:rPr>
            </w:pPr>
          </w:p>
        </w:tc>
      </w:tr>
      <w:tr w14:paraId="0CFDB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918" w:type="pct"/>
            <w:gridSpan w:val="3"/>
            <w:tcBorders>
              <w:top w:val="single" w:color="auto" w:sz="6" w:space="0"/>
              <w:left w:val="double" w:color="auto" w:sz="4" w:space="0"/>
              <w:bottom w:val="single" w:color="auto" w:sz="6" w:space="0"/>
              <w:right w:val="single" w:color="auto" w:sz="6" w:space="0"/>
            </w:tcBorders>
            <w:vAlign w:val="center"/>
          </w:tcPr>
          <w:p w14:paraId="015657C9">
            <w:pPr>
              <w:topLinePunct/>
              <w:spacing w:line="440" w:lineRule="exact"/>
              <w:jc w:val="center"/>
              <w:rPr>
                <w:rFonts w:ascii="宋体" w:hAnsi="宋体"/>
                <w:color w:val="auto"/>
                <w:szCs w:val="21"/>
                <w:highlight w:val="none"/>
              </w:rPr>
            </w:pPr>
            <w:r>
              <w:rPr>
                <w:rFonts w:hint="eastAsia" w:ascii="宋体" w:hAnsi="宋体"/>
                <w:color w:val="auto"/>
                <w:szCs w:val="21"/>
                <w:highlight w:val="none"/>
              </w:rPr>
              <w:t>委托代理</w:t>
            </w:r>
            <w:r>
              <w:rPr>
                <w:rFonts w:ascii="宋体" w:hAnsi="宋体"/>
                <w:color w:val="auto"/>
                <w:szCs w:val="21"/>
                <w:highlight w:val="none"/>
              </w:rPr>
              <w:t>人</w:t>
            </w:r>
          </w:p>
        </w:tc>
        <w:tc>
          <w:tcPr>
            <w:tcW w:w="2245" w:type="pct"/>
            <w:gridSpan w:val="5"/>
            <w:tcBorders>
              <w:top w:val="single" w:color="auto" w:sz="6" w:space="0"/>
              <w:left w:val="single" w:color="auto" w:sz="6" w:space="0"/>
              <w:bottom w:val="single" w:color="auto" w:sz="6" w:space="0"/>
              <w:right w:val="single" w:color="auto" w:sz="6" w:space="0"/>
            </w:tcBorders>
            <w:vAlign w:val="center"/>
          </w:tcPr>
          <w:p w14:paraId="4685C2B5">
            <w:pPr>
              <w:topLinePunct/>
              <w:spacing w:line="440" w:lineRule="exact"/>
              <w:jc w:val="center"/>
              <w:rPr>
                <w:rFonts w:ascii="宋体" w:hAnsi="宋体"/>
                <w:color w:val="auto"/>
                <w:szCs w:val="21"/>
                <w:highlight w:val="none"/>
              </w:rPr>
            </w:pPr>
          </w:p>
        </w:tc>
        <w:tc>
          <w:tcPr>
            <w:tcW w:w="753" w:type="pct"/>
            <w:tcBorders>
              <w:top w:val="single" w:color="auto" w:sz="6" w:space="0"/>
              <w:left w:val="single" w:color="auto" w:sz="6" w:space="0"/>
              <w:bottom w:val="single" w:color="auto" w:sz="6" w:space="0"/>
              <w:right w:val="single" w:color="auto" w:sz="6" w:space="0"/>
            </w:tcBorders>
            <w:vAlign w:val="center"/>
          </w:tcPr>
          <w:p w14:paraId="7198002B">
            <w:pPr>
              <w:topLinePunct/>
              <w:spacing w:line="440" w:lineRule="exact"/>
              <w:jc w:val="center"/>
              <w:rPr>
                <w:rFonts w:ascii="宋体" w:hAnsi="宋体"/>
                <w:color w:val="auto"/>
                <w:szCs w:val="21"/>
                <w:highlight w:val="none"/>
              </w:rPr>
            </w:pPr>
            <w:r>
              <w:rPr>
                <w:rFonts w:ascii="宋体" w:hAnsi="宋体"/>
                <w:color w:val="auto"/>
                <w:szCs w:val="21"/>
                <w:highlight w:val="none"/>
              </w:rPr>
              <w:t>邮政编码</w:t>
            </w:r>
          </w:p>
        </w:tc>
        <w:tc>
          <w:tcPr>
            <w:tcW w:w="1082" w:type="pct"/>
            <w:tcBorders>
              <w:top w:val="single" w:color="auto" w:sz="6" w:space="0"/>
              <w:left w:val="single" w:color="auto" w:sz="6" w:space="0"/>
              <w:bottom w:val="single" w:color="auto" w:sz="6" w:space="0"/>
              <w:right w:val="double" w:color="auto" w:sz="4" w:space="0"/>
            </w:tcBorders>
            <w:vAlign w:val="center"/>
          </w:tcPr>
          <w:p w14:paraId="2B9285C9">
            <w:pPr>
              <w:topLinePunct/>
              <w:spacing w:line="440" w:lineRule="exact"/>
              <w:jc w:val="center"/>
              <w:rPr>
                <w:rFonts w:ascii="宋体" w:hAnsi="宋体"/>
                <w:color w:val="auto"/>
                <w:szCs w:val="21"/>
                <w:highlight w:val="none"/>
              </w:rPr>
            </w:pPr>
          </w:p>
        </w:tc>
      </w:tr>
      <w:tr w14:paraId="10A9D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18" w:type="pct"/>
            <w:gridSpan w:val="3"/>
            <w:tcBorders>
              <w:top w:val="single" w:color="auto" w:sz="6" w:space="0"/>
              <w:left w:val="double" w:color="auto" w:sz="4" w:space="0"/>
              <w:bottom w:val="single" w:color="auto" w:sz="6" w:space="0"/>
              <w:right w:val="single" w:color="auto" w:sz="6" w:space="0"/>
            </w:tcBorders>
            <w:vAlign w:val="center"/>
          </w:tcPr>
          <w:p w14:paraId="3D995354">
            <w:pPr>
              <w:topLinePunct/>
              <w:spacing w:line="440" w:lineRule="exact"/>
              <w:jc w:val="center"/>
              <w:rPr>
                <w:rFonts w:ascii="宋体" w:hAnsi="宋体"/>
                <w:color w:val="auto"/>
                <w:szCs w:val="21"/>
                <w:highlight w:val="none"/>
              </w:rPr>
            </w:pPr>
          </w:p>
        </w:tc>
        <w:tc>
          <w:tcPr>
            <w:tcW w:w="2245" w:type="pct"/>
            <w:gridSpan w:val="5"/>
            <w:tcBorders>
              <w:top w:val="single" w:color="auto" w:sz="6" w:space="0"/>
              <w:left w:val="single" w:color="auto" w:sz="6" w:space="0"/>
              <w:bottom w:val="single" w:color="auto" w:sz="6" w:space="0"/>
              <w:right w:val="single" w:color="auto" w:sz="6" w:space="0"/>
            </w:tcBorders>
            <w:vAlign w:val="center"/>
          </w:tcPr>
          <w:p w14:paraId="2BEEDB51">
            <w:pPr>
              <w:topLinePunct/>
              <w:spacing w:line="440" w:lineRule="exact"/>
              <w:jc w:val="center"/>
              <w:rPr>
                <w:rFonts w:ascii="宋体" w:hAnsi="宋体"/>
                <w:color w:val="auto"/>
                <w:szCs w:val="21"/>
                <w:highlight w:val="none"/>
              </w:rPr>
            </w:pPr>
          </w:p>
        </w:tc>
        <w:tc>
          <w:tcPr>
            <w:tcW w:w="753" w:type="pct"/>
            <w:tcBorders>
              <w:top w:val="single" w:color="auto" w:sz="6" w:space="0"/>
              <w:left w:val="single" w:color="auto" w:sz="6" w:space="0"/>
              <w:bottom w:val="single" w:color="auto" w:sz="6" w:space="0"/>
              <w:right w:val="single" w:color="auto" w:sz="6" w:space="0"/>
            </w:tcBorders>
            <w:vAlign w:val="center"/>
          </w:tcPr>
          <w:p w14:paraId="51961A9C">
            <w:pPr>
              <w:topLinePunct/>
              <w:spacing w:line="440" w:lineRule="exact"/>
              <w:jc w:val="center"/>
              <w:rPr>
                <w:rFonts w:ascii="宋体" w:hAnsi="宋体"/>
                <w:color w:val="auto"/>
                <w:szCs w:val="21"/>
                <w:highlight w:val="none"/>
              </w:rPr>
            </w:pPr>
            <w:r>
              <w:rPr>
                <w:rFonts w:hint="eastAsia" w:ascii="宋体" w:hAnsi="宋体"/>
                <w:color w:val="auto"/>
                <w:szCs w:val="21"/>
                <w:highlight w:val="none"/>
              </w:rPr>
              <w:t>电子邮箱</w:t>
            </w:r>
          </w:p>
        </w:tc>
        <w:tc>
          <w:tcPr>
            <w:tcW w:w="1082" w:type="pct"/>
            <w:tcBorders>
              <w:top w:val="single" w:color="auto" w:sz="6" w:space="0"/>
              <w:left w:val="single" w:color="auto" w:sz="6" w:space="0"/>
              <w:bottom w:val="single" w:color="auto" w:sz="6" w:space="0"/>
              <w:right w:val="double" w:color="auto" w:sz="4" w:space="0"/>
            </w:tcBorders>
            <w:vAlign w:val="center"/>
          </w:tcPr>
          <w:p w14:paraId="562F401E">
            <w:pPr>
              <w:topLinePunct/>
              <w:spacing w:line="440" w:lineRule="exact"/>
              <w:jc w:val="center"/>
              <w:rPr>
                <w:rFonts w:ascii="宋体" w:hAnsi="宋体"/>
                <w:color w:val="auto"/>
                <w:szCs w:val="21"/>
                <w:highlight w:val="none"/>
              </w:rPr>
            </w:pPr>
          </w:p>
        </w:tc>
      </w:tr>
      <w:tr w14:paraId="093DF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18" w:type="pct"/>
            <w:gridSpan w:val="3"/>
            <w:tcBorders>
              <w:top w:val="single" w:color="auto" w:sz="6" w:space="0"/>
              <w:left w:val="double" w:color="auto" w:sz="4" w:space="0"/>
              <w:bottom w:val="single" w:color="auto" w:sz="6" w:space="0"/>
              <w:right w:val="single" w:color="auto" w:sz="6" w:space="0"/>
            </w:tcBorders>
            <w:vAlign w:val="center"/>
          </w:tcPr>
          <w:p w14:paraId="36D633D5">
            <w:pPr>
              <w:topLinePunct/>
              <w:spacing w:line="440" w:lineRule="exact"/>
              <w:jc w:val="center"/>
              <w:rPr>
                <w:rFonts w:ascii="宋体" w:hAnsi="宋体"/>
                <w:color w:val="auto"/>
                <w:szCs w:val="21"/>
                <w:highlight w:val="none"/>
              </w:rPr>
            </w:pPr>
            <w:r>
              <w:rPr>
                <w:rFonts w:hint="eastAsia" w:ascii="宋体" w:hAnsi="宋体"/>
                <w:color w:val="auto"/>
                <w:szCs w:val="21"/>
                <w:highlight w:val="none"/>
              </w:rPr>
              <w:t>上年营业收入</w:t>
            </w:r>
          </w:p>
        </w:tc>
        <w:tc>
          <w:tcPr>
            <w:tcW w:w="2245" w:type="pct"/>
            <w:gridSpan w:val="5"/>
            <w:tcBorders>
              <w:top w:val="single" w:color="auto" w:sz="6" w:space="0"/>
              <w:left w:val="single" w:color="auto" w:sz="6" w:space="0"/>
              <w:bottom w:val="single" w:color="auto" w:sz="6" w:space="0"/>
              <w:right w:val="single" w:color="auto" w:sz="6" w:space="0"/>
            </w:tcBorders>
            <w:vAlign w:val="center"/>
          </w:tcPr>
          <w:p w14:paraId="57F9B2F2">
            <w:pPr>
              <w:topLinePunct/>
              <w:spacing w:line="440" w:lineRule="exact"/>
              <w:jc w:val="center"/>
              <w:rPr>
                <w:rFonts w:ascii="宋体" w:hAnsi="宋体"/>
                <w:color w:val="auto"/>
                <w:szCs w:val="21"/>
                <w:highlight w:val="none"/>
              </w:rPr>
            </w:pPr>
          </w:p>
        </w:tc>
        <w:tc>
          <w:tcPr>
            <w:tcW w:w="753" w:type="pct"/>
            <w:tcBorders>
              <w:top w:val="single" w:color="auto" w:sz="6" w:space="0"/>
              <w:left w:val="single" w:color="auto" w:sz="6" w:space="0"/>
              <w:bottom w:val="single" w:color="auto" w:sz="6" w:space="0"/>
              <w:right w:val="single" w:color="auto" w:sz="6" w:space="0"/>
            </w:tcBorders>
            <w:vAlign w:val="center"/>
          </w:tcPr>
          <w:p w14:paraId="0A26440D">
            <w:pPr>
              <w:topLinePunct/>
              <w:spacing w:line="440" w:lineRule="exact"/>
              <w:jc w:val="center"/>
              <w:rPr>
                <w:rFonts w:ascii="宋体" w:hAnsi="宋体"/>
                <w:color w:val="auto"/>
                <w:szCs w:val="21"/>
                <w:highlight w:val="none"/>
              </w:rPr>
            </w:pPr>
            <w:r>
              <w:rPr>
                <w:rFonts w:hint="eastAsia" w:ascii="宋体" w:hAnsi="宋体"/>
                <w:color w:val="auto"/>
                <w:szCs w:val="21"/>
                <w:highlight w:val="none"/>
              </w:rPr>
              <w:t>员工总人数</w:t>
            </w:r>
          </w:p>
        </w:tc>
        <w:tc>
          <w:tcPr>
            <w:tcW w:w="1082" w:type="pct"/>
            <w:tcBorders>
              <w:top w:val="single" w:color="auto" w:sz="6" w:space="0"/>
              <w:left w:val="single" w:color="auto" w:sz="6" w:space="0"/>
              <w:bottom w:val="single" w:color="auto" w:sz="6" w:space="0"/>
              <w:right w:val="double" w:color="auto" w:sz="4" w:space="0"/>
            </w:tcBorders>
            <w:vAlign w:val="center"/>
          </w:tcPr>
          <w:p w14:paraId="5743CEC5">
            <w:pPr>
              <w:topLinePunct/>
              <w:spacing w:line="440" w:lineRule="exact"/>
              <w:jc w:val="center"/>
              <w:rPr>
                <w:rFonts w:ascii="宋体" w:hAnsi="宋体"/>
                <w:color w:val="auto"/>
                <w:szCs w:val="21"/>
                <w:highlight w:val="none"/>
              </w:rPr>
            </w:pPr>
          </w:p>
        </w:tc>
      </w:tr>
      <w:tr w14:paraId="78248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7" w:type="pct"/>
            <w:vMerge w:val="restart"/>
            <w:tcBorders>
              <w:top w:val="single" w:color="auto" w:sz="6" w:space="0"/>
              <w:left w:val="double" w:color="auto" w:sz="4" w:space="0"/>
              <w:bottom w:val="single" w:color="auto" w:sz="6" w:space="0"/>
              <w:right w:val="single" w:color="auto" w:sz="6" w:space="0"/>
            </w:tcBorders>
            <w:vAlign w:val="center"/>
          </w:tcPr>
          <w:p w14:paraId="31B345A7">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营业执照</w:t>
            </w:r>
          </w:p>
        </w:tc>
        <w:tc>
          <w:tcPr>
            <w:tcW w:w="1158" w:type="pct"/>
            <w:gridSpan w:val="3"/>
            <w:tcBorders>
              <w:top w:val="single" w:color="auto" w:sz="6" w:space="0"/>
              <w:left w:val="single" w:color="auto" w:sz="6" w:space="0"/>
              <w:bottom w:val="single" w:color="auto" w:sz="6" w:space="0"/>
              <w:right w:val="single" w:color="auto" w:sz="6" w:space="0"/>
            </w:tcBorders>
            <w:vAlign w:val="center"/>
          </w:tcPr>
          <w:p w14:paraId="25928D49">
            <w:pPr>
              <w:topLinePunct/>
              <w:spacing w:line="440" w:lineRule="exact"/>
              <w:jc w:val="center"/>
              <w:rPr>
                <w:rFonts w:ascii="宋体" w:hAnsi="宋体"/>
                <w:color w:val="auto"/>
                <w:szCs w:val="21"/>
                <w:highlight w:val="none"/>
              </w:rPr>
            </w:pPr>
            <w:r>
              <w:rPr>
                <w:rFonts w:hint="eastAsia" w:ascii="宋体" w:hAnsi="宋体"/>
                <w:color w:val="auto"/>
                <w:szCs w:val="21"/>
                <w:highlight w:val="none"/>
              </w:rPr>
              <w:t>注册号码</w:t>
            </w:r>
          </w:p>
        </w:tc>
        <w:tc>
          <w:tcPr>
            <w:tcW w:w="816" w:type="pct"/>
            <w:gridSpan w:val="2"/>
            <w:tcBorders>
              <w:top w:val="single" w:color="auto" w:sz="6" w:space="0"/>
              <w:left w:val="single" w:color="auto" w:sz="6" w:space="0"/>
              <w:bottom w:val="single" w:color="auto" w:sz="6" w:space="0"/>
              <w:right w:val="single" w:color="auto" w:sz="6" w:space="0"/>
            </w:tcBorders>
            <w:vAlign w:val="center"/>
          </w:tcPr>
          <w:p w14:paraId="43E31809">
            <w:pPr>
              <w:topLinePunct/>
              <w:spacing w:line="440" w:lineRule="exact"/>
              <w:jc w:val="center"/>
              <w:rPr>
                <w:rFonts w:ascii="宋体" w:hAnsi="宋体"/>
                <w:color w:val="auto"/>
                <w:szCs w:val="21"/>
                <w:highlight w:val="none"/>
              </w:rPr>
            </w:pPr>
          </w:p>
        </w:tc>
        <w:tc>
          <w:tcPr>
            <w:tcW w:w="781" w:type="pct"/>
            <w:gridSpan w:val="2"/>
            <w:tcBorders>
              <w:top w:val="single" w:color="auto" w:sz="6" w:space="0"/>
              <w:left w:val="single" w:color="auto" w:sz="6" w:space="0"/>
              <w:bottom w:val="single" w:color="auto" w:sz="6" w:space="0"/>
              <w:right w:val="single" w:color="auto" w:sz="6" w:space="0"/>
            </w:tcBorders>
            <w:vAlign w:val="center"/>
          </w:tcPr>
          <w:p w14:paraId="439F14A3">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注册地址</w:t>
            </w: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187B8E52">
            <w:pPr>
              <w:topLinePunct/>
              <w:spacing w:line="440" w:lineRule="exact"/>
              <w:ind w:firstLine="105" w:firstLineChars="50"/>
              <w:jc w:val="center"/>
              <w:rPr>
                <w:rFonts w:ascii="宋体" w:hAnsi="宋体"/>
                <w:color w:val="auto"/>
                <w:szCs w:val="21"/>
                <w:highlight w:val="none"/>
              </w:rPr>
            </w:pPr>
          </w:p>
        </w:tc>
      </w:tr>
      <w:tr w14:paraId="5BB47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7" w:type="pct"/>
            <w:vMerge w:val="continue"/>
            <w:tcBorders>
              <w:top w:val="single" w:color="auto" w:sz="6" w:space="0"/>
              <w:left w:val="double" w:color="auto" w:sz="4" w:space="0"/>
              <w:bottom w:val="single" w:color="auto" w:sz="6" w:space="0"/>
              <w:right w:val="single" w:color="auto" w:sz="6" w:space="0"/>
            </w:tcBorders>
            <w:vAlign w:val="center"/>
          </w:tcPr>
          <w:p w14:paraId="1857B858">
            <w:pPr>
              <w:topLinePunct/>
              <w:spacing w:line="440" w:lineRule="exact"/>
              <w:jc w:val="center"/>
              <w:rPr>
                <w:rFonts w:ascii="宋体" w:hAnsi="宋体"/>
                <w:color w:val="auto"/>
                <w:szCs w:val="21"/>
                <w:highlight w:val="none"/>
              </w:rPr>
            </w:pPr>
          </w:p>
        </w:tc>
        <w:tc>
          <w:tcPr>
            <w:tcW w:w="1158" w:type="pct"/>
            <w:gridSpan w:val="3"/>
            <w:tcBorders>
              <w:top w:val="single" w:color="auto" w:sz="6" w:space="0"/>
              <w:left w:val="single" w:color="auto" w:sz="6" w:space="0"/>
              <w:bottom w:val="single" w:color="auto" w:sz="6" w:space="0"/>
              <w:right w:val="single" w:color="auto" w:sz="6" w:space="0"/>
            </w:tcBorders>
            <w:vAlign w:val="center"/>
          </w:tcPr>
          <w:p w14:paraId="52BFB8EF">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816" w:type="pct"/>
            <w:gridSpan w:val="2"/>
            <w:tcBorders>
              <w:top w:val="single" w:color="auto" w:sz="6" w:space="0"/>
              <w:left w:val="single" w:color="auto" w:sz="6" w:space="0"/>
              <w:bottom w:val="single" w:color="auto" w:sz="6" w:space="0"/>
              <w:right w:val="single" w:color="auto" w:sz="6" w:space="0"/>
            </w:tcBorders>
            <w:vAlign w:val="center"/>
          </w:tcPr>
          <w:p w14:paraId="3FADF99D">
            <w:pPr>
              <w:topLinePunct/>
              <w:spacing w:line="440" w:lineRule="exact"/>
              <w:jc w:val="center"/>
              <w:rPr>
                <w:rFonts w:ascii="宋体" w:hAnsi="宋体"/>
                <w:color w:val="auto"/>
                <w:szCs w:val="21"/>
                <w:highlight w:val="none"/>
              </w:rPr>
            </w:pPr>
          </w:p>
        </w:tc>
        <w:tc>
          <w:tcPr>
            <w:tcW w:w="781" w:type="pct"/>
            <w:gridSpan w:val="2"/>
            <w:tcBorders>
              <w:top w:val="single" w:color="auto" w:sz="6" w:space="0"/>
              <w:left w:val="single" w:color="auto" w:sz="6" w:space="0"/>
              <w:bottom w:val="single" w:color="auto" w:sz="6" w:space="0"/>
              <w:right w:val="single" w:color="auto" w:sz="6" w:space="0"/>
            </w:tcBorders>
            <w:vAlign w:val="center"/>
          </w:tcPr>
          <w:p w14:paraId="61362513">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发证日期</w:t>
            </w: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2089EF2A">
            <w:pPr>
              <w:topLinePunct/>
              <w:spacing w:line="440" w:lineRule="exact"/>
              <w:ind w:firstLine="105" w:firstLineChars="50"/>
              <w:jc w:val="center"/>
              <w:rPr>
                <w:rFonts w:ascii="宋体" w:hAnsi="宋体"/>
                <w:color w:val="auto"/>
                <w:szCs w:val="21"/>
                <w:highlight w:val="none"/>
              </w:rPr>
            </w:pPr>
          </w:p>
        </w:tc>
      </w:tr>
      <w:tr w14:paraId="730ED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7" w:type="pct"/>
            <w:vMerge w:val="continue"/>
            <w:tcBorders>
              <w:top w:val="single" w:color="auto" w:sz="6" w:space="0"/>
              <w:left w:val="double" w:color="auto" w:sz="4" w:space="0"/>
              <w:bottom w:val="single" w:color="auto" w:sz="6" w:space="0"/>
              <w:right w:val="single" w:color="auto" w:sz="6" w:space="0"/>
            </w:tcBorders>
            <w:vAlign w:val="center"/>
          </w:tcPr>
          <w:p w14:paraId="2CAFCDAA">
            <w:pPr>
              <w:topLinePunct/>
              <w:spacing w:line="440" w:lineRule="exact"/>
              <w:jc w:val="center"/>
              <w:rPr>
                <w:rFonts w:ascii="宋体" w:hAnsi="宋体"/>
                <w:color w:val="auto"/>
                <w:szCs w:val="21"/>
                <w:highlight w:val="none"/>
              </w:rPr>
            </w:pPr>
          </w:p>
        </w:tc>
        <w:tc>
          <w:tcPr>
            <w:tcW w:w="1158" w:type="pct"/>
            <w:gridSpan w:val="3"/>
            <w:tcBorders>
              <w:top w:val="single" w:color="auto" w:sz="6" w:space="0"/>
              <w:left w:val="single" w:color="auto" w:sz="6" w:space="0"/>
              <w:bottom w:val="single" w:color="auto" w:sz="6" w:space="0"/>
              <w:right w:val="single" w:color="auto" w:sz="6" w:space="0"/>
            </w:tcBorders>
            <w:vAlign w:val="center"/>
          </w:tcPr>
          <w:p w14:paraId="506E8A9D">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营业范围（主营）</w:t>
            </w:r>
          </w:p>
        </w:tc>
        <w:tc>
          <w:tcPr>
            <w:tcW w:w="3434" w:type="pct"/>
            <w:gridSpan w:val="6"/>
            <w:tcBorders>
              <w:top w:val="single" w:color="auto" w:sz="6" w:space="0"/>
              <w:left w:val="single" w:color="auto" w:sz="6" w:space="0"/>
              <w:bottom w:val="single" w:color="auto" w:sz="6" w:space="0"/>
              <w:right w:val="double" w:color="auto" w:sz="4" w:space="0"/>
            </w:tcBorders>
            <w:vAlign w:val="center"/>
          </w:tcPr>
          <w:p w14:paraId="29FE7F6E">
            <w:pPr>
              <w:topLinePunct/>
              <w:spacing w:line="440" w:lineRule="exact"/>
              <w:ind w:firstLine="105" w:firstLineChars="50"/>
              <w:jc w:val="center"/>
              <w:rPr>
                <w:rFonts w:ascii="宋体" w:hAnsi="宋体"/>
                <w:color w:val="auto"/>
                <w:szCs w:val="21"/>
                <w:highlight w:val="none"/>
              </w:rPr>
            </w:pPr>
          </w:p>
        </w:tc>
      </w:tr>
      <w:tr w14:paraId="0588F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7" w:type="pct"/>
            <w:vMerge w:val="continue"/>
            <w:tcBorders>
              <w:top w:val="single" w:color="auto" w:sz="6" w:space="0"/>
              <w:left w:val="double" w:color="auto" w:sz="4" w:space="0"/>
              <w:bottom w:val="single" w:color="auto" w:sz="6" w:space="0"/>
              <w:right w:val="single" w:color="auto" w:sz="6" w:space="0"/>
            </w:tcBorders>
            <w:vAlign w:val="center"/>
          </w:tcPr>
          <w:p w14:paraId="5A36E01E">
            <w:pPr>
              <w:topLinePunct/>
              <w:spacing w:line="440" w:lineRule="exact"/>
              <w:jc w:val="center"/>
              <w:rPr>
                <w:rFonts w:ascii="宋体" w:hAnsi="宋体"/>
                <w:color w:val="auto"/>
                <w:szCs w:val="21"/>
                <w:highlight w:val="none"/>
              </w:rPr>
            </w:pPr>
          </w:p>
        </w:tc>
        <w:tc>
          <w:tcPr>
            <w:tcW w:w="1158" w:type="pct"/>
            <w:gridSpan w:val="3"/>
            <w:tcBorders>
              <w:top w:val="single" w:color="auto" w:sz="6" w:space="0"/>
              <w:left w:val="single" w:color="auto" w:sz="6" w:space="0"/>
              <w:bottom w:val="single" w:color="auto" w:sz="6" w:space="0"/>
              <w:right w:val="single" w:color="auto" w:sz="6" w:space="0"/>
            </w:tcBorders>
            <w:vAlign w:val="center"/>
          </w:tcPr>
          <w:p w14:paraId="31169BC0">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营业范围（兼营）</w:t>
            </w:r>
          </w:p>
        </w:tc>
        <w:tc>
          <w:tcPr>
            <w:tcW w:w="3434" w:type="pct"/>
            <w:gridSpan w:val="6"/>
            <w:tcBorders>
              <w:top w:val="single" w:color="auto" w:sz="6" w:space="0"/>
              <w:left w:val="single" w:color="auto" w:sz="6" w:space="0"/>
              <w:bottom w:val="single" w:color="auto" w:sz="6" w:space="0"/>
              <w:right w:val="double" w:color="auto" w:sz="4" w:space="0"/>
            </w:tcBorders>
            <w:vAlign w:val="center"/>
          </w:tcPr>
          <w:p w14:paraId="4AFFBC75">
            <w:pPr>
              <w:topLinePunct/>
              <w:spacing w:line="440" w:lineRule="exact"/>
              <w:ind w:firstLine="105" w:firstLineChars="50"/>
              <w:jc w:val="center"/>
              <w:rPr>
                <w:rFonts w:ascii="宋体" w:hAnsi="宋体"/>
                <w:color w:val="auto"/>
                <w:szCs w:val="21"/>
                <w:highlight w:val="none"/>
              </w:rPr>
            </w:pPr>
          </w:p>
        </w:tc>
      </w:tr>
      <w:tr w14:paraId="5C33B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65" w:type="pct"/>
            <w:gridSpan w:val="4"/>
            <w:tcBorders>
              <w:top w:val="single" w:color="auto" w:sz="6" w:space="0"/>
              <w:left w:val="double" w:color="auto" w:sz="4" w:space="0"/>
              <w:bottom w:val="single" w:color="auto" w:sz="6" w:space="0"/>
              <w:right w:val="single" w:color="auto" w:sz="6" w:space="0"/>
            </w:tcBorders>
            <w:vAlign w:val="center"/>
          </w:tcPr>
          <w:p w14:paraId="0EAD307B">
            <w:pPr>
              <w:topLinePunct/>
              <w:spacing w:line="440" w:lineRule="exact"/>
              <w:jc w:val="center"/>
              <w:rPr>
                <w:rFonts w:ascii="宋体" w:hAnsi="宋体"/>
                <w:color w:val="auto"/>
                <w:szCs w:val="21"/>
                <w:highlight w:val="none"/>
              </w:rPr>
            </w:pPr>
            <w:r>
              <w:rPr>
                <w:rFonts w:hint="eastAsia" w:ascii="宋体" w:hAnsi="宋体"/>
                <w:color w:val="auto"/>
                <w:szCs w:val="21"/>
                <w:highlight w:val="none"/>
              </w:rPr>
              <w:t>基本账户开户行及账号</w:t>
            </w:r>
          </w:p>
        </w:tc>
        <w:tc>
          <w:tcPr>
            <w:tcW w:w="3434" w:type="pct"/>
            <w:gridSpan w:val="6"/>
            <w:tcBorders>
              <w:top w:val="single" w:color="auto" w:sz="6" w:space="0"/>
              <w:left w:val="single" w:color="auto" w:sz="6" w:space="0"/>
              <w:bottom w:val="single" w:color="auto" w:sz="6" w:space="0"/>
              <w:right w:val="double" w:color="auto" w:sz="4" w:space="0"/>
            </w:tcBorders>
            <w:vAlign w:val="center"/>
          </w:tcPr>
          <w:p w14:paraId="4D029183">
            <w:pPr>
              <w:topLinePunct/>
              <w:spacing w:line="440" w:lineRule="exact"/>
              <w:jc w:val="center"/>
              <w:rPr>
                <w:rFonts w:ascii="宋体" w:hAnsi="宋体"/>
                <w:color w:val="auto"/>
                <w:szCs w:val="21"/>
                <w:highlight w:val="none"/>
              </w:rPr>
            </w:pPr>
          </w:p>
        </w:tc>
      </w:tr>
      <w:tr w14:paraId="6A900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65" w:type="pct"/>
            <w:gridSpan w:val="4"/>
            <w:tcBorders>
              <w:top w:val="single" w:color="auto" w:sz="6" w:space="0"/>
              <w:left w:val="double" w:color="auto" w:sz="4" w:space="0"/>
              <w:bottom w:val="single" w:color="auto" w:sz="6" w:space="0"/>
              <w:right w:val="single" w:color="auto" w:sz="6" w:space="0"/>
            </w:tcBorders>
            <w:vAlign w:val="center"/>
          </w:tcPr>
          <w:p w14:paraId="2B8873B1">
            <w:pPr>
              <w:topLinePunct/>
              <w:spacing w:line="440" w:lineRule="exact"/>
              <w:jc w:val="center"/>
              <w:rPr>
                <w:rFonts w:ascii="宋体" w:hAnsi="宋体"/>
                <w:color w:val="auto"/>
                <w:szCs w:val="21"/>
                <w:highlight w:val="none"/>
              </w:rPr>
            </w:pPr>
            <w:r>
              <w:rPr>
                <w:rFonts w:hint="eastAsia" w:ascii="宋体" w:hAnsi="宋体"/>
                <w:color w:val="auto"/>
                <w:szCs w:val="21"/>
                <w:highlight w:val="none"/>
              </w:rPr>
              <w:t>税务登记机关</w:t>
            </w:r>
          </w:p>
        </w:tc>
        <w:tc>
          <w:tcPr>
            <w:tcW w:w="3434" w:type="pct"/>
            <w:gridSpan w:val="6"/>
            <w:tcBorders>
              <w:top w:val="single" w:color="auto" w:sz="6" w:space="0"/>
              <w:left w:val="single" w:color="auto" w:sz="6" w:space="0"/>
              <w:bottom w:val="single" w:color="auto" w:sz="6" w:space="0"/>
              <w:right w:val="double" w:color="auto" w:sz="4" w:space="0"/>
            </w:tcBorders>
            <w:vAlign w:val="center"/>
          </w:tcPr>
          <w:p w14:paraId="20D101E7">
            <w:pPr>
              <w:topLinePunct/>
              <w:spacing w:line="440" w:lineRule="exact"/>
              <w:jc w:val="center"/>
              <w:rPr>
                <w:rFonts w:ascii="宋体" w:hAnsi="宋体"/>
                <w:color w:val="auto"/>
                <w:szCs w:val="21"/>
                <w:highlight w:val="none"/>
              </w:rPr>
            </w:pPr>
          </w:p>
        </w:tc>
      </w:tr>
      <w:tr w14:paraId="1C495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2048" w:type="pct"/>
            <w:gridSpan w:val="5"/>
            <w:tcBorders>
              <w:top w:val="single" w:color="auto" w:sz="6" w:space="0"/>
              <w:left w:val="double" w:color="auto" w:sz="4" w:space="0"/>
              <w:bottom w:val="single" w:color="auto" w:sz="6" w:space="0"/>
              <w:right w:val="single" w:color="auto" w:sz="6" w:space="0"/>
            </w:tcBorders>
            <w:vAlign w:val="center"/>
          </w:tcPr>
          <w:p w14:paraId="6510D790">
            <w:pPr>
              <w:topLinePunct/>
              <w:spacing w:line="440" w:lineRule="exact"/>
              <w:jc w:val="center"/>
              <w:rPr>
                <w:rFonts w:ascii="宋体" w:hAnsi="宋体"/>
                <w:color w:val="auto"/>
                <w:szCs w:val="21"/>
                <w:highlight w:val="none"/>
              </w:rPr>
            </w:pPr>
            <w:r>
              <w:rPr>
                <w:rFonts w:ascii="宋体" w:hAnsi="宋体"/>
                <w:color w:val="auto"/>
                <w:szCs w:val="21"/>
                <w:highlight w:val="none"/>
              </w:rPr>
              <w:t>资质</w:t>
            </w:r>
            <w:r>
              <w:rPr>
                <w:rFonts w:hint="eastAsia" w:ascii="宋体" w:hAnsi="宋体"/>
                <w:color w:val="auto"/>
                <w:szCs w:val="21"/>
                <w:highlight w:val="none"/>
              </w:rPr>
              <w:t>名称</w:t>
            </w: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13C8F861">
            <w:pPr>
              <w:topLinePunct/>
              <w:spacing w:line="440" w:lineRule="exact"/>
              <w:jc w:val="center"/>
              <w:rPr>
                <w:rFonts w:ascii="宋体" w:hAnsi="宋体"/>
                <w:color w:val="auto"/>
                <w:szCs w:val="21"/>
                <w:highlight w:val="none"/>
              </w:rPr>
            </w:pPr>
            <w:r>
              <w:rPr>
                <w:rFonts w:ascii="宋体" w:hAnsi="宋体"/>
                <w:color w:val="auto"/>
                <w:szCs w:val="21"/>
                <w:highlight w:val="none"/>
              </w:rPr>
              <w:t>等级</w:t>
            </w:r>
          </w:p>
        </w:tc>
        <w:tc>
          <w:tcPr>
            <w:tcW w:w="614" w:type="pct"/>
            <w:tcBorders>
              <w:top w:val="single" w:color="auto" w:sz="6" w:space="0"/>
              <w:left w:val="single" w:color="auto" w:sz="6" w:space="0"/>
              <w:bottom w:val="single" w:color="auto" w:sz="6" w:space="0"/>
              <w:right w:val="single" w:color="auto" w:sz="6" w:space="0"/>
            </w:tcBorders>
            <w:vAlign w:val="center"/>
          </w:tcPr>
          <w:p w14:paraId="1E1B1B07">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0132E1FF">
            <w:pPr>
              <w:topLinePunct/>
              <w:spacing w:line="440" w:lineRule="exact"/>
              <w:jc w:val="center"/>
              <w:rPr>
                <w:rFonts w:ascii="宋体" w:hAnsi="宋体"/>
                <w:color w:val="auto"/>
                <w:szCs w:val="21"/>
                <w:highlight w:val="none"/>
              </w:rPr>
            </w:pPr>
            <w:r>
              <w:rPr>
                <w:rFonts w:hint="eastAsia" w:ascii="宋体" w:hAnsi="宋体"/>
                <w:color w:val="auto"/>
                <w:szCs w:val="21"/>
                <w:highlight w:val="none"/>
              </w:rPr>
              <w:t>有效期</w:t>
            </w:r>
          </w:p>
        </w:tc>
      </w:tr>
      <w:tr w14:paraId="4FE71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8" w:type="pct"/>
            <w:gridSpan w:val="5"/>
            <w:tcBorders>
              <w:top w:val="single" w:color="auto" w:sz="6" w:space="0"/>
              <w:left w:val="double" w:color="auto" w:sz="4" w:space="0"/>
              <w:bottom w:val="single" w:color="auto" w:sz="6" w:space="0"/>
              <w:right w:val="single" w:color="auto" w:sz="6" w:space="0"/>
            </w:tcBorders>
            <w:vAlign w:val="center"/>
          </w:tcPr>
          <w:p w14:paraId="4C4889DF">
            <w:pPr>
              <w:topLinePunct/>
              <w:spacing w:line="440" w:lineRule="exact"/>
              <w:jc w:val="center"/>
              <w:rPr>
                <w:rFonts w:ascii="宋体" w:hAnsi="宋体"/>
                <w:color w:val="auto"/>
                <w:szCs w:val="21"/>
                <w:highlight w:val="none"/>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644B8C07">
            <w:pPr>
              <w:topLinePunct/>
              <w:spacing w:line="440" w:lineRule="exact"/>
              <w:jc w:val="center"/>
              <w:rPr>
                <w:rFonts w:ascii="宋体" w:hAnsi="宋体"/>
                <w:color w:val="auto"/>
                <w:szCs w:val="21"/>
                <w:highlight w:val="none"/>
              </w:rPr>
            </w:pPr>
          </w:p>
        </w:tc>
        <w:tc>
          <w:tcPr>
            <w:tcW w:w="614" w:type="pct"/>
            <w:tcBorders>
              <w:top w:val="single" w:color="auto" w:sz="6" w:space="0"/>
              <w:left w:val="single" w:color="auto" w:sz="6" w:space="0"/>
              <w:bottom w:val="single" w:color="auto" w:sz="6" w:space="0"/>
              <w:right w:val="single" w:color="auto" w:sz="6" w:space="0"/>
            </w:tcBorders>
            <w:vAlign w:val="center"/>
          </w:tcPr>
          <w:p w14:paraId="37DFE6A6">
            <w:pPr>
              <w:topLinePunct/>
              <w:spacing w:line="440" w:lineRule="exact"/>
              <w:jc w:val="center"/>
              <w:rPr>
                <w:rFonts w:ascii="宋体" w:hAnsi="宋体"/>
                <w:color w:val="auto"/>
                <w:szCs w:val="21"/>
                <w:highlight w:val="none"/>
              </w:rPr>
            </w:pP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0FD5DEBF">
            <w:pPr>
              <w:topLinePunct/>
              <w:spacing w:line="440" w:lineRule="exact"/>
              <w:jc w:val="center"/>
              <w:rPr>
                <w:rFonts w:ascii="宋体" w:hAnsi="宋体"/>
                <w:color w:val="auto"/>
                <w:szCs w:val="21"/>
                <w:highlight w:val="none"/>
              </w:rPr>
            </w:pPr>
          </w:p>
        </w:tc>
      </w:tr>
      <w:tr w14:paraId="1A64D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8" w:type="pct"/>
            <w:gridSpan w:val="5"/>
            <w:tcBorders>
              <w:top w:val="single" w:color="auto" w:sz="6" w:space="0"/>
              <w:left w:val="double" w:color="auto" w:sz="4" w:space="0"/>
              <w:bottom w:val="single" w:color="auto" w:sz="6" w:space="0"/>
              <w:right w:val="single" w:color="auto" w:sz="6" w:space="0"/>
            </w:tcBorders>
            <w:vAlign w:val="center"/>
          </w:tcPr>
          <w:p w14:paraId="486016A4">
            <w:pPr>
              <w:topLinePunct/>
              <w:spacing w:line="440" w:lineRule="exact"/>
              <w:jc w:val="center"/>
              <w:rPr>
                <w:rFonts w:ascii="宋体" w:hAnsi="宋体"/>
                <w:color w:val="auto"/>
                <w:szCs w:val="21"/>
                <w:highlight w:val="none"/>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7F47729B">
            <w:pPr>
              <w:topLinePunct/>
              <w:spacing w:line="440" w:lineRule="exact"/>
              <w:jc w:val="center"/>
              <w:rPr>
                <w:rFonts w:ascii="宋体" w:hAnsi="宋体"/>
                <w:color w:val="auto"/>
                <w:szCs w:val="21"/>
                <w:highlight w:val="none"/>
              </w:rPr>
            </w:pPr>
          </w:p>
        </w:tc>
        <w:tc>
          <w:tcPr>
            <w:tcW w:w="614" w:type="pct"/>
            <w:tcBorders>
              <w:top w:val="single" w:color="auto" w:sz="6" w:space="0"/>
              <w:left w:val="single" w:color="auto" w:sz="6" w:space="0"/>
              <w:bottom w:val="single" w:color="auto" w:sz="6" w:space="0"/>
              <w:right w:val="single" w:color="auto" w:sz="6" w:space="0"/>
            </w:tcBorders>
            <w:vAlign w:val="center"/>
          </w:tcPr>
          <w:p w14:paraId="6DC6CA94">
            <w:pPr>
              <w:topLinePunct/>
              <w:spacing w:line="440" w:lineRule="exact"/>
              <w:jc w:val="center"/>
              <w:rPr>
                <w:rFonts w:ascii="宋体" w:hAnsi="宋体"/>
                <w:color w:val="auto"/>
                <w:szCs w:val="21"/>
                <w:highlight w:val="none"/>
              </w:rPr>
            </w:pP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237A5987">
            <w:pPr>
              <w:topLinePunct/>
              <w:spacing w:line="440" w:lineRule="exact"/>
              <w:jc w:val="center"/>
              <w:rPr>
                <w:rFonts w:ascii="宋体" w:hAnsi="宋体"/>
                <w:color w:val="auto"/>
                <w:szCs w:val="21"/>
                <w:highlight w:val="none"/>
              </w:rPr>
            </w:pPr>
          </w:p>
        </w:tc>
      </w:tr>
      <w:tr w14:paraId="78B3A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8" w:type="pct"/>
            <w:gridSpan w:val="5"/>
            <w:tcBorders>
              <w:top w:val="single" w:color="auto" w:sz="6" w:space="0"/>
              <w:left w:val="double" w:color="auto" w:sz="4" w:space="0"/>
              <w:bottom w:val="single" w:color="auto" w:sz="6" w:space="0"/>
              <w:right w:val="single" w:color="auto" w:sz="6" w:space="0"/>
            </w:tcBorders>
            <w:vAlign w:val="center"/>
          </w:tcPr>
          <w:p w14:paraId="7D0E5913">
            <w:pPr>
              <w:topLinePunct/>
              <w:spacing w:line="440" w:lineRule="exact"/>
              <w:jc w:val="center"/>
              <w:rPr>
                <w:rFonts w:ascii="宋体" w:hAnsi="宋体"/>
                <w:color w:val="auto"/>
                <w:szCs w:val="21"/>
                <w:highlight w:val="none"/>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31F76B62">
            <w:pPr>
              <w:topLinePunct/>
              <w:spacing w:line="440" w:lineRule="exact"/>
              <w:jc w:val="center"/>
              <w:rPr>
                <w:rFonts w:ascii="宋体" w:hAnsi="宋体"/>
                <w:color w:val="auto"/>
                <w:szCs w:val="21"/>
                <w:highlight w:val="none"/>
              </w:rPr>
            </w:pPr>
          </w:p>
        </w:tc>
        <w:tc>
          <w:tcPr>
            <w:tcW w:w="614" w:type="pct"/>
            <w:tcBorders>
              <w:top w:val="single" w:color="auto" w:sz="6" w:space="0"/>
              <w:left w:val="single" w:color="auto" w:sz="6" w:space="0"/>
              <w:bottom w:val="single" w:color="auto" w:sz="6" w:space="0"/>
              <w:right w:val="single" w:color="auto" w:sz="6" w:space="0"/>
            </w:tcBorders>
            <w:vAlign w:val="center"/>
          </w:tcPr>
          <w:p w14:paraId="22D54CAF">
            <w:pPr>
              <w:topLinePunct/>
              <w:spacing w:line="440" w:lineRule="exact"/>
              <w:jc w:val="center"/>
              <w:rPr>
                <w:rFonts w:ascii="宋体" w:hAnsi="宋体"/>
                <w:color w:val="auto"/>
                <w:szCs w:val="21"/>
                <w:highlight w:val="none"/>
              </w:rPr>
            </w:pP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181A9AF4">
            <w:pPr>
              <w:topLinePunct/>
              <w:spacing w:line="440" w:lineRule="exact"/>
              <w:jc w:val="center"/>
              <w:rPr>
                <w:rFonts w:ascii="宋体" w:hAnsi="宋体"/>
                <w:color w:val="auto"/>
                <w:szCs w:val="21"/>
                <w:highlight w:val="none"/>
              </w:rPr>
            </w:pPr>
          </w:p>
        </w:tc>
      </w:tr>
      <w:tr w14:paraId="49DC1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8" w:type="pct"/>
            <w:gridSpan w:val="5"/>
            <w:tcBorders>
              <w:top w:val="single" w:color="auto" w:sz="6" w:space="0"/>
              <w:left w:val="double" w:color="auto" w:sz="4" w:space="0"/>
              <w:bottom w:val="single" w:color="auto" w:sz="6" w:space="0"/>
              <w:right w:val="single" w:color="auto" w:sz="6" w:space="0"/>
            </w:tcBorders>
            <w:vAlign w:val="center"/>
          </w:tcPr>
          <w:p w14:paraId="44E1DDBB">
            <w:pPr>
              <w:topLinePunct/>
              <w:spacing w:line="440" w:lineRule="exact"/>
              <w:jc w:val="center"/>
              <w:rPr>
                <w:rFonts w:ascii="宋体" w:hAnsi="宋体"/>
                <w:color w:val="auto"/>
                <w:szCs w:val="21"/>
                <w:highlight w:val="none"/>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7761DB0E">
            <w:pPr>
              <w:topLinePunct/>
              <w:spacing w:line="440" w:lineRule="exact"/>
              <w:jc w:val="center"/>
              <w:rPr>
                <w:rFonts w:ascii="宋体" w:hAnsi="宋体"/>
                <w:color w:val="auto"/>
                <w:szCs w:val="21"/>
                <w:highlight w:val="none"/>
              </w:rPr>
            </w:pPr>
          </w:p>
        </w:tc>
        <w:tc>
          <w:tcPr>
            <w:tcW w:w="614" w:type="pct"/>
            <w:tcBorders>
              <w:top w:val="single" w:color="auto" w:sz="6" w:space="0"/>
              <w:left w:val="single" w:color="auto" w:sz="6" w:space="0"/>
              <w:bottom w:val="single" w:color="auto" w:sz="6" w:space="0"/>
              <w:right w:val="single" w:color="auto" w:sz="6" w:space="0"/>
            </w:tcBorders>
            <w:vAlign w:val="center"/>
          </w:tcPr>
          <w:p w14:paraId="64C6E17B">
            <w:pPr>
              <w:topLinePunct/>
              <w:spacing w:line="440" w:lineRule="exact"/>
              <w:jc w:val="center"/>
              <w:rPr>
                <w:rFonts w:ascii="宋体" w:hAnsi="宋体"/>
                <w:color w:val="auto"/>
                <w:szCs w:val="21"/>
                <w:highlight w:val="none"/>
              </w:rPr>
            </w:pP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389B8ADD">
            <w:pPr>
              <w:topLinePunct/>
              <w:spacing w:line="440" w:lineRule="exact"/>
              <w:jc w:val="center"/>
              <w:rPr>
                <w:rFonts w:ascii="宋体" w:hAnsi="宋体"/>
                <w:color w:val="auto"/>
                <w:szCs w:val="21"/>
                <w:highlight w:val="none"/>
              </w:rPr>
            </w:pPr>
          </w:p>
        </w:tc>
      </w:tr>
      <w:tr w14:paraId="7CDDF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712" w:type="pct"/>
            <w:gridSpan w:val="2"/>
            <w:tcBorders>
              <w:top w:val="single" w:color="auto" w:sz="6" w:space="0"/>
              <w:left w:val="double" w:color="auto" w:sz="4" w:space="0"/>
              <w:bottom w:val="double" w:color="auto" w:sz="4" w:space="0"/>
              <w:right w:val="single" w:color="auto" w:sz="6" w:space="0"/>
            </w:tcBorders>
            <w:vAlign w:val="center"/>
          </w:tcPr>
          <w:p w14:paraId="2C4BFEC4">
            <w:pPr>
              <w:topLinePunct/>
              <w:spacing w:line="440" w:lineRule="exact"/>
              <w:jc w:val="center"/>
              <w:rPr>
                <w:rFonts w:ascii="宋体" w:hAnsi="宋体"/>
                <w:color w:val="auto"/>
                <w:szCs w:val="21"/>
                <w:highlight w:val="none"/>
              </w:rPr>
            </w:pPr>
            <w:r>
              <w:rPr>
                <w:rFonts w:ascii="宋体" w:hAnsi="宋体"/>
                <w:color w:val="auto"/>
                <w:szCs w:val="21"/>
                <w:highlight w:val="none"/>
              </w:rPr>
              <w:t>备注</w:t>
            </w:r>
          </w:p>
        </w:tc>
        <w:tc>
          <w:tcPr>
            <w:tcW w:w="4287" w:type="pct"/>
            <w:gridSpan w:val="8"/>
            <w:tcBorders>
              <w:top w:val="single" w:color="auto" w:sz="6" w:space="0"/>
              <w:left w:val="single" w:color="auto" w:sz="6" w:space="0"/>
              <w:bottom w:val="double" w:color="auto" w:sz="4" w:space="0"/>
              <w:right w:val="double" w:color="auto" w:sz="4" w:space="0"/>
            </w:tcBorders>
            <w:vAlign w:val="center"/>
          </w:tcPr>
          <w:p w14:paraId="52A75A80">
            <w:pPr>
              <w:topLinePunct/>
              <w:spacing w:line="440" w:lineRule="exact"/>
              <w:jc w:val="left"/>
              <w:rPr>
                <w:rFonts w:ascii="黑体" w:hAnsi="宋体" w:eastAsia="黑体"/>
                <w:color w:val="auto"/>
                <w:szCs w:val="21"/>
                <w:highlight w:val="none"/>
              </w:rPr>
            </w:pPr>
            <w:r>
              <w:rPr>
                <w:rFonts w:hint="eastAsia" w:ascii="宋体" w:hAnsi="宋体"/>
                <w:color w:val="auto"/>
                <w:szCs w:val="21"/>
                <w:highlight w:val="none"/>
              </w:rPr>
              <w:t>附《营业执照》（副本）复印件</w:t>
            </w:r>
          </w:p>
        </w:tc>
      </w:tr>
    </w:tbl>
    <w:p w14:paraId="503B30F4">
      <w:pPr>
        <w:spacing w:line="480" w:lineRule="exact"/>
        <w:rPr>
          <w:rFonts w:ascii="黑体" w:eastAsia="黑体"/>
          <w:color w:val="auto"/>
          <w:sz w:val="30"/>
          <w:szCs w:val="30"/>
          <w:highlight w:val="none"/>
        </w:rPr>
      </w:pPr>
    </w:p>
    <w:p w14:paraId="351F8035">
      <w:pPr>
        <w:spacing w:line="480" w:lineRule="exact"/>
        <w:rPr>
          <w:rFonts w:ascii="黑体" w:eastAsia="黑体"/>
          <w:color w:val="auto"/>
          <w:sz w:val="30"/>
          <w:szCs w:val="30"/>
          <w:highlight w:val="none"/>
        </w:rPr>
      </w:pPr>
      <w:r>
        <w:rPr>
          <w:rFonts w:hint="eastAsia" w:ascii="黑体" w:eastAsia="黑体"/>
          <w:color w:val="auto"/>
          <w:sz w:val="30"/>
          <w:szCs w:val="30"/>
          <w:highlight w:val="none"/>
        </w:rPr>
        <w:t>附件7     磋商文件规定的基本资格条件证明资料</w:t>
      </w:r>
    </w:p>
    <w:p w14:paraId="088414E1">
      <w:pPr>
        <w:spacing w:line="480" w:lineRule="exact"/>
        <w:rPr>
          <w:rFonts w:ascii="黑体" w:hAnsi="宋体" w:eastAsia="黑体"/>
          <w:color w:val="auto"/>
          <w:szCs w:val="21"/>
          <w:highlight w:val="none"/>
        </w:rPr>
      </w:pPr>
    </w:p>
    <w:p w14:paraId="6FCFC074">
      <w:pPr>
        <w:spacing w:line="480" w:lineRule="exact"/>
        <w:jc w:val="left"/>
        <w:rPr>
          <w:rFonts w:ascii="宋体" w:hAnsi="宋体"/>
          <w:color w:val="auto"/>
          <w:szCs w:val="21"/>
          <w:highlight w:val="none"/>
        </w:rPr>
      </w:pPr>
      <w:r>
        <w:rPr>
          <w:rFonts w:hint="eastAsia" w:ascii="宋体" w:hAnsi="宋体"/>
          <w:b/>
          <w:bCs/>
          <w:color w:val="auto"/>
          <w:szCs w:val="21"/>
          <w:highlight w:val="none"/>
        </w:rPr>
        <w:t>备注：</w:t>
      </w:r>
      <w:r>
        <w:rPr>
          <w:rFonts w:hint="eastAsia" w:ascii="宋体" w:hAnsi="宋体"/>
          <w:color w:val="auto"/>
          <w:szCs w:val="21"/>
          <w:highlight w:val="none"/>
        </w:rPr>
        <w:t>1、提供第二章 磋商须知第3.1款供应商基本资格条件。</w:t>
      </w:r>
    </w:p>
    <w:p w14:paraId="58F03E17">
      <w:pPr>
        <w:spacing w:line="480" w:lineRule="exact"/>
        <w:jc w:val="left"/>
        <w:rPr>
          <w:rFonts w:ascii="宋体" w:hAnsi="宋体"/>
          <w:color w:val="auto"/>
          <w:szCs w:val="21"/>
          <w:highlight w:val="none"/>
        </w:rPr>
      </w:pPr>
      <w:r>
        <w:rPr>
          <w:rFonts w:hint="eastAsia" w:ascii="宋体" w:hAnsi="宋体"/>
          <w:color w:val="auto"/>
          <w:szCs w:val="21"/>
          <w:highlight w:val="none"/>
        </w:rPr>
        <w:t>2、上述声明与证明资料应按其要求加盖供应商单位章，由法定代表人或其授权的代理人签字；声明应当按响应文件提供的格式除可填报信息外不加任何内容修改地提供，证明资料的复印件应加盖供应商单位章，否则，响应无效。</w:t>
      </w:r>
    </w:p>
    <w:p w14:paraId="4091FC69">
      <w:pPr>
        <w:spacing w:line="480" w:lineRule="exact"/>
        <w:jc w:val="left"/>
        <w:rPr>
          <w:rFonts w:ascii="黑体" w:hAnsi="黑体" w:eastAsia="黑体" w:cs="微软雅黑"/>
          <w:color w:val="auto"/>
          <w:kern w:val="0"/>
          <w:position w:val="-3"/>
          <w:sz w:val="28"/>
          <w:szCs w:val="28"/>
          <w:highlight w:val="none"/>
        </w:rPr>
      </w:pPr>
      <w:r>
        <w:rPr>
          <w:rFonts w:hint="eastAsia" w:ascii="宋体" w:hAnsi="宋体"/>
          <w:color w:val="auto"/>
          <w:szCs w:val="21"/>
          <w:highlight w:val="none"/>
        </w:rPr>
        <w:t>3、</w:t>
      </w:r>
      <w:r>
        <w:rPr>
          <w:rFonts w:hint="eastAsia" w:ascii="宋体" w:hAnsi="宋体"/>
          <w:color w:val="auto"/>
          <w:szCs w:val="21"/>
          <w:highlight w:val="none"/>
          <w:lang w:val="zh-CN"/>
        </w:rPr>
        <w:t>供应商如出现并购重组和吸收合并的，其成立时间可溯源至原单位的注册时间起算；如出现新设合并的，成立时间可溯源至参与合并的单位中成立时间较短的单位的注册时间。出现更名的请出示注册所在地的职能部门证明。供应商如正处于换证、年检阶段，提供相关证明。</w:t>
      </w:r>
    </w:p>
    <w:p w14:paraId="7788ACBD">
      <w:pPr>
        <w:rPr>
          <w:rFonts w:ascii="黑体" w:hAnsi="黑体" w:eastAsia="黑体" w:cs="微软雅黑"/>
          <w:color w:val="auto"/>
          <w:kern w:val="0"/>
          <w:position w:val="-3"/>
          <w:sz w:val="28"/>
          <w:szCs w:val="28"/>
          <w:highlight w:val="none"/>
        </w:rPr>
      </w:pPr>
      <w:r>
        <w:rPr>
          <w:rFonts w:hint="eastAsia" w:ascii="黑体" w:hAnsi="黑体" w:eastAsia="黑体" w:cs="微软雅黑"/>
          <w:color w:val="auto"/>
          <w:kern w:val="0"/>
          <w:position w:val="-3"/>
          <w:sz w:val="28"/>
          <w:szCs w:val="28"/>
          <w:highlight w:val="none"/>
        </w:rPr>
        <w:br w:type="page"/>
      </w:r>
    </w:p>
    <w:p w14:paraId="4B797694">
      <w:pPr>
        <w:autoSpaceDE w:val="0"/>
        <w:autoSpaceDN w:val="0"/>
        <w:adjustRightInd w:val="0"/>
        <w:snapToGrid w:val="0"/>
        <w:spacing w:before="120" w:beforeLines="50" w:line="360" w:lineRule="auto"/>
        <w:ind w:right="24"/>
        <w:jc w:val="center"/>
        <w:rPr>
          <w:rFonts w:ascii="黑体" w:hAnsi="黑体" w:eastAsia="黑体" w:cs="微软雅黑"/>
          <w:color w:val="auto"/>
          <w:kern w:val="0"/>
          <w:position w:val="-3"/>
          <w:sz w:val="28"/>
          <w:szCs w:val="28"/>
          <w:highlight w:val="none"/>
        </w:rPr>
      </w:pPr>
      <w:r>
        <w:rPr>
          <w:rFonts w:hint="eastAsia" w:ascii="黑体" w:hAnsi="黑体" w:eastAsia="黑体" w:cs="微软雅黑"/>
          <w:color w:val="auto"/>
          <w:kern w:val="0"/>
          <w:position w:val="-3"/>
          <w:sz w:val="28"/>
          <w:szCs w:val="28"/>
          <w:highlight w:val="none"/>
        </w:rPr>
        <w:t>湖南省政府采购供应商资格承诺函</w:t>
      </w:r>
    </w:p>
    <w:p w14:paraId="77582BA9">
      <w:pPr>
        <w:spacing w:line="266" w:lineRule="auto"/>
        <w:rPr>
          <w:rFonts w:ascii="Arial"/>
          <w:color w:val="auto"/>
          <w:highlight w:val="none"/>
        </w:rPr>
      </w:pPr>
    </w:p>
    <w:p w14:paraId="0098DE64">
      <w:pPr>
        <w:spacing w:line="266" w:lineRule="auto"/>
        <w:rPr>
          <w:rFonts w:asciiTheme="minorEastAsia" w:hAnsiTheme="minorEastAsia" w:eastAsiaTheme="minorEastAsia" w:cstheme="minorEastAsia"/>
          <w:color w:val="auto"/>
          <w:szCs w:val="21"/>
          <w:highlight w:val="none"/>
        </w:rPr>
      </w:pPr>
    </w:p>
    <w:p w14:paraId="2362347F">
      <w:pPr>
        <w:spacing w:line="360" w:lineRule="auto"/>
        <w:ind w:left="1" w:right="113" w:firstLine="646"/>
        <w:rPr>
          <w:rFonts w:ascii="宋体" w:hAnsi="宋体" w:cs="宋体"/>
          <w:color w:val="auto"/>
          <w:szCs w:val="21"/>
          <w:highlight w:val="none"/>
        </w:rPr>
      </w:pPr>
      <w:r>
        <w:rPr>
          <w:rFonts w:hint="eastAsia" w:ascii="宋体" w:hAnsi="宋体" w:cs="宋体"/>
          <w:color w:val="auto"/>
          <w:spacing w:val="18"/>
          <w:szCs w:val="21"/>
          <w:highlight w:val="none"/>
        </w:rPr>
        <w:t>本</w:t>
      </w:r>
      <w:r>
        <w:rPr>
          <w:rFonts w:hint="eastAsia" w:ascii="宋体" w:hAnsi="宋体" w:cs="宋体"/>
          <w:color w:val="auto"/>
          <w:spacing w:val="11"/>
          <w:szCs w:val="21"/>
          <w:highlight w:val="none"/>
        </w:rPr>
        <w:t>公</w:t>
      </w:r>
      <w:r>
        <w:rPr>
          <w:rFonts w:hint="eastAsia" w:ascii="宋体" w:hAnsi="宋体" w:cs="宋体"/>
          <w:color w:val="auto"/>
          <w:spacing w:val="9"/>
          <w:szCs w:val="21"/>
          <w:highlight w:val="none"/>
        </w:rPr>
        <w:t>司独立承担民事责任、具有良好的商业信誉和健全的财</w:t>
      </w:r>
      <w:r>
        <w:rPr>
          <w:rFonts w:hint="eastAsia" w:ascii="宋体" w:hAnsi="宋体" w:cs="宋体"/>
          <w:color w:val="auto"/>
          <w:spacing w:val="18"/>
          <w:szCs w:val="21"/>
          <w:highlight w:val="none"/>
        </w:rPr>
        <w:t>务会</w:t>
      </w:r>
      <w:r>
        <w:rPr>
          <w:rFonts w:hint="eastAsia" w:ascii="宋体" w:hAnsi="宋体" w:cs="宋体"/>
          <w:color w:val="auto"/>
          <w:spacing w:val="11"/>
          <w:szCs w:val="21"/>
          <w:highlight w:val="none"/>
        </w:rPr>
        <w:t>计</w:t>
      </w:r>
      <w:r>
        <w:rPr>
          <w:rFonts w:hint="eastAsia" w:ascii="宋体" w:hAnsi="宋体" w:cs="宋体"/>
          <w:color w:val="auto"/>
          <w:spacing w:val="9"/>
          <w:szCs w:val="21"/>
          <w:highlight w:val="none"/>
        </w:rPr>
        <w:t>制度、依法缴纳税收和社会保障资金，在前三年的经营活</w:t>
      </w:r>
      <w:r>
        <w:rPr>
          <w:rFonts w:hint="eastAsia" w:ascii="宋体" w:hAnsi="宋体" w:cs="宋体"/>
          <w:color w:val="auto"/>
          <w:spacing w:val="18"/>
          <w:szCs w:val="21"/>
          <w:highlight w:val="none"/>
        </w:rPr>
        <w:t>动中</w:t>
      </w:r>
      <w:r>
        <w:rPr>
          <w:rFonts w:hint="eastAsia" w:ascii="宋体" w:hAnsi="宋体" w:cs="宋体"/>
          <w:color w:val="auto"/>
          <w:spacing w:val="11"/>
          <w:szCs w:val="21"/>
          <w:highlight w:val="none"/>
        </w:rPr>
        <w:t>无</w:t>
      </w:r>
      <w:r>
        <w:rPr>
          <w:rFonts w:hint="eastAsia" w:ascii="宋体" w:hAnsi="宋体" w:cs="宋体"/>
          <w:color w:val="auto"/>
          <w:spacing w:val="9"/>
          <w:szCs w:val="21"/>
          <w:highlight w:val="none"/>
        </w:rPr>
        <w:t>重大违法记录，未列入严重失信行为名单，符合政府采购</w:t>
      </w:r>
      <w:r>
        <w:rPr>
          <w:rFonts w:hint="eastAsia" w:ascii="宋体" w:hAnsi="宋体" w:cs="宋体"/>
          <w:color w:val="auto"/>
          <w:spacing w:val="12"/>
          <w:szCs w:val="21"/>
          <w:highlight w:val="none"/>
        </w:rPr>
        <w:t>供</w:t>
      </w:r>
      <w:r>
        <w:rPr>
          <w:rFonts w:hint="eastAsia" w:ascii="宋体" w:hAnsi="宋体" w:cs="宋体"/>
          <w:color w:val="auto"/>
          <w:spacing w:val="8"/>
          <w:szCs w:val="21"/>
          <w:highlight w:val="none"/>
        </w:rPr>
        <w:t>应商的基本资格要求。</w:t>
      </w:r>
    </w:p>
    <w:p w14:paraId="4AEC84BC">
      <w:pPr>
        <w:spacing w:line="360" w:lineRule="auto"/>
        <w:ind w:left="1" w:right="113" w:firstLine="646"/>
        <w:rPr>
          <w:rFonts w:ascii="宋体" w:hAnsi="宋体" w:cs="宋体"/>
          <w:color w:val="auto"/>
          <w:szCs w:val="21"/>
          <w:highlight w:val="none"/>
        </w:rPr>
      </w:pPr>
      <w:r>
        <w:rPr>
          <w:rFonts w:hint="eastAsia" w:ascii="宋体" w:hAnsi="宋体" w:cs="宋体"/>
          <w:color w:val="auto"/>
          <w:spacing w:val="18"/>
          <w:szCs w:val="21"/>
          <w:highlight w:val="none"/>
        </w:rPr>
        <w:t>按照《政府采购促进中小企业发展管理办法》(财库〔2020〕46号)，本公司企业规模为：大型</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pacing w:val="18"/>
          <w:szCs w:val="21"/>
          <w:highlight w:val="none"/>
        </w:rPr>
        <w:t>中型</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pacing w:val="18"/>
          <w:szCs w:val="21"/>
          <w:highlight w:val="none"/>
        </w:rPr>
        <w:t>小型</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pacing w:val="18"/>
          <w:szCs w:val="21"/>
          <w:highlight w:val="none"/>
        </w:rPr>
        <w:t>微型</w:t>
      </w:r>
      <w:r>
        <w:rPr>
          <w:rFonts w:hint="eastAsia" w:ascii="宋体" w:hAnsi="宋体" w:cs="宋体"/>
          <w:color w:val="auto"/>
          <w:szCs w:val="21"/>
          <w:highlight w:val="none"/>
        </w:rPr>
        <w:t>□。</w:t>
      </w:r>
    </w:p>
    <w:p w14:paraId="28569922">
      <w:pPr>
        <w:spacing w:line="431" w:lineRule="auto"/>
        <w:rPr>
          <w:rFonts w:ascii="宋体" w:hAnsi="宋体" w:cs="宋体"/>
          <w:color w:val="auto"/>
          <w:szCs w:val="21"/>
          <w:highlight w:val="none"/>
        </w:rPr>
      </w:pPr>
    </w:p>
    <w:p w14:paraId="1C98603C">
      <w:pPr>
        <w:spacing w:before="101" w:line="221" w:lineRule="auto"/>
        <w:ind w:left="4487"/>
        <w:rPr>
          <w:rFonts w:ascii="宋体" w:hAnsi="宋体" w:cs="宋体"/>
          <w:color w:val="auto"/>
          <w:szCs w:val="21"/>
          <w:highlight w:val="none"/>
        </w:rPr>
      </w:pPr>
      <w:r>
        <w:rPr>
          <w:rFonts w:hint="eastAsia" w:ascii="宋体" w:hAnsi="宋体" w:cs="宋体"/>
          <w:color w:val="auto"/>
          <w:spacing w:val="7"/>
          <w:szCs w:val="21"/>
          <w:highlight w:val="none"/>
          <w:lang w:val="en-US" w:eastAsia="zh-CN"/>
        </w:rPr>
        <w:t>供应商</w:t>
      </w:r>
      <w:r>
        <w:rPr>
          <w:rFonts w:hint="eastAsia" w:ascii="宋体" w:hAnsi="宋体" w:cs="宋体"/>
          <w:color w:val="auto"/>
          <w:spacing w:val="7"/>
          <w:szCs w:val="21"/>
          <w:highlight w:val="none"/>
        </w:rPr>
        <w:t xml:space="preserve"> (盖</w:t>
      </w:r>
      <w:r>
        <w:rPr>
          <w:rFonts w:hint="eastAsia" w:ascii="宋体" w:hAnsi="宋体" w:cs="宋体"/>
          <w:color w:val="auto"/>
          <w:spacing w:val="7"/>
          <w:szCs w:val="21"/>
          <w:highlight w:val="none"/>
          <w:lang w:val="en-US" w:eastAsia="zh-CN"/>
        </w:rPr>
        <w:t>单位</w:t>
      </w:r>
      <w:r>
        <w:rPr>
          <w:rFonts w:hint="eastAsia" w:ascii="宋体" w:hAnsi="宋体" w:cs="宋体"/>
          <w:color w:val="auto"/>
          <w:spacing w:val="7"/>
          <w:szCs w:val="21"/>
          <w:highlight w:val="none"/>
        </w:rPr>
        <w:t>章</w:t>
      </w:r>
      <w:r>
        <w:rPr>
          <w:rFonts w:hint="eastAsia" w:ascii="宋体" w:hAnsi="宋体" w:cs="宋体"/>
          <w:color w:val="auto"/>
          <w:spacing w:val="6"/>
          <w:szCs w:val="21"/>
          <w:highlight w:val="none"/>
        </w:rPr>
        <w:t>)</w:t>
      </w:r>
    </w:p>
    <w:p w14:paraId="24886D0B">
      <w:pPr>
        <w:spacing w:line="322" w:lineRule="auto"/>
        <w:rPr>
          <w:rFonts w:ascii="宋体" w:hAnsi="宋体" w:cs="宋体"/>
          <w:color w:val="auto"/>
          <w:szCs w:val="21"/>
          <w:highlight w:val="none"/>
        </w:rPr>
      </w:pPr>
    </w:p>
    <w:p w14:paraId="495F1253">
      <w:pPr>
        <w:spacing w:line="323" w:lineRule="auto"/>
        <w:rPr>
          <w:rFonts w:ascii="宋体" w:hAnsi="宋体" w:cs="宋体"/>
          <w:color w:val="auto"/>
          <w:szCs w:val="21"/>
          <w:highlight w:val="none"/>
        </w:rPr>
      </w:pPr>
    </w:p>
    <w:p w14:paraId="202BD6B1">
      <w:pPr>
        <w:tabs>
          <w:tab w:val="left" w:pos="5770"/>
        </w:tabs>
        <w:spacing w:before="102" w:line="222" w:lineRule="auto"/>
        <w:ind w:left="4795"/>
        <w:rPr>
          <w:rFonts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pacing w:val="-8"/>
          <w:szCs w:val="21"/>
          <w:highlight w:val="none"/>
        </w:rPr>
        <w:t>年</w:t>
      </w:r>
      <w:r>
        <w:rPr>
          <w:rFonts w:hint="eastAsia" w:ascii="宋体" w:hAnsi="宋体" w:cs="宋体"/>
          <w:color w:val="auto"/>
          <w:spacing w:val="-8"/>
          <w:szCs w:val="21"/>
          <w:highlight w:val="none"/>
          <w:u w:val="single"/>
        </w:rPr>
        <w:t xml:space="preserve"> </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月</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日</w:t>
      </w:r>
    </w:p>
    <w:p w14:paraId="43F2825A">
      <w:pPr>
        <w:spacing w:line="319" w:lineRule="auto"/>
        <w:rPr>
          <w:rFonts w:ascii="宋体" w:hAnsi="宋体" w:cs="宋体"/>
          <w:color w:val="auto"/>
          <w:szCs w:val="21"/>
          <w:highlight w:val="none"/>
        </w:rPr>
      </w:pPr>
    </w:p>
    <w:p w14:paraId="32D24B6F">
      <w:pPr>
        <w:spacing w:line="320" w:lineRule="auto"/>
        <w:rPr>
          <w:rFonts w:ascii="宋体" w:hAnsi="宋体" w:cs="宋体"/>
          <w:color w:val="auto"/>
          <w:szCs w:val="21"/>
          <w:highlight w:val="none"/>
        </w:rPr>
      </w:pPr>
    </w:p>
    <w:tbl>
      <w:tblPr>
        <w:tblStyle w:val="3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6323"/>
      </w:tblGrid>
      <w:tr w14:paraId="3CBA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50E28A24">
            <w:pPr>
              <w:rPr>
                <w:rFonts w:ascii="宋体" w:hAnsi="宋体" w:cs="宋体"/>
                <w:color w:val="auto"/>
                <w:szCs w:val="21"/>
                <w:highlight w:val="none"/>
              </w:rPr>
            </w:pPr>
            <w:r>
              <w:rPr>
                <w:rFonts w:hint="eastAsia" w:ascii="宋体" w:hAnsi="宋体" w:cs="宋体"/>
                <w:color w:val="auto"/>
                <w:szCs w:val="21"/>
                <w:highlight w:val="none"/>
              </w:rPr>
              <w:t>机构代码：</w:t>
            </w:r>
          </w:p>
        </w:tc>
        <w:tc>
          <w:tcPr>
            <w:tcW w:w="6323" w:type="dxa"/>
            <w:tcBorders>
              <w:top w:val="single" w:color="auto" w:sz="4" w:space="0"/>
              <w:left w:val="single" w:color="auto" w:sz="4" w:space="0"/>
              <w:bottom w:val="single" w:color="auto" w:sz="4" w:space="0"/>
              <w:right w:val="single" w:color="auto" w:sz="4" w:space="0"/>
            </w:tcBorders>
            <w:vAlign w:val="center"/>
          </w:tcPr>
          <w:p w14:paraId="0594931E">
            <w:pPr>
              <w:spacing w:line="360" w:lineRule="auto"/>
              <w:rPr>
                <w:rFonts w:ascii="宋体" w:hAnsi="宋体" w:cs="宋体"/>
                <w:color w:val="auto"/>
                <w:sz w:val="24"/>
                <w:highlight w:val="none"/>
              </w:rPr>
            </w:pPr>
          </w:p>
        </w:tc>
      </w:tr>
      <w:tr w14:paraId="6B35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6A707DCB">
            <w:pPr>
              <w:rPr>
                <w:rFonts w:ascii="宋体" w:hAnsi="宋体" w:cs="宋体"/>
                <w:color w:val="auto"/>
                <w:szCs w:val="21"/>
                <w:highlight w:val="none"/>
              </w:rPr>
            </w:pPr>
            <w:r>
              <w:rPr>
                <w:rFonts w:hint="eastAsia" w:ascii="宋体" w:hAnsi="宋体" w:cs="宋体"/>
                <w:color w:val="auto"/>
                <w:szCs w:val="21"/>
                <w:highlight w:val="none"/>
              </w:rPr>
              <w:t>注册登记机构：</w:t>
            </w:r>
          </w:p>
        </w:tc>
        <w:tc>
          <w:tcPr>
            <w:tcW w:w="6323" w:type="dxa"/>
            <w:tcBorders>
              <w:top w:val="single" w:color="auto" w:sz="4" w:space="0"/>
              <w:left w:val="single" w:color="auto" w:sz="4" w:space="0"/>
              <w:bottom w:val="single" w:color="auto" w:sz="4" w:space="0"/>
              <w:right w:val="single" w:color="auto" w:sz="4" w:space="0"/>
            </w:tcBorders>
            <w:vAlign w:val="center"/>
          </w:tcPr>
          <w:p w14:paraId="6A8873D5">
            <w:pPr>
              <w:spacing w:line="360" w:lineRule="auto"/>
              <w:rPr>
                <w:rFonts w:ascii="宋体" w:hAnsi="宋体" w:cs="宋体"/>
                <w:color w:val="auto"/>
                <w:sz w:val="24"/>
                <w:highlight w:val="none"/>
              </w:rPr>
            </w:pPr>
          </w:p>
        </w:tc>
      </w:tr>
      <w:tr w14:paraId="32E5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47DF93E4">
            <w:pPr>
              <w:rPr>
                <w:rFonts w:ascii="宋体" w:hAnsi="宋体" w:cs="宋体"/>
                <w:color w:val="auto"/>
                <w:szCs w:val="21"/>
                <w:highlight w:val="none"/>
              </w:rPr>
            </w:pPr>
            <w:r>
              <w:rPr>
                <w:rFonts w:hint="eastAsia" w:ascii="宋体" w:hAnsi="宋体" w:cs="宋体"/>
                <w:color w:val="auto"/>
                <w:szCs w:val="21"/>
                <w:highlight w:val="none"/>
              </w:rPr>
              <w:t>日期：</w:t>
            </w:r>
          </w:p>
        </w:tc>
        <w:tc>
          <w:tcPr>
            <w:tcW w:w="6323" w:type="dxa"/>
            <w:tcBorders>
              <w:top w:val="single" w:color="auto" w:sz="4" w:space="0"/>
              <w:left w:val="single" w:color="auto" w:sz="4" w:space="0"/>
              <w:bottom w:val="single" w:color="auto" w:sz="4" w:space="0"/>
              <w:right w:val="single" w:color="auto" w:sz="4" w:space="0"/>
            </w:tcBorders>
            <w:vAlign w:val="center"/>
          </w:tcPr>
          <w:p w14:paraId="7F62FC9A">
            <w:pPr>
              <w:spacing w:line="360" w:lineRule="auto"/>
              <w:rPr>
                <w:rFonts w:ascii="宋体" w:hAnsi="宋体" w:cs="宋体"/>
                <w:color w:val="auto"/>
                <w:sz w:val="24"/>
                <w:highlight w:val="none"/>
              </w:rPr>
            </w:pPr>
          </w:p>
        </w:tc>
      </w:tr>
      <w:tr w14:paraId="04E0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762046D0">
            <w:pPr>
              <w:rPr>
                <w:rFonts w:ascii="宋体" w:hAnsi="宋体" w:cs="宋体"/>
                <w:color w:val="auto"/>
                <w:szCs w:val="21"/>
                <w:highlight w:val="none"/>
              </w:rPr>
            </w:pPr>
            <w:r>
              <w:rPr>
                <w:rFonts w:hint="eastAsia" w:ascii="宋体" w:hAnsi="宋体" w:cs="宋体"/>
                <w:color w:val="auto"/>
                <w:szCs w:val="21"/>
                <w:highlight w:val="none"/>
              </w:rPr>
              <w:t>有效期：</w:t>
            </w:r>
          </w:p>
        </w:tc>
        <w:tc>
          <w:tcPr>
            <w:tcW w:w="6323" w:type="dxa"/>
            <w:tcBorders>
              <w:top w:val="single" w:color="auto" w:sz="4" w:space="0"/>
              <w:left w:val="single" w:color="auto" w:sz="4" w:space="0"/>
              <w:bottom w:val="single" w:color="auto" w:sz="4" w:space="0"/>
              <w:right w:val="single" w:color="auto" w:sz="4" w:space="0"/>
            </w:tcBorders>
            <w:vAlign w:val="center"/>
          </w:tcPr>
          <w:p w14:paraId="1B5AD613">
            <w:pPr>
              <w:spacing w:line="360" w:lineRule="auto"/>
              <w:rPr>
                <w:rFonts w:ascii="宋体" w:hAnsi="宋体" w:cs="宋体"/>
                <w:color w:val="auto"/>
                <w:sz w:val="24"/>
                <w:highlight w:val="none"/>
              </w:rPr>
            </w:pPr>
          </w:p>
        </w:tc>
      </w:tr>
      <w:tr w14:paraId="6E29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161B5DE2">
            <w:pPr>
              <w:rPr>
                <w:rFonts w:ascii="宋体" w:hAnsi="宋体" w:cs="宋体"/>
                <w:color w:val="auto"/>
                <w:szCs w:val="21"/>
                <w:highlight w:val="none"/>
              </w:rPr>
            </w:pPr>
            <w:r>
              <w:rPr>
                <w:rFonts w:hint="eastAsia" w:ascii="宋体" w:hAnsi="宋体" w:cs="宋体"/>
                <w:color w:val="auto"/>
                <w:szCs w:val="21"/>
                <w:highlight w:val="none"/>
              </w:rPr>
              <w:t>注册资本：</w:t>
            </w:r>
          </w:p>
        </w:tc>
        <w:tc>
          <w:tcPr>
            <w:tcW w:w="6323" w:type="dxa"/>
            <w:tcBorders>
              <w:top w:val="single" w:color="auto" w:sz="4" w:space="0"/>
              <w:left w:val="single" w:color="auto" w:sz="4" w:space="0"/>
              <w:bottom w:val="single" w:color="auto" w:sz="4" w:space="0"/>
              <w:right w:val="single" w:color="auto" w:sz="4" w:space="0"/>
            </w:tcBorders>
            <w:vAlign w:val="center"/>
          </w:tcPr>
          <w:p w14:paraId="3F219885">
            <w:pPr>
              <w:spacing w:line="360" w:lineRule="auto"/>
              <w:rPr>
                <w:rFonts w:ascii="宋体" w:hAnsi="宋体" w:cs="宋体"/>
                <w:color w:val="auto"/>
                <w:sz w:val="24"/>
                <w:highlight w:val="none"/>
              </w:rPr>
            </w:pPr>
          </w:p>
        </w:tc>
      </w:tr>
      <w:tr w14:paraId="315B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2C52D8E2">
            <w:pPr>
              <w:rPr>
                <w:rFonts w:ascii="宋体" w:hAnsi="宋体" w:cs="宋体"/>
                <w:color w:val="auto"/>
                <w:szCs w:val="21"/>
                <w:highlight w:val="none"/>
              </w:rPr>
            </w:pPr>
            <w:r>
              <w:rPr>
                <w:rFonts w:hint="eastAsia" w:ascii="宋体" w:hAnsi="宋体" w:cs="宋体"/>
                <w:color w:val="auto"/>
                <w:szCs w:val="21"/>
                <w:highlight w:val="none"/>
              </w:rPr>
              <w:t>地址：</w:t>
            </w:r>
          </w:p>
        </w:tc>
        <w:tc>
          <w:tcPr>
            <w:tcW w:w="6323" w:type="dxa"/>
            <w:tcBorders>
              <w:top w:val="single" w:color="auto" w:sz="4" w:space="0"/>
              <w:left w:val="single" w:color="auto" w:sz="4" w:space="0"/>
              <w:bottom w:val="single" w:color="auto" w:sz="4" w:space="0"/>
              <w:right w:val="single" w:color="auto" w:sz="4" w:space="0"/>
            </w:tcBorders>
            <w:vAlign w:val="center"/>
          </w:tcPr>
          <w:p w14:paraId="6D47734C">
            <w:pPr>
              <w:spacing w:line="360" w:lineRule="auto"/>
              <w:rPr>
                <w:rFonts w:ascii="宋体" w:hAnsi="宋体" w:cs="宋体"/>
                <w:color w:val="auto"/>
                <w:sz w:val="24"/>
                <w:highlight w:val="none"/>
              </w:rPr>
            </w:pPr>
          </w:p>
        </w:tc>
      </w:tr>
      <w:tr w14:paraId="35C9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1B889C75">
            <w:pPr>
              <w:rPr>
                <w:rFonts w:ascii="宋体" w:hAnsi="宋体" w:cs="宋体"/>
                <w:color w:val="auto"/>
                <w:szCs w:val="21"/>
                <w:highlight w:val="none"/>
              </w:rPr>
            </w:pPr>
            <w:r>
              <w:rPr>
                <w:rFonts w:hint="eastAsia" w:ascii="宋体" w:hAnsi="宋体" w:cs="宋体"/>
                <w:color w:val="auto"/>
                <w:szCs w:val="21"/>
                <w:highlight w:val="none"/>
              </w:rPr>
              <w:t>经济行业：</w:t>
            </w:r>
          </w:p>
        </w:tc>
        <w:tc>
          <w:tcPr>
            <w:tcW w:w="6323" w:type="dxa"/>
            <w:tcBorders>
              <w:top w:val="single" w:color="auto" w:sz="4" w:space="0"/>
              <w:left w:val="single" w:color="auto" w:sz="4" w:space="0"/>
              <w:bottom w:val="single" w:color="auto" w:sz="4" w:space="0"/>
              <w:right w:val="single" w:color="auto" w:sz="4" w:space="0"/>
            </w:tcBorders>
            <w:vAlign w:val="center"/>
          </w:tcPr>
          <w:p w14:paraId="4B05E485">
            <w:pPr>
              <w:spacing w:line="360" w:lineRule="auto"/>
              <w:rPr>
                <w:rFonts w:ascii="宋体" w:hAnsi="宋体" w:cs="宋体"/>
                <w:color w:val="auto"/>
                <w:sz w:val="24"/>
                <w:highlight w:val="none"/>
              </w:rPr>
            </w:pPr>
          </w:p>
        </w:tc>
      </w:tr>
      <w:tr w14:paraId="556E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3A4ADD02">
            <w:pPr>
              <w:rPr>
                <w:rFonts w:ascii="宋体" w:hAnsi="宋体" w:cs="宋体"/>
                <w:color w:val="auto"/>
                <w:szCs w:val="21"/>
                <w:highlight w:val="none"/>
              </w:rPr>
            </w:pPr>
            <w:r>
              <w:rPr>
                <w:rFonts w:hint="eastAsia" w:ascii="宋体" w:hAnsi="宋体" w:cs="宋体"/>
                <w:color w:val="auto"/>
                <w:szCs w:val="21"/>
                <w:highlight w:val="none"/>
              </w:rPr>
              <w:t>经济性质：</w:t>
            </w:r>
          </w:p>
        </w:tc>
        <w:tc>
          <w:tcPr>
            <w:tcW w:w="6323" w:type="dxa"/>
            <w:tcBorders>
              <w:top w:val="single" w:color="auto" w:sz="4" w:space="0"/>
              <w:left w:val="single" w:color="auto" w:sz="4" w:space="0"/>
              <w:bottom w:val="single" w:color="auto" w:sz="4" w:space="0"/>
              <w:right w:val="single" w:color="auto" w:sz="4" w:space="0"/>
            </w:tcBorders>
            <w:vAlign w:val="center"/>
          </w:tcPr>
          <w:p w14:paraId="3E488FD4">
            <w:pPr>
              <w:spacing w:line="360" w:lineRule="auto"/>
              <w:rPr>
                <w:rFonts w:ascii="宋体" w:hAnsi="宋体" w:cs="宋体"/>
                <w:color w:val="auto"/>
                <w:sz w:val="24"/>
                <w:highlight w:val="none"/>
              </w:rPr>
            </w:pPr>
          </w:p>
        </w:tc>
      </w:tr>
    </w:tbl>
    <w:p w14:paraId="745314EF">
      <w:pPr>
        <w:spacing w:before="1" w:line="342" w:lineRule="auto"/>
        <w:ind w:left="5" w:right="1001" w:firstLine="13"/>
        <w:rPr>
          <w:rFonts w:ascii="宋体" w:hAnsi="宋体" w:cs="宋体"/>
          <w:color w:val="auto"/>
          <w:spacing w:val="5"/>
          <w:szCs w:val="21"/>
          <w:highlight w:val="none"/>
        </w:rPr>
      </w:pPr>
    </w:p>
    <w:p w14:paraId="1E97BAEF">
      <w:pPr>
        <w:spacing w:before="1" w:line="342" w:lineRule="auto"/>
        <w:ind w:left="5" w:right="1001" w:firstLine="13"/>
        <w:rPr>
          <w:rFonts w:ascii="宋体" w:hAnsi="宋体" w:cs="宋体"/>
          <w:color w:val="auto"/>
          <w:spacing w:val="5"/>
          <w:szCs w:val="21"/>
          <w:highlight w:val="none"/>
        </w:rPr>
      </w:pPr>
      <w:r>
        <w:rPr>
          <w:rFonts w:hint="eastAsia" w:ascii="宋体" w:hAnsi="宋体" w:cs="宋体"/>
          <w:color w:val="auto"/>
          <w:spacing w:val="5"/>
          <w:szCs w:val="21"/>
          <w:highlight w:val="none"/>
        </w:rPr>
        <w:t>法定代表人 (负责人) 姓名 (签字</w:t>
      </w:r>
      <w:r>
        <w:rPr>
          <w:rFonts w:hint="eastAsia" w:ascii="宋体" w:hAnsi="宋体" w:cs="宋体"/>
          <w:color w:val="auto"/>
          <w:spacing w:val="5"/>
          <w:szCs w:val="21"/>
          <w:highlight w:val="none"/>
          <w:lang w:val="en-US" w:eastAsia="zh-CN"/>
        </w:rPr>
        <w:t>或印章</w:t>
      </w:r>
      <w:r>
        <w:rPr>
          <w:rFonts w:hint="eastAsia" w:ascii="宋体" w:hAnsi="宋体" w:cs="宋体"/>
          <w:color w:val="auto"/>
          <w:spacing w:val="5"/>
          <w:szCs w:val="21"/>
          <w:highlight w:val="none"/>
        </w:rPr>
        <w:t>)：</w:t>
      </w:r>
      <w:r>
        <w:rPr>
          <w:rFonts w:hint="eastAsia" w:ascii="宋体" w:hAnsi="宋体"/>
          <w:color w:val="auto"/>
          <w:szCs w:val="21"/>
          <w:highlight w:val="none"/>
          <w:u w:val="single"/>
        </w:rPr>
        <w:t xml:space="preserve">    </w:t>
      </w:r>
    </w:p>
    <w:p w14:paraId="572C253C">
      <w:pPr>
        <w:spacing w:before="1" w:line="342" w:lineRule="auto"/>
        <w:ind w:left="5" w:right="1001" w:firstLine="13"/>
        <w:rPr>
          <w:rFonts w:ascii="宋体" w:hAnsi="宋体" w:cs="宋体"/>
          <w:color w:val="auto"/>
          <w:spacing w:val="5"/>
          <w:szCs w:val="21"/>
          <w:highlight w:val="none"/>
        </w:rPr>
      </w:pPr>
      <w:r>
        <w:rPr>
          <w:rFonts w:hint="eastAsia" w:ascii="宋体" w:hAnsi="宋体" w:cs="宋体"/>
          <w:color w:val="auto"/>
          <w:spacing w:val="5"/>
          <w:szCs w:val="21"/>
          <w:highlight w:val="none"/>
        </w:rPr>
        <w:t>身份证号：</w:t>
      </w:r>
      <w:r>
        <w:rPr>
          <w:rFonts w:hint="eastAsia" w:ascii="宋体" w:hAnsi="宋体"/>
          <w:color w:val="auto"/>
          <w:szCs w:val="21"/>
          <w:highlight w:val="none"/>
          <w:u w:val="single"/>
        </w:rPr>
        <w:t xml:space="preserve">    </w:t>
      </w:r>
    </w:p>
    <w:p w14:paraId="3FF63D09">
      <w:pPr>
        <w:spacing w:before="1" w:line="342" w:lineRule="auto"/>
        <w:ind w:left="5" w:right="1001" w:firstLine="13"/>
        <w:rPr>
          <w:rFonts w:ascii="宋体" w:hAnsi="宋体" w:cs="宋体"/>
          <w:color w:val="auto"/>
          <w:szCs w:val="21"/>
          <w:highlight w:val="none"/>
        </w:rPr>
      </w:pPr>
      <w:r>
        <w:rPr>
          <w:rFonts w:hint="eastAsia" w:ascii="宋体" w:hAnsi="宋体" w:cs="宋体"/>
          <w:color w:val="auto"/>
          <w:spacing w:val="5"/>
          <w:szCs w:val="21"/>
          <w:highlight w:val="none"/>
        </w:rPr>
        <w:t>手机号</w:t>
      </w:r>
      <w:r>
        <w:rPr>
          <w:rFonts w:hint="eastAsia" w:ascii="宋体" w:hAnsi="宋体" w:cs="宋体"/>
          <w:color w:val="auto"/>
          <w:spacing w:val="1"/>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 xml:space="preserve"> </w:t>
      </w:r>
    </w:p>
    <w:p w14:paraId="1C0766A3">
      <w:pPr>
        <w:spacing w:line="480" w:lineRule="exact"/>
        <w:jc w:val="left"/>
        <w:rPr>
          <w:rFonts w:ascii="宋体" w:hAnsi="宋体" w:cs="宋体"/>
          <w:color w:val="auto"/>
          <w:spacing w:val="8"/>
          <w:szCs w:val="21"/>
          <w:highlight w:val="none"/>
        </w:rPr>
      </w:pPr>
      <w:r>
        <w:rPr>
          <w:rFonts w:hint="eastAsia" w:ascii="宋体" w:hAnsi="宋体" w:cs="宋体"/>
          <w:color w:val="auto"/>
          <w:spacing w:val="16"/>
          <w:szCs w:val="21"/>
          <w:highlight w:val="none"/>
        </w:rPr>
        <w:t>授</w:t>
      </w:r>
      <w:r>
        <w:rPr>
          <w:rFonts w:hint="eastAsia" w:ascii="宋体" w:hAnsi="宋体" w:cs="宋体"/>
          <w:color w:val="auto"/>
          <w:spacing w:val="8"/>
          <w:szCs w:val="21"/>
          <w:highlight w:val="none"/>
        </w:rPr>
        <w:t>权代表人姓名 (</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pacing w:val="8"/>
          <w:szCs w:val="21"/>
          <w:highlight w:val="none"/>
        </w:rPr>
        <w:t>)：</w:t>
      </w:r>
      <w:r>
        <w:rPr>
          <w:rFonts w:hint="eastAsia" w:ascii="宋体" w:hAnsi="宋体"/>
          <w:color w:val="auto"/>
          <w:szCs w:val="21"/>
          <w:highlight w:val="none"/>
          <w:u w:val="single"/>
        </w:rPr>
        <w:t xml:space="preserve">    </w:t>
      </w:r>
    </w:p>
    <w:p w14:paraId="18540A35">
      <w:pPr>
        <w:spacing w:line="480" w:lineRule="exact"/>
        <w:jc w:val="left"/>
        <w:rPr>
          <w:rFonts w:ascii="宋体" w:hAnsi="宋体" w:cs="宋体"/>
          <w:color w:val="auto"/>
          <w:spacing w:val="8"/>
          <w:szCs w:val="21"/>
          <w:highlight w:val="none"/>
        </w:rPr>
      </w:pPr>
      <w:r>
        <w:rPr>
          <w:rFonts w:hint="eastAsia" w:ascii="宋体" w:hAnsi="宋体" w:cs="宋体"/>
          <w:color w:val="auto"/>
          <w:spacing w:val="8"/>
          <w:szCs w:val="21"/>
          <w:highlight w:val="none"/>
        </w:rPr>
        <w:t>身份证号：</w:t>
      </w:r>
      <w:r>
        <w:rPr>
          <w:rFonts w:hint="eastAsia" w:ascii="宋体" w:hAnsi="宋体"/>
          <w:color w:val="auto"/>
          <w:szCs w:val="21"/>
          <w:highlight w:val="none"/>
          <w:u w:val="single"/>
        </w:rPr>
        <w:t xml:space="preserve">    </w:t>
      </w:r>
    </w:p>
    <w:p w14:paraId="0B6B1BFA">
      <w:pPr>
        <w:spacing w:line="480" w:lineRule="exact"/>
        <w:jc w:val="left"/>
        <w:rPr>
          <w:rFonts w:ascii="宋体" w:hAnsi="宋体"/>
          <w:color w:val="auto"/>
          <w:szCs w:val="21"/>
          <w:highlight w:val="none"/>
        </w:rPr>
      </w:pPr>
      <w:r>
        <w:rPr>
          <w:rFonts w:hint="eastAsia" w:ascii="宋体" w:hAnsi="宋体" w:cs="宋体"/>
          <w:color w:val="auto"/>
          <w:spacing w:val="8"/>
          <w:szCs w:val="21"/>
          <w:highlight w:val="none"/>
        </w:rPr>
        <w:t>手机号：</w:t>
      </w:r>
      <w:r>
        <w:rPr>
          <w:rFonts w:hint="eastAsia" w:ascii="宋体" w:hAnsi="宋体"/>
          <w:color w:val="auto"/>
          <w:szCs w:val="21"/>
          <w:highlight w:val="none"/>
          <w:u w:val="single"/>
        </w:rPr>
        <w:t xml:space="preserve">    </w:t>
      </w:r>
    </w:p>
    <w:p w14:paraId="043CC911">
      <w:pPr>
        <w:spacing w:line="480" w:lineRule="exact"/>
        <w:rPr>
          <w:rFonts w:ascii="黑体" w:eastAsia="黑体"/>
          <w:color w:val="auto"/>
          <w:sz w:val="30"/>
          <w:szCs w:val="30"/>
          <w:highlight w:val="none"/>
        </w:rPr>
      </w:pPr>
    </w:p>
    <w:p w14:paraId="4533C346">
      <w:pPr>
        <w:spacing w:line="480" w:lineRule="exact"/>
        <w:rPr>
          <w:rFonts w:ascii="黑体" w:eastAsia="黑体"/>
          <w:color w:val="auto"/>
          <w:sz w:val="30"/>
          <w:szCs w:val="30"/>
          <w:highlight w:val="none"/>
        </w:rPr>
      </w:pPr>
    </w:p>
    <w:p w14:paraId="4F8A005E">
      <w:pPr>
        <w:pStyle w:val="16"/>
        <w:rPr>
          <w:color w:val="auto"/>
          <w:highlight w:val="none"/>
        </w:rPr>
      </w:pPr>
    </w:p>
    <w:p w14:paraId="572980EA">
      <w:pPr>
        <w:spacing w:line="480" w:lineRule="exact"/>
        <w:rPr>
          <w:rFonts w:ascii="黑体" w:eastAsia="黑体"/>
          <w:color w:val="auto"/>
          <w:sz w:val="30"/>
          <w:szCs w:val="30"/>
          <w:highlight w:val="none"/>
        </w:rPr>
      </w:pPr>
      <w:r>
        <w:rPr>
          <w:rFonts w:hint="eastAsia" w:ascii="黑体" w:eastAsia="黑体"/>
          <w:color w:val="auto"/>
          <w:sz w:val="30"/>
          <w:szCs w:val="30"/>
          <w:highlight w:val="none"/>
        </w:rPr>
        <w:t>附件8  磋商文件规定的特定资格条件证明资料</w:t>
      </w:r>
    </w:p>
    <w:p w14:paraId="4944296D">
      <w:pPr>
        <w:spacing w:line="480" w:lineRule="exact"/>
        <w:rPr>
          <w:rFonts w:ascii="宋体" w:hAnsi="宋体"/>
          <w:color w:val="auto"/>
          <w:szCs w:val="21"/>
          <w:highlight w:val="none"/>
        </w:rPr>
      </w:pPr>
    </w:p>
    <w:p w14:paraId="7BDFC472">
      <w:pPr>
        <w:spacing w:line="480" w:lineRule="exact"/>
        <w:rPr>
          <w:rFonts w:ascii="宋体" w:hAnsi="宋体"/>
          <w:color w:val="auto"/>
          <w:szCs w:val="21"/>
          <w:highlight w:val="none"/>
        </w:rPr>
      </w:pPr>
      <w:r>
        <w:rPr>
          <w:rFonts w:hint="eastAsia" w:ascii="宋体" w:hAnsi="宋体"/>
          <w:b/>
          <w:bCs/>
          <w:color w:val="auto"/>
          <w:szCs w:val="21"/>
          <w:highlight w:val="none"/>
        </w:rPr>
        <w:t>备注：</w:t>
      </w:r>
      <w:r>
        <w:rPr>
          <w:rFonts w:hint="eastAsia" w:ascii="宋体" w:hAnsi="宋体"/>
          <w:color w:val="auto"/>
          <w:szCs w:val="21"/>
          <w:highlight w:val="none"/>
        </w:rPr>
        <w:t>提供第二章 磋商须知第3.1款供应商特定资格条件证明资料的复印件。</w:t>
      </w:r>
    </w:p>
    <w:p w14:paraId="312ACFC3">
      <w:pPr>
        <w:spacing w:line="480" w:lineRule="exact"/>
        <w:rPr>
          <w:rFonts w:ascii="宋体" w:hAnsi="宋体"/>
          <w:color w:val="auto"/>
          <w:szCs w:val="21"/>
          <w:highlight w:val="none"/>
        </w:rPr>
      </w:pPr>
    </w:p>
    <w:p w14:paraId="6667D8BB">
      <w:pPr>
        <w:spacing w:line="480" w:lineRule="exact"/>
        <w:rPr>
          <w:rFonts w:ascii="黑体" w:eastAsia="黑体"/>
          <w:color w:val="auto"/>
          <w:sz w:val="30"/>
          <w:szCs w:val="30"/>
          <w:highlight w:val="none"/>
        </w:rPr>
      </w:pPr>
    </w:p>
    <w:p w14:paraId="234601D8">
      <w:pPr>
        <w:spacing w:line="480" w:lineRule="exact"/>
        <w:rPr>
          <w:rFonts w:ascii="黑体" w:eastAsia="黑体"/>
          <w:color w:val="auto"/>
          <w:sz w:val="30"/>
          <w:szCs w:val="30"/>
          <w:highlight w:val="none"/>
        </w:rPr>
      </w:pPr>
    </w:p>
    <w:p w14:paraId="570DA1F7">
      <w:pPr>
        <w:spacing w:line="480" w:lineRule="exact"/>
        <w:rPr>
          <w:rFonts w:ascii="黑体" w:eastAsia="黑体"/>
          <w:color w:val="auto"/>
          <w:sz w:val="30"/>
          <w:szCs w:val="30"/>
          <w:highlight w:val="none"/>
        </w:rPr>
      </w:pPr>
    </w:p>
    <w:p w14:paraId="41A2E7E2">
      <w:pPr>
        <w:spacing w:line="480" w:lineRule="exact"/>
        <w:rPr>
          <w:rFonts w:ascii="黑体" w:eastAsia="黑体"/>
          <w:color w:val="auto"/>
          <w:sz w:val="30"/>
          <w:szCs w:val="30"/>
          <w:highlight w:val="none"/>
        </w:rPr>
      </w:pPr>
    </w:p>
    <w:p w14:paraId="487D4798">
      <w:pPr>
        <w:spacing w:line="480" w:lineRule="exact"/>
        <w:rPr>
          <w:rFonts w:ascii="黑体" w:eastAsia="黑体"/>
          <w:color w:val="auto"/>
          <w:sz w:val="30"/>
          <w:szCs w:val="30"/>
          <w:highlight w:val="none"/>
        </w:rPr>
      </w:pPr>
    </w:p>
    <w:p w14:paraId="00255FA1">
      <w:pPr>
        <w:spacing w:line="480" w:lineRule="exact"/>
        <w:rPr>
          <w:rFonts w:ascii="黑体" w:eastAsia="黑体"/>
          <w:color w:val="auto"/>
          <w:sz w:val="30"/>
          <w:szCs w:val="30"/>
          <w:highlight w:val="none"/>
        </w:rPr>
      </w:pPr>
    </w:p>
    <w:p w14:paraId="7DFC2B9C">
      <w:pPr>
        <w:spacing w:line="480" w:lineRule="exact"/>
        <w:rPr>
          <w:rFonts w:ascii="黑体" w:eastAsia="黑体"/>
          <w:color w:val="auto"/>
          <w:sz w:val="30"/>
          <w:szCs w:val="30"/>
          <w:highlight w:val="none"/>
        </w:rPr>
      </w:pPr>
    </w:p>
    <w:p w14:paraId="1067860F">
      <w:pPr>
        <w:spacing w:line="480" w:lineRule="exact"/>
        <w:rPr>
          <w:rFonts w:ascii="黑体" w:eastAsia="黑体"/>
          <w:color w:val="auto"/>
          <w:sz w:val="30"/>
          <w:szCs w:val="30"/>
          <w:highlight w:val="none"/>
        </w:rPr>
      </w:pPr>
    </w:p>
    <w:p w14:paraId="22951D5E">
      <w:pPr>
        <w:spacing w:line="480" w:lineRule="exact"/>
        <w:rPr>
          <w:rFonts w:ascii="黑体" w:eastAsia="黑体"/>
          <w:color w:val="auto"/>
          <w:sz w:val="30"/>
          <w:szCs w:val="30"/>
          <w:highlight w:val="none"/>
        </w:rPr>
      </w:pPr>
    </w:p>
    <w:p w14:paraId="4A972FAE">
      <w:pPr>
        <w:spacing w:line="480" w:lineRule="exact"/>
        <w:rPr>
          <w:rFonts w:ascii="黑体" w:eastAsia="黑体"/>
          <w:color w:val="auto"/>
          <w:sz w:val="30"/>
          <w:szCs w:val="30"/>
          <w:highlight w:val="none"/>
        </w:rPr>
      </w:pPr>
    </w:p>
    <w:p w14:paraId="3A39269E">
      <w:pPr>
        <w:spacing w:line="480" w:lineRule="exact"/>
        <w:rPr>
          <w:rFonts w:ascii="黑体" w:eastAsia="黑体"/>
          <w:color w:val="auto"/>
          <w:sz w:val="30"/>
          <w:szCs w:val="30"/>
          <w:highlight w:val="none"/>
        </w:rPr>
      </w:pPr>
    </w:p>
    <w:p w14:paraId="5C4A424D">
      <w:pPr>
        <w:spacing w:line="480" w:lineRule="exact"/>
        <w:rPr>
          <w:rFonts w:ascii="黑体" w:eastAsia="黑体"/>
          <w:color w:val="auto"/>
          <w:sz w:val="30"/>
          <w:szCs w:val="30"/>
          <w:highlight w:val="none"/>
        </w:rPr>
      </w:pPr>
    </w:p>
    <w:p w14:paraId="551EC0BC">
      <w:pPr>
        <w:spacing w:line="480" w:lineRule="exact"/>
        <w:rPr>
          <w:rFonts w:ascii="黑体" w:eastAsia="黑体"/>
          <w:color w:val="auto"/>
          <w:sz w:val="30"/>
          <w:szCs w:val="30"/>
          <w:highlight w:val="none"/>
        </w:rPr>
      </w:pPr>
    </w:p>
    <w:p w14:paraId="125FEFA2">
      <w:pPr>
        <w:spacing w:line="480" w:lineRule="exact"/>
        <w:rPr>
          <w:rFonts w:ascii="黑体" w:eastAsia="黑体"/>
          <w:color w:val="auto"/>
          <w:sz w:val="30"/>
          <w:szCs w:val="30"/>
          <w:highlight w:val="none"/>
        </w:rPr>
      </w:pPr>
    </w:p>
    <w:p w14:paraId="0A2C07B8">
      <w:pPr>
        <w:spacing w:line="480" w:lineRule="exact"/>
        <w:rPr>
          <w:rFonts w:ascii="黑体" w:eastAsia="黑体"/>
          <w:color w:val="auto"/>
          <w:sz w:val="30"/>
          <w:szCs w:val="30"/>
          <w:highlight w:val="none"/>
        </w:rPr>
      </w:pPr>
    </w:p>
    <w:p w14:paraId="4356BAC4">
      <w:pPr>
        <w:spacing w:line="480" w:lineRule="exact"/>
        <w:rPr>
          <w:rFonts w:ascii="黑体" w:eastAsia="黑体"/>
          <w:color w:val="auto"/>
          <w:sz w:val="30"/>
          <w:szCs w:val="30"/>
          <w:highlight w:val="none"/>
        </w:rPr>
      </w:pPr>
    </w:p>
    <w:p w14:paraId="4F03AA45">
      <w:pPr>
        <w:spacing w:line="480" w:lineRule="exact"/>
        <w:rPr>
          <w:rFonts w:ascii="黑体" w:eastAsia="黑体"/>
          <w:color w:val="auto"/>
          <w:sz w:val="30"/>
          <w:szCs w:val="30"/>
          <w:highlight w:val="none"/>
        </w:rPr>
      </w:pPr>
    </w:p>
    <w:p w14:paraId="0DAD06D1">
      <w:pPr>
        <w:spacing w:line="480" w:lineRule="exact"/>
        <w:rPr>
          <w:rFonts w:ascii="黑体" w:eastAsia="黑体"/>
          <w:color w:val="auto"/>
          <w:sz w:val="30"/>
          <w:szCs w:val="30"/>
          <w:highlight w:val="none"/>
        </w:rPr>
      </w:pPr>
    </w:p>
    <w:p w14:paraId="53C9C083">
      <w:pPr>
        <w:adjustRightInd w:val="0"/>
        <w:snapToGrid w:val="0"/>
        <w:spacing w:line="360" w:lineRule="auto"/>
        <w:rPr>
          <w:rFonts w:ascii="黑体" w:hAnsi="黑体" w:eastAsia="黑体"/>
          <w:bCs/>
          <w:color w:val="auto"/>
          <w:sz w:val="30"/>
          <w:szCs w:val="30"/>
          <w:highlight w:val="none"/>
        </w:rPr>
      </w:pPr>
    </w:p>
    <w:p w14:paraId="5DA3D4D7">
      <w:pPr>
        <w:adjustRightInd w:val="0"/>
        <w:snapToGrid w:val="0"/>
        <w:spacing w:line="360" w:lineRule="auto"/>
        <w:jc w:val="center"/>
        <w:rPr>
          <w:rFonts w:ascii="黑体" w:hAnsi="宋体" w:eastAsia="黑体"/>
          <w:color w:val="auto"/>
          <w:sz w:val="28"/>
          <w:szCs w:val="28"/>
          <w:highlight w:val="none"/>
        </w:rPr>
      </w:pPr>
      <w:r>
        <w:rPr>
          <w:rFonts w:ascii="黑体" w:hAnsi="宋体" w:eastAsia="黑体"/>
          <w:color w:val="auto"/>
          <w:sz w:val="28"/>
          <w:szCs w:val="28"/>
          <w:highlight w:val="none"/>
        </w:rPr>
        <w:br w:type="page"/>
      </w:r>
      <w:r>
        <w:rPr>
          <w:rFonts w:hint="eastAsia" w:ascii="黑体" w:hAnsi="宋体" w:eastAsia="黑体"/>
          <w:color w:val="auto"/>
          <w:sz w:val="28"/>
          <w:szCs w:val="28"/>
          <w:highlight w:val="none"/>
        </w:rPr>
        <w:t>参加政府采购活动前三年内在经营活动中没有重大违法记录的书面声明</w:t>
      </w:r>
    </w:p>
    <w:p w14:paraId="2F2C3D95">
      <w:pPr>
        <w:adjustRightInd w:val="0"/>
        <w:snapToGrid w:val="0"/>
        <w:spacing w:before="120" w:beforeLines="50" w:line="360" w:lineRule="auto"/>
        <w:outlineLvl w:val="0"/>
        <w:rPr>
          <w:rFonts w:ascii="宋体" w:hAnsi="宋体"/>
          <w:color w:val="auto"/>
          <w:sz w:val="24"/>
          <w:highlight w:val="none"/>
        </w:rPr>
      </w:pPr>
    </w:p>
    <w:p w14:paraId="54DFF2C5">
      <w:pPr>
        <w:adjustRightInd w:val="0"/>
        <w:snapToGrid w:val="0"/>
        <w:spacing w:before="120" w:beforeLines="50" w:line="360" w:lineRule="auto"/>
        <w:ind w:left="-88" w:leftChars="-42"/>
        <w:outlineLvl w:val="0"/>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智埔国际建设集团有限公司</w:t>
      </w:r>
      <w:r>
        <w:rPr>
          <w:rFonts w:hint="eastAsia" w:ascii="宋体" w:hAnsi="宋体"/>
          <w:color w:val="auto"/>
          <w:szCs w:val="21"/>
          <w:highlight w:val="none"/>
        </w:rPr>
        <w:t>(采购代理机构)：</w:t>
      </w:r>
    </w:p>
    <w:p w14:paraId="438A1F0F">
      <w:pPr>
        <w:adjustRightInd w:val="0"/>
        <w:snapToGrid w:val="0"/>
        <w:spacing w:before="120" w:beforeLines="50" w:line="360" w:lineRule="auto"/>
        <w:ind w:left="-88" w:leftChars="-42"/>
        <w:rPr>
          <w:rFonts w:ascii="宋体" w:hAnsi="宋体"/>
          <w:color w:val="auto"/>
          <w:szCs w:val="21"/>
          <w:highlight w:val="none"/>
        </w:rPr>
      </w:pPr>
    </w:p>
    <w:p w14:paraId="280FE204">
      <w:pPr>
        <w:widowControl/>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我单位在参加采购项目政府采购活动前三年内,在经营活动中,未因违法经营受到刑事处罚或者责令停产停业、吊销许可证或者执照、较大数额罚款等行政处罚</w:t>
      </w:r>
      <w:r>
        <w:rPr>
          <w:rFonts w:hint="eastAsia" w:ascii="宋体" w:hAnsi="宋体"/>
          <w:color w:val="auto"/>
          <w:szCs w:val="21"/>
          <w:highlight w:val="none"/>
        </w:rPr>
        <w:t>。</w:t>
      </w:r>
    </w:p>
    <w:p w14:paraId="7C2D5075">
      <w:pPr>
        <w:widowControl/>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特此声明！</w:t>
      </w:r>
    </w:p>
    <w:p w14:paraId="37B77004">
      <w:pPr>
        <w:widowControl/>
        <w:adjustRightInd w:val="0"/>
        <w:snapToGrid w:val="0"/>
        <w:spacing w:before="120" w:beforeLines="50" w:line="360" w:lineRule="auto"/>
        <w:ind w:firstLine="480" w:firstLineChars="200"/>
        <w:rPr>
          <w:rFonts w:ascii="宋体" w:hAnsi="宋体"/>
          <w:color w:val="auto"/>
          <w:sz w:val="24"/>
          <w:highlight w:val="none"/>
        </w:rPr>
      </w:pPr>
    </w:p>
    <w:p w14:paraId="69BAA926">
      <w:pPr>
        <w:widowControl/>
        <w:adjustRightInd w:val="0"/>
        <w:snapToGrid w:val="0"/>
        <w:spacing w:before="120" w:beforeLines="50" w:line="360" w:lineRule="auto"/>
        <w:ind w:firstLine="420"/>
        <w:rPr>
          <w:rFonts w:ascii="宋体" w:hAnsi="宋体"/>
          <w:color w:val="auto"/>
          <w:szCs w:val="21"/>
          <w:highlight w:val="none"/>
        </w:rPr>
      </w:pPr>
    </w:p>
    <w:p w14:paraId="06E847BD">
      <w:pPr>
        <w:widowControl/>
        <w:adjustRightInd w:val="0"/>
        <w:snapToGrid w:val="0"/>
        <w:spacing w:before="120" w:beforeLines="50" w:line="360" w:lineRule="auto"/>
        <w:ind w:firstLine="420"/>
        <w:rPr>
          <w:rFonts w:ascii="宋体" w:hAnsi="宋体"/>
          <w:color w:val="auto"/>
          <w:szCs w:val="21"/>
          <w:highlight w:val="none"/>
        </w:rPr>
      </w:pPr>
    </w:p>
    <w:p w14:paraId="46EEA3EC">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lang w:val="en-US" w:eastAsia="zh-CN"/>
        </w:rPr>
        <w:t>盖</w:t>
      </w:r>
      <w:r>
        <w:rPr>
          <w:rFonts w:hint="eastAsia" w:ascii="宋体" w:hAnsi="宋体"/>
          <w:color w:val="auto"/>
          <w:szCs w:val="21"/>
          <w:highlight w:val="none"/>
        </w:rPr>
        <w:t xml:space="preserve">单位章）： </w:t>
      </w:r>
    </w:p>
    <w:p w14:paraId="0E928F69">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val="en-US" w:eastAsia="zh-CN"/>
        </w:rPr>
        <w:t>或其委托代理人</w:t>
      </w:r>
      <w:r>
        <w:rPr>
          <w:rFonts w:hint="eastAsia" w:ascii="宋体" w:hAnsi="宋体"/>
          <w:color w:val="auto"/>
          <w:szCs w:val="21"/>
          <w:highlight w:val="none"/>
        </w:rPr>
        <w:t>（</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olor w:val="auto"/>
          <w:szCs w:val="21"/>
          <w:highlight w:val="none"/>
        </w:rPr>
        <w:t>）：</w:t>
      </w:r>
    </w:p>
    <w:p w14:paraId="028F56E3">
      <w:pPr>
        <w:widowControl/>
        <w:adjustRightInd w:val="0"/>
        <w:snapToGrid w:val="0"/>
        <w:spacing w:before="120" w:beforeLines="50" w:line="360" w:lineRule="auto"/>
        <w:rPr>
          <w:color w:val="auto"/>
          <w:highlight w:val="none"/>
        </w:rPr>
      </w:pPr>
      <w:r>
        <w:rPr>
          <w:rFonts w:hint="eastAsia" w:ascii="宋体" w:hAnsi="宋体"/>
          <w:color w:val="auto"/>
          <w:szCs w:val="21"/>
          <w:highlight w:val="none"/>
        </w:rPr>
        <w:t>日期： 年月日</w:t>
      </w:r>
    </w:p>
    <w:p w14:paraId="51A60A9E">
      <w:pPr>
        <w:adjustRightInd w:val="0"/>
        <w:snapToGrid w:val="0"/>
        <w:spacing w:line="360" w:lineRule="auto"/>
        <w:rPr>
          <w:rFonts w:ascii="黑体" w:eastAsia="黑体"/>
          <w:b/>
          <w:color w:val="auto"/>
          <w:sz w:val="30"/>
          <w:szCs w:val="30"/>
          <w:highlight w:val="none"/>
        </w:rPr>
      </w:pPr>
    </w:p>
    <w:p w14:paraId="4F11D615">
      <w:pPr>
        <w:jc w:val="left"/>
        <w:rPr>
          <w:rFonts w:ascii="黑体" w:eastAsia="黑体"/>
          <w:b/>
          <w:color w:val="auto"/>
          <w:sz w:val="30"/>
          <w:szCs w:val="30"/>
          <w:highlight w:val="none"/>
        </w:rPr>
      </w:pPr>
      <w:r>
        <w:rPr>
          <w:rFonts w:ascii="黑体" w:eastAsia="黑体"/>
          <w:b/>
          <w:color w:val="auto"/>
          <w:sz w:val="30"/>
          <w:szCs w:val="30"/>
          <w:highlight w:val="none"/>
        </w:rPr>
        <w:br w:type="page"/>
      </w:r>
      <w:r>
        <w:rPr>
          <w:rFonts w:hint="eastAsia" w:ascii="黑体" w:eastAsia="黑体"/>
          <w:b/>
          <w:color w:val="auto"/>
          <w:sz w:val="30"/>
          <w:szCs w:val="30"/>
          <w:highlight w:val="none"/>
        </w:rPr>
        <w:t xml:space="preserve">附件9          </w:t>
      </w:r>
    </w:p>
    <w:p w14:paraId="1D8E18B5">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法定代表人授权项目负责人委托书</w:t>
      </w:r>
    </w:p>
    <w:p w14:paraId="42DC0BCB">
      <w:pPr>
        <w:jc w:val="center"/>
        <w:rPr>
          <w:color w:val="auto"/>
          <w:sz w:val="28"/>
          <w:szCs w:val="28"/>
          <w:highlight w:val="none"/>
        </w:rPr>
      </w:pPr>
    </w:p>
    <w:p w14:paraId="56D18457">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（供应商名称）的法定代表人，现授权我方员工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为我方拟任本项目的项目负责人，是我方中标后代表我方负责该项目实施的唯一授权代表。项目负责人根据授权，以我方名义1、执行合同和处理在合同执行过程中发生的一切有关事项，其法律后果均由我方承担；2、执行过程中不得变更项目负责人，项目负责人不得再行委托第三人；3、合同执行期间全职在岗履责，否则我公司承担相应的违约责任（</w:t>
      </w:r>
      <w:r>
        <w:rPr>
          <w:rFonts w:hint="eastAsia" w:ascii="宋体" w:hAnsi="宋体" w:eastAsia="宋体" w:cs="宋体"/>
          <w:color w:val="auto"/>
          <w:sz w:val="21"/>
          <w:szCs w:val="21"/>
          <w:highlight w:val="none"/>
          <w:lang w:val="en-US" w:eastAsia="zh-CN"/>
        </w:rPr>
        <w:t>包括但不限于经济处罚、停工整改、中止合同履行、上报相关省级行政主管部门等</w:t>
      </w:r>
      <w:r>
        <w:rPr>
          <w:rFonts w:hint="eastAsia" w:ascii="宋体" w:hAnsi="宋体" w:cs="宋体"/>
          <w:color w:val="auto"/>
          <w:szCs w:val="21"/>
          <w:highlight w:val="none"/>
        </w:rPr>
        <w:t xml:space="preserve">）。 </w:t>
      </w:r>
    </w:p>
    <w:p w14:paraId="6D4982D7">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3C9A6E">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项目负责人无转委托权。</w:t>
      </w:r>
    </w:p>
    <w:p w14:paraId="11A307E0">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tbl>
      <w:tblPr>
        <w:tblStyle w:val="34"/>
        <w:tblW w:w="0" w:type="auto"/>
        <w:tblInd w:w="256" w:type="dxa"/>
        <w:tblLayout w:type="fixed"/>
        <w:tblCellMar>
          <w:top w:w="0" w:type="dxa"/>
          <w:left w:w="0" w:type="dxa"/>
          <w:bottom w:w="0" w:type="dxa"/>
          <w:right w:w="0" w:type="dxa"/>
        </w:tblCellMar>
      </w:tblPr>
      <w:tblGrid>
        <w:gridCol w:w="8528"/>
      </w:tblGrid>
      <w:tr w14:paraId="45C49548">
        <w:tblPrEx>
          <w:tblCellMar>
            <w:top w:w="0" w:type="dxa"/>
            <w:left w:w="0" w:type="dxa"/>
            <w:bottom w:w="0" w:type="dxa"/>
            <w:right w:w="0" w:type="dxa"/>
          </w:tblCellMar>
        </w:tblPrEx>
        <w:trPr>
          <w:trHeight w:val="2180" w:hRule="atLeast"/>
        </w:trPr>
        <w:tc>
          <w:tcPr>
            <w:tcW w:w="85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3149D78">
            <w:pPr>
              <w:spacing w:line="400" w:lineRule="atLeast"/>
              <w:jc w:val="center"/>
              <w:rPr>
                <w:rFonts w:ascii="Times New Roman" w:hAnsi="Times New Roman" w:cs="Times New Roman"/>
                <w:color w:val="auto"/>
                <w:highlight w:val="none"/>
              </w:rPr>
            </w:pPr>
            <w:r>
              <w:rPr>
                <w:rFonts w:hint="eastAsia" w:ascii="宋体" w:hAnsi="宋体" w:cs="宋体"/>
                <w:color w:val="auto"/>
                <w:szCs w:val="21"/>
                <w:highlight w:val="none"/>
              </w:rPr>
              <w:t>项目负责人</w:t>
            </w:r>
            <w:r>
              <w:rPr>
                <w:rFonts w:ascii="宋体" w:hAnsi="宋体" w:cs="宋体"/>
                <w:color w:val="auto"/>
                <w:szCs w:val="21"/>
                <w:highlight w:val="none"/>
              </w:rPr>
              <w:t>身份证复印件</w:t>
            </w:r>
          </w:p>
        </w:tc>
      </w:tr>
      <w:tr w14:paraId="728C4FDB">
        <w:tblPrEx>
          <w:tblCellMar>
            <w:top w:w="0" w:type="dxa"/>
            <w:left w:w="0" w:type="dxa"/>
            <w:bottom w:w="0" w:type="dxa"/>
            <w:right w:w="0" w:type="dxa"/>
          </w:tblCellMar>
        </w:tblPrEx>
        <w:trPr>
          <w:trHeight w:val="1970" w:hRule="atLeast"/>
        </w:trPr>
        <w:tc>
          <w:tcPr>
            <w:tcW w:w="85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E340772">
            <w:pPr>
              <w:spacing w:line="400" w:lineRule="atLeast"/>
              <w:jc w:val="center"/>
              <w:rPr>
                <w:rFonts w:ascii="宋体" w:hAns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rPr>
              <w:t xml:space="preserve">身份证复印件 </w:t>
            </w:r>
          </w:p>
        </w:tc>
      </w:tr>
    </w:tbl>
    <w:p w14:paraId="7D5AF47A">
      <w:pPr>
        <w:spacing w:line="400" w:lineRule="atLeast"/>
        <w:ind w:firstLine="420"/>
        <w:rPr>
          <w:rFonts w:ascii="宋体" w:hAnsi="宋体" w:cs="宋体"/>
          <w:b/>
          <w:color w:val="auto"/>
          <w:szCs w:val="21"/>
          <w:highlight w:val="none"/>
        </w:rPr>
      </w:pPr>
      <w:r>
        <w:rPr>
          <w:rFonts w:hint="eastAsia" w:ascii="宋体" w:hAnsi="宋体" w:cs="宋体"/>
          <w:b/>
          <w:color w:val="auto"/>
          <w:szCs w:val="21"/>
          <w:highlight w:val="none"/>
        </w:rPr>
        <w:t>附项目负责人投标截止日前连续 3 个月内任意1个月的社保缴纳证明</w:t>
      </w:r>
      <w:r>
        <w:rPr>
          <w:rFonts w:hint="eastAsia" w:ascii="宋体" w:hAnsi="宋体" w:cs="宋体"/>
          <w:b/>
          <w:color w:val="auto"/>
          <w:szCs w:val="21"/>
          <w:highlight w:val="none"/>
          <w:lang w:val="en-US" w:eastAsia="zh-CN"/>
        </w:rPr>
        <w:t>及磋商文件要求的相关证明材料</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以上均为复印件并加盖供应商公章</w:t>
      </w:r>
      <w:r>
        <w:rPr>
          <w:rFonts w:hint="eastAsia" w:ascii="宋体" w:hAnsi="宋体"/>
          <w:b/>
          <w:bCs/>
          <w:color w:val="auto"/>
          <w:szCs w:val="24"/>
          <w:highlight w:val="none"/>
        </w:rPr>
        <w:t>。</w:t>
      </w:r>
    </w:p>
    <w:p w14:paraId="26F1186A">
      <w:pPr>
        <w:spacing w:line="400" w:lineRule="atLeast"/>
        <w:ind w:firstLine="420"/>
        <w:rPr>
          <w:rFonts w:ascii="宋体" w:hAnsi="宋体" w:cs="宋体"/>
          <w:color w:val="auto"/>
          <w:szCs w:val="21"/>
          <w:highlight w:val="none"/>
        </w:rPr>
      </w:pPr>
    </w:p>
    <w:p w14:paraId="4B0CDB0F">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盖单位章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5387FD2B">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w:t>
      </w:r>
    </w:p>
    <w:p w14:paraId="5F4F48C5">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                 联系电话（手机号）：</w:t>
      </w:r>
    </w:p>
    <w:p w14:paraId="3A46E2CD">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日期：  年  月  日</w:t>
      </w:r>
    </w:p>
    <w:p w14:paraId="29B0D822">
      <w:pPr>
        <w:spacing w:line="400" w:lineRule="atLeast"/>
        <w:rPr>
          <w:color w:val="auto"/>
          <w:highlight w:val="none"/>
        </w:rPr>
      </w:pPr>
    </w:p>
    <w:p w14:paraId="41195989">
      <w:pPr>
        <w:pStyle w:val="24"/>
        <w:adjustRightInd w:val="0"/>
        <w:snapToGrid w:val="0"/>
        <w:spacing w:line="360" w:lineRule="auto"/>
        <w:outlineLvl w:val="0"/>
        <w:rPr>
          <w:rFonts w:ascii="宋体" w:hAnsi="宋体"/>
          <w:color w:val="auto"/>
          <w:sz w:val="21"/>
          <w:szCs w:val="21"/>
          <w:highlight w:val="none"/>
        </w:rPr>
      </w:pPr>
    </w:p>
    <w:p w14:paraId="72298B66">
      <w:pPr>
        <w:widowControl/>
        <w:jc w:val="left"/>
        <w:rPr>
          <w:rFonts w:ascii="黑体" w:eastAsia="黑体"/>
          <w:b/>
          <w:color w:val="auto"/>
          <w:sz w:val="32"/>
          <w:szCs w:val="32"/>
          <w:highlight w:val="none"/>
        </w:rPr>
      </w:pPr>
      <w:r>
        <w:rPr>
          <w:rFonts w:ascii="黑体" w:eastAsia="黑体"/>
          <w:b/>
          <w:color w:val="auto"/>
          <w:sz w:val="32"/>
          <w:szCs w:val="32"/>
          <w:highlight w:val="none"/>
        </w:rPr>
        <w:br w:type="page"/>
      </w:r>
    </w:p>
    <w:p w14:paraId="2096D241">
      <w:pPr>
        <w:adjustRightInd w:val="0"/>
        <w:snapToGrid w:val="0"/>
        <w:spacing w:line="360" w:lineRule="auto"/>
        <w:ind w:right="23" w:rightChars="11"/>
        <w:jc w:val="center"/>
        <w:rPr>
          <w:rFonts w:ascii="黑体" w:eastAsia="黑体"/>
          <w:b/>
          <w:color w:val="auto"/>
          <w:sz w:val="32"/>
          <w:szCs w:val="32"/>
          <w:highlight w:val="none"/>
        </w:rPr>
      </w:pPr>
      <w:r>
        <w:rPr>
          <w:rFonts w:hint="eastAsia" w:ascii="黑体" w:eastAsia="黑体"/>
          <w:b/>
          <w:color w:val="auto"/>
          <w:sz w:val="32"/>
          <w:szCs w:val="32"/>
          <w:highlight w:val="none"/>
        </w:rPr>
        <w:t>五、</w:t>
      </w:r>
      <w:r>
        <w:rPr>
          <w:rFonts w:hint="eastAsia" w:ascii="宋体" w:hAnsi="宋体" w:cs="宋体"/>
          <w:b/>
          <w:color w:val="auto"/>
          <w:sz w:val="32"/>
          <w:szCs w:val="32"/>
          <w:highlight w:val="none"/>
        </w:rPr>
        <w:t>施工组织设计</w:t>
      </w:r>
    </w:p>
    <w:p w14:paraId="17574C24">
      <w:pPr>
        <w:adjustRightInd w:val="0"/>
        <w:snapToGrid w:val="0"/>
        <w:spacing w:line="360" w:lineRule="auto"/>
        <w:rPr>
          <w:rFonts w:ascii="黑体" w:eastAsia="黑体"/>
          <w:b/>
          <w:color w:val="auto"/>
          <w:sz w:val="32"/>
          <w:szCs w:val="32"/>
          <w:highlight w:val="none"/>
        </w:rPr>
      </w:pPr>
      <w:r>
        <w:rPr>
          <w:rFonts w:hint="eastAsia" w:ascii="黑体" w:eastAsia="黑体"/>
          <w:b/>
          <w:color w:val="auto"/>
          <w:sz w:val="32"/>
          <w:szCs w:val="32"/>
          <w:highlight w:val="none"/>
        </w:rPr>
        <w:t>附件10</w:t>
      </w:r>
    </w:p>
    <w:p w14:paraId="43C000D7">
      <w:pPr>
        <w:pStyle w:val="21"/>
        <w:spacing w:after="0" w:line="400" w:lineRule="exact"/>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供应商应递交的《施工组织设计》技术文件应包括的内容（不仅限于以下内容、可自行增加）：</w:t>
      </w:r>
    </w:p>
    <w:p w14:paraId="5A655B77">
      <w:pPr>
        <w:pStyle w:val="16"/>
        <w:ind w:firstLine="420" w:firstLineChars="200"/>
        <w:rPr>
          <w:rFonts w:hint="eastAsia" w:ascii="宋体" w:hAnsi="宋体" w:eastAsia="宋体" w:cs="宋体"/>
          <w:color w:val="auto"/>
          <w:kern w:val="2"/>
          <w:sz w:val="21"/>
          <w:szCs w:val="21"/>
          <w:highlight w:val="none"/>
        </w:rPr>
      </w:pPr>
    </w:p>
    <w:p w14:paraId="6BD7D5C9">
      <w:pPr>
        <w:adjustRightInd w:val="0"/>
        <w:snapToGrid w:val="0"/>
        <w:ind w:right="23" w:rightChars="11"/>
        <w:rPr>
          <w:color w:val="auto"/>
          <w:szCs w:val="21"/>
          <w:highlight w:val="none"/>
        </w:rPr>
      </w:pPr>
    </w:p>
    <w:p w14:paraId="30453A7E">
      <w:pPr>
        <w:pStyle w:val="2"/>
        <w:keepNext w:val="0"/>
        <w:keepLines w:val="0"/>
        <w:pageBreakBefore w:val="0"/>
        <w:widowControl w:val="0"/>
        <w:kinsoku/>
        <w:wordWrap/>
        <w:overflowPunct/>
        <w:topLinePunct w:val="0"/>
        <w:autoSpaceDE/>
        <w:autoSpaceDN/>
        <w:bidi w:val="0"/>
        <w:adjustRightInd/>
        <w:snapToGrid/>
        <w:spacing w:after="20" w:line="360" w:lineRule="auto"/>
        <w:ind w:left="420" w:leftChars="20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1、施</w:t>
      </w:r>
      <w:r>
        <w:rPr>
          <w:rFonts w:hint="eastAsia" w:ascii="宋体" w:hAnsi="宋体" w:eastAsia="宋体" w:cs="宋体"/>
          <w:color w:val="auto"/>
          <w:sz w:val="21"/>
          <w:szCs w:val="21"/>
          <w:highlight w:val="none"/>
        </w:rPr>
        <w:t>工方案与技术措施</w:t>
      </w:r>
    </w:p>
    <w:p w14:paraId="33A7046D">
      <w:pPr>
        <w:keepNext w:val="0"/>
        <w:keepLines w:val="0"/>
        <w:pageBreakBefore w:val="0"/>
        <w:widowControl w:val="0"/>
        <w:kinsoku/>
        <w:wordWrap/>
        <w:overflowPunct/>
        <w:topLinePunct w:val="0"/>
        <w:autoSpaceDE/>
        <w:autoSpaceDN/>
        <w:bidi w:val="0"/>
        <w:adjustRightInd/>
        <w:snapToGrid/>
        <w:spacing w:after="20" w:line="360" w:lineRule="auto"/>
        <w:ind w:left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2、安全专项施工方案</w:t>
      </w:r>
    </w:p>
    <w:p w14:paraId="444B2141">
      <w:pPr>
        <w:keepNext w:val="0"/>
        <w:keepLines w:val="0"/>
        <w:pageBreakBefore w:val="0"/>
        <w:widowControl w:val="0"/>
        <w:shd w:val="clear" w:color="auto" w:fill="auto"/>
        <w:kinsoku/>
        <w:wordWrap/>
        <w:overflowPunct/>
        <w:topLinePunct w:val="0"/>
        <w:autoSpaceDE/>
        <w:autoSpaceDN/>
        <w:bidi w:val="0"/>
        <w:adjustRightInd/>
        <w:snapToGrid/>
        <w:spacing w:after="20" w:line="360" w:lineRule="auto"/>
        <w:ind w:left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资源配备计划</w:t>
      </w:r>
    </w:p>
    <w:p w14:paraId="3C4005C2">
      <w:pPr>
        <w:pStyle w:val="2"/>
        <w:keepNext w:val="0"/>
        <w:keepLines w:val="0"/>
        <w:pageBreakBefore w:val="0"/>
        <w:widowControl w:val="0"/>
        <w:kinsoku/>
        <w:wordWrap/>
        <w:overflowPunct/>
        <w:topLinePunct w:val="0"/>
        <w:autoSpaceDE/>
        <w:autoSpaceDN/>
        <w:bidi w:val="0"/>
        <w:adjustRightInd/>
        <w:snapToGrid/>
        <w:spacing w:after="20" w:line="360" w:lineRule="auto"/>
        <w:ind w:left="420" w:leftChars="200" w:firstLine="0" w:firstLineChars="0"/>
        <w:textAlignment w:val="auto"/>
        <w:rPr>
          <w:color w:val="auto"/>
          <w:highlight w:val="none"/>
        </w:rPr>
      </w:pPr>
      <w:r>
        <w:rPr>
          <w:rFonts w:hint="eastAsia" w:ascii="宋体" w:hAnsi="宋体" w:cs="宋体"/>
          <w:color w:val="auto"/>
          <w:sz w:val="21"/>
          <w:szCs w:val="21"/>
          <w:highlight w:val="none"/>
          <w:lang w:val="en-US" w:eastAsia="zh-CN"/>
        </w:rPr>
        <w:t>4、保修期服务方案与措施</w:t>
      </w:r>
    </w:p>
    <w:p w14:paraId="101945A8">
      <w:pPr>
        <w:rPr>
          <w:color w:val="auto"/>
          <w:szCs w:val="21"/>
          <w:highlight w:val="none"/>
        </w:rPr>
      </w:pPr>
    </w:p>
    <w:p w14:paraId="0A087B61">
      <w:pPr>
        <w:pStyle w:val="2"/>
        <w:rPr>
          <w:color w:val="auto"/>
          <w:highlight w:val="none"/>
        </w:rPr>
      </w:pPr>
    </w:p>
    <w:p w14:paraId="206EBA65">
      <w:pPr>
        <w:pStyle w:val="2"/>
        <w:rPr>
          <w:color w:val="auto"/>
          <w:highlight w:val="none"/>
        </w:rPr>
      </w:pPr>
    </w:p>
    <w:p w14:paraId="0FEC741C">
      <w:pPr>
        <w:pStyle w:val="24"/>
        <w:adjustRightInd w:val="0"/>
        <w:snapToGrid w:val="0"/>
        <w:spacing w:line="360" w:lineRule="auto"/>
        <w:ind w:right="21" w:rightChars="10"/>
        <w:rPr>
          <w:bCs/>
          <w:color w:val="auto"/>
          <w:sz w:val="21"/>
          <w:szCs w:val="21"/>
          <w:highlight w:val="none"/>
        </w:rPr>
      </w:pPr>
      <w:r>
        <w:rPr>
          <w:color w:val="auto"/>
          <w:sz w:val="21"/>
          <w:szCs w:val="21"/>
          <w:highlight w:val="none"/>
        </w:rPr>
        <w:t>供应商名称（盖单位章）：</w:t>
      </w:r>
    </w:p>
    <w:p w14:paraId="1BF85B44">
      <w:pPr>
        <w:adjustRightInd w:val="0"/>
        <w:snapToGrid w:val="0"/>
        <w:spacing w:line="360" w:lineRule="auto"/>
        <w:ind w:right="21" w:rightChars="10"/>
        <w:rPr>
          <w:color w:val="auto"/>
          <w:szCs w:val="21"/>
          <w:highlight w:val="none"/>
        </w:rPr>
      </w:pPr>
      <w:r>
        <w:rPr>
          <w:color w:val="auto"/>
          <w:szCs w:val="21"/>
          <w:highlight w:val="none"/>
        </w:rPr>
        <w:t>法定代表人或其委托代理人</w:t>
      </w:r>
      <w:r>
        <w:rPr>
          <w:rFonts w:hint="eastAsia"/>
          <w:color w:val="auto"/>
          <w:szCs w:val="21"/>
          <w:highlight w:val="none"/>
          <w:lang w:eastAsia="zh-CN"/>
        </w:rPr>
        <w:t>（</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color w:val="auto"/>
          <w:szCs w:val="21"/>
          <w:highlight w:val="none"/>
          <w:lang w:eastAsia="zh-CN"/>
        </w:rPr>
        <w:t>）</w:t>
      </w:r>
      <w:r>
        <w:rPr>
          <w:color w:val="auto"/>
          <w:szCs w:val="21"/>
          <w:highlight w:val="none"/>
        </w:rPr>
        <w:t>：</w:t>
      </w:r>
    </w:p>
    <w:p w14:paraId="4A73B19A">
      <w:pPr>
        <w:spacing w:line="360" w:lineRule="exact"/>
        <w:ind w:right="21" w:rightChars="10"/>
        <w:rPr>
          <w:color w:val="auto"/>
          <w:highlight w:val="none"/>
        </w:rPr>
      </w:pPr>
      <w:r>
        <w:rPr>
          <w:color w:val="auto"/>
          <w:szCs w:val="21"/>
          <w:highlight w:val="none"/>
        </w:rPr>
        <w:t>日期：年</w:t>
      </w:r>
      <w:r>
        <w:rPr>
          <w:rFonts w:hint="eastAsia"/>
          <w:color w:val="auto"/>
          <w:szCs w:val="21"/>
          <w:highlight w:val="none"/>
        </w:rPr>
        <w:t xml:space="preserve">  </w:t>
      </w:r>
      <w:r>
        <w:rPr>
          <w:color w:val="auto"/>
          <w:szCs w:val="21"/>
          <w:highlight w:val="none"/>
        </w:rPr>
        <w:t>月</w:t>
      </w:r>
      <w:r>
        <w:rPr>
          <w:rFonts w:hint="eastAsia"/>
          <w:color w:val="auto"/>
          <w:szCs w:val="21"/>
          <w:highlight w:val="none"/>
        </w:rPr>
        <w:t xml:space="preserve">  </w:t>
      </w:r>
      <w:r>
        <w:rPr>
          <w:color w:val="auto"/>
          <w:szCs w:val="21"/>
          <w:highlight w:val="none"/>
        </w:rPr>
        <w:t>日</w:t>
      </w:r>
    </w:p>
    <w:p w14:paraId="2100EC58">
      <w:pPr>
        <w:spacing w:line="360" w:lineRule="atLeast"/>
        <w:rPr>
          <w:rFonts w:ascii="黑体" w:eastAsia="黑体"/>
          <w:color w:val="auto"/>
          <w:sz w:val="30"/>
          <w:szCs w:val="30"/>
          <w:highlight w:val="none"/>
        </w:rPr>
      </w:pPr>
    </w:p>
    <w:p w14:paraId="47F954A9">
      <w:pPr>
        <w:spacing w:line="360" w:lineRule="atLeast"/>
        <w:rPr>
          <w:rFonts w:ascii="黑体" w:eastAsia="黑体"/>
          <w:color w:val="auto"/>
          <w:sz w:val="30"/>
          <w:szCs w:val="30"/>
          <w:highlight w:val="none"/>
        </w:rPr>
      </w:pPr>
    </w:p>
    <w:p w14:paraId="34A390D6">
      <w:pPr>
        <w:spacing w:line="360" w:lineRule="atLeast"/>
        <w:rPr>
          <w:rFonts w:ascii="黑体" w:eastAsia="黑体"/>
          <w:color w:val="auto"/>
          <w:sz w:val="30"/>
          <w:szCs w:val="30"/>
          <w:highlight w:val="none"/>
        </w:rPr>
      </w:pPr>
    </w:p>
    <w:p w14:paraId="56AC69A6">
      <w:pPr>
        <w:rPr>
          <w:rFonts w:ascii="黑体" w:eastAsia="黑体"/>
          <w:color w:val="auto"/>
          <w:sz w:val="30"/>
          <w:szCs w:val="30"/>
          <w:highlight w:val="none"/>
        </w:rPr>
      </w:pPr>
      <w:r>
        <w:rPr>
          <w:rFonts w:hint="eastAsia" w:ascii="黑体" w:eastAsia="黑体"/>
          <w:color w:val="auto"/>
          <w:sz w:val="30"/>
          <w:szCs w:val="30"/>
          <w:highlight w:val="none"/>
        </w:rPr>
        <w:br w:type="page"/>
      </w:r>
    </w:p>
    <w:p w14:paraId="41A9E9CA">
      <w:pPr>
        <w:pStyle w:val="6"/>
        <w:rPr>
          <w:color w:val="auto"/>
          <w:sz w:val="28"/>
          <w:szCs w:val="28"/>
          <w:highlight w:val="none"/>
        </w:rPr>
      </w:pPr>
      <w:r>
        <w:rPr>
          <w:rFonts w:hint="eastAsia" w:ascii="黑体" w:eastAsia="黑体"/>
          <w:color w:val="auto"/>
          <w:sz w:val="30"/>
          <w:szCs w:val="30"/>
          <w:highlight w:val="none"/>
        </w:rPr>
        <w:t xml:space="preserve">附件11              </w:t>
      </w:r>
      <w:r>
        <w:rPr>
          <w:rFonts w:hint="eastAsia"/>
          <w:color w:val="auto"/>
          <w:sz w:val="30"/>
          <w:szCs w:val="30"/>
          <w:highlight w:val="none"/>
        </w:rPr>
        <w:t>其它</w:t>
      </w:r>
      <w:r>
        <w:rPr>
          <w:color w:val="auto"/>
          <w:sz w:val="30"/>
          <w:szCs w:val="30"/>
          <w:highlight w:val="none"/>
        </w:rPr>
        <w:t>主要人员简历表</w:t>
      </w:r>
    </w:p>
    <w:tbl>
      <w:tblPr>
        <w:tblStyle w:val="3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74"/>
        <w:gridCol w:w="906"/>
        <w:gridCol w:w="2890"/>
        <w:gridCol w:w="462"/>
        <w:gridCol w:w="1643"/>
        <w:gridCol w:w="633"/>
        <w:gridCol w:w="1950"/>
      </w:tblGrid>
      <w:tr w14:paraId="07520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1195" w:type="pct"/>
            <w:gridSpan w:val="2"/>
            <w:vAlign w:val="center"/>
          </w:tcPr>
          <w:p w14:paraId="3634585D">
            <w:pPr>
              <w:spacing w:line="360" w:lineRule="atLeast"/>
              <w:ind w:right="23" w:rightChars="11"/>
              <w:jc w:val="center"/>
              <w:rPr>
                <w:color w:val="auto"/>
                <w:highlight w:val="none"/>
              </w:rPr>
            </w:pPr>
            <w:r>
              <w:rPr>
                <w:color w:val="auto"/>
                <w:highlight w:val="none"/>
              </w:rPr>
              <w:t>姓名</w:t>
            </w:r>
          </w:p>
        </w:tc>
        <w:tc>
          <w:tcPr>
            <w:tcW w:w="1451" w:type="pct"/>
            <w:vAlign w:val="center"/>
          </w:tcPr>
          <w:p w14:paraId="6FA3FE96">
            <w:pPr>
              <w:spacing w:line="360" w:lineRule="atLeast"/>
              <w:ind w:right="23" w:rightChars="11"/>
              <w:jc w:val="center"/>
              <w:rPr>
                <w:color w:val="auto"/>
                <w:highlight w:val="none"/>
              </w:rPr>
            </w:pPr>
          </w:p>
        </w:tc>
        <w:tc>
          <w:tcPr>
            <w:tcW w:w="1375" w:type="pct"/>
            <w:gridSpan w:val="3"/>
            <w:vAlign w:val="center"/>
          </w:tcPr>
          <w:p w14:paraId="1D812DE5">
            <w:pPr>
              <w:spacing w:line="360" w:lineRule="atLeast"/>
              <w:ind w:right="23" w:rightChars="11"/>
              <w:jc w:val="center"/>
              <w:rPr>
                <w:color w:val="auto"/>
                <w:highlight w:val="none"/>
              </w:rPr>
            </w:pPr>
            <w:r>
              <w:rPr>
                <w:color w:val="auto"/>
                <w:highlight w:val="none"/>
              </w:rPr>
              <w:t>性别</w:t>
            </w:r>
          </w:p>
        </w:tc>
        <w:tc>
          <w:tcPr>
            <w:tcW w:w="977" w:type="pct"/>
            <w:vAlign w:val="center"/>
          </w:tcPr>
          <w:p w14:paraId="0C16ECF4">
            <w:pPr>
              <w:spacing w:line="360" w:lineRule="atLeast"/>
              <w:ind w:right="23" w:rightChars="11"/>
              <w:jc w:val="center"/>
              <w:rPr>
                <w:color w:val="auto"/>
                <w:highlight w:val="none"/>
              </w:rPr>
            </w:pPr>
          </w:p>
        </w:tc>
      </w:tr>
      <w:tr w14:paraId="47B72A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1195" w:type="pct"/>
            <w:gridSpan w:val="2"/>
            <w:vAlign w:val="center"/>
          </w:tcPr>
          <w:p w14:paraId="2ED32130">
            <w:pPr>
              <w:spacing w:line="360" w:lineRule="atLeast"/>
              <w:ind w:right="23" w:rightChars="11"/>
              <w:jc w:val="center"/>
              <w:rPr>
                <w:color w:val="auto"/>
                <w:highlight w:val="none"/>
              </w:rPr>
            </w:pPr>
            <w:r>
              <w:rPr>
                <w:color w:val="auto"/>
                <w:highlight w:val="none"/>
              </w:rPr>
              <w:t>职务</w:t>
            </w:r>
          </w:p>
        </w:tc>
        <w:tc>
          <w:tcPr>
            <w:tcW w:w="1451" w:type="pct"/>
            <w:vAlign w:val="center"/>
          </w:tcPr>
          <w:p w14:paraId="2C5BEB55">
            <w:pPr>
              <w:spacing w:line="360" w:lineRule="atLeast"/>
              <w:ind w:right="23" w:rightChars="11"/>
              <w:jc w:val="center"/>
              <w:rPr>
                <w:color w:val="auto"/>
                <w:highlight w:val="none"/>
              </w:rPr>
            </w:pPr>
          </w:p>
        </w:tc>
        <w:tc>
          <w:tcPr>
            <w:tcW w:w="1375" w:type="pct"/>
            <w:gridSpan w:val="3"/>
            <w:vAlign w:val="center"/>
          </w:tcPr>
          <w:p w14:paraId="1C4F507E">
            <w:pPr>
              <w:spacing w:line="360" w:lineRule="atLeast"/>
              <w:ind w:right="23" w:rightChars="11"/>
              <w:jc w:val="center"/>
              <w:rPr>
                <w:color w:val="auto"/>
                <w:highlight w:val="none"/>
              </w:rPr>
            </w:pPr>
            <w:r>
              <w:rPr>
                <w:color w:val="auto"/>
                <w:highlight w:val="none"/>
              </w:rPr>
              <w:t>职称</w:t>
            </w:r>
          </w:p>
        </w:tc>
        <w:tc>
          <w:tcPr>
            <w:tcW w:w="977" w:type="pct"/>
            <w:vAlign w:val="center"/>
          </w:tcPr>
          <w:p w14:paraId="7A8FFBE4">
            <w:pPr>
              <w:spacing w:line="360" w:lineRule="atLeast"/>
              <w:ind w:right="23" w:rightChars="11"/>
              <w:jc w:val="center"/>
              <w:rPr>
                <w:color w:val="auto"/>
                <w:highlight w:val="none"/>
              </w:rPr>
            </w:pPr>
          </w:p>
        </w:tc>
      </w:tr>
      <w:tr w14:paraId="63A40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1195" w:type="pct"/>
            <w:gridSpan w:val="2"/>
            <w:vAlign w:val="center"/>
          </w:tcPr>
          <w:p w14:paraId="542A76D4">
            <w:pPr>
              <w:spacing w:line="360" w:lineRule="atLeast"/>
              <w:ind w:right="23" w:rightChars="11"/>
              <w:jc w:val="center"/>
              <w:rPr>
                <w:color w:val="auto"/>
                <w:highlight w:val="none"/>
              </w:rPr>
            </w:pPr>
            <w:r>
              <w:rPr>
                <w:color w:val="auto"/>
                <w:highlight w:val="none"/>
              </w:rPr>
              <w:t>毕业学校、专业</w:t>
            </w:r>
          </w:p>
        </w:tc>
        <w:tc>
          <w:tcPr>
            <w:tcW w:w="3804" w:type="pct"/>
            <w:gridSpan w:val="5"/>
            <w:vAlign w:val="center"/>
          </w:tcPr>
          <w:p w14:paraId="25958C53">
            <w:pPr>
              <w:spacing w:line="360" w:lineRule="atLeast"/>
              <w:ind w:right="23" w:rightChars="11"/>
              <w:jc w:val="center"/>
              <w:rPr>
                <w:color w:val="auto"/>
                <w:highlight w:val="none"/>
              </w:rPr>
            </w:pPr>
          </w:p>
        </w:tc>
      </w:tr>
      <w:tr w14:paraId="62BA5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1195" w:type="pct"/>
            <w:gridSpan w:val="2"/>
            <w:vAlign w:val="center"/>
          </w:tcPr>
          <w:p w14:paraId="48A67D58">
            <w:pPr>
              <w:spacing w:line="360" w:lineRule="atLeast"/>
              <w:ind w:right="23" w:rightChars="11"/>
              <w:jc w:val="center"/>
              <w:rPr>
                <w:color w:val="auto"/>
                <w:highlight w:val="none"/>
              </w:rPr>
            </w:pPr>
            <w:r>
              <w:rPr>
                <w:color w:val="auto"/>
                <w:highlight w:val="none"/>
              </w:rPr>
              <w:t>身份证号</w:t>
            </w:r>
          </w:p>
        </w:tc>
        <w:tc>
          <w:tcPr>
            <w:tcW w:w="1451" w:type="pct"/>
            <w:vAlign w:val="center"/>
          </w:tcPr>
          <w:p w14:paraId="1789B451">
            <w:pPr>
              <w:spacing w:line="360" w:lineRule="atLeast"/>
              <w:ind w:right="23" w:rightChars="11"/>
              <w:jc w:val="center"/>
              <w:rPr>
                <w:color w:val="auto"/>
                <w:highlight w:val="none"/>
              </w:rPr>
            </w:pPr>
          </w:p>
        </w:tc>
        <w:tc>
          <w:tcPr>
            <w:tcW w:w="1375" w:type="pct"/>
            <w:gridSpan w:val="3"/>
            <w:vAlign w:val="center"/>
          </w:tcPr>
          <w:p w14:paraId="3CE9C35C">
            <w:pPr>
              <w:spacing w:line="360" w:lineRule="atLeast"/>
              <w:ind w:right="23" w:rightChars="11"/>
              <w:jc w:val="center"/>
              <w:rPr>
                <w:color w:val="auto"/>
                <w:highlight w:val="none"/>
              </w:rPr>
            </w:pPr>
            <w:r>
              <w:rPr>
                <w:color w:val="auto"/>
                <w:highlight w:val="none"/>
              </w:rPr>
              <w:t>拟在本合同任职</w:t>
            </w:r>
          </w:p>
        </w:tc>
        <w:tc>
          <w:tcPr>
            <w:tcW w:w="977" w:type="pct"/>
            <w:vAlign w:val="center"/>
          </w:tcPr>
          <w:p w14:paraId="5B53AD76">
            <w:pPr>
              <w:spacing w:line="360" w:lineRule="atLeast"/>
              <w:ind w:right="23" w:rightChars="11"/>
              <w:jc w:val="center"/>
              <w:rPr>
                <w:color w:val="auto"/>
                <w:highlight w:val="none"/>
              </w:rPr>
            </w:pPr>
          </w:p>
        </w:tc>
      </w:tr>
      <w:tr w14:paraId="6A8DE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1195" w:type="pct"/>
            <w:gridSpan w:val="2"/>
            <w:vAlign w:val="center"/>
          </w:tcPr>
          <w:p w14:paraId="6D157FA9">
            <w:pPr>
              <w:spacing w:line="360" w:lineRule="atLeast"/>
              <w:ind w:right="23" w:rightChars="11"/>
              <w:jc w:val="center"/>
              <w:rPr>
                <w:color w:val="auto"/>
                <w:highlight w:val="none"/>
              </w:rPr>
            </w:pPr>
            <w:r>
              <w:rPr>
                <w:color w:val="auto"/>
                <w:highlight w:val="none"/>
              </w:rPr>
              <w:t>执业资格证</w:t>
            </w:r>
          </w:p>
        </w:tc>
        <w:tc>
          <w:tcPr>
            <w:tcW w:w="1451" w:type="pct"/>
            <w:vAlign w:val="center"/>
          </w:tcPr>
          <w:p w14:paraId="2F4323D3">
            <w:pPr>
              <w:spacing w:line="360" w:lineRule="atLeast"/>
              <w:ind w:right="23" w:rightChars="11"/>
              <w:jc w:val="center"/>
              <w:rPr>
                <w:color w:val="auto"/>
                <w:highlight w:val="none"/>
              </w:rPr>
            </w:pPr>
          </w:p>
        </w:tc>
        <w:tc>
          <w:tcPr>
            <w:tcW w:w="1375" w:type="pct"/>
            <w:gridSpan w:val="3"/>
            <w:vAlign w:val="center"/>
          </w:tcPr>
          <w:p w14:paraId="2F6DE329">
            <w:pPr>
              <w:spacing w:line="360" w:lineRule="atLeast"/>
              <w:ind w:right="23" w:rightChars="11"/>
              <w:jc w:val="center"/>
              <w:rPr>
                <w:color w:val="auto"/>
                <w:highlight w:val="none"/>
              </w:rPr>
            </w:pPr>
            <w:r>
              <w:rPr>
                <w:color w:val="auto"/>
                <w:highlight w:val="none"/>
              </w:rPr>
              <w:t>执业资格证书号</w:t>
            </w:r>
          </w:p>
        </w:tc>
        <w:tc>
          <w:tcPr>
            <w:tcW w:w="977" w:type="pct"/>
            <w:vAlign w:val="center"/>
          </w:tcPr>
          <w:p w14:paraId="1D5E6795">
            <w:pPr>
              <w:rPr>
                <w:color w:val="auto"/>
                <w:highlight w:val="none"/>
              </w:rPr>
            </w:pPr>
          </w:p>
        </w:tc>
      </w:tr>
      <w:tr w14:paraId="47F9E4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5000" w:type="pct"/>
            <w:gridSpan w:val="7"/>
            <w:vAlign w:val="center"/>
          </w:tcPr>
          <w:p w14:paraId="506AB172">
            <w:pPr>
              <w:spacing w:line="360" w:lineRule="atLeast"/>
              <w:ind w:right="23" w:rightChars="11"/>
              <w:rPr>
                <w:color w:val="auto"/>
                <w:highlight w:val="none"/>
              </w:rPr>
            </w:pPr>
            <w:r>
              <w:rPr>
                <w:color w:val="auto"/>
                <w:highlight w:val="none"/>
              </w:rPr>
              <w:t>近三年承担项目情况</w:t>
            </w:r>
          </w:p>
        </w:tc>
      </w:tr>
      <w:tr w14:paraId="509D3A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53979C38">
            <w:pPr>
              <w:spacing w:line="360" w:lineRule="atLeast"/>
              <w:ind w:right="23" w:rightChars="11"/>
              <w:jc w:val="center"/>
              <w:rPr>
                <w:color w:val="auto"/>
                <w:highlight w:val="none"/>
              </w:rPr>
            </w:pPr>
            <w:r>
              <w:rPr>
                <w:color w:val="auto"/>
                <w:highlight w:val="none"/>
              </w:rPr>
              <w:t>时间</w:t>
            </w:r>
          </w:p>
        </w:tc>
        <w:tc>
          <w:tcPr>
            <w:tcW w:w="2138" w:type="pct"/>
            <w:gridSpan w:val="3"/>
            <w:vAlign w:val="center"/>
          </w:tcPr>
          <w:p w14:paraId="12DEDAF6">
            <w:pPr>
              <w:spacing w:line="360" w:lineRule="atLeast"/>
              <w:ind w:right="23" w:rightChars="11"/>
              <w:jc w:val="center"/>
              <w:rPr>
                <w:color w:val="auto"/>
                <w:highlight w:val="none"/>
              </w:rPr>
            </w:pPr>
            <w:r>
              <w:rPr>
                <w:color w:val="auto"/>
                <w:highlight w:val="none"/>
              </w:rPr>
              <w:t>类似项目名称</w:t>
            </w:r>
          </w:p>
        </w:tc>
        <w:tc>
          <w:tcPr>
            <w:tcW w:w="825" w:type="pct"/>
            <w:vAlign w:val="center"/>
          </w:tcPr>
          <w:p w14:paraId="6BEB16ED">
            <w:pPr>
              <w:spacing w:line="360" w:lineRule="atLeast"/>
              <w:ind w:right="23" w:rightChars="11"/>
              <w:jc w:val="center"/>
              <w:rPr>
                <w:color w:val="auto"/>
                <w:highlight w:val="none"/>
              </w:rPr>
            </w:pPr>
            <w:r>
              <w:rPr>
                <w:color w:val="auto"/>
                <w:highlight w:val="none"/>
              </w:rPr>
              <w:t>担任职务</w:t>
            </w:r>
          </w:p>
        </w:tc>
        <w:tc>
          <w:tcPr>
            <w:tcW w:w="1295" w:type="pct"/>
            <w:gridSpan w:val="2"/>
            <w:vAlign w:val="center"/>
          </w:tcPr>
          <w:p w14:paraId="6209FD27">
            <w:pPr>
              <w:spacing w:line="360" w:lineRule="atLeast"/>
              <w:ind w:right="23" w:rightChars="11"/>
              <w:jc w:val="center"/>
              <w:rPr>
                <w:color w:val="auto"/>
                <w:highlight w:val="none"/>
              </w:rPr>
            </w:pPr>
            <w:r>
              <w:rPr>
                <w:color w:val="auto"/>
                <w:highlight w:val="none"/>
              </w:rPr>
              <w:t>项目单位名称及电话</w:t>
            </w:r>
          </w:p>
        </w:tc>
      </w:tr>
      <w:tr w14:paraId="66A1CD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1514C1AC">
            <w:pPr>
              <w:spacing w:line="360" w:lineRule="atLeast"/>
              <w:ind w:right="23" w:rightChars="11"/>
              <w:jc w:val="center"/>
              <w:rPr>
                <w:color w:val="auto"/>
                <w:highlight w:val="none"/>
              </w:rPr>
            </w:pPr>
          </w:p>
        </w:tc>
        <w:tc>
          <w:tcPr>
            <w:tcW w:w="2138" w:type="pct"/>
            <w:gridSpan w:val="3"/>
            <w:vAlign w:val="center"/>
          </w:tcPr>
          <w:p w14:paraId="25663D33">
            <w:pPr>
              <w:spacing w:line="360" w:lineRule="atLeast"/>
              <w:ind w:right="23" w:rightChars="11"/>
              <w:jc w:val="center"/>
              <w:rPr>
                <w:color w:val="auto"/>
                <w:highlight w:val="none"/>
              </w:rPr>
            </w:pPr>
          </w:p>
        </w:tc>
        <w:tc>
          <w:tcPr>
            <w:tcW w:w="825" w:type="pct"/>
            <w:vAlign w:val="center"/>
          </w:tcPr>
          <w:p w14:paraId="336F0B30">
            <w:pPr>
              <w:spacing w:line="360" w:lineRule="atLeast"/>
              <w:ind w:right="23" w:rightChars="11"/>
              <w:jc w:val="center"/>
              <w:rPr>
                <w:color w:val="auto"/>
                <w:highlight w:val="none"/>
              </w:rPr>
            </w:pPr>
          </w:p>
        </w:tc>
        <w:tc>
          <w:tcPr>
            <w:tcW w:w="1295" w:type="pct"/>
            <w:gridSpan w:val="2"/>
            <w:vAlign w:val="center"/>
          </w:tcPr>
          <w:p w14:paraId="51AFBC1F">
            <w:pPr>
              <w:spacing w:line="360" w:lineRule="atLeast"/>
              <w:ind w:right="23" w:rightChars="11"/>
              <w:jc w:val="center"/>
              <w:rPr>
                <w:color w:val="auto"/>
                <w:highlight w:val="none"/>
              </w:rPr>
            </w:pPr>
          </w:p>
        </w:tc>
      </w:tr>
      <w:tr w14:paraId="54771D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28FB00F1">
            <w:pPr>
              <w:spacing w:line="360" w:lineRule="atLeast"/>
              <w:ind w:right="23" w:rightChars="11"/>
              <w:jc w:val="center"/>
              <w:rPr>
                <w:color w:val="auto"/>
                <w:highlight w:val="none"/>
              </w:rPr>
            </w:pPr>
          </w:p>
        </w:tc>
        <w:tc>
          <w:tcPr>
            <w:tcW w:w="2138" w:type="pct"/>
            <w:gridSpan w:val="3"/>
            <w:vAlign w:val="center"/>
          </w:tcPr>
          <w:p w14:paraId="0B8F359A">
            <w:pPr>
              <w:spacing w:line="360" w:lineRule="atLeast"/>
              <w:ind w:right="23" w:rightChars="11"/>
              <w:jc w:val="center"/>
              <w:rPr>
                <w:color w:val="auto"/>
                <w:highlight w:val="none"/>
              </w:rPr>
            </w:pPr>
          </w:p>
        </w:tc>
        <w:tc>
          <w:tcPr>
            <w:tcW w:w="825" w:type="pct"/>
            <w:vAlign w:val="center"/>
          </w:tcPr>
          <w:p w14:paraId="358F62DE">
            <w:pPr>
              <w:spacing w:line="360" w:lineRule="atLeast"/>
              <w:ind w:right="23" w:rightChars="11"/>
              <w:jc w:val="center"/>
              <w:rPr>
                <w:color w:val="auto"/>
                <w:highlight w:val="none"/>
              </w:rPr>
            </w:pPr>
          </w:p>
        </w:tc>
        <w:tc>
          <w:tcPr>
            <w:tcW w:w="1295" w:type="pct"/>
            <w:gridSpan w:val="2"/>
            <w:vAlign w:val="center"/>
          </w:tcPr>
          <w:p w14:paraId="31DECB3D">
            <w:pPr>
              <w:spacing w:line="360" w:lineRule="atLeast"/>
              <w:ind w:right="23" w:rightChars="11"/>
              <w:jc w:val="center"/>
              <w:rPr>
                <w:color w:val="auto"/>
                <w:highlight w:val="none"/>
              </w:rPr>
            </w:pPr>
          </w:p>
        </w:tc>
      </w:tr>
      <w:tr w14:paraId="116CE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662C5F40">
            <w:pPr>
              <w:spacing w:line="360" w:lineRule="atLeast"/>
              <w:ind w:right="23" w:rightChars="11"/>
              <w:jc w:val="center"/>
              <w:rPr>
                <w:color w:val="auto"/>
                <w:highlight w:val="none"/>
              </w:rPr>
            </w:pPr>
          </w:p>
        </w:tc>
        <w:tc>
          <w:tcPr>
            <w:tcW w:w="2138" w:type="pct"/>
            <w:gridSpan w:val="3"/>
            <w:vAlign w:val="center"/>
          </w:tcPr>
          <w:p w14:paraId="3600DC82">
            <w:pPr>
              <w:spacing w:line="360" w:lineRule="atLeast"/>
              <w:ind w:right="23" w:rightChars="11"/>
              <w:jc w:val="center"/>
              <w:rPr>
                <w:color w:val="auto"/>
                <w:highlight w:val="none"/>
              </w:rPr>
            </w:pPr>
          </w:p>
        </w:tc>
        <w:tc>
          <w:tcPr>
            <w:tcW w:w="825" w:type="pct"/>
            <w:vAlign w:val="center"/>
          </w:tcPr>
          <w:p w14:paraId="1555826E">
            <w:pPr>
              <w:spacing w:line="360" w:lineRule="atLeast"/>
              <w:ind w:right="23" w:rightChars="11"/>
              <w:jc w:val="center"/>
              <w:rPr>
                <w:color w:val="auto"/>
                <w:highlight w:val="none"/>
              </w:rPr>
            </w:pPr>
          </w:p>
        </w:tc>
        <w:tc>
          <w:tcPr>
            <w:tcW w:w="1295" w:type="pct"/>
            <w:gridSpan w:val="2"/>
            <w:vAlign w:val="center"/>
          </w:tcPr>
          <w:p w14:paraId="4545E71B">
            <w:pPr>
              <w:spacing w:line="360" w:lineRule="atLeast"/>
              <w:ind w:right="23" w:rightChars="11"/>
              <w:jc w:val="center"/>
              <w:rPr>
                <w:color w:val="auto"/>
                <w:highlight w:val="none"/>
              </w:rPr>
            </w:pPr>
          </w:p>
        </w:tc>
      </w:tr>
      <w:tr w14:paraId="103F8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291103C7">
            <w:pPr>
              <w:spacing w:line="360" w:lineRule="atLeast"/>
              <w:ind w:right="23" w:rightChars="11"/>
              <w:jc w:val="center"/>
              <w:rPr>
                <w:color w:val="auto"/>
                <w:highlight w:val="none"/>
              </w:rPr>
            </w:pPr>
          </w:p>
        </w:tc>
        <w:tc>
          <w:tcPr>
            <w:tcW w:w="2138" w:type="pct"/>
            <w:gridSpan w:val="3"/>
            <w:vAlign w:val="center"/>
          </w:tcPr>
          <w:p w14:paraId="6D27C151">
            <w:pPr>
              <w:spacing w:line="360" w:lineRule="atLeast"/>
              <w:ind w:right="23" w:rightChars="11"/>
              <w:jc w:val="center"/>
              <w:rPr>
                <w:color w:val="auto"/>
                <w:highlight w:val="none"/>
              </w:rPr>
            </w:pPr>
          </w:p>
        </w:tc>
        <w:tc>
          <w:tcPr>
            <w:tcW w:w="825" w:type="pct"/>
            <w:vAlign w:val="center"/>
          </w:tcPr>
          <w:p w14:paraId="08540335">
            <w:pPr>
              <w:spacing w:line="360" w:lineRule="atLeast"/>
              <w:ind w:right="23" w:rightChars="11"/>
              <w:jc w:val="center"/>
              <w:rPr>
                <w:color w:val="auto"/>
                <w:highlight w:val="none"/>
              </w:rPr>
            </w:pPr>
          </w:p>
        </w:tc>
        <w:tc>
          <w:tcPr>
            <w:tcW w:w="1295" w:type="pct"/>
            <w:gridSpan w:val="2"/>
            <w:vAlign w:val="center"/>
          </w:tcPr>
          <w:p w14:paraId="7EE70FE1">
            <w:pPr>
              <w:spacing w:line="360" w:lineRule="atLeast"/>
              <w:ind w:right="23" w:rightChars="11"/>
              <w:jc w:val="center"/>
              <w:rPr>
                <w:color w:val="auto"/>
                <w:highlight w:val="none"/>
              </w:rPr>
            </w:pPr>
          </w:p>
        </w:tc>
      </w:tr>
      <w:tr w14:paraId="217F4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3DABD333">
            <w:pPr>
              <w:spacing w:line="360" w:lineRule="atLeast"/>
              <w:ind w:right="23" w:rightChars="11"/>
              <w:jc w:val="center"/>
              <w:rPr>
                <w:color w:val="auto"/>
                <w:highlight w:val="none"/>
              </w:rPr>
            </w:pPr>
          </w:p>
        </w:tc>
        <w:tc>
          <w:tcPr>
            <w:tcW w:w="2138" w:type="pct"/>
            <w:gridSpan w:val="3"/>
            <w:vAlign w:val="center"/>
          </w:tcPr>
          <w:p w14:paraId="49F9B70B">
            <w:pPr>
              <w:spacing w:line="360" w:lineRule="atLeast"/>
              <w:ind w:right="23" w:rightChars="11"/>
              <w:jc w:val="center"/>
              <w:rPr>
                <w:color w:val="auto"/>
                <w:highlight w:val="none"/>
              </w:rPr>
            </w:pPr>
          </w:p>
        </w:tc>
        <w:tc>
          <w:tcPr>
            <w:tcW w:w="825" w:type="pct"/>
            <w:vAlign w:val="center"/>
          </w:tcPr>
          <w:p w14:paraId="3E5D1CF2">
            <w:pPr>
              <w:spacing w:line="360" w:lineRule="atLeast"/>
              <w:ind w:right="23" w:rightChars="11"/>
              <w:jc w:val="center"/>
              <w:rPr>
                <w:color w:val="auto"/>
                <w:highlight w:val="none"/>
              </w:rPr>
            </w:pPr>
          </w:p>
        </w:tc>
        <w:tc>
          <w:tcPr>
            <w:tcW w:w="1295" w:type="pct"/>
            <w:gridSpan w:val="2"/>
            <w:vAlign w:val="center"/>
          </w:tcPr>
          <w:p w14:paraId="16262FDB">
            <w:pPr>
              <w:spacing w:line="360" w:lineRule="atLeast"/>
              <w:ind w:right="23" w:rightChars="11"/>
              <w:jc w:val="center"/>
              <w:rPr>
                <w:color w:val="auto"/>
                <w:highlight w:val="none"/>
              </w:rPr>
            </w:pPr>
          </w:p>
        </w:tc>
      </w:tr>
      <w:tr w14:paraId="123C4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52E3C53A">
            <w:pPr>
              <w:spacing w:line="360" w:lineRule="atLeast"/>
              <w:ind w:right="23" w:rightChars="11"/>
              <w:jc w:val="center"/>
              <w:rPr>
                <w:color w:val="auto"/>
                <w:highlight w:val="none"/>
              </w:rPr>
            </w:pPr>
          </w:p>
        </w:tc>
        <w:tc>
          <w:tcPr>
            <w:tcW w:w="2138" w:type="pct"/>
            <w:gridSpan w:val="3"/>
            <w:vAlign w:val="center"/>
          </w:tcPr>
          <w:p w14:paraId="2F7A317A">
            <w:pPr>
              <w:spacing w:line="360" w:lineRule="atLeast"/>
              <w:ind w:right="23" w:rightChars="11"/>
              <w:jc w:val="center"/>
              <w:rPr>
                <w:color w:val="auto"/>
                <w:highlight w:val="none"/>
              </w:rPr>
            </w:pPr>
          </w:p>
        </w:tc>
        <w:tc>
          <w:tcPr>
            <w:tcW w:w="825" w:type="pct"/>
            <w:vAlign w:val="center"/>
          </w:tcPr>
          <w:p w14:paraId="60DAC0BB">
            <w:pPr>
              <w:spacing w:line="360" w:lineRule="atLeast"/>
              <w:ind w:right="23" w:rightChars="11"/>
              <w:jc w:val="center"/>
              <w:rPr>
                <w:color w:val="auto"/>
                <w:highlight w:val="none"/>
              </w:rPr>
            </w:pPr>
          </w:p>
        </w:tc>
        <w:tc>
          <w:tcPr>
            <w:tcW w:w="1295" w:type="pct"/>
            <w:gridSpan w:val="2"/>
            <w:vAlign w:val="center"/>
          </w:tcPr>
          <w:p w14:paraId="5145FBC1">
            <w:pPr>
              <w:spacing w:line="360" w:lineRule="atLeast"/>
              <w:ind w:right="23" w:rightChars="11"/>
              <w:jc w:val="center"/>
              <w:rPr>
                <w:color w:val="auto"/>
                <w:highlight w:val="none"/>
              </w:rPr>
            </w:pPr>
          </w:p>
        </w:tc>
      </w:tr>
      <w:tr w14:paraId="304A1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220D30FB">
            <w:pPr>
              <w:spacing w:line="360" w:lineRule="atLeast"/>
              <w:ind w:right="23" w:rightChars="11"/>
              <w:jc w:val="center"/>
              <w:rPr>
                <w:color w:val="auto"/>
                <w:highlight w:val="none"/>
              </w:rPr>
            </w:pPr>
          </w:p>
        </w:tc>
        <w:tc>
          <w:tcPr>
            <w:tcW w:w="2138" w:type="pct"/>
            <w:gridSpan w:val="3"/>
            <w:vAlign w:val="center"/>
          </w:tcPr>
          <w:p w14:paraId="2BCF47A8">
            <w:pPr>
              <w:spacing w:line="360" w:lineRule="atLeast"/>
              <w:ind w:right="23" w:rightChars="11"/>
              <w:jc w:val="center"/>
              <w:rPr>
                <w:color w:val="auto"/>
                <w:highlight w:val="none"/>
              </w:rPr>
            </w:pPr>
          </w:p>
        </w:tc>
        <w:tc>
          <w:tcPr>
            <w:tcW w:w="825" w:type="pct"/>
            <w:vAlign w:val="center"/>
          </w:tcPr>
          <w:p w14:paraId="721F651D">
            <w:pPr>
              <w:spacing w:line="360" w:lineRule="atLeast"/>
              <w:ind w:right="23" w:rightChars="11"/>
              <w:jc w:val="center"/>
              <w:rPr>
                <w:color w:val="auto"/>
                <w:highlight w:val="none"/>
              </w:rPr>
            </w:pPr>
          </w:p>
        </w:tc>
        <w:tc>
          <w:tcPr>
            <w:tcW w:w="1295" w:type="pct"/>
            <w:gridSpan w:val="2"/>
            <w:vAlign w:val="center"/>
          </w:tcPr>
          <w:p w14:paraId="39CAEAD5">
            <w:pPr>
              <w:spacing w:line="360" w:lineRule="atLeast"/>
              <w:ind w:right="23" w:rightChars="11"/>
              <w:jc w:val="center"/>
              <w:rPr>
                <w:color w:val="auto"/>
                <w:highlight w:val="none"/>
              </w:rPr>
            </w:pPr>
          </w:p>
        </w:tc>
      </w:tr>
      <w:tr w14:paraId="4B703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4F4D26F8">
            <w:pPr>
              <w:spacing w:line="360" w:lineRule="atLeast"/>
              <w:ind w:right="23" w:rightChars="11"/>
              <w:jc w:val="center"/>
              <w:rPr>
                <w:color w:val="auto"/>
                <w:highlight w:val="none"/>
              </w:rPr>
            </w:pPr>
          </w:p>
        </w:tc>
        <w:tc>
          <w:tcPr>
            <w:tcW w:w="2138" w:type="pct"/>
            <w:gridSpan w:val="3"/>
            <w:vAlign w:val="center"/>
          </w:tcPr>
          <w:p w14:paraId="18F82B16">
            <w:pPr>
              <w:spacing w:line="360" w:lineRule="atLeast"/>
              <w:ind w:right="23" w:rightChars="11"/>
              <w:jc w:val="center"/>
              <w:rPr>
                <w:color w:val="auto"/>
                <w:highlight w:val="none"/>
              </w:rPr>
            </w:pPr>
          </w:p>
        </w:tc>
        <w:tc>
          <w:tcPr>
            <w:tcW w:w="825" w:type="pct"/>
            <w:vAlign w:val="center"/>
          </w:tcPr>
          <w:p w14:paraId="3ACB6DDF">
            <w:pPr>
              <w:spacing w:line="360" w:lineRule="atLeast"/>
              <w:ind w:right="23" w:rightChars="11"/>
              <w:jc w:val="center"/>
              <w:rPr>
                <w:color w:val="auto"/>
                <w:highlight w:val="none"/>
              </w:rPr>
            </w:pPr>
          </w:p>
        </w:tc>
        <w:tc>
          <w:tcPr>
            <w:tcW w:w="1295" w:type="pct"/>
            <w:gridSpan w:val="2"/>
            <w:vAlign w:val="center"/>
          </w:tcPr>
          <w:p w14:paraId="16709BDD">
            <w:pPr>
              <w:spacing w:line="360" w:lineRule="atLeast"/>
              <w:ind w:right="23" w:rightChars="11"/>
              <w:jc w:val="center"/>
              <w:rPr>
                <w:color w:val="auto"/>
                <w:highlight w:val="none"/>
              </w:rPr>
            </w:pPr>
          </w:p>
        </w:tc>
      </w:tr>
      <w:tr w14:paraId="2EC5E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4449C346">
            <w:pPr>
              <w:spacing w:line="360" w:lineRule="atLeast"/>
              <w:ind w:right="23" w:rightChars="11"/>
              <w:jc w:val="center"/>
              <w:rPr>
                <w:color w:val="auto"/>
                <w:highlight w:val="none"/>
              </w:rPr>
            </w:pPr>
          </w:p>
        </w:tc>
        <w:tc>
          <w:tcPr>
            <w:tcW w:w="2138" w:type="pct"/>
            <w:gridSpan w:val="3"/>
            <w:vAlign w:val="center"/>
          </w:tcPr>
          <w:p w14:paraId="67516E8C">
            <w:pPr>
              <w:spacing w:line="360" w:lineRule="atLeast"/>
              <w:ind w:right="23" w:rightChars="11"/>
              <w:jc w:val="center"/>
              <w:rPr>
                <w:color w:val="auto"/>
                <w:highlight w:val="none"/>
              </w:rPr>
            </w:pPr>
          </w:p>
        </w:tc>
        <w:tc>
          <w:tcPr>
            <w:tcW w:w="825" w:type="pct"/>
            <w:vAlign w:val="center"/>
          </w:tcPr>
          <w:p w14:paraId="026FEF6E">
            <w:pPr>
              <w:spacing w:line="360" w:lineRule="atLeast"/>
              <w:ind w:right="23" w:rightChars="11"/>
              <w:jc w:val="center"/>
              <w:rPr>
                <w:color w:val="auto"/>
                <w:highlight w:val="none"/>
              </w:rPr>
            </w:pPr>
          </w:p>
        </w:tc>
        <w:tc>
          <w:tcPr>
            <w:tcW w:w="1295" w:type="pct"/>
            <w:gridSpan w:val="2"/>
            <w:vAlign w:val="center"/>
          </w:tcPr>
          <w:p w14:paraId="5A90315B">
            <w:pPr>
              <w:spacing w:line="360" w:lineRule="atLeast"/>
              <w:ind w:right="23" w:rightChars="11"/>
              <w:jc w:val="center"/>
              <w:rPr>
                <w:color w:val="auto"/>
                <w:highlight w:val="none"/>
              </w:rPr>
            </w:pPr>
          </w:p>
        </w:tc>
      </w:tr>
    </w:tbl>
    <w:p w14:paraId="206BC27B">
      <w:pPr>
        <w:spacing w:line="360" w:lineRule="atLeast"/>
        <w:ind w:right="23" w:rightChars="11"/>
        <w:rPr>
          <w:rFonts w:eastAsia="仿宋_GB2312"/>
          <w:color w:val="auto"/>
          <w:highlight w:val="none"/>
        </w:rPr>
      </w:pPr>
      <w:r>
        <w:rPr>
          <w:rFonts w:eastAsia="仿宋_GB2312"/>
          <w:color w:val="auto"/>
          <w:szCs w:val="21"/>
          <w:highlight w:val="none"/>
        </w:rPr>
        <w:t>说明</w:t>
      </w:r>
      <w:r>
        <w:rPr>
          <w:rFonts w:eastAsia="仿宋_GB2312"/>
          <w:color w:val="auto"/>
          <w:highlight w:val="none"/>
        </w:rPr>
        <w:t>：</w:t>
      </w:r>
      <w:r>
        <w:rPr>
          <w:rFonts w:hint="eastAsia" w:ascii="宋体" w:hAnsi="宋体" w:cs="宋体"/>
          <w:color w:val="auto"/>
          <w:szCs w:val="21"/>
          <w:highlight w:val="none"/>
        </w:rPr>
        <w:t>主要人员证书、</w:t>
      </w:r>
      <w:r>
        <w:rPr>
          <w:rFonts w:hint="eastAsia" w:ascii="宋体" w:hAnsi="宋体" w:cs="宋体"/>
          <w:color w:val="auto"/>
          <w:highlight w:val="none"/>
        </w:rPr>
        <w:t>类似项目证明资料等按第二章第40.1款或第四章要求提供。</w:t>
      </w:r>
    </w:p>
    <w:p w14:paraId="1F6F09DA">
      <w:pPr>
        <w:adjustRightInd w:val="0"/>
        <w:snapToGrid w:val="0"/>
        <w:spacing w:line="360" w:lineRule="auto"/>
        <w:ind w:right="23" w:rightChars="11"/>
        <w:rPr>
          <w:color w:val="auto"/>
          <w:szCs w:val="21"/>
          <w:highlight w:val="none"/>
        </w:rPr>
      </w:pPr>
    </w:p>
    <w:p w14:paraId="5BC06289">
      <w:pPr>
        <w:ind w:right="23" w:rightChars="11"/>
        <w:rPr>
          <w:color w:val="auto"/>
          <w:szCs w:val="21"/>
          <w:highlight w:val="none"/>
        </w:rPr>
      </w:pPr>
    </w:p>
    <w:p w14:paraId="12474C75">
      <w:pPr>
        <w:pStyle w:val="24"/>
        <w:adjustRightInd w:val="0"/>
        <w:snapToGrid w:val="0"/>
        <w:spacing w:line="360" w:lineRule="auto"/>
        <w:ind w:right="21" w:rightChars="10"/>
        <w:rPr>
          <w:bCs/>
          <w:color w:val="auto"/>
          <w:sz w:val="21"/>
          <w:szCs w:val="21"/>
          <w:highlight w:val="none"/>
        </w:rPr>
      </w:pPr>
      <w:r>
        <w:rPr>
          <w:color w:val="auto"/>
          <w:sz w:val="21"/>
          <w:szCs w:val="21"/>
          <w:highlight w:val="none"/>
        </w:rPr>
        <w:t>供应商名称（盖单位章）：</w:t>
      </w:r>
    </w:p>
    <w:p w14:paraId="2CD95D2D">
      <w:pPr>
        <w:adjustRightInd w:val="0"/>
        <w:snapToGrid w:val="0"/>
        <w:spacing w:line="360" w:lineRule="auto"/>
        <w:ind w:right="21" w:rightChars="10"/>
        <w:rPr>
          <w:color w:val="auto"/>
          <w:szCs w:val="21"/>
          <w:highlight w:val="none"/>
        </w:rPr>
      </w:pPr>
      <w:r>
        <w:rPr>
          <w:color w:val="auto"/>
          <w:szCs w:val="21"/>
          <w:highlight w:val="none"/>
        </w:rPr>
        <w:t>法定代表人或其委托代理人</w:t>
      </w:r>
      <w:r>
        <w:rPr>
          <w:rFonts w:hint="eastAsia"/>
          <w:color w:val="auto"/>
          <w:szCs w:val="21"/>
          <w:highlight w:val="none"/>
          <w:lang w:eastAsia="zh-CN"/>
        </w:rPr>
        <w:t>（</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color w:val="auto"/>
          <w:szCs w:val="21"/>
          <w:highlight w:val="none"/>
          <w:lang w:eastAsia="zh-CN"/>
        </w:rPr>
        <w:t>）</w:t>
      </w:r>
      <w:r>
        <w:rPr>
          <w:color w:val="auto"/>
          <w:szCs w:val="21"/>
          <w:highlight w:val="none"/>
        </w:rPr>
        <w:t>：</w:t>
      </w:r>
    </w:p>
    <w:p w14:paraId="4BC912E3">
      <w:pPr>
        <w:spacing w:line="360" w:lineRule="exact"/>
        <w:ind w:right="21" w:rightChars="10"/>
        <w:rPr>
          <w:color w:val="auto"/>
          <w:highlight w:val="none"/>
        </w:rPr>
      </w:pPr>
      <w:r>
        <w:rPr>
          <w:color w:val="auto"/>
          <w:szCs w:val="21"/>
          <w:highlight w:val="none"/>
        </w:rPr>
        <w:t>日期：</w:t>
      </w:r>
      <w:r>
        <w:rPr>
          <w:rFonts w:hint="eastAsia"/>
          <w:color w:val="auto"/>
          <w:szCs w:val="21"/>
          <w:highlight w:val="none"/>
        </w:rPr>
        <w:t xml:space="preserve">  </w:t>
      </w:r>
      <w:r>
        <w:rPr>
          <w:color w:val="auto"/>
          <w:szCs w:val="21"/>
          <w:highlight w:val="none"/>
        </w:rPr>
        <w:t>年</w:t>
      </w:r>
      <w:r>
        <w:rPr>
          <w:rFonts w:hint="eastAsia"/>
          <w:color w:val="auto"/>
          <w:szCs w:val="21"/>
          <w:highlight w:val="none"/>
        </w:rPr>
        <w:t xml:space="preserve">  </w:t>
      </w:r>
      <w:r>
        <w:rPr>
          <w:color w:val="auto"/>
          <w:szCs w:val="21"/>
          <w:highlight w:val="none"/>
        </w:rPr>
        <w:t>月</w:t>
      </w:r>
      <w:r>
        <w:rPr>
          <w:rFonts w:hint="eastAsia"/>
          <w:color w:val="auto"/>
          <w:szCs w:val="21"/>
          <w:highlight w:val="none"/>
        </w:rPr>
        <w:t xml:space="preserve">  </w:t>
      </w:r>
      <w:r>
        <w:rPr>
          <w:color w:val="auto"/>
          <w:szCs w:val="21"/>
          <w:highlight w:val="none"/>
        </w:rPr>
        <w:t>日</w:t>
      </w:r>
    </w:p>
    <w:p w14:paraId="7D003303">
      <w:pPr>
        <w:spacing w:line="360" w:lineRule="exact"/>
        <w:rPr>
          <w:rFonts w:ascii="宋体"/>
          <w:color w:val="auto"/>
          <w:highlight w:val="none"/>
        </w:rPr>
      </w:pPr>
    </w:p>
    <w:p w14:paraId="735D8EB2">
      <w:pPr>
        <w:adjustRightInd w:val="0"/>
        <w:snapToGrid w:val="0"/>
        <w:spacing w:line="360" w:lineRule="auto"/>
        <w:jc w:val="center"/>
        <w:outlineLvl w:val="0"/>
        <w:rPr>
          <w:rFonts w:ascii="黑体" w:hAnsi="宋体" w:eastAsia="黑体"/>
          <w:b/>
          <w:color w:val="auto"/>
          <w:sz w:val="30"/>
          <w:szCs w:val="30"/>
          <w:highlight w:val="none"/>
        </w:rPr>
      </w:pPr>
      <w:r>
        <w:rPr>
          <w:rFonts w:hint="eastAsia" w:ascii="黑体" w:eastAsia="黑体"/>
          <w:b/>
          <w:color w:val="auto"/>
          <w:sz w:val="30"/>
          <w:szCs w:val="30"/>
          <w:highlight w:val="none"/>
        </w:rPr>
        <w:br w:type="page"/>
      </w:r>
      <w:r>
        <w:rPr>
          <w:rFonts w:hint="eastAsia" w:ascii="黑体" w:eastAsia="黑体"/>
          <w:b/>
          <w:color w:val="auto"/>
          <w:sz w:val="30"/>
          <w:szCs w:val="30"/>
          <w:highlight w:val="none"/>
        </w:rPr>
        <w:t>六、</w:t>
      </w:r>
      <w:r>
        <w:rPr>
          <w:rFonts w:hint="eastAsia" w:ascii="黑体" w:hAnsi="宋体" w:eastAsia="黑体"/>
          <w:b/>
          <w:color w:val="auto"/>
          <w:sz w:val="30"/>
          <w:szCs w:val="30"/>
          <w:highlight w:val="none"/>
        </w:rPr>
        <w:t>技术/</w:t>
      </w:r>
      <w:r>
        <w:rPr>
          <w:rFonts w:hint="eastAsia" w:ascii="黑体" w:eastAsia="黑体"/>
          <w:b/>
          <w:color w:val="auto"/>
          <w:sz w:val="30"/>
          <w:szCs w:val="30"/>
          <w:highlight w:val="none"/>
        </w:rPr>
        <w:t>商务</w:t>
      </w:r>
      <w:r>
        <w:rPr>
          <w:rFonts w:hint="eastAsia" w:ascii="黑体" w:hAnsi="宋体" w:eastAsia="黑体"/>
          <w:b/>
          <w:color w:val="auto"/>
          <w:sz w:val="30"/>
          <w:szCs w:val="30"/>
          <w:highlight w:val="none"/>
        </w:rPr>
        <w:t>响应与偏离表</w:t>
      </w:r>
    </w:p>
    <w:p w14:paraId="4C5F2DE1">
      <w:pPr>
        <w:adjustRightInd w:val="0"/>
        <w:snapToGrid w:val="0"/>
        <w:ind w:left="-88" w:leftChars="-42" w:firstLine="315" w:firstLineChars="150"/>
        <w:rPr>
          <w:rFonts w:ascii="宋体" w:hAnsi="宋体"/>
          <w:color w:val="auto"/>
          <w:szCs w:val="21"/>
          <w:highlight w:val="none"/>
          <w:u w:val="single"/>
        </w:rPr>
      </w:pPr>
    </w:p>
    <w:tbl>
      <w:tblPr>
        <w:tblStyle w:val="34"/>
        <w:tblW w:w="499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705"/>
        <w:gridCol w:w="1886"/>
        <w:gridCol w:w="2182"/>
        <w:gridCol w:w="2911"/>
        <w:gridCol w:w="1359"/>
        <w:gridCol w:w="751"/>
      </w:tblGrid>
      <w:tr w14:paraId="16D84C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60" w:type="pct"/>
            <w:vAlign w:val="center"/>
          </w:tcPr>
          <w:p w14:paraId="0F64E04E">
            <w:pPr>
              <w:adjustRightInd w:val="0"/>
              <w:snapToGrid w:val="0"/>
              <w:ind w:left="-88" w:leftChars="-42"/>
              <w:jc w:val="center"/>
              <w:rPr>
                <w:rFonts w:ascii="宋体" w:hAnsi="宋体"/>
                <w:bCs/>
                <w:color w:val="auto"/>
                <w:szCs w:val="21"/>
                <w:highlight w:val="none"/>
              </w:rPr>
            </w:pPr>
            <w:r>
              <w:rPr>
                <w:rFonts w:hint="eastAsia" w:ascii="宋体" w:hAnsi="宋体"/>
                <w:bCs/>
                <w:color w:val="auto"/>
                <w:szCs w:val="21"/>
                <w:highlight w:val="none"/>
              </w:rPr>
              <w:t>序号</w:t>
            </w:r>
          </w:p>
        </w:tc>
        <w:tc>
          <w:tcPr>
            <w:tcW w:w="963" w:type="pct"/>
            <w:vAlign w:val="center"/>
          </w:tcPr>
          <w:p w14:paraId="0816B74C">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磋商文件条目号</w:t>
            </w:r>
          </w:p>
        </w:tc>
        <w:tc>
          <w:tcPr>
            <w:tcW w:w="1114" w:type="pct"/>
            <w:vAlign w:val="center"/>
          </w:tcPr>
          <w:p w14:paraId="72E82690">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采购规格/商务条款</w:t>
            </w:r>
          </w:p>
        </w:tc>
        <w:tc>
          <w:tcPr>
            <w:tcW w:w="1486" w:type="pct"/>
            <w:vAlign w:val="center"/>
          </w:tcPr>
          <w:p w14:paraId="715011A6">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响应文件的规格/商务条款</w:t>
            </w:r>
          </w:p>
        </w:tc>
        <w:tc>
          <w:tcPr>
            <w:tcW w:w="694" w:type="pct"/>
            <w:vAlign w:val="center"/>
          </w:tcPr>
          <w:p w14:paraId="10B97F9C">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响应与偏离</w:t>
            </w:r>
          </w:p>
        </w:tc>
        <w:tc>
          <w:tcPr>
            <w:tcW w:w="380" w:type="pct"/>
            <w:vAlign w:val="center"/>
          </w:tcPr>
          <w:p w14:paraId="611695EF">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说明</w:t>
            </w:r>
          </w:p>
        </w:tc>
      </w:tr>
      <w:tr w14:paraId="7B37EB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0" w:type="pct"/>
          </w:tcPr>
          <w:p w14:paraId="4E948D50">
            <w:pPr>
              <w:adjustRightInd w:val="0"/>
              <w:snapToGrid w:val="0"/>
              <w:ind w:left="-88" w:leftChars="-42"/>
              <w:jc w:val="center"/>
              <w:rPr>
                <w:rFonts w:ascii="宋体" w:hAnsi="宋体"/>
                <w:color w:val="auto"/>
                <w:szCs w:val="21"/>
                <w:highlight w:val="none"/>
              </w:rPr>
            </w:pPr>
          </w:p>
        </w:tc>
        <w:tc>
          <w:tcPr>
            <w:tcW w:w="963" w:type="pct"/>
            <w:vAlign w:val="center"/>
          </w:tcPr>
          <w:p w14:paraId="496B7A3B">
            <w:pPr>
              <w:adjustRightInd w:val="0"/>
              <w:snapToGrid w:val="0"/>
              <w:ind w:left="-88" w:leftChars="-42"/>
              <w:jc w:val="center"/>
              <w:rPr>
                <w:rFonts w:ascii="宋体" w:hAnsi="宋体"/>
                <w:color w:val="auto"/>
                <w:szCs w:val="21"/>
                <w:highlight w:val="none"/>
              </w:rPr>
            </w:pPr>
          </w:p>
        </w:tc>
        <w:tc>
          <w:tcPr>
            <w:tcW w:w="1114" w:type="pct"/>
            <w:vAlign w:val="center"/>
          </w:tcPr>
          <w:p w14:paraId="70ED7389">
            <w:pPr>
              <w:adjustRightInd w:val="0"/>
              <w:snapToGrid w:val="0"/>
              <w:ind w:left="-88" w:leftChars="-42"/>
              <w:jc w:val="center"/>
              <w:rPr>
                <w:rFonts w:ascii="宋体" w:hAnsi="宋体"/>
                <w:color w:val="auto"/>
                <w:szCs w:val="21"/>
                <w:highlight w:val="none"/>
              </w:rPr>
            </w:pPr>
          </w:p>
        </w:tc>
        <w:tc>
          <w:tcPr>
            <w:tcW w:w="1486" w:type="pct"/>
            <w:vAlign w:val="center"/>
          </w:tcPr>
          <w:p w14:paraId="784FD6B5">
            <w:pPr>
              <w:adjustRightInd w:val="0"/>
              <w:snapToGrid w:val="0"/>
              <w:ind w:left="-88" w:leftChars="-42"/>
              <w:jc w:val="center"/>
              <w:rPr>
                <w:rFonts w:ascii="宋体" w:hAnsi="宋体"/>
                <w:color w:val="auto"/>
                <w:szCs w:val="21"/>
                <w:highlight w:val="none"/>
              </w:rPr>
            </w:pPr>
          </w:p>
        </w:tc>
        <w:tc>
          <w:tcPr>
            <w:tcW w:w="694" w:type="pct"/>
            <w:vAlign w:val="center"/>
          </w:tcPr>
          <w:p w14:paraId="095B6D21">
            <w:pPr>
              <w:adjustRightInd w:val="0"/>
              <w:snapToGrid w:val="0"/>
              <w:ind w:left="-88" w:leftChars="-42"/>
              <w:jc w:val="center"/>
              <w:rPr>
                <w:rFonts w:ascii="宋体" w:hAnsi="宋体"/>
                <w:color w:val="auto"/>
                <w:szCs w:val="21"/>
                <w:highlight w:val="none"/>
              </w:rPr>
            </w:pPr>
          </w:p>
        </w:tc>
        <w:tc>
          <w:tcPr>
            <w:tcW w:w="380" w:type="pct"/>
            <w:vAlign w:val="center"/>
          </w:tcPr>
          <w:p w14:paraId="68E246CF">
            <w:pPr>
              <w:adjustRightInd w:val="0"/>
              <w:snapToGrid w:val="0"/>
              <w:ind w:left="-88" w:leftChars="-42"/>
              <w:jc w:val="center"/>
              <w:rPr>
                <w:rFonts w:ascii="宋体" w:hAnsi="宋体"/>
                <w:color w:val="auto"/>
                <w:szCs w:val="21"/>
                <w:highlight w:val="none"/>
              </w:rPr>
            </w:pPr>
          </w:p>
        </w:tc>
      </w:tr>
      <w:tr w14:paraId="4017F8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0" w:type="pct"/>
          </w:tcPr>
          <w:p w14:paraId="724F2C9F">
            <w:pPr>
              <w:adjustRightInd w:val="0"/>
              <w:snapToGrid w:val="0"/>
              <w:ind w:left="-88" w:leftChars="-42"/>
              <w:jc w:val="center"/>
              <w:rPr>
                <w:rFonts w:ascii="宋体" w:hAnsi="宋体"/>
                <w:color w:val="auto"/>
                <w:szCs w:val="21"/>
                <w:highlight w:val="none"/>
              </w:rPr>
            </w:pPr>
          </w:p>
        </w:tc>
        <w:tc>
          <w:tcPr>
            <w:tcW w:w="963" w:type="pct"/>
            <w:vAlign w:val="center"/>
          </w:tcPr>
          <w:p w14:paraId="0FB0820F">
            <w:pPr>
              <w:adjustRightInd w:val="0"/>
              <w:snapToGrid w:val="0"/>
              <w:ind w:left="-88" w:leftChars="-42"/>
              <w:jc w:val="center"/>
              <w:rPr>
                <w:rFonts w:ascii="宋体" w:hAnsi="宋体"/>
                <w:color w:val="auto"/>
                <w:szCs w:val="21"/>
                <w:highlight w:val="none"/>
              </w:rPr>
            </w:pPr>
          </w:p>
        </w:tc>
        <w:tc>
          <w:tcPr>
            <w:tcW w:w="1114" w:type="pct"/>
            <w:vAlign w:val="center"/>
          </w:tcPr>
          <w:p w14:paraId="2C37B9FD">
            <w:pPr>
              <w:adjustRightInd w:val="0"/>
              <w:snapToGrid w:val="0"/>
              <w:ind w:left="-88" w:leftChars="-42"/>
              <w:jc w:val="center"/>
              <w:rPr>
                <w:rFonts w:ascii="宋体" w:hAnsi="宋体"/>
                <w:color w:val="auto"/>
                <w:szCs w:val="21"/>
                <w:highlight w:val="none"/>
              </w:rPr>
            </w:pPr>
          </w:p>
        </w:tc>
        <w:tc>
          <w:tcPr>
            <w:tcW w:w="1486" w:type="pct"/>
            <w:vAlign w:val="center"/>
          </w:tcPr>
          <w:p w14:paraId="70833190">
            <w:pPr>
              <w:adjustRightInd w:val="0"/>
              <w:snapToGrid w:val="0"/>
              <w:ind w:left="-88" w:leftChars="-42"/>
              <w:jc w:val="center"/>
              <w:rPr>
                <w:rFonts w:ascii="宋体" w:hAnsi="宋体"/>
                <w:color w:val="auto"/>
                <w:szCs w:val="21"/>
                <w:highlight w:val="none"/>
              </w:rPr>
            </w:pPr>
          </w:p>
        </w:tc>
        <w:tc>
          <w:tcPr>
            <w:tcW w:w="694" w:type="pct"/>
            <w:vAlign w:val="center"/>
          </w:tcPr>
          <w:p w14:paraId="5919E5FD">
            <w:pPr>
              <w:adjustRightInd w:val="0"/>
              <w:snapToGrid w:val="0"/>
              <w:ind w:left="-88" w:leftChars="-42"/>
              <w:jc w:val="center"/>
              <w:rPr>
                <w:rFonts w:ascii="宋体" w:hAnsi="宋体"/>
                <w:color w:val="auto"/>
                <w:szCs w:val="21"/>
                <w:highlight w:val="none"/>
              </w:rPr>
            </w:pPr>
          </w:p>
        </w:tc>
        <w:tc>
          <w:tcPr>
            <w:tcW w:w="380" w:type="pct"/>
            <w:vAlign w:val="center"/>
          </w:tcPr>
          <w:p w14:paraId="0762BB86">
            <w:pPr>
              <w:adjustRightInd w:val="0"/>
              <w:snapToGrid w:val="0"/>
              <w:ind w:left="-88" w:leftChars="-42"/>
              <w:jc w:val="center"/>
              <w:rPr>
                <w:rFonts w:ascii="宋体" w:hAnsi="宋体"/>
                <w:color w:val="auto"/>
                <w:szCs w:val="21"/>
                <w:highlight w:val="none"/>
              </w:rPr>
            </w:pPr>
          </w:p>
        </w:tc>
      </w:tr>
      <w:tr w14:paraId="27247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0" w:type="pct"/>
          </w:tcPr>
          <w:p w14:paraId="4C39520C">
            <w:pPr>
              <w:adjustRightInd w:val="0"/>
              <w:snapToGrid w:val="0"/>
              <w:ind w:left="-88" w:leftChars="-42"/>
              <w:jc w:val="center"/>
              <w:rPr>
                <w:rFonts w:ascii="宋体" w:hAnsi="宋体"/>
                <w:color w:val="auto"/>
                <w:szCs w:val="21"/>
                <w:highlight w:val="none"/>
              </w:rPr>
            </w:pPr>
          </w:p>
        </w:tc>
        <w:tc>
          <w:tcPr>
            <w:tcW w:w="963" w:type="pct"/>
            <w:vAlign w:val="center"/>
          </w:tcPr>
          <w:p w14:paraId="74ADBFC3">
            <w:pPr>
              <w:adjustRightInd w:val="0"/>
              <w:snapToGrid w:val="0"/>
              <w:ind w:left="-88" w:leftChars="-42"/>
              <w:jc w:val="center"/>
              <w:rPr>
                <w:rFonts w:ascii="宋体" w:hAnsi="宋体"/>
                <w:color w:val="auto"/>
                <w:szCs w:val="21"/>
                <w:highlight w:val="none"/>
              </w:rPr>
            </w:pPr>
          </w:p>
        </w:tc>
        <w:tc>
          <w:tcPr>
            <w:tcW w:w="1114" w:type="pct"/>
            <w:vAlign w:val="center"/>
          </w:tcPr>
          <w:p w14:paraId="5F6D4619">
            <w:pPr>
              <w:adjustRightInd w:val="0"/>
              <w:snapToGrid w:val="0"/>
              <w:ind w:left="-88" w:leftChars="-42"/>
              <w:jc w:val="center"/>
              <w:rPr>
                <w:rFonts w:ascii="宋体" w:hAnsi="宋体"/>
                <w:color w:val="auto"/>
                <w:szCs w:val="21"/>
                <w:highlight w:val="none"/>
              </w:rPr>
            </w:pPr>
          </w:p>
        </w:tc>
        <w:tc>
          <w:tcPr>
            <w:tcW w:w="1486" w:type="pct"/>
            <w:vAlign w:val="center"/>
          </w:tcPr>
          <w:p w14:paraId="4A1F4563">
            <w:pPr>
              <w:adjustRightInd w:val="0"/>
              <w:snapToGrid w:val="0"/>
              <w:ind w:left="-88" w:leftChars="-42"/>
              <w:jc w:val="center"/>
              <w:rPr>
                <w:rFonts w:ascii="宋体" w:hAnsi="宋体"/>
                <w:color w:val="auto"/>
                <w:szCs w:val="21"/>
                <w:highlight w:val="none"/>
              </w:rPr>
            </w:pPr>
          </w:p>
        </w:tc>
        <w:tc>
          <w:tcPr>
            <w:tcW w:w="694" w:type="pct"/>
            <w:vAlign w:val="center"/>
          </w:tcPr>
          <w:p w14:paraId="41035376">
            <w:pPr>
              <w:adjustRightInd w:val="0"/>
              <w:snapToGrid w:val="0"/>
              <w:ind w:left="-88" w:leftChars="-42"/>
              <w:jc w:val="center"/>
              <w:rPr>
                <w:rFonts w:ascii="宋体" w:hAnsi="宋体"/>
                <w:color w:val="auto"/>
                <w:szCs w:val="21"/>
                <w:highlight w:val="none"/>
              </w:rPr>
            </w:pPr>
          </w:p>
        </w:tc>
        <w:tc>
          <w:tcPr>
            <w:tcW w:w="380" w:type="pct"/>
            <w:vAlign w:val="center"/>
          </w:tcPr>
          <w:p w14:paraId="16E3DACA">
            <w:pPr>
              <w:adjustRightInd w:val="0"/>
              <w:snapToGrid w:val="0"/>
              <w:ind w:left="-88" w:leftChars="-42"/>
              <w:jc w:val="center"/>
              <w:rPr>
                <w:rFonts w:ascii="宋体" w:hAnsi="宋体"/>
                <w:color w:val="auto"/>
                <w:szCs w:val="21"/>
                <w:highlight w:val="none"/>
              </w:rPr>
            </w:pPr>
          </w:p>
        </w:tc>
      </w:tr>
      <w:tr w14:paraId="2BCFB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0" w:type="pct"/>
          </w:tcPr>
          <w:p w14:paraId="479AB5AE">
            <w:pPr>
              <w:adjustRightInd w:val="0"/>
              <w:snapToGrid w:val="0"/>
              <w:ind w:left="-88" w:leftChars="-42"/>
              <w:jc w:val="center"/>
              <w:rPr>
                <w:rFonts w:ascii="宋体" w:hAnsi="宋体"/>
                <w:color w:val="auto"/>
                <w:szCs w:val="21"/>
                <w:highlight w:val="none"/>
              </w:rPr>
            </w:pPr>
          </w:p>
        </w:tc>
        <w:tc>
          <w:tcPr>
            <w:tcW w:w="963" w:type="pct"/>
            <w:vAlign w:val="center"/>
          </w:tcPr>
          <w:p w14:paraId="76F11807">
            <w:pPr>
              <w:adjustRightInd w:val="0"/>
              <w:snapToGrid w:val="0"/>
              <w:ind w:left="-88" w:leftChars="-42"/>
              <w:jc w:val="center"/>
              <w:rPr>
                <w:rFonts w:ascii="宋体" w:hAnsi="宋体"/>
                <w:color w:val="auto"/>
                <w:szCs w:val="21"/>
                <w:highlight w:val="none"/>
              </w:rPr>
            </w:pPr>
          </w:p>
        </w:tc>
        <w:tc>
          <w:tcPr>
            <w:tcW w:w="1114" w:type="pct"/>
            <w:vAlign w:val="center"/>
          </w:tcPr>
          <w:p w14:paraId="16F757E5">
            <w:pPr>
              <w:adjustRightInd w:val="0"/>
              <w:snapToGrid w:val="0"/>
              <w:ind w:left="-88" w:leftChars="-42"/>
              <w:jc w:val="center"/>
              <w:rPr>
                <w:rFonts w:ascii="宋体" w:hAnsi="宋体"/>
                <w:color w:val="auto"/>
                <w:szCs w:val="21"/>
                <w:highlight w:val="none"/>
              </w:rPr>
            </w:pPr>
          </w:p>
        </w:tc>
        <w:tc>
          <w:tcPr>
            <w:tcW w:w="1486" w:type="pct"/>
            <w:vAlign w:val="center"/>
          </w:tcPr>
          <w:p w14:paraId="7F785F8A">
            <w:pPr>
              <w:adjustRightInd w:val="0"/>
              <w:snapToGrid w:val="0"/>
              <w:ind w:left="-88" w:leftChars="-42"/>
              <w:jc w:val="center"/>
              <w:rPr>
                <w:rFonts w:ascii="宋体" w:hAnsi="宋体"/>
                <w:color w:val="auto"/>
                <w:szCs w:val="21"/>
                <w:highlight w:val="none"/>
              </w:rPr>
            </w:pPr>
          </w:p>
        </w:tc>
        <w:tc>
          <w:tcPr>
            <w:tcW w:w="694" w:type="pct"/>
            <w:vAlign w:val="center"/>
          </w:tcPr>
          <w:p w14:paraId="7D71A247">
            <w:pPr>
              <w:adjustRightInd w:val="0"/>
              <w:snapToGrid w:val="0"/>
              <w:ind w:left="-88" w:leftChars="-42"/>
              <w:jc w:val="center"/>
              <w:rPr>
                <w:rFonts w:ascii="宋体" w:hAnsi="宋体"/>
                <w:color w:val="auto"/>
                <w:szCs w:val="21"/>
                <w:highlight w:val="none"/>
              </w:rPr>
            </w:pPr>
          </w:p>
        </w:tc>
        <w:tc>
          <w:tcPr>
            <w:tcW w:w="380" w:type="pct"/>
            <w:vAlign w:val="center"/>
          </w:tcPr>
          <w:p w14:paraId="58297642">
            <w:pPr>
              <w:adjustRightInd w:val="0"/>
              <w:snapToGrid w:val="0"/>
              <w:ind w:left="-88" w:leftChars="-42"/>
              <w:jc w:val="center"/>
              <w:rPr>
                <w:rFonts w:ascii="宋体" w:hAnsi="宋体"/>
                <w:color w:val="auto"/>
                <w:szCs w:val="21"/>
                <w:highlight w:val="none"/>
              </w:rPr>
            </w:pPr>
          </w:p>
        </w:tc>
      </w:tr>
      <w:tr w14:paraId="457FD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0" w:type="pct"/>
          </w:tcPr>
          <w:p w14:paraId="20D2E9F9">
            <w:pPr>
              <w:adjustRightInd w:val="0"/>
              <w:snapToGrid w:val="0"/>
              <w:ind w:left="-88" w:leftChars="-42"/>
              <w:jc w:val="center"/>
              <w:rPr>
                <w:rFonts w:ascii="宋体" w:hAnsi="宋体"/>
                <w:color w:val="auto"/>
                <w:szCs w:val="21"/>
                <w:highlight w:val="none"/>
              </w:rPr>
            </w:pPr>
          </w:p>
        </w:tc>
        <w:tc>
          <w:tcPr>
            <w:tcW w:w="963" w:type="pct"/>
            <w:vAlign w:val="center"/>
          </w:tcPr>
          <w:p w14:paraId="065183A4">
            <w:pPr>
              <w:adjustRightInd w:val="0"/>
              <w:snapToGrid w:val="0"/>
              <w:ind w:left="-88" w:leftChars="-42"/>
              <w:jc w:val="center"/>
              <w:rPr>
                <w:rFonts w:ascii="宋体" w:hAnsi="宋体"/>
                <w:color w:val="auto"/>
                <w:szCs w:val="21"/>
                <w:highlight w:val="none"/>
              </w:rPr>
            </w:pPr>
          </w:p>
        </w:tc>
        <w:tc>
          <w:tcPr>
            <w:tcW w:w="1114" w:type="pct"/>
            <w:vAlign w:val="center"/>
          </w:tcPr>
          <w:p w14:paraId="0FBE3E4E">
            <w:pPr>
              <w:adjustRightInd w:val="0"/>
              <w:snapToGrid w:val="0"/>
              <w:ind w:left="-88" w:leftChars="-42"/>
              <w:jc w:val="center"/>
              <w:rPr>
                <w:rFonts w:ascii="宋体" w:hAnsi="宋体"/>
                <w:color w:val="auto"/>
                <w:szCs w:val="21"/>
                <w:highlight w:val="none"/>
              </w:rPr>
            </w:pPr>
          </w:p>
        </w:tc>
        <w:tc>
          <w:tcPr>
            <w:tcW w:w="1486" w:type="pct"/>
            <w:vAlign w:val="center"/>
          </w:tcPr>
          <w:p w14:paraId="1652107E">
            <w:pPr>
              <w:adjustRightInd w:val="0"/>
              <w:snapToGrid w:val="0"/>
              <w:ind w:left="-88" w:leftChars="-42"/>
              <w:jc w:val="center"/>
              <w:rPr>
                <w:rFonts w:ascii="宋体" w:hAnsi="宋体"/>
                <w:color w:val="auto"/>
                <w:szCs w:val="21"/>
                <w:highlight w:val="none"/>
              </w:rPr>
            </w:pPr>
          </w:p>
        </w:tc>
        <w:tc>
          <w:tcPr>
            <w:tcW w:w="694" w:type="pct"/>
            <w:vAlign w:val="center"/>
          </w:tcPr>
          <w:p w14:paraId="6AD05373">
            <w:pPr>
              <w:adjustRightInd w:val="0"/>
              <w:snapToGrid w:val="0"/>
              <w:ind w:left="-88" w:leftChars="-42"/>
              <w:jc w:val="center"/>
              <w:rPr>
                <w:rFonts w:ascii="宋体" w:hAnsi="宋体"/>
                <w:color w:val="auto"/>
                <w:szCs w:val="21"/>
                <w:highlight w:val="none"/>
              </w:rPr>
            </w:pPr>
          </w:p>
        </w:tc>
        <w:tc>
          <w:tcPr>
            <w:tcW w:w="380" w:type="pct"/>
            <w:vAlign w:val="center"/>
          </w:tcPr>
          <w:p w14:paraId="73601A7B">
            <w:pPr>
              <w:adjustRightInd w:val="0"/>
              <w:snapToGrid w:val="0"/>
              <w:ind w:left="-88" w:leftChars="-42"/>
              <w:jc w:val="center"/>
              <w:rPr>
                <w:rFonts w:ascii="宋体" w:hAnsi="宋体"/>
                <w:color w:val="auto"/>
                <w:szCs w:val="21"/>
                <w:highlight w:val="none"/>
              </w:rPr>
            </w:pPr>
          </w:p>
        </w:tc>
      </w:tr>
      <w:tr w14:paraId="06ADD6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tcPr>
          <w:p w14:paraId="412B201F">
            <w:pPr>
              <w:adjustRightInd w:val="0"/>
              <w:snapToGrid w:val="0"/>
              <w:jc w:val="left"/>
              <w:rPr>
                <w:rFonts w:ascii="宋体" w:hAnsi="宋体"/>
                <w:color w:val="auto"/>
                <w:szCs w:val="21"/>
                <w:highlight w:val="none"/>
              </w:rPr>
            </w:pPr>
            <w:r>
              <w:rPr>
                <w:rFonts w:hint="eastAsia" w:ascii="宋体" w:hAnsi="宋体" w:cs="宋体"/>
                <w:b/>
                <w:color w:val="auto"/>
                <w:szCs w:val="21"/>
                <w:highlight w:val="none"/>
              </w:rPr>
              <w:t>投标人保证：我单位对招标文件的技术商务、合同条款完全响应，无偏离。</w:t>
            </w:r>
          </w:p>
        </w:tc>
      </w:tr>
    </w:tbl>
    <w:p w14:paraId="4EA0377E">
      <w:pPr>
        <w:adjustRightInd w:val="0"/>
        <w:snapToGrid w:val="0"/>
        <w:spacing w:line="360" w:lineRule="auto"/>
        <w:ind w:left="-88" w:leftChars="-42"/>
        <w:rPr>
          <w:rFonts w:ascii="仿宋_GB2312" w:hAnsi="宋体" w:eastAsia="仿宋_GB2312"/>
          <w:color w:val="auto"/>
          <w:szCs w:val="21"/>
          <w:highlight w:val="none"/>
        </w:rPr>
      </w:pPr>
      <w:r>
        <w:rPr>
          <w:rFonts w:hint="eastAsia" w:ascii="仿宋_GB2312" w:hAnsi="宋体" w:eastAsia="仿宋_GB2312"/>
          <w:color w:val="auto"/>
          <w:szCs w:val="21"/>
          <w:highlight w:val="none"/>
        </w:rPr>
        <w:t>说明：1、“响应与偏离”应注明“响应”或“偏离”。</w:t>
      </w:r>
    </w:p>
    <w:p w14:paraId="53E0D5A9">
      <w:pPr>
        <w:adjustRightInd w:val="0"/>
        <w:snapToGrid w:val="0"/>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2、属磋商文件规定可能变动的内容在“说明”栏中注明。</w:t>
      </w:r>
    </w:p>
    <w:p w14:paraId="3FB3CA8B">
      <w:pPr>
        <w:pStyle w:val="24"/>
        <w:adjustRightInd w:val="0"/>
        <w:snapToGrid w:val="0"/>
        <w:spacing w:line="360" w:lineRule="auto"/>
        <w:outlineLvl w:val="0"/>
        <w:rPr>
          <w:rFonts w:ascii="宋体" w:hAnsi="宋体"/>
          <w:color w:val="auto"/>
          <w:sz w:val="21"/>
          <w:szCs w:val="21"/>
          <w:highlight w:val="none"/>
        </w:rPr>
      </w:pPr>
    </w:p>
    <w:p w14:paraId="01E9E7D4">
      <w:pPr>
        <w:rPr>
          <w:color w:val="auto"/>
          <w:highlight w:val="none"/>
        </w:rPr>
      </w:pPr>
    </w:p>
    <w:p w14:paraId="173C8314">
      <w:pPr>
        <w:rPr>
          <w:color w:val="auto"/>
          <w:highlight w:val="none"/>
        </w:rPr>
      </w:pPr>
    </w:p>
    <w:p w14:paraId="65FFE0B9">
      <w:pPr>
        <w:rPr>
          <w:color w:val="auto"/>
          <w:highlight w:val="none"/>
        </w:rPr>
      </w:pPr>
    </w:p>
    <w:p w14:paraId="2CEC6E25">
      <w:pPr>
        <w:rPr>
          <w:color w:val="auto"/>
          <w:highlight w:val="none"/>
        </w:rPr>
      </w:pPr>
    </w:p>
    <w:p w14:paraId="64F966E0">
      <w:pPr>
        <w:rPr>
          <w:color w:val="auto"/>
          <w:highlight w:val="none"/>
        </w:rPr>
      </w:pPr>
    </w:p>
    <w:p w14:paraId="6188068F">
      <w:pPr>
        <w:rPr>
          <w:color w:val="auto"/>
          <w:highlight w:val="none"/>
        </w:rPr>
      </w:pPr>
    </w:p>
    <w:p w14:paraId="0EE2B08E">
      <w:pPr>
        <w:pStyle w:val="24"/>
        <w:adjustRightInd w:val="0"/>
        <w:snapToGrid w:val="0"/>
        <w:spacing w:line="360" w:lineRule="auto"/>
        <w:outlineLvl w:val="0"/>
        <w:rPr>
          <w:rFonts w:ascii="宋体" w:hAnsi="宋体"/>
          <w:bCs/>
          <w:color w:val="auto"/>
          <w:sz w:val="21"/>
          <w:szCs w:val="21"/>
          <w:highlight w:val="none"/>
        </w:rPr>
      </w:pPr>
      <w:r>
        <w:rPr>
          <w:rFonts w:hint="eastAsia" w:ascii="宋体" w:hAnsi="宋体"/>
          <w:color w:val="auto"/>
          <w:sz w:val="21"/>
          <w:szCs w:val="21"/>
          <w:highlight w:val="none"/>
        </w:rPr>
        <w:t>供应商名称（盖单位章）：</w:t>
      </w:r>
    </w:p>
    <w:p w14:paraId="1F8CB85A">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eastAsiaTheme="minorEastAsia"/>
          <w:color w:val="auto"/>
          <w:szCs w:val="21"/>
          <w:highlight w:val="none"/>
          <w:lang w:eastAsia="zh-CN"/>
        </w:rPr>
        <w:t>（</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eastAsiaTheme="minorEastAsia"/>
          <w:color w:val="auto"/>
          <w:szCs w:val="21"/>
          <w:highlight w:val="none"/>
          <w:lang w:eastAsia="zh-CN"/>
        </w:rPr>
        <w:t>）</w:t>
      </w:r>
      <w:r>
        <w:rPr>
          <w:rFonts w:hint="eastAsia" w:ascii="宋体" w:hAnsi="宋体"/>
          <w:color w:val="auto"/>
          <w:szCs w:val="21"/>
          <w:highlight w:val="none"/>
        </w:rPr>
        <w:t>：</w:t>
      </w:r>
    </w:p>
    <w:p w14:paraId="7BE967F3">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日 期：  年  月  日</w:t>
      </w:r>
    </w:p>
    <w:p w14:paraId="2D31BCF6">
      <w:pPr>
        <w:adjustRightInd w:val="0"/>
        <w:snapToGrid w:val="0"/>
        <w:spacing w:line="360" w:lineRule="auto"/>
        <w:rPr>
          <w:rFonts w:ascii="宋体" w:hAnsi="宋体"/>
          <w:color w:val="auto"/>
          <w:szCs w:val="21"/>
          <w:highlight w:val="none"/>
        </w:rPr>
      </w:pPr>
    </w:p>
    <w:p w14:paraId="64C8391B">
      <w:pPr>
        <w:tabs>
          <w:tab w:val="left" w:pos="3600"/>
        </w:tabs>
        <w:adjustRightInd w:val="0"/>
        <w:snapToGrid w:val="0"/>
        <w:jc w:val="center"/>
        <w:rPr>
          <w:rFonts w:ascii="黑体" w:eastAsia="黑体"/>
          <w:b/>
          <w:color w:val="auto"/>
          <w:sz w:val="32"/>
          <w:szCs w:val="32"/>
          <w:highlight w:val="none"/>
        </w:rPr>
      </w:pPr>
    </w:p>
    <w:p w14:paraId="73D3D435">
      <w:pPr>
        <w:tabs>
          <w:tab w:val="left" w:pos="3600"/>
        </w:tabs>
        <w:adjustRightInd w:val="0"/>
        <w:snapToGrid w:val="0"/>
        <w:jc w:val="center"/>
        <w:rPr>
          <w:rFonts w:ascii="黑体" w:eastAsia="黑体"/>
          <w:b/>
          <w:color w:val="auto"/>
          <w:sz w:val="32"/>
          <w:szCs w:val="32"/>
          <w:highlight w:val="none"/>
        </w:rPr>
      </w:pPr>
    </w:p>
    <w:p w14:paraId="636921D4">
      <w:pPr>
        <w:tabs>
          <w:tab w:val="left" w:pos="3600"/>
        </w:tabs>
        <w:adjustRightInd w:val="0"/>
        <w:snapToGrid w:val="0"/>
        <w:jc w:val="center"/>
        <w:rPr>
          <w:rFonts w:ascii="黑体" w:eastAsia="黑体"/>
          <w:b/>
          <w:color w:val="auto"/>
          <w:sz w:val="32"/>
          <w:szCs w:val="32"/>
          <w:highlight w:val="none"/>
        </w:rPr>
      </w:pPr>
    </w:p>
    <w:p w14:paraId="0E199A0F">
      <w:pPr>
        <w:tabs>
          <w:tab w:val="left" w:pos="3600"/>
        </w:tabs>
        <w:adjustRightInd w:val="0"/>
        <w:snapToGrid w:val="0"/>
        <w:jc w:val="center"/>
        <w:rPr>
          <w:rFonts w:ascii="黑体" w:eastAsia="黑体"/>
          <w:b/>
          <w:color w:val="auto"/>
          <w:sz w:val="32"/>
          <w:szCs w:val="32"/>
          <w:highlight w:val="none"/>
        </w:rPr>
      </w:pPr>
    </w:p>
    <w:p w14:paraId="3801804F">
      <w:pPr>
        <w:tabs>
          <w:tab w:val="left" w:pos="3600"/>
        </w:tabs>
        <w:adjustRightInd w:val="0"/>
        <w:snapToGrid w:val="0"/>
        <w:jc w:val="center"/>
        <w:rPr>
          <w:rFonts w:ascii="黑体" w:eastAsia="黑体"/>
          <w:b/>
          <w:color w:val="auto"/>
          <w:sz w:val="32"/>
          <w:szCs w:val="32"/>
          <w:highlight w:val="none"/>
        </w:rPr>
      </w:pPr>
    </w:p>
    <w:p w14:paraId="01D5BC1B">
      <w:pPr>
        <w:tabs>
          <w:tab w:val="left" w:pos="3600"/>
        </w:tabs>
        <w:adjustRightInd w:val="0"/>
        <w:snapToGrid w:val="0"/>
        <w:jc w:val="center"/>
        <w:rPr>
          <w:rFonts w:ascii="黑体" w:eastAsia="黑体"/>
          <w:b/>
          <w:color w:val="auto"/>
          <w:sz w:val="32"/>
          <w:szCs w:val="32"/>
          <w:highlight w:val="none"/>
        </w:rPr>
      </w:pPr>
    </w:p>
    <w:p w14:paraId="2CDBBA63">
      <w:pPr>
        <w:tabs>
          <w:tab w:val="left" w:pos="3600"/>
        </w:tabs>
        <w:adjustRightInd w:val="0"/>
        <w:snapToGrid w:val="0"/>
        <w:jc w:val="center"/>
        <w:rPr>
          <w:rFonts w:ascii="黑体" w:eastAsia="黑体"/>
          <w:b/>
          <w:color w:val="auto"/>
          <w:sz w:val="32"/>
          <w:szCs w:val="32"/>
          <w:highlight w:val="none"/>
        </w:rPr>
      </w:pPr>
    </w:p>
    <w:p w14:paraId="733EB5E9">
      <w:pPr>
        <w:tabs>
          <w:tab w:val="left" w:pos="3600"/>
        </w:tabs>
        <w:adjustRightInd w:val="0"/>
        <w:snapToGrid w:val="0"/>
        <w:jc w:val="center"/>
        <w:rPr>
          <w:rFonts w:ascii="黑体" w:eastAsia="黑体"/>
          <w:b/>
          <w:color w:val="auto"/>
          <w:sz w:val="32"/>
          <w:szCs w:val="32"/>
          <w:highlight w:val="none"/>
        </w:rPr>
      </w:pPr>
    </w:p>
    <w:p w14:paraId="4EABA54E">
      <w:pPr>
        <w:tabs>
          <w:tab w:val="left" w:pos="3600"/>
        </w:tabs>
        <w:adjustRightInd w:val="0"/>
        <w:snapToGrid w:val="0"/>
        <w:jc w:val="center"/>
        <w:rPr>
          <w:rFonts w:ascii="黑体" w:eastAsia="黑体"/>
          <w:b/>
          <w:color w:val="auto"/>
          <w:sz w:val="32"/>
          <w:szCs w:val="32"/>
          <w:highlight w:val="none"/>
        </w:rPr>
      </w:pPr>
    </w:p>
    <w:p w14:paraId="6F745EF3">
      <w:pPr>
        <w:tabs>
          <w:tab w:val="left" w:pos="3600"/>
        </w:tabs>
        <w:adjustRightInd w:val="0"/>
        <w:snapToGrid w:val="0"/>
        <w:jc w:val="center"/>
        <w:rPr>
          <w:rFonts w:ascii="黑体" w:eastAsia="黑体"/>
          <w:b/>
          <w:color w:val="auto"/>
          <w:sz w:val="32"/>
          <w:szCs w:val="32"/>
          <w:highlight w:val="none"/>
        </w:rPr>
      </w:pPr>
    </w:p>
    <w:p w14:paraId="24819012">
      <w:pPr>
        <w:tabs>
          <w:tab w:val="left" w:pos="3600"/>
        </w:tabs>
        <w:adjustRightInd w:val="0"/>
        <w:snapToGrid w:val="0"/>
        <w:jc w:val="center"/>
        <w:rPr>
          <w:rFonts w:ascii="黑体" w:eastAsia="黑体"/>
          <w:b/>
          <w:color w:val="auto"/>
          <w:sz w:val="32"/>
          <w:szCs w:val="32"/>
          <w:highlight w:val="none"/>
        </w:rPr>
      </w:pPr>
    </w:p>
    <w:p w14:paraId="223B2B23">
      <w:pPr>
        <w:tabs>
          <w:tab w:val="left" w:pos="3600"/>
        </w:tabs>
        <w:adjustRightInd w:val="0"/>
        <w:snapToGrid w:val="0"/>
        <w:jc w:val="center"/>
        <w:rPr>
          <w:rFonts w:ascii="黑体" w:hAnsi="宋体" w:eastAsia="黑体"/>
          <w:b/>
          <w:color w:val="auto"/>
          <w:sz w:val="30"/>
          <w:szCs w:val="30"/>
          <w:highlight w:val="none"/>
        </w:rPr>
      </w:pPr>
      <w:r>
        <w:rPr>
          <w:rFonts w:hint="eastAsia" w:ascii="黑体" w:eastAsia="黑体"/>
          <w:b/>
          <w:color w:val="auto"/>
          <w:sz w:val="30"/>
          <w:szCs w:val="30"/>
          <w:highlight w:val="none"/>
        </w:rPr>
        <w:br w:type="page"/>
      </w:r>
      <w:r>
        <w:rPr>
          <w:rFonts w:hint="eastAsia" w:ascii="黑体" w:eastAsia="黑体"/>
          <w:b/>
          <w:color w:val="auto"/>
          <w:sz w:val="30"/>
          <w:szCs w:val="30"/>
          <w:highlight w:val="none"/>
        </w:rPr>
        <w:t>七、</w:t>
      </w:r>
      <w:r>
        <w:rPr>
          <w:rFonts w:hint="eastAsia" w:ascii="黑体" w:hAnsi="宋体" w:eastAsia="黑体"/>
          <w:b/>
          <w:color w:val="auto"/>
          <w:sz w:val="30"/>
          <w:szCs w:val="30"/>
          <w:highlight w:val="none"/>
        </w:rPr>
        <w:t>提供享受政府采购政策的证明材料和清单表</w:t>
      </w:r>
    </w:p>
    <w:p w14:paraId="0ECF9158">
      <w:pPr>
        <w:tabs>
          <w:tab w:val="left" w:pos="3600"/>
        </w:tabs>
        <w:adjustRightInd w:val="0"/>
        <w:snapToGrid w:val="0"/>
        <w:jc w:val="center"/>
        <w:rPr>
          <w:rFonts w:ascii="黑体" w:hAnsi="宋体" w:eastAsia="黑体"/>
          <w:b/>
          <w:color w:val="auto"/>
          <w:sz w:val="32"/>
          <w:szCs w:val="32"/>
          <w:highlight w:val="none"/>
        </w:rPr>
      </w:pPr>
    </w:p>
    <w:p w14:paraId="79577DAC">
      <w:pPr>
        <w:rPr>
          <w:rFonts w:ascii="黑体" w:hAnsi="宋体" w:eastAsia="黑体"/>
          <w:color w:val="auto"/>
          <w:sz w:val="30"/>
          <w:szCs w:val="30"/>
          <w:highlight w:val="none"/>
        </w:rPr>
      </w:pPr>
      <w:r>
        <w:rPr>
          <w:rFonts w:hint="eastAsia" w:ascii="黑体" w:hAnsi="宋体" w:eastAsia="黑体"/>
          <w:color w:val="auto"/>
          <w:sz w:val="30"/>
          <w:szCs w:val="30"/>
          <w:highlight w:val="none"/>
        </w:rPr>
        <w:t>附件12</w:t>
      </w:r>
    </w:p>
    <w:p w14:paraId="5CD29655">
      <w:pPr>
        <w:adjustRightInd w:val="0"/>
        <w:snapToGrid w:val="0"/>
        <w:jc w:val="center"/>
        <w:rPr>
          <w:rFonts w:ascii="宋体" w:hAnsi="宋体" w:cs="宋体"/>
          <w:color w:val="auto"/>
          <w:kern w:val="0"/>
          <w:sz w:val="36"/>
          <w:szCs w:val="36"/>
          <w:highlight w:val="none"/>
        </w:rPr>
      </w:pPr>
      <w:r>
        <w:rPr>
          <w:rFonts w:hint="eastAsia" w:ascii="宋体" w:hAnsi="宋体" w:cs="宋体"/>
          <w:color w:val="auto"/>
          <w:spacing w:val="6"/>
          <w:kern w:val="0"/>
          <w:sz w:val="36"/>
          <w:szCs w:val="36"/>
          <w:highlight w:val="none"/>
        </w:rPr>
        <w:t>中小企业声明函</w:t>
      </w:r>
    </w:p>
    <w:p w14:paraId="1DA3B0E5">
      <w:pPr>
        <w:widowControl/>
        <w:adjustRightInd w:val="0"/>
        <w:snapToGrid w:val="0"/>
        <w:spacing w:before="120" w:beforeLines="50" w:line="360" w:lineRule="auto"/>
        <w:ind w:firstLine="444" w:firstLineChars="200"/>
        <w:jc w:val="left"/>
        <w:rPr>
          <w:rFonts w:ascii="宋体" w:hAnsi="宋体"/>
          <w:color w:val="auto"/>
          <w:spacing w:val="6"/>
          <w:kern w:val="0"/>
          <w:szCs w:val="21"/>
          <w:highlight w:val="none"/>
        </w:rPr>
      </w:pPr>
      <w:r>
        <w:rPr>
          <w:rFonts w:hint="eastAsia" w:ascii="宋体" w:hAnsi="宋体"/>
          <w:color w:val="auto"/>
          <w:spacing w:val="6"/>
          <w:kern w:val="0"/>
          <w:highlight w:val="none"/>
        </w:rPr>
        <w:t xml:space="preserve"> </w:t>
      </w:r>
    </w:p>
    <w:p w14:paraId="61553923">
      <w:pPr>
        <w:autoSpaceDE w:val="0"/>
        <w:autoSpaceDN w:val="0"/>
        <w:adjustRightInd w:val="0"/>
        <w:spacing w:before="120" w:beforeLines="50" w:line="360" w:lineRule="exact"/>
        <w:ind w:firstLine="420" w:firstLineChars="200"/>
        <w:jc w:val="left"/>
        <w:rPr>
          <w:rFonts w:ascii="宋体" w:hAnsi="宋体"/>
          <w:color w:val="auto"/>
          <w:kern w:val="0"/>
          <w:highlight w:val="none"/>
        </w:rPr>
      </w:pPr>
      <w:r>
        <w:rPr>
          <w:rFonts w:hint="eastAsia" w:ascii="宋体" w:hAnsi="宋体"/>
          <w:color w:val="auto"/>
          <w:kern w:val="0"/>
          <w:highlight w:val="none"/>
        </w:rPr>
        <w:t>本公司（联合体）郑重声明，根据《政府采购促进中小企业发展管理办法》（财库﹝</w:t>
      </w:r>
      <w:r>
        <w:rPr>
          <w:rFonts w:ascii="宋体" w:hAnsi="宋体"/>
          <w:color w:val="auto"/>
          <w:kern w:val="0"/>
          <w:highlight w:val="none"/>
        </w:rPr>
        <w:t>2020</w:t>
      </w:r>
      <w:r>
        <w:rPr>
          <w:rFonts w:hint="eastAsia" w:ascii="宋体" w:hAnsi="宋体"/>
          <w:color w:val="auto"/>
          <w:kern w:val="0"/>
          <w:highlight w:val="none"/>
        </w:rPr>
        <w:t>﹞</w:t>
      </w:r>
      <w:r>
        <w:rPr>
          <w:rFonts w:ascii="宋体" w:hAnsi="宋体"/>
          <w:color w:val="auto"/>
          <w:kern w:val="0"/>
          <w:highlight w:val="none"/>
        </w:rPr>
        <w:t xml:space="preserve">46 </w:t>
      </w:r>
      <w:r>
        <w:rPr>
          <w:rFonts w:hint="eastAsia" w:ascii="宋体" w:hAnsi="宋体"/>
          <w:color w:val="auto"/>
          <w:kern w:val="0"/>
          <w:highlight w:val="none"/>
        </w:rPr>
        <w:t>号）的规定，本公司（联合体）参加</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（单位名称） </w:t>
      </w:r>
      <w:r>
        <w:rPr>
          <w:rFonts w:ascii="宋体" w:hAnsi="宋体"/>
          <w:color w:val="auto"/>
          <w:kern w:val="0"/>
          <w:highlight w:val="none"/>
          <w:u w:val="single"/>
        </w:rPr>
        <w:t xml:space="preserve"> </w:t>
      </w:r>
      <w:r>
        <w:rPr>
          <w:rFonts w:hint="eastAsia" w:ascii="宋体" w:hAnsi="宋体"/>
          <w:color w:val="auto"/>
          <w:kern w:val="0"/>
          <w:highlight w:val="none"/>
        </w:rPr>
        <w:t>的</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（项目名称） </w:t>
      </w:r>
      <w:r>
        <w:rPr>
          <w:rFonts w:ascii="宋体" w:hAnsi="宋体"/>
          <w:color w:val="auto"/>
          <w:kern w:val="0"/>
          <w:highlight w:val="none"/>
          <w:u w:val="single"/>
        </w:rPr>
        <w:t xml:space="preserve"> </w:t>
      </w:r>
      <w:r>
        <w:rPr>
          <w:rFonts w:hint="eastAsia" w:ascii="宋体" w:hAnsi="宋体"/>
          <w:color w:val="auto"/>
          <w:kern w:val="0"/>
          <w:highlight w:val="none"/>
        </w:rPr>
        <w:t>采购活动，工程的</w:t>
      </w:r>
      <w:r>
        <w:rPr>
          <w:rFonts w:hint="eastAsia" w:ascii="宋体" w:hAnsi="宋体"/>
          <w:color w:val="auto"/>
          <w:kern w:val="0"/>
          <w:highlight w:val="none"/>
          <w:lang w:eastAsia="zh-CN"/>
        </w:rPr>
        <w:t>供应商</w:t>
      </w:r>
      <w:r>
        <w:rPr>
          <w:rFonts w:hint="eastAsia" w:ascii="宋体" w:hAnsi="宋体"/>
          <w:color w:val="auto"/>
          <w:kern w:val="0"/>
          <w:highlight w:val="none"/>
        </w:rPr>
        <w:t>全部为符合政策要求的中小企业。相关企业（含联合体中的中小企业、签订分包意向协议的中小企业）的具体情况如下：</w:t>
      </w:r>
    </w:p>
    <w:p w14:paraId="25A2E968">
      <w:pPr>
        <w:autoSpaceDE w:val="0"/>
        <w:autoSpaceDN w:val="0"/>
        <w:adjustRightInd w:val="0"/>
        <w:spacing w:before="120" w:beforeLines="50" w:line="360" w:lineRule="exact"/>
        <w:ind w:firstLine="420" w:firstLineChars="200"/>
        <w:jc w:val="left"/>
        <w:rPr>
          <w:rFonts w:ascii="宋体" w:hAnsi="宋体"/>
          <w:color w:val="auto"/>
          <w:kern w:val="0"/>
          <w:highlight w:val="none"/>
        </w:rPr>
      </w:pPr>
      <w:r>
        <w:rPr>
          <w:rFonts w:ascii="宋体" w:hAnsi="宋体"/>
          <w:color w:val="auto"/>
          <w:kern w:val="0"/>
          <w:highlight w:val="none"/>
        </w:rPr>
        <w:t>1.</w:t>
      </w:r>
      <w:r>
        <w:rPr>
          <w:rFonts w:ascii="宋体" w:hAnsi="宋体"/>
          <w:color w:val="auto"/>
          <w:kern w:val="0"/>
          <w:highlight w:val="none"/>
          <w:u w:val="single"/>
        </w:rPr>
        <w:t xml:space="preserve">   </w:t>
      </w:r>
      <w:r>
        <w:rPr>
          <w:rFonts w:hint="eastAsia" w:ascii="宋体" w:hAnsi="宋体"/>
          <w:color w:val="auto"/>
          <w:kern w:val="0"/>
          <w:highlight w:val="none"/>
          <w:u w:val="single"/>
        </w:rPr>
        <w:t>（标的名称）</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，属于</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建筑业 </w:t>
      </w:r>
      <w:r>
        <w:rPr>
          <w:rFonts w:hint="eastAsia" w:ascii="宋体" w:hAnsi="宋体"/>
          <w:color w:val="auto"/>
          <w:kern w:val="0"/>
          <w:highlight w:val="none"/>
        </w:rPr>
        <w:t>；承建企业为</w:t>
      </w:r>
      <w:r>
        <w:rPr>
          <w:rFonts w:hint="eastAsia" w:ascii="宋体" w:hAnsi="宋体"/>
          <w:color w:val="auto"/>
          <w:kern w:val="0"/>
          <w:highlight w:val="none"/>
          <w:u w:val="single"/>
        </w:rPr>
        <w:t xml:space="preserve"> （企业名称） </w:t>
      </w:r>
      <w:r>
        <w:rPr>
          <w:rFonts w:ascii="宋体" w:hAnsi="宋体"/>
          <w:color w:val="auto"/>
          <w:kern w:val="0"/>
          <w:highlight w:val="none"/>
          <w:u w:val="single"/>
        </w:rPr>
        <w:t xml:space="preserve"> </w:t>
      </w:r>
      <w:r>
        <w:rPr>
          <w:rFonts w:hint="eastAsia" w:ascii="宋体" w:hAnsi="宋体"/>
          <w:color w:val="auto"/>
          <w:kern w:val="0"/>
          <w:highlight w:val="none"/>
        </w:rPr>
        <w:t>，从业人员</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人，营业收入为</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万元，资产总额为</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万元</w:t>
      </w:r>
      <w:r>
        <w:rPr>
          <w:rFonts w:ascii="宋体" w:hAnsi="宋体"/>
          <w:color w:val="auto"/>
          <w:kern w:val="0"/>
          <w:highlight w:val="none"/>
          <w:vertAlign w:val="superscript"/>
        </w:rPr>
        <w:t>1</w:t>
      </w:r>
      <w:r>
        <w:rPr>
          <w:rFonts w:hint="eastAsia" w:ascii="宋体" w:hAnsi="宋体"/>
          <w:color w:val="auto"/>
          <w:kern w:val="0"/>
          <w:highlight w:val="none"/>
        </w:rPr>
        <w:t>，属于</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（中型企业、小型企业、微型企业） </w:t>
      </w:r>
      <w:r>
        <w:rPr>
          <w:rFonts w:ascii="宋体" w:hAnsi="宋体"/>
          <w:color w:val="auto"/>
          <w:kern w:val="0"/>
          <w:highlight w:val="none"/>
          <w:u w:val="single"/>
        </w:rPr>
        <w:t xml:space="preserve"> </w:t>
      </w:r>
      <w:r>
        <w:rPr>
          <w:rFonts w:hint="eastAsia" w:ascii="宋体" w:hAnsi="宋体"/>
          <w:color w:val="auto"/>
          <w:kern w:val="0"/>
          <w:highlight w:val="none"/>
        </w:rPr>
        <w:t>；</w:t>
      </w:r>
    </w:p>
    <w:p w14:paraId="4AF47859">
      <w:pPr>
        <w:autoSpaceDE w:val="0"/>
        <w:autoSpaceDN w:val="0"/>
        <w:adjustRightInd w:val="0"/>
        <w:spacing w:before="120" w:beforeLines="50" w:line="360" w:lineRule="exact"/>
        <w:ind w:firstLine="420" w:firstLineChars="200"/>
        <w:jc w:val="left"/>
        <w:rPr>
          <w:rFonts w:ascii="宋体" w:hAnsi="宋体"/>
          <w:color w:val="auto"/>
          <w:kern w:val="0"/>
          <w:highlight w:val="none"/>
        </w:rPr>
      </w:pPr>
      <w:r>
        <w:rPr>
          <w:rFonts w:hint="eastAsia" w:ascii="宋体" w:hAnsi="宋体"/>
          <w:color w:val="auto"/>
          <w:kern w:val="0"/>
          <w:highlight w:val="none"/>
        </w:rPr>
        <w:t>……</w:t>
      </w:r>
    </w:p>
    <w:p w14:paraId="48EA87DF">
      <w:pPr>
        <w:autoSpaceDE w:val="0"/>
        <w:autoSpaceDN w:val="0"/>
        <w:adjustRightInd w:val="0"/>
        <w:spacing w:before="120" w:beforeLines="50" w:line="360" w:lineRule="exact"/>
        <w:ind w:firstLine="420" w:firstLineChars="200"/>
        <w:jc w:val="left"/>
        <w:rPr>
          <w:rFonts w:ascii="宋体" w:hAnsi="宋体"/>
          <w:color w:val="auto"/>
          <w:kern w:val="0"/>
          <w:highlight w:val="none"/>
        </w:rPr>
      </w:pPr>
      <w:r>
        <w:rPr>
          <w:rFonts w:hint="eastAsia" w:ascii="宋体" w:hAnsi="宋体"/>
          <w:color w:val="auto"/>
          <w:kern w:val="0"/>
          <w:highlight w:val="none"/>
        </w:rPr>
        <w:t>以上企业，不属于大企业的分支机构，不存在控股股东为大企业的情形，也不存在与大企业的负责人为同一人的情形。</w:t>
      </w:r>
    </w:p>
    <w:p w14:paraId="1012C581">
      <w:pPr>
        <w:autoSpaceDE w:val="0"/>
        <w:autoSpaceDN w:val="0"/>
        <w:adjustRightInd w:val="0"/>
        <w:spacing w:before="120" w:beforeLines="50" w:line="360" w:lineRule="exact"/>
        <w:ind w:firstLine="420" w:firstLineChars="200"/>
        <w:jc w:val="left"/>
        <w:rPr>
          <w:rFonts w:ascii="宋体" w:hAnsi="宋体"/>
          <w:color w:val="auto"/>
          <w:kern w:val="0"/>
          <w:highlight w:val="none"/>
        </w:rPr>
      </w:pPr>
      <w:r>
        <w:rPr>
          <w:rFonts w:hint="eastAsia" w:ascii="宋体" w:hAnsi="宋体"/>
          <w:color w:val="auto"/>
          <w:kern w:val="0"/>
          <w:highlight w:val="none"/>
        </w:rPr>
        <w:t>本企业对上述声明内容的真实性负责。如有虚假，将依法承担相应责任。</w:t>
      </w:r>
    </w:p>
    <w:p w14:paraId="6394602C">
      <w:pPr>
        <w:widowControl/>
        <w:adjustRightInd w:val="0"/>
        <w:snapToGrid w:val="0"/>
        <w:spacing w:before="120" w:beforeLines="50" w:line="360" w:lineRule="exact"/>
        <w:ind w:firstLine="420" w:firstLineChars="200"/>
        <w:jc w:val="center"/>
        <w:rPr>
          <w:rFonts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 xml:space="preserve"> </w:t>
      </w:r>
    </w:p>
    <w:p w14:paraId="365CFDCC">
      <w:pPr>
        <w:wordWrap w:val="0"/>
        <w:adjustRightInd w:val="0"/>
        <w:snapToGrid w:val="0"/>
        <w:spacing w:before="120" w:beforeLines="50" w:line="360" w:lineRule="exact"/>
        <w:jc w:val="right"/>
        <w:rPr>
          <w:rFonts w:ascii="宋体" w:hAnsi="宋体"/>
          <w:color w:val="auto"/>
          <w:highlight w:val="none"/>
        </w:rPr>
      </w:pPr>
      <w:r>
        <w:rPr>
          <w:rFonts w:hint="eastAsia" w:ascii="宋体" w:hAnsi="宋体"/>
          <w:color w:val="auto"/>
          <w:highlight w:val="none"/>
          <w:lang w:val="en-US" w:eastAsia="zh-CN"/>
        </w:rPr>
        <w:t>供应商</w:t>
      </w:r>
      <w:r>
        <w:rPr>
          <w:rFonts w:hint="eastAsia" w:ascii="宋体" w:hAnsi="宋体"/>
          <w:color w:val="auto"/>
          <w:highlight w:val="none"/>
        </w:rPr>
        <w:t>（盖</w:t>
      </w:r>
      <w:r>
        <w:rPr>
          <w:rFonts w:hint="eastAsia" w:ascii="宋体" w:hAnsi="宋体"/>
          <w:color w:val="auto"/>
          <w:highlight w:val="none"/>
          <w:lang w:val="en-US" w:eastAsia="zh-CN"/>
        </w:rPr>
        <w:t>单位</w:t>
      </w:r>
      <w:r>
        <w:rPr>
          <w:rFonts w:hint="eastAsia" w:ascii="宋体" w:hAnsi="宋体"/>
          <w:color w:val="auto"/>
          <w:highlight w:val="none"/>
        </w:rPr>
        <w:t>章）：</w:t>
      </w:r>
      <w:r>
        <w:rPr>
          <w:rFonts w:ascii="宋体" w:hAnsi="宋体"/>
          <w:color w:val="auto"/>
          <w:highlight w:val="none"/>
        </w:rPr>
        <w:t xml:space="preserve">                                  </w:t>
      </w:r>
    </w:p>
    <w:p w14:paraId="39AE0482">
      <w:pPr>
        <w:wordWrap w:val="0"/>
        <w:adjustRightInd w:val="0"/>
        <w:snapToGrid w:val="0"/>
        <w:spacing w:before="120" w:beforeLines="50" w:line="360" w:lineRule="exact"/>
        <w:jc w:val="right"/>
        <w:rPr>
          <w:rFonts w:ascii="宋体" w:hAnsi="宋体"/>
          <w:color w:val="auto"/>
          <w:highlight w:val="none"/>
        </w:rPr>
      </w:pPr>
      <w:r>
        <w:rPr>
          <w:rFonts w:hint="eastAsia" w:ascii="宋体" w:hAnsi="宋体"/>
          <w:color w:val="auto"/>
          <w:highlight w:val="none"/>
        </w:rPr>
        <w:t xml:space="preserve">日期： </w:t>
      </w:r>
      <w:r>
        <w:rPr>
          <w:rFonts w:ascii="宋体" w:hAnsi="宋体"/>
          <w:color w:val="auto"/>
          <w:highlight w:val="none"/>
        </w:rPr>
        <w:t xml:space="preserve">                                        </w:t>
      </w:r>
    </w:p>
    <w:p w14:paraId="1B690F48">
      <w:pPr>
        <w:adjustRightInd w:val="0"/>
        <w:snapToGrid w:val="0"/>
        <w:spacing w:before="120" w:beforeLines="50" w:line="360" w:lineRule="exact"/>
        <w:jc w:val="right"/>
        <w:rPr>
          <w:rFonts w:ascii="宋体" w:hAnsi="宋体"/>
          <w:color w:val="auto"/>
          <w:highlight w:val="none"/>
        </w:rPr>
      </w:pPr>
    </w:p>
    <w:p w14:paraId="0D5B092F">
      <w:pPr>
        <w:adjustRightInd w:val="0"/>
        <w:snapToGrid w:val="0"/>
        <w:spacing w:before="120" w:beforeLines="50" w:line="360" w:lineRule="exact"/>
        <w:jc w:val="left"/>
        <w:rPr>
          <w:rFonts w:ascii="宋体" w:hAnsi="宋体"/>
          <w:color w:val="auto"/>
          <w:highlight w:val="none"/>
        </w:rPr>
      </w:pPr>
      <w:r>
        <w:rPr>
          <w:rFonts w:hint="eastAsia" w:ascii="宋体" w:hAnsi="宋体"/>
          <w:color w:val="auto"/>
          <w:highlight w:val="none"/>
        </w:rPr>
        <w:t>注：</w:t>
      </w:r>
      <w:r>
        <w:rPr>
          <w:rFonts w:hint="eastAsia" w:ascii="宋体" w:hAnsi="宋体"/>
          <w:color w:val="auto"/>
          <w:highlight w:val="none"/>
          <w:vertAlign w:val="superscript"/>
        </w:rPr>
        <w:t>1</w:t>
      </w:r>
      <w:r>
        <w:rPr>
          <w:rFonts w:hint="eastAsia" w:ascii="宋体" w:hAnsi="宋体"/>
          <w:color w:val="auto"/>
          <w:highlight w:val="none"/>
        </w:rPr>
        <w:t>从业人员、营业收入、资产总额填报上一年度数据，无上一年度数据的新成立企业可不填报。</w:t>
      </w:r>
    </w:p>
    <w:p w14:paraId="7950C666">
      <w:pPr>
        <w:adjustRightInd w:val="0"/>
        <w:snapToGrid w:val="0"/>
        <w:spacing w:line="360" w:lineRule="auto"/>
        <w:rPr>
          <w:rFonts w:ascii="宋体" w:hAnsi="宋体"/>
          <w:color w:val="auto"/>
          <w:highlight w:val="none"/>
        </w:rPr>
      </w:pPr>
    </w:p>
    <w:p w14:paraId="38F80CAD">
      <w:pPr>
        <w:widowControl/>
        <w:adjustRightInd w:val="0"/>
        <w:snapToGrid w:val="0"/>
        <w:spacing w:line="360" w:lineRule="auto"/>
        <w:rPr>
          <w:rFonts w:ascii="宋体" w:hAnsi="宋体"/>
          <w:color w:val="auto"/>
          <w:szCs w:val="21"/>
          <w:highlight w:val="none"/>
        </w:rPr>
      </w:pPr>
      <w:r>
        <w:rPr>
          <w:rFonts w:hint="eastAsia" w:ascii="黑体" w:hAnsi="宋体" w:eastAsia="黑体"/>
          <w:color w:val="auto"/>
          <w:szCs w:val="21"/>
          <w:highlight w:val="none"/>
        </w:rPr>
        <w:t>本项目所属行业为：建筑业</w:t>
      </w:r>
    </w:p>
    <w:p w14:paraId="1ECB44AC">
      <w:pPr>
        <w:adjustRightInd w:val="0"/>
        <w:snapToGrid w:val="0"/>
        <w:spacing w:line="360" w:lineRule="auto"/>
        <w:rPr>
          <w:rFonts w:ascii="仿宋_GB2312" w:hAnsi="宋体" w:eastAsia="仿宋_GB2312"/>
          <w:color w:val="auto"/>
          <w:szCs w:val="21"/>
          <w:highlight w:val="none"/>
        </w:rPr>
      </w:pPr>
    </w:p>
    <w:p w14:paraId="661B6F9B">
      <w:pPr>
        <w:adjustRightInd w:val="0"/>
        <w:snapToGrid w:val="0"/>
        <w:spacing w:line="360" w:lineRule="auto"/>
        <w:rPr>
          <w:rFonts w:ascii="仿宋_GB2312" w:hAnsi="宋体" w:eastAsia="仿宋_GB2312"/>
          <w:color w:val="auto"/>
          <w:szCs w:val="21"/>
          <w:highlight w:val="none"/>
        </w:rPr>
      </w:pPr>
    </w:p>
    <w:p w14:paraId="6757D64F">
      <w:pPr>
        <w:adjustRightInd w:val="0"/>
        <w:snapToGrid w:val="0"/>
        <w:spacing w:line="360" w:lineRule="auto"/>
        <w:rPr>
          <w:rFonts w:ascii="仿宋_GB2312" w:hAnsi="宋体" w:eastAsia="仿宋_GB2312"/>
          <w:color w:val="auto"/>
          <w:szCs w:val="21"/>
          <w:highlight w:val="none"/>
        </w:rPr>
      </w:pPr>
    </w:p>
    <w:p w14:paraId="77703903">
      <w:pPr>
        <w:adjustRightInd w:val="0"/>
        <w:snapToGrid w:val="0"/>
        <w:spacing w:line="360" w:lineRule="auto"/>
        <w:rPr>
          <w:rFonts w:ascii="仿宋_GB2312" w:hAnsi="宋体" w:eastAsia="仿宋_GB2312"/>
          <w:color w:val="auto"/>
          <w:szCs w:val="21"/>
          <w:highlight w:val="none"/>
        </w:rPr>
      </w:pPr>
    </w:p>
    <w:p w14:paraId="6068515C">
      <w:pPr>
        <w:rPr>
          <w:rFonts w:ascii="黑体" w:hAnsi="宋体" w:eastAsia="黑体"/>
          <w:color w:val="auto"/>
          <w:sz w:val="30"/>
          <w:szCs w:val="30"/>
          <w:highlight w:val="none"/>
        </w:rPr>
      </w:pPr>
    </w:p>
    <w:p w14:paraId="6FCA3681">
      <w:pPr>
        <w:rPr>
          <w:rFonts w:ascii="黑体" w:hAnsi="宋体" w:eastAsia="黑体"/>
          <w:color w:val="auto"/>
          <w:sz w:val="30"/>
          <w:szCs w:val="30"/>
          <w:highlight w:val="none"/>
        </w:rPr>
      </w:pPr>
    </w:p>
    <w:p w14:paraId="7A946921">
      <w:pPr>
        <w:rPr>
          <w:rFonts w:ascii="宋体" w:hAnsi="宋体"/>
          <w:color w:val="auto"/>
          <w:szCs w:val="21"/>
          <w:highlight w:val="none"/>
        </w:rPr>
      </w:pPr>
      <w:r>
        <w:rPr>
          <w:rFonts w:ascii="宋体" w:hAnsi="宋体"/>
          <w:color w:val="auto"/>
          <w:szCs w:val="21"/>
          <w:highlight w:val="none"/>
        </w:rPr>
        <w:br w:type="page"/>
      </w:r>
    </w:p>
    <w:p w14:paraId="49C7CC8A">
      <w:pPr>
        <w:spacing w:line="360" w:lineRule="auto"/>
        <w:jc w:val="center"/>
        <w:rPr>
          <w:rFonts w:ascii="宋体"/>
          <w:color w:val="auto"/>
          <w:sz w:val="24"/>
          <w:highlight w:val="none"/>
        </w:rPr>
      </w:pPr>
      <w:r>
        <w:rPr>
          <w:rFonts w:hint="eastAsia" w:ascii="宋体" w:hAnsi="宋体"/>
          <w:color w:val="auto"/>
          <w:sz w:val="28"/>
          <w:szCs w:val="28"/>
          <w:highlight w:val="none"/>
        </w:rPr>
        <w:t>监狱企业声明函</w:t>
      </w:r>
    </w:p>
    <w:p w14:paraId="5640D5FF">
      <w:pPr>
        <w:tabs>
          <w:tab w:val="left" w:pos="3600"/>
        </w:tabs>
        <w:snapToGrid w:val="0"/>
        <w:jc w:val="center"/>
        <w:rPr>
          <w:rStyle w:val="41"/>
          <w:rFonts w:ascii="黑体" w:hAnsi="华文中宋" w:eastAsia="黑体" w:cs="宋体"/>
          <w:bCs/>
          <w:color w:val="auto"/>
          <w:spacing w:val="6"/>
          <w:kern w:val="0"/>
          <w:sz w:val="30"/>
          <w:szCs w:val="30"/>
          <w:highlight w:val="none"/>
        </w:rPr>
      </w:pPr>
      <w:r>
        <w:rPr>
          <w:rStyle w:val="41"/>
          <w:rFonts w:hint="eastAsia" w:ascii="宋体" w:hAnsi="宋体" w:cs="宋体"/>
          <w:bCs/>
          <w:color w:val="auto"/>
          <w:spacing w:val="6"/>
          <w:kern w:val="0"/>
          <w:sz w:val="28"/>
          <w:szCs w:val="28"/>
          <w:highlight w:val="none"/>
        </w:rPr>
        <w:t>【不属于监狱企业的无需提供】</w:t>
      </w:r>
    </w:p>
    <w:p w14:paraId="19DC6165">
      <w:pPr>
        <w:spacing w:line="588" w:lineRule="exact"/>
        <w:rPr>
          <w:rFonts w:ascii="宋体"/>
          <w:b/>
          <w:bCs/>
          <w:color w:val="auto"/>
          <w:spacing w:val="6"/>
          <w:sz w:val="30"/>
          <w:szCs w:val="30"/>
          <w:highlight w:val="none"/>
        </w:rPr>
      </w:pPr>
    </w:p>
    <w:p w14:paraId="5A4CCB4D">
      <w:pPr>
        <w:adjustRightInd w:val="0"/>
        <w:snapToGrid w:val="0"/>
        <w:spacing w:line="360" w:lineRule="auto"/>
        <w:ind w:right="23" w:rightChars="11"/>
        <w:rPr>
          <w:rFonts w:ascii="宋体" w:hAnsi="宋体" w:cs="宋体"/>
          <w:bCs/>
          <w:color w:val="auto"/>
          <w:szCs w:val="21"/>
          <w:highlight w:val="none"/>
        </w:rPr>
      </w:pPr>
      <w:r>
        <w:rPr>
          <w:rStyle w:val="41"/>
          <w:rFonts w:hint="eastAsia" w:ascii="宋体" w:hAnsi="宋体"/>
          <w:color w:val="auto"/>
          <w:spacing w:val="6"/>
          <w:kern w:val="0"/>
          <w:szCs w:val="21"/>
          <w:highlight w:val="none"/>
        </w:rPr>
        <w:t>注：</w:t>
      </w:r>
      <w:r>
        <w:rPr>
          <w:rStyle w:val="41"/>
          <w:rFonts w:ascii="宋体" w:hAnsi="宋体"/>
          <w:color w:val="auto"/>
          <w:spacing w:val="6"/>
          <w:kern w:val="0"/>
          <w:szCs w:val="21"/>
          <w:highlight w:val="none"/>
        </w:rPr>
        <w:t>按《财政部 司法部关于政府采购支持监狱企业发展有关问题的通知》(财库〔2014〕68号)文件规定提供证明文件（复印件）</w:t>
      </w:r>
      <w:r>
        <w:rPr>
          <w:rFonts w:hint="eastAsia" w:ascii="宋体" w:hAnsi="宋体"/>
          <w:b/>
          <w:color w:val="auto"/>
          <w:szCs w:val="21"/>
          <w:highlight w:val="none"/>
        </w:rPr>
        <w:t>。</w:t>
      </w:r>
    </w:p>
    <w:p w14:paraId="6D088F81">
      <w:pPr>
        <w:adjustRightInd w:val="0"/>
        <w:snapToGrid w:val="0"/>
        <w:spacing w:line="360" w:lineRule="auto"/>
        <w:ind w:right="23" w:rightChars="11"/>
        <w:rPr>
          <w:rFonts w:ascii="宋体" w:hAnsi="宋体" w:cs="宋体"/>
          <w:bCs/>
          <w:color w:val="auto"/>
          <w:szCs w:val="21"/>
          <w:highlight w:val="none"/>
        </w:rPr>
      </w:pPr>
    </w:p>
    <w:p w14:paraId="4AE04A95">
      <w:pPr>
        <w:adjustRightInd w:val="0"/>
        <w:snapToGrid w:val="0"/>
        <w:spacing w:line="360" w:lineRule="auto"/>
        <w:ind w:right="23" w:rightChars="11"/>
        <w:rPr>
          <w:rFonts w:ascii="宋体" w:hAnsi="宋体" w:cs="宋体"/>
          <w:bCs/>
          <w:color w:val="auto"/>
          <w:szCs w:val="21"/>
          <w:highlight w:val="none"/>
        </w:rPr>
      </w:pPr>
    </w:p>
    <w:p w14:paraId="3BC0571B">
      <w:pPr>
        <w:adjustRightInd w:val="0"/>
        <w:snapToGrid w:val="0"/>
        <w:spacing w:line="360" w:lineRule="auto"/>
        <w:ind w:right="23" w:rightChars="11"/>
        <w:rPr>
          <w:rFonts w:ascii="宋体" w:hAnsi="宋体" w:cs="宋体"/>
          <w:bCs/>
          <w:color w:val="auto"/>
          <w:szCs w:val="21"/>
          <w:highlight w:val="none"/>
        </w:rPr>
      </w:pPr>
    </w:p>
    <w:p w14:paraId="75002565">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残疾人福利性单位声明函</w:t>
      </w:r>
    </w:p>
    <w:p w14:paraId="1348EC85">
      <w:pPr>
        <w:spacing w:line="360" w:lineRule="auto"/>
        <w:jc w:val="center"/>
        <w:rPr>
          <w:rFonts w:ascii="宋体"/>
          <w:b/>
          <w:bCs/>
          <w:color w:val="auto"/>
          <w:spacing w:val="6"/>
          <w:sz w:val="30"/>
          <w:szCs w:val="30"/>
          <w:highlight w:val="none"/>
        </w:rPr>
      </w:pPr>
      <w:r>
        <w:rPr>
          <w:rFonts w:hint="eastAsia" w:ascii="宋体" w:hAnsi="宋体"/>
          <w:color w:val="auto"/>
          <w:sz w:val="28"/>
          <w:szCs w:val="28"/>
          <w:highlight w:val="none"/>
        </w:rPr>
        <w:t>【不属于残疾人福利性单位的无需填写】</w:t>
      </w:r>
    </w:p>
    <w:p w14:paraId="479EA791">
      <w:pPr>
        <w:widowControl/>
        <w:adjustRightInd w:val="0"/>
        <w:snapToGrid w:val="0"/>
        <w:spacing w:before="120" w:beforeLines="50" w:line="360" w:lineRule="auto"/>
        <w:ind w:firstLine="444" w:firstLineChars="200"/>
        <w:jc w:val="left"/>
        <w:rPr>
          <w:rFonts w:ascii="宋体" w:cs="宋体"/>
          <w:color w:val="auto"/>
          <w:spacing w:val="6"/>
          <w:kern w:val="0"/>
          <w:szCs w:val="21"/>
          <w:highlight w:val="none"/>
        </w:rPr>
      </w:pPr>
      <w:r>
        <w:rPr>
          <w:rFonts w:hint="eastAsia" w:ascii="宋体" w:hAnsi="宋体" w:cs="宋体"/>
          <w:color w:val="auto"/>
          <w:spacing w:val="6"/>
          <w:kern w:val="0"/>
          <w:szCs w:val="21"/>
          <w:highlight w:val="none"/>
        </w:rPr>
        <w:t>本单位郑重声明，根据《财政部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民政部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中国残疾人联合会关于促进残疾人就业政府采购政策的通知》（财库〔</w:t>
      </w:r>
      <w:r>
        <w:rPr>
          <w:rFonts w:ascii="宋体" w:hAnsi="宋体" w:cs="宋体"/>
          <w:color w:val="auto"/>
          <w:spacing w:val="6"/>
          <w:kern w:val="0"/>
          <w:szCs w:val="21"/>
          <w:highlight w:val="none"/>
        </w:rPr>
        <w:t>2017</w:t>
      </w: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 xml:space="preserve"> 141</w:t>
      </w:r>
      <w:r>
        <w:rPr>
          <w:rFonts w:hint="eastAsia" w:ascii="宋体" w:hAnsi="宋体" w:cs="宋体"/>
          <w:color w:val="auto"/>
          <w:spacing w:val="6"/>
          <w:kern w:val="0"/>
          <w:szCs w:val="21"/>
          <w:highlight w:val="none"/>
        </w:rPr>
        <w:t>号）的规定，本单位为符合条件的残疾人福利性单位，且本单位参加</w:t>
      </w:r>
      <w:r>
        <w:rPr>
          <w:rFonts w:ascii="宋体" w:hAnsi="宋体" w:cs="宋体"/>
          <w:color w:val="auto"/>
          <w:spacing w:val="6"/>
          <w:kern w:val="0"/>
          <w:szCs w:val="21"/>
          <w:highlight w:val="none"/>
          <w:u w:val="single"/>
        </w:rPr>
        <w:t>______</w:t>
      </w:r>
      <w:r>
        <w:rPr>
          <w:rFonts w:hint="eastAsia" w:ascii="宋体" w:hAnsi="宋体" w:cs="宋体"/>
          <w:color w:val="auto"/>
          <w:spacing w:val="6"/>
          <w:kern w:val="0"/>
          <w:szCs w:val="21"/>
          <w:highlight w:val="none"/>
        </w:rPr>
        <w:t>单位的</w:t>
      </w:r>
      <w:r>
        <w:rPr>
          <w:rFonts w:ascii="宋体" w:hAnsi="宋体" w:cs="宋体"/>
          <w:color w:val="auto"/>
          <w:spacing w:val="6"/>
          <w:kern w:val="0"/>
          <w:szCs w:val="21"/>
          <w:highlight w:val="none"/>
          <w:u w:val="single"/>
        </w:rPr>
        <w:t>______</w:t>
      </w:r>
      <w:r>
        <w:rPr>
          <w:rFonts w:hint="eastAsia" w:ascii="宋体" w:hAnsi="宋体" w:cs="宋体"/>
          <w:color w:val="auto"/>
          <w:spacing w:val="6"/>
          <w:kern w:val="0"/>
          <w:szCs w:val="21"/>
          <w:highlight w:val="none"/>
        </w:rPr>
        <w:t>项目采购活动提供本单位制造的货物（由本单位承担工程</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提供服务），或者提供其他残疾人福利性单位制造的货物（不包括使用非残疾人福利性单位注册商标的货物）。</w:t>
      </w:r>
    </w:p>
    <w:p w14:paraId="7B9C3313">
      <w:pPr>
        <w:widowControl/>
        <w:adjustRightInd w:val="0"/>
        <w:snapToGrid w:val="0"/>
        <w:spacing w:before="120" w:beforeLines="50" w:line="360" w:lineRule="auto"/>
        <w:ind w:firstLine="444" w:firstLineChars="200"/>
        <w:jc w:val="left"/>
        <w:rPr>
          <w:rFonts w:ascii="宋体" w:cs="宋体"/>
          <w:color w:val="auto"/>
          <w:spacing w:val="6"/>
          <w:kern w:val="0"/>
          <w:szCs w:val="21"/>
          <w:highlight w:val="none"/>
        </w:rPr>
      </w:pPr>
      <w:r>
        <w:rPr>
          <w:rFonts w:hint="eastAsia" w:ascii="宋体" w:hAnsi="宋体" w:cs="宋体"/>
          <w:color w:val="auto"/>
          <w:spacing w:val="6"/>
          <w:kern w:val="0"/>
          <w:szCs w:val="21"/>
          <w:highlight w:val="none"/>
        </w:rPr>
        <w:t>本单位对上述声明的真实性负责。如有虚假，将依法承担相应责任。</w:t>
      </w:r>
    </w:p>
    <w:p w14:paraId="14F41DC4">
      <w:pPr>
        <w:spacing w:line="588" w:lineRule="exact"/>
        <w:ind w:firstLine="624" w:firstLineChars="200"/>
        <w:rPr>
          <w:rFonts w:ascii="宋体"/>
          <w:color w:val="auto"/>
          <w:spacing w:val="6"/>
          <w:sz w:val="30"/>
          <w:szCs w:val="30"/>
          <w:highlight w:val="none"/>
        </w:rPr>
      </w:pPr>
    </w:p>
    <w:p w14:paraId="02D036E9">
      <w:pPr>
        <w:spacing w:line="588" w:lineRule="exact"/>
        <w:ind w:firstLine="624" w:firstLineChars="200"/>
        <w:rPr>
          <w:rFonts w:ascii="宋体"/>
          <w:color w:val="auto"/>
          <w:spacing w:val="6"/>
          <w:sz w:val="30"/>
          <w:szCs w:val="30"/>
          <w:highlight w:val="none"/>
        </w:rPr>
      </w:pPr>
    </w:p>
    <w:p w14:paraId="5ABA0FAD">
      <w:pPr>
        <w:widowControl/>
        <w:adjustRightInd w:val="0"/>
        <w:snapToGrid w:val="0"/>
        <w:spacing w:before="120" w:beforeLines="50" w:line="360" w:lineRule="auto"/>
        <w:ind w:firstLine="624" w:firstLineChars="200"/>
        <w:jc w:val="center"/>
        <w:rPr>
          <w:rFonts w:ascii="宋体" w:cs="宋体"/>
          <w:color w:val="auto"/>
          <w:spacing w:val="6"/>
          <w:kern w:val="0"/>
          <w:szCs w:val="21"/>
          <w:highlight w:val="none"/>
        </w:rPr>
      </w:pPr>
      <w:r>
        <w:rPr>
          <w:rFonts w:ascii="宋体" w:hAnsi="宋体" w:cs="仿宋_GB2312"/>
          <w:color w:val="auto"/>
          <w:spacing w:val="6"/>
          <w:sz w:val="30"/>
          <w:szCs w:val="30"/>
          <w:highlight w:val="none"/>
        </w:rPr>
        <w:t xml:space="preserve">             </w:t>
      </w:r>
      <w:r>
        <w:rPr>
          <w:rFonts w:hint="eastAsia" w:ascii="宋体" w:hAnsi="宋体" w:cs="宋体"/>
          <w:color w:val="auto"/>
          <w:spacing w:val="6"/>
          <w:kern w:val="0"/>
          <w:szCs w:val="21"/>
          <w:highlight w:val="none"/>
        </w:rPr>
        <w:t>单位名称（盖章）：</w:t>
      </w:r>
      <w:r>
        <w:rPr>
          <w:rFonts w:ascii="宋体" w:hAnsi="宋体" w:cs="宋体"/>
          <w:color w:val="auto"/>
          <w:spacing w:val="6"/>
          <w:kern w:val="0"/>
          <w:szCs w:val="21"/>
          <w:highlight w:val="none"/>
          <w:u w:val="single"/>
        </w:rPr>
        <w:t xml:space="preserve">              </w:t>
      </w:r>
      <w:r>
        <w:rPr>
          <w:rFonts w:ascii="宋体" w:hAnsi="宋体" w:cs="宋体"/>
          <w:color w:val="auto"/>
          <w:spacing w:val="6"/>
          <w:kern w:val="0"/>
          <w:szCs w:val="21"/>
          <w:highlight w:val="none"/>
        </w:rPr>
        <w:t xml:space="preserve"> </w:t>
      </w:r>
    </w:p>
    <w:p w14:paraId="7E1B29FD">
      <w:pPr>
        <w:adjustRightInd w:val="0"/>
        <w:snapToGrid w:val="0"/>
        <w:spacing w:line="360" w:lineRule="auto"/>
        <w:rPr>
          <w:rFonts w:ascii="宋体" w:hAnsi="宋体"/>
          <w:color w:val="auto"/>
          <w:szCs w:val="21"/>
          <w:highlight w:val="none"/>
        </w:rPr>
        <w:sectPr>
          <w:pgSz w:w="11906" w:h="16838"/>
          <w:pgMar w:top="1440" w:right="1080" w:bottom="1440" w:left="1080" w:header="851" w:footer="992" w:gutter="0"/>
          <w:cols w:space="720" w:num="1"/>
          <w:docGrid w:linePitch="312" w:charSpace="0"/>
        </w:sectPr>
      </w:pP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日</w:t>
      </w:r>
      <w:r>
        <w:rPr>
          <w:rFonts w:ascii="宋体" w:cs="宋体"/>
          <w:color w:val="auto"/>
          <w:spacing w:val="6"/>
          <w:kern w:val="0"/>
          <w:szCs w:val="21"/>
          <w:highlight w:val="none"/>
        </w:rPr>
        <w:t> </w:t>
      </w:r>
      <w:r>
        <w:rPr>
          <w:rFonts w:hint="eastAsia" w:ascii="宋体" w:hAnsi="宋体" w:cs="宋体"/>
          <w:color w:val="auto"/>
          <w:spacing w:val="6"/>
          <w:kern w:val="0"/>
          <w:szCs w:val="21"/>
          <w:highlight w:val="none"/>
        </w:rPr>
        <w:t>期：</w:t>
      </w:r>
      <w:r>
        <w:rPr>
          <w:rFonts w:ascii="宋体" w:hAnsi="宋体" w:cs="宋体"/>
          <w:color w:val="auto"/>
          <w:spacing w:val="6"/>
          <w:kern w:val="0"/>
          <w:szCs w:val="21"/>
          <w:highlight w:val="none"/>
          <w:u w:val="single"/>
        </w:rPr>
        <w:t xml:space="preserve">         </w:t>
      </w:r>
    </w:p>
    <w:p w14:paraId="5733FD83">
      <w:pPr>
        <w:jc w:val="center"/>
        <w:rPr>
          <w:rFonts w:ascii="黑体" w:hAnsi="宋体" w:eastAsia="黑体"/>
          <w:b/>
          <w:color w:val="auto"/>
          <w:sz w:val="32"/>
          <w:szCs w:val="32"/>
          <w:highlight w:val="none"/>
        </w:rPr>
      </w:pPr>
      <w:r>
        <w:rPr>
          <w:rFonts w:hint="eastAsia" w:ascii="黑体" w:eastAsia="黑体"/>
          <w:b/>
          <w:bCs/>
          <w:color w:val="auto"/>
          <w:sz w:val="32"/>
          <w:szCs w:val="32"/>
          <w:highlight w:val="none"/>
        </w:rPr>
        <w:t>八、</w:t>
      </w:r>
      <w:r>
        <w:rPr>
          <w:rFonts w:hint="eastAsia" w:ascii="黑体" w:hAnsi="宋体" w:eastAsia="黑体"/>
          <w:b/>
          <w:color w:val="auto"/>
          <w:sz w:val="32"/>
          <w:szCs w:val="32"/>
          <w:highlight w:val="none"/>
        </w:rPr>
        <w:t>报价一览表及报价文件</w:t>
      </w:r>
    </w:p>
    <w:p w14:paraId="432D3613">
      <w:pPr>
        <w:tabs>
          <w:tab w:val="left" w:pos="1680"/>
        </w:tabs>
        <w:adjustRightInd w:val="0"/>
        <w:snapToGrid w:val="0"/>
        <w:rPr>
          <w:rFonts w:ascii="黑体" w:hAnsi="宋体" w:eastAsia="黑体"/>
          <w:color w:val="auto"/>
          <w:sz w:val="30"/>
          <w:szCs w:val="30"/>
          <w:highlight w:val="none"/>
        </w:rPr>
      </w:pPr>
      <w:r>
        <w:rPr>
          <w:rFonts w:hint="eastAsia" w:ascii="黑体" w:hAnsi="宋体" w:eastAsia="黑体"/>
          <w:color w:val="auto"/>
          <w:sz w:val="30"/>
          <w:szCs w:val="30"/>
          <w:highlight w:val="none"/>
        </w:rPr>
        <w:t>附件13-1</w:t>
      </w:r>
      <w:r>
        <w:rPr>
          <w:rFonts w:ascii="黑体" w:hAnsi="宋体" w:eastAsia="黑体"/>
          <w:color w:val="auto"/>
          <w:sz w:val="30"/>
          <w:szCs w:val="30"/>
          <w:highlight w:val="none"/>
        </w:rPr>
        <w:tab/>
      </w:r>
    </w:p>
    <w:p w14:paraId="1C98B2C0">
      <w:pPr>
        <w:spacing w:line="360" w:lineRule="exact"/>
        <w:ind w:firstLine="300" w:firstLineChars="100"/>
        <w:rPr>
          <w:rFonts w:ascii="楷体_GB2312" w:eastAsia="楷体_GB2312"/>
          <w:color w:val="auto"/>
          <w:sz w:val="30"/>
          <w:szCs w:val="30"/>
          <w:highlight w:val="none"/>
        </w:rPr>
      </w:pPr>
    </w:p>
    <w:p w14:paraId="77D9E76C">
      <w:pPr>
        <w:adjustRightInd w:val="0"/>
        <w:snapToGrid w:val="0"/>
        <w:jc w:val="center"/>
        <w:rPr>
          <w:rFonts w:ascii="黑体" w:hAnsi="宋体" w:eastAsia="黑体"/>
          <w:bCs/>
          <w:color w:val="auto"/>
          <w:sz w:val="30"/>
          <w:szCs w:val="30"/>
          <w:highlight w:val="none"/>
        </w:rPr>
      </w:pPr>
    </w:p>
    <w:p w14:paraId="0F6C2917">
      <w:pPr>
        <w:jc w:val="center"/>
        <w:rPr>
          <w:rFonts w:ascii="宋体" w:hAnsi="宋体"/>
          <w:color w:val="auto"/>
          <w:sz w:val="30"/>
          <w:szCs w:val="30"/>
          <w:highlight w:val="none"/>
        </w:rPr>
      </w:pPr>
      <w:r>
        <w:rPr>
          <w:rFonts w:hint="eastAsia" w:ascii="宋体" w:hAnsi="宋体"/>
          <w:bCs/>
          <w:color w:val="auto"/>
          <w:sz w:val="30"/>
          <w:szCs w:val="30"/>
          <w:highlight w:val="none"/>
        </w:rPr>
        <w:t>报价一览表</w:t>
      </w:r>
    </w:p>
    <w:p w14:paraId="2E3BA2B1">
      <w:pPr>
        <w:adjustRightInd w:val="0"/>
        <w:snapToGrid w:val="0"/>
        <w:rPr>
          <w:rFonts w:ascii="宋体" w:hAnsi="宋体"/>
          <w:color w:val="auto"/>
          <w:sz w:val="24"/>
          <w:highlight w:val="none"/>
        </w:rPr>
      </w:pPr>
    </w:p>
    <w:tbl>
      <w:tblPr>
        <w:tblStyle w:val="34"/>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93"/>
        <w:gridCol w:w="3339"/>
        <w:gridCol w:w="1830"/>
        <w:gridCol w:w="2292"/>
      </w:tblGrid>
      <w:tr w14:paraId="4806B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252" w:type="pct"/>
            <w:tcBorders>
              <w:top w:val="double" w:color="auto" w:sz="4" w:space="0"/>
              <w:left w:val="double" w:color="auto" w:sz="4" w:space="0"/>
              <w:bottom w:val="single" w:color="auto" w:sz="6" w:space="0"/>
              <w:right w:val="single" w:color="auto" w:sz="6" w:space="0"/>
            </w:tcBorders>
            <w:vAlign w:val="center"/>
          </w:tcPr>
          <w:p w14:paraId="07AAC88C">
            <w:pPr>
              <w:tabs>
                <w:tab w:val="left" w:pos="403"/>
                <w:tab w:val="center" w:pos="3781"/>
              </w:tabs>
              <w:spacing w:line="420" w:lineRule="exact"/>
              <w:ind w:right="-5206" w:rightChars="-2479" w:firstLine="210" w:firstLineChars="100"/>
              <w:rPr>
                <w:rFonts w:ascii="宋体" w:hAnsi="宋体"/>
                <w:color w:val="auto"/>
                <w:szCs w:val="21"/>
                <w:highlight w:val="none"/>
              </w:rPr>
            </w:pPr>
            <w:r>
              <w:rPr>
                <w:rFonts w:ascii="宋体" w:hAnsi="宋体"/>
                <w:color w:val="auto"/>
                <w:szCs w:val="21"/>
                <w:highlight w:val="none"/>
              </w:rPr>
              <w:t>项目名称</w:t>
            </w:r>
            <w:r>
              <w:rPr>
                <w:rFonts w:ascii="宋体" w:hAnsi="宋体"/>
                <w:color w:val="auto"/>
                <w:szCs w:val="21"/>
                <w:highlight w:val="none"/>
              </w:rPr>
              <w:tab/>
            </w:r>
            <w:r>
              <w:rPr>
                <w:rFonts w:ascii="宋体" w:hAnsi="宋体"/>
                <w:color w:val="auto"/>
                <w:szCs w:val="21"/>
                <w:highlight w:val="none"/>
              </w:rPr>
              <w:t>项目名称</w:t>
            </w:r>
          </w:p>
        </w:tc>
        <w:tc>
          <w:tcPr>
            <w:tcW w:w="1677" w:type="pct"/>
            <w:tcBorders>
              <w:top w:val="double" w:color="auto" w:sz="4" w:space="0"/>
              <w:left w:val="single" w:color="auto" w:sz="6" w:space="0"/>
              <w:bottom w:val="single" w:color="auto" w:sz="6" w:space="0"/>
              <w:right w:val="single" w:color="auto" w:sz="6" w:space="0"/>
            </w:tcBorders>
            <w:vAlign w:val="center"/>
          </w:tcPr>
          <w:p w14:paraId="3A4A3C9C">
            <w:pPr>
              <w:spacing w:line="420" w:lineRule="exact"/>
              <w:jc w:val="center"/>
              <w:rPr>
                <w:rFonts w:ascii="宋体" w:hAnsi="宋体"/>
                <w:color w:val="auto"/>
                <w:szCs w:val="21"/>
                <w:highlight w:val="none"/>
              </w:rPr>
            </w:pPr>
          </w:p>
        </w:tc>
        <w:tc>
          <w:tcPr>
            <w:tcW w:w="919" w:type="pct"/>
            <w:tcBorders>
              <w:top w:val="double" w:color="auto" w:sz="4" w:space="0"/>
              <w:left w:val="single" w:color="auto" w:sz="6" w:space="0"/>
              <w:right w:val="single" w:color="auto" w:sz="6" w:space="0"/>
            </w:tcBorders>
            <w:vAlign w:val="center"/>
          </w:tcPr>
          <w:p w14:paraId="42231CB4">
            <w:pPr>
              <w:spacing w:line="420" w:lineRule="exact"/>
              <w:jc w:val="center"/>
              <w:rPr>
                <w:rFonts w:ascii="宋体" w:hAnsi="宋体"/>
                <w:color w:val="auto"/>
                <w:szCs w:val="21"/>
                <w:highlight w:val="none"/>
              </w:rPr>
            </w:pPr>
            <w:r>
              <w:rPr>
                <w:rFonts w:hint="eastAsia" w:ascii="宋体" w:hAnsi="宋体"/>
                <w:color w:val="auto"/>
                <w:szCs w:val="21"/>
                <w:highlight w:val="none"/>
              </w:rPr>
              <w:t>政府采购编号</w:t>
            </w:r>
          </w:p>
        </w:tc>
        <w:tc>
          <w:tcPr>
            <w:tcW w:w="1151" w:type="pct"/>
            <w:tcBorders>
              <w:top w:val="double" w:color="auto" w:sz="4" w:space="0"/>
              <w:left w:val="single" w:color="auto" w:sz="6" w:space="0"/>
              <w:bottom w:val="single" w:color="auto" w:sz="6" w:space="0"/>
              <w:right w:val="double" w:color="auto" w:sz="4" w:space="0"/>
            </w:tcBorders>
            <w:vAlign w:val="center"/>
          </w:tcPr>
          <w:p w14:paraId="64798B90">
            <w:pPr>
              <w:spacing w:line="420" w:lineRule="exact"/>
              <w:jc w:val="center"/>
              <w:rPr>
                <w:rFonts w:ascii="宋体" w:hAnsi="宋体"/>
                <w:color w:val="auto"/>
                <w:szCs w:val="21"/>
                <w:highlight w:val="none"/>
              </w:rPr>
            </w:pPr>
          </w:p>
        </w:tc>
      </w:tr>
      <w:tr w14:paraId="62553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52" w:type="pct"/>
            <w:tcBorders>
              <w:top w:val="single" w:color="auto" w:sz="6" w:space="0"/>
              <w:left w:val="double" w:color="auto" w:sz="4" w:space="0"/>
              <w:right w:val="single" w:color="auto" w:sz="6" w:space="0"/>
            </w:tcBorders>
            <w:vAlign w:val="center"/>
          </w:tcPr>
          <w:p w14:paraId="27BD864A">
            <w:pPr>
              <w:spacing w:line="420" w:lineRule="exact"/>
              <w:jc w:val="center"/>
              <w:rPr>
                <w:rFonts w:ascii="宋体" w:hAnsi="宋体"/>
                <w:color w:val="auto"/>
                <w:szCs w:val="21"/>
                <w:highlight w:val="none"/>
              </w:rPr>
            </w:pPr>
            <w:r>
              <w:rPr>
                <w:rFonts w:hint="eastAsia" w:ascii="宋体" w:hAnsi="宋体"/>
                <w:color w:val="auto"/>
                <w:szCs w:val="21"/>
                <w:highlight w:val="none"/>
              </w:rPr>
              <w:t>总报价</w:t>
            </w:r>
          </w:p>
        </w:tc>
        <w:tc>
          <w:tcPr>
            <w:tcW w:w="3747" w:type="pct"/>
            <w:gridSpan w:val="3"/>
            <w:tcBorders>
              <w:top w:val="single" w:color="auto" w:sz="6" w:space="0"/>
              <w:left w:val="single" w:color="auto" w:sz="6" w:space="0"/>
              <w:bottom w:val="single" w:color="auto" w:sz="6" w:space="0"/>
              <w:right w:val="double" w:color="auto" w:sz="4" w:space="0"/>
            </w:tcBorders>
            <w:vAlign w:val="center"/>
          </w:tcPr>
          <w:p w14:paraId="07F8A254">
            <w:pPr>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元人民币整</w:t>
            </w:r>
          </w:p>
          <w:p w14:paraId="6170EFFE">
            <w:pPr>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元人民币整</w:t>
            </w:r>
          </w:p>
          <w:p w14:paraId="165CCEDD">
            <w:pPr>
              <w:rPr>
                <w:rFonts w:ascii="宋体" w:hAnsi="宋体"/>
                <w:color w:val="auto"/>
                <w:szCs w:val="21"/>
                <w:highlight w:val="none"/>
              </w:rPr>
            </w:pPr>
            <w:r>
              <w:rPr>
                <w:rFonts w:hint="eastAsia" w:ascii="宋体" w:hAnsi="宋体"/>
                <w:color w:val="auto"/>
                <w:kern w:val="0"/>
                <w:szCs w:val="21"/>
                <w:highlight w:val="none"/>
              </w:rPr>
              <w:t>（</w:t>
            </w:r>
            <w:r>
              <w:rPr>
                <w:rFonts w:hint="eastAsia" w:ascii="黑体" w:hAnsi="黑体" w:eastAsia="黑体"/>
                <w:color w:val="auto"/>
                <w:kern w:val="0"/>
                <w:sz w:val="24"/>
                <w:highlight w:val="none"/>
              </w:rPr>
              <w:t>大写金额与小写金额不一致时，以大写金额为准</w:t>
            </w:r>
            <w:r>
              <w:rPr>
                <w:rFonts w:hint="eastAsia" w:ascii="宋体" w:hAnsi="宋体"/>
                <w:color w:val="auto"/>
                <w:kern w:val="0"/>
                <w:szCs w:val="21"/>
                <w:highlight w:val="none"/>
              </w:rPr>
              <w:t>）</w:t>
            </w:r>
          </w:p>
        </w:tc>
      </w:tr>
      <w:tr w14:paraId="415D7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52" w:type="pct"/>
            <w:tcBorders>
              <w:top w:val="single" w:color="auto" w:sz="6" w:space="0"/>
              <w:left w:val="double" w:color="auto" w:sz="4" w:space="0"/>
              <w:right w:val="single" w:color="auto" w:sz="6" w:space="0"/>
            </w:tcBorders>
            <w:vAlign w:val="center"/>
          </w:tcPr>
          <w:p w14:paraId="4E1FD4DB">
            <w:pPr>
              <w:ind w:right="23" w:rightChars="11"/>
              <w:jc w:val="center"/>
              <w:rPr>
                <w:rFonts w:ascii="宋体" w:hAnsi="宋体"/>
                <w:color w:val="auto"/>
                <w:szCs w:val="21"/>
                <w:highlight w:val="none"/>
              </w:rPr>
            </w:pPr>
            <w:r>
              <w:rPr>
                <w:color w:val="auto"/>
                <w:szCs w:val="21"/>
                <w:highlight w:val="none"/>
              </w:rPr>
              <w:t>工期</w:t>
            </w:r>
          </w:p>
        </w:tc>
        <w:tc>
          <w:tcPr>
            <w:tcW w:w="3747" w:type="pct"/>
            <w:gridSpan w:val="3"/>
            <w:tcBorders>
              <w:top w:val="single" w:color="auto" w:sz="6" w:space="0"/>
              <w:left w:val="single" w:color="auto" w:sz="6" w:space="0"/>
              <w:bottom w:val="single" w:color="auto" w:sz="6" w:space="0"/>
              <w:right w:val="double" w:color="auto" w:sz="4" w:space="0"/>
            </w:tcBorders>
            <w:vAlign w:val="center"/>
          </w:tcPr>
          <w:p w14:paraId="0942CDD2">
            <w:pPr>
              <w:rPr>
                <w:rFonts w:ascii="宋体" w:hAnsi="宋体"/>
                <w:color w:val="auto"/>
                <w:szCs w:val="21"/>
                <w:highlight w:val="none"/>
              </w:rPr>
            </w:pPr>
          </w:p>
        </w:tc>
      </w:tr>
      <w:tr w14:paraId="405D1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pct"/>
            <w:tcBorders>
              <w:top w:val="single" w:color="auto" w:sz="6" w:space="0"/>
              <w:left w:val="double" w:color="auto" w:sz="4" w:space="0"/>
              <w:right w:val="single" w:color="auto" w:sz="6" w:space="0"/>
            </w:tcBorders>
            <w:vAlign w:val="center"/>
          </w:tcPr>
          <w:p w14:paraId="5308F438">
            <w:pPr>
              <w:ind w:right="23" w:rightChars="11"/>
              <w:jc w:val="center"/>
              <w:rPr>
                <w:rFonts w:ascii="宋体" w:hAnsi="宋体"/>
                <w:color w:val="auto"/>
                <w:szCs w:val="21"/>
                <w:highlight w:val="none"/>
              </w:rPr>
            </w:pPr>
            <w:r>
              <w:rPr>
                <w:color w:val="auto"/>
                <w:szCs w:val="21"/>
                <w:highlight w:val="none"/>
              </w:rPr>
              <w:t>质量等级</w:t>
            </w:r>
          </w:p>
        </w:tc>
        <w:tc>
          <w:tcPr>
            <w:tcW w:w="3747" w:type="pct"/>
            <w:gridSpan w:val="3"/>
            <w:tcBorders>
              <w:top w:val="single" w:color="auto" w:sz="6" w:space="0"/>
              <w:left w:val="single" w:color="auto" w:sz="6" w:space="0"/>
              <w:bottom w:val="single" w:color="auto" w:sz="6" w:space="0"/>
              <w:right w:val="double" w:color="auto" w:sz="4" w:space="0"/>
            </w:tcBorders>
            <w:vAlign w:val="center"/>
          </w:tcPr>
          <w:p w14:paraId="0888F670">
            <w:pPr>
              <w:rPr>
                <w:rFonts w:ascii="宋体" w:hAnsi="宋体"/>
                <w:color w:val="auto"/>
                <w:szCs w:val="21"/>
                <w:highlight w:val="none"/>
              </w:rPr>
            </w:pPr>
          </w:p>
        </w:tc>
      </w:tr>
      <w:tr w14:paraId="7178C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52" w:type="pct"/>
            <w:tcBorders>
              <w:top w:val="single" w:color="auto" w:sz="6" w:space="0"/>
              <w:left w:val="double" w:color="auto" w:sz="4" w:space="0"/>
              <w:right w:val="single" w:color="auto" w:sz="6" w:space="0"/>
            </w:tcBorders>
            <w:vAlign w:val="center"/>
          </w:tcPr>
          <w:p w14:paraId="7F73417F">
            <w:pPr>
              <w:ind w:right="23" w:rightChars="11"/>
              <w:jc w:val="center"/>
              <w:rPr>
                <w:rFonts w:ascii="宋体" w:hAnsi="宋体"/>
                <w:color w:val="auto"/>
                <w:szCs w:val="21"/>
                <w:highlight w:val="none"/>
              </w:rPr>
            </w:pPr>
            <w:r>
              <w:rPr>
                <w:color w:val="auto"/>
                <w:szCs w:val="21"/>
                <w:highlight w:val="none"/>
              </w:rPr>
              <w:t>保修承诺</w:t>
            </w:r>
            <w:r>
              <w:rPr>
                <w:rFonts w:hint="eastAsia" w:ascii="宋体" w:hAnsi="宋体"/>
                <w:color w:val="auto"/>
                <w:szCs w:val="21"/>
                <w:highlight w:val="none"/>
              </w:rPr>
              <w:t>（含保修期）</w:t>
            </w:r>
          </w:p>
        </w:tc>
        <w:tc>
          <w:tcPr>
            <w:tcW w:w="3747" w:type="pct"/>
            <w:gridSpan w:val="3"/>
            <w:tcBorders>
              <w:top w:val="single" w:color="auto" w:sz="6" w:space="0"/>
              <w:left w:val="single" w:color="auto" w:sz="6" w:space="0"/>
              <w:bottom w:val="single" w:color="auto" w:sz="6" w:space="0"/>
              <w:right w:val="double" w:color="auto" w:sz="4" w:space="0"/>
            </w:tcBorders>
            <w:vAlign w:val="center"/>
          </w:tcPr>
          <w:p w14:paraId="0E8786B7">
            <w:pPr>
              <w:rPr>
                <w:rFonts w:ascii="宋体" w:hAnsi="宋体"/>
                <w:color w:val="auto"/>
                <w:szCs w:val="21"/>
                <w:highlight w:val="none"/>
              </w:rPr>
            </w:pPr>
          </w:p>
        </w:tc>
      </w:tr>
      <w:tr w14:paraId="19697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52" w:type="pct"/>
            <w:tcBorders>
              <w:top w:val="single" w:color="auto" w:sz="6" w:space="0"/>
              <w:left w:val="double" w:color="auto" w:sz="4" w:space="0"/>
              <w:right w:val="single" w:color="auto" w:sz="6" w:space="0"/>
            </w:tcBorders>
            <w:vAlign w:val="center"/>
          </w:tcPr>
          <w:p w14:paraId="68038D6E">
            <w:pPr>
              <w:ind w:right="23" w:rightChars="11"/>
              <w:jc w:val="center"/>
              <w:rPr>
                <w:rFonts w:ascii="宋体" w:hAnsi="宋体"/>
                <w:color w:val="auto"/>
                <w:szCs w:val="21"/>
                <w:highlight w:val="none"/>
              </w:rPr>
            </w:pPr>
            <w:r>
              <w:rPr>
                <w:color w:val="auto"/>
                <w:szCs w:val="21"/>
                <w:highlight w:val="none"/>
              </w:rPr>
              <w:t>项目负责人</w:t>
            </w:r>
          </w:p>
        </w:tc>
        <w:tc>
          <w:tcPr>
            <w:tcW w:w="3747" w:type="pct"/>
            <w:gridSpan w:val="3"/>
            <w:tcBorders>
              <w:top w:val="single" w:color="auto" w:sz="6" w:space="0"/>
              <w:left w:val="single" w:color="auto" w:sz="6" w:space="0"/>
              <w:bottom w:val="single" w:color="auto" w:sz="6" w:space="0"/>
              <w:right w:val="double" w:color="auto" w:sz="4" w:space="0"/>
            </w:tcBorders>
            <w:vAlign w:val="center"/>
          </w:tcPr>
          <w:p w14:paraId="37355CE8">
            <w:pPr>
              <w:ind w:right="23" w:rightChars="11"/>
              <w:rPr>
                <w:rFonts w:ascii="宋体" w:hAnsi="宋体"/>
                <w:color w:val="auto"/>
                <w:szCs w:val="21"/>
                <w:highlight w:val="none"/>
              </w:rPr>
            </w:pPr>
            <w:r>
              <w:rPr>
                <w:rFonts w:hint="eastAsia" w:ascii="宋体" w:hAnsi="宋体"/>
                <w:color w:val="auto"/>
                <w:szCs w:val="21"/>
                <w:highlight w:val="none"/>
              </w:rPr>
              <w:t>姓名：</w:t>
            </w:r>
          </w:p>
          <w:p w14:paraId="7DDFCEE7">
            <w:pPr>
              <w:ind w:right="23" w:rightChars="11"/>
              <w:rPr>
                <w:rFonts w:ascii="宋体" w:hAnsi="宋体"/>
                <w:color w:val="auto"/>
                <w:szCs w:val="21"/>
                <w:highlight w:val="none"/>
              </w:rPr>
            </w:pPr>
            <w:r>
              <w:rPr>
                <w:rFonts w:hint="eastAsia" w:ascii="宋体" w:hAnsi="宋体"/>
                <w:color w:val="auto"/>
                <w:szCs w:val="21"/>
                <w:highlight w:val="none"/>
              </w:rPr>
              <w:t>注册证号：</w:t>
            </w:r>
          </w:p>
          <w:p w14:paraId="2A715F7E">
            <w:pPr>
              <w:ind w:right="23" w:rightChars="11"/>
              <w:rPr>
                <w:rFonts w:ascii="宋体" w:hAnsi="宋体"/>
                <w:color w:val="auto"/>
                <w:szCs w:val="21"/>
                <w:highlight w:val="none"/>
              </w:rPr>
            </w:pPr>
            <w:r>
              <w:rPr>
                <w:rFonts w:hint="eastAsia" w:ascii="宋体" w:hAnsi="宋体"/>
                <w:color w:val="auto"/>
                <w:szCs w:val="21"/>
                <w:highlight w:val="none"/>
              </w:rPr>
              <w:t>B类安全生产考核合格证号：</w:t>
            </w:r>
          </w:p>
          <w:p w14:paraId="2A482A67">
            <w:pPr>
              <w:rPr>
                <w:rFonts w:ascii="宋体" w:hAnsi="宋体"/>
                <w:color w:val="auto"/>
                <w:szCs w:val="21"/>
                <w:highlight w:val="none"/>
              </w:rPr>
            </w:pPr>
            <w:r>
              <w:rPr>
                <w:rFonts w:hint="eastAsia" w:ascii="宋体" w:hAnsi="宋体"/>
                <w:color w:val="auto"/>
                <w:szCs w:val="21"/>
                <w:highlight w:val="none"/>
              </w:rPr>
              <w:t>身份证号：</w:t>
            </w:r>
          </w:p>
        </w:tc>
      </w:tr>
      <w:tr w14:paraId="3D748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52" w:type="pct"/>
            <w:tcBorders>
              <w:top w:val="single" w:color="auto" w:sz="6" w:space="0"/>
              <w:left w:val="double" w:color="auto" w:sz="4" w:space="0"/>
              <w:bottom w:val="double" w:color="auto" w:sz="4" w:space="0"/>
              <w:right w:val="single" w:color="auto" w:sz="6" w:space="0"/>
            </w:tcBorders>
            <w:vAlign w:val="center"/>
          </w:tcPr>
          <w:p w14:paraId="6F0A11AC">
            <w:pPr>
              <w:spacing w:line="420" w:lineRule="exact"/>
              <w:jc w:val="center"/>
              <w:rPr>
                <w:rFonts w:ascii="宋体" w:hAnsi="宋体"/>
                <w:color w:val="auto"/>
                <w:szCs w:val="21"/>
                <w:highlight w:val="none"/>
              </w:rPr>
            </w:pPr>
            <w:r>
              <w:rPr>
                <w:rFonts w:ascii="宋体" w:hAnsi="宋体"/>
                <w:color w:val="auto"/>
                <w:szCs w:val="21"/>
                <w:highlight w:val="none"/>
              </w:rPr>
              <w:t>备  注</w:t>
            </w:r>
          </w:p>
        </w:tc>
        <w:tc>
          <w:tcPr>
            <w:tcW w:w="3747" w:type="pct"/>
            <w:gridSpan w:val="3"/>
            <w:tcBorders>
              <w:top w:val="single" w:color="auto" w:sz="6" w:space="0"/>
              <w:left w:val="single" w:color="auto" w:sz="6" w:space="0"/>
              <w:bottom w:val="double" w:color="auto" w:sz="4" w:space="0"/>
              <w:right w:val="double" w:color="auto" w:sz="4" w:space="0"/>
            </w:tcBorders>
            <w:vAlign w:val="center"/>
          </w:tcPr>
          <w:p w14:paraId="6CD293B3">
            <w:pPr>
              <w:spacing w:line="420" w:lineRule="exact"/>
              <w:rPr>
                <w:rFonts w:ascii="宋体" w:hAnsi="宋体"/>
                <w:color w:val="auto"/>
                <w:szCs w:val="21"/>
                <w:highlight w:val="none"/>
              </w:rPr>
            </w:pPr>
            <w:r>
              <w:rPr>
                <w:rFonts w:hint="eastAsia" w:ascii="宋体" w:hAnsi="宋体"/>
                <w:color w:val="auto"/>
                <w:szCs w:val="21"/>
                <w:highlight w:val="none"/>
              </w:rPr>
              <w:t>报价保留两位小数。</w:t>
            </w:r>
          </w:p>
        </w:tc>
      </w:tr>
    </w:tbl>
    <w:p w14:paraId="74D91934">
      <w:pPr>
        <w:adjustRightInd w:val="0"/>
        <w:snapToGrid w:val="0"/>
        <w:spacing w:line="360" w:lineRule="auto"/>
        <w:rPr>
          <w:rFonts w:ascii="宋体" w:hAnsi="宋体"/>
          <w:color w:val="auto"/>
          <w:szCs w:val="21"/>
          <w:highlight w:val="none"/>
        </w:rPr>
      </w:pPr>
    </w:p>
    <w:p w14:paraId="74D939D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lang w:val="en-US" w:eastAsia="zh-CN"/>
        </w:rPr>
        <w:t>名称</w:t>
      </w:r>
      <w:r>
        <w:rPr>
          <w:rFonts w:hint="eastAsia" w:ascii="宋体" w:hAnsi="宋体"/>
          <w:color w:val="auto"/>
          <w:szCs w:val="21"/>
          <w:highlight w:val="none"/>
        </w:rPr>
        <w:t>（盖单位章）：</w:t>
      </w:r>
    </w:p>
    <w:p w14:paraId="0AE81C5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eastAsiaTheme="minorEastAsia"/>
          <w:color w:val="auto"/>
          <w:szCs w:val="21"/>
          <w:highlight w:val="none"/>
          <w:lang w:eastAsia="zh-CN"/>
        </w:rPr>
        <w:t>（</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eastAsiaTheme="minorEastAsia"/>
          <w:color w:val="auto"/>
          <w:szCs w:val="21"/>
          <w:highlight w:val="none"/>
          <w:lang w:eastAsia="zh-CN"/>
        </w:rPr>
        <w:t>）</w:t>
      </w:r>
      <w:r>
        <w:rPr>
          <w:rFonts w:hint="eastAsia" w:ascii="宋体" w:hAnsi="宋体"/>
          <w:color w:val="auto"/>
          <w:szCs w:val="21"/>
          <w:highlight w:val="none"/>
        </w:rPr>
        <w:t>：</w:t>
      </w:r>
    </w:p>
    <w:p w14:paraId="3A10DC4A">
      <w:pPr>
        <w:adjustRightInd w:val="0"/>
        <w:snapToGrid w:val="0"/>
        <w:spacing w:line="360" w:lineRule="auto"/>
        <w:rPr>
          <w:rFonts w:ascii="宋体" w:hAnsi="宋体"/>
          <w:color w:val="auto"/>
          <w:szCs w:val="21"/>
          <w:highlight w:val="none"/>
        </w:rPr>
        <w:sectPr>
          <w:pgSz w:w="11906" w:h="16838"/>
          <w:pgMar w:top="1440" w:right="1080" w:bottom="1440" w:left="1080" w:header="851" w:footer="992" w:gutter="0"/>
          <w:cols w:space="720" w:num="1"/>
          <w:docGrid w:linePitch="320" w:charSpace="269"/>
        </w:sectPr>
      </w:pPr>
      <w:r>
        <w:rPr>
          <w:rFonts w:hint="eastAsia" w:ascii="宋体" w:hAnsi="宋体"/>
          <w:color w:val="auto"/>
          <w:szCs w:val="21"/>
          <w:highlight w:val="none"/>
        </w:rPr>
        <w:t>日期：  年  月  日</w:t>
      </w:r>
    </w:p>
    <w:p w14:paraId="0B4138AB">
      <w:pPr>
        <w:adjustRightInd w:val="0"/>
        <w:snapToGrid w:val="0"/>
        <w:spacing w:line="360" w:lineRule="auto"/>
        <w:rPr>
          <w:rFonts w:ascii="宋体" w:hAnsi="宋体"/>
          <w:color w:val="auto"/>
          <w:szCs w:val="21"/>
          <w:highlight w:val="none"/>
        </w:rPr>
      </w:pPr>
    </w:p>
    <w:p w14:paraId="18E9242B">
      <w:pPr>
        <w:pStyle w:val="6"/>
        <w:jc w:val="center"/>
        <w:rPr>
          <w:color w:val="auto"/>
          <w:highlight w:val="none"/>
        </w:rPr>
      </w:pPr>
      <w:bookmarkStart w:id="10" w:name="_Toc468428621"/>
      <w:bookmarkStart w:id="11" w:name="_Toc14841"/>
      <w:r>
        <w:rPr>
          <w:rFonts w:hint="eastAsia"/>
          <w:color w:val="auto"/>
          <w:sz w:val="30"/>
          <w:szCs w:val="30"/>
          <w:highlight w:val="none"/>
        </w:rPr>
        <w:t>附件13-2：工程量清单及分项报价表</w:t>
      </w:r>
      <w:bookmarkEnd w:id="10"/>
      <w:bookmarkEnd w:id="11"/>
      <w:bookmarkStart w:id="12" w:name="_Toc30323"/>
    </w:p>
    <w:p w14:paraId="6883496F">
      <w:pPr>
        <w:rPr>
          <w:color w:val="auto"/>
          <w:highlight w:val="none"/>
        </w:rPr>
      </w:pPr>
    </w:p>
    <w:bookmarkEnd w:id="12"/>
    <w:p w14:paraId="6035D0BA">
      <w:pPr>
        <w:rPr>
          <w:color w:val="auto"/>
          <w:sz w:val="32"/>
          <w:highlight w:val="none"/>
        </w:rPr>
      </w:pPr>
      <w:bookmarkStart w:id="13" w:name="_Toc12640"/>
      <w:r>
        <w:rPr>
          <w:rFonts w:hint="eastAsia" w:ascii="宋体" w:hAnsi="宋体" w:cs="宋体"/>
          <w:b/>
          <w:color w:val="auto"/>
          <w:sz w:val="24"/>
          <w:highlight w:val="none"/>
        </w:rPr>
        <w:t>根据采购人提供的工程量清单，自行提供。</w:t>
      </w:r>
    </w:p>
    <w:bookmarkEnd w:id="13"/>
    <w:p w14:paraId="3B2227E2">
      <w:pPr>
        <w:adjustRightInd w:val="0"/>
        <w:snapToGrid w:val="0"/>
        <w:spacing w:before="50" w:line="360" w:lineRule="auto"/>
        <w:rPr>
          <w:rFonts w:ascii="宋体" w:hAnsi="宋体"/>
          <w:color w:val="auto"/>
          <w:szCs w:val="21"/>
          <w:highlight w:val="none"/>
        </w:rPr>
      </w:pPr>
    </w:p>
    <w:p w14:paraId="085AA269">
      <w:pPr>
        <w:rPr>
          <w:rFonts w:ascii="宋体" w:hAnsi="宋体"/>
          <w:b/>
          <w:color w:val="auto"/>
          <w:sz w:val="24"/>
          <w:highlight w:val="none"/>
        </w:rPr>
      </w:pPr>
      <w:r>
        <w:rPr>
          <w:rFonts w:ascii="宋体" w:hAnsi="宋体"/>
          <w:b/>
          <w:color w:val="auto"/>
          <w:sz w:val="24"/>
          <w:highlight w:val="none"/>
        </w:rPr>
        <w:br w:type="page"/>
      </w:r>
    </w:p>
    <w:p w14:paraId="51D8F0F3">
      <w:pPr>
        <w:rPr>
          <w:rFonts w:ascii="宋体" w:hAnsi="宋体"/>
          <w:b/>
          <w:color w:val="auto"/>
          <w:sz w:val="24"/>
          <w:highlight w:val="none"/>
        </w:rPr>
      </w:pPr>
    </w:p>
    <w:p w14:paraId="26380C41">
      <w:pPr>
        <w:adjustRightInd w:val="0"/>
        <w:snapToGrid w:val="0"/>
        <w:ind w:right="23" w:rightChars="11"/>
        <w:jc w:val="center"/>
        <w:rPr>
          <w:rFonts w:ascii="Arial" w:hAnsi="Arial"/>
          <w:b/>
          <w:bCs/>
          <w:color w:val="auto"/>
          <w:sz w:val="32"/>
          <w:szCs w:val="32"/>
          <w:highlight w:val="none"/>
        </w:rPr>
      </w:pPr>
      <w:r>
        <w:rPr>
          <w:rFonts w:hint="eastAsia" w:ascii="Arial" w:hAnsi="Arial"/>
          <w:b/>
          <w:bCs/>
          <w:color w:val="auto"/>
          <w:sz w:val="32"/>
          <w:szCs w:val="32"/>
          <w:highlight w:val="none"/>
        </w:rPr>
        <w:t>附件13-3、选择的主要货物、材料清单</w:t>
      </w:r>
    </w:p>
    <w:p w14:paraId="01721E00">
      <w:pPr>
        <w:spacing w:line="360" w:lineRule="exact"/>
        <w:ind w:firstLine="211" w:firstLineChars="100"/>
        <w:rPr>
          <w:rFonts w:ascii="楷体_GB2312" w:eastAsia="楷体_GB2312"/>
          <w:b/>
          <w:color w:val="auto"/>
          <w:highlight w:val="none"/>
        </w:rPr>
      </w:pPr>
    </w:p>
    <w:tbl>
      <w:tblPr>
        <w:tblStyle w:val="3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09"/>
        <w:gridCol w:w="1849"/>
        <w:gridCol w:w="1421"/>
        <w:gridCol w:w="1278"/>
        <w:gridCol w:w="1567"/>
        <w:gridCol w:w="1567"/>
        <w:gridCol w:w="1567"/>
      </w:tblGrid>
      <w:tr w14:paraId="2C2BE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356" w:type="pct"/>
            <w:tcBorders>
              <w:top w:val="double" w:color="auto" w:sz="4" w:space="0"/>
            </w:tcBorders>
            <w:vAlign w:val="center"/>
          </w:tcPr>
          <w:p w14:paraId="5F6054AD">
            <w:pPr>
              <w:widowControl/>
              <w:jc w:val="center"/>
              <w:textAlignment w:val="center"/>
              <w:rPr>
                <w:rFonts w:ascii="宋体" w:hAnsi="宋体"/>
                <w:color w:val="auto"/>
                <w:szCs w:val="21"/>
                <w:highlight w:val="none"/>
              </w:rPr>
            </w:pPr>
            <w:r>
              <w:rPr>
                <w:rFonts w:hint="eastAsia" w:ascii="宋体" w:hAnsi="宋体"/>
                <w:color w:val="auto"/>
                <w:szCs w:val="21"/>
                <w:highlight w:val="none"/>
              </w:rPr>
              <w:t>序号</w:t>
            </w:r>
          </w:p>
        </w:tc>
        <w:tc>
          <w:tcPr>
            <w:tcW w:w="928" w:type="pct"/>
            <w:tcBorders>
              <w:top w:val="double" w:color="auto" w:sz="4" w:space="0"/>
            </w:tcBorders>
            <w:vAlign w:val="center"/>
          </w:tcPr>
          <w:p w14:paraId="7D30E3A4">
            <w:pPr>
              <w:widowControl/>
              <w:jc w:val="center"/>
              <w:textAlignment w:val="center"/>
              <w:rPr>
                <w:rFonts w:ascii="宋体" w:hAnsi="宋体"/>
                <w:color w:val="auto"/>
                <w:szCs w:val="21"/>
                <w:highlight w:val="none"/>
              </w:rPr>
            </w:pPr>
            <w:r>
              <w:rPr>
                <w:rFonts w:hint="eastAsia" w:ascii="宋体" w:hAnsi="宋体"/>
                <w:color w:val="auto"/>
                <w:szCs w:val="21"/>
                <w:highlight w:val="none"/>
              </w:rPr>
              <w:t>材料名称</w:t>
            </w:r>
          </w:p>
        </w:tc>
        <w:tc>
          <w:tcPr>
            <w:tcW w:w="713" w:type="pct"/>
            <w:tcBorders>
              <w:top w:val="double" w:color="auto" w:sz="4" w:space="0"/>
            </w:tcBorders>
            <w:vAlign w:val="center"/>
          </w:tcPr>
          <w:p w14:paraId="607C189E">
            <w:pPr>
              <w:widowControl/>
              <w:jc w:val="center"/>
              <w:textAlignment w:val="center"/>
              <w:rPr>
                <w:rFonts w:ascii="宋体" w:hAnsi="宋体"/>
                <w:color w:val="auto"/>
                <w:szCs w:val="21"/>
                <w:highlight w:val="none"/>
              </w:rPr>
            </w:pPr>
            <w:r>
              <w:rPr>
                <w:rFonts w:hint="eastAsia" w:ascii="宋体" w:hAnsi="宋体"/>
                <w:color w:val="auto"/>
                <w:szCs w:val="21"/>
                <w:highlight w:val="none"/>
              </w:rPr>
              <w:t>品牌</w:t>
            </w:r>
          </w:p>
        </w:tc>
        <w:tc>
          <w:tcPr>
            <w:tcW w:w="641" w:type="pct"/>
            <w:tcBorders>
              <w:top w:val="double" w:color="auto" w:sz="4" w:space="0"/>
            </w:tcBorders>
            <w:vAlign w:val="center"/>
          </w:tcPr>
          <w:p w14:paraId="113A34EE">
            <w:pPr>
              <w:widowControl/>
              <w:jc w:val="center"/>
              <w:textAlignment w:val="center"/>
              <w:rPr>
                <w:rFonts w:ascii="宋体" w:hAnsi="宋体"/>
                <w:color w:val="auto"/>
                <w:szCs w:val="21"/>
                <w:highlight w:val="none"/>
              </w:rPr>
            </w:pPr>
            <w:r>
              <w:rPr>
                <w:rFonts w:hint="eastAsia" w:ascii="宋体" w:hAnsi="宋体"/>
                <w:color w:val="auto"/>
                <w:szCs w:val="21"/>
                <w:highlight w:val="none"/>
              </w:rPr>
              <w:t>型号规格</w:t>
            </w:r>
          </w:p>
        </w:tc>
        <w:tc>
          <w:tcPr>
            <w:tcW w:w="786" w:type="pct"/>
            <w:tcBorders>
              <w:top w:val="double" w:color="auto" w:sz="4" w:space="0"/>
            </w:tcBorders>
            <w:vAlign w:val="center"/>
          </w:tcPr>
          <w:p w14:paraId="26F41BD5">
            <w:pPr>
              <w:widowControl/>
              <w:jc w:val="center"/>
              <w:textAlignment w:val="center"/>
              <w:rPr>
                <w:rFonts w:ascii="宋体" w:hAnsi="宋体"/>
                <w:color w:val="auto"/>
                <w:szCs w:val="21"/>
                <w:highlight w:val="none"/>
              </w:rPr>
            </w:pPr>
            <w:r>
              <w:rPr>
                <w:rFonts w:hint="eastAsia" w:ascii="宋体" w:hAnsi="宋体"/>
                <w:color w:val="auto"/>
                <w:szCs w:val="21"/>
                <w:highlight w:val="none"/>
              </w:rPr>
              <w:t>制造商名称</w:t>
            </w:r>
          </w:p>
        </w:tc>
        <w:tc>
          <w:tcPr>
            <w:tcW w:w="786" w:type="pct"/>
            <w:tcBorders>
              <w:top w:val="double" w:color="auto" w:sz="4" w:space="0"/>
            </w:tcBorders>
            <w:vAlign w:val="center"/>
          </w:tcPr>
          <w:p w14:paraId="474C3B2C">
            <w:pPr>
              <w:widowControl/>
              <w:jc w:val="center"/>
              <w:textAlignment w:val="center"/>
              <w:rPr>
                <w:rFonts w:ascii="宋体" w:hAnsi="宋体"/>
                <w:color w:val="auto"/>
                <w:szCs w:val="21"/>
                <w:highlight w:val="none"/>
              </w:rPr>
            </w:pPr>
            <w:r>
              <w:rPr>
                <w:rFonts w:hint="eastAsia" w:ascii="宋体" w:hAnsi="宋体"/>
                <w:color w:val="auto"/>
                <w:szCs w:val="21"/>
                <w:highlight w:val="none"/>
              </w:rPr>
              <w:t>价格</w:t>
            </w:r>
          </w:p>
        </w:tc>
        <w:tc>
          <w:tcPr>
            <w:tcW w:w="786" w:type="pct"/>
            <w:tcBorders>
              <w:top w:val="double" w:color="auto" w:sz="4" w:space="0"/>
            </w:tcBorders>
            <w:vAlign w:val="center"/>
          </w:tcPr>
          <w:p w14:paraId="71241DE8">
            <w:pPr>
              <w:widowControl/>
              <w:jc w:val="center"/>
              <w:textAlignment w:val="center"/>
              <w:rPr>
                <w:rFonts w:ascii="宋体" w:hAnsi="宋体"/>
                <w:color w:val="auto"/>
                <w:szCs w:val="21"/>
                <w:highlight w:val="none"/>
              </w:rPr>
            </w:pPr>
            <w:r>
              <w:rPr>
                <w:rFonts w:hint="eastAsia" w:ascii="宋体" w:hAnsi="宋体"/>
                <w:color w:val="auto"/>
                <w:szCs w:val="21"/>
                <w:highlight w:val="none"/>
              </w:rPr>
              <w:t>备注</w:t>
            </w:r>
          </w:p>
        </w:tc>
      </w:tr>
      <w:tr w14:paraId="5DF69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356" w:type="pct"/>
            <w:vAlign w:val="center"/>
          </w:tcPr>
          <w:p w14:paraId="2C165041">
            <w:pPr>
              <w:widowControl/>
              <w:spacing w:line="360" w:lineRule="auto"/>
              <w:jc w:val="center"/>
              <w:rPr>
                <w:color w:val="auto"/>
                <w:kern w:val="0"/>
                <w:sz w:val="18"/>
                <w:szCs w:val="18"/>
                <w:highlight w:val="none"/>
              </w:rPr>
            </w:pPr>
            <w:r>
              <w:rPr>
                <w:color w:val="auto"/>
                <w:kern w:val="0"/>
                <w:sz w:val="18"/>
                <w:szCs w:val="18"/>
                <w:highlight w:val="none"/>
              </w:rPr>
              <w:t>1</w:t>
            </w:r>
          </w:p>
        </w:tc>
        <w:tc>
          <w:tcPr>
            <w:tcW w:w="928" w:type="pct"/>
            <w:vAlign w:val="center"/>
          </w:tcPr>
          <w:p w14:paraId="7632D4D3">
            <w:pPr>
              <w:widowControl/>
              <w:jc w:val="center"/>
              <w:textAlignment w:val="center"/>
              <w:rPr>
                <w:color w:val="auto"/>
                <w:kern w:val="0"/>
                <w:sz w:val="18"/>
                <w:szCs w:val="18"/>
                <w:highlight w:val="none"/>
              </w:rPr>
            </w:pPr>
          </w:p>
        </w:tc>
        <w:tc>
          <w:tcPr>
            <w:tcW w:w="713" w:type="pct"/>
            <w:vAlign w:val="center"/>
          </w:tcPr>
          <w:p w14:paraId="0A931E56">
            <w:pPr>
              <w:widowControl/>
              <w:spacing w:line="360" w:lineRule="auto"/>
              <w:rPr>
                <w:color w:val="auto"/>
                <w:kern w:val="0"/>
                <w:sz w:val="18"/>
                <w:szCs w:val="18"/>
                <w:highlight w:val="none"/>
              </w:rPr>
            </w:pPr>
          </w:p>
        </w:tc>
        <w:tc>
          <w:tcPr>
            <w:tcW w:w="641" w:type="pct"/>
            <w:vAlign w:val="center"/>
          </w:tcPr>
          <w:p w14:paraId="0A079B23">
            <w:pPr>
              <w:widowControl/>
              <w:spacing w:line="360" w:lineRule="auto"/>
              <w:jc w:val="center"/>
              <w:rPr>
                <w:color w:val="auto"/>
                <w:kern w:val="0"/>
                <w:sz w:val="18"/>
                <w:szCs w:val="18"/>
                <w:highlight w:val="none"/>
              </w:rPr>
            </w:pPr>
          </w:p>
        </w:tc>
        <w:tc>
          <w:tcPr>
            <w:tcW w:w="786" w:type="pct"/>
            <w:vAlign w:val="center"/>
          </w:tcPr>
          <w:p w14:paraId="73588067">
            <w:pPr>
              <w:widowControl/>
              <w:spacing w:line="360" w:lineRule="auto"/>
              <w:jc w:val="center"/>
              <w:rPr>
                <w:color w:val="auto"/>
                <w:kern w:val="0"/>
                <w:sz w:val="18"/>
                <w:szCs w:val="18"/>
                <w:highlight w:val="none"/>
              </w:rPr>
            </w:pPr>
          </w:p>
        </w:tc>
        <w:tc>
          <w:tcPr>
            <w:tcW w:w="786" w:type="pct"/>
            <w:vAlign w:val="center"/>
          </w:tcPr>
          <w:p w14:paraId="4C3595BA">
            <w:pPr>
              <w:widowControl/>
              <w:spacing w:line="360" w:lineRule="auto"/>
              <w:jc w:val="center"/>
              <w:rPr>
                <w:color w:val="auto"/>
                <w:kern w:val="0"/>
                <w:sz w:val="18"/>
                <w:szCs w:val="18"/>
                <w:highlight w:val="none"/>
              </w:rPr>
            </w:pPr>
          </w:p>
        </w:tc>
        <w:tc>
          <w:tcPr>
            <w:tcW w:w="786" w:type="pct"/>
            <w:vAlign w:val="center"/>
          </w:tcPr>
          <w:p w14:paraId="55037F9F">
            <w:pPr>
              <w:widowControl/>
              <w:spacing w:line="360" w:lineRule="auto"/>
              <w:jc w:val="center"/>
              <w:rPr>
                <w:color w:val="auto"/>
                <w:kern w:val="0"/>
                <w:sz w:val="18"/>
                <w:szCs w:val="18"/>
                <w:highlight w:val="none"/>
              </w:rPr>
            </w:pPr>
          </w:p>
        </w:tc>
      </w:tr>
      <w:tr w14:paraId="2DD8A3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00DF28A0">
            <w:pPr>
              <w:widowControl/>
              <w:jc w:val="center"/>
              <w:textAlignment w:val="center"/>
              <w:rPr>
                <w:color w:val="auto"/>
                <w:sz w:val="18"/>
                <w:szCs w:val="18"/>
                <w:highlight w:val="none"/>
              </w:rPr>
            </w:pPr>
            <w:r>
              <w:rPr>
                <w:color w:val="auto"/>
                <w:sz w:val="18"/>
                <w:szCs w:val="18"/>
                <w:highlight w:val="none"/>
              </w:rPr>
              <w:t>2</w:t>
            </w:r>
          </w:p>
        </w:tc>
        <w:tc>
          <w:tcPr>
            <w:tcW w:w="928" w:type="pct"/>
            <w:vAlign w:val="center"/>
          </w:tcPr>
          <w:p w14:paraId="7D20B495">
            <w:pPr>
              <w:spacing w:line="360" w:lineRule="auto"/>
              <w:jc w:val="center"/>
              <w:rPr>
                <w:color w:val="auto"/>
                <w:sz w:val="18"/>
                <w:szCs w:val="18"/>
                <w:highlight w:val="none"/>
              </w:rPr>
            </w:pPr>
          </w:p>
        </w:tc>
        <w:tc>
          <w:tcPr>
            <w:tcW w:w="713" w:type="pct"/>
            <w:vAlign w:val="center"/>
          </w:tcPr>
          <w:p w14:paraId="6031C2F2">
            <w:pPr>
              <w:spacing w:line="360" w:lineRule="auto"/>
              <w:jc w:val="center"/>
              <w:rPr>
                <w:color w:val="auto"/>
                <w:sz w:val="18"/>
                <w:szCs w:val="18"/>
                <w:highlight w:val="none"/>
              </w:rPr>
            </w:pPr>
          </w:p>
        </w:tc>
        <w:tc>
          <w:tcPr>
            <w:tcW w:w="641" w:type="pct"/>
            <w:vAlign w:val="center"/>
          </w:tcPr>
          <w:p w14:paraId="604EB4E9">
            <w:pPr>
              <w:widowControl/>
              <w:spacing w:line="360" w:lineRule="auto"/>
              <w:jc w:val="center"/>
              <w:rPr>
                <w:color w:val="auto"/>
                <w:kern w:val="0"/>
                <w:sz w:val="18"/>
                <w:szCs w:val="18"/>
                <w:highlight w:val="none"/>
              </w:rPr>
            </w:pPr>
          </w:p>
        </w:tc>
        <w:tc>
          <w:tcPr>
            <w:tcW w:w="786" w:type="pct"/>
            <w:vAlign w:val="center"/>
          </w:tcPr>
          <w:p w14:paraId="100CB4D7">
            <w:pPr>
              <w:spacing w:line="360" w:lineRule="auto"/>
              <w:jc w:val="center"/>
              <w:rPr>
                <w:color w:val="auto"/>
                <w:sz w:val="18"/>
                <w:szCs w:val="18"/>
                <w:highlight w:val="none"/>
              </w:rPr>
            </w:pPr>
          </w:p>
        </w:tc>
        <w:tc>
          <w:tcPr>
            <w:tcW w:w="786" w:type="pct"/>
            <w:vAlign w:val="center"/>
          </w:tcPr>
          <w:p w14:paraId="1A8BE34B">
            <w:pPr>
              <w:spacing w:line="360" w:lineRule="auto"/>
              <w:jc w:val="center"/>
              <w:rPr>
                <w:color w:val="auto"/>
                <w:sz w:val="18"/>
                <w:szCs w:val="18"/>
                <w:highlight w:val="none"/>
              </w:rPr>
            </w:pPr>
          </w:p>
        </w:tc>
        <w:tc>
          <w:tcPr>
            <w:tcW w:w="786" w:type="pct"/>
            <w:vAlign w:val="center"/>
          </w:tcPr>
          <w:p w14:paraId="204400EE">
            <w:pPr>
              <w:spacing w:line="360" w:lineRule="auto"/>
              <w:jc w:val="center"/>
              <w:rPr>
                <w:color w:val="auto"/>
                <w:sz w:val="18"/>
                <w:szCs w:val="18"/>
                <w:highlight w:val="none"/>
              </w:rPr>
            </w:pPr>
          </w:p>
        </w:tc>
      </w:tr>
      <w:tr w14:paraId="5B40C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5EBA5679">
            <w:pPr>
              <w:spacing w:line="360" w:lineRule="auto"/>
              <w:jc w:val="center"/>
              <w:rPr>
                <w:color w:val="auto"/>
                <w:sz w:val="18"/>
                <w:szCs w:val="18"/>
                <w:highlight w:val="none"/>
              </w:rPr>
            </w:pPr>
            <w:r>
              <w:rPr>
                <w:color w:val="auto"/>
                <w:sz w:val="18"/>
                <w:szCs w:val="18"/>
                <w:highlight w:val="none"/>
              </w:rPr>
              <w:t>3</w:t>
            </w:r>
          </w:p>
        </w:tc>
        <w:tc>
          <w:tcPr>
            <w:tcW w:w="928" w:type="pct"/>
            <w:vAlign w:val="center"/>
          </w:tcPr>
          <w:p w14:paraId="0B3F4DDF">
            <w:pPr>
              <w:widowControl/>
              <w:jc w:val="center"/>
              <w:textAlignment w:val="center"/>
              <w:rPr>
                <w:color w:val="auto"/>
                <w:kern w:val="0"/>
                <w:sz w:val="18"/>
                <w:szCs w:val="18"/>
                <w:highlight w:val="none"/>
              </w:rPr>
            </w:pPr>
          </w:p>
        </w:tc>
        <w:tc>
          <w:tcPr>
            <w:tcW w:w="713" w:type="pct"/>
            <w:vAlign w:val="center"/>
          </w:tcPr>
          <w:p w14:paraId="3059657D">
            <w:pPr>
              <w:spacing w:line="360" w:lineRule="auto"/>
              <w:jc w:val="center"/>
              <w:rPr>
                <w:color w:val="auto"/>
                <w:sz w:val="18"/>
                <w:szCs w:val="18"/>
                <w:highlight w:val="none"/>
              </w:rPr>
            </w:pPr>
          </w:p>
        </w:tc>
        <w:tc>
          <w:tcPr>
            <w:tcW w:w="641" w:type="pct"/>
            <w:vAlign w:val="center"/>
          </w:tcPr>
          <w:p w14:paraId="2624C735">
            <w:pPr>
              <w:spacing w:line="360" w:lineRule="auto"/>
              <w:jc w:val="center"/>
              <w:rPr>
                <w:color w:val="auto"/>
                <w:sz w:val="18"/>
                <w:szCs w:val="18"/>
                <w:highlight w:val="none"/>
              </w:rPr>
            </w:pPr>
          </w:p>
        </w:tc>
        <w:tc>
          <w:tcPr>
            <w:tcW w:w="786" w:type="pct"/>
            <w:vAlign w:val="center"/>
          </w:tcPr>
          <w:p w14:paraId="678B6F5E">
            <w:pPr>
              <w:spacing w:line="360" w:lineRule="auto"/>
              <w:jc w:val="center"/>
              <w:rPr>
                <w:color w:val="auto"/>
                <w:sz w:val="18"/>
                <w:szCs w:val="18"/>
                <w:highlight w:val="none"/>
              </w:rPr>
            </w:pPr>
          </w:p>
        </w:tc>
        <w:tc>
          <w:tcPr>
            <w:tcW w:w="786" w:type="pct"/>
            <w:vAlign w:val="center"/>
          </w:tcPr>
          <w:p w14:paraId="3B1D0DF8">
            <w:pPr>
              <w:spacing w:line="360" w:lineRule="auto"/>
              <w:jc w:val="center"/>
              <w:rPr>
                <w:color w:val="auto"/>
                <w:sz w:val="18"/>
                <w:szCs w:val="18"/>
                <w:highlight w:val="none"/>
              </w:rPr>
            </w:pPr>
          </w:p>
        </w:tc>
        <w:tc>
          <w:tcPr>
            <w:tcW w:w="786" w:type="pct"/>
            <w:vAlign w:val="center"/>
          </w:tcPr>
          <w:p w14:paraId="300C8DE5">
            <w:pPr>
              <w:spacing w:line="360" w:lineRule="auto"/>
              <w:jc w:val="center"/>
              <w:rPr>
                <w:color w:val="auto"/>
                <w:sz w:val="18"/>
                <w:szCs w:val="18"/>
                <w:highlight w:val="none"/>
              </w:rPr>
            </w:pPr>
          </w:p>
        </w:tc>
      </w:tr>
      <w:tr w14:paraId="79F49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125505E0">
            <w:pPr>
              <w:spacing w:line="360" w:lineRule="auto"/>
              <w:jc w:val="center"/>
              <w:rPr>
                <w:color w:val="auto"/>
                <w:sz w:val="18"/>
                <w:szCs w:val="18"/>
                <w:highlight w:val="none"/>
              </w:rPr>
            </w:pPr>
            <w:r>
              <w:rPr>
                <w:color w:val="auto"/>
                <w:sz w:val="18"/>
                <w:szCs w:val="18"/>
                <w:highlight w:val="none"/>
              </w:rPr>
              <w:t>4</w:t>
            </w:r>
          </w:p>
        </w:tc>
        <w:tc>
          <w:tcPr>
            <w:tcW w:w="928" w:type="pct"/>
            <w:vAlign w:val="center"/>
          </w:tcPr>
          <w:p w14:paraId="1971ACA8">
            <w:pPr>
              <w:spacing w:line="360" w:lineRule="auto"/>
              <w:jc w:val="center"/>
              <w:rPr>
                <w:color w:val="auto"/>
                <w:sz w:val="18"/>
                <w:szCs w:val="18"/>
                <w:highlight w:val="none"/>
              </w:rPr>
            </w:pPr>
          </w:p>
        </w:tc>
        <w:tc>
          <w:tcPr>
            <w:tcW w:w="713" w:type="pct"/>
            <w:vAlign w:val="center"/>
          </w:tcPr>
          <w:p w14:paraId="2B1413AE">
            <w:pPr>
              <w:spacing w:line="360" w:lineRule="auto"/>
              <w:jc w:val="center"/>
              <w:rPr>
                <w:color w:val="auto"/>
                <w:sz w:val="18"/>
                <w:szCs w:val="18"/>
                <w:highlight w:val="none"/>
              </w:rPr>
            </w:pPr>
          </w:p>
        </w:tc>
        <w:tc>
          <w:tcPr>
            <w:tcW w:w="641" w:type="pct"/>
            <w:vAlign w:val="center"/>
          </w:tcPr>
          <w:p w14:paraId="6F5D5284">
            <w:pPr>
              <w:spacing w:line="360" w:lineRule="auto"/>
              <w:jc w:val="center"/>
              <w:rPr>
                <w:color w:val="auto"/>
                <w:sz w:val="18"/>
                <w:szCs w:val="18"/>
                <w:highlight w:val="none"/>
              </w:rPr>
            </w:pPr>
          </w:p>
        </w:tc>
        <w:tc>
          <w:tcPr>
            <w:tcW w:w="786" w:type="pct"/>
            <w:vAlign w:val="center"/>
          </w:tcPr>
          <w:p w14:paraId="119C88E6">
            <w:pPr>
              <w:spacing w:line="360" w:lineRule="auto"/>
              <w:jc w:val="center"/>
              <w:rPr>
                <w:color w:val="auto"/>
                <w:sz w:val="18"/>
                <w:szCs w:val="18"/>
                <w:highlight w:val="none"/>
              </w:rPr>
            </w:pPr>
          </w:p>
        </w:tc>
        <w:tc>
          <w:tcPr>
            <w:tcW w:w="786" w:type="pct"/>
            <w:vAlign w:val="center"/>
          </w:tcPr>
          <w:p w14:paraId="334BA73C">
            <w:pPr>
              <w:spacing w:line="360" w:lineRule="auto"/>
              <w:jc w:val="center"/>
              <w:rPr>
                <w:color w:val="auto"/>
                <w:sz w:val="18"/>
                <w:szCs w:val="18"/>
                <w:highlight w:val="none"/>
              </w:rPr>
            </w:pPr>
          </w:p>
        </w:tc>
        <w:tc>
          <w:tcPr>
            <w:tcW w:w="786" w:type="pct"/>
            <w:vAlign w:val="center"/>
          </w:tcPr>
          <w:p w14:paraId="3AEC3E73">
            <w:pPr>
              <w:spacing w:line="360" w:lineRule="auto"/>
              <w:jc w:val="center"/>
              <w:rPr>
                <w:color w:val="auto"/>
                <w:sz w:val="18"/>
                <w:szCs w:val="18"/>
                <w:highlight w:val="none"/>
              </w:rPr>
            </w:pPr>
          </w:p>
        </w:tc>
      </w:tr>
      <w:tr w14:paraId="4E402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21AFBE30">
            <w:pPr>
              <w:spacing w:line="360" w:lineRule="auto"/>
              <w:jc w:val="center"/>
              <w:rPr>
                <w:color w:val="auto"/>
                <w:sz w:val="18"/>
                <w:szCs w:val="18"/>
                <w:highlight w:val="none"/>
              </w:rPr>
            </w:pPr>
            <w:r>
              <w:rPr>
                <w:color w:val="auto"/>
                <w:sz w:val="18"/>
                <w:szCs w:val="18"/>
                <w:highlight w:val="none"/>
              </w:rPr>
              <w:t>5</w:t>
            </w:r>
          </w:p>
        </w:tc>
        <w:tc>
          <w:tcPr>
            <w:tcW w:w="928" w:type="pct"/>
            <w:vAlign w:val="center"/>
          </w:tcPr>
          <w:p w14:paraId="3E0C80C7">
            <w:pPr>
              <w:spacing w:line="360" w:lineRule="auto"/>
              <w:jc w:val="center"/>
              <w:rPr>
                <w:color w:val="auto"/>
                <w:sz w:val="18"/>
                <w:szCs w:val="18"/>
                <w:highlight w:val="none"/>
              </w:rPr>
            </w:pPr>
          </w:p>
        </w:tc>
        <w:tc>
          <w:tcPr>
            <w:tcW w:w="713" w:type="pct"/>
            <w:vAlign w:val="center"/>
          </w:tcPr>
          <w:p w14:paraId="7B7A01C7">
            <w:pPr>
              <w:spacing w:line="360" w:lineRule="auto"/>
              <w:jc w:val="center"/>
              <w:rPr>
                <w:color w:val="auto"/>
                <w:sz w:val="18"/>
                <w:szCs w:val="18"/>
                <w:highlight w:val="none"/>
              </w:rPr>
            </w:pPr>
          </w:p>
        </w:tc>
        <w:tc>
          <w:tcPr>
            <w:tcW w:w="641" w:type="pct"/>
            <w:vAlign w:val="center"/>
          </w:tcPr>
          <w:p w14:paraId="7636BBD2">
            <w:pPr>
              <w:spacing w:line="360" w:lineRule="auto"/>
              <w:jc w:val="center"/>
              <w:rPr>
                <w:color w:val="auto"/>
                <w:sz w:val="18"/>
                <w:szCs w:val="18"/>
                <w:highlight w:val="none"/>
              </w:rPr>
            </w:pPr>
          </w:p>
        </w:tc>
        <w:tc>
          <w:tcPr>
            <w:tcW w:w="786" w:type="pct"/>
            <w:vAlign w:val="center"/>
          </w:tcPr>
          <w:p w14:paraId="5362063B">
            <w:pPr>
              <w:spacing w:line="360" w:lineRule="auto"/>
              <w:jc w:val="center"/>
              <w:rPr>
                <w:color w:val="auto"/>
                <w:sz w:val="18"/>
                <w:szCs w:val="18"/>
                <w:highlight w:val="none"/>
              </w:rPr>
            </w:pPr>
          </w:p>
        </w:tc>
        <w:tc>
          <w:tcPr>
            <w:tcW w:w="786" w:type="pct"/>
            <w:vAlign w:val="center"/>
          </w:tcPr>
          <w:p w14:paraId="3ADBD2B8">
            <w:pPr>
              <w:spacing w:line="360" w:lineRule="auto"/>
              <w:jc w:val="center"/>
              <w:rPr>
                <w:color w:val="auto"/>
                <w:sz w:val="18"/>
                <w:szCs w:val="18"/>
                <w:highlight w:val="none"/>
              </w:rPr>
            </w:pPr>
          </w:p>
        </w:tc>
        <w:tc>
          <w:tcPr>
            <w:tcW w:w="786" w:type="pct"/>
            <w:vAlign w:val="center"/>
          </w:tcPr>
          <w:p w14:paraId="7FABF056">
            <w:pPr>
              <w:spacing w:line="360" w:lineRule="auto"/>
              <w:jc w:val="center"/>
              <w:rPr>
                <w:color w:val="auto"/>
                <w:sz w:val="18"/>
                <w:szCs w:val="18"/>
                <w:highlight w:val="none"/>
              </w:rPr>
            </w:pPr>
          </w:p>
        </w:tc>
      </w:tr>
      <w:tr w14:paraId="2649E0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4A293A36">
            <w:pPr>
              <w:spacing w:line="360" w:lineRule="auto"/>
              <w:jc w:val="center"/>
              <w:rPr>
                <w:color w:val="auto"/>
                <w:sz w:val="18"/>
                <w:szCs w:val="18"/>
                <w:highlight w:val="none"/>
              </w:rPr>
            </w:pPr>
            <w:r>
              <w:rPr>
                <w:color w:val="auto"/>
                <w:sz w:val="18"/>
                <w:szCs w:val="18"/>
                <w:highlight w:val="none"/>
              </w:rPr>
              <w:t>6</w:t>
            </w:r>
          </w:p>
        </w:tc>
        <w:tc>
          <w:tcPr>
            <w:tcW w:w="928" w:type="pct"/>
            <w:vAlign w:val="center"/>
          </w:tcPr>
          <w:p w14:paraId="4BC92C37">
            <w:pPr>
              <w:spacing w:line="360" w:lineRule="auto"/>
              <w:jc w:val="center"/>
              <w:rPr>
                <w:color w:val="auto"/>
                <w:sz w:val="18"/>
                <w:szCs w:val="18"/>
                <w:highlight w:val="none"/>
              </w:rPr>
            </w:pPr>
          </w:p>
        </w:tc>
        <w:tc>
          <w:tcPr>
            <w:tcW w:w="713" w:type="pct"/>
            <w:vAlign w:val="center"/>
          </w:tcPr>
          <w:p w14:paraId="1011C1A0">
            <w:pPr>
              <w:spacing w:line="360" w:lineRule="auto"/>
              <w:jc w:val="center"/>
              <w:rPr>
                <w:color w:val="auto"/>
                <w:sz w:val="18"/>
                <w:szCs w:val="18"/>
                <w:highlight w:val="none"/>
              </w:rPr>
            </w:pPr>
          </w:p>
        </w:tc>
        <w:tc>
          <w:tcPr>
            <w:tcW w:w="641" w:type="pct"/>
            <w:vAlign w:val="center"/>
          </w:tcPr>
          <w:p w14:paraId="738BAE24">
            <w:pPr>
              <w:spacing w:line="360" w:lineRule="auto"/>
              <w:jc w:val="center"/>
              <w:rPr>
                <w:color w:val="auto"/>
                <w:sz w:val="18"/>
                <w:szCs w:val="18"/>
                <w:highlight w:val="none"/>
              </w:rPr>
            </w:pPr>
          </w:p>
        </w:tc>
        <w:tc>
          <w:tcPr>
            <w:tcW w:w="786" w:type="pct"/>
            <w:vAlign w:val="center"/>
          </w:tcPr>
          <w:p w14:paraId="6ED92C1C">
            <w:pPr>
              <w:spacing w:line="360" w:lineRule="auto"/>
              <w:jc w:val="center"/>
              <w:rPr>
                <w:color w:val="auto"/>
                <w:sz w:val="18"/>
                <w:szCs w:val="18"/>
                <w:highlight w:val="none"/>
              </w:rPr>
            </w:pPr>
          </w:p>
        </w:tc>
        <w:tc>
          <w:tcPr>
            <w:tcW w:w="786" w:type="pct"/>
            <w:vAlign w:val="center"/>
          </w:tcPr>
          <w:p w14:paraId="57AC8974">
            <w:pPr>
              <w:spacing w:line="360" w:lineRule="auto"/>
              <w:jc w:val="center"/>
              <w:rPr>
                <w:color w:val="auto"/>
                <w:sz w:val="18"/>
                <w:szCs w:val="18"/>
                <w:highlight w:val="none"/>
              </w:rPr>
            </w:pPr>
          </w:p>
        </w:tc>
        <w:tc>
          <w:tcPr>
            <w:tcW w:w="786" w:type="pct"/>
            <w:vAlign w:val="center"/>
          </w:tcPr>
          <w:p w14:paraId="3BC41311">
            <w:pPr>
              <w:spacing w:line="360" w:lineRule="auto"/>
              <w:jc w:val="center"/>
              <w:rPr>
                <w:color w:val="auto"/>
                <w:sz w:val="18"/>
                <w:szCs w:val="18"/>
                <w:highlight w:val="none"/>
              </w:rPr>
            </w:pPr>
          </w:p>
        </w:tc>
      </w:tr>
      <w:tr w14:paraId="0C0265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160236AB">
            <w:pPr>
              <w:spacing w:line="360" w:lineRule="auto"/>
              <w:jc w:val="center"/>
              <w:rPr>
                <w:color w:val="auto"/>
                <w:sz w:val="18"/>
                <w:szCs w:val="18"/>
                <w:highlight w:val="none"/>
              </w:rPr>
            </w:pPr>
            <w:r>
              <w:rPr>
                <w:color w:val="auto"/>
                <w:sz w:val="18"/>
                <w:szCs w:val="18"/>
                <w:highlight w:val="none"/>
              </w:rPr>
              <w:t>7</w:t>
            </w:r>
          </w:p>
        </w:tc>
        <w:tc>
          <w:tcPr>
            <w:tcW w:w="928" w:type="pct"/>
            <w:vAlign w:val="center"/>
          </w:tcPr>
          <w:p w14:paraId="010F05F4">
            <w:pPr>
              <w:spacing w:line="360" w:lineRule="auto"/>
              <w:jc w:val="center"/>
              <w:rPr>
                <w:color w:val="auto"/>
                <w:sz w:val="18"/>
                <w:szCs w:val="18"/>
                <w:highlight w:val="none"/>
              </w:rPr>
            </w:pPr>
          </w:p>
        </w:tc>
        <w:tc>
          <w:tcPr>
            <w:tcW w:w="713" w:type="pct"/>
            <w:vAlign w:val="center"/>
          </w:tcPr>
          <w:p w14:paraId="214D586A">
            <w:pPr>
              <w:spacing w:line="360" w:lineRule="auto"/>
              <w:jc w:val="center"/>
              <w:rPr>
                <w:color w:val="auto"/>
                <w:sz w:val="18"/>
                <w:szCs w:val="18"/>
                <w:highlight w:val="none"/>
              </w:rPr>
            </w:pPr>
          </w:p>
        </w:tc>
        <w:tc>
          <w:tcPr>
            <w:tcW w:w="641" w:type="pct"/>
            <w:vAlign w:val="center"/>
          </w:tcPr>
          <w:p w14:paraId="13D2458D">
            <w:pPr>
              <w:spacing w:line="360" w:lineRule="auto"/>
              <w:jc w:val="center"/>
              <w:rPr>
                <w:color w:val="auto"/>
                <w:sz w:val="18"/>
                <w:szCs w:val="18"/>
                <w:highlight w:val="none"/>
              </w:rPr>
            </w:pPr>
          </w:p>
        </w:tc>
        <w:tc>
          <w:tcPr>
            <w:tcW w:w="786" w:type="pct"/>
            <w:vAlign w:val="center"/>
          </w:tcPr>
          <w:p w14:paraId="575D4133">
            <w:pPr>
              <w:spacing w:line="360" w:lineRule="auto"/>
              <w:jc w:val="center"/>
              <w:rPr>
                <w:color w:val="auto"/>
                <w:sz w:val="18"/>
                <w:szCs w:val="18"/>
                <w:highlight w:val="none"/>
              </w:rPr>
            </w:pPr>
          </w:p>
        </w:tc>
        <w:tc>
          <w:tcPr>
            <w:tcW w:w="786" w:type="pct"/>
            <w:vAlign w:val="center"/>
          </w:tcPr>
          <w:p w14:paraId="26329975">
            <w:pPr>
              <w:spacing w:line="360" w:lineRule="auto"/>
              <w:jc w:val="center"/>
              <w:rPr>
                <w:color w:val="auto"/>
                <w:sz w:val="18"/>
                <w:szCs w:val="18"/>
                <w:highlight w:val="none"/>
              </w:rPr>
            </w:pPr>
          </w:p>
        </w:tc>
        <w:tc>
          <w:tcPr>
            <w:tcW w:w="786" w:type="pct"/>
            <w:vAlign w:val="center"/>
          </w:tcPr>
          <w:p w14:paraId="57CE009E">
            <w:pPr>
              <w:spacing w:line="360" w:lineRule="auto"/>
              <w:jc w:val="center"/>
              <w:rPr>
                <w:color w:val="auto"/>
                <w:sz w:val="18"/>
                <w:szCs w:val="18"/>
                <w:highlight w:val="none"/>
              </w:rPr>
            </w:pPr>
          </w:p>
        </w:tc>
      </w:tr>
      <w:tr w14:paraId="2701D4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57419792">
            <w:pPr>
              <w:spacing w:line="360" w:lineRule="auto"/>
              <w:jc w:val="center"/>
              <w:rPr>
                <w:color w:val="auto"/>
                <w:sz w:val="18"/>
                <w:szCs w:val="18"/>
                <w:highlight w:val="none"/>
              </w:rPr>
            </w:pPr>
            <w:r>
              <w:rPr>
                <w:color w:val="auto"/>
                <w:sz w:val="18"/>
                <w:szCs w:val="18"/>
                <w:highlight w:val="none"/>
              </w:rPr>
              <w:t>8</w:t>
            </w:r>
          </w:p>
        </w:tc>
        <w:tc>
          <w:tcPr>
            <w:tcW w:w="928" w:type="pct"/>
            <w:vAlign w:val="center"/>
          </w:tcPr>
          <w:p w14:paraId="6D4EFDEE">
            <w:pPr>
              <w:spacing w:line="360" w:lineRule="auto"/>
              <w:jc w:val="center"/>
              <w:rPr>
                <w:color w:val="auto"/>
                <w:sz w:val="18"/>
                <w:szCs w:val="18"/>
                <w:highlight w:val="none"/>
              </w:rPr>
            </w:pPr>
          </w:p>
        </w:tc>
        <w:tc>
          <w:tcPr>
            <w:tcW w:w="713" w:type="pct"/>
            <w:vAlign w:val="center"/>
          </w:tcPr>
          <w:p w14:paraId="3279AA5A">
            <w:pPr>
              <w:spacing w:line="360" w:lineRule="auto"/>
              <w:jc w:val="center"/>
              <w:rPr>
                <w:color w:val="auto"/>
                <w:sz w:val="18"/>
                <w:szCs w:val="18"/>
                <w:highlight w:val="none"/>
              </w:rPr>
            </w:pPr>
          </w:p>
        </w:tc>
        <w:tc>
          <w:tcPr>
            <w:tcW w:w="641" w:type="pct"/>
            <w:vAlign w:val="center"/>
          </w:tcPr>
          <w:p w14:paraId="71089949">
            <w:pPr>
              <w:spacing w:line="360" w:lineRule="auto"/>
              <w:jc w:val="center"/>
              <w:rPr>
                <w:color w:val="auto"/>
                <w:sz w:val="18"/>
                <w:szCs w:val="18"/>
                <w:highlight w:val="none"/>
              </w:rPr>
            </w:pPr>
          </w:p>
        </w:tc>
        <w:tc>
          <w:tcPr>
            <w:tcW w:w="786" w:type="pct"/>
            <w:vAlign w:val="center"/>
          </w:tcPr>
          <w:p w14:paraId="4BFCD42B">
            <w:pPr>
              <w:spacing w:line="360" w:lineRule="auto"/>
              <w:jc w:val="center"/>
              <w:rPr>
                <w:color w:val="auto"/>
                <w:sz w:val="18"/>
                <w:szCs w:val="18"/>
                <w:highlight w:val="none"/>
              </w:rPr>
            </w:pPr>
          </w:p>
        </w:tc>
        <w:tc>
          <w:tcPr>
            <w:tcW w:w="786" w:type="pct"/>
            <w:vAlign w:val="center"/>
          </w:tcPr>
          <w:p w14:paraId="61B88CFE">
            <w:pPr>
              <w:spacing w:line="360" w:lineRule="auto"/>
              <w:jc w:val="center"/>
              <w:rPr>
                <w:color w:val="auto"/>
                <w:sz w:val="18"/>
                <w:szCs w:val="18"/>
                <w:highlight w:val="none"/>
              </w:rPr>
            </w:pPr>
          </w:p>
        </w:tc>
        <w:tc>
          <w:tcPr>
            <w:tcW w:w="786" w:type="pct"/>
            <w:vAlign w:val="center"/>
          </w:tcPr>
          <w:p w14:paraId="3547A56B">
            <w:pPr>
              <w:spacing w:line="360" w:lineRule="auto"/>
              <w:jc w:val="center"/>
              <w:rPr>
                <w:color w:val="auto"/>
                <w:sz w:val="18"/>
                <w:szCs w:val="18"/>
                <w:highlight w:val="none"/>
              </w:rPr>
            </w:pPr>
          </w:p>
        </w:tc>
      </w:tr>
      <w:tr w14:paraId="79A69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1771EC2A">
            <w:pPr>
              <w:spacing w:line="360" w:lineRule="auto"/>
              <w:jc w:val="center"/>
              <w:rPr>
                <w:color w:val="auto"/>
                <w:sz w:val="18"/>
                <w:szCs w:val="18"/>
                <w:highlight w:val="none"/>
              </w:rPr>
            </w:pPr>
            <w:r>
              <w:rPr>
                <w:color w:val="auto"/>
                <w:sz w:val="18"/>
                <w:szCs w:val="18"/>
                <w:highlight w:val="none"/>
              </w:rPr>
              <w:t>9</w:t>
            </w:r>
          </w:p>
        </w:tc>
        <w:tc>
          <w:tcPr>
            <w:tcW w:w="928" w:type="pct"/>
            <w:vAlign w:val="center"/>
          </w:tcPr>
          <w:p w14:paraId="2D32E542">
            <w:pPr>
              <w:spacing w:line="360" w:lineRule="auto"/>
              <w:jc w:val="center"/>
              <w:rPr>
                <w:color w:val="auto"/>
                <w:sz w:val="18"/>
                <w:szCs w:val="18"/>
                <w:highlight w:val="none"/>
              </w:rPr>
            </w:pPr>
          </w:p>
        </w:tc>
        <w:tc>
          <w:tcPr>
            <w:tcW w:w="713" w:type="pct"/>
            <w:vAlign w:val="center"/>
          </w:tcPr>
          <w:p w14:paraId="228F97D0">
            <w:pPr>
              <w:spacing w:line="360" w:lineRule="auto"/>
              <w:jc w:val="center"/>
              <w:rPr>
                <w:color w:val="auto"/>
                <w:sz w:val="18"/>
                <w:szCs w:val="18"/>
                <w:highlight w:val="none"/>
              </w:rPr>
            </w:pPr>
          </w:p>
        </w:tc>
        <w:tc>
          <w:tcPr>
            <w:tcW w:w="641" w:type="pct"/>
            <w:vAlign w:val="center"/>
          </w:tcPr>
          <w:p w14:paraId="3AD031DF">
            <w:pPr>
              <w:spacing w:line="360" w:lineRule="auto"/>
              <w:jc w:val="center"/>
              <w:rPr>
                <w:color w:val="auto"/>
                <w:sz w:val="18"/>
                <w:szCs w:val="18"/>
                <w:highlight w:val="none"/>
              </w:rPr>
            </w:pPr>
          </w:p>
        </w:tc>
        <w:tc>
          <w:tcPr>
            <w:tcW w:w="786" w:type="pct"/>
            <w:vAlign w:val="center"/>
          </w:tcPr>
          <w:p w14:paraId="0687F416">
            <w:pPr>
              <w:spacing w:line="360" w:lineRule="auto"/>
              <w:jc w:val="center"/>
              <w:rPr>
                <w:color w:val="auto"/>
                <w:sz w:val="18"/>
                <w:szCs w:val="18"/>
                <w:highlight w:val="none"/>
              </w:rPr>
            </w:pPr>
          </w:p>
        </w:tc>
        <w:tc>
          <w:tcPr>
            <w:tcW w:w="786" w:type="pct"/>
            <w:vAlign w:val="center"/>
          </w:tcPr>
          <w:p w14:paraId="4DD53AF5">
            <w:pPr>
              <w:spacing w:line="360" w:lineRule="auto"/>
              <w:jc w:val="center"/>
              <w:rPr>
                <w:color w:val="auto"/>
                <w:sz w:val="18"/>
                <w:szCs w:val="18"/>
                <w:highlight w:val="none"/>
              </w:rPr>
            </w:pPr>
          </w:p>
        </w:tc>
        <w:tc>
          <w:tcPr>
            <w:tcW w:w="786" w:type="pct"/>
            <w:vAlign w:val="center"/>
          </w:tcPr>
          <w:p w14:paraId="168D9FA8">
            <w:pPr>
              <w:spacing w:line="360" w:lineRule="auto"/>
              <w:jc w:val="center"/>
              <w:rPr>
                <w:color w:val="auto"/>
                <w:sz w:val="18"/>
                <w:szCs w:val="18"/>
                <w:highlight w:val="none"/>
              </w:rPr>
            </w:pPr>
          </w:p>
        </w:tc>
      </w:tr>
      <w:tr w14:paraId="665599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6F2F1CAF">
            <w:pPr>
              <w:spacing w:line="360" w:lineRule="auto"/>
              <w:jc w:val="center"/>
              <w:rPr>
                <w:color w:val="auto"/>
                <w:sz w:val="18"/>
                <w:szCs w:val="18"/>
                <w:highlight w:val="none"/>
              </w:rPr>
            </w:pPr>
            <w:r>
              <w:rPr>
                <w:color w:val="auto"/>
                <w:sz w:val="18"/>
                <w:szCs w:val="18"/>
                <w:highlight w:val="none"/>
              </w:rPr>
              <w:t>10</w:t>
            </w:r>
          </w:p>
        </w:tc>
        <w:tc>
          <w:tcPr>
            <w:tcW w:w="928" w:type="pct"/>
            <w:vAlign w:val="center"/>
          </w:tcPr>
          <w:p w14:paraId="361C34D6">
            <w:pPr>
              <w:spacing w:line="360" w:lineRule="auto"/>
              <w:jc w:val="center"/>
              <w:rPr>
                <w:color w:val="auto"/>
                <w:sz w:val="18"/>
                <w:szCs w:val="18"/>
                <w:highlight w:val="none"/>
              </w:rPr>
            </w:pPr>
          </w:p>
        </w:tc>
        <w:tc>
          <w:tcPr>
            <w:tcW w:w="713" w:type="pct"/>
            <w:vAlign w:val="center"/>
          </w:tcPr>
          <w:p w14:paraId="4CB51AD8">
            <w:pPr>
              <w:spacing w:line="360" w:lineRule="auto"/>
              <w:jc w:val="center"/>
              <w:rPr>
                <w:color w:val="auto"/>
                <w:sz w:val="18"/>
                <w:szCs w:val="18"/>
                <w:highlight w:val="none"/>
              </w:rPr>
            </w:pPr>
          </w:p>
        </w:tc>
        <w:tc>
          <w:tcPr>
            <w:tcW w:w="641" w:type="pct"/>
            <w:vAlign w:val="center"/>
          </w:tcPr>
          <w:p w14:paraId="42C9B38E">
            <w:pPr>
              <w:spacing w:line="360" w:lineRule="auto"/>
              <w:jc w:val="center"/>
              <w:rPr>
                <w:color w:val="auto"/>
                <w:sz w:val="18"/>
                <w:szCs w:val="18"/>
                <w:highlight w:val="none"/>
              </w:rPr>
            </w:pPr>
          </w:p>
        </w:tc>
        <w:tc>
          <w:tcPr>
            <w:tcW w:w="786" w:type="pct"/>
            <w:vAlign w:val="center"/>
          </w:tcPr>
          <w:p w14:paraId="1D8285E8">
            <w:pPr>
              <w:spacing w:line="360" w:lineRule="auto"/>
              <w:jc w:val="center"/>
              <w:rPr>
                <w:color w:val="auto"/>
                <w:sz w:val="18"/>
                <w:szCs w:val="18"/>
                <w:highlight w:val="none"/>
              </w:rPr>
            </w:pPr>
          </w:p>
        </w:tc>
        <w:tc>
          <w:tcPr>
            <w:tcW w:w="786" w:type="pct"/>
            <w:vAlign w:val="center"/>
          </w:tcPr>
          <w:p w14:paraId="4AEA9C78">
            <w:pPr>
              <w:spacing w:line="360" w:lineRule="auto"/>
              <w:jc w:val="center"/>
              <w:rPr>
                <w:color w:val="auto"/>
                <w:sz w:val="18"/>
                <w:szCs w:val="18"/>
                <w:highlight w:val="none"/>
              </w:rPr>
            </w:pPr>
          </w:p>
        </w:tc>
        <w:tc>
          <w:tcPr>
            <w:tcW w:w="786" w:type="pct"/>
            <w:vAlign w:val="center"/>
          </w:tcPr>
          <w:p w14:paraId="385A9C4A">
            <w:pPr>
              <w:spacing w:line="360" w:lineRule="auto"/>
              <w:jc w:val="center"/>
              <w:rPr>
                <w:color w:val="auto"/>
                <w:sz w:val="18"/>
                <w:szCs w:val="18"/>
                <w:highlight w:val="none"/>
              </w:rPr>
            </w:pPr>
          </w:p>
        </w:tc>
      </w:tr>
      <w:tr w14:paraId="20382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44B3C813">
            <w:pPr>
              <w:spacing w:line="360" w:lineRule="auto"/>
              <w:jc w:val="center"/>
              <w:rPr>
                <w:color w:val="auto"/>
                <w:sz w:val="18"/>
                <w:szCs w:val="18"/>
                <w:highlight w:val="none"/>
              </w:rPr>
            </w:pPr>
            <w:r>
              <w:rPr>
                <w:color w:val="auto"/>
                <w:sz w:val="18"/>
                <w:szCs w:val="18"/>
                <w:highlight w:val="none"/>
              </w:rPr>
              <w:t>11</w:t>
            </w:r>
          </w:p>
        </w:tc>
        <w:tc>
          <w:tcPr>
            <w:tcW w:w="928" w:type="pct"/>
            <w:vAlign w:val="center"/>
          </w:tcPr>
          <w:p w14:paraId="7887B0EB">
            <w:pPr>
              <w:spacing w:line="360" w:lineRule="auto"/>
              <w:jc w:val="center"/>
              <w:rPr>
                <w:color w:val="auto"/>
                <w:sz w:val="18"/>
                <w:szCs w:val="18"/>
                <w:highlight w:val="none"/>
              </w:rPr>
            </w:pPr>
          </w:p>
        </w:tc>
        <w:tc>
          <w:tcPr>
            <w:tcW w:w="713" w:type="pct"/>
            <w:vAlign w:val="center"/>
          </w:tcPr>
          <w:p w14:paraId="512A3100">
            <w:pPr>
              <w:spacing w:line="360" w:lineRule="auto"/>
              <w:jc w:val="center"/>
              <w:rPr>
                <w:color w:val="auto"/>
                <w:sz w:val="18"/>
                <w:szCs w:val="18"/>
                <w:highlight w:val="none"/>
              </w:rPr>
            </w:pPr>
          </w:p>
        </w:tc>
        <w:tc>
          <w:tcPr>
            <w:tcW w:w="641" w:type="pct"/>
            <w:vAlign w:val="center"/>
          </w:tcPr>
          <w:p w14:paraId="69AF7A5A">
            <w:pPr>
              <w:spacing w:line="360" w:lineRule="auto"/>
              <w:jc w:val="center"/>
              <w:rPr>
                <w:color w:val="auto"/>
                <w:sz w:val="18"/>
                <w:szCs w:val="18"/>
                <w:highlight w:val="none"/>
              </w:rPr>
            </w:pPr>
          </w:p>
        </w:tc>
        <w:tc>
          <w:tcPr>
            <w:tcW w:w="786" w:type="pct"/>
            <w:vAlign w:val="center"/>
          </w:tcPr>
          <w:p w14:paraId="7CC4FA76">
            <w:pPr>
              <w:spacing w:line="360" w:lineRule="auto"/>
              <w:jc w:val="center"/>
              <w:rPr>
                <w:color w:val="auto"/>
                <w:sz w:val="18"/>
                <w:szCs w:val="18"/>
                <w:highlight w:val="none"/>
              </w:rPr>
            </w:pPr>
          </w:p>
        </w:tc>
        <w:tc>
          <w:tcPr>
            <w:tcW w:w="786" w:type="pct"/>
            <w:vAlign w:val="center"/>
          </w:tcPr>
          <w:p w14:paraId="5B89B8C3">
            <w:pPr>
              <w:spacing w:line="360" w:lineRule="auto"/>
              <w:jc w:val="center"/>
              <w:rPr>
                <w:color w:val="auto"/>
                <w:sz w:val="18"/>
                <w:szCs w:val="18"/>
                <w:highlight w:val="none"/>
              </w:rPr>
            </w:pPr>
          </w:p>
        </w:tc>
        <w:tc>
          <w:tcPr>
            <w:tcW w:w="786" w:type="pct"/>
            <w:vAlign w:val="center"/>
          </w:tcPr>
          <w:p w14:paraId="3A3D9362">
            <w:pPr>
              <w:spacing w:line="360" w:lineRule="auto"/>
              <w:jc w:val="center"/>
              <w:rPr>
                <w:color w:val="auto"/>
                <w:sz w:val="18"/>
                <w:szCs w:val="18"/>
                <w:highlight w:val="none"/>
              </w:rPr>
            </w:pPr>
          </w:p>
        </w:tc>
      </w:tr>
      <w:tr w14:paraId="6D866C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1C1670E6">
            <w:pPr>
              <w:spacing w:line="360" w:lineRule="auto"/>
              <w:jc w:val="center"/>
              <w:rPr>
                <w:color w:val="auto"/>
                <w:sz w:val="18"/>
                <w:szCs w:val="18"/>
                <w:highlight w:val="none"/>
              </w:rPr>
            </w:pPr>
            <w:r>
              <w:rPr>
                <w:color w:val="auto"/>
                <w:sz w:val="18"/>
                <w:szCs w:val="18"/>
                <w:highlight w:val="none"/>
              </w:rPr>
              <w:t>12</w:t>
            </w:r>
          </w:p>
        </w:tc>
        <w:tc>
          <w:tcPr>
            <w:tcW w:w="928" w:type="pct"/>
            <w:vAlign w:val="center"/>
          </w:tcPr>
          <w:p w14:paraId="274CC971">
            <w:pPr>
              <w:spacing w:line="360" w:lineRule="auto"/>
              <w:jc w:val="center"/>
              <w:rPr>
                <w:color w:val="auto"/>
                <w:sz w:val="18"/>
                <w:szCs w:val="18"/>
                <w:highlight w:val="none"/>
              </w:rPr>
            </w:pPr>
          </w:p>
        </w:tc>
        <w:tc>
          <w:tcPr>
            <w:tcW w:w="713" w:type="pct"/>
            <w:vAlign w:val="center"/>
          </w:tcPr>
          <w:p w14:paraId="058E80C3">
            <w:pPr>
              <w:spacing w:line="360" w:lineRule="auto"/>
              <w:jc w:val="center"/>
              <w:rPr>
                <w:color w:val="auto"/>
                <w:sz w:val="18"/>
                <w:szCs w:val="18"/>
                <w:highlight w:val="none"/>
              </w:rPr>
            </w:pPr>
          </w:p>
        </w:tc>
        <w:tc>
          <w:tcPr>
            <w:tcW w:w="641" w:type="pct"/>
            <w:vAlign w:val="center"/>
          </w:tcPr>
          <w:p w14:paraId="03BEF9B1">
            <w:pPr>
              <w:spacing w:line="360" w:lineRule="auto"/>
              <w:jc w:val="center"/>
              <w:rPr>
                <w:color w:val="auto"/>
                <w:sz w:val="18"/>
                <w:szCs w:val="18"/>
                <w:highlight w:val="none"/>
              </w:rPr>
            </w:pPr>
          </w:p>
        </w:tc>
        <w:tc>
          <w:tcPr>
            <w:tcW w:w="786" w:type="pct"/>
            <w:vAlign w:val="center"/>
          </w:tcPr>
          <w:p w14:paraId="3279C0E7">
            <w:pPr>
              <w:spacing w:line="360" w:lineRule="auto"/>
              <w:jc w:val="center"/>
              <w:rPr>
                <w:color w:val="auto"/>
                <w:sz w:val="18"/>
                <w:szCs w:val="18"/>
                <w:highlight w:val="none"/>
              </w:rPr>
            </w:pPr>
          </w:p>
        </w:tc>
        <w:tc>
          <w:tcPr>
            <w:tcW w:w="786" w:type="pct"/>
            <w:vAlign w:val="center"/>
          </w:tcPr>
          <w:p w14:paraId="381717E2">
            <w:pPr>
              <w:spacing w:line="360" w:lineRule="auto"/>
              <w:jc w:val="center"/>
              <w:rPr>
                <w:color w:val="auto"/>
                <w:sz w:val="18"/>
                <w:szCs w:val="18"/>
                <w:highlight w:val="none"/>
              </w:rPr>
            </w:pPr>
          </w:p>
        </w:tc>
        <w:tc>
          <w:tcPr>
            <w:tcW w:w="786" w:type="pct"/>
            <w:vAlign w:val="center"/>
          </w:tcPr>
          <w:p w14:paraId="72E0307D">
            <w:pPr>
              <w:spacing w:line="360" w:lineRule="auto"/>
              <w:jc w:val="center"/>
              <w:rPr>
                <w:color w:val="auto"/>
                <w:sz w:val="18"/>
                <w:szCs w:val="18"/>
                <w:highlight w:val="none"/>
              </w:rPr>
            </w:pPr>
          </w:p>
        </w:tc>
      </w:tr>
      <w:tr w14:paraId="0AE380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7F1E75A4">
            <w:pPr>
              <w:spacing w:line="360" w:lineRule="auto"/>
              <w:jc w:val="center"/>
              <w:rPr>
                <w:color w:val="auto"/>
                <w:sz w:val="18"/>
                <w:szCs w:val="18"/>
                <w:highlight w:val="none"/>
              </w:rPr>
            </w:pPr>
            <w:r>
              <w:rPr>
                <w:color w:val="auto"/>
                <w:sz w:val="18"/>
                <w:szCs w:val="18"/>
                <w:highlight w:val="none"/>
              </w:rPr>
              <w:t>13</w:t>
            </w:r>
          </w:p>
        </w:tc>
        <w:tc>
          <w:tcPr>
            <w:tcW w:w="928" w:type="pct"/>
            <w:vAlign w:val="center"/>
          </w:tcPr>
          <w:p w14:paraId="644FD19E">
            <w:pPr>
              <w:spacing w:line="360" w:lineRule="auto"/>
              <w:jc w:val="center"/>
              <w:rPr>
                <w:color w:val="auto"/>
                <w:sz w:val="18"/>
                <w:szCs w:val="18"/>
                <w:highlight w:val="none"/>
              </w:rPr>
            </w:pPr>
          </w:p>
        </w:tc>
        <w:tc>
          <w:tcPr>
            <w:tcW w:w="713" w:type="pct"/>
            <w:vAlign w:val="center"/>
          </w:tcPr>
          <w:p w14:paraId="455F57D5">
            <w:pPr>
              <w:spacing w:line="360" w:lineRule="auto"/>
              <w:jc w:val="center"/>
              <w:rPr>
                <w:color w:val="auto"/>
                <w:sz w:val="18"/>
                <w:szCs w:val="18"/>
                <w:highlight w:val="none"/>
              </w:rPr>
            </w:pPr>
          </w:p>
        </w:tc>
        <w:tc>
          <w:tcPr>
            <w:tcW w:w="641" w:type="pct"/>
            <w:vAlign w:val="center"/>
          </w:tcPr>
          <w:p w14:paraId="23C28D7C">
            <w:pPr>
              <w:spacing w:line="360" w:lineRule="auto"/>
              <w:jc w:val="center"/>
              <w:rPr>
                <w:color w:val="auto"/>
                <w:sz w:val="18"/>
                <w:szCs w:val="18"/>
                <w:highlight w:val="none"/>
              </w:rPr>
            </w:pPr>
          </w:p>
        </w:tc>
        <w:tc>
          <w:tcPr>
            <w:tcW w:w="786" w:type="pct"/>
            <w:vAlign w:val="center"/>
          </w:tcPr>
          <w:p w14:paraId="74868B42">
            <w:pPr>
              <w:spacing w:line="360" w:lineRule="auto"/>
              <w:jc w:val="center"/>
              <w:rPr>
                <w:color w:val="auto"/>
                <w:sz w:val="18"/>
                <w:szCs w:val="18"/>
                <w:highlight w:val="none"/>
              </w:rPr>
            </w:pPr>
          </w:p>
        </w:tc>
        <w:tc>
          <w:tcPr>
            <w:tcW w:w="786" w:type="pct"/>
            <w:vAlign w:val="center"/>
          </w:tcPr>
          <w:p w14:paraId="4720A906">
            <w:pPr>
              <w:spacing w:line="360" w:lineRule="auto"/>
              <w:jc w:val="center"/>
              <w:rPr>
                <w:color w:val="auto"/>
                <w:sz w:val="18"/>
                <w:szCs w:val="18"/>
                <w:highlight w:val="none"/>
              </w:rPr>
            </w:pPr>
          </w:p>
        </w:tc>
        <w:tc>
          <w:tcPr>
            <w:tcW w:w="786" w:type="pct"/>
            <w:vAlign w:val="center"/>
          </w:tcPr>
          <w:p w14:paraId="0617C569">
            <w:pPr>
              <w:spacing w:line="360" w:lineRule="auto"/>
              <w:jc w:val="center"/>
              <w:rPr>
                <w:color w:val="auto"/>
                <w:sz w:val="18"/>
                <w:szCs w:val="18"/>
                <w:highlight w:val="none"/>
              </w:rPr>
            </w:pPr>
          </w:p>
        </w:tc>
      </w:tr>
      <w:tr w14:paraId="1642F2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5E4D90F8">
            <w:pPr>
              <w:spacing w:line="360" w:lineRule="auto"/>
              <w:jc w:val="center"/>
              <w:rPr>
                <w:color w:val="auto"/>
                <w:sz w:val="18"/>
                <w:szCs w:val="18"/>
                <w:highlight w:val="none"/>
              </w:rPr>
            </w:pPr>
            <w:r>
              <w:rPr>
                <w:color w:val="auto"/>
                <w:sz w:val="18"/>
                <w:szCs w:val="18"/>
                <w:highlight w:val="none"/>
              </w:rPr>
              <w:t>14</w:t>
            </w:r>
          </w:p>
        </w:tc>
        <w:tc>
          <w:tcPr>
            <w:tcW w:w="928" w:type="pct"/>
            <w:vAlign w:val="center"/>
          </w:tcPr>
          <w:p w14:paraId="766779CA">
            <w:pPr>
              <w:spacing w:line="360" w:lineRule="auto"/>
              <w:jc w:val="center"/>
              <w:rPr>
                <w:color w:val="auto"/>
                <w:sz w:val="18"/>
                <w:szCs w:val="18"/>
                <w:highlight w:val="none"/>
              </w:rPr>
            </w:pPr>
          </w:p>
        </w:tc>
        <w:tc>
          <w:tcPr>
            <w:tcW w:w="713" w:type="pct"/>
            <w:vAlign w:val="center"/>
          </w:tcPr>
          <w:p w14:paraId="344ED6F0">
            <w:pPr>
              <w:spacing w:line="360" w:lineRule="auto"/>
              <w:jc w:val="center"/>
              <w:rPr>
                <w:color w:val="auto"/>
                <w:sz w:val="18"/>
                <w:szCs w:val="18"/>
                <w:highlight w:val="none"/>
              </w:rPr>
            </w:pPr>
          </w:p>
        </w:tc>
        <w:tc>
          <w:tcPr>
            <w:tcW w:w="641" w:type="pct"/>
            <w:vAlign w:val="center"/>
          </w:tcPr>
          <w:p w14:paraId="2837C197">
            <w:pPr>
              <w:spacing w:line="360" w:lineRule="auto"/>
              <w:jc w:val="center"/>
              <w:rPr>
                <w:color w:val="auto"/>
                <w:sz w:val="18"/>
                <w:szCs w:val="18"/>
                <w:highlight w:val="none"/>
              </w:rPr>
            </w:pPr>
          </w:p>
        </w:tc>
        <w:tc>
          <w:tcPr>
            <w:tcW w:w="786" w:type="pct"/>
            <w:vAlign w:val="center"/>
          </w:tcPr>
          <w:p w14:paraId="351595C9">
            <w:pPr>
              <w:spacing w:line="360" w:lineRule="auto"/>
              <w:jc w:val="center"/>
              <w:rPr>
                <w:color w:val="auto"/>
                <w:sz w:val="18"/>
                <w:szCs w:val="18"/>
                <w:highlight w:val="none"/>
              </w:rPr>
            </w:pPr>
          </w:p>
        </w:tc>
        <w:tc>
          <w:tcPr>
            <w:tcW w:w="786" w:type="pct"/>
            <w:vAlign w:val="center"/>
          </w:tcPr>
          <w:p w14:paraId="55E74F25">
            <w:pPr>
              <w:spacing w:line="360" w:lineRule="auto"/>
              <w:jc w:val="center"/>
              <w:rPr>
                <w:color w:val="auto"/>
                <w:sz w:val="18"/>
                <w:szCs w:val="18"/>
                <w:highlight w:val="none"/>
              </w:rPr>
            </w:pPr>
          </w:p>
        </w:tc>
        <w:tc>
          <w:tcPr>
            <w:tcW w:w="786" w:type="pct"/>
            <w:vAlign w:val="center"/>
          </w:tcPr>
          <w:p w14:paraId="3B05B007">
            <w:pPr>
              <w:spacing w:line="360" w:lineRule="auto"/>
              <w:jc w:val="center"/>
              <w:rPr>
                <w:color w:val="auto"/>
                <w:sz w:val="18"/>
                <w:szCs w:val="18"/>
                <w:highlight w:val="none"/>
              </w:rPr>
            </w:pPr>
          </w:p>
        </w:tc>
      </w:tr>
      <w:tr w14:paraId="5703AB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6DED8468">
            <w:pPr>
              <w:spacing w:line="360" w:lineRule="auto"/>
              <w:jc w:val="center"/>
              <w:rPr>
                <w:color w:val="auto"/>
                <w:sz w:val="18"/>
                <w:szCs w:val="18"/>
                <w:highlight w:val="none"/>
              </w:rPr>
            </w:pPr>
            <w:r>
              <w:rPr>
                <w:color w:val="auto"/>
                <w:sz w:val="18"/>
                <w:szCs w:val="18"/>
                <w:highlight w:val="none"/>
              </w:rPr>
              <w:t>15</w:t>
            </w:r>
          </w:p>
        </w:tc>
        <w:tc>
          <w:tcPr>
            <w:tcW w:w="928" w:type="pct"/>
            <w:vAlign w:val="center"/>
          </w:tcPr>
          <w:p w14:paraId="3A1A315E">
            <w:pPr>
              <w:spacing w:line="360" w:lineRule="auto"/>
              <w:jc w:val="center"/>
              <w:rPr>
                <w:color w:val="auto"/>
                <w:sz w:val="18"/>
                <w:szCs w:val="18"/>
                <w:highlight w:val="none"/>
              </w:rPr>
            </w:pPr>
          </w:p>
        </w:tc>
        <w:tc>
          <w:tcPr>
            <w:tcW w:w="713" w:type="pct"/>
            <w:vAlign w:val="center"/>
          </w:tcPr>
          <w:p w14:paraId="3CE4194F">
            <w:pPr>
              <w:spacing w:line="360" w:lineRule="auto"/>
              <w:jc w:val="center"/>
              <w:rPr>
                <w:color w:val="auto"/>
                <w:sz w:val="18"/>
                <w:szCs w:val="18"/>
                <w:highlight w:val="none"/>
              </w:rPr>
            </w:pPr>
          </w:p>
        </w:tc>
        <w:tc>
          <w:tcPr>
            <w:tcW w:w="641" w:type="pct"/>
            <w:vAlign w:val="center"/>
          </w:tcPr>
          <w:p w14:paraId="436C8F6B">
            <w:pPr>
              <w:spacing w:line="360" w:lineRule="auto"/>
              <w:jc w:val="center"/>
              <w:rPr>
                <w:color w:val="auto"/>
                <w:sz w:val="18"/>
                <w:szCs w:val="18"/>
                <w:highlight w:val="none"/>
              </w:rPr>
            </w:pPr>
          </w:p>
        </w:tc>
        <w:tc>
          <w:tcPr>
            <w:tcW w:w="786" w:type="pct"/>
            <w:vAlign w:val="center"/>
          </w:tcPr>
          <w:p w14:paraId="69B01DCF">
            <w:pPr>
              <w:spacing w:line="360" w:lineRule="auto"/>
              <w:jc w:val="center"/>
              <w:rPr>
                <w:color w:val="auto"/>
                <w:sz w:val="18"/>
                <w:szCs w:val="18"/>
                <w:highlight w:val="none"/>
              </w:rPr>
            </w:pPr>
          </w:p>
        </w:tc>
        <w:tc>
          <w:tcPr>
            <w:tcW w:w="786" w:type="pct"/>
            <w:vAlign w:val="center"/>
          </w:tcPr>
          <w:p w14:paraId="274BC1BC">
            <w:pPr>
              <w:spacing w:line="360" w:lineRule="auto"/>
              <w:jc w:val="center"/>
              <w:rPr>
                <w:color w:val="auto"/>
                <w:sz w:val="18"/>
                <w:szCs w:val="18"/>
                <w:highlight w:val="none"/>
              </w:rPr>
            </w:pPr>
          </w:p>
        </w:tc>
        <w:tc>
          <w:tcPr>
            <w:tcW w:w="786" w:type="pct"/>
            <w:vAlign w:val="center"/>
          </w:tcPr>
          <w:p w14:paraId="25A4881C">
            <w:pPr>
              <w:spacing w:line="360" w:lineRule="auto"/>
              <w:jc w:val="center"/>
              <w:rPr>
                <w:color w:val="auto"/>
                <w:sz w:val="18"/>
                <w:szCs w:val="18"/>
                <w:highlight w:val="none"/>
              </w:rPr>
            </w:pPr>
          </w:p>
        </w:tc>
      </w:tr>
      <w:tr w14:paraId="62307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56B5F5E4">
            <w:pPr>
              <w:spacing w:line="360" w:lineRule="auto"/>
              <w:jc w:val="center"/>
              <w:rPr>
                <w:color w:val="auto"/>
                <w:sz w:val="18"/>
                <w:szCs w:val="18"/>
                <w:highlight w:val="none"/>
              </w:rPr>
            </w:pPr>
            <w:r>
              <w:rPr>
                <w:color w:val="auto"/>
                <w:sz w:val="18"/>
                <w:szCs w:val="18"/>
                <w:highlight w:val="none"/>
              </w:rPr>
              <w:t>16</w:t>
            </w:r>
          </w:p>
        </w:tc>
        <w:tc>
          <w:tcPr>
            <w:tcW w:w="928" w:type="pct"/>
            <w:vAlign w:val="center"/>
          </w:tcPr>
          <w:p w14:paraId="0687CE1A">
            <w:pPr>
              <w:spacing w:line="360" w:lineRule="auto"/>
              <w:jc w:val="center"/>
              <w:rPr>
                <w:color w:val="auto"/>
                <w:sz w:val="18"/>
                <w:szCs w:val="18"/>
                <w:highlight w:val="none"/>
              </w:rPr>
            </w:pPr>
          </w:p>
        </w:tc>
        <w:tc>
          <w:tcPr>
            <w:tcW w:w="713" w:type="pct"/>
            <w:vAlign w:val="center"/>
          </w:tcPr>
          <w:p w14:paraId="33826B81">
            <w:pPr>
              <w:spacing w:line="360" w:lineRule="auto"/>
              <w:jc w:val="center"/>
              <w:rPr>
                <w:color w:val="auto"/>
                <w:sz w:val="18"/>
                <w:szCs w:val="18"/>
                <w:highlight w:val="none"/>
              </w:rPr>
            </w:pPr>
          </w:p>
        </w:tc>
        <w:tc>
          <w:tcPr>
            <w:tcW w:w="641" w:type="pct"/>
            <w:vAlign w:val="center"/>
          </w:tcPr>
          <w:p w14:paraId="28119E1F">
            <w:pPr>
              <w:spacing w:line="360" w:lineRule="auto"/>
              <w:jc w:val="center"/>
              <w:rPr>
                <w:color w:val="auto"/>
                <w:sz w:val="18"/>
                <w:szCs w:val="18"/>
                <w:highlight w:val="none"/>
              </w:rPr>
            </w:pPr>
          </w:p>
        </w:tc>
        <w:tc>
          <w:tcPr>
            <w:tcW w:w="786" w:type="pct"/>
            <w:vAlign w:val="center"/>
          </w:tcPr>
          <w:p w14:paraId="7C277D01">
            <w:pPr>
              <w:spacing w:line="360" w:lineRule="auto"/>
              <w:jc w:val="center"/>
              <w:rPr>
                <w:color w:val="auto"/>
                <w:sz w:val="18"/>
                <w:szCs w:val="18"/>
                <w:highlight w:val="none"/>
              </w:rPr>
            </w:pPr>
          </w:p>
        </w:tc>
        <w:tc>
          <w:tcPr>
            <w:tcW w:w="786" w:type="pct"/>
            <w:vAlign w:val="center"/>
          </w:tcPr>
          <w:p w14:paraId="587EC647">
            <w:pPr>
              <w:spacing w:line="360" w:lineRule="auto"/>
              <w:jc w:val="center"/>
              <w:rPr>
                <w:color w:val="auto"/>
                <w:sz w:val="18"/>
                <w:szCs w:val="18"/>
                <w:highlight w:val="none"/>
              </w:rPr>
            </w:pPr>
          </w:p>
        </w:tc>
        <w:tc>
          <w:tcPr>
            <w:tcW w:w="786" w:type="pct"/>
            <w:vAlign w:val="center"/>
          </w:tcPr>
          <w:p w14:paraId="5727232B">
            <w:pPr>
              <w:spacing w:line="360" w:lineRule="auto"/>
              <w:jc w:val="center"/>
              <w:rPr>
                <w:color w:val="auto"/>
                <w:sz w:val="18"/>
                <w:szCs w:val="18"/>
                <w:highlight w:val="none"/>
              </w:rPr>
            </w:pPr>
          </w:p>
        </w:tc>
      </w:tr>
      <w:tr w14:paraId="742E7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3ECBEAEB">
            <w:pPr>
              <w:spacing w:line="360" w:lineRule="auto"/>
              <w:jc w:val="center"/>
              <w:rPr>
                <w:color w:val="auto"/>
                <w:sz w:val="18"/>
                <w:szCs w:val="18"/>
                <w:highlight w:val="none"/>
              </w:rPr>
            </w:pPr>
          </w:p>
        </w:tc>
        <w:tc>
          <w:tcPr>
            <w:tcW w:w="928" w:type="pct"/>
            <w:vAlign w:val="center"/>
          </w:tcPr>
          <w:p w14:paraId="2B50AD2C">
            <w:pPr>
              <w:spacing w:line="360" w:lineRule="auto"/>
              <w:jc w:val="center"/>
              <w:rPr>
                <w:color w:val="auto"/>
                <w:sz w:val="18"/>
                <w:szCs w:val="18"/>
                <w:highlight w:val="none"/>
              </w:rPr>
            </w:pPr>
          </w:p>
        </w:tc>
        <w:tc>
          <w:tcPr>
            <w:tcW w:w="713" w:type="pct"/>
            <w:vAlign w:val="center"/>
          </w:tcPr>
          <w:p w14:paraId="5D4F108F">
            <w:pPr>
              <w:spacing w:line="360" w:lineRule="auto"/>
              <w:jc w:val="center"/>
              <w:rPr>
                <w:color w:val="auto"/>
                <w:sz w:val="18"/>
                <w:szCs w:val="18"/>
                <w:highlight w:val="none"/>
              </w:rPr>
            </w:pPr>
          </w:p>
        </w:tc>
        <w:tc>
          <w:tcPr>
            <w:tcW w:w="641" w:type="pct"/>
            <w:vAlign w:val="center"/>
          </w:tcPr>
          <w:p w14:paraId="0C02E645">
            <w:pPr>
              <w:spacing w:line="360" w:lineRule="auto"/>
              <w:jc w:val="center"/>
              <w:rPr>
                <w:color w:val="auto"/>
                <w:sz w:val="18"/>
                <w:szCs w:val="18"/>
                <w:highlight w:val="none"/>
              </w:rPr>
            </w:pPr>
          </w:p>
        </w:tc>
        <w:tc>
          <w:tcPr>
            <w:tcW w:w="786" w:type="pct"/>
            <w:vAlign w:val="center"/>
          </w:tcPr>
          <w:p w14:paraId="1B229D9B">
            <w:pPr>
              <w:spacing w:line="360" w:lineRule="auto"/>
              <w:jc w:val="center"/>
              <w:rPr>
                <w:color w:val="auto"/>
                <w:sz w:val="18"/>
                <w:szCs w:val="18"/>
                <w:highlight w:val="none"/>
              </w:rPr>
            </w:pPr>
          </w:p>
        </w:tc>
        <w:tc>
          <w:tcPr>
            <w:tcW w:w="786" w:type="pct"/>
            <w:vAlign w:val="center"/>
          </w:tcPr>
          <w:p w14:paraId="27499220">
            <w:pPr>
              <w:spacing w:line="360" w:lineRule="auto"/>
              <w:jc w:val="center"/>
              <w:rPr>
                <w:color w:val="auto"/>
                <w:sz w:val="18"/>
                <w:szCs w:val="18"/>
                <w:highlight w:val="none"/>
              </w:rPr>
            </w:pPr>
          </w:p>
        </w:tc>
        <w:tc>
          <w:tcPr>
            <w:tcW w:w="786" w:type="pct"/>
            <w:vAlign w:val="center"/>
          </w:tcPr>
          <w:p w14:paraId="048B80E8">
            <w:pPr>
              <w:spacing w:line="360" w:lineRule="auto"/>
              <w:jc w:val="center"/>
              <w:rPr>
                <w:color w:val="auto"/>
                <w:sz w:val="18"/>
                <w:szCs w:val="18"/>
                <w:highlight w:val="none"/>
              </w:rPr>
            </w:pPr>
          </w:p>
        </w:tc>
      </w:tr>
      <w:tr w14:paraId="023E6D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tcBorders>
              <w:bottom w:val="double" w:color="auto" w:sz="4" w:space="0"/>
            </w:tcBorders>
            <w:vAlign w:val="center"/>
          </w:tcPr>
          <w:p w14:paraId="476DB7EC">
            <w:pPr>
              <w:spacing w:line="360" w:lineRule="auto"/>
              <w:jc w:val="center"/>
              <w:rPr>
                <w:color w:val="auto"/>
                <w:sz w:val="18"/>
                <w:szCs w:val="18"/>
                <w:highlight w:val="none"/>
              </w:rPr>
            </w:pPr>
          </w:p>
        </w:tc>
        <w:tc>
          <w:tcPr>
            <w:tcW w:w="928" w:type="pct"/>
            <w:tcBorders>
              <w:bottom w:val="double" w:color="auto" w:sz="4" w:space="0"/>
            </w:tcBorders>
            <w:vAlign w:val="center"/>
          </w:tcPr>
          <w:p w14:paraId="66960939">
            <w:pPr>
              <w:jc w:val="center"/>
              <w:rPr>
                <w:color w:val="auto"/>
                <w:sz w:val="18"/>
                <w:szCs w:val="18"/>
                <w:highlight w:val="none"/>
              </w:rPr>
            </w:pPr>
            <w:r>
              <w:rPr>
                <w:rFonts w:hint="eastAsia" w:ascii="宋体" w:hAnsi="宋体"/>
                <w:color w:val="auto"/>
                <w:szCs w:val="21"/>
                <w:highlight w:val="none"/>
              </w:rPr>
              <w:t>合计</w:t>
            </w:r>
          </w:p>
        </w:tc>
        <w:tc>
          <w:tcPr>
            <w:tcW w:w="713" w:type="pct"/>
            <w:tcBorders>
              <w:bottom w:val="double" w:color="auto" w:sz="4" w:space="0"/>
            </w:tcBorders>
            <w:vAlign w:val="center"/>
          </w:tcPr>
          <w:p w14:paraId="7FE13F04">
            <w:pPr>
              <w:spacing w:line="360" w:lineRule="auto"/>
              <w:jc w:val="center"/>
              <w:rPr>
                <w:color w:val="auto"/>
                <w:sz w:val="18"/>
                <w:szCs w:val="18"/>
                <w:highlight w:val="none"/>
              </w:rPr>
            </w:pPr>
          </w:p>
        </w:tc>
        <w:tc>
          <w:tcPr>
            <w:tcW w:w="641" w:type="pct"/>
            <w:tcBorders>
              <w:bottom w:val="double" w:color="auto" w:sz="4" w:space="0"/>
            </w:tcBorders>
            <w:vAlign w:val="center"/>
          </w:tcPr>
          <w:p w14:paraId="596B15D0">
            <w:pPr>
              <w:spacing w:line="360" w:lineRule="auto"/>
              <w:jc w:val="center"/>
              <w:rPr>
                <w:color w:val="auto"/>
                <w:sz w:val="18"/>
                <w:szCs w:val="18"/>
                <w:highlight w:val="none"/>
              </w:rPr>
            </w:pPr>
          </w:p>
        </w:tc>
        <w:tc>
          <w:tcPr>
            <w:tcW w:w="786" w:type="pct"/>
            <w:tcBorders>
              <w:bottom w:val="double" w:color="auto" w:sz="4" w:space="0"/>
            </w:tcBorders>
            <w:vAlign w:val="center"/>
          </w:tcPr>
          <w:p w14:paraId="6E505E25">
            <w:pPr>
              <w:spacing w:line="360" w:lineRule="auto"/>
              <w:jc w:val="center"/>
              <w:rPr>
                <w:color w:val="auto"/>
                <w:sz w:val="18"/>
                <w:szCs w:val="18"/>
                <w:highlight w:val="none"/>
              </w:rPr>
            </w:pPr>
          </w:p>
        </w:tc>
        <w:tc>
          <w:tcPr>
            <w:tcW w:w="786" w:type="pct"/>
            <w:tcBorders>
              <w:bottom w:val="double" w:color="auto" w:sz="4" w:space="0"/>
            </w:tcBorders>
            <w:vAlign w:val="center"/>
          </w:tcPr>
          <w:p w14:paraId="6C856992">
            <w:pPr>
              <w:spacing w:line="360" w:lineRule="auto"/>
              <w:jc w:val="center"/>
              <w:rPr>
                <w:color w:val="auto"/>
                <w:sz w:val="18"/>
                <w:szCs w:val="18"/>
                <w:highlight w:val="none"/>
              </w:rPr>
            </w:pPr>
          </w:p>
        </w:tc>
        <w:tc>
          <w:tcPr>
            <w:tcW w:w="786" w:type="pct"/>
            <w:tcBorders>
              <w:bottom w:val="double" w:color="auto" w:sz="4" w:space="0"/>
            </w:tcBorders>
            <w:vAlign w:val="center"/>
          </w:tcPr>
          <w:p w14:paraId="0584D7C9">
            <w:pPr>
              <w:spacing w:line="360" w:lineRule="auto"/>
              <w:jc w:val="center"/>
              <w:rPr>
                <w:color w:val="auto"/>
                <w:sz w:val="18"/>
                <w:szCs w:val="18"/>
                <w:highlight w:val="none"/>
              </w:rPr>
            </w:pPr>
          </w:p>
        </w:tc>
      </w:tr>
    </w:tbl>
    <w:p w14:paraId="3D1FE2BE">
      <w:pPr>
        <w:adjustRightInd w:val="0"/>
        <w:snapToGrid w:val="0"/>
        <w:rPr>
          <w:rFonts w:ascii="宋体" w:hAnsi="宋体"/>
          <w:b/>
          <w:color w:val="auto"/>
          <w:sz w:val="24"/>
          <w:highlight w:val="none"/>
        </w:rPr>
        <w:sectPr>
          <w:pgSz w:w="11906" w:h="16838"/>
          <w:pgMar w:top="1440" w:right="1080" w:bottom="1440" w:left="1080" w:header="851" w:footer="992" w:gutter="0"/>
          <w:cols w:space="720" w:num="1"/>
          <w:docGrid w:linePitch="312" w:charSpace="0"/>
        </w:sectPr>
      </w:pPr>
      <w:r>
        <w:rPr>
          <w:rFonts w:hint="eastAsia"/>
          <w:color w:val="auto"/>
          <w:sz w:val="32"/>
          <w:highlight w:val="none"/>
        </w:rPr>
        <w:t>主要材料由供应商自行确定。</w:t>
      </w:r>
    </w:p>
    <w:p w14:paraId="200C74F7">
      <w:pPr>
        <w:adjustRightInd w:val="0"/>
        <w:snapToGrid w:val="0"/>
        <w:rPr>
          <w:rFonts w:ascii="黑体" w:hAnsi="宋体" w:eastAsia="黑体"/>
          <w:b/>
          <w:color w:val="auto"/>
          <w:sz w:val="28"/>
          <w:szCs w:val="28"/>
          <w:highlight w:val="none"/>
        </w:rPr>
      </w:pPr>
    </w:p>
    <w:p w14:paraId="2A9AF99E">
      <w:pPr>
        <w:adjustRightInd w:val="0"/>
        <w:snapToGrid w:val="0"/>
        <w:spacing w:line="360" w:lineRule="auto"/>
        <w:jc w:val="center"/>
        <w:rPr>
          <w:rFonts w:ascii="黑体" w:hAnsi="宋体" w:eastAsia="黑体"/>
          <w:color w:val="auto"/>
          <w:sz w:val="28"/>
          <w:szCs w:val="28"/>
          <w:highlight w:val="none"/>
        </w:rPr>
      </w:pPr>
      <w:r>
        <w:rPr>
          <w:rFonts w:hint="eastAsia" w:ascii="黑体" w:eastAsia="黑体"/>
          <w:b/>
          <w:color w:val="auto"/>
          <w:sz w:val="32"/>
          <w:szCs w:val="32"/>
          <w:highlight w:val="none"/>
        </w:rPr>
        <w:t>九</w:t>
      </w:r>
      <w:r>
        <w:rPr>
          <w:rFonts w:hint="eastAsia" w:ascii="黑体" w:eastAsia="黑体"/>
          <w:b/>
          <w:bCs/>
          <w:color w:val="auto"/>
          <w:sz w:val="32"/>
          <w:szCs w:val="32"/>
          <w:highlight w:val="none"/>
        </w:rPr>
        <w:t>、供应商认为需要提供的其它资料</w:t>
      </w:r>
    </w:p>
    <w:p w14:paraId="1B4985BB">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提供磋商文件或评分标准需要提供的相关证明文件复印件</w:t>
      </w:r>
    </w:p>
    <w:p w14:paraId="47EA1148">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587FF7DC">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0C1872E2">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0CA5B31D">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00961477">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692E98A2">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323F0AA7">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1CC96201">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5B582580">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06493859">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0BC77976">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23154629">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3AA13E4F">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66735323">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215701D0">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6E461058">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3B689A41">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738E701B">
      <w:pPr>
        <w:adjustRightInd w:val="0"/>
        <w:snapToGrid w:val="0"/>
        <w:spacing w:before="120" w:beforeLines="50" w:line="360" w:lineRule="auto"/>
        <w:jc w:val="center"/>
        <w:outlineLvl w:val="0"/>
        <w:rPr>
          <w:rFonts w:ascii="黑体" w:hAnsi="宋体" w:eastAsia="黑体"/>
          <w:b/>
          <w:color w:val="auto"/>
          <w:sz w:val="32"/>
          <w:szCs w:val="32"/>
          <w:highlight w:val="none"/>
        </w:rPr>
      </w:pPr>
      <w:r>
        <w:rPr>
          <w:rFonts w:hint="eastAsia" w:ascii="黑体" w:hAnsi="宋体" w:eastAsia="黑体"/>
          <w:b/>
          <w:color w:val="auto"/>
          <w:sz w:val="32"/>
          <w:szCs w:val="32"/>
          <w:highlight w:val="none"/>
        </w:rPr>
        <w:t>十、最后报价</w:t>
      </w:r>
    </w:p>
    <w:p w14:paraId="6EC794D8">
      <w:pPr>
        <w:adjustRightInd w:val="0"/>
        <w:snapToGrid w:val="0"/>
        <w:ind w:left="-88" w:leftChars="-42"/>
        <w:rPr>
          <w:rFonts w:ascii="宋体" w:hAnsi="宋体"/>
          <w:color w:val="auto"/>
          <w:szCs w:val="21"/>
          <w:highlight w:val="none"/>
        </w:rPr>
      </w:pPr>
    </w:p>
    <w:p w14:paraId="6BA824E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说明：</w:t>
      </w:r>
    </w:p>
    <w:p w14:paraId="39D6B978">
      <w:pPr>
        <w:adjustRightInd w:val="0"/>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1、最后报价按第二章磋商须知第30条规定提供，格式按附件13-1、附件13-2提供（提供套价软件编制的报价电子版）。</w:t>
      </w:r>
    </w:p>
    <w:p w14:paraId="154F43F1">
      <w:pPr>
        <w:adjustRightInd w:val="0"/>
        <w:snapToGrid w:val="0"/>
        <w:spacing w:line="360" w:lineRule="auto"/>
        <w:ind w:left="-88" w:leftChars="-42" w:firstLine="527" w:firstLineChars="250"/>
        <w:rPr>
          <w:rFonts w:ascii="宋体" w:hAnsi="宋体"/>
          <w:b/>
          <w:color w:val="auto"/>
          <w:szCs w:val="21"/>
          <w:highlight w:val="none"/>
          <w:u w:val="single"/>
        </w:rPr>
      </w:pPr>
      <w:r>
        <w:rPr>
          <w:rFonts w:hint="eastAsia" w:ascii="宋体" w:hAnsi="宋体"/>
          <w:b/>
          <w:color w:val="auto"/>
          <w:szCs w:val="21"/>
          <w:highlight w:val="none"/>
          <w:u w:val="single"/>
        </w:rPr>
        <w:t>3、自备附件13-1、附件13-2(加盖好公章)，用于最后报价使用。</w:t>
      </w:r>
    </w:p>
    <w:p w14:paraId="5FF0C9D0">
      <w:pPr>
        <w:adjustRightInd w:val="0"/>
        <w:snapToGrid w:val="0"/>
        <w:spacing w:line="360" w:lineRule="auto"/>
        <w:ind w:left="-88" w:leftChars="-42" w:firstLine="525" w:firstLineChars="250"/>
        <w:rPr>
          <w:rFonts w:ascii="宋体" w:hAnsi="宋体"/>
          <w:color w:val="auto"/>
          <w:szCs w:val="21"/>
          <w:highlight w:val="none"/>
        </w:rPr>
      </w:pPr>
    </w:p>
    <w:p w14:paraId="1EED0B0F">
      <w:pPr>
        <w:rPr>
          <w:color w:val="auto"/>
          <w:highlight w:val="none"/>
        </w:rPr>
      </w:pPr>
    </w:p>
    <w:p w14:paraId="245EE24D">
      <w:pPr>
        <w:rPr>
          <w:rFonts w:ascii="宋体" w:hAnsi="宋体" w:cs="宋体"/>
          <w:color w:val="auto"/>
          <w:highlight w:val="none"/>
        </w:rPr>
      </w:pPr>
      <w:r>
        <w:rPr>
          <w:rFonts w:hint="eastAsia" w:ascii="宋体" w:hAnsi="宋体" w:cs="宋体"/>
          <w:color w:val="auto"/>
          <w:szCs w:val="21"/>
          <w:highlight w:val="none"/>
        </w:rPr>
        <w:t>（注：一式两份，开标时自行准备，不封装在投标文件中，须盖章签字。最后报价未准备分项价格表（工程量清单报价），按最后报价同比例下浮调整，最后报价时如未提供分项报价表的，成交供应商在领取成交通知书时提供最后报价纸质版两份及电子版1份。）</w:t>
      </w:r>
    </w:p>
    <w:p w14:paraId="7DBD2F7F">
      <w:pPr>
        <w:rPr>
          <w:color w:val="auto"/>
          <w:highlight w:val="none"/>
        </w:rPr>
      </w:pPr>
    </w:p>
    <w:p w14:paraId="1953913B">
      <w:pPr>
        <w:rPr>
          <w:color w:val="auto"/>
          <w:highlight w:val="none"/>
        </w:rPr>
      </w:pPr>
    </w:p>
    <w:p w14:paraId="2BC1B5EC">
      <w:pPr>
        <w:rPr>
          <w:color w:val="auto"/>
          <w:highlight w:val="none"/>
        </w:rPr>
      </w:pPr>
    </w:p>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方正小标宋_GBK">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KSOFF9CBECC6">
    <w:panose1 w:val="02010609060101010101"/>
    <w:charset w:val="86"/>
    <w:family w:val="auto"/>
    <w:pitch w:val="default"/>
    <w:sig w:usb0="00000001" w:usb1="00000000" w:usb2="00000000"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KSOF4C763281">
    <w:panose1 w:val="020B0503020204020204"/>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29153A75">
    <w:panose1 w:val="020B0502040204020203"/>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5803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AB5E">
    <w:pPr>
      <w:pStyle w:val="28"/>
      <w:framePr w:wrap="around" w:vAnchor="text" w:hAnchor="margin" w:xAlign="right" w:y="1"/>
      <w:rPr>
        <w:rStyle w:val="36"/>
      </w:rPr>
    </w:pPr>
    <w:r>
      <w:fldChar w:fldCharType="begin"/>
    </w:r>
    <w:r>
      <w:rPr>
        <w:rStyle w:val="36"/>
      </w:rPr>
      <w:instrText xml:space="preserve">PAGE  </w:instrText>
    </w:r>
    <w:r>
      <w:fldChar w:fldCharType="end"/>
    </w:r>
  </w:p>
  <w:p w14:paraId="153140F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F9B9">
    <w:pPr>
      <w:pStyle w:val="28"/>
      <w:jc w:val="center"/>
    </w:pPr>
    <w:r>
      <w:fldChar w:fldCharType="begin"/>
    </w:r>
    <w:r>
      <w:instrText xml:space="preserve">PAGE   \* MERGEFORMAT</w:instrText>
    </w:r>
    <w:r>
      <w:fldChar w:fldCharType="separate"/>
    </w:r>
    <w:r>
      <w:rPr>
        <w:lang w:val="zh-CN"/>
      </w:rPr>
      <w:t>60</w:t>
    </w:r>
    <w:r>
      <w:rPr>
        <w:lang w:val="zh-CN"/>
      </w:rPr>
      <w:fldChar w:fldCharType="end"/>
    </w:r>
  </w:p>
  <w:p w14:paraId="13EA5A02">
    <w:pPr>
      <w:pStyle w:val="28"/>
      <w:rPr>
        <w:rFonts w:hint="default" w:eastAsia="宋体"/>
        <w:lang w:val="en-US" w:eastAsia="zh-CN"/>
      </w:rPr>
    </w:pPr>
    <w:r>
      <w:rPr>
        <w:rFonts w:hint="eastAsia"/>
        <w:lang w:eastAsia="zh-CN"/>
      </w:rPr>
      <w:t>智埔国际建设集团有限公司</w:t>
    </w:r>
    <w:r>
      <w:rPr>
        <w:rFonts w:hint="eastAsia"/>
      </w:rPr>
      <w:t xml:space="preserve">                                                      0731-</w:t>
    </w:r>
    <w:r>
      <w:rPr>
        <w:rFonts w:hint="eastAsia"/>
        <w:lang w:val="en-US" w:eastAsia="zh-CN"/>
      </w:rPr>
      <w:t>89670268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75DD">
    <w:pPr>
      <w:pStyle w:val="28"/>
      <w:framePr w:wrap="around" w:vAnchor="text" w:hAnchor="margin" w:xAlign="right" w:y="1"/>
      <w:rPr>
        <w:rStyle w:val="36"/>
      </w:rPr>
    </w:pPr>
    <w:r>
      <w:fldChar w:fldCharType="begin"/>
    </w:r>
    <w:r>
      <w:rPr>
        <w:rStyle w:val="36"/>
      </w:rPr>
      <w:instrText xml:space="preserve">PAGE  </w:instrText>
    </w:r>
    <w:r>
      <w:fldChar w:fldCharType="end"/>
    </w:r>
  </w:p>
  <w:p w14:paraId="35665716">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66B0C">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A83D3">
    <w:pPr>
      <w:pStyle w:val="26"/>
      <w:pBdr>
        <w:bottom w:val="single" w:color="auto" w:sz="4" w:space="0"/>
      </w:pBdr>
      <w:jc w:val="left"/>
      <w:rPr>
        <w:rFonts w:ascii="宋体" w:hAnsi="宋体" w:cs="宋体"/>
        <w:sz w:val="15"/>
        <w:szCs w:val="15"/>
      </w:rPr>
    </w:pPr>
    <w:r>
      <w:rPr>
        <w:rFonts w:hint="eastAsia" w:ascii="宋体" w:hAnsi="宋体" w:cs="宋体"/>
        <w:sz w:val="15"/>
        <w:szCs w:val="15"/>
        <w:lang w:eastAsia="zh-CN"/>
      </w:rPr>
      <w:t>岭南连接通道拓宽及护坡加固项目</w:t>
    </w:r>
    <w:r>
      <w:rPr>
        <w:rFonts w:hint="eastAsia" w:ascii="宋体" w:hAnsi="宋体" w:cs="宋体"/>
        <w:sz w:val="15"/>
        <w:szCs w:val="15"/>
      </w:rPr>
      <w:t xml:space="preserve">                               </w:t>
    </w:r>
    <w:r>
      <w:rPr>
        <w:rFonts w:hint="eastAsia" w:ascii="宋体" w:hAnsi="宋体" w:cs="宋体"/>
        <w:sz w:val="15"/>
        <w:szCs w:val="15"/>
        <w:lang w:val="en-US" w:eastAsia="zh-CN"/>
      </w:rPr>
      <w:t xml:space="preserve">    </w:t>
    </w:r>
    <w:r>
      <w:rPr>
        <w:rFonts w:hint="eastAsia" w:ascii="宋体" w:hAnsi="宋体" w:cs="宋体"/>
        <w:sz w:val="15"/>
        <w:szCs w:val="15"/>
      </w:rPr>
      <w:t xml:space="preserve">                            竞争性磋商文件</w:t>
    </w:r>
  </w:p>
  <w:p w14:paraId="24860BEF">
    <w:pPr>
      <w:pStyle w:val="26"/>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FFEB">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6F01">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8E88"/>
    <w:multiLevelType w:val="singleLevel"/>
    <w:tmpl w:val="B8BC8E88"/>
    <w:lvl w:ilvl="0" w:tentative="0">
      <w:start w:val="1"/>
      <w:numFmt w:val="decimal"/>
      <w:pStyle w:val="9"/>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52"/>
    <w:rsid w:val="000C4619"/>
    <w:rsid w:val="000D10FC"/>
    <w:rsid w:val="001F4716"/>
    <w:rsid w:val="00336174"/>
    <w:rsid w:val="004F6852"/>
    <w:rsid w:val="00645991"/>
    <w:rsid w:val="008611DB"/>
    <w:rsid w:val="00B72682"/>
    <w:rsid w:val="00D72DF9"/>
    <w:rsid w:val="00F069D8"/>
    <w:rsid w:val="00F777AD"/>
    <w:rsid w:val="013A6022"/>
    <w:rsid w:val="014A7AD2"/>
    <w:rsid w:val="026E7FF4"/>
    <w:rsid w:val="02BC5DDD"/>
    <w:rsid w:val="036C4650"/>
    <w:rsid w:val="04D35E07"/>
    <w:rsid w:val="06810724"/>
    <w:rsid w:val="069C2CA2"/>
    <w:rsid w:val="08085671"/>
    <w:rsid w:val="09150170"/>
    <w:rsid w:val="098560BB"/>
    <w:rsid w:val="09DB4F16"/>
    <w:rsid w:val="0D366907"/>
    <w:rsid w:val="0D3748DA"/>
    <w:rsid w:val="0D4E3C51"/>
    <w:rsid w:val="0E3E6923"/>
    <w:rsid w:val="0E6574A4"/>
    <w:rsid w:val="0E670F94"/>
    <w:rsid w:val="0E966C21"/>
    <w:rsid w:val="0EC12DAD"/>
    <w:rsid w:val="0F60532F"/>
    <w:rsid w:val="108C464C"/>
    <w:rsid w:val="109B71AD"/>
    <w:rsid w:val="10C2608D"/>
    <w:rsid w:val="119F0F1F"/>
    <w:rsid w:val="13691456"/>
    <w:rsid w:val="14101C60"/>
    <w:rsid w:val="146F7B38"/>
    <w:rsid w:val="14FB646C"/>
    <w:rsid w:val="186500A0"/>
    <w:rsid w:val="18C35510"/>
    <w:rsid w:val="199D3F96"/>
    <w:rsid w:val="19C57049"/>
    <w:rsid w:val="19F811CC"/>
    <w:rsid w:val="1A750A6F"/>
    <w:rsid w:val="1AF000F5"/>
    <w:rsid w:val="1B915731"/>
    <w:rsid w:val="1BF105C9"/>
    <w:rsid w:val="1C480284"/>
    <w:rsid w:val="1FEB532F"/>
    <w:rsid w:val="20F87D04"/>
    <w:rsid w:val="213A66BA"/>
    <w:rsid w:val="218D331D"/>
    <w:rsid w:val="22BE0ABF"/>
    <w:rsid w:val="231352C9"/>
    <w:rsid w:val="23842904"/>
    <w:rsid w:val="24E52C95"/>
    <w:rsid w:val="25E71DBD"/>
    <w:rsid w:val="25FC67F4"/>
    <w:rsid w:val="273A5DCF"/>
    <w:rsid w:val="299D58EC"/>
    <w:rsid w:val="29D357B2"/>
    <w:rsid w:val="2A063491"/>
    <w:rsid w:val="2AEA2DB3"/>
    <w:rsid w:val="2BC76C50"/>
    <w:rsid w:val="2CB44DD0"/>
    <w:rsid w:val="2CFD2F0E"/>
    <w:rsid w:val="2D8B1F1F"/>
    <w:rsid w:val="2DC86CB0"/>
    <w:rsid w:val="2DF72AC3"/>
    <w:rsid w:val="2EDF0755"/>
    <w:rsid w:val="30C94352"/>
    <w:rsid w:val="30D047F9"/>
    <w:rsid w:val="313528AE"/>
    <w:rsid w:val="31807FCD"/>
    <w:rsid w:val="32024E86"/>
    <w:rsid w:val="322D17D7"/>
    <w:rsid w:val="348F6392"/>
    <w:rsid w:val="34B63D06"/>
    <w:rsid w:val="352D563E"/>
    <w:rsid w:val="36A34CD1"/>
    <w:rsid w:val="375C35D8"/>
    <w:rsid w:val="37791525"/>
    <w:rsid w:val="37EA43F2"/>
    <w:rsid w:val="37FA215C"/>
    <w:rsid w:val="397D1296"/>
    <w:rsid w:val="3BB75F34"/>
    <w:rsid w:val="3C491490"/>
    <w:rsid w:val="3CDB07AE"/>
    <w:rsid w:val="3D332398"/>
    <w:rsid w:val="3D8370D5"/>
    <w:rsid w:val="3F0D6C18"/>
    <w:rsid w:val="40183AC7"/>
    <w:rsid w:val="410B7CE8"/>
    <w:rsid w:val="413C5593"/>
    <w:rsid w:val="42124D9E"/>
    <w:rsid w:val="42276243"/>
    <w:rsid w:val="429A4C67"/>
    <w:rsid w:val="45286FCB"/>
    <w:rsid w:val="464B6514"/>
    <w:rsid w:val="467B6B5D"/>
    <w:rsid w:val="47347438"/>
    <w:rsid w:val="475C073D"/>
    <w:rsid w:val="481E2A7E"/>
    <w:rsid w:val="49793828"/>
    <w:rsid w:val="4A3643D9"/>
    <w:rsid w:val="4B2E419E"/>
    <w:rsid w:val="4B4E65EF"/>
    <w:rsid w:val="4B913CF9"/>
    <w:rsid w:val="4CE54D31"/>
    <w:rsid w:val="4DB2698E"/>
    <w:rsid w:val="4DE942C8"/>
    <w:rsid w:val="4E4D5283"/>
    <w:rsid w:val="528F0B6C"/>
    <w:rsid w:val="53032F5F"/>
    <w:rsid w:val="55C50BA7"/>
    <w:rsid w:val="55F85769"/>
    <w:rsid w:val="565F3DA6"/>
    <w:rsid w:val="570861EB"/>
    <w:rsid w:val="5762179D"/>
    <w:rsid w:val="582232DD"/>
    <w:rsid w:val="582D36E3"/>
    <w:rsid w:val="598D4D11"/>
    <w:rsid w:val="5BD42B40"/>
    <w:rsid w:val="5BFD3E45"/>
    <w:rsid w:val="5C1949F7"/>
    <w:rsid w:val="5D8F6D1E"/>
    <w:rsid w:val="5DC6470A"/>
    <w:rsid w:val="5E5E2B95"/>
    <w:rsid w:val="5E677C9B"/>
    <w:rsid w:val="5FA97E40"/>
    <w:rsid w:val="60A21B7C"/>
    <w:rsid w:val="626369CC"/>
    <w:rsid w:val="62E55633"/>
    <w:rsid w:val="62FE5835"/>
    <w:rsid w:val="634A5777"/>
    <w:rsid w:val="63540551"/>
    <w:rsid w:val="63CC234F"/>
    <w:rsid w:val="64A15589"/>
    <w:rsid w:val="65B8407E"/>
    <w:rsid w:val="65FC4C1F"/>
    <w:rsid w:val="665315B2"/>
    <w:rsid w:val="66825770"/>
    <w:rsid w:val="68161650"/>
    <w:rsid w:val="685B270F"/>
    <w:rsid w:val="69205616"/>
    <w:rsid w:val="69CC30A8"/>
    <w:rsid w:val="6AC326A3"/>
    <w:rsid w:val="6C8842A2"/>
    <w:rsid w:val="6E8B52E0"/>
    <w:rsid w:val="71502D51"/>
    <w:rsid w:val="715D3475"/>
    <w:rsid w:val="71844269"/>
    <w:rsid w:val="71C034F3"/>
    <w:rsid w:val="7400051E"/>
    <w:rsid w:val="746F2544"/>
    <w:rsid w:val="769767EC"/>
    <w:rsid w:val="76A224C6"/>
    <w:rsid w:val="76A315AA"/>
    <w:rsid w:val="77025613"/>
    <w:rsid w:val="773B7651"/>
    <w:rsid w:val="78D1021F"/>
    <w:rsid w:val="793D4098"/>
    <w:rsid w:val="7B7D2454"/>
    <w:rsid w:val="7BB5765B"/>
    <w:rsid w:val="7BE10C35"/>
    <w:rsid w:val="7DA8799E"/>
    <w:rsid w:val="7E36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qFormat="1"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uiPriority="99" w:name="HTML Typewriter"/>
    <w:lsdException w:qFormat="1"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autoRedefine/>
    <w:qFormat/>
    <w:uiPriority w:val="0"/>
    <w:pPr>
      <w:keepNext/>
      <w:jc w:val="center"/>
      <w:outlineLvl w:val="0"/>
    </w:pPr>
    <w:rPr>
      <w:rFonts w:ascii="Calibri" w:hAnsi="Calibri"/>
      <w:b/>
      <w:bCs/>
      <w:sz w:val="24"/>
      <w:szCs w:val="20"/>
    </w:rPr>
  </w:style>
  <w:style w:type="paragraph" w:styleId="5">
    <w:name w:val="heading 2"/>
    <w:basedOn w:val="1"/>
    <w:next w:val="1"/>
    <w:link w:val="42"/>
    <w:autoRedefine/>
    <w:qFormat/>
    <w:uiPriority w:val="0"/>
    <w:pPr>
      <w:keepNext/>
      <w:keepLines/>
      <w:spacing w:line="360" w:lineRule="auto"/>
      <w:outlineLvl w:val="1"/>
    </w:pPr>
    <w:rPr>
      <w:rFonts w:ascii="Arial" w:hAnsi="Arial"/>
      <w:b/>
      <w:bCs/>
      <w:sz w:val="24"/>
      <w:szCs w:val="32"/>
    </w:rPr>
  </w:style>
  <w:style w:type="paragraph" w:styleId="6">
    <w:name w:val="heading 3"/>
    <w:basedOn w:val="1"/>
    <w:next w:val="1"/>
    <w:link w:val="43"/>
    <w:autoRedefine/>
    <w:qFormat/>
    <w:uiPriority w:val="0"/>
    <w:pPr>
      <w:keepNext/>
      <w:keepLines/>
      <w:spacing w:before="260" w:after="260" w:line="416" w:lineRule="auto"/>
      <w:outlineLvl w:val="2"/>
    </w:pPr>
    <w:rPr>
      <w:rFonts w:ascii="Calibri" w:hAnsi="Calibri"/>
      <w:b/>
      <w:bCs/>
      <w:sz w:val="32"/>
      <w:szCs w:val="32"/>
    </w:rPr>
  </w:style>
  <w:style w:type="paragraph" w:styleId="7">
    <w:name w:val="heading 4"/>
    <w:basedOn w:val="1"/>
    <w:next w:val="1"/>
    <w:link w:val="44"/>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9"/>
    <w:next w:val="10"/>
    <w:link w:val="45"/>
    <w:autoRedefine/>
    <w:qFormat/>
    <w:uiPriority w:val="0"/>
    <w:pPr>
      <w:keepNext/>
      <w:keepLines/>
      <w:tabs>
        <w:tab w:val="left" w:pos="780"/>
      </w:tabs>
      <w:adjustRightInd w:val="0"/>
      <w:spacing w:before="280" w:after="290" w:line="376" w:lineRule="atLeast"/>
      <w:jc w:val="left"/>
      <w:textAlignment w:val="baseline"/>
      <w:outlineLvl w:val="4"/>
    </w:pPr>
    <w:rPr>
      <w:rFonts w:ascii="Calibri" w:hAnsi="Calibri"/>
      <w:b/>
      <w:bCs/>
      <w:kern w:val="0"/>
      <w:sz w:val="28"/>
      <w:szCs w:val="28"/>
    </w:rPr>
  </w:style>
  <w:style w:type="paragraph" w:styleId="11">
    <w:name w:val="heading 6"/>
    <w:basedOn w:val="1"/>
    <w:next w:val="1"/>
    <w:link w:val="46"/>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47"/>
    <w:autoRedefine/>
    <w:qFormat/>
    <w:uiPriority w:val="0"/>
    <w:pPr>
      <w:keepNext/>
      <w:keepLines/>
      <w:adjustRightInd w:val="0"/>
      <w:spacing w:before="240" w:after="64" w:line="320" w:lineRule="atLeast"/>
      <w:jc w:val="left"/>
      <w:textAlignment w:val="baseline"/>
      <w:outlineLvl w:val="6"/>
    </w:pPr>
    <w:rPr>
      <w:rFonts w:ascii="Calibri" w:hAnsi="Calibri"/>
      <w:b/>
      <w:bCs/>
      <w:kern w:val="0"/>
      <w:sz w:val="24"/>
    </w:rPr>
  </w:style>
  <w:style w:type="paragraph" w:styleId="13">
    <w:name w:val="heading 8"/>
    <w:basedOn w:val="1"/>
    <w:next w:val="1"/>
    <w:link w:val="48"/>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49"/>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40"/>
    <w:autoRedefine/>
    <w:unhideWhenUsed/>
    <w:qFormat/>
    <w:uiPriority w:val="99"/>
    <w:pPr>
      <w:ind w:firstLine="420" w:firstLineChars="200"/>
    </w:pPr>
    <w:rPr>
      <w:rFonts w:ascii="Calibri" w:hAnsi="Calibri"/>
    </w:rPr>
  </w:style>
  <w:style w:type="paragraph" w:styleId="3">
    <w:name w:val="Body Text Indent"/>
    <w:basedOn w:val="1"/>
    <w:next w:val="2"/>
    <w:link w:val="39"/>
    <w:unhideWhenUsed/>
    <w:qFormat/>
    <w:uiPriority w:val="0"/>
    <w:pPr>
      <w:spacing w:after="120"/>
      <w:ind w:left="420" w:leftChars="200"/>
    </w:pPr>
  </w:style>
  <w:style w:type="paragraph" w:styleId="9">
    <w:name w:val="List Number 2"/>
    <w:basedOn w:val="1"/>
    <w:semiHidden/>
    <w:unhideWhenUsed/>
    <w:qFormat/>
    <w:uiPriority w:val="99"/>
    <w:pPr>
      <w:numPr>
        <w:ilvl w:val="0"/>
        <w:numId w:val="1"/>
      </w:numPr>
    </w:p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Normal Indent"/>
    <w:basedOn w:val="1"/>
    <w:next w:val="16"/>
    <w:qFormat/>
    <w:uiPriority w:val="0"/>
    <w:pPr>
      <w:widowControl/>
      <w:ind w:firstLine="420"/>
      <w:jc w:val="left"/>
    </w:pPr>
    <w:rPr>
      <w:kern w:val="0"/>
      <w:sz w:val="20"/>
      <w:szCs w:val="20"/>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7">
    <w:name w:val="Document Map"/>
    <w:basedOn w:val="1"/>
    <w:link w:val="52"/>
    <w:autoRedefine/>
    <w:semiHidden/>
    <w:qFormat/>
    <w:uiPriority w:val="0"/>
    <w:pPr>
      <w:shd w:val="clear" w:color="auto" w:fill="000080"/>
    </w:pPr>
  </w:style>
  <w:style w:type="paragraph" w:styleId="18">
    <w:name w:val="annotation text"/>
    <w:basedOn w:val="1"/>
    <w:link w:val="53"/>
    <w:autoRedefine/>
    <w:semiHidden/>
    <w:qFormat/>
    <w:uiPriority w:val="0"/>
    <w:pPr>
      <w:jc w:val="left"/>
    </w:pPr>
    <w:rPr>
      <w:rFonts w:asciiTheme="minorHAnsi" w:hAnsiTheme="minorHAnsi" w:cstheme="minorBidi"/>
    </w:rPr>
  </w:style>
  <w:style w:type="paragraph" w:styleId="19">
    <w:name w:val="Salutation"/>
    <w:basedOn w:val="1"/>
    <w:next w:val="1"/>
    <w:link w:val="55"/>
    <w:autoRedefine/>
    <w:qFormat/>
    <w:uiPriority w:val="0"/>
    <w:rPr>
      <w:rFonts w:ascii="仿宋_GB2312" w:eastAsia="仿宋_GB2312"/>
      <w:sz w:val="24"/>
    </w:rPr>
  </w:style>
  <w:style w:type="paragraph" w:styleId="20">
    <w:name w:val="Body Text 3"/>
    <w:basedOn w:val="1"/>
    <w:link w:val="56"/>
    <w:autoRedefine/>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22"/>
    <w:link w:val="57"/>
    <w:autoRedefine/>
    <w:qFormat/>
    <w:uiPriority w:val="0"/>
    <w:pPr>
      <w:spacing w:after="120"/>
    </w:pPr>
  </w:style>
  <w:style w:type="paragraph" w:styleId="22">
    <w:name w:val="Quote"/>
    <w:next w:val="1"/>
    <w:link w:val="58"/>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3">
    <w:name w:val="Plain Text"/>
    <w:basedOn w:val="1"/>
    <w:link w:val="59"/>
    <w:autoRedefine/>
    <w:qFormat/>
    <w:uiPriority w:val="0"/>
    <w:rPr>
      <w:rFonts w:ascii="宋体" w:hAnsi="Courier New" w:cs="Courier New"/>
      <w:szCs w:val="21"/>
    </w:rPr>
  </w:style>
  <w:style w:type="paragraph" w:styleId="24">
    <w:name w:val="Date"/>
    <w:basedOn w:val="1"/>
    <w:next w:val="1"/>
    <w:link w:val="60"/>
    <w:autoRedefine/>
    <w:qFormat/>
    <w:uiPriority w:val="0"/>
    <w:rPr>
      <w:rFonts w:asciiTheme="minorHAnsi" w:hAnsiTheme="minorHAnsi" w:cstheme="minorBidi"/>
      <w:sz w:val="24"/>
      <w:szCs w:val="22"/>
    </w:rPr>
  </w:style>
  <w:style w:type="paragraph" w:styleId="25">
    <w:name w:val="Body Text Indent 2"/>
    <w:basedOn w:val="1"/>
    <w:next w:val="26"/>
    <w:link w:val="50"/>
    <w:autoRedefine/>
    <w:qFormat/>
    <w:uiPriority w:val="0"/>
    <w:pPr>
      <w:spacing w:after="120" w:line="480" w:lineRule="auto"/>
      <w:ind w:left="420" w:leftChars="200"/>
    </w:pPr>
  </w:style>
  <w:style w:type="paragraph" w:styleId="26">
    <w:name w:val="header"/>
    <w:basedOn w:val="1"/>
    <w:link w:val="5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Balloon Text"/>
    <w:basedOn w:val="1"/>
    <w:link w:val="61"/>
    <w:autoRedefine/>
    <w:qFormat/>
    <w:uiPriority w:val="0"/>
    <w:rPr>
      <w:rFonts w:ascii="Calibri" w:hAnsi="Calibri" w:cstheme="minorBidi"/>
      <w:sz w:val="18"/>
      <w:szCs w:val="18"/>
    </w:rPr>
  </w:style>
  <w:style w:type="paragraph" w:styleId="28">
    <w:name w:val="footer"/>
    <w:basedOn w:val="1"/>
    <w:link w:val="62"/>
    <w:autoRedefine/>
    <w:unhideWhenUsed/>
    <w:qFormat/>
    <w:uiPriority w:val="99"/>
    <w:pPr>
      <w:tabs>
        <w:tab w:val="center" w:pos="4153"/>
        <w:tab w:val="right" w:pos="8306"/>
      </w:tabs>
      <w:snapToGrid w:val="0"/>
      <w:jc w:val="left"/>
    </w:pPr>
    <w:rPr>
      <w:sz w:val="18"/>
      <w:szCs w:val="18"/>
    </w:rPr>
  </w:style>
  <w:style w:type="paragraph" w:styleId="29">
    <w:name w:val="Body Text Indent 3"/>
    <w:basedOn w:val="1"/>
    <w:link w:val="63"/>
    <w:autoRedefine/>
    <w:qFormat/>
    <w:uiPriority w:val="0"/>
    <w:pPr>
      <w:spacing w:after="120"/>
      <w:ind w:left="420" w:leftChars="200"/>
    </w:pPr>
    <w:rPr>
      <w:rFonts w:asciiTheme="minorHAnsi" w:hAnsiTheme="minorHAnsi" w:cstheme="minorBidi"/>
      <w:sz w:val="16"/>
      <w:szCs w:val="16"/>
    </w:rPr>
  </w:style>
  <w:style w:type="paragraph" w:styleId="30">
    <w:name w:val="Body Text 2"/>
    <w:basedOn w:val="1"/>
    <w:link w:val="64"/>
    <w:autoRedefine/>
    <w:qFormat/>
    <w:uiPriority w:val="0"/>
    <w:pPr>
      <w:spacing w:after="120" w:line="480" w:lineRule="auto"/>
    </w:pPr>
  </w:style>
  <w:style w:type="paragraph" w:styleId="31">
    <w:name w:val="HTML Preformatted"/>
    <w:basedOn w:val="1"/>
    <w:link w:val="6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2">
    <w:name w:val="Title"/>
    <w:basedOn w:val="1"/>
    <w:next w:val="1"/>
    <w:link w:val="66"/>
    <w:autoRedefine/>
    <w:qFormat/>
    <w:uiPriority w:val="0"/>
    <w:pPr>
      <w:spacing w:before="240" w:after="60"/>
      <w:jc w:val="center"/>
      <w:outlineLvl w:val="0"/>
    </w:pPr>
    <w:rPr>
      <w:rFonts w:ascii="Cambria" w:hAnsi="Cambria"/>
      <w:b/>
      <w:sz w:val="32"/>
    </w:rPr>
  </w:style>
  <w:style w:type="paragraph" w:styleId="33">
    <w:name w:val="annotation subject"/>
    <w:basedOn w:val="18"/>
    <w:next w:val="1"/>
    <w:link w:val="67"/>
    <w:autoRedefine/>
    <w:qFormat/>
    <w:uiPriority w:val="0"/>
    <w:rPr>
      <w:b/>
      <w:bCs/>
    </w:rPr>
  </w:style>
  <w:style w:type="character" w:styleId="36">
    <w:name w:val="page number"/>
    <w:basedOn w:val="35"/>
    <w:autoRedefine/>
    <w:qFormat/>
    <w:uiPriority w:val="0"/>
  </w:style>
  <w:style w:type="paragraph" w:customStyle="1" w:styleId="37">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38">
    <w:name w:val="标题 1 字符"/>
    <w:basedOn w:val="35"/>
    <w:link w:val="4"/>
    <w:qFormat/>
    <w:uiPriority w:val="0"/>
    <w:rPr>
      <w:rFonts w:ascii="Calibri" w:hAnsi="Calibri" w:eastAsia="宋体" w:cs="Times New Roman"/>
      <w:b/>
      <w:bCs/>
      <w:sz w:val="24"/>
      <w:szCs w:val="20"/>
    </w:rPr>
  </w:style>
  <w:style w:type="character" w:customStyle="1" w:styleId="39">
    <w:name w:val="正文文本缩进 字符"/>
    <w:basedOn w:val="35"/>
    <w:link w:val="3"/>
    <w:semiHidden/>
    <w:qFormat/>
    <w:uiPriority w:val="99"/>
    <w:rPr>
      <w:rFonts w:ascii="Times New Roman" w:hAnsi="Times New Roman" w:eastAsia="宋体" w:cs="Times New Roman"/>
      <w:szCs w:val="24"/>
    </w:rPr>
  </w:style>
  <w:style w:type="character" w:customStyle="1" w:styleId="40">
    <w:name w:val="正文首行缩进 2 字符"/>
    <w:basedOn w:val="39"/>
    <w:link w:val="2"/>
    <w:qFormat/>
    <w:uiPriority w:val="99"/>
    <w:rPr>
      <w:rFonts w:ascii="Calibri" w:hAnsi="Calibri" w:eastAsia="宋体" w:cs="Times New Roman"/>
      <w:szCs w:val="24"/>
    </w:rPr>
  </w:style>
  <w:style w:type="character" w:customStyle="1" w:styleId="41">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42">
    <w:name w:val="标题 2 字符"/>
    <w:basedOn w:val="35"/>
    <w:link w:val="5"/>
    <w:qFormat/>
    <w:uiPriority w:val="0"/>
    <w:rPr>
      <w:rFonts w:ascii="Arial" w:hAnsi="Arial" w:eastAsia="宋体" w:cs="Times New Roman"/>
      <w:b/>
      <w:bCs/>
      <w:sz w:val="24"/>
      <w:szCs w:val="32"/>
    </w:rPr>
  </w:style>
  <w:style w:type="character" w:customStyle="1" w:styleId="43">
    <w:name w:val="标题 3 字符"/>
    <w:basedOn w:val="35"/>
    <w:link w:val="6"/>
    <w:qFormat/>
    <w:uiPriority w:val="0"/>
    <w:rPr>
      <w:rFonts w:ascii="Calibri" w:hAnsi="Calibri" w:eastAsia="宋体" w:cs="Times New Roman"/>
      <w:b/>
      <w:bCs/>
      <w:sz w:val="32"/>
      <w:szCs w:val="32"/>
    </w:rPr>
  </w:style>
  <w:style w:type="character" w:customStyle="1" w:styleId="44">
    <w:name w:val="标题 4 字符"/>
    <w:basedOn w:val="35"/>
    <w:link w:val="7"/>
    <w:qFormat/>
    <w:uiPriority w:val="0"/>
    <w:rPr>
      <w:rFonts w:ascii="Arial" w:hAnsi="Arial" w:eastAsia="黑体" w:cs="Times New Roman"/>
      <w:b/>
      <w:bCs/>
      <w:sz w:val="28"/>
      <w:szCs w:val="28"/>
    </w:rPr>
  </w:style>
  <w:style w:type="character" w:customStyle="1" w:styleId="45">
    <w:name w:val="标题 5 字符"/>
    <w:basedOn w:val="35"/>
    <w:link w:val="8"/>
    <w:qFormat/>
    <w:uiPriority w:val="0"/>
    <w:rPr>
      <w:rFonts w:ascii="Calibri" w:hAnsi="Calibri" w:eastAsia="宋体" w:cs="Times New Roman"/>
      <w:b/>
      <w:bCs/>
      <w:kern w:val="0"/>
      <w:sz w:val="28"/>
      <w:szCs w:val="28"/>
    </w:rPr>
  </w:style>
  <w:style w:type="character" w:customStyle="1" w:styleId="46">
    <w:name w:val="标题 6 字符"/>
    <w:basedOn w:val="35"/>
    <w:link w:val="11"/>
    <w:qFormat/>
    <w:uiPriority w:val="0"/>
    <w:rPr>
      <w:rFonts w:ascii="Arial" w:hAnsi="Arial" w:eastAsia="黑体" w:cs="Times New Roman"/>
      <w:b/>
      <w:bCs/>
      <w:kern w:val="0"/>
      <w:sz w:val="24"/>
      <w:szCs w:val="24"/>
    </w:rPr>
  </w:style>
  <w:style w:type="character" w:customStyle="1" w:styleId="47">
    <w:name w:val="标题 7 字符"/>
    <w:basedOn w:val="35"/>
    <w:link w:val="12"/>
    <w:qFormat/>
    <w:uiPriority w:val="0"/>
    <w:rPr>
      <w:rFonts w:ascii="Calibri" w:hAnsi="Calibri" w:eastAsia="宋体" w:cs="Times New Roman"/>
      <w:b/>
      <w:bCs/>
      <w:kern w:val="0"/>
      <w:sz w:val="24"/>
      <w:szCs w:val="24"/>
    </w:rPr>
  </w:style>
  <w:style w:type="character" w:customStyle="1" w:styleId="48">
    <w:name w:val="标题 8 字符"/>
    <w:basedOn w:val="35"/>
    <w:link w:val="13"/>
    <w:qFormat/>
    <w:uiPriority w:val="0"/>
    <w:rPr>
      <w:rFonts w:ascii="Arial" w:hAnsi="Arial" w:eastAsia="黑体" w:cs="Times New Roman"/>
      <w:kern w:val="0"/>
      <w:sz w:val="24"/>
      <w:szCs w:val="24"/>
    </w:rPr>
  </w:style>
  <w:style w:type="character" w:customStyle="1" w:styleId="49">
    <w:name w:val="标题 9 字符"/>
    <w:basedOn w:val="35"/>
    <w:link w:val="14"/>
    <w:qFormat/>
    <w:uiPriority w:val="0"/>
    <w:rPr>
      <w:rFonts w:ascii="Arial" w:hAnsi="Arial" w:eastAsia="黑体" w:cs="Times New Roman"/>
      <w:kern w:val="0"/>
      <w:szCs w:val="21"/>
    </w:rPr>
  </w:style>
  <w:style w:type="character" w:customStyle="1" w:styleId="50">
    <w:name w:val="正文文本缩进 2 字符"/>
    <w:basedOn w:val="35"/>
    <w:link w:val="25"/>
    <w:qFormat/>
    <w:uiPriority w:val="0"/>
    <w:rPr>
      <w:rFonts w:ascii="Times New Roman" w:hAnsi="Times New Roman" w:eastAsia="宋体" w:cs="Times New Roman"/>
      <w:szCs w:val="24"/>
    </w:rPr>
  </w:style>
  <w:style w:type="character" w:customStyle="1" w:styleId="51">
    <w:name w:val="页眉 字符"/>
    <w:basedOn w:val="35"/>
    <w:link w:val="26"/>
    <w:qFormat/>
    <w:uiPriority w:val="0"/>
    <w:rPr>
      <w:rFonts w:ascii="Times New Roman" w:hAnsi="Times New Roman" w:eastAsia="宋体" w:cs="Times New Roman"/>
      <w:sz w:val="18"/>
      <w:szCs w:val="18"/>
    </w:rPr>
  </w:style>
  <w:style w:type="character" w:customStyle="1" w:styleId="52">
    <w:name w:val="文档结构图 字符"/>
    <w:basedOn w:val="35"/>
    <w:link w:val="17"/>
    <w:semiHidden/>
    <w:qFormat/>
    <w:uiPriority w:val="0"/>
    <w:rPr>
      <w:rFonts w:ascii="Times New Roman" w:hAnsi="Times New Roman" w:eastAsia="宋体" w:cs="Times New Roman"/>
      <w:szCs w:val="24"/>
      <w:shd w:val="clear" w:color="auto" w:fill="000080"/>
    </w:rPr>
  </w:style>
  <w:style w:type="character" w:customStyle="1" w:styleId="53">
    <w:name w:val="批注文字 字符1"/>
    <w:link w:val="18"/>
    <w:autoRedefine/>
    <w:semiHidden/>
    <w:qFormat/>
    <w:uiPriority w:val="0"/>
    <w:rPr>
      <w:rFonts w:eastAsia="宋体"/>
      <w:szCs w:val="24"/>
    </w:rPr>
  </w:style>
  <w:style w:type="character" w:customStyle="1" w:styleId="54">
    <w:name w:val="批注文字 字符"/>
    <w:basedOn w:val="35"/>
    <w:qFormat/>
    <w:uiPriority w:val="0"/>
    <w:rPr>
      <w:rFonts w:ascii="Times New Roman" w:hAnsi="Times New Roman" w:eastAsia="宋体" w:cs="Times New Roman"/>
      <w:szCs w:val="24"/>
    </w:rPr>
  </w:style>
  <w:style w:type="character" w:customStyle="1" w:styleId="55">
    <w:name w:val="称呼 字符"/>
    <w:basedOn w:val="35"/>
    <w:link w:val="19"/>
    <w:qFormat/>
    <w:uiPriority w:val="0"/>
    <w:rPr>
      <w:rFonts w:ascii="仿宋_GB2312" w:hAnsi="Times New Roman" w:eastAsia="仿宋_GB2312" w:cs="Times New Roman"/>
      <w:sz w:val="24"/>
      <w:szCs w:val="24"/>
    </w:rPr>
  </w:style>
  <w:style w:type="character" w:customStyle="1" w:styleId="56">
    <w:name w:val="正文文本 3 字符"/>
    <w:basedOn w:val="35"/>
    <w:link w:val="20"/>
    <w:qFormat/>
    <w:uiPriority w:val="0"/>
    <w:rPr>
      <w:rFonts w:ascii="宋体" w:hAnsi="Times New Roman" w:eastAsia="宋体" w:cs="Times New Roman"/>
      <w:color w:val="000000"/>
      <w:kern w:val="0"/>
      <w:sz w:val="24"/>
      <w:szCs w:val="20"/>
    </w:rPr>
  </w:style>
  <w:style w:type="character" w:customStyle="1" w:styleId="57">
    <w:name w:val="正文文本 字符"/>
    <w:basedOn w:val="35"/>
    <w:link w:val="21"/>
    <w:qFormat/>
    <w:uiPriority w:val="0"/>
    <w:rPr>
      <w:rFonts w:ascii="Times New Roman" w:hAnsi="Times New Roman" w:eastAsia="宋体" w:cs="Times New Roman"/>
      <w:szCs w:val="24"/>
    </w:rPr>
  </w:style>
  <w:style w:type="character" w:customStyle="1" w:styleId="58">
    <w:name w:val="引用 字符"/>
    <w:basedOn w:val="35"/>
    <w:link w:val="22"/>
    <w:qFormat/>
    <w:uiPriority w:val="0"/>
    <w:rPr>
      <w:rFonts w:ascii="Times New Roman" w:hAnsi="Times New Roman" w:eastAsia="宋体" w:cs="Times New Roman"/>
      <w:i/>
      <w:kern w:val="0"/>
      <w:szCs w:val="20"/>
    </w:rPr>
  </w:style>
  <w:style w:type="character" w:customStyle="1" w:styleId="59">
    <w:name w:val="纯文本 字符"/>
    <w:basedOn w:val="35"/>
    <w:link w:val="23"/>
    <w:qFormat/>
    <w:uiPriority w:val="0"/>
    <w:rPr>
      <w:rFonts w:ascii="宋体" w:hAnsi="Courier New" w:eastAsia="宋体" w:cs="Courier New"/>
      <w:szCs w:val="21"/>
    </w:rPr>
  </w:style>
  <w:style w:type="character" w:customStyle="1" w:styleId="60">
    <w:name w:val="日期 字符"/>
    <w:basedOn w:val="35"/>
    <w:link w:val="24"/>
    <w:qFormat/>
    <w:uiPriority w:val="0"/>
    <w:rPr>
      <w:rFonts w:eastAsia="宋体"/>
      <w:sz w:val="24"/>
    </w:rPr>
  </w:style>
  <w:style w:type="character" w:customStyle="1" w:styleId="61">
    <w:name w:val="批注框文本 字符"/>
    <w:basedOn w:val="35"/>
    <w:link w:val="27"/>
    <w:qFormat/>
    <w:uiPriority w:val="0"/>
    <w:rPr>
      <w:rFonts w:ascii="Calibri" w:hAnsi="Calibri" w:eastAsia="宋体"/>
      <w:sz w:val="18"/>
      <w:szCs w:val="18"/>
    </w:rPr>
  </w:style>
  <w:style w:type="character" w:customStyle="1" w:styleId="62">
    <w:name w:val="页脚 字符"/>
    <w:basedOn w:val="35"/>
    <w:link w:val="28"/>
    <w:qFormat/>
    <w:uiPriority w:val="99"/>
    <w:rPr>
      <w:rFonts w:ascii="Times New Roman" w:hAnsi="Times New Roman" w:eastAsia="宋体" w:cs="Times New Roman"/>
      <w:sz w:val="18"/>
      <w:szCs w:val="18"/>
    </w:rPr>
  </w:style>
  <w:style w:type="character" w:customStyle="1" w:styleId="63">
    <w:name w:val="正文文本缩进 3 字符"/>
    <w:basedOn w:val="35"/>
    <w:link w:val="29"/>
    <w:qFormat/>
    <w:uiPriority w:val="0"/>
    <w:rPr>
      <w:rFonts w:eastAsia="宋体"/>
      <w:sz w:val="16"/>
      <w:szCs w:val="16"/>
    </w:rPr>
  </w:style>
  <w:style w:type="character" w:customStyle="1" w:styleId="64">
    <w:name w:val="正文文本 2 字符"/>
    <w:basedOn w:val="35"/>
    <w:link w:val="30"/>
    <w:qFormat/>
    <w:uiPriority w:val="0"/>
    <w:rPr>
      <w:rFonts w:ascii="Times New Roman" w:hAnsi="Times New Roman" w:eastAsia="宋体" w:cs="Times New Roman"/>
      <w:szCs w:val="24"/>
    </w:rPr>
  </w:style>
  <w:style w:type="character" w:customStyle="1" w:styleId="65">
    <w:name w:val="HTML 预设格式 字符"/>
    <w:basedOn w:val="35"/>
    <w:link w:val="31"/>
    <w:qFormat/>
    <w:uiPriority w:val="0"/>
    <w:rPr>
      <w:rFonts w:ascii="Arial" w:hAnsi="Arial" w:eastAsia="宋体" w:cs="Arial"/>
      <w:kern w:val="0"/>
      <w:sz w:val="24"/>
      <w:szCs w:val="24"/>
    </w:rPr>
  </w:style>
  <w:style w:type="character" w:customStyle="1" w:styleId="66">
    <w:name w:val="标题 字符"/>
    <w:basedOn w:val="35"/>
    <w:link w:val="32"/>
    <w:qFormat/>
    <w:uiPriority w:val="0"/>
    <w:rPr>
      <w:rFonts w:ascii="Cambria" w:hAnsi="Cambria" w:eastAsia="宋体" w:cs="Times New Roman"/>
      <w:b/>
      <w:sz w:val="32"/>
      <w:szCs w:val="24"/>
    </w:rPr>
  </w:style>
  <w:style w:type="character" w:customStyle="1" w:styleId="67">
    <w:name w:val="批注主题 字符"/>
    <w:basedOn w:val="54"/>
    <w:link w:val="33"/>
    <w:qFormat/>
    <w:uiPriority w:val="0"/>
    <w:rPr>
      <w:rFonts w:ascii="Times New Roman" w:hAnsi="Times New Roman" w:eastAsia="宋体" w:cs="Times New Roman"/>
      <w:b/>
      <w:bCs/>
      <w:szCs w:val="24"/>
    </w:rPr>
  </w:style>
  <w:style w:type="character" w:customStyle="1" w:styleId="68">
    <w:name w:val="p0 Char"/>
    <w:link w:val="69"/>
    <w:autoRedefine/>
    <w:qFormat/>
    <w:uiPriority w:val="0"/>
    <w:rPr>
      <w:rFonts w:eastAsia="宋体"/>
      <w:szCs w:val="21"/>
    </w:rPr>
  </w:style>
  <w:style w:type="paragraph" w:customStyle="1" w:styleId="69">
    <w:name w:val="p0"/>
    <w:basedOn w:val="1"/>
    <w:link w:val="68"/>
    <w:autoRedefine/>
    <w:qFormat/>
    <w:uiPriority w:val="0"/>
    <w:pPr>
      <w:widowControl/>
    </w:pPr>
    <w:rPr>
      <w:rFonts w:asciiTheme="minorHAnsi" w:hAnsiTheme="minorHAnsi" w:cstheme="minorBidi"/>
      <w:szCs w:val="21"/>
    </w:rPr>
  </w:style>
  <w:style w:type="character" w:customStyle="1" w:styleId="70">
    <w:name w:val="样式1 Char"/>
    <w:link w:val="71"/>
    <w:autoRedefine/>
    <w:qFormat/>
    <w:uiPriority w:val="0"/>
    <w:rPr>
      <w:rFonts w:ascii="宋体" w:hAnsi="宋体"/>
      <w:kern w:val="0"/>
      <w:szCs w:val="21"/>
    </w:rPr>
  </w:style>
  <w:style w:type="paragraph" w:customStyle="1" w:styleId="71">
    <w:name w:val="样式1"/>
    <w:basedOn w:val="1"/>
    <w:link w:val="70"/>
    <w:autoRedefine/>
    <w:qFormat/>
    <w:uiPriority w:val="0"/>
    <w:pPr>
      <w:tabs>
        <w:tab w:val="left" w:pos="360"/>
      </w:tabs>
      <w:adjustRightInd w:val="0"/>
      <w:ind w:left="360" w:hanging="360"/>
      <w:textAlignment w:val="baseline"/>
    </w:pPr>
    <w:rPr>
      <w:rFonts w:ascii="宋体" w:hAnsi="宋体" w:eastAsiaTheme="minorEastAsia" w:cstheme="minorBidi"/>
      <w:kern w:val="0"/>
      <w:szCs w:val="21"/>
    </w:rPr>
  </w:style>
  <w:style w:type="paragraph" w:customStyle="1" w:styleId="72">
    <w:name w:val="Normal_0"/>
    <w:qFormat/>
    <w:uiPriority w:val="0"/>
    <w:rPr>
      <w:rFonts w:ascii="Times New Roman" w:hAnsi="Times New Roman" w:eastAsia="Times New Roman" w:cs="Times New Roman"/>
      <w:sz w:val="24"/>
      <w:szCs w:val="24"/>
      <w:lang w:val="en-US" w:eastAsia="zh-CN" w:bidi="ar-SA"/>
    </w:rPr>
  </w:style>
  <w:style w:type="paragraph" w:customStyle="1" w:styleId="73">
    <w:name w:val="Normal_70"/>
    <w:qFormat/>
    <w:uiPriority w:val="0"/>
    <w:rPr>
      <w:rFonts w:ascii="Times New Roman" w:hAnsi="Times New Roman" w:eastAsia="Times New Roman" w:cs="Times New Roman"/>
      <w:sz w:val="24"/>
      <w:szCs w:val="24"/>
      <w:lang w:val="en-US" w:eastAsia="zh-CN" w:bidi="ar-SA"/>
    </w:rPr>
  </w:style>
  <w:style w:type="paragraph" w:customStyle="1" w:styleId="74">
    <w:name w:val="Normal_0_2"/>
    <w:qFormat/>
    <w:uiPriority w:val="0"/>
    <w:rPr>
      <w:rFonts w:ascii="Times New Roman" w:hAnsi="Times New Roman" w:eastAsia="Times New Roman" w:cs="Times New Roman"/>
      <w:sz w:val="24"/>
      <w:szCs w:val="24"/>
      <w:lang w:val="en-US" w:eastAsia="zh-CN" w:bidi="ar-SA"/>
    </w:rPr>
  </w:style>
  <w:style w:type="paragraph" w:customStyle="1" w:styleId="75">
    <w:name w:val="Table Paragraph"/>
    <w:basedOn w:val="1"/>
    <w:unhideWhenUsed/>
    <w:qFormat/>
    <w:uiPriority w:val="1"/>
    <w:rPr>
      <w:sz w:val="24"/>
    </w:rPr>
  </w:style>
  <w:style w:type="paragraph" w:customStyle="1" w:styleId="7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ontrol" Target="activeX/activeX2.xml"/><Relationship Id="rId14" Type="http://schemas.openxmlformats.org/officeDocument/2006/relationships/control" Target="activeX/activeX1.xml"/><Relationship Id="rId13" Type="http://schemas.openxmlformats.org/officeDocument/2006/relationships/image" Target="media/image2.wmf"/><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64</Pages>
  <Words>26083</Words>
  <Characters>27500</Characters>
  <Lines>242</Lines>
  <Paragraphs>68</Paragraphs>
  <TotalTime>21</TotalTime>
  <ScaleCrop>false</ScaleCrop>
  <LinksUpToDate>false</LinksUpToDate>
  <CharactersWithSpaces>28074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2024-12-25T14:13:00Z</dcterms:created>
  <dc:creator>Administrator</dc:creator>
  <cp:lastModifiedBy>小雨依然</cp:lastModifiedBy>
  <cp:lastPrinted>2024-12-25T13:42:00Z</cp:lastPrinted>
  <dcterms:modified xsi:type="dcterms:W3CDTF">2026-06-30T01:44:07Z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86DB255CE4DE472FAE0BD6D37D36FBC8_13</vt:lpwstr>
  </property>
  <property fmtid="{D5CDD505-2E9C-101B-9397-08002B2CF9AE}" pid="4" name="KSOTemplateDocerSaveRecord">
    <vt:lpwstr>eyJoZGlkIjoiZGQxMjIxODlmYzhkMTYwN2E0NGNhMTg5YmE5MmQ5YWUiLCJ1c2VySWQiOiIxMDMwMjg4ODc2In0=</vt:lpwstr>
  </property>
</Properties>
</file>