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outlineLvl w:val="9"/>
        <w:rPr>
          <w:rFonts w:hint="eastAsia" w:ascii="宋体" w:hAnsi="宋体" w:eastAsia="宋体" w:cs="宋体"/>
          <w:b/>
          <w:sz w:val="36"/>
          <w:szCs w:val="36"/>
          <w:highlight w:val="none"/>
          <w:lang w:eastAsia="zh-CN"/>
        </w:rPr>
      </w:pPr>
      <w:r>
        <w:rPr>
          <w:rFonts w:hint="eastAsia" w:ascii="宋体" w:hAnsi="宋体" w:eastAsia="宋体" w:cs="宋体"/>
          <w:sz w:val="28"/>
          <w:szCs w:val="28"/>
          <w:highlight w:val="none"/>
        </w:rPr>
        <w:t>采购合同编号：</w:t>
      </w:r>
      <w:r>
        <w:rPr>
          <w:rFonts w:hint="eastAsia" w:ascii="宋体" w:hAnsi="宋体" w:cs="宋体"/>
          <w:b w:val="0"/>
          <w:bCs w:val="0"/>
          <w:color w:val="auto"/>
          <w:sz w:val="21"/>
          <w:szCs w:val="21"/>
          <w:highlight w:val="none"/>
          <w:u w:val="single"/>
          <w:lang w:val="en-US" w:eastAsia="zh-CN"/>
        </w:rPr>
        <w:t>CGXM2026430000001808</w:t>
      </w:r>
    </w:p>
    <w:p>
      <w:pPr>
        <w:pStyle w:val="10"/>
        <w:rPr>
          <w:rFonts w:hint="eastAsia"/>
          <w:highlight w:val="none"/>
        </w:rPr>
      </w:pPr>
    </w:p>
    <w:p>
      <w:pPr>
        <w:rPr>
          <w:rFonts w:hint="eastAsia" w:ascii="宋体" w:hAnsi="宋体" w:eastAsia="宋体" w:cs="宋体"/>
          <w:sz w:val="28"/>
          <w:szCs w:val="28"/>
          <w:highlight w:val="none"/>
        </w:rPr>
      </w:pPr>
    </w:p>
    <w:p>
      <w:pPr>
        <w:jc w:val="center"/>
        <w:rPr>
          <w:rFonts w:hint="eastAsia" w:ascii="宋体" w:hAnsi="宋体" w:eastAsia="宋体" w:cs="宋体"/>
          <w:b/>
          <w:spacing w:val="100"/>
          <w:sz w:val="72"/>
          <w:szCs w:val="72"/>
          <w:highlight w:val="none"/>
        </w:rPr>
      </w:pPr>
      <w:r>
        <w:rPr>
          <w:rFonts w:hint="eastAsia" w:ascii="宋体" w:hAnsi="宋体" w:eastAsia="宋体" w:cs="宋体"/>
          <w:b/>
          <w:spacing w:val="100"/>
          <w:sz w:val="72"/>
          <w:szCs w:val="72"/>
          <w:highlight w:val="none"/>
        </w:rPr>
        <w:t>技术服务合同</w:t>
      </w: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spacing w:line="700" w:lineRule="exact"/>
        <w:ind w:firstLine="320" w:firstLineChars="100"/>
        <w:jc w:val="both"/>
        <w:rPr>
          <w:rFonts w:hint="eastAsia" w:ascii="宋体" w:hAnsi="宋体" w:eastAsia="宋体" w:cs="宋体"/>
          <w:bCs/>
          <w:sz w:val="32"/>
          <w:szCs w:val="32"/>
          <w:highlight w:val="none"/>
          <w:u w:val="single"/>
          <w:lang w:val="en-US" w:eastAsia="zh-CN"/>
        </w:rPr>
      </w:pPr>
      <w:r>
        <w:rPr>
          <w:rFonts w:hint="eastAsia" w:ascii="宋体" w:hAnsi="宋体" w:eastAsia="宋体" w:cs="宋体"/>
          <w:sz w:val="32"/>
          <w:szCs w:val="32"/>
          <w:highlight w:val="none"/>
        </w:rPr>
        <w:t>项目名称：</w:t>
      </w:r>
      <w:r>
        <w:rPr>
          <w:rFonts w:hint="eastAsia" w:ascii="宋体" w:hAnsi="宋体" w:eastAsia="宋体" w:cs="宋体"/>
          <w:bCs/>
          <w:sz w:val="32"/>
          <w:szCs w:val="32"/>
          <w:highlight w:val="none"/>
          <w:u w:val="single"/>
          <w:lang w:val="en-US" w:eastAsia="zh-CN"/>
        </w:rPr>
        <w:t>市县中小型水利工程质量监督抽检包1</w:t>
      </w:r>
    </w:p>
    <w:p>
      <w:pPr>
        <w:pStyle w:val="5"/>
        <w:outlineLvl w:val="9"/>
        <w:rPr>
          <w:rFonts w:hint="eastAsia" w:ascii="宋体" w:hAnsi="宋体" w:eastAsia="宋体" w:cs="宋体"/>
          <w:highlight w:val="none"/>
        </w:rPr>
      </w:pPr>
    </w:p>
    <w:p>
      <w:pPr>
        <w:spacing w:line="700" w:lineRule="exact"/>
        <w:ind w:firstLine="320" w:firstLineChars="100"/>
        <w:jc w:val="both"/>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采购人（全称）：</w:t>
      </w:r>
      <w:r>
        <w:rPr>
          <w:rFonts w:hint="eastAsia" w:ascii="宋体" w:hAnsi="宋体" w:eastAsia="宋体" w:cs="宋体"/>
          <w:sz w:val="32"/>
          <w:szCs w:val="32"/>
          <w:highlight w:val="none"/>
          <w:u w:val="single"/>
        </w:rPr>
        <w:t>湖南省水利厅水利工程质量监督中心站</w:t>
      </w:r>
    </w:p>
    <w:p>
      <w:pPr>
        <w:pStyle w:val="5"/>
        <w:outlineLvl w:val="9"/>
        <w:rPr>
          <w:rFonts w:hint="eastAsia" w:ascii="宋体" w:hAnsi="宋体" w:eastAsia="宋体" w:cs="宋体"/>
          <w:highlight w:val="none"/>
        </w:rPr>
      </w:pPr>
    </w:p>
    <w:p>
      <w:pPr>
        <w:spacing w:line="700" w:lineRule="exact"/>
        <w:ind w:firstLine="298" w:firstLineChars="100"/>
        <w:jc w:val="both"/>
        <w:rPr>
          <w:rFonts w:hint="default" w:ascii="宋体" w:hAnsi="宋体" w:eastAsia="宋体" w:cs="宋体"/>
          <w:spacing w:val="-11"/>
          <w:sz w:val="32"/>
          <w:szCs w:val="32"/>
          <w:highlight w:val="none"/>
          <w:u w:val="single"/>
          <w:lang w:val="en-US" w:eastAsia="zh-CN"/>
        </w:rPr>
      </w:pPr>
      <w:r>
        <w:rPr>
          <w:rFonts w:hint="eastAsia" w:ascii="宋体" w:hAnsi="宋体" w:eastAsia="宋体" w:cs="宋体"/>
          <w:spacing w:val="-11"/>
          <w:sz w:val="32"/>
          <w:szCs w:val="32"/>
          <w:highlight w:val="none"/>
        </w:rPr>
        <w:t>供应商（全称）：</w:t>
      </w:r>
      <w:r>
        <w:rPr>
          <w:rFonts w:hint="eastAsia" w:ascii="宋体" w:hAnsi="宋体" w:eastAsia="宋体" w:cs="宋体"/>
          <w:spacing w:val="-11"/>
          <w:sz w:val="32"/>
          <w:szCs w:val="32"/>
          <w:highlight w:val="none"/>
          <w:u w:val="single"/>
          <w:lang w:val="en-US" w:eastAsia="zh-CN"/>
        </w:rPr>
        <w:t>湖南省水务规划设计院有限公司</w:t>
      </w:r>
    </w:p>
    <w:p>
      <w:pPr>
        <w:spacing w:line="700" w:lineRule="exact"/>
        <w:ind w:firstLine="0" w:firstLineChars="0"/>
        <w:jc w:val="center"/>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签订时间：</w:t>
      </w:r>
      <w:r>
        <w:rPr>
          <w:rFonts w:hint="eastAsia" w:ascii="宋体" w:hAnsi="宋体" w:eastAsia="宋体" w:cs="宋体"/>
          <w:sz w:val="32"/>
          <w:szCs w:val="32"/>
          <w:highlight w:val="none"/>
          <w:u w:val="single"/>
        </w:rPr>
        <w:t>202</w:t>
      </w:r>
      <w:r>
        <w:rPr>
          <w:rFonts w:hint="eastAsia" w:ascii="宋体" w:hAnsi="宋体" w:eastAsia="宋体" w:cs="宋体"/>
          <w:sz w:val="32"/>
          <w:szCs w:val="32"/>
          <w:highlight w:val="none"/>
          <w:u w:val="single"/>
          <w:lang w:val="en-US" w:eastAsia="zh-CN"/>
        </w:rPr>
        <w:t>6</w:t>
      </w:r>
      <w:r>
        <w:rPr>
          <w:rFonts w:hint="eastAsia" w:ascii="宋体" w:hAnsi="宋体" w:eastAsia="宋体" w:cs="宋体"/>
          <w:sz w:val="32"/>
          <w:szCs w:val="32"/>
          <w:highlight w:val="none"/>
          <w:u w:val="single"/>
        </w:rPr>
        <w:t>年</w:t>
      </w:r>
      <w:r>
        <w:rPr>
          <w:rFonts w:hint="eastAsia" w:ascii="宋体" w:hAnsi="宋体" w:eastAsia="宋体" w:cs="宋体"/>
          <w:sz w:val="32"/>
          <w:szCs w:val="32"/>
          <w:highlight w:val="none"/>
          <w:u w:val="single"/>
          <w:lang w:val="en-US" w:eastAsia="zh-CN"/>
        </w:rPr>
        <w:t>9</w:t>
      </w:r>
      <w:r>
        <w:rPr>
          <w:rFonts w:hint="eastAsia" w:ascii="宋体" w:hAnsi="宋体" w:eastAsia="宋体" w:cs="宋体"/>
          <w:sz w:val="32"/>
          <w:szCs w:val="32"/>
          <w:highlight w:val="none"/>
          <w:u w:val="single"/>
        </w:rPr>
        <w:t>月</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日</w:t>
      </w:r>
    </w:p>
    <w:p>
      <w:pPr>
        <w:spacing w:line="700" w:lineRule="exact"/>
        <w:ind w:firstLine="0" w:firstLineChars="0"/>
        <w:jc w:val="center"/>
        <w:rPr>
          <w:rFonts w:hint="eastAsia" w:ascii="黑体" w:hAnsi="华文中宋" w:eastAsia="黑体" w:cs="Times New Roman"/>
          <w:b/>
          <w:bCs/>
          <w:color w:val="auto"/>
          <w:sz w:val="28"/>
          <w:szCs w:val="28"/>
          <w:highlight w:val="none"/>
        </w:rPr>
      </w:pPr>
      <w:r>
        <w:rPr>
          <w:rFonts w:hint="eastAsia" w:ascii="宋体" w:hAnsi="宋体" w:eastAsia="宋体" w:cs="宋体"/>
          <w:sz w:val="32"/>
          <w:szCs w:val="32"/>
          <w:highlight w:val="none"/>
        </w:rPr>
        <w:t>签订地点：</w:t>
      </w:r>
      <w:r>
        <w:rPr>
          <w:rFonts w:hint="eastAsia" w:ascii="宋体" w:hAnsi="宋体" w:eastAsia="宋体" w:cs="宋体"/>
          <w:sz w:val="32"/>
          <w:szCs w:val="32"/>
          <w:highlight w:val="none"/>
          <w:u w:val="single"/>
        </w:rPr>
        <w:t>长沙市雨花区</w:t>
      </w:r>
    </w:p>
    <w:p>
      <w:pPr>
        <w:kinsoku/>
        <w:wordWrap/>
        <w:overflowPunct/>
        <w:bidi w:val="0"/>
        <w:spacing w:line="500" w:lineRule="exact"/>
        <w:jc w:val="center"/>
        <w:rPr>
          <w:rFonts w:hint="eastAsia" w:ascii="宋体" w:hAnsi="宋体" w:eastAsia="宋体" w:cs="宋体"/>
          <w:b/>
          <w:bCs/>
          <w:color w:val="auto"/>
          <w:sz w:val="30"/>
          <w:szCs w:val="30"/>
          <w:highlight w:val="none"/>
        </w:rPr>
        <w:sectPr>
          <w:pgSz w:w="11906" w:h="16838"/>
          <w:pgMar w:top="1440" w:right="1800" w:bottom="1440" w:left="1800" w:header="851" w:footer="992" w:gutter="0"/>
          <w:cols w:space="425" w:num="1"/>
          <w:docGrid w:type="lines" w:linePitch="312" w:charSpace="0"/>
        </w:sectPr>
      </w:pPr>
    </w:p>
    <w:p>
      <w:pPr>
        <w:keepNext/>
        <w:keepLines/>
        <w:widowControl w:val="0"/>
        <w:kinsoku/>
        <w:wordWrap/>
        <w:overflowPunct/>
        <w:bidi w:val="0"/>
        <w:spacing w:line="500" w:lineRule="exact"/>
        <w:jc w:val="center"/>
        <w:outlineLvl w:val="0"/>
        <w:rPr>
          <w:rFonts w:hint="eastAsia" w:ascii="宋体" w:hAnsi="宋体" w:eastAsia="宋体" w:cs="宋体"/>
          <w:b/>
          <w:color w:val="auto"/>
          <w:kern w:val="44"/>
          <w:sz w:val="44"/>
          <w:szCs w:val="21"/>
          <w:highlight w:val="none"/>
          <w:lang w:val="en-US" w:eastAsia="zh-CN" w:bidi="ar-SA"/>
        </w:rPr>
      </w:pPr>
      <w:r>
        <w:rPr>
          <w:rFonts w:hint="eastAsia" w:ascii="宋体" w:hAnsi="宋体" w:eastAsia="宋体" w:cs="宋体"/>
          <w:b/>
          <w:color w:val="auto"/>
          <w:kern w:val="44"/>
          <w:sz w:val="44"/>
          <w:szCs w:val="21"/>
          <w:highlight w:val="none"/>
          <w:lang w:val="en-US" w:eastAsia="zh-CN" w:bidi="ar-SA"/>
        </w:rPr>
        <w:t>政府采购合同</w:t>
      </w:r>
    </w:p>
    <w:p>
      <w:pPr>
        <w:kinsoku/>
        <w:wordWrap/>
        <w:overflowPunct/>
        <w:bidi w:val="0"/>
        <w:spacing w:line="500" w:lineRule="exact"/>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一、政府采购合同协议书</w:t>
      </w:r>
    </w:p>
    <w:p>
      <w:pPr>
        <w:widowControl w:val="0"/>
        <w:kinsoku/>
        <w:wordWrap/>
        <w:overflowPunct/>
        <w:bidi w:val="0"/>
        <w:spacing w:after="120" w:line="500" w:lineRule="exact"/>
        <w:jc w:val="both"/>
        <w:rPr>
          <w:rFonts w:hint="eastAsia" w:ascii="宋体" w:hAnsi="宋体" w:eastAsia="宋体" w:cs="宋体"/>
          <w:color w:val="auto"/>
          <w:kern w:val="2"/>
          <w:sz w:val="21"/>
          <w:szCs w:val="21"/>
          <w:highlight w:val="none"/>
          <w:lang w:val="en-US" w:eastAsia="zh-CN" w:bidi="ar-SA"/>
        </w:rPr>
      </w:pPr>
    </w:p>
    <w:p>
      <w:pPr>
        <w:kinsoku/>
        <w:wordWrap/>
        <w:overflowPunct/>
        <w:bidi w:val="0"/>
        <w:spacing w:line="500" w:lineRule="exact"/>
        <w:ind w:firstLine="4200" w:firstLineChars="20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采购合同编号：</w:t>
      </w:r>
      <w:r>
        <w:rPr>
          <w:rFonts w:hint="eastAsia" w:ascii="宋体" w:hAnsi="宋体" w:cs="宋体"/>
          <w:b w:val="0"/>
          <w:bCs w:val="0"/>
          <w:color w:val="auto"/>
          <w:sz w:val="21"/>
          <w:szCs w:val="21"/>
          <w:highlight w:val="none"/>
          <w:u w:val="single"/>
          <w:lang w:val="en-US" w:eastAsia="zh-CN"/>
        </w:rPr>
        <w:t>CGXM2026430000001808</w:t>
      </w:r>
      <w:r>
        <w:rPr>
          <w:rFonts w:hint="eastAsia" w:ascii="宋体" w:hAnsi="宋体" w:eastAsia="宋体" w:cs="宋体"/>
          <w:color w:val="auto"/>
          <w:szCs w:val="21"/>
          <w:highlight w:val="none"/>
          <w:u w:val="single"/>
        </w:rPr>
        <w:t xml:space="preserve">       </w:t>
      </w:r>
    </w:p>
    <w:p>
      <w:pPr>
        <w:kinsoku/>
        <w:wordWrap/>
        <w:overflowPunct/>
        <w:bidi w:val="0"/>
        <w:adjustRightInd w:val="0"/>
        <w:snapToGrid w:val="0"/>
        <w:spacing w:before="156" w:beforeLines="50" w:line="500" w:lineRule="exact"/>
        <w:jc w:val="center"/>
        <w:rPr>
          <w:rFonts w:hint="eastAsia" w:ascii="宋体" w:hAnsi="宋体" w:eastAsia="宋体" w:cs="宋体"/>
          <w:b/>
          <w:color w:val="auto"/>
          <w:szCs w:val="21"/>
          <w:highlight w:val="none"/>
        </w:rPr>
      </w:pPr>
    </w:p>
    <w:p>
      <w:pPr>
        <w:kinsoku/>
        <w:wordWrap/>
        <w:overflowPunct/>
        <w:bidi w:val="0"/>
        <w:adjustRightInd w:val="0"/>
        <w:snapToGrid w:val="0"/>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采购人（全称）：</w:t>
      </w:r>
      <w:r>
        <w:rPr>
          <w:rFonts w:hint="eastAsia" w:ascii="宋体" w:hAnsi="宋体" w:eastAsia="宋体" w:cs="宋体"/>
          <w:color w:val="auto"/>
          <w:szCs w:val="21"/>
          <w:highlight w:val="none"/>
          <w:u w:val="single"/>
          <w:lang w:val="en-US" w:eastAsia="zh-CN"/>
        </w:rPr>
        <w:t>湖南省水利厅水利工程质量监督中心站</w:t>
      </w:r>
      <w:r>
        <w:rPr>
          <w:rFonts w:hint="eastAsia" w:ascii="宋体" w:hAnsi="宋体" w:eastAsia="宋体" w:cs="宋体"/>
          <w:color w:val="auto"/>
          <w:szCs w:val="21"/>
          <w:highlight w:val="none"/>
        </w:rPr>
        <w:t>（甲方）</w:t>
      </w:r>
    </w:p>
    <w:p>
      <w:pPr>
        <w:kinsoku/>
        <w:wordWrap/>
        <w:overflowPunct/>
        <w:bidi w:val="0"/>
        <w:adjustRightInd w:val="0"/>
        <w:snapToGrid w:val="0"/>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供应商（全称）：</w:t>
      </w:r>
      <w:r>
        <w:rPr>
          <w:rFonts w:hint="eastAsia" w:ascii="宋体" w:hAnsi="宋体" w:eastAsia="宋体" w:cs="宋体"/>
          <w:color w:val="auto"/>
          <w:szCs w:val="21"/>
          <w:highlight w:val="none"/>
          <w:u w:val="single"/>
          <w:lang w:val="en-US" w:eastAsia="zh-CN"/>
        </w:rPr>
        <w:t>湖南省水务规划设计院有限公司</w:t>
      </w:r>
      <w:r>
        <w:rPr>
          <w:rFonts w:hint="eastAsia" w:ascii="宋体" w:hAnsi="宋体" w:eastAsia="宋体" w:cs="宋体"/>
          <w:color w:val="auto"/>
          <w:szCs w:val="21"/>
          <w:highlight w:val="none"/>
        </w:rPr>
        <w:t>（乙方）</w:t>
      </w:r>
    </w:p>
    <w:p>
      <w:pPr>
        <w:widowControl w:val="0"/>
        <w:kinsoku/>
        <w:wordWrap/>
        <w:overflowPunct/>
        <w:bidi w:val="0"/>
        <w:adjustRightInd w:val="0"/>
        <w:snapToGrid w:val="0"/>
        <w:spacing w:after="0" w:line="500" w:lineRule="exact"/>
        <w:ind w:left="420" w:leftChars="200"/>
        <w:jc w:val="both"/>
        <w:rPr>
          <w:rFonts w:hint="eastAsia" w:ascii="宋体" w:hAnsi="宋体" w:eastAsia="宋体" w:cs="宋体"/>
          <w:color w:val="auto"/>
          <w:kern w:val="2"/>
          <w:sz w:val="21"/>
          <w:szCs w:val="21"/>
          <w:highlight w:val="none"/>
          <w:lang w:val="en-US" w:eastAsia="zh-CN" w:bidi="ar-SA"/>
        </w:rPr>
      </w:pPr>
    </w:p>
    <w:p>
      <w:pPr>
        <w:widowControl w:val="0"/>
        <w:kinsoku/>
        <w:wordWrap/>
        <w:overflowPunct/>
        <w:bidi w:val="0"/>
        <w:adjustRightInd w:val="0"/>
        <w:snapToGrid w:val="0"/>
        <w:spacing w:after="0" w:line="500" w:lineRule="exact"/>
        <w:ind w:left="0" w:leftChars="0"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为了保护甲、乙双方合法权益，根据《中华人民共和国民法典》《中华人民共和国政府采购法》及其他有关法律法规、规章，双方签订本合同协议书。</w:t>
      </w:r>
    </w:p>
    <w:p>
      <w:pPr>
        <w:kinsoku/>
        <w:wordWrap/>
        <w:overflowPunct/>
        <w:bidi w:val="0"/>
        <w:adjustRightInd w:val="0"/>
        <w:snapToGrid w:val="0"/>
        <w:spacing w:line="500" w:lineRule="exact"/>
        <w:ind w:firstLine="421"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1.项目信息</w:t>
      </w:r>
    </w:p>
    <w:p>
      <w:pPr>
        <w:widowControl w:val="0"/>
        <w:kinsoku/>
        <w:wordWrap/>
        <w:overflowPunct/>
        <w:bidi w:val="0"/>
        <w:adjustRightInd w:val="0"/>
        <w:snapToGrid w:val="0"/>
        <w:spacing w:after="0" w:line="500" w:lineRule="exact"/>
        <w:ind w:left="420" w:leftChars="20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（1）采购项目名称：</w:t>
      </w:r>
      <w:r>
        <w:rPr>
          <w:rFonts w:hint="eastAsia" w:ascii="宋体" w:hAnsi="宋体" w:eastAsia="宋体" w:cs="宋体"/>
          <w:color w:val="auto"/>
          <w:kern w:val="2"/>
          <w:sz w:val="21"/>
          <w:szCs w:val="21"/>
          <w:highlight w:val="none"/>
          <w:u w:val="single"/>
          <w:lang w:val="en-US" w:eastAsia="zh-CN" w:bidi="ar-SA"/>
        </w:rPr>
        <w:t>市县中小型水利工程质量监督抽检包1</w:t>
      </w:r>
    </w:p>
    <w:p>
      <w:pPr>
        <w:widowControl w:val="0"/>
        <w:kinsoku/>
        <w:wordWrap/>
        <w:overflowPunct/>
        <w:bidi w:val="0"/>
        <w:adjustRightInd w:val="0"/>
        <w:snapToGrid w:val="0"/>
        <w:spacing w:after="0" w:line="500" w:lineRule="exact"/>
        <w:ind w:left="420" w:left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（2）采购计划编号：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cs="宋体"/>
          <w:b w:val="0"/>
          <w:bCs w:val="0"/>
          <w:color w:val="auto"/>
          <w:sz w:val="21"/>
          <w:szCs w:val="21"/>
          <w:highlight w:val="none"/>
          <w:u w:val="single"/>
          <w:lang w:val="en-US" w:eastAsia="zh-CN"/>
        </w:rPr>
        <w:t>CGXM2026430000001808</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w:t>
      </w:r>
    </w:p>
    <w:p>
      <w:pPr>
        <w:kinsoku/>
        <w:wordWrap/>
        <w:overflowPunct/>
        <w:bidi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（3）项目内容：</w:t>
      </w:r>
      <w:r>
        <w:rPr>
          <w:rFonts w:hint="eastAsia" w:ascii="宋体" w:hAnsi="宋体" w:eastAsia="宋体" w:cs="宋体"/>
          <w:color w:val="auto"/>
          <w:szCs w:val="21"/>
          <w:highlight w:val="none"/>
          <w:u w:val="single"/>
        </w:rPr>
        <w:t>抽检范围包括:</w:t>
      </w:r>
      <w:r>
        <w:rPr>
          <w:rFonts w:hint="eastAsia" w:ascii="宋体" w:hAnsi="宋体" w:eastAsia="宋体" w:cs="宋体"/>
          <w:color w:val="auto"/>
          <w:kern w:val="2"/>
          <w:sz w:val="21"/>
          <w:szCs w:val="21"/>
          <w:highlight w:val="none"/>
          <w:u w:val="single"/>
          <w:lang w:val="en-US" w:eastAsia="zh-CN" w:bidi="ar-SA"/>
        </w:rPr>
        <w:t>市县中小型水利工程质量监督</w:t>
      </w:r>
      <w:r>
        <w:rPr>
          <w:rFonts w:hint="eastAsia" w:ascii="宋体" w:hAnsi="宋体" w:eastAsia="宋体" w:cs="宋体"/>
          <w:color w:val="auto"/>
          <w:szCs w:val="21"/>
          <w:highlight w:val="none"/>
          <w:u w:val="single"/>
        </w:rPr>
        <w:t>项目范围内抽取部分在建水利工程建设项目开展面上质量抽检。主要检测项目有工程材料检测、构配件及工程实体检测、金属结构检测等。</w:t>
      </w:r>
    </w:p>
    <w:p>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156" w:beforeLines="50" w:line="400" w:lineRule="exact"/>
        <w:ind w:firstLine="420" w:firstLineChars="200"/>
        <w:textAlignment w:val="auto"/>
        <w:rPr>
          <w:rStyle w:val="13"/>
          <w:rFonts w:hint="eastAsia" w:ascii="宋体" w:hAnsi="宋体" w:eastAsia="宋体"/>
          <w:color w:val="auto"/>
          <w:szCs w:val="21"/>
          <w:highlight w:val="none"/>
          <w:u w:val="single"/>
        </w:rPr>
      </w:pPr>
      <w:r>
        <w:rPr>
          <w:rStyle w:val="13"/>
          <w:rFonts w:hint="eastAsia" w:ascii="宋体" w:hAnsi="宋体" w:eastAsia="宋体"/>
          <w:color w:val="auto"/>
          <w:szCs w:val="21"/>
          <w:highlight w:val="none"/>
        </w:rPr>
        <w:t>是否分包：</w:t>
      </w:r>
      <w:r>
        <w:rPr>
          <w:rStyle w:val="13"/>
          <w:rFonts w:hint="eastAsia" w:ascii="宋体" w:hAnsi="宋体" w:eastAsia="宋体"/>
          <w:color w:val="auto"/>
          <w:szCs w:val="21"/>
          <w:highlight w:val="none"/>
          <w:u w:val="single"/>
        </w:rPr>
        <w:t>本项目</w:t>
      </w:r>
      <w:r>
        <w:rPr>
          <w:rStyle w:val="13"/>
          <w:rFonts w:hint="eastAsia" w:ascii="宋体" w:hAnsi="宋体"/>
          <w:color w:val="auto"/>
          <w:szCs w:val="21"/>
          <w:highlight w:val="none"/>
          <w:u w:val="single"/>
          <w:lang w:val="en-US" w:eastAsia="zh-CN"/>
        </w:rPr>
        <w:t>不</w:t>
      </w:r>
      <w:r>
        <w:rPr>
          <w:rStyle w:val="13"/>
          <w:rFonts w:hint="eastAsia" w:ascii="宋体" w:hAnsi="宋体" w:eastAsia="宋体"/>
          <w:color w:val="auto"/>
          <w:szCs w:val="21"/>
          <w:highlight w:val="none"/>
          <w:u w:val="single"/>
        </w:rPr>
        <w:t>允许分包，</w:t>
      </w:r>
      <w:r>
        <w:rPr>
          <w:rStyle w:val="13"/>
          <w:rFonts w:hint="eastAsia" w:ascii="宋体" w:hAnsi="宋体"/>
          <w:color w:val="auto"/>
          <w:szCs w:val="21"/>
          <w:highlight w:val="none"/>
          <w:u w:val="single"/>
          <w:lang w:val="en-US" w:eastAsia="zh-CN"/>
        </w:rPr>
        <w:t>除</w:t>
      </w:r>
      <w:r>
        <w:rPr>
          <w:rStyle w:val="13"/>
          <w:rFonts w:hint="eastAsia" w:ascii="宋体" w:hAnsi="宋体" w:eastAsia="宋体"/>
          <w:color w:val="auto"/>
          <w:szCs w:val="21"/>
          <w:highlight w:val="none"/>
          <w:u w:val="single"/>
        </w:rPr>
        <w:t>采购人</w:t>
      </w:r>
      <w:r>
        <w:rPr>
          <w:rStyle w:val="13"/>
          <w:rFonts w:hint="eastAsia" w:ascii="宋体" w:hAnsi="宋体"/>
          <w:color w:val="auto"/>
          <w:szCs w:val="21"/>
          <w:highlight w:val="none"/>
          <w:u w:val="single"/>
          <w:lang w:val="en-US" w:eastAsia="zh-CN"/>
        </w:rPr>
        <w:t>书面同意外</w:t>
      </w:r>
      <w:r>
        <w:rPr>
          <w:rStyle w:val="13"/>
          <w:rFonts w:hint="eastAsia" w:ascii="宋体" w:hAnsi="宋体" w:eastAsia="宋体"/>
          <w:color w:val="auto"/>
          <w:szCs w:val="21"/>
          <w:highlight w:val="none"/>
          <w:u w:val="single"/>
        </w:rPr>
        <w:t>。</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（5）项目负责人：</w:t>
      </w:r>
      <w:r>
        <w:rPr>
          <w:rStyle w:val="13"/>
          <w:rFonts w:hint="eastAsia" w:ascii="宋体" w:hAnsi="宋体" w:eastAsia="宋体"/>
          <w:color w:val="auto"/>
          <w:szCs w:val="21"/>
          <w:highlight w:val="none"/>
          <w:u w:val="single"/>
        </w:rPr>
        <w:t xml:space="preserve"> </w:t>
      </w:r>
      <w:r>
        <w:rPr>
          <w:rStyle w:val="13"/>
          <w:rFonts w:hint="eastAsia" w:ascii="宋体" w:hAnsi="宋体"/>
          <w:color w:val="auto"/>
          <w:szCs w:val="21"/>
          <w:highlight w:val="none"/>
          <w:u w:val="single"/>
          <w:lang w:val="en-US" w:eastAsia="zh-CN"/>
        </w:rPr>
        <w:t>郑茂</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w:t>
      </w:r>
    </w:p>
    <w:p>
      <w:pPr>
        <w:pStyle w:val="14"/>
        <w:keepNext w:val="0"/>
        <w:keepLines w:val="0"/>
        <w:pageBreakBefore w:val="0"/>
        <w:widowControl w:val="0"/>
        <w:kinsoku/>
        <w:wordWrap/>
        <w:overflowPunct/>
        <w:topLinePunct w:val="0"/>
        <w:autoSpaceDE/>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（6）联系电话：</w:t>
      </w:r>
      <w:r>
        <w:rPr>
          <w:rStyle w:val="13"/>
          <w:rFonts w:hint="eastAsia" w:ascii="宋体" w:hAnsi="宋体" w:eastAsia="宋体"/>
          <w:color w:val="auto"/>
          <w:szCs w:val="21"/>
          <w:highlight w:val="none"/>
          <w:u w:val="single"/>
        </w:rPr>
        <w:t xml:space="preserve"> </w:t>
      </w:r>
      <w:r>
        <w:rPr>
          <w:rStyle w:val="13"/>
          <w:rFonts w:hint="eastAsia" w:ascii="宋体" w:hAnsi="宋体" w:eastAsia="宋体" w:cs="Times New Roman"/>
          <w:color w:val="auto"/>
          <w:szCs w:val="21"/>
          <w:highlight w:val="none"/>
          <w:u w:val="single"/>
          <w:lang w:val="en-US" w:eastAsia="zh-CN"/>
        </w:rPr>
        <w:t>15197369812</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w:t>
      </w:r>
    </w:p>
    <w:p>
      <w:pPr>
        <w:kinsoku/>
        <w:wordWrap/>
        <w:overflowPunct/>
        <w:bidi w:val="0"/>
        <w:adjustRightInd w:val="0"/>
        <w:snapToGrid w:val="0"/>
        <w:spacing w:line="500" w:lineRule="exact"/>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2.合同金额</w:t>
      </w:r>
    </w:p>
    <w:p>
      <w:pPr>
        <w:kinsoku/>
        <w:wordWrap/>
        <w:overflowPunct/>
        <w:bidi w:val="0"/>
        <w:adjustRightInd w:val="0"/>
        <w:snapToGrid w:val="0"/>
        <w:spacing w:line="500" w:lineRule="exact"/>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（1）合同金额小写：</w:t>
      </w:r>
      <w:r>
        <w:rPr>
          <w:rFonts w:hint="eastAsia" w:ascii="宋体" w:hAnsi="宋体" w:eastAsia="宋体" w:cs="宋体"/>
          <w:color w:val="auto"/>
          <w:szCs w:val="21"/>
          <w:highlight w:val="none"/>
          <w:u w:val="single"/>
          <w:lang w:val="en-US" w:eastAsia="zh-CN"/>
        </w:rPr>
        <w:t>513574元</w:t>
      </w:r>
    </w:p>
    <w:p>
      <w:pPr>
        <w:kinsoku/>
        <w:wordWrap/>
        <w:overflowPunct/>
        <w:bidi w:val="0"/>
        <w:adjustRightInd w:val="0"/>
        <w:snapToGrid w:val="0"/>
        <w:spacing w:line="500" w:lineRule="exact"/>
        <w:ind w:firstLine="1260" w:firstLineChars="6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伍拾</w:t>
      </w:r>
      <w:r>
        <w:rPr>
          <w:rFonts w:hint="eastAsia" w:ascii="宋体" w:hAnsi="宋体" w:eastAsia="宋体" w:cs="宋体"/>
          <w:color w:val="auto"/>
          <w:szCs w:val="21"/>
          <w:highlight w:val="none"/>
          <w:u w:val="single"/>
          <w:lang w:eastAsia="zh-CN"/>
        </w:rPr>
        <w:t>壹</w:t>
      </w:r>
      <w:r>
        <w:rPr>
          <w:rFonts w:hint="eastAsia" w:ascii="宋体" w:hAnsi="宋体" w:eastAsia="宋体" w:cs="宋体"/>
          <w:color w:val="auto"/>
          <w:szCs w:val="21"/>
          <w:highlight w:val="none"/>
          <w:u w:val="single"/>
        </w:rPr>
        <w:t>万</w:t>
      </w:r>
      <w:r>
        <w:rPr>
          <w:rFonts w:hint="eastAsia" w:ascii="宋体" w:hAnsi="宋体" w:eastAsia="宋体" w:cs="宋体"/>
          <w:color w:val="auto"/>
          <w:szCs w:val="21"/>
          <w:highlight w:val="none"/>
          <w:u w:val="single"/>
          <w:lang w:eastAsia="zh-CN"/>
        </w:rPr>
        <w:t>叁仟伍佰柒</w:t>
      </w:r>
      <w:r>
        <w:rPr>
          <w:rFonts w:hint="eastAsia" w:ascii="宋体" w:hAnsi="宋体" w:eastAsia="宋体" w:cs="宋体"/>
          <w:color w:val="auto"/>
          <w:szCs w:val="21"/>
          <w:highlight w:val="none"/>
          <w:u w:val="single"/>
        </w:rPr>
        <w:t>拾肆元</w:t>
      </w:r>
    </w:p>
    <w:p>
      <w:pPr>
        <w:kinsoku/>
        <w:wordWrap/>
        <w:overflowPunct/>
        <w:bidi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（2）具体标的见附件。</w:t>
      </w:r>
    </w:p>
    <w:p>
      <w:pPr>
        <w:widowControl/>
        <w:adjustRightInd w:val="0"/>
        <w:snapToGrid w:val="0"/>
        <w:spacing w:line="500" w:lineRule="exact"/>
        <w:ind w:firstLine="420" w:firstLineChars="200"/>
        <w:jc w:val="left"/>
        <w:rPr>
          <w:rFonts w:hint="eastAsia" w:ascii="宋体" w:hAnsi="宋体" w:eastAsia="宋体" w:cs="仿宋_GB2312"/>
          <w:b w:val="0"/>
          <w:bCs w:val="0"/>
          <w:color w:val="auto"/>
          <w:kern w:val="2"/>
          <w:sz w:val="21"/>
          <w:szCs w:val="21"/>
          <w:highlight w:val="none"/>
          <w:lang w:val="en-US" w:eastAsia="zh-CN" w:bidi="ar-SA"/>
        </w:rPr>
      </w:pPr>
      <w:r>
        <w:rPr>
          <w:rFonts w:hint="eastAsia" w:ascii="宋体" w:hAnsi="宋体" w:eastAsia="宋体" w:cs="宋体"/>
          <w:color w:val="auto"/>
          <w:szCs w:val="21"/>
          <w:highlight w:val="none"/>
        </w:rPr>
        <w:t>（3）合同</w:t>
      </w:r>
      <w:r>
        <w:rPr>
          <w:rFonts w:hint="eastAsia" w:ascii="宋体" w:hAnsi="宋体" w:eastAsia="宋体" w:cs="仿宋_GB2312"/>
          <w:b w:val="0"/>
          <w:bCs w:val="0"/>
          <w:color w:val="auto"/>
          <w:kern w:val="2"/>
          <w:sz w:val="21"/>
          <w:szCs w:val="21"/>
          <w:highlight w:val="none"/>
          <w:lang w:val="en-US" w:eastAsia="zh-CN" w:bidi="ar-SA"/>
        </w:rPr>
        <w:t>结算原则：本项目为单价承包合同，抽检工作按采购人的委托要求分期分批实施并结算，结算金额=按采购人委托实际完成并经采购人确认的检测项目的检测数量×相对应的检测结算单价+工程材料检测取样费结算价+交通费结算价+成果费结算价。</w:t>
      </w:r>
    </w:p>
    <w:p>
      <w:pPr>
        <w:widowControl w:val="0"/>
        <w:adjustRightInd w:val="0"/>
        <w:snapToGrid w:val="0"/>
        <w:spacing w:line="360" w:lineRule="auto"/>
        <w:ind w:firstLine="638" w:firstLineChars="304"/>
        <w:jc w:val="both"/>
        <w:rPr>
          <w:rFonts w:hint="eastAsia" w:ascii="宋体" w:hAnsi="宋体" w:eastAsia="宋体" w:cs="仿宋_GB2312"/>
          <w:b w:val="0"/>
          <w:bCs w:val="0"/>
          <w:color w:val="auto"/>
          <w:kern w:val="2"/>
          <w:sz w:val="21"/>
          <w:szCs w:val="21"/>
          <w:highlight w:val="none"/>
          <w:lang w:val="en-US" w:eastAsia="zh-CN" w:bidi="ar-SA"/>
        </w:rPr>
      </w:pPr>
      <w:r>
        <w:rPr>
          <w:rFonts w:hint="eastAsia" w:ascii="宋体" w:hAnsi="宋体" w:eastAsia="宋体" w:cs="仿宋_GB2312"/>
          <w:b w:val="0"/>
          <w:bCs w:val="0"/>
          <w:color w:val="auto"/>
          <w:kern w:val="2"/>
          <w:sz w:val="21"/>
          <w:szCs w:val="21"/>
          <w:highlight w:val="none"/>
          <w:lang w:val="en-US" w:eastAsia="zh-CN" w:bidi="ar-SA"/>
        </w:rPr>
        <w:t>检测结算单价=检测预</w:t>
      </w:r>
      <w:bookmarkStart w:id="0" w:name="_GoBack"/>
      <w:bookmarkEnd w:id="0"/>
      <w:r>
        <w:rPr>
          <w:rFonts w:hint="eastAsia" w:ascii="宋体" w:hAnsi="宋体" w:eastAsia="宋体" w:cs="仿宋_GB2312"/>
          <w:b w:val="0"/>
          <w:bCs w:val="0"/>
          <w:color w:val="auto"/>
          <w:kern w:val="2"/>
          <w:sz w:val="21"/>
          <w:szCs w:val="21"/>
          <w:highlight w:val="none"/>
          <w:lang w:val="en-US" w:eastAsia="zh-CN" w:bidi="ar-SA"/>
        </w:rPr>
        <w:t>算单价×（中标人中标总价/对应包段最高限价</w:t>
      </w:r>
      <w:r>
        <w:rPr>
          <w:rFonts w:hint="eastAsia" w:ascii="宋体" w:hAnsi="宋体" w:eastAsia="宋体" w:cs="仿宋_GB2312"/>
          <w:b w:val="0"/>
          <w:bCs w:val="0"/>
          <w:color w:val="auto"/>
          <w:kern w:val="2"/>
          <w:sz w:val="21"/>
          <w:szCs w:val="21"/>
          <w:highlight w:val="none"/>
          <w:lang w:val="en-US" w:eastAsia="zh-CN" w:bidi="ar-SA"/>
        </w:rPr>
        <w:t>）</w:t>
      </w:r>
      <w:r>
        <w:rPr>
          <w:rFonts w:hint="eastAsia" w:ascii="宋体" w:hAnsi="宋体" w:eastAsia="宋体" w:cs="仿宋_GB2312"/>
          <w:b w:val="0"/>
          <w:bCs w:val="0"/>
          <w:color w:val="auto"/>
          <w:kern w:val="2"/>
          <w:sz w:val="21"/>
          <w:szCs w:val="21"/>
          <w:highlight w:val="none"/>
          <w:lang w:val="en-US" w:eastAsia="zh-CN" w:bidi="ar-SA"/>
        </w:rPr>
        <w:t>。</w:t>
      </w:r>
    </w:p>
    <w:p>
      <w:pPr>
        <w:widowControl w:val="0"/>
        <w:adjustRightInd w:val="0"/>
        <w:snapToGrid w:val="0"/>
        <w:spacing w:line="360" w:lineRule="auto"/>
        <w:ind w:firstLine="638" w:firstLineChars="304"/>
        <w:jc w:val="both"/>
        <w:rPr>
          <w:rFonts w:hint="eastAsia" w:ascii="宋体" w:hAnsi="宋体" w:eastAsia="宋体" w:cs="仿宋_GB2312"/>
          <w:b w:val="0"/>
          <w:bCs w:val="0"/>
          <w:color w:val="auto"/>
          <w:kern w:val="2"/>
          <w:sz w:val="21"/>
          <w:szCs w:val="21"/>
          <w:highlight w:val="none"/>
          <w:lang w:val="en-US" w:eastAsia="zh-CN" w:bidi="ar-SA"/>
        </w:rPr>
      </w:pPr>
      <w:r>
        <w:rPr>
          <w:rFonts w:hint="eastAsia" w:ascii="宋体" w:hAnsi="宋体" w:eastAsia="宋体" w:cs="仿宋_GB2312"/>
          <w:b w:val="0"/>
          <w:bCs w:val="0"/>
          <w:color w:val="auto"/>
          <w:kern w:val="2"/>
          <w:sz w:val="21"/>
          <w:szCs w:val="21"/>
          <w:highlight w:val="none"/>
          <w:lang w:val="en-US" w:eastAsia="zh-CN" w:bidi="ar-SA"/>
        </w:rPr>
        <w:t>本合同中：</w:t>
      </w:r>
      <w:r>
        <w:rPr>
          <w:rFonts w:hint="eastAsia" w:ascii="宋体" w:hAnsi="宋体" w:eastAsia="宋体" w:cs="仿宋_GB2312"/>
          <w:b w:val="0"/>
          <w:bCs w:val="0"/>
          <w:color w:val="auto"/>
          <w:kern w:val="2"/>
          <w:sz w:val="21"/>
          <w:szCs w:val="21"/>
          <w:highlight w:val="none"/>
          <w:lang w:val="en-US" w:eastAsia="zh-CN" w:bidi="ar-SA"/>
        </w:rPr>
        <w:t>中标人中标总价/对应包段最高限价</w:t>
      </w:r>
      <w:r>
        <w:rPr>
          <w:rFonts w:hint="eastAsia" w:ascii="宋体" w:hAnsi="宋体" w:eastAsia="宋体" w:cs="仿宋_GB2312"/>
          <w:b w:val="0"/>
          <w:bCs w:val="0"/>
          <w:color w:val="auto"/>
          <w:kern w:val="2"/>
          <w:sz w:val="21"/>
          <w:szCs w:val="21"/>
          <w:highlight w:val="none"/>
          <w:lang w:val="en-US" w:eastAsia="zh-CN" w:bidi="ar-SA"/>
        </w:rPr>
        <w:t>为</w:t>
      </w:r>
      <w:r>
        <w:rPr>
          <w:rFonts w:hint="eastAsia" w:ascii="宋体" w:hAnsi="宋体" w:eastAsia="宋体" w:cs="仿宋_GB2312"/>
          <w:b w:val="0"/>
          <w:bCs w:val="0"/>
          <w:color w:val="auto"/>
          <w:kern w:val="2"/>
          <w:sz w:val="21"/>
          <w:szCs w:val="21"/>
          <w:highlight w:val="none"/>
          <w:lang w:val="en-US" w:eastAsia="zh-CN" w:bidi="ar-SA"/>
        </w:rPr>
        <w:t>65.1%</w:t>
      </w:r>
      <w:r>
        <w:rPr>
          <w:rFonts w:hint="eastAsia" w:ascii="宋体" w:hAnsi="宋体" w:eastAsia="宋体" w:cs="仿宋_GB2312"/>
          <w:b w:val="0"/>
          <w:bCs w:val="0"/>
          <w:color w:val="auto"/>
          <w:kern w:val="2"/>
          <w:sz w:val="21"/>
          <w:szCs w:val="21"/>
          <w:highlight w:val="none"/>
          <w:lang w:val="en-US" w:eastAsia="zh-CN" w:bidi="ar-SA"/>
        </w:rPr>
        <w:t>。</w:t>
      </w:r>
    </w:p>
    <w:p>
      <w:pPr>
        <w:widowControl w:val="0"/>
        <w:adjustRightInd w:val="0"/>
        <w:snapToGrid w:val="0"/>
        <w:spacing w:line="360" w:lineRule="auto"/>
        <w:ind w:firstLine="638" w:firstLineChars="304"/>
        <w:jc w:val="both"/>
        <w:rPr>
          <w:rFonts w:hint="eastAsia" w:ascii="宋体" w:hAnsi="宋体" w:eastAsia="宋体" w:cs="仿宋_GB2312"/>
          <w:b w:val="0"/>
          <w:bCs w:val="0"/>
          <w:color w:val="auto"/>
          <w:kern w:val="2"/>
          <w:sz w:val="21"/>
          <w:szCs w:val="21"/>
          <w:highlight w:val="none"/>
          <w:lang w:val="en-US" w:eastAsia="zh-CN" w:bidi="ar-SA"/>
        </w:rPr>
      </w:pPr>
      <w:r>
        <w:rPr>
          <w:rFonts w:hint="eastAsia" w:ascii="宋体" w:hAnsi="宋体" w:eastAsia="宋体" w:cs="仿宋_GB2312"/>
          <w:b w:val="0"/>
          <w:bCs w:val="0"/>
          <w:color w:val="auto"/>
          <w:kern w:val="2"/>
          <w:sz w:val="21"/>
          <w:szCs w:val="21"/>
          <w:highlight w:val="none"/>
          <w:lang w:val="en-US" w:eastAsia="zh-CN" w:bidi="ar-SA"/>
        </w:rPr>
        <w:t>工程材料检测取样费结算价=按采购人委托实际完成并经采购人确认的工程材料检测数量×工程材料检测结算单价×取样费率20%。</w:t>
      </w:r>
    </w:p>
    <w:p>
      <w:pPr>
        <w:widowControl w:val="0"/>
        <w:adjustRightInd w:val="0"/>
        <w:snapToGrid w:val="0"/>
        <w:spacing w:line="360" w:lineRule="auto"/>
        <w:ind w:firstLine="638" w:firstLineChars="304"/>
        <w:jc w:val="both"/>
        <w:rPr>
          <w:rFonts w:hint="eastAsia" w:ascii="宋体" w:hAnsi="宋体" w:eastAsia="宋体" w:cs="仿宋_GB2312"/>
          <w:b w:val="0"/>
          <w:bCs w:val="0"/>
          <w:color w:val="auto"/>
          <w:kern w:val="2"/>
          <w:sz w:val="21"/>
          <w:szCs w:val="21"/>
          <w:highlight w:val="none"/>
          <w:lang w:val="en-US" w:eastAsia="zh-CN" w:bidi="ar-SA"/>
        </w:rPr>
      </w:pPr>
      <w:r>
        <w:rPr>
          <w:rFonts w:hint="eastAsia" w:ascii="宋体" w:hAnsi="宋体" w:eastAsia="宋体" w:cs="仿宋_GB2312"/>
          <w:b w:val="0"/>
          <w:bCs w:val="0"/>
          <w:color w:val="auto"/>
          <w:kern w:val="2"/>
          <w:sz w:val="21"/>
          <w:szCs w:val="21"/>
          <w:highlight w:val="none"/>
          <w:lang w:val="en-US" w:eastAsia="zh-CN" w:bidi="ar-SA"/>
        </w:rPr>
        <w:t>交通费结算价=每个包交通费包干价47250元×（中标人中标总价/对应包段最高限价）。</w:t>
      </w:r>
    </w:p>
    <w:p>
      <w:pPr>
        <w:widowControl w:val="0"/>
        <w:adjustRightInd w:val="0"/>
        <w:snapToGrid w:val="0"/>
        <w:spacing w:line="360" w:lineRule="auto"/>
        <w:ind w:firstLine="638" w:firstLineChars="304"/>
        <w:jc w:val="both"/>
        <w:rPr>
          <w:rFonts w:hint="eastAsia" w:ascii="宋体" w:hAnsi="宋体" w:eastAsia="宋体" w:cs="仿宋_GB2312"/>
          <w:b w:val="0"/>
          <w:bCs w:val="0"/>
          <w:color w:val="auto"/>
          <w:kern w:val="2"/>
          <w:sz w:val="21"/>
          <w:szCs w:val="21"/>
          <w:highlight w:val="none"/>
          <w:lang w:val="en-US" w:eastAsia="zh-CN" w:bidi="ar-SA"/>
        </w:rPr>
      </w:pPr>
      <w:r>
        <w:rPr>
          <w:rFonts w:hint="eastAsia" w:ascii="宋体" w:hAnsi="宋体" w:eastAsia="宋体" w:cs="仿宋_GB2312"/>
          <w:b w:val="0"/>
          <w:bCs w:val="0"/>
          <w:color w:val="auto"/>
          <w:kern w:val="2"/>
          <w:sz w:val="21"/>
          <w:szCs w:val="21"/>
          <w:highlight w:val="none"/>
          <w:lang w:val="en-US" w:eastAsia="zh-CN" w:bidi="ar-SA"/>
        </w:rPr>
        <w:t>成果费结算价=（按采购人委托实际完成并经采购人确认的工程材料检测数量×相对应的检测结算单价+工程材料检测取样费结算价）×10%+（按采购人委托实际完成并经采购人确认的构配件及工程实体检测数量×相对应的检测结算单价+金属结构检测数量×相对应的检测结算单价）×22%。</w:t>
      </w:r>
    </w:p>
    <w:p>
      <w:pPr>
        <w:kinsoku/>
        <w:wordWrap/>
        <w:overflowPunct/>
        <w:bidi w:val="0"/>
        <w:adjustRightInd w:val="0"/>
        <w:snapToGrid w:val="0"/>
        <w:spacing w:line="500" w:lineRule="exact"/>
        <w:ind w:firstLine="420" w:firstLineChars="200"/>
        <w:rPr>
          <w:rFonts w:hint="eastAsia" w:ascii="宋体" w:hAnsi="宋体" w:eastAsia="宋体" w:cs="仿宋_GB2312"/>
          <w:b w:val="0"/>
          <w:bCs w:val="0"/>
          <w:color w:val="auto"/>
          <w:kern w:val="2"/>
          <w:sz w:val="21"/>
          <w:szCs w:val="21"/>
          <w:highlight w:val="none"/>
          <w:lang w:val="en-US" w:eastAsia="zh-CN" w:bidi="ar-SA"/>
        </w:rPr>
      </w:pPr>
      <w:r>
        <w:rPr>
          <w:rFonts w:hint="eastAsia" w:ascii="宋体" w:hAnsi="宋体" w:eastAsia="宋体" w:cs="仿宋_GB2312"/>
          <w:b w:val="0"/>
          <w:bCs w:val="0"/>
          <w:color w:val="auto"/>
          <w:kern w:val="2"/>
          <w:sz w:val="21"/>
          <w:szCs w:val="21"/>
          <w:highlight w:val="none"/>
          <w:lang w:val="en-US" w:eastAsia="zh-CN" w:bidi="ar-SA"/>
        </w:rPr>
        <w:t>本项目采用单价承包方式，检测结算单价中已包括检测所需的设备及材料购置，以及培训、人工、管理、财务等所有费用，采购人不再另行支付任何费用。</w:t>
      </w:r>
    </w:p>
    <w:p>
      <w:pPr>
        <w:pStyle w:val="14"/>
        <w:keepNext w:val="0"/>
        <w:keepLines w:val="0"/>
        <w:pageBreakBefore w:val="0"/>
        <w:widowControl w:val="0"/>
        <w:numPr>
          <w:ilvl w:val="-1"/>
          <w:numId w:val="0"/>
        </w:numPr>
        <w:kinsoku/>
        <w:wordWrap/>
        <w:overflowPunct/>
        <w:topLinePunct w:val="0"/>
        <w:autoSpaceDE/>
        <w:autoSpaceDN/>
        <w:bidi w:val="0"/>
        <w:spacing w:line="400" w:lineRule="exact"/>
        <w:ind w:left="0" w:leftChars="0" w:firstLine="420" w:firstLineChars="200"/>
        <w:textAlignment w:val="auto"/>
        <w:rPr>
          <w:rStyle w:val="13"/>
          <w:rFonts w:hint="eastAsia" w:ascii="宋体" w:hAnsi="宋体" w:eastAsia="宋体"/>
          <w:color w:val="auto"/>
          <w:szCs w:val="21"/>
          <w:highlight w:val="none"/>
        </w:rPr>
      </w:pPr>
      <w:r>
        <w:rPr>
          <w:rStyle w:val="13"/>
          <w:rFonts w:hint="eastAsia" w:ascii="宋体" w:hAnsi="宋体"/>
          <w:color w:val="auto"/>
          <w:szCs w:val="21"/>
          <w:highlight w:val="none"/>
          <w:lang w:eastAsia="zh-CN"/>
        </w:rPr>
        <w:t>（</w:t>
      </w:r>
      <w:r>
        <w:rPr>
          <w:rStyle w:val="13"/>
          <w:rFonts w:hint="eastAsia" w:ascii="宋体" w:hAnsi="宋体"/>
          <w:color w:val="auto"/>
          <w:szCs w:val="21"/>
          <w:highlight w:val="none"/>
          <w:lang w:val="en-US" w:eastAsia="zh-CN"/>
        </w:rPr>
        <w:t>4</w:t>
      </w:r>
      <w:r>
        <w:rPr>
          <w:rStyle w:val="13"/>
          <w:rFonts w:hint="eastAsia" w:ascii="宋体" w:hAnsi="宋体"/>
          <w:color w:val="auto"/>
          <w:szCs w:val="21"/>
          <w:highlight w:val="none"/>
          <w:lang w:eastAsia="zh-CN"/>
        </w:rPr>
        <w:t>）</w:t>
      </w:r>
      <w:r>
        <w:rPr>
          <w:rStyle w:val="13"/>
          <w:rFonts w:hint="eastAsia" w:ascii="宋体" w:hAnsi="宋体" w:eastAsia="宋体"/>
          <w:color w:val="auto"/>
          <w:szCs w:val="21"/>
          <w:highlight w:val="none"/>
        </w:rPr>
        <w:t>付款方式：签订合同后7个工作日内，根据供应商开具的发票，采购人支付合同总金额的</w:t>
      </w:r>
      <w:r>
        <w:rPr>
          <w:rStyle w:val="13"/>
          <w:rFonts w:hint="eastAsia" w:ascii="宋体" w:hAnsi="宋体"/>
          <w:color w:val="auto"/>
          <w:szCs w:val="21"/>
          <w:highlight w:val="none"/>
          <w:lang w:val="en-US" w:eastAsia="zh-CN"/>
        </w:rPr>
        <w:t>3</w:t>
      </w:r>
      <w:r>
        <w:rPr>
          <w:rStyle w:val="13"/>
          <w:rFonts w:hint="eastAsia" w:ascii="宋体" w:hAnsi="宋体" w:eastAsia="宋体"/>
          <w:color w:val="auto"/>
          <w:szCs w:val="21"/>
          <w:highlight w:val="none"/>
        </w:rPr>
        <w:t>0%；成交供应商完成外业</w:t>
      </w:r>
      <w:r>
        <w:rPr>
          <w:rStyle w:val="13"/>
          <w:rFonts w:hint="eastAsia" w:ascii="宋体" w:hAnsi="宋体"/>
          <w:color w:val="auto"/>
          <w:szCs w:val="21"/>
          <w:highlight w:val="none"/>
          <w:lang w:val="en-US" w:eastAsia="zh-CN"/>
        </w:rPr>
        <w:t>并经采购人书面确认</w:t>
      </w:r>
      <w:r>
        <w:rPr>
          <w:rStyle w:val="13"/>
          <w:rFonts w:hint="eastAsia" w:ascii="宋体" w:hAnsi="宋体" w:eastAsia="宋体"/>
          <w:color w:val="auto"/>
          <w:szCs w:val="21"/>
          <w:highlight w:val="none"/>
        </w:rPr>
        <w:t>后7个工作日内，根据供应商开具的发票，采购人累计支付至合同总金额的</w:t>
      </w:r>
      <w:r>
        <w:rPr>
          <w:rStyle w:val="13"/>
          <w:rFonts w:hint="eastAsia" w:ascii="宋体" w:hAnsi="宋体"/>
          <w:color w:val="auto"/>
          <w:szCs w:val="21"/>
          <w:highlight w:val="none"/>
          <w:lang w:val="en-US" w:eastAsia="zh-CN"/>
        </w:rPr>
        <w:t>6</w:t>
      </w:r>
      <w:r>
        <w:rPr>
          <w:rStyle w:val="13"/>
          <w:rFonts w:hint="eastAsia" w:ascii="宋体" w:hAnsi="宋体" w:eastAsia="宋体"/>
          <w:color w:val="auto"/>
          <w:szCs w:val="21"/>
          <w:highlight w:val="none"/>
        </w:rPr>
        <w:t>0%；成交供应商按采购人要求完成合同全部</w:t>
      </w:r>
      <w:r>
        <w:rPr>
          <w:rStyle w:val="13"/>
          <w:rFonts w:hint="eastAsia" w:ascii="宋体" w:hAnsi="宋体"/>
          <w:color w:val="auto"/>
          <w:szCs w:val="21"/>
          <w:highlight w:val="none"/>
          <w:lang w:val="en-US" w:eastAsia="zh-CN"/>
        </w:rPr>
        <w:t>检测任务、提交全部检测成果并经采购人验收合格</w:t>
      </w:r>
      <w:r>
        <w:rPr>
          <w:rStyle w:val="13"/>
          <w:rFonts w:hint="eastAsia" w:ascii="宋体" w:hAnsi="宋体" w:eastAsia="宋体"/>
          <w:color w:val="auto"/>
          <w:szCs w:val="21"/>
          <w:highlight w:val="none"/>
        </w:rPr>
        <w:t>后7个工作日内，根据供应商开具的发票，采购人累计支付至合同总金额的100%。</w:t>
      </w:r>
    </w:p>
    <w:p>
      <w:pPr>
        <w:pStyle w:val="14"/>
        <w:keepNext w:val="0"/>
        <w:keepLines w:val="0"/>
        <w:pageBreakBefore w:val="0"/>
        <w:widowControl w:val="0"/>
        <w:kinsoku/>
        <w:wordWrap/>
        <w:overflowPunct/>
        <w:topLinePunct w:val="0"/>
        <w:autoSpaceDE/>
        <w:autoSpaceDN/>
        <w:bidi w:val="0"/>
        <w:adjustRightInd w:val="0"/>
        <w:snapToGrid w:val="0"/>
        <w:spacing w:before="156" w:beforeLines="50" w:line="400" w:lineRule="exact"/>
        <w:ind w:firstLine="421" w:firstLineChars="200"/>
        <w:textAlignment w:val="auto"/>
        <w:rPr>
          <w:rStyle w:val="13"/>
          <w:rFonts w:hint="eastAsia" w:ascii="宋体" w:hAnsi="宋体"/>
          <w:b/>
          <w:color w:val="auto"/>
          <w:szCs w:val="21"/>
          <w:highlight w:val="none"/>
          <w:lang w:val="en-US" w:eastAsia="zh-CN"/>
        </w:rPr>
      </w:pPr>
      <w:r>
        <w:rPr>
          <w:rStyle w:val="13"/>
          <w:rFonts w:hint="eastAsia" w:ascii="宋体" w:hAnsi="宋体"/>
          <w:b/>
          <w:color w:val="auto"/>
          <w:szCs w:val="21"/>
          <w:highlight w:val="none"/>
          <w:lang w:val="en-US" w:eastAsia="zh-CN"/>
        </w:rPr>
        <w:t>每次付款前，供应商均需要按照合同要求开具合法、有效、等额的增值税发票，否则采购人有权拒绝付款且不承担任何违约责任，付款期限相应顺延。因财政集中支付程序造成的迟延支付，不视为采购人逾期支付，采购人不承担任何违约责任。</w:t>
      </w:r>
    </w:p>
    <w:p>
      <w:pPr>
        <w:pStyle w:val="14"/>
        <w:keepNext w:val="0"/>
        <w:keepLines w:val="0"/>
        <w:pageBreakBefore w:val="0"/>
        <w:widowControl w:val="0"/>
        <w:kinsoku/>
        <w:wordWrap/>
        <w:overflowPunct/>
        <w:topLinePunct w:val="0"/>
        <w:autoSpaceDE/>
        <w:autoSpaceDN/>
        <w:bidi w:val="0"/>
        <w:adjustRightInd w:val="0"/>
        <w:snapToGrid w:val="0"/>
        <w:spacing w:before="156" w:beforeLines="50" w:line="400" w:lineRule="exact"/>
        <w:ind w:firstLine="421" w:firstLineChars="200"/>
        <w:textAlignment w:val="auto"/>
        <w:rPr>
          <w:rStyle w:val="13"/>
          <w:rFonts w:ascii="宋体" w:hAnsi="宋体" w:eastAsia="宋体"/>
          <w:color w:val="auto"/>
          <w:szCs w:val="21"/>
          <w:highlight w:val="none"/>
          <w:u w:val="single"/>
        </w:rPr>
      </w:pPr>
      <w:r>
        <w:rPr>
          <w:rStyle w:val="13"/>
          <w:rFonts w:hint="eastAsia" w:ascii="宋体" w:hAnsi="宋体"/>
          <w:b/>
          <w:color w:val="auto"/>
          <w:szCs w:val="21"/>
          <w:highlight w:val="none"/>
          <w:lang w:val="en-US" w:eastAsia="zh-CN"/>
        </w:rPr>
        <w:t>三</w:t>
      </w:r>
      <w:r>
        <w:rPr>
          <w:rStyle w:val="13"/>
          <w:rFonts w:hint="eastAsia" w:ascii="宋体" w:hAnsi="宋体" w:eastAsia="宋体"/>
          <w:b/>
          <w:color w:val="auto"/>
          <w:szCs w:val="21"/>
          <w:highlight w:val="none"/>
        </w:rPr>
        <w:t>.合同履行</w:t>
      </w:r>
    </w:p>
    <w:p>
      <w:pPr>
        <w:pStyle w:val="14"/>
        <w:keepNext w:val="0"/>
        <w:keepLines w:val="0"/>
        <w:pageBreakBefore w:val="0"/>
        <w:widowControl w:val="0"/>
        <w:kinsoku/>
        <w:wordWrap/>
        <w:overflowPunct/>
        <w:topLinePunct w:val="0"/>
        <w:autoSpaceDE/>
        <w:autoSpaceDN/>
        <w:bidi w:val="0"/>
        <w:adjustRightInd w:val="0"/>
        <w:snapToGrid w:val="0"/>
        <w:spacing w:before="156" w:beforeLines="50" w:line="400" w:lineRule="exact"/>
        <w:ind w:firstLine="420" w:firstLineChars="200"/>
        <w:textAlignment w:val="auto"/>
        <w:rPr>
          <w:rStyle w:val="13"/>
          <w:rFonts w:hint="default" w:ascii="宋体" w:hAnsi="宋体"/>
          <w:color w:val="auto"/>
          <w:szCs w:val="21"/>
          <w:highlight w:val="none"/>
          <w:u w:val="single"/>
          <w:lang w:val="en-US" w:eastAsia="zh-CN"/>
        </w:rPr>
      </w:pPr>
      <w:r>
        <w:rPr>
          <w:rStyle w:val="13"/>
          <w:rFonts w:hint="eastAsia" w:ascii="宋体" w:hAnsi="宋体" w:eastAsia="宋体"/>
          <w:color w:val="auto"/>
          <w:szCs w:val="21"/>
          <w:highlight w:val="none"/>
        </w:rPr>
        <w:t>（1）</w:t>
      </w:r>
      <w:r>
        <w:rPr>
          <w:rStyle w:val="13"/>
          <w:rFonts w:hint="eastAsia" w:ascii="宋体" w:hAnsi="宋体"/>
          <w:color w:val="auto"/>
          <w:szCs w:val="21"/>
          <w:highlight w:val="none"/>
          <w:lang w:val="en-US" w:eastAsia="zh-CN"/>
        </w:rPr>
        <w:t>工期</w:t>
      </w:r>
      <w:r>
        <w:rPr>
          <w:rStyle w:val="13"/>
          <w:rFonts w:hint="eastAsia" w:ascii="宋体" w:hAnsi="宋体" w:eastAsia="宋体"/>
          <w:color w:val="auto"/>
          <w:szCs w:val="21"/>
          <w:highlight w:val="none"/>
        </w:rPr>
        <w:t>：</w:t>
      </w:r>
      <w:r>
        <w:rPr>
          <w:rStyle w:val="13"/>
          <w:rFonts w:hint="eastAsia" w:ascii="宋体" w:hAnsi="宋体" w:eastAsia="宋体" w:cstheme="minorBidi"/>
          <w:color w:val="auto"/>
          <w:szCs w:val="21"/>
          <w:highlight w:val="none"/>
          <w:u w:val="single"/>
          <w:lang w:val="en-US" w:eastAsia="zh-CN"/>
        </w:rPr>
        <w:t>供应商需在2026年11月20日前完成采购人委托的全部检测项目</w:t>
      </w:r>
      <w:r>
        <w:rPr>
          <w:rStyle w:val="13"/>
          <w:rFonts w:hint="eastAsia" w:ascii="宋体" w:hAnsi="宋体" w:eastAsia="宋体" w:cstheme="minorBidi"/>
          <w:color w:val="auto"/>
          <w:szCs w:val="21"/>
          <w:highlight w:val="none"/>
          <w:u w:val="single"/>
        </w:rPr>
        <w:t>。</w:t>
      </w:r>
    </w:p>
    <w:p>
      <w:pPr>
        <w:pStyle w:val="14"/>
        <w:keepNext w:val="0"/>
        <w:keepLines w:val="0"/>
        <w:pageBreakBefore w:val="0"/>
        <w:widowControl w:val="0"/>
        <w:kinsoku/>
        <w:wordWrap/>
        <w:overflowPunct/>
        <w:topLinePunct w:val="0"/>
        <w:autoSpaceDE/>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u w:val="single"/>
        </w:rPr>
      </w:pPr>
      <w:r>
        <w:rPr>
          <w:rStyle w:val="13"/>
          <w:rFonts w:hint="eastAsia" w:ascii="宋体" w:hAnsi="宋体" w:eastAsia="宋体"/>
          <w:color w:val="auto"/>
          <w:szCs w:val="21"/>
          <w:highlight w:val="none"/>
        </w:rPr>
        <w:t>（2）地点</w:t>
      </w:r>
      <w:r>
        <w:rPr>
          <w:rStyle w:val="13"/>
          <w:rFonts w:hint="eastAsia" w:ascii="宋体" w:hAnsi="宋体" w:eastAsia="宋体"/>
          <w:b/>
          <w:color w:val="auto"/>
          <w:szCs w:val="21"/>
          <w:highlight w:val="none"/>
        </w:rPr>
        <w:t>：</w:t>
      </w:r>
      <w:r>
        <w:rPr>
          <w:rStyle w:val="13"/>
          <w:rFonts w:hint="eastAsia" w:ascii="宋体" w:hAnsi="宋体" w:eastAsia="宋体"/>
          <w:color w:val="auto"/>
          <w:szCs w:val="21"/>
          <w:highlight w:val="none"/>
          <w:u w:val="single"/>
        </w:rPr>
        <w:t>采购人指定地点。</w:t>
      </w:r>
    </w:p>
    <w:p>
      <w:pPr>
        <w:pStyle w:val="14"/>
        <w:keepNext w:val="0"/>
        <w:keepLines w:val="0"/>
        <w:pageBreakBefore w:val="0"/>
        <w:widowControl w:val="0"/>
        <w:kinsoku/>
        <w:wordWrap/>
        <w:overflowPunct/>
        <w:topLinePunct w:val="0"/>
        <w:autoSpaceDE/>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u w:val="single"/>
        </w:rPr>
      </w:pPr>
      <w:r>
        <w:rPr>
          <w:rStyle w:val="13"/>
          <w:rFonts w:hint="eastAsia" w:ascii="宋体" w:hAnsi="宋体" w:eastAsia="宋体"/>
          <w:color w:val="auto"/>
          <w:szCs w:val="21"/>
          <w:highlight w:val="none"/>
        </w:rPr>
        <w:t>（3）方式：</w:t>
      </w:r>
      <w:r>
        <w:rPr>
          <w:rStyle w:val="13"/>
          <w:rFonts w:hint="eastAsia" w:ascii="宋体" w:hAnsi="宋体" w:eastAsia="宋体"/>
          <w:color w:val="auto"/>
          <w:szCs w:val="21"/>
          <w:highlight w:val="none"/>
          <w:u w:val="single"/>
        </w:rPr>
        <w:t xml:space="preserve"> 双方约定乙方到工程现场抽取检测样品，现场的取样运输由乙方承担。乙方按有关规定对检测后的样品进行留样。按采购人要求到指定地点完成检测服务，并按合同约定如期移交有关资料。  </w:t>
      </w:r>
    </w:p>
    <w:p>
      <w:pPr>
        <w:pStyle w:val="14"/>
        <w:keepNext w:val="0"/>
        <w:keepLines w:val="0"/>
        <w:pageBreakBefore w:val="0"/>
        <w:widowControl w:val="0"/>
        <w:kinsoku/>
        <w:wordWrap/>
        <w:overflowPunct/>
        <w:topLinePunct w:val="0"/>
        <w:autoSpaceDE/>
        <w:autoSpaceDN/>
        <w:bidi w:val="0"/>
        <w:adjustRightInd w:val="0"/>
        <w:snapToGrid w:val="0"/>
        <w:spacing w:before="156" w:beforeLines="50" w:line="400" w:lineRule="exact"/>
        <w:ind w:firstLine="420" w:firstLineChars="200"/>
        <w:textAlignment w:val="auto"/>
        <w:rPr>
          <w:rStyle w:val="13"/>
          <w:rFonts w:ascii="宋体" w:hAnsi="宋体" w:eastAsia="宋体"/>
          <w:bCs/>
          <w:color w:val="auto"/>
          <w:szCs w:val="21"/>
          <w:highlight w:val="none"/>
        </w:rPr>
      </w:pPr>
      <w:r>
        <w:rPr>
          <w:rStyle w:val="13"/>
          <w:rFonts w:hint="eastAsia" w:ascii="宋体" w:hAnsi="宋体" w:eastAsia="宋体"/>
          <w:bCs/>
          <w:color w:val="auto"/>
          <w:szCs w:val="21"/>
          <w:highlight w:val="none"/>
        </w:rPr>
        <w:t>（4）履约担保：</w:t>
      </w:r>
      <w:r>
        <w:rPr>
          <w:rStyle w:val="13"/>
          <w:rFonts w:hint="eastAsia" w:ascii="宋体" w:hAnsi="宋体"/>
          <w:bCs/>
          <w:color w:val="auto"/>
          <w:szCs w:val="21"/>
          <w:highlight w:val="none"/>
          <w:u w:val="single"/>
          <w:lang w:val="en-US" w:eastAsia="zh-CN"/>
        </w:rPr>
        <w:t xml:space="preserve"> / </w:t>
      </w:r>
      <w:r>
        <w:rPr>
          <w:rStyle w:val="13"/>
          <w:rFonts w:hint="eastAsia" w:ascii="宋体" w:hAnsi="宋体" w:eastAsia="宋体"/>
          <w:bCs/>
          <w:color w:val="auto"/>
          <w:szCs w:val="21"/>
          <w:highlight w:val="none"/>
        </w:rPr>
        <w:t>。</w:t>
      </w:r>
    </w:p>
    <w:p>
      <w:pPr>
        <w:pStyle w:val="14"/>
        <w:keepNext w:val="0"/>
        <w:keepLines w:val="0"/>
        <w:pageBreakBefore w:val="0"/>
        <w:widowControl w:val="0"/>
        <w:kinsoku/>
        <w:wordWrap/>
        <w:overflowPunct/>
        <w:topLinePunct w:val="0"/>
        <w:autoSpaceDE/>
        <w:autoSpaceDN/>
        <w:bidi w:val="0"/>
        <w:adjustRightInd w:val="0"/>
        <w:snapToGrid w:val="0"/>
        <w:spacing w:before="156" w:beforeLines="50" w:line="400" w:lineRule="exact"/>
        <w:ind w:firstLine="420" w:firstLineChars="200"/>
        <w:textAlignment w:val="auto"/>
        <w:rPr>
          <w:rStyle w:val="13"/>
          <w:rFonts w:hint="eastAsia" w:ascii="宋体" w:hAnsi="宋体" w:eastAsia="宋体"/>
          <w:bCs/>
          <w:color w:val="auto"/>
          <w:szCs w:val="21"/>
          <w:highlight w:val="none"/>
        </w:rPr>
      </w:pPr>
      <w:r>
        <w:rPr>
          <w:rStyle w:val="13"/>
          <w:rFonts w:hint="eastAsia" w:ascii="宋体" w:hAnsi="宋体" w:eastAsia="宋体"/>
          <w:bCs/>
          <w:color w:val="auto"/>
          <w:szCs w:val="21"/>
          <w:highlight w:val="none"/>
        </w:rPr>
        <w:t>（5）质量保证金：</w:t>
      </w:r>
      <w:r>
        <w:rPr>
          <w:rStyle w:val="13"/>
          <w:rFonts w:hint="eastAsia" w:ascii="宋体" w:hAnsi="宋体"/>
          <w:bCs/>
          <w:color w:val="auto"/>
          <w:szCs w:val="21"/>
          <w:highlight w:val="none"/>
          <w:u w:val="single"/>
          <w:lang w:val="en-US" w:eastAsia="zh-CN"/>
        </w:rPr>
        <w:t xml:space="preserve"> / </w:t>
      </w:r>
      <w:r>
        <w:rPr>
          <w:rStyle w:val="13"/>
          <w:rFonts w:hint="eastAsia" w:ascii="宋体" w:hAnsi="宋体" w:eastAsia="宋体"/>
          <w:bCs/>
          <w:color w:val="auto"/>
          <w:szCs w:val="21"/>
          <w:highlight w:val="none"/>
        </w:rPr>
        <w:t>。</w:t>
      </w:r>
    </w:p>
    <w:p>
      <w:pPr>
        <w:pStyle w:val="14"/>
        <w:keepNext w:val="0"/>
        <w:keepLines w:val="0"/>
        <w:pageBreakBefore w:val="0"/>
        <w:widowControl w:val="0"/>
        <w:kinsoku/>
        <w:wordWrap/>
        <w:overflowPunct/>
        <w:topLinePunct w:val="0"/>
        <w:autoSpaceDE/>
        <w:autoSpaceDN/>
        <w:bidi w:val="0"/>
        <w:adjustRightInd w:val="0"/>
        <w:snapToGrid w:val="0"/>
        <w:spacing w:before="156" w:beforeLines="50" w:line="400" w:lineRule="exact"/>
        <w:ind w:firstLine="421" w:firstLineChars="200"/>
        <w:textAlignment w:val="auto"/>
        <w:rPr>
          <w:rStyle w:val="13"/>
          <w:rFonts w:hint="eastAsia" w:ascii="宋体" w:hAnsi="宋体" w:eastAsia="宋体" w:cs="仿宋_GB2312"/>
          <w:b/>
          <w:bCs/>
          <w:color w:val="auto"/>
          <w:szCs w:val="21"/>
          <w:highlight w:val="none"/>
        </w:rPr>
      </w:pPr>
      <w:r>
        <w:rPr>
          <w:rStyle w:val="13"/>
          <w:rFonts w:hint="eastAsia" w:ascii="宋体" w:hAnsi="宋体" w:cs="Times New Roman"/>
          <w:b/>
          <w:bCs w:val="0"/>
          <w:color w:val="auto"/>
          <w:szCs w:val="21"/>
          <w:highlight w:val="none"/>
          <w:lang w:val="en-US" w:eastAsia="zh-CN"/>
        </w:rPr>
        <w:t>四.</w:t>
      </w:r>
      <w:r>
        <w:rPr>
          <w:rStyle w:val="13"/>
          <w:rFonts w:hint="eastAsia" w:ascii="宋体" w:hAnsi="宋体" w:eastAsia="宋体" w:cs="仿宋_GB2312"/>
          <w:b/>
          <w:bCs/>
          <w:color w:val="auto"/>
          <w:szCs w:val="21"/>
          <w:highlight w:val="none"/>
        </w:rPr>
        <w:t>服务要求、质量和标准</w:t>
      </w:r>
    </w:p>
    <w:p>
      <w:pPr>
        <w:widowControl w:val="0"/>
        <w:adjustRightInd w:val="0"/>
        <w:snapToGrid w:val="0"/>
        <w:spacing w:line="360" w:lineRule="auto"/>
        <w:ind w:left="552" w:leftChars="263"/>
        <w:jc w:val="both"/>
        <w:rPr>
          <w:rStyle w:val="13"/>
          <w:rFonts w:hint="eastAsia" w:ascii="宋体" w:hAnsi="宋体" w:eastAsia="宋体" w:cs="仿宋_GB2312"/>
          <w:b/>
          <w:bCs/>
          <w:color w:val="auto"/>
          <w:kern w:val="2"/>
          <w:sz w:val="21"/>
          <w:szCs w:val="21"/>
          <w:highlight w:val="none"/>
          <w:lang w:val="en-US" w:eastAsia="zh-CN" w:bidi="ar-SA"/>
        </w:rPr>
      </w:pPr>
    </w:p>
    <w:p>
      <w:pPr>
        <w:widowControl w:val="0"/>
        <w:adjustRightInd w:val="0"/>
        <w:snapToGrid w:val="0"/>
        <w:spacing w:line="360" w:lineRule="auto"/>
        <w:ind w:left="552" w:leftChars="263"/>
        <w:jc w:val="both"/>
        <w:rPr>
          <w:rFonts w:ascii="宋体" w:hAnsi="宋体" w:eastAsia="宋体" w:cs="仿宋_GB2312"/>
          <w:b/>
          <w:bCs/>
          <w:color w:val="auto"/>
          <w:kern w:val="2"/>
          <w:sz w:val="21"/>
          <w:szCs w:val="21"/>
          <w:highlight w:val="none"/>
          <w:lang w:val="en-US" w:eastAsia="zh-CN" w:bidi="ar-SA"/>
        </w:rPr>
      </w:pPr>
      <w:r>
        <w:rPr>
          <w:rFonts w:hint="eastAsia" w:ascii="宋体" w:hAnsi="宋体" w:eastAsia="宋体" w:cs="仿宋_GB2312"/>
          <w:b/>
          <w:bCs/>
          <w:color w:val="auto"/>
          <w:kern w:val="2"/>
          <w:sz w:val="21"/>
          <w:szCs w:val="21"/>
          <w:highlight w:val="none"/>
          <w:lang w:val="en-US" w:eastAsia="zh-CN" w:bidi="ar-SA"/>
        </w:rPr>
        <w:t>1、检测材料、设备运输、保险及保管</w:t>
      </w:r>
    </w:p>
    <w:p>
      <w:pPr>
        <w:widowControl w:val="0"/>
        <w:adjustRightInd w:val="0"/>
        <w:snapToGrid w:val="0"/>
        <w:spacing w:line="360" w:lineRule="auto"/>
        <w:ind w:firstLine="558" w:firstLineChars="266"/>
        <w:jc w:val="both"/>
        <w:rPr>
          <w:rFonts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1.1中标人负责检测材料、设备到试验地点的全部运输，包括装卸及现场搬运等。</w:t>
      </w:r>
    </w:p>
    <w:p>
      <w:pPr>
        <w:widowControl w:val="0"/>
        <w:adjustRightInd w:val="0"/>
        <w:snapToGrid w:val="0"/>
        <w:spacing w:line="360" w:lineRule="auto"/>
        <w:ind w:firstLine="558" w:firstLineChars="266"/>
        <w:jc w:val="both"/>
        <w:rPr>
          <w:rFonts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1.2中标人负责检测材料、设备在施工地点的保管，直至项目验收合格。</w:t>
      </w:r>
    </w:p>
    <w:p>
      <w:pPr>
        <w:widowControl w:val="0"/>
        <w:adjustRightInd w:val="0"/>
        <w:snapToGrid w:val="0"/>
        <w:spacing w:line="360" w:lineRule="auto"/>
        <w:ind w:firstLine="558" w:firstLineChars="266"/>
        <w:jc w:val="both"/>
        <w:rPr>
          <w:rFonts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1.3中标人负责其派出的</w:t>
      </w:r>
      <w:r>
        <w:rPr>
          <w:rFonts w:hint="eastAsia" w:ascii="Calibri" w:hAnsi="Calibri" w:eastAsia="宋体" w:cs="Calibri"/>
          <w:color w:val="auto"/>
          <w:kern w:val="2"/>
          <w:sz w:val="21"/>
          <w:szCs w:val="21"/>
          <w:lang w:val="en-US" w:eastAsia="zh-CN" w:bidi="ar-SA"/>
        </w:rPr>
        <w:t>检测</w:t>
      </w:r>
      <w:r>
        <w:rPr>
          <w:rFonts w:hint="eastAsia" w:ascii="宋体" w:hAnsi="宋体" w:eastAsia="宋体" w:cs="仿宋_GB2312"/>
          <w:bCs/>
          <w:color w:val="auto"/>
          <w:kern w:val="2"/>
          <w:sz w:val="21"/>
          <w:szCs w:val="21"/>
          <w:highlight w:val="none"/>
          <w:lang w:val="en-US" w:eastAsia="zh-CN" w:bidi="ar-SA"/>
        </w:rPr>
        <w:t>人员的人身意外保险，</w:t>
      </w:r>
      <w:r>
        <w:rPr>
          <w:rFonts w:hint="eastAsia" w:ascii="宋体" w:hAnsi="宋体" w:eastAsia="宋体" w:cs="仿宋_GB2312"/>
          <w:color w:val="auto"/>
          <w:kern w:val="2"/>
          <w:sz w:val="21"/>
          <w:szCs w:val="21"/>
          <w:highlight w:val="none"/>
          <w:lang w:val="en-US" w:eastAsia="zh-CN" w:bidi="ar-SA"/>
        </w:rPr>
        <w:t>应对参加检测的所有人员和第三者投保意外伤害保险，并承担全部安全责任。成交供应商应制定可靠的检测方案，采取有效安全防护措施，确保无安全事故发生</w:t>
      </w:r>
      <w:r>
        <w:rPr>
          <w:rFonts w:hint="eastAsia" w:ascii="宋体" w:hAnsi="宋体" w:eastAsia="宋体" w:cs="仿宋_GB2312"/>
          <w:bCs/>
          <w:color w:val="auto"/>
          <w:kern w:val="2"/>
          <w:sz w:val="21"/>
          <w:szCs w:val="21"/>
          <w:highlight w:val="none"/>
          <w:lang w:val="en-US" w:eastAsia="zh-CN" w:bidi="ar-SA"/>
        </w:rPr>
        <w:t>。</w:t>
      </w:r>
    </w:p>
    <w:p>
      <w:pPr>
        <w:widowControl w:val="0"/>
        <w:numPr>
          <w:ilvl w:val="0"/>
          <w:numId w:val="2"/>
        </w:numPr>
        <w:adjustRightInd w:val="0"/>
        <w:snapToGrid w:val="0"/>
        <w:spacing w:line="360" w:lineRule="auto"/>
        <w:ind w:left="638" w:leftChars="304"/>
        <w:jc w:val="both"/>
        <w:rPr>
          <w:rFonts w:ascii="宋体" w:hAnsi="宋体" w:eastAsia="宋体" w:cs="仿宋_GB2312"/>
          <w:b/>
          <w:color w:val="auto"/>
          <w:kern w:val="32"/>
          <w:sz w:val="21"/>
          <w:szCs w:val="21"/>
          <w:highlight w:val="none"/>
          <w:lang w:val="en-US" w:eastAsia="zh-CN" w:bidi="ar-SA"/>
        </w:rPr>
      </w:pPr>
      <w:r>
        <w:rPr>
          <w:rFonts w:hint="eastAsia" w:ascii="宋体" w:hAnsi="宋体" w:eastAsia="宋体" w:cs="仿宋_GB2312"/>
          <w:b/>
          <w:bCs/>
          <w:color w:val="auto"/>
          <w:kern w:val="2"/>
          <w:sz w:val="21"/>
          <w:szCs w:val="21"/>
          <w:highlight w:val="none"/>
          <w:lang w:val="en-US" w:eastAsia="zh-CN" w:bidi="ar-SA"/>
        </w:rPr>
        <w:t>检测工作要</w:t>
      </w:r>
      <w:r>
        <w:rPr>
          <w:rFonts w:hint="eastAsia" w:ascii="宋体" w:hAnsi="宋体" w:eastAsia="宋体" w:cs="仿宋_GB2312"/>
          <w:b/>
          <w:color w:val="auto"/>
          <w:kern w:val="32"/>
          <w:sz w:val="21"/>
          <w:szCs w:val="21"/>
          <w:highlight w:val="none"/>
          <w:lang w:val="en-US" w:eastAsia="zh-CN" w:bidi="ar-SA"/>
        </w:rPr>
        <w:t>求</w:t>
      </w:r>
    </w:p>
    <w:p>
      <w:pPr>
        <w:widowControl w:val="0"/>
        <w:adjustRightInd w:val="0"/>
        <w:snapToGrid w:val="0"/>
        <w:spacing w:line="360" w:lineRule="auto"/>
        <w:ind w:firstLine="560" w:firstLineChars="266"/>
        <w:jc w:val="both"/>
        <w:rPr>
          <w:rFonts w:hint="eastAsia" w:ascii="宋体" w:hAnsi="宋体" w:eastAsia="宋体" w:cs="仿宋_GB2312"/>
          <w:b/>
          <w:bCs w:val="0"/>
          <w:color w:val="auto"/>
          <w:kern w:val="2"/>
          <w:sz w:val="21"/>
          <w:szCs w:val="21"/>
          <w:highlight w:val="none"/>
          <w:lang w:val="en-US" w:eastAsia="zh-CN" w:bidi="ar-SA"/>
        </w:rPr>
      </w:pPr>
      <w:r>
        <w:rPr>
          <w:rFonts w:hint="eastAsia" w:ascii="宋体" w:hAnsi="宋体" w:eastAsia="宋体" w:cs="仿宋_GB2312"/>
          <w:b/>
          <w:bCs w:val="0"/>
          <w:color w:val="auto"/>
          <w:kern w:val="2"/>
          <w:sz w:val="21"/>
          <w:szCs w:val="21"/>
          <w:highlight w:val="none"/>
          <w:lang w:val="en-US" w:eastAsia="zh-CN" w:bidi="ar-SA"/>
        </w:rPr>
        <w:t>2.1检测工作流程</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（一）委托检测任务</w:t>
      </w:r>
    </w:p>
    <w:p>
      <w:pPr>
        <w:widowControl w:val="0"/>
        <w:adjustRightInd w:val="0"/>
        <w:snapToGrid w:val="0"/>
        <w:spacing w:line="360" w:lineRule="auto"/>
        <w:ind w:firstLine="558" w:firstLineChars="266"/>
        <w:jc w:val="both"/>
        <w:rPr>
          <w:rFonts w:hint="eastAsia" w:ascii="宋体" w:hAnsi="宋体" w:eastAsia="宋体" w:cs="仿宋_GB2312"/>
          <w:b w:val="0"/>
          <w:bCs/>
          <w:color w:val="auto"/>
          <w:kern w:val="2"/>
          <w:sz w:val="21"/>
          <w:szCs w:val="21"/>
          <w:highlight w:val="none"/>
          <w:lang w:val="en-US" w:eastAsia="zh-CN" w:bidi="ar-SA"/>
        </w:rPr>
      </w:pPr>
      <w:r>
        <w:rPr>
          <w:rFonts w:hint="eastAsia" w:ascii="宋体" w:hAnsi="宋体" w:eastAsia="宋体" w:cs="仿宋_GB2312"/>
          <w:b w:val="0"/>
          <w:bCs/>
          <w:color w:val="auto"/>
          <w:kern w:val="2"/>
          <w:sz w:val="21"/>
          <w:szCs w:val="21"/>
          <w:highlight w:val="none"/>
          <w:lang w:val="en-US" w:eastAsia="zh-CN" w:bidi="ar-SA"/>
        </w:rPr>
        <w:t>采购人根据水利工程建设项目规模，施工单位、监理单位及其委托的检测单位情况等，在遵循回避原则的前提下，选择成交供应商开展检测。</w:t>
      </w:r>
    </w:p>
    <w:p>
      <w:pPr>
        <w:widowControl w:val="0"/>
        <w:adjustRightInd w:val="0"/>
        <w:snapToGrid w:val="0"/>
        <w:spacing w:line="360" w:lineRule="auto"/>
        <w:ind w:firstLine="558" w:firstLineChars="266"/>
        <w:jc w:val="both"/>
        <w:rPr>
          <w:rFonts w:hint="eastAsia" w:ascii="宋体" w:hAnsi="宋体" w:eastAsia="宋体" w:cs="仿宋_GB2312"/>
          <w:b w:val="0"/>
          <w:bCs/>
          <w:color w:val="auto"/>
          <w:kern w:val="2"/>
          <w:sz w:val="21"/>
          <w:szCs w:val="21"/>
          <w:highlight w:val="none"/>
          <w:lang w:val="en-US" w:eastAsia="zh-CN" w:bidi="ar-SA"/>
        </w:rPr>
      </w:pPr>
      <w:r>
        <w:rPr>
          <w:rFonts w:hint="eastAsia" w:ascii="宋体" w:hAnsi="宋体" w:eastAsia="宋体" w:cs="仿宋_GB2312"/>
          <w:b w:val="0"/>
          <w:bCs/>
          <w:color w:val="auto"/>
          <w:kern w:val="2"/>
          <w:sz w:val="21"/>
          <w:szCs w:val="21"/>
          <w:highlight w:val="none"/>
          <w:lang w:val="en-US" w:eastAsia="zh-CN" w:bidi="ar-SA"/>
        </w:rPr>
        <w:t>（二）选派检测人员</w:t>
      </w:r>
    </w:p>
    <w:p>
      <w:pPr>
        <w:widowControl w:val="0"/>
        <w:adjustRightInd w:val="0"/>
        <w:snapToGrid w:val="0"/>
        <w:spacing w:line="360" w:lineRule="auto"/>
        <w:ind w:firstLine="558" w:firstLineChars="266"/>
        <w:jc w:val="both"/>
        <w:rPr>
          <w:rFonts w:hint="eastAsia" w:ascii="宋体" w:hAnsi="宋体" w:eastAsia="宋体" w:cs="仿宋_GB2312"/>
          <w:b w:val="0"/>
          <w:bCs/>
          <w:color w:val="auto"/>
          <w:kern w:val="2"/>
          <w:sz w:val="21"/>
          <w:szCs w:val="21"/>
          <w:highlight w:val="none"/>
          <w:lang w:val="en-US" w:eastAsia="zh-CN" w:bidi="ar-SA"/>
        </w:rPr>
      </w:pPr>
      <w:r>
        <w:rPr>
          <w:rFonts w:hint="eastAsia" w:ascii="宋体" w:hAnsi="宋体" w:eastAsia="宋体" w:cs="仿宋_GB2312"/>
          <w:b w:val="0"/>
          <w:bCs/>
          <w:color w:val="auto"/>
          <w:kern w:val="2"/>
          <w:sz w:val="21"/>
          <w:szCs w:val="21"/>
          <w:highlight w:val="none"/>
          <w:lang w:val="en-US" w:eastAsia="zh-CN" w:bidi="ar-SA"/>
        </w:rPr>
        <w:t>成交供应商在受领检测任务后，选派具备相应能力资格的检测人员，检测人员名单应报采购人同意。</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（三）制定质量抽检计划</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采购人有义务为成交供应商提供必要的工程资料，在不掌握工程资料或资料不全的情况下应协调工程建设项目法人提供必要条件，了解工程信息，作为成交供应商制定检测方案的依据。成交供应商应认真了解工程建设内容，并根据工程具体实施情况制定工程检测方案，报采购人审核同意。</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（四）开展质量监督检测</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采购人应指定质量监督人员负责工程项目检测协调配合，为检测人员提供必要的工作环境或条件。成交供应商应在质量监督人员的见证下，根据经采购人审核同意的《检测方案》开展检测工作。在检测过程中如发现检测方案与实际情况不符或现场实际情况发生变化时，在征得质量监督人员同意后可对检测方案进行相应调整。</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对原材料、中间产品的取样检测，应在质量监督人员及项目法人、监理、施工等参建各方代表的共同见证下进行取样，并共同在见证取样单上签字。</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对实体工程开展现场检测，应在质量监督人员及项目法人、监理、施工等参建各方代表的共同见证下开展检测，并在见证单上签字。</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（五）检测成果提交</w:t>
      </w:r>
    </w:p>
    <w:p>
      <w:pPr>
        <w:widowControl w:val="0"/>
        <w:adjustRightInd w:val="0"/>
        <w:snapToGrid w:val="0"/>
        <w:spacing w:line="360" w:lineRule="auto"/>
        <w:ind w:firstLine="558" w:firstLineChars="266"/>
        <w:jc w:val="both"/>
        <w:rPr>
          <w:rFonts w:hint="eastAsia" w:ascii="宋体" w:hAnsi="宋体" w:eastAsia="宋体" w:cs="仿宋_GB2312"/>
          <w:b w:val="0"/>
          <w:bCs/>
          <w:color w:val="auto"/>
          <w:kern w:val="2"/>
          <w:sz w:val="21"/>
          <w:szCs w:val="21"/>
          <w:highlight w:val="none"/>
          <w:lang w:val="en-US" w:eastAsia="zh-CN" w:bidi="ar-SA"/>
        </w:rPr>
      </w:pPr>
      <w:r>
        <w:rPr>
          <w:rFonts w:hint="eastAsia" w:ascii="宋体" w:hAnsi="宋体" w:eastAsia="宋体" w:cs="仿宋_GB2312"/>
          <w:b w:val="0"/>
          <w:bCs/>
          <w:color w:val="auto"/>
          <w:kern w:val="2"/>
          <w:sz w:val="21"/>
          <w:szCs w:val="21"/>
          <w:highlight w:val="none"/>
          <w:lang w:val="en-US" w:eastAsia="zh-CN" w:bidi="ar-SA"/>
        </w:rPr>
        <w:t>成交供应商在检测结束后，应在检测周期内向采购人提交检测成果，并保证检测结果的准确性和规范性，检测成果包含检测报告、检测台账和不合格台账。在检测过程中，如发现检测项目或部分检测参数不合格，但检测报告尚不具备出具条件时，成交供应商应在第一时间将检测结果报告采购人，并在具备条件后及时出具相应检测报告。</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 w:val="0"/>
          <w:bCs/>
          <w:color w:val="auto"/>
          <w:kern w:val="2"/>
          <w:sz w:val="21"/>
          <w:szCs w:val="21"/>
          <w:highlight w:val="none"/>
          <w:lang w:val="en-US" w:eastAsia="zh-CN" w:bidi="ar-SA"/>
        </w:rPr>
        <w:t>完成合同任务后，成交供应商应分项目对检测成果进行整理，制作合订本（一式两份），并提供检测台账、不合格台账（台账的表格见附件1、附件2、附件3）和检测清单，呈递采购人。</w:t>
      </w:r>
    </w:p>
    <w:p>
      <w:pPr>
        <w:widowControl w:val="0"/>
        <w:adjustRightInd w:val="0"/>
        <w:snapToGrid w:val="0"/>
        <w:spacing w:line="360" w:lineRule="auto"/>
        <w:ind w:firstLine="560" w:firstLineChars="266"/>
        <w:jc w:val="both"/>
        <w:rPr>
          <w:rFonts w:hint="eastAsia" w:ascii="宋体" w:hAnsi="宋体" w:eastAsia="宋体" w:cs="仿宋_GB2312"/>
          <w:b/>
          <w:bCs w:val="0"/>
          <w:color w:val="auto"/>
          <w:kern w:val="2"/>
          <w:sz w:val="21"/>
          <w:szCs w:val="21"/>
          <w:highlight w:val="none"/>
          <w:lang w:val="en-US" w:eastAsia="zh-CN" w:bidi="ar-SA"/>
        </w:rPr>
      </w:pPr>
      <w:r>
        <w:rPr>
          <w:rFonts w:hint="eastAsia" w:ascii="宋体" w:hAnsi="宋体" w:eastAsia="宋体" w:cs="仿宋_GB2312"/>
          <w:b/>
          <w:bCs w:val="0"/>
          <w:color w:val="auto"/>
          <w:kern w:val="2"/>
          <w:sz w:val="21"/>
          <w:szCs w:val="21"/>
          <w:highlight w:val="none"/>
          <w:lang w:val="en-US" w:eastAsia="zh-CN" w:bidi="ar-SA"/>
        </w:rPr>
        <w:t>2.2检测工作流程图</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宋体"/>
          <w:color w:val="auto"/>
          <w:kern w:val="2"/>
          <w:sz w:val="21"/>
          <w:szCs w:val="22"/>
          <w:highlight w:val="none"/>
          <w:lang w:val="en-US" w:eastAsia="zh-CN" w:bidi="ar-SA"/>
        </w:rPr>
        <w:drawing>
          <wp:inline distT="0" distB="0" distL="114300" distR="114300">
            <wp:extent cx="4304665" cy="2712085"/>
            <wp:effectExtent l="0" t="0" r="635" b="12065"/>
            <wp:docPr id="2" name="图片 1" descr="C:\Users\lml\AppData\Local\Temp\ksohtml\wps995D.tmp.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descr="C:\Users\lml\AppData\Local\Temp\ksohtml\wps995D.tmp.png"/>
                    <pic:cNvPicPr>
                      <a:picLocks noChangeAspect="true"/>
                    </pic:cNvPicPr>
                  </pic:nvPicPr>
                  <pic:blipFill>
                    <a:blip r:embed="rId5"/>
                    <a:stretch>
                      <a:fillRect/>
                    </a:stretch>
                  </pic:blipFill>
                  <pic:spPr>
                    <a:xfrm>
                      <a:off x="0" y="0"/>
                      <a:ext cx="4304665" cy="2712085"/>
                    </a:xfrm>
                    <a:prstGeom prst="rect">
                      <a:avLst/>
                    </a:prstGeom>
                    <a:noFill/>
                    <a:ln>
                      <a:noFill/>
                    </a:ln>
                  </pic:spPr>
                </pic:pic>
              </a:graphicData>
            </a:graphic>
          </wp:inline>
        </w:drawing>
      </w:r>
    </w:p>
    <w:p>
      <w:pPr>
        <w:widowControl w:val="0"/>
        <w:adjustRightInd w:val="0"/>
        <w:snapToGrid w:val="0"/>
        <w:spacing w:line="360" w:lineRule="auto"/>
        <w:jc w:val="both"/>
        <w:rPr>
          <w:rFonts w:hint="eastAsia" w:ascii="宋体" w:hAnsi="宋体" w:eastAsia="宋体" w:cs="仿宋_GB2312"/>
          <w:b/>
          <w:bCs w:val="0"/>
          <w:color w:val="auto"/>
          <w:kern w:val="2"/>
          <w:sz w:val="21"/>
          <w:szCs w:val="21"/>
          <w:highlight w:val="none"/>
          <w:lang w:val="en-US" w:eastAsia="zh-CN" w:bidi="ar-SA"/>
        </w:rPr>
      </w:pPr>
    </w:p>
    <w:p>
      <w:pPr>
        <w:widowControl w:val="0"/>
        <w:adjustRightInd w:val="0"/>
        <w:snapToGrid w:val="0"/>
        <w:spacing w:line="360" w:lineRule="auto"/>
        <w:jc w:val="both"/>
        <w:rPr>
          <w:rFonts w:hint="eastAsia" w:ascii="宋体" w:hAnsi="宋体" w:eastAsia="宋体" w:cs="仿宋_GB2312"/>
          <w:b/>
          <w:bCs w:val="0"/>
          <w:color w:val="auto"/>
          <w:kern w:val="2"/>
          <w:sz w:val="21"/>
          <w:szCs w:val="21"/>
          <w:highlight w:val="none"/>
          <w:lang w:val="en-US" w:eastAsia="zh-CN" w:bidi="ar-SA"/>
        </w:rPr>
      </w:pPr>
      <w:r>
        <w:rPr>
          <w:rFonts w:hint="eastAsia" w:ascii="宋体" w:hAnsi="宋体" w:eastAsia="宋体" w:cs="仿宋_GB2312"/>
          <w:b/>
          <w:bCs w:val="0"/>
          <w:color w:val="auto"/>
          <w:kern w:val="2"/>
          <w:sz w:val="21"/>
          <w:szCs w:val="21"/>
          <w:highlight w:val="none"/>
          <w:lang w:val="en-US" w:eastAsia="zh-CN" w:bidi="ar-SA"/>
        </w:rPr>
        <w:t>2.3取样要求及试验检测周期表</w:t>
      </w:r>
    </w:p>
    <w:tbl>
      <w:tblPr>
        <w:tblStyle w:val="12"/>
        <w:tblW w:w="9971" w:type="dxa"/>
        <w:jc w:val="center"/>
        <w:tblLayout w:type="fixed"/>
        <w:tblCellMar>
          <w:top w:w="0" w:type="dxa"/>
          <w:left w:w="108" w:type="dxa"/>
          <w:bottom w:w="0" w:type="dxa"/>
          <w:right w:w="108" w:type="dxa"/>
        </w:tblCellMar>
      </w:tblPr>
      <w:tblGrid>
        <w:gridCol w:w="537"/>
        <w:gridCol w:w="867"/>
        <w:gridCol w:w="2079"/>
        <w:gridCol w:w="1666"/>
        <w:gridCol w:w="1855"/>
        <w:gridCol w:w="1467"/>
        <w:gridCol w:w="1500"/>
      </w:tblGrid>
      <w:tr>
        <w:tblPrEx>
          <w:tblCellMar>
            <w:top w:w="0" w:type="dxa"/>
            <w:left w:w="108" w:type="dxa"/>
            <w:bottom w:w="0" w:type="dxa"/>
            <w:right w:w="108" w:type="dxa"/>
          </w:tblCellMar>
        </w:tblPrEx>
        <w:trPr>
          <w:cantSplit/>
          <w:trHeight w:val="697" w:hRule="atLeast"/>
          <w:tblHeader/>
          <w:jc w:val="center"/>
        </w:trPr>
        <w:tc>
          <w:tcPr>
            <w:tcW w:w="537"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序号</w:t>
            </w:r>
          </w:p>
        </w:tc>
        <w:tc>
          <w:tcPr>
            <w:tcW w:w="8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检测</w:t>
            </w:r>
          </w:p>
          <w:p>
            <w:pPr>
              <w:widowControl w:val="0"/>
              <w:autoSpaceDE w:val="0"/>
              <w:adjustRightInd w:val="0"/>
              <w:snapToGrid w:val="0"/>
              <w:spacing w:after="12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内容</w:t>
            </w:r>
          </w:p>
        </w:tc>
        <w:tc>
          <w:tcPr>
            <w:tcW w:w="2079"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需提供的</w:t>
            </w:r>
          </w:p>
          <w:p>
            <w:pPr>
              <w:widowControl w:val="0"/>
              <w:autoSpaceDE w:val="0"/>
              <w:adjustRightInd w:val="0"/>
              <w:snapToGrid w:val="0"/>
              <w:spacing w:after="12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样品信息</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取样数量</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取样要求</w:t>
            </w:r>
          </w:p>
        </w:tc>
        <w:tc>
          <w:tcPr>
            <w:tcW w:w="14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检测周期</w:t>
            </w:r>
          </w:p>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(取样后至报告出具)</w:t>
            </w:r>
          </w:p>
        </w:tc>
        <w:tc>
          <w:tcPr>
            <w:tcW w:w="1500"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说明</w:t>
            </w:r>
          </w:p>
        </w:tc>
      </w:tr>
      <w:tr>
        <w:tblPrEx>
          <w:tblCellMar>
            <w:top w:w="0" w:type="dxa"/>
            <w:left w:w="108" w:type="dxa"/>
            <w:bottom w:w="0" w:type="dxa"/>
            <w:right w:w="108" w:type="dxa"/>
          </w:tblCellMar>
        </w:tblPrEx>
        <w:trPr>
          <w:cantSplit/>
          <w:trHeight w:val="350"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p>
        </w:tc>
        <w:tc>
          <w:tcPr>
            <w:tcW w:w="8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水泥</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生产厂家、批量、批号、品种等级、取样日期、代表部位、取样地点</w:t>
            </w:r>
          </w:p>
        </w:tc>
        <w:tc>
          <w:tcPr>
            <w:tcW w:w="1666"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取样12kg（袋装水泥：随机抽取不少于20袋水泥中取样）</w:t>
            </w:r>
          </w:p>
        </w:tc>
        <w:tc>
          <w:tcPr>
            <w:tcW w:w="1855"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先用密封袋包装，再装入水泥桶，水泥应无结块现象</w:t>
            </w: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3d龄期，</w:t>
            </w:r>
          </w:p>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5~6天</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样品取样后需进行温度调节等前处理、报告出具及审核、签发等程序</w:t>
            </w:r>
          </w:p>
        </w:tc>
      </w:tr>
      <w:tr>
        <w:tblPrEx>
          <w:tblCellMar>
            <w:top w:w="0" w:type="dxa"/>
            <w:left w:w="108" w:type="dxa"/>
            <w:bottom w:w="0" w:type="dxa"/>
            <w:right w:w="108" w:type="dxa"/>
          </w:tblCellMar>
        </w:tblPrEx>
        <w:trPr>
          <w:cantSplit/>
          <w:trHeight w:val="347"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default" w:ascii="Times New Roman" w:hAnsi="Times New Roman" w:eastAsia="宋体" w:cs="Times New Roman"/>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630"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28d龄期，30~31天</w:t>
            </w: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50"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default" w:ascii="Times New Roman" w:hAnsi="Times New Roman" w:eastAsia="宋体" w:cs="Times New Roman"/>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exac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default" w:ascii="Times New Roman" w:hAnsi="Times New Roman" w:eastAsia="宋体" w:cs="Times New Roman"/>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285"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p>
        </w:tc>
        <w:tc>
          <w:tcPr>
            <w:tcW w:w="8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粉煤灰</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生产厂家、批量、批号、类别、等级、取样日期、代表部位、取样地点、用途</w:t>
            </w:r>
          </w:p>
        </w:tc>
        <w:tc>
          <w:tcPr>
            <w:tcW w:w="1666"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至少3kg</w:t>
            </w:r>
          </w:p>
        </w:tc>
        <w:tc>
          <w:tcPr>
            <w:tcW w:w="1855"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先用密封袋包装，再装入水泥桶</w:t>
            </w: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28d龄期，30~31天</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样品取样后需进行温度调节等前处理</w:t>
            </w: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default" w:ascii="Times New Roman" w:hAnsi="Times New Roman" w:eastAsia="宋体" w:cs="Times New Roman"/>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default" w:ascii="Times New Roman" w:hAnsi="Times New Roman" w:eastAsia="宋体" w:cs="Times New Roman"/>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default" w:ascii="Times New Roman" w:hAnsi="Times New Roman" w:eastAsia="宋体" w:cs="Times New Roman"/>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default" w:ascii="Times New Roman" w:hAnsi="Times New Roman" w:eastAsia="宋体" w:cs="Times New Roman"/>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50"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p>
        </w:tc>
        <w:tc>
          <w:tcPr>
            <w:tcW w:w="8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矿粉</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生产厂家、批量、批号、等级、取样日期、代表部位、取样地点</w:t>
            </w:r>
          </w:p>
        </w:tc>
        <w:tc>
          <w:tcPr>
            <w:tcW w:w="1666"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至少20kg</w:t>
            </w:r>
          </w:p>
        </w:tc>
        <w:tc>
          <w:tcPr>
            <w:tcW w:w="1855"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先用密封袋包装，再装入水泥桶</w:t>
            </w: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28d龄期，30~31天</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样品取样后需进行温度调节等前处理</w:t>
            </w:r>
          </w:p>
        </w:tc>
      </w:tr>
      <w:tr>
        <w:tblPrEx>
          <w:tblCellMar>
            <w:top w:w="0" w:type="dxa"/>
            <w:left w:w="108" w:type="dxa"/>
            <w:bottom w:w="0" w:type="dxa"/>
            <w:right w:w="108" w:type="dxa"/>
          </w:tblCellMar>
        </w:tblPrEx>
        <w:trPr>
          <w:cantSplit/>
          <w:trHeight w:val="630"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50"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exac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280"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w:t>
            </w:r>
          </w:p>
        </w:tc>
        <w:tc>
          <w:tcPr>
            <w:tcW w:w="867" w:type="dxa"/>
            <w:vMerge w:val="restart"/>
            <w:tcBorders>
              <w:top w:val="nil"/>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细骨料</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产地、类别、规格、代表部位、代表数量、取样日期、取样地点、用于混凝土强度等级</w:t>
            </w:r>
          </w:p>
        </w:tc>
        <w:tc>
          <w:tcPr>
            <w:tcW w:w="1666"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至少15kg</w:t>
            </w:r>
          </w:p>
        </w:tc>
        <w:tc>
          <w:tcPr>
            <w:tcW w:w="1855"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4天内</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浸泡、烘干时间</w:t>
            </w: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b w:val="0"/>
                <w:bCs w:val="0"/>
                <w:color w:val="auto"/>
                <w:kern w:val="2"/>
                <w:sz w:val="21"/>
                <w:szCs w:val="21"/>
                <w:highlight w:val="none"/>
                <w:lang w:val="en-US" w:eastAsia="zh-CN" w:bidi="ar-SA"/>
              </w:rPr>
            </w:pPr>
          </w:p>
        </w:tc>
        <w:tc>
          <w:tcPr>
            <w:tcW w:w="867"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b w:val="0"/>
                <w:bCs w:val="0"/>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b w:val="0"/>
                <w:bCs w:val="0"/>
                <w:color w:val="auto"/>
                <w:kern w:val="2"/>
                <w:sz w:val="21"/>
                <w:szCs w:val="21"/>
                <w:highlight w:val="none"/>
                <w:lang w:val="en-US" w:eastAsia="zh-CN" w:bidi="ar-SA"/>
              </w:rPr>
            </w:pPr>
          </w:p>
        </w:tc>
        <w:tc>
          <w:tcPr>
            <w:tcW w:w="867"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b w:val="0"/>
                <w:bCs w:val="0"/>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531" w:hRule="exac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b w:val="0"/>
                <w:bCs w:val="0"/>
                <w:color w:val="auto"/>
                <w:kern w:val="2"/>
                <w:sz w:val="21"/>
                <w:szCs w:val="21"/>
                <w:highlight w:val="none"/>
                <w:lang w:val="en-US" w:eastAsia="zh-CN" w:bidi="ar-SA"/>
              </w:rPr>
            </w:pPr>
          </w:p>
        </w:tc>
        <w:tc>
          <w:tcPr>
            <w:tcW w:w="867"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b w:val="0"/>
                <w:bCs w:val="0"/>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left"/>
              <w:rPr>
                <w:rFonts w:hint="eastAsia" w:ascii="宋体" w:hAnsi="宋体" w:eastAsia="宋体" w:cs="宋体"/>
                <w:b w:val="0"/>
                <w:bCs w:val="0"/>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280"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w:t>
            </w:r>
          </w:p>
        </w:tc>
        <w:tc>
          <w:tcPr>
            <w:tcW w:w="867" w:type="dxa"/>
            <w:vMerge w:val="restart"/>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粗骨料</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产地、类别、规格、代表部位、代表数量、取样日期、取样地点、用于混凝土强度等级</w:t>
            </w:r>
          </w:p>
        </w:tc>
        <w:tc>
          <w:tcPr>
            <w:tcW w:w="1666"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5-20mm：至少30kg；</w:t>
            </w:r>
            <w:r>
              <w:rPr>
                <w:rFonts w:hint="eastAsia" w:ascii="宋体" w:hAnsi="宋体" w:eastAsia="宋体" w:cs="宋体"/>
                <w:b w:val="0"/>
                <w:bCs w:val="0"/>
                <w:color w:val="auto"/>
                <w:kern w:val="2"/>
                <w:sz w:val="21"/>
                <w:szCs w:val="21"/>
                <w:highlight w:val="none"/>
                <w:lang w:val="en-US" w:eastAsia="zh-CN" w:bidi="ar-SA"/>
              </w:rPr>
              <w:br w:type="textWrapping"/>
            </w:r>
            <w:r>
              <w:rPr>
                <w:rFonts w:hint="eastAsia" w:ascii="宋体" w:hAnsi="宋体" w:eastAsia="宋体" w:cs="宋体"/>
                <w:b w:val="0"/>
                <w:bCs w:val="0"/>
                <w:color w:val="auto"/>
                <w:kern w:val="2"/>
                <w:sz w:val="21"/>
                <w:szCs w:val="21"/>
                <w:highlight w:val="none"/>
                <w:lang w:val="en-US" w:eastAsia="zh-CN" w:bidi="ar-SA"/>
              </w:rPr>
              <w:t>20-40mm：至少50kg</w:t>
            </w:r>
          </w:p>
        </w:tc>
        <w:tc>
          <w:tcPr>
            <w:tcW w:w="1855"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4天内</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浸泡、烘干时间</w:t>
            </w: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577" w:hRule="exac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745"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w:t>
            </w:r>
          </w:p>
        </w:tc>
        <w:tc>
          <w:tcPr>
            <w:tcW w:w="8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碱活性</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产地、类别、代表部位、代表数量、取样日期、取样地点、岩性</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砂：至少8kg；</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石：至少20kg</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c>
          <w:tcPr>
            <w:tcW w:w="1467" w:type="dxa"/>
            <w:vMerge w:val="restart"/>
            <w:tcBorders>
              <w:top w:val="nil"/>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28d龄期，32天内</w:t>
            </w:r>
          </w:p>
        </w:tc>
        <w:tc>
          <w:tcPr>
            <w:tcW w:w="1500" w:type="dxa"/>
            <w:vMerge w:val="restart"/>
            <w:tcBorders>
              <w:top w:val="nil"/>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快速砂浆棒法</w:t>
            </w:r>
          </w:p>
        </w:tc>
      </w:tr>
      <w:tr>
        <w:tblPrEx>
          <w:tblCellMar>
            <w:top w:w="0" w:type="dxa"/>
            <w:left w:w="108" w:type="dxa"/>
            <w:bottom w:w="0" w:type="dxa"/>
            <w:right w:w="108" w:type="dxa"/>
          </w:tblCellMar>
        </w:tblPrEx>
        <w:trPr>
          <w:cantSplit/>
          <w:trHeight w:val="729"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岩石或大于40mm颗粒</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285"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w:t>
            </w:r>
          </w:p>
        </w:tc>
        <w:tc>
          <w:tcPr>
            <w:tcW w:w="8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外加剂（减水剂、引气剂）</w:t>
            </w:r>
          </w:p>
        </w:tc>
        <w:tc>
          <w:tcPr>
            <w:tcW w:w="2079" w:type="dxa"/>
            <w:vMerge w:val="restart"/>
            <w:tcBorders>
              <w:top w:val="nil"/>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生产厂家、产品名称及类型、批号、批量、推荐掺量、代表部位、取样地点</w:t>
            </w:r>
          </w:p>
        </w:tc>
        <w:tc>
          <w:tcPr>
            <w:tcW w:w="1666" w:type="dxa"/>
            <w:vMerge w:val="restart"/>
            <w:tcBorders>
              <w:top w:val="nil"/>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＞（200*掺量）kg</w:t>
            </w:r>
          </w:p>
        </w:tc>
        <w:tc>
          <w:tcPr>
            <w:tcW w:w="1855" w:type="dxa"/>
            <w:vMerge w:val="restart"/>
            <w:tcBorders>
              <w:top w:val="nil"/>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粉状：先用密封袋包装，再装入水泥桶</w:t>
            </w:r>
          </w:p>
        </w:tc>
        <w:tc>
          <w:tcPr>
            <w:tcW w:w="1467" w:type="dxa"/>
            <w:vMerge w:val="restart"/>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匀质性指标：4天内；混凝土性能：42天内</w:t>
            </w:r>
          </w:p>
        </w:tc>
        <w:tc>
          <w:tcPr>
            <w:tcW w:w="1500" w:type="dxa"/>
            <w:vMerge w:val="restart"/>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514"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w:t>
            </w:r>
          </w:p>
        </w:tc>
        <w:tc>
          <w:tcPr>
            <w:tcW w:w="8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砼抗压</w:t>
            </w:r>
          </w:p>
        </w:tc>
        <w:tc>
          <w:tcPr>
            <w:tcW w:w="2079" w:type="dxa"/>
            <w:vMerge w:val="restart"/>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生产厂家、成型日期、代表部位、代表方量、设计强度等级、取样地点</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3个一组</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150*150*150mm</w:t>
            </w: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到龄期后2天内出具报告</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514"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3个一组</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150*150*150mm</w:t>
            </w: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514"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6个一组</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Φ150*300mm</w:t>
            </w: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514"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single" w:color="000000" w:sz="4" w:space="0"/>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4个一组</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带钢筋试件</w:t>
            </w: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280"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w:t>
            </w:r>
          </w:p>
        </w:tc>
        <w:tc>
          <w:tcPr>
            <w:tcW w:w="8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钢筋</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生产厂家、批量、批（炉）号、牌号、公称直径、取样日期、代表部位、取样地点</w:t>
            </w:r>
          </w:p>
        </w:tc>
        <w:tc>
          <w:tcPr>
            <w:tcW w:w="1666"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重量偏差：500mm*5根，</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拉伸：（500~600）*2根、</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冷弯：600*2根/</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反向弯曲：800*1根</w:t>
            </w:r>
          </w:p>
        </w:tc>
        <w:tc>
          <w:tcPr>
            <w:tcW w:w="1855"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钢筋无生锈；重量偏差试样断口平整</w:t>
            </w: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2天内</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1836" w:hRule="atLeast"/>
          <w:jc w:val="center"/>
        </w:trPr>
        <w:tc>
          <w:tcPr>
            <w:tcW w:w="537"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w:t>
            </w:r>
          </w:p>
        </w:tc>
        <w:tc>
          <w:tcPr>
            <w:tcW w:w="867" w:type="dxa"/>
            <w:tcBorders>
              <w:top w:val="nil"/>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焊接钢筋</w:t>
            </w:r>
          </w:p>
        </w:tc>
        <w:tc>
          <w:tcPr>
            <w:tcW w:w="2079"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生产厂家、批量、批（炉）号、牌号、公称直径、焊接方法、焊工姓名及考试合格证编号、取样日期、代表部位、取样地点</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6根一组</w:t>
            </w:r>
          </w:p>
        </w:tc>
        <w:tc>
          <w:tcPr>
            <w:tcW w:w="1855" w:type="dxa"/>
            <w:tcBorders>
              <w:top w:val="nil"/>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钢筋无生锈、焊缝无明显缺陷</w:t>
            </w:r>
          </w:p>
        </w:tc>
        <w:tc>
          <w:tcPr>
            <w:tcW w:w="14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2天内</w:t>
            </w:r>
          </w:p>
        </w:tc>
        <w:tc>
          <w:tcPr>
            <w:tcW w:w="1500"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882"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w:t>
            </w:r>
          </w:p>
        </w:tc>
        <w:tc>
          <w:tcPr>
            <w:tcW w:w="867" w:type="dxa"/>
            <w:vMerge w:val="restart"/>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芯样</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取样深度、代表部位、桩号、浇筑日期、取样日期、设计强度等级、取样地点</w:t>
            </w:r>
          </w:p>
        </w:tc>
        <w:tc>
          <w:tcPr>
            <w:tcW w:w="1666" w:type="dxa"/>
            <w:vMerge w:val="restart"/>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3个一组</w:t>
            </w:r>
          </w:p>
        </w:tc>
        <w:tc>
          <w:tcPr>
            <w:tcW w:w="1855" w:type="dxa"/>
            <w:vMerge w:val="restart"/>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直径至少应大于骨料最大粒径的两倍，高径比为1.0</w:t>
            </w: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龄期后4天内出具报告</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芯样加工及浸泡时间</w:t>
            </w:r>
          </w:p>
        </w:tc>
      </w:tr>
      <w:tr>
        <w:tblPrEx>
          <w:tblCellMar>
            <w:top w:w="0" w:type="dxa"/>
            <w:left w:w="108" w:type="dxa"/>
            <w:bottom w:w="0" w:type="dxa"/>
            <w:right w:w="108" w:type="dxa"/>
          </w:tblCellMar>
        </w:tblPrEx>
        <w:trPr>
          <w:cantSplit/>
          <w:trHeight w:val="280"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w:t>
            </w:r>
          </w:p>
        </w:tc>
        <w:tc>
          <w:tcPr>
            <w:tcW w:w="8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止水铜片</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生产厂家、批量、批号、牌号、状态、规格、代表部位、取样日期、取样地点</w:t>
            </w:r>
          </w:p>
        </w:tc>
        <w:tc>
          <w:tcPr>
            <w:tcW w:w="1666"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每批任取两卷，每卷上裁取一段（ 长30mm*原宽）</w:t>
            </w:r>
          </w:p>
        </w:tc>
        <w:tc>
          <w:tcPr>
            <w:tcW w:w="1855"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试样表面光滑洁净，无碰伤等</w:t>
            </w: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6天内</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加工成型，母体试验室</w:t>
            </w: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285" w:hRule="atLeast"/>
          <w:jc w:val="center"/>
        </w:trPr>
        <w:tc>
          <w:tcPr>
            <w:tcW w:w="537" w:type="dxa"/>
            <w:vMerge w:val="restart"/>
            <w:tcBorders>
              <w:top w:val="nil"/>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w:t>
            </w:r>
          </w:p>
        </w:tc>
        <w:tc>
          <w:tcPr>
            <w:tcW w:w="867" w:type="dxa"/>
            <w:vMerge w:val="restart"/>
            <w:tcBorders>
              <w:top w:val="nil"/>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止水橡胶</w:t>
            </w:r>
          </w:p>
        </w:tc>
        <w:tc>
          <w:tcPr>
            <w:tcW w:w="2079"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生产厂家、批量、批号、类别、规格、代表部位、取样日期、取样地点</w:t>
            </w:r>
          </w:p>
        </w:tc>
        <w:tc>
          <w:tcPr>
            <w:tcW w:w="1666"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1m*原宽</w:t>
            </w:r>
          </w:p>
        </w:tc>
        <w:tc>
          <w:tcPr>
            <w:tcW w:w="1855"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试样表面光滑洁净，无碰伤等</w:t>
            </w:r>
          </w:p>
        </w:tc>
        <w:tc>
          <w:tcPr>
            <w:tcW w:w="1467"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6天内</w:t>
            </w:r>
          </w:p>
        </w:tc>
        <w:tc>
          <w:tcPr>
            <w:tcW w:w="1500" w:type="dxa"/>
            <w:vMerge w:val="restart"/>
            <w:tcBorders>
              <w:top w:val="nil"/>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加工成型，母体试验室</w:t>
            </w: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312" w:hRule="atLeast"/>
          <w:jc w:val="center"/>
        </w:trPr>
        <w:tc>
          <w:tcPr>
            <w:tcW w:w="537" w:type="dxa"/>
            <w:vMerge w:val="continue"/>
            <w:tcBorders>
              <w:top w:val="nil"/>
              <w:left w:val="single" w:color="000000" w:sz="4" w:space="0"/>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867" w:type="dxa"/>
            <w:vMerge w:val="continue"/>
            <w:tcBorders>
              <w:top w:val="nil"/>
              <w:left w:val="nil"/>
              <w:bottom w:val="nil"/>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2079"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666"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855"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467"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c>
          <w:tcPr>
            <w:tcW w:w="1500" w:type="dxa"/>
            <w:vMerge w:val="continue"/>
            <w:tcBorders>
              <w:top w:val="nil"/>
              <w:left w:val="nil"/>
              <w:bottom w:val="single" w:color="000000" w:sz="4" w:space="0"/>
              <w:right w:val="single" w:color="000000" w:sz="4" w:space="0"/>
            </w:tcBorders>
            <w:noWrap w:val="0"/>
            <w:vAlign w:val="center"/>
          </w:tcPr>
          <w:p>
            <w:pPr>
              <w:widowControl/>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972" w:hRule="atLeast"/>
          <w:jc w:val="center"/>
        </w:trPr>
        <w:tc>
          <w:tcPr>
            <w:tcW w:w="537"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w:t>
            </w:r>
          </w:p>
        </w:tc>
        <w:tc>
          <w:tcPr>
            <w:tcW w:w="867" w:type="dxa"/>
            <w:tcBorders>
              <w:top w:val="single" w:color="000000" w:sz="4" w:space="0"/>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砖</w:t>
            </w:r>
          </w:p>
        </w:tc>
        <w:tc>
          <w:tcPr>
            <w:tcW w:w="2079" w:type="dxa"/>
            <w:tcBorders>
              <w:top w:val="single" w:color="000000" w:sz="4" w:space="0"/>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生产厂家、批量、批号、强度等级、规格、代表部位、取样日期、取样地点</w:t>
            </w:r>
          </w:p>
        </w:tc>
        <w:tc>
          <w:tcPr>
            <w:tcW w:w="1666" w:type="dxa"/>
            <w:tcBorders>
              <w:top w:val="single" w:color="000000" w:sz="4" w:space="0"/>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12块一组</w:t>
            </w:r>
          </w:p>
        </w:tc>
        <w:tc>
          <w:tcPr>
            <w:tcW w:w="1855" w:type="dxa"/>
            <w:tcBorders>
              <w:top w:val="single" w:color="000000" w:sz="4" w:space="0"/>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c>
          <w:tcPr>
            <w:tcW w:w="1467" w:type="dxa"/>
            <w:tcBorders>
              <w:top w:val="single" w:color="000000" w:sz="4" w:space="0"/>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到龄期后4天内出具报告</w:t>
            </w:r>
          </w:p>
        </w:tc>
        <w:tc>
          <w:tcPr>
            <w:tcW w:w="1500" w:type="dxa"/>
            <w:tcBorders>
              <w:top w:val="single" w:color="000000" w:sz="4" w:space="0"/>
              <w:left w:val="nil"/>
              <w:bottom w:val="nil"/>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780" w:hRule="atLeast"/>
          <w:jc w:val="center"/>
        </w:trPr>
        <w:tc>
          <w:tcPr>
            <w:tcW w:w="537"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w:t>
            </w:r>
          </w:p>
        </w:tc>
        <w:tc>
          <w:tcPr>
            <w:tcW w:w="8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混凝土抗冻试件</w:t>
            </w:r>
          </w:p>
        </w:tc>
        <w:tc>
          <w:tcPr>
            <w:tcW w:w="2079"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生产厂家、成型日期、代表部位、代表方量、设计强度等级、取样地点</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3个一组</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100*100*400mm</w:t>
            </w:r>
          </w:p>
        </w:tc>
        <w:tc>
          <w:tcPr>
            <w:tcW w:w="14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完成冻融循环后1~2天内出具</w:t>
            </w:r>
          </w:p>
        </w:tc>
        <w:tc>
          <w:tcPr>
            <w:tcW w:w="1500"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780" w:hRule="atLeast"/>
          <w:jc w:val="center"/>
        </w:trPr>
        <w:tc>
          <w:tcPr>
            <w:tcW w:w="537"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w:t>
            </w:r>
          </w:p>
        </w:tc>
        <w:tc>
          <w:tcPr>
            <w:tcW w:w="8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混凝土抗渗试件</w:t>
            </w:r>
          </w:p>
        </w:tc>
        <w:tc>
          <w:tcPr>
            <w:tcW w:w="2079"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生产厂家、成型日期、代表部位、代表方量、设计强度等级、取样地点</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6个一组</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c>
          <w:tcPr>
            <w:tcW w:w="14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完成试验后1~2天内出具</w:t>
            </w:r>
          </w:p>
        </w:tc>
        <w:tc>
          <w:tcPr>
            <w:tcW w:w="1500"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r>
      <w:tr>
        <w:tblPrEx>
          <w:tblCellMar>
            <w:top w:w="0" w:type="dxa"/>
            <w:left w:w="108" w:type="dxa"/>
            <w:bottom w:w="0" w:type="dxa"/>
            <w:right w:w="108" w:type="dxa"/>
          </w:tblCellMar>
        </w:tblPrEx>
        <w:trPr>
          <w:cantSplit/>
          <w:trHeight w:val="780" w:hRule="atLeast"/>
          <w:jc w:val="center"/>
        </w:trPr>
        <w:tc>
          <w:tcPr>
            <w:tcW w:w="537"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w:t>
            </w:r>
          </w:p>
        </w:tc>
        <w:tc>
          <w:tcPr>
            <w:tcW w:w="8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料场土</w:t>
            </w:r>
          </w:p>
        </w:tc>
        <w:tc>
          <w:tcPr>
            <w:tcW w:w="2079"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料场名称、取样深度、土样种类、代表部位、取样日期、取样地点</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细粒土30kg。含砾石土50kg</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c>
          <w:tcPr>
            <w:tcW w:w="1467" w:type="dxa"/>
            <w:tcBorders>
              <w:top w:val="single" w:color="000000" w:sz="4" w:space="0"/>
              <w:left w:val="nil"/>
              <w:bottom w:val="nil"/>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7~10天</w:t>
            </w:r>
          </w:p>
        </w:tc>
        <w:tc>
          <w:tcPr>
            <w:tcW w:w="1500"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取决于具体的试验参数</w:t>
            </w:r>
          </w:p>
        </w:tc>
      </w:tr>
      <w:tr>
        <w:tblPrEx>
          <w:tblCellMar>
            <w:top w:w="0" w:type="dxa"/>
            <w:left w:w="108" w:type="dxa"/>
            <w:bottom w:w="0" w:type="dxa"/>
            <w:right w:w="108" w:type="dxa"/>
          </w:tblCellMar>
        </w:tblPrEx>
        <w:trPr>
          <w:cantSplit/>
          <w:trHeight w:val="780" w:hRule="atLeast"/>
          <w:jc w:val="center"/>
        </w:trPr>
        <w:tc>
          <w:tcPr>
            <w:tcW w:w="537"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w:t>
            </w:r>
          </w:p>
        </w:tc>
        <w:tc>
          <w:tcPr>
            <w:tcW w:w="8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岩石</w:t>
            </w:r>
          </w:p>
        </w:tc>
        <w:tc>
          <w:tcPr>
            <w:tcW w:w="2079"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料场名称、种类、代表部位、取样日期、取样地点</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c>
          <w:tcPr>
            <w:tcW w:w="1467" w:type="dxa"/>
            <w:tcBorders>
              <w:top w:val="single" w:color="000000" w:sz="4" w:space="0"/>
              <w:left w:val="nil"/>
              <w:bottom w:val="nil"/>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5~7天</w:t>
            </w:r>
          </w:p>
        </w:tc>
        <w:tc>
          <w:tcPr>
            <w:tcW w:w="1500"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加工切磨</w:t>
            </w:r>
          </w:p>
        </w:tc>
      </w:tr>
      <w:tr>
        <w:tblPrEx>
          <w:tblCellMar>
            <w:top w:w="0" w:type="dxa"/>
            <w:left w:w="108" w:type="dxa"/>
            <w:bottom w:w="0" w:type="dxa"/>
            <w:right w:w="108" w:type="dxa"/>
          </w:tblCellMar>
        </w:tblPrEx>
        <w:trPr>
          <w:cantSplit/>
          <w:trHeight w:val="780" w:hRule="atLeast"/>
          <w:jc w:val="center"/>
        </w:trPr>
        <w:tc>
          <w:tcPr>
            <w:tcW w:w="537"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w:t>
            </w:r>
          </w:p>
        </w:tc>
        <w:tc>
          <w:tcPr>
            <w:tcW w:w="8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格宾网</w:t>
            </w:r>
          </w:p>
        </w:tc>
        <w:tc>
          <w:tcPr>
            <w:tcW w:w="2079"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生产厂家、批量、批号、类别、规格、代表部位、取样日期、取样地点</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3m</w:t>
            </w:r>
            <w:r>
              <w:rPr>
                <w:rFonts w:hint="eastAsia" w:ascii="宋体" w:hAnsi="宋体" w:eastAsia="宋体" w:cs="宋体"/>
                <w:color w:val="auto"/>
                <w:kern w:val="2"/>
                <w:sz w:val="21"/>
                <w:szCs w:val="21"/>
                <w:highlight w:val="none"/>
                <w:vertAlign w:val="superscript"/>
                <w:lang w:val="en-US" w:eastAsia="zh-CN" w:bidi="ar-SA"/>
              </w:rPr>
              <w:t>2</w:t>
            </w:r>
            <w:r>
              <w:rPr>
                <w:rFonts w:hint="eastAsia" w:ascii="宋体" w:hAnsi="宋体" w:eastAsia="宋体" w:cs="宋体"/>
                <w:color w:val="auto"/>
                <w:kern w:val="2"/>
                <w:sz w:val="21"/>
                <w:szCs w:val="21"/>
                <w:highlight w:val="none"/>
                <w:lang w:val="en-US" w:eastAsia="zh-CN" w:bidi="ar-SA"/>
              </w:rPr>
              <w:t>以上/组</w:t>
            </w: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包含端丝、边丝</w:t>
            </w:r>
          </w:p>
        </w:tc>
        <w:tc>
          <w:tcPr>
            <w:tcW w:w="1467" w:type="dxa"/>
            <w:tcBorders>
              <w:top w:val="single" w:color="000000" w:sz="4" w:space="0"/>
              <w:left w:val="nil"/>
              <w:bottom w:val="nil"/>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5天内</w:t>
            </w:r>
          </w:p>
        </w:tc>
        <w:tc>
          <w:tcPr>
            <w:tcW w:w="1500"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不含盐雾老化试验</w:t>
            </w:r>
          </w:p>
        </w:tc>
      </w:tr>
      <w:tr>
        <w:tblPrEx>
          <w:tblCellMar>
            <w:top w:w="0" w:type="dxa"/>
            <w:left w:w="108" w:type="dxa"/>
            <w:bottom w:w="0" w:type="dxa"/>
            <w:right w:w="108" w:type="dxa"/>
          </w:tblCellMar>
        </w:tblPrEx>
        <w:trPr>
          <w:cantSplit/>
          <w:trHeight w:val="1060" w:hRule="atLeast"/>
          <w:jc w:val="center"/>
        </w:trPr>
        <w:tc>
          <w:tcPr>
            <w:tcW w:w="537"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w:t>
            </w:r>
          </w:p>
        </w:tc>
        <w:tc>
          <w:tcPr>
            <w:tcW w:w="2946" w:type="dxa"/>
            <w:gridSpan w:val="2"/>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现场检测（压水、注水、开挖、压实度、混凝土结构、金属结构等）</w:t>
            </w:r>
          </w:p>
        </w:tc>
        <w:tc>
          <w:tcPr>
            <w:tcW w:w="1666"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c>
          <w:tcPr>
            <w:tcW w:w="1855"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c>
          <w:tcPr>
            <w:tcW w:w="1467"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完成现场检测后2~3天内出具报告</w:t>
            </w:r>
          </w:p>
        </w:tc>
        <w:tc>
          <w:tcPr>
            <w:tcW w:w="1500" w:type="dxa"/>
            <w:tcBorders>
              <w:top w:val="single" w:color="000000" w:sz="4" w:space="0"/>
              <w:left w:val="nil"/>
              <w:bottom w:val="single" w:color="000000" w:sz="4" w:space="0"/>
              <w:right w:val="single" w:color="000000" w:sz="4" w:space="0"/>
            </w:tcBorders>
            <w:noWrap w:val="0"/>
            <w:vAlign w:val="center"/>
          </w:tcPr>
          <w:p>
            <w:pPr>
              <w:widowControl w:val="0"/>
              <w:autoSpaceDE w:val="0"/>
              <w:adjustRightInd w:val="0"/>
              <w:snapToGrid w:val="0"/>
              <w:spacing w:after="120"/>
              <w:jc w:val="center"/>
              <w:rPr>
                <w:rFonts w:hint="eastAsia" w:ascii="宋体" w:hAnsi="宋体" w:eastAsia="宋体" w:cs="宋体"/>
                <w:color w:val="auto"/>
                <w:kern w:val="2"/>
                <w:sz w:val="21"/>
                <w:szCs w:val="21"/>
                <w:highlight w:val="none"/>
                <w:lang w:val="en-US" w:eastAsia="zh-CN" w:bidi="ar-SA"/>
              </w:rPr>
            </w:pPr>
          </w:p>
        </w:tc>
      </w:tr>
    </w:tbl>
    <w:p>
      <w:pPr>
        <w:widowControl w:val="0"/>
        <w:adjustRightInd w:val="0"/>
        <w:snapToGrid w:val="0"/>
        <w:spacing w:line="360" w:lineRule="auto"/>
        <w:ind w:firstLine="560" w:firstLineChars="266"/>
        <w:jc w:val="both"/>
        <w:rPr>
          <w:rFonts w:hint="default" w:ascii="宋体" w:hAnsi="宋体" w:eastAsia="宋体" w:cs="仿宋_GB2312"/>
          <w:b/>
          <w:bCs w:val="0"/>
          <w:color w:val="auto"/>
          <w:kern w:val="2"/>
          <w:sz w:val="21"/>
          <w:szCs w:val="21"/>
          <w:highlight w:val="none"/>
          <w:lang w:val="en-US" w:eastAsia="zh-CN" w:bidi="ar-SA"/>
        </w:rPr>
      </w:pPr>
      <w:r>
        <w:rPr>
          <w:rFonts w:hint="eastAsia" w:ascii="宋体" w:hAnsi="宋体" w:eastAsia="宋体" w:cs="仿宋_GB2312"/>
          <w:b/>
          <w:bCs w:val="0"/>
          <w:color w:val="auto"/>
          <w:kern w:val="2"/>
          <w:sz w:val="21"/>
          <w:szCs w:val="21"/>
          <w:highlight w:val="none"/>
          <w:lang w:val="en-US" w:eastAsia="zh-CN" w:bidi="ar-SA"/>
        </w:rPr>
        <w:t>备注：在项目实施过程中，采购人有权对上述取样要求及试验检测周期进行调整和修正。</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p>
    <w:p>
      <w:pPr>
        <w:widowControl w:val="0"/>
        <w:adjustRightInd w:val="0"/>
        <w:snapToGrid w:val="0"/>
        <w:spacing w:line="360" w:lineRule="auto"/>
        <w:ind w:firstLine="558" w:firstLineChars="266"/>
        <w:jc w:val="both"/>
        <w:rPr>
          <w:rFonts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2.4中标人须加强检测实施的组织管理，所有检测人员须遵守文明安全施工的有关规章制度，持证上岗。实施期间，应接受采购人及其委托人的监督管理，遵守有关规定。</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2.5每次检测工作完成后中标人应如期提交检测报告三份。</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2.6中标人必须严格按照国家行业等相关标准、规范进行检测。</w:t>
      </w:r>
    </w:p>
    <w:p>
      <w:pPr>
        <w:widowControl w:val="0"/>
        <w:adjustRightInd w:val="0"/>
        <w:snapToGrid w:val="0"/>
        <w:spacing w:line="360" w:lineRule="auto"/>
        <w:ind w:left="638" w:leftChars="304"/>
        <w:jc w:val="both"/>
        <w:rPr>
          <w:rFonts w:ascii="宋体" w:hAnsi="宋体" w:eastAsia="宋体" w:cs="仿宋_GB2312"/>
          <w:b/>
          <w:bCs/>
          <w:color w:val="auto"/>
          <w:kern w:val="2"/>
          <w:sz w:val="21"/>
          <w:szCs w:val="21"/>
          <w:highlight w:val="none"/>
          <w:lang w:val="en-US" w:eastAsia="zh-CN" w:bidi="ar-SA"/>
        </w:rPr>
      </w:pPr>
      <w:r>
        <w:rPr>
          <w:rFonts w:hint="eastAsia" w:ascii="宋体" w:hAnsi="宋体" w:eastAsia="宋体" w:cs="仿宋_GB2312"/>
          <w:b/>
          <w:bCs/>
          <w:color w:val="auto"/>
          <w:kern w:val="2"/>
          <w:sz w:val="21"/>
          <w:szCs w:val="21"/>
          <w:highlight w:val="none"/>
          <w:lang w:val="en-US" w:eastAsia="zh-CN" w:bidi="ar-SA"/>
        </w:rPr>
        <w:t>3、验收要</w:t>
      </w:r>
      <w:r>
        <w:rPr>
          <w:rFonts w:hint="eastAsia" w:ascii="宋体" w:hAnsi="宋体" w:eastAsia="宋体" w:cs="仿宋_GB2312"/>
          <w:b/>
          <w:color w:val="auto"/>
          <w:kern w:val="32"/>
          <w:sz w:val="21"/>
          <w:szCs w:val="21"/>
          <w:highlight w:val="none"/>
          <w:lang w:val="en-US" w:eastAsia="zh-CN" w:bidi="ar-SA"/>
        </w:rPr>
        <w:t>求</w:t>
      </w:r>
    </w:p>
    <w:p>
      <w:pPr>
        <w:widowControl w:val="0"/>
        <w:adjustRightInd w:val="0"/>
        <w:snapToGrid w:val="0"/>
        <w:spacing w:line="360" w:lineRule="auto"/>
        <w:ind w:firstLine="558" w:firstLineChars="266"/>
        <w:jc w:val="both"/>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3.1中标人负责提交的检测报告必须满足检验检测资质认定的相关法律法规要求，否则由此造成的全部损失由中标人承担。</w:t>
      </w:r>
    </w:p>
    <w:p>
      <w:pPr>
        <w:widowControl w:val="0"/>
        <w:adjustRightInd w:val="0"/>
        <w:snapToGrid w:val="0"/>
        <w:spacing w:line="360" w:lineRule="auto"/>
        <w:ind w:left="638" w:leftChars="304"/>
        <w:jc w:val="both"/>
        <w:rPr>
          <w:rFonts w:ascii="宋体" w:hAnsi="宋体" w:eastAsia="宋体" w:cs="仿宋_GB2312"/>
          <w:b/>
          <w:bCs/>
          <w:color w:val="auto"/>
          <w:kern w:val="2"/>
          <w:sz w:val="21"/>
          <w:szCs w:val="21"/>
          <w:highlight w:val="none"/>
          <w:lang w:val="en-US" w:eastAsia="zh-CN" w:bidi="ar-SA"/>
        </w:rPr>
      </w:pPr>
      <w:r>
        <w:rPr>
          <w:rFonts w:hint="eastAsia" w:ascii="宋体" w:hAnsi="宋体" w:eastAsia="宋体" w:cs="仿宋_GB2312"/>
          <w:b/>
          <w:bCs/>
          <w:color w:val="auto"/>
          <w:kern w:val="2"/>
          <w:sz w:val="21"/>
          <w:szCs w:val="21"/>
          <w:highlight w:val="none"/>
          <w:lang w:val="en-US" w:eastAsia="zh-CN" w:bidi="ar-SA"/>
        </w:rPr>
        <w:t>4、质量保证</w:t>
      </w:r>
    </w:p>
    <w:p>
      <w:pPr>
        <w:widowControl w:val="0"/>
        <w:tabs>
          <w:tab w:val="left" w:pos="8460"/>
        </w:tabs>
        <w:adjustRightInd w:val="0"/>
        <w:snapToGrid w:val="0"/>
        <w:spacing w:line="360" w:lineRule="auto"/>
        <w:ind w:left="628" w:leftChars="299" w:right="-153" w:rightChars="-73" w:firstLine="10" w:firstLineChars="5"/>
        <w:jc w:val="both"/>
        <w:rPr>
          <w:rFonts w:ascii="宋体" w:hAnsi="宋体" w:eastAsia="宋体" w:cs="仿宋_GB2312"/>
          <w:bCs/>
          <w:color w:val="auto"/>
          <w:kern w:val="2"/>
          <w:sz w:val="21"/>
          <w:szCs w:val="21"/>
          <w:highlight w:val="none"/>
          <w:lang w:val="en-US" w:eastAsia="zh-CN" w:bidi="ar-SA"/>
        </w:rPr>
      </w:pPr>
      <w:r>
        <w:rPr>
          <w:rFonts w:hint="eastAsia" w:ascii="宋体" w:hAnsi="宋体" w:eastAsia="宋体" w:cs="仿宋_GB2312"/>
          <w:color w:val="auto"/>
          <w:kern w:val="2"/>
          <w:sz w:val="21"/>
          <w:szCs w:val="21"/>
          <w:highlight w:val="none"/>
          <w:lang w:val="en-US" w:eastAsia="zh-CN" w:bidi="ar-SA"/>
        </w:rPr>
        <w:t>4.1以质量第一、安全第一、服务第一作为服务标准</w:t>
      </w:r>
      <w:r>
        <w:rPr>
          <w:rFonts w:hint="eastAsia" w:ascii="宋体" w:hAnsi="宋体" w:eastAsia="宋体" w:cs="仿宋_GB2312"/>
          <w:bCs/>
          <w:color w:val="auto"/>
          <w:kern w:val="2"/>
          <w:sz w:val="21"/>
          <w:szCs w:val="21"/>
          <w:highlight w:val="none"/>
          <w:lang w:val="en-US" w:eastAsia="zh-CN" w:bidi="ar-SA"/>
        </w:rPr>
        <w:t>；</w:t>
      </w:r>
    </w:p>
    <w:p>
      <w:pPr>
        <w:widowControl w:val="0"/>
        <w:tabs>
          <w:tab w:val="left" w:pos="8460"/>
        </w:tabs>
        <w:adjustRightInd w:val="0"/>
        <w:snapToGrid w:val="0"/>
        <w:spacing w:line="360" w:lineRule="auto"/>
        <w:ind w:left="628" w:leftChars="299" w:right="-153" w:rightChars="-73" w:firstLine="10" w:firstLineChars="5"/>
        <w:jc w:val="both"/>
        <w:rPr>
          <w:rFonts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4.2</w:t>
      </w:r>
      <w:r>
        <w:rPr>
          <w:rFonts w:hint="eastAsia" w:ascii="宋体" w:hAnsi="宋体" w:eastAsia="宋体" w:cs="仿宋_GB2312"/>
          <w:color w:val="auto"/>
          <w:kern w:val="2"/>
          <w:sz w:val="21"/>
          <w:szCs w:val="21"/>
          <w:highlight w:val="none"/>
          <w:lang w:val="en-US" w:eastAsia="zh-CN" w:bidi="ar-SA"/>
        </w:rPr>
        <w:t>做到检测公正、公平、公开，遵纪守法</w:t>
      </w:r>
      <w:r>
        <w:rPr>
          <w:rFonts w:hint="eastAsia" w:ascii="宋体" w:hAnsi="宋体" w:eastAsia="宋体" w:cs="仿宋_GB2312"/>
          <w:bCs/>
          <w:color w:val="auto"/>
          <w:kern w:val="2"/>
          <w:sz w:val="21"/>
          <w:szCs w:val="21"/>
          <w:highlight w:val="none"/>
          <w:lang w:val="en-US" w:eastAsia="zh-CN" w:bidi="ar-SA"/>
        </w:rPr>
        <w:t>；</w:t>
      </w:r>
    </w:p>
    <w:p>
      <w:pPr>
        <w:widowControl w:val="0"/>
        <w:tabs>
          <w:tab w:val="left" w:pos="8460"/>
        </w:tabs>
        <w:adjustRightInd w:val="0"/>
        <w:snapToGrid w:val="0"/>
        <w:spacing w:line="360" w:lineRule="auto"/>
        <w:ind w:left="628" w:leftChars="299" w:right="-153" w:rightChars="-73" w:firstLine="10" w:firstLineChars="5"/>
        <w:jc w:val="both"/>
        <w:rPr>
          <w:rFonts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4.3严格按相关规范规程及设计的要求进行检测；</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Fonts w:hint="eastAsia" w:ascii="宋体" w:hAnsi="宋体" w:eastAsia="宋体" w:cs="仿宋_GB2312"/>
          <w:bCs/>
          <w:color w:val="auto"/>
          <w:kern w:val="2"/>
          <w:sz w:val="21"/>
          <w:szCs w:val="21"/>
          <w:highlight w:val="none"/>
          <w:lang w:val="en-US" w:eastAsia="zh-CN" w:bidi="ar-SA"/>
        </w:rPr>
      </w:pPr>
      <w:r>
        <w:rPr>
          <w:rFonts w:hint="eastAsia" w:ascii="宋体" w:hAnsi="宋体" w:eastAsia="宋体" w:cs="仿宋_GB2312"/>
          <w:bCs/>
          <w:color w:val="auto"/>
          <w:kern w:val="2"/>
          <w:sz w:val="21"/>
          <w:szCs w:val="21"/>
          <w:highlight w:val="none"/>
          <w:lang w:val="en-US" w:eastAsia="zh-CN" w:bidi="ar-SA"/>
        </w:rPr>
        <w:t>4.4本着对客户负责、对人民生命财产安全负责、对社会负责和对国家负责的态度进行每一道工序。</w:t>
      </w:r>
    </w:p>
    <w:p>
      <w:pPr>
        <w:pStyle w:val="14"/>
        <w:pageBreakBefore w:val="0"/>
        <w:kinsoku/>
        <w:wordWrap/>
        <w:overflowPunct/>
        <w:topLinePunct w:val="0"/>
        <w:autoSpaceDN/>
        <w:bidi w:val="0"/>
        <w:adjustRightInd w:val="0"/>
        <w:snapToGrid w:val="0"/>
        <w:spacing w:before="156" w:beforeLines="50" w:line="400" w:lineRule="exact"/>
        <w:ind w:firstLine="421" w:firstLineChars="200"/>
        <w:textAlignment w:val="auto"/>
        <w:rPr>
          <w:rStyle w:val="13"/>
          <w:rFonts w:ascii="宋体" w:hAnsi="宋体" w:eastAsia="宋体"/>
          <w:b/>
          <w:color w:val="auto"/>
          <w:szCs w:val="21"/>
          <w:highlight w:val="none"/>
        </w:rPr>
      </w:pPr>
      <w:r>
        <w:rPr>
          <w:rStyle w:val="13"/>
          <w:rFonts w:hint="eastAsia" w:ascii="宋体" w:hAnsi="宋体"/>
          <w:b/>
          <w:color w:val="auto"/>
          <w:szCs w:val="21"/>
          <w:highlight w:val="none"/>
          <w:lang w:val="en-US" w:eastAsia="zh-CN"/>
        </w:rPr>
        <w:t>五</w:t>
      </w:r>
      <w:r>
        <w:rPr>
          <w:rStyle w:val="13"/>
          <w:rFonts w:hint="eastAsia" w:ascii="宋体" w:hAnsi="宋体" w:eastAsia="宋体"/>
          <w:b/>
          <w:color w:val="auto"/>
          <w:szCs w:val="21"/>
          <w:highlight w:val="none"/>
        </w:rPr>
        <w:t>.合同验收</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bCs/>
          <w:color w:val="auto"/>
          <w:szCs w:val="21"/>
          <w:highlight w:val="none"/>
        </w:rPr>
      </w:pPr>
      <w:r>
        <w:rPr>
          <w:rStyle w:val="13"/>
          <w:rFonts w:hint="eastAsia" w:ascii="宋体" w:hAnsi="宋体" w:eastAsia="宋体"/>
          <w:bCs/>
          <w:color w:val="auto"/>
          <w:szCs w:val="21"/>
          <w:highlight w:val="none"/>
        </w:rPr>
        <w:t>（1）验收主体：</w:t>
      </w:r>
      <w:r>
        <w:rPr>
          <w:rStyle w:val="13"/>
          <w:rFonts w:hint="eastAsia" w:ascii="宋体" w:hAnsi="宋体" w:eastAsia="宋体"/>
          <w:bCs/>
          <w:color w:val="auto"/>
          <w:szCs w:val="21"/>
          <w:highlight w:val="none"/>
          <w:u w:val="single"/>
        </w:rPr>
        <w:t xml:space="preserve"> 由采购人组织验收  </w:t>
      </w:r>
      <w:r>
        <w:rPr>
          <w:rStyle w:val="13"/>
          <w:rFonts w:hint="eastAsia" w:ascii="宋体" w:hAnsi="宋体" w:eastAsia="宋体"/>
          <w:bCs/>
          <w:color w:val="auto"/>
          <w:szCs w:val="21"/>
          <w:highlight w:val="none"/>
        </w:rPr>
        <w:t>。</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bCs/>
          <w:color w:val="auto"/>
          <w:szCs w:val="21"/>
          <w:highlight w:val="none"/>
        </w:rPr>
      </w:pPr>
      <w:r>
        <w:rPr>
          <w:rStyle w:val="13"/>
          <w:rFonts w:hint="eastAsia" w:ascii="宋体" w:hAnsi="宋体" w:eastAsia="宋体"/>
          <w:bCs/>
          <w:color w:val="auto"/>
          <w:szCs w:val="21"/>
          <w:highlight w:val="none"/>
        </w:rPr>
        <w:t>（</w:t>
      </w:r>
      <w:r>
        <w:rPr>
          <w:rStyle w:val="13"/>
          <w:rFonts w:hint="eastAsia" w:ascii="宋体" w:hAnsi="宋体"/>
          <w:bCs/>
          <w:color w:val="auto"/>
          <w:szCs w:val="21"/>
          <w:highlight w:val="none"/>
          <w:lang w:val="en-US" w:eastAsia="zh-CN"/>
        </w:rPr>
        <w:t>2</w:t>
      </w:r>
      <w:r>
        <w:rPr>
          <w:rStyle w:val="13"/>
          <w:rFonts w:hint="eastAsia" w:ascii="宋体" w:hAnsi="宋体" w:eastAsia="宋体"/>
          <w:bCs/>
          <w:color w:val="auto"/>
          <w:szCs w:val="21"/>
          <w:highlight w:val="none"/>
        </w:rPr>
        <w:t>）验收标准：</w:t>
      </w:r>
      <w:r>
        <w:rPr>
          <w:rStyle w:val="13"/>
          <w:rFonts w:hint="eastAsia" w:ascii="宋体" w:hAnsi="宋体" w:eastAsia="宋体"/>
          <w:bCs/>
          <w:color w:val="auto"/>
          <w:szCs w:val="21"/>
          <w:highlight w:val="none"/>
          <w:u w:val="single"/>
        </w:rPr>
        <w:t xml:space="preserve">  </w:t>
      </w:r>
      <w:r>
        <w:rPr>
          <w:rStyle w:val="13"/>
          <w:rFonts w:hint="eastAsia" w:ascii="宋体" w:hAnsi="宋体"/>
          <w:bCs/>
          <w:color w:val="auto"/>
          <w:szCs w:val="21"/>
          <w:highlight w:val="none"/>
          <w:u w:val="single"/>
          <w:lang w:eastAsia="zh-CN"/>
        </w:rPr>
        <w:t>供应商</w:t>
      </w:r>
      <w:r>
        <w:rPr>
          <w:rStyle w:val="13"/>
          <w:rFonts w:hint="eastAsia" w:ascii="宋体" w:hAnsi="宋体" w:eastAsia="宋体"/>
          <w:bCs/>
          <w:color w:val="auto"/>
          <w:szCs w:val="21"/>
          <w:highlight w:val="none"/>
          <w:u w:val="single"/>
        </w:rPr>
        <w:t>负责提交的检测报告必须满足检验检测资质认定的相关法律法规要求，否则由此造成的全部损失由</w:t>
      </w:r>
      <w:r>
        <w:rPr>
          <w:rStyle w:val="13"/>
          <w:rFonts w:hint="eastAsia" w:ascii="宋体" w:hAnsi="宋体"/>
          <w:bCs/>
          <w:color w:val="auto"/>
          <w:szCs w:val="21"/>
          <w:highlight w:val="none"/>
          <w:u w:val="single"/>
          <w:lang w:eastAsia="zh-CN"/>
        </w:rPr>
        <w:t>供应商</w:t>
      </w:r>
      <w:r>
        <w:rPr>
          <w:rStyle w:val="13"/>
          <w:rFonts w:hint="eastAsia" w:ascii="宋体" w:hAnsi="宋体" w:eastAsia="宋体"/>
          <w:bCs/>
          <w:color w:val="auto"/>
          <w:szCs w:val="21"/>
          <w:highlight w:val="none"/>
          <w:u w:val="single"/>
        </w:rPr>
        <w:t xml:space="preserve">承担  </w:t>
      </w:r>
      <w:r>
        <w:rPr>
          <w:rStyle w:val="13"/>
          <w:rFonts w:hint="eastAsia" w:ascii="宋体" w:hAnsi="宋体" w:eastAsia="宋体"/>
          <w:bCs/>
          <w:color w:val="auto"/>
          <w:szCs w:val="21"/>
          <w:highlight w:val="none"/>
        </w:rPr>
        <w:t>。</w:t>
      </w:r>
    </w:p>
    <w:p>
      <w:pPr>
        <w:pStyle w:val="14"/>
        <w:pageBreakBefore w:val="0"/>
        <w:kinsoku/>
        <w:wordWrap/>
        <w:overflowPunct/>
        <w:topLinePunct w:val="0"/>
        <w:autoSpaceDN/>
        <w:bidi w:val="0"/>
        <w:adjustRightInd w:val="0"/>
        <w:snapToGrid w:val="0"/>
        <w:spacing w:before="156" w:beforeLines="50" w:line="400" w:lineRule="exact"/>
        <w:ind w:firstLine="421" w:firstLineChars="200"/>
        <w:textAlignment w:val="auto"/>
        <w:rPr>
          <w:rStyle w:val="13"/>
          <w:rFonts w:hint="eastAsia" w:ascii="宋体" w:hAnsi="宋体"/>
          <w:b/>
          <w:color w:val="auto"/>
          <w:szCs w:val="21"/>
          <w:highlight w:val="none"/>
          <w:lang w:val="en-US" w:eastAsia="zh-CN"/>
        </w:rPr>
      </w:pPr>
      <w:r>
        <w:rPr>
          <w:rStyle w:val="13"/>
          <w:rFonts w:hint="eastAsia" w:ascii="宋体" w:hAnsi="宋体"/>
          <w:b/>
          <w:color w:val="auto"/>
          <w:szCs w:val="21"/>
          <w:highlight w:val="none"/>
          <w:lang w:val="en-US" w:eastAsia="zh-CN"/>
        </w:rPr>
        <w:t>六</w:t>
      </w:r>
      <w:r>
        <w:rPr>
          <w:rStyle w:val="13"/>
          <w:rFonts w:hint="eastAsia" w:ascii="宋体" w:hAnsi="宋体" w:eastAsia="宋体"/>
          <w:b/>
          <w:color w:val="auto"/>
          <w:szCs w:val="21"/>
          <w:highlight w:val="none"/>
        </w:rPr>
        <w:t>.</w:t>
      </w:r>
      <w:r>
        <w:rPr>
          <w:rStyle w:val="13"/>
          <w:rFonts w:hint="eastAsia" w:ascii="宋体" w:hAnsi="宋体"/>
          <w:b/>
          <w:color w:val="auto"/>
          <w:szCs w:val="21"/>
          <w:highlight w:val="none"/>
          <w:lang w:val="en-US" w:eastAsia="zh-CN"/>
        </w:rPr>
        <w:t>违约责任</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hint="default" w:ascii="宋体" w:hAnsi="宋体"/>
          <w:b w:val="0"/>
          <w:bCs/>
          <w:color w:val="auto"/>
          <w:szCs w:val="21"/>
          <w:highlight w:val="none"/>
          <w:lang w:val="en-US" w:eastAsia="zh-CN"/>
        </w:rPr>
      </w:pPr>
      <w:r>
        <w:rPr>
          <w:rStyle w:val="13"/>
          <w:rFonts w:hint="default" w:ascii="宋体" w:hAnsi="宋体"/>
          <w:b w:val="0"/>
          <w:bCs/>
          <w:color w:val="auto"/>
          <w:szCs w:val="21"/>
          <w:highlight w:val="none"/>
          <w:lang w:val="en-US" w:eastAsia="zh-CN"/>
        </w:rPr>
        <w:t>1.乙方应按本合同约定时间完成检测并提交成果，逾期完成单项检测或逾期提交检测成果的，每逾期1日，按该批次应结算检测费用的 0.5‰ 向甲方支付违约金；逾期超过 10日的，甲方有权单方解除合同，尚未支付的款项甲方不再继续支付，上述违约金计算至合同解除日。违约金不足以弥补实际损失的，乙方就不足部分继续赔偿。</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hint="default" w:ascii="宋体" w:hAnsi="宋体"/>
          <w:b w:val="0"/>
          <w:bCs/>
          <w:color w:val="auto"/>
          <w:szCs w:val="21"/>
          <w:highlight w:val="none"/>
          <w:lang w:val="en-US" w:eastAsia="zh-CN"/>
        </w:rPr>
      </w:pPr>
      <w:r>
        <w:rPr>
          <w:rStyle w:val="13"/>
          <w:rFonts w:hint="default" w:ascii="宋体" w:hAnsi="宋体"/>
          <w:b w:val="0"/>
          <w:bCs/>
          <w:color w:val="auto"/>
          <w:szCs w:val="21"/>
          <w:highlight w:val="none"/>
          <w:lang w:val="en-US" w:eastAsia="zh-CN"/>
        </w:rPr>
        <w:t>2.乙方提交的全部成果文件（检测报告、台账）不符合合同约定标准或检测规范要求，无法通过甲方验收的，乙方应重新检测、重新出具成果并承担因此发生的全部费用。重新检测后仍不符合检验检测规范导致无法通过甲方验收的，甲方有权单方解除合同，并要求乙方返还全部已支付合同价款，尚未支付的款项甲方不再继续支付，乙方还应按照甲方已支付金额的20%向甲方支付违约金。</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hint="default" w:ascii="宋体" w:hAnsi="宋体"/>
          <w:b w:val="0"/>
          <w:bCs/>
          <w:color w:val="auto"/>
          <w:szCs w:val="21"/>
          <w:highlight w:val="none"/>
          <w:lang w:val="en-US" w:eastAsia="zh-CN"/>
        </w:rPr>
      </w:pPr>
      <w:r>
        <w:rPr>
          <w:rStyle w:val="13"/>
          <w:rFonts w:hint="default" w:ascii="宋体" w:hAnsi="宋体"/>
          <w:b w:val="0"/>
          <w:bCs/>
          <w:color w:val="auto"/>
          <w:szCs w:val="21"/>
          <w:highlight w:val="none"/>
          <w:lang w:val="en-US" w:eastAsia="zh-CN"/>
        </w:rPr>
        <w:t>3.乙方未经甲方书面同意擅自分包、转包，或将已分包工作再次分包的，甲方有权解除合同，乙方应按合同总金额的20%向甲方支付违约金，给甲方造成损失的，乙方应另行赔偿。</w:t>
      </w:r>
    </w:p>
    <w:p>
      <w:pPr>
        <w:pStyle w:val="14"/>
        <w:pageBreakBefore w:val="0"/>
        <w:kinsoku/>
        <w:wordWrap/>
        <w:overflowPunct/>
        <w:topLinePunct w:val="0"/>
        <w:autoSpaceDN/>
        <w:bidi w:val="0"/>
        <w:adjustRightInd w:val="0"/>
        <w:snapToGrid w:val="0"/>
        <w:spacing w:before="156" w:beforeLines="50" w:line="400" w:lineRule="exact"/>
        <w:ind w:firstLine="421" w:firstLineChars="200"/>
        <w:textAlignment w:val="auto"/>
        <w:rPr>
          <w:rStyle w:val="13"/>
          <w:rFonts w:hint="eastAsia" w:ascii="宋体" w:hAnsi="宋体"/>
          <w:b/>
          <w:color w:val="auto"/>
          <w:szCs w:val="21"/>
          <w:highlight w:val="none"/>
          <w:lang w:val="en-US" w:eastAsia="zh-CN"/>
        </w:rPr>
      </w:pPr>
      <w:r>
        <w:rPr>
          <w:rStyle w:val="13"/>
          <w:rFonts w:hint="eastAsia" w:ascii="宋体" w:hAnsi="宋体"/>
          <w:b/>
          <w:color w:val="auto"/>
          <w:szCs w:val="21"/>
          <w:highlight w:val="none"/>
          <w:lang w:val="en-US" w:eastAsia="zh-CN"/>
        </w:rPr>
        <w:t>七.知识产权</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hint="default" w:ascii="宋体" w:hAnsi="宋体"/>
          <w:b w:val="0"/>
          <w:bCs/>
          <w:color w:val="auto"/>
          <w:szCs w:val="21"/>
          <w:highlight w:val="none"/>
          <w:lang w:val="en-US" w:eastAsia="zh-CN"/>
        </w:rPr>
      </w:pPr>
      <w:r>
        <w:rPr>
          <w:rStyle w:val="13"/>
          <w:rFonts w:hint="eastAsia" w:ascii="宋体" w:hAnsi="宋体"/>
          <w:b w:val="0"/>
          <w:bCs/>
          <w:color w:val="auto"/>
          <w:szCs w:val="21"/>
          <w:highlight w:val="none"/>
          <w:lang w:val="en-US" w:eastAsia="zh-CN"/>
        </w:rPr>
        <w:t>乙方</w:t>
      </w:r>
      <w:r>
        <w:rPr>
          <w:rStyle w:val="13"/>
          <w:rFonts w:hint="default" w:ascii="宋体" w:hAnsi="宋体"/>
          <w:b w:val="0"/>
          <w:bCs/>
          <w:color w:val="auto"/>
          <w:szCs w:val="21"/>
          <w:highlight w:val="none"/>
          <w:lang w:val="en-US" w:eastAsia="zh-CN"/>
        </w:rPr>
        <w:t>为履行本合同所产生或提交的全部工作成果的知识产权及所有权，归</w:t>
      </w:r>
      <w:r>
        <w:rPr>
          <w:rStyle w:val="13"/>
          <w:rFonts w:hint="eastAsia" w:ascii="宋体" w:hAnsi="宋体"/>
          <w:b w:val="0"/>
          <w:bCs/>
          <w:color w:val="auto"/>
          <w:szCs w:val="21"/>
          <w:highlight w:val="none"/>
          <w:lang w:val="en-US" w:eastAsia="zh-CN"/>
        </w:rPr>
        <w:t>甲方单独</w:t>
      </w:r>
      <w:r>
        <w:rPr>
          <w:rStyle w:val="13"/>
          <w:rFonts w:hint="default" w:ascii="宋体" w:hAnsi="宋体"/>
          <w:b w:val="0"/>
          <w:bCs/>
          <w:color w:val="auto"/>
          <w:szCs w:val="21"/>
          <w:highlight w:val="none"/>
          <w:lang w:val="en-US" w:eastAsia="zh-CN"/>
        </w:rPr>
        <w:t>所有。未经</w:t>
      </w:r>
      <w:r>
        <w:rPr>
          <w:rStyle w:val="13"/>
          <w:rFonts w:hint="eastAsia" w:ascii="宋体" w:hAnsi="宋体"/>
          <w:b w:val="0"/>
          <w:bCs/>
          <w:color w:val="auto"/>
          <w:szCs w:val="21"/>
          <w:highlight w:val="none"/>
          <w:lang w:val="en-US" w:eastAsia="zh-CN"/>
        </w:rPr>
        <w:t>甲方</w:t>
      </w:r>
      <w:r>
        <w:rPr>
          <w:rStyle w:val="13"/>
          <w:rFonts w:hint="default" w:ascii="宋体" w:hAnsi="宋体"/>
          <w:b w:val="0"/>
          <w:bCs/>
          <w:color w:val="auto"/>
          <w:szCs w:val="21"/>
          <w:highlight w:val="none"/>
          <w:lang w:val="en-US" w:eastAsia="zh-CN"/>
        </w:rPr>
        <w:t>书面同意，</w:t>
      </w:r>
      <w:r>
        <w:rPr>
          <w:rStyle w:val="13"/>
          <w:rFonts w:hint="eastAsia" w:ascii="宋体" w:hAnsi="宋体"/>
          <w:b w:val="0"/>
          <w:bCs/>
          <w:color w:val="auto"/>
          <w:szCs w:val="21"/>
          <w:highlight w:val="none"/>
          <w:lang w:val="en-US" w:eastAsia="zh-CN"/>
        </w:rPr>
        <w:t>乙方</w:t>
      </w:r>
      <w:r>
        <w:rPr>
          <w:rStyle w:val="13"/>
          <w:rFonts w:hint="default" w:ascii="宋体" w:hAnsi="宋体"/>
          <w:b w:val="0"/>
          <w:bCs/>
          <w:color w:val="auto"/>
          <w:szCs w:val="21"/>
          <w:highlight w:val="none"/>
          <w:lang w:val="en-US" w:eastAsia="zh-CN"/>
        </w:rPr>
        <w:t>不得将该等成果用于本合同目的之外的任何用途。</w:t>
      </w:r>
    </w:p>
    <w:p>
      <w:pPr>
        <w:pStyle w:val="14"/>
        <w:pageBreakBefore w:val="0"/>
        <w:numPr>
          <w:ilvl w:val="0"/>
          <w:numId w:val="3"/>
        </w:numPr>
        <w:kinsoku/>
        <w:wordWrap/>
        <w:overflowPunct/>
        <w:topLinePunct w:val="0"/>
        <w:autoSpaceDN/>
        <w:bidi w:val="0"/>
        <w:adjustRightInd w:val="0"/>
        <w:snapToGrid w:val="0"/>
        <w:spacing w:before="156" w:beforeLines="50" w:line="400" w:lineRule="exact"/>
        <w:ind w:firstLine="421" w:firstLineChars="200"/>
        <w:textAlignment w:val="auto"/>
        <w:rPr>
          <w:rStyle w:val="13"/>
          <w:rFonts w:hint="default" w:ascii="宋体" w:hAnsi="宋体"/>
          <w:b/>
          <w:color w:val="auto"/>
          <w:szCs w:val="21"/>
          <w:highlight w:val="none"/>
          <w:lang w:val="en-US" w:eastAsia="zh-CN"/>
        </w:rPr>
      </w:pPr>
      <w:r>
        <w:rPr>
          <w:rStyle w:val="13"/>
          <w:rFonts w:hint="eastAsia" w:ascii="宋体" w:hAnsi="宋体"/>
          <w:b/>
          <w:color w:val="auto"/>
          <w:szCs w:val="21"/>
          <w:highlight w:val="none"/>
          <w:lang w:val="en-US" w:eastAsia="zh-CN"/>
        </w:rPr>
        <w:t>纠纷解决方式</w:t>
      </w:r>
    </w:p>
    <w:p>
      <w:pPr>
        <w:pStyle w:val="14"/>
        <w:pageBreakBefore w:val="0"/>
        <w:numPr>
          <w:ilvl w:val="-1"/>
          <w:numId w:val="0"/>
        </w:numPr>
        <w:kinsoku/>
        <w:wordWrap/>
        <w:overflowPunct/>
        <w:topLinePunct w:val="0"/>
        <w:autoSpaceDN/>
        <w:bidi w:val="0"/>
        <w:adjustRightInd w:val="0"/>
        <w:snapToGrid w:val="0"/>
        <w:spacing w:before="156" w:beforeLines="50" w:line="400" w:lineRule="exact"/>
        <w:ind w:firstLine="420" w:firstLineChars="200"/>
        <w:textAlignment w:val="auto"/>
        <w:rPr>
          <w:rStyle w:val="13"/>
          <w:rFonts w:hint="default" w:ascii="宋体" w:hAnsi="宋体"/>
          <w:b w:val="0"/>
          <w:bCs/>
          <w:color w:val="auto"/>
          <w:szCs w:val="21"/>
          <w:highlight w:val="none"/>
          <w:lang w:val="en-US" w:eastAsia="zh-CN"/>
        </w:rPr>
      </w:pPr>
      <w:r>
        <w:rPr>
          <w:rStyle w:val="13"/>
          <w:rFonts w:hint="default" w:ascii="宋体" w:hAnsi="宋体"/>
          <w:b w:val="0"/>
          <w:bCs/>
          <w:color w:val="auto"/>
          <w:szCs w:val="21"/>
          <w:highlight w:val="none"/>
          <w:lang w:val="en-US" w:eastAsia="zh-CN"/>
        </w:rPr>
        <w:t>因本合同引起的任何争议，</w:t>
      </w:r>
      <w:r>
        <w:rPr>
          <w:rStyle w:val="13"/>
          <w:rFonts w:hint="eastAsia" w:ascii="宋体" w:hAnsi="宋体"/>
          <w:b w:val="0"/>
          <w:bCs/>
          <w:color w:val="auto"/>
          <w:szCs w:val="21"/>
          <w:highlight w:val="none"/>
          <w:lang w:val="en-US" w:eastAsia="zh-CN"/>
        </w:rPr>
        <w:t>双方应先友好协商，协商不成的向</w:t>
      </w:r>
      <w:r>
        <w:rPr>
          <w:rStyle w:val="13"/>
          <w:rFonts w:hint="default" w:ascii="宋体" w:hAnsi="宋体"/>
          <w:b w:val="0"/>
          <w:bCs/>
          <w:color w:val="auto"/>
          <w:szCs w:val="21"/>
          <w:highlight w:val="none"/>
          <w:lang w:val="en-US" w:eastAsia="zh-CN"/>
        </w:rPr>
        <w:t>甲方所在地人民法院</w:t>
      </w:r>
      <w:r>
        <w:rPr>
          <w:rStyle w:val="13"/>
          <w:rFonts w:hint="eastAsia" w:ascii="宋体" w:hAnsi="宋体"/>
          <w:b w:val="0"/>
          <w:bCs/>
          <w:color w:val="auto"/>
          <w:szCs w:val="21"/>
          <w:highlight w:val="none"/>
          <w:lang w:val="en-US" w:eastAsia="zh-CN"/>
        </w:rPr>
        <w:t>提起</w:t>
      </w:r>
      <w:r>
        <w:rPr>
          <w:rStyle w:val="13"/>
          <w:rFonts w:hint="default" w:ascii="宋体" w:hAnsi="宋体"/>
          <w:b w:val="0"/>
          <w:bCs/>
          <w:color w:val="auto"/>
          <w:szCs w:val="21"/>
          <w:highlight w:val="none"/>
          <w:lang w:val="en-US" w:eastAsia="zh-CN"/>
        </w:rPr>
        <w:t>诉讼解决。</w:t>
      </w:r>
    </w:p>
    <w:p>
      <w:pPr>
        <w:pStyle w:val="14"/>
        <w:pageBreakBefore w:val="0"/>
        <w:kinsoku/>
        <w:wordWrap/>
        <w:overflowPunct/>
        <w:topLinePunct w:val="0"/>
        <w:autoSpaceDN/>
        <w:bidi w:val="0"/>
        <w:adjustRightInd w:val="0"/>
        <w:snapToGrid w:val="0"/>
        <w:spacing w:before="156" w:beforeLines="50" w:line="400" w:lineRule="exact"/>
        <w:ind w:firstLine="421" w:firstLineChars="200"/>
        <w:textAlignment w:val="auto"/>
        <w:rPr>
          <w:rStyle w:val="13"/>
          <w:rFonts w:ascii="宋体" w:hAnsi="宋体" w:eastAsia="宋体"/>
          <w:b/>
          <w:color w:val="auto"/>
          <w:szCs w:val="21"/>
          <w:highlight w:val="none"/>
        </w:rPr>
      </w:pPr>
      <w:r>
        <w:rPr>
          <w:rStyle w:val="13"/>
          <w:rFonts w:hint="eastAsia" w:ascii="宋体" w:hAnsi="宋体"/>
          <w:b/>
          <w:color w:val="auto"/>
          <w:szCs w:val="21"/>
          <w:highlight w:val="none"/>
          <w:lang w:val="en-US" w:eastAsia="zh-CN"/>
        </w:rPr>
        <w:t>九．</w:t>
      </w:r>
      <w:r>
        <w:rPr>
          <w:rStyle w:val="13"/>
          <w:rFonts w:hint="eastAsia" w:ascii="宋体" w:hAnsi="宋体" w:eastAsia="宋体"/>
          <w:b/>
          <w:color w:val="auto"/>
          <w:szCs w:val="21"/>
          <w:highlight w:val="none"/>
        </w:rPr>
        <w:t>组成合同的文件</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本协议书与下列文件一起构成合同文件，如下述文件之间有任何抵触、矛盾或歧义，应按以下顺序解释：</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（1）在采购或合同履行过程中乙方作出的承诺以及双方协商达成的变更或补充协议</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（2）本合同协议书</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（3）成交通知书</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（4）响应文件</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（5）政府采购合同专用条款</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（6）政府采购合同通用条款</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（7）标准、规范及有关技术文件，图纸。</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（8）其他合同文件。</w:t>
      </w:r>
    </w:p>
    <w:p>
      <w:pPr>
        <w:pStyle w:val="14"/>
        <w:pageBreakBefore w:val="0"/>
        <w:kinsoku/>
        <w:wordWrap/>
        <w:overflowPunct/>
        <w:topLinePunct w:val="0"/>
        <w:autoSpaceDN/>
        <w:bidi w:val="0"/>
        <w:adjustRightInd w:val="0"/>
        <w:snapToGrid w:val="0"/>
        <w:spacing w:before="156" w:beforeLines="50" w:line="400" w:lineRule="exact"/>
        <w:ind w:firstLine="309" w:firstLineChars="147"/>
        <w:textAlignment w:val="auto"/>
        <w:rPr>
          <w:rStyle w:val="13"/>
          <w:rFonts w:ascii="宋体" w:hAnsi="宋体" w:eastAsia="宋体"/>
          <w:b/>
          <w:color w:val="auto"/>
          <w:szCs w:val="21"/>
          <w:highlight w:val="none"/>
        </w:rPr>
      </w:pPr>
      <w:r>
        <w:rPr>
          <w:rStyle w:val="13"/>
          <w:rFonts w:hint="eastAsia" w:ascii="宋体" w:hAnsi="宋体"/>
          <w:b/>
          <w:color w:val="auto"/>
          <w:szCs w:val="21"/>
          <w:highlight w:val="none"/>
          <w:lang w:val="en-US" w:eastAsia="zh-CN"/>
        </w:rPr>
        <w:t>十</w:t>
      </w:r>
      <w:r>
        <w:rPr>
          <w:rStyle w:val="13"/>
          <w:rFonts w:hint="eastAsia" w:ascii="宋体" w:hAnsi="宋体" w:eastAsia="宋体"/>
          <w:b/>
          <w:color w:val="auto"/>
          <w:szCs w:val="21"/>
          <w:highlight w:val="none"/>
        </w:rPr>
        <w:t>.合同生效</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本合同自</w:t>
      </w:r>
      <w:r>
        <w:rPr>
          <w:rStyle w:val="13"/>
          <w:rFonts w:hint="eastAsia" w:ascii="宋体" w:hAnsi="宋体" w:eastAsia="宋体"/>
          <w:color w:val="auto"/>
          <w:szCs w:val="21"/>
          <w:highlight w:val="none"/>
          <w:u w:val="single"/>
        </w:rPr>
        <w:t xml:space="preserve">  双方</w:t>
      </w:r>
      <w:r>
        <w:rPr>
          <w:rStyle w:val="13"/>
          <w:rFonts w:hint="eastAsia" w:ascii="宋体" w:hAnsi="宋体"/>
          <w:color w:val="auto"/>
          <w:szCs w:val="21"/>
          <w:highlight w:val="none"/>
          <w:u w:val="single"/>
          <w:lang w:val="en-US" w:eastAsia="zh-CN"/>
        </w:rPr>
        <w:t>法定代表人或授权代表</w:t>
      </w:r>
      <w:r>
        <w:rPr>
          <w:rStyle w:val="13"/>
          <w:rFonts w:hint="eastAsia" w:ascii="宋体" w:hAnsi="宋体" w:eastAsia="宋体"/>
          <w:color w:val="auto"/>
          <w:szCs w:val="21"/>
          <w:highlight w:val="none"/>
          <w:u w:val="single"/>
        </w:rPr>
        <w:t>签字</w:t>
      </w:r>
      <w:r>
        <w:rPr>
          <w:rStyle w:val="13"/>
          <w:rFonts w:hint="eastAsia" w:ascii="宋体" w:hAnsi="宋体"/>
          <w:color w:val="auto"/>
          <w:szCs w:val="21"/>
          <w:highlight w:val="none"/>
          <w:u w:val="single"/>
          <w:lang w:val="en-US" w:eastAsia="zh-CN"/>
        </w:rPr>
        <w:t>并加盖单位公</w:t>
      </w:r>
      <w:r>
        <w:rPr>
          <w:rStyle w:val="13"/>
          <w:rFonts w:hint="eastAsia" w:ascii="宋体" w:hAnsi="宋体" w:eastAsia="宋体"/>
          <w:color w:val="auto"/>
          <w:szCs w:val="21"/>
          <w:highlight w:val="none"/>
          <w:u w:val="single"/>
        </w:rPr>
        <w:t>章</w:t>
      </w:r>
      <w:r>
        <w:rPr>
          <w:rStyle w:val="13"/>
          <w:rFonts w:hint="eastAsia" w:ascii="宋体" w:hAnsi="宋体"/>
          <w:color w:val="auto"/>
          <w:szCs w:val="21"/>
          <w:highlight w:val="none"/>
          <w:u w:val="single"/>
          <w:lang w:val="en-US" w:eastAsia="zh-CN"/>
        </w:rPr>
        <w:t>之日起</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生效。</w:t>
      </w:r>
    </w:p>
    <w:p>
      <w:pPr>
        <w:pStyle w:val="14"/>
        <w:pageBreakBefore w:val="0"/>
        <w:kinsoku/>
        <w:wordWrap/>
        <w:overflowPunct/>
        <w:topLinePunct w:val="0"/>
        <w:autoSpaceDN/>
        <w:bidi w:val="0"/>
        <w:adjustRightInd w:val="0"/>
        <w:snapToGrid w:val="0"/>
        <w:spacing w:before="156" w:beforeLines="50" w:line="400" w:lineRule="exact"/>
        <w:ind w:firstLine="309" w:firstLineChars="147"/>
        <w:textAlignment w:val="auto"/>
        <w:rPr>
          <w:rStyle w:val="13"/>
          <w:rFonts w:ascii="宋体" w:hAnsi="宋体" w:eastAsia="宋体"/>
          <w:b/>
          <w:color w:val="auto"/>
          <w:szCs w:val="21"/>
          <w:highlight w:val="none"/>
        </w:rPr>
      </w:pPr>
      <w:r>
        <w:rPr>
          <w:rStyle w:val="13"/>
          <w:rFonts w:hint="eastAsia" w:ascii="宋体" w:hAnsi="宋体"/>
          <w:b/>
          <w:color w:val="auto"/>
          <w:szCs w:val="21"/>
          <w:highlight w:val="none"/>
          <w:lang w:val="en-US" w:eastAsia="zh-CN"/>
        </w:rPr>
        <w:t>十一</w:t>
      </w:r>
      <w:r>
        <w:rPr>
          <w:rStyle w:val="13"/>
          <w:rFonts w:hint="eastAsia" w:ascii="宋体" w:hAnsi="宋体" w:eastAsia="宋体"/>
          <w:b/>
          <w:color w:val="auto"/>
          <w:szCs w:val="21"/>
          <w:highlight w:val="none"/>
        </w:rPr>
        <w:t>.合同份数</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本合同一式</w:t>
      </w:r>
      <w:r>
        <w:rPr>
          <w:rStyle w:val="13"/>
          <w:rFonts w:hint="eastAsia" w:ascii="宋体" w:hAnsi="宋体" w:eastAsia="宋体"/>
          <w:color w:val="auto"/>
          <w:szCs w:val="21"/>
          <w:highlight w:val="none"/>
          <w:u w:val="single"/>
        </w:rPr>
        <w:t xml:space="preserve">  </w:t>
      </w:r>
      <w:r>
        <w:rPr>
          <w:rStyle w:val="13"/>
          <w:rFonts w:hint="eastAsia" w:ascii="宋体" w:hAnsi="宋体"/>
          <w:color w:val="auto"/>
          <w:szCs w:val="21"/>
          <w:highlight w:val="none"/>
          <w:u w:val="single"/>
          <w:lang w:val="en-US" w:eastAsia="zh-CN"/>
        </w:rPr>
        <w:t>6</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份，采购人执</w:t>
      </w:r>
      <w:r>
        <w:rPr>
          <w:rStyle w:val="13"/>
          <w:rFonts w:hint="eastAsia" w:ascii="宋体" w:hAnsi="宋体" w:eastAsia="宋体"/>
          <w:color w:val="auto"/>
          <w:szCs w:val="21"/>
          <w:highlight w:val="none"/>
          <w:u w:val="single"/>
        </w:rPr>
        <w:t xml:space="preserve"> </w:t>
      </w:r>
      <w:r>
        <w:rPr>
          <w:rStyle w:val="13"/>
          <w:rFonts w:hint="eastAsia" w:ascii="宋体" w:hAnsi="宋体"/>
          <w:color w:val="auto"/>
          <w:szCs w:val="21"/>
          <w:highlight w:val="none"/>
          <w:u w:val="single"/>
          <w:lang w:val="en-US" w:eastAsia="zh-CN"/>
        </w:rPr>
        <w:t>3</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份，供应商执</w:t>
      </w:r>
      <w:r>
        <w:rPr>
          <w:rStyle w:val="13"/>
          <w:rFonts w:hint="eastAsia" w:ascii="宋体" w:hAnsi="宋体" w:eastAsia="宋体"/>
          <w:color w:val="auto"/>
          <w:szCs w:val="21"/>
          <w:highlight w:val="none"/>
          <w:u w:val="single"/>
        </w:rPr>
        <w:t xml:space="preserve"> </w:t>
      </w:r>
      <w:r>
        <w:rPr>
          <w:rStyle w:val="13"/>
          <w:rFonts w:hint="eastAsia" w:ascii="宋体" w:hAnsi="宋体"/>
          <w:color w:val="auto"/>
          <w:szCs w:val="21"/>
          <w:highlight w:val="none"/>
          <w:u w:val="single"/>
          <w:lang w:val="en-US" w:eastAsia="zh-CN"/>
        </w:rPr>
        <w:t>2</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份，采购代理机构</w:t>
      </w:r>
      <w:r>
        <w:rPr>
          <w:rStyle w:val="13"/>
          <w:rFonts w:hint="eastAsia" w:ascii="宋体" w:hAnsi="宋体"/>
          <w:color w:val="auto"/>
          <w:szCs w:val="21"/>
          <w:highlight w:val="none"/>
          <w:u w:val="single"/>
          <w:lang w:val="en-US" w:eastAsia="zh-CN"/>
        </w:rPr>
        <w:t xml:space="preserve">  1  </w:t>
      </w:r>
      <w:r>
        <w:rPr>
          <w:rStyle w:val="13"/>
          <w:rFonts w:hint="eastAsia" w:ascii="宋体" w:hAnsi="宋体" w:eastAsia="宋体"/>
          <w:color w:val="auto"/>
          <w:szCs w:val="21"/>
          <w:highlight w:val="none"/>
        </w:rPr>
        <w:t>份均具有同等法律效力。</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合同订立时间：</w:t>
      </w:r>
      <w:r>
        <w:rPr>
          <w:rStyle w:val="13"/>
          <w:rFonts w:hint="eastAsia" w:ascii="宋体" w:hAnsi="宋体" w:eastAsia="宋体"/>
          <w:color w:val="auto"/>
          <w:szCs w:val="21"/>
          <w:highlight w:val="none"/>
          <w:u w:val="single"/>
        </w:rPr>
        <w:t xml:space="preserve">  </w:t>
      </w:r>
      <w:r>
        <w:rPr>
          <w:rStyle w:val="13"/>
          <w:rFonts w:hint="eastAsia" w:ascii="宋体" w:hAnsi="宋体"/>
          <w:color w:val="auto"/>
          <w:szCs w:val="21"/>
          <w:highlight w:val="none"/>
          <w:u w:val="single"/>
          <w:lang w:val="en-US" w:eastAsia="zh-CN"/>
        </w:rPr>
        <w:t>2026</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年</w:t>
      </w:r>
      <w:r>
        <w:rPr>
          <w:rStyle w:val="13"/>
          <w:rFonts w:hint="eastAsia" w:ascii="宋体" w:hAnsi="宋体" w:eastAsia="宋体"/>
          <w:color w:val="auto"/>
          <w:szCs w:val="21"/>
          <w:highlight w:val="none"/>
          <w:u w:val="single"/>
        </w:rPr>
        <w:t xml:space="preserve">  </w:t>
      </w:r>
      <w:r>
        <w:rPr>
          <w:rStyle w:val="13"/>
          <w:rFonts w:hint="eastAsia" w:ascii="宋体" w:hAnsi="宋体"/>
          <w:color w:val="auto"/>
          <w:szCs w:val="21"/>
          <w:highlight w:val="none"/>
          <w:u w:val="single"/>
          <w:lang w:val="en-US" w:eastAsia="zh-CN"/>
        </w:rPr>
        <w:t>9</w:t>
      </w:r>
      <w:r>
        <w:rPr>
          <w:rStyle w:val="13"/>
          <w:rFonts w:hint="eastAsia" w:ascii="宋体" w:hAnsi="宋体" w:eastAsia="宋体"/>
          <w:color w:val="auto"/>
          <w:szCs w:val="21"/>
          <w:highlight w:val="none"/>
          <w:u w:val="single"/>
        </w:rPr>
        <w:t xml:space="preserve"> </w:t>
      </w:r>
      <w:r>
        <w:rPr>
          <w:rStyle w:val="13"/>
          <w:rFonts w:hint="eastAsia" w:ascii="宋体" w:hAnsi="宋体"/>
          <w:color w:val="auto"/>
          <w:szCs w:val="21"/>
          <w:highlight w:val="none"/>
          <w:u w:val="single"/>
          <w:lang w:val="en-US" w:eastAsia="zh-CN"/>
        </w:rPr>
        <w:t xml:space="preserve"> </w:t>
      </w:r>
      <w:r>
        <w:rPr>
          <w:rStyle w:val="13"/>
          <w:rFonts w:hint="eastAsia" w:ascii="宋体" w:hAnsi="宋体" w:eastAsia="宋体"/>
          <w:color w:val="auto"/>
          <w:szCs w:val="21"/>
          <w:highlight w:val="none"/>
        </w:rPr>
        <w:t>月</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日</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合同订立地点：</w:t>
      </w:r>
      <w:r>
        <w:rPr>
          <w:rStyle w:val="13"/>
          <w:rFonts w:hint="eastAsia" w:ascii="宋体" w:hAnsi="宋体" w:eastAsia="宋体"/>
          <w:color w:val="auto"/>
          <w:szCs w:val="21"/>
          <w:highlight w:val="none"/>
          <w:u w:val="single"/>
        </w:rPr>
        <w:t xml:space="preserve">  湖南长沙    </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附件：</w:t>
      </w:r>
      <w:r>
        <w:rPr>
          <w:rStyle w:val="13"/>
          <w:rFonts w:hint="eastAsia" w:ascii="宋体" w:hAnsi="宋体"/>
          <w:color w:val="auto"/>
          <w:szCs w:val="21"/>
          <w:highlight w:val="none"/>
          <w:lang w:val="en-US" w:eastAsia="zh-CN"/>
        </w:rPr>
        <w:t>具体标的明细、台账等。</w:t>
      </w:r>
      <w:r>
        <w:rPr>
          <w:rStyle w:val="13"/>
          <w:rFonts w:hint="eastAsia" w:ascii="宋体" w:hAnsi="宋体" w:eastAsia="宋体"/>
          <w:color w:val="auto"/>
          <w:szCs w:val="21"/>
          <w:highlight w:val="none"/>
        </w:rPr>
        <w:t xml:space="preserve">    </w:t>
      </w:r>
    </w:p>
    <w:p>
      <w:pPr>
        <w:pStyle w:val="14"/>
        <w:pageBreakBefore w:val="0"/>
        <w:kinsoku/>
        <w:wordWrap/>
        <w:overflowPunct/>
        <w:topLinePunct w:val="0"/>
        <w:autoSpaceDN/>
        <w:bidi w:val="0"/>
        <w:spacing w:line="400" w:lineRule="exact"/>
        <w:ind w:firstLine="420" w:firstLineChars="200"/>
        <w:textAlignment w:val="auto"/>
        <w:rPr>
          <w:rStyle w:val="13"/>
          <w:rFonts w:ascii="宋体" w:hAnsi="宋体" w:eastAsia="宋体"/>
          <w:color w:val="auto"/>
          <w:szCs w:val="21"/>
          <w:highlight w:val="none"/>
        </w:rPr>
      </w:pPr>
    </w:p>
    <w:p>
      <w:pPr>
        <w:pStyle w:val="14"/>
        <w:pageBreakBefore w:val="0"/>
        <w:kinsoku/>
        <w:wordWrap/>
        <w:overflowPunct/>
        <w:topLinePunct w:val="0"/>
        <w:autoSpaceDN/>
        <w:bidi w:val="0"/>
        <w:spacing w:line="400" w:lineRule="exact"/>
        <w:ind w:firstLine="420" w:firstLineChars="200"/>
        <w:textAlignment w:val="auto"/>
        <w:rPr>
          <w:rStyle w:val="13"/>
          <w:rFonts w:ascii="宋体" w:hAnsi="宋体" w:eastAsia="宋体"/>
          <w:color w:val="auto"/>
          <w:szCs w:val="21"/>
          <w:highlight w:val="none"/>
        </w:rPr>
      </w:pPr>
    </w:p>
    <w:p>
      <w:pPr>
        <w:pStyle w:val="14"/>
        <w:pageBreakBefore w:val="0"/>
        <w:kinsoku/>
        <w:wordWrap/>
        <w:overflowPunct/>
        <w:topLinePunct w:val="0"/>
        <w:autoSpaceDN/>
        <w:bidi w:val="0"/>
        <w:adjustRightInd w:val="0"/>
        <w:snapToGrid w:val="0"/>
        <w:spacing w:before="156" w:beforeLines="50" w:line="400" w:lineRule="exact"/>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甲      方：（公章）                     乙      方：（公章）</w:t>
      </w:r>
    </w:p>
    <w:p>
      <w:pPr>
        <w:pStyle w:val="14"/>
        <w:pageBreakBefore w:val="0"/>
        <w:kinsoku/>
        <w:wordWrap/>
        <w:overflowPunct/>
        <w:topLinePunct w:val="0"/>
        <w:autoSpaceDN/>
        <w:bidi w:val="0"/>
        <w:adjustRightInd w:val="0"/>
        <w:snapToGrid w:val="0"/>
        <w:spacing w:before="156" w:beforeLines="50" w:line="400" w:lineRule="exact"/>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法定代表人：</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 xml:space="preserve">         法定代表人：</w:t>
      </w:r>
      <w:r>
        <w:rPr>
          <w:rStyle w:val="13"/>
          <w:rFonts w:hint="eastAsia" w:ascii="宋体" w:hAnsi="宋体" w:eastAsia="宋体"/>
          <w:color w:val="auto"/>
          <w:szCs w:val="21"/>
          <w:highlight w:val="none"/>
          <w:u w:val="single"/>
        </w:rPr>
        <w:t xml:space="preserve">              </w:t>
      </w:r>
      <w:r>
        <w:rPr>
          <w:rStyle w:val="13"/>
          <w:rFonts w:ascii="宋体" w:hAnsi="宋体" w:eastAsia="宋体"/>
          <w:color w:val="auto"/>
          <w:szCs w:val="21"/>
          <w:highlight w:val="none"/>
          <w:u w:val="single"/>
        </w:rPr>
        <w:t xml:space="preserve"> </w:t>
      </w:r>
      <w:r>
        <w:rPr>
          <w:rStyle w:val="13"/>
          <w:rFonts w:hint="eastAsia" w:ascii="宋体" w:hAnsi="宋体" w:eastAsia="宋体"/>
          <w:color w:val="auto"/>
          <w:szCs w:val="21"/>
          <w:highlight w:val="none"/>
          <w:u w:val="single"/>
        </w:rPr>
        <w:t xml:space="preserve">     </w:t>
      </w:r>
    </w:p>
    <w:p>
      <w:pPr>
        <w:pStyle w:val="14"/>
        <w:pageBreakBefore w:val="0"/>
        <w:kinsoku/>
        <w:wordWrap/>
        <w:overflowPunct/>
        <w:topLinePunct w:val="0"/>
        <w:autoSpaceDN/>
        <w:bidi w:val="0"/>
        <w:adjustRightInd w:val="0"/>
        <w:snapToGrid w:val="0"/>
        <w:spacing w:before="156" w:beforeLines="50" w:line="400" w:lineRule="exact"/>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委托代理人：</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 xml:space="preserve">         委托代理人：</w:t>
      </w:r>
      <w:r>
        <w:rPr>
          <w:rStyle w:val="13"/>
          <w:rFonts w:hint="eastAsia" w:ascii="宋体" w:hAnsi="宋体" w:eastAsia="宋体"/>
          <w:color w:val="auto"/>
          <w:szCs w:val="21"/>
          <w:highlight w:val="none"/>
          <w:u w:val="single"/>
        </w:rPr>
        <w:t xml:space="preserve">              </w:t>
      </w:r>
      <w:r>
        <w:rPr>
          <w:rStyle w:val="13"/>
          <w:rFonts w:ascii="宋体" w:hAnsi="宋体" w:eastAsia="宋体"/>
          <w:color w:val="auto"/>
          <w:szCs w:val="21"/>
          <w:highlight w:val="none"/>
          <w:u w:val="single"/>
        </w:rPr>
        <w:t xml:space="preserve"> </w:t>
      </w:r>
      <w:r>
        <w:rPr>
          <w:rStyle w:val="13"/>
          <w:rFonts w:hint="eastAsia" w:ascii="宋体" w:hAnsi="宋体" w:eastAsia="宋体"/>
          <w:color w:val="auto"/>
          <w:szCs w:val="21"/>
          <w:highlight w:val="none"/>
          <w:u w:val="single"/>
        </w:rPr>
        <w:t xml:space="preserve">     </w:t>
      </w:r>
    </w:p>
    <w:p>
      <w:pPr>
        <w:pStyle w:val="14"/>
        <w:pageBreakBefore w:val="0"/>
        <w:kinsoku/>
        <w:wordWrap/>
        <w:overflowPunct/>
        <w:topLinePunct w:val="0"/>
        <w:autoSpaceDN/>
        <w:bidi w:val="0"/>
        <w:adjustRightInd w:val="0"/>
        <w:snapToGrid w:val="0"/>
        <w:spacing w:before="156" w:beforeLines="50" w:line="400" w:lineRule="exact"/>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电      话：</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 xml:space="preserve">         电      话：</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u w:val="single"/>
          <w:lang w:val="en-US" w:eastAsia="zh-CN"/>
        </w:rPr>
        <w:t>0731-85483833</w:t>
      </w:r>
      <w:r>
        <w:rPr>
          <w:rStyle w:val="13"/>
          <w:rFonts w:hint="eastAsia" w:ascii="宋体" w:hAnsi="宋体" w:eastAsia="宋体"/>
          <w:color w:val="auto"/>
          <w:szCs w:val="21"/>
          <w:highlight w:val="none"/>
          <w:u w:val="single"/>
        </w:rPr>
        <w:t xml:space="preserve">  </w:t>
      </w:r>
      <w:r>
        <w:rPr>
          <w:rStyle w:val="13"/>
          <w:rFonts w:hint="eastAsia" w:ascii="宋体" w:hAnsi="宋体"/>
          <w:color w:val="auto"/>
          <w:szCs w:val="21"/>
          <w:highlight w:val="none"/>
          <w:u w:val="single"/>
          <w:lang w:val="en-US" w:eastAsia="zh-CN"/>
        </w:rPr>
        <w:t xml:space="preserve"> </w:t>
      </w:r>
      <w:r>
        <w:rPr>
          <w:rStyle w:val="13"/>
          <w:rFonts w:hint="eastAsia" w:ascii="宋体" w:hAnsi="宋体" w:eastAsia="宋体"/>
          <w:color w:val="auto"/>
          <w:szCs w:val="21"/>
          <w:highlight w:val="none"/>
          <w:u w:val="single"/>
        </w:rPr>
        <w:t xml:space="preserve"> </w:t>
      </w:r>
    </w:p>
    <w:p>
      <w:pPr>
        <w:pStyle w:val="14"/>
        <w:pageBreakBefore w:val="0"/>
        <w:kinsoku/>
        <w:wordWrap/>
        <w:overflowPunct/>
        <w:topLinePunct w:val="0"/>
        <w:autoSpaceDN/>
        <w:bidi w:val="0"/>
        <w:adjustRightInd w:val="0"/>
        <w:snapToGrid w:val="0"/>
        <w:spacing w:before="156" w:beforeLines="50" w:line="400" w:lineRule="exact"/>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传      真：</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rPr>
        <w:t xml:space="preserve">         传      真：</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u w:val="single"/>
          <w:lang w:val="en-US" w:eastAsia="zh-CN"/>
        </w:rPr>
        <w:t>0731-85483833</w:t>
      </w:r>
      <w:r>
        <w:rPr>
          <w:rStyle w:val="13"/>
          <w:rFonts w:hint="eastAsia" w:ascii="宋体" w:hAnsi="宋体"/>
          <w:color w:val="auto"/>
          <w:szCs w:val="21"/>
          <w:highlight w:val="none"/>
          <w:u w:val="single"/>
          <w:lang w:val="en-US" w:eastAsia="zh-CN"/>
        </w:rPr>
        <w:t xml:space="preserve"> </w:t>
      </w:r>
      <w:r>
        <w:rPr>
          <w:rStyle w:val="13"/>
          <w:rFonts w:hint="eastAsia" w:ascii="宋体" w:hAnsi="宋体" w:eastAsia="宋体"/>
          <w:color w:val="auto"/>
          <w:szCs w:val="21"/>
          <w:highlight w:val="none"/>
          <w:u w:val="single"/>
        </w:rPr>
        <w:t xml:space="preserve"> </w:t>
      </w:r>
      <w:r>
        <w:rPr>
          <w:rStyle w:val="13"/>
          <w:rFonts w:ascii="宋体" w:hAnsi="宋体" w:eastAsia="宋体"/>
          <w:color w:val="auto"/>
          <w:szCs w:val="21"/>
          <w:highlight w:val="none"/>
          <w:u w:val="single"/>
        </w:rPr>
        <w:t xml:space="preserve"> </w:t>
      </w:r>
      <w:r>
        <w:rPr>
          <w:rStyle w:val="13"/>
          <w:rFonts w:hint="eastAsia" w:ascii="宋体" w:hAnsi="宋体" w:eastAsia="宋体"/>
          <w:color w:val="auto"/>
          <w:szCs w:val="21"/>
          <w:highlight w:val="none"/>
          <w:u w:val="single"/>
        </w:rPr>
        <w:t xml:space="preserve"> </w:t>
      </w:r>
    </w:p>
    <w:p>
      <w:pPr>
        <w:pStyle w:val="14"/>
        <w:pageBreakBefore w:val="0"/>
        <w:kinsoku/>
        <w:wordWrap/>
        <w:overflowPunct/>
        <w:topLinePunct w:val="0"/>
        <w:autoSpaceDN/>
        <w:bidi w:val="0"/>
        <w:adjustRightInd w:val="0"/>
        <w:snapToGrid w:val="0"/>
        <w:spacing w:before="156" w:beforeLines="50" w:line="400" w:lineRule="exact"/>
        <w:ind w:firstLine="420" w:firstLineChars="200"/>
        <w:textAlignment w:val="auto"/>
        <w:rPr>
          <w:rStyle w:val="13"/>
          <w:rFonts w:ascii="宋体" w:hAnsi="宋体" w:eastAsia="宋体"/>
          <w:color w:val="auto"/>
          <w:szCs w:val="21"/>
          <w:highlight w:val="none"/>
        </w:rPr>
      </w:pPr>
      <w:r>
        <w:rPr>
          <w:rStyle w:val="13"/>
          <w:rFonts w:hint="eastAsia" w:ascii="宋体" w:hAnsi="宋体" w:eastAsia="宋体"/>
          <w:color w:val="auto"/>
          <w:szCs w:val="21"/>
          <w:highlight w:val="none"/>
        </w:rPr>
        <w:t xml:space="preserve">                                   </w:t>
      </w:r>
      <w:r>
        <w:rPr>
          <w:rStyle w:val="13"/>
          <w:rFonts w:hint="eastAsia" w:ascii="宋体" w:hAnsi="宋体"/>
          <w:color w:val="auto"/>
          <w:szCs w:val="21"/>
          <w:highlight w:val="none"/>
          <w:lang w:val="en-US" w:eastAsia="zh-CN"/>
        </w:rPr>
        <w:t xml:space="preserve"> </w:t>
      </w:r>
      <w:r>
        <w:rPr>
          <w:rStyle w:val="13"/>
          <w:rFonts w:hint="eastAsia" w:ascii="宋体" w:hAnsi="宋体" w:eastAsia="宋体"/>
          <w:color w:val="auto"/>
          <w:szCs w:val="21"/>
          <w:highlight w:val="none"/>
        </w:rPr>
        <w:t>开 户 银 行：</w:t>
      </w:r>
      <w:r>
        <w:rPr>
          <w:rStyle w:val="13"/>
          <w:rFonts w:hint="eastAsia" w:ascii="宋体" w:hAnsi="宋体" w:eastAsia="宋体"/>
          <w:color w:val="auto"/>
          <w:szCs w:val="21"/>
          <w:highlight w:val="none"/>
          <w:u w:val="single"/>
          <w:lang w:val="en-US" w:eastAsia="zh-CN"/>
        </w:rPr>
        <w:t>中国银行长沙市湘府路支行</w:t>
      </w:r>
    </w:p>
    <w:p>
      <w:pPr>
        <w:pStyle w:val="14"/>
        <w:adjustRightInd w:val="0"/>
        <w:snapToGrid w:val="0"/>
        <w:spacing w:before="156" w:beforeLines="50" w:line="400" w:lineRule="exact"/>
        <w:rPr>
          <w:rFonts w:hint="eastAsia"/>
        </w:rPr>
        <w:sectPr>
          <w:footerReference r:id="rId3" w:type="default"/>
          <w:pgSz w:w="11906" w:h="16838"/>
          <w:pgMar w:top="1440" w:right="1800" w:bottom="1440" w:left="1800" w:header="851" w:footer="992" w:gutter="0"/>
          <w:pgNumType w:fmt="decimal" w:start="1"/>
          <w:cols w:space="425" w:num="1"/>
          <w:docGrid w:type="lines" w:linePitch="312" w:charSpace="0"/>
        </w:sectPr>
      </w:pPr>
      <w:r>
        <w:rPr>
          <w:rStyle w:val="13"/>
          <w:rFonts w:hint="eastAsia" w:ascii="宋体" w:hAnsi="宋体" w:eastAsia="宋体"/>
          <w:color w:val="auto"/>
          <w:szCs w:val="21"/>
          <w:highlight w:val="none"/>
        </w:rPr>
        <w:t xml:space="preserve">    </w:t>
      </w:r>
      <w:r>
        <w:rPr>
          <w:rStyle w:val="13"/>
          <w:rFonts w:hint="eastAsia" w:ascii="宋体" w:hAnsi="宋体"/>
          <w:color w:val="auto"/>
          <w:szCs w:val="21"/>
          <w:highlight w:val="none"/>
          <w:lang w:val="en-US" w:eastAsia="zh-CN"/>
        </w:rPr>
        <w:t xml:space="preserve">                   </w:t>
      </w:r>
      <w:r>
        <w:rPr>
          <w:rStyle w:val="13"/>
          <w:rFonts w:hint="eastAsia" w:ascii="宋体" w:hAnsi="宋体" w:eastAsia="宋体"/>
          <w:color w:val="auto"/>
          <w:szCs w:val="21"/>
          <w:highlight w:val="none"/>
        </w:rPr>
        <w:t xml:space="preserve">  </w:t>
      </w:r>
      <w:r>
        <w:rPr>
          <w:rStyle w:val="13"/>
          <w:rFonts w:hint="eastAsia" w:ascii="宋体" w:hAnsi="宋体"/>
          <w:color w:val="auto"/>
          <w:szCs w:val="21"/>
          <w:highlight w:val="none"/>
          <w:lang w:val="en-US" w:eastAsia="zh-CN"/>
        </w:rPr>
        <w:t xml:space="preserve">               </w:t>
      </w:r>
      <w:r>
        <w:rPr>
          <w:rStyle w:val="13"/>
          <w:rFonts w:hint="eastAsia" w:ascii="宋体" w:hAnsi="宋体" w:eastAsia="宋体"/>
          <w:color w:val="auto"/>
          <w:szCs w:val="21"/>
          <w:highlight w:val="none"/>
        </w:rPr>
        <w:t>账      号：</w:t>
      </w:r>
      <w:r>
        <w:rPr>
          <w:rStyle w:val="13"/>
          <w:rFonts w:hint="eastAsia" w:ascii="宋体" w:hAnsi="宋体" w:eastAsia="宋体"/>
          <w:color w:val="auto"/>
          <w:szCs w:val="21"/>
          <w:highlight w:val="none"/>
          <w:u w:val="single"/>
        </w:rPr>
        <w:t xml:space="preserve"> </w:t>
      </w:r>
      <w:r>
        <w:rPr>
          <w:rStyle w:val="13"/>
          <w:rFonts w:hint="eastAsia" w:ascii="宋体" w:hAnsi="宋体" w:eastAsia="宋体"/>
          <w:color w:val="auto"/>
          <w:szCs w:val="21"/>
          <w:highlight w:val="none"/>
          <w:u w:val="single"/>
          <w:lang w:val="en-US" w:eastAsia="zh-CN"/>
        </w:rPr>
        <w:t>J5510061586305</w:t>
      </w:r>
      <w:r>
        <w:rPr>
          <w:rStyle w:val="13"/>
          <w:rFonts w:hint="eastAsia" w:ascii="宋体" w:hAnsi="宋体" w:eastAsia="宋体"/>
          <w:color w:val="auto"/>
          <w:szCs w:val="21"/>
          <w:highlight w:val="none"/>
          <w:u w:val="single"/>
        </w:rPr>
        <w:t xml:space="preserve"> </w:t>
      </w:r>
    </w:p>
    <w:p>
      <w:pPr>
        <w:widowControl w:val="0"/>
        <w:adjustRightInd w:val="0"/>
        <w:snapToGrid w:val="0"/>
        <w:spacing w:line="360" w:lineRule="auto"/>
        <w:jc w:val="both"/>
        <w:outlineLvl w:val="1"/>
        <w:rPr>
          <w:rFonts w:hint="default" w:ascii="宋体" w:hAnsi="宋体" w:eastAsia="宋体" w:cs="仿宋_GB2312"/>
          <w:b/>
          <w:bCs/>
          <w:color w:val="auto"/>
          <w:kern w:val="2"/>
          <w:sz w:val="28"/>
          <w:szCs w:val="28"/>
          <w:highlight w:val="none"/>
          <w:lang w:val="en-US" w:eastAsia="zh-CN" w:bidi="ar-SA"/>
        </w:rPr>
      </w:pPr>
      <w:r>
        <w:rPr>
          <w:rFonts w:hint="eastAsia" w:ascii="宋体" w:hAnsi="宋体" w:eastAsia="宋体" w:cs="宋体"/>
          <w:b/>
          <w:color w:val="auto"/>
          <w:sz w:val="28"/>
          <w:szCs w:val="28"/>
          <w:highlight w:val="none"/>
          <w:lang w:val="en-US" w:eastAsia="zh-CN"/>
        </w:rPr>
        <w:t>附件：</w:t>
      </w:r>
      <w:r>
        <w:rPr>
          <w:rFonts w:hint="eastAsia" w:ascii="宋体" w:hAnsi="宋体" w:eastAsia="宋体" w:cs="宋体"/>
          <w:b/>
          <w:bCs/>
          <w:i w:val="0"/>
          <w:iCs w:val="0"/>
          <w:caps w:val="0"/>
          <w:color w:val="auto"/>
          <w:spacing w:val="0"/>
          <w:kern w:val="2"/>
          <w:sz w:val="28"/>
          <w:szCs w:val="28"/>
          <w:lang w:val="en-US" w:eastAsia="zh-CN" w:bidi="ar-SA"/>
        </w:rPr>
        <w:t>市县中小型水利工程质量监督抽检</w:t>
      </w:r>
      <w:r>
        <w:rPr>
          <w:rFonts w:hint="eastAsia" w:ascii="宋体" w:hAnsi="宋体" w:eastAsia="宋体" w:cs="仿宋_GB2312"/>
          <w:b/>
          <w:bCs/>
          <w:color w:val="auto"/>
          <w:kern w:val="2"/>
          <w:sz w:val="28"/>
          <w:szCs w:val="28"/>
          <w:highlight w:val="none"/>
          <w:lang w:val="en-US" w:eastAsia="zh-CN" w:bidi="ar-SA"/>
        </w:rPr>
        <w:t>检测项目及预算单价</w:t>
      </w:r>
    </w:p>
    <w:tbl>
      <w:tblPr>
        <w:tblStyle w:val="12"/>
        <w:tblW w:w="88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55"/>
        <w:gridCol w:w="1650"/>
        <w:gridCol w:w="2445"/>
        <w:gridCol w:w="1305"/>
        <w:gridCol w:w="1335"/>
        <w:gridCol w:w="9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检测项目</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检测参数</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检测依据</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预算单价</w:t>
            </w:r>
            <w:r>
              <w:rPr>
                <w:rFonts w:hint="eastAsia" w:ascii="宋体" w:hAnsi="宋体" w:eastAsia="宋体" w:cs="宋体"/>
                <w:b/>
                <w:bCs/>
                <w:i w:val="0"/>
                <w:iCs w:val="0"/>
                <w:color w:val="auto"/>
                <w:kern w:val="0"/>
                <w:sz w:val="21"/>
                <w:szCs w:val="21"/>
                <w:highlight w:val="none"/>
                <w:u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（元）</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highlight w:val="none"/>
                <w:u w:val="none"/>
                <w:lang w:val="en" w:eastAsia="zh-CN" w:bidi="ar"/>
              </w:rPr>
            </w:pPr>
            <w:r>
              <w:rPr>
                <w:rFonts w:hint="eastAsia" w:ascii="宋体" w:hAnsi="宋体" w:eastAsia="宋体" w:cs="宋体"/>
                <w:b/>
                <w:bCs/>
                <w:i w:val="0"/>
                <w:iCs w:val="0"/>
                <w:color w:val="auto"/>
                <w:kern w:val="0"/>
                <w:sz w:val="21"/>
                <w:szCs w:val="21"/>
                <w:highlight w:val="none"/>
                <w:u w:val="none"/>
                <w:lang w:val="en-US" w:eastAsia="zh-CN" w:bidi="ar"/>
              </w:rPr>
              <w:t>折扣率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789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一、工程材料</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土料试验</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击实试验</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《堤防工程施工规范》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(SL260-2014)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11.5.1</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《碾压式土石坝施工规范》</w:t>
            </w:r>
            <w:r>
              <w:rPr>
                <w:rFonts w:hint="default" w:ascii="Times New Roman" w:hAnsi="Times New Roman" w:eastAsia="宋体" w:cs="Times New Roman"/>
                <w:i w:val="0"/>
                <w:iCs w:val="0"/>
                <w:color w:val="auto"/>
                <w:kern w:val="0"/>
                <w:sz w:val="21"/>
                <w:szCs w:val="21"/>
                <w:highlight w:val="none"/>
                <w:u w:val="none"/>
                <w:lang w:val="en-US" w:eastAsia="zh-CN" w:bidi="ar"/>
              </w:rPr>
              <w:t>(DL/T 5129-2013)</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11.4.11</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样</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525.00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砂相对密度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颗粒分析（比重计法）</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比重</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液塑限</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直剪（快剪）</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压缩试验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承载比试验</w:t>
            </w:r>
            <w:r>
              <w:rPr>
                <w:rFonts w:hint="default" w:ascii="Times New Roman" w:hAnsi="Times New Roman" w:eastAsia="宋体" w:cs="Times New Roman"/>
                <w:i w:val="0"/>
                <w:iCs w:val="0"/>
                <w:color w:val="auto"/>
                <w:kern w:val="0"/>
                <w:sz w:val="21"/>
                <w:szCs w:val="21"/>
                <w:highlight w:val="none"/>
                <w:u w:val="none"/>
                <w:lang w:val="en-US" w:eastAsia="zh-CN" w:bidi="ar"/>
              </w:rPr>
              <w:t>(CBR)</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渗透系数</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混凝土</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立方体抗压</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《水利工程质量检测技术规程》</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(SL734-2016) </w:t>
            </w:r>
            <w:r>
              <w:rPr>
                <w:rFonts w:hint="eastAsia" w:ascii="宋体" w:hAnsi="宋体" w:eastAsia="宋体" w:cs="宋体"/>
                <w:i w:val="0"/>
                <w:iCs w:val="0"/>
                <w:color w:val="auto"/>
                <w:kern w:val="0"/>
                <w:sz w:val="21"/>
                <w:szCs w:val="21"/>
                <w:highlight w:val="none"/>
                <w:u w:val="none"/>
                <w:lang w:val="en-US" w:eastAsia="zh-CN" w:bidi="ar"/>
              </w:rPr>
              <w:t>附录</w:t>
            </w:r>
            <w:r>
              <w:rPr>
                <w:rFonts w:hint="default" w:ascii="Times New Roman" w:hAnsi="Times New Roman" w:eastAsia="宋体" w:cs="Times New Roman"/>
                <w:i w:val="0"/>
                <w:iCs w:val="0"/>
                <w:color w:val="auto"/>
                <w:kern w:val="0"/>
                <w:sz w:val="21"/>
                <w:szCs w:val="21"/>
                <w:highlight w:val="none"/>
                <w:u w:val="none"/>
                <w:lang w:val="en-US" w:eastAsia="zh-CN" w:bidi="ar"/>
              </w:rPr>
              <w:t>A.0.6</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《水工混凝土施工规范》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(SL677-2014)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11.5.3</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《水利工程施工监理规范》（</w:t>
            </w:r>
            <w:r>
              <w:rPr>
                <w:rFonts w:hint="default" w:ascii="Times New Roman" w:hAnsi="Times New Roman" w:eastAsia="宋体" w:cs="Times New Roman"/>
                <w:i w:val="0"/>
                <w:iCs w:val="0"/>
                <w:color w:val="auto"/>
                <w:kern w:val="0"/>
                <w:sz w:val="21"/>
                <w:szCs w:val="21"/>
                <w:highlight w:val="none"/>
                <w:u w:val="none"/>
                <w:lang w:val="en-US" w:eastAsia="zh-CN" w:bidi="ar"/>
              </w:rPr>
              <w:t>SL288-2014</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4.2.6</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31.50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抗拉强度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31.50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抗渗等级</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抗冻等级</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循环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弹性模量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成型、养护费</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外加剂</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氯离子含量</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《水工混凝土施工规范》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(SL677-2014)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11.2.6</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《混凝土外加剂》（</w:t>
            </w:r>
            <w:r>
              <w:rPr>
                <w:rFonts w:hint="default" w:ascii="Times New Roman" w:hAnsi="Times New Roman" w:eastAsia="宋体" w:cs="Times New Roman"/>
                <w:i w:val="0"/>
                <w:iCs w:val="0"/>
                <w:color w:val="auto"/>
                <w:kern w:val="0"/>
                <w:sz w:val="21"/>
                <w:szCs w:val="21"/>
                <w:highlight w:val="none"/>
                <w:u w:val="none"/>
                <w:lang w:val="en-US" w:eastAsia="zh-CN" w:bidi="ar"/>
              </w:rPr>
              <w:t>GB 8076-2008</w:t>
            </w:r>
            <w:r>
              <w:rPr>
                <w:rFonts w:hint="eastAsia" w:ascii="宋体" w:hAnsi="宋体" w:eastAsia="宋体" w:cs="宋体"/>
                <w:i w:val="0"/>
                <w:iCs w:val="0"/>
                <w:color w:val="auto"/>
                <w:kern w:val="0"/>
                <w:sz w:val="21"/>
                <w:szCs w:val="21"/>
                <w:highlight w:val="none"/>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碱含量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固体含量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密度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细度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pH</w:t>
            </w:r>
            <w:r>
              <w:rPr>
                <w:rFonts w:hint="eastAsia" w:ascii="宋体" w:hAnsi="宋体" w:eastAsia="宋体" w:cs="宋体"/>
                <w:i w:val="0"/>
                <w:iCs w:val="0"/>
                <w:color w:val="auto"/>
                <w:kern w:val="0"/>
                <w:sz w:val="21"/>
                <w:szCs w:val="21"/>
                <w:highlight w:val="none"/>
                <w:u w:val="none"/>
                <w:lang w:val="en-US" w:eastAsia="zh-CN" w:bidi="ar"/>
              </w:rPr>
              <w:t>值</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硫酸钠含量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减水率</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常压泌水率比</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混凝土抗压强度比</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混凝土收缩率比</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混凝土凝结时间之差</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315.00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成型、养护费</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粗骨料</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颗粒级配</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《水利工程质量检测技术规程》</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(SL734-2016) </w:t>
            </w:r>
            <w:r>
              <w:rPr>
                <w:rFonts w:hint="eastAsia" w:ascii="宋体" w:hAnsi="宋体" w:eastAsia="宋体" w:cs="宋体"/>
                <w:i w:val="0"/>
                <w:iCs w:val="0"/>
                <w:color w:val="auto"/>
                <w:kern w:val="0"/>
                <w:sz w:val="21"/>
                <w:szCs w:val="21"/>
                <w:highlight w:val="none"/>
                <w:u w:val="none"/>
                <w:lang w:val="en-US" w:eastAsia="zh-CN" w:bidi="ar"/>
              </w:rPr>
              <w:t>附录</w:t>
            </w:r>
            <w:r>
              <w:rPr>
                <w:rFonts w:hint="default" w:ascii="Times New Roman" w:hAnsi="Times New Roman" w:eastAsia="宋体" w:cs="Times New Roman"/>
                <w:i w:val="0"/>
                <w:iCs w:val="0"/>
                <w:color w:val="auto"/>
                <w:kern w:val="0"/>
                <w:sz w:val="21"/>
                <w:szCs w:val="21"/>
                <w:highlight w:val="none"/>
                <w:u w:val="none"/>
                <w:lang w:val="en-US" w:eastAsia="zh-CN" w:bidi="ar"/>
              </w:rPr>
              <w:t>A.0.6</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《水工混凝土施工规范》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(SL677-2014)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5.3.6</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《水利工程施工监理规范》（</w:t>
            </w:r>
            <w:r>
              <w:rPr>
                <w:rFonts w:hint="default" w:ascii="Times New Roman" w:hAnsi="Times New Roman" w:eastAsia="宋体" w:cs="Times New Roman"/>
                <w:i w:val="0"/>
                <w:iCs w:val="0"/>
                <w:color w:val="auto"/>
                <w:kern w:val="0"/>
                <w:sz w:val="21"/>
                <w:szCs w:val="21"/>
                <w:highlight w:val="none"/>
                <w:u w:val="none"/>
                <w:lang w:val="en-US" w:eastAsia="zh-CN" w:bidi="ar"/>
              </w:rPr>
              <w:t>SL288-2014</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4.2.6</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表观密度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28.00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含泥量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泥块含量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有机物含量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压碎指标</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针片状含量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硫酸盐硫化物</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坚固性</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168.00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软弱颗粒</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碱活性（砂浆棒法）</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细骨料</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颗粒级配</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《水利工程质量检测技术规程》</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(SL734-2016) </w:t>
            </w:r>
            <w:r>
              <w:rPr>
                <w:rFonts w:hint="eastAsia" w:ascii="宋体" w:hAnsi="宋体" w:eastAsia="宋体" w:cs="宋体"/>
                <w:i w:val="0"/>
                <w:iCs w:val="0"/>
                <w:color w:val="auto"/>
                <w:kern w:val="0"/>
                <w:sz w:val="21"/>
                <w:szCs w:val="21"/>
                <w:highlight w:val="none"/>
                <w:u w:val="none"/>
                <w:lang w:val="en-US" w:eastAsia="zh-CN" w:bidi="ar"/>
              </w:rPr>
              <w:t>附录</w:t>
            </w:r>
            <w:r>
              <w:rPr>
                <w:rFonts w:hint="default" w:ascii="Times New Roman" w:hAnsi="Times New Roman" w:eastAsia="宋体" w:cs="Times New Roman"/>
                <w:i w:val="0"/>
                <w:iCs w:val="0"/>
                <w:color w:val="auto"/>
                <w:kern w:val="0"/>
                <w:sz w:val="21"/>
                <w:szCs w:val="21"/>
                <w:highlight w:val="none"/>
                <w:u w:val="none"/>
                <w:lang w:val="en-US" w:eastAsia="zh-CN" w:bidi="ar"/>
              </w:rPr>
              <w:t>A.0.6</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《水工混凝土施工规范》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(SL677-2014)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5.3.5</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《水利工程施工监理规范》（</w:t>
            </w:r>
            <w:r>
              <w:rPr>
                <w:rFonts w:hint="default" w:ascii="Times New Roman" w:hAnsi="Times New Roman" w:eastAsia="宋体" w:cs="Times New Roman"/>
                <w:i w:val="0"/>
                <w:iCs w:val="0"/>
                <w:color w:val="auto"/>
                <w:kern w:val="0"/>
                <w:sz w:val="21"/>
                <w:szCs w:val="21"/>
                <w:highlight w:val="none"/>
                <w:u w:val="none"/>
                <w:lang w:val="en-US" w:eastAsia="zh-CN" w:bidi="ar"/>
              </w:rPr>
              <w:t>SL288-2014</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4.2.6</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表观密度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含泥量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泥块含量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石粉含量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28.00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堆积密度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云母含量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轻物质含量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有机物含量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坚固性</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硫酸盐硫化物</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碱活性（砂浆棒法）</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砌墙砖</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外观质量</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《烧结多孔砖和多孔砌块》</w:t>
            </w:r>
            <w:r>
              <w:rPr>
                <w:rFonts w:hint="default" w:ascii="Times New Roman" w:hAnsi="Times New Roman" w:eastAsia="宋体" w:cs="Times New Roman"/>
                <w:i w:val="0"/>
                <w:iCs w:val="0"/>
                <w:color w:val="auto"/>
                <w:kern w:val="0"/>
                <w:sz w:val="21"/>
                <w:szCs w:val="21"/>
                <w:highlight w:val="none"/>
                <w:u w:val="none"/>
                <w:lang w:val="en-US" w:eastAsia="zh-CN" w:bidi="ar"/>
              </w:rPr>
              <w:t>GB/T 13544-2011</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31.50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尺寸偏差</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31.50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抗压强度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抗折强度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38.50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吸水率</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成型、养护费</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混凝土路面砖</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连锁砖</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预制护坡六方块</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尺寸偏差</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《混凝土路面砖》</w:t>
            </w:r>
            <w:r>
              <w:rPr>
                <w:rFonts w:hint="default" w:ascii="Times New Roman" w:hAnsi="Times New Roman" w:eastAsia="宋体" w:cs="Times New Roman"/>
                <w:i w:val="0"/>
                <w:iCs w:val="0"/>
                <w:color w:val="auto"/>
                <w:kern w:val="0"/>
                <w:sz w:val="21"/>
                <w:szCs w:val="21"/>
                <w:highlight w:val="none"/>
                <w:u w:val="none"/>
                <w:lang w:val="en-US" w:eastAsia="zh-CN" w:bidi="ar"/>
              </w:rPr>
              <w:t>GB28635-2012</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外观质量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抗压强度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87.50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抗折强度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水泥</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强度</w:t>
            </w:r>
          </w:p>
        </w:tc>
        <w:tc>
          <w:tcPr>
            <w:tcW w:w="2445"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《水工混凝土施工规范》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(SL677-2014)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11.2.3</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《通用硅酸盐水泥》（</w:t>
            </w:r>
            <w:r>
              <w:rPr>
                <w:rFonts w:hint="default" w:ascii="Times New Roman" w:hAnsi="Times New Roman" w:eastAsia="宋体" w:cs="Times New Roman"/>
                <w:i w:val="0"/>
                <w:iCs w:val="0"/>
                <w:color w:val="auto"/>
                <w:kern w:val="0"/>
                <w:sz w:val="21"/>
                <w:szCs w:val="21"/>
                <w:highlight w:val="none"/>
                <w:u w:val="none"/>
                <w:lang w:val="en-US" w:eastAsia="zh-CN" w:bidi="ar"/>
              </w:rPr>
              <w:t>GB 175-2017</w:t>
            </w:r>
            <w:r>
              <w:rPr>
                <w:rFonts w:hint="eastAsia" w:ascii="宋体" w:hAnsi="宋体" w:eastAsia="宋体" w:cs="宋体"/>
                <w:i w:val="0"/>
                <w:iCs w:val="0"/>
                <w:color w:val="auto"/>
                <w:kern w:val="0"/>
                <w:sz w:val="21"/>
                <w:szCs w:val="21"/>
                <w:highlight w:val="none"/>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安定性（雷氏夹）</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细度（筛余）</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比表面积</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标准稠度</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21.00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氧化镁</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38.50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三氧化硫</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52.50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烧失量</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凝结时间</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碱含量</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氯离子含量</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水化热</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2000.00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掺合料</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需水量比</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《水工混凝土施工规范》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(SL677-2014)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11.2.5</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《用于水泥和混凝土中的粉煤灰》（</w:t>
            </w:r>
            <w:r>
              <w:rPr>
                <w:rFonts w:hint="default" w:ascii="Times New Roman" w:hAnsi="Times New Roman" w:eastAsia="宋体" w:cs="Times New Roman"/>
                <w:i w:val="0"/>
                <w:iCs w:val="0"/>
                <w:color w:val="auto"/>
                <w:kern w:val="0"/>
                <w:sz w:val="21"/>
                <w:szCs w:val="21"/>
                <w:highlight w:val="none"/>
                <w:u w:val="none"/>
                <w:lang w:val="en-US" w:eastAsia="zh-CN" w:bidi="ar"/>
              </w:rPr>
              <w:t>GB/T 1596-2017</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《用于水泥、砂浆和混凝土中的粒化高炉矿渣粉》（</w:t>
            </w:r>
            <w:r>
              <w:rPr>
                <w:rFonts w:hint="default" w:ascii="Times New Roman" w:hAnsi="Times New Roman" w:eastAsia="宋体" w:cs="Times New Roman"/>
                <w:i w:val="0"/>
                <w:iCs w:val="0"/>
                <w:color w:val="auto"/>
                <w:kern w:val="0"/>
                <w:sz w:val="21"/>
                <w:szCs w:val="21"/>
                <w:highlight w:val="none"/>
                <w:u w:val="none"/>
                <w:lang w:val="en-US" w:eastAsia="zh-CN" w:bidi="ar"/>
              </w:rPr>
              <w:t>GB/T 18046-2017</w:t>
            </w:r>
            <w:r>
              <w:rPr>
                <w:rFonts w:hint="eastAsia" w:ascii="宋体" w:hAnsi="宋体" w:eastAsia="宋体" w:cs="宋体"/>
                <w:i w:val="0"/>
                <w:iCs w:val="0"/>
                <w:color w:val="auto"/>
                <w:kern w:val="0"/>
                <w:sz w:val="21"/>
                <w:szCs w:val="21"/>
                <w:highlight w:val="none"/>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强度活性系数</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含水量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28.00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比表面积</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烧失量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安定性（雷氏夹）</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三氧化硫</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52.50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成型、养护费</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钢材及焊接件</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抗拉、冷弯</w:t>
            </w:r>
          </w:p>
        </w:tc>
        <w:tc>
          <w:tcPr>
            <w:tcW w:w="2445"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《水工混凝土施工规范》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(SL677-2014)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4.2.3</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《钢筋混凝土用钢</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部分：热轧光圆钢筋》（</w:t>
            </w:r>
            <w:r>
              <w:rPr>
                <w:rFonts w:hint="default" w:ascii="Times New Roman" w:hAnsi="Times New Roman" w:eastAsia="宋体" w:cs="Times New Roman"/>
                <w:i w:val="0"/>
                <w:iCs w:val="0"/>
                <w:color w:val="auto"/>
                <w:kern w:val="0"/>
                <w:sz w:val="21"/>
                <w:szCs w:val="21"/>
                <w:highlight w:val="none"/>
                <w:u w:val="none"/>
                <w:lang w:val="en-US" w:eastAsia="zh-CN" w:bidi="ar"/>
              </w:rPr>
              <w:t>GB/T 1499.1-2017</w:t>
            </w:r>
            <w:r>
              <w:rPr>
                <w:rFonts w:hint="eastAsia" w:ascii="宋体" w:hAnsi="宋体" w:eastAsia="宋体" w:cs="宋体"/>
                <w:i w:val="0"/>
                <w:iCs w:val="0"/>
                <w:color w:val="auto"/>
                <w:kern w:val="0"/>
                <w:sz w:val="21"/>
                <w:szCs w:val="21"/>
                <w:highlight w:val="none"/>
                <w:u w:val="none"/>
                <w:lang w:val="en-US" w:eastAsia="zh-CN" w:bidi="ar"/>
              </w:rPr>
              <w:t>）；《钢筋混凝土用钢</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部分：热轧带肋钢筋》（</w:t>
            </w:r>
            <w:r>
              <w:rPr>
                <w:rFonts w:hint="default" w:ascii="Times New Roman" w:hAnsi="Times New Roman" w:eastAsia="宋体" w:cs="Times New Roman"/>
                <w:i w:val="0"/>
                <w:iCs w:val="0"/>
                <w:color w:val="auto"/>
                <w:kern w:val="0"/>
                <w:sz w:val="21"/>
                <w:szCs w:val="21"/>
                <w:highlight w:val="none"/>
                <w:u w:val="none"/>
                <w:lang w:val="en-US" w:eastAsia="zh-CN" w:bidi="ar"/>
              </w:rPr>
              <w:t>GB/T 1499.2-2017</w:t>
            </w:r>
            <w:r>
              <w:rPr>
                <w:rFonts w:hint="eastAsia" w:ascii="宋体" w:hAnsi="宋体" w:eastAsia="宋体" w:cs="宋体"/>
                <w:i w:val="0"/>
                <w:iCs w:val="0"/>
                <w:color w:val="auto"/>
                <w:kern w:val="0"/>
                <w:sz w:val="21"/>
                <w:szCs w:val="21"/>
                <w:highlight w:val="none"/>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比例极限</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弯曲</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重量偏差</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尺寸偏差</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最大力总伸长率</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36.75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止水材料</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拉伸强度（老化前）</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《水工混凝土施工规范》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(SL677-2014)</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121.80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拉伸强度（老化后）</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242.20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扯断伸长率（老化前）</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65.80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扯断伸长率（老化后）</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65.80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撕裂强度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邵尔硬度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59.50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老化试验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508.90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压缩永久变形</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347.20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样品加工处理</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土工合成材料</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单位面积质量</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《水工混凝土施工规范》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(SL677-2014)</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《土工合成材料测试规程》</w:t>
            </w:r>
            <w:r>
              <w:rPr>
                <w:rFonts w:hint="default" w:ascii="Times New Roman" w:hAnsi="Times New Roman" w:eastAsia="宋体" w:cs="Times New Roman"/>
                <w:i w:val="0"/>
                <w:iCs w:val="0"/>
                <w:color w:val="auto"/>
                <w:kern w:val="0"/>
                <w:sz w:val="21"/>
                <w:szCs w:val="21"/>
                <w:highlight w:val="none"/>
                <w:u w:val="none"/>
                <w:lang w:val="en-US" w:eastAsia="zh-CN" w:bidi="ar"/>
              </w:rPr>
              <w:t>SL235-2012</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32.90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抗拉强度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断裂延伸率</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厚度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59.50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幅宽</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32.90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拉伸试验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184.10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梯形撕破强力试验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187.60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CBR</w:t>
            </w:r>
            <w:r>
              <w:rPr>
                <w:rFonts w:hint="eastAsia" w:ascii="宋体" w:hAnsi="宋体" w:eastAsia="宋体" w:cs="宋体"/>
                <w:i w:val="0"/>
                <w:iCs w:val="0"/>
                <w:color w:val="auto"/>
                <w:kern w:val="0"/>
                <w:sz w:val="21"/>
                <w:szCs w:val="21"/>
                <w:highlight w:val="none"/>
                <w:u w:val="none"/>
                <w:lang w:val="en-US" w:eastAsia="zh-CN" w:bidi="ar"/>
              </w:rPr>
              <w:t>顶破强力试验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183.40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刺破强力试验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186.90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垂直渗透性能试验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497.00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排水板屈服强度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192.50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排水板通水量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378.70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样品加工处理</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沥青</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针入度</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《建筑石油沥青》（</w:t>
            </w:r>
            <w:r>
              <w:rPr>
                <w:rFonts w:hint="default" w:ascii="Times New Roman" w:hAnsi="Times New Roman" w:eastAsia="宋体" w:cs="Times New Roman"/>
                <w:i w:val="0"/>
                <w:iCs w:val="0"/>
                <w:color w:val="auto"/>
                <w:kern w:val="0"/>
                <w:sz w:val="21"/>
                <w:szCs w:val="21"/>
                <w:highlight w:val="none"/>
                <w:u w:val="none"/>
                <w:lang w:val="en-US" w:eastAsia="zh-CN" w:bidi="ar"/>
              </w:rPr>
              <w:t>GB/T 494-2010</w:t>
            </w:r>
            <w:r>
              <w:rPr>
                <w:rFonts w:hint="eastAsia" w:ascii="宋体" w:hAnsi="宋体" w:eastAsia="宋体" w:cs="宋体"/>
                <w:i w:val="0"/>
                <w:iCs w:val="0"/>
                <w:color w:val="auto"/>
                <w:kern w:val="0"/>
                <w:sz w:val="21"/>
                <w:szCs w:val="21"/>
                <w:highlight w:val="none"/>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延度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软化点</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岩石</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天然抗压强度</w:t>
            </w:r>
          </w:p>
        </w:tc>
        <w:tc>
          <w:tcPr>
            <w:tcW w:w="2445"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《水利水电工程岩石试验规程》（</w:t>
            </w:r>
            <w:r>
              <w:rPr>
                <w:rFonts w:hint="default" w:ascii="Times New Roman" w:hAnsi="Times New Roman" w:eastAsia="宋体" w:cs="Times New Roman"/>
                <w:i w:val="0"/>
                <w:iCs w:val="0"/>
                <w:color w:val="auto"/>
                <w:kern w:val="0"/>
                <w:sz w:val="21"/>
                <w:szCs w:val="21"/>
                <w:highlight w:val="none"/>
                <w:u w:val="none"/>
                <w:lang w:val="en-US" w:eastAsia="zh-CN" w:bidi="ar"/>
              </w:rPr>
              <w:t>SL/T264-2020</w:t>
            </w:r>
            <w:r>
              <w:rPr>
                <w:rFonts w:hint="eastAsia" w:ascii="宋体" w:hAnsi="宋体" w:eastAsia="宋体" w:cs="宋体"/>
                <w:i w:val="0"/>
                <w:iCs w:val="0"/>
                <w:color w:val="auto"/>
                <w:kern w:val="0"/>
                <w:sz w:val="21"/>
                <w:szCs w:val="21"/>
                <w:highlight w:val="none"/>
                <w:u w:val="none"/>
                <w:lang w:val="en-US" w:eastAsia="zh-CN" w:bidi="ar"/>
              </w:rPr>
              <w:t>）</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自然吸水抗压强度</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饱和抗压强度</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63.00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强制饱和电费（</w:t>
            </w:r>
            <w:r>
              <w:rPr>
                <w:rFonts w:hint="default" w:ascii="Times New Roman" w:hAnsi="Times New Roman" w:eastAsia="宋体" w:cs="Times New Roman"/>
                <w:i w:val="0"/>
                <w:iCs w:val="0"/>
                <w:color w:val="auto"/>
                <w:kern w:val="0"/>
                <w:sz w:val="21"/>
                <w:szCs w:val="21"/>
                <w:highlight w:val="none"/>
                <w:u w:val="none"/>
                <w:lang w:val="en-US" w:eastAsia="zh-CN" w:bidi="ar"/>
              </w:rPr>
              <w:t>48h</w:t>
            </w:r>
            <w:r>
              <w:rPr>
                <w:rFonts w:hint="eastAsia" w:ascii="宋体" w:hAnsi="宋体" w:eastAsia="宋体" w:cs="宋体"/>
                <w:i w:val="0"/>
                <w:iCs w:val="0"/>
                <w:color w:val="auto"/>
                <w:kern w:val="0"/>
                <w:sz w:val="21"/>
                <w:szCs w:val="21"/>
                <w:highlight w:val="none"/>
                <w:u w:val="none"/>
                <w:lang w:val="en-US" w:eastAsia="zh-CN" w:bidi="ar"/>
              </w:rPr>
              <w:t>）</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加工费</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给排水用管材</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外观</w:t>
            </w:r>
          </w:p>
        </w:tc>
        <w:tc>
          <w:tcPr>
            <w:tcW w:w="2445"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相关管材技术标准</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弯曲度</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规格尺寸</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拉伸强度</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断裂伸长率</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落锤冲击试验</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231.00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纵向回缩率</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维卡温度</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样品加工处理</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烘箱试验</w:t>
            </w:r>
          </w:p>
        </w:tc>
        <w:tc>
          <w:tcPr>
            <w:tcW w:w="2445" w:type="dxa"/>
            <w:vMerge w:val="continue"/>
            <w:tcBorders>
              <w:top w:val="nil"/>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9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二、构配件及工程实体检测</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nil"/>
              <w:left w:val="single" w:color="000000" w:sz="4" w:space="0"/>
              <w:bottom w:val="nil"/>
              <w:right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土方填筑质量</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含水量</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《堤防工程施工规范》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(SL260-2014)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11.5.1</w:t>
            </w:r>
            <w:r>
              <w:rPr>
                <w:rFonts w:hint="eastAsia" w:ascii="宋体" w:hAnsi="宋体" w:eastAsia="宋体" w:cs="宋体"/>
                <w:i w:val="0"/>
                <w:iCs w:val="0"/>
                <w:color w:val="auto"/>
                <w:kern w:val="0"/>
                <w:sz w:val="21"/>
                <w:szCs w:val="21"/>
                <w:highlight w:val="none"/>
                <w:u w:val="none"/>
                <w:lang w:val="en-US" w:eastAsia="zh-CN" w:bidi="ar"/>
              </w:rPr>
              <w:t>条款；</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《碾压式土石坝施工规范》</w:t>
            </w:r>
            <w:r>
              <w:rPr>
                <w:rFonts w:hint="default" w:ascii="Times New Roman" w:hAnsi="Times New Roman" w:eastAsia="宋体" w:cs="Times New Roman"/>
                <w:i w:val="0"/>
                <w:iCs w:val="0"/>
                <w:color w:val="auto"/>
                <w:kern w:val="0"/>
                <w:sz w:val="21"/>
                <w:szCs w:val="21"/>
                <w:highlight w:val="none"/>
                <w:u w:val="none"/>
                <w:lang w:val="en-US" w:eastAsia="zh-CN" w:bidi="ar"/>
              </w:rPr>
              <w:t>(DL/T 5129-2013)</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11.4.11</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55" w:type="dxa"/>
            <w:vMerge w:val="continue"/>
            <w:tcBorders>
              <w:top w:val="nil"/>
              <w:left w:val="single" w:color="000000" w:sz="4" w:space="0"/>
              <w:bottom w:val="nil"/>
              <w:right w:val="nil"/>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环刀法密度试验（现场大体积）</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eastAsia" w:ascii="宋体" w:hAnsi="宋体" w:eastAsia="宋体" w:cs="宋体"/>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nil"/>
              <w:right w:val="nil"/>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灌砂（水）法密度试验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eastAsia" w:ascii="宋体" w:hAnsi="宋体" w:eastAsia="宋体" w:cs="宋体"/>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混凝土</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砂浆结构现场检测</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超声回弹法回弹法检测混凝土抗压强度</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《水利工程质量检测技术规程》</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(SL734-2016)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6.3.1</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测区</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钢筋探测</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《水利工程质量检测技术规程》</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(SL734-2016)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6.3.1</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测区</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钻芯法检测混凝土抗压强度</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《水利工程质量检测技术规程》</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(SL734-2016)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6.3.1</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贯入法检测砌体砂浆强度</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《水利工程质量检测技术规程》</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(SL734-2016) </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6.3.1</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测区</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碾压混凝土现场检测</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压实度（核子仪）</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《水工碾压混凝土施工规范》（</w:t>
            </w:r>
            <w:r>
              <w:rPr>
                <w:rFonts w:hint="default" w:ascii="Times New Roman" w:hAnsi="Times New Roman" w:eastAsia="宋体" w:cs="Times New Roman"/>
                <w:i w:val="0"/>
                <w:iCs w:val="0"/>
                <w:color w:val="auto"/>
                <w:kern w:val="0"/>
                <w:sz w:val="21"/>
                <w:szCs w:val="21"/>
                <w:highlight w:val="none"/>
                <w:u w:val="none"/>
                <w:lang w:val="en-US" w:eastAsia="zh-CN" w:bidi="ar"/>
              </w:rPr>
              <w:t>DL</w:t>
            </w: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T 5112-2021</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8.3</w:t>
            </w:r>
            <w:r>
              <w:rPr>
                <w:rFonts w:hint="eastAsia" w:ascii="宋体" w:hAnsi="宋体" w:eastAsia="宋体" w:cs="宋体"/>
                <w:i w:val="0"/>
                <w:iCs w:val="0"/>
                <w:color w:val="auto"/>
                <w:kern w:val="0"/>
                <w:sz w:val="21"/>
                <w:szCs w:val="21"/>
                <w:highlight w:val="none"/>
                <w:u w:val="none"/>
                <w:lang w:val="en-US" w:eastAsia="zh-CN" w:bidi="ar"/>
              </w:rPr>
              <w:t>条</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nil"/>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取芯钻孔费（</w:t>
            </w:r>
            <w:r>
              <w:rPr>
                <w:rFonts w:hint="default" w:ascii="Times New Roman" w:hAnsi="Times New Roman" w:eastAsia="宋体" w:cs="Times New Roman"/>
                <w:i w:val="0"/>
                <w:iCs w:val="0"/>
                <w:color w:val="auto"/>
                <w:kern w:val="0"/>
                <w:sz w:val="21"/>
                <w:szCs w:val="21"/>
                <w:highlight w:val="none"/>
                <w:u w:val="none"/>
                <w:lang w:val="en-US" w:eastAsia="zh-CN" w:bidi="ar"/>
              </w:rPr>
              <w:t>Φ212mm</w:t>
            </w:r>
            <w:r>
              <w:rPr>
                <w:rFonts w:hint="eastAsia" w:ascii="宋体" w:hAnsi="宋体" w:eastAsia="宋体" w:cs="宋体"/>
                <w:i w:val="0"/>
                <w:iCs w:val="0"/>
                <w:color w:val="auto"/>
                <w:kern w:val="0"/>
                <w:sz w:val="21"/>
                <w:szCs w:val="21"/>
                <w:highlight w:val="none"/>
                <w:u w:val="none"/>
                <w:lang w:val="en-US" w:eastAsia="zh-CN" w:bidi="ar"/>
              </w:rPr>
              <w:t>）</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m</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1029.60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nil"/>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取芯钻孔费（</w:t>
            </w:r>
            <w:r>
              <w:rPr>
                <w:rFonts w:hint="default" w:ascii="Times New Roman" w:hAnsi="Times New Roman" w:eastAsia="宋体" w:cs="Times New Roman"/>
                <w:i w:val="0"/>
                <w:iCs w:val="0"/>
                <w:color w:val="auto"/>
                <w:kern w:val="0"/>
                <w:sz w:val="21"/>
                <w:szCs w:val="21"/>
                <w:highlight w:val="none"/>
                <w:u w:val="none"/>
                <w:lang w:val="en-US" w:eastAsia="zh-CN" w:bidi="ar"/>
              </w:rPr>
              <w:t>Φ168mm</w:t>
            </w:r>
            <w:r>
              <w:rPr>
                <w:rFonts w:hint="eastAsia" w:ascii="宋体" w:hAnsi="宋体" w:eastAsia="宋体" w:cs="宋体"/>
                <w:i w:val="0"/>
                <w:iCs w:val="0"/>
                <w:color w:val="auto"/>
                <w:kern w:val="0"/>
                <w:sz w:val="21"/>
                <w:szCs w:val="21"/>
                <w:highlight w:val="none"/>
                <w:u w:val="none"/>
                <w:lang w:val="en-US" w:eastAsia="zh-CN" w:bidi="ar"/>
              </w:rPr>
              <w:t>）</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m</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936.00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nil"/>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取芯钻孔费（</w:t>
            </w:r>
            <w:r>
              <w:rPr>
                <w:rFonts w:hint="default" w:ascii="Times New Roman" w:hAnsi="Times New Roman" w:eastAsia="宋体" w:cs="Times New Roman"/>
                <w:i w:val="0"/>
                <w:iCs w:val="0"/>
                <w:color w:val="auto"/>
                <w:kern w:val="0"/>
                <w:sz w:val="21"/>
                <w:szCs w:val="21"/>
                <w:highlight w:val="none"/>
                <w:u w:val="none"/>
                <w:lang w:val="en-US" w:eastAsia="zh-CN" w:bidi="ar"/>
              </w:rPr>
              <w:t>Φ75mm</w:t>
            </w:r>
            <w:r>
              <w:rPr>
                <w:rFonts w:hint="eastAsia" w:ascii="宋体" w:hAnsi="宋体" w:eastAsia="宋体" w:cs="宋体"/>
                <w:i w:val="0"/>
                <w:iCs w:val="0"/>
                <w:color w:val="auto"/>
                <w:kern w:val="0"/>
                <w:sz w:val="21"/>
                <w:szCs w:val="21"/>
                <w:highlight w:val="none"/>
                <w:u w:val="none"/>
                <w:lang w:val="en-US" w:eastAsia="zh-CN" w:bidi="ar"/>
              </w:rPr>
              <w:t>）</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m</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702.00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nil"/>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芯样抗压强度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nil"/>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表观密度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98.00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nil"/>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静力弹性模量</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nil"/>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压水试验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2104.00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帷幕灌浆、固结灌浆</w:t>
            </w:r>
          </w:p>
        </w:tc>
        <w:tc>
          <w:tcPr>
            <w:tcW w:w="16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取芯钻孔费（</w:t>
            </w:r>
            <w:r>
              <w:rPr>
                <w:rFonts w:hint="default" w:ascii="Times New Roman" w:hAnsi="Times New Roman" w:eastAsia="宋体" w:cs="Times New Roman"/>
                <w:i w:val="0"/>
                <w:iCs w:val="0"/>
                <w:color w:val="auto"/>
                <w:kern w:val="0"/>
                <w:sz w:val="21"/>
                <w:szCs w:val="21"/>
                <w:highlight w:val="none"/>
                <w:u w:val="none"/>
                <w:lang w:val="en-US" w:eastAsia="zh-CN" w:bidi="ar"/>
              </w:rPr>
              <w:t>Φ75mm</w:t>
            </w:r>
            <w:r>
              <w:rPr>
                <w:rFonts w:hint="eastAsia" w:ascii="宋体" w:hAnsi="宋体" w:eastAsia="宋体" w:cs="宋体"/>
                <w:i w:val="0"/>
                <w:iCs w:val="0"/>
                <w:color w:val="auto"/>
                <w:kern w:val="0"/>
                <w:sz w:val="21"/>
                <w:szCs w:val="21"/>
                <w:highlight w:val="none"/>
                <w:u w:val="none"/>
                <w:lang w:val="en-US" w:eastAsia="zh-CN" w:bidi="ar"/>
              </w:rPr>
              <w:t>）</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《水工建筑物水泥灌浆规范》</w:t>
            </w:r>
            <w:r>
              <w:rPr>
                <w:rFonts w:hint="default" w:ascii="Times New Roman" w:hAnsi="Times New Roman" w:eastAsia="宋体" w:cs="Times New Roman"/>
                <w:i w:val="0"/>
                <w:iCs w:val="0"/>
                <w:color w:val="auto"/>
                <w:kern w:val="0"/>
                <w:sz w:val="21"/>
                <w:szCs w:val="21"/>
                <w:highlight w:val="none"/>
                <w:u w:val="none"/>
                <w:lang w:val="en-US" w:eastAsia="zh-CN" w:bidi="ar"/>
              </w:rPr>
              <w:t>SL62-2014</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5.2</w:t>
            </w:r>
            <w:r>
              <w:rPr>
                <w:rFonts w:hint="eastAsia" w:ascii="宋体" w:hAnsi="宋体" w:eastAsia="宋体" w:cs="宋体"/>
                <w:i w:val="0"/>
                <w:iCs w:val="0"/>
                <w:color w:val="auto"/>
                <w:kern w:val="0"/>
                <w:sz w:val="21"/>
                <w:szCs w:val="21"/>
                <w:highlight w:val="none"/>
                <w:u w:val="none"/>
                <w:lang w:val="en-US" w:eastAsia="zh-CN" w:bidi="ar"/>
              </w:rPr>
              <w:t>条、</w:t>
            </w:r>
            <w:r>
              <w:rPr>
                <w:rFonts w:hint="default" w:ascii="Times New Roman" w:hAnsi="Times New Roman" w:eastAsia="宋体" w:cs="Times New Roman"/>
                <w:i w:val="0"/>
                <w:iCs w:val="0"/>
                <w:color w:val="auto"/>
                <w:kern w:val="0"/>
                <w:sz w:val="21"/>
                <w:szCs w:val="21"/>
                <w:highlight w:val="none"/>
                <w:u w:val="none"/>
                <w:lang w:val="en-US" w:eastAsia="zh-CN" w:bidi="ar"/>
              </w:rPr>
              <w:t>6.2</w:t>
            </w:r>
            <w:r>
              <w:rPr>
                <w:rFonts w:hint="eastAsia" w:ascii="宋体" w:hAnsi="宋体" w:eastAsia="宋体" w:cs="宋体"/>
                <w:i w:val="0"/>
                <w:iCs w:val="0"/>
                <w:color w:val="auto"/>
                <w:kern w:val="0"/>
                <w:sz w:val="21"/>
                <w:szCs w:val="21"/>
                <w:highlight w:val="none"/>
                <w:u w:val="none"/>
                <w:lang w:val="en-US" w:eastAsia="zh-CN" w:bidi="ar"/>
              </w:rPr>
              <w:t>条</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m</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702.00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压水试验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2104.00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TRD</w:t>
            </w:r>
            <w:r>
              <w:rPr>
                <w:rFonts w:hint="eastAsia" w:ascii="宋体" w:hAnsi="宋体" w:eastAsia="宋体" w:cs="宋体"/>
                <w:i w:val="0"/>
                <w:iCs w:val="0"/>
                <w:color w:val="auto"/>
                <w:kern w:val="0"/>
                <w:sz w:val="21"/>
                <w:szCs w:val="21"/>
                <w:highlight w:val="none"/>
                <w:u w:val="none"/>
                <w:lang w:val="en-US" w:eastAsia="zh-CN" w:bidi="ar"/>
              </w:rPr>
              <w:t>工法水泥土防渗墙</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压水试验</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《塑性混凝土防渗墙施工技术规程》（</w:t>
            </w:r>
            <w:r>
              <w:rPr>
                <w:rFonts w:hint="default" w:ascii="Times New Roman" w:hAnsi="Times New Roman" w:eastAsia="宋体" w:cs="Times New Roman"/>
                <w:i w:val="0"/>
                <w:iCs w:val="0"/>
                <w:color w:val="auto"/>
                <w:kern w:val="0"/>
                <w:sz w:val="21"/>
                <w:szCs w:val="21"/>
                <w:highlight w:val="none"/>
                <w:u w:val="none"/>
                <w:lang w:val="en-US" w:eastAsia="zh-CN" w:bidi="ar"/>
              </w:rPr>
              <w:t>JGJ/T 291-2012</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9.4</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2104.00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钻孔</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米</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702.00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芯样强度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水泥搅拌桩防渗</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高喷防渗</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钻孔</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《深层搅拌法地基处理技术规范》</w:t>
            </w:r>
            <w:r>
              <w:rPr>
                <w:rFonts w:hint="default" w:ascii="Times New Roman" w:hAnsi="Times New Roman" w:eastAsia="宋体" w:cs="Times New Roman"/>
                <w:i w:val="0"/>
                <w:iCs w:val="0"/>
                <w:color w:val="auto"/>
                <w:kern w:val="0"/>
                <w:sz w:val="21"/>
                <w:szCs w:val="21"/>
                <w:highlight w:val="none"/>
                <w:u w:val="none"/>
                <w:lang w:val="en-US" w:eastAsia="zh-CN" w:bidi="ar"/>
              </w:rPr>
              <w:t>(DL/T 5425-2018</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7.0.5</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米</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702.00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注水试验</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409.00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芯样强度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锚杆</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锚杆抗拔力</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《水利水电工程锚喷支护技术规范》</w:t>
            </w:r>
            <w:r>
              <w:rPr>
                <w:rFonts w:hint="default" w:ascii="Times New Roman" w:hAnsi="Times New Roman" w:eastAsia="宋体" w:cs="Times New Roman"/>
                <w:i w:val="0"/>
                <w:iCs w:val="0"/>
                <w:color w:val="auto"/>
                <w:kern w:val="0"/>
                <w:sz w:val="21"/>
                <w:szCs w:val="21"/>
                <w:highlight w:val="none"/>
                <w:u w:val="none"/>
                <w:lang w:val="en-US" w:eastAsia="zh-CN" w:bidi="ar"/>
              </w:rPr>
              <w:t>SL377-2007</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10.1</w:t>
            </w:r>
            <w:r>
              <w:rPr>
                <w:rFonts w:hint="eastAsia" w:ascii="宋体" w:hAnsi="宋体" w:eastAsia="宋体" w:cs="宋体"/>
                <w:i w:val="0"/>
                <w:iCs w:val="0"/>
                <w:color w:val="auto"/>
                <w:kern w:val="0"/>
                <w:sz w:val="21"/>
                <w:szCs w:val="21"/>
                <w:highlight w:val="none"/>
                <w:u w:val="none"/>
                <w:lang w:val="en-US" w:eastAsia="zh-CN" w:bidi="ar"/>
              </w:rPr>
              <w:t>条款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1155.00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变形</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840.00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长度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注浆饱满度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锚杆拉拔力（隧洞）</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254.10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锚杆施工质量（隧洞）</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130.90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155"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沥青路面</w:t>
            </w:r>
          </w:p>
        </w:tc>
        <w:tc>
          <w:tcPr>
            <w:tcW w:w="1650"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沥青混凝土面层弯沉（贝克曼梁法）</w:t>
            </w:r>
          </w:p>
        </w:tc>
        <w:tc>
          <w:tcPr>
            <w:tcW w:w="2445" w:type="dxa"/>
            <w:tcBorders>
              <w:top w:val="nil"/>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《公路工程沥青及沥青混合料试验规程》</w:t>
            </w:r>
            <w:r>
              <w:rPr>
                <w:rFonts w:hint="default" w:ascii="Times New Roman" w:hAnsi="Times New Roman" w:eastAsia="宋体" w:cs="Times New Roman"/>
                <w:i w:val="0"/>
                <w:iCs w:val="0"/>
                <w:color w:val="auto"/>
                <w:kern w:val="0"/>
                <w:sz w:val="21"/>
                <w:szCs w:val="21"/>
                <w:highlight w:val="none"/>
                <w:u w:val="none"/>
                <w:lang w:val="en-US" w:eastAsia="zh-CN" w:bidi="ar"/>
              </w:rPr>
              <w:t>JTGE20-2011</w:t>
            </w:r>
          </w:p>
        </w:tc>
        <w:tc>
          <w:tcPr>
            <w:tcW w:w="1305"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点</w:t>
            </w:r>
          </w:p>
        </w:tc>
        <w:tc>
          <w:tcPr>
            <w:tcW w:w="1335"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28.00 </w:t>
            </w:r>
          </w:p>
        </w:tc>
        <w:tc>
          <w:tcPr>
            <w:tcW w:w="915"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vMerge w:val="continue"/>
            <w:tcBorders>
              <w:top w:val="single" w:color="000000" w:sz="4" w:space="0"/>
              <w:left w:val="single" w:color="000000" w:sz="4" w:space="0"/>
              <w:bottom w:val="nil"/>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路基、路面宽度</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《公路路基路面现场测试规程》</w:t>
            </w:r>
            <w:r>
              <w:rPr>
                <w:rFonts w:hint="default" w:ascii="Times New Roman" w:hAnsi="Times New Roman" w:eastAsia="宋体" w:cs="Times New Roman"/>
                <w:i w:val="0"/>
                <w:iCs w:val="0"/>
                <w:color w:val="auto"/>
                <w:kern w:val="0"/>
                <w:sz w:val="21"/>
                <w:szCs w:val="21"/>
                <w:highlight w:val="none"/>
                <w:u w:val="none"/>
                <w:lang w:val="en-US" w:eastAsia="zh-CN" w:bidi="ar"/>
              </w:rPr>
              <w:t>JTG 3450-2019</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55" w:type="dxa"/>
            <w:vMerge w:val="continue"/>
            <w:tcBorders>
              <w:top w:val="single" w:color="000000" w:sz="4" w:space="0"/>
              <w:left w:val="single" w:color="000000" w:sz="4" w:space="0"/>
              <w:bottom w:val="nil"/>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平整度</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《公路路基路面现场测试规程》</w:t>
            </w:r>
            <w:r>
              <w:rPr>
                <w:rFonts w:hint="default" w:ascii="Times New Roman" w:hAnsi="Times New Roman" w:eastAsia="宋体" w:cs="Times New Roman"/>
                <w:i w:val="0"/>
                <w:iCs w:val="0"/>
                <w:color w:val="auto"/>
                <w:kern w:val="0"/>
                <w:sz w:val="21"/>
                <w:szCs w:val="21"/>
                <w:highlight w:val="none"/>
                <w:u w:val="none"/>
                <w:lang w:val="en-US" w:eastAsia="zh-CN" w:bidi="ar"/>
              </w:rPr>
              <w:t>JTG 3450-2019</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km</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98.00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地基基础</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灌注桩（低应变）</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建筑基桩检测技术规范》</w:t>
            </w:r>
            <w:r>
              <w:rPr>
                <w:rFonts w:hint="default" w:ascii="Times New Roman" w:hAnsi="Times New Roman" w:eastAsia="宋体" w:cs="Times New Roman"/>
                <w:i w:val="0"/>
                <w:iCs w:val="0"/>
                <w:color w:val="auto"/>
                <w:kern w:val="0"/>
                <w:sz w:val="21"/>
                <w:szCs w:val="21"/>
                <w:highlight w:val="none"/>
                <w:u w:val="none"/>
                <w:lang w:val="en-US" w:eastAsia="zh-CN" w:bidi="ar"/>
              </w:rPr>
              <w:t>JGJ106-2014</w:t>
            </w:r>
            <w:r>
              <w:rPr>
                <w:rFonts w:hint="eastAsia" w:ascii="宋体" w:hAnsi="宋体" w:eastAsia="宋体" w:cs="宋体"/>
                <w:i w:val="0"/>
                <w:iCs w:val="0"/>
                <w:color w:val="auto"/>
                <w:kern w:val="0"/>
                <w:sz w:val="21"/>
                <w:szCs w:val="21"/>
                <w:highlight w:val="none"/>
                <w:u w:val="none"/>
                <w:lang w:val="en-US" w:eastAsia="zh-CN" w:bidi="ar"/>
              </w:rPr>
              <w:t>第</w:t>
            </w:r>
            <w:r>
              <w:rPr>
                <w:rFonts w:hint="default" w:ascii="Times New Roman" w:hAnsi="Times New Roman" w:eastAsia="宋体" w:cs="Times New Roman"/>
                <w:i w:val="0"/>
                <w:iCs w:val="0"/>
                <w:color w:val="auto"/>
                <w:kern w:val="0"/>
                <w:sz w:val="21"/>
                <w:szCs w:val="21"/>
                <w:highlight w:val="none"/>
                <w:u w:val="none"/>
                <w:lang w:val="en-US" w:eastAsia="zh-CN" w:bidi="ar"/>
              </w:rPr>
              <w:t>3.3</w:t>
            </w:r>
            <w:r>
              <w:rPr>
                <w:rFonts w:hint="eastAsia" w:ascii="宋体" w:hAnsi="宋体" w:eastAsia="宋体" w:cs="宋体"/>
                <w:i w:val="0"/>
                <w:iCs w:val="0"/>
                <w:color w:val="auto"/>
                <w:kern w:val="0"/>
                <w:sz w:val="21"/>
                <w:szCs w:val="21"/>
                <w:highlight w:val="none"/>
                <w:u w:val="none"/>
                <w:lang w:val="en-US" w:eastAsia="zh-CN" w:bidi="ar"/>
              </w:rPr>
              <w:t>条</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灌注桩（超声波）</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剖面</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载荷板试验</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《建筑地基检测技术规范》</w:t>
            </w:r>
            <w:r>
              <w:rPr>
                <w:rFonts w:hint="default" w:ascii="Times New Roman" w:hAnsi="Times New Roman" w:eastAsia="宋体" w:cs="Times New Roman"/>
                <w:i w:val="0"/>
                <w:iCs w:val="0"/>
                <w:color w:val="auto"/>
                <w:kern w:val="0"/>
                <w:sz w:val="21"/>
                <w:szCs w:val="21"/>
                <w:highlight w:val="none"/>
                <w:u w:val="none"/>
                <w:lang w:val="en-US" w:eastAsia="zh-CN" w:bidi="ar"/>
              </w:rPr>
              <w:t>JGJ 340-2015</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3500.00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轻型动力触探</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eastAsia" w:ascii="宋体" w:hAnsi="宋体" w:eastAsia="宋体" w:cs="宋体"/>
                <w:i w:val="0"/>
                <w:iCs w:val="0"/>
                <w:color w:val="auto"/>
                <w:kern w:val="0"/>
                <w:sz w:val="21"/>
                <w:szCs w:val="21"/>
                <w:highlight w:val="none"/>
                <w:u w:val="none"/>
                <w:lang w:val="en-US" w:eastAsia="zh-CN" w:bidi="ar"/>
              </w:rPr>
              <w:t>《建筑地基检测技术规范》</w:t>
            </w:r>
            <w:r>
              <w:rPr>
                <w:rFonts w:hint="default" w:ascii="Times New Roman" w:hAnsi="Times New Roman" w:eastAsia="宋体" w:cs="Times New Roman"/>
                <w:i w:val="0"/>
                <w:iCs w:val="0"/>
                <w:color w:val="auto"/>
                <w:kern w:val="0"/>
                <w:sz w:val="21"/>
                <w:szCs w:val="21"/>
                <w:highlight w:val="none"/>
                <w:u w:val="none"/>
                <w:lang w:val="en-US" w:eastAsia="zh-CN" w:bidi="ar"/>
              </w:rPr>
              <w:t>JGJ 340-2015</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点</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82.00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5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三、金属结构检测</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both"/>
              <w:rPr>
                <w:rFonts w:hint="eastAsia" w:ascii="宋体" w:hAnsi="宋体" w:eastAsia="宋体" w:cs="宋体"/>
                <w:b/>
                <w:bCs/>
                <w:i w:val="0"/>
                <w:iCs w:val="0"/>
                <w:color w:val="auto"/>
                <w:kern w:val="2"/>
                <w:sz w:val="21"/>
                <w:szCs w:val="21"/>
                <w:highlight w:val="none"/>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both"/>
              <w:rPr>
                <w:rFonts w:hint="eastAsia" w:ascii="宋体" w:hAnsi="宋体" w:eastAsia="宋体" w:cs="宋体"/>
                <w:b/>
                <w:bCs/>
                <w:i w:val="0"/>
                <w:iCs w:val="0"/>
                <w:color w:val="auto"/>
                <w:kern w:val="2"/>
                <w:sz w:val="21"/>
                <w:szCs w:val="21"/>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金属结构检测</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涂层厚度检测</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《水工钢闸门和启闭机安全检测技术规程》</w:t>
            </w:r>
            <w:r>
              <w:rPr>
                <w:rFonts w:hint="default" w:ascii="Times New Roman" w:hAnsi="Times New Roman" w:eastAsia="宋体" w:cs="Times New Roman"/>
                <w:color w:val="auto"/>
                <w:kern w:val="2"/>
                <w:sz w:val="21"/>
                <w:szCs w:val="21"/>
                <w:highlight w:val="none"/>
                <w:u w:val="none"/>
                <w:lang w:val="en-US" w:eastAsia="zh-CN" w:bidi="ar"/>
              </w:rPr>
              <w:t>SL101-2014</w:t>
            </w:r>
            <w:r>
              <w:rPr>
                <w:rFonts w:hint="eastAsia" w:ascii="宋体" w:hAnsi="宋体" w:eastAsia="宋体" w:cs="宋体"/>
                <w:i w:val="0"/>
                <w:iCs w:val="0"/>
                <w:color w:val="auto"/>
                <w:kern w:val="0"/>
                <w:sz w:val="21"/>
                <w:szCs w:val="21"/>
                <w:highlight w:val="none"/>
                <w:u w:val="none"/>
                <w:lang w:val="en-US" w:eastAsia="zh-CN" w:bidi="ar"/>
              </w:rPr>
              <w:t>、《水电工程钢闸门制造安装及验收规范》</w:t>
            </w:r>
            <w:r>
              <w:rPr>
                <w:rFonts w:hint="default" w:ascii="Times New Roman" w:hAnsi="Times New Roman" w:eastAsia="宋体" w:cs="Times New Roman"/>
                <w:color w:val="auto"/>
                <w:kern w:val="2"/>
                <w:sz w:val="21"/>
                <w:szCs w:val="21"/>
                <w:highlight w:val="none"/>
                <w:u w:val="none"/>
                <w:lang w:val="en-US" w:eastAsia="zh-CN" w:bidi="ar"/>
              </w:rPr>
              <w:t xml:space="preserve">NBT 35045-2014   </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测区</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焊缝外观检测</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米</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焊缝超声波探伤检测</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米</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表面法推定钢材强度</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涂层附着力</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测区</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300.00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启闭机电气检测</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电气及防雷接地系统</w:t>
            </w:r>
          </w:p>
        </w:tc>
        <w:tc>
          <w:tcPr>
            <w:tcW w:w="24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《水工钢闸门和启闭机安全检测技术规程》</w:t>
            </w:r>
            <w:r>
              <w:rPr>
                <w:rFonts w:hint="default" w:ascii="Times New Roman" w:hAnsi="Times New Roman" w:eastAsia="宋体" w:cs="Times New Roman"/>
                <w:i w:val="0"/>
                <w:iCs w:val="0"/>
                <w:color w:val="auto"/>
                <w:kern w:val="0"/>
                <w:sz w:val="21"/>
                <w:szCs w:val="21"/>
                <w:highlight w:val="none"/>
                <w:u w:val="none"/>
                <w:lang w:val="en-US" w:eastAsia="zh-CN" w:bidi="ar"/>
              </w:rPr>
              <w:t>SL101-2014</w:t>
            </w:r>
            <w:r>
              <w:rPr>
                <w:rFonts w:hint="eastAsia" w:ascii="宋体" w:hAnsi="宋体" w:eastAsia="宋体" w:cs="宋体"/>
                <w:i w:val="0"/>
                <w:iCs w:val="0"/>
                <w:color w:val="auto"/>
                <w:kern w:val="0"/>
                <w:sz w:val="21"/>
                <w:szCs w:val="21"/>
                <w:highlight w:val="none"/>
                <w:u w:val="none"/>
                <w:lang w:val="en-US" w:eastAsia="zh-CN" w:bidi="ar"/>
              </w:rPr>
              <w:t>、《水利水电工程启闭机制造安装及验收规范》</w:t>
            </w:r>
            <w:r>
              <w:rPr>
                <w:rFonts w:hint="default" w:ascii="Times New Roman" w:hAnsi="Times New Roman" w:eastAsia="宋体" w:cs="Times New Roman"/>
                <w:i w:val="0"/>
                <w:iCs w:val="0"/>
                <w:color w:val="auto"/>
                <w:kern w:val="0"/>
                <w:sz w:val="21"/>
                <w:szCs w:val="21"/>
                <w:highlight w:val="none"/>
                <w:u w:val="none"/>
                <w:lang w:val="en-US" w:eastAsia="zh-CN" w:bidi="ar"/>
              </w:rPr>
              <w:t xml:space="preserve">SL381-2021 </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系统</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电气绝缘电阻</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回路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4.90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电压</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回路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vMerge w:val="continue"/>
            <w:tcBorders>
              <w:top w:val="nil"/>
              <w:left w:val="single" w:color="000000" w:sz="4" w:space="0"/>
              <w:bottom w:val="single" w:color="000000" w:sz="4" w:space="0"/>
              <w:right w:val="single" w:color="000000" w:sz="4" w:space="0"/>
            </w:tcBorders>
            <w:noWrap w:val="0"/>
            <w:vAlign w:val="center"/>
          </w:tcPr>
          <w:p>
            <w:pPr>
              <w:widowControl w:val="0"/>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电流</w:t>
            </w:r>
          </w:p>
        </w:tc>
        <w:tc>
          <w:tcPr>
            <w:tcW w:w="244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回路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25.00 </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9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四、取样费</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取样费</w:t>
            </w:r>
          </w:p>
        </w:tc>
        <w:tc>
          <w:tcPr>
            <w:tcW w:w="67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现场取样费按工程材料检测费的20%计取</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789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五、交通费</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交通费</w:t>
            </w:r>
          </w:p>
        </w:tc>
        <w:tc>
          <w:tcPr>
            <w:tcW w:w="67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每个包交通费包干总价为47250元</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789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2"/>
                <w:sz w:val="21"/>
                <w:szCs w:val="21"/>
                <w:highlight w:val="none"/>
                <w:u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六、成果费</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技术成果费</w:t>
            </w:r>
          </w:p>
        </w:tc>
        <w:tc>
          <w:tcPr>
            <w:tcW w:w="673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室内试验技术工作成果费按（工程材料检测费+取样费）基价的10%计取，野外进行的现场试验检测技术工作成果费按（构配件及工程实体检测费+金属结构检测费）基价的22%计取</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65.1%</w:t>
            </w:r>
          </w:p>
        </w:tc>
      </w:tr>
    </w:tbl>
    <w:p>
      <w:pPr>
        <w:kinsoku/>
        <w:wordWrap/>
        <w:overflowPunct/>
        <w:bidi w:val="0"/>
        <w:adjustRightInd w:val="0"/>
        <w:snapToGrid w:val="0"/>
        <w:spacing w:line="500" w:lineRule="exact"/>
        <w:jc w:val="center"/>
        <w:rPr>
          <w:rFonts w:hint="default" w:ascii="宋体" w:hAnsi="宋体" w:eastAsia="宋体" w:cs="宋体"/>
          <w:b/>
          <w:color w:val="auto"/>
          <w:szCs w:val="21"/>
          <w:highlight w:val="none"/>
          <w:lang w:val="en-US" w:eastAsia="zh-CN"/>
        </w:rPr>
        <w:sectPr>
          <w:pgSz w:w="11906" w:h="16838"/>
          <w:pgMar w:top="1440" w:right="1800" w:bottom="1440" w:left="1800" w:header="851" w:footer="992" w:gutter="0"/>
          <w:pgNumType w:fmt="decimal"/>
          <w:cols w:space="425" w:num="1"/>
          <w:docGrid w:type="lines" w:linePitch="312" w:charSpace="0"/>
        </w:sectPr>
      </w:pPr>
    </w:p>
    <w:p>
      <w:pPr>
        <w:widowControl w:val="0"/>
        <w:adjustRightInd w:val="0"/>
        <w:snapToGrid w:val="0"/>
        <w:spacing w:line="360" w:lineRule="auto"/>
        <w:jc w:val="both"/>
        <w:outlineLvl w:val="9"/>
        <w:rPr>
          <w:rFonts w:hint="default" w:ascii="宋体" w:hAnsi="宋体" w:eastAsia="宋体" w:cs="宋体"/>
          <w:b/>
          <w:color w:val="auto"/>
          <w:sz w:val="28"/>
          <w:szCs w:val="28"/>
          <w:highlight w:val="none"/>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中宋">
    <w:altName w:val="汉仪中宋简"/>
    <w:panose1 w:val="02010600040101010101"/>
    <w:charset w:val="86"/>
    <w:family w:val="auto"/>
    <w:pitch w:val="default"/>
    <w:sig w:usb0="00000000" w:usb1="0000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ascii="Nimbus Roman No9 L" w:hAnsi="Nimbus Roman No9 L" w:cs="Nimbus Roman No9 L"/>
                              <w:sz w:val="28"/>
                              <w:szCs w:val="44"/>
                            </w:rPr>
                          </w:pPr>
                          <w:r>
                            <w:rPr>
                              <w:rFonts w:ascii="Nimbus Roman No9 L" w:hAnsi="Nimbus Roman No9 L" w:cs="Nimbus Roman No9 L"/>
                              <w:sz w:val="28"/>
                              <w:szCs w:val="44"/>
                            </w:rPr>
                            <w:t xml:space="preserve">— </w:t>
                          </w:r>
                          <w:r>
                            <w:rPr>
                              <w:rFonts w:ascii="Nimbus Roman No9 L" w:hAnsi="Nimbus Roman No9 L" w:cs="Nimbus Roman No9 L"/>
                              <w:sz w:val="28"/>
                              <w:szCs w:val="44"/>
                            </w:rPr>
                            <w:fldChar w:fldCharType="begin"/>
                          </w:r>
                          <w:r>
                            <w:rPr>
                              <w:rFonts w:ascii="Nimbus Roman No9 L" w:hAnsi="Nimbus Roman No9 L" w:cs="Nimbus Roman No9 L"/>
                              <w:sz w:val="28"/>
                              <w:szCs w:val="44"/>
                            </w:rPr>
                            <w:instrText xml:space="preserve"> PAGE  \* MERGEFORMAT </w:instrText>
                          </w:r>
                          <w:r>
                            <w:rPr>
                              <w:rFonts w:ascii="Nimbus Roman No9 L" w:hAnsi="Nimbus Roman No9 L" w:cs="Nimbus Roman No9 L"/>
                              <w:sz w:val="28"/>
                              <w:szCs w:val="44"/>
                            </w:rPr>
                            <w:fldChar w:fldCharType="separate"/>
                          </w:r>
                          <w:r>
                            <w:rPr>
                              <w:rFonts w:ascii="Nimbus Roman No9 L" w:hAnsi="Nimbus Roman No9 L" w:cs="Nimbus Roman No9 L"/>
                              <w:sz w:val="28"/>
                              <w:szCs w:val="44"/>
                            </w:rPr>
                            <w:t>2</w:t>
                          </w:r>
                          <w:r>
                            <w:rPr>
                              <w:rFonts w:ascii="Nimbus Roman No9 L" w:hAnsi="Nimbus Roman No9 L" w:cs="Nimbus Roman No9 L"/>
                              <w:sz w:val="28"/>
                              <w:szCs w:val="44"/>
                            </w:rPr>
                            <w:fldChar w:fldCharType="end"/>
                          </w:r>
                          <w:r>
                            <w:rPr>
                              <w:rFonts w:ascii="Nimbus Roman No9 L" w:hAnsi="Nimbus Roman No9 L" w:cs="Nimbus Roman No9 L"/>
                              <w:sz w:val="28"/>
                              <w:szCs w:val="44"/>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8"/>
                      <w:rPr>
                        <w:rFonts w:ascii="Nimbus Roman No9 L" w:hAnsi="Nimbus Roman No9 L" w:cs="Nimbus Roman No9 L"/>
                        <w:sz w:val="28"/>
                        <w:szCs w:val="44"/>
                      </w:rPr>
                    </w:pPr>
                    <w:r>
                      <w:rPr>
                        <w:rFonts w:ascii="Nimbus Roman No9 L" w:hAnsi="Nimbus Roman No9 L" w:cs="Nimbus Roman No9 L"/>
                        <w:sz w:val="28"/>
                        <w:szCs w:val="44"/>
                      </w:rPr>
                      <w:t xml:space="preserve">— </w:t>
                    </w:r>
                    <w:r>
                      <w:rPr>
                        <w:rFonts w:ascii="Nimbus Roman No9 L" w:hAnsi="Nimbus Roman No9 L" w:cs="Nimbus Roman No9 L"/>
                        <w:sz w:val="28"/>
                        <w:szCs w:val="44"/>
                      </w:rPr>
                      <w:fldChar w:fldCharType="begin"/>
                    </w:r>
                    <w:r>
                      <w:rPr>
                        <w:rFonts w:ascii="Nimbus Roman No9 L" w:hAnsi="Nimbus Roman No9 L" w:cs="Nimbus Roman No9 L"/>
                        <w:sz w:val="28"/>
                        <w:szCs w:val="44"/>
                      </w:rPr>
                      <w:instrText xml:space="preserve"> PAGE  \* MERGEFORMAT </w:instrText>
                    </w:r>
                    <w:r>
                      <w:rPr>
                        <w:rFonts w:ascii="Nimbus Roman No9 L" w:hAnsi="Nimbus Roman No9 L" w:cs="Nimbus Roman No9 L"/>
                        <w:sz w:val="28"/>
                        <w:szCs w:val="44"/>
                      </w:rPr>
                      <w:fldChar w:fldCharType="separate"/>
                    </w:r>
                    <w:r>
                      <w:rPr>
                        <w:rFonts w:ascii="Nimbus Roman No9 L" w:hAnsi="Nimbus Roman No9 L" w:cs="Nimbus Roman No9 L"/>
                        <w:sz w:val="28"/>
                        <w:szCs w:val="44"/>
                      </w:rPr>
                      <w:t>2</w:t>
                    </w:r>
                    <w:r>
                      <w:rPr>
                        <w:rFonts w:ascii="Nimbus Roman No9 L" w:hAnsi="Nimbus Roman No9 L" w:cs="Nimbus Roman No9 L"/>
                        <w:sz w:val="28"/>
                        <w:szCs w:val="44"/>
                      </w:rPr>
                      <w:fldChar w:fldCharType="end"/>
                    </w:r>
                    <w:r>
                      <w:rPr>
                        <w:rFonts w:ascii="Nimbus Roman No9 L" w:hAnsi="Nimbus Roman No9 L" w:cs="Nimbus Roman No9 L"/>
                        <w:sz w:val="28"/>
                        <w:szCs w:val="4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287E4C"/>
    <w:multiLevelType w:val="singleLevel"/>
    <w:tmpl w:val="C0287E4C"/>
    <w:lvl w:ilvl="0" w:tentative="0">
      <w:start w:val="4"/>
      <w:numFmt w:val="decimal"/>
      <w:suff w:val="nothing"/>
      <w:lvlText w:val="（%1）"/>
      <w:lvlJc w:val="left"/>
    </w:lvl>
  </w:abstractNum>
  <w:abstractNum w:abstractNumId="1">
    <w:nsid w:val="4B474063"/>
    <w:multiLevelType w:val="singleLevel"/>
    <w:tmpl w:val="4B474063"/>
    <w:lvl w:ilvl="0" w:tentative="0">
      <w:start w:val="8"/>
      <w:numFmt w:val="chineseCounting"/>
      <w:suff w:val="nothing"/>
      <w:lvlText w:val="%1．"/>
      <w:lvlJc w:val="left"/>
      <w:rPr>
        <w:rFonts w:hint="eastAsia"/>
      </w:rPr>
    </w:lvl>
  </w:abstractNum>
  <w:abstractNum w:abstractNumId="2">
    <w:nsid w:val="7C9958A4"/>
    <w:multiLevelType w:val="singleLevel"/>
    <w:tmpl w:val="7C9958A4"/>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4191E"/>
    <w:rsid w:val="00ED70C6"/>
    <w:rsid w:val="033B4EDB"/>
    <w:rsid w:val="03C75538"/>
    <w:rsid w:val="04DC7F02"/>
    <w:rsid w:val="0ADC1895"/>
    <w:rsid w:val="0E9C0543"/>
    <w:rsid w:val="13BD27A6"/>
    <w:rsid w:val="18946D3B"/>
    <w:rsid w:val="18F13BA3"/>
    <w:rsid w:val="19371C52"/>
    <w:rsid w:val="1FD97C13"/>
    <w:rsid w:val="25E37419"/>
    <w:rsid w:val="2D440EE2"/>
    <w:rsid w:val="2E7D137A"/>
    <w:rsid w:val="30C81A0F"/>
    <w:rsid w:val="32193719"/>
    <w:rsid w:val="32290665"/>
    <w:rsid w:val="33166906"/>
    <w:rsid w:val="35B04BF9"/>
    <w:rsid w:val="3A34191E"/>
    <w:rsid w:val="3C231192"/>
    <w:rsid w:val="3D5B18EE"/>
    <w:rsid w:val="3E9A56D0"/>
    <w:rsid w:val="3F555094"/>
    <w:rsid w:val="40B05B9E"/>
    <w:rsid w:val="41A07B1D"/>
    <w:rsid w:val="43D73418"/>
    <w:rsid w:val="523948A2"/>
    <w:rsid w:val="52C5363A"/>
    <w:rsid w:val="53C74058"/>
    <w:rsid w:val="61C57BB9"/>
    <w:rsid w:val="6DC12CCF"/>
    <w:rsid w:val="704B11CB"/>
    <w:rsid w:val="72227D09"/>
    <w:rsid w:val="73042B81"/>
    <w:rsid w:val="730C66EC"/>
    <w:rsid w:val="7B5A0813"/>
    <w:rsid w:val="7EA361A4"/>
    <w:rsid w:val="7FFF08FA"/>
    <w:rsid w:val="A57C5E15"/>
    <w:rsid w:val="BEFBEA47"/>
    <w:rsid w:val="DF1F9BCD"/>
    <w:rsid w:val="EBFEF01E"/>
    <w:rsid w:val="FF9F5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te Heading"/>
    <w:basedOn w:val="1"/>
    <w:next w:val="1"/>
    <w:qFormat/>
    <w:uiPriority w:val="0"/>
    <w:pPr>
      <w:widowControl w:val="0"/>
      <w:jc w:val="center"/>
    </w:pPr>
    <w:rPr>
      <w:rFonts w:ascii="Calibri" w:hAnsi="Calibri" w:eastAsia="宋体" w:cs="Times New Roman"/>
      <w:kern w:val="2"/>
      <w:sz w:val="21"/>
      <w:szCs w:val="22"/>
      <w:lang w:val="en-US" w:eastAsia="zh-CN" w:bidi="ar-SA"/>
    </w:rPr>
  </w:style>
  <w:style w:type="paragraph" w:styleId="3">
    <w:name w:val="annotation text"/>
    <w:basedOn w:val="1"/>
    <w:qFormat/>
    <w:uiPriority w:val="0"/>
    <w:pPr>
      <w:jc w:val="left"/>
    </w:pPr>
  </w:style>
  <w:style w:type="paragraph" w:styleId="4">
    <w:name w:val="Body Text"/>
    <w:basedOn w:val="1"/>
    <w:next w:val="5"/>
    <w:qFormat/>
    <w:uiPriority w:val="0"/>
    <w:pPr>
      <w:spacing w:after="120"/>
    </w:pPr>
  </w:style>
  <w:style w:type="paragraph" w:styleId="5">
    <w:name w:val="Title"/>
    <w:basedOn w:val="2"/>
    <w:next w:val="1"/>
    <w:qFormat/>
    <w:uiPriority w:val="0"/>
    <w:pPr>
      <w:widowControl w:val="0"/>
      <w:jc w:val="center"/>
      <w:outlineLvl w:val="0"/>
    </w:pPr>
    <w:rPr>
      <w:rFonts w:ascii="Calibri" w:hAnsi="Calibri" w:eastAsia="宋体" w:cs="Times New Roman"/>
      <w:b/>
      <w:kern w:val="2"/>
      <w:sz w:val="32"/>
      <w:szCs w:val="22"/>
      <w:lang w:val="en-US" w:eastAsia="zh-CN" w:bidi="ar-SA"/>
    </w:rPr>
  </w:style>
  <w:style w:type="paragraph" w:styleId="6">
    <w:name w:val="Body Text Indent"/>
    <w:basedOn w:val="1"/>
    <w:next w:val="7"/>
    <w:qFormat/>
    <w:uiPriority w:val="0"/>
    <w:pPr>
      <w:widowControl w:val="0"/>
      <w:spacing w:after="120"/>
      <w:ind w:left="420" w:leftChars="200"/>
      <w:jc w:val="both"/>
    </w:pPr>
    <w:rPr>
      <w:rFonts w:ascii="Calibri" w:hAnsi="Calibri" w:eastAsia="宋体" w:cs="Times New Roman"/>
      <w:kern w:val="2"/>
      <w:sz w:val="21"/>
      <w:szCs w:val="22"/>
      <w:lang w:val="en-US" w:eastAsia="zh-CN" w:bidi="ar-SA"/>
    </w:rPr>
  </w:style>
  <w:style w:type="paragraph" w:styleId="7">
    <w:name w:val="annotation subject"/>
    <w:basedOn w:val="3"/>
    <w:next w:val="1"/>
    <w:qFormat/>
    <w:uiPriority w:val="0"/>
    <w:rPr>
      <w:b/>
      <w:bCs/>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First Indent 2"/>
    <w:basedOn w:val="6"/>
    <w:next w:val="11"/>
    <w:unhideWhenUsed/>
    <w:qFormat/>
    <w:uiPriority w:val="99"/>
    <w:pPr>
      <w:widowControl w:val="0"/>
      <w:spacing w:after="120"/>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11">
    <w:name w:val="正文1"/>
    <w:basedOn w:val="1"/>
    <w:qFormat/>
    <w:uiPriority w:val="0"/>
    <w:pPr>
      <w:spacing w:line="360" w:lineRule="auto"/>
      <w:ind w:firstLine="480" w:firstLineChars="200"/>
    </w:pPr>
    <w:rPr>
      <w:sz w:val="24"/>
    </w:rPr>
  </w:style>
  <w:style w:type="paragraph" w:customStyle="1" w:styleId="14">
    <w:name w:val="Normal_1"/>
    <w:next w:val="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Title"/>
    <w:qFormat/>
    <w:uiPriority w:val="0"/>
    <w:pPr>
      <w:widowControl w:val="0"/>
      <w:jc w:val="center"/>
      <w:outlineLvl w:val="0"/>
    </w:pPr>
    <w:rPr>
      <w:rFonts w:ascii="Calibri" w:hAnsi="Calibri" w:eastAsia="宋体" w:cs="Times New Roman"/>
      <w:b/>
      <w:kern w:val="2"/>
      <w:sz w:val="3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109</Words>
  <Characters>112</Characters>
  <Lines>0</Lines>
  <Paragraphs>0</Paragraphs>
  <TotalTime>42</TotalTime>
  <ScaleCrop>false</ScaleCrop>
  <LinksUpToDate>false</LinksUpToDate>
  <CharactersWithSpaces>114</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2026-09-23T16:53:00Z</dcterms:created>
  <dc:creator>Administrator</dc:creator>
  <cp:lastModifiedBy>xjkp</cp:lastModifiedBy>
  <cp:lastPrinted>2026-09-29T10:07:09Z</cp:lastPrinted>
  <dcterms:modified xsi:type="dcterms:W3CDTF">2026-09-29T11:36:04Z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270620AC505A43DD8FAC967950661CAC_13</vt:lpwstr>
  </property>
  <property fmtid="{D5CDD505-2E9C-101B-9397-08002B2CF9AE}" pid="4" name="KSOTemplateDocerSaveRecord">
    <vt:lpwstr>eyJoZGlkIjoiODAxMmRkN2RlYTIxNDUzZGEzNDNmYTNkNTk5YTBhNzAiLCJ1c2VySWQiOiIxODE0OTU5MDY2In0=</vt:lpwstr>
  </property>
</Properties>
</file>