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42959">
      <w:pPr>
        <w:pStyle w:val="10"/>
        <w:spacing w:line="312" w:lineRule="auto"/>
        <w:jc w:val="center"/>
        <w:rPr>
          <w:rFonts w:hint="eastAsia" w:hAnsi="宋体" w:cs="宋体"/>
          <w:b/>
          <w:color w:val="auto"/>
          <w:sz w:val="84"/>
          <w:szCs w:val="84"/>
          <w:highlight w:val="none"/>
        </w:rPr>
      </w:pPr>
    </w:p>
    <w:p w14:paraId="26999520">
      <w:pPr>
        <w:pStyle w:val="10"/>
        <w:spacing w:line="312" w:lineRule="auto"/>
        <w:jc w:val="center"/>
        <w:rPr>
          <w:rFonts w:hint="eastAsia" w:hAnsi="宋体" w:cs="宋体"/>
          <w:b/>
          <w:color w:val="auto"/>
          <w:sz w:val="84"/>
          <w:szCs w:val="84"/>
          <w:highlight w:val="none"/>
        </w:rPr>
      </w:pPr>
    </w:p>
    <w:p w14:paraId="590EE309">
      <w:pPr>
        <w:pStyle w:val="10"/>
        <w:spacing w:line="312" w:lineRule="auto"/>
        <w:jc w:val="center"/>
        <w:rPr>
          <w:rFonts w:hint="eastAsia" w:hAnsi="宋体" w:cs="宋体"/>
          <w:b/>
          <w:bCs/>
          <w:color w:val="auto"/>
          <w:sz w:val="84"/>
          <w:szCs w:val="84"/>
          <w:highlight w:val="none"/>
        </w:rPr>
      </w:pPr>
      <w:r>
        <w:rPr>
          <w:rFonts w:hint="eastAsia" w:hAnsi="宋体" w:cs="宋体"/>
          <w:b/>
          <w:color w:val="auto"/>
          <w:sz w:val="84"/>
          <w:szCs w:val="84"/>
          <w:highlight w:val="none"/>
        </w:rPr>
        <w:t>政府采购</w:t>
      </w:r>
    </w:p>
    <w:p w14:paraId="72778BE6">
      <w:pPr>
        <w:pStyle w:val="10"/>
        <w:adjustRightInd w:val="0"/>
        <w:snapToGrid w:val="0"/>
        <w:spacing w:line="312" w:lineRule="auto"/>
        <w:jc w:val="center"/>
        <w:rPr>
          <w:rFonts w:hint="eastAsia" w:hAnsi="宋体" w:cs="宋体"/>
          <w:b/>
          <w:color w:val="auto"/>
          <w:sz w:val="84"/>
          <w:szCs w:val="84"/>
          <w:highlight w:val="none"/>
        </w:rPr>
      </w:pPr>
      <w:r>
        <w:rPr>
          <w:rFonts w:hint="eastAsia" w:hAnsi="宋体" w:cs="宋体"/>
          <w:b/>
          <w:color w:val="auto"/>
          <w:sz w:val="84"/>
          <w:szCs w:val="84"/>
          <w:highlight w:val="none"/>
        </w:rPr>
        <w:t>竞争性磋商文件</w:t>
      </w:r>
    </w:p>
    <w:p w14:paraId="5F61691B">
      <w:pPr>
        <w:pStyle w:val="10"/>
        <w:adjustRightInd w:val="0"/>
        <w:snapToGrid w:val="0"/>
        <w:spacing w:line="360" w:lineRule="auto"/>
        <w:rPr>
          <w:rFonts w:hint="eastAsia" w:hAnsi="宋体" w:cs="宋体"/>
          <w:color w:val="auto"/>
          <w:sz w:val="32"/>
          <w:szCs w:val="32"/>
          <w:highlight w:val="none"/>
        </w:rPr>
      </w:pPr>
    </w:p>
    <w:p w14:paraId="050D16BA">
      <w:pPr>
        <w:pStyle w:val="10"/>
        <w:adjustRightInd w:val="0"/>
        <w:snapToGrid w:val="0"/>
        <w:spacing w:line="360" w:lineRule="auto"/>
        <w:ind w:left="3248" w:leftChars="342" w:hanging="2530" w:hangingChars="700"/>
        <w:rPr>
          <w:rFonts w:hint="default" w:hAnsi="宋体" w:eastAsia="宋体" w:cs="宋体"/>
          <w:b/>
          <w:bCs/>
          <w:color w:val="auto"/>
          <w:sz w:val="36"/>
          <w:szCs w:val="36"/>
          <w:highlight w:val="none"/>
          <w:u w:val="single"/>
          <w:lang w:eastAsia="zh-CN"/>
        </w:rPr>
      </w:pPr>
      <w:bookmarkStart w:id="0" w:name="_Toc6561"/>
      <w:r>
        <w:rPr>
          <w:rFonts w:hint="eastAsia" w:hAnsi="宋体" w:cs="宋体"/>
          <w:b/>
          <w:bCs/>
          <w:color w:val="auto"/>
          <w:sz w:val="36"/>
          <w:szCs w:val="36"/>
          <w:highlight w:val="none"/>
        </w:rPr>
        <w:t>采购项目名称：</w:t>
      </w:r>
      <w:bookmarkEnd w:id="0"/>
      <w:r>
        <w:rPr>
          <w:rFonts w:hint="eastAsia" w:hAnsi="宋体" w:cs="宋体"/>
          <w:b/>
          <w:bCs/>
          <w:color w:val="auto"/>
          <w:sz w:val="36"/>
          <w:szCs w:val="36"/>
          <w:highlight w:val="none"/>
          <w:u w:val="single"/>
          <w:lang w:eastAsia="zh-CN"/>
        </w:rPr>
        <w:t>现代网络技术实训室</w:t>
      </w:r>
    </w:p>
    <w:p w14:paraId="752FDD70">
      <w:pPr>
        <w:pStyle w:val="10"/>
        <w:adjustRightInd w:val="0"/>
        <w:snapToGrid w:val="0"/>
        <w:spacing w:line="360" w:lineRule="auto"/>
        <w:ind w:firstLine="723" w:firstLineChars="200"/>
        <w:rPr>
          <w:rFonts w:hint="eastAsia" w:hAnsi="宋体" w:cs="宋体"/>
          <w:b/>
          <w:bCs/>
          <w:color w:val="auto"/>
          <w:sz w:val="36"/>
          <w:szCs w:val="36"/>
          <w:highlight w:val="none"/>
          <w:u w:val="single"/>
        </w:rPr>
      </w:pPr>
      <w:bookmarkStart w:id="1" w:name="_Toc7332"/>
      <w:r>
        <w:rPr>
          <w:rFonts w:hint="eastAsia" w:hAnsi="宋体" w:cs="宋体"/>
          <w:b/>
          <w:bCs/>
          <w:color w:val="auto"/>
          <w:sz w:val="36"/>
          <w:szCs w:val="36"/>
          <w:highlight w:val="none"/>
        </w:rPr>
        <w:t>采   购   人：</w:t>
      </w:r>
      <w:r>
        <w:rPr>
          <w:rFonts w:hint="eastAsia" w:hAnsi="宋体" w:cs="宋体"/>
          <w:b/>
          <w:bCs/>
          <w:color w:val="auto"/>
          <w:sz w:val="36"/>
          <w:szCs w:val="36"/>
          <w:highlight w:val="none"/>
          <w:u w:val="single"/>
        </w:rPr>
        <w:t>湖南铁道职业技术学院</w:t>
      </w:r>
      <w:bookmarkEnd w:id="1"/>
    </w:p>
    <w:p w14:paraId="15E64615">
      <w:pPr>
        <w:pStyle w:val="10"/>
        <w:adjustRightInd w:val="0"/>
        <w:snapToGrid w:val="0"/>
        <w:spacing w:line="360" w:lineRule="auto"/>
        <w:ind w:firstLine="723" w:firstLineChars="200"/>
        <w:rPr>
          <w:rFonts w:hint="default" w:hAnsi="宋体" w:cs="宋体"/>
          <w:b/>
          <w:bCs/>
          <w:color w:val="auto"/>
          <w:sz w:val="36"/>
          <w:szCs w:val="36"/>
          <w:highlight w:val="none"/>
          <w:u w:val="single"/>
        </w:rPr>
      </w:pPr>
      <w:bookmarkStart w:id="2" w:name="_Toc3940"/>
      <w:r>
        <w:rPr>
          <w:rFonts w:hint="eastAsia" w:hAnsi="宋体" w:cs="宋体"/>
          <w:b/>
          <w:bCs/>
          <w:color w:val="auto"/>
          <w:sz w:val="36"/>
          <w:szCs w:val="36"/>
          <w:highlight w:val="none"/>
        </w:rPr>
        <w:t>政府采购编号：</w:t>
      </w:r>
      <w:bookmarkEnd w:id="2"/>
      <w:r>
        <w:rPr>
          <w:rFonts w:hint="eastAsia" w:hAnsi="宋体" w:cs="宋体"/>
          <w:b/>
          <w:bCs/>
          <w:color w:val="auto"/>
          <w:sz w:val="36"/>
          <w:szCs w:val="36"/>
          <w:highlight w:val="none"/>
          <w:u w:val="single"/>
          <w:lang w:eastAsia="zh-CN"/>
        </w:rPr>
        <w:t>(2026)430000003087-1</w:t>
      </w:r>
    </w:p>
    <w:p w14:paraId="5E014F00">
      <w:pPr>
        <w:pStyle w:val="10"/>
        <w:adjustRightInd w:val="0"/>
        <w:snapToGrid w:val="0"/>
        <w:spacing w:line="360" w:lineRule="auto"/>
        <w:ind w:firstLine="723" w:firstLineChars="200"/>
        <w:rPr>
          <w:rFonts w:hint="eastAsia" w:hAnsi="宋体" w:eastAsia="宋体" w:cs="宋体"/>
          <w:b/>
          <w:bCs/>
          <w:color w:val="auto"/>
          <w:sz w:val="36"/>
          <w:szCs w:val="36"/>
          <w:highlight w:val="none"/>
          <w:u w:val="single"/>
          <w:lang w:eastAsia="zh-CN"/>
        </w:rPr>
      </w:pPr>
      <w:bookmarkStart w:id="3" w:name="_Toc8828"/>
      <w:r>
        <w:rPr>
          <w:rFonts w:hint="eastAsia" w:hAnsi="宋体" w:cs="宋体"/>
          <w:b/>
          <w:bCs/>
          <w:color w:val="auto"/>
          <w:sz w:val="36"/>
          <w:szCs w:val="36"/>
          <w:highlight w:val="none"/>
        </w:rPr>
        <w:t>委托代理编号：</w:t>
      </w:r>
      <w:bookmarkEnd w:id="3"/>
      <w:r>
        <w:rPr>
          <w:rFonts w:hint="eastAsia" w:hAnsi="宋体" w:cs="宋体"/>
          <w:b/>
          <w:bCs/>
          <w:color w:val="auto"/>
          <w:sz w:val="36"/>
          <w:szCs w:val="36"/>
          <w:highlight w:val="none"/>
          <w:u w:val="single"/>
          <w:lang w:eastAsia="zh-CN"/>
        </w:rPr>
        <w:t>HNZZ-ZF-20261045</w:t>
      </w:r>
    </w:p>
    <w:p w14:paraId="6AD3BADE">
      <w:pPr>
        <w:pStyle w:val="10"/>
        <w:adjustRightInd w:val="0"/>
        <w:snapToGrid w:val="0"/>
        <w:spacing w:line="360" w:lineRule="auto"/>
        <w:ind w:firstLine="723" w:firstLineChars="200"/>
        <w:rPr>
          <w:rFonts w:hint="eastAsia" w:hAnsi="宋体" w:cs="宋体"/>
          <w:b/>
          <w:color w:val="auto"/>
          <w:spacing w:val="160"/>
          <w:sz w:val="32"/>
          <w:szCs w:val="32"/>
          <w:highlight w:val="none"/>
        </w:rPr>
      </w:pPr>
      <w:bookmarkStart w:id="4" w:name="_Toc19228"/>
      <w:r>
        <w:rPr>
          <w:rFonts w:hint="eastAsia" w:hAnsi="宋体" w:cs="宋体"/>
          <w:b/>
          <w:bCs/>
          <w:color w:val="auto"/>
          <w:sz w:val="36"/>
          <w:szCs w:val="36"/>
          <w:highlight w:val="none"/>
        </w:rPr>
        <w:t>采购代理机构：</w:t>
      </w:r>
      <w:bookmarkEnd w:id="4"/>
      <w:r>
        <w:rPr>
          <w:rFonts w:hint="eastAsia" w:hAnsi="宋体" w:cs="宋体"/>
          <w:b/>
          <w:bCs/>
          <w:color w:val="auto"/>
          <w:sz w:val="36"/>
          <w:szCs w:val="36"/>
          <w:highlight w:val="none"/>
          <w:u w:val="single"/>
          <w:lang w:eastAsia="zh-CN"/>
        </w:rPr>
        <w:t>湖南省中方项目管理有限公司</w:t>
      </w:r>
    </w:p>
    <w:p w14:paraId="2EDACC46">
      <w:pPr>
        <w:pStyle w:val="10"/>
        <w:adjustRightInd w:val="0"/>
        <w:snapToGrid w:val="0"/>
        <w:spacing w:line="360" w:lineRule="auto"/>
        <w:rPr>
          <w:rFonts w:hint="eastAsia" w:hAnsi="宋体" w:cs="宋体"/>
          <w:b/>
          <w:color w:val="auto"/>
          <w:spacing w:val="160"/>
          <w:sz w:val="32"/>
          <w:szCs w:val="32"/>
          <w:highlight w:val="none"/>
        </w:rPr>
      </w:pPr>
    </w:p>
    <w:p w14:paraId="03F03CCC">
      <w:pPr>
        <w:pStyle w:val="10"/>
        <w:adjustRightInd w:val="0"/>
        <w:snapToGrid w:val="0"/>
        <w:spacing w:line="360" w:lineRule="auto"/>
        <w:ind w:firstLine="3614" w:firstLineChars="1000"/>
        <w:jc w:val="left"/>
        <w:rPr>
          <w:rFonts w:hint="eastAsia" w:hAnsi="宋体" w:cs="宋体"/>
          <w:b/>
          <w:bCs/>
          <w:color w:val="auto"/>
          <w:sz w:val="36"/>
          <w:szCs w:val="22"/>
          <w:highlight w:val="none"/>
        </w:rPr>
      </w:pPr>
      <w:r>
        <w:rPr>
          <w:rFonts w:hint="eastAsia" w:hAnsi="宋体" w:cs="宋体"/>
          <w:b/>
          <w:bCs/>
          <w:color w:val="auto"/>
          <w:sz w:val="36"/>
          <w:szCs w:val="22"/>
          <w:highlight w:val="none"/>
        </w:rPr>
        <w:t>202</w:t>
      </w:r>
      <w:r>
        <w:rPr>
          <w:rFonts w:hint="eastAsia" w:hAnsi="宋体" w:cs="宋体"/>
          <w:b/>
          <w:bCs/>
          <w:color w:val="auto"/>
          <w:sz w:val="36"/>
          <w:szCs w:val="22"/>
          <w:highlight w:val="none"/>
          <w:lang w:val="en-US" w:eastAsia="zh-CN"/>
        </w:rPr>
        <w:t>6</w:t>
      </w:r>
      <w:r>
        <w:rPr>
          <w:rFonts w:hint="eastAsia" w:hAnsi="宋体" w:cs="宋体"/>
          <w:b/>
          <w:bCs/>
          <w:color w:val="auto"/>
          <w:sz w:val="36"/>
          <w:szCs w:val="22"/>
          <w:highlight w:val="none"/>
        </w:rPr>
        <w:t>年</w:t>
      </w:r>
      <w:r>
        <w:rPr>
          <w:rFonts w:hint="eastAsia" w:hAnsi="宋体" w:cs="宋体"/>
          <w:b/>
          <w:bCs/>
          <w:color w:val="auto"/>
          <w:sz w:val="36"/>
          <w:szCs w:val="22"/>
          <w:highlight w:val="none"/>
          <w:lang w:val="en-US" w:eastAsia="zh-CN"/>
        </w:rPr>
        <w:t>10</w:t>
      </w:r>
      <w:r>
        <w:rPr>
          <w:rFonts w:hint="eastAsia" w:hAnsi="宋体" w:cs="宋体"/>
          <w:b/>
          <w:bCs/>
          <w:color w:val="auto"/>
          <w:sz w:val="36"/>
          <w:szCs w:val="22"/>
          <w:highlight w:val="none"/>
        </w:rPr>
        <w:t>月</w:t>
      </w:r>
    </w:p>
    <w:p w14:paraId="6D21AC63">
      <w:pPr>
        <w:pStyle w:val="6"/>
        <w:rPr>
          <w:rFonts w:hint="eastAsia"/>
          <w:highlight w:val="none"/>
        </w:rPr>
      </w:pPr>
    </w:p>
    <w:p w14:paraId="751A9717">
      <w:pPr>
        <w:pStyle w:val="10"/>
        <w:adjustRightInd w:val="0"/>
        <w:snapToGrid w:val="0"/>
        <w:spacing w:line="360" w:lineRule="auto"/>
        <w:rPr>
          <w:rFonts w:hint="eastAsia" w:hAnsi="宋体" w:cs="宋体"/>
          <w:b/>
          <w:color w:val="auto"/>
          <w:spacing w:val="160"/>
          <w:sz w:val="32"/>
          <w:szCs w:val="32"/>
          <w:highlight w:val="none"/>
        </w:rPr>
        <w:sectPr>
          <w:footerReference r:id="rId4" w:type="first"/>
          <w:headerReference r:id="rId3" w:type="default"/>
          <w:pgSz w:w="11906" w:h="16838"/>
          <w:pgMar w:top="1440" w:right="1800" w:bottom="1440" w:left="1800" w:header="851" w:footer="992" w:gutter="0"/>
          <w:pgNumType w:start="0"/>
          <w:cols w:space="720" w:num="1"/>
          <w:docGrid w:linePitch="312" w:charSpace="0"/>
        </w:sectPr>
      </w:pPr>
    </w:p>
    <w:p w14:paraId="28032441">
      <w:pPr>
        <w:pStyle w:val="10"/>
        <w:adjustRightInd w:val="0"/>
        <w:snapToGrid w:val="0"/>
        <w:spacing w:line="240" w:lineRule="auto"/>
        <w:jc w:val="center"/>
        <w:rPr>
          <w:rFonts w:hint="eastAsia" w:hAnsi="宋体" w:cs="宋体"/>
          <w:b/>
          <w:color w:val="auto"/>
          <w:spacing w:val="160"/>
          <w:sz w:val="44"/>
          <w:szCs w:val="44"/>
          <w:highlight w:val="none"/>
        </w:rPr>
      </w:pPr>
      <w:r>
        <w:rPr>
          <w:rFonts w:hint="eastAsia" w:hAnsi="宋体" w:cs="宋体"/>
          <w:b/>
          <w:color w:val="auto"/>
          <w:spacing w:val="160"/>
          <w:sz w:val="44"/>
          <w:szCs w:val="44"/>
          <w:highlight w:val="none"/>
        </w:rPr>
        <w:t>目录</w:t>
      </w:r>
    </w:p>
    <w:sdt>
      <w:sdtPr>
        <w:rPr>
          <w:rFonts w:hint="eastAsia" w:ascii="宋体" w:hAnsi="宋体" w:cs="宋体"/>
          <w:color w:val="auto"/>
          <w:highlight w:val="none"/>
        </w:rPr>
        <w:id w:val="147462391"/>
        <w15:color w:val="DBDBDB"/>
        <w:docPartObj>
          <w:docPartGallery w:val="Table of Contents"/>
          <w:docPartUnique/>
        </w:docPartObj>
      </w:sdtPr>
      <w:sdtEndPr>
        <w:rPr>
          <w:rFonts w:hint="eastAsia" w:ascii="宋体" w:hAnsi="宋体" w:cs="宋体"/>
          <w:color w:val="auto"/>
          <w:highlight w:val="none"/>
        </w:rPr>
      </w:sdtEndPr>
      <w:sdtContent>
        <w:p w14:paraId="0A0E0887">
          <w:pPr>
            <w:spacing w:line="240" w:lineRule="auto"/>
            <w:jc w:val="center"/>
            <w:rPr>
              <w:rFonts w:hint="eastAsia" w:ascii="宋体" w:hAnsi="宋体" w:cs="宋体"/>
              <w:color w:val="auto"/>
              <w:highlight w:val="none"/>
            </w:rPr>
          </w:pPr>
        </w:p>
        <w:p w14:paraId="764B9F05">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TOC \o "1-3" \h \u </w:instrText>
          </w:r>
          <w:r>
            <w:rPr>
              <w:rFonts w:hint="eastAsia" w:ascii="宋体" w:hAnsi="宋体" w:cs="宋体"/>
              <w:color w:val="auto"/>
              <w:highlight w:val="none"/>
            </w:rPr>
            <w:fldChar w:fldCharType="separate"/>
          </w:r>
          <w:r>
            <w:rPr>
              <w:rFonts w:hint="eastAsia" w:ascii="宋体" w:hAnsi="宋体" w:cs="宋体"/>
              <w:color w:val="auto"/>
              <w:highlight w:val="none"/>
            </w:rPr>
            <w:fldChar w:fldCharType="begin"/>
          </w:r>
          <w:r>
            <w:rPr>
              <w:rFonts w:hint="eastAsia" w:ascii="宋体" w:hAnsi="宋体" w:cs="宋体"/>
              <w:highlight w:val="none"/>
            </w:rPr>
            <w:instrText xml:space="preserve"> HYPERLINK \l _Toc11260 </w:instrText>
          </w:r>
          <w:r>
            <w:rPr>
              <w:rFonts w:hint="eastAsia" w:ascii="宋体" w:hAnsi="宋体" w:cs="宋体"/>
              <w:highlight w:val="none"/>
            </w:rPr>
            <w:fldChar w:fldCharType="separate"/>
          </w:r>
          <w:r>
            <w:rPr>
              <w:rFonts w:hint="eastAsia" w:ascii="宋体" w:hAnsi="宋体" w:cs="宋体"/>
              <w:bCs/>
              <w:szCs w:val="30"/>
              <w:highlight w:val="none"/>
            </w:rPr>
            <w:t>第一章 磋商通知</w:t>
          </w:r>
          <w:r>
            <w:rPr>
              <w:highlight w:val="none"/>
            </w:rPr>
            <w:tab/>
          </w:r>
          <w:r>
            <w:rPr>
              <w:highlight w:val="none"/>
            </w:rPr>
            <w:fldChar w:fldCharType="begin"/>
          </w:r>
          <w:r>
            <w:rPr>
              <w:highlight w:val="none"/>
            </w:rPr>
            <w:instrText xml:space="preserve"> PAGEREF _Toc11260 \h </w:instrText>
          </w:r>
          <w:r>
            <w:rPr>
              <w:highlight w:val="none"/>
            </w:rPr>
            <w:fldChar w:fldCharType="separate"/>
          </w:r>
          <w:r>
            <w:rPr>
              <w:highlight w:val="none"/>
            </w:rPr>
            <w:t>1</w:t>
          </w:r>
          <w:r>
            <w:rPr>
              <w:highlight w:val="none"/>
            </w:rPr>
            <w:fldChar w:fldCharType="end"/>
          </w:r>
          <w:r>
            <w:rPr>
              <w:rFonts w:hint="eastAsia" w:ascii="宋体" w:hAnsi="宋体" w:cs="宋体"/>
              <w:color w:val="auto"/>
              <w:highlight w:val="none"/>
            </w:rPr>
            <w:fldChar w:fldCharType="end"/>
          </w:r>
        </w:p>
        <w:p w14:paraId="12940BDA">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_Toc4432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一、采购项目基本信息</w:t>
          </w:r>
          <w:r>
            <w:rPr>
              <w:highlight w:val="none"/>
            </w:rPr>
            <w:tab/>
          </w:r>
          <w:r>
            <w:rPr>
              <w:highlight w:val="none"/>
            </w:rPr>
            <w:fldChar w:fldCharType="begin"/>
          </w:r>
          <w:r>
            <w:rPr>
              <w:highlight w:val="none"/>
            </w:rPr>
            <w:instrText xml:space="preserve"> PAGEREF _Toc4432 \h </w:instrText>
          </w:r>
          <w:r>
            <w:rPr>
              <w:highlight w:val="none"/>
            </w:rPr>
            <w:fldChar w:fldCharType="separate"/>
          </w:r>
          <w:r>
            <w:rPr>
              <w:highlight w:val="none"/>
            </w:rPr>
            <w:t>1</w:t>
          </w:r>
          <w:r>
            <w:rPr>
              <w:highlight w:val="none"/>
            </w:rPr>
            <w:fldChar w:fldCharType="end"/>
          </w:r>
          <w:r>
            <w:rPr>
              <w:rFonts w:hint="eastAsia" w:ascii="宋体" w:hAnsi="宋体" w:cs="宋体"/>
              <w:color w:val="auto"/>
              <w:highlight w:val="none"/>
            </w:rPr>
            <w:fldChar w:fldCharType="end"/>
          </w:r>
        </w:p>
        <w:p w14:paraId="169CE8A3">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_Toc5053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二、采购人的采购需求</w:t>
          </w:r>
          <w:r>
            <w:rPr>
              <w:highlight w:val="none"/>
            </w:rPr>
            <w:tab/>
          </w:r>
          <w:r>
            <w:rPr>
              <w:highlight w:val="none"/>
            </w:rPr>
            <w:fldChar w:fldCharType="begin"/>
          </w:r>
          <w:r>
            <w:rPr>
              <w:highlight w:val="none"/>
            </w:rPr>
            <w:instrText xml:space="preserve"> PAGEREF _Toc5053 \h </w:instrText>
          </w:r>
          <w:r>
            <w:rPr>
              <w:highlight w:val="none"/>
            </w:rPr>
            <w:fldChar w:fldCharType="separate"/>
          </w:r>
          <w:r>
            <w:rPr>
              <w:highlight w:val="none"/>
            </w:rPr>
            <w:t>1</w:t>
          </w:r>
          <w:r>
            <w:rPr>
              <w:highlight w:val="none"/>
            </w:rPr>
            <w:fldChar w:fldCharType="end"/>
          </w:r>
          <w:r>
            <w:rPr>
              <w:rFonts w:hint="eastAsia" w:ascii="宋体" w:hAnsi="宋体" w:cs="宋体"/>
              <w:color w:val="auto"/>
              <w:highlight w:val="none"/>
            </w:rPr>
            <w:fldChar w:fldCharType="end"/>
          </w:r>
        </w:p>
        <w:p w14:paraId="0795378E">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_Toc32175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三、采购项目需落实的政府采购政策</w:t>
          </w:r>
          <w:r>
            <w:rPr>
              <w:highlight w:val="none"/>
            </w:rPr>
            <w:tab/>
          </w:r>
          <w:r>
            <w:rPr>
              <w:highlight w:val="none"/>
            </w:rPr>
            <w:fldChar w:fldCharType="begin"/>
          </w:r>
          <w:r>
            <w:rPr>
              <w:highlight w:val="none"/>
            </w:rPr>
            <w:instrText xml:space="preserve"> PAGEREF _Toc32175 \h </w:instrText>
          </w:r>
          <w:r>
            <w:rPr>
              <w:highlight w:val="none"/>
            </w:rPr>
            <w:fldChar w:fldCharType="separate"/>
          </w:r>
          <w:r>
            <w:rPr>
              <w:highlight w:val="none"/>
            </w:rPr>
            <w:t>1</w:t>
          </w:r>
          <w:r>
            <w:rPr>
              <w:highlight w:val="none"/>
            </w:rPr>
            <w:fldChar w:fldCharType="end"/>
          </w:r>
          <w:r>
            <w:rPr>
              <w:rFonts w:hint="eastAsia" w:ascii="宋体" w:hAnsi="宋体" w:cs="宋体"/>
              <w:color w:val="auto"/>
              <w:highlight w:val="none"/>
            </w:rPr>
            <w:fldChar w:fldCharType="end"/>
          </w:r>
        </w:p>
        <w:p w14:paraId="12A80F42">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_Toc4827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四、投标人的资格要求</w:t>
          </w:r>
          <w:r>
            <w:rPr>
              <w:highlight w:val="none"/>
            </w:rPr>
            <w:tab/>
          </w:r>
          <w:r>
            <w:rPr>
              <w:highlight w:val="none"/>
            </w:rPr>
            <w:fldChar w:fldCharType="begin"/>
          </w:r>
          <w:r>
            <w:rPr>
              <w:highlight w:val="none"/>
            </w:rPr>
            <w:instrText xml:space="preserve"> PAGEREF _Toc4827 \h </w:instrText>
          </w:r>
          <w:r>
            <w:rPr>
              <w:highlight w:val="none"/>
            </w:rPr>
            <w:fldChar w:fldCharType="separate"/>
          </w:r>
          <w:r>
            <w:rPr>
              <w:highlight w:val="none"/>
            </w:rPr>
            <w:t>1</w:t>
          </w:r>
          <w:r>
            <w:rPr>
              <w:highlight w:val="none"/>
            </w:rPr>
            <w:fldChar w:fldCharType="end"/>
          </w:r>
          <w:r>
            <w:rPr>
              <w:rFonts w:hint="eastAsia" w:ascii="宋体" w:hAnsi="宋体" w:cs="宋体"/>
              <w:color w:val="auto"/>
              <w:highlight w:val="none"/>
            </w:rPr>
            <w:fldChar w:fldCharType="end"/>
          </w:r>
        </w:p>
        <w:p w14:paraId="170B0F1F">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_Toc9792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五、获取招标文件的时间、期限、地点及方式</w:t>
          </w:r>
          <w:r>
            <w:rPr>
              <w:highlight w:val="none"/>
            </w:rPr>
            <w:tab/>
          </w:r>
          <w:r>
            <w:rPr>
              <w:highlight w:val="none"/>
            </w:rPr>
            <w:fldChar w:fldCharType="begin"/>
          </w:r>
          <w:r>
            <w:rPr>
              <w:highlight w:val="none"/>
            </w:rPr>
            <w:instrText xml:space="preserve"> PAGEREF _Toc9792 \h </w:instrText>
          </w:r>
          <w:r>
            <w:rPr>
              <w:highlight w:val="none"/>
            </w:rPr>
            <w:fldChar w:fldCharType="separate"/>
          </w:r>
          <w:r>
            <w:rPr>
              <w:highlight w:val="none"/>
            </w:rPr>
            <w:t>2</w:t>
          </w:r>
          <w:r>
            <w:rPr>
              <w:highlight w:val="none"/>
            </w:rPr>
            <w:fldChar w:fldCharType="end"/>
          </w:r>
          <w:r>
            <w:rPr>
              <w:rFonts w:hint="eastAsia" w:ascii="宋体" w:hAnsi="宋体" w:cs="宋体"/>
              <w:color w:val="auto"/>
              <w:highlight w:val="none"/>
            </w:rPr>
            <w:fldChar w:fldCharType="end"/>
          </w:r>
        </w:p>
        <w:p w14:paraId="016E416E">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_Toc20358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六、投标截止时间、开标时间及地点</w:t>
          </w:r>
          <w:r>
            <w:rPr>
              <w:highlight w:val="none"/>
            </w:rPr>
            <w:tab/>
          </w:r>
          <w:r>
            <w:rPr>
              <w:highlight w:val="none"/>
            </w:rPr>
            <w:fldChar w:fldCharType="begin"/>
          </w:r>
          <w:r>
            <w:rPr>
              <w:highlight w:val="none"/>
            </w:rPr>
            <w:instrText xml:space="preserve"> PAGEREF _Toc20358 \h </w:instrText>
          </w:r>
          <w:r>
            <w:rPr>
              <w:highlight w:val="none"/>
            </w:rPr>
            <w:fldChar w:fldCharType="separate"/>
          </w:r>
          <w:r>
            <w:rPr>
              <w:highlight w:val="none"/>
            </w:rPr>
            <w:t>2</w:t>
          </w:r>
          <w:r>
            <w:rPr>
              <w:highlight w:val="none"/>
            </w:rPr>
            <w:fldChar w:fldCharType="end"/>
          </w:r>
          <w:r>
            <w:rPr>
              <w:rFonts w:hint="eastAsia" w:ascii="宋体" w:hAnsi="宋体" w:cs="宋体"/>
              <w:color w:val="auto"/>
              <w:highlight w:val="none"/>
            </w:rPr>
            <w:fldChar w:fldCharType="end"/>
          </w:r>
        </w:p>
        <w:p w14:paraId="2EE6987C">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_Toc21703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七、公告期限</w:t>
          </w:r>
          <w:r>
            <w:rPr>
              <w:highlight w:val="none"/>
            </w:rPr>
            <w:tab/>
          </w:r>
          <w:r>
            <w:rPr>
              <w:highlight w:val="none"/>
            </w:rPr>
            <w:fldChar w:fldCharType="begin"/>
          </w:r>
          <w:r>
            <w:rPr>
              <w:highlight w:val="none"/>
            </w:rPr>
            <w:instrText xml:space="preserve"> PAGEREF _Toc21703 \h </w:instrText>
          </w:r>
          <w:r>
            <w:rPr>
              <w:highlight w:val="none"/>
            </w:rPr>
            <w:fldChar w:fldCharType="separate"/>
          </w:r>
          <w:r>
            <w:rPr>
              <w:highlight w:val="none"/>
            </w:rPr>
            <w:t>3</w:t>
          </w:r>
          <w:r>
            <w:rPr>
              <w:highlight w:val="none"/>
            </w:rPr>
            <w:fldChar w:fldCharType="end"/>
          </w:r>
          <w:r>
            <w:rPr>
              <w:rFonts w:hint="eastAsia" w:ascii="宋体" w:hAnsi="宋体" w:cs="宋体"/>
              <w:color w:val="auto"/>
              <w:highlight w:val="none"/>
            </w:rPr>
            <w:fldChar w:fldCharType="end"/>
          </w:r>
        </w:p>
        <w:p w14:paraId="35C5DC39">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_Toc32631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八、询问及质疑</w:t>
          </w:r>
          <w:r>
            <w:rPr>
              <w:highlight w:val="none"/>
            </w:rPr>
            <w:tab/>
          </w:r>
          <w:r>
            <w:rPr>
              <w:highlight w:val="none"/>
            </w:rPr>
            <w:fldChar w:fldCharType="begin"/>
          </w:r>
          <w:r>
            <w:rPr>
              <w:highlight w:val="none"/>
            </w:rPr>
            <w:instrText xml:space="preserve"> PAGEREF _Toc32631 \h </w:instrText>
          </w:r>
          <w:r>
            <w:rPr>
              <w:highlight w:val="none"/>
            </w:rPr>
            <w:fldChar w:fldCharType="separate"/>
          </w:r>
          <w:r>
            <w:rPr>
              <w:highlight w:val="none"/>
            </w:rPr>
            <w:t>3</w:t>
          </w:r>
          <w:r>
            <w:rPr>
              <w:highlight w:val="none"/>
            </w:rPr>
            <w:fldChar w:fldCharType="end"/>
          </w:r>
          <w:r>
            <w:rPr>
              <w:rFonts w:hint="eastAsia" w:ascii="宋体" w:hAnsi="宋体" w:cs="宋体"/>
              <w:color w:val="auto"/>
              <w:highlight w:val="none"/>
            </w:rPr>
            <w:fldChar w:fldCharType="end"/>
          </w:r>
        </w:p>
        <w:p w14:paraId="07BA8670">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_Toc22265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九、投标说明</w:t>
          </w:r>
          <w:r>
            <w:rPr>
              <w:highlight w:val="none"/>
            </w:rPr>
            <w:tab/>
          </w:r>
          <w:r>
            <w:rPr>
              <w:highlight w:val="none"/>
            </w:rPr>
            <w:fldChar w:fldCharType="begin"/>
          </w:r>
          <w:r>
            <w:rPr>
              <w:highlight w:val="none"/>
            </w:rPr>
            <w:instrText xml:space="preserve"> PAGEREF _Toc22265 \h </w:instrText>
          </w:r>
          <w:r>
            <w:rPr>
              <w:highlight w:val="none"/>
            </w:rPr>
            <w:fldChar w:fldCharType="separate"/>
          </w:r>
          <w:r>
            <w:rPr>
              <w:highlight w:val="none"/>
            </w:rPr>
            <w:t>3</w:t>
          </w:r>
          <w:r>
            <w:rPr>
              <w:highlight w:val="none"/>
            </w:rPr>
            <w:fldChar w:fldCharType="end"/>
          </w:r>
          <w:r>
            <w:rPr>
              <w:rFonts w:hint="eastAsia" w:ascii="宋体" w:hAnsi="宋体" w:cs="宋体"/>
              <w:color w:val="auto"/>
              <w:highlight w:val="none"/>
            </w:rPr>
            <w:fldChar w:fldCharType="end"/>
          </w:r>
        </w:p>
        <w:p w14:paraId="4C2213A1">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_Toc29936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十、采购项目联系人姓名和电话</w:t>
          </w:r>
          <w:r>
            <w:rPr>
              <w:highlight w:val="none"/>
            </w:rPr>
            <w:tab/>
          </w:r>
          <w:r>
            <w:rPr>
              <w:highlight w:val="none"/>
            </w:rPr>
            <w:fldChar w:fldCharType="begin"/>
          </w:r>
          <w:r>
            <w:rPr>
              <w:highlight w:val="none"/>
            </w:rPr>
            <w:instrText xml:space="preserve"> PAGEREF _Toc29936 \h </w:instrText>
          </w:r>
          <w:r>
            <w:rPr>
              <w:highlight w:val="none"/>
            </w:rPr>
            <w:fldChar w:fldCharType="separate"/>
          </w:r>
          <w:r>
            <w:rPr>
              <w:highlight w:val="none"/>
            </w:rPr>
            <w:t>3</w:t>
          </w:r>
          <w:r>
            <w:rPr>
              <w:highlight w:val="none"/>
            </w:rPr>
            <w:fldChar w:fldCharType="end"/>
          </w:r>
          <w:r>
            <w:rPr>
              <w:rFonts w:hint="eastAsia" w:ascii="宋体" w:hAnsi="宋体" w:cs="宋体"/>
              <w:color w:val="auto"/>
              <w:highlight w:val="none"/>
            </w:rPr>
            <w:fldChar w:fldCharType="end"/>
          </w:r>
        </w:p>
        <w:p w14:paraId="1B51FBE9">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_Toc27652 </w:instrText>
          </w:r>
          <w:r>
            <w:rPr>
              <w:rFonts w:hint="eastAsia" w:ascii="宋体" w:hAnsi="宋体" w:cs="宋体"/>
              <w:highlight w:val="none"/>
            </w:rPr>
            <w:fldChar w:fldCharType="separate"/>
          </w:r>
          <w:r>
            <w:rPr>
              <w:rFonts w:hint="eastAsia" w:ascii="宋体" w:hAnsi="宋体" w:eastAsia="宋体" w:cs="宋体"/>
              <w:bCs/>
              <w:kern w:val="0"/>
              <w:szCs w:val="21"/>
              <w:highlight w:val="none"/>
              <w:lang w:bidi="ar"/>
            </w:rPr>
            <w:t>十一、采购人、采购代理机构的名称、地址和联系方法</w:t>
          </w:r>
          <w:r>
            <w:rPr>
              <w:highlight w:val="none"/>
            </w:rPr>
            <w:tab/>
          </w:r>
          <w:r>
            <w:rPr>
              <w:highlight w:val="none"/>
            </w:rPr>
            <w:fldChar w:fldCharType="begin"/>
          </w:r>
          <w:r>
            <w:rPr>
              <w:highlight w:val="none"/>
            </w:rPr>
            <w:instrText xml:space="preserve"> PAGEREF _Toc27652 \h </w:instrText>
          </w:r>
          <w:r>
            <w:rPr>
              <w:highlight w:val="none"/>
            </w:rPr>
            <w:fldChar w:fldCharType="separate"/>
          </w:r>
          <w:r>
            <w:rPr>
              <w:highlight w:val="none"/>
            </w:rPr>
            <w:t>3</w:t>
          </w:r>
          <w:r>
            <w:rPr>
              <w:highlight w:val="none"/>
            </w:rPr>
            <w:fldChar w:fldCharType="end"/>
          </w:r>
          <w:r>
            <w:rPr>
              <w:rFonts w:hint="eastAsia" w:ascii="宋体" w:hAnsi="宋体" w:cs="宋体"/>
              <w:color w:val="auto"/>
              <w:highlight w:val="none"/>
            </w:rPr>
            <w:fldChar w:fldCharType="end"/>
          </w:r>
        </w:p>
        <w:p w14:paraId="790F5EE4">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_Toc6284 </w:instrText>
          </w:r>
          <w:r>
            <w:rPr>
              <w:rFonts w:hint="eastAsia" w:ascii="宋体" w:hAnsi="宋体" w:cs="宋体"/>
              <w:highlight w:val="none"/>
            </w:rPr>
            <w:fldChar w:fldCharType="separate"/>
          </w:r>
          <w:r>
            <w:rPr>
              <w:rFonts w:hint="eastAsia" w:hAnsi="宋体" w:cs="宋体"/>
              <w:szCs w:val="32"/>
              <w:highlight w:val="none"/>
            </w:rPr>
            <w:t>第二章 磋商须知</w:t>
          </w:r>
          <w:r>
            <w:rPr>
              <w:highlight w:val="none"/>
            </w:rPr>
            <w:tab/>
          </w:r>
          <w:r>
            <w:rPr>
              <w:highlight w:val="none"/>
            </w:rPr>
            <w:fldChar w:fldCharType="begin"/>
          </w:r>
          <w:r>
            <w:rPr>
              <w:highlight w:val="none"/>
            </w:rPr>
            <w:instrText xml:space="preserve"> PAGEREF _Toc6284 \h </w:instrText>
          </w:r>
          <w:r>
            <w:rPr>
              <w:highlight w:val="none"/>
            </w:rPr>
            <w:fldChar w:fldCharType="separate"/>
          </w:r>
          <w:r>
            <w:rPr>
              <w:highlight w:val="none"/>
            </w:rPr>
            <w:t>5</w:t>
          </w:r>
          <w:r>
            <w:rPr>
              <w:highlight w:val="none"/>
            </w:rPr>
            <w:fldChar w:fldCharType="end"/>
          </w:r>
          <w:r>
            <w:rPr>
              <w:rFonts w:hint="eastAsia" w:ascii="宋体" w:hAnsi="宋体" w:cs="宋体"/>
              <w:color w:val="auto"/>
              <w:highlight w:val="none"/>
            </w:rPr>
            <w:fldChar w:fldCharType="end"/>
          </w:r>
        </w:p>
        <w:p w14:paraId="72A7986A">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_Toc3992 </w:instrText>
          </w:r>
          <w:r>
            <w:rPr>
              <w:rFonts w:hint="eastAsia" w:ascii="宋体" w:hAnsi="宋体" w:cs="宋体"/>
              <w:highlight w:val="none"/>
            </w:rPr>
            <w:fldChar w:fldCharType="separate"/>
          </w:r>
          <w:r>
            <w:rPr>
              <w:rFonts w:hint="eastAsia" w:hAnsi="宋体" w:cs="宋体"/>
              <w:szCs w:val="24"/>
              <w:highlight w:val="none"/>
            </w:rPr>
            <w:t>磋商须知前附表</w:t>
          </w:r>
          <w:r>
            <w:rPr>
              <w:highlight w:val="none"/>
            </w:rPr>
            <w:tab/>
          </w:r>
          <w:r>
            <w:rPr>
              <w:highlight w:val="none"/>
            </w:rPr>
            <w:fldChar w:fldCharType="begin"/>
          </w:r>
          <w:r>
            <w:rPr>
              <w:highlight w:val="none"/>
            </w:rPr>
            <w:instrText xml:space="preserve"> PAGEREF _Toc3992 \h </w:instrText>
          </w:r>
          <w:r>
            <w:rPr>
              <w:highlight w:val="none"/>
            </w:rPr>
            <w:fldChar w:fldCharType="separate"/>
          </w:r>
          <w:r>
            <w:rPr>
              <w:highlight w:val="none"/>
            </w:rPr>
            <w:t>5</w:t>
          </w:r>
          <w:r>
            <w:rPr>
              <w:highlight w:val="none"/>
            </w:rPr>
            <w:fldChar w:fldCharType="end"/>
          </w:r>
          <w:r>
            <w:rPr>
              <w:rFonts w:hint="eastAsia" w:ascii="宋体" w:hAnsi="宋体" w:cs="宋体"/>
              <w:color w:val="auto"/>
              <w:highlight w:val="none"/>
            </w:rPr>
            <w:fldChar w:fldCharType="end"/>
          </w:r>
        </w:p>
        <w:p w14:paraId="20BE3D0F">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_Toc24247 </w:instrText>
          </w:r>
          <w:r>
            <w:rPr>
              <w:rFonts w:hint="eastAsia" w:ascii="宋体" w:hAnsi="宋体" w:cs="宋体"/>
              <w:highlight w:val="none"/>
            </w:rPr>
            <w:fldChar w:fldCharType="separate"/>
          </w:r>
          <w:r>
            <w:rPr>
              <w:rFonts w:hint="eastAsia" w:ascii="宋体" w:hAnsi="宋体" w:cs="宋体"/>
              <w:szCs w:val="32"/>
              <w:highlight w:val="none"/>
            </w:rPr>
            <w:t>磋商须知正文</w:t>
          </w:r>
          <w:r>
            <w:rPr>
              <w:highlight w:val="none"/>
            </w:rPr>
            <w:tab/>
          </w:r>
          <w:r>
            <w:rPr>
              <w:highlight w:val="none"/>
            </w:rPr>
            <w:fldChar w:fldCharType="begin"/>
          </w:r>
          <w:r>
            <w:rPr>
              <w:highlight w:val="none"/>
            </w:rPr>
            <w:instrText xml:space="preserve"> PAGEREF _Toc24247 \h </w:instrText>
          </w:r>
          <w:r>
            <w:rPr>
              <w:highlight w:val="none"/>
            </w:rPr>
            <w:fldChar w:fldCharType="separate"/>
          </w:r>
          <w:r>
            <w:rPr>
              <w:highlight w:val="none"/>
            </w:rPr>
            <w:t>11</w:t>
          </w:r>
          <w:r>
            <w:rPr>
              <w:highlight w:val="none"/>
            </w:rPr>
            <w:fldChar w:fldCharType="end"/>
          </w:r>
          <w:r>
            <w:rPr>
              <w:rFonts w:hint="eastAsia" w:ascii="宋体" w:hAnsi="宋体" w:cs="宋体"/>
              <w:color w:val="auto"/>
              <w:highlight w:val="none"/>
            </w:rPr>
            <w:fldChar w:fldCharType="end"/>
          </w:r>
        </w:p>
        <w:p w14:paraId="5574ACE1">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_Toc5637 </w:instrText>
          </w:r>
          <w:r>
            <w:rPr>
              <w:rFonts w:hint="eastAsia" w:ascii="宋体" w:hAnsi="宋体" w:cs="宋体"/>
              <w:highlight w:val="none"/>
            </w:rPr>
            <w:fldChar w:fldCharType="separate"/>
          </w:r>
          <w:r>
            <w:rPr>
              <w:rFonts w:hint="eastAsia" w:ascii="宋体" w:hAnsi="宋体" w:eastAsia="宋体" w:cs="宋体"/>
              <w:bCs w:val="0"/>
              <w:szCs w:val="28"/>
              <w:highlight w:val="none"/>
            </w:rPr>
            <w:t>第三章 评审办法及标准</w:t>
          </w:r>
          <w:r>
            <w:rPr>
              <w:highlight w:val="none"/>
            </w:rPr>
            <w:tab/>
          </w:r>
          <w:r>
            <w:rPr>
              <w:highlight w:val="none"/>
            </w:rPr>
            <w:fldChar w:fldCharType="begin"/>
          </w:r>
          <w:r>
            <w:rPr>
              <w:highlight w:val="none"/>
            </w:rPr>
            <w:instrText xml:space="preserve"> PAGEREF _Toc5637 \h </w:instrText>
          </w:r>
          <w:r>
            <w:rPr>
              <w:highlight w:val="none"/>
            </w:rPr>
            <w:fldChar w:fldCharType="separate"/>
          </w:r>
          <w:r>
            <w:rPr>
              <w:highlight w:val="none"/>
            </w:rPr>
            <w:t>24</w:t>
          </w:r>
          <w:r>
            <w:rPr>
              <w:highlight w:val="none"/>
            </w:rPr>
            <w:fldChar w:fldCharType="end"/>
          </w:r>
          <w:r>
            <w:rPr>
              <w:rFonts w:hint="eastAsia" w:ascii="宋体" w:hAnsi="宋体" w:cs="宋体"/>
              <w:color w:val="auto"/>
              <w:highlight w:val="none"/>
            </w:rPr>
            <w:fldChar w:fldCharType="end"/>
          </w:r>
        </w:p>
        <w:p w14:paraId="11FE2BB8">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_Toc32201 </w:instrText>
          </w:r>
          <w:r>
            <w:rPr>
              <w:rFonts w:hint="eastAsia" w:ascii="宋体" w:hAnsi="宋体" w:cs="宋体"/>
              <w:highlight w:val="none"/>
            </w:rPr>
            <w:fldChar w:fldCharType="separate"/>
          </w:r>
          <w:r>
            <w:rPr>
              <w:rFonts w:hint="eastAsia" w:ascii="宋体" w:hAnsi="宋体" w:cs="宋体"/>
              <w:szCs w:val="32"/>
              <w:highlight w:val="none"/>
            </w:rPr>
            <w:t xml:space="preserve">第四章 </w:t>
          </w:r>
          <w:r>
            <w:rPr>
              <w:rFonts w:hint="eastAsia" w:ascii="宋体" w:hAnsi="宋体" w:cs="宋体"/>
              <w:bCs/>
              <w:szCs w:val="32"/>
              <w:highlight w:val="none"/>
            </w:rPr>
            <w:t>采购合同格式</w:t>
          </w:r>
          <w:r>
            <w:rPr>
              <w:highlight w:val="none"/>
            </w:rPr>
            <w:tab/>
          </w:r>
          <w:r>
            <w:rPr>
              <w:highlight w:val="none"/>
            </w:rPr>
            <w:fldChar w:fldCharType="begin"/>
          </w:r>
          <w:r>
            <w:rPr>
              <w:highlight w:val="none"/>
            </w:rPr>
            <w:instrText xml:space="preserve"> PAGEREF _Toc32201 \h </w:instrText>
          </w:r>
          <w:r>
            <w:rPr>
              <w:highlight w:val="none"/>
            </w:rPr>
            <w:fldChar w:fldCharType="separate"/>
          </w:r>
          <w:r>
            <w:rPr>
              <w:highlight w:val="none"/>
            </w:rPr>
            <w:t>29</w:t>
          </w:r>
          <w:r>
            <w:rPr>
              <w:highlight w:val="none"/>
            </w:rPr>
            <w:fldChar w:fldCharType="end"/>
          </w:r>
          <w:r>
            <w:rPr>
              <w:rFonts w:hint="eastAsia" w:ascii="宋体" w:hAnsi="宋体" w:cs="宋体"/>
              <w:color w:val="auto"/>
              <w:highlight w:val="none"/>
            </w:rPr>
            <w:fldChar w:fldCharType="end"/>
          </w:r>
        </w:p>
        <w:p w14:paraId="3FA3F9F4">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_Toc27234 </w:instrText>
          </w:r>
          <w:r>
            <w:rPr>
              <w:rFonts w:hint="eastAsia" w:ascii="宋体" w:hAnsi="宋体" w:cs="宋体"/>
              <w:highlight w:val="none"/>
            </w:rPr>
            <w:fldChar w:fldCharType="separate"/>
          </w:r>
          <w:r>
            <w:rPr>
              <w:rFonts w:hint="eastAsia" w:ascii="宋体" w:hAnsi="宋体" w:eastAsia="宋体" w:cs="宋体"/>
              <w:kern w:val="0"/>
              <w:szCs w:val="21"/>
              <w:highlight w:val="none"/>
            </w:rPr>
            <w:t>第一节 政府采购合同协议书</w:t>
          </w:r>
          <w:r>
            <w:rPr>
              <w:highlight w:val="none"/>
            </w:rPr>
            <w:tab/>
          </w:r>
          <w:r>
            <w:rPr>
              <w:highlight w:val="none"/>
            </w:rPr>
            <w:fldChar w:fldCharType="begin"/>
          </w:r>
          <w:r>
            <w:rPr>
              <w:highlight w:val="none"/>
            </w:rPr>
            <w:instrText xml:space="preserve"> PAGEREF _Toc27234 \h </w:instrText>
          </w:r>
          <w:r>
            <w:rPr>
              <w:highlight w:val="none"/>
            </w:rPr>
            <w:fldChar w:fldCharType="separate"/>
          </w:r>
          <w:r>
            <w:rPr>
              <w:highlight w:val="none"/>
            </w:rPr>
            <w:t>29</w:t>
          </w:r>
          <w:r>
            <w:rPr>
              <w:highlight w:val="none"/>
            </w:rPr>
            <w:fldChar w:fldCharType="end"/>
          </w:r>
          <w:r>
            <w:rPr>
              <w:rFonts w:hint="eastAsia" w:ascii="宋体" w:hAnsi="宋体" w:cs="宋体"/>
              <w:color w:val="auto"/>
              <w:highlight w:val="none"/>
            </w:rPr>
            <w:fldChar w:fldCharType="end"/>
          </w:r>
        </w:p>
        <w:p w14:paraId="52609D38">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_Toc4633 </w:instrText>
          </w:r>
          <w:r>
            <w:rPr>
              <w:rFonts w:hint="eastAsia" w:ascii="宋体" w:hAnsi="宋体" w:cs="宋体"/>
              <w:highlight w:val="none"/>
            </w:rPr>
            <w:fldChar w:fldCharType="separate"/>
          </w:r>
          <w:r>
            <w:rPr>
              <w:rFonts w:hint="eastAsia" w:ascii="宋体" w:hAnsi="宋体" w:eastAsia="宋体" w:cs="宋体"/>
              <w:kern w:val="0"/>
              <w:szCs w:val="21"/>
              <w:highlight w:val="none"/>
            </w:rPr>
            <w:t>第二节 政府采购合同通用条款</w:t>
          </w:r>
          <w:r>
            <w:rPr>
              <w:highlight w:val="none"/>
            </w:rPr>
            <w:tab/>
          </w:r>
          <w:r>
            <w:rPr>
              <w:highlight w:val="none"/>
            </w:rPr>
            <w:fldChar w:fldCharType="begin"/>
          </w:r>
          <w:r>
            <w:rPr>
              <w:highlight w:val="none"/>
            </w:rPr>
            <w:instrText xml:space="preserve"> PAGEREF _Toc4633 \h </w:instrText>
          </w:r>
          <w:r>
            <w:rPr>
              <w:highlight w:val="none"/>
            </w:rPr>
            <w:fldChar w:fldCharType="separate"/>
          </w:r>
          <w:r>
            <w:rPr>
              <w:highlight w:val="none"/>
            </w:rPr>
            <w:t>32</w:t>
          </w:r>
          <w:r>
            <w:rPr>
              <w:highlight w:val="none"/>
            </w:rPr>
            <w:fldChar w:fldCharType="end"/>
          </w:r>
          <w:r>
            <w:rPr>
              <w:rFonts w:hint="eastAsia" w:ascii="宋体" w:hAnsi="宋体" w:cs="宋体"/>
              <w:color w:val="auto"/>
              <w:highlight w:val="none"/>
            </w:rPr>
            <w:fldChar w:fldCharType="end"/>
          </w:r>
        </w:p>
        <w:p w14:paraId="42241D64">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_Toc1759 </w:instrText>
          </w:r>
          <w:r>
            <w:rPr>
              <w:rFonts w:hint="eastAsia" w:ascii="宋体" w:hAnsi="宋体" w:cs="宋体"/>
              <w:highlight w:val="none"/>
            </w:rPr>
            <w:fldChar w:fldCharType="separate"/>
          </w:r>
          <w:r>
            <w:rPr>
              <w:rFonts w:hint="eastAsia" w:ascii="宋体" w:hAnsi="宋体" w:eastAsia="宋体" w:cs="宋体"/>
              <w:kern w:val="0"/>
              <w:szCs w:val="21"/>
              <w:highlight w:val="none"/>
            </w:rPr>
            <w:t>第三节 政府采购合同专用条款</w:t>
          </w:r>
          <w:r>
            <w:rPr>
              <w:highlight w:val="none"/>
            </w:rPr>
            <w:tab/>
          </w:r>
          <w:r>
            <w:rPr>
              <w:highlight w:val="none"/>
            </w:rPr>
            <w:fldChar w:fldCharType="begin"/>
          </w:r>
          <w:r>
            <w:rPr>
              <w:highlight w:val="none"/>
            </w:rPr>
            <w:instrText xml:space="preserve"> PAGEREF _Toc1759 \h </w:instrText>
          </w:r>
          <w:r>
            <w:rPr>
              <w:highlight w:val="none"/>
            </w:rPr>
            <w:fldChar w:fldCharType="separate"/>
          </w:r>
          <w:r>
            <w:rPr>
              <w:highlight w:val="none"/>
            </w:rPr>
            <w:t>39</w:t>
          </w:r>
          <w:r>
            <w:rPr>
              <w:highlight w:val="none"/>
            </w:rPr>
            <w:fldChar w:fldCharType="end"/>
          </w:r>
          <w:r>
            <w:rPr>
              <w:rFonts w:hint="eastAsia" w:ascii="宋体" w:hAnsi="宋体" w:cs="宋体"/>
              <w:color w:val="auto"/>
              <w:highlight w:val="none"/>
            </w:rPr>
            <w:fldChar w:fldCharType="end"/>
          </w:r>
        </w:p>
        <w:p w14:paraId="6DE634B7">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_Toc1921 </w:instrText>
          </w:r>
          <w:r>
            <w:rPr>
              <w:rFonts w:hint="eastAsia" w:ascii="宋体" w:hAnsi="宋体" w:cs="宋体"/>
              <w:highlight w:val="none"/>
            </w:rPr>
            <w:fldChar w:fldCharType="separate"/>
          </w:r>
          <w:r>
            <w:rPr>
              <w:rFonts w:hint="eastAsia" w:ascii="宋体" w:hAnsi="宋体" w:cs="宋体"/>
              <w:bCs/>
              <w:szCs w:val="32"/>
              <w:highlight w:val="none"/>
            </w:rPr>
            <w:t xml:space="preserve">第五章 </w:t>
          </w:r>
          <w:r>
            <w:rPr>
              <w:rFonts w:hint="eastAsia" w:ascii="宋体" w:hAnsi="宋体" w:cs="宋体"/>
              <w:bCs/>
              <w:szCs w:val="32"/>
              <w:highlight w:val="none"/>
            </w:rPr>
            <w:t>采购需求</w:t>
          </w:r>
          <w:r>
            <w:rPr>
              <w:highlight w:val="none"/>
            </w:rPr>
            <w:tab/>
          </w:r>
          <w:r>
            <w:rPr>
              <w:highlight w:val="none"/>
            </w:rPr>
            <w:fldChar w:fldCharType="begin"/>
          </w:r>
          <w:r>
            <w:rPr>
              <w:highlight w:val="none"/>
            </w:rPr>
            <w:instrText xml:space="preserve"> PAGEREF _Toc1921 \h </w:instrText>
          </w:r>
          <w:r>
            <w:rPr>
              <w:highlight w:val="none"/>
            </w:rPr>
            <w:fldChar w:fldCharType="separate"/>
          </w:r>
          <w:r>
            <w:rPr>
              <w:highlight w:val="none"/>
            </w:rPr>
            <w:t>40</w:t>
          </w:r>
          <w:r>
            <w:rPr>
              <w:highlight w:val="none"/>
            </w:rPr>
            <w:fldChar w:fldCharType="end"/>
          </w:r>
          <w:r>
            <w:rPr>
              <w:rFonts w:hint="eastAsia" w:ascii="宋体" w:hAnsi="宋体" w:cs="宋体"/>
              <w:color w:val="auto"/>
              <w:highlight w:val="none"/>
            </w:rPr>
            <w:fldChar w:fldCharType="end"/>
          </w:r>
        </w:p>
        <w:p w14:paraId="460CB654">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_Toc16555 </w:instrText>
          </w:r>
          <w:r>
            <w:rPr>
              <w:rFonts w:hint="eastAsia" w:ascii="宋体" w:hAnsi="宋体" w:cs="宋体"/>
              <w:highlight w:val="none"/>
            </w:rPr>
            <w:fldChar w:fldCharType="separate"/>
          </w:r>
          <w:r>
            <w:rPr>
              <w:rFonts w:hint="eastAsia" w:ascii="宋体" w:hAnsi="宋体" w:eastAsia="宋体" w:cs="宋体"/>
              <w:bCs/>
              <w:kern w:val="2"/>
              <w:szCs w:val="24"/>
              <w:highlight w:val="none"/>
              <w:lang w:val="en-US" w:eastAsia="zh-CN" w:bidi="ar-SA"/>
            </w:rPr>
            <w:t>一、</w:t>
          </w:r>
          <w:r>
            <w:rPr>
              <w:rFonts w:hint="eastAsia" w:ascii="宋体" w:hAnsi="宋体" w:eastAsia="宋体" w:cs="宋体"/>
              <w:bCs/>
              <w:highlight w:val="none"/>
            </w:rPr>
            <w:t>项目概况：</w:t>
          </w:r>
          <w:r>
            <w:rPr>
              <w:highlight w:val="none"/>
            </w:rPr>
            <w:tab/>
          </w:r>
          <w:r>
            <w:rPr>
              <w:highlight w:val="none"/>
            </w:rPr>
            <w:fldChar w:fldCharType="begin"/>
          </w:r>
          <w:r>
            <w:rPr>
              <w:highlight w:val="none"/>
            </w:rPr>
            <w:instrText xml:space="preserve"> PAGEREF _Toc16555 \h </w:instrText>
          </w:r>
          <w:r>
            <w:rPr>
              <w:highlight w:val="none"/>
            </w:rPr>
            <w:fldChar w:fldCharType="separate"/>
          </w:r>
          <w:r>
            <w:rPr>
              <w:highlight w:val="none"/>
            </w:rPr>
            <w:t>40</w:t>
          </w:r>
          <w:r>
            <w:rPr>
              <w:highlight w:val="none"/>
            </w:rPr>
            <w:fldChar w:fldCharType="end"/>
          </w:r>
          <w:r>
            <w:rPr>
              <w:rFonts w:hint="eastAsia" w:ascii="宋体" w:hAnsi="宋体" w:cs="宋体"/>
              <w:color w:val="auto"/>
              <w:highlight w:val="none"/>
            </w:rPr>
            <w:fldChar w:fldCharType="end"/>
          </w:r>
        </w:p>
        <w:p w14:paraId="54D689B8">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_Toc7212 </w:instrText>
          </w:r>
          <w:r>
            <w:rPr>
              <w:rFonts w:hint="eastAsia" w:ascii="宋体" w:hAnsi="宋体" w:cs="宋体"/>
              <w:highlight w:val="none"/>
            </w:rPr>
            <w:fldChar w:fldCharType="separate"/>
          </w:r>
          <w:r>
            <w:rPr>
              <w:rFonts w:hint="eastAsia" w:ascii="宋体" w:hAnsi="宋体" w:eastAsia="宋体" w:cs="宋体"/>
              <w:bCs/>
              <w:szCs w:val="21"/>
              <w:highlight w:val="none"/>
              <w:lang w:val="en-US" w:eastAsia="zh-CN"/>
            </w:rPr>
            <w:t>二</w:t>
          </w:r>
          <w:r>
            <w:rPr>
              <w:rFonts w:hint="eastAsia" w:ascii="宋体" w:hAnsi="宋体" w:eastAsia="宋体" w:cs="宋体"/>
              <w:bCs/>
              <w:szCs w:val="21"/>
              <w:highlight w:val="none"/>
            </w:rPr>
            <w:t>、采购货物清单</w:t>
          </w:r>
          <w:r>
            <w:rPr>
              <w:highlight w:val="none"/>
            </w:rPr>
            <w:tab/>
          </w:r>
          <w:r>
            <w:rPr>
              <w:highlight w:val="none"/>
            </w:rPr>
            <w:fldChar w:fldCharType="begin"/>
          </w:r>
          <w:r>
            <w:rPr>
              <w:highlight w:val="none"/>
            </w:rPr>
            <w:instrText xml:space="preserve"> PAGEREF _Toc7212 \h </w:instrText>
          </w:r>
          <w:r>
            <w:rPr>
              <w:highlight w:val="none"/>
            </w:rPr>
            <w:fldChar w:fldCharType="separate"/>
          </w:r>
          <w:r>
            <w:rPr>
              <w:highlight w:val="none"/>
            </w:rPr>
            <w:t>40</w:t>
          </w:r>
          <w:r>
            <w:rPr>
              <w:highlight w:val="none"/>
            </w:rPr>
            <w:fldChar w:fldCharType="end"/>
          </w:r>
          <w:r>
            <w:rPr>
              <w:rFonts w:hint="eastAsia" w:ascii="宋体" w:hAnsi="宋体" w:cs="宋体"/>
              <w:color w:val="auto"/>
              <w:highlight w:val="none"/>
            </w:rPr>
            <w:fldChar w:fldCharType="end"/>
          </w:r>
        </w:p>
        <w:p w14:paraId="4D24746D">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_Toc3100 </w:instrText>
          </w:r>
          <w:r>
            <w:rPr>
              <w:rFonts w:hint="eastAsia" w:ascii="宋体" w:hAnsi="宋体" w:cs="宋体"/>
              <w:highlight w:val="none"/>
            </w:rPr>
            <w:fldChar w:fldCharType="separate"/>
          </w:r>
          <w:r>
            <w:rPr>
              <w:rFonts w:hint="eastAsia" w:cs="Times New Roman"/>
              <w:bCs/>
              <w:kern w:val="2"/>
              <w:szCs w:val="21"/>
              <w:highlight w:val="none"/>
              <w:lang w:val="en-US" w:eastAsia="zh-CN" w:bidi="ar-SA"/>
            </w:rPr>
            <w:t>三</w:t>
          </w:r>
          <w:r>
            <w:rPr>
              <w:rFonts w:hint="eastAsia" w:ascii="Times New Roman" w:hAnsi="Times New Roman" w:eastAsia="宋体" w:cs="Times New Roman"/>
              <w:bCs/>
              <w:kern w:val="2"/>
              <w:szCs w:val="21"/>
              <w:highlight w:val="none"/>
              <w:lang w:val="en-US" w:eastAsia="zh-CN" w:bidi="ar-SA"/>
            </w:rPr>
            <w:t>、</w:t>
          </w:r>
          <w:r>
            <w:rPr>
              <w:rFonts w:hint="default" w:ascii="Times New Roman" w:hAnsi="Times New Roman" w:cs="Times New Roman"/>
              <w:bCs/>
              <w:szCs w:val="21"/>
              <w:highlight w:val="none"/>
            </w:rPr>
            <w:t>对所需采购的货物的功能、用途简要说明：</w:t>
          </w:r>
          <w:r>
            <w:rPr>
              <w:highlight w:val="none"/>
            </w:rPr>
            <w:tab/>
          </w:r>
          <w:r>
            <w:rPr>
              <w:highlight w:val="none"/>
            </w:rPr>
            <w:fldChar w:fldCharType="begin"/>
          </w:r>
          <w:r>
            <w:rPr>
              <w:highlight w:val="none"/>
            </w:rPr>
            <w:instrText xml:space="preserve"> PAGEREF _Toc3100 \h </w:instrText>
          </w:r>
          <w:r>
            <w:rPr>
              <w:highlight w:val="none"/>
            </w:rPr>
            <w:fldChar w:fldCharType="separate"/>
          </w:r>
          <w:r>
            <w:rPr>
              <w:highlight w:val="none"/>
            </w:rPr>
            <w:t>51</w:t>
          </w:r>
          <w:r>
            <w:rPr>
              <w:highlight w:val="none"/>
            </w:rPr>
            <w:fldChar w:fldCharType="end"/>
          </w:r>
          <w:r>
            <w:rPr>
              <w:rFonts w:hint="eastAsia" w:ascii="宋体" w:hAnsi="宋体" w:cs="宋体"/>
              <w:color w:val="auto"/>
              <w:highlight w:val="none"/>
            </w:rPr>
            <w:fldChar w:fldCharType="end"/>
          </w:r>
        </w:p>
        <w:p w14:paraId="029BEB11">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_Toc11939 </w:instrText>
          </w:r>
          <w:r>
            <w:rPr>
              <w:rFonts w:hint="eastAsia" w:ascii="宋体" w:hAnsi="宋体" w:cs="宋体"/>
              <w:highlight w:val="none"/>
            </w:rPr>
            <w:fldChar w:fldCharType="separate"/>
          </w:r>
          <w:r>
            <w:rPr>
              <w:rFonts w:hint="eastAsia" w:cs="Times New Roman"/>
              <w:bCs/>
              <w:szCs w:val="21"/>
              <w:highlight w:val="none"/>
              <w:lang w:val="en-US" w:eastAsia="zh-CN"/>
            </w:rPr>
            <w:t>四</w:t>
          </w:r>
          <w:r>
            <w:rPr>
              <w:rFonts w:hint="default" w:ascii="Times New Roman" w:hAnsi="Times New Roman" w:cs="Times New Roman"/>
              <w:bCs/>
              <w:szCs w:val="21"/>
              <w:highlight w:val="none"/>
            </w:rPr>
            <w:t>、所需采购货物的技术规格、参数、工作条件、环境要求（必要时可提供技术文件、图纸、标准）(见附件)</w:t>
          </w:r>
          <w:r>
            <w:rPr>
              <w:highlight w:val="none"/>
            </w:rPr>
            <w:tab/>
          </w:r>
          <w:r>
            <w:rPr>
              <w:highlight w:val="none"/>
            </w:rPr>
            <w:fldChar w:fldCharType="begin"/>
          </w:r>
          <w:r>
            <w:rPr>
              <w:highlight w:val="none"/>
            </w:rPr>
            <w:instrText xml:space="preserve"> PAGEREF _Toc11939 \h </w:instrText>
          </w:r>
          <w:r>
            <w:rPr>
              <w:highlight w:val="none"/>
            </w:rPr>
            <w:fldChar w:fldCharType="separate"/>
          </w:r>
          <w:r>
            <w:rPr>
              <w:highlight w:val="none"/>
            </w:rPr>
            <w:t>51</w:t>
          </w:r>
          <w:r>
            <w:rPr>
              <w:highlight w:val="none"/>
            </w:rPr>
            <w:fldChar w:fldCharType="end"/>
          </w:r>
          <w:r>
            <w:rPr>
              <w:rFonts w:hint="eastAsia" w:ascii="宋体" w:hAnsi="宋体" w:cs="宋体"/>
              <w:color w:val="auto"/>
              <w:highlight w:val="none"/>
            </w:rPr>
            <w:fldChar w:fldCharType="end"/>
          </w:r>
        </w:p>
        <w:p w14:paraId="677A4272">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_Toc17143 </w:instrText>
          </w:r>
          <w:r>
            <w:rPr>
              <w:rFonts w:hint="eastAsia" w:ascii="宋体" w:hAnsi="宋体" w:cs="宋体"/>
              <w:highlight w:val="none"/>
            </w:rPr>
            <w:fldChar w:fldCharType="separate"/>
          </w:r>
          <w:r>
            <w:rPr>
              <w:rFonts w:hint="eastAsia" w:cs="Times New Roman"/>
              <w:bCs/>
              <w:szCs w:val="21"/>
              <w:highlight w:val="none"/>
              <w:lang w:val="en-US" w:eastAsia="zh-CN"/>
            </w:rPr>
            <w:t>五</w:t>
          </w:r>
          <w:r>
            <w:rPr>
              <w:rFonts w:hint="default" w:ascii="Times New Roman" w:hAnsi="Times New Roman" w:cs="Times New Roman"/>
              <w:bCs/>
              <w:szCs w:val="21"/>
              <w:highlight w:val="none"/>
            </w:rPr>
            <w:t>、附件及零配件（包括专用工具）、备品备件的要求：</w:t>
          </w:r>
          <w:r>
            <w:rPr>
              <w:highlight w:val="none"/>
            </w:rPr>
            <w:tab/>
          </w:r>
          <w:r>
            <w:rPr>
              <w:highlight w:val="none"/>
            </w:rPr>
            <w:fldChar w:fldCharType="begin"/>
          </w:r>
          <w:r>
            <w:rPr>
              <w:highlight w:val="none"/>
            </w:rPr>
            <w:instrText xml:space="preserve"> PAGEREF _Toc17143 \h </w:instrText>
          </w:r>
          <w:r>
            <w:rPr>
              <w:highlight w:val="none"/>
            </w:rPr>
            <w:fldChar w:fldCharType="separate"/>
          </w:r>
          <w:r>
            <w:rPr>
              <w:highlight w:val="none"/>
            </w:rPr>
            <w:t>52</w:t>
          </w:r>
          <w:r>
            <w:rPr>
              <w:highlight w:val="none"/>
            </w:rPr>
            <w:fldChar w:fldCharType="end"/>
          </w:r>
          <w:r>
            <w:rPr>
              <w:rFonts w:hint="eastAsia" w:ascii="宋体" w:hAnsi="宋体" w:cs="宋体"/>
              <w:color w:val="auto"/>
              <w:highlight w:val="none"/>
            </w:rPr>
            <w:fldChar w:fldCharType="end"/>
          </w:r>
        </w:p>
        <w:p w14:paraId="76EA156D">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_Toc22900 </w:instrText>
          </w:r>
          <w:r>
            <w:rPr>
              <w:rFonts w:hint="eastAsia" w:ascii="宋体" w:hAnsi="宋体" w:cs="宋体"/>
              <w:highlight w:val="none"/>
            </w:rPr>
            <w:fldChar w:fldCharType="separate"/>
          </w:r>
          <w:r>
            <w:rPr>
              <w:rFonts w:hint="eastAsia" w:cs="Times New Roman"/>
              <w:bCs/>
              <w:szCs w:val="21"/>
              <w:highlight w:val="none"/>
              <w:lang w:val="en-US" w:eastAsia="zh-CN"/>
            </w:rPr>
            <w:t>六</w:t>
          </w:r>
          <w:r>
            <w:rPr>
              <w:rFonts w:hint="default" w:ascii="Times New Roman" w:hAnsi="Times New Roman" w:cs="Times New Roman"/>
              <w:bCs/>
              <w:szCs w:val="21"/>
              <w:highlight w:val="none"/>
            </w:rPr>
            <w:t>、验收标准和方法：</w:t>
          </w:r>
          <w:r>
            <w:rPr>
              <w:highlight w:val="none"/>
            </w:rPr>
            <w:tab/>
          </w:r>
          <w:r>
            <w:rPr>
              <w:highlight w:val="none"/>
            </w:rPr>
            <w:fldChar w:fldCharType="begin"/>
          </w:r>
          <w:r>
            <w:rPr>
              <w:highlight w:val="none"/>
            </w:rPr>
            <w:instrText xml:space="preserve"> PAGEREF _Toc22900 \h </w:instrText>
          </w:r>
          <w:r>
            <w:rPr>
              <w:highlight w:val="none"/>
            </w:rPr>
            <w:fldChar w:fldCharType="separate"/>
          </w:r>
          <w:r>
            <w:rPr>
              <w:highlight w:val="none"/>
            </w:rPr>
            <w:t>52</w:t>
          </w:r>
          <w:r>
            <w:rPr>
              <w:highlight w:val="none"/>
            </w:rPr>
            <w:fldChar w:fldCharType="end"/>
          </w:r>
          <w:r>
            <w:rPr>
              <w:rFonts w:hint="eastAsia" w:ascii="宋体" w:hAnsi="宋体" w:cs="宋体"/>
              <w:color w:val="auto"/>
              <w:highlight w:val="none"/>
            </w:rPr>
            <w:fldChar w:fldCharType="end"/>
          </w:r>
        </w:p>
        <w:p w14:paraId="35C85DCC">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_Toc1540 </w:instrText>
          </w:r>
          <w:r>
            <w:rPr>
              <w:rFonts w:hint="eastAsia" w:ascii="宋体" w:hAnsi="宋体" w:cs="宋体"/>
              <w:highlight w:val="none"/>
            </w:rPr>
            <w:fldChar w:fldCharType="separate"/>
          </w:r>
          <w:r>
            <w:rPr>
              <w:rFonts w:hint="eastAsia" w:cs="Times New Roman"/>
              <w:bCs/>
              <w:kern w:val="2"/>
              <w:szCs w:val="21"/>
              <w:highlight w:val="none"/>
              <w:lang w:val="en-US" w:eastAsia="zh-CN" w:bidi="ar-SA"/>
            </w:rPr>
            <w:t>七</w:t>
          </w:r>
          <w:r>
            <w:rPr>
              <w:rFonts w:hint="eastAsia" w:ascii="Times New Roman" w:hAnsi="Times New Roman" w:eastAsia="宋体" w:cs="Times New Roman"/>
              <w:bCs/>
              <w:kern w:val="2"/>
              <w:szCs w:val="21"/>
              <w:highlight w:val="none"/>
              <w:lang w:val="en-US" w:eastAsia="zh-CN" w:bidi="ar-SA"/>
            </w:rPr>
            <w:t>、</w:t>
          </w:r>
          <w:r>
            <w:rPr>
              <w:rFonts w:hint="default" w:ascii="Times New Roman" w:hAnsi="Times New Roman" w:cs="Times New Roman"/>
              <w:bCs/>
              <w:szCs w:val="21"/>
              <w:highlight w:val="none"/>
            </w:rPr>
            <w:t>安装调试及技术服务(含培训)要求：</w:t>
          </w:r>
          <w:r>
            <w:rPr>
              <w:highlight w:val="none"/>
            </w:rPr>
            <w:tab/>
          </w:r>
          <w:r>
            <w:rPr>
              <w:highlight w:val="none"/>
            </w:rPr>
            <w:fldChar w:fldCharType="begin"/>
          </w:r>
          <w:r>
            <w:rPr>
              <w:highlight w:val="none"/>
            </w:rPr>
            <w:instrText xml:space="preserve"> PAGEREF _Toc1540 \h </w:instrText>
          </w:r>
          <w:r>
            <w:rPr>
              <w:highlight w:val="none"/>
            </w:rPr>
            <w:fldChar w:fldCharType="separate"/>
          </w:r>
          <w:r>
            <w:rPr>
              <w:highlight w:val="none"/>
            </w:rPr>
            <w:t>52</w:t>
          </w:r>
          <w:r>
            <w:rPr>
              <w:highlight w:val="none"/>
            </w:rPr>
            <w:fldChar w:fldCharType="end"/>
          </w:r>
          <w:r>
            <w:rPr>
              <w:rFonts w:hint="eastAsia" w:ascii="宋体" w:hAnsi="宋体" w:cs="宋体"/>
              <w:color w:val="auto"/>
              <w:highlight w:val="none"/>
            </w:rPr>
            <w:fldChar w:fldCharType="end"/>
          </w:r>
        </w:p>
        <w:p w14:paraId="57653377">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_Toc12524 </w:instrText>
          </w:r>
          <w:r>
            <w:rPr>
              <w:rFonts w:hint="eastAsia" w:ascii="宋体" w:hAnsi="宋体" w:cs="宋体"/>
              <w:highlight w:val="none"/>
            </w:rPr>
            <w:fldChar w:fldCharType="separate"/>
          </w:r>
          <w:r>
            <w:rPr>
              <w:rFonts w:hint="eastAsia" w:cs="Times New Roman"/>
              <w:bCs/>
              <w:kern w:val="2"/>
              <w:szCs w:val="21"/>
              <w:highlight w:val="none"/>
              <w:lang w:val="en-US" w:eastAsia="zh-CN" w:bidi="ar-SA"/>
            </w:rPr>
            <w:t>八</w:t>
          </w:r>
          <w:r>
            <w:rPr>
              <w:rFonts w:hint="eastAsia" w:ascii="Times New Roman" w:hAnsi="Times New Roman" w:eastAsia="宋体" w:cs="Times New Roman"/>
              <w:bCs/>
              <w:kern w:val="2"/>
              <w:szCs w:val="21"/>
              <w:highlight w:val="none"/>
              <w:lang w:val="en-US" w:eastAsia="zh-CN" w:bidi="ar-SA"/>
            </w:rPr>
            <w:t>、</w:t>
          </w:r>
          <w:r>
            <w:rPr>
              <w:rFonts w:hint="default" w:ascii="Times New Roman" w:hAnsi="Times New Roman" w:cs="Times New Roman"/>
              <w:bCs/>
              <w:szCs w:val="21"/>
              <w:highlight w:val="none"/>
            </w:rPr>
            <w:t>质量保证期、售后服务要求：</w:t>
          </w:r>
          <w:r>
            <w:rPr>
              <w:highlight w:val="none"/>
            </w:rPr>
            <w:tab/>
          </w:r>
          <w:r>
            <w:rPr>
              <w:highlight w:val="none"/>
            </w:rPr>
            <w:fldChar w:fldCharType="begin"/>
          </w:r>
          <w:r>
            <w:rPr>
              <w:highlight w:val="none"/>
            </w:rPr>
            <w:instrText xml:space="preserve"> PAGEREF _Toc12524 \h </w:instrText>
          </w:r>
          <w:r>
            <w:rPr>
              <w:highlight w:val="none"/>
            </w:rPr>
            <w:fldChar w:fldCharType="separate"/>
          </w:r>
          <w:r>
            <w:rPr>
              <w:highlight w:val="none"/>
            </w:rPr>
            <w:t>52</w:t>
          </w:r>
          <w:r>
            <w:rPr>
              <w:highlight w:val="none"/>
            </w:rPr>
            <w:fldChar w:fldCharType="end"/>
          </w:r>
          <w:r>
            <w:rPr>
              <w:rFonts w:hint="eastAsia" w:ascii="宋体" w:hAnsi="宋体" w:cs="宋体"/>
              <w:color w:val="auto"/>
              <w:highlight w:val="none"/>
            </w:rPr>
            <w:fldChar w:fldCharType="end"/>
          </w:r>
        </w:p>
        <w:p w14:paraId="2363BBF0">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_Toc23646 </w:instrText>
          </w:r>
          <w:r>
            <w:rPr>
              <w:rFonts w:hint="eastAsia" w:ascii="宋体" w:hAnsi="宋体" w:cs="宋体"/>
              <w:highlight w:val="none"/>
            </w:rPr>
            <w:fldChar w:fldCharType="separate"/>
          </w:r>
          <w:r>
            <w:rPr>
              <w:rFonts w:hint="eastAsia" w:cs="Times New Roman"/>
              <w:bCs/>
              <w:szCs w:val="21"/>
              <w:highlight w:val="none"/>
              <w:lang w:val="en-US" w:eastAsia="zh-CN"/>
            </w:rPr>
            <w:t>九</w:t>
          </w:r>
          <w:r>
            <w:rPr>
              <w:rFonts w:hint="default" w:ascii="Times New Roman" w:hAnsi="Times New Roman" w:cs="Times New Roman"/>
              <w:bCs/>
              <w:szCs w:val="21"/>
              <w:highlight w:val="none"/>
            </w:rPr>
            <w:t>、履行合同的时间</w:t>
          </w:r>
          <w:r>
            <w:rPr>
              <w:highlight w:val="none"/>
            </w:rPr>
            <w:tab/>
          </w:r>
          <w:r>
            <w:rPr>
              <w:highlight w:val="none"/>
            </w:rPr>
            <w:fldChar w:fldCharType="begin"/>
          </w:r>
          <w:r>
            <w:rPr>
              <w:highlight w:val="none"/>
            </w:rPr>
            <w:instrText xml:space="preserve"> PAGEREF _Toc23646 \h </w:instrText>
          </w:r>
          <w:r>
            <w:rPr>
              <w:highlight w:val="none"/>
            </w:rPr>
            <w:fldChar w:fldCharType="separate"/>
          </w:r>
          <w:r>
            <w:rPr>
              <w:highlight w:val="none"/>
            </w:rPr>
            <w:t>53</w:t>
          </w:r>
          <w:r>
            <w:rPr>
              <w:highlight w:val="none"/>
            </w:rPr>
            <w:fldChar w:fldCharType="end"/>
          </w:r>
          <w:r>
            <w:rPr>
              <w:rFonts w:hint="eastAsia" w:ascii="宋体" w:hAnsi="宋体" w:cs="宋体"/>
              <w:color w:val="auto"/>
              <w:highlight w:val="none"/>
            </w:rPr>
            <w:fldChar w:fldCharType="end"/>
          </w:r>
        </w:p>
        <w:p w14:paraId="2E3783F6">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_Toc23477 </w:instrText>
          </w:r>
          <w:r>
            <w:rPr>
              <w:rFonts w:hint="eastAsia" w:ascii="宋体" w:hAnsi="宋体" w:cs="宋体"/>
              <w:highlight w:val="none"/>
            </w:rPr>
            <w:fldChar w:fldCharType="separate"/>
          </w:r>
          <w:r>
            <w:rPr>
              <w:rFonts w:hint="default" w:ascii="Times New Roman" w:hAnsi="Times New Roman" w:cs="Times New Roman"/>
              <w:bCs/>
              <w:szCs w:val="21"/>
              <w:highlight w:val="none"/>
            </w:rPr>
            <w:t>十、付款方式</w:t>
          </w:r>
          <w:r>
            <w:rPr>
              <w:highlight w:val="none"/>
            </w:rPr>
            <w:tab/>
          </w:r>
          <w:r>
            <w:rPr>
              <w:highlight w:val="none"/>
            </w:rPr>
            <w:fldChar w:fldCharType="begin"/>
          </w:r>
          <w:r>
            <w:rPr>
              <w:highlight w:val="none"/>
            </w:rPr>
            <w:instrText xml:space="preserve"> PAGEREF _Toc23477 \h </w:instrText>
          </w:r>
          <w:r>
            <w:rPr>
              <w:highlight w:val="none"/>
            </w:rPr>
            <w:fldChar w:fldCharType="separate"/>
          </w:r>
          <w:r>
            <w:rPr>
              <w:highlight w:val="none"/>
            </w:rPr>
            <w:t>53</w:t>
          </w:r>
          <w:r>
            <w:rPr>
              <w:highlight w:val="none"/>
            </w:rPr>
            <w:fldChar w:fldCharType="end"/>
          </w:r>
          <w:r>
            <w:rPr>
              <w:rFonts w:hint="eastAsia" w:ascii="宋体" w:hAnsi="宋体" w:cs="宋体"/>
              <w:color w:val="auto"/>
              <w:highlight w:val="none"/>
            </w:rPr>
            <w:fldChar w:fldCharType="end"/>
          </w:r>
        </w:p>
        <w:p w14:paraId="40DD3416">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_Toc1563 </w:instrText>
          </w:r>
          <w:r>
            <w:rPr>
              <w:rFonts w:hint="eastAsia" w:ascii="宋体" w:hAnsi="宋体" w:cs="宋体"/>
              <w:highlight w:val="none"/>
            </w:rPr>
            <w:fldChar w:fldCharType="separate"/>
          </w:r>
          <w:r>
            <w:rPr>
              <w:rFonts w:hint="eastAsia" w:ascii="Times New Roman" w:hAnsi="Times New Roman" w:cs="Times New Roman"/>
              <w:bCs/>
              <w:szCs w:val="21"/>
              <w:highlight w:val="none"/>
              <w:lang w:val="en-US" w:eastAsia="zh-CN"/>
            </w:rPr>
            <w:t>十一：其他</w:t>
          </w:r>
          <w:r>
            <w:rPr>
              <w:highlight w:val="none"/>
            </w:rPr>
            <w:tab/>
          </w:r>
          <w:r>
            <w:rPr>
              <w:highlight w:val="none"/>
            </w:rPr>
            <w:fldChar w:fldCharType="begin"/>
          </w:r>
          <w:r>
            <w:rPr>
              <w:highlight w:val="none"/>
            </w:rPr>
            <w:instrText xml:space="preserve"> PAGEREF _Toc1563 \h </w:instrText>
          </w:r>
          <w:r>
            <w:rPr>
              <w:highlight w:val="none"/>
            </w:rPr>
            <w:fldChar w:fldCharType="separate"/>
          </w:r>
          <w:r>
            <w:rPr>
              <w:highlight w:val="none"/>
            </w:rPr>
            <w:t>53</w:t>
          </w:r>
          <w:r>
            <w:rPr>
              <w:highlight w:val="none"/>
            </w:rPr>
            <w:fldChar w:fldCharType="end"/>
          </w:r>
          <w:r>
            <w:rPr>
              <w:rFonts w:hint="eastAsia" w:ascii="宋体" w:hAnsi="宋体" w:cs="宋体"/>
              <w:color w:val="auto"/>
              <w:highlight w:val="none"/>
            </w:rPr>
            <w:fldChar w:fldCharType="end"/>
          </w:r>
        </w:p>
        <w:p w14:paraId="4FAA3ECA">
          <w:pPr>
            <w:pStyle w:val="14"/>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_Toc17755 </w:instrText>
          </w:r>
          <w:r>
            <w:rPr>
              <w:rFonts w:hint="eastAsia" w:ascii="宋体" w:hAnsi="宋体" w:cs="宋体"/>
              <w:highlight w:val="none"/>
            </w:rPr>
            <w:fldChar w:fldCharType="separate"/>
          </w:r>
          <w:r>
            <w:rPr>
              <w:rFonts w:hint="eastAsia" w:ascii="宋体" w:hAnsi="宋体" w:cs="宋体"/>
              <w:szCs w:val="32"/>
              <w:highlight w:val="none"/>
            </w:rPr>
            <w:t>第六章 响应文件组成</w:t>
          </w:r>
          <w:r>
            <w:rPr>
              <w:highlight w:val="none"/>
            </w:rPr>
            <w:tab/>
          </w:r>
          <w:r>
            <w:rPr>
              <w:highlight w:val="none"/>
            </w:rPr>
            <w:fldChar w:fldCharType="begin"/>
          </w:r>
          <w:r>
            <w:rPr>
              <w:highlight w:val="none"/>
            </w:rPr>
            <w:instrText xml:space="preserve"> PAGEREF _Toc17755 \h </w:instrText>
          </w:r>
          <w:r>
            <w:rPr>
              <w:highlight w:val="none"/>
            </w:rPr>
            <w:fldChar w:fldCharType="separate"/>
          </w:r>
          <w:r>
            <w:rPr>
              <w:highlight w:val="none"/>
            </w:rPr>
            <w:t>58</w:t>
          </w:r>
          <w:r>
            <w:rPr>
              <w:highlight w:val="none"/>
            </w:rPr>
            <w:fldChar w:fldCharType="end"/>
          </w:r>
          <w:r>
            <w:rPr>
              <w:rFonts w:hint="eastAsia" w:ascii="宋体" w:hAnsi="宋体" w:cs="宋体"/>
              <w:color w:val="auto"/>
              <w:highlight w:val="none"/>
            </w:rPr>
            <w:fldChar w:fldCharType="end"/>
          </w:r>
        </w:p>
        <w:p w14:paraId="6988FC56">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_Toc25909 </w:instrText>
          </w:r>
          <w:r>
            <w:rPr>
              <w:rFonts w:hint="eastAsia" w:ascii="宋体" w:hAnsi="宋体" w:cs="宋体"/>
              <w:highlight w:val="none"/>
            </w:rPr>
            <w:fldChar w:fldCharType="separate"/>
          </w:r>
          <w:r>
            <w:rPr>
              <w:rFonts w:hint="eastAsia" w:ascii="宋体" w:hAnsi="宋体" w:cs="宋体"/>
              <w:szCs w:val="36"/>
              <w:highlight w:val="none"/>
            </w:rPr>
            <w:t>一、磋商响应声明</w:t>
          </w:r>
          <w:r>
            <w:rPr>
              <w:highlight w:val="none"/>
            </w:rPr>
            <w:tab/>
          </w:r>
          <w:r>
            <w:rPr>
              <w:highlight w:val="none"/>
            </w:rPr>
            <w:fldChar w:fldCharType="begin"/>
          </w:r>
          <w:r>
            <w:rPr>
              <w:highlight w:val="none"/>
            </w:rPr>
            <w:instrText xml:space="preserve"> PAGEREF _Toc25909 \h </w:instrText>
          </w:r>
          <w:r>
            <w:rPr>
              <w:highlight w:val="none"/>
            </w:rPr>
            <w:fldChar w:fldCharType="separate"/>
          </w:r>
          <w:r>
            <w:rPr>
              <w:highlight w:val="none"/>
            </w:rPr>
            <w:t>59</w:t>
          </w:r>
          <w:r>
            <w:rPr>
              <w:highlight w:val="none"/>
            </w:rPr>
            <w:fldChar w:fldCharType="end"/>
          </w:r>
          <w:r>
            <w:rPr>
              <w:rFonts w:hint="eastAsia" w:ascii="宋体" w:hAnsi="宋体" w:cs="宋体"/>
              <w:color w:val="auto"/>
              <w:highlight w:val="none"/>
            </w:rPr>
            <w:fldChar w:fldCharType="end"/>
          </w:r>
        </w:p>
        <w:p w14:paraId="53BC6E07">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_Toc25094 </w:instrText>
          </w:r>
          <w:r>
            <w:rPr>
              <w:rFonts w:hint="eastAsia" w:ascii="宋体" w:hAnsi="宋体" w:cs="宋体"/>
              <w:highlight w:val="none"/>
            </w:rPr>
            <w:fldChar w:fldCharType="separate"/>
          </w:r>
          <w:r>
            <w:rPr>
              <w:rFonts w:hint="eastAsia" w:ascii="宋体" w:hAnsi="宋体" w:cs="宋体"/>
              <w:szCs w:val="32"/>
              <w:highlight w:val="none"/>
            </w:rPr>
            <w:t>二、磋商保证金缴纳证明材料</w:t>
          </w:r>
          <w:r>
            <w:rPr>
              <w:highlight w:val="none"/>
            </w:rPr>
            <w:tab/>
          </w:r>
          <w:r>
            <w:rPr>
              <w:highlight w:val="none"/>
            </w:rPr>
            <w:fldChar w:fldCharType="begin"/>
          </w:r>
          <w:r>
            <w:rPr>
              <w:highlight w:val="none"/>
            </w:rPr>
            <w:instrText xml:space="preserve"> PAGEREF _Toc25094 \h </w:instrText>
          </w:r>
          <w:r>
            <w:rPr>
              <w:highlight w:val="none"/>
            </w:rPr>
            <w:fldChar w:fldCharType="separate"/>
          </w:r>
          <w:r>
            <w:rPr>
              <w:highlight w:val="none"/>
            </w:rPr>
            <w:t>63</w:t>
          </w:r>
          <w:r>
            <w:rPr>
              <w:highlight w:val="none"/>
            </w:rPr>
            <w:fldChar w:fldCharType="end"/>
          </w:r>
          <w:r>
            <w:rPr>
              <w:rFonts w:hint="eastAsia" w:ascii="宋体" w:hAnsi="宋体" w:cs="宋体"/>
              <w:color w:val="auto"/>
              <w:highlight w:val="none"/>
            </w:rPr>
            <w:fldChar w:fldCharType="end"/>
          </w:r>
        </w:p>
        <w:p w14:paraId="2DF906B6">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_Toc14058 </w:instrText>
          </w:r>
          <w:r>
            <w:rPr>
              <w:rFonts w:hint="eastAsia" w:ascii="宋体" w:hAnsi="宋体" w:cs="宋体"/>
              <w:highlight w:val="none"/>
            </w:rPr>
            <w:fldChar w:fldCharType="separate"/>
          </w:r>
          <w:r>
            <w:rPr>
              <w:rFonts w:hint="eastAsia" w:ascii="宋体" w:hAnsi="宋体" w:cs="宋体"/>
              <w:szCs w:val="32"/>
              <w:highlight w:val="none"/>
            </w:rPr>
            <w:t>三、供应商</w:t>
          </w:r>
          <w:r>
            <w:rPr>
              <w:rFonts w:hint="eastAsia" w:ascii="宋体" w:hAnsi="宋体" w:cs="宋体"/>
              <w:bCs/>
              <w:szCs w:val="32"/>
              <w:highlight w:val="none"/>
            </w:rPr>
            <w:t>的资格证明资料</w:t>
          </w:r>
          <w:r>
            <w:rPr>
              <w:highlight w:val="none"/>
            </w:rPr>
            <w:tab/>
          </w:r>
          <w:r>
            <w:rPr>
              <w:highlight w:val="none"/>
            </w:rPr>
            <w:fldChar w:fldCharType="begin"/>
          </w:r>
          <w:r>
            <w:rPr>
              <w:highlight w:val="none"/>
            </w:rPr>
            <w:instrText xml:space="preserve"> PAGEREF _Toc14058 \h </w:instrText>
          </w:r>
          <w:r>
            <w:rPr>
              <w:highlight w:val="none"/>
            </w:rPr>
            <w:fldChar w:fldCharType="separate"/>
          </w:r>
          <w:r>
            <w:rPr>
              <w:highlight w:val="none"/>
            </w:rPr>
            <w:t>64</w:t>
          </w:r>
          <w:r>
            <w:rPr>
              <w:highlight w:val="none"/>
            </w:rPr>
            <w:fldChar w:fldCharType="end"/>
          </w:r>
          <w:r>
            <w:rPr>
              <w:rFonts w:hint="eastAsia" w:ascii="宋体" w:hAnsi="宋体" w:cs="宋体"/>
              <w:color w:val="auto"/>
              <w:highlight w:val="none"/>
            </w:rPr>
            <w:fldChar w:fldCharType="end"/>
          </w:r>
        </w:p>
        <w:p w14:paraId="38121B2E">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_Toc29926 </w:instrText>
          </w:r>
          <w:r>
            <w:rPr>
              <w:rFonts w:hint="eastAsia" w:ascii="宋体" w:hAnsi="宋体" w:cs="宋体"/>
              <w:highlight w:val="none"/>
            </w:rPr>
            <w:fldChar w:fldCharType="separate"/>
          </w:r>
          <w:r>
            <w:rPr>
              <w:rFonts w:hint="eastAsia" w:ascii="宋体" w:hAnsi="宋体" w:cs="宋体"/>
              <w:szCs w:val="32"/>
              <w:highlight w:val="none"/>
            </w:rPr>
            <w:t>四、技术方案</w:t>
          </w:r>
          <w:r>
            <w:rPr>
              <w:highlight w:val="none"/>
            </w:rPr>
            <w:tab/>
          </w:r>
          <w:r>
            <w:rPr>
              <w:highlight w:val="none"/>
            </w:rPr>
            <w:fldChar w:fldCharType="begin"/>
          </w:r>
          <w:r>
            <w:rPr>
              <w:highlight w:val="none"/>
            </w:rPr>
            <w:instrText xml:space="preserve"> PAGEREF _Toc29926 \h </w:instrText>
          </w:r>
          <w:r>
            <w:rPr>
              <w:highlight w:val="none"/>
            </w:rPr>
            <w:fldChar w:fldCharType="separate"/>
          </w:r>
          <w:r>
            <w:rPr>
              <w:highlight w:val="none"/>
            </w:rPr>
            <w:t>69</w:t>
          </w:r>
          <w:r>
            <w:rPr>
              <w:highlight w:val="none"/>
            </w:rPr>
            <w:fldChar w:fldCharType="end"/>
          </w:r>
          <w:r>
            <w:rPr>
              <w:rFonts w:hint="eastAsia" w:ascii="宋体" w:hAnsi="宋体" w:cs="宋体"/>
              <w:color w:val="auto"/>
              <w:highlight w:val="none"/>
            </w:rPr>
            <w:fldChar w:fldCharType="end"/>
          </w:r>
        </w:p>
        <w:p w14:paraId="195743BA">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_Toc26858 </w:instrText>
          </w:r>
          <w:r>
            <w:rPr>
              <w:rFonts w:hint="eastAsia" w:ascii="宋体" w:hAnsi="宋体" w:cs="宋体"/>
              <w:highlight w:val="none"/>
            </w:rPr>
            <w:fldChar w:fldCharType="separate"/>
          </w:r>
          <w:r>
            <w:rPr>
              <w:rFonts w:hint="eastAsia" w:ascii="宋体" w:hAnsi="宋体" w:cs="宋体"/>
              <w:szCs w:val="30"/>
              <w:highlight w:val="none"/>
            </w:rPr>
            <w:t>五、技术/商务响应与偏离表</w:t>
          </w:r>
          <w:r>
            <w:rPr>
              <w:highlight w:val="none"/>
            </w:rPr>
            <w:tab/>
          </w:r>
          <w:r>
            <w:rPr>
              <w:highlight w:val="none"/>
            </w:rPr>
            <w:fldChar w:fldCharType="begin"/>
          </w:r>
          <w:r>
            <w:rPr>
              <w:highlight w:val="none"/>
            </w:rPr>
            <w:instrText xml:space="preserve"> PAGEREF _Toc26858 \h </w:instrText>
          </w:r>
          <w:r>
            <w:rPr>
              <w:highlight w:val="none"/>
            </w:rPr>
            <w:fldChar w:fldCharType="separate"/>
          </w:r>
          <w:r>
            <w:rPr>
              <w:highlight w:val="none"/>
            </w:rPr>
            <w:t>72</w:t>
          </w:r>
          <w:r>
            <w:rPr>
              <w:highlight w:val="none"/>
            </w:rPr>
            <w:fldChar w:fldCharType="end"/>
          </w:r>
          <w:r>
            <w:rPr>
              <w:rFonts w:hint="eastAsia" w:ascii="宋体" w:hAnsi="宋体" w:cs="宋体"/>
              <w:color w:val="auto"/>
              <w:highlight w:val="none"/>
            </w:rPr>
            <w:fldChar w:fldCharType="end"/>
          </w:r>
        </w:p>
        <w:p w14:paraId="1AE25AA9">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_Toc5927 </w:instrText>
          </w:r>
          <w:r>
            <w:rPr>
              <w:rFonts w:hint="eastAsia" w:ascii="宋体" w:hAnsi="宋体" w:cs="宋体"/>
              <w:highlight w:val="none"/>
            </w:rPr>
            <w:fldChar w:fldCharType="separate"/>
          </w:r>
          <w:r>
            <w:rPr>
              <w:rFonts w:hint="eastAsia" w:ascii="宋体" w:hAnsi="宋体" w:cs="宋体"/>
              <w:szCs w:val="30"/>
              <w:highlight w:val="none"/>
            </w:rPr>
            <w:t>六、提供享受政府采购政策的证明材料</w:t>
          </w:r>
          <w:r>
            <w:rPr>
              <w:highlight w:val="none"/>
            </w:rPr>
            <w:tab/>
          </w:r>
          <w:r>
            <w:rPr>
              <w:highlight w:val="none"/>
            </w:rPr>
            <w:fldChar w:fldCharType="begin"/>
          </w:r>
          <w:r>
            <w:rPr>
              <w:highlight w:val="none"/>
            </w:rPr>
            <w:instrText xml:space="preserve"> PAGEREF _Toc5927 \h </w:instrText>
          </w:r>
          <w:r>
            <w:rPr>
              <w:highlight w:val="none"/>
            </w:rPr>
            <w:fldChar w:fldCharType="separate"/>
          </w:r>
          <w:r>
            <w:rPr>
              <w:highlight w:val="none"/>
            </w:rPr>
            <w:t>73</w:t>
          </w:r>
          <w:r>
            <w:rPr>
              <w:highlight w:val="none"/>
            </w:rPr>
            <w:fldChar w:fldCharType="end"/>
          </w:r>
          <w:r>
            <w:rPr>
              <w:rFonts w:hint="eastAsia" w:ascii="宋体" w:hAnsi="宋体" w:cs="宋体"/>
              <w:color w:val="auto"/>
              <w:highlight w:val="none"/>
            </w:rPr>
            <w:fldChar w:fldCharType="end"/>
          </w:r>
        </w:p>
        <w:p w14:paraId="1535118A">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_Toc28930 </w:instrText>
          </w:r>
          <w:r>
            <w:rPr>
              <w:rFonts w:hint="eastAsia" w:ascii="宋体" w:hAnsi="宋体" w:cs="宋体"/>
              <w:highlight w:val="none"/>
            </w:rPr>
            <w:fldChar w:fldCharType="separate"/>
          </w:r>
          <w:r>
            <w:rPr>
              <w:rFonts w:hint="eastAsia" w:ascii="宋体" w:hAnsi="宋体" w:cs="宋体"/>
              <w:bCs/>
              <w:szCs w:val="32"/>
              <w:highlight w:val="none"/>
            </w:rPr>
            <w:t>七、</w:t>
          </w:r>
          <w:r>
            <w:rPr>
              <w:rFonts w:hint="eastAsia" w:ascii="宋体" w:hAnsi="宋体" w:cs="宋体"/>
              <w:szCs w:val="32"/>
              <w:highlight w:val="none"/>
            </w:rPr>
            <w:t>报价一览表及报价文件</w:t>
          </w:r>
          <w:r>
            <w:rPr>
              <w:highlight w:val="none"/>
            </w:rPr>
            <w:tab/>
          </w:r>
          <w:r>
            <w:rPr>
              <w:highlight w:val="none"/>
            </w:rPr>
            <w:fldChar w:fldCharType="begin"/>
          </w:r>
          <w:r>
            <w:rPr>
              <w:highlight w:val="none"/>
            </w:rPr>
            <w:instrText xml:space="preserve"> PAGEREF _Toc28930 \h </w:instrText>
          </w:r>
          <w:r>
            <w:rPr>
              <w:highlight w:val="none"/>
            </w:rPr>
            <w:fldChar w:fldCharType="separate"/>
          </w:r>
          <w:r>
            <w:rPr>
              <w:highlight w:val="none"/>
            </w:rPr>
            <w:t>84</w:t>
          </w:r>
          <w:r>
            <w:rPr>
              <w:highlight w:val="none"/>
            </w:rPr>
            <w:fldChar w:fldCharType="end"/>
          </w:r>
          <w:r>
            <w:rPr>
              <w:rFonts w:hint="eastAsia" w:ascii="宋体" w:hAnsi="宋体" w:cs="宋体"/>
              <w:color w:val="auto"/>
              <w:highlight w:val="none"/>
            </w:rPr>
            <w:fldChar w:fldCharType="end"/>
          </w:r>
        </w:p>
        <w:p w14:paraId="5FADED24">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_Toc27499 </w:instrText>
          </w:r>
          <w:r>
            <w:rPr>
              <w:rFonts w:hint="eastAsia" w:ascii="宋体" w:hAnsi="宋体" w:cs="宋体"/>
              <w:highlight w:val="none"/>
            </w:rPr>
            <w:fldChar w:fldCharType="separate"/>
          </w:r>
          <w:r>
            <w:rPr>
              <w:rFonts w:hint="eastAsia" w:ascii="宋体" w:hAnsi="宋体" w:eastAsia="宋体" w:cs="Times New Roman"/>
              <w:bCs/>
              <w:kern w:val="2"/>
              <w:szCs w:val="32"/>
              <w:highlight w:val="none"/>
              <w:lang w:val="en-US" w:eastAsia="zh-CN" w:bidi="ar-SA"/>
            </w:rPr>
            <w:t>八、</w:t>
          </w:r>
          <w:r>
            <w:rPr>
              <w:rFonts w:hint="eastAsia" w:ascii="宋体" w:hAnsi="宋体" w:cs="宋体"/>
              <w:bCs/>
              <w:szCs w:val="32"/>
              <w:highlight w:val="none"/>
            </w:rPr>
            <w:t>供应商认为需要提供的其它资料</w:t>
          </w:r>
          <w:r>
            <w:rPr>
              <w:highlight w:val="none"/>
            </w:rPr>
            <w:tab/>
          </w:r>
          <w:r>
            <w:rPr>
              <w:highlight w:val="none"/>
            </w:rPr>
            <w:fldChar w:fldCharType="begin"/>
          </w:r>
          <w:r>
            <w:rPr>
              <w:highlight w:val="none"/>
            </w:rPr>
            <w:instrText xml:space="preserve"> PAGEREF _Toc27499 \h </w:instrText>
          </w:r>
          <w:r>
            <w:rPr>
              <w:highlight w:val="none"/>
            </w:rPr>
            <w:fldChar w:fldCharType="separate"/>
          </w:r>
          <w:r>
            <w:rPr>
              <w:highlight w:val="none"/>
            </w:rPr>
            <w:t>86</w:t>
          </w:r>
          <w:r>
            <w:rPr>
              <w:highlight w:val="none"/>
            </w:rPr>
            <w:fldChar w:fldCharType="end"/>
          </w:r>
          <w:r>
            <w:rPr>
              <w:rFonts w:hint="eastAsia" w:ascii="宋体" w:hAnsi="宋体" w:cs="宋体"/>
              <w:color w:val="auto"/>
              <w:highlight w:val="none"/>
            </w:rPr>
            <w:fldChar w:fldCharType="end"/>
          </w:r>
        </w:p>
        <w:p w14:paraId="10697FF7">
          <w:pPr>
            <w:pStyle w:val="15"/>
            <w:tabs>
              <w:tab w:val="right" w:leader="dot" w:pos="8306"/>
            </w:tabs>
            <w:rPr>
              <w:highlight w:val="none"/>
            </w:rPr>
          </w:pPr>
          <w:r>
            <w:rPr>
              <w:rFonts w:hint="eastAsia" w:ascii="宋体" w:hAnsi="宋体" w:cs="宋体"/>
              <w:color w:val="auto"/>
              <w:highlight w:val="none"/>
            </w:rPr>
            <w:fldChar w:fldCharType="begin"/>
          </w:r>
          <w:r>
            <w:rPr>
              <w:rFonts w:hint="eastAsia" w:ascii="宋体" w:hAnsi="宋体" w:cs="宋体"/>
              <w:highlight w:val="none"/>
            </w:rPr>
            <w:instrText xml:space="preserve"> HYPERLINK \l _Toc816 </w:instrText>
          </w:r>
          <w:r>
            <w:rPr>
              <w:rFonts w:hint="eastAsia" w:ascii="宋体" w:hAnsi="宋体" w:cs="宋体"/>
              <w:highlight w:val="none"/>
            </w:rPr>
            <w:fldChar w:fldCharType="separate"/>
          </w:r>
          <w:r>
            <w:rPr>
              <w:rFonts w:hint="eastAsia" w:ascii="宋体" w:hAnsi="宋体" w:cs="宋体"/>
              <w:szCs w:val="32"/>
              <w:highlight w:val="none"/>
            </w:rPr>
            <w:t>九、最后报价</w:t>
          </w:r>
          <w:r>
            <w:rPr>
              <w:highlight w:val="none"/>
            </w:rPr>
            <w:tab/>
          </w:r>
          <w:r>
            <w:rPr>
              <w:highlight w:val="none"/>
            </w:rPr>
            <w:fldChar w:fldCharType="begin"/>
          </w:r>
          <w:r>
            <w:rPr>
              <w:highlight w:val="none"/>
            </w:rPr>
            <w:instrText xml:space="preserve"> PAGEREF _Toc816 \h </w:instrText>
          </w:r>
          <w:r>
            <w:rPr>
              <w:highlight w:val="none"/>
            </w:rPr>
            <w:fldChar w:fldCharType="separate"/>
          </w:r>
          <w:r>
            <w:rPr>
              <w:highlight w:val="none"/>
            </w:rPr>
            <w:t>87</w:t>
          </w:r>
          <w:r>
            <w:rPr>
              <w:highlight w:val="none"/>
            </w:rPr>
            <w:fldChar w:fldCharType="end"/>
          </w:r>
          <w:r>
            <w:rPr>
              <w:rFonts w:hint="eastAsia" w:ascii="宋体" w:hAnsi="宋体" w:cs="宋体"/>
              <w:color w:val="auto"/>
              <w:highlight w:val="none"/>
            </w:rPr>
            <w:fldChar w:fldCharType="end"/>
          </w:r>
        </w:p>
        <w:p w14:paraId="47039F9C">
          <w:pPr>
            <w:spacing w:before="480" w:beforeLines="200" w:after="480" w:afterLines="200" w:line="700" w:lineRule="exact"/>
            <w:rPr>
              <w:rFonts w:hint="eastAsia" w:ascii="宋体" w:hAnsi="宋体" w:cs="宋体"/>
              <w:b/>
              <w:color w:val="auto"/>
              <w:sz w:val="24"/>
              <w:highlight w:val="none"/>
            </w:rPr>
          </w:pPr>
          <w:r>
            <w:rPr>
              <w:rFonts w:hint="eastAsia" w:ascii="宋体" w:hAnsi="宋体" w:cs="宋体"/>
              <w:color w:val="auto"/>
              <w:highlight w:val="none"/>
            </w:rPr>
            <w:fldChar w:fldCharType="end"/>
          </w:r>
        </w:p>
      </w:sdtContent>
    </w:sdt>
    <w:p w14:paraId="04B63AA4">
      <w:pPr>
        <w:tabs>
          <w:tab w:val="center" w:pos="4422"/>
        </w:tabs>
        <w:jc w:val="left"/>
        <w:rPr>
          <w:rFonts w:hint="eastAsia" w:ascii="宋体" w:hAnsi="宋体" w:cs="宋体"/>
          <w:color w:val="auto"/>
          <w:highlight w:val="none"/>
        </w:rPr>
        <w:sectPr>
          <w:footerReference r:id="rId5" w:type="default"/>
          <w:pgSz w:w="11906" w:h="16838"/>
          <w:pgMar w:top="1440" w:right="1800" w:bottom="1440" w:left="1800" w:header="851" w:footer="992" w:gutter="0"/>
          <w:pgNumType w:start="1"/>
          <w:cols w:space="0" w:num="1"/>
          <w:docGrid w:linePitch="312" w:charSpace="0"/>
        </w:sectPr>
      </w:pPr>
    </w:p>
    <w:p w14:paraId="2498E3AB">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宋体" w:hAnsi="宋体" w:cs="宋体"/>
          <w:color w:val="auto"/>
          <w:highlight w:val="none"/>
        </w:rPr>
      </w:pPr>
      <w:bookmarkStart w:id="5" w:name="_Toc11260"/>
      <w:bookmarkStart w:id="6" w:name="_Toc32694"/>
      <w:r>
        <w:rPr>
          <w:rFonts w:hint="eastAsia" w:ascii="宋体" w:hAnsi="宋体" w:cs="宋体"/>
          <w:b/>
          <w:bCs/>
          <w:color w:val="auto"/>
          <w:sz w:val="30"/>
          <w:szCs w:val="30"/>
          <w:highlight w:val="none"/>
        </w:rPr>
        <w:t>第一章 磋商通知</w:t>
      </w:r>
      <w:bookmarkEnd w:id="5"/>
    </w:p>
    <w:bookmarkEnd w:id="6"/>
    <w:p w14:paraId="08F9AE85">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u w:val="single"/>
          <w:lang w:bidi="ar"/>
        </w:rPr>
        <w:t>湖南铁道职业技术学院</w:t>
      </w:r>
      <w:r>
        <w:rPr>
          <w:rFonts w:hint="eastAsia" w:ascii="宋体" w:hAnsi="宋体" w:eastAsia="宋体" w:cs="宋体"/>
          <w:color w:val="auto"/>
          <w:kern w:val="0"/>
          <w:sz w:val="21"/>
          <w:szCs w:val="21"/>
          <w:highlight w:val="none"/>
          <w:lang w:bidi="ar"/>
        </w:rPr>
        <w:t xml:space="preserve"> 的 </w:t>
      </w:r>
      <w:r>
        <w:rPr>
          <w:rFonts w:hint="eastAsia" w:ascii="宋体" w:hAnsi="宋体" w:cs="宋体"/>
          <w:color w:val="auto"/>
          <w:kern w:val="0"/>
          <w:sz w:val="21"/>
          <w:szCs w:val="21"/>
          <w:highlight w:val="none"/>
          <w:u w:val="single"/>
          <w:lang w:eastAsia="zh-CN" w:bidi="ar"/>
        </w:rPr>
        <w:t>现代网络技术实训室</w:t>
      </w:r>
      <w:r>
        <w:rPr>
          <w:rFonts w:hint="eastAsia" w:ascii="宋体" w:hAnsi="宋体" w:eastAsia="宋体" w:cs="宋体"/>
          <w:color w:val="auto"/>
          <w:kern w:val="0"/>
          <w:sz w:val="21"/>
          <w:szCs w:val="21"/>
          <w:highlight w:val="none"/>
          <w:lang w:bidi="ar"/>
        </w:rPr>
        <w:t xml:space="preserve"> 进行采购，现邀请合格投标人参加投标。</w:t>
      </w:r>
    </w:p>
    <w:p w14:paraId="7F0438CF">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outlineLvl w:val="1"/>
        <w:rPr>
          <w:rFonts w:hint="eastAsia" w:ascii="宋体" w:hAnsi="宋体" w:eastAsia="宋体" w:cs="宋体"/>
          <w:b/>
          <w:bCs/>
          <w:color w:val="auto"/>
          <w:kern w:val="0"/>
          <w:sz w:val="21"/>
          <w:szCs w:val="21"/>
          <w:highlight w:val="none"/>
          <w:lang w:bidi="ar"/>
        </w:rPr>
      </w:pPr>
      <w:bookmarkStart w:id="7" w:name="_Toc4432"/>
      <w:r>
        <w:rPr>
          <w:rFonts w:hint="eastAsia" w:ascii="宋体" w:hAnsi="宋体" w:eastAsia="宋体" w:cs="宋体"/>
          <w:b/>
          <w:bCs/>
          <w:color w:val="auto"/>
          <w:kern w:val="0"/>
          <w:sz w:val="21"/>
          <w:szCs w:val="21"/>
          <w:highlight w:val="none"/>
          <w:lang w:bidi="ar"/>
        </w:rPr>
        <w:t>一、采购项目基本信息</w:t>
      </w:r>
      <w:bookmarkEnd w:id="7"/>
    </w:p>
    <w:p w14:paraId="60BD9A36">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1、采购项目名称：</w:t>
      </w:r>
      <w:r>
        <w:rPr>
          <w:rFonts w:hint="eastAsia" w:ascii="宋体" w:hAnsi="宋体" w:cs="宋体"/>
          <w:color w:val="auto"/>
          <w:kern w:val="0"/>
          <w:sz w:val="21"/>
          <w:szCs w:val="21"/>
          <w:highlight w:val="none"/>
          <w:lang w:eastAsia="zh-CN" w:bidi="ar"/>
        </w:rPr>
        <w:t>现代网络技术实训室</w:t>
      </w:r>
    </w:p>
    <w:p w14:paraId="07FB88F8">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2、政府采购计划编号：</w:t>
      </w:r>
      <w:r>
        <w:rPr>
          <w:rFonts w:hint="eastAsia" w:ascii="宋体" w:hAnsi="宋体" w:cs="宋体"/>
          <w:color w:val="auto"/>
          <w:kern w:val="0"/>
          <w:sz w:val="21"/>
          <w:szCs w:val="21"/>
          <w:highlight w:val="none"/>
          <w:lang w:eastAsia="zh-CN" w:bidi="ar"/>
        </w:rPr>
        <w:t>(2026)430000003087-1</w:t>
      </w:r>
    </w:p>
    <w:p w14:paraId="6026118F">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3、委托代理编号：</w:t>
      </w:r>
      <w:r>
        <w:rPr>
          <w:rFonts w:hint="eastAsia" w:ascii="宋体" w:hAnsi="宋体" w:cs="宋体"/>
          <w:color w:val="auto"/>
          <w:kern w:val="0"/>
          <w:sz w:val="21"/>
          <w:szCs w:val="21"/>
          <w:highlight w:val="none"/>
          <w:lang w:eastAsia="zh-CN" w:bidi="ar"/>
        </w:rPr>
        <w:t>HNZZ-ZF-20261045</w:t>
      </w:r>
    </w:p>
    <w:p w14:paraId="756FCB86">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4、采购项目预算：</w:t>
      </w:r>
      <w:r>
        <w:rPr>
          <w:rFonts w:hint="eastAsia" w:ascii="宋体" w:hAnsi="宋体" w:cs="宋体"/>
          <w:color w:val="auto"/>
          <w:kern w:val="0"/>
          <w:sz w:val="21"/>
          <w:szCs w:val="21"/>
          <w:highlight w:val="none"/>
          <w:lang w:val="en-US" w:eastAsia="zh-CN" w:bidi="ar"/>
        </w:rPr>
        <w:t>570651.00</w:t>
      </w:r>
      <w:r>
        <w:rPr>
          <w:rFonts w:hint="eastAsia" w:ascii="宋体" w:hAnsi="宋体" w:eastAsia="宋体" w:cs="宋体"/>
          <w:color w:val="auto"/>
          <w:kern w:val="0"/>
          <w:sz w:val="21"/>
          <w:szCs w:val="21"/>
          <w:highlight w:val="none"/>
          <w:lang w:bidi="ar"/>
        </w:rPr>
        <w:t>元</w:t>
      </w:r>
    </w:p>
    <w:p w14:paraId="4A54CA98">
      <w:pPr>
        <w:keepNext w:val="0"/>
        <w:keepLines w:val="0"/>
        <w:pageBreakBefore w:val="0"/>
        <w:widowControl/>
        <w:kinsoku/>
        <w:wordWrap/>
        <w:overflowPunct/>
        <w:topLinePunct w:val="0"/>
        <w:autoSpaceDE/>
        <w:autoSpaceDN/>
        <w:bidi w:val="0"/>
        <w:adjustRightInd/>
        <w:snapToGrid/>
        <w:spacing w:line="360" w:lineRule="auto"/>
        <w:ind w:firstLine="840"/>
        <w:jc w:val="left"/>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kern w:val="0"/>
          <w:sz w:val="21"/>
          <w:szCs w:val="21"/>
          <w:highlight w:val="none"/>
          <w:lang w:bidi="ar"/>
        </w:rPr>
        <w:t>支持预付款，预付比例：</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cs="宋体"/>
          <w:color w:val="auto"/>
          <w:kern w:val="0"/>
          <w:sz w:val="21"/>
          <w:szCs w:val="21"/>
          <w:highlight w:val="none"/>
          <w:u w:val="none"/>
          <w:lang w:val="en-US" w:eastAsia="zh-CN" w:bidi="ar"/>
        </w:rPr>
        <w:t>%</w:t>
      </w:r>
    </w:p>
    <w:p w14:paraId="702A3A40">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5、本项目对应的中小企业划分标准所属行业：</w:t>
      </w:r>
      <w:r>
        <w:rPr>
          <w:rFonts w:hint="eastAsia" w:ascii="宋体" w:hAnsi="宋体" w:eastAsia="宋体" w:cs="宋体"/>
          <w:color w:val="auto"/>
          <w:kern w:val="0"/>
          <w:sz w:val="21"/>
          <w:szCs w:val="21"/>
          <w:highlight w:val="none"/>
          <w:u w:val="single"/>
          <w:lang w:eastAsia="zh-CN" w:bidi="ar"/>
        </w:rPr>
        <w:t>工业</w:t>
      </w:r>
    </w:p>
    <w:p w14:paraId="3EB5C8F4">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6、评标方法：</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kern w:val="0"/>
          <w:sz w:val="21"/>
          <w:szCs w:val="21"/>
          <w:highlight w:val="none"/>
          <w:lang w:bidi="ar"/>
        </w:rPr>
        <w:t xml:space="preserve">最低价法 </w:t>
      </w:r>
      <w:r>
        <w:rPr>
          <w:rFonts w:hint="eastAsia" w:ascii="宋体" w:hAnsi="宋体" w:cs="宋体"/>
          <w:color w:val="auto"/>
          <w:sz w:val="21"/>
          <w:szCs w:val="21"/>
          <w:highlight w:val="none"/>
          <w:lang w:eastAsia="zh-CN" w:bidi="ar"/>
        </w:rPr>
        <w:t>■</w:t>
      </w:r>
      <w:r>
        <w:rPr>
          <w:rFonts w:hint="eastAsia" w:ascii="宋体" w:hAnsi="宋体" w:eastAsia="宋体" w:cs="宋体"/>
          <w:color w:val="auto"/>
          <w:kern w:val="0"/>
          <w:sz w:val="21"/>
          <w:szCs w:val="21"/>
          <w:highlight w:val="none"/>
          <w:lang w:bidi="ar"/>
        </w:rPr>
        <w:t>综合评分法</w:t>
      </w:r>
    </w:p>
    <w:p w14:paraId="6EA3E95B">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7、合同定价方式： </w:t>
      </w:r>
      <w:r>
        <w:rPr>
          <w:rFonts w:hint="eastAsia" w:ascii="宋体" w:hAnsi="宋体" w:cs="宋体"/>
          <w:color w:val="auto"/>
          <w:sz w:val="21"/>
          <w:szCs w:val="21"/>
          <w:highlight w:val="none"/>
          <w:lang w:eastAsia="zh-CN" w:bidi="ar"/>
        </w:rPr>
        <w:t>■</w:t>
      </w:r>
      <w:r>
        <w:rPr>
          <w:rFonts w:hint="eastAsia" w:ascii="宋体" w:hAnsi="宋体" w:eastAsia="宋体" w:cs="宋体"/>
          <w:color w:val="auto"/>
          <w:kern w:val="0"/>
          <w:sz w:val="21"/>
          <w:szCs w:val="21"/>
          <w:highlight w:val="none"/>
          <w:lang w:bidi="ar"/>
        </w:rPr>
        <w:t xml:space="preserve">固定总价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kern w:val="0"/>
          <w:sz w:val="21"/>
          <w:szCs w:val="21"/>
          <w:highlight w:val="none"/>
          <w:lang w:bidi="ar"/>
        </w:rPr>
        <w:t xml:space="preserve">固定单价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kern w:val="0"/>
          <w:sz w:val="21"/>
          <w:szCs w:val="21"/>
          <w:highlight w:val="none"/>
          <w:lang w:bidi="ar"/>
        </w:rPr>
        <w:t xml:space="preserve">成本补偿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kern w:val="0"/>
          <w:sz w:val="21"/>
          <w:szCs w:val="21"/>
          <w:highlight w:val="none"/>
          <w:lang w:bidi="ar"/>
        </w:rPr>
        <w:t xml:space="preserve">绩效激励 </w:t>
      </w:r>
    </w:p>
    <w:p w14:paraId="1BE6EB35">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bidi="ar"/>
        </w:rPr>
        <w:t>8、合同履行期限：合同履行时间为30天</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val="en-US" w:eastAsia="zh-CN" w:bidi="ar"/>
        </w:rPr>
        <w:t>详见采购需求。</w:t>
      </w:r>
    </w:p>
    <w:p w14:paraId="1CC55BF9">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9、本项目分阶段要求投标人提供以下保证：</w:t>
      </w:r>
    </w:p>
    <w:p w14:paraId="49B51CA7">
      <w:pPr>
        <w:keepNext w:val="0"/>
        <w:keepLines w:val="0"/>
        <w:pageBreakBefore w:val="0"/>
        <w:widowControl/>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投标保证金：采购项目预算的</w:t>
      </w:r>
      <w:r>
        <w:rPr>
          <w:rFonts w:hint="eastAsia" w:ascii="宋体" w:hAnsi="宋体" w:cs="宋体"/>
          <w:color w:val="auto"/>
          <w:kern w:val="0"/>
          <w:sz w:val="21"/>
          <w:szCs w:val="21"/>
          <w:highlight w:val="none"/>
          <w:u w:val="single"/>
          <w:lang w:val="en-US" w:eastAsia="zh-CN" w:bidi="ar"/>
        </w:rPr>
        <w:t xml:space="preserve"> 1.76</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 xml:space="preserve">%； </w:t>
      </w:r>
    </w:p>
    <w:p w14:paraId="52F5AE22">
      <w:pPr>
        <w:keepNext w:val="0"/>
        <w:keepLines w:val="0"/>
        <w:pageBreakBefore w:val="0"/>
        <w:widowControl/>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履约保证金：中标金额的</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lang w:bidi="ar"/>
        </w:rPr>
        <w:t>%；</w:t>
      </w:r>
    </w:p>
    <w:p w14:paraId="45160FB1">
      <w:pPr>
        <w:keepNext w:val="0"/>
        <w:keepLines w:val="0"/>
        <w:pageBreakBefore w:val="0"/>
        <w:widowControl/>
        <w:kinsoku/>
        <w:wordWrap/>
        <w:overflowPunct/>
        <w:topLinePunct w:val="0"/>
        <w:autoSpaceDE/>
        <w:autoSpaceDN/>
        <w:bidi w:val="0"/>
        <w:adjustRightInd/>
        <w:snapToGrid/>
        <w:spacing w:line="360" w:lineRule="auto"/>
        <w:ind w:firstLine="84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质量保证金：合同金额的</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lang w:bidi="ar"/>
        </w:rPr>
        <w:t>%；</w:t>
      </w:r>
    </w:p>
    <w:p w14:paraId="2E9ED1EA">
      <w:pPr>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color w:val="auto"/>
          <w:kern w:val="0"/>
          <w:sz w:val="21"/>
          <w:szCs w:val="21"/>
          <w:highlight w:val="none"/>
          <w:lang w:bidi="ar"/>
        </w:rPr>
      </w:pPr>
      <w:bookmarkStart w:id="8" w:name="_Toc5053"/>
      <w:r>
        <w:rPr>
          <w:rFonts w:hint="eastAsia" w:ascii="宋体" w:hAnsi="宋体" w:eastAsia="宋体" w:cs="宋体"/>
          <w:b/>
          <w:bCs/>
          <w:color w:val="auto"/>
          <w:kern w:val="0"/>
          <w:sz w:val="21"/>
          <w:szCs w:val="21"/>
          <w:highlight w:val="none"/>
          <w:lang w:bidi="ar"/>
        </w:rPr>
        <w:t>二、采购人的采购需求</w:t>
      </w:r>
      <w:bookmarkEnd w:id="8"/>
    </w:p>
    <w:tbl>
      <w:tblPr>
        <w:tblStyle w:val="18"/>
        <w:tblW w:w="4984"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3"/>
        <w:gridCol w:w="1125"/>
        <w:gridCol w:w="1151"/>
        <w:gridCol w:w="1060"/>
        <w:gridCol w:w="611"/>
        <w:gridCol w:w="1407"/>
        <w:gridCol w:w="902"/>
        <w:gridCol w:w="902"/>
      </w:tblGrid>
      <w:tr w14:paraId="1227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88" w:type="pct"/>
            <w:shd w:val="clear" w:color="auto" w:fill="auto"/>
            <w:noWrap/>
            <w:vAlign w:val="center"/>
          </w:tcPr>
          <w:p w14:paraId="1EC8C1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包名称</w:t>
            </w:r>
          </w:p>
        </w:tc>
        <w:tc>
          <w:tcPr>
            <w:tcW w:w="677" w:type="pct"/>
            <w:shd w:val="clear" w:color="auto" w:fill="auto"/>
            <w:noWrap/>
            <w:vAlign w:val="center"/>
          </w:tcPr>
          <w:p w14:paraId="589459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最高限价（元）</w:t>
            </w:r>
          </w:p>
        </w:tc>
        <w:tc>
          <w:tcPr>
            <w:tcW w:w="693" w:type="pct"/>
            <w:shd w:val="clear" w:color="auto" w:fill="auto"/>
            <w:noWrap/>
            <w:vAlign w:val="center"/>
          </w:tcPr>
          <w:p w14:paraId="765E9E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标的名称</w:t>
            </w:r>
          </w:p>
        </w:tc>
        <w:tc>
          <w:tcPr>
            <w:tcW w:w="638" w:type="pct"/>
            <w:shd w:val="clear" w:color="auto" w:fill="auto"/>
            <w:noWrap/>
            <w:vAlign w:val="center"/>
          </w:tcPr>
          <w:p w14:paraId="5594C7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简要技术要求</w:t>
            </w:r>
          </w:p>
        </w:tc>
        <w:tc>
          <w:tcPr>
            <w:tcW w:w="368" w:type="pct"/>
            <w:shd w:val="clear" w:color="auto" w:fill="auto"/>
            <w:noWrap/>
            <w:vAlign w:val="center"/>
          </w:tcPr>
          <w:p w14:paraId="50D931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数量</w:t>
            </w:r>
          </w:p>
        </w:tc>
        <w:tc>
          <w:tcPr>
            <w:tcW w:w="847" w:type="pct"/>
            <w:shd w:val="clear" w:color="auto" w:fill="auto"/>
            <w:noWrap/>
            <w:vAlign w:val="center"/>
          </w:tcPr>
          <w:p w14:paraId="1AC731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标的预算（元）</w:t>
            </w:r>
          </w:p>
        </w:tc>
        <w:tc>
          <w:tcPr>
            <w:tcW w:w="543" w:type="pct"/>
            <w:shd w:val="clear" w:color="auto" w:fill="auto"/>
            <w:noWrap/>
            <w:vAlign w:val="center"/>
          </w:tcPr>
          <w:p w14:paraId="42B19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节能产品</w:t>
            </w:r>
          </w:p>
        </w:tc>
        <w:tc>
          <w:tcPr>
            <w:tcW w:w="543" w:type="pct"/>
            <w:shd w:val="clear" w:color="auto" w:fill="auto"/>
            <w:noWrap/>
            <w:vAlign w:val="center"/>
          </w:tcPr>
          <w:p w14:paraId="4FFEB7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进口产品</w:t>
            </w:r>
          </w:p>
        </w:tc>
      </w:tr>
      <w:tr w14:paraId="3F8C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88" w:type="pct"/>
            <w:shd w:val="clear" w:color="auto" w:fill="auto"/>
            <w:vAlign w:val="center"/>
          </w:tcPr>
          <w:p w14:paraId="18BACB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现代网络技术实训室</w:t>
            </w:r>
          </w:p>
        </w:tc>
        <w:tc>
          <w:tcPr>
            <w:tcW w:w="677" w:type="pct"/>
            <w:shd w:val="clear" w:color="auto" w:fill="auto"/>
            <w:vAlign w:val="center"/>
          </w:tcPr>
          <w:p w14:paraId="04ABF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kern w:val="0"/>
                <w:sz w:val="21"/>
                <w:szCs w:val="21"/>
                <w:highlight w:val="none"/>
                <w:lang w:eastAsia="zh-CN" w:bidi="ar"/>
              </w:rPr>
              <w:t>570651.00</w:t>
            </w:r>
          </w:p>
        </w:tc>
        <w:tc>
          <w:tcPr>
            <w:tcW w:w="693" w:type="pct"/>
            <w:shd w:val="clear" w:color="auto" w:fill="auto"/>
            <w:vAlign w:val="center"/>
          </w:tcPr>
          <w:p w14:paraId="3A2ED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现代网络技术实训室</w:t>
            </w:r>
          </w:p>
        </w:tc>
        <w:tc>
          <w:tcPr>
            <w:tcW w:w="638" w:type="pct"/>
            <w:shd w:val="clear" w:color="auto" w:fill="auto"/>
            <w:vAlign w:val="center"/>
          </w:tcPr>
          <w:p w14:paraId="16933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详见采购需求</w:t>
            </w:r>
          </w:p>
        </w:tc>
        <w:tc>
          <w:tcPr>
            <w:tcW w:w="368" w:type="pct"/>
            <w:shd w:val="clear" w:color="auto" w:fill="auto"/>
            <w:vAlign w:val="center"/>
          </w:tcPr>
          <w:p w14:paraId="5A1DD0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847" w:type="pct"/>
            <w:shd w:val="clear" w:color="auto" w:fill="auto"/>
            <w:vAlign w:val="center"/>
          </w:tcPr>
          <w:p w14:paraId="2EFBB4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kern w:val="0"/>
                <w:sz w:val="21"/>
                <w:szCs w:val="21"/>
                <w:highlight w:val="none"/>
                <w:lang w:eastAsia="zh-CN" w:bidi="ar"/>
              </w:rPr>
              <w:t>570651.00</w:t>
            </w:r>
          </w:p>
        </w:tc>
        <w:tc>
          <w:tcPr>
            <w:tcW w:w="543" w:type="pct"/>
            <w:shd w:val="clear" w:color="auto" w:fill="auto"/>
            <w:vAlign w:val="center"/>
          </w:tcPr>
          <w:p w14:paraId="5CE30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p>
        </w:tc>
        <w:tc>
          <w:tcPr>
            <w:tcW w:w="543" w:type="pct"/>
            <w:shd w:val="clear" w:color="auto" w:fill="auto"/>
            <w:vAlign w:val="center"/>
          </w:tcPr>
          <w:p w14:paraId="72924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p>
        </w:tc>
      </w:tr>
    </w:tbl>
    <w:p w14:paraId="66D018CC">
      <w:pPr>
        <w:pageBreakBefore w:val="0"/>
        <w:widowControl/>
        <w:kinsoku/>
        <w:overflowPunct/>
        <w:topLinePunct w:val="0"/>
        <w:autoSpaceDE/>
        <w:autoSpaceDN/>
        <w:bidi w:val="0"/>
        <w:adjustRightInd/>
        <w:snapToGrid/>
        <w:spacing w:line="360" w:lineRule="auto"/>
        <w:ind w:left="0"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说明：</w:t>
      </w:r>
    </w:p>
    <w:p w14:paraId="4450EA11">
      <w:pPr>
        <w:pageBreakBefore w:val="0"/>
        <w:widowControl/>
        <w:kinsoku/>
        <w:overflowPunct/>
        <w:topLinePunct w:val="0"/>
        <w:autoSpaceDE/>
        <w:autoSpaceDN/>
        <w:bidi w:val="0"/>
        <w:adjustRightInd/>
        <w:snapToGrid/>
        <w:spacing w:line="360" w:lineRule="auto"/>
        <w:ind w:left="0"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1.节能产品实行强制采购的，需提供国家认证机构出具的、处于有效期内的节能产品证书。</w:t>
      </w:r>
    </w:p>
    <w:p w14:paraId="02C7A779">
      <w:pPr>
        <w:pageBreakBefore w:val="0"/>
        <w:widowControl/>
        <w:kinsoku/>
        <w:overflowPunct/>
        <w:topLinePunct w:val="0"/>
        <w:autoSpaceDE/>
        <w:autoSpaceDN/>
        <w:bidi w:val="0"/>
        <w:adjustRightInd/>
        <w:snapToGrid/>
        <w:spacing w:line="360" w:lineRule="auto"/>
        <w:ind w:left="0" w:firstLine="42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2.同意购买进口产品的，不限制满足采购需求的国内产品参与投标。</w:t>
      </w:r>
    </w:p>
    <w:p w14:paraId="3D7CF745">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b/>
          <w:bCs/>
          <w:color w:val="auto"/>
          <w:kern w:val="0"/>
          <w:sz w:val="21"/>
          <w:szCs w:val="21"/>
          <w:highlight w:val="none"/>
          <w:lang w:bidi="ar"/>
        </w:rPr>
      </w:pPr>
      <w:bookmarkStart w:id="9" w:name="_Toc32175"/>
      <w:r>
        <w:rPr>
          <w:rFonts w:hint="eastAsia" w:ascii="宋体" w:hAnsi="宋体" w:eastAsia="宋体" w:cs="宋体"/>
          <w:b/>
          <w:bCs/>
          <w:color w:val="auto"/>
          <w:kern w:val="0"/>
          <w:sz w:val="21"/>
          <w:szCs w:val="21"/>
          <w:highlight w:val="none"/>
          <w:lang w:bidi="ar"/>
        </w:rPr>
        <w:t>三、采购项目需落实的政府采购政策</w:t>
      </w:r>
      <w:bookmarkEnd w:id="9"/>
    </w:p>
    <w:p w14:paraId="5E05F8C2">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1、优先采购：节能产品、环境标志产品享受加分或价格折扣。</w:t>
      </w:r>
    </w:p>
    <w:p w14:paraId="769376A5">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2、支持中小企业：中小企业享受预留采购份额或价格折扣。</w:t>
      </w:r>
    </w:p>
    <w:p w14:paraId="5153A974">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0" w:name="_Toc4827"/>
      <w:r>
        <w:rPr>
          <w:rFonts w:hint="eastAsia" w:ascii="宋体" w:hAnsi="宋体" w:eastAsia="宋体" w:cs="宋体"/>
          <w:b/>
          <w:bCs/>
          <w:color w:val="auto"/>
          <w:kern w:val="0"/>
          <w:sz w:val="21"/>
          <w:szCs w:val="21"/>
          <w:highlight w:val="none"/>
          <w:lang w:bidi="ar"/>
        </w:rPr>
        <w:t>四、投标人的资格要求</w:t>
      </w:r>
      <w:bookmarkEnd w:id="10"/>
    </w:p>
    <w:p w14:paraId="55F6F5DA">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1、供应商基本资格条件：</w:t>
      </w:r>
      <w:r>
        <w:rPr>
          <w:rFonts w:hint="eastAsia" w:ascii="宋体" w:hAnsi="宋体" w:eastAsia="宋体" w:cs="宋体"/>
          <w:color w:val="auto"/>
          <w:kern w:val="0"/>
          <w:sz w:val="21"/>
          <w:szCs w:val="21"/>
          <w:highlight w:val="none"/>
          <w:lang w:val="en-US" w:eastAsia="zh-CN" w:bidi="ar"/>
        </w:rPr>
        <w:t>投标人必须是在中华人民共和国境内注册登记的法人、其他组织或者自然人，且应当符合《政府采购法》第二十二条第一款的规定。</w:t>
      </w:r>
    </w:p>
    <w:p w14:paraId="384FD50C">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2、落实政府采购政策需满足的资格要求：</w:t>
      </w:r>
    </w:p>
    <w:p w14:paraId="24EAA25D">
      <w:pPr>
        <w:pageBreakBefore w:val="0"/>
        <w:widowControl/>
        <w:kinsoku/>
        <w:overflowPunct/>
        <w:topLinePunct w:val="0"/>
        <w:autoSpaceDE/>
        <w:autoSpaceDN/>
        <w:bidi w:val="0"/>
        <w:adjustRightInd/>
        <w:snapToGrid/>
        <w:spacing w:line="360" w:lineRule="auto"/>
        <w:ind w:left="0" w:firstLine="84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专门面向：</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 xml:space="preserve">中小企业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 xml:space="preserve">小微企业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 xml:space="preserve">监狱企业  </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 xml:space="preserve">福利性单位 </w:t>
      </w:r>
    </w:p>
    <w:p w14:paraId="37480002">
      <w:pPr>
        <w:pageBreakBefore w:val="0"/>
        <w:widowControl/>
        <w:kinsoku/>
        <w:overflowPunct/>
        <w:topLinePunct w:val="0"/>
        <w:autoSpaceDE/>
        <w:autoSpaceDN/>
        <w:bidi w:val="0"/>
        <w:adjustRightInd/>
        <w:snapToGrid/>
        <w:spacing w:line="360" w:lineRule="auto"/>
        <w:ind w:left="0" w:firstLine="84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强制分包：大型企业应将采购份额的</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%分包给中小企业。</w:t>
      </w:r>
    </w:p>
    <w:p w14:paraId="6DAE776E">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3、供应商特定资格条件：</w:t>
      </w:r>
      <w:r>
        <w:rPr>
          <w:rFonts w:hint="eastAsia" w:ascii="宋体" w:hAnsi="宋体" w:cs="宋体"/>
          <w:color w:val="auto"/>
          <w:kern w:val="0"/>
          <w:sz w:val="21"/>
          <w:szCs w:val="21"/>
          <w:highlight w:val="none"/>
          <w:lang w:val="en-US" w:eastAsia="zh-CN" w:bidi="ar"/>
        </w:rPr>
        <w:t>供应商</w:t>
      </w:r>
      <w:r>
        <w:rPr>
          <w:rFonts w:hint="eastAsia" w:ascii="宋体" w:hAnsi="宋体" w:eastAsia="宋体" w:cs="宋体"/>
          <w:color w:val="auto"/>
          <w:sz w:val="21"/>
          <w:szCs w:val="21"/>
          <w:highlight w:val="none"/>
          <w:lang w:val="en-US" w:eastAsia="zh-CN"/>
        </w:rPr>
        <w:t>近3年（2023年9月1日至今）至少完成过一个类似项目建设业绩（须提供合</w:t>
      </w:r>
      <w:r>
        <w:rPr>
          <w:rFonts w:hint="eastAsia" w:ascii="宋体" w:hAnsi="宋体" w:eastAsia="宋体" w:cs="宋体"/>
          <w:color w:val="auto"/>
          <w:sz w:val="21"/>
          <w:szCs w:val="21"/>
          <w:highlight w:val="none"/>
        </w:rPr>
        <w:t>同协议书</w:t>
      </w:r>
      <w:r>
        <w:rPr>
          <w:rFonts w:hint="eastAsia" w:ascii="宋体" w:hAnsi="宋体" w:eastAsia="宋体" w:cs="宋体"/>
          <w:color w:val="auto"/>
          <w:sz w:val="21"/>
          <w:szCs w:val="21"/>
          <w:highlight w:val="none"/>
          <w:lang w:val="en-US" w:eastAsia="zh-CN"/>
        </w:rPr>
        <w:t>复印件</w:t>
      </w:r>
      <w:r>
        <w:rPr>
          <w:rFonts w:hint="eastAsia" w:ascii="宋体" w:hAnsi="宋体" w:cs="宋体"/>
          <w:color w:val="auto"/>
          <w:sz w:val="21"/>
          <w:szCs w:val="21"/>
          <w:highlight w:val="none"/>
          <w:lang w:val="en-US" w:eastAsia="zh-CN"/>
        </w:rPr>
        <w:t>或中标（成交）通知书复印件</w:t>
      </w:r>
      <w:r>
        <w:rPr>
          <w:rFonts w:hint="eastAsia" w:ascii="宋体" w:hAnsi="宋体" w:eastAsia="宋体" w:cs="宋体"/>
          <w:color w:val="auto"/>
          <w:sz w:val="21"/>
          <w:szCs w:val="21"/>
          <w:highlight w:val="none"/>
          <w:lang w:val="en-US" w:eastAsia="zh-CN"/>
        </w:rPr>
        <w:t>加盖供应商公章，以合同签订时间</w:t>
      </w:r>
      <w:r>
        <w:rPr>
          <w:rFonts w:hint="eastAsia" w:ascii="宋体" w:hAnsi="宋体" w:cs="宋体"/>
          <w:color w:val="auto"/>
          <w:sz w:val="21"/>
          <w:szCs w:val="21"/>
          <w:highlight w:val="none"/>
          <w:lang w:val="en-US" w:eastAsia="zh-CN"/>
        </w:rPr>
        <w:t>（中标通知书载明时间）</w:t>
      </w:r>
      <w:r>
        <w:rPr>
          <w:rFonts w:hint="eastAsia" w:ascii="宋体" w:hAnsi="宋体" w:eastAsia="宋体" w:cs="宋体"/>
          <w:color w:val="auto"/>
          <w:sz w:val="21"/>
          <w:szCs w:val="21"/>
          <w:highlight w:val="none"/>
          <w:lang w:val="en-US" w:eastAsia="zh-CN"/>
        </w:rPr>
        <w:t>为准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lang w:bidi="ar"/>
        </w:rPr>
        <w:t>。</w:t>
      </w:r>
    </w:p>
    <w:p w14:paraId="26C8D2FF">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4、单位负责人为同一人或者存在直接控股、管理关系的不同投标人，不得参加同一合同项下的政府采购活动。</w:t>
      </w:r>
    </w:p>
    <w:p w14:paraId="689B7D58">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5、为本采购项目提供整体设计、规范编制或者项目管理、监理、检测等服务的，不得再参加此项目的其他采购活动。</w:t>
      </w:r>
    </w:p>
    <w:p w14:paraId="77B6C92C">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6、列入失信被执行人、重大税收违法失信主体名单、政府采购严重违法失信行为记录名单的，拒绝其参与政府采购活动。</w:t>
      </w:r>
    </w:p>
    <w:p w14:paraId="1ACA93E5">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7、联合体投标。本次招标</w:t>
      </w:r>
      <w:r>
        <w:rPr>
          <w:rFonts w:hint="eastAsia" w:ascii="宋体" w:hAnsi="宋体" w:eastAsia="宋体" w:cs="宋体"/>
          <w:color w:val="auto"/>
          <w:kern w:val="0"/>
          <w:sz w:val="21"/>
          <w:szCs w:val="21"/>
          <w:highlight w:val="none"/>
          <w:u w:val="single"/>
          <w:lang w:bidi="ar"/>
        </w:rPr>
        <w:t>不接受</w:t>
      </w:r>
      <w:r>
        <w:rPr>
          <w:rFonts w:hint="eastAsia" w:ascii="宋体" w:hAnsi="宋体" w:eastAsia="宋体" w:cs="宋体"/>
          <w:color w:val="auto"/>
          <w:kern w:val="0"/>
          <w:sz w:val="21"/>
          <w:szCs w:val="21"/>
          <w:highlight w:val="none"/>
          <w:lang w:bidi="ar"/>
        </w:rPr>
        <w:t xml:space="preserve">联合体投标。 </w:t>
      </w:r>
    </w:p>
    <w:p w14:paraId="4BAB2DE6">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1" w:name="_Toc9792"/>
      <w:r>
        <w:rPr>
          <w:rFonts w:hint="eastAsia" w:ascii="宋体" w:hAnsi="宋体" w:eastAsia="宋体" w:cs="宋体"/>
          <w:b/>
          <w:bCs/>
          <w:color w:val="auto"/>
          <w:kern w:val="0"/>
          <w:sz w:val="21"/>
          <w:szCs w:val="21"/>
          <w:highlight w:val="none"/>
          <w:lang w:bidi="ar"/>
        </w:rPr>
        <w:t>五、获取招标文件的时间、期限、地点及方式</w:t>
      </w:r>
      <w:bookmarkEnd w:id="11"/>
    </w:p>
    <w:p w14:paraId="6ED63AAF">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bidi="ar"/>
        </w:rPr>
        <w:t>■</w:t>
      </w:r>
      <w:r>
        <w:rPr>
          <w:rFonts w:hint="eastAsia" w:ascii="宋体" w:hAnsi="宋体" w:cs="宋体"/>
          <w:color w:val="auto"/>
          <w:sz w:val="21"/>
          <w:szCs w:val="21"/>
          <w:highlight w:val="none"/>
          <w:lang w:val="en-US" w:eastAsia="zh-CN" w:bidi="ar"/>
        </w:rPr>
        <w:t xml:space="preserve">  </w:t>
      </w:r>
      <w:r>
        <w:rPr>
          <w:rFonts w:hint="eastAsia" w:ascii="宋体" w:hAnsi="宋体" w:eastAsia="宋体" w:cs="宋体"/>
          <w:color w:val="auto"/>
          <w:kern w:val="0"/>
          <w:sz w:val="21"/>
          <w:szCs w:val="21"/>
          <w:highlight w:val="none"/>
          <w:lang w:val="en-US" w:eastAsia="zh-CN" w:bidi="ar"/>
        </w:rPr>
        <w:t>有意参加投标者，于202</w:t>
      </w: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 xml:space="preserve"> 10 </w:t>
      </w:r>
      <w:r>
        <w:rPr>
          <w:rFonts w:hint="eastAsia" w:ascii="宋体" w:hAnsi="宋体" w:eastAsia="宋体" w:cs="宋体"/>
          <w:color w:val="auto"/>
          <w:kern w:val="0"/>
          <w:sz w:val="21"/>
          <w:szCs w:val="21"/>
          <w:highlight w:val="none"/>
          <w:lang w:val="en-US" w:eastAsia="zh-CN" w:bidi="ar"/>
        </w:rPr>
        <w:t>日 至202</w:t>
      </w: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 xml:space="preserve"> 15 </w:t>
      </w:r>
      <w:r>
        <w:rPr>
          <w:rFonts w:hint="eastAsia" w:ascii="宋体" w:hAnsi="宋体" w:eastAsia="宋体" w:cs="宋体"/>
          <w:color w:val="auto"/>
          <w:kern w:val="0"/>
          <w:sz w:val="21"/>
          <w:szCs w:val="21"/>
          <w:highlight w:val="none"/>
          <w:lang w:val="en-US" w:eastAsia="zh-CN" w:bidi="ar"/>
        </w:rPr>
        <w:t>日</w:t>
      </w:r>
      <w:r>
        <w:rPr>
          <w:rFonts w:hint="eastAsia" w:ascii="宋体" w:hAnsi="宋体" w:eastAsia="宋体" w:cs="宋体"/>
          <w:color w:val="auto"/>
          <w:kern w:val="0"/>
          <w:sz w:val="21"/>
          <w:szCs w:val="21"/>
          <w:highlight w:val="none"/>
          <w:lang w:val="en-US" w:eastAsia="zh-CN" w:bidi="ar"/>
        </w:rPr>
        <w:t>，上午8:30-12:00下午1</w:t>
      </w:r>
      <w:r>
        <w:rPr>
          <w:rFonts w:hint="eastAsia" w:ascii="宋体" w:hAnsi="宋体" w:cs="宋体"/>
          <w:color w:val="auto"/>
          <w:kern w:val="0"/>
          <w:sz w:val="21"/>
          <w:szCs w:val="21"/>
          <w:highlight w:val="none"/>
          <w:lang w:val="en-US" w:eastAsia="zh-CN" w:bidi="ar"/>
        </w:rPr>
        <w:t>4</w:t>
      </w:r>
      <w:bookmarkStart w:id="156" w:name="_GoBack"/>
      <w:bookmarkEnd w:id="156"/>
      <w:r>
        <w:rPr>
          <w:rFonts w:hint="eastAsia" w:ascii="宋体" w:hAnsi="宋体" w:eastAsia="宋体" w:cs="宋体"/>
          <w:color w:val="auto"/>
          <w:kern w:val="0"/>
          <w:sz w:val="21"/>
          <w:szCs w:val="21"/>
          <w:highlight w:val="none"/>
          <w:lang w:val="en-US" w:eastAsia="zh-CN" w:bidi="ar"/>
        </w:rPr>
        <w:t>:30-17:00（北京时间），双休日及节假日除外，持营业执照副本复印件、法定代表人身份证明或授权委托书（附法定代表人身份证明）、个人身份证原件（一式</w:t>
      </w:r>
      <w:r>
        <w:rPr>
          <w:rFonts w:hint="eastAsia" w:ascii="宋体" w:hAnsi="宋体" w:cs="宋体"/>
          <w:color w:val="auto"/>
          <w:kern w:val="0"/>
          <w:sz w:val="21"/>
          <w:szCs w:val="21"/>
          <w:highlight w:val="none"/>
          <w:lang w:val="en-US" w:eastAsia="zh-CN" w:bidi="ar"/>
        </w:rPr>
        <w:t>一</w:t>
      </w:r>
      <w:r>
        <w:rPr>
          <w:rFonts w:hint="eastAsia" w:ascii="宋体" w:hAnsi="宋体" w:eastAsia="宋体" w:cs="宋体"/>
          <w:color w:val="auto"/>
          <w:kern w:val="0"/>
          <w:sz w:val="21"/>
          <w:szCs w:val="21"/>
          <w:highlight w:val="none"/>
          <w:lang w:val="en-US" w:eastAsia="zh-CN" w:bidi="ar"/>
        </w:rPr>
        <w:t>份加盖投标人公章），在湖南省中方项目管理有限公司（株洲市天元区庐山路69号庐山恋铭逸酒店21楼） 获取</w:t>
      </w:r>
      <w:r>
        <w:rPr>
          <w:rFonts w:hint="eastAsia" w:ascii="宋体" w:hAnsi="宋体" w:cs="宋体"/>
          <w:color w:val="auto"/>
          <w:kern w:val="0"/>
          <w:sz w:val="21"/>
          <w:szCs w:val="21"/>
          <w:highlight w:val="none"/>
          <w:lang w:val="en-US" w:eastAsia="zh-CN" w:bidi="ar"/>
        </w:rPr>
        <w:t>磋商</w:t>
      </w:r>
      <w:r>
        <w:rPr>
          <w:rFonts w:hint="eastAsia" w:ascii="宋体" w:hAnsi="宋体" w:eastAsia="宋体" w:cs="宋体"/>
          <w:color w:val="auto"/>
          <w:kern w:val="0"/>
          <w:sz w:val="21"/>
          <w:szCs w:val="21"/>
          <w:highlight w:val="none"/>
          <w:lang w:val="en-US" w:eastAsia="zh-CN" w:bidi="ar"/>
        </w:rPr>
        <w:t>文件</w:t>
      </w:r>
      <w:r>
        <w:rPr>
          <w:rFonts w:hint="eastAsia" w:ascii="宋体" w:hAnsi="宋体" w:eastAsia="宋体" w:cs="宋体"/>
          <w:color w:val="auto"/>
          <w:kern w:val="0"/>
          <w:sz w:val="21"/>
          <w:szCs w:val="21"/>
          <w:highlight w:val="none"/>
          <w:lang w:bidi="ar"/>
        </w:rPr>
        <w:t xml:space="preserve"> </w:t>
      </w:r>
      <w:r>
        <w:rPr>
          <w:rFonts w:hint="eastAsia" w:ascii="宋体" w:hAnsi="宋体" w:cs="宋体"/>
          <w:color w:val="auto"/>
          <w:kern w:val="0"/>
          <w:sz w:val="21"/>
          <w:szCs w:val="21"/>
          <w:highlight w:val="none"/>
          <w:lang w:eastAsia="zh-CN" w:bidi="ar"/>
        </w:rPr>
        <w:t>。</w:t>
      </w:r>
    </w:p>
    <w:p w14:paraId="5EE1AD11">
      <w:pPr>
        <w:keepNext w:val="0"/>
        <w:keepLines w:val="0"/>
        <w:pageBreakBefore w:val="0"/>
        <w:widowControl/>
        <w:kinsoku/>
        <w:wordWrap w:val="0"/>
        <w:overflowPunct/>
        <w:topLinePunct w:val="0"/>
        <w:autoSpaceDE/>
        <w:autoSpaceDN/>
        <w:bidi w:val="0"/>
        <w:adjustRightInd/>
        <w:snapToGrid/>
        <w:spacing w:line="360" w:lineRule="auto"/>
        <w:ind w:left="0" w:firstLine="420"/>
        <w:jc w:val="left"/>
        <w:textAlignment w:val="auto"/>
        <w:outlineLvl w:val="9"/>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sym w:font="Wingdings" w:char="F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val="en-US" w:eastAsia="zh-CN" w:bidi="ar"/>
        </w:rPr>
        <w:t>本项目实行电子交易，有意参加投标者，在中国湖南政府采购网（www.ccgp-hunan.gov.cn）获取电子版招标文件。</w:t>
      </w:r>
    </w:p>
    <w:p w14:paraId="3FA1850A">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 xml:space="preserve">本项目进行资格预审，招标文件将向所有通过资格预审的供应商提供。 </w:t>
      </w:r>
    </w:p>
    <w:p w14:paraId="00C2574E">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2" w:name="_Toc20358"/>
      <w:r>
        <w:rPr>
          <w:rFonts w:hint="eastAsia" w:ascii="宋体" w:hAnsi="宋体" w:eastAsia="宋体" w:cs="宋体"/>
          <w:b/>
          <w:bCs/>
          <w:color w:val="auto"/>
          <w:kern w:val="0"/>
          <w:sz w:val="21"/>
          <w:szCs w:val="21"/>
          <w:highlight w:val="none"/>
          <w:lang w:bidi="ar"/>
        </w:rPr>
        <w:t>六、投标截止时间、开标时间及地点</w:t>
      </w:r>
      <w:bookmarkEnd w:id="12"/>
    </w:p>
    <w:p w14:paraId="252A9AFA">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1、提交</w:t>
      </w:r>
      <w:r>
        <w:rPr>
          <w:rFonts w:hint="eastAsia" w:ascii="宋体" w:hAnsi="宋体" w:cs="宋体"/>
          <w:color w:val="auto"/>
          <w:kern w:val="0"/>
          <w:sz w:val="21"/>
          <w:szCs w:val="21"/>
          <w:highlight w:val="none"/>
          <w:lang w:eastAsia="zh-CN" w:bidi="ar"/>
        </w:rPr>
        <w:t>首次响应文件</w:t>
      </w:r>
      <w:r>
        <w:rPr>
          <w:rFonts w:hint="eastAsia" w:ascii="宋体" w:hAnsi="宋体" w:eastAsia="宋体" w:cs="宋体"/>
          <w:color w:val="auto"/>
          <w:kern w:val="0"/>
          <w:sz w:val="21"/>
          <w:szCs w:val="21"/>
          <w:highlight w:val="none"/>
          <w:lang w:bidi="ar"/>
        </w:rPr>
        <w:t>的截止时间：202</w:t>
      </w: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年</w:t>
      </w:r>
      <w:r>
        <w:rPr>
          <w:rFonts w:hint="eastAsia" w:ascii="宋体" w:hAnsi="宋体" w:cs="宋体"/>
          <w:color w:val="auto"/>
          <w:kern w:val="0"/>
          <w:sz w:val="21"/>
          <w:szCs w:val="21"/>
          <w:highlight w:val="none"/>
          <w:u w:val="single"/>
          <w:lang w:val="en-US" w:eastAsia="zh-CN" w:bidi="ar"/>
        </w:rPr>
        <w:t xml:space="preserve"> 10</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月</w:t>
      </w:r>
      <w:r>
        <w:rPr>
          <w:rFonts w:hint="eastAsia" w:ascii="宋体" w:hAnsi="宋体" w:eastAsia="宋体" w:cs="宋体"/>
          <w:color w:val="auto"/>
          <w:kern w:val="0"/>
          <w:sz w:val="21"/>
          <w:szCs w:val="21"/>
          <w:highlight w:val="none"/>
          <w:u w:val="single"/>
          <w:lang w:bidi="ar"/>
        </w:rPr>
        <w:t xml:space="preserve"> </w:t>
      </w:r>
      <w:r>
        <w:rPr>
          <w:rFonts w:hint="eastAsia" w:ascii="宋体" w:hAnsi="宋体" w:cs="宋体"/>
          <w:color w:val="auto"/>
          <w:kern w:val="0"/>
          <w:sz w:val="21"/>
          <w:szCs w:val="21"/>
          <w:highlight w:val="none"/>
          <w:u w:val="single"/>
          <w:lang w:val="en-US" w:eastAsia="zh-CN" w:bidi="ar"/>
        </w:rPr>
        <w:t>20</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日</w:t>
      </w:r>
      <w:r>
        <w:rPr>
          <w:rFonts w:hint="eastAsia" w:ascii="宋体" w:hAnsi="宋体" w:cs="宋体"/>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bidi="ar"/>
        </w:rPr>
        <w:t>:30（北京时间）</w:t>
      </w:r>
    </w:p>
    <w:p w14:paraId="253F2576">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2、提交</w:t>
      </w:r>
      <w:r>
        <w:rPr>
          <w:rFonts w:hint="eastAsia" w:ascii="宋体" w:hAnsi="宋体" w:cs="宋体"/>
          <w:color w:val="auto"/>
          <w:kern w:val="0"/>
          <w:sz w:val="21"/>
          <w:szCs w:val="21"/>
          <w:highlight w:val="none"/>
          <w:lang w:eastAsia="zh-CN" w:bidi="ar"/>
        </w:rPr>
        <w:t>首次响应文件</w:t>
      </w:r>
      <w:r>
        <w:rPr>
          <w:rFonts w:hint="eastAsia" w:ascii="宋体" w:hAnsi="宋体" w:eastAsia="宋体" w:cs="宋体"/>
          <w:color w:val="auto"/>
          <w:kern w:val="0"/>
          <w:sz w:val="21"/>
          <w:szCs w:val="21"/>
          <w:highlight w:val="none"/>
          <w:lang w:bidi="ar"/>
        </w:rPr>
        <w:t>的地点：</w:t>
      </w:r>
      <w:r>
        <w:rPr>
          <w:rFonts w:hint="eastAsia" w:ascii="宋体" w:hAnsi="宋体" w:eastAsia="宋体" w:cs="宋体"/>
          <w:color w:val="auto"/>
          <w:kern w:val="0"/>
          <w:sz w:val="21"/>
          <w:szCs w:val="21"/>
          <w:highlight w:val="none"/>
          <w:lang w:eastAsia="zh-CN" w:bidi="ar"/>
        </w:rPr>
        <w:t>株洲市天元区庐山路69号庐山恋铭逸酒店21楼</w:t>
      </w:r>
      <w:r>
        <w:rPr>
          <w:rFonts w:hint="eastAsia" w:ascii="宋体" w:hAnsi="宋体" w:eastAsia="宋体" w:cs="宋体"/>
          <w:color w:val="auto"/>
          <w:kern w:val="0"/>
          <w:sz w:val="21"/>
          <w:szCs w:val="21"/>
          <w:highlight w:val="none"/>
          <w:lang w:bidi="ar"/>
        </w:rPr>
        <w:t>开标室</w:t>
      </w:r>
    </w:p>
    <w:p w14:paraId="1972348D">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r>
        <w:rPr>
          <w:rFonts w:hint="eastAsia" w:ascii="宋体" w:hAnsi="宋体" w:cs="宋体"/>
          <w:color w:val="auto"/>
          <w:kern w:val="0"/>
          <w:sz w:val="21"/>
          <w:szCs w:val="21"/>
          <w:highlight w:val="none"/>
          <w:lang w:eastAsia="zh-CN" w:bidi="ar"/>
        </w:rPr>
        <w:t>首次响应文件的开启</w:t>
      </w:r>
      <w:r>
        <w:rPr>
          <w:rFonts w:hint="eastAsia" w:ascii="宋体" w:hAnsi="宋体" w:eastAsia="宋体" w:cs="宋体"/>
          <w:color w:val="auto"/>
          <w:kern w:val="0"/>
          <w:sz w:val="21"/>
          <w:szCs w:val="21"/>
          <w:highlight w:val="none"/>
          <w:lang w:bidi="ar"/>
        </w:rPr>
        <w:t>时间：202</w:t>
      </w:r>
      <w:r>
        <w:rPr>
          <w:rFonts w:hint="eastAsia" w:ascii="宋体" w:hAnsi="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bidi="ar"/>
        </w:rPr>
        <w:t>年</w:t>
      </w:r>
      <w:r>
        <w:rPr>
          <w:rFonts w:hint="eastAsia" w:ascii="宋体" w:hAnsi="宋体" w:eastAsia="宋体" w:cs="宋体"/>
          <w:color w:val="auto"/>
          <w:kern w:val="0"/>
          <w:sz w:val="21"/>
          <w:szCs w:val="21"/>
          <w:highlight w:val="none"/>
          <w:u w:val="single"/>
          <w:lang w:bidi="ar"/>
        </w:rPr>
        <w:t xml:space="preserve"> </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月</w:t>
      </w:r>
      <w:r>
        <w:rPr>
          <w:rFonts w:hint="eastAsia" w:ascii="宋体" w:hAnsi="宋体" w:eastAsia="宋体" w:cs="宋体"/>
          <w:color w:val="auto"/>
          <w:kern w:val="0"/>
          <w:sz w:val="21"/>
          <w:szCs w:val="21"/>
          <w:highlight w:val="none"/>
          <w:u w:val="single"/>
          <w:lang w:bidi="ar"/>
        </w:rPr>
        <w:t xml:space="preserve"> </w:t>
      </w:r>
      <w:r>
        <w:rPr>
          <w:rFonts w:hint="eastAsia" w:ascii="宋体" w:hAnsi="宋体" w:cs="宋体"/>
          <w:color w:val="auto"/>
          <w:kern w:val="0"/>
          <w:sz w:val="21"/>
          <w:szCs w:val="21"/>
          <w:highlight w:val="none"/>
          <w:u w:val="single"/>
          <w:lang w:val="en-US" w:eastAsia="zh-CN" w:bidi="ar"/>
        </w:rPr>
        <w:t xml:space="preserve">20 </w:t>
      </w:r>
      <w:r>
        <w:rPr>
          <w:rFonts w:hint="eastAsia" w:ascii="宋体" w:hAnsi="宋体" w:eastAsia="宋体" w:cs="宋体"/>
          <w:color w:val="auto"/>
          <w:kern w:val="0"/>
          <w:sz w:val="21"/>
          <w:szCs w:val="21"/>
          <w:highlight w:val="none"/>
          <w:lang w:bidi="ar"/>
        </w:rPr>
        <w:t>日</w:t>
      </w:r>
      <w:r>
        <w:rPr>
          <w:rFonts w:hint="eastAsia" w:ascii="宋体" w:hAnsi="宋体" w:cs="宋体"/>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bidi="ar"/>
        </w:rPr>
        <w:t>:30（北京时间）</w:t>
      </w:r>
    </w:p>
    <w:p w14:paraId="28BC6F56">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4、首次响应文件的开启地点：</w:t>
      </w:r>
      <w:r>
        <w:rPr>
          <w:rFonts w:hint="eastAsia" w:ascii="宋体" w:hAnsi="宋体" w:eastAsia="宋体" w:cs="宋体"/>
          <w:color w:val="auto"/>
          <w:kern w:val="0"/>
          <w:sz w:val="21"/>
          <w:szCs w:val="21"/>
          <w:highlight w:val="none"/>
          <w:lang w:eastAsia="zh-CN" w:bidi="ar"/>
        </w:rPr>
        <w:t>株洲市天元区庐山路69号庐山恋铭逸酒店21楼</w:t>
      </w:r>
      <w:r>
        <w:rPr>
          <w:rFonts w:hint="eastAsia" w:ascii="宋体" w:hAnsi="宋体" w:eastAsia="宋体" w:cs="宋体"/>
          <w:color w:val="auto"/>
          <w:kern w:val="0"/>
          <w:sz w:val="21"/>
          <w:szCs w:val="21"/>
          <w:highlight w:val="none"/>
          <w:lang w:bidi="ar"/>
        </w:rPr>
        <w:t>开标室</w:t>
      </w:r>
    </w:p>
    <w:p w14:paraId="01FF787C">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3" w:name="_Toc21703"/>
      <w:r>
        <w:rPr>
          <w:rFonts w:hint="eastAsia" w:ascii="宋体" w:hAnsi="宋体" w:eastAsia="宋体" w:cs="宋体"/>
          <w:b/>
          <w:bCs/>
          <w:color w:val="auto"/>
          <w:kern w:val="0"/>
          <w:sz w:val="21"/>
          <w:szCs w:val="21"/>
          <w:highlight w:val="none"/>
          <w:lang w:bidi="ar"/>
        </w:rPr>
        <w:t>七、公告期限</w:t>
      </w:r>
      <w:bookmarkEnd w:id="13"/>
    </w:p>
    <w:p w14:paraId="27B79E77">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1、本招标公告在中国湖南政府采购网（www.ccgp-hunan.gov.cn）发布。公告期限从本招标公告发布之日起5个工作日。</w:t>
      </w:r>
    </w:p>
    <w:p w14:paraId="3F2A7BF9">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2、在其他媒体发布的招标公告，公告内容以本招标公告指定媒体发布的公告为准；公告期限自本招标公告指定媒体最先发布公告之日起算。</w:t>
      </w:r>
    </w:p>
    <w:p w14:paraId="790EAF51">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4" w:name="_Toc32631"/>
      <w:r>
        <w:rPr>
          <w:rFonts w:hint="eastAsia" w:ascii="宋体" w:hAnsi="宋体" w:eastAsia="宋体" w:cs="宋体"/>
          <w:b/>
          <w:bCs/>
          <w:color w:val="auto"/>
          <w:kern w:val="0"/>
          <w:sz w:val="21"/>
          <w:szCs w:val="21"/>
          <w:highlight w:val="none"/>
          <w:lang w:bidi="ar"/>
        </w:rPr>
        <w:t>八、询问及质疑</w:t>
      </w:r>
      <w:bookmarkEnd w:id="14"/>
    </w:p>
    <w:p w14:paraId="6177C630">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1、投标人对政府采购活动事项如有疑问的，可以向采购人、采购代理机构提出询问。采购人、采购代理机构将在3个工作日内作出答复。</w:t>
      </w:r>
    </w:p>
    <w:p w14:paraId="072F5410">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2、投标人对电子交易平台办理CA证书、操作等如有疑问，请咨询电子交易平台服务机构。</w:t>
      </w:r>
    </w:p>
    <w:p w14:paraId="13606EBB">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w:t>
      </w:r>
      <w:r>
        <w:rPr>
          <w:rFonts w:hint="eastAsia" w:ascii="宋体" w:hAnsi="宋体" w:eastAsia="宋体" w:cs="宋体"/>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67</w:t>
      </w:r>
      <w:r>
        <w:rPr>
          <w:rFonts w:hint="eastAsia" w:ascii="宋体" w:hAnsi="宋体" w:eastAsia="宋体" w:cs="宋体"/>
          <w:color w:val="auto"/>
          <w:kern w:val="0"/>
          <w:sz w:val="21"/>
          <w:szCs w:val="21"/>
          <w:highlight w:val="none"/>
          <w:lang w:bidi="ar"/>
        </w:rPr>
        <w:t>号)规定，以纸质书面形式向采购人、采购代理机构提出质疑。</w:t>
      </w:r>
    </w:p>
    <w:p w14:paraId="2215E0A9">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5" w:name="_Toc22265"/>
      <w:r>
        <w:rPr>
          <w:rFonts w:hint="eastAsia" w:ascii="宋体" w:hAnsi="宋体" w:eastAsia="宋体" w:cs="宋体"/>
          <w:b/>
          <w:bCs/>
          <w:color w:val="auto"/>
          <w:kern w:val="0"/>
          <w:sz w:val="21"/>
          <w:szCs w:val="21"/>
          <w:highlight w:val="none"/>
          <w:lang w:bidi="ar"/>
        </w:rPr>
        <w:t>九、投标说明</w:t>
      </w:r>
      <w:bookmarkEnd w:id="15"/>
    </w:p>
    <w:p w14:paraId="7C6B94A9">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1、本公告选项：</w:t>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表示选择，</w:t>
      </w:r>
      <w:r>
        <w:rPr>
          <w:rFonts w:hint="eastAsia" w:ascii="宋体" w:hAnsi="宋体" w:eastAsia="宋体" w:cs="宋体"/>
          <w:color w:val="auto"/>
          <w:sz w:val="21"/>
          <w:szCs w:val="21"/>
          <w:highlight w:val="none"/>
          <w:lang w:bidi="ar"/>
        </w:rPr>
        <w:sym w:font="Wingdings" w:char="00A8"/>
      </w:r>
      <w:r>
        <w:rPr>
          <w:rFonts w:hint="eastAsia" w:ascii="宋体" w:hAnsi="宋体" w:eastAsia="宋体" w:cs="宋体"/>
          <w:color w:val="auto"/>
          <w:sz w:val="21"/>
          <w:szCs w:val="21"/>
          <w:highlight w:val="none"/>
          <w:lang w:bidi="ar"/>
        </w:rPr>
        <w:t xml:space="preserve"> </w:t>
      </w:r>
      <w:r>
        <w:rPr>
          <w:rFonts w:hint="eastAsia" w:ascii="宋体" w:hAnsi="宋体" w:eastAsia="宋体" w:cs="宋体"/>
          <w:color w:val="auto"/>
          <w:kern w:val="0"/>
          <w:sz w:val="21"/>
          <w:szCs w:val="21"/>
          <w:highlight w:val="none"/>
          <w:lang w:bidi="ar"/>
        </w:rPr>
        <w:t>表示未选择。</w:t>
      </w:r>
    </w:p>
    <w:p w14:paraId="460DA0FC">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2、投标人参与政府采购活动，无需向采购人、代理机构、交易平台缴纳任何费用。</w:t>
      </w:r>
    </w:p>
    <w:p w14:paraId="694DFB85">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6" w:name="_Toc29936"/>
      <w:r>
        <w:rPr>
          <w:rFonts w:hint="eastAsia" w:ascii="宋体" w:hAnsi="宋体" w:eastAsia="宋体" w:cs="宋体"/>
          <w:b/>
          <w:bCs/>
          <w:color w:val="auto"/>
          <w:kern w:val="0"/>
          <w:sz w:val="21"/>
          <w:szCs w:val="21"/>
          <w:highlight w:val="none"/>
          <w:lang w:bidi="ar"/>
        </w:rPr>
        <w:t>十、采购项目联系人姓名和电话</w:t>
      </w:r>
      <w:bookmarkEnd w:id="16"/>
    </w:p>
    <w:p w14:paraId="40E1BC39">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1、联系人姓名：</w:t>
      </w:r>
      <w:r>
        <w:rPr>
          <w:rFonts w:hint="eastAsia" w:ascii="宋体" w:hAnsi="宋体" w:cs="宋体"/>
          <w:color w:val="auto"/>
          <w:kern w:val="0"/>
          <w:sz w:val="21"/>
          <w:szCs w:val="21"/>
          <w:highlight w:val="none"/>
          <w:lang w:eastAsia="zh-CN" w:bidi="ar"/>
        </w:rPr>
        <w:t>张老师</w:t>
      </w:r>
      <w:r>
        <w:rPr>
          <w:rFonts w:hint="eastAsia" w:ascii="宋体" w:hAnsi="宋体" w:eastAsia="宋体" w:cs="宋体"/>
          <w:color w:val="auto"/>
          <w:kern w:val="0"/>
          <w:sz w:val="21"/>
          <w:szCs w:val="21"/>
          <w:highlight w:val="none"/>
          <w:lang w:bidi="ar"/>
        </w:rPr>
        <w:t xml:space="preserve"> </w:t>
      </w:r>
    </w:p>
    <w:p w14:paraId="2E5DCA76">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2、电话：</w:t>
      </w:r>
      <w:r>
        <w:rPr>
          <w:rFonts w:hint="eastAsia" w:ascii="宋体" w:hAnsi="宋体" w:cs="宋体"/>
          <w:color w:val="auto"/>
          <w:kern w:val="0"/>
          <w:sz w:val="21"/>
          <w:szCs w:val="21"/>
          <w:highlight w:val="none"/>
          <w:lang w:eastAsia="zh-CN" w:bidi="ar"/>
        </w:rPr>
        <w:t>0731-22780163</w:t>
      </w:r>
      <w:r>
        <w:rPr>
          <w:rFonts w:hint="eastAsia" w:ascii="宋体" w:hAnsi="宋体" w:eastAsia="宋体" w:cs="宋体"/>
          <w:color w:val="auto"/>
          <w:kern w:val="0"/>
          <w:sz w:val="21"/>
          <w:szCs w:val="21"/>
          <w:highlight w:val="none"/>
          <w:lang w:bidi="ar"/>
        </w:rPr>
        <w:t xml:space="preserve"> </w:t>
      </w:r>
    </w:p>
    <w:p w14:paraId="7FFAFE87">
      <w:pPr>
        <w:pageBreakBefore w:val="0"/>
        <w:widowControl/>
        <w:kinsoku/>
        <w:overflowPunct/>
        <w:topLinePunct w:val="0"/>
        <w:autoSpaceDE/>
        <w:autoSpaceDN/>
        <w:bidi w:val="0"/>
        <w:adjustRightInd/>
        <w:snapToGrid/>
        <w:spacing w:line="360" w:lineRule="auto"/>
        <w:ind w:left="0"/>
        <w:outlineLvl w:val="1"/>
        <w:rPr>
          <w:rFonts w:hint="eastAsia" w:ascii="宋体" w:hAnsi="宋体" w:eastAsia="宋体" w:cs="宋体"/>
          <w:color w:val="auto"/>
          <w:sz w:val="21"/>
          <w:szCs w:val="21"/>
          <w:highlight w:val="none"/>
        </w:rPr>
      </w:pPr>
      <w:bookmarkStart w:id="17" w:name="_Toc27652"/>
      <w:r>
        <w:rPr>
          <w:rFonts w:hint="eastAsia" w:ascii="宋体" w:hAnsi="宋体" w:eastAsia="宋体" w:cs="宋体"/>
          <w:b/>
          <w:bCs/>
          <w:color w:val="auto"/>
          <w:kern w:val="0"/>
          <w:sz w:val="21"/>
          <w:szCs w:val="21"/>
          <w:highlight w:val="none"/>
          <w:lang w:bidi="ar"/>
        </w:rPr>
        <w:t>十一、采购人、采购代理机构的名称、地址和联系方法</w:t>
      </w:r>
      <w:bookmarkEnd w:id="17"/>
    </w:p>
    <w:p w14:paraId="2AB167F3">
      <w:pPr>
        <w:pageBreakBefore w:val="0"/>
        <w:widowControl/>
        <w:kinsoku/>
        <w:overflowPunct/>
        <w:topLinePunct w:val="0"/>
        <w:autoSpaceDE/>
        <w:autoSpaceDN/>
        <w:bidi w:val="0"/>
        <w:adjustRightInd/>
        <w:snapToGrid/>
        <w:spacing w:line="360" w:lineRule="auto"/>
        <w:ind w:left="0"/>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1、采购人信息</w:t>
      </w:r>
    </w:p>
    <w:p w14:paraId="61D5DA66">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（1）名 称：湖南铁道职业技术学院 </w:t>
      </w:r>
    </w:p>
    <w:p w14:paraId="6E00DB61">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（2）地 址：</w:t>
      </w:r>
      <w:r>
        <w:rPr>
          <w:rFonts w:hint="eastAsia" w:ascii="宋体" w:hAnsi="宋体" w:cs="宋体"/>
          <w:color w:val="auto"/>
          <w:kern w:val="0"/>
          <w:sz w:val="21"/>
          <w:szCs w:val="21"/>
          <w:highlight w:val="none"/>
          <w:lang w:eastAsia="zh-CN" w:bidi="ar"/>
        </w:rPr>
        <w:t>株洲市石峰区职教大学城智慧路1号</w:t>
      </w:r>
      <w:r>
        <w:rPr>
          <w:rFonts w:hint="eastAsia" w:ascii="宋体" w:hAnsi="宋体" w:eastAsia="宋体" w:cs="宋体"/>
          <w:color w:val="auto"/>
          <w:kern w:val="0"/>
          <w:sz w:val="21"/>
          <w:szCs w:val="21"/>
          <w:highlight w:val="none"/>
          <w:lang w:bidi="ar"/>
        </w:rPr>
        <w:t xml:space="preserve"> </w:t>
      </w:r>
    </w:p>
    <w:p w14:paraId="67C23C81">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（3）联系人：</w:t>
      </w:r>
      <w:r>
        <w:rPr>
          <w:rFonts w:hint="eastAsia" w:ascii="宋体" w:hAnsi="宋体" w:cs="宋体"/>
          <w:color w:val="auto"/>
          <w:kern w:val="0"/>
          <w:sz w:val="21"/>
          <w:szCs w:val="21"/>
          <w:highlight w:val="none"/>
          <w:lang w:eastAsia="zh-CN" w:bidi="ar"/>
        </w:rPr>
        <w:t>张老师</w:t>
      </w:r>
    </w:p>
    <w:p w14:paraId="2283FEDA">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（4）邮 编：412000 </w:t>
      </w:r>
    </w:p>
    <w:p w14:paraId="58D4D654">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（5）电 话：</w:t>
      </w:r>
      <w:r>
        <w:rPr>
          <w:rFonts w:hint="eastAsia" w:ascii="宋体" w:hAnsi="宋体" w:cs="宋体"/>
          <w:color w:val="auto"/>
          <w:kern w:val="0"/>
          <w:sz w:val="21"/>
          <w:szCs w:val="21"/>
          <w:highlight w:val="none"/>
          <w:lang w:eastAsia="zh-CN" w:bidi="ar"/>
        </w:rPr>
        <w:t>0731-22780163</w:t>
      </w:r>
    </w:p>
    <w:p w14:paraId="1868B40F">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（6）电子邮箱：/ </w:t>
      </w:r>
    </w:p>
    <w:p w14:paraId="7D3BCD20">
      <w:pPr>
        <w:pageBreakBefore w:val="0"/>
        <w:widowControl/>
        <w:kinsoku/>
        <w:overflowPunct/>
        <w:topLinePunct w:val="0"/>
        <w:autoSpaceDE/>
        <w:autoSpaceDN/>
        <w:bidi w:val="0"/>
        <w:adjustRightInd/>
        <w:snapToGrid/>
        <w:spacing w:line="360" w:lineRule="auto"/>
        <w:ind w:left="0"/>
        <w:outlineLvl w:val="9"/>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bidi="ar"/>
        </w:rPr>
        <w:t>2、采购代理机构信息</w:t>
      </w:r>
    </w:p>
    <w:p w14:paraId="1AA5797B">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（1）名 称：</w:t>
      </w:r>
      <w:r>
        <w:rPr>
          <w:rFonts w:hint="eastAsia" w:ascii="宋体" w:hAnsi="宋体" w:eastAsia="宋体" w:cs="宋体"/>
          <w:color w:val="auto"/>
          <w:kern w:val="0"/>
          <w:sz w:val="21"/>
          <w:szCs w:val="21"/>
          <w:highlight w:val="none"/>
          <w:lang w:eastAsia="zh-CN" w:bidi="ar"/>
        </w:rPr>
        <w:t>湖南省中方项目管理有限公司</w:t>
      </w:r>
      <w:r>
        <w:rPr>
          <w:rFonts w:hint="eastAsia" w:ascii="宋体" w:hAnsi="宋体" w:eastAsia="宋体" w:cs="宋体"/>
          <w:color w:val="auto"/>
          <w:kern w:val="0"/>
          <w:sz w:val="21"/>
          <w:szCs w:val="21"/>
          <w:highlight w:val="none"/>
          <w:lang w:bidi="ar"/>
        </w:rPr>
        <w:t xml:space="preserve"> </w:t>
      </w:r>
    </w:p>
    <w:p w14:paraId="28C826B9">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（2）地 址：</w:t>
      </w:r>
      <w:r>
        <w:rPr>
          <w:rFonts w:hint="eastAsia" w:ascii="宋体" w:hAnsi="宋体" w:eastAsia="宋体" w:cs="宋体"/>
          <w:color w:val="auto"/>
          <w:kern w:val="0"/>
          <w:sz w:val="21"/>
          <w:szCs w:val="21"/>
          <w:highlight w:val="none"/>
          <w:lang w:eastAsia="zh-CN" w:bidi="ar"/>
        </w:rPr>
        <w:t>株洲市天元区庐山路69号庐山恋铭逸酒店21楼</w:t>
      </w:r>
      <w:r>
        <w:rPr>
          <w:rFonts w:hint="eastAsia" w:ascii="宋体" w:hAnsi="宋体" w:eastAsia="宋体" w:cs="宋体"/>
          <w:color w:val="auto"/>
          <w:kern w:val="0"/>
          <w:sz w:val="21"/>
          <w:szCs w:val="21"/>
          <w:highlight w:val="none"/>
          <w:lang w:bidi="ar"/>
        </w:rPr>
        <w:t xml:space="preserve"> </w:t>
      </w:r>
    </w:p>
    <w:p w14:paraId="56EFD4B7">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（3）联系人：</w:t>
      </w:r>
      <w:r>
        <w:rPr>
          <w:rFonts w:hint="eastAsia" w:ascii="宋体" w:hAnsi="宋体" w:cs="宋体"/>
          <w:color w:val="auto"/>
          <w:kern w:val="0"/>
          <w:sz w:val="21"/>
          <w:szCs w:val="21"/>
          <w:highlight w:val="none"/>
          <w:lang w:eastAsia="zh-CN" w:bidi="ar"/>
        </w:rPr>
        <w:t>唐周、卿煜</w:t>
      </w:r>
      <w:r>
        <w:rPr>
          <w:rFonts w:hint="eastAsia" w:ascii="宋体" w:hAnsi="宋体" w:eastAsia="宋体" w:cs="宋体"/>
          <w:color w:val="auto"/>
          <w:kern w:val="0"/>
          <w:sz w:val="21"/>
          <w:szCs w:val="21"/>
          <w:highlight w:val="none"/>
          <w:lang w:eastAsia="zh-CN" w:bidi="ar"/>
        </w:rPr>
        <w:t xml:space="preserve"> </w:t>
      </w:r>
    </w:p>
    <w:p w14:paraId="729A636F">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（4）邮 编：412000 </w:t>
      </w:r>
    </w:p>
    <w:p w14:paraId="65B6A215">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（5）电 话：</w:t>
      </w:r>
      <w:r>
        <w:rPr>
          <w:rFonts w:hint="eastAsia" w:ascii="宋体" w:hAnsi="宋体" w:eastAsia="宋体" w:cs="宋体"/>
          <w:color w:val="auto"/>
          <w:kern w:val="0"/>
          <w:sz w:val="21"/>
          <w:szCs w:val="21"/>
          <w:highlight w:val="none"/>
          <w:lang w:eastAsia="zh-CN" w:bidi="ar"/>
        </w:rPr>
        <w:t>18907338868</w:t>
      </w:r>
    </w:p>
    <w:p w14:paraId="6A5736AA">
      <w:pPr>
        <w:pageBreakBefore w:val="0"/>
        <w:widowControl/>
        <w:kinsoku/>
        <w:overflowPunct/>
        <w:topLinePunct w:val="0"/>
        <w:autoSpaceDE/>
        <w:autoSpaceDN/>
        <w:bidi w:val="0"/>
        <w:adjustRightInd/>
        <w:snapToGrid/>
        <w:spacing w:line="360" w:lineRule="auto"/>
        <w:ind w:left="0" w:firstLine="420"/>
        <w:jc w:val="left"/>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bidi="ar"/>
        </w:rPr>
        <w:t>（6）电子邮箱：</w:t>
      </w:r>
      <w:r>
        <w:rPr>
          <w:rFonts w:hint="eastAsia" w:ascii="宋体" w:hAnsi="宋体" w:eastAsia="宋体" w:cs="宋体"/>
          <w:color w:val="auto"/>
          <w:kern w:val="0"/>
          <w:sz w:val="21"/>
          <w:szCs w:val="21"/>
          <w:highlight w:val="none"/>
          <w:lang w:val="en-US" w:eastAsia="zh-CN" w:bidi="ar"/>
        </w:rPr>
        <w:t>/</w:t>
      </w:r>
    </w:p>
    <w:p w14:paraId="36757A2A">
      <w:pPr>
        <w:outlineLvl w:val="9"/>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br w:type="page"/>
      </w:r>
    </w:p>
    <w:p w14:paraId="3D396D06">
      <w:pPr>
        <w:pStyle w:val="10"/>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hint="eastAsia" w:hAnsi="宋体" w:cs="宋体"/>
          <w:b/>
          <w:color w:val="auto"/>
          <w:sz w:val="32"/>
          <w:szCs w:val="32"/>
          <w:highlight w:val="none"/>
        </w:rPr>
      </w:pPr>
      <w:bookmarkStart w:id="18" w:name="_Toc6284"/>
      <w:bookmarkStart w:id="19" w:name="_Toc16203"/>
      <w:r>
        <w:rPr>
          <w:rFonts w:hint="eastAsia" w:hAnsi="宋体" w:cs="宋体"/>
          <w:b/>
          <w:color w:val="auto"/>
          <w:sz w:val="32"/>
          <w:szCs w:val="32"/>
          <w:highlight w:val="none"/>
        </w:rPr>
        <w:t>第二章 磋商须知</w:t>
      </w:r>
      <w:bookmarkEnd w:id="18"/>
      <w:bookmarkEnd w:id="19"/>
    </w:p>
    <w:p w14:paraId="13E136BA">
      <w:pPr>
        <w:pStyle w:val="10"/>
        <w:keepNext w:val="0"/>
        <w:keepLines w:val="0"/>
        <w:widowControl w:val="0"/>
        <w:kinsoku/>
        <w:wordWrap/>
        <w:overflowPunct/>
        <w:topLinePunct w:val="0"/>
        <w:autoSpaceDE/>
        <w:autoSpaceDN/>
        <w:bidi w:val="0"/>
        <w:adjustRightInd/>
        <w:snapToGrid/>
        <w:spacing w:line="360" w:lineRule="auto"/>
        <w:jc w:val="center"/>
        <w:textAlignment w:val="auto"/>
        <w:outlineLvl w:val="1"/>
        <w:rPr>
          <w:rFonts w:hint="eastAsia" w:hAnsi="宋体" w:cs="宋体"/>
          <w:b/>
          <w:color w:val="auto"/>
          <w:sz w:val="24"/>
          <w:szCs w:val="24"/>
          <w:highlight w:val="none"/>
        </w:rPr>
      </w:pPr>
      <w:bookmarkStart w:id="20" w:name="_Toc3992"/>
      <w:r>
        <w:rPr>
          <w:rFonts w:hint="eastAsia" w:hAnsi="宋体" w:cs="宋体"/>
          <w:b/>
          <w:color w:val="auto"/>
          <w:sz w:val="24"/>
          <w:szCs w:val="24"/>
          <w:highlight w:val="none"/>
        </w:rPr>
        <w:t>磋商须知前附表</w:t>
      </w:r>
      <w:bookmarkEnd w:id="20"/>
    </w:p>
    <w:p w14:paraId="58545340">
      <w:pPr>
        <w:pStyle w:val="10"/>
        <w:keepNext w:val="0"/>
        <w:keepLines w:val="0"/>
        <w:widowControl w:val="0"/>
        <w:kinsoku/>
        <w:wordWrap/>
        <w:overflowPunct/>
        <w:topLinePunct w:val="0"/>
        <w:autoSpaceDE/>
        <w:autoSpaceDN/>
        <w:bidi w:val="0"/>
        <w:adjustRightInd/>
        <w:snapToGrid/>
        <w:spacing w:line="360" w:lineRule="auto"/>
        <w:jc w:val="right"/>
        <w:textAlignment w:val="auto"/>
        <w:rPr>
          <w:rFonts w:hint="eastAsia" w:hAnsi="宋体" w:cs="宋体"/>
          <w:color w:val="auto"/>
          <w:sz w:val="21"/>
          <w:szCs w:val="22"/>
          <w:highlight w:val="none"/>
        </w:rPr>
      </w:pPr>
      <w:r>
        <w:rPr>
          <w:rFonts w:hint="eastAsia" w:hAnsi="宋体" w:cs="宋体"/>
          <w:color w:val="auto"/>
          <w:sz w:val="21"/>
          <w:szCs w:val="22"/>
          <w:highlight w:val="none"/>
        </w:rPr>
        <w:t>注：（本项目采用的条款用“</w:t>
      </w:r>
      <w:r>
        <w:rPr>
          <w:rFonts w:hint="eastAsia" w:ascii="宋体" w:hAnsi="宋体" w:eastAsia="宋体" w:cs="宋体"/>
          <w:color w:val="auto"/>
          <w:sz w:val="21"/>
          <w:szCs w:val="21"/>
          <w:highlight w:val="none"/>
          <w:lang w:bidi="ar"/>
        </w:rPr>
        <w:t>■</w:t>
      </w:r>
      <w:r>
        <w:rPr>
          <w:rFonts w:hint="eastAsia" w:hAnsi="宋体" w:cs="宋体"/>
          <w:color w:val="auto"/>
          <w:sz w:val="21"/>
          <w:szCs w:val="22"/>
          <w:highlight w:val="none"/>
        </w:rPr>
        <w:t>”标示）</w:t>
      </w:r>
    </w:p>
    <w:tbl>
      <w:tblPr>
        <w:tblStyle w:val="18"/>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83"/>
        <w:gridCol w:w="1614"/>
        <w:gridCol w:w="714"/>
        <w:gridCol w:w="2311"/>
        <w:gridCol w:w="2597"/>
      </w:tblGrid>
      <w:tr w14:paraId="748792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tcBorders>
              <w:top w:val="double" w:color="auto" w:sz="4" w:space="0"/>
            </w:tcBorders>
            <w:vAlign w:val="center"/>
          </w:tcPr>
          <w:p w14:paraId="01A814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947" w:type="pct"/>
            <w:tcBorders>
              <w:top w:val="double" w:color="auto" w:sz="4" w:space="0"/>
            </w:tcBorders>
            <w:vAlign w:val="center"/>
          </w:tcPr>
          <w:p w14:paraId="6BF5CB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条款名称</w:t>
            </w:r>
          </w:p>
        </w:tc>
        <w:tc>
          <w:tcPr>
            <w:tcW w:w="3299" w:type="pct"/>
            <w:gridSpan w:val="3"/>
            <w:tcBorders>
              <w:top w:val="double" w:color="auto" w:sz="4" w:space="0"/>
            </w:tcBorders>
            <w:vAlign w:val="center"/>
          </w:tcPr>
          <w:p w14:paraId="659560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编列内容规定</w:t>
            </w:r>
          </w:p>
        </w:tc>
      </w:tr>
      <w:tr w14:paraId="4ADE0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071799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一、说明</w:t>
            </w:r>
          </w:p>
        </w:tc>
      </w:tr>
      <w:tr w14:paraId="5A5121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2268AA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第二章第1.1款</w:t>
            </w:r>
          </w:p>
        </w:tc>
        <w:tc>
          <w:tcPr>
            <w:tcW w:w="947" w:type="pct"/>
            <w:vAlign w:val="center"/>
          </w:tcPr>
          <w:p w14:paraId="443480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w:t>
            </w:r>
          </w:p>
        </w:tc>
        <w:tc>
          <w:tcPr>
            <w:tcW w:w="3299" w:type="pct"/>
            <w:gridSpan w:val="3"/>
            <w:vAlign w:val="center"/>
          </w:tcPr>
          <w:p w14:paraId="1CF636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现代网络技术实训室</w:t>
            </w:r>
          </w:p>
        </w:tc>
      </w:tr>
      <w:tr w14:paraId="4C36F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069D9B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第二章第2.1款</w:t>
            </w:r>
          </w:p>
        </w:tc>
        <w:tc>
          <w:tcPr>
            <w:tcW w:w="947" w:type="pct"/>
            <w:vAlign w:val="center"/>
          </w:tcPr>
          <w:p w14:paraId="543139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p>
        </w:tc>
        <w:tc>
          <w:tcPr>
            <w:tcW w:w="3299" w:type="pct"/>
            <w:gridSpan w:val="3"/>
            <w:vAlign w:val="center"/>
          </w:tcPr>
          <w:p w14:paraId="12BEC0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名称</w:t>
            </w:r>
            <w:r>
              <w:rPr>
                <w:rFonts w:hint="eastAsia" w:ascii="宋体" w:hAnsi="宋体" w:eastAsia="宋体" w:cs="宋体"/>
                <w:color w:val="auto"/>
                <w:sz w:val="21"/>
                <w:szCs w:val="21"/>
                <w:highlight w:val="none"/>
              </w:rPr>
              <w:t>：湖南铁道职业技术学院</w:t>
            </w:r>
          </w:p>
          <w:p w14:paraId="00BE05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 系 人：</w:t>
            </w:r>
            <w:r>
              <w:rPr>
                <w:rFonts w:hint="eastAsia" w:ascii="宋体" w:hAnsi="宋体" w:cs="宋体"/>
                <w:color w:val="auto"/>
                <w:sz w:val="21"/>
                <w:szCs w:val="21"/>
                <w:highlight w:val="none"/>
                <w:lang w:eastAsia="zh-CN"/>
              </w:rPr>
              <w:t>张老师</w:t>
            </w:r>
            <w:r>
              <w:rPr>
                <w:rFonts w:hint="eastAsia" w:ascii="宋体" w:hAnsi="宋体" w:eastAsia="宋体" w:cs="宋体"/>
                <w:color w:val="auto"/>
                <w:sz w:val="21"/>
                <w:szCs w:val="21"/>
                <w:highlight w:val="none"/>
              </w:rPr>
              <w:t xml:space="preserve">       电话：</w:t>
            </w:r>
            <w:r>
              <w:rPr>
                <w:rFonts w:hint="eastAsia" w:ascii="宋体" w:hAnsi="宋体" w:cs="宋体"/>
                <w:color w:val="auto"/>
                <w:sz w:val="21"/>
                <w:szCs w:val="21"/>
                <w:highlight w:val="none"/>
                <w:lang w:eastAsia="zh-CN"/>
              </w:rPr>
              <w:t>0731-22780163</w:t>
            </w:r>
          </w:p>
          <w:p w14:paraId="5344A2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    址：</w:t>
            </w:r>
            <w:r>
              <w:rPr>
                <w:rFonts w:hint="eastAsia" w:ascii="宋体" w:hAnsi="宋体" w:cs="宋体"/>
                <w:color w:val="auto"/>
                <w:sz w:val="21"/>
                <w:szCs w:val="21"/>
                <w:highlight w:val="none"/>
                <w:lang w:eastAsia="zh-CN"/>
              </w:rPr>
              <w:t>株洲市石峰区职教大学城智慧路1号</w:t>
            </w:r>
          </w:p>
        </w:tc>
      </w:tr>
      <w:tr w14:paraId="073618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6C270D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第二章第2.2款</w:t>
            </w:r>
          </w:p>
        </w:tc>
        <w:tc>
          <w:tcPr>
            <w:tcW w:w="947" w:type="pct"/>
            <w:vAlign w:val="center"/>
          </w:tcPr>
          <w:p w14:paraId="33A387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p>
        </w:tc>
        <w:tc>
          <w:tcPr>
            <w:tcW w:w="3299" w:type="pct"/>
            <w:gridSpan w:val="3"/>
            <w:vAlign w:val="center"/>
          </w:tcPr>
          <w:p w14:paraId="652290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湖南省中方项目管理有限公司</w:t>
            </w:r>
          </w:p>
          <w:p w14:paraId="0C6449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lang w:eastAsia="zh-CN"/>
              </w:rPr>
              <w:t>株洲市天元区庐山路69号庐山恋铭逸酒店21楼</w:t>
            </w:r>
          </w:p>
          <w:p w14:paraId="3CCB3A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ascii="宋体" w:hAnsi="宋体" w:cs="宋体"/>
                <w:color w:val="auto"/>
                <w:sz w:val="21"/>
                <w:szCs w:val="21"/>
                <w:highlight w:val="none"/>
                <w:lang w:eastAsia="zh-CN"/>
              </w:rPr>
              <w:t>唐周、卿煜</w:t>
            </w:r>
            <w:r>
              <w:rPr>
                <w:rFonts w:hint="eastAsia" w:ascii="宋体" w:hAnsi="宋体" w:eastAsia="宋体" w:cs="宋体"/>
                <w:color w:val="auto"/>
                <w:sz w:val="21"/>
                <w:szCs w:val="21"/>
                <w:highlight w:val="none"/>
                <w:lang w:eastAsia="zh-CN"/>
              </w:rPr>
              <w:t xml:space="preserve"> </w:t>
            </w:r>
          </w:p>
          <w:p w14:paraId="291225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lang w:eastAsia="zh-CN"/>
              </w:rPr>
              <w:t>18907338868</w:t>
            </w:r>
          </w:p>
        </w:tc>
      </w:tr>
      <w:tr w14:paraId="5A2C0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2A0C02C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第二章第2.3款</w:t>
            </w:r>
          </w:p>
        </w:tc>
        <w:tc>
          <w:tcPr>
            <w:tcW w:w="947" w:type="pct"/>
            <w:vAlign w:val="center"/>
          </w:tcPr>
          <w:p w14:paraId="7138B4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Cs/>
                <w:color w:val="auto"/>
                <w:spacing w:val="-10"/>
                <w:sz w:val="21"/>
                <w:szCs w:val="21"/>
                <w:highlight w:val="none"/>
              </w:rPr>
            </w:pPr>
            <w:r>
              <w:rPr>
                <w:rFonts w:hint="eastAsia" w:ascii="宋体" w:hAnsi="宋体" w:eastAsia="宋体" w:cs="宋体"/>
                <w:color w:val="auto"/>
                <w:spacing w:val="-10"/>
                <w:kern w:val="0"/>
                <w:sz w:val="21"/>
                <w:szCs w:val="21"/>
                <w:highlight w:val="none"/>
              </w:rPr>
              <w:t>供应商的</w:t>
            </w:r>
            <w:r>
              <w:rPr>
                <w:rFonts w:hint="eastAsia" w:ascii="宋体" w:hAnsi="宋体" w:eastAsia="宋体" w:cs="宋体"/>
                <w:color w:val="auto"/>
                <w:spacing w:val="-10"/>
                <w:sz w:val="21"/>
                <w:szCs w:val="21"/>
                <w:highlight w:val="none"/>
              </w:rPr>
              <w:t>邀请方式</w:t>
            </w:r>
          </w:p>
        </w:tc>
        <w:tc>
          <w:tcPr>
            <w:tcW w:w="3299" w:type="pct"/>
            <w:gridSpan w:val="3"/>
            <w:vAlign w:val="center"/>
          </w:tcPr>
          <w:p w14:paraId="49C774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 xml:space="preserve"> 发布公告</w:t>
            </w:r>
          </w:p>
          <w:p w14:paraId="6495BE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从省级以上财政部门建立的供应商库中随机抽取</w:t>
            </w:r>
          </w:p>
          <w:p w14:paraId="151D5F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采购人和评审专家分别书面推荐的方式</w:t>
            </w:r>
          </w:p>
        </w:tc>
      </w:tr>
      <w:tr w14:paraId="6AA473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tcBorders>
              <w:bottom w:val="single" w:color="auto" w:sz="4" w:space="0"/>
            </w:tcBorders>
            <w:vAlign w:val="center"/>
          </w:tcPr>
          <w:p w14:paraId="1F6C96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第二章第3.1款</w:t>
            </w:r>
          </w:p>
        </w:tc>
        <w:tc>
          <w:tcPr>
            <w:tcW w:w="947" w:type="pct"/>
            <w:tcBorders>
              <w:bottom w:val="single" w:color="auto" w:sz="4" w:space="0"/>
            </w:tcBorders>
            <w:vAlign w:val="center"/>
          </w:tcPr>
          <w:p w14:paraId="29143E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供应商</w:t>
            </w:r>
            <w:r>
              <w:rPr>
                <w:rFonts w:hint="eastAsia" w:ascii="宋体" w:hAnsi="宋体" w:eastAsia="宋体" w:cs="宋体"/>
                <w:color w:val="auto"/>
                <w:sz w:val="21"/>
                <w:szCs w:val="21"/>
                <w:highlight w:val="none"/>
              </w:rPr>
              <w:t>资格条件</w:t>
            </w:r>
          </w:p>
        </w:tc>
        <w:tc>
          <w:tcPr>
            <w:tcW w:w="3299" w:type="pct"/>
            <w:gridSpan w:val="3"/>
            <w:tcBorders>
              <w:bottom w:val="single" w:color="auto" w:sz="4" w:space="0"/>
            </w:tcBorders>
            <w:vAlign w:val="center"/>
          </w:tcPr>
          <w:p w14:paraId="48ED7F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详见第一章磋商通知</w:t>
            </w:r>
          </w:p>
        </w:tc>
      </w:tr>
      <w:tr w14:paraId="70E4FB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tcBorders>
              <w:top w:val="single" w:color="auto" w:sz="4" w:space="0"/>
            </w:tcBorders>
            <w:vAlign w:val="center"/>
          </w:tcPr>
          <w:p w14:paraId="1852C1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第二章第6.1款</w:t>
            </w:r>
          </w:p>
        </w:tc>
        <w:tc>
          <w:tcPr>
            <w:tcW w:w="947" w:type="pct"/>
            <w:tcBorders>
              <w:top w:val="single" w:color="auto" w:sz="4" w:space="0"/>
            </w:tcBorders>
            <w:vAlign w:val="center"/>
          </w:tcPr>
          <w:p w14:paraId="54FE5E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联合体形式</w:t>
            </w:r>
          </w:p>
        </w:tc>
        <w:tc>
          <w:tcPr>
            <w:tcW w:w="3299" w:type="pct"/>
            <w:gridSpan w:val="3"/>
            <w:tcBorders>
              <w:top w:val="single" w:color="auto" w:sz="4" w:space="0"/>
            </w:tcBorders>
            <w:vAlign w:val="center"/>
          </w:tcPr>
          <w:p w14:paraId="5208F28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不接受</w:t>
            </w:r>
          </w:p>
        </w:tc>
      </w:tr>
      <w:tr w14:paraId="54A3D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tcBorders>
              <w:top w:val="single" w:color="auto" w:sz="4" w:space="0"/>
            </w:tcBorders>
            <w:vAlign w:val="center"/>
          </w:tcPr>
          <w:p w14:paraId="6B82E8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第二章第6.1</w:t>
            </w:r>
            <w:r>
              <w:rPr>
                <w:rFonts w:hint="eastAsia" w:ascii="宋体" w:hAnsi="宋体" w:cs="宋体"/>
                <w:color w:val="auto"/>
                <w:spacing w:val="-4"/>
                <w:sz w:val="21"/>
                <w:szCs w:val="21"/>
                <w:highlight w:val="none"/>
                <w:lang w:eastAsia="zh-CN"/>
              </w:rPr>
              <w:t>（</w:t>
            </w:r>
            <w:r>
              <w:rPr>
                <w:rFonts w:hint="eastAsia" w:ascii="宋体" w:hAnsi="宋体" w:cs="宋体"/>
                <w:color w:val="auto"/>
                <w:spacing w:val="-4"/>
                <w:sz w:val="21"/>
                <w:szCs w:val="21"/>
                <w:highlight w:val="none"/>
                <w:lang w:val="en-US" w:eastAsia="zh-CN"/>
              </w:rPr>
              <w:t>3</w:t>
            </w:r>
            <w:r>
              <w:rPr>
                <w:rFonts w:hint="eastAsia" w:ascii="宋体" w:hAnsi="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款</w:t>
            </w:r>
          </w:p>
        </w:tc>
        <w:tc>
          <w:tcPr>
            <w:tcW w:w="947" w:type="pct"/>
            <w:tcBorders>
              <w:top w:val="single" w:color="auto" w:sz="4" w:space="0"/>
            </w:tcBorders>
            <w:vAlign w:val="center"/>
          </w:tcPr>
          <w:p w14:paraId="130395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联合体</w:t>
            </w:r>
            <w:r>
              <w:rPr>
                <w:rFonts w:hint="eastAsia" w:ascii="宋体" w:hAnsi="宋体" w:cs="宋体"/>
                <w:color w:val="auto"/>
                <w:sz w:val="21"/>
                <w:szCs w:val="21"/>
                <w:highlight w:val="none"/>
                <w:lang w:val="en-US" w:eastAsia="zh-CN"/>
              </w:rPr>
              <w:t>的要求</w:t>
            </w:r>
          </w:p>
        </w:tc>
        <w:tc>
          <w:tcPr>
            <w:tcW w:w="3299" w:type="pct"/>
            <w:gridSpan w:val="3"/>
            <w:tcBorders>
              <w:top w:val="single" w:color="auto" w:sz="4" w:space="0"/>
            </w:tcBorders>
            <w:vAlign w:val="center"/>
          </w:tcPr>
          <w:p w14:paraId="20CF94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不适用</w:t>
            </w:r>
          </w:p>
        </w:tc>
      </w:tr>
      <w:tr w14:paraId="5E3FF9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05F599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第二章第7.1款</w:t>
            </w:r>
          </w:p>
        </w:tc>
        <w:tc>
          <w:tcPr>
            <w:tcW w:w="947" w:type="pct"/>
            <w:vAlign w:val="center"/>
          </w:tcPr>
          <w:p w14:paraId="4189E0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现场勘察</w:t>
            </w:r>
          </w:p>
        </w:tc>
        <w:tc>
          <w:tcPr>
            <w:tcW w:w="3299" w:type="pct"/>
            <w:gridSpan w:val="3"/>
            <w:vAlign w:val="center"/>
          </w:tcPr>
          <w:p w14:paraId="7F8FB6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不组织，请各供应商自行踏勘现场，中标后中标人以不了解现场情况为由向磋商人提出的任何索赔，磋商人均不予受理。</w:t>
            </w:r>
          </w:p>
          <w:p w14:paraId="2C202B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勘察现场的费用由供应商自己承担，勘察期间所发生的人身伤害及财产损失由供应商自己负责。</w:t>
            </w:r>
          </w:p>
        </w:tc>
      </w:tr>
      <w:tr w14:paraId="1CD23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31FFE2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第二章第</w:t>
            </w:r>
            <w:r>
              <w:rPr>
                <w:rFonts w:hint="eastAsia" w:ascii="宋体" w:hAnsi="宋体" w:cs="宋体"/>
                <w:color w:val="auto"/>
                <w:spacing w:val="-4"/>
                <w:sz w:val="21"/>
                <w:szCs w:val="21"/>
                <w:highlight w:val="none"/>
                <w:lang w:val="en-US" w:eastAsia="zh-CN"/>
              </w:rPr>
              <w:t>8.1</w:t>
            </w:r>
            <w:r>
              <w:rPr>
                <w:rFonts w:hint="eastAsia" w:ascii="宋体" w:hAnsi="宋体" w:eastAsia="宋体" w:cs="宋体"/>
                <w:color w:val="auto"/>
                <w:spacing w:val="-4"/>
                <w:sz w:val="21"/>
                <w:szCs w:val="21"/>
                <w:highlight w:val="none"/>
              </w:rPr>
              <w:t>款</w:t>
            </w:r>
          </w:p>
        </w:tc>
        <w:tc>
          <w:tcPr>
            <w:tcW w:w="947" w:type="pct"/>
            <w:vAlign w:val="center"/>
          </w:tcPr>
          <w:p w14:paraId="473AF9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进口产品</w:t>
            </w:r>
          </w:p>
        </w:tc>
        <w:tc>
          <w:tcPr>
            <w:tcW w:w="3299" w:type="pct"/>
            <w:gridSpan w:val="3"/>
            <w:vAlign w:val="center"/>
          </w:tcPr>
          <w:p w14:paraId="18B82B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shd w:val="clear" w:color="auto" w:fill="FFFFFF"/>
              </w:rPr>
              <w:t>本采购项目拒绝进口产品参加投标。</w:t>
            </w:r>
          </w:p>
          <w:p w14:paraId="577D95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shd w:val="clear" w:color="auto" w:fill="FFFFFF"/>
              </w:rPr>
              <w:t>本采购项目已经财政部门审核同意购买进口产品。</w:t>
            </w:r>
          </w:p>
        </w:tc>
      </w:tr>
      <w:tr w14:paraId="283FF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restart"/>
            <w:vAlign w:val="center"/>
          </w:tcPr>
          <w:p w14:paraId="1CABE8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第二章第9.1款</w:t>
            </w:r>
          </w:p>
          <w:p w14:paraId="503DC6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（请关注中国政府采购网相关信息）</w:t>
            </w:r>
          </w:p>
        </w:tc>
        <w:tc>
          <w:tcPr>
            <w:tcW w:w="947" w:type="pct"/>
            <w:vAlign w:val="center"/>
          </w:tcPr>
          <w:p w14:paraId="62676E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政府采购强制采购节能产品</w:t>
            </w:r>
          </w:p>
        </w:tc>
        <w:tc>
          <w:tcPr>
            <w:tcW w:w="3299" w:type="pct"/>
            <w:gridSpan w:val="3"/>
            <w:shd w:val="clear" w:color="auto" w:fill="auto"/>
            <w:vAlign w:val="center"/>
          </w:tcPr>
          <w:p w14:paraId="29946F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纳入财政部会同国务院有关部门发布的节能产品政府采购品目清单，实施政府强制采购的（品目清单标注</w:t>
            </w:r>
            <w:r>
              <w:rPr>
                <w:rFonts w:hint="eastAsia" w:ascii="宋体" w:hAnsi="宋体" w:eastAsia="宋体" w:cs="宋体"/>
                <w:color w:val="auto"/>
                <w:kern w:val="0"/>
                <w:sz w:val="21"/>
                <w:szCs w:val="21"/>
                <w:highlight w:val="none"/>
              </w:rPr>
              <w:sym w:font="Wingdings" w:char="F0AB"/>
            </w:r>
            <w:r>
              <w:rPr>
                <w:rFonts w:hint="eastAsia" w:ascii="宋体" w:hAnsi="宋体" w:eastAsia="宋体" w:cs="宋体"/>
                <w:color w:val="auto"/>
                <w:kern w:val="0"/>
                <w:sz w:val="21"/>
                <w:szCs w:val="21"/>
                <w:highlight w:val="none"/>
              </w:rPr>
              <w:t>符号产品），投标人投标产品应当取得国家确定的认证机构出具的、处于有效期之内的节能产品认证证书，否则其</w:t>
            </w:r>
            <w:r>
              <w:rPr>
                <w:rFonts w:hint="eastAsia" w:ascii="宋体" w:hAnsi="宋体" w:eastAsia="宋体" w:cs="宋体"/>
                <w:b/>
                <w:color w:val="auto"/>
                <w:kern w:val="0"/>
                <w:sz w:val="21"/>
                <w:szCs w:val="21"/>
                <w:highlight w:val="none"/>
              </w:rPr>
              <w:t>投标无效</w:t>
            </w:r>
            <w:r>
              <w:rPr>
                <w:rFonts w:hint="eastAsia" w:ascii="宋体" w:hAnsi="宋体" w:eastAsia="宋体" w:cs="宋体"/>
                <w:color w:val="auto"/>
                <w:sz w:val="21"/>
                <w:szCs w:val="21"/>
                <w:highlight w:val="none"/>
              </w:rPr>
              <w:t>。</w:t>
            </w:r>
          </w:p>
        </w:tc>
      </w:tr>
      <w:tr w14:paraId="65A247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039160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Align w:val="center"/>
          </w:tcPr>
          <w:p w14:paraId="638363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政府采购优先采购节能、环境标志产品</w:t>
            </w:r>
          </w:p>
        </w:tc>
        <w:tc>
          <w:tcPr>
            <w:tcW w:w="3299" w:type="pct"/>
            <w:gridSpan w:val="3"/>
            <w:vAlign w:val="center"/>
          </w:tcPr>
          <w:p w14:paraId="62041EC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采购产品为最新并提供相关证明资料的《节能产品品目清单清单》或《环境标志产品品目清单》的：</w:t>
            </w:r>
          </w:p>
          <w:p w14:paraId="3672FA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①非强制采购节能产品:采用综合评分法时，对于技术和价格分，应分别给予总分值4%-8%的加分。本项目具体加分比例分别为：技术</w:t>
            </w:r>
            <w:r>
              <w:rPr>
                <w:rFonts w:hint="eastAsia" w:ascii="宋体" w:hAnsi="宋体" w:eastAsia="宋体" w:cs="宋体"/>
                <w:color w:val="auto"/>
                <w:sz w:val="21"/>
                <w:szCs w:val="21"/>
                <w:highlight w:val="none"/>
                <w:u w:val="single"/>
              </w:rPr>
              <w:t xml:space="preserve">4 </w:t>
            </w:r>
            <w:r>
              <w:rPr>
                <w:rFonts w:hint="eastAsia" w:ascii="宋体" w:hAnsi="宋体" w:eastAsia="宋体" w:cs="宋体"/>
                <w:color w:val="auto"/>
                <w:sz w:val="21"/>
                <w:szCs w:val="21"/>
                <w:highlight w:val="none"/>
              </w:rPr>
              <w:t>%、价格</w:t>
            </w:r>
            <w:r>
              <w:rPr>
                <w:rFonts w:hint="eastAsia" w:ascii="宋体" w:hAnsi="宋体" w:eastAsia="宋体" w:cs="宋体"/>
                <w:color w:val="auto"/>
                <w:sz w:val="21"/>
                <w:szCs w:val="21"/>
                <w:highlight w:val="none"/>
                <w:u w:val="single"/>
              </w:rPr>
              <w:t>4</w:t>
            </w:r>
            <w:r>
              <w:rPr>
                <w:rFonts w:hint="eastAsia" w:ascii="宋体" w:hAnsi="宋体" w:eastAsia="宋体" w:cs="宋体"/>
                <w:color w:val="auto"/>
                <w:sz w:val="21"/>
                <w:szCs w:val="21"/>
                <w:highlight w:val="none"/>
              </w:rPr>
              <w:t xml:space="preserve"> %。 </w:t>
            </w:r>
          </w:p>
          <w:p w14:paraId="6EE948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②环境标志产品:采用综合评分法时，对于技术和价格分，应分别给予总分值4%-8%的加分。本项目具体加分比例分别为：技术</w:t>
            </w:r>
            <w:r>
              <w:rPr>
                <w:rFonts w:hint="eastAsia" w:ascii="宋体" w:hAnsi="宋体" w:eastAsia="宋体" w:cs="宋体"/>
                <w:color w:val="auto"/>
                <w:sz w:val="21"/>
                <w:szCs w:val="21"/>
                <w:highlight w:val="none"/>
                <w:u w:val="single"/>
              </w:rPr>
              <w:t xml:space="preserve">4 </w:t>
            </w:r>
            <w:r>
              <w:rPr>
                <w:rFonts w:hint="eastAsia" w:ascii="宋体" w:hAnsi="宋体" w:eastAsia="宋体" w:cs="宋体"/>
                <w:color w:val="auto"/>
                <w:sz w:val="21"/>
                <w:szCs w:val="21"/>
                <w:highlight w:val="none"/>
              </w:rPr>
              <w:t>%、价格</w:t>
            </w:r>
            <w:r>
              <w:rPr>
                <w:rFonts w:hint="eastAsia" w:ascii="宋体" w:hAnsi="宋体" w:eastAsia="宋体" w:cs="宋体"/>
                <w:color w:val="auto"/>
                <w:sz w:val="21"/>
                <w:szCs w:val="21"/>
                <w:highlight w:val="none"/>
                <w:u w:val="single"/>
              </w:rPr>
              <w:t xml:space="preserve">4 </w:t>
            </w:r>
            <w:r>
              <w:rPr>
                <w:rFonts w:hint="eastAsia" w:ascii="宋体" w:hAnsi="宋体" w:eastAsia="宋体" w:cs="宋体"/>
                <w:color w:val="auto"/>
                <w:sz w:val="21"/>
                <w:szCs w:val="21"/>
                <w:highlight w:val="none"/>
              </w:rPr>
              <w:t>% 。</w:t>
            </w:r>
          </w:p>
          <w:p w14:paraId="6C49BA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1）优先采购同时属于“节能产品”、“环境标志产品”的，评审时只有其中一项产品能享受优先采购优惠（供应商自行选择，并在投标文件中填报相关信息及数据）。同一项目中部分产品属于优先采购政策的，评审时只对该部分产品的报价实行价格扣除或加分（按该部分产品的报价占总报价的百分比调整）。</w:t>
            </w:r>
          </w:p>
          <w:p w14:paraId="774CBA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（2）在货物采购项目中，供应商提供的货物既有中小企业制造货物，也有大型企业制造货物的，不享受中小企业扶持政策。</w:t>
            </w:r>
          </w:p>
          <w:p w14:paraId="17C62F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（3）小型和微型企业的价格评审优惠可以与同时属于“节能产品”、“环境标志产品”中的一项优先采购优惠累加计算。</w:t>
            </w:r>
          </w:p>
        </w:tc>
      </w:tr>
      <w:tr w14:paraId="31A671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53F297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Merge w:val="restart"/>
            <w:tcBorders>
              <w:right w:val="single" w:color="auto" w:sz="4" w:space="0"/>
            </w:tcBorders>
            <w:vAlign w:val="center"/>
          </w:tcPr>
          <w:p w14:paraId="05DD65E6">
            <w:pPr>
              <w:pStyle w:val="23"/>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优先采购加分</w:t>
            </w:r>
          </w:p>
        </w:tc>
        <w:tc>
          <w:tcPr>
            <w:tcW w:w="419" w:type="pct"/>
            <w:tcBorders>
              <w:left w:val="single" w:color="auto" w:sz="4" w:space="0"/>
            </w:tcBorders>
            <w:vAlign w:val="center"/>
          </w:tcPr>
          <w:p w14:paraId="110517FC">
            <w:pPr>
              <w:pStyle w:val="23"/>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价格评价项</w:t>
            </w:r>
          </w:p>
        </w:tc>
        <w:tc>
          <w:tcPr>
            <w:tcW w:w="2880" w:type="pct"/>
            <w:gridSpan w:val="2"/>
            <w:vAlign w:val="center"/>
          </w:tcPr>
          <w:p w14:paraId="07257B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节能产品：</w:t>
            </w:r>
          </w:p>
          <w:p w14:paraId="7F973E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价格加分＝价格分值×加分比例×（节能产品报价÷总报价）</w:t>
            </w:r>
          </w:p>
          <w:p w14:paraId="0B7A8D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环境标志产品：</w:t>
            </w:r>
          </w:p>
          <w:p w14:paraId="591FDA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价格加分＝价格分值×加分比例×（环境标志产品报价÷总报价）</w:t>
            </w:r>
          </w:p>
        </w:tc>
      </w:tr>
      <w:tr w14:paraId="468878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0615B1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Merge w:val="continue"/>
            <w:tcBorders>
              <w:right w:val="single" w:color="auto" w:sz="4" w:space="0"/>
            </w:tcBorders>
            <w:vAlign w:val="center"/>
          </w:tcPr>
          <w:p w14:paraId="3ECD6B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419" w:type="pct"/>
            <w:tcBorders>
              <w:left w:val="single" w:color="auto" w:sz="4" w:space="0"/>
            </w:tcBorders>
            <w:vAlign w:val="center"/>
          </w:tcPr>
          <w:p w14:paraId="2DC52E69">
            <w:pPr>
              <w:pStyle w:val="23"/>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技术评价项</w:t>
            </w:r>
          </w:p>
        </w:tc>
        <w:tc>
          <w:tcPr>
            <w:tcW w:w="2880" w:type="pct"/>
            <w:gridSpan w:val="2"/>
            <w:vAlign w:val="center"/>
          </w:tcPr>
          <w:p w14:paraId="29BD4F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节能产品：</w:t>
            </w:r>
          </w:p>
          <w:p w14:paraId="2F4E3F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技术加分＝技术分值×加分比例×（节能产品报价÷总报价）</w:t>
            </w:r>
          </w:p>
          <w:p w14:paraId="12133A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环境标志产品：</w:t>
            </w:r>
          </w:p>
          <w:p w14:paraId="4A0A2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技术加分＝技术分值×加分比例×（环境标志产品报价÷总报价）</w:t>
            </w:r>
          </w:p>
        </w:tc>
      </w:tr>
      <w:tr w14:paraId="1E0A24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42469B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Merge w:val="continue"/>
            <w:tcBorders>
              <w:right w:val="single" w:color="auto" w:sz="4" w:space="0"/>
            </w:tcBorders>
            <w:vAlign w:val="center"/>
          </w:tcPr>
          <w:p w14:paraId="2B19BD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419" w:type="pct"/>
            <w:tcBorders>
              <w:left w:val="single" w:color="auto" w:sz="4" w:space="0"/>
            </w:tcBorders>
            <w:vAlign w:val="center"/>
          </w:tcPr>
          <w:p w14:paraId="204DD84C">
            <w:pPr>
              <w:pStyle w:val="23"/>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商务评价项</w:t>
            </w:r>
          </w:p>
        </w:tc>
        <w:tc>
          <w:tcPr>
            <w:tcW w:w="2880" w:type="pct"/>
            <w:gridSpan w:val="2"/>
            <w:vAlign w:val="center"/>
          </w:tcPr>
          <w:p w14:paraId="3D16D3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节能产品：</w:t>
            </w:r>
          </w:p>
          <w:p w14:paraId="46A563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技术加分＝技术分值×加分比例×（节能产品报价÷总报价）</w:t>
            </w:r>
          </w:p>
          <w:p w14:paraId="7A98C7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环境标志产品：</w:t>
            </w:r>
          </w:p>
          <w:p w14:paraId="0156E6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技术加分＝技术分值×加分比例×（环境标志产品报价÷总报价）</w:t>
            </w:r>
          </w:p>
        </w:tc>
      </w:tr>
      <w:tr w14:paraId="659EA7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079BE2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tcBorders>
              <w:bottom w:val="single" w:color="auto" w:sz="4" w:space="0"/>
            </w:tcBorders>
            <w:vAlign w:val="center"/>
          </w:tcPr>
          <w:p w14:paraId="511B8B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专门面向中小微企业采购或中小型、微型企业的价格折扣比例</w:t>
            </w:r>
          </w:p>
        </w:tc>
        <w:tc>
          <w:tcPr>
            <w:tcW w:w="3299" w:type="pct"/>
            <w:gridSpan w:val="3"/>
            <w:tcBorders>
              <w:bottom w:val="single" w:color="auto" w:sz="4" w:space="0"/>
            </w:tcBorders>
            <w:vAlign w:val="center"/>
          </w:tcPr>
          <w:p w14:paraId="12553780">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专门面向中小（微）企业采购。 </w:t>
            </w:r>
          </w:p>
          <w:p w14:paraId="4A743C0D">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非专门面向中小（微）企业采购：</w:t>
            </w:r>
          </w:p>
          <w:p w14:paraId="311B3A75">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在政府采购活动中，供应商提供的货物、工程 或者服务符合中小企业扶持政策的，对小微企业报价给予10%—20%（工程项目为 6%—10%）的扣除，用扣除后的价格参与评审，</w:t>
            </w:r>
            <w:r>
              <w:rPr>
                <w:rFonts w:hint="eastAsia" w:ascii="宋体" w:hAnsi="宋体" w:eastAsia="宋体" w:cs="宋体"/>
                <w:b/>
                <w:bCs/>
                <w:color w:val="auto"/>
                <w:sz w:val="21"/>
                <w:szCs w:val="21"/>
                <w:highlight w:val="none"/>
              </w:rPr>
              <w:t>本项目具体扣除比例为</w:t>
            </w:r>
            <w:r>
              <w:rPr>
                <w:rFonts w:hint="eastAsia" w:ascii="宋体" w:hAnsi="宋体" w:eastAsia="宋体" w:cs="宋体"/>
                <w:b/>
                <w:bCs/>
                <w:color w:val="auto"/>
                <w:sz w:val="21"/>
                <w:szCs w:val="21"/>
                <w:highlight w:val="none"/>
                <w:u w:val="single"/>
              </w:rPr>
              <w:t xml:space="preserve"> 10 </w:t>
            </w:r>
            <w:r>
              <w:rPr>
                <w:rFonts w:hint="eastAsia" w:ascii="宋体" w:hAnsi="宋体" w:eastAsia="宋体" w:cs="宋体"/>
                <w:b/>
                <w:bCs/>
                <w:color w:val="auto"/>
                <w:sz w:val="21"/>
                <w:szCs w:val="21"/>
                <w:highlight w:val="none"/>
              </w:rPr>
              <w:t>％。</w:t>
            </w:r>
          </w:p>
          <w:p w14:paraId="27B96326">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2、小型、微型企业参加联合体并在联合体协议中明确其在合同金额占联合体合同总金额 30%以上的，给予联合体2%-3%（工程项目为 1%—2%）的价格扣除。本项目具体扣除比例为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0E37A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3、本项目所属行业为</w:t>
            </w:r>
            <w:r>
              <w:rPr>
                <w:rFonts w:hint="eastAsia" w:ascii="宋体" w:hAnsi="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u w:val="single"/>
                <w:lang w:eastAsia="zh-CN"/>
              </w:rPr>
              <w:t>工业</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b/>
                <w:bCs/>
                <w:color w:val="auto"/>
                <w:sz w:val="21"/>
                <w:szCs w:val="21"/>
                <w:highlight w:val="none"/>
              </w:rPr>
              <w:t>。其小微企规模认定按照《中小企业划型标准规定》（工信部联企业〔2011〕300号）执行。</w:t>
            </w:r>
          </w:p>
        </w:tc>
      </w:tr>
      <w:tr w14:paraId="13D882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753E2F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tcBorders>
              <w:bottom w:val="single" w:color="auto" w:sz="4" w:space="0"/>
            </w:tcBorders>
            <w:vAlign w:val="center"/>
          </w:tcPr>
          <w:p w14:paraId="43B663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监狱企业</w:t>
            </w:r>
          </w:p>
        </w:tc>
        <w:tc>
          <w:tcPr>
            <w:tcW w:w="3299" w:type="pct"/>
            <w:gridSpan w:val="3"/>
            <w:tcBorders>
              <w:bottom w:val="single" w:color="auto" w:sz="4" w:space="0"/>
            </w:tcBorders>
            <w:vAlign w:val="center"/>
          </w:tcPr>
          <w:p w14:paraId="47C6BEE4">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政府采购活动中，监狱企业视同小型、微型企业，享受预留份额、评审中价格扣除等政府采购促进中小企业发展的政府采购政策。向监狱企业采购的金额，计入面向中小企业采购的统计数据。监狱企业参加政府采购活动时，应当提供由省级以上监狱管理局、戒毒管理局(含新疆生产建设兵团)出具的属于监狱企业的证明文件。（监狱企业属于小型、微型企业的，不重复享受政策）。</w:t>
            </w:r>
          </w:p>
        </w:tc>
      </w:tr>
      <w:tr w14:paraId="7D561E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1E8C13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tcBorders>
              <w:bottom w:val="single" w:color="auto" w:sz="4" w:space="0"/>
            </w:tcBorders>
            <w:vAlign w:val="center"/>
          </w:tcPr>
          <w:p w14:paraId="1D095B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残疾人福利性单位</w:t>
            </w:r>
          </w:p>
        </w:tc>
        <w:tc>
          <w:tcPr>
            <w:tcW w:w="3299" w:type="pct"/>
            <w:gridSpan w:val="3"/>
            <w:tcBorders>
              <w:bottom w:val="single" w:color="auto" w:sz="4" w:space="0"/>
            </w:tcBorders>
            <w:vAlign w:val="center"/>
          </w:tcPr>
          <w:p w14:paraId="02BCF959">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tc>
      </w:tr>
      <w:tr w14:paraId="640AD8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51152F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Align w:val="center"/>
          </w:tcPr>
          <w:p w14:paraId="03842E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政府采购支持中小企业融资</w:t>
            </w:r>
          </w:p>
        </w:tc>
        <w:tc>
          <w:tcPr>
            <w:tcW w:w="3299" w:type="pct"/>
            <w:gridSpan w:val="3"/>
            <w:vAlign w:val="center"/>
          </w:tcPr>
          <w:p w14:paraId="5DD0B7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有融资需求的，可登陆中国政府采购网查询。</w:t>
            </w:r>
          </w:p>
        </w:tc>
      </w:tr>
      <w:tr w14:paraId="1529F3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7D33A1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Align w:val="center"/>
          </w:tcPr>
          <w:p w14:paraId="7101A6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政府采购信用担保</w:t>
            </w:r>
          </w:p>
        </w:tc>
        <w:tc>
          <w:tcPr>
            <w:tcW w:w="3299" w:type="pct"/>
            <w:gridSpan w:val="3"/>
            <w:vAlign w:val="center"/>
          </w:tcPr>
          <w:p w14:paraId="3B19BF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有保证金担保、履约担保需求的，可登陆中国政府采购网查询。</w:t>
            </w:r>
          </w:p>
        </w:tc>
      </w:tr>
      <w:tr w14:paraId="469C4D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2B3732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4"/>
                <w:sz w:val="21"/>
                <w:szCs w:val="21"/>
                <w:highlight w:val="none"/>
              </w:rPr>
            </w:pPr>
          </w:p>
        </w:tc>
        <w:tc>
          <w:tcPr>
            <w:tcW w:w="947" w:type="pct"/>
            <w:vAlign w:val="center"/>
          </w:tcPr>
          <w:p w14:paraId="4E9F560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法律、法规、规章和省级以上财政部门规定的其他内容</w:t>
            </w:r>
          </w:p>
        </w:tc>
        <w:tc>
          <w:tcPr>
            <w:tcW w:w="3299" w:type="pct"/>
            <w:gridSpan w:val="3"/>
            <w:vAlign w:val="center"/>
          </w:tcPr>
          <w:p w14:paraId="1FC1E2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请在财政部门指定媒体上查阅相关信息并及时填写。</w:t>
            </w:r>
          </w:p>
        </w:tc>
      </w:tr>
      <w:tr w14:paraId="5BC250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4B6E59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二、磋商文件</w:t>
            </w:r>
          </w:p>
        </w:tc>
      </w:tr>
      <w:tr w14:paraId="21449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17CC8B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第二章第10.</w:t>
            </w:r>
            <w:r>
              <w:rPr>
                <w:rFonts w:hint="eastAsia" w:ascii="宋体" w:hAnsi="宋体" w:cs="宋体"/>
                <w:color w:val="auto"/>
                <w:spacing w:val="-12"/>
                <w:sz w:val="21"/>
                <w:szCs w:val="21"/>
                <w:highlight w:val="none"/>
                <w:lang w:val="en-US" w:eastAsia="zh-CN"/>
              </w:rPr>
              <w:t>3</w:t>
            </w:r>
            <w:r>
              <w:rPr>
                <w:rFonts w:hint="eastAsia" w:ascii="宋体" w:hAnsi="宋体" w:eastAsia="宋体" w:cs="宋体"/>
                <w:color w:val="auto"/>
                <w:spacing w:val="-12"/>
                <w:sz w:val="21"/>
                <w:szCs w:val="21"/>
                <w:highlight w:val="none"/>
              </w:rPr>
              <w:t>款</w:t>
            </w:r>
          </w:p>
        </w:tc>
        <w:tc>
          <w:tcPr>
            <w:tcW w:w="947" w:type="pct"/>
            <w:vAlign w:val="center"/>
          </w:tcPr>
          <w:p w14:paraId="239FC6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磋商文件的可能实质性变动内容</w:t>
            </w:r>
          </w:p>
        </w:tc>
        <w:tc>
          <w:tcPr>
            <w:tcW w:w="3299" w:type="pct"/>
            <w:gridSpan w:val="3"/>
            <w:vAlign w:val="center"/>
          </w:tcPr>
          <w:p w14:paraId="48BEB4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1.技术；2.服务；3.合同条款。</w:t>
            </w:r>
          </w:p>
        </w:tc>
      </w:tr>
      <w:tr w14:paraId="7D9CFE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76F61A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第二章第11.1款</w:t>
            </w:r>
          </w:p>
        </w:tc>
        <w:tc>
          <w:tcPr>
            <w:tcW w:w="947" w:type="pct"/>
            <w:vAlign w:val="center"/>
          </w:tcPr>
          <w:p w14:paraId="6EC3B4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0"/>
                <w:sz w:val="21"/>
                <w:szCs w:val="21"/>
                <w:highlight w:val="none"/>
              </w:rPr>
            </w:pPr>
            <w:r>
              <w:rPr>
                <w:rFonts w:hint="eastAsia" w:ascii="宋体" w:hAnsi="宋体" w:eastAsia="宋体" w:cs="宋体"/>
                <w:color w:val="auto"/>
                <w:spacing w:val="-10"/>
                <w:sz w:val="21"/>
                <w:szCs w:val="21"/>
                <w:highlight w:val="none"/>
              </w:rPr>
              <w:t>提供磋商文件期限</w:t>
            </w:r>
          </w:p>
        </w:tc>
        <w:tc>
          <w:tcPr>
            <w:tcW w:w="3299" w:type="pct"/>
            <w:gridSpan w:val="3"/>
            <w:vAlign w:val="center"/>
          </w:tcPr>
          <w:p w14:paraId="0FCCC2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详见第一章磋商通知</w:t>
            </w:r>
          </w:p>
        </w:tc>
      </w:tr>
      <w:tr w14:paraId="507669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7741CC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第二章第12.1款</w:t>
            </w:r>
          </w:p>
        </w:tc>
        <w:tc>
          <w:tcPr>
            <w:tcW w:w="947" w:type="pct"/>
            <w:vAlign w:val="center"/>
          </w:tcPr>
          <w:p w14:paraId="130B6A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提交首次响应文件的截止时间</w:t>
            </w:r>
          </w:p>
        </w:tc>
        <w:tc>
          <w:tcPr>
            <w:tcW w:w="3299" w:type="pct"/>
            <w:gridSpan w:val="3"/>
            <w:vAlign w:val="center"/>
          </w:tcPr>
          <w:p w14:paraId="1D3AE8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详见第一章磋商通知</w:t>
            </w:r>
          </w:p>
        </w:tc>
      </w:tr>
      <w:tr w14:paraId="586CD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3B511C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三、响应文件</w:t>
            </w:r>
          </w:p>
        </w:tc>
      </w:tr>
      <w:tr w14:paraId="22F1B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01D63A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w:t>
            </w:r>
            <w:r>
              <w:rPr>
                <w:rFonts w:hint="eastAsia" w:ascii="宋体" w:hAnsi="宋体" w:cs="宋体"/>
                <w:color w:val="auto"/>
                <w:spacing w:val="-12"/>
                <w:sz w:val="21"/>
                <w:szCs w:val="21"/>
                <w:highlight w:val="none"/>
                <w:lang w:val="en-US" w:eastAsia="zh-CN"/>
              </w:rPr>
              <w:t>4</w:t>
            </w:r>
            <w:r>
              <w:rPr>
                <w:rFonts w:hint="eastAsia" w:ascii="宋体" w:hAnsi="宋体" w:eastAsia="宋体" w:cs="宋体"/>
                <w:color w:val="auto"/>
                <w:spacing w:val="-12"/>
                <w:sz w:val="21"/>
                <w:szCs w:val="21"/>
                <w:highlight w:val="none"/>
              </w:rPr>
              <w:t>.</w:t>
            </w:r>
            <w:r>
              <w:rPr>
                <w:rFonts w:hint="eastAsia" w:ascii="宋体" w:hAnsi="宋体" w:cs="宋体"/>
                <w:color w:val="auto"/>
                <w:spacing w:val="-12"/>
                <w:sz w:val="21"/>
                <w:szCs w:val="21"/>
                <w:highlight w:val="none"/>
                <w:lang w:val="en-US" w:eastAsia="zh-CN"/>
              </w:rPr>
              <w:t>2</w:t>
            </w:r>
            <w:r>
              <w:rPr>
                <w:rFonts w:hint="eastAsia" w:ascii="宋体" w:hAnsi="宋体" w:eastAsia="宋体" w:cs="宋体"/>
                <w:color w:val="auto"/>
                <w:spacing w:val="-12"/>
                <w:sz w:val="21"/>
                <w:szCs w:val="21"/>
                <w:highlight w:val="none"/>
              </w:rPr>
              <w:t>款</w:t>
            </w:r>
          </w:p>
        </w:tc>
        <w:tc>
          <w:tcPr>
            <w:tcW w:w="947" w:type="pct"/>
            <w:vAlign w:val="center"/>
          </w:tcPr>
          <w:p w14:paraId="7D5F47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售后服务的证明文件</w:t>
            </w:r>
          </w:p>
        </w:tc>
        <w:tc>
          <w:tcPr>
            <w:tcW w:w="3299" w:type="pct"/>
            <w:gridSpan w:val="3"/>
            <w:vAlign w:val="center"/>
          </w:tcPr>
          <w:p w14:paraId="0C21D8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cs="宋体"/>
                <w:color w:val="auto"/>
                <w:sz w:val="21"/>
                <w:szCs w:val="21"/>
                <w:highlight w:val="none"/>
                <w:lang w:val="en-US" w:eastAsia="zh-CN"/>
              </w:rPr>
              <w:t>无</w:t>
            </w:r>
          </w:p>
        </w:tc>
      </w:tr>
      <w:tr w14:paraId="130BBC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7F9D2D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w:t>
            </w:r>
            <w:r>
              <w:rPr>
                <w:rFonts w:hint="eastAsia" w:ascii="宋体" w:hAnsi="宋体" w:cs="宋体"/>
                <w:color w:val="auto"/>
                <w:spacing w:val="-12"/>
                <w:sz w:val="21"/>
                <w:szCs w:val="21"/>
                <w:highlight w:val="none"/>
                <w:lang w:val="en-US" w:eastAsia="zh-CN"/>
              </w:rPr>
              <w:t>4</w:t>
            </w:r>
            <w:r>
              <w:rPr>
                <w:rFonts w:hint="eastAsia" w:ascii="宋体" w:hAnsi="宋体" w:eastAsia="宋体" w:cs="宋体"/>
                <w:color w:val="auto"/>
                <w:spacing w:val="-12"/>
                <w:sz w:val="21"/>
                <w:szCs w:val="21"/>
                <w:highlight w:val="none"/>
              </w:rPr>
              <w:t>.</w:t>
            </w:r>
            <w:r>
              <w:rPr>
                <w:rFonts w:hint="eastAsia" w:ascii="宋体" w:hAnsi="宋体" w:cs="宋体"/>
                <w:color w:val="auto"/>
                <w:spacing w:val="-12"/>
                <w:sz w:val="21"/>
                <w:szCs w:val="21"/>
                <w:highlight w:val="none"/>
                <w:lang w:val="en-US" w:eastAsia="zh-CN"/>
              </w:rPr>
              <w:t>3</w:t>
            </w:r>
            <w:r>
              <w:rPr>
                <w:rFonts w:hint="eastAsia" w:ascii="宋体" w:hAnsi="宋体" w:eastAsia="宋体" w:cs="宋体"/>
                <w:color w:val="auto"/>
                <w:spacing w:val="-12"/>
                <w:sz w:val="21"/>
                <w:szCs w:val="21"/>
                <w:highlight w:val="none"/>
              </w:rPr>
              <w:t>款</w:t>
            </w:r>
          </w:p>
        </w:tc>
        <w:tc>
          <w:tcPr>
            <w:tcW w:w="947" w:type="pct"/>
            <w:vAlign w:val="center"/>
          </w:tcPr>
          <w:p w14:paraId="5D3C2E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样品及要求</w:t>
            </w:r>
          </w:p>
        </w:tc>
        <w:tc>
          <w:tcPr>
            <w:tcW w:w="3299" w:type="pct"/>
            <w:gridSpan w:val="3"/>
            <w:vAlign w:val="center"/>
          </w:tcPr>
          <w:p w14:paraId="6AB54E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cs="宋体"/>
                <w:color w:val="auto"/>
                <w:sz w:val="21"/>
                <w:szCs w:val="21"/>
                <w:highlight w:val="none"/>
                <w:lang w:val="en-US" w:eastAsia="zh-CN"/>
              </w:rPr>
              <w:t>无需提供样品</w:t>
            </w:r>
          </w:p>
        </w:tc>
      </w:tr>
      <w:tr w14:paraId="1EC8DF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102281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w:t>
            </w:r>
            <w:r>
              <w:rPr>
                <w:rFonts w:hint="eastAsia" w:ascii="宋体" w:hAnsi="宋体" w:cs="宋体"/>
                <w:color w:val="auto"/>
                <w:spacing w:val="-12"/>
                <w:sz w:val="21"/>
                <w:szCs w:val="21"/>
                <w:highlight w:val="none"/>
                <w:lang w:val="en-US" w:eastAsia="zh-CN"/>
              </w:rPr>
              <w:t>5.3</w:t>
            </w:r>
            <w:r>
              <w:rPr>
                <w:rFonts w:hint="eastAsia" w:ascii="宋体" w:hAnsi="宋体" w:eastAsia="宋体" w:cs="宋体"/>
                <w:color w:val="auto"/>
                <w:spacing w:val="-12"/>
                <w:sz w:val="21"/>
                <w:szCs w:val="21"/>
                <w:highlight w:val="none"/>
              </w:rPr>
              <w:t>款</w:t>
            </w:r>
          </w:p>
        </w:tc>
        <w:tc>
          <w:tcPr>
            <w:tcW w:w="947" w:type="pct"/>
            <w:vAlign w:val="center"/>
          </w:tcPr>
          <w:p w14:paraId="2E7CAD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采购项目预算</w:t>
            </w:r>
          </w:p>
        </w:tc>
        <w:tc>
          <w:tcPr>
            <w:tcW w:w="3299" w:type="pct"/>
            <w:gridSpan w:val="3"/>
            <w:vAlign w:val="center"/>
          </w:tcPr>
          <w:p w14:paraId="22E0F3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eastAsia="zh-CN"/>
              </w:rPr>
              <w:t>570651.00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元，各供应商投标报价时不得超过上述采购预算，投标报价超过采购预算的，将视为不合格供应商。</w:t>
            </w:r>
          </w:p>
        </w:tc>
      </w:tr>
      <w:tr w14:paraId="02B803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02342C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第二章第1</w:t>
            </w:r>
            <w:r>
              <w:rPr>
                <w:rFonts w:hint="eastAsia" w:ascii="宋体" w:hAnsi="宋体" w:cs="宋体"/>
                <w:color w:val="auto"/>
                <w:spacing w:val="-12"/>
                <w:sz w:val="21"/>
                <w:szCs w:val="21"/>
                <w:highlight w:val="none"/>
                <w:lang w:val="en-US" w:eastAsia="zh-CN"/>
              </w:rPr>
              <w:t>7</w:t>
            </w:r>
            <w:r>
              <w:rPr>
                <w:rFonts w:hint="eastAsia" w:ascii="宋体" w:hAnsi="宋体" w:eastAsia="宋体" w:cs="宋体"/>
                <w:color w:val="auto"/>
                <w:spacing w:val="-12"/>
                <w:sz w:val="21"/>
                <w:szCs w:val="21"/>
                <w:highlight w:val="none"/>
              </w:rPr>
              <w:t>.1款</w:t>
            </w:r>
          </w:p>
        </w:tc>
        <w:tc>
          <w:tcPr>
            <w:tcW w:w="947" w:type="pct"/>
            <w:vAlign w:val="center"/>
          </w:tcPr>
          <w:p w14:paraId="0BA253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磋商保证金</w:t>
            </w:r>
          </w:p>
        </w:tc>
        <w:tc>
          <w:tcPr>
            <w:tcW w:w="3299" w:type="pct"/>
            <w:gridSpan w:val="3"/>
            <w:vAlign w:val="center"/>
          </w:tcPr>
          <w:p w14:paraId="0A921E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sym w:font="Wingdings" w:char="00A8"/>
            </w:r>
            <w:r>
              <w:rPr>
                <w:rFonts w:hint="eastAsia" w:ascii="宋体" w:hAnsi="宋体" w:eastAsia="宋体" w:cs="宋体"/>
                <w:b/>
                <w:bCs/>
                <w:color w:val="auto"/>
                <w:sz w:val="21"/>
                <w:szCs w:val="21"/>
                <w:highlight w:val="none"/>
              </w:rPr>
              <w:t>不要求提供</w:t>
            </w:r>
          </w:p>
          <w:p w14:paraId="2981E3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要求提供</w:t>
            </w:r>
          </w:p>
          <w:p w14:paraId="626739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1、磋商保证金的金额：</w:t>
            </w:r>
            <w:r>
              <w:rPr>
                <w:rFonts w:hint="eastAsia" w:ascii="宋体" w:hAnsi="宋体" w:cs="宋体"/>
                <w:b/>
                <w:bCs/>
                <w:color w:val="auto"/>
                <w:sz w:val="21"/>
                <w:szCs w:val="21"/>
                <w:highlight w:val="none"/>
                <w:lang w:val="en-US" w:eastAsia="zh-CN"/>
              </w:rPr>
              <w:t>壹万元整</w:t>
            </w:r>
          </w:p>
          <w:p w14:paraId="23342C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2、递交方式：磋商保证金必须是从供应商基本账户转（汇）入磋商保证金的托管账户管理，以现金方式和非供应商单位账户提交的磋商保证金无效；磋商保证金托管账户如下：</w:t>
            </w:r>
          </w:p>
          <w:p w14:paraId="5B6781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账户名：湖南省中方项目管理有限公司政府采购保证金专户</w:t>
            </w:r>
          </w:p>
          <w:p w14:paraId="6A5870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开户银行：广发银行股份有限公司长沙分行营业部</w:t>
            </w:r>
          </w:p>
          <w:p w14:paraId="6FF79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帐号：9550880221839500369</w:t>
            </w:r>
          </w:p>
          <w:p w14:paraId="6F424B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供应商不按照磋商文件要求提交投标保证金的，视为不合格供应商。</w:t>
            </w:r>
          </w:p>
          <w:p w14:paraId="3FD43DAA">
            <w:pPr>
              <w:keepNext w:val="0"/>
              <w:keepLines w:val="0"/>
              <w:pageBreakBefore w:val="0"/>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递交投标保证金时，必须在银行进帐单上注明“</w:t>
            </w:r>
            <w:r>
              <w:rPr>
                <w:rFonts w:hint="eastAsia" w:ascii="宋体" w:hAnsi="宋体" w:eastAsia="宋体" w:cs="宋体"/>
                <w:b/>
                <w:bCs/>
                <w:color w:val="auto"/>
                <w:sz w:val="21"/>
                <w:szCs w:val="21"/>
                <w:highlight w:val="none"/>
              </w:rPr>
              <w:t>项目名称</w:t>
            </w:r>
            <w:r>
              <w:rPr>
                <w:rFonts w:hint="eastAsia" w:ascii="宋体" w:hAnsi="宋体" w:eastAsia="宋体" w:cs="宋体"/>
                <w:color w:val="auto"/>
                <w:sz w:val="21"/>
                <w:szCs w:val="21"/>
                <w:highlight w:val="none"/>
              </w:rPr>
              <w:t>”的投标保证金，如果没注明是“</w:t>
            </w:r>
            <w:r>
              <w:rPr>
                <w:rFonts w:hint="eastAsia" w:ascii="宋体" w:hAnsi="宋体" w:eastAsia="宋体" w:cs="宋体"/>
                <w:b/>
                <w:bCs/>
                <w:color w:val="auto"/>
                <w:sz w:val="21"/>
                <w:szCs w:val="21"/>
                <w:highlight w:val="none"/>
              </w:rPr>
              <w:t>项目名称</w:t>
            </w:r>
            <w:r>
              <w:rPr>
                <w:rFonts w:hint="eastAsia" w:ascii="宋体" w:hAnsi="宋体" w:eastAsia="宋体" w:cs="宋体"/>
                <w:color w:val="auto"/>
                <w:sz w:val="21"/>
                <w:szCs w:val="21"/>
                <w:highlight w:val="none"/>
              </w:rPr>
              <w:t>”的投标保证金，由此造成无法查实是否到帐的，后果由供应商自行负责。(注：转账票据摘要处的注明可写简称，但必须表达清楚是本项目的投标保证金)</w:t>
            </w:r>
          </w:p>
          <w:p w14:paraId="450A5DA8">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注：投标保证金金额如与招标文件第一章 磋商通知</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一、采购项目基本信息</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bCs/>
                <w:color w:val="auto"/>
                <w:sz w:val="21"/>
                <w:szCs w:val="21"/>
                <w:highlight w:val="none"/>
              </w:rPr>
              <w:t>第9条投标保证金计算金额不一致的，以本条金额为准。</w:t>
            </w:r>
          </w:p>
        </w:tc>
      </w:tr>
      <w:tr w14:paraId="06BDD4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06E84F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w:t>
            </w:r>
            <w:r>
              <w:rPr>
                <w:rFonts w:hint="eastAsia" w:ascii="宋体" w:hAnsi="宋体" w:cs="宋体"/>
                <w:color w:val="auto"/>
                <w:spacing w:val="-12"/>
                <w:sz w:val="21"/>
                <w:szCs w:val="21"/>
                <w:highlight w:val="none"/>
                <w:lang w:val="en-US" w:eastAsia="zh-CN"/>
              </w:rPr>
              <w:t>18</w:t>
            </w:r>
            <w:r>
              <w:rPr>
                <w:rFonts w:hint="eastAsia" w:ascii="宋体" w:hAnsi="宋体" w:eastAsia="宋体" w:cs="宋体"/>
                <w:color w:val="auto"/>
                <w:spacing w:val="-12"/>
                <w:sz w:val="21"/>
                <w:szCs w:val="21"/>
                <w:highlight w:val="none"/>
              </w:rPr>
              <w:t>.1款</w:t>
            </w:r>
          </w:p>
        </w:tc>
        <w:tc>
          <w:tcPr>
            <w:tcW w:w="947" w:type="pct"/>
            <w:vAlign w:val="center"/>
          </w:tcPr>
          <w:p w14:paraId="072FEB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响应文件有效期</w:t>
            </w:r>
          </w:p>
        </w:tc>
        <w:tc>
          <w:tcPr>
            <w:tcW w:w="3299" w:type="pct"/>
            <w:gridSpan w:val="3"/>
            <w:vAlign w:val="center"/>
          </w:tcPr>
          <w:p w14:paraId="68FB91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u w:val="single"/>
              </w:rPr>
              <w:t>90</w:t>
            </w:r>
            <w:r>
              <w:rPr>
                <w:rFonts w:hint="eastAsia" w:ascii="宋体" w:hAnsi="宋体" w:eastAsia="宋体" w:cs="宋体"/>
                <w:color w:val="auto"/>
                <w:sz w:val="21"/>
                <w:szCs w:val="21"/>
                <w:highlight w:val="none"/>
              </w:rPr>
              <w:t>日(日历日)</w:t>
            </w:r>
          </w:p>
        </w:tc>
      </w:tr>
      <w:tr w14:paraId="70842F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5351AB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w:t>
            </w:r>
            <w:r>
              <w:rPr>
                <w:rFonts w:hint="eastAsia" w:ascii="宋体" w:hAnsi="宋体" w:cs="宋体"/>
                <w:color w:val="auto"/>
                <w:spacing w:val="-12"/>
                <w:sz w:val="21"/>
                <w:szCs w:val="21"/>
                <w:highlight w:val="none"/>
                <w:lang w:val="en-US" w:eastAsia="zh-CN"/>
              </w:rPr>
              <w:t>19</w:t>
            </w:r>
            <w:r>
              <w:rPr>
                <w:rFonts w:hint="eastAsia" w:ascii="宋体" w:hAnsi="宋体" w:eastAsia="宋体" w:cs="宋体"/>
                <w:color w:val="auto"/>
                <w:spacing w:val="-12"/>
                <w:sz w:val="21"/>
                <w:szCs w:val="21"/>
                <w:highlight w:val="none"/>
              </w:rPr>
              <w:t>.1款</w:t>
            </w:r>
          </w:p>
        </w:tc>
        <w:tc>
          <w:tcPr>
            <w:tcW w:w="947" w:type="pct"/>
            <w:vAlign w:val="center"/>
          </w:tcPr>
          <w:p w14:paraId="4A0B92E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0"/>
                <w:sz w:val="21"/>
                <w:szCs w:val="21"/>
                <w:highlight w:val="none"/>
              </w:rPr>
            </w:pPr>
            <w:r>
              <w:rPr>
                <w:rFonts w:hint="eastAsia" w:ascii="宋体" w:hAnsi="宋体" w:eastAsia="宋体" w:cs="宋体"/>
                <w:bCs/>
                <w:color w:val="auto"/>
                <w:spacing w:val="-10"/>
                <w:sz w:val="21"/>
                <w:szCs w:val="21"/>
                <w:highlight w:val="none"/>
              </w:rPr>
              <w:t>响应</w:t>
            </w:r>
            <w:r>
              <w:rPr>
                <w:rFonts w:hint="eastAsia" w:ascii="宋体" w:hAnsi="宋体" w:eastAsia="宋体" w:cs="宋体"/>
                <w:color w:val="auto"/>
                <w:spacing w:val="-10"/>
                <w:sz w:val="21"/>
                <w:szCs w:val="21"/>
                <w:highlight w:val="none"/>
              </w:rPr>
              <w:t>文件副本份数</w:t>
            </w:r>
          </w:p>
        </w:tc>
        <w:tc>
          <w:tcPr>
            <w:tcW w:w="3299" w:type="pct"/>
            <w:gridSpan w:val="3"/>
            <w:vAlign w:val="center"/>
          </w:tcPr>
          <w:p w14:paraId="4A2922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u w:val="single"/>
              </w:rPr>
              <w:t>一正二副，共三份  电子档U盘一份</w:t>
            </w:r>
            <w:r>
              <w:rPr>
                <w:rFonts w:hint="eastAsia" w:ascii="宋体" w:hAnsi="宋体" w:eastAsia="宋体" w:cs="宋体"/>
                <w:b/>
                <w:bCs/>
                <w:color w:val="auto"/>
                <w:kern w:val="0"/>
                <w:sz w:val="21"/>
                <w:szCs w:val="21"/>
                <w:highlight w:val="none"/>
                <w:u w:val="single"/>
              </w:rPr>
              <w:t>（响应文件的word文档及盖章签字PDF版各一份）</w:t>
            </w:r>
          </w:p>
        </w:tc>
      </w:tr>
      <w:tr w14:paraId="7A774B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1C8289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四、响应文件的递交</w:t>
            </w:r>
          </w:p>
        </w:tc>
      </w:tr>
      <w:tr w14:paraId="5D385A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306054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w:t>
            </w:r>
            <w:r>
              <w:rPr>
                <w:rFonts w:hint="eastAsia" w:ascii="宋体" w:hAnsi="宋体" w:cs="宋体"/>
                <w:color w:val="auto"/>
                <w:spacing w:val="-12"/>
                <w:sz w:val="21"/>
                <w:szCs w:val="21"/>
                <w:highlight w:val="none"/>
                <w:lang w:val="en-US" w:eastAsia="zh-CN"/>
              </w:rPr>
              <w:t>20</w:t>
            </w:r>
            <w:r>
              <w:rPr>
                <w:rFonts w:hint="eastAsia" w:ascii="宋体" w:hAnsi="宋体" w:eastAsia="宋体" w:cs="宋体"/>
                <w:color w:val="auto"/>
                <w:spacing w:val="-12"/>
                <w:sz w:val="21"/>
                <w:szCs w:val="21"/>
                <w:highlight w:val="none"/>
              </w:rPr>
              <w:t>.2款</w:t>
            </w:r>
          </w:p>
        </w:tc>
        <w:tc>
          <w:tcPr>
            <w:tcW w:w="947" w:type="pct"/>
            <w:vAlign w:val="center"/>
          </w:tcPr>
          <w:p w14:paraId="3F4645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封套上应载明的信息</w:t>
            </w:r>
          </w:p>
        </w:tc>
        <w:tc>
          <w:tcPr>
            <w:tcW w:w="3299" w:type="pct"/>
            <w:gridSpan w:val="3"/>
            <w:vAlign w:val="center"/>
          </w:tcPr>
          <w:p w14:paraId="7C0EB0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（项目名称）  </w:t>
            </w:r>
            <w:r>
              <w:rPr>
                <w:rFonts w:hint="eastAsia" w:ascii="宋体" w:hAnsi="宋体" w:eastAsia="宋体" w:cs="宋体"/>
                <w:color w:val="auto"/>
                <w:sz w:val="21"/>
                <w:szCs w:val="21"/>
                <w:highlight w:val="none"/>
              </w:rPr>
              <w:t>响应文件</w:t>
            </w:r>
          </w:p>
          <w:p w14:paraId="091084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政府采购编号：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DFB36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委托代理编号：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1CCA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FAED0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在</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 xml:space="preserve"> 年</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月</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日</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时</w:t>
            </w:r>
            <w:r>
              <w:rPr>
                <w:rFonts w:hint="eastAsia" w:ascii="宋体" w:hAnsi="宋体" w:eastAsia="宋体" w:cs="宋体"/>
                <w:color w:val="auto"/>
                <w:spacing w:val="-8"/>
                <w:sz w:val="21"/>
                <w:szCs w:val="21"/>
                <w:highlight w:val="none"/>
                <w:u w:val="single"/>
              </w:rPr>
              <w:t xml:space="preserve">    </w:t>
            </w:r>
            <w:r>
              <w:rPr>
                <w:rFonts w:hint="eastAsia" w:ascii="宋体" w:hAnsi="宋体" w:eastAsia="宋体" w:cs="宋体"/>
                <w:color w:val="auto"/>
                <w:spacing w:val="-8"/>
                <w:sz w:val="21"/>
                <w:szCs w:val="21"/>
                <w:highlight w:val="none"/>
              </w:rPr>
              <w:t>分之前不得启封</w:t>
            </w:r>
          </w:p>
        </w:tc>
      </w:tr>
      <w:tr w14:paraId="76E9F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29CC67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w:t>
            </w:r>
            <w:r>
              <w:rPr>
                <w:rFonts w:hint="eastAsia" w:ascii="宋体" w:hAnsi="宋体" w:cs="宋体"/>
                <w:color w:val="auto"/>
                <w:spacing w:val="-12"/>
                <w:sz w:val="21"/>
                <w:szCs w:val="21"/>
                <w:highlight w:val="none"/>
                <w:lang w:val="en-US" w:eastAsia="zh-CN"/>
              </w:rPr>
              <w:t>22</w:t>
            </w:r>
            <w:r>
              <w:rPr>
                <w:rFonts w:hint="eastAsia" w:ascii="宋体" w:hAnsi="宋体" w:eastAsia="宋体" w:cs="宋体"/>
                <w:color w:val="auto"/>
                <w:spacing w:val="-12"/>
                <w:sz w:val="21"/>
                <w:szCs w:val="21"/>
                <w:highlight w:val="none"/>
              </w:rPr>
              <w:t>.1款</w:t>
            </w:r>
          </w:p>
        </w:tc>
        <w:tc>
          <w:tcPr>
            <w:tcW w:w="947" w:type="pct"/>
            <w:vAlign w:val="center"/>
          </w:tcPr>
          <w:p w14:paraId="3877CD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响应文件的递交地点</w:t>
            </w:r>
          </w:p>
        </w:tc>
        <w:tc>
          <w:tcPr>
            <w:tcW w:w="3299" w:type="pct"/>
            <w:gridSpan w:val="3"/>
            <w:vAlign w:val="center"/>
          </w:tcPr>
          <w:p w14:paraId="6FA177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湖南省中方项目管理有限公司</w:t>
            </w:r>
            <w:r>
              <w:rPr>
                <w:rFonts w:hint="eastAsia" w:ascii="宋体" w:hAnsi="宋体" w:eastAsia="宋体" w:cs="宋体"/>
                <w:bCs/>
                <w:color w:val="auto"/>
                <w:sz w:val="21"/>
                <w:szCs w:val="21"/>
                <w:highlight w:val="none"/>
              </w:rPr>
              <w:t>开标室（</w:t>
            </w:r>
            <w:r>
              <w:rPr>
                <w:rFonts w:hint="eastAsia" w:ascii="宋体" w:hAnsi="宋体" w:eastAsia="宋体" w:cs="宋体"/>
                <w:bCs/>
                <w:color w:val="auto"/>
                <w:sz w:val="21"/>
                <w:szCs w:val="21"/>
                <w:highlight w:val="none"/>
                <w:lang w:eastAsia="zh-CN"/>
              </w:rPr>
              <w:t>株洲市天元区庐山路69号庐山恋铭逸酒店21楼</w:t>
            </w:r>
            <w:r>
              <w:rPr>
                <w:rFonts w:hint="eastAsia" w:ascii="宋体" w:hAnsi="宋体" w:eastAsia="宋体" w:cs="宋体"/>
                <w:bCs/>
                <w:color w:val="auto"/>
                <w:sz w:val="21"/>
                <w:szCs w:val="21"/>
                <w:highlight w:val="none"/>
              </w:rPr>
              <w:t>）开标室</w:t>
            </w:r>
            <w:r>
              <w:rPr>
                <w:rFonts w:hint="eastAsia" w:ascii="宋体" w:hAnsi="宋体" w:cs="宋体"/>
                <w:bCs/>
                <w:color w:val="auto"/>
                <w:sz w:val="21"/>
                <w:szCs w:val="21"/>
                <w:highlight w:val="none"/>
                <w:lang w:eastAsia="zh-CN"/>
              </w:rPr>
              <w:t>。</w:t>
            </w:r>
          </w:p>
        </w:tc>
      </w:tr>
      <w:tr w14:paraId="1576B4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5AE5EE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w:t>
            </w:r>
            <w:r>
              <w:rPr>
                <w:rFonts w:hint="eastAsia" w:ascii="宋体" w:hAnsi="宋体" w:eastAsia="宋体" w:cs="宋体"/>
                <w:b/>
                <w:bCs/>
                <w:color w:val="auto"/>
                <w:sz w:val="21"/>
                <w:szCs w:val="21"/>
                <w:highlight w:val="none"/>
              </w:rPr>
              <w:t>响应文件的</w:t>
            </w:r>
            <w:r>
              <w:rPr>
                <w:rFonts w:hint="eastAsia" w:ascii="宋体" w:hAnsi="宋体" w:eastAsia="宋体" w:cs="宋体"/>
                <w:b/>
                <w:color w:val="auto"/>
                <w:sz w:val="21"/>
                <w:szCs w:val="21"/>
                <w:highlight w:val="none"/>
              </w:rPr>
              <w:t>评审与磋商</w:t>
            </w:r>
          </w:p>
        </w:tc>
      </w:tr>
      <w:tr w14:paraId="7CE87D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4958DB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第二章第26.3</w:t>
            </w:r>
            <w:r>
              <w:rPr>
                <w:rFonts w:hint="eastAsia" w:ascii="宋体" w:hAnsi="宋体" w:eastAsia="宋体" w:cs="宋体"/>
                <w:color w:val="auto"/>
                <w:kern w:val="0"/>
                <w:sz w:val="21"/>
                <w:szCs w:val="21"/>
                <w:highlight w:val="none"/>
                <w:lang w:val="zh-CN"/>
              </w:rPr>
              <w:t>款</w:t>
            </w:r>
          </w:p>
        </w:tc>
        <w:tc>
          <w:tcPr>
            <w:tcW w:w="947" w:type="pct"/>
            <w:vAlign w:val="center"/>
          </w:tcPr>
          <w:p w14:paraId="7355A4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一般条款允许偏离的最高项数</w:t>
            </w:r>
          </w:p>
        </w:tc>
        <w:tc>
          <w:tcPr>
            <w:tcW w:w="3299" w:type="pct"/>
            <w:gridSpan w:val="3"/>
            <w:vAlign w:val="center"/>
          </w:tcPr>
          <w:p w14:paraId="40CE1698">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一般商务和技术条款偏离项数之和≥</w:t>
            </w:r>
            <w:r>
              <w:rPr>
                <w:rFonts w:hint="eastAsia" w:ascii="宋体" w:hAnsi="宋体" w:eastAsia="宋体" w:cs="宋体"/>
                <w:color w:val="auto"/>
                <w:kern w:val="2"/>
                <w:sz w:val="21"/>
                <w:szCs w:val="21"/>
                <w:highlight w:val="none"/>
                <w:u w:val="single"/>
              </w:rPr>
              <w:t xml:space="preserve"> 10 </w:t>
            </w:r>
            <w:r>
              <w:rPr>
                <w:rFonts w:hint="eastAsia" w:ascii="宋体" w:hAnsi="宋体" w:eastAsia="宋体" w:cs="宋体"/>
                <w:color w:val="auto"/>
                <w:kern w:val="2"/>
                <w:sz w:val="21"/>
                <w:szCs w:val="21"/>
                <w:highlight w:val="none"/>
              </w:rPr>
              <w:t>项将导致无效响应。</w:t>
            </w:r>
          </w:p>
          <w:p w14:paraId="3F4C70DB">
            <w:pPr>
              <w:pStyle w:val="16"/>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本条所称偏离为投标文件对磋商文件的偏离，即不满足、或不响应磋商文件的要求。偏离分为对磋商文件的实质性要求条款偏离和对磋商文件的一般商务和技术条款（参数）偏离。</w:t>
            </w:r>
          </w:p>
          <w:p w14:paraId="19025F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除法律、法规和规章规定外，磋商文件中用“拒绝”、“不接受”、“无效”、“不得”等文字规定或标注“★”符号的条款为实质性要求条款（即重要条款），对其中任何一条的偏离(即不满足、或不响应)，在评标时将其视为无效投标。未用上述文字规定或符号标注的条款为非实质性要求条款(即一般条款)。</w:t>
            </w:r>
          </w:p>
        </w:tc>
      </w:tr>
      <w:tr w14:paraId="08735E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400CED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第二章第26.4</w:t>
            </w:r>
            <w:r>
              <w:rPr>
                <w:rFonts w:hint="eastAsia" w:ascii="宋体" w:hAnsi="宋体" w:eastAsia="宋体" w:cs="宋体"/>
                <w:color w:val="auto"/>
                <w:kern w:val="0"/>
                <w:sz w:val="21"/>
                <w:szCs w:val="21"/>
                <w:highlight w:val="none"/>
                <w:lang w:val="zh-CN"/>
              </w:rPr>
              <w:t>款</w:t>
            </w:r>
          </w:p>
        </w:tc>
        <w:tc>
          <w:tcPr>
            <w:tcW w:w="947" w:type="pct"/>
            <w:vAlign w:val="center"/>
          </w:tcPr>
          <w:p w14:paraId="5CBCF0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条款数（最高项数）的统计方法</w:t>
            </w:r>
          </w:p>
        </w:tc>
        <w:tc>
          <w:tcPr>
            <w:tcW w:w="3299" w:type="pct"/>
            <w:gridSpan w:val="3"/>
            <w:vAlign w:val="center"/>
          </w:tcPr>
          <w:p w14:paraId="11C172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招标文件中，凡编排有单独的中文序数或阿拉伯数字或英文字母序列号等字符的条款算一项商务或技术要求项数，相同内容的条款不重复计算项数。</w:t>
            </w:r>
          </w:p>
        </w:tc>
      </w:tr>
      <w:tr w14:paraId="4A7C50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58F06B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六、成交结果信息公布与授予合同</w:t>
            </w:r>
          </w:p>
        </w:tc>
      </w:tr>
      <w:tr w14:paraId="233BFB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3386EE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第二章第3</w:t>
            </w:r>
            <w:r>
              <w:rPr>
                <w:rFonts w:hint="eastAsia" w:ascii="宋体" w:hAnsi="宋体" w:cs="宋体"/>
                <w:color w:val="auto"/>
                <w:spacing w:val="-12"/>
                <w:sz w:val="21"/>
                <w:szCs w:val="21"/>
                <w:highlight w:val="none"/>
                <w:lang w:val="en-US" w:eastAsia="zh-CN"/>
              </w:rPr>
              <w:t>6</w:t>
            </w:r>
            <w:r>
              <w:rPr>
                <w:rFonts w:hint="eastAsia" w:ascii="宋体" w:hAnsi="宋体" w:eastAsia="宋体" w:cs="宋体"/>
                <w:color w:val="auto"/>
                <w:spacing w:val="-12"/>
                <w:sz w:val="21"/>
                <w:szCs w:val="21"/>
                <w:highlight w:val="none"/>
              </w:rPr>
              <w:t>.1款</w:t>
            </w:r>
          </w:p>
        </w:tc>
        <w:tc>
          <w:tcPr>
            <w:tcW w:w="947" w:type="pct"/>
            <w:vAlign w:val="center"/>
          </w:tcPr>
          <w:p w14:paraId="701236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财政部门指定的媒体</w:t>
            </w:r>
          </w:p>
        </w:tc>
        <w:tc>
          <w:tcPr>
            <w:tcW w:w="3299" w:type="pct"/>
            <w:gridSpan w:val="3"/>
            <w:vAlign w:val="center"/>
          </w:tcPr>
          <w:p w14:paraId="6FD71F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中国湖南政府采购网(www.ccgp-hunan.gov.cn)</w:t>
            </w:r>
          </w:p>
        </w:tc>
      </w:tr>
      <w:tr w14:paraId="12BFC7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6BAD0E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第二章第3</w:t>
            </w:r>
            <w:r>
              <w:rPr>
                <w:rFonts w:hint="eastAsia" w:ascii="宋体" w:hAnsi="宋体" w:cs="宋体"/>
                <w:color w:val="auto"/>
                <w:spacing w:val="-12"/>
                <w:sz w:val="21"/>
                <w:szCs w:val="21"/>
                <w:highlight w:val="none"/>
                <w:lang w:val="en-US" w:eastAsia="zh-CN"/>
              </w:rPr>
              <w:t>8</w:t>
            </w:r>
            <w:r>
              <w:rPr>
                <w:rFonts w:hint="eastAsia" w:ascii="宋体" w:hAnsi="宋体" w:eastAsia="宋体" w:cs="宋体"/>
                <w:color w:val="auto"/>
                <w:spacing w:val="-12"/>
                <w:sz w:val="21"/>
                <w:szCs w:val="21"/>
                <w:highlight w:val="none"/>
              </w:rPr>
              <w:t>.3款</w:t>
            </w:r>
          </w:p>
        </w:tc>
        <w:tc>
          <w:tcPr>
            <w:tcW w:w="947" w:type="pct"/>
            <w:shd w:val="clear" w:color="auto" w:fill="auto"/>
            <w:vAlign w:val="center"/>
          </w:tcPr>
          <w:p w14:paraId="2779F8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3299" w:type="pct"/>
            <w:gridSpan w:val="3"/>
            <w:shd w:val="clear" w:color="auto" w:fill="auto"/>
            <w:vAlign w:val="center"/>
          </w:tcPr>
          <w:p w14:paraId="361DD7D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rPr>
              <w:t>不要求提供</w:t>
            </w:r>
          </w:p>
          <w:p w14:paraId="1A3BC0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sym w:font="Wingdings" w:char="00A8"/>
            </w:r>
            <w:r>
              <w:rPr>
                <w:rFonts w:hint="eastAsia" w:ascii="宋体" w:hAnsi="宋体" w:eastAsia="宋体" w:cs="宋体"/>
                <w:color w:val="auto"/>
                <w:sz w:val="21"/>
                <w:szCs w:val="21"/>
                <w:highlight w:val="none"/>
              </w:rPr>
              <w:t>要求提供，履约担保的金额为</w:t>
            </w:r>
            <w:r>
              <w:rPr>
                <w:rFonts w:hint="eastAsia" w:ascii="宋体" w:hAnsi="宋体" w:eastAsia="宋体" w:cs="宋体"/>
                <w:color w:val="auto"/>
                <w:sz w:val="21"/>
                <w:szCs w:val="21"/>
                <w:highlight w:val="none"/>
                <w:u w:val="none"/>
              </w:rPr>
              <w:t>：</w:t>
            </w:r>
            <w:r>
              <w:rPr>
                <w:rFonts w:hint="eastAsia" w:ascii="宋体" w:hAnsi="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w:t>
            </w:r>
          </w:p>
        </w:tc>
      </w:tr>
      <w:tr w14:paraId="289A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3AECB1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七、其他规定</w:t>
            </w:r>
          </w:p>
        </w:tc>
      </w:tr>
      <w:tr w14:paraId="55FF8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4C35F5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第二章第</w:t>
            </w:r>
            <w:r>
              <w:rPr>
                <w:rFonts w:hint="eastAsia" w:ascii="宋体" w:hAnsi="宋体" w:cs="宋体"/>
                <w:color w:val="auto"/>
                <w:spacing w:val="-12"/>
                <w:sz w:val="21"/>
                <w:szCs w:val="21"/>
                <w:highlight w:val="none"/>
                <w:lang w:val="en-US" w:eastAsia="zh-CN"/>
              </w:rPr>
              <w:t>40</w:t>
            </w:r>
            <w:r>
              <w:rPr>
                <w:rFonts w:hint="eastAsia" w:ascii="宋体" w:hAnsi="宋体" w:eastAsia="宋体" w:cs="宋体"/>
                <w:color w:val="auto"/>
                <w:spacing w:val="-12"/>
                <w:sz w:val="21"/>
                <w:szCs w:val="21"/>
                <w:highlight w:val="none"/>
              </w:rPr>
              <w:t>.1款</w:t>
            </w:r>
          </w:p>
        </w:tc>
        <w:tc>
          <w:tcPr>
            <w:tcW w:w="947" w:type="pct"/>
            <w:vAlign w:val="center"/>
          </w:tcPr>
          <w:p w14:paraId="23E14A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tc>
        <w:tc>
          <w:tcPr>
            <w:tcW w:w="3299" w:type="pct"/>
            <w:gridSpan w:val="3"/>
            <w:vAlign w:val="center"/>
          </w:tcPr>
          <w:p w14:paraId="333B5C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b/>
                <w:bCs/>
                <w:color w:val="auto"/>
                <w:sz w:val="21"/>
                <w:szCs w:val="21"/>
                <w:highlight w:val="none"/>
                <w:u w:val="single"/>
              </w:rPr>
            </w:pPr>
            <w:r>
              <w:rPr>
                <w:rFonts w:hint="eastAsia" w:ascii="宋体" w:hAnsi="宋体" w:eastAsia="宋体" w:cs="宋体"/>
                <w:color w:val="auto"/>
                <w:spacing w:val="-4"/>
                <w:sz w:val="21"/>
                <w:szCs w:val="21"/>
                <w:highlight w:val="none"/>
              </w:rPr>
              <w:t>本项目采购代理服务费应由</w:t>
            </w:r>
            <w:r>
              <w:rPr>
                <w:rFonts w:hint="eastAsia" w:ascii="宋体" w:hAnsi="宋体" w:eastAsia="宋体" w:cs="宋体"/>
                <w:color w:val="auto"/>
                <w:spacing w:val="-4"/>
                <w:sz w:val="21"/>
                <w:szCs w:val="21"/>
                <w:highlight w:val="none"/>
                <w:u w:val="single"/>
              </w:rPr>
              <w:t xml:space="preserve">  采购人  </w:t>
            </w:r>
            <w:r>
              <w:rPr>
                <w:rFonts w:hint="eastAsia" w:ascii="宋体" w:hAnsi="宋体" w:eastAsia="宋体" w:cs="宋体"/>
                <w:color w:val="auto"/>
                <w:spacing w:val="-4"/>
                <w:sz w:val="21"/>
                <w:szCs w:val="21"/>
                <w:highlight w:val="none"/>
              </w:rPr>
              <w:t>支付，详见采购代理协议。</w:t>
            </w:r>
          </w:p>
        </w:tc>
      </w:tr>
      <w:tr w14:paraId="271BF1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6BC6B7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第二章第</w:t>
            </w:r>
            <w:r>
              <w:rPr>
                <w:rFonts w:hint="eastAsia" w:ascii="宋体" w:hAnsi="宋体" w:cs="宋体"/>
                <w:color w:val="auto"/>
                <w:sz w:val="21"/>
                <w:szCs w:val="21"/>
                <w:highlight w:val="none"/>
                <w:lang w:val="en-US" w:eastAsia="zh-CN"/>
              </w:rPr>
              <w:t>41</w:t>
            </w:r>
            <w:r>
              <w:rPr>
                <w:rFonts w:hint="eastAsia" w:ascii="宋体" w:hAnsi="宋体" w:eastAsia="宋体" w:cs="宋体"/>
                <w:color w:val="auto"/>
                <w:sz w:val="21"/>
                <w:szCs w:val="21"/>
                <w:highlight w:val="none"/>
              </w:rPr>
              <w:t>.1款</w:t>
            </w:r>
          </w:p>
        </w:tc>
        <w:tc>
          <w:tcPr>
            <w:tcW w:w="947" w:type="pct"/>
            <w:vAlign w:val="center"/>
          </w:tcPr>
          <w:p w14:paraId="119AA3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其他规定</w:t>
            </w:r>
          </w:p>
        </w:tc>
        <w:tc>
          <w:tcPr>
            <w:tcW w:w="3299" w:type="pct"/>
            <w:gridSpan w:val="3"/>
            <w:vAlign w:val="center"/>
          </w:tcPr>
          <w:p w14:paraId="007C60C6">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1、</w:t>
            </w:r>
            <w:r>
              <w:rPr>
                <w:rFonts w:hint="eastAsia" w:ascii="宋体" w:hAnsi="宋体" w:eastAsia="宋体" w:cs="宋体"/>
                <w:color w:val="auto"/>
                <w:sz w:val="21"/>
                <w:szCs w:val="21"/>
                <w:highlight w:val="none"/>
              </w:rPr>
              <w:t>对列入失信被执行人、重大税收违法案件当事人名单、政府采购严重违法失信行为记录名单及其他不符合《中华人民共和国政府采购法》第二十二条规定条件的供应商，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B4EF131">
            <w:pPr>
              <w:pStyle w:val="10"/>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hAnsi="宋体" w:cs="宋体"/>
                <w:color w:val="auto"/>
                <w:w w:val="100"/>
                <w:kern w:val="0"/>
                <w:sz w:val="20"/>
                <w:szCs w:val="20"/>
                <w:highlight w:val="none"/>
                <w:shd w:val="clear" w:color="auto" w:fill="auto"/>
                <w:lang w:val="en-US" w:eastAsia="zh-CN" w:bidi="ar-SA"/>
              </w:rPr>
              <w:t>1.1</w:t>
            </w:r>
            <w:r>
              <w:rPr>
                <w:rFonts w:hint="eastAsia" w:ascii="宋体" w:hAnsi="宋体" w:eastAsia="宋体" w:cs="宋体"/>
                <w:color w:val="auto"/>
                <w:sz w:val="21"/>
                <w:szCs w:val="21"/>
                <w:highlight w:val="none"/>
              </w:rPr>
              <w:t>信用信息查询的查询渠道：</w:t>
            </w:r>
          </w:p>
          <w:p w14:paraId="5CDD8E3B">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信用中国网（www.creditchina.gov.cn）、中国政府采购网</w:t>
            </w:r>
            <w:r>
              <w:rPr>
                <w:rFonts w:hint="eastAsia" w:ascii="宋体" w:hAnsi="宋体" w:eastAsia="宋体" w:cs="宋体"/>
                <w:color w:val="auto"/>
                <w:sz w:val="21"/>
                <w:szCs w:val="21"/>
                <w:highlight w:val="none"/>
                <w:u w:val="none"/>
              </w:rPr>
              <w:t>（</w:t>
            </w:r>
            <w:r>
              <w:rPr>
                <w:rFonts w:hint="eastAsia" w:ascii="宋体" w:hAnsi="宋体" w:eastAsia="宋体" w:cs="宋体"/>
                <w:color w:val="auto"/>
                <w:sz w:val="21"/>
                <w:szCs w:val="21"/>
                <w:highlight w:val="none"/>
                <w:u w:val="none"/>
              </w:rPr>
              <w:fldChar w:fldCharType="begin"/>
            </w:r>
            <w:r>
              <w:rPr>
                <w:rFonts w:hint="eastAsia" w:ascii="宋体" w:hAnsi="宋体" w:eastAsia="宋体" w:cs="宋体"/>
                <w:color w:val="auto"/>
                <w:sz w:val="21"/>
                <w:szCs w:val="21"/>
                <w:highlight w:val="none"/>
                <w:u w:val="none"/>
              </w:rPr>
              <w:instrText xml:space="preserve"> HYPERLINK "http://www.ccgp.gov.cn" </w:instrText>
            </w:r>
            <w:r>
              <w:rPr>
                <w:rFonts w:hint="eastAsia" w:ascii="宋体" w:hAnsi="宋体" w:eastAsia="宋体" w:cs="宋体"/>
                <w:color w:val="auto"/>
                <w:sz w:val="21"/>
                <w:szCs w:val="21"/>
                <w:highlight w:val="none"/>
                <w:u w:val="none"/>
              </w:rPr>
              <w:fldChar w:fldCharType="separate"/>
            </w:r>
            <w:r>
              <w:rPr>
                <w:rStyle w:val="21"/>
                <w:rFonts w:hint="eastAsia" w:ascii="宋体" w:hAnsi="宋体" w:eastAsia="宋体" w:cs="宋体"/>
                <w:color w:val="auto"/>
                <w:sz w:val="21"/>
                <w:szCs w:val="21"/>
                <w:highlight w:val="none"/>
                <w:u w:val="none"/>
              </w:rPr>
              <w:t>www.ccgp.gov.cn）。</w:t>
            </w:r>
            <w:r>
              <w:rPr>
                <w:rStyle w:val="21"/>
                <w:rFonts w:hint="eastAsia" w:ascii="宋体" w:hAnsi="宋体" w:eastAsia="宋体" w:cs="宋体"/>
                <w:color w:val="auto"/>
                <w:sz w:val="21"/>
                <w:szCs w:val="21"/>
                <w:highlight w:val="none"/>
                <w:u w:val="none"/>
              </w:rPr>
              <w:fldChar w:fldCharType="end"/>
            </w:r>
          </w:p>
          <w:p w14:paraId="3565DD6B">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1.2</w:t>
            </w:r>
            <w:r>
              <w:rPr>
                <w:rFonts w:hint="eastAsia" w:ascii="宋体" w:hAnsi="宋体" w:eastAsia="宋体" w:cs="宋体"/>
                <w:color w:val="auto"/>
                <w:sz w:val="21"/>
                <w:szCs w:val="21"/>
                <w:highlight w:val="none"/>
              </w:rPr>
              <w:t>信用信息查询的截止时点：至本项目响应文件递交截止时间止。</w:t>
            </w:r>
          </w:p>
          <w:p w14:paraId="53A8F939">
            <w:pPr>
              <w:pStyle w:val="10"/>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1.3</w:t>
            </w:r>
            <w:r>
              <w:rPr>
                <w:rFonts w:hint="eastAsia" w:ascii="宋体" w:hAnsi="宋体" w:eastAsia="宋体" w:cs="宋体"/>
                <w:color w:val="auto"/>
                <w:sz w:val="21"/>
                <w:szCs w:val="21"/>
                <w:highlight w:val="none"/>
              </w:rPr>
              <w:t>信用信息查询记录的具体方式：采购人或采购代理机构在开标时在规定的查询渠道进行查询。</w:t>
            </w:r>
          </w:p>
          <w:p w14:paraId="4CD966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信用信息查询记录证据留存的具体方式：查询记录的网上打印件。</w:t>
            </w:r>
          </w:p>
          <w:p w14:paraId="5FB8F7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信用信息的使用规则：查询后交由</w:t>
            </w:r>
            <w:r>
              <w:rPr>
                <w:rFonts w:hint="eastAsia" w:ascii="宋体" w:hAnsi="宋体" w:cs="宋体"/>
                <w:color w:val="auto"/>
                <w:sz w:val="21"/>
                <w:szCs w:val="21"/>
                <w:highlight w:val="none"/>
                <w:lang w:val="en-US" w:eastAsia="zh-CN"/>
              </w:rPr>
              <w:t>磋商小组</w:t>
            </w:r>
            <w:r>
              <w:rPr>
                <w:rFonts w:hint="eastAsia" w:ascii="宋体" w:hAnsi="宋体" w:eastAsia="宋体" w:cs="宋体"/>
                <w:color w:val="auto"/>
                <w:sz w:val="21"/>
                <w:szCs w:val="21"/>
                <w:highlight w:val="none"/>
              </w:rPr>
              <w:t>评定。</w:t>
            </w:r>
          </w:p>
          <w:p w14:paraId="463AD8CE">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根据《国务院办公厅关于在政府采购中实施本国产品标准及相关政策的通知》国办发[2025]34号，既有本国产品又有非本国产品参与竞争的，依法对本国产品给予价格评审优惠，对本国产品的报价给予</w:t>
            </w:r>
            <w:r>
              <w:rPr>
                <w:rFonts w:hint="eastAsia" w:ascii="宋体" w:hAnsi="宋体" w:eastAsia="宋体" w:cs="宋体"/>
                <w:color w:val="auto"/>
                <w:sz w:val="21"/>
                <w:szCs w:val="21"/>
                <w:highlight w:val="none"/>
                <w:u w:val="single"/>
              </w:rPr>
              <w:t>20%</w:t>
            </w:r>
            <w:r>
              <w:rPr>
                <w:rFonts w:hint="eastAsia" w:ascii="宋体" w:hAnsi="宋体" w:eastAsia="宋体" w:cs="宋体"/>
                <w:color w:val="auto"/>
                <w:sz w:val="21"/>
                <w:szCs w:val="21"/>
                <w:highlight w:val="none"/>
              </w:rPr>
              <w:t>的价格扣除，用扣除后的价格参与评审。</w:t>
            </w:r>
          </w:p>
          <w:p w14:paraId="37A593ED">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2.1</w:t>
            </w: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w:t>
            </w:r>
            <w:r>
              <w:rPr>
                <w:rFonts w:hint="eastAsia" w:ascii="宋体" w:hAnsi="宋体" w:eastAsia="宋体" w:cs="宋体"/>
                <w:b/>
                <w:bCs/>
                <w:color w:val="auto"/>
                <w:sz w:val="21"/>
                <w:szCs w:val="21"/>
                <w:highlight w:val="none"/>
                <w:u w:val="single"/>
              </w:rPr>
              <w:t>20%</w:t>
            </w:r>
            <w:r>
              <w:rPr>
                <w:rFonts w:hint="eastAsia" w:ascii="宋体" w:hAnsi="宋体" w:eastAsia="宋体" w:cs="宋体"/>
                <w:color w:val="auto"/>
                <w:sz w:val="21"/>
                <w:szCs w:val="21"/>
                <w:highlight w:val="none"/>
              </w:rPr>
              <w:t>的价格扣除，用扣除后的价格参与评审。</w:t>
            </w:r>
            <w:r>
              <w:rPr>
                <w:rFonts w:hint="eastAsia" w:ascii="宋体" w:hAnsi="宋体" w:cs="宋体"/>
                <w:color w:val="auto"/>
                <w:sz w:val="21"/>
                <w:szCs w:val="21"/>
                <w:highlight w:val="none"/>
                <w:lang w:eastAsia="zh-CN"/>
              </w:rPr>
              <w:t>（供应商提供的符合本国产品标准的产品成本之和占该供应商提供的全部产品成本之和的比例未达到80%的，不享受本国产品价格评审优惠。）</w:t>
            </w:r>
          </w:p>
          <w:p w14:paraId="212A62CF">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rPr>
              <w:t>请供应商提供《关于符合本国产品标准的声明函》或财政部会同有关部门规定的有关证明文件，格式详见</w:t>
            </w:r>
            <w:r>
              <w:rPr>
                <w:rFonts w:hint="eastAsia" w:ascii="宋体" w:hAnsi="宋体" w:eastAsia="宋体" w:cs="宋体"/>
                <w:color w:val="auto"/>
                <w:sz w:val="21"/>
                <w:szCs w:val="21"/>
                <w:highlight w:val="none"/>
                <w:lang w:val="en-US" w:eastAsia="zh-CN"/>
              </w:rPr>
              <w:t>磋商文件</w:t>
            </w:r>
            <w:r>
              <w:rPr>
                <w:rFonts w:hint="eastAsia" w:ascii="宋体" w:hAnsi="宋体" w:eastAsia="宋体" w:cs="宋体"/>
                <w:color w:val="auto"/>
                <w:sz w:val="21"/>
                <w:szCs w:val="21"/>
                <w:highlight w:val="none"/>
              </w:rPr>
              <w:t>。</w:t>
            </w:r>
          </w:p>
          <w:p w14:paraId="035E6F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符合中小企业优惠政策和本国产品优惠政策的，均应同时享受政策，本项目符合要求的投标人最高可享受</w:t>
            </w:r>
            <w:r>
              <w:rPr>
                <w:rFonts w:hint="eastAsia" w:ascii="宋体" w:hAnsi="宋体" w:eastAsia="宋体" w:cs="宋体"/>
                <w:b/>
                <w:bCs/>
                <w:color w:val="auto"/>
                <w:sz w:val="21"/>
                <w:szCs w:val="21"/>
                <w:highlight w:val="none"/>
                <w:u w:val="single"/>
              </w:rPr>
              <w:t>30%</w:t>
            </w:r>
            <w:r>
              <w:rPr>
                <w:rFonts w:hint="eastAsia" w:ascii="宋体" w:hAnsi="宋体" w:eastAsia="宋体" w:cs="宋体"/>
                <w:color w:val="auto"/>
                <w:sz w:val="21"/>
                <w:szCs w:val="21"/>
                <w:highlight w:val="none"/>
              </w:rPr>
              <w:t>的价格扣除。</w:t>
            </w:r>
          </w:p>
          <w:p w14:paraId="4B5F01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宋体" w:hAnsi="宋体" w:eastAsia="宋体" w:cs="宋体"/>
                <w:color w:val="0000FF"/>
                <w:sz w:val="21"/>
                <w:szCs w:val="21"/>
                <w:highlight w:val="none"/>
                <w:lang w:val="en-US" w:eastAsia="zh-CN"/>
              </w:rPr>
            </w:pPr>
            <w:r>
              <w:rPr>
                <w:rFonts w:hint="eastAsia" w:ascii="宋体" w:hAnsi="宋体" w:cs="宋体"/>
                <w:color w:val="auto"/>
                <w:sz w:val="21"/>
                <w:szCs w:val="21"/>
                <w:highlight w:val="none"/>
                <w:lang w:val="en-US" w:eastAsia="zh-CN"/>
              </w:rPr>
              <w:t>2.4磋商小组应对供应商《声明函》或证明文件进行审查，对《声明函》或证明文件的完整性、准确性进行审查，发现《声明函》或证明文件内容含义不明确、同类事项与投标（响应）文件表述不一致或者有明显文字错误等情况的，应当以书面形式要求供应商作出必要的澄清、说明或者补正。经澄清、说明或者补正后的《声明函》或证明文件仍然不符合规定要求的，供应商提供的相关产品视为不符合本国产品标准。</w:t>
            </w:r>
          </w:p>
        </w:tc>
      </w:tr>
      <w:tr w14:paraId="70A2F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33" w:hRule="atLeast"/>
          <w:jc w:val="center"/>
        </w:trPr>
        <w:tc>
          <w:tcPr>
            <w:tcW w:w="753" w:type="pct"/>
            <w:vMerge w:val="restart"/>
            <w:vAlign w:val="center"/>
          </w:tcPr>
          <w:p w14:paraId="2786D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第二章第41.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款、41.</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款</w:t>
            </w:r>
          </w:p>
        </w:tc>
        <w:tc>
          <w:tcPr>
            <w:tcW w:w="947" w:type="pct"/>
            <w:vAlign w:val="center"/>
          </w:tcPr>
          <w:p w14:paraId="7DC1C0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多家</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参加同一品牌产品投标的规定</w:t>
            </w:r>
          </w:p>
        </w:tc>
        <w:tc>
          <w:tcPr>
            <w:tcW w:w="3299" w:type="pct"/>
            <w:gridSpan w:val="3"/>
            <w:vAlign w:val="center"/>
          </w:tcPr>
          <w:p w14:paraId="1642D9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一产品采购项目，提供相同品牌相同产品且通过资格审查、符合性审查的不同供应商参加同一合同项下投标的，按一家供应商计算，评审后得分最高的同品牌供应商获得中标人推荐资格，其他同品牌供应商不作为中标候选人。</w:t>
            </w:r>
          </w:p>
          <w:p w14:paraId="73EFAC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rPr>
              <w:t>2.非单一产品采购项目，</w:t>
            </w:r>
            <w:r>
              <w:rPr>
                <w:rFonts w:hint="eastAsia" w:ascii="宋体" w:hAnsi="宋体"/>
                <w:bCs/>
                <w:color w:val="auto"/>
                <w:szCs w:val="21"/>
                <w:highlight w:val="none"/>
              </w:rPr>
              <w:t>多家</w:t>
            </w:r>
            <w:r>
              <w:rPr>
                <w:rFonts w:hint="eastAsia" w:ascii="宋体" w:hAnsi="宋体"/>
                <w:bCs/>
                <w:color w:val="auto"/>
                <w:szCs w:val="21"/>
                <w:highlight w:val="none"/>
                <w:lang w:val="en-US" w:eastAsia="zh-CN"/>
              </w:rPr>
              <w:t>供应商</w:t>
            </w:r>
            <w:r>
              <w:rPr>
                <w:rFonts w:hint="eastAsia" w:ascii="宋体" w:hAnsi="宋体"/>
                <w:bCs/>
                <w:color w:val="auto"/>
                <w:szCs w:val="21"/>
                <w:highlight w:val="none"/>
              </w:rPr>
              <w:t>提供的核心产品品牌相同的</w:t>
            </w:r>
            <w:r>
              <w:rPr>
                <w:rFonts w:hint="eastAsia" w:ascii="宋体" w:hAnsi="宋体" w:eastAsia="宋体" w:cs="宋体"/>
                <w:color w:val="auto"/>
                <w:sz w:val="21"/>
                <w:szCs w:val="21"/>
                <w:highlight w:val="none"/>
              </w:rPr>
              <w:t>，按前款规定处理。</w:t>
            </w:r>
          </w:p>
        </w:tc>
      </w:tr>
      <w:tr w14:paraId="7CD5F4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016234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947" w:type="pct"/>
            <w:vAlign w:val="center"/>
          </w:tcPr>
          <w:p w14:paraId="3792D3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非单一产品采购核心产品</w:t>
            </w:r>
          </w:p>
        </w:tc>
        <w:tc>
          <w:tcPr>
            <w:tcW w:w="3299" w:type="pct"/>
            <w:gridSpan w:val="3"/>
            <w:vAlign w:val="center"/>
          </w:tcPr>
          <w:p w14:paraId="0F342F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本项目核心产品为：</w:t>
            </w:r>
            <w:r>
              <w:rPr>
                <w:rFonts w:hint="eastAsia" w:ascii="宋体" w:hAnsi="宋体" w:cs="宋体"/>
                <w:color w:val="auto"/>
                <w:sz w:val="21"/>
                <w:szCs w:val="21"/>
                <w:highlight w:val="none"/>
                <w:u w:val="single"/>
                <w:lang w:val="en-US" w:eastAsia="zh-CN"/>
              </w:rPr>
              <w:t xml:space="preserve">   Vlog相机 </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lang w:val="en-US" w:eastAsia="zh-CN"/>
              </w:rPr>
              <w:t>。</w:t>
            </w:r>
          </w:p>
        </w:tc>
      </w:tr>
      <w:tr w14:paraId="461105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5"/>
            <w:vAlign w:val="center"/>
          </w:tcPr>
          <w:p w14:paraId="719ACF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第三章 评审办法及标准</w:t>
            </w:r>
          </w:p>
        </w:tc>
      </w:tr>
      <w:tr w14:paraId="736F4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restart"/>
            <w:vAlign w:val="center"/>
          </w:tcPr>
          <w:p w14:paraId="01B858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第三章第2.</w:t>
            </w:r>
            <w:r>
              <w:rPr>
                <w:rFonts w:hint="eastAsia" w:ascii="宋体" w:hAnsi="宋体" w:cs="宋体"/>
                <w:color w:val="auto"/>
                <w:sz w:val="21"/>
                <w:szCs w:val="21"/>
                <w:highlight w:val="none"/>
                <w:lang w:val="en-US" w:eastAsia="zh-CN"/>
              </w:rPr>
              <w:t>3</w:t>
            </w:r>
            <w:r>
              <w:rPr>
                <w:rFonts w:hint="eastAsia" w:ascii="宋体" w:hAnsi="宋体" w:eastAsia="宋体" w:cs="宋体"/>
                <w:color w:val="auto"/>
                <w:kern w:val="0"/>
                <w:sz w:val="21"/>
                <w:szCs w:val="21"/>
                <w:highlight w:val="none"/>
                <w:lang w:val="zh-CN"/>
              </w:rPr>
              <w:t>款</w:t>
            </w:r>
          </w:p>
        </w:tc>
        <w:tc>
          <w:tcPr>
            <w:tcW w:w="947" w:type="pct"/>
            <w:vMerge w:val="restart"/>
            <w:vAlign w:val="center"/>
          </w:tcPr>
          <w:p w14:paraId="4D72CA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权值</w:t>
            </w:r>
          </w:p>
        </w:tc>
        <w:tc>
          <w:tcPr>
            <w:tcW w:w="1775" w:type="pct"/>
            <w:gridSpan w:val="2"/>
            <w:tcBorders>
              <w:bottom w:val="single" w:color="auto" w:sz="4" w:space="0"/>
              <w:right w:val="single" w:color="auto" w:sz="4" w:space="0"/>
            </w:tcBorders>
            <w:vAlign w:val="center"/>
          </w:tcPr>
          <w:p w14:paraId="3FA8B8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1524" w:type="pct"/>
            <w:tcBorders>
              <w:left w:val="single" w:color="auto" w:sz="4" w:space="0"/>
              <w:bottom w:val="single" w:color="auto" w:sz="4" w:space="0"/>
            </w:tcBorders>
            <w:vAlign w:val="center"/>
          </w:tcPr>
          <w:p w14:paraId="49F94D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分值</w:t>
            </w:r>
          </w:p>
        </w:tc>
      </w:tr>
      <w:tr w14:paraId="0FDD90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1FB2BC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947" w:type="pct"/>
            <w:vMerge w:val="continue"/>
            <w:vAlign w:val="center"/>
          </w:tcPr>
          <w:p w14:paraId="4D02D3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775" w:type="pct"/>
            <w:gridSpan w:val="2"/>
            <w:tcBorders>
              <w:top w:val="single" w:color="auto" w:sz="4" w:space="0"/>
              <w:bottom w:val="single" w:color="auto" w:sz="4" w:space="0"/>
              <w:right w:val="single" w:color="auto" w:sz="4" w:space="0"/>
            </w:tcBorders>
            <w:vAlign w:val="center"/>
          </w:tcPr>
          <w:p w14:paraId="3A8037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w:t>
            </w:r>
          </w:p>
        </w:tc>
        <w:tc>
          <w:tcPr>
            <w:tcW w:w="1524" w:type="pct"/>
            <w:vMerge w:val="restart"/>
            <w:tcBorders>
              <w:top w:val="single" w:color="auto" w:sz="4" w:space="0"/>
              <w:left w:val="single" w:color="auto" w:sz="4" w:space="0"/>
            </w:tcBorders>
            <w:vAlign w:val="center"/>
          </w:tcPr>
          <w:p w14:paraId="519513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详见评分细则</w:t>
            </w:r>
          </w:p>
        </w:tc>
      </w:tr>
      <w:tr w14:paraId="47F35D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7F3A71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947" w:type="pct"/>
            <w:vMerge w:val="continue"/>
            <w:vAlign w:val="center"/>
          </w:tcPr>
          <w:p w14:paraId="2BFF90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775" w:type="pct"/>
            <w:gridSpan w:val="2"/>
            <w:tcBorders>
              <w:top w:val="single" w:color="auto" w:sz="4" w:space="0"/>
              <w:bottom w:val="single" w:color="auto" w:sz="4" w:space="0"/>
              <w:right w:val="single" w:color="auto" w:sz="4" w:space="0"/>
            </w:tcBorders>
            <w:vAlign w:val="center"/>
          </w:tcPr>
          <w:p w14:paraId="046A10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w:t>
            </w:r>
          </w:p>
        </w:tc>
        <w:tc>
          <w:tcPr>
            <w:tcW w:w="1524" w:type="pct"/>
            <w:vMerge w:val="continue"/>
            <w:tcBorders>
              <w:left w:val="single" w:color="auto" w:sz="4" w:space="0"/>
            </w:tcBorders>
            <w:vAlign w:val="center"/>
          </w:tcPr>
          <w:p w14:paraId="34ED71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r>
      <w:tr w14:paraId="32723E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Merge w:val="continue"/>
            <w:vAlign w:val="center"/>
          </w:tcPr>
          <w:p w14:paraId="435679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947" w:type="pct"/>
            <w:vMerge w:val="continue"/>
            <w:vAlign w:val="center"/>
          </w:tcPr>
          <w:p w14:paraId="183611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775" w:type="pct"/>
            <w:gridSpan w:val="2"/>
            <w:tcBorders>
              <w:top w:val="single" w:color="auto" w:sz="4" w:space="0"/>
              <w:right w:val="single" w:color="auto" w:sz="4" w:space="0"/>
            </w:tcBorders>
            <w:vAlign w:val="center"/>
          </w:tcPr>
          <w:p w14:paraId="42F48A0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w:t>
            </w:r>
          </w:p>
        </w:tc>
        <w:tc>
          <w:tcPr>
            <w:tcW w:w="1524" w:type="pct"/>
            <w:vMerge w:val="continue"/>
            <w:tcBorders>
              <w:left w:val="single" w:color="auto" w:sz="4" w:space="0"/>
            </w:tcBorders>
            <w:vAlign w:val="center"/>
          </w:tcPr>
          <w:p w14:paraId="163F44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p>
        </w:tc>
      </w:tr>
      <w:tr w14:paraId="7B13F3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61F800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第三章第</w:t>
            </w:r>
            <w:r>
              <w:rPr>
                <w:rFonts w:hint="eastAsia" w:ascii="宋体" w:hAnsi="宋体" w:cs="宋体"/>
                <w:color w:val="auto"/>
                <w:sz w:val="21"/>
                <w:szCs w:val="21"/>
                <w:highlight w:val="none"/>
                <w:lang w:val="en-US" w:eastAsia="zh-CN"/>
              </w:rPr>
              <w:t>3.4</w:t>
            </w:r>
            <w:r>
              <w:rPr>
                <w:rFonts w:hint="eastAsia" w:ascii="宋体" w:hAnsi="宋体" w:eastAsia="宋体" w:cs="宋体"/>
                <w:color w:val="auto"/>
                <w:kern w:val="0"/>
                <w:sz w:val="21"/>
                <w:szCs w:val="21"/>
                <w:highlight w:val="none"/>
                <w:lang w:val="zh-CN"/>
              </w:rPr>
              <w:t>款</w:t>
            </w:r>
          </w:p>
        </w:tc>
        <w:tc>
          <w:tcPr>
            <w:tcW w:w="947" w:type="pct"/>
            <w:vAlign w:val="center"/>
          </w:tcPr>
          <w:p w14:paraId="6B41C9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政府采购政策</w:t>
            </w:r>
          </w:p>
        </w:tc>
        <w:tc>
          <w:tcPr>
            <w:tcW w:w="3299" w:type="pct"/>
            <w:gridSpan w:val="3"/>
            <w:vAlign w:val="center"/>
          </w:tcPr>
          <w:p w14:paraId="560636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见</w:t>
            </w:r>
            <w:r>
              <w:rPr>
                <w:rFonts w:hint="eastAsia" w:ascii="宋体" w:hAnsi="宋体" w:eastAsia="宋体" w:cs="宋体"/>
                <w:color w:val="auto"/>
                <w:sz w:val="21"/>
                <w:szCs w:val="21"/>
                <w:highlight w:val="none"/>
              </w:rPr>
              <w:t>第二章第9.1款</w:t>
            </w:r>
          </w:p>
        </w:tc>
      </w:tr>
      <w:tr w14:paraId="0636A5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vAlign w:val="center"/>
          </w:tcPr>
          <w:p w14:paraId="78397C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sz w:val="21"/>
                <w:szCs w:val="21"/>
                <w:highlight w:val="none"/>
              </w:rPr>
            </w:pPr>
            <w:r>
              <w:rPr>
                <w:rFonts w:hint="eastAsia" w:ascii="宋体" w:hAnsi="宋体" w:eastAsia="宋体" w:cs="宋体"/>
                <w:color w:val="auto"/>
                <w:sz w:val="21"/>
                <w:szCs w:val="21"/>
                <w:highlight w:val="none"/>
              </w:rPr>
              <w:t>第三章第</w:t>
            </w:r>
            <w:r>
              <w:rPr>
                <w:rFonts w:hint="eastAsia" w:ascii="宋体" w:hAnsi="宋体" w:cs="宋体"/>
                <w:color w:val="auto"/>
                <w:sz w:val="21"/>
                <w:szCs w:val="21"/>
                <w:highlight w:val="none"/>
                <w:lang w:val="en-US" w:eastAsia="zh-CN"/>
              </w:rPr>
              <w:t>3.5</w:t>
            </w:r>
            <w:r>
              <w:rPr>
                <w:rFonts w:hint="eastAsia" w:ascii="宋体" w:hAnsi="宋体" w:eastAsia="宋体" w:cs="宋体"/>
                <w:color w:val="auto"/>
                <w:kern w:val="0"/>
                <w:sz w:val="21"/>
                <w:szCs w:val="21"/>
                <w:highlight w:val="none"/>
                <w:lang w:val="zh-CN"/>
              </w:rPr>
              <w:t>款</w:t>
            </w:r>
          </w:p>
        </w:tc>
        <w:tc>
          <w:tcPr>
            <w:tcW w:w="947" w:type="pct"/>
            <w:vAlign w:val="center"/>
          </w:tcPr>
          <w:p w14:paraId="22212F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多处获得政府采购政策优惠的</w:t>
            </w:r>
            <w:r>
              <w:rPr>
                <w:rFonts w:hint="eastAsia" w:ascii="宋体" w:hAnsi="宋体" w:cs="宋体"/>
                <w:color w:val="auto"/>
                <w:sz w:val="21"/>
                <w:szCs w:val="21"/>
                <w:highlight w:val="none"/>
                <w:lang w:val="en-US" w:eastAsia="zh-CN"/>
              </w:rPr>
              <w:t>调整</w:t>
            </w:r>
          </w:p>
        </w:tc>
        <w:tc>
          <w:tcPr>
            <w:tcW w:w="3299" w:type="pct"/>
            <w:gridSpan w:val="3"/>
            <w:vAlign w:val="center"/>
          </w:tcPr>
          <w:p w14:paraId="79EE7D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见</w:t>
            </w:r>
            <w:r>
              <w:rPr>
                <w:rFonts w:hint="eastAsia" w:ascii="宋体" w:hAnsi="宋体" w:eastAsia="宋体" w:cs="宋体"/>
                <w:color w:val="auto"/>
                <w:sz w:val="21"/>
                <w:szCs w:val="21"/>
                <w:highlight w:val="none"/>
              </w:rPr>
              <w:t>第二章第9.1款</w:t>
            </w:r>
          </w:p>
        </w:tc>
      </w:tr>
      <w:tr w14:paraId="087370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53" w:type="pct"/>
            <w:shd w:val="clear" w:color="auto" w:fill="auto"/>
            <w:vAlign w:val="center"/>
          </w:tcPr>
          <w:p w14:paraId="7C2B8C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pacing w:val="-12"/>
                <w:kern w:val="2"/>
                <w:sz w:val="21"/>
                <w:szCs w:val="21"/>
                <w:highlight w:val="none"/>
                <w:lang w:val="en-US" w:eastAsia="zh-CN" w:bidi="ar-SA"/>
              </w:rPr>
            </w:pPr>
            <w:r>
              <w:rPr>
                <w:rFonts w:hint="eastAsia" w:ascii="宋体" w:hAnsi="宋体" w:eastAsia="宋体" w:cs="宋体"/>
                <w:color w:val="auto"/>
                <w:sz w:val="21"/>
                <w:szCs w:val="21"/>
                <w:highlight w:val="none"/>
              </w:rPr>
              <w:t>第三章第4.2</w:t>
            </w:r>
            <w:r>
              <w:rPr>
                <w:rFonts w:hint="eastAsia" w:ascii="宋体" w:hAnsi="宋体" w:eastAsia="宋体" w:cs="宋体"/>
                <w:color w:val="auto"/>
                <w:kern w:val="0"/>
                <w:sz w:val="21"/>
                <w:szCs w:val="21"/>
                <w:highlight w:val="none"/>
                <w:lang w:val="zh-CN"/>
              </w:rPr>
              <w:t>款</w:t>
            </w:r>
          </w:p>
        </w:tc>
        <w:tc>
          <w:tcPr>
            <w:tcW w:w="947" w:type="pct"/>
            <w:shd w:val="clear" w:color="auto" w:fill="auto"/>
            <w:vAlign w:val="center"/>
          </w:tcPr>
          <w:p w14:paraId="7527A8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推荐的成交候选人数量</w:t>
            </w:r>
          </w:p>
        </w:tc>
        <w:tc>
          <w:tcPr>
            <w:tcW w:w="3299" w:type="pct"/>
            <w:gridSpan w:val="3"/>
            <w:shd w:val="clear" w:color="auto" w:fill="auto"/>
            <w:vAlign w:val="center"/>
          </w:tcPr>
          <w:p w14:paraId="63AD48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3家。</w:t>
            </w:r>
          </w:p>
        </w:tc>
      </w:tr>
    </w:tbl>
    <w:p w14:paraId="1F0153AB">
      <w:pPr>
        <w:rPr>
          <w:rFonts w:hint="eastAsia" w:ascii="宋体" w:hAnsi="宋体" w:cs="宋体"/>
          <w:b/>
          <w:color w:val="auto"/>
          <w:sz w:val="32"/>
          <w:szCs w:val="32"/>
          <w:highlight w:val="none"/>
        </w:rPr>
      </w:pPr>
      <w:r>
        <w:rPr>
          <w:rFonts w:hint="eastAsia" w:ascii="宋体" w:hAnsi="宋体" w:cs="宋体"/>
          <w:b/>
          <w:color w:val="auto"/>
          <w:sz w:val="28"/>
          <w:szCs w:val="28"/>
          <w:highlight w:val="none"/>
        </w:rPr>
        <w:br w:type="page"/>
      </w:r>
    </w:p>
    <w:p w14:paraId="4437902B">
      <w:pPr>
        <w:keepNext w:val="0"/>
        <w:keepLines w:val="0"/>
        <w:pageBreakBefore w:val="0"/>
        <w:kinsoku/>
        <w:wordWrap/>
        <w:overflowPunct/>
        <w:topLinePunct w:val="0"/>
        <w:autoSpaceDE/>
        <w:bidi w:val="0"/>
        <w:adjustRightInd/>
        <w:snapToGrid/>
        <w:spacing w:line="360" w:lineRule="auto"/>
        <w:ind w:left="0" w:right="0" w:rightChars="0"/>
        <w:jc w:val="center"/>
        <w:textAlignment w:val="auto"/>
        <w:outlineLvl w:val="1"/>
        <w:rPr>
          <w:rFonts w:hint="eastAsia" w:ascii="宋体" w:hAnsi="宋体" w:cs="宋体"/>
          <w:b/>
          <w:color w:val="auto"/>
          <w:sz w:val="32"/>
          <w:szCs w:val="32"/>
          <w:highlight w:val="none"/>
        </w:rPr>
      </w:pPr>
      <w:bookmarkStart w:id="21" w:name="_Toc24247"/>
      <w:r>
        <w:rPr>
          <w:rFonts w:hint="eastAsia" w:ascii="宋体" w:hAnsi="宋体" w:cs="宋体"/>
          <w:b/>
          <w:color w:val="auto"/>
          <w:sz w:val="32"/>
          <w:szCs w:val="32"/>
          <w:highlight w:val="none"/>
        </w:rPr>
        <w:t>磋商须知正文</w:t>
      </w:r>
      <w:bookmarkEnd w:id="21"/>
    </w:p>
    <w:p w14:paraId="26E31437">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一、说明</w:t>
      </w:r>
    </w:p>
    <w:p w14:paraId="0A34DB3C">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22" w:name="_Toc9074"/>
      <w:r>
        <w:rPr>
          <w:rFonts w:hint="eastAsia" w:ascii="宋体" w:hAnsi="宋体" w:eastAsia="宋体" w:cs="宋体"/>
          <w:b/>
          <w:bCs/>
          <w:color w:val="auto"/>
          <w:sz w:val="21"/>
          <w:szCs w:val="21"/>
          <w:highlight w:val="none"/>
        </w:rPr>
        <w:t>1.适用范围</w:t>
      </w:r>
      <w:bookmarkEnd w:id="22"/>
    </w:p>
    <w:p w14:paraId="54884E55">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 本磋商文件仅适用于磋商须知前附表(以下简称</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中所叙述的采购项目。</w:t>
      </w:r>
    </w:p>
    <w:p w14:paraId="4A604293">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23" w:name="_Toc29507"/>
      <w:r>
        <w:rPr>
          <w:rFonts w:hint="eastAsia" w:ascii="宋体" w:hAnsi="宋体" w:eastAsia="宋体" w:cs="宋体"/>
          <w:b/>
          <w:bCs/>
          <w:color w:val="auto"/>
          <w:sz w:val="21"/>
          <w:szCs w:val="21"/>
          <w:highlight w:val="none"/>
        </w:rPr>
        <w:t>2.定义</w:t>
      </w:r>
      <w:bookmarkEnd w:id="23"/>
    </w:p>
    <w:p w14:paraId="28B71757">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2.1 “采购人”是指依法进行政府采购的国家机关、事业单位、团体组织。本次政府采购的采购人名称、地址、电话、联系人见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48355814">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color w:val="auto"/>
          <w:sz w:val="21"/>
          <w:szCs w:val="21"/>
          <w:highlight w:val="none"/>
        </w:rPr>
        <w:t>磋商须知前附表。</w:t>
      </w:r>
    </w:p>
    <w:p w14:paraId="0EEB4C60">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Cs/>
          <w:color w:val="auto"/>
          <w:kern w:val="36"/>
          <w:sz w:val="21"/>
          <w:szCs w:val="21"/>
          <w:highlight w:val="none"/>
        </w:rPr>
      </w:pPr>
      <w:r>
        <w:rPr>
          <w:rFonts w:hint="eastAsia" w:ascii="宋体" w:hAnsi="宋体" w:eastAsia="宋体" w:cs="宋体"/>
          <w:color w:val="auto"/>
          <w:sz w:val="21"/>
          <w:szCs w:val="21"/>
          <w:highlight w:val="none"/>
        </w:rPr>
        <w:t>2.3 “供应商”是指响应磋商文件要求、参加竞争性磋商采购的法人、其他组织或者自然人。本次政府采购项目</w:t>
      </w:r>
      <w:r>
        <w:rPr>
          <w:rFonts w:hint="eastAsia" w:ascii="宋体" w:hAnsi="宋体" w:eastAsia="宋体" w:cs="宋体"/>
          <w:color w:val="auto"/>
          <w:kern w:val="0"/>
          <w:sz w:val="21"/>
          <w:szCs w:val="21"/>
          <w:highlight w:val="none"/>
        </w:rPr>
        <w:t>邀请</w:t>
      </w:r>
      <w:r>
        <w:rPr>
          <w:rFonts w:hint="eastAsia" w:ascii="宋体" w:hAnsi="宋体" w:eastAsia="宋体" w:cs="宋体"/>
          <w:color w:val="auto"/>
          <w:sz w:val="21"/>
          <w:szCs w:val="21"/>
          <w:highlight w:val="none"/>
        </w:rPr>
        <w:t>的</w:t>
      </w:r>
      <w:r>
        <w:rPr>
          <w:rFonts w:hint="eastAsia" w:ascii="宋体" w:hAnsi="宋体" w:eastAsia="宋体" w:cs="宋体"/>
          <w:color w:val="auto"/>
          <w:kern w:val="0"/>
          <w:sz w:val="21"/>
          <w:szCs w:val="21"/>
          <w:highlight w:val="none"/>
        </w:rPr>
        <w:t>供应商通过</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所述方式</w:t>
      </w:r>
      <w:r>
        <w:rPr>
          <w:rFonts w:hint="eastAsia" w:ascii="宋体" w:hAnsi="宋体" w:eastAsia="宋体" w:cs="宋体"/>
          <w:color w:val="auto"/>
          <w:kern w:val="0"/>
          <w:sz w:val="21"/>
          <w:szCs w:val="21"/>
          <w:highlight w:val="none"/>
        </w:rPr>
        <w:t>，经</w:t>
      </w:r>
      <w:r>
        <w:rPr>
          <w:rFonts w:hint="eastAsia" w:ascii="宋体" w:hAnsi="宋体" w:eastAsia="宋体" w:cs="宋体"/>
          <w:bCs/>
          <w:color w:val="auto"/>
          <w:kern w:val="36"/>
          <w:sz w:val="21"/>
          <w:szCs w:val="21"/>
          <w:highlight w:val="none"/>
        </w:rPr>
        <w:t>磋商小组确定。</w:t>
      </w:r>
      <w:r>
        <w:rPr>
          <w:rFonts w:hint="eastAsia" w:ascii="宋体" w:hAnsi="宋体" w:eastAsia="宋体" w:cs="宋体"/>
          <w:color w:val="auto"/>
          <w:sz w:val="21"/>
          <w:szCs w:val="21"/>
          <w:highlight w:val="none"/>
        </w:rPr>
        <w:t>据此，采购人或采购代理机构</w:t>
      </w:r>
      <w:r>
        <w:rPr>
          <w:rFonts w:hint="eastAsia" w:ascii="宋体" w:hAnsi="宋体" w:eastAsia="宋体" w:cs="宋体"/>
          <w:bCs/>
          <w:color w:val="auto"/>
          <w:kern w:val="36"/>
          <w:sz w:val="21"/>
          <w:szCs w:val="21"/>
          <w:highlight w:val="none"/>
        </w:rPr>
        <w:t>己向其</w:t>
      </w:r>
      <w:r>
        <w:rPr>
          <w:rFonts w:hint="eastAsia" w:ascii="宋体" w:hAnsi="宋体" w:eastAsia="宋体" w:cs="宋体"/>
          <w:color w:val="auto"/>
          <w:sz w:val="21"/>
          <w:szCs w:val="21"/>
          <w:highlight w:val="none"/>
        </w:rPr>
        <w:t>发出磋商通知，供应商应持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规定的资料领取或购买磋商文件。</w:t>
      </w:r>
    </w:p>
    <w:p w14:paraId="049E4B1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2.4 “磋商小组”是指</w:t>
      </w:r>
      <w:r>
        <w:rPr>
          <w:rFonts w:hint="eastAsia" w:ascii="宋体" w:hAnsi="宋体" w:eastAsia="宋体" w:cs="宋体"/>
          <w:color w:val="auto"/>
          <w:kern w:val="0"/>
          <w:sz w:val="21"/>
          <w:szCs w:val="21"/>
          <w:highlight w:val="none"/>
        </w:rPr>
        <w:t>依据《中华人民共和国政府采购法》和财政部</w:t>
      </w:r>
      <w:r>
        <w:rPr>
          <w:rFonts w:hint="eastAsia" w:ascii="宋体" w:hAnsi="宋体" w:eastAsia="宋体" w:cs="宋体"/>
          <w:bCs/>
          <w:color w:val="auto"/>
          <w:kern w:val="36"/>
          <w:sz w:val="21"/>
          <w:szCs w:val="21"/>
          <w:highlight w:val="none"/>
        </w:rPr>
        <w:t>《</w:t>
      </w:r>
      <w:r>
        <w:rPr>
          <w:rFonts w:hint="eastAsia" w:ascii="宋体" w:hAnsi="宋体" w:eastAsia="宋体" w:cs="宋体"/>
          <w:color w:val="auto"/>
          <w:kern w:val="0"/>
          <w:sz w:val="21"/>
          <w:szCs w:val="21"/>
          <w:highlight w:val="none"/>
        </w:rPr>
        <w:t>政府采购竞争性磋商采购方式管理暂行办法</w:t>
      </w:r>
      <w:r>
        <w:rPr>
          <w:rFonts w:hint="eastAsia" w:ascii="宋体" w:hAnsi="宋体" w:eastAsia="宋体" w:cs="宋体"/>
          <w:bCs/>
          <w:color w:val="auto"/>
          <w:kern w:val="36"/>
          <w:sz w:val="21"/>
          <w:szCs w:val="21"/>
          <w:highlight w:val="none"/>
        </w:rPr>
        <w:t>》有关规定组建，依法依规</w:t>
      </w:r>
      <w:r>
        <w:rPr>
          <w:rFonts w:hint="eastAsia" w:ascii="宋体" w:hAnsi="宋体" w:eastAsia="宋体" w:cs="宋体"/>
          <w:color w:val="auto"/>
          <w:kern w:val="0"/>
          <w:sz w:val="21"/>
          <w:szCs w:val="21"/>
          <w:highlight w:val="none"/>
        </w:rPr>
        <w:t>履行其职责和义务的机构。</w:t>
      </w:r>
    </w:p>
    <w:p w14:paraId="7D41A82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 “货物”是指各种形态和种类的物品，包括原材料、燃料、设备、产品等，详见《政府采购品目分类目录》(财库〔2022〕31号)。</w:t>
      </w:r>
    </w:p>
    <w:p w14:paraId="4F82643C">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 “工程”是指建设工程，包括建筑物和构筑物的新建、改建、扩建、装修、拆除、修缮等，详见《政府采购品目分类目录》(财库〔2022〕31号)。</w:t>
      </w:r>
    </w:p>
    <w:p w14:paraId="3A2490DA">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 “服务”是指除货物和工程以外的其他政府采购对象，详见《政府采购品目分类目录》(财库〔2022〕31号)。</w:t>
      </w:r>
    </w:p>
    <w:p w14:paraId="141AAFB3">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 “节能产品”或者“环保产品”是指财政部发布的《节能产品政府采购清单》或者《环境标志产品政府采购清单》的产品。</w:t>
      </w:r>
    </w:p>
    <w:p w14:paraId="15275698">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2.9 “进口产品”是指通过中国海关报关验放进入中国境内且产自关境外的产品，详见《关于政府采购进口产品管理有关问题的通知》(财库[2007]119号)。</w:t>
      </w:r>
    </w:p>
    <w:p w14:paraId="3C8CE99E">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24" w:name="_Toc20512"/>
      <w:r>
        <w:rPr>
          <w:rFonts w:hint="eastAsia" w:ascii="宋体" w:hAnsi="宋体" w:eastAsia="宋体" w:cs="宋体"/>
          <w:b/>
          <w:bCs/>
          <w:color w:val="auto"/>
          <w:sz w:val="21"/>
          <w:szCs w:val="21"/>
          <w:highlight w:val="none"/>
        </w:rPr>
        <w:t>3.供应商的资格要求</w:t>
      </w:r>
      <w:bookmarkEnd w:id="24"/>
    </w:p>
    <w:p w14:paraId="7D6C6C6F">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供应商应当符合</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中规定的下列资格条件要求；</w:t>
      </w:r>
    </w:p>
    <w:p w14:paraId="7AFB3CD0">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w:t>
      </w:r>
      <w:r>
        <w:rPr>
          <w:rFonts w:hint="eastAsia" w:ascii="宋体" w:hAnsi="宋体" w:eastAsia="宋体" w:cs="宋体"/>
          <w:color w:val="auto"/>
          <w:kern w:val="0"/>
          <w:sz w:val="21"/>
          <w:szCs w:val="21"/>
          <w:highlight w:val="none"/>
          <w:lang w:val="zh-CN"/>
        </w:rPr>
        <w:t>《政府采购法》第二十二条第一款规定的</w:t>
      </w:r>
      <w:r>
        <w:rPr>
          <w:rFonts w:hint="eastAsia" w:ascii="宋体" w:hAnsi="宋体" w:eastAsia="宋体" w:cs="宋体"/>
          <w:color w:val="auto"/>
          <w:sz w:val="21"/>
          <w:szCs w:val="21"/>
          <w:highlight w:val="none"/>
        </w:rPr>
        <w:t>供应商基本资格条件</w:t>
      </w:r>
      <w:r>
        <w:rPr>
          <w:rFonts w:hint="eastAsia" w:ascii="宋体" w:hAnsi="宋体" w:eastAsia="宋体" w:cs="宋体"/>
          <w:color w:val="auto"/>
          <w:kern w:val="0"/>
          <w:sz w:val="21"/>
          <w:szCs w:val="21"/>
          <w:highlight w:val="none"/>
          <w:lang w:val="zh-CN"/>
        </w:rPr>
        <w:t>；</w:t>
      </w:r>
    </w:p>
    <w:p w14:paraId="01A4C3DB">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磋商文件</w:t>
      </w:r>
      <w:r>
        <w:rPr>
          <w:rFonts w:hint="eastAsia" w:ascii="宋体" w:hAnsi="宋体" w:eastAsia="宋体" w:cs="宋体"/>
          <w:color w:val="auto"/>
          <w:kern w:val="0"/>
          <w:sz w:val="21"/>
          <w:szCs w:val="21"/>
          <w:highlight w:val="none"/>
          <w:lang w:val="zh-CN"/>
        </w:rPr>
        <w:t>规定的</w:t>
      </w:r>
      <w:r>
        <w:rPr>
          <w:rFonts w:hint="eastAsia" w:ascii="宋体" w:hAnsi="宋体" w:eastAsia="宋体" w:cs="宋体"/>
          <w:color w:val="auto"/>
          <w:sz w:val="21"/>
          <w:szCs w:val="21"/>
          <w:highlight w:val="none"/>
        </w:rPr>
        <w:t xml:space="preserve">供应商特定资格条件。 </w:t>
      </w:r>
    </w:p>
    <w:p w14:paraId="72F3F166">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供应商不得存在下列情形之一：</w:t>
      </w:r>
    </w:p>
    <w:p w14:paraId="6A6C25BC">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（l）与采购人、采购代理机构存在</w:t>
      </w:r>
      <w:r>
        <w:rPr>
          <w:rFonts w:hint="eastAsia" w:ascii="宋体" w:hAnsi="宋体" w:eastAsia="宋体" w:cs="宋体"/>
          <w:bCs/>
          <w:color w:val="auto"/>
          <w:sz w:val="21"/>
          <w:szCs w:val="21"/>
          <w:highlight w:val="none"/>
        </w:rPr>
        <w:t>隶属关系或者其他利害关系</w:t>
      </w:r>
      <w:r>
        <w:rPr>
          <w:rFonts w:hint="eastAsia" w:ascii="宋体" w:hAnsi="宋体" w:eastAsia="宋体" w:cs="宋体"/>
          <w:color w:val="auto"/>
          <w:sz w:val="21"/>
          <w:szCs w:val="21"/>
          <w:highlight w:val="none"/>
        </w:rPr>
        <w:t>。</w:t>
      </w:r>
    </w:p>
    <w:p w14:paraId="0D6884C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（2）与其他供应商的法定代表人（或者负责人）为同一人，或者与其他供应商存在控股、关联关系。</w:t>
      </w:r>
    </w:p>
    <w:p w14:paraId="5E13FC53">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（3）受到刑事处罚，受到较大数额的罚款、责令停产停业、在一至三年内禁止参加政府采购活动、暂扣或者吊销许可证、暂扣或者吊销执照等情形之一的行政处罚，或者存在财政部门认定的其他重大违法记录。</w:t>
      </w:r>
    </w:p>
    <w:p w14:paraId="78783479">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25" w:name="_Toc28682"/>
      <w:r>
        <w:rPr>
          <w:rFonts w:hint="eastAsia" w:ascii="宋体" w:hAnsi="宋体" w:eastAsia="宋体" w:cs="宋体"/>
          <w:b/>
          <w:bCs/>
          <w:color w:val="auto"/>
          <w:sz w:val="21"/>
          <w:szCs w:val="21"/>
          <w:highlight w:val="none"/>
        </w:rPr>
        <w:t>4.参与磋商的费用</w:t>
      </w:r>
      <w:bookmarkEnd w:id="25"/>
      <w:r>
        <w:rPr>
          <w:rFonts w:hint="eastAsia" w:ascii="宋体" w:hAnsi="宋体" w:eastAsia="宋体" w:cs="宋体"/>
          <w:b/>
          <w:bCs/>
          <w:color w:val="auto"/>
          <w:sz w:val="21"/>
          <w:szCs w:val="21"/>
          <w:highlight w:val="none"/>
        </w:rPr>
        <w:t xml:space="preserve"> </w:t>
      </w:r>
    </w:p>
    <w:p w14:paraId="216C4046">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 无论磋商的结果如何，供应商应自行承担所有与竞争性磋商采购活动有关的全部费用。</w:t>
      </w:r>
    </w:p>
    <w:p w14:paraId="18029819">
      <w:pPr>
        <w:pStyle w:val="10"/>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26" w:name="_Toc23164"/>
      <w:r>
        <w:rPr>
          <w:rFonts w:hint="eastAsia" w:ascii="宋体" w:hAnsi="宋体" w:eastAsia="宋体" w:cs="宋体"/>
          <w:b/>
          <w:color w:val="auto"/>
          <w:sz w:val="21"/>
          <w:szCs w:val="21"/>
          <w:highlight w:val="none"/>
        </w:rPr>
        <w:t>5．</w:t>
      </w:r>
      <w:r>
        <w:rPr>
          <w:rFonts w:hint="eastAsia" w:ascii="宋体" w:hAnsi="宋体" w:eastAsia="宋体" w:cs="宋体"/>
          <w:b/>
          <w:bCs/>
          <w:color w:val="auto"/>
          <w:sz w:val="21"/>
          <w:szCs w:val="21"/>
          <w:highlight w:val="none"/>
        </w:rPr>
        <w:t>授权委托</w:t>
      </w:r>
      <w:bookmarkEnd w:id="26"/>
    </w:p>
    <w:p w14:paraId="1A6CCC66">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5.1供应商代表为供应商法定代表人的，应持有法定代表人身份证明。供应商代表不是供应商法定代表人的，应持有法定代表人授权书，并附法定代表人身份证明。</w:t>
      </w:r>
    </w:p>
    <w:p w14:paraId="4C37EE58">
      <w:pPr>
        <w:pStyle w:val="10"/>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bookmarkStart w:id="27" w:name="_Toc13188"/>
      <w:r>
        <w:rPr>
          <w:rFonts w:hint="eastAsia" w:ascii="宋体" w:hAnsi="宋体" w:eastAsia="宋体" w:cs="宋体"/>
          <w:b/>
          <w:color w:val="auto"/>
          <w:sz w:val="21"/>
          <w:szCs w:val="21"/>
          <w:highlight w:val="none"/>
        </w:rPr>
        <w:t>6．联合体形式</w:t>
      </w:r>
      <w:bookmarkEnd w:id="27"/>
    </w:p>
    <w:p w14:paraId="5AC7830B">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6.1除</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中另有规定，本次磋商采购不接受为联合体形式的供应商。</w:t>
      </w:r>
    </w:p>
    <w:p w14:paraId="0F2EE0BD">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6.2供应商为联合体形式的，除应符合本章第3条规定外，还应遵守以下规定：</w:t>
      </w:r>
    </w:p>
    <w:p w14:paraId="5B9BFD49">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（l）联合体各方必须签订联合体协议书，明确联合体牵头人和各方的义务、工作、合同工作量比例；</w:t>
      </w:r>
    </w:p>
    <w:p w14:paraId="0B2B350E">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（2）联合体各方均应当符合本章第3.1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规定的供应商基本资格条件；</w:t>
      </w:r>
    </w:p>
    <w:p w14:paraId="3DD9A74D">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（3）除</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中另有规定，联合体各方中至少有一方应当符合本章第3.1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规定的供应商特定资格条件；</w:t>
      </w:r>
    </w:p>
    <w:p w14:paraId="4CBD19EF">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（4）</w:t>
      </w:r>
      <w:r>
        <w:rPr>
          <w:rFonts w:hint="eastAsia" w:ascii="宋体" w:hAnsi="宋体" w:eastAsia="宋体" w:cs="宋体"/>
          <w:color w:val="auto"/>
          <w:kern w:val="0"/>
          <w:sz w:val="21"/>
          <w:szCs w:val="21"/>
          <w:highlight w:val="none"/>
          <w:lang w:val="zh-CN"/>
        </w:rPr>
        <w:t>联合体各方不得再单独或与其他供应商组成新的联合体参加同一项目的采购活动。</w:t>
      </w:r>
    </w:p>
    <w:p w14:paraId="1537CD61">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bookmarkStart w:id="28" w:name="_Toc14979"/>
      <w:r>
        <w:rPr>
          <w:rFonts w:hint="eastAsia" w:ascii="宋体" w:hAnsi="宋体" w:eastAsia="宋体" w:cs="宋体"/>
          <w:b/>
          <w:color w:val="auto"/>
          <w:sz w:val="21"/>
          <w:szCs w:val="21"/>
          <w:highlight w:val="none"/>
        </w:rPr>
        <w:t>7.现场勘察</w:t>
      </w:r>
      <w:bookmarkEnd w:id="28"/>
    </w:p>
    <w:p w14:paraId="43B43DDB">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7.1供应商应按</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中规定对采购项目现场和周围环境的现场考察。</w:t>
      </w:r>
    </w:p>
    <w:p w14:paraId="2A173E46">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7.2勘察现场的费用由供应商自己承担，勘察期间所发生的人身伤害及财产损失由供应商自己负责。</w:t>
      </w:r>
    </w:p>
    <w:p w14:paraId="24863DA7">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7.3采购人不对供应商据此而做出的推论、理解和结论负责。一旦成交，供应商不得以任何借口，提出额外补偿，或延长合同期限的要求。</w:t>
      </w:r>
    </w:p>
    <w:p w14:paraId="10468821">
      <w:pPr>
        <w:keepNext w:val="0"/>
        <w:keepLines w:val="0"/>
        <w:pageBreakBefore w:val="0"/>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sz w:val="21"/>
          <w:szCs w:val="21"/>
          <w:highlight w:val="none"/>
        </w:rPr>
      </w:pPr>
      <w:bookmarkStart w:id="29" w:name="_Toc7596"/>
      <w:r>
        <w:rPr>
          <w:rFonts w:hint="eastAsia" w:ascii="宋体" w:hAnsi="宋体" w:eastAsia="宋体" w:cs="宋体"/>
          <w:b/>
          <w:color w:val="auto"/>
          <w:sz w:val="21"/>
          <w:szCs w:val="21"/>
          <w:highlight w:val="none"/>
        </w:rPr>
        <w:t>8.采购进口产品</w:t>
      </w:r>
      <w:bookmarkEnd w:id="29"/>
    </w:p>
    <w:p w14:paraId="7A1E188A">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8.1除</w:t>
      </w:r>
      <w:r>
        <w:rPr>
          <w:rFonts w:hint="eastAsia" w:ascii="宋体"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另有规定外，本项目</w:t>
      </w:r>
      <w:r>
        <w:rPr>
          <w:rFonts w:hint="eastAsia" w:ascii="宋体" w:hAnsi="宋体" w:eastAsia="宋体" w:cs="宋体"/>
          <w:color w:val="auto"/>
          <w:kern w:val="0"/>
          <w:sz w:val="21"/>
          <w:szCs w:val="21"/>
          <w:highlight w:val="none"/>
        </w:rPr>
        <w:t>拒绝进口产品参加</w:t>
      </w:r>
      <w:r>
        <w:rPr>
          <w:rFonts w:hint="eastAsia" w:ascii="宋体" w:hAnsi="宋体" w:eastAsia="宋体" w:cs="宋体"/>
          <w:color w:val="auto"/>
          <w:sz w:val="21"/>
          <w:szCs w:val="21"/>
          <w:highlight w:val="none"/>
        </w:rPr>
        <w:t>竞争性磋商采购活动</w:t>
      </w:r>
      <w:r>
        <w:rPr>
          <w:rFonts w:hint="eastAsia" w:ascii="宋体" w:hAnsi="宋体" w:eastAsia="宋体" w:cs="宋体"/>
          <w:color w:val="auto"/>
          <w:kern w:val="0"/>
          <w:sz w:val="21"/>
          <w:szCs w:val="21"/>
          <w:highlight w:val="none"/>
        </w:rPr>
        <w:t>。</w:t>
      </w:r>
    </w:p>
    <w:p w14:paraId="6D66CE45">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8.2</w:t>
      </w:r>
      <w:r>
        <w:rPr>
          <w:rFonts w:hint="eastAsia" w:ascii="宋体" w:hAnsi="宋体" w:eastAsia="宋体" w:cs="宋体"/>
          <w:color w:val="auto"/>
          <w:sz w:val="21"/>
          <w:szCs w:val="21"/>
          <w:highlight w:val="none"/>
        </w:rPr>
        <w:t>本章第8.1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同意购买进口产品的，</w:t>
      </w:r>
      <w:r>
        <w:rPr>
          <w:rFonts w:hint="eastAsia" w:ascii="宋体" w:hAnsi="宋体" w:eastAsia="宋体" w:cs="宋体"/>
          <w:color w:val="auto"/>
          <w:sz w:val="21"/>
          <w:szCs w:val="21"/>
          <w:highlight w:val="none"/>
        </w:rPr>
        <w:t>本项目</w:t>
      </w:r>
      <w:r>
        <w:rPr>
          <w:rFonts w:hint="eastAsia" w:ascii="宋体" w:hAnsi="宋体" w:eastAsia="宋体" w:cs="宋体"/>
          <w:color w:val="auto"/>
          <w:kern w:val="0"/>
          <w:sz w:val="21"/>
          <w:szCs w:val="21"/>
          <w:highlight w:val="none"/>
          <w:lang w:val="zh-CN"/>
        </w:rPr>
        <w:t>采购活动</w:t>
      </w:r>
      <w:r>
        <w:rPr>
          <w:rFonts w:hint="eastAsia" w:ascii="宋体" w:hAnsi="宋体" w:eastAsia="宋体" w:cs="宋体"/>
          <w:color w:val="auto"/>
          <w:kern w:val="0"/>
          <w:sz w:val="21"/>
          <w:szCs w:val="21"/>
          <w:highlight w:val="none"/>
        </w:rPr>
        <w:t>不限制满足</w:t>
      </w:r>
      <w:r>
        <w:rPr>
          <w:rFonts w:hint="eastAsia" w:ascii="宋体" w:hAnsi="宋体" w:eastAsia="宋体" w:cs="宋体"/>
          <w:color w:val="auto"/>
          <w:sz w:val="21"/>
          <w:szCs w:val="21"/>
          <w:highlight w:val="none"/>
        </w:rPr>
        <w:t>磋商文件要求</w:t>
      </w:r>
      <w:r>
        <w:rPr>
          <w:rFonts w:hint="eastAsia" w:ascii="宋体" w:hAnsi="宋体" w:eastAsia="宋体" w:cs="宋体"/>
          <w:color w:val="auto"/>
          <w:kern w:val="0"/>
          <w:sz w:val="21"/>
          <w:szCs w:val="21"/>
          <w:highlight w:val="none"/>
        </w:rPr>
        <w:t>的国内产品参与</w:t>
      </w:r>
      <w:r>
        <w:rPr>
          <w:rFonts w:hint="eastAsia" w:ascii="宋体" w:hAnsi="宋体" w:eastAsia="宋体" w:cs="宋体"/>
          <w:color w:val="auto"/>
          <w:sz w:val="21"/>
          <w:szCs w:val="21"/>
          <w:highlight w:val="none"/>
        </w:rPr>
        <w:t>竞争性磋商</w:t>
      </w:r>
      <w:r>
        <w:rPr>
          <w:rFonts w:hint="eastAsia" w:ascii="宋体" w:hAnsi="宋体" w:eastAsia="宋体" w:cs="宋体"/>
          <w:color w:val="auto"/>
          <w:kern w:val="0"/>
          <w:sz w:val="21"/>
          <w:szCs w:val="21"/>
          <w:highlight w:val="none"/>
        </w:rPr>
        <w:t>。</w:t>
      </w:r>
    </w:p>
    <w:p w14:paraId="2FF7C04C">
      <w:pPr>
        <w:keepNext w:val="0"/>
        <w:keepLines w:val="0"/>
        <w:pageBreakBefore w:val="0"/>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sz w:val="21"/>
          <w:szCs w:val="21"/>
          <w:highlight w:val="none"/>
        </w:rPr>
      </w:pPr>
      <w:bookmarkStart w:id="30" w:name="_Toc16499"/>
      <w:r>
        <w:rPr>
          <w:rFonts w:hint="eastAsia" w:ascii="宋体" w:hAnsi="宋体" w:eastAsia="宋体" w:cs="宋体"/>
          <w:b/>
          <w:bCs/>
          <w:color w:val="auto"/>
          <w:sz w:val="21"/>
          <w:szCs w:val="21"/>
          <w:highlight w:val="none"/>
        </w:rPr>
        <w:t>9.</w:t>
      </w:r>
      <w:r>
        <w:rPr>
          <w:rFonts w:hint="eastAsia" w:ascii="宋体" w:hAnsi="宋体" w:eastAsia="宋体" w:cs="宋体"/>
          <w:b/>
          <w:color w:val="auto"/>
          <w:sz w:val="21"/>
          <w:szCs w:val="21"/>
          <w:highlight w:val="none"/>
        </w:rPr>
        <w:t xml:space="preserve"> 政府采购政策支持</w:t>
      </w:r>
      <w:bookmarkEnd w:id="30"/>
    </w:p>
    <w:p w14:paraId="3CBE2D1D">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9.1产品符合政府采购强制采购政策的，实行强制采购；符合政府采购优先采购政策的，产品只能享受节能产品、环境标志等产品政策支持中的一项(由供应商在报价文件中选择并填报政策功能编码)；供应商享受</w:t>
      </w:r>
      <w:r>
        <w:rPr>
          <w:rFonts w:hint="eastAsia" w:ascii="宋体" w:hAnsi="宋体" w:eastAsia="宋体" w:cs="宋体"/>
          <w:bCs/>
          <w:color w:val="auto"/>
          <w:sz w:val="21"/>
          <w:szCs w:val="21"/>
          <w:highlight w:val="none"/>
        </w:rPr>
        <w:t>支持</w:t>
      </w:r>
      <w:r>
        <w:rPr>
          <w:rFonts w:hint="eastAsia" w:ascii="宋体" w:hAnsi="宋体" w:eastAsia="宋体" w:cs="宋体"/>
          <w:color w:val="auto"/>
          <w:sz w:val="21"/>
          <w:szCs w:val="21"/>
          <w:highlight w:val="none"/>
        </w:rPr>
        <w:t>中小企业发展政策支持的，可以与同时享受节能产品、环境标志产品政策支持中的一项累加。省级以上财政部门关于政府采购强制采购、优先采购的政策规定可在本章《磋商须知（前附表）》和中国政府采购网(www.ccgp.gov.cn)查询。本项目价格扣除比例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49DDF90E">
      <w:pPr>
        <w:keepNext w:val="0"/>
        <w:keepLines w:val="0"/>
        <w:pageBreakBefore w:val="0"/>
        <w:kinsoku/>
        <w:wordWrap/>
        <w:overflowPunct/>
        <w:topLinePunct w:val="0"/>
        <w:autoSpaceDE/>
        <w:bidi w:val="0"/>
        <w:adjustRightInd/>
        <w:snapToGrid/>
        <w:spacing w:line="360" w:lineRule="auto"/>
        <w:ind w:left="0" w:right="0" w:rightChars="0" w:hanging="793" w:hangingChars="376"/>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二、磋商文件</w:t>
      </w:r>
    </w:p>
    <w:p w14:paraId="019BE7EF">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1" w:name="_Toc5454"/>
      <w:r>
        <w:rPr>
          <w:rFonts w:hint="eastAsia" w:ascii="宋体" w:hAnsi="宋体" w:eastAsia="宋体" w:cs="宋体"/>
          <w:b/>
          <w:bCs/>
          <w:color w:val="auto"/>
          <w:sz w:val="21"/>
          <w:szCs w:val="21"/>
          <w:highlight w:val="none"/>
        </w:rPr>
        <w:t>10．磋商文件的组成</w:t>
      </w:r>
      <w:bookmarkEnd w:id="31"/>
    </w:p>
    <w:p w14:paraId="41B8476B">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 磋商文件由下列文件组成：</w:t>
      </w:r>
    </w:p>
    <w:p w14:paraId="2E265FAF">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第一章 磋商通知</w:t>
      </w:r>
    </w:p>
    <w:p w14:paraId="148D8CA8">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磋商须知</w:t>
      </w:r>
    </w:p>
    <w:p w14:paraId="7CC86262">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评审方法及标准</w:t>
      </w:r>
    </w:p>
    <w:p w14:paraId="25674D92">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第四章 政府采购合同格式条款</w:t>
      </w:r>
    </w:p>
    <w:p w14:paraId="3A19F767">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第五章 采购需求</w:t>
      </w:r>
    </w:p>
    <w:p w14:paraId="6282DEA0">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第六章 响应文件组成</w:t>
      </w:r>
    </w:p>
    <w:p w14:paraId="5291BFCC">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r>
        <w:rPr>
          <w:rFonts w:hint="eastAsia" w:ascii="宋体" w:hAnsi="宋体" w:eastAsia="宋体" w:cs="宋体"/>
          <w:bCs/>
          <w:color w:val="auto"/>
          <w:sz w:val="21"/>
          <w:szCs w:val="21"/>
          <w:highlight w:val="none"/>
        </w:rPr>
        <w:t>本章第11.1</w:t>
      </w:r>
      <w:r>
        <w:rPr>
          <w:rFonts w:hint="eastAsia" w:ascii="宋体" w:hAnsi="宋体" w:eastAsia="宋体" w:cs="宋体"/>
          <w:color w:val="auto"/>
          <w:sz w:val="21"/>
          <w:szCs w:val="21"/>
          <w:highlight w:val="none"/>
          <w:lang w:val="zh-CN"/>
        </w:rPr>
        <w:t>款</w:t>
      </w:r>
      <w:r>
        <w:rPr>
          <w:rFonts w:hint="eastAsia" w:ascii="宋体" w:hAnsi="宋体" w:eastAsia="宋体" w:cs="宋体"/>
          <w:bCs/>
          <w:color w:val="auto"/>
          <w:sz w:val="21"/>
          <w:szCs w:val="21"/>
          <w:highlight w:val="none"/>
        </w:rPr>
        <w:t>规定的</w:t>
      </w:r>
      <w:r>
        <w:rPr>
          <w:rFonts w:hint="eastAsia" w:ascii="宋体" w:hAnsi="宋体" w:eastAsia="宋体" w:cs="宋体"/>
          <w:color w:val="auto"/>
          <w:sz w:val="21"/>
          <w:szCs w:val="21"/>
          <w:highlight w:val="none"/>
        </w:rPr>
        <w:t>提交首次响应文件截止时间前对磋商文件澄清或者修改内容，为磋商文件的组成部分。</w:t>
      </w:r>
    </w:p>
    <w:p w14:paraId="68580094">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10.3磋商小组根据与供应商磋商情况可能实质性变动的内容，包括采购需求中的技术、服务要求以及合同条款，在</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中明确。</w:t>
      </w:r>
    </w:p>
    <w:p w14:paraId="4A859520">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10.4供应商应仔细阅读</w:t>
      </w:r>
      <w:r>
        <w:rPr>
          <w:rFonts w:hint="eastAsia" w:ascii="宋体" w:hAnsi="宋体" w:eastAsia="宋体" w:cs="宋体"/>
          <w:bCs/>
          <w:color w:val="auto"/>
          <w:sz w:val="21"/>
          <w:szCs w:val="21"/>
          <w:highlight w:val="none"/>
        </w:rPr>
        <w:t>磋商</w:t>
      </w:r>
      <w:r>
        <w:rPr>
          <w:rFonts w:hint="eastAsia" w:ascii="宋体" w:hAnsi="宋体" w:eastAsia="宋体" w:cs="宋体"/>
          <w:color w:val="auto"/>
          <w:sz w:val="21"/>
          <w:szCs w:val="21"/>
          <w:highlight w:val="none"/>
        </w:rPr>
        <w:t>文件的全部内容，按照</w:t>
      </w:r>
      <w:r>
        <w:rPr>
          <w:rFonts w:hint="eastAsia" w:ascii="宋体" w:hAnsi="宋体" w:eastAsia="宋体" w:cs="宋体"/>
          <w:bCs/>
          <w:color w:val="auto"/>
          <w:sz w:val="21"/>
          <w:szCs w:val="21"/>
          <w:highlight w:val="none"/>
        </w:rPr>
        <w:t>磋商</w:t>
      </w:r>
      <w:r>
        <w:rPr>
          <w:rFonts w:hint="eastAsia" w:ascii="宋体" w:hAnsi="宋体" w:eastAsia="宋体" w:cs="宋体"/>
          <w:color w:val="auto"/>
          <w:sz w:val="21"/>
          <w:szCs w:val="21"/>
          <w:highlight w:val="none"/>
        </w:rPr>
        <w:t>文件要求编制响应文件。任何对</w:t>
      </w:r>
      <w:r>
        <w:rPr>
          <w:rFonts w:hint="eastAsia" w:ascii="宋体" w:hAnsi="宋体" w:eastAsia="宋体" w:cs="宋体"/>
          <w:bCs/>
          <w:color w:val="auto"/>
          <w:sz w:val="21"/>
          <w:szCs w:val="21"/>
          <w:highlight w:val="none"/>
        </w:rPr>
        <w:t>磋商</w:t>
      </w:r>
      <w:r>
        <w:rPr>
          <w:rFonts w:hint="eastAsia" w:ascii="宋体" w:hAnsi="宋体" w:eastAsia="宋体" w:cs="宋体"/>
          <w:color w:val="auto"/>
          <w:sz w:val="21"/>
          <w:szCs w:val="21"/>
          <w:highlight w:val="none"/>
        </w:rPr>
        <w:t>文件的忽略或误解不能作为响应文件存在缺陷或瑕疵的理由，其风险由供应商承担。</w:t>
      </w:r>
    </w:p>
    <w:p w14:paraId="438F7550">
      <w:pPr>
        <w:pStyle w:val="10"/>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color w:val="auto"/>
          <w:sz w:val="21"/>
          <w:szCs w:val="21"/>
          <w:highlight w:val="none"/>
        </w:rPr>
      </w:pPr>
      <w:bookmarkStart w:id="32" w:name="_Toc14681"/>
      <w:r>
        <w:rPr>
          <w:rFonts w:hint="eastAsia" w:ascii="宋体" w:hAnsi="宋体" w:eastAsia="宋体" w:cs="宋体"/>
          <w:b/>
          <w:color w:val="auto"/>
          <w:sz w:val="21"/>
          <w:szCs w:val="21"/>
          <w:highlight w:val="none"/>
        </w:rPr>
        <w:t>11.提交首次响应文件的截止时间</w:t>
      </w:r>
      <w:bookmarkEnd w:id="32"/>
    </w:p>
    <w:p w14:paraId="66AAE502">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11.1供应商提交首次响应文件截止时间见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32615586">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3" w:name="_Toc5839"/>
      <w:r>
        <w:rPr>
          <w:rFonts w:hint="eastAsia" w:ascii="宋体" w:hAnsi="宋体" w:eastAsia="宋体" w:cs="宋体"/>
          <w:b/>
          <w:bCs/>
          <w:color w:val="auto"/>
          <w:sz w:val="21"/>
          <w:szCs w:val="21"/>
          <w:highlight w:val="none"/>
        </w:rPr>
        <w:t>12.磋商文件的澄清</w:t>
      </w:r>
      <w:r>
        <w:rPr>
          <w:rFonts w:hint="eastAsia" w:ascii="宋体" w:hAnsi="宋体" w:eastAsia="宋体" w:cs="宋体"/>
          <w:b/>
          <w:color w:val="auto"/>
          <w:kern w:val="0"/>
          <w:sz w:val="21"/>
          <w:szCs w:val="21"/>
          <w:highlight w:val="none"/>
          <w:lang w:val="zh-CN"/>
        </w:rPr>
        <w:t>或者</w:t>
      </w:r>
      <w:r>
        <w:rPr>
          <w:rFonts w:hint="eastAsia" w:ascii="宋体" w:hAnsi="宋体" w:eastAsia="宋体" w:cs="宋体"/>
          <w:b/>
          <w:bCs/>
          <w:color w:val="auto"/>
          <w:sz w:val="21"/>
          <w:szCs w:val="21"/>
          <w:highlight w:val="none"/>
        </w:rPr>
        <w:t>修改</w:t>
      </w:r>
      <w:bookmarkEnd w:id="33"/>
    </w:p>
    <w:p w14:paraId="297ED312">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12.1在</w:t>
      </w:r>
      <w:r>
        <w:rPr>
          <w:rFonts w:hint="eastAsia" w:ascii="宋体" w:hAnsi="宋体" w:eastAsia="宋体" w:cs="宋体"/>
          <w:bCs/>
          <w:color w:val="auto"/>
          <w:sz w:val="21"/>
          <w:szCs w:val="21"/>
          <w:highlight w:val="none"/>
        </w:rPr>
        <w:t>本章第11.1</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规定的</w:t>
      </w:r>
      <w:r>
        <w:rPr>
          <w:rFonts w:hint="eastAsia" w:ascii="宋体" w:hAnsi="宋体" w:eastAsia="宋体" w:cs="宋体"/>
          <w:color w:val="auto"/>
          <w:kern w:val="0"/>
          <w:sz w:val="21"/>
          <w:szCs w:val="21"/>
          <w:highlight w:val="none"/>
        </w:rPr>
        <w:t xml:space="preserve">提交首次响应文件截止之日前，采购人、采购代理机构或者磋商小组可以对已发出的磋商文件进行必要的澄清或者修改。 </w:t>
      </w:r>
    </w:p>
    <w:p w14:paraId="1A63A1D0">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12.2</w:t>
      </w:r>
      <w:r>
        <w:rPr>
          <w:rFonts w:hint="eastAsia" w:ascii="宋体" w:hAnsi="宋体" w:eastAsia="宋体" w:cs="宋体"/>
          <w:color w:val="auto"/>
          <w:kern w:val="0"/>
          <w:sz w:val="21"/>
          <w:szCs w:val="21"/>
          <w:highlight w:val="none"/>
        </w:rPr>
        <w:t>澄清或者修改的内容可能影响响应文件编制的，采购人、采购代理机构或者磋商小组应当在</w:t>
      </w:r>
      <w:r>
        <w:rPr>
          <w:rFonts w:hint="eastAsia" w:ascii="宋体" w:hAnsi="宋体" w:eastAsia="宋体" w:cs="宋体"/>
          <w:bCs/>
          <w:color w:val="auto"/>
          <w:sz w:val="21"/>
          <w:szCs w:val="21"/>
          <w:highlight w:val="none"/>
        </w:rPr>
        <w:t>本章第11.1</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规定的</w:t>
      </w:r>
      <w:r>
        <w:rPr>
          <w:rFonts w:hint="eastAsia" w:ascii="宋体" w:hAnsi="宋体" w:eastAsia="宋体" w:cs="宋体"/>
          <w:color w:val="auto"/>
          <w:kern w:val="0"/>
          <w:sz w:val="21"/>
          <w:szCs w:val="21"/>
          <w:highlight w:val="none"/>
        </w:rPr>
        <w:t>提交首次响应文件截止之日5日前，以书面形式通知所有接收磋商文件的供应商，不足5日的，顺延供应商提交首次响应文件截止时间。</w:t>
      </w:r>
    </w:p>
    <w:p w14:paraId="42CE4F8A">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三、响应文件</w:t>
      </w:r>
    </w:p>
    <w:p w14:paraId="4760FB6A">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4" w:name="_Toc19801"/>
      <w:r>
        <w:rPr>
          <w:rFonts w:hint="eastAsia" w:ascii="宋体" w:hAnsi="宋体" w:eastAsia="宋体" w:cs="宋体"/>
          <w:b/>
          <w:bCs/>
          <w:color w:val="auto"/>
          <w:sz w:val="21"/>
          <w:szCs w:val="21"/>
          <w:highlight w:val="none"/>
        </w:rPr>
        <w:t>13.一般要求</w:t>
      </w:r>
      <w:bookmarkEnd w:id="34"/>
    </w:p>
    <w:p w14:paraId="53BD48FD">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 供应商应仔细阅读磋商文件的所有内容，按磋商文件的要求编制响应文件，并保证所提供的全部资料的真实性，以使其响应文件对磋商文件做出实质性的响应。</w:t>
      </w:r>
    </w:p>
    <w:p w14:paraId="67379642">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13.2 </w:t>
      </w:r>
      <w:r>
        <w:rPr>
          <w:rFonts w:hint="eastAsia" w:ascii="宋体" w:hAnsi="宋体" w:eastAsia="宋体" w:cs="宋体"/>
          <w:color w:val="auto"/>
          <w:sz w:val="21"/>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4DFE4B4D">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 xml:space="preserve">13.3 </w:t>
      </w:r>
      <w:r>
        <w:rPr>
          <w:rFonts w:hint="eastAsia" w:ascii="宋体" w:hAnsi="宋体" w:eastAsia="宋体" w:cs="宋体"/>
          <w:color w:val="auto"/>
          <w:sz w:val="21"/>
          <w:szCs w:val="21"/>
          <w:highlight w:val="none"/>
        </w:rPr>
        <w:t>计量单位应使用我国法定计量单位，未列明时应默认为我国法定计量单位。</w:t>
      </w:r>
    </w:p>
    <w:p w14:paraId="25441DAE">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 响应文件应采用书面形式，电报、传真、电子邮件形式的响应文件概不接受。</w:t>
      </w:r>
    </w:p>
    <w:p w14:paraId="59328CF7">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 供应商应按磋商文件中提供的响应文件格式填写。</w:t>
      </w:r>
    </w:p>
    <w:p w14:paraId="1396DC7D">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5" w:name="_Toc31211"/>
      <w:r>
        <w:rPr>
          <w:rFonts w:hint="eastAsia" w:ascii="宋体" w:hAnsi="宋体" w:eastAsia="宋体" w:cs="宋体"/>
          <w:b/>
          <w:bCs/>
          <w:color w:val="auto"/>
          <w:sz w:val="21"/>
          <w:szCs w:val="21"/>
          <w:highlight w:val="none"/>
        </w:rPr>
        <w:t>14.</w:t>
      </w:r>
      <w:r>
        <w:rPr>
          <w:rFonts w:hint="eastAsia" w:ascii="宋体" w:hAnsi="宋体" w:eastAsia="宋体" w:cs="宋体"/>
          <w:b/>
          <w:color w:val="auto"/>
          <w:sz w:val="21"/>
          <w:szCs w:val="21"/>
          <w:highlight w:val="none"/>
        </w:rPr>
        <w:t>响应文件</w:t>
      </w:r>
      <w:r>
        <w:rPr>
          <w:rFonts w:hint="eastAsia" w:ascii="宋体" w:hAnsi="宋体" w:eastAsia="宋体" w:cs="宋体"/>
          <w:b/>
          <w:bCs/>
          <w:color w:val="auto"/>
          <w:sz w:val="21"/>
          <w:szCs w:val="21"/>
          <w:highlight w:val="none"/>
        </w:rPr>
        <w:t>的组成</w:t>
      </w:r>
      <w:bookmarkEnd w:id="35"/>
    </w:p>
    <w:p w14:paraId="73F4E588">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bookmarkStart w:id="36" w:name="_Toc3285"/>
      <w:r>
        <w:rPr>
          <w:rFonts w:hint="eastAsia" w:ascii="宋体" w:hAnsi="宋体" w:eastAsia="宋体" w:cs="宋体"/>
          <w:color w:val="auto"/>
          <w:sz w:val="21"/>
          <w:szCs w:val="21"/>
          <w:highlight w:val="none"/>
        </w:rPr>
        <w:t>14.1 响应文件包括下列内容：</w:t>
      </w:r>
      <w:bookmarkEnd w:id="36"/>
      <w:r>
        <w:rPr>
          <w:rFonts w:hint="eastAsia" w:ascii="宋体" w:hAnsi="宋体" w:eastAsia="宋体" w:cs="宋体"/>
          <w:color w:val="auto"/>
          <w:sz w:val="21"/>
          <w:szCs w:val="21"/>
          <w:highlight w:val="none"/>
        </w:rPr>
        <w:t xml:space="preserve"> </w:t>
      </w:r>
    </w:p>
    <w:p w14:paraId="6E19F4DF">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（1）磋商响应声明</w:t>
      </w:r>
    </w:p>
    <w:p w14:paraId="48A8171B">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（2）保证金</w:t>
      </w:r>
    </w:p>
    <w:p w14:paraId="61F65E26">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（3）供应商的资格证明文件</w:t>
      </w:r>
    </w:p>
    <w:p w14:paraId="4594C9AA">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（4）项目技术方案</w:t>
      </w:r>
    </w:p>
    <w:p w14:paraId="5EF26301">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（5）技术/商务响应与偏离表</w:t>
      </w:r>
    </w:p>
    <w:p w14:paraId="0AED15D8">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（6）提供政府采购政策产品清单及有关证明材料</w:t>
      </w:r>
    </w:p>
    <w:p w14:paraId="0BF347C4">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（7）报价一览表及报价文件，以及规定格式的首次报价的报价一览表及报价文件的电子文件</w:t>
      </w:r>
    </w:p>
    <w:p w14:paraId="2B82D749">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（8）供应商认为需提供的其他资料</w:t>
      </w:r>
    </w:p>
    <w:p w14:paraId="5669B22E">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14.2除</w:t>
      </w:r>
      <w:r>
        <w:rPr>
          <w:rFonts w:hint="eastAsia"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另有规定外，供应商提供的货物及服务不是供应商制造或拥有的,则应当提供经销、或代理磋商货物、或为磋商货物提供售后服务的证明文件。否则，在磋商时将其视为无效响应文件。</w:t>
      </w:r>
    </w:p>
    <w:p w14:paraId="7892D892">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w:t>
      </w:r>
      <w:r>
        <w:rPr>
          <w:rFonts w:hint="eastAsia" w:ascii="宋体"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规定供应商在磋商时提供样品的，供应商有以下情形之一的，在磋商时将其视为无效响应文件。</w:t>
      </w:r>
    </w:p>
    <w:p w14:paraId="244B2C40">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（1）未在</w:t>
      </w:r>
      <w:r>
        <w:rPr>
          <w:rFonts w:hint="eastAsia" w:ascii="宋体"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规定的提交时间、地点提交的；</w:t>
      </w:r>
    </w:p>
    <w:p w14:paraId="5B5E68E0">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（2）供应商提供的样品与响应文件中型号、规格不一致的。</w:t>
      </w:r>
    </w:p>
    <w:p w14:paraId="7E8EC250">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14.4在磋商过程中，供应商根据</w:t>
      </w:r>
      <w:r>
        <w:rPr>
          <w:rFonts w:hint="eastAsia" w:ascii="宋体" w:hAnsi="宋体" w:eastAsia="宋体" w:cs="宋体"/>
          <w:color w:val="auto"/>
          <w:kern w:val="0"/>
          <w:sz w:val="21"/>
          <w:szCs w:val="21"/>
          <w:highlight w:val="none"/>
        </w:rPr>
        <w:t>磋商小组</w:t>
      </w:r>
      <w:r>
        <w:rPr>
          <w:rFonts w:hint="eastAsia" w:ascii="宋体" w:hAnsi="宋体" w:eastAsia="宋体" w:cs="宋体"/>
          <w:bCs/>
          <w:color w:val="auto"/>
          <w:sz w:val="21"/>
          <w:szCs w:val="21"/>
          <w:highlight w:val="none"/>
        </w:rPr>
        <w:t>书面形式要求</w:t>
      </w:r>
      <w:r>
        <w:rPr>
          <w:rFonts w:hint="eastAsia" w:ascii="宋体" w:hAnsi="宋体" w:eastAsia="宋体" w:cs="宋体"/>
          <w:color w:val="auto"/>
          <w:kern w:val="0"/>
          <w:sz w:val="21"/>
          <w:szCs w:val="21"/>
          <w:highlight w:val="none"/>
        </w:rPr>
        <w:t>提交的</w:t>
      </w:r>
      <w:r>
        <w:rPr>
          <w:rFonts w:hint="eastAsia" w:ascii="宋体" w:hAnsi="宋体" w:eastAsia="宋体" w:cs="宋体"/>
          <w:color w:val="auto"/>
          <w:sz w:val="21"/>
          <w:szCs w:val="21"/>
          <w:highlight w:val="none"/>
        </w:rPr>
        <w:t>最后报价(或者</w:t>
      </w:r>
      <w:r>
        <w:rPr>
          <w:rFonts w:hint="eastAsia" w:ascii="宋体" w:hAnsi="宋体" w:eastAsia="宋体" w:cs="宋体"/>
          <w:bCs/>
          <w:color w:val="auto"/>
          <w:sz w:val="21"/>
          <w:szCs w:val="21"/>
          <w:highlight w:val="none"/>
        </w:rPr>
        <w:t>重</w:t>
      </w:r>
      <w:r>
        <w:rPr>
          <w:rFonts w:hint="eastAsia" w:ascii="宋体" w:hAnsi="宋体" w:eastAsia="宋体" w:cs="宋体"/>
          <w:color w:val="auto"/>
          <w:kern w:val="0"/>
          <w:sz w:val="21"/>
          <w:szCs w:val="21"/>
          <w:highlight w:val="none"/>
        </w:rPr>
        <w:t>新提交的响应文件和</w:t>
      </w:r>
      <w:r>
        <w:rPr>
          <w:rFonts w:hint="eastAsia" w:ascii="宋体" w:hAnsi="宋体" w:eastAsia="宋体" w:cs="宋体"/>
          <w:color w:val="auto"/>
          <w:sz w:val="21"/>
          <w:szCs w:val="21"/>
          <w:highlight w:val="none"/>
        </w:rPr>
        <w:t>最后报价)是响应文件的有效组成部分。</w:t>
      </w:r>
    </w:p>
    <w:p w14:paraId="3C028FF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14.5</w:t>
      </w:r>
      <w:r>
        <w:rPr>
          <w:rFonts w:hint="eastAsia" w:ascii="宋体" w:hAnsi="宋体" w:eastAsia="宋体" w:cs="宋体"/>
          <w:color w:val="auto"/>
          <w:kern w:val="0"/>
          <w:sz w:val="21"/>
          <w:szCs w:val="21"/>
          <w:highlight w:val="none"/>
        </w:rPr>
        <w:t>磋商文件规定可能发生实质性变动的，供应商应当在</w:t>
      </w:r>
      <w:r>
        <w:rPr>
          <w:rFonts w:hint="eastAsia" w:ascii="宋体" w:hAnsi="宋体" w:eastAsia="宋体" w:cs="宋体"/>
          <w:color w:val="auto"/>
          <w:sz w:val="21"/>
          <w:szCs w:val="21"/>
          <w:highlight w:val="none"/>
        </w:rPr>
        <w:t>《技术/商务响应与偏离表》中对应内容注明。</w:t>
      </w:r>
    </w:p>
    <w:p w14:paraId="4901169E">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14.6根据《政府采购法》第四十二条的规定，供应商无论成交与否，其响应文件不予退还。</w:t>
      </w:r>
    </w:p>
    <w:p w14:paraId="0C72B4E5">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7" w:name="_Toc11948"/>
      <w:r>
        <w:rPr>
          <w:rFonts w:hint="eastAsia" w:ascii="宋体" w:hAnsi="宋体" w:eastAsia="宋体" w:cs="宋体"/>
          <w:b/>
          <w:bCs/>
          <w:color w:val="auto"/>
          <w:sz w:val="21"/>
          <w:szCs w:val="21"/>
          <w:highlight w:val="none"/>
        </w:rPr>
        <w:t>15.报价</w:t>
      </w:r>
      <w:bookmarkEnd w:id="37"/>
    </w:p>
    <w:p w14:paraId="3B1FBAD7">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15.1供应商应当根据磋商文件要求和范围，以</w:t>
      </w:r>
      <w:r>
        <w:rPr>
          <w:rFonts w:hint="eastAsia" w:ascii="宋体" w:hAnsi="宋体" w:eastAsia="宋体" w:cs="宋体"/>
          <w:bCs/>
          <w:color w:val="auto"/>
          <w:sz w:val="21"/>
          <w:szCs w:val="21"/>
          <w:highlight w:val="none"/>
        </w:rPr>
        <w:t>人民币</w:t>
      </w:r>
      <w:r>
        <w:rPr>
          <w:rFonts w:hint="eastAsia" w:ascii="宋体" w:hAnsi="宋体" w:eastAsia="宋体" w:cs="宋体"/>
          <w:color w:val="auto"/>
          <w:sz w:val="21"/>
          <w:szCs w:val="21"/>
          <w:highlight w:val="none"/>
        </w:rPr>
        <w:t>报价，以元为单位，保留小数点后两位。</w:t>
      </w:r>
    </w:p>
    <w:p w14:paraId="0234FDE5">
      <w:pPr>
        <w:pStyle w:val="24"/>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15.2供应商应按第五章“采购需求”要求及第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章“响应文件组成”格式填写。供应商在</w:t>
      </w:r>
      <w:r>
        <w:rPr>
          <w:rFonts w:hint="eastAsia" w:ascii="宋体" w:hAnsi="宋体" w:eastAsia="宋体" w:cs="宋体"/>
          <w:bCs/>
          <w:color w:val="auto"/>
          <w:sz w:val="21"/>
          <w:szCs w:val="21"/>
          <w:highlight w:val="none"/>
        </w:rPr>
        <w:t>本章第11.1</w:t>
      </w:r>
      <w:r>
        <w:rPr>
          <w:rFonts w:hint="eastAsia" w:ascii="宋体" w:hAnsi="宋体" w:eastAsia="宋体" w:cs="宋体"/>
          <w:color w:val="auto"/>
          <w:sz w:val="21"/>
          <w:szCs w:val="21"/>
          <w:highlight w:val="none"/>
          <w:lang w:val="zh-CN"/>
        </w:rPr>
        <w:t>款</w:t>
      </w:r>
      <w:r>
        <w:rPr>
          <w:rFonts w:hint="eastAsia" w:ascii="宋体" w:hAnsi="宋体" w:eastAsia="宋体" w:cs="宋体"/>
          <w:bCs/>
          <w:color w:val="auto"/>
          <w:sz w:val="21"/>
          <w:szCs w:val="21"/>
          <w:highlight w:val="none"/>
        </w:rPr>
        <w:t>规定的</w:t>
      </w:r>
      <w:r>
        <w:rPr>
          <w:rFonts w:hint="eastAsia" w:ascii="宋体" w:hAnsi="宋体" w:eastAsia="宋体" w:cs="宋体"/>
          <w:color w:val="auto"/>
          <w:sz w:val="21"/>
          <w:szCs w:val="21"/>
          <w:highlight w:val="none"/>
        </w:rPr>
        <w:t>提交首次响应文件截止之日前修改报价一览表中的报价，应同时修改其按第六章要求填写的相应表格中的报价。此修改须符合本章第21.1款的有关要求。</w:t>
      </w:r>
    </w:p>
    <w:p w14:paraId="1EACDD1B">
      <w:pPr>
        <w:pStyle w:val="10"/>
        <w:keepNext w:val="0"/>
        <w:keepLines w:val="0"/>
        <w:pageBreakBefore w:val="0"/>
        <w:kinsoku/>
        <w:wordWrap/>
        <w:overflowPunct/>
        <w:topLinePunct w:val="0"/>
        <w:autoSpaceDE/>
        <w:bidi w:val="0"/>
        <w:adjustRightInd/>
        <w:snapToGrid/>
        <w:spacing w:line="360" w:lineRule="auto"/>
        <w:ind w:left="0" w:right="0" w:rightChars="0"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15.3响应文件中标明的价格在合同执行过程中是固定不变的，不得以任何理由予以变更。以可变动价格提交的报价将被认为是非实质响应而被拒绝。</w:t>
      </w:r>
    </w:p>
    <w:p w14:paraId="7AE08EDE">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r>
        <w:rPr>
          <w:rFonts w:hint="eastAsia" w:ascii="宋体" w:hAnsi="宋体" w:eastAsia="宋体" w:cs="宋体"/>
          <w:color w:val="auto"/>
          <w:sz w:val="21"/>
          <w:szCs w:val="21"/>
          <w:highlight w:val="none"/>
          <w:lang w:val="zh-CN"/>
        </w:rPr>
        <w:t>供应商</w:t>
      </w:r>
      <w:r>
        <w:rPr>
          <w:rFonts w:hint="eastAsia" w:ascii="宋体" w:hAnsi="宋体" w:eastAsia="宋体" w:cs="宋体"/>
          <w:color w:val="auto"/>
          <w:sz w:val="21"/>
          <w:szCs w:val="21"/>
          <w:highlight w:val="none"/>
        </w:rPr>
        <w:t>的报价不得超过采购项目预算，采购项目预算或其计算方法见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5A2DC6B2">
      <w:pPr>
        <w:pStyle w:val="10"/>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bookmarkStart w:id="38" w:name="_Toc3095"/>
      <w:r>
        <w:rPr>
          <w:rFonts w:hint="eastAsia" w:ascii="宋体" w:hAnsi="宋体" w:eastAsia="宋体" w:cs="宋体"/>
          <w:b/>
          <w:color w:val="auto"/>
          <w:sz w:val="21"/>
          <w:szCs w:val="21"/>
          <w:highlight w:val="none"/>
        </w:rPr>
        <w:t>16.供应商符合磋商文件规定的证明文件</w:t>
      </w:r>
      <w:bookmarkEnd w:id="38"/>
    </w:p>
    <w:p w14:paraId="5769D564">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16.1</w:t>
      </w:r>
      <w:r>
        <w:rPr>
          <w:rFonts w:hint="eastAsia" w:ascii="宋体" w:hAnsi="宋体" w:eastAsia="宋体" w:cs="宋体"/>
          <w:color w:val="auto"/>
          <w:sz w:val="21"/>
          <w:szCs w:val="21"/>
          <w:highlight w:val="none"/>
        </w:rPr>
        <w:t>在磋商</w:t>
      </w:r>
      <w:r>
        <w:rPr>
          <w:rFonts w:hint="eastAsia" w:ascii="宋体" w:hAnsi="宋体" w:eastAsia="宋体" w:cs="宋体"/>
          <w:bCs/>
          <w:color w:val="auto"/>
          <w:sz w:val="21"/>
          <w:szCs w:val="21"/>
          <w:highlight w:val="none"/>
        </w:rPr>
        <w:t>小组确定邀请供应商名单起</w:t>
      </w:r>
      <w:r>
        <w:rPr>
          <w:rFonts w:hint="eastAsia" w:ascii="宋体" w:hAnsi="宋体" w:eastAsia="宋体" w:cs="宋体"/>
          <w:color w:val="auto"/>
          <w:sz w:val="21"/>
          <w:szCs w:val="21"/>
          <w:highlight w:val="none"/>
        </w:rPr>
        <w:t>至</w:t>
      </w:r>
      <w:r>
        <w:rPr>
          <w:rFonts w:hint="eastAsia" w:ascii="宋体" w:hAnsi="宋体" w:eastAsia="宋体" w:cs="宋体"/>
          <w:color w:val="auto"/>
          <w:kern w:val="0"/>
          <w:sz w:val="21"/>
          <w:szCs w:val="21"/>
          <w:highlight w:val="none"/>
        </w:rPr>
        <w:t>提交首次响应文件</w:t>
      </w:r>
      <w:r>
        <w:rPr>
          <w:rFonts w:hint="eastAsia" w:ascii="宋体" w:hAnsi="宋体" w:eastAsia="宋体" w:cs="宋体"/>
          <w:color w:val="auto"/>
          <w:sz w:val="21"/>
          <w:szCs w:val="21"/>
          <w:highlight w:val="none"/>
        </w:rPr>
        <w:t>止，供应商资格条件发生重大变化，影响或者可能影响资格条件的，供应商应更新或者补充提供的资格证明材料，以证实其各项条件仍能继续满足本章第3.1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规定的供应商资格条件要求。</w:t>
      </w:r>
    </w:p>
    <w:p w14:paraId="5D5C9800">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16.2</w:t>
      </w:r>
      <w:r>
        <w:rPr>
          <w:rFonts w:hint="eastAsia" w:ascii="宋体" w:hAnsi="宋体" w:eastAsia="宋体" w:cs="宋体"/>
          <w:color w:val="auto"/>
          <w:kern w:val="0"/>
          <w:sz w:val="21"/>
          <w:szCs w:val="21"/>
          <w:highlight w:val="none"/>
          <w:lang w:val="zh-CN"/>
        </w:rPr>
        <w:t>供应商</w:t>
      </w:r>
      <w:r>
        <w:rPr>
          <w:rFonts w:hint="eastAsia" w:ascii="宋体" w:hAnsi="宋体" w:eastAsia="宋体" w:cs="宋体"/>
          <w:color w:val="auto"/>
          <w:sz w:val="21"/>
          <w:szCs w:val="21"/>
          <w:highlight w:val="none"/>
        </w:rPr>
        <w:t>为联合体形式的，则应提交联合体各方资格文件、联合体协议，否则将视为非实质响应而被拒绝。</w:t>
      </w:r>
    </w:p>
    <w:p w14:paraId="0FDAF534">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39" w:name="_Toc29425"/>
      <w:r>
        <w:rPr>
          <w:rFonts w:hint="eastAsia" w:ascii="宋体" w:hAnsi="宋体" w:eastAsia="宋体" w:cs="宋体"/>
          <w:b/>
          <w:bCs/>
          <w:color w:val="auto"/>
          <w:sz w:val="21"/>
          <w:szCs w:val="21"/>
          <w:highlight w:val="none"/>
        </w:rPr>
        <w:t>17.保证金</w:t>
      </w:r>
      <w:bookmarkEnd w:id="39"/>
    </w:p>
    <w:p w14:paraId="3636E704">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17.1</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规定交纳</w:t>
      </w:r>
      <w:r>
        <w:rPr>
          <w:rFonts w:hint="eastAsia" w:ascii="宋体" w:hAnsi="宋体" w:eastAsia="宋体" w:cs="宋体"/>
          <w:bCs/>
          <w:color w:val="auto"/>
          <w:sz w:val="21"/>
          <w:szCs w:val="21"/>
          <w:highlight w:val="none"/>
        </w:rPr>
        <w:t>保证金的</w:t>
      </w:r>
      <w:r>
        <w:rPr>
          <w:rFonts w:hint="eastAsia" w:ascii="宋体" w:hAnsi="宋体" w:eastAsia="宋体" w:cs="宋体"/>
          <w:color w:val="auto"/>
          <w:sz w:val="21"/>
          <w:szCs w:val="21"/>
          <w:highlight w:val="none"/>
        </w:rPr>
        <w:t>，应按</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规定的</w:t>
      </w:r>
      <w:r>
        <w:rPr>
          <w:rFonts w:hint="eastAsia" w:ascii="宋体" w:hAnsi="宋体" w:eastAsia="宋体" w:cs="宋体"/>
          <w:bCs/>
          <w:color w:val="auto"/>
          <w:sz w:val="21"/>
          <w:szCs w:val="21"/>
          <w:highlight w:val="none"/>
        </w:rPr>
        <w:t>保证金形式交纳，不得以现金方式交纳</w:t>
      </w:r>
      <w:r>
        <w:rPr>
          <w:rFonts w:hint="eastAsia" w:ascii="宋体" w:hAnsi="宋体" w:eastAsia="宋体" w:cs="宋体"/>
          <w:color w:val="auto"/>
          <w:sz w:val="21"/>
          <w:szCs w:val="21"/>
          <w:highlight w:val="none"/>
        </w:rPr>
        <w:t>，在本章第11.1</w:t>
      </w:r>
      <w:r>
        <w:rPr>
          <w:rFonts w:hint="eastAsia" w:ascii="宋体" w:hAnsi="宋体" w:eastAsia="宋体" w:cs="宋体"/>
          <w:color w:val="auto"/>
          <w:sz w:val="21"/>
          <w:szCs w:val="21"/>
          <w:highlight w:val="none"/>
          <w:lang w:val="zh-CN"/>
        </w:rPr>
        <w:t>款</w:t>
      </w:r>
      <w:r>
        <w:rPr>
          <w:rFonts w:hint="eastAsia" w:ascii="宋体" w:hAnsi="宋体" w:eastAsia="宋体" w:cs="宋体"/>
          <w:color w:val="auto"/>
          <w:sz w:val="21"/>
          <w:szCs w:val="21"/>
          <w:highlight w:val="none"/>
        </w:rPr>
        <w:t>规定的提交首次响应文件截止时间前，</w:t>
      </w:r>
      <w:r>
        <w:rPr>
          <w:rFonts w:hint="eastAsia" w:ascii="宋体" w:hAnsi="宋体" w:eastAsia="宋体" w:cs="宋体"/>
          <w:bCs/>
          <w:color w:val="auto"/>
          <w:sz w:val="21"/>
          <w:szCs w:val="21"/>
          <w:highlight w:val="none"/>
        </w:rPr>
        <w:t>向采购代理机构交纳不超过</w:t>
      </w:r>
      <w:r>
        <w:rPr>
          <w:rFonts w:hint="eastAsia" w:ascii="宋体" w:hAnsi="宋体" w:eastAsia="宋体" w:cs="宋体"/>
          <w:color w:val="auto"/>
          <w:sz w:val="21"/>
          <w:szCs w:val="21"/>
          <w:highlight w:val="none"/>
          <w:lang w:val="zh-CN"/>
        </w:rPr>
        <w:t>采购项目预算2﹪</w:t>
      </w:r>
      <w:r>
        <w:rPr>
          <w:rFonts w:hint="eastAsia" w:ascii="宋体" w:hAnsi="宋体" w:eastAsia="宋体" w:cs="宋体"/>
          <w:bCs/>
          <w:color w:val="auto"/>
          <w:sz w:val="21"/>
          <w:szCs w:val="21"/>
          <w:highlight w:val="none"/>
        </w:rPr>
        <w:t>的保证金(数额采用四舍五入，计算至元)</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rPr>
        <w:t>保证金有效期应当与</w:t>
      </w:r>
      <w:r>
        <w:rPr>
          <w:rFonts w:hint="eastAsia" w:ascii="宋体" w:hAnsi="宋体" w:eastAsia="宋体" w:cs="宋体"/>
          <w:color w:val="auto"/>
          <w:sz w:val="21"/>
          <w:szCs w:val="21"/>
          <w:highlight w:val="none"/>
        </w:rPr>
        <w:t>本章第18.1</w:t>
      </w:r>
      <w:r>
        <w:rPr>
          <w:rFonts w:hint="eastAsia" w:ascii="宋体" w:hAnsi="宋体" w:eastAsia="宋体" w:cs="宋体"/>
          <w:color w:val="auto"/>
          <w:sz w:val="21"/>
          <w:szCs w:val="21"/>
          <w:highlight w:val="none"/>
          <w:lang w:val="zh-CN"/>
        </w:rPr>
        <w:t>款</w:t>
      </w:r>
      <w:r>
        <w:rPr>
          <w:rFonts w:hint="eastAsia" w:ascii="宋体" w:hAnsi="宋体" w:eastAsia="宋体" w:cs="宋体"/>
          <w:color w:val="auto"/>
          <w:sz w:val="21"/>
          <w:szCs w:val="21"/>
          <w:highlight w:val="none"/>
        </w:rPr>
        <w:t>规定的</w:t>
      </w:r>
      <w:r>
        <w:rPr>
          <w:rFonts w:hint="eastAsia" w:ascii="宋体" w:hAnsi="宋体" w:eastAsia="宋体" w:cs="宋体"/>
          <w:bCs/>
          <w:color w:val="auto"/>
          <w:sz w:val="21"/>
          <w:szCs w:val="21"/>
          <w:highlight w:val="none"/>
        </w:rPr>
        <w:t>响应文件有效期一致。</w:t>
      </w:r>
    </w:p>
    <w:p w14:paraId="7E9D5574">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17.2</w:t>
      </w:r>
      <w:r>
        <w:rPr>
          <w:rFonts w:hint="eastAsia" w:ascii="宋体" w:hAnsi="宋体" w:eastAsia="宋体" w:cs="宋体"/>
          <w:color w:val="auto"/>
          <w:kern w:val="0"/>
          <w:sz w:val="21"/>
          <w:szCs w:val="21"/>
          <w:highlight w:val="none"/>
          <w:lang w:val="zh-CN"/>
        </w:rPr>
        <w:t>供应商为联合体的，可以由联合体中的一方或者共同交纳保证金，其交纳的保证金，对联合体各方均具有约束力。</w:t>
      </w:r>
    </w:p>
    <w:p w14:paraId="33B3FB7F">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 未按磋商文件规定提交保证金的，</w:t>
      </w:r>
      <w:r>
        <w:rPr>
          <w:rFonts w:hint="eastAsia" w:ascii="宋体" w:hAnsi="宋体" w:eastAsia="宋体" w:cs="宋体"/>
          <w:bCs/>
          <w:color w:val="auto"/>
          <w:sz w:val="21"/>
          <w:szCs w:val="21"/>
          <w:highlight w:val="none"/>
        </w:rPr>
        <w:t>采购人或采购代理机构应当拒绝接收供应商的响应文件</w:t>
      </w:r>
      <w:r>
        <w:rPr>
          <w:rFonts w:hint="eastAsia" w:ascii="宋体" w:hAnsi="宋体" w:eastAsia="宋体" w:cs="宋体"/>
          <w:color w:val="auto"/>
          <w:sz w:val="21"/>
          <w:szCs w:val="21"/>
          <w:highlight w:val="none"/>
        </w:rPr>
        <w:t>。</w:t>
      </w:r>
    </w:p>
    <w:p w14:paraId="1A7854DF">
      <w:pPr>
        <w:pStyle w:val="10"/>
        <w:keepNext w:val="0"/>
        <w:keepLines w:val="0"/>
        <w:pageBreakBefore w:val="0"/>
        <w:tabs>
          <w:tab w:val="left" w:pos="630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17.4采购代理机构在成交通知书发出后5个工作日内退还未成交供应商的保证金；在采购合同签定后5个工作日内退还成交供应商的保证金，但因供应商自身原因导致无法及时退还的除外。</w:t>
      </w:r>
    </w:p>
    <w:p w14:paraId="75065EF3">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17.5 有下列情形之一的，保证金不予退还，并上缴财政部：</w:t>
      </w:r>
    </w:p>
    <w:p w14:paraId="1C695444">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（1）供应商在</w:t>
      </w:r>
      <w:r>
        <w:rPr>
          <w:rFonts w:hint="eastAsia" w:ascii="宋体" w:hAnsi="宋体" w:eastAsia="宋体" w:cs="宋体"/>
          <w:bCs/>
          <w:color w:val="auto"/>
          <w:sz w:val="21"/>
          <w:szCs w:val="21"/>
          <w:highlight w:val="none"/>
        </w:rPr>
        <w:t>本章第11.1</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规定的</w:t>
      </w:r>
      <w:r>
        <w:rPr>
          <w:rFonts w:hint="eastAsia" w:ascii="宋体" w:hAnsi="宋体" w:eastAsia="宋体" w:cs="宋体"/>
          <w:color w:val="auto"/>
          <w:kern w:val="0"/>
          <w:sz w:val="21"/>
          <w:szCs w:val="21"/>
          <w:highlight w:val="none"/>
        </w:rPr>
        <w:t>提交首次响应文件截止时间后撤回响应文件的；</w:t>
      </w:r>
    </w:p>
    <w:p w14:paraId="53FEF3DF">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（2）供应商在响应文件中提供虚假材料的；</w:t>
      </w:r>
    </w:p>
    <w:p w14:paraId="23283B5E">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（3）除因不可抗力或磋商文件认可的情形以外，成交供应商不与采购人签订合同的；</w:t>
      </w:r>
    </w:p>
    <w:p w14:paraId="697FEFFC">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（4）供应商与采购人、其他供应商或者采购代理机构恶意串通的；</w:t>
      </w:r>
    </w:p>
    <w:p w14:paraId="438F18E6">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（5）磋商文件规定的其他情形。</w:t>
      </w:r>
    </w:p>
    <w:p w14:paraId="1D8BF508">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0" w:name="_Toc10560"/>
      <w:r>
        <w:rPr>
          <w:rFonts w:hint="eastAsia" w:ascii="宋体" w:hAnsi="宋体" w:eastAsia="宋体" w:cs="宋体"/>
          <w:b/>
          <w:bCs/>
          <w:color w:val="auto"/>
          <w:sz w:val="21"/>
          <w:szCs w:val="21"/>
          <w:highlight w:val="none"/>
        </w:rPr>
        <w:t>18.</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响应文件有效期</w:t>
      </w:r>
      <w:bookmarkEnd w:id="40"/>
    </w:p>
    <w:p w14:paraId="4EFD06E7">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18.1响应文件有效期见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，在此期间响应文件对供应商具有法律约束力，从本章第11.1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w:t>
      </w:r>
      <w:r>
        <w:rPr>
          <w:rFonts w:hint="eastAsia" w:ascii="宋体" w:hAnsi="宋体" w:eastAsia="宋体" w:cs="宋体"/>
          <w:color w:val="auto"/>
          <w:kern w:val="0"/>
          <w:sz w:val="21"/>
          <w:szCs w:val="21"/>
          <w:highlight w:val="none"/>
        </w:rPr>
        <w:t>提交首次响应文件截止时间</w:t>
      </w:r>
      <w:r>
        <w:rPr>
          <w:rFonts w:hint="eastAsia" w:ascii="宋体" w:hAnsi="宋体" w:eastAsia="宋体" w:cs="宋体"/>
          <w:color w:val="auto"/>
          <w:sz w:val="21"/>
          <w:szCs w:val="21"/>
          <w:highlight w:val="none"/>
        </w:rPr>
        <w:t>之日起计算。响应文件有效期不足的将被视为无效响应。</w:t>
      </w:r>
    </w:p>
    <w:p w14:paraId="12F0FEFA">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1" w:name="_Toc19762"/>
      <w:r>
        <w:rPr>
          <w:rFonts w:hint="eastAsia" w:ascii="宋体" w:hAnsi="宋体" w:eastAsia="宋体" w:cs="宋体"/>
          <w:b/>
          <w:bCs/>
          <w:color w:val="auto"/>
          <w:sz w:val="21"/>
          <w:szCs w:val="21"/>
          <w:highlight w:val="none"/>
        </w:rPr>
        <w:t>19.响应文件的签署及规定</w:t>
      </w:r>
      <w:bookmarkEnd w:id="41"/>
    </w:p>
    <w:p w14:paraId="2BC76EB9">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19.1响应文件的正本和副本应装订成册，正本一份，副本份数见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。正本和副本的封面上应标记“正本”或“副本”的字样，当正本和副本有差异时，以正本为准。</w:t>
      </w:r>
    </w:p>
    <w:p w14:paraId="6C686561">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 响应文件正本和副本应按磋商文件要求签章处盖单位章和由法定代表人或其委托代理人签字；任何加行、涂改、增删，应有法定代表人或其委托代理人在旁边签字。否则，将导致响应文件无效。</w:t>
      </w:r>
    </w:p>
    <w:p w14:paraId="09E895E3">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 在磋商过程中，供应商按磋商文件规定和磋商小组要求提交的最后报价(或者</w:t>
      </w:r>
      <w:r>
        <w:rPr>
          <w:rFonts w:hint="eastAsia" w:ascii="宋体" w:hAnsi="宋体" w:eastAsia="宋体" w:cs="宋体"/>
          <w:bCs/>
          <w:color w:val="auto"/>
          <w:sz w:val="21"/>
          <w:szCs w:val="21"/>
          <w:highlight w:val="none"/>
        </w:rPr>
        <w:t>重</w:t>
      </w:r>
      <w:r>
        <w:rPr>
          <w:rFonts w:hint="eastAsia" w:ascii="宋体" w:hAnsi="宋体" w:eastAsia="宋体" w:cs="宋体"/>
          <w:color w:val="auto"/>
          <w:sz w:val="21"/>
          <w:szCs w:val="21"/>
          <w:highlight w:val="none"/>
        </w:rPr>
        <w:t>新提交的响应文件和最后报价)，一式两份，可打印或用不褪色墨水书写，但需经法定代表人或其委托代理人签字，或者加盖供应商单位章。否则，将导致响应文件无效。</w:t>
      </w:r>
    </w:p>
    <w:p w14:paraId="775DFE0F">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四、响应文件的递交</w:t>
      </w:r>
    </w:p>
    <w:p w14:paraId="561E8B82">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2" w:name="_Toc13936"/>
      <w:r>
        <w:rPr>
          <w:rFonts w:hint="eastAsia" w:ascii="宋体" w:hAnsi="宋体" w:eastAsia="宋体" w:cs="宋体"/>
          <w:b/>
          <w:bCs/>
          <w:color w:val="auto"/>
          <w:sz w:val="21"/>
          <w:szCs w:val="21"/>
          <w:highlight w:val="none"/>
        </w:rPr>
        <w:t>20.</w:t>
      </w:r>
      <w:r>
        <w:rPr>
          <w:rFonts w:hint="eastAsia" w:ascii="宋体" w:hAnsi="宋体" w:eastAsia="宋体" w:cs="宋体"/>
          <w:b/>
          <w:color w:val="auto"/>
          <w:sz w:val="21"/>
          <w:szCs w:val="21"/>
          <w:highlight w:val="none"/>
        </w:rPr>
        <w:t>响应文件</w:t>
      </w:r>
      <w:r>
        <w:rPr>
          <w:rFonts w:hint="eastAsia" w:ascii="宋体" w:hAnsi="宋体" w:eastAsia="宋体" w:cs="宋体"/>
          <w:b/>
          <w:bCs/>
          <w:color w:val="auto"/>
          <w:sz w:val="21"/>
          <w:szCs w:val="21"/>
          <w:highlight w:val="none"/>
        </w:rPr>
        <w:t>的密封和标记</w:t>
      </w:r>
      <w:bookmarkEnd w:id="42"/>
    </w:p>
    <w:p w14:paraId="5093F11E">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20.1响应文件应密封包装，加贴封条，并在封套的封口处（封套两端折叠封口处）盖供应商单位章或者由法定代表人或其委托代理人签字。</w:t>
      </w:r>
    </w:p>
    <w:p w14:paraId="4609E334">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20.2响应文件封套上应写明的内容见</w:t>
      </w:r>
      <w:r>
        <w:rPr>
          <w:rFonts w:hint="eastAsia" w:ascii="宋体" w:hAnsi="宋体" w:eastAsia="宋体" w:cs="宋体"/>
          <w:b/>
          <w:color w:val="auto"/>
          <w:sz w:val="21"/>
          <w:szCs w:val="21"/>
          <w:highlight w:val="none"/>
        </w:rPr>
        <w:t>磋商须知前附表。</w:t>
      </w:r>
    </w:p>
    <w:p w14:paraId="2C35814F">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20.3响应文件如果未按上述规定密封和加写标记，采购人或采购代理机构将拒绝接收。</w:t>
      </w:r>
    </w:p>
    <w:p w14:paraId="0FD98A62">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3" w:name="_Toc15977"/>
      <w:r>
        <w:rPr>
          <w:rFonts w:hint="eastAsia" w:ascii="宋体" w:hAnsi="宋体" w:eastAsia="宋体" w:cs="宋体"/>
          <w:b/>
          <w:bCs/>
          <w:color w:val="auto"/>
          <w:sz w:val="21"/>
          <w:szCs w:val="21"/>
          <w:highlight w:val="none"/>
        </w:rPr>
        <w:t>21.响应文件的</w:t>
      </w:r>
      <w:r>
        <w:rPr>
          <w:rFonts w:hint="eastAsia" w:ascii="宋体" w:hAnsi="宋体" w:eastAsia="宋体" w:cs="宋体"/>
          <w:b/>
          <w:color w:val="auto"/>
          <w:kern w:val="0"/>
          <w:sz w:val="21"/>
          <w:szCs w:val="21"/>
          <w:highlight w:val="none"/>
          <w:lang w:val="zh-CN"/>
        </w:rPr>
        <w:t>补充、修改或者撤回</w:t>
      </w:r>
      <w:bookmarkEnd w:id="43"/>
    </w:p>
    <w:p w14:paraId="1CF5C24F">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21.1供应商在本章第11.1</w:t>
      </w:r>
      <w:r>
        <w:rPr>
          <w:rFonts w:hint="eastAsia" w:ascii="宋体" w:hAnsi="宋体" w:eastAsia="宋体" w:cs="宋体"/>
          <w:color w:val="auto"/>
          <w:sz w:val="21"/>
          <w:szCs w:val="21"/>
          <w:highlight w:val="none"/>
          <w:lang w:val="zh-CN"/>
        </w:rPr>
        <w:t>款</w:t>
      </w:r>
      <w:r>
        <w:rPr>
          <w:rFonts w:hint="eastAsia" w:ascii="宋体" w:hAnsi="宋体" w:eastAsia="宋体" w:cs="宋体"/>
          <w:color w:val="auto"/>
          <w:sz w:val="21"/>
          <w:szCs w:val="21"/>
          <w:highlight w:val="none"/>
        </w:rPr>
        <w:t>规定的提交首次响应文件截止时间前，可以对所提交的首次响应文件进行补充、修改或者撤回，并书面通知采购人、采购代理机构。该通知应有供应商法定代表人或其委托代理人签字。</w:t>
      </w:r>
    </w:p>
    <w:p w14:paraId="794BA518">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r>
        <w:rPr>
          <w:rFonts w:hint="eastAsia" w:ascii="宋体" w:hAnsi="宋体" w:eastAsia="宋体" w:cs="宋体"/>
          <w:color w:val="auto"/>
          <w:sz w:val="21"/>
          <w:szCs w:val="21"/>
          <w:highlight w:val="none"/>
          <w:lang w:val="zh-CN"/>
        </w:rPr>
        <w:t>补充、修改的内容与响应文件不一致时，以补充、修改的内容为准。</w:t>
      </w:r>
    </w:p>
    <w:p w14:paraId="30BAF198">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4" w:name="_Toc21138"/>
      <w:r>
        <w:rPr>
          <w:rFonts w:hint="eastAsia" w:ascii="宋体" w:hAnsi="宋体" w:eastAsia="宋体" w:cs="宋体"/>
          <w:b/>
          <w:bCs/>
          <w:color w:val="auto"/>
          <w:sz w:val="21"/>
          <w:szCs w:val="21"/>
          <w:highlight w:val="none"/>
        </w:rPr>
        <w:t>22.响应文件的递交与接收</w:t>
      </w:r>
      <w:bookmarkEnd w:id="44"/>
    </w:p>
    <w:p w14:paraId="758A110F">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 供应商应在本章第11.1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w:t>
      </w:r>
      <w:r>
        <w:rPr>
          <w:rFonts w:hint="eastAsia" w:ascii="宋体" w:hAnsi="宋体" w:eastAsia="宋体" w:cs="宋体"/>
          <w:color w:val="auto"/>
          <w:kern w:val="0"/>
          <w:sz w:val="21"/>
          <w:szCs w:val="21"/>
          <w:highlight w:val="none"/>
        </w:rPr>
        <w:t>提交首次响应文件截止时间</w:t>
      </w:r>
      <w:r>
        <w:rPr>
          <w:rFonts w:hint="eastAsia" w:ascii="宋体" w:hAnsi="宋体" w:eastAsia="宋体" w:cs="宋体"/>
          <w:color w:val="auto"/>
          <w:sz w:val="21"/>
          <w:szCs w:val="21"/>
          <w:highlight w:val="none"/>
        </w:rPr>
        <w:t>前，将响应文件送达</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中指定的地点。</w:t>
      </w:r>
      <w:r>
        <w:rPr>
          <w:rFonts w:hint="eastAsia" w:ascii="宋体" w:hAnsi="宋体" w:eastAsia="宋体" w:cs="宋体"/>
          <w:color w:val="auto"/>
          <w:kern w:val="0"/>
          <w:sz w:val="21"/>
          <w:szCs w:val="21"/>
          <w:highlight w:val="none"/>
        </w:rPr>
        <w:t>在截止时间后送达的响应文件，采购人、采购代理机构或者磋商小组应当拒收。</w:t>
      </w:r>
    </w:p>
    <w:p w14:paraId="2EC6F93D">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22.2在本章第11.1</w:t>
      </w:r>
      <w:r>
        <w:rPr>
          <w:rFonts w:hint="eastAsia" w:ascii="宋体" w:hAnsi="宋体" w:eastAsia="宋体" w:cs="宋体"/>
          <w:color w:val="auto"/>
          <w:sz w:val="21"/>
          <w:szCs w:val="21"/>
          <w:highlight w:val="none"/>
          <w:lang w:val="zh-CN"/>
        </w:rPr>
        <w:t>款</w:t>
      </w:r>
      <w:r>
        <w:rPr>
          <w:rFonts w:hint="eastAsia" w:ascii="宋体" w:hAnsi="宋体" w:eastAsia="宋体" w:cs="宋体"/>
          <w:color w:val="auto"/>
          <w:sz w:val="21"/>
          <w:szCs w:val="21"/>
          <w:highlight w:val="none"/>
        </w:rPr>
        <w:t>规定的提交首次响应文件截止时间后，由</w:t>
      </w:r>
      <w:r>
        <w:rPr>
          <w:rFonts w:hint="eastAsia" w:ascii="宋体" w:hAnsi="宋体" w:eastAsia="宋体" w:cs="宋体"/>
          <w:bCs/>
          <w:color w:val="auto"/>
          <w:sz w:val="21"/>
          <w:szCs w:val="21"/>
          <w:highlight w:val="none"/>
        </w:rPr>
        <w:t>供应商代表</w:t>
      </w:r>
      <w:r>
        <w:rPr>
          <w:rFonts w:hint="eastAsia" w:ascii="宋体" w:hAnsi="宋体" w:eastAsia="宋体" w:cs="宋体"/>
          <w:color w:val="auto"/>
          <w:sz w:val="21"/>
          <w:szCs w:val="21"/>
          <w:highlight w:val="none"/>
        </w:rPr>
        <w:t>当场查验</w:t>
      </w:r>
      <w:r>
        <w:rPr>
          <w:rFonts w:hint="eastAsia" w:ascii="宋体" w:hAnsi="宋体" w:eastAsia="宋体" w:cs="宋体"/>
          <w:bCs/>
          <w:color w:val="auto"/>
          <w:sz w:val="21"/>
          <w:szCs w:val="21"/>
          <w:highlight w:val="none"/>
        </w:rPr>
        <w:t>响应文件</w:t>
      </w:r>
      <w:r>
        <w:rPr>
          <w:rFonts w:hint="eastAsia" w:ascii="宋体" w:hAnsi="宋体" w:eastAsia="宋体" w:cs="宋体"/>
          <w:color w:val="auto"/>
          <w:sz w:val="21"/>
          <w:szCs w:val="21"/>
          <w:highlight w:val="none"/>
        </w:rPr>
        <w:t>的密封状况，采购人或</w:t>
      </w:r>
      <w:r>
        <w:rPr>
          <w:rFonts w:hint="eastAsia" w:ascii="宋体" w:hAnsi="宋体" w:eastAsia="宋体" w:cs="宋体"/>
          <w:bCs/>
          <w:color w:val="auto"/>
          <w:sz w:val="21"/>
          <w:szCs w:val="21"/>
          <w:highlight w:val="none"/>
        </w:rPr>
        <w:t>采购代理机构</w:t>
      </w:r>
      <w:r>
        <w:rPr>
          <w:rFonts w:hint="eastAsia" w:ascii="宋体" w:hAnsi="宋体" w:eastAsia="宋体" w:cs="宋体"/>
          <w:color w:val="auto"/>
          <w:sz w:val="21"/>
          <w:szCs w:val="21"/>
          <w:highlight w:val="none"/>
        </w:rPr>
        <w:t>不当场拆封</w:t>
      </w:r>
      <w:r>
        <w:rPr>
          <w:rFonts w:hint="eastAsia" w:ascii="宋体" w:hAnsi="宋体" w:eastAsia="宋体" w:cs="宋体"/>
          <w:bCs/>
          <w:color w:val="auto"/>
          <w:sz w:val="21"/>
          <w:szCs w:val="21"/>
          <w:highlight w:val="none"/>
        </w:rPr>
        <w:t>响应文件</w:t>
      </w:r>
      <w:r>
        <w:rPr>
          <w:rFonts w:hint="eastAsia" w:ascii="宋体" w:hAnsi="宋体" w:eastAsia="宋体" w:cs="宋体"/>
          <w:color w:val="auto"/>
          <w:sz w:val="21"/>
          <w:szCs w:val="21"/>
          <w:highlight w:val="none"/>
        </w:rPr>
        <w:t>。</w:t>
      </w:r>
    </w:p>
    <w:p w14:paraId="1B05E806">
      <w:pPr>
        <w:keepNext w:val="0"/>
        <w:keepLines w:val="0"/>
        <w:pageBreakBefore w:val="0"/>
        <w:kinsoku/>
        <w:wordWrap/>
        <w:overflowPunct/>
        <w:topLinePunct w:val="0"/>
        <w:autoSpaceDE/>
        <w:bidi w:val="0"/>
        <w:adjustRightInd/>
        <w:snapToGrid/>
        <w:spacing w:line="360" w:lineRule="auto"/>
        <w:ind w:left="0" w:right="0" w:rightChars="0" w:hanging="632" w:hangingChars="3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五、响应文件的</w:t>
      </w:r>
      <w:r>
        <w:rPr>
          <w:rFonts w:hint="eastAsia" w:ascii="宋体" w:hAnsi="宋体" w:eastAsia="宋体" w:cs="宋体"/>
          <w:b/>
          <w:color w:val="auto"/>
          <w:sz w:val="21"/>
          <w:szCs w:val="21"/>
          <w:highlight w:val="none"/>
        </w:rPr>
        <w:t>评审与磋商</w:t>
      </w:r>
    </w:p>
    <w:p w14:paraId="40D953DC">
      <w:pPr>
        <w:keepNext w:val="0"/>
        <w:keepLines w:val="0"/>
        <w:pageBreakBefore w:val="0"/>
        <w:tabs>
          <w:tab w:val="left" w:pos="0"/>
        </w:tabs>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bookmarkStart w:id="45" w:name="_Toc27723"/>
      <w:r>
        <w:rPr>
          <w:rFonts w:hint="eastAsia" w:ascii="宋体" w:hAnsi="宋体" w:eastAsia="宋体" w:cs="宋体"/>
          <w:b/>
          <w:color w:val="auto"/>
          <w:sz w:val="21"/>
          <w:szCs w:val="21"/>
          <w:highlight w:val="none"/>
        </w:rPr>
        <w:t>23.供应商资格审查</w:t>
      </w:r>
      <w:bookmarkEnd w:id="45"/>
    </w:p>
    <w:p w14:paraId="6FC8027D">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23.1供应商有本章第16.1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情形的，磋商</w:t>
      </w:r>
      <w:r>
        <w:rPr>
          <w:rFonts w:hint="eastAsia" w:ascii="宋体" w:hAnsi="宋体" w:eastAsia="宋体" w:cs="宋体"/>
          <w:bCs/>
          <w:color w:val="auto"/>
          <w:sz w:val="21"/>
          <w:szCs w:val="21"/>
          <w:highlight w:val="none"/>
        </w:rPr>
        <w:t>小组将</w:t>
      </w:r>
      <w:r>
        <w:rPr>
          <w:rFonts w:hint="eastAsia" w:ascii="宋体" w:hAnsi="宋体" w:eastAsia="宋体" w:cs="宋体"/>
          <w:color w:val="auto"/>
          <w:sz w:val="21"/>
          <w:szCs w:val="21"/>
          <w:highlight w:val="none"/>
        </w:rPr>
        <w:t>根据本章第3.1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规定的供应商资格条件要求，对更新或补充提供的资格证明材料进行审查。不满足资格条件的，视为无效响应。</w:t>
      </w:r>
    </w:p>
    <w:p w14:paraId="0BF4CC03">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sz w:val="21"/>
          <w:szCs w:val="21"/>
          <w:highlight w:val="none"/>
        </w:rPr>
        <w:t>23.2供应商</w:t>
      </w:r>
      <w:r>
        <w:rPr>
          <w:rFonts w:hint="eastAsia" w:ascii="宋体" w:hAnsi="宋体" w:eastAsia="宋体" w:cs="宋体"/>
          <w:color w:val="auto"/>
          <w:kern w:val="0"/>
          <w:sz w:val="21"/>
          <w:szCs w:val="21"/>
          <w:highlight w:val="none"/>
          <w:lang w:val="zh-CN"/>
        </w:rPr>
        <w:t>为联合体的，</w:t>
      </w:r>
      <w:r>
        <w:rPr>
          <w:rFonts w:hint="eastAsia" w:ascii="宋体" w:hAnsi="宋体" w:eastAsia="宋体" w:cs="宋体"/>
          <w:color w:val="auto"/>
          <w:sz w:val="21"/>
          <w:szCs w:val="21"/>
          <w:highlight w:val="none"/>
        </w:rPr>
        <w:t>磋商</w:t>
      </w:r>
      <w:r>
        <w:rPr>
          <w:rFonts w:hint="eastAsia" w:ascii="宋体" w:hAnsi="宋体" w:eastAsia="宋体" w:cs="宋体"/>
          <w:bCs/>
          <w:color w:val="auto"/>
          <w:sz w:val="21"/>
          <w:szCs w:val="21"/>
          <w:highlight w:val="none"/>
        </w:rPr>
        <w:t>小组将</w:t>
      </w:r>
      <w:r>
        <w:rPr>
          <w:rFonts w:hint="eastAsia" w:ascii="宋体" w:hAnsi="宋体" w:eastAsia="宋体" w:cs="宋体"/>
          <w:color w:val="auto"/>
          <w:sz w:val="21"/>
          <w:szCs w:val="21"/>
          <w:highlight w:val="none"/>
        </w:rPr>
        <w:t>根据本章第6.2</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的规定对联合体各方资格文件、联合体协议进行审查，不满足资格条件的，视为无效响应。</w:t>
      </w:r>
    </w:p>
    <w:p w14:paraId="42C9E955">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23.3除本章第16.1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第16.2</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情形外，磋商小组不再对供应商进行资格审查。</w:t>
      </w:r>
    </w:p>
    <w:p w14:paraId="07A704DB">
      <w:pPr>
        <w:keepNext w:val="0"/>
        <w:keepLines w:val="0"/>
        <w:pageBreakBefore w:val="0"/>
        <w:tabs>
          <w:tab w:val="left" w:pos="0"/>
        </w:tabs>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46" w:name="_Toc19764"/>
      <w:r>
        <w:rPr>
          <w:rFonts w:hint="eastAsia" w:ascii="宋体" w:hAnsi="宋体" w:eastAsia="宋体" w:cs="宋体"/>
          <w:b/>
          <w:bCs/>
          <w:color w:val="auto"/>
          <w:sz w:val="21"/>
          <w:szCs w:val="21"/>
          <w:highlight w:val="none"/>
        </w:rPr>
        <w:t>24.磋商程序</w:t>
      </w:r>
      <w:bookmarkEnd w:id="46"/>
    </w:p>
    <w:p w14:paraId="333F6908">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24.1磋商程序：初步审查、磋商（包括澄清、符合性评审查）、</w:t>
      </w:r>
      <w:r>
        <w:rPr>
          <w:rFonts w:hint="eastAsia" w:ascii="宋体" w:hAnsi="宋体" w:eastAsia="宋体" w:cs="宋体"/>
          <w:bCs/>
          <w:color w:val="auto"/>
          <w:sz w:val="21"/>
          <w:szCs w:val="21"/>
          <w:highlight w:val="none"/>
        </w:rPr>
        <w:t>提出成交供应商。其中，</w:t>
      </w:r>
      <w:r>
        <w:rPr>
          <w:rFonts w:hint="eastAsia" w:ascii="宋体" w:hAnsi="宋体" w:eastAsia="宋体" w:cs="宋体"/>
          <w:color w:val="auto"/>
          <w:kern w:val="0"/>
          <w:sz w:val="21"/>
          <w:szCs w:val="21"/>
          <w:highlight w:val="none"/>
        </w:rPr>
        <w:t>磋商按</w:t>
      </w:r>
      <w:r>
        <w:rPr>
          <w:rFonts w:hint="eastAsia" w:ascii="宋体" w:hAnsi="宋体" w:eastAsia="宋体" w:cs="宋体"/>
          <w:color w:val="auto"/>
          <w:sz w:val="21"/>
          <w:szCs w:val="21"/>
          <w:highlight w:val="none"/>
        </w:rPr>
        <w:t>本章第29.1</w:t>
      </w:r>
      <w:r>
        <w:rPr>
          <w:rFonts w:hint="eastAsia" w:ascii="宋体" w:hAnsi="宋体" w:eastAsia="宋体" w:cs="宋体"/>
          <w:color w:val="auto"/>
          <w:kern w:val="0"/>
          <w:sz w:val="21"/>
          <w:szCs w:val="21"/>
          <w:highlight w:val="none"/>
          <w:lang w:val="zh-CN"/>
        </w:rPr>
        <w:t>款或者</w:t>
      </w:r>
      <w:r>
        <w:rPr>
          <w:rFonts w:hint="eastAsia" w:ascii="宋体" w:hAnsi="宋体" w:eastAsia="宋体" w:cs="宋体"/>
          <w:color w:val="auto"/>
          <w:sz w:val="21"/>
          <w:szCs w:val="21"/>
          <w:highlight w:val="none"/>
        </w:rPr>
        <w:t>第29.2</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情形</w:t>
      </w:r>
      <w:r>
        <w:rPr>
          <w:rFonts w:hint="eastAsia" w:ascii="宋体" w:hAnsi="宋体" w:eastAsia="宋体" w:cs="宋体"/>
          <w:bCs/>
          <w:color w:val="auto"/>
          <w:sz w:val="21"/>
          <w:szCs w:val="21"/>
          <w:highlight w:val="none"/>
        </w:rPr>
        <w:t>进行。</w:t>
      </w:r>
    </w:p>
    <w:p w14:paraId="31256D99">
      <w:pPr>
        <w:keepNext w:val="0"/>
        <w:keepLines w:val="0"/>
        <w:pageBreakBefore w:val="0"/>
        <w:widowControl/>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kern w:val="0"/>
          <w:sz w:val="21"/>
          <w:szCs w:val="21"/>
          <w:highlight w:val="none"/>
        </w:rPr>
      </w:pPr>
      <w:bookmarkStart w:id="47" w:name="_Toc20016"/>
      <w:r>
        <w:rPr>
          <w:rFonts w:hint="eastAsia" w:ascii="宋体" w:hAnsi="宋体" w:eastAsia="宋体" w:cs="宋体"/>
          <w:b/>
          <w:color w:val="auto"/>
          <w:kern w:val="0"/>
          <w:sz w:val="21"/>
          <w:szCs w:val="21"/>
          <w:highlight w:val="none"/>
        </w:rPr>
        <w:t>25.初步审查</w:t>
      </w:r>
      <w:bookmarkEnd w:id="47"/>
    </w:p>
    <w:p w14:paraId="35302BB5">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25.1磋商小组应当对供应商提交的首次响应文件进行初步审查。</w:t>
      </w:r>
      <w:r>
        <w:rPr>
          <w:rFonts w:hint="eastAsia" w:ascii="宋体" w:hAnsi="宋体" w:eastAsia="宋体" w:cs="宋体"/>
          <w:bCs/>
          <w:color w:val="auto"/>
          <w:sz w:val="21"/>
          <w:szCs w:val="21"/>
          <w:highlight w:val="none"/>
        </w:rPr>
        <w:t>响应文件有下列情况之一，</w:t>
      </w:r>
      <w:r>
        <w:rPr>
          <w:rFonts w:hint="eastAsia" w:ascii="宋体" w:hAnsi="宋体" w:eastAsia="宋体" w:cs="宋体"/>
          <w:color w:val="auto"/>
          <w:kern w:val="0"/>
          <w:sz w:val="21"/>
          <w:szCs w:val="21"/>
          <w:highlight w:val="none"/>
          <w:lang w:val="zh-CN"/>
        </w:rPr>
        <w:t>其响应文件无效，</w:t>
      </w:r>
      <w:r>
        <w:rPr>
          <w:rFonts w:hint="eastAsia" w:ascii="宋体" w:hAnsi="宋体" w:eastAsia="宋体" w:cs="宋体"/>
          <w:color w:val="auto"/>
          <w:kern w:val="0"/>
          <w:sz w:val="21"/>
          <w:szCs w:val="21"/>
          <w:highlight w:val="none"/>
        </w:rPr>
        <w:t>磋商小组应当告知有关供应商。</w:t>
      </w:r>
    </w:p>
    <w:p w14:paraId="37D347EA">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应交未交保证金或金额不足、保函有效期不足、保证金形式或保函出证机构不符合磋商文件要求的；</w:t>
      </w:r>
    </w:p>
    <w:p w14:paraId="786F56DE">
      <w:pPr>
        <w:keepNext w:val="0"/>
        <w:keepLines w:val="0"/>
        <w:pageBreakBefore w:val="0"/>
        <w:tabs>
          <w:tab w:val="left" w:pos="735"/>
          <w:tab w:val="left" w:pos="7560"/>
          <w:tab w:val="left" w:pos="7740"/>
          <w:tab w:val="left" w:pos="792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未按照磋商文件规定要求签署、盖章的；</w:t>
      </w:r>
    </w:p>
    <w:p w14:paraId="19FCC18E">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rPr>
        <w:t>响应</w:t>
      </w:r>
      <w:r>
        <w:rPr>
          <w:rFonts w:hint="eastAsia" w:ascii="宋体" w:hAnsi="宋体" w:eastAsia="宋体" w:cs="宋体"/>
          <w:color w:val="auto"/>
          <w:kern w:val="0"/>
          <w:sz w:val="21"/>
          <w:szCs w:val="21"/>
          <w:highlight w:val="none"/>
        </w:rPr>
        <w:t>文件有效期不足的；</w:t>
      </w:r>
    </w:p>
    <w:p w14:paraId="4682B8FB">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（4）不符合法律、规章、规范性文件和磋商文件规定的。</w:t>
      </w:r>
    </w:p>
    <w:p w14:paraId="5771ED25">
      <w:pPr>
        <w:pStyle w:val="10"/>
        <w:keepNext w:val="0"/>
        <w:keepLines w:val="0"/>
        <w:pageBreakBefore w:val="0"/>
        <w:tabs>
          <w:tab w:val="center" w:pos="4422"/>
        </w:tabs>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bookmarkStart w:id="48" w:name="_Toc5699"/>
      <w:r>
        <w:rPr>
          <w:rFonts w:hint="eastAsia" w:ascii="宋体" w:hAnsi="宋体" w:eastAsia="宋体" w:cs="宋体"/>
          <w:b/>
          <w:color w:val="auto"/>
          <w:sz w:val="21"/>
          <w:szCs w:val="21"/>
          <w:highlight w:val="none"/>
        </w:rPr>
        <w:t>26. 偏离</w:t>
      </w:r>
      <w:bookmarkEnd w:id="48"/>
    </w:p>
    <w:p w14:paraId="4A3233F1">
      <w:pPr>
        <w:pStyle w:val="16"/>
        <w:keepNext w:val="0"/>
        <w:keepLines w:val="0"/>
        <w:pageBreakBefore w:val="0"/>
        <w:kinsoku/>
        <w:wordWrap/>
        <w:overflowPunct/>
        <w:topLinePunct w:val="0"/>
        <w:autoSpaceDE/>
        <w:bidi w:val="0"/>
        <w:adjustRightInd/>
        <w:snapToGrid/>
        <w:spacing w:before="0" w:beforeAutospacing="0" w:after="0" w:afterAutospacing="0" w:line="360" w:lineRule="auto"/>
        <w:ind w:left="0"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26.1本条所称</w:t>
      </w:r>
      <w:r>
        <w:rPr>
          <w:rFonts w:hint="eastAsia" w:ascii="宋体" w:hAnsi="宋体" w:eastAsia="宋体" w:cs="宋体"/>
          <w:color w:val="auto"/>
          <w:sz w:val="21"/>
          <w:szCs w:val="21"/>
          <w:highlight w:val="none"/>
        </w:rPr>
        <w:t>偏离为</w:t>
      </w:r>
      <w:r>
        <w:rPr>
          <w:rFonts w:hint="eastAsia" w:ascii="宋体" w:hAnsi="宋体" w:eastAsia="宋体" w:cs="宋体"/>
          <w:bCs/>
          <w:color w:val="auto"/>
          <w:sz w:val="21"/>
          <w:szCs w:val="21"/>
          <w:highlight w:val="none"/>
        </w:rPr>
        <w:t>响应文件</w:t>
      </w:r>
      <w:r>
        <w:rPr>
          <w:rFonts w:hint="eastAsia" w:ascii="宋体" w:hAnsi="宋体" w:eastAsia="宋体" w:cs="宋体"/>
          <w:color w:val="auto"/>
          <w:sz w:val="21"/>
          <w:szCs w:val="21"/>
          <w:highlight w:val="none"/>
        </w:rPr>
        <w:t>对磋商文件的偏离，即不满足、或不响应磋商文件的要求。偏离分为对磋商文件的实质性要求条款偏离和对磋商文件的一般商务</w:t>
      </w:r>
      <w:r>
        <w:rPr>
          <w:rFonts w:hint="eastAsia" w:ascii="宋体" w:hAnsi="宋体" w:eastAsia="宋体" w:cs="宋体"/>
          <w:color w:val="auto"/>
          <w:spacing w:val="4"/>
          <w:sz w:val="21"/>
          <w:szCs w:val="21"/>
          <w:highlight w:val="none"/>
        </w:rPr>
        <w:t>和</w:t>
      </w:r>
      <w:r>
        <w:rPr>
          <w:rFonts w:hint="eastAsia" w:ascii="宋体" w:hAnsi="宋体" w:eastAsia="宋体" w:cs="宋体"/>
          <w:color w:val="auto"/>
          <w:sz w:val="21"/>
          <w:szCs w:val="21"/>
          <w:highlight w:val="none"/>
        </w:rPr>
        <w:t>技术条款（参数）偏离。</w:t>
      </w:r>
    </w:p>
    <w:p w14:paraId="7FCBEBEC">
      <w:pPr>
        <w:keepNext w:val="0"/>
        <w:keepLines w:val="0"/>
        <w:pageBreakBefore w:val="0"/>
        <w:tabs>
          <w:tab w:val="left" w:pos="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26.2除法律、法规和规章规定外，</w:t>
      </w:r>
      <w:r>
        <w:rPr>
          <w:rFonts w:hint="eastAsia" w:ascii="宋体" w:hAnsi="宋体" w:eastAsia="宋体" w:cs="宋体"/>
          <w:color w:val="auto"/>
          <w:sz w:val="21"/>
          <w:szCs w:val="21"/>
          <w:highlight w:val="none"/>
        </w:rPr>
        <w:t>磋商文件中用“拒绝”、“不接受”、“无效”、“不得”等文字规定或标注“★”符号的条款为实质性要求条款（即重要条款），对其中任何一条的偏离，在磋商时将其视为无效响应文件。未用上述文字规定或符号标注的条款为非实质性要求条款(即一般条款)。</w:t>
      </w:r>
    </w:p>
    <w:p w14:paraId="3C496F4C">
      <w:pPr>
        <w:keepNext w:val="0"/>
        <w:keepLines w:val="0"/>
        <w:pageBreakBefore w:val="0"/>
        <w:tabs>
          <w:tab w:val="left" w:pos="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26.3 “</w:t>
      </w:r>
      <w:r>
        <w:rPr>
          <w:rFonts w:hint="eastAsia" w:ascii="宋体" w:hAnsi="宋体" w:cs="宋体"/>
          <w:b/>
          <w:bCs/>
          <w:color w:val="auto"/>
          <w:sz w:val="21"/>
          <w:szCs w:val="21"/>
          <w:highlight w:val="none"/>
          <w:lang w:eastAsia="zh-CN"/>
        </w:rPr>
        <w:t>磋商须知前附表</w:t>
      </w:r>
      <w:r>
        <w:rPr>
          <w:rFonts w:hint="eastAsia" w:ascii="宋体" w:hAnsi="宋体" w:eastAsia="宋体" w:cs="宋体"/>
          <w:color w:val="auto"/>
          <w:sz w:val="21"/>
          <w:szCs w:val="21"/>
          <w:highlight w:val="none"/>
        </w:rPr>
        <w:t>”中和 “技术规格、参数及要求”中的一般商务</w:t>
      </w:r>
      <w:r>
        <w:rPr>
          <w:rFonts w:hint="eastAsia" w:ascii="宋体" w:hAnsi="宋体" w:eastAsia="宋体" w:cs="宋体"/>
          <w:color w:val="auto"/>
          <w:spacing w:val="4"/>
          <w:sz w:val="21"/>
          <w:szCs w:val="21"/>
          <w:highlight w:val="none"/>
        </w:rPr>
        <w:t>和</w:t>
      </w:r>
      <w:r>
        <w:rPr>
          <w:rFonts w:hint="eastAsia" w:ascii="宋体" w:hAnsi="宋体" w:eastAsia="宋体" w:cs="宋体"/>
          <w:color w:val="auto"/>
          <w:sz w:val="21"/>
          <w:szCs w:val="21"/>
          <w:highlight w:val="none"/>
        </w:rPr>
        <w:t>技术条款（参数），在超出允许偏离的条款数（最高项数）时，在磋商时将其视为无效响应文件。前述章节中一般商务</w:t>
      </w:r>
      <w:r>
        <w:rPr>
          <w:rFonts w:hint="eastAsia" w:ascii="宋体" w:hAnsi="宋体" w:eastAsia="宋体" w:cs="宋体"/>
          <w:color w:val="auto"/>
          <w:spacing w:val="4"/>
          <w:sz w:val="21"/>
          <w:szCs w:val="21"/>
          <w:highlight w:val="none"/>
        </w:rPr>
        <w:t>和</w:t>
      </w:r>
      <w:r>
        <w:rPr>
          <w:rFonts w:hint="eastAsia" w:ascii="宋体" w:hAnsi="宋体" w:eastAsia="宋体" w:cs="宋体"/>
          <w:color w:val="auto"/>
          <w:sz w:val="21"/>
          <w:szCs w:val="21"/>
          <w:highlight w:val="none"/>
        </w:rPr>
        <w:t>技术条款允许偏离的最高项数见</w:t>
      </w:r>
      <w:r>
        <w:rPr>
          <w:rFonts w:hint="eastAsia" w:ascii="宋体" w:hAnsi="宋体" w:cs="宋体"/>
          <w:b/>
          <w:color w:val="auto"/>
          <w:sz w:val="21"/>
          <w:szCs w:val="21"/>
          <w:highlight w:val="none"/>
          <w:lang w:eastAsia="zh-CN"/>
        </w:rPr>
        <w:t>磋商须知前附表</w:t>
      </w:r>
      <w:r>
        <w:rPr>
          <w:rFonts w:hint="eastAsia" w:ascii="宋体" w:hAnsi="宋体" w:eastAsia="宋体" w:cs="宋体"/>
          <w:b/>
          <w:color w:val="auto"/>
          <w:sz w:val="21"/>
          <w:szCs w:val="21"/>
          <w:highlight w:val="none"/>
        </w:rPr>
        <w:t>。</w:t>
      </w:r>
    </w:p>
    <w:p w14:paraId="647613F6">
      <w:pPr>
        <w:pStyle w:val="10"/>
        <w:keepNext w:val="0"/>
        <w:keepLines w:val="0"/>
        <w:pageBreakBefore w:val="0"/>
        <w:kinsoku/>
        <w:wordWrap/>
        <w:overflowPunct/>
        <w:topLinePunct w:val="0"/>
        <w:autoSpaceDE/>
        <w:bidi w:val="0"/>
        <w:adjustRightInd/>
        <w:snapToGrid/>
        <w:spacing w:line="360" w:lineRule="auto"/>
        <w:ind w:left="0" w:right="0" w:rightChars="0" w:firstLine="210" w:firstLineChars="1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26.4本章第26.3</w:t>
      </w:r>
      <w:r>
        <w:rPr>
          <w:rFonts w:hint="eastAsia" w:ascii="宋体" w:hAnsi="宋体" w:eastAsia="宋体" w:cs="宋体"/>
          <w:color w:val="auto"/>
          <w:sz w:val="21"/>
          <w:szCs w:val="21"/>
          <w:highlight w:val="none"/>
          <w:lang w:val="zh-CN"/>
        </w:rPr>
        <w:t>款</w:t>
      </w:r>
      <w:r>
        <w:rPr>
          <w:rFonts w:hint="eastAsia" w:ascii="宋体" w:hAnsi="宋体" w:eastAsia="宋体" w:cs="宋体"/>
          <w:color w:val="auto"/>
          <w:sz w:val="21"/>
          <w:szCs w:val="21"/>
          <w:highlight w:val="none"/>
        </w:rPr>
        <w:t>所称条款数（最高项数）的统计方法见</w:t>
      </w:r>
      <w:r>
        <w:rPr>
          <w:rFonts w:hint="eastAsia" w:hAnsi="宋体" w:cs="宋体"/>
          <w:b/>
          <w:color w:val="auto"/>
          <w:sz w:val="21"/>
          <w:szCs w:val="21"/>
          <w:highlight w:val="none"/>
          <w:lang w:eastAsia="zh-CN"/>
        </w:rPr>
        <w:t>磋商须知前附表</w:t>
      </w:r>
      <w:r>
        <w:rPr>
          <w:rFonts w:hint="eastAsia" w:ascii="宋体" w:hAnsi="宋体" w:eastAsia="宋体" w:cs="宋体"/>
          <w:b/>
          <w:color w:val="auto"/>
          <w:sz w:val="21"/>
          <w:szCs w:val="21"/>
          <w:highlight w:val="none"/>
        </w:rPr>
        <w:t>。</w:t>
      </w:r>
    </w:p>
    <w:p w14:paraId="51EAAAC2">
      <w:pPr>
        <w:keepNext w:val="0"/>
        <w:keepLines w:val="0"/>
        <w:pageBreakBefore w:val="0"/>
        <w:widowControl/>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kern w:val="0"/>
          <w:sz w:val="21"/>
          <w:szCs w:val="21"/>
          <w:highlight w:val="none"/>
        </w:rPr>
      </w:pPr>
      <w:bookmarkStart w:id="49" w:name="_Toc31329"/>
      <w:r>
        <w:rPr>
          <w:rFonts w:hint="eastAsia" w:ascii="宋体" w:hAnsi="宋体" w:eastAsia="宋体" w:cs="宋体"/>
          <w:b/>
          <w:color w:val="auto"/>
          <w:kern w:val="0"/>
          <w:sz w:val="21"/>
          <w:szCs w:val="21"/>
          <w:highlight w:val="none"/>
        </w:rPr>
        <w:t>27.澄清</w:t>
      </w:r>
      <w:bookmarkEnd w:id="49"/>
    </w:p>
    <w:p w14:paraId="4A021F31">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27.1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供应商的澄清、说明或者更正不得超出磋商文件的范围或者改变响应文件的实质性内容。</w:t>
      </w:r>
    </w:p>
    <w:p w14:paraId="2E46E6CB">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7A5D2CB3">
      <w:pPr>
        <w:keepNext w:val="0"/>
        <w:keepLines w:val="0"/>
        <w:pageBreakBefore w:val="0"/>
        <w:widowControl/>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kern w:val="0"/>
          <w:sz w:val="21"/>
          <w:szCs w:val="21"/>
          <w:highlight w:val="none"/>
        </w:rPr>
      </w:pPr>
      <w:bookmarkStart w:id="50" w:name="_Toc182"/>
      <w:r>
        <w:rPr>
          <w:rFonts w:hint="eastAsia" w:ascii="宋体" w:hAnsi="宋体" w:eastAsia="宋体" w:cs="宋体"/>
          <w:b/>
          <w:color w:val="auto"/>
          <w:kern w:val="0"/>
          <w:sz w:val="21"/>
          <w:szCs w:val="21"/>
          <w:highlight w:val="none"/>
        </w:rPr>
        <w:t>28.符合性审查</w:t>
      </w:r>
      <w:bookmarkEnd w:id="50"/>
    </w:p>
    <w:p w14:paraId="43E564D8">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28.1对响应文件(包括首次</w:t>
      </w:r>
      <w:r>
        <w:rPr>
          <w:rFonts w:hint="eastAsia" w:ascii="宋体" w:hAnsi="宋体" w:eastAsia="宋体" w:cs="宋体"/>
          <w:color w:val="auto"/>
          <w:sz w:val="21"/>
          <w:szCs w:val="21"/>
          <w:highlight w:val="none"/>
        </w:rPr>
        <w:t>提交的</w:t>
      </w:r>
      <w:r>
        <w:rPr>
          <w:rFonts w:hint="eastAsia" w:ascii="宋体" w:hAnsi="宋体" w:eastAsia="宋体" w:cs="宋体"/>
          <w:color w:val="auto"/>
          <w:kern w:val="0"/>
          <w:sz w:val="21"/>
          <w:szCs w:val="21"/>
          <w:highlight w:val="none"/>
        </w:rPr>
        <w:t>响应文件、重新提交的响应文件)的符合性审查。磋商小组应当对响应文件进行符合性审查，供应商响应文件有下列情况之一，其响应文件无效（供应商不参加磋商），磋商小组应当告知有关供应商：</w:t>
      </w:r>
    </w:p>
    <w:p w14:paraId="66909FCF">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（1）不满足本章第26.1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kern w:val="0"/>
          <w:sz w:val="21"/>
          <w:szCs w:val="21"/>
          <w:highlight w:val="none"/>
        </w:rPr>
        <w:t>规定的实质性要求的；</w:t>
      </w:r>
    </w:p>
    <w:p w14:paraId="28B3FCCD">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（2）不符合法律、规章、规范性文件和磋商文件规定的。</w:t>
      </w:r>
    </w:p>
    <w:p w14:paraId="3E0F3D6F">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28.2</w:t>
      </w:r>
      <w:r>
        <w:rPr>
          <w:rFonts w:hint="eastAsia" w:ascii="宋体" w:hAnsi="宋体" w:eastAsia="宋体" w:cs="宋体"/>
          <w:color w:val="auto"/>
          <w:kern w:val="0"/>
          <w:sz w:val="21"/>
          <w:szCs w:val="21"/>
          <w:highlight w:val="none"/>
        </w:rPr>
        <w:t>符合性审查结束后</w:t>
      </w: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rPr>
        <w:t>磋商小组所有成员集中与单一供应商分别进行磋商，并给予所有参加磋商的供应商平等的磋商机会。供应商应派其法定代表人或委托代理人参加磋商。</w:t>
      </w:r>
    </w:p>
    <w:p w14:paraId="6BE0A183">
      <w:pPr>
        <w:keepNext w:val="0"/>
        <w:keepLines w:val="0"/>
        <w:pageBreakBefore w:val="0"/>
        <w:widowControl/>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kern w:val="0"/>
          <w:sz w:val="21"/>
          <w:szCs w:val="21"/>
          <w:highlight w:val="none"/>
        </w:rPr>
      </w:pPr>
      <w:bookmarkStart w:id="51" w:name="_Toc24222"/>
      <w:r>
        <w:rPr>
          <w:rFonts w:hint="eastAsia" w:ascii="宋体" w:hAnsi="宋体" w:eastAsia="宋体" w:cs="宋体"/>
          <w:b/>
          <w:color w:val="auto"/>
          <w:kern w:val="0"/>
          <w:sz w:val="21"/>
          <w:szCs w:val="21"/>
          <w:highlight w:val="none"/>
        </w:rPr>
        <w:t>29.磋商</w:t>
      </w:r>
      <w:bookmarkEnd w:id="51"/>
    </w:p>
    <w:p w14:paraId="0C4CA4F6">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rPr>
        <w:t>29.1对于</w:t>
      </w:r>
      <w:r>
        <w:rPr>
          <w:rFonts w:hint="eastAsia" w:ascii="宋体" w:hAnsi="宋体" w:eastAsia="宋体" w:cs="宋体"/>
          <w:color w:val="auto"/>
          <w:sz w:val="21"/>
          <w:szCs w:val="21"/>
          <w:highlight w:val="none"/>
        </w:rPr>
        <w:t>本章第10.3项</w:t>
      </w:r>
      <w:r>
        <w:rPr>
          <w:rFonts w:hint="eastAsia" w:ascii="宋体" w:hAnsi="宋体" w:eastAsia="宋体" w:cs="宋体"/>
          <w:color w:val="auto"/>
          <w:kern w:val="0"/>
          <w:sz w:val="21"/>
          <w:szCs w:val="21"/>
          <w:highlight w:val="none"/>
        </w:rPr>
        <w:t>未明确磋商文件实质性变动内容，或者磋商文件明确了可能发生实质性变动内容，但在磋商过程中，</w:t>
      </w:r>
      <w:r>
        <w:rPr>
          <w:rFonts w:hint="eastAsia" w:ascii="宋体" w:hAnsi="宋体" w:eastAsia="宋体" w:cs="宋体"/>
          <w:bCs/>
          <w:color w:val="auto"/>
          <w:sz w:val="21"/>
          <w:szCs w:val="21"/>
          <w:highlight w:val="none"/>
        </w:rPr>
        <w:t>磋商小组</w:t>
      </w:r>
      <w:r>
        <w:rPr>
          <w:rFonts w:hint="eastAsia" w:ascii="宋体" w:hAnsi="宋体" w:eastAsia="宋体" w:cs="宋体"/>
          <w:color w:val="auto"/>
          <w:kern w:val="0"/>
          <w:sz w:val="21"/>
          <w:szCs w:val="21"/>
          <w:highlight w:val="none"/>
        </w:rPr>
        <w:t>根据磋商情况</w:t>
      </w:r>
      <w:r>
        <w:rPr>
          <w:rFonts w:hint="eastAsia" w:ascii="宋体" w:hAnsi="宋体" w:eastAsia="宋体" w:cs="宋体"/>
          <w:bCs/>
          <w:color w:val="auto"/>
          <w:sz w:val="21"/>
          <w:szCs w:val="21"/>
          <w:highlight w:val="none"/>
        </w:rPr>
        <w:t>认为</w:t>
      </w:r>
      <w:r>
        <w:rPr>
          <w:rFonts w:hint="eastAsia" w:ascii="宋体" w:hAnsi="宋体" w:eastAsia="宋体" w:cs="宋体"/>
          <w:color w:val="auto"/>
          <w:kern w:val="0"/>
          <w:sz w:val="21"/>
          <w:szCs w:val="21"/>
          <w:highlight w:val="none"/>
        </w:rPr>
        <w:t>磋商文件无需发生实质性变动的，磋商小组应当</w:t>
      </w:r>
      <w:r>
        <w:rPr>
          <w:rFonts w:hint="eastAsia" w:ascii="宋体" w:hAnsi="宋体" w:eastAsia="宋体" w:cs="宋体"/>
          <w:color w:val="auto"/>
          <w:sz w:val="21"/>
          <w:szCs w:val="21"/>
          <w:highlight w:val="none"/>
        </w:rPr>
        <w:t>根据本章第28.1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对供应商提交的首次响应文件进行符合性审查，直接与实质性响应磋商文件要求的供应商就价格组织多轮磋商。</w:t>
      </w:r>
    </w:p>
    <w:p w14:paraId="61EB5B26">
      <w:pPr>
        <w:keepNext w:val="0"/>
        <w:keepLines w:val="0"/>
        <w:pageBreakBefore w:val="0"/>
        <w:widowControl/>
        <w:tabs>
          <w:tab w:val="left" w:pos="1080"/>
          <w:tab w:val="left" w:pos="1260"/>
        </w:tabs>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（1）磋商结束后，磋商小组应当要求所有继续参加磋商的供应商在磋商小组规定时间内提交最后报价。</w:t>
      </w:r>
    </w:p>
    <w:p w14:paraId="48C8DD97">
      <w:pPr>
        <w:keepNext w:val="0"/>
        <w:keepLines w:val="0"/>
        <w:pageBreakBefore w:val="0"/>
        <w:widowControl/>
        <w:tabs>
          <w:tab w:val="left" w:pos="1080"/>
          <w:tab w:val="left" w:pos="1260"/>
        </w:tabs>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（2）磋商文件明确可能发生实质性变动，但在磋商过程中</w:t>
      </w:r>
      <w:r>
        <w:rPr>
          <w:rFonts w:hint="eastAsia" w:ascii="宋体" w:hAnsi="宋体" w:eastAsia="宋体" w:cs="宋体"/>
          <w:bCs/>
          <w:color w:val="auto"/>
          <w:sz w:val="21"/>
          <w:szCs w:val="21"/>
          <w:highlight w:val="none"/>
        </w:rPr>
        <w:t>磋商小组</w:t>
      </w:r>
      <w:r>
        <w:rPr>
          <w:rFonts w:hint="eastAsia" w:ascii="宋体" w:hAnsi="宋体" w:eastAsia="宋体" w:cs="宋体"/>
          <w:color w:val="auto"/>
          <w:kern w:val="0"/>
          <w:sz w:val="21"/>
          <w:szCs w:val="21"/>
          <w:highlight w:val="none"/>
        </w:rPr>
        <w:t>根据磋商情况</w:t>
      </w:r>
      <w:r>
        <w:rPr>
          <w:rFonts w:hint="eastAsia" w:ascii="宋体" w:hAnsi="宋体" w:eastAsia="宋体" w:cs="宋体"/>
          <w:bCs/>
          <w:color w:val="auto"/>
          <w:sz w:val="21"/>
          <w:szCs w:val="21"/>
          <w:highlight w:val="none"/>
        </w:rPr>
        <w:t>认为</w:t>
      </w:r>
      <w:r>
        <w:rPr>
          <w:rFonts w:hint="eastAsia" w:ascii="宋体" w:hAnsi="宋体" w:eastAsia="宋体" w:cs="宋体"/>
          <w:color w:val="auto"/>
          <w:kern w:val="0"/>
          <w:sz w:val="21"/>
          <w:szCs w:val="21"/>
          <w:highlight w:val="none"/>
        </w:rPr>
        <w:t>磋商文件无需发生实质性变动的，磋商小组不另行通知。</w:t>
      </w:r>
    </w:p>
    <w:p w14:paraId="6019EF4D">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29.2对于</w:t>
      </w:r>
      <w:r>
        <w:rPr>
          <w:rFonts w:hint="eastAsia" w:ascii="宋体" w:hAnsi="宋体" w:eastAsia="宋体" w:cs="宋体"/>
          <w:color w:val="auto"/>
          <w:sz w:val="21"/>
          <w:szCs w:val="21"/>
          <w:highlight w:val="none"/>
        </w:rPr>
        <w:t>本章第10.3</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kern w:val="0"/>
          <w:sz w:val="21"/>
          <w:szCs w:val="21"/>
          <w:highlight w:val="none"/>
        </w:rPr>
        <w:t>明确磋商文件实质性变动内容，且在磋商过程中磋商文件实质性内容发生变动的，</w:t>
      </w:r>
      <w:r>
        <w:rPr>
          <w:rFonts w:hint="eastAsia" w:ascii="宋体" w:hAnsi="宋体" w:eastAsia="宋体" w:cs="宋体"/>
          <w:bCs/>
          <w:color w:val="auto"/>
          <w:sz w:val="21"/>
          <w:szCs w:val="21"/>
          <w:highlight w:val="none"/>
        </w:rPr>
        <w:t>磋商小组</w:t>
      </w:r>
      <w:r>
        <w:rPr>
          <w:rFonts w:hint="eastAsia" w:ascii="宋体" w:hAnsi="宋体" w:eastAsia="宋体" w:cs="宋体"/>
          <w:color w:val="auto"/>
          <w:kern w:val="0"/>
          <w:sz w:val="21"/>
          <w:szCs w:val="21"/>
          <w:highlight w:val="none"/>
        </w:rPr>
        <w:t>可以组织多轮磋商。</w:t>
      </w:r>
      <w:r>
        <w:rPr>
          <w:rFonts w:hint="eastAsia" w:ascii="宋体" w:hAnsi="宋体" w:eastAsia="宋体" w:cs="宋体"/>
          <w:bCs/>
          <w:color w:val="auto"/>
          <w:sz w:val="21"/>
          <w:szCs w:val="21"/>
          <w:highlight w:val="none"/>
        </w:rPr>
        <w:t>在每一轮磋商中，磋商小组</w:t>
      </w:r>
      <w:r>
        <w:rPr>
          <w:rFonts w:hint="eastAsia" w:ascii="宋体" w:hAnsi="宋体" w:eastAsia="宋体" w:cs="宋体"/>
          <w:color w:val="auto"/>
          <w:kern w:val="0"/>
          <w:sz w:val="21"/>
          <w:szCs w:val="21"/>
          <w:highlight w:val="none"/>
        </w:rPr>
        <w:t>可以根据磋商文件规定和磋商情况，</w:t>
      </w:r>
      <w:r>
        <w:rPr>
          <w:rFonts w:hint="eastAsia" w:ascii="宋体" w:hAnsi="宋体" w:eastAsia="宋体" w:cs="宋体"/>
          <w:bCs/>
          <w:color w:val="auto"/>
          <w:sz w:val="21"/>
          <w:szCs w:val="21"/>
          <w:highlight w:val="none"/>
        </w:rPr>
        <w:t>对磋商文件的</w:t>
      </w:r>
      <w:r>
        <w:rPr>
          <w:rFonts w:hint="eastAsia" w:ascii="宋体" w:hAnsi="宋体" w:eastAsia="宋体" w:cs="宋体"/>
          <w:color w:val="auto"/>
          <w:kern w:val="0"/>
          <w:sz w:val="21"/>
          <w:szCs w:val="21"/>
          <w:highlight w:val="none"/>
        </w:rPr>
        <w:t>采购需求中的技术、服务要求以及合同草案条款</w:t>
      </w:r>
      <w:r>
        <w:rPr>
          <w:rFonts w:hint="eastAsia" w:ascii="宋体" w:hAnsi="宋体" w:eastAsia="宋体" w:cs="宋体"/>
          <w:bCs/>
          <w:color w:val="auto"/>
          <w:sz w:val="21"/>
          <w:szCs w:val="21"/>
          <w:highlight w:val="none"/>
        </w:rPr>
        <w:t>作实质性变动(磋商文件的实质性变动内容为磋商文件的组成部分)，并以书面形式要求</w:t>
      </w:r>
      <w:r>
        <w:rPr>
          <w:rFonts w:hint="eastAsia" w:ascii="宋体" w:hAnsi="宋体" w:eastAsia="宋体" w:cs="宋体"/>
          <w:color w:val="auto"/>
          <w:kern w:val="0"/>
          <w:sz w:val="21"/>
          <w:szCs w:val="21"/>
          <w:highlight w:val="none"/>
        </w:rPr>
        <w:t>符合性审查合格</w:t>
      </w:r>
      <w:r>
        <w:rPr>
          <w:rFonts w:hint="eastAsia" w:ascii="宋体" w:hAnsi="宋体" w:eastAsia="宋体" w:cs="宋体"/>
          <w:bCs/>
          <w:color w:val="auto"/>
          <w:sz w:val="21"/>
          <w:szCs w:val="21"/>
          <w:highlight w:val="none"/>
        </w:rPr>
        <w:t>的供应商，在规定的</w:t>
      </w:r>
      <w:r>
        <w:rPr>
          <w:rFonts w:hint="eastAsia" w:ascii="宋体" w:hAnsi="宋体" w:eastAsia="宋体" w:cs="宋体"/>
          <w:color w:val="auto"/>
          <w:kern w:val="0"/>
          <w:sz w:val="21"/>
          <w:szCs w:val="21"/>
          <w:highlight w:val="none"/>
        </w:rPr>
        <w:t>截止时间前</w:t>
      </w:r>
      <w:r>
        <w:rPr>
          <w:rFonts w:hint="eastAsia" w:ascii="宋体" w:hAnsi="宋体" w:eastAsia="宋体" w:cs="宋体"/>
          <w:bCs/>
          <w:color w:val="auto"/>
          <w:sz w:val="21"/>
          <w:szCs w:val="21"/>
          <w:highlight w:val="none"/>
        </w:rPr>
        <w:t>重</w:t>
      </w:r>
      <w:r>
        <w:rPr>
          <w:rFonts w:hint="eastAsia" w:ascii="宋体" w:hAnsi="宋体" w:eastAsia="宋体" w:cs="宋体"/>
          <w:color w:val="auto"/>
          <w:kern w:val="0"/>
          <w:sz w:val="21"/>
          <w:szCs w:val="21"/>
          <w:highlight w:val="none"/>
        </w:rPr>
        <w:t>新提交响应文件</w:t>
      </w: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rPr>
        <w:t>磋商小组应当</w:t>
      </w:r>
      <w:r>
        <w:rPr>
          <w:rFonts w:hint="eastAsia" w:ascii="宋体" w:hAnsi="宋体" w:eastAsia="宋体" w:cs="宋体"/>
          <w:color w:val="auto"/>
          <w:sz w:val="21"/>
          <w:szCs w:val="21"/>
          <w:highlight w:val="none"/>
        </w:rPr>
        <w:t>根据本章第28.1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对供应商重新提交的响应文件进行符合性审查。供应商重新提交的响应文件未通过符合性审查的，不得进入下一轮磋商，也不得要求提交最后报价。</w:t>
      </w:r>
    </w:p>
    <w:p w14:paraId="64AE4002">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（1）磋商文件能够详细列明采购需求的技术、服务要求的，磋商结束后，磋商小组应当要求所有继续参加磋商的供应商在规定时间内提交最后报价。</w:t>
      </w:r>
    </w:p>
    <w:p w14:paraId="0A70BAC4">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04688F6">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29.3</w:t>
      </w:r>
      <w:r>
        <w:rPr>
          <w:rFonts w:hint="eastAsia" w:ascii="宋体" w:hAnsi="宋体" w:eastAsia="宋体" w:cs="宋体"/>
          <w:color w:val="auto"/>
          <w:sz w:val="21"/>
          <w:szCs w:val="21"/>
          <w:highlight w:val="none"/>
        </w:rPr>
        <w:t xml:space="preserve"> </w:t>
      </w:r>
      <w:r>
        <w:rPr>
          <w:rFonts w:hint="eastAsia" w:ascii="宋体" w:hAnsi="宋体" w:eastAsia="宋体" w:cs="宋体"/>
          <w:bCs/>
          <w:color w:val="auto"/>
          <w:sz w:val="21"/>
          <w:szCs w:val="21"/>
          <w:highlight w:val="none"/>
        </w:rPr>
        <w:t>重</w:t>
      </w:r>
      <w:r>
        <w:rPr>
          <w:rFonts w:hint="eastAsia" w:ascii="宋体" w:hAnsi="宋体" w:eastAsia="宋体" w:cs="宋体"/>
          <w:color w:val="auto"/>
          <w:kern w:val="0"/>
          <w:sz w:val="21"/>
          <w:szCs w:val="21"/>
          <w:highlight w:val="none"/>
        </w:rPr>
        <w:t>新提交的响应文件</w:t>
      </w:r>
      <w:r>
        <w:rPr>
          <w:rFonts w:hint="eastAsia" w:ascii="宋体" w:hAnsi="宋体" w:eastAsia="宋体" w:cs="宋体"/>
          <w:color w:val="auto"/>
          <w:sz w:val="21"/>
          <w:szCs w:val="21"/>
          <w:highlight w:val="none"/>
        </w:rPr>
        <w:t>或者最后报价应按</w:t>
      </w:r>
      <w:r>
        <w:rPr>
          <w:rFonts w:hint="eastAsia" w:ascii="宋体" w:hAnsi="宋体" w:eastAsia="宋体" w:cs="宋体"/>
          <w:color w:val="auto"/>
          <w:kern w:val="0"/>
          <w:sz w:val="21"/>
          <w:szCs w:val="21"/>
          <w:highlight w:val="none"/>
        </w:rPr>
        <w:t>本章第</w:t>
      </w:r>
      <w:r>
        <w:rPr>
          <w:rFonts w:hint="eastAsia" w:ascii="宋体" w:hAnsi="宋体" w:eastAsia="宋体" w:cs="宋体"/>
          <w:color w:val="auto"/>
          <w:sz w:val="21"/>
          <w:szCs w:val="21"/>
          <w:highlight w:val="none"/>
        </w:rPr>
        <w:t>19.3</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由其法定代表人或其委托代理人签字或者加盖供应商单位章，在规定时间内密封递交给磋商小组</w:t>
      </w:r>
      <w:r>
        <w:rPr>
          <w:rFonts w:hint="eastAsia" w:ascii="宋体" w:hAnsi="宋体" w:eastAsia="宋体" w:cs="宋体"/>
          <w:bCs/>
          <w:color w:val="auto"/>
          <w:sz w:val="21"/>
          <w:szCs w:val="21"/>
          <w:highlight w:val="none"/>
        </w:rPr>
        <w:t>。</w:t>
      </w:r>
    </w:p>
    <w:p w14:paraId="676FCEAC">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29.4</w:t>
      </w:r>
      <w:r>
        <w:rPr>
          <w:rFonts w:hint="eastAsia" w:ascii="宋体" w:hAnsi="宋体" w:eastAsia="宋体" w:cs="宋体"/>
          <w:color w:val="auto"/>
          <w:kern w:val="0"/>
          <w:sz w:val="21"/>
          <w:szCs w:val="21"/>
          <w:highlight w:val="none"/>
          <w:lang w:val="zh-CN"/>
        </w:rPr>
        <w:t>供应商的</w:t>
      </w:r>
      <w:r>
        <w:rPr>
          <w:rFonts w:hint="eastAsia" w:ascii="宋体" w:hAnsi="宋体" w:eastAsia="宋体" w:cs="宋体"/>
          <w:bCs/>
          <w:color w:val="auto"/>
          <w:sz w:val="21"/>
          <w:szCs w:val="21"/>
          <w:highlight w:val="none"/>
        </w:rPr>
        <w:t>最</w:t>
      </w:r>
      <w:r>
        <w:rPr>
          <w:rFonts w:hint="eastAsia" w:ascii="宋体" w:hAnsi="宋体" w:eastAsia="宋体" w:cs="宋体"/>
          <w:color w:val="auto"/>
          <w:kern w:val="0"/>
          <w:sz w:val="21"/>
          <w:szCs w:val="21"/>
          <w:highlight w:val="none"/>
          <w:lang w:val="zh-CN"/>
        </w:rPr>
        <w:t>后</w:t>
      </w:r>
      <w:r>
        <w:rPr>
          <w:rFonts w:hint="eastAsia" w:ascii="宋体" w:hAnsi="宋体" w:eastAsia="宋体" w:cs="宋体"/>
          <w:bCs/>
          <w:color w:val="auto"/>
          <w:sz w:val="21"/>
          <w:szCs w:val="21"/>
          <w:highlight w:val="none"/>
        </w:rPr>
        <w:t>报价及</w:t>
      </w:r>
      <w:r>
        <w:rPr>
          <w:rFonts w:hint="eastAsia" w:ascii="宋体" w:hAnsi="宋体" w:eastAsia="宋体" w:cs="宋体"/>
          <w:color w:val="auto"/>
          <w:kern w:val="0"/>
          <w:sz w:val="21"/>
          <w:szCs w:val="21"/>
          <w:highlight w:val="none"/>
        </w:rPr>
        <w:t>政府采购政策规定的价格扣除情况，磋商小组应召集所有参加最后报价的供应商当场开封</w:t>
      </w:r>
      <w:r>
        <w:rPr>
          <w:rFonts w:hint="eastAsia" w:ascii="宋体" w:hAnsi="宋体" w:eastAsia="宋体" w:cs="宋体"/>
          <w:bCs/>
          <w:color w:val="auto"/>
          <w:sz w:val="21"/>
          <w:szCs w:val="21"/>
          <w:highlight w:val="none"/>
        </w:rPr>
        <w:t>公布，并由供应商代表签字确认。</w:t>
      </w:r>
    </w:p>
    <w:p w14:paraId="50003EA7">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29.5提交首次响应文件的供应商，在提交最后报价之前，可以根据磋商情况退出磋商，并书面通知采购代理机构或者磋商小组。</w:t>
      </w:r>
      <w:r>
        <w:rPr>
          <w:rFonts w:hint="eastAsia" w:ascii="宋体" w:hAnsi="宋体" w:eastAsia="宋体" w:cs="宋体"/>
          <w:color w:val="auto"/>
          <w:sz w:val="21"/>
          <w:szCs w:val="21"/>
          <w:highlight w:val="none"/>
        </w:rPr>
        <w:t>该通知由供应商法定代表人或其委托代理人签字。</w:t>
      </w:r>
      <w:r>
        <w:rPr>
          <w:rFonts w:hint="eastAsia" w:ascii="宋体" w:hAnsi="宋体" w:eastAsia="宋体" w:cs="宋体"/>
          <w:color w:val="auto"/>
          <w:kern w:val="0"/>
          <w:sz w:val="21"/>
          <w:szCs w:val="21"/>
          <w:highlight w:val="none"/>
        </w:rPr>
        <w:t>采购代理机构按本章第</w:t>
      </w:r>
      <w:r>
        <w:rPr>
          <w:rFonts w:hint="eastAsia" w:ascii="宋体" w:hAnsi="宋体" w:eastAsia="宋体" w:cs="宋体"/>
          <w:color w:val="auto"/>
          <w:sz w:val="21"/>
          <w:szCs w:val="21"/>
          <w:highlight w:val="none"/>
        </w:rPr>
        <w:t>17.4</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退还退出磋商的供应商的保证金。</w:t>
      </w:r>
    </w:p>
    <w:p w14:paraId="24CCBEFB">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29.6</w:t>
      </w:r>
      <w:r>
        <w:rPr>
          <w:rFonts w:hint="eastAsia" w:ascii="宋体" w:hAnsi="宋体" w:eastAsia="宋体" w:cs="宋体"/>
          <w:color w:val="auto"/>
          <w:kern w:val="0"/>
          <w:sz w:val="21"/>
          <w:szCs w:val="21"/>
          <w:highlight w:val="none"/>
        </w:rPr>
        <w:t>提交首次响应文件的供应商，未按磋商文件规定及磋商小组要求提交最后报价(或者</w:t>
      </w:r>
      <w:r>
        <w:rPr>
          <w:rFonts w:hint="eastAsia" w:ascii="宋体" w:hAnsi="宋体" w:eastAsia="宋体" w:cs="宋体"/>
          <w:bCs/>
          <w:color w:val="auto"/>
          <w:sz w:val="21"/>
          <w:szCs w:val="21"/>
          <w:highlight w:val="none"/>
        </w:rPr>
        <w:t>重</w:t>
      </w:r>
      <w:r>
        <w:rPr>
          <w:rFonts w:hint="eastAsia" w:ascii="宋体" w:hAnsi="宋体" w:eastAsia="宋体" w:cs="宋体"/>
          <w:color w:val="auto"/>
          <w:kern w:val="0"/>
          <w:sz w:val="21"/>
          <w:szCs w:val="21"/>
          <w:highlight w:val="none"/>
        </w:rPr>
        <w:t>新提交的响应文件和最后报价)，且又未按本章第</w:t>
      </w:r>
      <w:r>
        <w:rPr>
          <w:rFonts w:hint="eastAsia" w:ascii="宋体" w:hAnsi="宋体" w:eastAsia="宋体" w:cs="宋体"/>
          <w:color w:val="auto"/>
          <w:sz w:val="21"/>
          <w:szCs w:val="21"/>
          <w:highlight w:val="none"/>
        </w:rPr>
        <w:t>29.5</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w:t>
      </w:r>
      <w:r>
        <w:rPr>
          <w:rFonts w:hint="eastAsia" w:ascii="宋体" w:hAnsi="宋体" w:eastAsia="宋体" w:cs="宋体"/>
          <w:color w:val="auto"/>
          <w:kern w:val="0"/>
          <w:sz w:val="21"/>
          <w:szCs w:val="21"/>
          <w:highlight w:val="none"/>
        </w:rPr>
        <w:t>退出磋商的，供应商的保证金不予退还。</w:t>
      </w:r>
    </w:p>
    <w:p w14:paraId="2ED0CE1E">
      <w:pPr>
        <w:keepNext w:val="0"/>
        <w:keepLines w:val="0"/>
        <w:pageBreakBefore w:val="0"/>
        <w:widowControl/>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bCs/>
          <w:color w:val="auto"/>
          <w:sz w:val="21"/>
          <w:szCs w:val="21"/>
          <w:highlight w:val="none"/>
        </w:rPr>
      </w:pPr>
      <w:bookmarkStart w:id="52" w:name="_Toc5983"/>
      <w:r>
        <w:rPr>
          <w:rFonts w:hint="eastAsia" w:ascii="宋体" w:hAnsi="宋体" w:eastAsia="宋体" w:cs="宋体"/>
          <w:color w:val="auto"/>
          <w:kern w:val="0"/>
          <w:sz w:val="21"/>
          <w:szCs w:val="21"/>
          <w:highlight w:val="none"/>
        </w:rPr>
        <w:t>30</w:t>
      </w:r>
      <w:r>
        <w:rPr>
          <w:rFonts w:hint="eastAsia" w:ascii="宋体" w:hAnsi="宋体" w:eastAsia="宋体" w:cs="宋体"/>
          <w:b/>
          <w:color w:val="auto"/>
          <w:kern w:val="0"/>
          <w:sz w:val="21"/>
          <w:szCs w:val="21"/>
          <w:highlight w:val="none"/>
        </w:rPr>
        <w:t>.</w:t>
      </w:r>
      <w:r>
        <w:rPr>
          <w:rFonts w:hint="eastAsia" w:ascii="宋体" w:hAnsi="宋体" w:eastAsia="宋体" w:cs="宋体"/>
          <w:b/>
          <w:bCs/>
          <w:color w:val="auto"/>
          <w:sz w:val="21"/>
          <w:szCs w:val="21"/>
          <w:highlight w:val="none"/>
        </w:rPr>
        <w:t>提出成交供应商</w:t>
      </w:r>
      <w:bookmarkEnd w:id="52"/>
    </w:p>
    <w:p w14:paraId="2F25DF29">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30.1</w:t>
      </w:r>
      <w:r>
        <w:rPr>
          <w:rFonts w:hint="eastAsia" w:ascii="宋体" w:hAnsi="宋体" w:eastAsia="宋体" w:cs="宋体"/>
          <w:color w:val="auto"/>
          <w:kern w:val="0"/>
          <w:sz w:val="21"/>
          <w:szCs w:val="21"/>
          <w:highlight w:val="none"/>
        </w:rPr>
        <w:t>磋商小组应当按照综合评分由高到低的顺序提出3名以上成交候选人，并编写评审报告。</w:t>
      </w:r>
    </w:p>
    <w:p w14:paraId="1740EE8C">
      <w:pPr>
        <w:keepNext w:val="0"/>
        <w:keepLines w:val="0"/>
        <w:pageBreakBefore w:val="0"/>
        <w:tabs>
          <w:tab w:val="left" w:pos="0"/>
        </w:tabs>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53" w:name="_Toc17953"/>
      <w:r>
        <w:rPr>
          <w:rFonts w:hint="eastAsia" w:ascii="宋体" w:hAnsi="宋体" w:eastAsia="宋体" w:cs="宋体"/>
          <w:b/>
          <w:bCs/>
          <w:color w:val="auto"/>
          <w:sz w:val="21"/>
          <w:szCs w:val="21"/>
          <w:highlight w:val="none"/>
        </w:rPr>
        <w:t>31.确定成交供应商</w:t>
      </w:r>
      <w:bookmarkEnd w:id="53"/>
    </w:p>
    <w:p w14:paraId="48F65E6B">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31.1采购代理机构应当在评审结束后2个工作日内将评审报告送采购人确认。</w:t>
      </w:r>
    </w:p>
    <w:p w14:paraId="1FF817A8">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31.2采购人应当在收到评审报告后5个工作日内，从评审报告提出的成交候选人中，根据综合评分得分最高的原则确定成交供应商，也可以书面授权磋商小组直接确定成交供应商。</w:t>
      </w:r>
    </w:p>
    <w:p w14:paraId="625D1F70">
      <w:pPr>
        <w:pStyle w:val="10"/>
        <w:keepNext w:val="0"/>
        <w:keepLines w:val="0"/>
        <w:pageBreakBefore w:val="0"/>
        <w:kinsoku/>
        <w:wordWrap/>
        <w:overflowPunct/>
        <w:topLinePunct w:val="0"/>
        <w:autoSpaceDE/>
        <w:bidi w:val="0"/>
        <w:adjustRightInd/>
        <w:snapToGrid/>
        <w:spacing w:line="360" w:lineRule="auto"/>
        <w:ind w:left="0" w:right="0" w:rightChars="0" w:hanging="632" w:hangingChars="300"/>
        <w:textAlignment w:val="auto"/>
        <w:rPr>
          <w:rFonts w:hint="eastAsia" w:ascii="宋体" w:hAnsi="宋体" w:eastAsia="宋体" w:cs="宋体"/>
          <w:b/>
          <w:color w:val="auto"/>
          <w:sz w:val="21"/>
          <w:szCs w:val="21"/>
          <w:highlight w:val="none"/>
        </w:rPr>
      </w:pPr>
      <w:bookmarkStart w:id="54" w:name="_Toc32127"/>
      <w:r>
        <w:rPr>
          <w:rFonts w:hint="eastAsia" w:ascii="宋体" w:hAnsi="宋体" w:eastAsia="宋体" w:cs="宋体"/>
          <w:b/>
          <w:color w:val="auto"/>
          <w:sz w:val="21"/>
          <w:szCs w:val="21"/>
          <w:highlight w:val="none"/>
        </w:rPr>
        <w:t>32.磋商的特殊情形</w:t>
      </w:r>
      <w:bookmarkEnd w:id="54"/>
    </w:p>
    <w:p w14:paraId="2B0E66D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32.1</w:t>
      </w:r>
      <w:r>
        <w:rPr>
          <w:rFonts w:hint="eastAsia" w:ascii="宋体" w:hAnsi="宋体" w:eastAsia="宋体" w:cs="宋体"/>
          <w:color w:val="auto"/>
          <w:kern w:val="0"/>
          <w:sz w:val="21"/>
          <w:szCs w:val="21"/>
          <w:highlight w:val="none"/>
        </w:rPr>
        <w:t>公开磋商的货物、服务采购项目，磋商过程中提交响应文件或者经评审实质性响应磋商文件要求的供应商只有两家时，采购人、采购代理机构按照</w:t>
      </w:r>
      <w:r>
        <w:rPr>
          <w:rFonts w:hint="eastAsia" w:ascii="宋体" w:hAnsi="宋体" w:eastAsia="宋体" w:cs="宋体"/>
          <w:color w:val="auto"/>
          <w:sz w:val="21"/>
          <w:szCs w:val="21"/>
          <w:highlight w:val="none"/>
        </w:rPr>
        <w:t>省级以上财政部门相关规定，</w:t>
      </w:r>
      <w:r>
        <w:rPr>
          <w:rFonts w:hint="eastAsia" w:ascii="宋体" w:hAnsi="宋体" w:eastAsia="宋体" w:cs="宋体"/>
          <w:color w:val="auto"/>
          <w:kern w:val="0"/>
          <w:sz w:val="21"/>
          <w:szCs w:val="21"/>
          <w:highlight w:val="none"/>
        </w:rPr>
        <w:t>经财政部批准后可以与该两家供应商进行竞争性磋商采购。</w:t>
      </w:r>
    </w:p>
    <w:p w14:paraId="05E3BF92">
      <w:pPr>
        <w:pStyle w:val="10"/>
        <w:keepNext w:val="0"/>
        <w:keepLines w:val="0"/>
        <w:pageBreakBefore w:val="0"/>
        <w:kinsoku/>
        <w:wordWrap/>
        <w:overflowPunct/>
        <w:topLinePunct w:val="0"/>
        <w:autoSpaceDE/>
        <w:bidi w:val="0"/>
        <w:adjustRightInd/>
        <w:snapToGrid/>
        <w:spacing w:line="360" w:lineRule="auto"/>
        <w:ind w:left="0" w:right="0" w:rightChars="0" w:hanging="632" w:hangingChars="300"/>
        <w:textAlignment w:val="auto"/>
        <w:rPr>
          <w:rFonts w:hint="eastAsia" w:ascii="宋体" w:hAnsi="宋体" w:eastAsia="宋体" w:cs="宋体"/>
          <w:b/>
          <w:color w:val="auto"/>
          <w:sz w:val="21"/>
          <w:szCs w:val="21"/>
          <w:highlight w:val="none"/>
        </w:rPr>
      </w:pPr>
      <w:bookmarkStart w:id="55" w:name="_Toc24678"/>
      <w:r>
        <w:rPr>
          <w:rFonts w:hint="eastAsia" w:ascii="宋体" w:hAnsi="宋体" w:eastAsia="宋体" w:cs="宋体"/>
          <w:b/>
          <w:color w:val="auto"/>
          <w:sz w:val="21"/>
          <w:szCs w:val="21"/>
          <w:highlight w:val="none"/>
        </w:rPr>
        <w:t>33.磋商终止</w:t>
      </w:r>
      <w:bookmarkEnd w:id="55"/>
    </w:p>
    <w:p w14:paraId="19358506">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33.1</w:t>
      </w:r>
      <w:r>
        <w:rPr>
          <w:rFonts w:hint="eastAsia" w:ascii="宋体" w:hAnsi="宋体" w:eastAsia="宋体" w:cs="宋体"/>
          <w:color w:val="auto"/>
          <w:kern w:val="0"/>
          <w:sz w:val="21"/>
          <w:szCs w:val="21"/>
          <w:highlight w:val="none"/>
        </w:rPr>
        <w:t>出现下列情形之一的，采购人或者采购代理机构应当终止竞争性磋商采购活动，</w:t>
      </w:r>
      <w:r>
        <w:rPr>
          <w:rFonts w:hint="eastAsia" w:ascii="宋体" w:hAnsi="宋体" w:eastAsia="宋体" w:cs="宋体"/>
          <w:color w:val="auto"/>
          <w:sz w:val="21"/>
          <w:szCs w:val="21"/>
          <w:highlight w:val="none"/>
        </w:rPr>
        <w:t>在省级以上财政部门指定的媒体上</w:t>
      </w:r>
      <w:r>
        <w:rPr>
          <w:rFonts w:hint="eastAsia" w:ascii="宋体" w:hAnsi="宋体" w:eastAsia="宋体" w:cs="宋体"/>
          <w:color w:val="auto"/>
          <w:kern w:val="0"/>
          <w:sz w:val="21"/>
          <w:szCs w:val="21"/>
          <w:highlight w:val="none"/>
        </w:rPr>
        <w:t xml:space="preserve">发布项目终止公告并说明原因，重新开展采购活动： </w:t>
      </w:r>
    </w:p>
    <w:p w14:paraId="2CC51F5A">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（1）因情况变化，不再符合规定的竞争性磋商采购方式适用情形的；</w:t>
      </w:r>
    </w:p>
    <w:p w14:paraId="3A8DC89C">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（2）出现影响采购公正的违法、违规行为的；</w:t>
      </w:r>
    </w:p>
    <w:p w14:paraId="73FF71F1">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（3）在采购过程中符合竞争要求的供应商或者报价未超过采购预算的供应商不足3家的，或者提交最后报价的供应商少于3家的；</w:t>
      </w:r>
    </w:p>
    <w:p w14:paraId="3CC27F78">
      <w:pPr>
        <w:keepNext w:val="0"/>
        <w:keepLines w:val="0"/>
        <w:pageBreakBefore w:val="0"/>
        <w:widowControl/>
        <w:kinsoku/>
        <w:wordWrap/>
        <w:overflowPunct/>
        <w:topLinePunct w:val="0"/>
        <w:autoSpaceDE/>
        <w:bidi w:val="0"/>
        <w:adjustRightInd/>
        <w:snapToGrid/>
        <w:spacing w:line="360" w:lineRule="auto"/>
        <w:ind w:left="0" w:right="0" w:rightChars="0" w:firstLine="42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rPr>
        <w:t>（4）</w:t>
      </w:r>
      <w:r>
        <w:rPr>
          <w:rFonts w:hint="eastAsia" w:ascii="宋体" w:hAnsi="宋体" w:eastAsia="宋体" w:cs="宋体"/>
          <w:bCs/>
          <w:color w:val="auto"/>
          <w:sz w:val="21"/>
          <w:szCs w:val="21"/>
          <w:highlight w:val="none"/>
        </w:rPr>
        <w:t>因重大变故，采购任务取消的。</w:t>
      </w:r>
    </w:p>
    <w:p w14:paraId="3B7537FF">
      <w:pPr>
        <w:keepNext w:val="0"/>
        <w:keepLines w:val="0"/>
        <w:pageBreakBefore w:val="0"/>
        <w:widowControl/>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kern w:val="0"/>
          <w:sz w:val="21"/>
          <w:szCs w:val="21"/>
          <w:highlight w:val="none"/>
        </w:rPr>
      </w:pPr>
      <w:bookmarkStart w:id="56" w:name="_Toc24793"/>
      <w:r>
        <w:rPr>
          <w:rFonts w:hint="eastAsia" w:ascii="宋体" w:hAnsi="宋体" w:eastAsia="宋体" w:cs="宋体"/>
          <w:b/>
          <w:color w:val="auto"/>
          <w:kern w:val="0"/>
          <w:sz w:val="21"/>
          <w:szCs w:val="21"/>
          <w:highlight w:val="none"/>
        </w:rPr>
        <w:t>34．重新评审</w:t>
      </w:r>
      <w:bookmarkEnd w:id="56"/>
    </w:p>
    <w:p w14:paraId="3D6087EA">
      <w:pPr>
        <w:keepNext w:val="0"/>
        <w:keepLines w:val="0"/>
        <w:pageBreakBefore w:val="0"/>
        <w:widowControl/>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除资格性审查认定错误和价格计算错误外，采购人或者采购代理机构不以任何理由组织重新评审。采购人、采购代理机构发现磋商小组未按照采购文件规定的评定成交的标准进行评审的，应当重新开展采购活动，并同时书面报告财政部。</w:t>
      </w:r>
    </w:p>
    <w:p w14:paraId="3FECBF7E">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57" w:name="_Toc22398"/>
      <w:r>
        <w:rPr>
          <w:rFonts w:hint="eastAsia" w:ascii="宋体" w:hAnsi="宋体" w:eastAsia="宋体" w:cs="宋体"/>
          <w:b/>
          <w:bCs/>
          <w:color w:val="auto"/>
          <w:sz w:val="21"/>
          <w:szCs w:val="21"/>
          <w:highlight w:val="none"/>
        </w:rPr>
        <w:t>35.保密及串通行为</w:t>
      </w:r>
      <w:bookmarkEnd w:id="57"/>
    </w:p>
    <w:p w14:paraId="67E40165">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35.1磋商小组成员以及与评审工作有关的人员不得泄露评审情况以及评审过程中获悉的国家秘密、商业秘密。</w:t>
      </w:r>
    </w:p>
    <w:p w14:paraId="461A083D">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w:t>
      </w:r>
      <w:r>
        <w:rPr>
          <w:rFonts w:hint="eastAsia" w:ascii="宋体" w:hAnsi="宋体" w:eastAsia="宋体" w:cs="宋体"/>
          <w:color w:val="auto"/>
          <w:kern w:val="0"/>
          <w:sz w:val="21"/>
          <w:szCs w:val="21"/>
          <w:highlight w:val="none"/>
        </w:rPr>
        <w:t>供应商</w:t>
      </w:r>
      <w:r>
        <w:rPr>
          <w:rFonts w:hint="eastAsia" w:ascii="宋体" w:hAnsi="宋体" w:eastAsia="宋体" w:cs="宋体"/>
          <w:color w:val="auto"/>
          <w:sz w:val="21"/>
          <w:szCs w:val="21"/>
          <w:highlight w:val="none"/>
        </w:rPr>
        <w:t>不得与</w:t>
      </w:r>
      <w:r>
        <w:rPr>
          <w:rFonts w:hint="eastAsia" w:ascii="宋体" w:hAnsi="宋体" w:eastAsia="宋体" w:cs="宋体"/>
          <w:color w:val="auto"/>
          <w:kern w:val="0"/>
          <w:sz w:val="21"/>
          <w:szCs w:val="21"/>
          <w:highlight w:val="none"/>
        </w:rPr>
        <w:t>采购人、采购代理机构、其他供应商恶意</w:t>
      </w:r>
      <w:r>
        <w:rPr>
          <w:rFonts w:hint="eastAsia" w:ascii="宋体" w:hAnsi="宋体" w:eastAsia="宋体" w:cs="宋体"/>
          <w:color w:val="auto"/>
          <w:sz w:val="21"/>
          <w:szCs w:val="21"/>
          <w:highlight w:val="none"/>
        </w:rPr>
        <w:t>串通；不得向</w:t>
      </w:r>
      <w:r>
        <w:rPr>
          <w:rFonts w:hint="eastAsia" w:ascii="宋体" w:hAnsi="宋体" w:eastAsia="宋体" w:cs="宋体"/>
          <w:color w:val="auto"/>
          <w:kern w:val="0"/>
          <w:sz w:val="21"/>
          <w:szCs w:val="21"/>
          <w:highlight w:val="none"/>
        </w:rPr>
        <w:t>采购人、采购代理机构</w:t>
      </w:r>
      <w:r>
        <w:rPr>
          <w:rFonts w:hint="eastAsia" w:ascii="宋体" w:hAnsi="宋体" w:eastAsia="宋体" w:cs="宋体"/>
          <w:color w:val="auto"/>
          <w:sz w:val="21"/>
          <w:szCs w:val="21"/>
          <w:highlight w:val="none"/>
        </w:rPr>
        <w:t>或者磋商小组成员行贿或者提供其他不正当利益；不得提供虚假材料谋取成交；不得以任何方式干扰、影响采购工作。</w:t>
      </w:r>
    </w:p>
    <w:p w14:paraId="5E349BA3">
      <w:pPr>
        <w:pStyle w:val="16"/>
        <w:keepNext w:val="0"/>
        <w:keepLines w:val="0"/>
        <w:pageBreakBefore w:val="0"/>
        <w:kinsoku/>
        <w:wordWrap/>
        <w:overflowPunct/>
        <w:topLinePunct w:val="0"/>
        <w:autoSpaceDE/>
        <w:bidi w:val="0"/>
        <w:adjustRightInd/>
        <w:snapToGrid/>
        <w:spacing w:before="0" w:beforeAutospacing="0" w:after="0" w:afterAutospacing="0" w:line="360" w:lineRule="auto"/>
        <w:ind w:left="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35.3有下列情形之一的，</w:t>
      </w:r>
      <w:r>
        <w:rPr>
          <w:rFonts w:hint="eastAsia" w:ascii="宋体" w:hAnsi="宋体" w:eastAsia="宋体" w:cs="宋体"/>
          <w:color w:val="auto"/>
          <w:sz w:val="21"/>
          <w:szCs w:val="21"/>
          <w:highlight w:val="none"/>
          <w:lang w:val="zh-CN"/>
        </w:rPr>
        <w:t>属于恶意串通，</w:t>
      </w:r>
      <w:r>
        <w:rPr>
          <w:rFonts w:hint="eastAsia" w:ascii="宋体" w:hAnsi="宋体" w:eastAsia="宋体" w:cs="宋体"/>
          <w:color w:val="auto"/>
          <w:sz w:val="21"/>
          <w:szCs w:val="21"/>
          <w:highlight w:val="none"/>
        </w:rPr>
        <w:t>成交无效，并</w:t>
      </w:r>
      <w:r>
        <w:rPr>
          <w:rFonts w:hint="eastAsia" w:ascii="宋体" w:hAnsi="宋体" w:eastAsia="宋体" w:cs="宋体"/>
          <w:color w:val="auto"/>
          <w:sz w:val="21"/>
          <w:szCs w:val="21"/>
          <w:highlight w:val="none"/>
          <w:lang w:val="zh-CN"/>
        </w:rPr>
        <w:t>依照《政府采购法》第七十七条的规定追究法律责任：</w:t>
      </w:r>
    </w:p>
    <w:p w14:paraId="38AB903C">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（1）供应商直接或者间接从</w:t>
      </w:r>
      <w:r>
        <w:rPr>
          <w:rFonts w:hint="eastAsia" w:ascii="宋体" w:hAnsi="宋体" w:eastAsia="宋体" w:cs="宋体"/>
          <w:bCs/>
          <w:color w:val="auto"/>
          <w:sz w:val="21"/>
          <w:szCs w:val="21"/>
          <w:highlight w:val="none"/>
        </w:rPr>
        <w:t>采购人、采购代理机构</w:t>
      </w:r>
      <w:r>
        <w:rPr>
          <w:rFonts w:hint="eastAsia" w:ascii="宋体" w:hAnsi="宋体" w:eastAsia="宋体" w:cs="宋体"/>
          <w:color w:val="auto"/>
          <w:sz w:val="21"/>
          <w:szCs w:val="21"/>
          <w:highlight w:val="none"/>
        </w:rPr>
        <w:t>获得其他供应商的响应情况，并修改其响应文件的；</w:t>
      </w:r>
    </w:p>
    <w:p w14:paraId="2A4E22C9">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Cs/>
          <w:color w:val="auto"/>
          <w:sz w:val="21"/>
          <w:szCs w:val="21"/>
          <w:highlight w:val="none"/>
        </w:rPr>
        <w:t>采购人、采购代理机构</w:t>
      </w:r>
      <w:r>
        <w:rPr>
          <w:rFonts w:hint="eastAsia" w:ascii="宋体" w:hAnsi="宋体" w:eastAsia="宋体" w:cs="宋体"/>
          <w:color w:val="auto"/>
          <w:sz w:val="21"/>
          <w:szCs w:val="21"/>
          <w:highlight w:val="none"/>
        </w:rPr>
        <w:t>授意供应商撤换、修改响应文件的；</w:t>
      </w:r>
    </w:p>
    <w:p w14:paraId="04A74615">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（3）供应商之间协商技术方案、合同条款以及报价等响应文件实质性内容的；</w:t>
      </w:r>
    </w:p>
    <w:p w14:paraId="0F21A1AF">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（4）属于同一集团、协会、商会等组织成员的供应商按照该组织要求协同参加竞争性磋商政府采购活动的；</w:t>
      </w:r>
    </w:p>
    <w:p w14:paraId="569E1298">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（5）供应商之间事先约定由某一特定供应商成交的；</w:t>
      </w:r>
    </w:p>
    <w:p w14:paraId="70C950CF">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（6）供应商之间商定部分供应商放弃提交响应文件或者退出磋商或者放弃成交的；</w:t>
      </w:r>
    </w:p>
    <w:p w14:paraId="33D47298">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（7）供应商与</w:t>
      </w:r>
      <w:r>
        <w:rPr>
          <w:rFonts w:hint="eastAsia" w:ascii="宋体" w:hAnsi="宋体" w:eastAsia="宋体" w:cs="宋体"/>
          <w:bCs/>
          <w:color w:val="auto"/>
          <w:sz w:val="21"/>
          <w:szCs w:val="21"/>
          <w:highlight w:val="none"/>
        </w:rPr>
        <w:t>采购人、采购代理机构以及</w:t>
      </w:r>
      <w:r>
        <w:rPr>
          <w:rFonts w:hint="eastAsia" w:ascii="宋体" w:hAnsi="宋体" w:eastAsia="宋体" w:cs="宋体"/>
          <w:color w:val="auto"/>
          <w:sz w:val="21"/>
          <w:szCs w:val="21"/>
          <w:highlight w:val="none"/>
        </w:rPr>
        <w:t>磋商小组成员之间、供应商相互之间，为谋求特定供应商成交或者排斥其他供应商的其他串通行为的。</w:t>
      </w:r>
    </w:p>
    <w:p w14:paraId="331BA01D">
      <w:pPr>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（8）法律、行政法规或规章规定的其他串通行为。</w:t>
      </w:r>
    </w:p>
    <w:p w14:paraId="2655492F">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六、成交结果信息公布与授予合同</w:t>
      </w:r>
    </w:p>
    <w:p w14:paraId="2D02112E">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58" w:name="_Toc28996"/>
      <w:r>
        <w:rPr>
          <w:rFonts w:hint="eastAsia" w:ascii="宋体" w:hAnsi="宋体" w:eastAsia="宋体" w:cs="宋体"/>
          <w:b/>
          <w:bCs/>
          <w:color w:val="auto"/>
          <w:sz w:val="21"/>
          <w:szCs w:val="21"/>
          <w:highlight w:val="none"/>
        </w:rPr>
        <w:t>36.成交信息的公布</w:t>
      </w:r>
      <w:bookmarkEnd w:id="58"/>
    </w:p>
    <w:p w14:paraId="7A3FE46E">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36.1成交供应商确定后2个工作日内，采购人或者采购代理机构应将成交结果信息在</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指定的媒体上公布。</w:t>
      </w:r>
    </w:p>
    <w:p w14:paraId="72BA7666">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59" w:name="_Toc14781"/>
      <w:r>
        <w:rPr>
          <w:rFonts w:hint="eastAsia" w:ascii="宋体" w:hAnsi="宋体" w:eastAsia="宋体" w:cs="宋体"/>
          <w:b/>
          <w:bCs/>
          <w:color w:val="auto"/>
          <w:sz w:val="21"/>
          <w:szCs w:val="21"/>
          <w:highlight w:val="none"/>
        </w:rPr>
        <w:t>37.询问及质疑</w:t>
      </w:r>
      <w:bookmarkEnd w:id="59"/>
    </w:p>
    <w:p w14:paraId="44AE9F1C">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37.1供应商对政府采购活动事项有疑问的，可以向采购人或采购代理机构提出询问。</w:t>
      </w:r>
    </w:p>
    <w:p w14:paraId="4310C7BC">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37.2供应商若认为磋商文件、采购过程和成交结果使自己的权益受到损害，可以按法律、规章及财政部相关文件规定向采购人或采购代理机构提出质疑。</w:t>
      </w:r>
    </w:p>
    <w:p w14:paraId="266DC9E6">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60" w:name="_Toc12833"/>
      <w:r>
        <w:rPr>
          <w:rFonts w:hint="eastAsia" w:ascii="宋体" w:hAnsi="宋体" w:eastAsia="宋体" w:cs="宋体"/>
          <w:b/>
          <w:bCs/>
          <w:color w:val="auto"/>
          <w:sz w:val="21"/>
          <w:szCs w:val="21"/>
          <w:highlight w:val="none"/>
        </w:rPr>
        <w:t>38.成交通知</w:t>
      </w:r>
      <w:bookmarkEnd w:id="60"/>
    </w:p>
    <w:p w14:paraId="3C31BC2B">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38.1成交供应商确定后，采购人或采购代理机构将以书面形式向成交供应商发出成交通知书。成交通知书对采购人和成交供应商具有同等法律效力。</w:t>
      </w:r>
    </w:p>
    <w:p w14:paraId="12F0C467">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 成交通知书是合同文件的组成部分。</w:t>
      </w:r>
    </w:p>
    <w:p w14:paraId="767AED8E">
      <w:pPr>
        <w:keepNext w:val="0"/>
        <w:keepLines w:val="0"/>
        <w:pageBreakBefore w:val="0"/>
        <w:tabs>
          <w:tab w:val="left" w:pos="7560"/>
          <w:tab w:val="left" w:pos="7740"/>
          <w:tab w:val="left" w:pos="7920"/>
        </w:tabs>
        <w:kinsoku/>
        <w:wordWrap/>
        <w:overflowPunct/>
        <w:topLinePunct w:val="0"/>
        <w:autoSpaceDE/>
        <w:autoSpaceDN w:val="0"/>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38.3 </w:t>
      </w:r>
      <w:r>
        <w:rPr>
          <w:rFonts w:hint="eastAsia" w:ascii="宋体" w:hAnsi="宋体" w:eastAsia="宋体" w:cs="宋体"/>
          <w:color w:val="auto"/>
          <w:sz w:val="21"/>
          <w:szCs w:val="21"/>
          <w:highlight w:val="none"/>
        </w:rPr>
        <w:t>成交供应商在收到采购代理机构的成交通知书后10日内，应按照</w:t>
      </w:r>
      <w:r>
        <w:rPr>
          <w:rFonts w:hint="eastAsia" w:ascii="宋体"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的规定，向采购人提交履约担保。联合体成交的，履约担保由联合体各方或联合体中牵头人的名义提交。</w:t>
      </w:r>
    </w:p>
    <w:p w14:paraId="196DF046">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38.4 成交供应商</w:t>
      </w:r>
      <w:r>
        <w:rPr>
          <w:rFonts w:hint="eastAsia" w:ascii="宋体" w:hAnsi="宋体" w:eastAsia="宋体" w:cs="宋体"/>
          <w:color w:val="auto"/>
          <w:spacing w:val="4"/>
          <w:sz w:val="21"/>
          <w:szCs w:val="21"/>
          <w:highlight w:val="none"/>
        </w:rPr>
        <w:t>没有按照本章第38.3</w:t>
      </w:r>
      <w:r>
        <w:rPr>
          <w:rFonts w:hint="eastAsia" w:ascii="宋体" w:hAnsi="宋体" w:eastAsia="宋体" w:cs="宋体"/>
          <w:color w:val="auto"/>
          <w:sz w:val="21"/>
          <w:szCs w:val="21"/>
          <w:highlight w:val="none"/>
          <w:lang w:val="zh-CN"/>
        </w:rPr>
        <w:t>款</w:t>
      </w:r>
      <w:r>
        <w:rPr>
          <w:rFonts w:hint="eastAsia" w:ascii="宋体" w:hAnsi="宋体" w:eastAsia="宋体" w:cs="宋体"/>
          <w:color w:val="auto"/>
          <w:spacing w:val="4"/>
          <w:sz w:val="21"/>
          <w:szCs w:val="21"/>
          <w:highlight w:val="none"/>
        </w:rPr>
        <w:t>规定</w:t>
      </w:r>
      <w:r>
        <w:rPr>
          <w:rFonts w:hint="eastAsia" w:ascii="宋体" w:hAnsi="宋体" w:eastAsia="宋体" w:cs="宋体"/>
          <w:color w:val="auto"/>
          <w:sz w:val="21"/>
          <w:szCs w:val="21"/>
          <w:highlight w:val="none"/>
        </w:rPr>
        <w:t>提交履约担保的</w:t>
      </w:r>
      <w:r>
        <w:rPr>
          <w:rFonts w:hint="eastAsia" w:ascii="宋体" w:hAnsi="宋体" w:eastAsia="宋体" w:cs="宋体"/>
          <w:color w:val="auto"/>
          <w:spacing w:val="4"/>
          <w:sz w:val="21"/>
          <w:szCs w:val="21"/>
          <w:highlight w:val="none"/>
        </w:rPr>
        <w:t>，视为放弃</w:t>
      </w:r>
      <w:r>
        <w:rPr>
          <w:rFonts w:hint="eastAsia" w:ascii="宋体" w:hAnsi="宋体" w:eastAsia="宋体" w:cs="宋体"/>
          <w:color w:val="auto"/>
          <w:sz w:val="21"/>
          <w:szCs w:val="21"/>
          <w:highlight w:val="none"/>
        </w:rPr>
        <w:t>成交资格</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2"/>
          <w:sz w:val="21"/>
          <w:szCs w:val="21"/>
          <w:highlight w:val="none"/>
        </w:rPr>
        <w:t>其保证金不予退还。</w:t>
      </w:r>
    </w:p>
    <w:p w14:paraId="0BB16725">
      <w:pPr>
        <w:keepNext w:val="0"/>
        <w:keepLines w:val="0"/>
        <w:pageBreakBefore w:val="0"/>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bCs/>
          <w:color w:val="auto"/>
          <w:sz w:val="21"/>
          <w:szCs w:val="21"/>
          <w:highlight w:val="none"/>
        </w:rPr>
      </w:pPr>
      <w:bookmarkStart w:id="61" w:name="_Toc23033"/>
      <w:r>
        <w:rPr>
          <w:rFonts w:hint="eastAsia" w:ascii="宋体" w:hAnsi="宋体" w:eastAsia="宋体" w:cs="宋体"/>
          <w:b/>
          <w:bCs/>
          <w:color w:val="auto"/>
          <w:sz w:val="21"/>
          <w:szCs w:val="21"/>
          <w:highlight w:val="none"/>
        </w:rPr>
        <w:t>39.签订合同</w:t>
      </w:r>
      <w:bookmarkEnd w:id="61"/>
    </w:p>
    <w:p w14:paraId="58614884">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39.1 磋商文件、成交供应商的响应文件及其补充的响应文件等均为签订政府采购合同的依据。</w:t>
      </w:r>
    </w:p>
    <w:p w14:paraId="179C7478">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 成交供应商应当在成交通知书发出之日起30日内与采购人签订政府采购合同。</w:t>
      </w:r>
    </w:p>
    <w:p w14:paraId="7D6AAFC5">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39.3 成交供应商应当按照合同约定履行义务。成交供应商不得向他人转让成交项目，也不得将成交项目分包后分别向他人转让。</w:t>
      </w:r>
    </w:p>
    <w:p w14:paraId="243D0CC3">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39.4 成交供应商有下列情形之一的，责令限期改正，情节严重的，列入不良行为记录名单，在1至3年内禁止参加政府采购活动，并予以通报：</w:t>
      </w:r>
    </w:p>
    <w:p w14:paraId="118873EB">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bookmarkStart w:id="62" w:name="_Toc23574"/>
      <w:r>
        <w:rPr>
          <w:rFonts w:hint="eastAsia" w:ascii="宋体" w:hAnsi="宋体" w:eastAsia="宋体" w:cs="宋体"/>
          <w:color w:val="auto"/>
          <w:sz w:val="21"/>
          <w:szCs w:val="21"/>
          <w:highlight w:val="none"/>
        </w:rPr>
        <w:t>（一）成交后无正当理由不与采购人签订合同的；</w:t>
      </w:r>
      <w:bookmarkEnd w:id="62"/>
    </w:p>
    <w:p w14:paraId="4E079D8C">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（二）未按照采购文件确定的事项签订政府采购合同，或者与采购人另行订立背离合同实质性内容的协议的；</w:t>
      </w:r>
    </w:p>
    <w:p w14:paraId="7B7234BC">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（三）拒绝履行合同义务的；</w:t>
      </w:r>
    </w:p>
    <w:p w14:paraId="05C9AEA3">
      <w:pPr>
        <w:pStyle w:val="10"/>
        <w:keepNext w:val="0"/>
        <w:keepLines w:val="0"/>
        <w:pageBreakBefore w:val="0"/>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（四）违反法律、规章、规范性文件规定的。</w:t>
      </w:r>
    </w:p>
    <w:p w14:paraId="780BC70B">
      <w:pPr>
        <w:pStyle w:val="10"/>
        <w:keepNext w:val="0"/>
        <w:keepLines w:val="0"/>
        <w:pageBreakBefore w:val="0"/>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sz w:val="21"/>
          <w:szCs w:val="21"/>
          <w:highlight w:val="none"/>
        </w:rPr>
      </w:pPr>
      <w:bookmarkStart w:id="63" w:name="_Toc8895"/>
      <w:r>
        <w:rPr>
          <w:rFonts w:hint="eastAsia" w:ascii="宋体" w:hAnsi="宋体" w:eastAsia="宋体" w:cs="宋体"/>
          <w:b/>
          <w:color w:val="auto"/>
          <w:sz w:val="21"/>
          <w:szCs w:val="21"/>
          <w:highlight w:val="none"/>
        </w:rPr>
        <w:t>七、其他规定</w:t>
      </w:r>
      <w:bookmarkEnd w:id="63"/>
    </w:p>
    <w:p w14:paraId="38000CB2">
      <w:pPr>
        <w:keepNext w:val="0"/>
        <w:keepLines w:val="0"/>
        <w:pageBreakBefore w:val="0"/>
        <w:kinsoku/>
        <w:wordWrap/>
        <w:overflowPunct/>
        <w:topLinePunct w:val="0"/>
        <w:autoSpaceDE/>
        <w:bidi w:val="0"/>
        <w:adjustRightInd/>
        <w:snapToGrid/>
        <w:spacing w:line="360" w:lineRule="auto"/>
        <w:ind w:left="0" w:right="0" w:rightChars="0"/>
        <w:jc w:val="lef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40.采购代理服务费</w:t>
      </w:r>
    </w:p>
    <w:p w14:paraId="26D10857">
      <w:pPr>
        <w:keepNext w:val="0"/>
        <w:keepLines w:val="0"/>
        <w:pageBreakBefore w:val="0"/>
        <w:tabs>
          <w:tab w:val="left" w:pos="420"/>
          <w:tab w:val="left" w:pos="7560"/>
          <w:tab w:val="left" w:pos="7740"/>
          <w:tab w:val="left" w:pos="792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40.1采购代理机构应按</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规定收取采购代理服务费。</w:t>
      </w:r>
    </w:p>
    <w:p w14:paraId="11104063">
      <w:pPr>
        <w:keepNext w:val="0"/>
        <w:keepLines w:val="0"/>
        <w:pageBreakBefore w:val="0"/>
        <w:tabs>
          <w:tab w:val="left" w:pos="420"/>
          <w:tab w:val="left" w:pos="7560"/>
          <w:tab w:val="left" w:pos="7740"/>
          <w:tab w:val="left" w:pos="792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40.2集中采购机构不得收取采购代理服务费。</w:t>
      </w:r>
    </w:p>
    <w:p w14:paraId="3C750D5E">
      <w:pPr>
        <w:keepNext w:val="0"/>
        <w:keepLines w:val="0"/>
        <w:pageBreakBefore w:val="0"/>
        <w:tabs>
          <w:tab w:val="left" w:pos="420"/>
          <w:tab w:val="left" w:pos="7560"/>
          <w:tab w:val="left" w:pos="7740"/>
          <w:tab w:val="left" w:pos="7920"/>
        </w:tabs>
        <w:kinsoku/>
        <w:wordWrap/>
        <w:overflowPunct/>
        <w:topLinePunct w:val="0"/>
        <w:autoSpaceDE/>
        <w:bidi w:val="0"/>
        <w:adjustRightInd/>
        <w:snapToGrid/>
        <w:spacing w:line="360" w:lineRule="auto"/>
        <w:ind w:left="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41. 其他规定</w:t>
      </w:r>
    </w:p>
    <w:p w14:paraId="139E8882">
      <w:pPr>
        <w:keepNext w:val="0"/>
        <w:keepLines w:val="0"/>
        <w:pageBreakBefore w:val="0"/>
        <w:tabs>
          <w:tab w:val="left" w:pos="420"/>
          <w:tab w:val="left" w:pos="7560"/>
          <w:tab w:val="left" w:pos="7740"/>
          <w:tab w:val="left" w:pos="7920"/>
        </w:tabs>
        <w:kinsoku/>
        <w:wordWrap/>
        <w:overflowPunct/>
        <w:topLinePunct w:val="0"/>
        <w:autoSpaceDE/>
        <w:bidi w:val="0"/>
        <w:adjustRightInd/>
        <w:snapToGrid/>
        <w:spacing w:line="360" w:lineRule="auto"/>
        <w:ind w:left="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41.1磋商文件的其他规定见</w:t>
      </w:r>
      <w:r>
        <w:rPr>
          <w:rFonts w:hint="eastAsia" w:ascii="宋体" w:hAnsi="宋体" w:eastAsia="宋体" w:cs="宋体"/>
          <w:b/>
          <w:color w:val="auto"/>
          <w:sz w:val="21"/>
          <w:szCs w:val="21"/>
          <w:highlight w:val="none"/>
        </w:rPr>
        <w:t>磋商须知前附表</w:t>
      </w:r>
      <w:r>
        <w:rPr>
          <w:rFonts w:hint="eastAsia" w:ascii="宋体" w:hAnsi="宋体" w:eastAsia="宋体" w:cs="宋体"/>
          <w:color w:val="auto"/>
          <w:sz w:val="21"/>
          <w:szCs w:val="21"/>
          <w:highlight w:val="none"/>
        </w:rPr>
        <w:t>。</w:t>
      </w:r>
    </w:p>
    <w:p w14:paraId="3A7F2ECC">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41.2单一产品采购项目：提供相同品牌产品的不同供应商参加同一合同项下投标的，按一家供应商计算。提供不同品牌产品的供应商不足三家的，应予废标。</w:t>
      </w:r>
    </w:p>
    <w:p w14:paraId="10457346">
      <w:pPr>
        <w:keepNext w:val="0"/>
        <w:keepLines w:val="0"/>
        <w:pageBreakBefore w:val="0"/>
        <w:kinsoku/>
        <w:wordWrap/>
        <w:overflowPunct/>
        <w:topLinePunct w:val="0"/>
        <w:autoSpaceDE/>
        <w:bidi w:val="0"/>
        <w:adjustRightInd/>
        <w:snapToGrid/>
        <w:spacing w:line="360" w:lineRule="auto"/>
        <w:ind w:left="0" w:right="0" w:righ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41.3非单一产品采购项目：</w:t>
      </w:r>
      <w:r>
        <w:rPr>
          <w:rFonts w:hint="eastAsia" w:ascii="宋体" w:hAnsi="宋体"/>
          <w:bCs/>
          <w:color w:val="auto"/>
          <w:szCs w:val="21"/>
          <w:highlight w:val="none"/>
        </w:rPr>
        <w:t>多家</w:t>
      </w:r>
      <w:r>
        <w:rPr>
          <w:rFonts w:hint="eastAsia" w:ascii="宋体" w:hAnsi="宋体"/>
          <w:bCs/>
          <w:color w:val="auto"/>
          <w:szCs w:val="21"/>
          <w:highlight w:val="none"/>
          <w:lang w:val="en-US" w:eastAsia="zh-CN"/>
        </w:rPr>
        <w:t>供应商</w:t>
      </w:r>
      <w:r>
        <w:rPr>
          <w:rFonts w:hint="eastAsia" w:ascii="宋体" w:hAnsi="宋体"/>
          <w:bCs/>
          <w:color w:val="auto"/>
          <w:szCs w:val="21"/>
          <w:highlight w:val="none"/>
        </w:rPr>
        <w:t>提供的核心产品品牌相同的，视为相同品牌</w:t>
      </w:r>
      <w:r>
        <w:rPr>
          <w:rFonts w:hint="eastAsia" w:ascii="宋体" w:hAnsi="宋体" w:eastAsia="宋体" w:cs="宋体"/>
          <w:color w:val="auto"/>
          <w:sz w:val="21"/>
          <w:szCs w:val="21"/>
          <w:highlight w:val="none"/>
        </w:rPr>
        <w:t>，按本章本节第41.2款规定处理。</w:t>
      </w:r>
    </w:p>
    <w:p w14:paraId="5F095DB2">
      <w:pPr>
        <w:keepNext w:val="0"/>
        <w:keepLines w:val="0"/>
        <w:pageBreakBefore w:val="0"/>
        <w:widowControl w:val="0"/>
        <w:tabs>
          <w:tab w:val="left" w:pos="0"/>
        </w:tabs>
        <w:kinsoku/>
        <w:wordWrap/>
        <w:overflowPunct/>
        <w:topLinePunct w:val="0"/>
        <w:autoSpaceDE/>
        <w:autoSpaceDN/>
        <w:bidi w:val="0"/>
        <w:adjustRightInd/>
        <w:snapToGrid/>
        <w:spacing w:before="120" w:beforeLines="50" w:line="360" w:lineRule="auto"/>
        <w:jc w:val="center"/>
        <w:textAlignment w:val="auto"/>
        <w:outlineLvl w:val="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br w:type="page"/>
      </w:r>
      <w:bookmarkStart w:id="64" w:name="_Toc5637"/>
      <w:bookmarkStart w:id="65" w:name="_Toc31224"/>
      <w:r>
        <w:rPr>
          <w:rFonts w:hint="eastAsia" w:ascii="宋体" w:hAnsi="宋体" w:eastAsia="宋体" w:cs="宋体"/>
          <w:b/>
          <w:bCs w:val="0"/>
          <w:color w:val="auto"/>
          <w:sz w:val="28"/>
          <w:szCs w:val="28"/>
          <w:highlight w:val="none"/>
        </w:rPr>
        <w:t>第三章 评审办法及标准</w:t>
      </w:r>
      <w:bookmarkEnd w:id="64"/>
      <w:bookmarkEnd w:id="65"/>
    </w:p>
    <w:p w14:paraId="7EDA67B9">
      <w:pPr>
        <w:keepNext w:val="0"/>
        <w:keepLines w:val="0"/>
        <w:pageBreakBefore w:val="0"/>
        <w:widowControl w:val="0"/>
        <w:kinsoku/>
        <w:wordWrap/>
        <w:overflowPunct/>
        <w:topLinePunct w:val="0"/>
        <w:autoSpaceDE/>
        <w:autoSpaceDN/>
        <w:bidi w:val="0"/>
        <w:adjustRightInd/>
        <w:snapToGrid/>
        <w:spacing w:before="120" w:beforeLines="50" w:line="360" w:lineRule="auto"/>
        <w:textAlignment w:val="auto"/>
        <w:rPr>
          <w:rFonts w:hint="eastAsia" w:ascii="宋体" w:hAnsi="宋体" w:eastAsia="宋体" w:cs="宋体"/>
          <w:b/>
          <w:color w:val="auto"/>
          <w:sz w:val="21"/>
          <w:szCs w:val="21"/>
          <w:highlight w:val="none"/>
        </w:rPr>
      </w:pPr>
      <w:bookmarkStart w:id="66" w:name="_Toc31776"/>
      <w:r>
        <w:rPr>
          <w:rFonts w:hint="eastAsia" w:ascii="宋体" w:hAnsi="宋体" w:eastAsia="宋体" w:cs="宋体"/>
          <w:b/>
          <w:color w:val="auto"/>
          <w:sz w:val="21"/>
          <w:szCs w:val="21"/>
          <w:highlight w:val="none"/>
        </w:rPr>
        <w:t>1.磋商小组</w:t>
      </w:r>
      <w:bookmarkEnd w:id="66"/>
    </w:p>
    <w:p w14:paraId="286AA9D0">
      <w:pPr>
        <w:keepNext w:val="0"/>
        <w:keepLines w:val="0"/>
        <w:pageBreakBefore w:val="0"/>
        <w:widowControl w:val="0"/>
        <w:kinsoku/>
        <w:wordWrap/>
        <w:overflowPunct/>
        <w:topLinePunct w:val="0"/>
        <w:autoSpaceDE/>
        <w:autoSpaceDN/>
        <w:bidi w:val="0"/>
        <w:adjustRightInd/>
        <w:snapToGrid/>
        <w:spacing w:before="120" w:beforeLines="50" w:line="360" w:lineRule="auto"/>
        <w:ind w:firstLine="420" w:firstLineChars="200"/>
        <w:textAlignment w:val="auto"/>
        <w:rPr>
          <w:rFonts w:hint="eastAsia" w:ascii="宋体" w:hAnsi="宋体" w:eastAsia="宋体" w:cs="宋体"/>
          <w:color w:val="auto"/>
          <w:sz w:val="21"/>
          <w:szCs w:val="21"/>
          <w:highlight w:val="none"/>
        </w:rPr>
      </w:pPr>
      <w:bookmarkStart w:id="67" w:name="_Toc473"/>
      <w:r>
        <w:rPr>
          <w:rFonts w:hint="eastAsia" w:ascii="宋体" w:hAnsi="宋体" w:eastAsia="宋体" w:cs="宋体"/>
          <w:color w:val="auto"/>
          <w:sz w:val="21"/>
          <w:szCs w:val="21"/>
          <w:highlight w:val="none"/>
        </w:rPr>
        <w:t>1.1评审由依法组成的磋商小组负责。</w:t>
      </w:r>
      <w:bookmarkEnd w:id="67"/>
    </w:p>
    <w:p w14:paraId="703D33D8">
      <w:pPr>
        <w:keepNext w:val="0"/>
        <w:keepLines w:val="0"/>
        <w:pageBreakBefore w:val="0"/>
        <w:widowControl w:val="0"/>
        <w:kinsoku/>
        <w:wordWrap/>
        <w:overflowPunct/>
        <w:topLinePunct w:val="0"/>
        <w:autoSpaceDE/>
        <w:autoSpaceDN/>
        <w:bidi w:val="0"/>
        <w:adjustRightInd/>
        <w:snapToGrid/>
        <w:spacing w:before="120" w:beforeLines="50" w:line="360" w:lineRule="auto"/>
        <w:textAlignment w:val="auto"/>
        <w:rPr>
          <w:rFonts w:hint="eastAsia" w:ascii="宋体" w:hAnsi="宋体" w:eastAsia="宋体" w:cs="宋体"/>
          <w:b/>
          <w:color w:val="auto"/>
          <w:sz w:val="21"/>
          <w:szCs w:val="21"/>
          <w:highlight w:val="none"/>
        </w:rPr>
      </w:pPr>
      <w:bookmarkStart w:id="68" w:name="_Toc8462"/>
      <w:r>
        <w:rPr>
          <w:rFonts w:hint="eastAsia" w:ascii="宋体" w:hAnsi="宋体" w:eastAsia="宋体" w:cs="宋体"/>
          <w:b/>
          <w:bCs/>
          <w:color w:val="auto"/>
          <w:sz w:val="21"/>
          <w:szCs w:val="21"/>
          <w:highlight w:val="none"/>
        </w:rPr>
        <w:t>2.</w:t>
      </w:r>
      <w:r>
        <w:rPr>
          <w:rFonts w:hint="eastAsia" w:ascii="宋体" w:hAnsi="宋体" w:eastAsia="宋体" w:cs="宋体"/>
          <w:b/>
          <w:color w:val="auto"/>
          <w:sz w:val="21"/>
          <w:szCs w:val="21"/>
          <w:highlight w:val="none"/>
        </w:rPr>
        <w:t>评审方法</w:t>
      </w:r>
      <w:bookmarkEnd w:id="68"/>
    </w:p>
    <w:p w14:paraId="776C9C28">
      <w:pPr>
        <w:keepNext w:val="0"/>
        <w:keepLines w:val="0"/>
        <w:pageBreakBefore w:val="0"/>
        <w:widowControl w:val="0"/>
        <w:tabs>
          <w:tab w:val="left" w:pos="0"/>
        </w:tabs>
        <w:kinsoku/>
        <w:wordWrap/>
        <w:overflowPunct/>
        <w:topLinePunct w:val="0"/>
        <w:autoSpaceDE/>
        <w:autoSpaceDN/>
        <w:bidi w:val="0"/>
        <w:adjustRightInd/>
        <w:snapToGrid/>
        <w:spacing w:before="120" w:before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2.1评审方法：综合评分法，即响应文件能够最大限度的满足磋商文件规定的各项综合评价标准且经评审得分最高的供应商为成交供应商的评标方法。</w:t>
      </w:r>
    </w:p>
    <w:p w14:paraId="0F2EF09F">
      <w:pPr>
        <w:keepNext w:val="0"/>
        <w:keepLines w:val="0"/>
        <w:pageBreakBefore w:val="0"/>
        <w:widowControl w:val="0"/>
        <w:tabs>
          <w:tab w:val="left" w:pos="0"/>
        </w:tabs>
        <w:kinsoku/>
        <w:wordWrap/>
        <w:overflowPunct/>
        <w:topLinePunct w:val="0"/>
        <w:autoSpaceDE/>
        <w:autoSpaceDN/>
        <w:bidi w:val="0"/>
        <w:adjustRightInd/>
        <w:snapToGrid/>
        <w:spacing w:before="120" w:before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2.2本采购项目</w:t>
      </w:r>
      <w:r>
        <w:rPr>
          <w:rFonts w:hint="eastAsia" w:ascii="宋体" w:hAnsi="宋体" w:eastAsia="宋体" w:cs="宋体"/>
          <w:color w:val="auto"/>
          <w:sz w:val="21"/>
          <w:szCs w:val="21"/>
          <w:highlight w:val="none"/>
        </w:rPr>
        <w:t>的评审因素和标准见</w:t>
      </w:r>
      <w:r>
        <w:rPr>
          <w:rFonts w:hint="eastAsia" w:ascii="宋体" w:hAnsi="宋体" w:eastAsia="宋体" w:cs="宋体"/>
          <w:color w:val="auto"/>
          <w:sz w:val="21"/>
          <w:szCs w:val="21"/>
          <w:highlight w:val="none"/>
          <w:lang w:val="en-US" w:eastAsia="zh-CN"/>
        </w:rPr>
        <w:t>3.8评分细则</w:t>
      </w:r>
      <w:r>
        <w:rPr>
          <w:rFonts w:hint="eastAsia" w:ascii="宋体" w:hAnsi="宋体" w:eastAsia="宋体" w:cs="宋体"/>
          <w:color w:val="auto"/>
          <w:sz w:val="21"/>
          <w:szCs w:val="21"/>
          <w:highlight w:val="none"/>
        </w:rPr>
        <w:t>，不得对响应文件优于磋商文件要求的评审因素给予加分。</w:t>
      </w:r>
    </w:p>
    <w:p w14:paraId="24E947A2">
      <w:pPr>
        <w:keepNext w:val="0"/>
        <w:keepLines w:val="0"/>
        <w:pageBreakBefore w:val="0"/>
        <w:widowControl w:val="0"/>
        <w:tabs>
          <w:tab w:val="left" w:pos="0"/>
        </w:tabs>
        <w:kinsoku/>
        <w:wordWrap/>
        <w:overflowPunct/>
        <w:topLinePunct w:val="0"/>
        <w:autoSpaceDE/>
        <w:autoSpaceDN/>
        <w:bidi w:val="0"/>
        <w:adjustRightInd/>
        <w:snapToGrid/>
        <w:spacing w:before="120" w:before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评审因素：价格、技术、财务状况、信誉、业绩、服务、对磋商文件的响应程度，以及相应的比重或者权值等，但不包括第二章“磋商须知”第3.1</w:t>
      </w:r>
      <w:r>
        <w:rPr>
          <w:rFonts w:hint="eastAsia" w:ascii="宋体" w:hAnsi="宋体" w:eastAsia="宋体" w:cs="宋体"/>
          <w:color w:val="auto"/>
          <w:kern w:val="0"/>
          <w:sz w:val="21"/>
          <w:szCs w:val="21"/>
          <w:highlight w:val="none"/>
          <w:lang w:val="zh-CN"/>
        </w:rPr>
        <w:t>款</w:t>
      </w:r>
      <w:r>
        <w:rPr>
          <w:rFonts w:hint="eastAsia" w:ascii="宋体" w:hAnsi="宋体" w:eastAsia="宋体" w:cs="宋体"/>
          <w:color w:val="auto"/>
          <w:sz w:val="21"/>
          <w:szCs w:val="21"/>
          <w:highlight w:val="none"/>
        </w:rPr>
        <w:t>规定的供应商资格条件。</w:t>
      </w:r>
    </w:p>
    <w:p w14:paraId="290B459C">
      <w:pPr>
        <w:keepNext w:val="0"/>
        <w:keepLines w:val="0"/>
        <w:pageBreakBefore w:val="0"/>
        <w:widowControl w:val="0"/>
        <w:tabs>
          <w:tab w:val="left" w:pos="0"/>
        </w:tabs>
        <w:kinsoku/>
        <w:wordWrap/>
        <w:overflowPunct/>
        <w:topLinePunct w:val="0"/>
        <w:autoSpaceDE/>
        <w:autoSpaceDN/>
        <w:bidi w:val="0"/>
        <w:adjustRightInd/>
        <w:snapToGrid/>
        <w:spacing w:before="120" w:before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2.3</w:t>
      </w:r>
      <w:r>
        <w:rPr>
          <w:rFonts w:hint="eastAsia" w:ascii="宋体" w:hAnsi="宋体" w:eastAsia="宋体" w:cs="宋体"/>
          <w:color w:val="auto"/>
          <w:sz w:val="21"/>
          <w:szCs w:val="21"/>
          <w:highlight w:val="none"/>
        </w:rPr>
        <w:t>权值的取值范围见下表，本采购项目的权值见</w:t>
      </w:r>
      <w:r>
        <w:rPr>
          <w:rFonts w:hint="eastAsia" w:ascii="宋体" w:hAnsi="宋体" w:cs="宋体"/>
          <w:b/>
          <w:color w:val="auto"/>
          <w:sz w:val="21"/>
          <w:szCs w:val="21"/>
          <w:highlight w:val="none"/>
          <w:lang w:eastAsia="zh-CN"/>
        </w:rPr>
        <w:t>磋商须知前附表</w:t>
      </w:r>
      <w:r>
        <w:rPr>
          <w:rFonts w:hint="eastAsia" w:ascii="宋体" w:hAnsi="宋体" w:eastAsia="宋体" w:cs="宋体"/>
          <w:b/>
          <w:color w:val="auto"/>
          <w:sz w:val="21"/>
          <w:szCs w:val="21"/>
          <w:highlight w:val="none"/>
        </w:rPr>
        <w:t>。</w:t>
      </w:r>
    </w:p>
    <w:tbl>
      <w:tblPr>
        <w:tblStyle w:val="18"/>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3"/>
        <w:gridCol w:w="3688"/>
        <w:gridCol w:w="4138"/>
      </w:tblGrid>
      <w:tr w14:paraId="2D17F9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407" w:type="pct"/>
            <w:vAlign w:val="center"/>
          </w:tcPr>
          <w:p w14:paraId="12123F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164" w:type="pct"/>
            <w:vAlign w:val="center"/>
          </w:tcPr>
          <w:p w14:paraId="6FFED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     目</w:t>
            </w:r>
          </w:p>
        </w:tc>
        <w:tc>
          <w:tcPr>
            <w:tcW w:w="2428" w:type="pct"/>
            <w:vAlign w:val="center"/>
          </w:tcPr>
          <w:p w14:paraId="2C98B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分值</w:t>
            </w:r>
          </w:p>
        </w:tc>
      </w:tr>
      <w:tr w14:paraId="33DB6F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407" w:type="pct"/>
            <w:vAlign w:val="center"/>
          </w:tcPr>
          <w:p w14:paraId="7B3F9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164" w:type="pct"/>
            <w:vAlign w:val="center"/>
          </w:tcPr>
          <w:p w14:paraId="7BA9D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zh-CN"/>
              </w:rPr>
              <w:t>技术部分</w:t>
            </w:r>
          </w:p>
        </w:tc>
        <w:tc>
          <w:tcPr>
            <w:tcW w:w="2428" w:type="pct"/>
            <w:vAlign w:val="center"/>
          </w:tcPr>
          <w:p w14:paraId="6D56E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30</w:t>
            </w:r>
          </w:p>
        </w:tc>
      </w:tr>
      <w:tr w14:paraId="5604B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0" w:hRule="atLeast"/>
        </w:trPr>
        <w:tc>
          <w:tcPr>
            <w:tcW w:w="407" w:type="pct"/>
            <w:tcBorders>
              <w:bottom w:val="single" w:color="auto" w:sz="4" w:space="0"/>
            </w:tcBorders>
            <w:vAlign w:val="center"/>
          </w:tcPr>
          <w:p w14:paraId="2EAD75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164" w:type="pct"/>
            <w:tcBorders>
              <w:bottom w:val="single" w:color="auto" w:sz="4" w:space="0"/>
            </w:tcBorders>
            <w:vAlign w:val="center"/>
          </w:tcPr>
          <w:p w14:paraId="601FF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商务部分</w:t>
            </w:r>
          </w:p>
        </w:tc>
        <w:tc>
          <w:tcPr>
            <w:tcW w:w="2428" w:type="pct"/>
            <w:vAlign w:val="center"/>
          </w:tcPr>
          <w:p w14:paraId="66D0F5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10</w:t>
            </w:r>
          </w:p>
        </w:tc>
      </w:tr>
      <w:tr w14:paraId="4616E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 w:hRule="atLeast"/>
        </w:trPr>
        <w:tc>
          <w:tcPr>
            <w:tcW w:w="407" w:type="pct"/>
            <w:tcBorders>
              <w:top w:val="single" w:color="auto" w:sz="4" w:space="0"/>
            </w:tcBorders>
            <w:vAlign w:val="center"/>
          </w:tcPr>
          <w:p w14:paraId="6FA0F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164" w:type="pct"/>
            <w:tcBorders>
              <w:top w:val="single" w:color="auto" w:sz="4" w:space="0"/>
            </w:tcBorders>
            <w:vAlign w:val="center"/>
          </w:tcPr>
          <w:p w14:paraId="18B49F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价格</w:t>
            </w:r>
          </w:p>
        </w:tc>
        <w:tc>
          <w:tcPr>
            <w:tcW w:w="2428" w:type="pct"/>
            <w:vAlign w:val="center"/>
          </w:tcPr>
          <w:p w14:paraId="4C950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60</w:t>
            </w:r>
          </w:p>
        </w:tc>
      </w:tr>
      <w:tr w14:paraId="7C0739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rPr>
        <w:tc>
          <w:tcPr>
            <w:tcW w:w="2571" w:type="pct"/>
            <w:gridSpan w:val="2"/>
            <w:vAlign w:val="center"/>
          </w:tcPr>
          <w:p w14:paraId="47ADE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∑(1+2+3)=1</w:t>
            </w:r>
            <w:r>
              <w:rPr>
                <w:rFonts w:hint="eastAsia" w:ascii="宋体" w:hAnsi="宋体" w:eastAsia="宋体" w:cs="宋体"/>
                <w:color w:val="auto"/>
                <w:kern w:val="0"/>
                <w:sz w:val="21"/>
                <w:szCs w:val="21"/>
                <w:highlight w:val="none"/>
                <w:lang w:val="en-US" w:eastAsia="zh-CN"/>
              </w:rPr>
              <w:t>00</w:t>
            </w:r>
          </w:p>
        </w:tc>
        <w:tc>
          <w:tcPr>
            <w:tcW w:w="2428" w:type="pct"/>
            <w:vAlign w:val="center"/>
          </w:tcPr>
          <w:p w14:paraId="49C15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00</w:t>
            </w:r>
          </w:p>
        </w:tc>
      </w:tr>
    </w:tbl>
    <w:p w14:paraId="4FF70201">
      <w:pPr>
        <w:keepNext w:val="0"/>
        <w:keepLines w:val="0"/>
        <w:pageBreakBefore w:val="0"/>
        <w:tabs>
          <w:tab w:val="left" w:pos="0"/>
        </w:tabs>
        <w:kinsoku/>
        <w:wordWrap/>
        <w:overflowPunct/>
        <w:topLinePunct w:val="0"/>
        <w:autoSpaceDE/>
        <w:autoSpaceDN/>
        <w:bidi w:val="0"/>
        <w:adjustRightInd/>
        <w:snapToGrid/>
        <w:spacing w:before="157" w:beforeLines="50" w:line="360" w:lineRule="auto"/>
        <w:textAlignment w:val="auto"/>
        <w:rPr>
          <w:rFonts w:hint="eastAsia" w:ascii="宋体" w:hAnsi="宋体" w:eastAsia="宋体" w:cs="宋体"/>
          <w:b/>
          <w:bCs/>
          <w:color w:val="auto"/>
          <w:sz w:val="21"/>
          <w:szCs w:val="21"/>
          <w:highlight w:val="none"/>
        </w:rPr>
      </w:pPr>
      <w:bookmarkStart w:id="69" w:name="_Toc29572"/>
      <w:r>
        <w:rPr>
          <w:rFonts w:hint="eastAsia" w:ascii="宋体" w:hAnsi="宋体" w:eastAsia="宋体" w:cs="宋体"/>
          <w:b/>
          <w:bCs/>
          <w:color w:val="auto"/>
          <w:sz w:val="21"/>
          <w:szCs w:val="21"/>
          <w:highlight w:val="none"/>
        </w:rPr>
        <w:t>3.比较与评价</w:t>
      </w:r>
      <w:bookmarkEnd w:id="69"/>
    </w:p>
    <w:p w14:paraId="37C22F6A">
      <w:pPr>
        <w:keepNext w:val="0"/>
        <w:keepLines w:val="0"/>
        <w:pageBreakBefore w:val="0"/>
        <w:tabs>
          <w:tab w:val="left" w:pos="0"/>
        </w:tabs>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3.1磋商小组应按照磋商文件中规定的评审方法、标准和评标因素，对资格性检查和符合性检查合格的响应文件进行评估，综合比较与评价。</w:t>
      </w:r>
    </w:p>
    <w:p w14:paraId="6DA22142">
      <w:pPr>
        <w:keepNext w:val="0"/>
        <w:keepLines w:val="0"/>
        <w:pageBreakBefore w:val="0"/>
        <w:tabs>
          <w:tab w:val="left" w:pos="0"/>
        </w:tabs>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单一产品采购项目，提供相同品牌相同产品且通过资格审查、符合性审查的不同供应商参加同一合同项下投标的，按一家供应商计算，评审后得分最高的同品牌供应商获得中标人推荐资格，其他同品牌供应商不作为中标候选人。</w:t>
      </w:r>
    </w:p>
    <w:p w14:paraId="21D705E3">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（2）非单一产品采购项目，</w:t>
      </w:r>
      <w:r>
        <w:rPr>
          <w:rFonts w:hint="eastAsia" w:ascii="宋体" w:hAnsi="宋体"/>
          <w:bCs/>
          <w:color w:val="auto"/>
          <w:szCs w:val="21"/>
          <w:highlight w:val="none"/>
        </w:rPr>
        <w:t>多家投标人提供的核心产品品牌相同的，</w:t>
      </w:r>
      <w:r>
        <w:rPr>
          <w:rFonts w:hint="eastAsia" w:ascii="宋体" w:hAnsi="宋体" w:eastAsia="宋体" w:cs="宋体"/>
          <w:color w:val="auto"/>
          <w:sz w:val="21"/>
          <w:szCs w:val="21"/>
          <w:highlight w:val="none"/>
        </w:rPr>
        <w:t>按前款规定处理。</w:t>
      </w:r>
    </w:p>
    <w:p w14:paraId="53EE7955">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3.2最终</w:t>
      </w:r>
      <w:r>
        <w:rPr>
          <w:rFonts w:hint="eastAsia" w:ascii="宋体" w:hAnsi="宋体" w:eastAsia="宋体" w:cs="宋体"/>
          <w:color w:val="auto"/>
          <w:sz w:val="21"/>
          <w:szCs w:val="21"/>
          <w:highlight w:val="none"/>
        </w:rPr>
        <w:t>报价评价。磋商小组以最终报价为基础，</w:t>
      </w:r>
      <w:r>
        <w:rPr>
          <w:rFonts w:hint="eastAsia" w:ascii="宋体" w:hAnsi="宋体" w:eastAsia="宋体" w:cs="宋体"/>
          <w:color w:val="auto"/>
          <w:kern w:val="0"/>
          <w:sz w:val="21"/>
          <w:szCs w:val="21"/>
          <w:highlight w:val="none"/>
        </w:rPr>
        <w:t>依次</w:t>
      </w:r>
      <w:r>
        <w:rPr>
          <w:rFonts w:hint="eastAsia" w:ascii="宋体" w:hAnsi="宋体" w:eastAsia="宋体" w:cs="宋体"/>
          <w:color w:val="auto"/>
          <w:sz w:val="21"/>
          <w:szCs w:val="21"/>
          <w:highlight w:val="none"/>
        </w:rPr>
        <w:t>对最终报价进行</w:t>
      </w:r>
      <w:r>
        <w:rPr>
          <w:rFonts w:hint="eastAsia" w:ascii="宋体" w:hAnsi="宋体" w:eastAsia="宋体" w:cs="宋体"/>
          <w:color w:val="auto"/>
          <w:kern w:val="0"/>
          <w:sz w:val="21"/>
          <w:szCs w:val="21"/>
          <w:highlight w:val="none"/>
        </w:rPr>
        <w:t>算术</w:t>
      </w:r>
      <w:r>
        <w:rPr>
          <w:rFonts w:hint="eastAsia" w:ascii="宋体" w:hAnsi="宋体" w:eastAsia="宋体" w:cs="宋体"/>
          <w:color w:val="auto"/>
          <w:sz w:val="21"/>
          <w:szCs w:val="21"/>
          <w:highlight w:val="none"/>
        </w:rPr>
        <w:t>修正和政府采购政策优惠价格扣除计算。</w:t>
      </w:r>
    </w:p>
    <w:p w14:paraId="256E8EB9">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3.3</w:t>
      </w:r>
      <w:r>
        <w:rPr>
          <w:rFonts w:hint="eastAsia" w:ascii="宋体" w:hAnsi="宋体" w:eastAsia="宋体" w:cs="宋体"/>
          <w:color w:val="auto"/>
          <w:kern w:val="0"/>
          <w:sz w:val="21"/>
          <w:szCs w:val="21"/>
          <w:highlight w:val="none"/>
        </w:rPr>
        <w:t>价格分采用低价优先法计算，即满足磋商文件要求且最终报价最低的价格为评审基准价，其价格分为满分，其他</w:t>
      </w:r>
      <w:r>
        <w:rPr>
          <w:rFonts w:hint="eastAsia" w:ascii="宋体" w:hAnsi="宋体" w:eastAsia="宋体" w:cs="宋体"/>
          <w:color w:val="auto"/>
          <w:sz w:val="21"/>
          <w:szCs w:val="21"/>
          <w:highlight w:val="none"/>
        </w:rPr>
        <w:t>有效</w:t>
      </w:r>
      <w:r>
        <w:rPr>
          <w:rFonts w:hint="eastAsia" w:ascii="宋体" w:hAnsi="宋体" w:eastAsia="宋体" w:cs="宋体"/>
          <w:color w:val="auto"/>
          <w:kern w:val="0"/>
          <w:sz w:val="21"/>
          <w:szCs w:val="21"/>
          <w:highlight w:val="none"/>
        </w:rPr>
        <w:t>供应商的价格分按照下列公式计算：</w:t>
      </w:r>
    </w:p>
    <w:p w14:paraId="2D0E5B9D">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最终报价得分=(评审基准价／最终报价)×价格权值</w:t>
      </w:r>
    </w:p>
    <w:p w14:paraId="1EAB4109">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rPr>
        <w:t>本项所称最终报价为按</w:t>
      </w:r>
      <w:r>
        <w:rPr>
          <w:rFonts w:hint="eastAsia" w:ascii="宋体" w:hAnsi="宋体" w:eastAsia="宋体" w:cs="宋体"/>
          <w:bCs/>
          <w:color w:val="auto"/>
          <w:sz w:val="21"/>
          <w:szCs w:val="21"/>
          <w:highlight w:val="none"/>
        </w:rPr>
        <w:t>本章第3.2</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w:t>
      </w:r>
      <w:r>
        <w:rPr>
          <w:rFonts w:hint="eastAsia" w:ascii="宋体" w:hAnsi="宋体" w:eastAsia="宋体" w:cs="宋体"/>
          <w:color w:val="auto"/>
          <w:sz w:val="21"/>
          <w:szCs w:val="21"/>
          <w:highlight w:val="none"/>
        </w:rPr>
        <w:t>价值扣除后的最终报价。</w:t>
      </w:r>
    </w:p>
    <w:p w14:paraId="3E2FE98F">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3.4</w:t>
      </w:r>
      <w:r>
        <w:rPr>
          <w:rFonts w:hint="eastAsia" w:ascii="宋体" w:hAnsi="宋体" w:eastAsia="宋体" w:cs="宋体"/>
          <w:color w:val="auto"/>
          <w:sz w:val="21"/>
          <w:szCs w:val="21"/>
          <w:highlight w:val="none"/>
        </w:rPr>
        <w:t>涉及政府采购政策优惠的，</w:t>
      </w:r>
      <w:r>
        <w:rPr>
          <w:rFonts w:hint="eastAsia" w:ascii="宋体" w:hAnsi="宋体" w:eastAsia="宋体" w:cs="宋体"/>
          <w:bCs/>
          <w:color w:val="auto"/>
          <w:sz w:val="21"/>
          <w:szCs w:val="21"/>
          <w:highlight w:val="none"/>
        </w:rPr>
        <w:t>按</w:t>
      </w:r>
      <w:r>
        <w:rPr>
          <w:rFonts w:hint="eastAsia" w:ascii="宋体" w:hAnsi="宋体" w:cs="宋体"/>
          <w:b/>
          <w:color w:val="auto"/>
          <w:sz w:val="21"/>
          <w:szCs w:val="21"/>
          <w:highlight w:val="none"/>
          <w:lang w:eastAsia="zh-CN"/>
        </w:rPr>
        <w:t>磋商须知前附表</w:t>
      </w:r>
      <w:r>
        <w:rPr>
          <w:rFonts w:hint="eastAsia" w:ascii="宋体" w:hAnsi="宋体" w:eastAsia="宋体" w:cs="宋体"/>
          <w:bCs/>
          <w:color w:val="auto"/>
          <w:sz w:val="21"/>
          <w:szCs w:val="21"/>
          <w:highlight w:val="none"/>
        </w:rPr>
        <w:t>规定</w:t>
      </w:r>
      <w:r>
        <w:rPr>
          <w:rFonts w:hint="eastAsia" w:ascii="宋体" w:hAnsi="宋体" w:eastAsia="宋体" w:cs="宋体"/>
          <w:color w:val="auto"/>
          <w:sz w:val="21"/>
          <w:szCs w:val="21"/>
          <w:highlight w:val="none"/>
        </w:rPr>
        <w:t>调整供应商的技术、价格</w:t>
      </w:r>
      <w:r>
        <w:rPr>
          <w:rFonts w:hint="eastAsia" w:ascii="宋体" w:hAnsi="宋体" w:eastAsia="宋体" w:cs="宋体"/>
          <w:color w:val="auto"/>
          <w:kern w:val="0"/>
          <w:sz w:val="21"/>
          <w:szCs w:val="21"/>
          <w:highlight w:val="none"/>
        </w:rPr>
        <w:t>得分或总得分</w:t>
      </w:r>
      <w:r>
        <w:rPr>
          <w:rFonts w:hint="eastAsia" w:ascii="宋体" w:hAnsi="宋体" w:eastAsia="宋体" w:cs="宋体"/>
          <w:color w:val="auto"/>
          <w:sz w:val="21"/>
          <w:szCs w:val="21"/>
          <w:highlight w:val="none"/>
        </w:rPr>
        <w:t>。</w:t>
      </w:r>
    </w:p>
    <w:p w14:paraId="6ABBBB20">
      <w:pPr>
        <w:keepNext w:val="0"/>
        <w:keepLines w:val="0"/>
        <w:pageBreakBefore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3.5涉及多处获得政府采购政策优惠的，涉及调整得分的，</w:t>
      </w:r>
      <w:r>
        <w:rPr>
          <w:rFonts w:hint="eastAsia" w:ascii="宋体" w:hAnsi="宋体" w:eastAsia="宋体" w:cs="宋体"/>
          <w:color w:val="auto"/>
          <w:kern w:val="0"/>
          <w:sz w:val="21"/>
          <w:szCs w:val="21"/>
          <w:highlight w:val="none"/>
        </w:rPr>
        <w:t>按</w:t>
      </w:r>
      <w:r>
        <w:rPr>
          <w:rFonts w:hint="eastAsia" w:ascii="宋体" w:hAnsi="宋体" w:eastAsia="宋体" w:cs="宋体"/>
          <w:bCs/>
          <w:color w:val="auto"/>
          <w:sz w:val="21"/>
          <w:szCs w:val="21"/>
          <w:highlight w:val="none"/>
        </w:rPr>
        <w:t>本章第3.4</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w:t>
      </w:r>
      <w:r>
        <w:rPr>
          <w:rFonts w:hint="eastAsia" w:ascii="宋体" w:hAnsi="宋体" w:eastAsia="宋体" w:cs="宋体"/>
          <w:color w:val="auto"/>
          <w:sz w:val="21"/>
          <w:szCs w:val="21"/>
          <w:highlight w:val="none"/>
        </w:rPr>
        <w:t>调整得分；涉及调整价格的，</w:t>
      </w:r>
      <w:r>
        <w:rPr>
          <w:rFonts w:hint="eastAsia" w:ascii="宋体" w:hAnsi="宋体" w:eastAsia="宋体" w:cs="宋体"/>
          <w:color w:val="auto"/>
          <w:kern w:val="0"/>
          <w:sz w:val="21"/>
          <w:szCs w:val="21"/>
          <w:highlight w:val="none"/>
        </w:rPr>
        <w:t>按</w:t>
      </w:r>
      <w:r>
        <w:rPr>
          <w:rFonts w:hint="eastAsia" w:ascii="宋体" w:hAnsi="宋体" w:eastAsia="宋体" w:cs="宋体"/>
          <w:bCs/>
          <w:color w:val="auto"/>
          <w:sz w:val="21"/>
          <w:szCs w:val="21"/>
          <w:highlight w:val="none"/>
        </w:rPr>
        <w:t>本章第3.2</w:t>
      </w:r>
      <w:r>
        <w:rPr>
          <w:rFonts w:hint="eastAsia" w:ascii="宋体" w:hAnsi="宋体" w:eastAsia="宋体" w:cs="宋体"/>
          <w:color w:val="auto"/>
          <w:kern w:val="0"/>
          <w:sz w:val="21"/>
          <w:szCs w:val="21"/>
          <w:highlight w:val="none"/>
          <w:lang w:val="zh-CN"/>
        </w:rPr>
        <w:t>款</w:t>
      </w:r>
      <w:r>
        <w:rPr>
          <w:rFonts w:hint="eastAsia" w:ascii="宋体" w:hAnsi="宋体" w:eastAsia="宋体" w:cs="宋体"/>
          <w:bCs/>
          <w:color w:val="auto"/>
          <w:sz w:val="21"/>
          <w:szCs w:val="21"/>
          <w:highlight w:val="none"/>
        </w:rPr>
        <w:t>规定</w:t>
      </w:r>
      <w:r>
        <w:rPr>
          <w:rFonts w:hint="eastAsia" w:ascii="宋体" w:hAnsi="宋体" w:eastAsia="宋体" w:cs="宋体"/>
          <w:color w:val="auto"/>
          <w:sz w:val="21"/>
          <w:szCs w:val="21"/>
          <w:highlight w:val="none"/>
        </w:rPr>
        <w:t>调整价格。综合调整见</w:t>
      </w:r>
      <w:r>
        <w:rPr>
          <w:rFonts w:hint="eastAsia" w:ascii="宋体" w:hAnsi="宋体" w:cs="宋体"/>
          <w:b/>
          <w:color w:val="auto"/>
          <w:sz w:val="21"/>
          <w:szCs w:val="21"/>
          <w:highlight w:val="none"/>
          <w:lang w:eastAsia="zh-CN"/>
        </w:rPr>
        <w:t>磋商须知前附表</w:t>
      </w:r>
      <w:r>
        <w:rPr>
          <w:rFonts w:hint="eastAsia" w:ascii="宋体" w:hAnsi="宋体" w:eastAsia="宋体" w:cs="宋体"/>
          <w:color w:val="auto"/>
          <w:sz w:val="21"/>
          <w:szCs w:val="21"/>
          <w:highlight w:val="none"/>
        </w:rPr>
        <w:t>相关规定。</w:t>
      </w:r>
    </w:p>
    <w:p w14:paraId="49195CF8">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3.6</w:t>
      </w:r>
      <w:r>
        <w:rPr>
          <w:rFonts w:hint="eastAsia" w:ascii="宋体" w:hAnsi="宋体" w:eastAsia="宋体" w:cs="宋体"/>
          <w:color w:val="auto"/>
          <w:sz w:val="21"/>
          <w:szCs w:val="21"/>
          <w:highlight w:val="none"/>
        </w:rPr>
        <w:t>评审时，磋商小组各成员应当独立对每个供应商的</w:t>
      </w:r>
      <w:r>
        <w:rPr>
          <w:rFonts w:hint="eastAsia" w:ascii="宋体" w:hAnsi="宋体" w:eastAsia="宋体" w:cs="宋体"/>
          <w:bCs/>
          <w:color w:val="auto"/>
          <w:sz w:val="21"/>
          <w:szCs w:val="21"/>
          <w:highlight w:val="none"/>
        </w:rPr>
        <w:t>响应文件</w:t>
      </w:r>
      <w:r>
        <w:rPr>
          <w:rFonts w:hint="eastAsia" w:ascii="宋体" w:hAnsi="宋体" w:eastAsia="宋体" w:cs="宋体"/>
          <w:color w:val="auto"/>
          <w:sz w:val="21"/>
          <w:szCs w:val="21"/>
          <w:highlight w:val="none"/>
        </w:rPr>
        <w:t>进行评价、评分，然后汇总每个供应商项评分因素的得分。</w:t>
      </w:r>
    </w:p>
    <w:p w14:paraId="2DC6F851">
      <w:pPr>
        <w:keepNext w:val="0"/>
        <w:keepLines w:val="0"/>
        <w:pageBreakBefore w:val="0"/>
        <w:widowControl/>
        <w:kinsoku/>
        <w:wordWrap/>
        <w:overflowPunct/>
        <w:topLinePunct w:val="0"/>
        <w:autoSpaceDE/>
        <w:autoSpaceDN/>
        <w:bidi w:val="0"/>
        <w:adjustRightInd/>
        <w:snapToGrid/>
        <w:spacing w:before="157" w:beforeLines="50" w:line="360" w:lineRule="auto"/>
        <w:ind w:firstLine="420" w:firstLineChars="20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sz w:val="21"/>
          <w:szCs w:val="21"/>
          <w:highlight w:val="none"/>
        </w:rPr>
        <w:t>3.7</w:t>
      </w:r>
      <w:r>
        <w:rPr>
          <w:rFonts w:hint="eastAsia" w:ascii="宋体" w:hAnsi="宋体" w:eastAsia="宋体" w:cs="宋体"/>
          <w:b/>
          <w:bCs/>
          <w:color w:val="auto"/>
          <w:kern w:val="0"/>
          <w:sz w:val="21"/>
          <w:szCs w:val="21"/>
          <w:highlight w:val="none"/>
        </w:rPr>
        <w:t>资格评审表</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4197"/>
        <w:gridCol w:w="905"/>
        <w:gridCol w:w="905"/>
        <w:gridCol w:w="905"/>
        <w:gridCol w:w="913"/>
      </w:tblGrid>
      <w:tr w14:paraId="02C7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vMerge w:val="restart"/>
            <w:tcBorders>
              <w:top w:val="single" w:color="auto" w:sz="4" w:space="0"/>
              <w:left w:val="single" w:color="auto" w:sz="4" w:space="0"/>
              <w:right w:val="single" w:color="auto" w:sz="4" w:space="0"/>
            </w:tcBorders>
            <w:vAlign w:val="center"/>
          </w:tcPr>
          <w:p w14:paraId="2A473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462" w:type="pct"/>
            <w:vMerge w:val="restart"/>
            <w:tcBorders>
              <w:top w:val="single" w:color="auto" w:sz="4" w:space="0"/>
              <w:left w:val="single" w:color="auto" w:sz="4" w:space="0"/>
              <w:right w:val="single" w:color="auto" w:sz="4" w:space="0"/>
            </w:tcBorders>
            <w:vAlign w:val="center"/>
          </w:tcPr>
          <w:p w14:paraId="73D64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检查内容</w:t>
            </w:r>
          </w:p>
        </w:tc>
        <w:tc>
          <w:tcPr>
            <w:tcW w:w="2129" w:type="pct"/>
            <w:gridSpan w:val="4"/>
            <w:tcBorders>
              <w:top w:val="single" w:color="auto" w:sz="4" w:space="0"/>
              <w:left w:val="single" w:color="auto" w:sz="4" w:space="0"/>
              <w:right w:val="single" w:color="auto" w:sz="4" w:space="0"/>
            </w:tcBorders>
            <w:vAlign w:val="center"/>
          </w:tcPr>
          <w:p w14:paraId="179282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p>
        </w:tc>
      </w:tr>
      <w:tr w14:paraId="66EF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vMerge w:val="continue"/>
            <w:tcBorders>
              <w:left w:val="single" w:color="auto" w:sz="4" w:space="0"/>
              <w:right w:val="single" w:color="auto" w:sz="4" w:space="0"/>
            </w:tcBorders>
            <w:vAlign w:val="center"/>
          </w:tcPr>
          <w:p w14:paraId="08668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2462" w:type="pct"/>
            <w:vMerge w:val="continue"/>
            <w:tcBorders>
              <w:left w:val="single" w:color="auto" w:sz="4" w:space="0"/>
              <w:right w:val="single" w:color="auto" w:sz="4" w:space="0"/>
            </w:tcBorders>
            <w:vAlign w:val="center"/>
          </w:tcPr>
          <w:p w14:paraId="0F004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top w:val="single" w:color="auto" w:sz="4" w:space="0"/>
              <w:left w:val="single" w:color="auto" w:sz="4" w:space="0"/>
              <w:right w:val="single" w:color="auto" w:sz="4" w:space="0"/>
            </w:tcBorders>
            <w:vAlign w:val="center"/>
          </w:tcPr>
          <w:p w14:paraId="1E896D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top w:val="single" w:color="auto" w:sz="4" w:space="0"/>
              <w:left w:val="single" w:color="auto" w:sz="4" w:space="0"/>
              <w:right w:val="single" w:color="auto" w:sz="4" w:space="0"/>
            </w:tcBorders>
            <w:vAlign w:val="center"/>
          </w:tcPr>
          <w:p w14:paraId="4A5AC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top w:val="single" w:color="auto" w:sz="4" w:space="0"/>
              <w:left w:val="single" w:color="auto" w:sz="4" w:space="0"/>
              <w:right w:val="single" w:color="auto" w:sz="4" w:space="0"/>
            </w:tcBorders>
            <w:vAlign w:val="center"/>
          </w:tcPr>
          <w:p w14:paraId="5A7B1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top w:val="single" w:color="auto" w:sz="4" w:space="0"/>
              <w:left w:val="single" w:color="auto" w:sz="4" w:space="0"/>
              <w:right w:val="single" w:color="auto" w:sz="4" w:space="0"/>
            </w:tcBorders>
            <w:vAlign w:val="center"/>
          </w:tcPr>
          <w:p w14:paraId="558AD7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1D9B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4D38D4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6379D5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供应商的投标报价不得超过采购预算，也不得超过最高限价(如果设定)，否则其</w:t>
            </w:r>
            <w:r>
              <w:rPr>
                <w:rFonts w:hint="eastAsia" w:ascii="宋体" w:hAnsi="宋体" w:eastAsia="宋体" w:cs="宋体"/>
                <w:b/>
                <w:color w:val="auto"/>
                <w:sz w:val="21"/>
                <w:szCs w:val="21"/>
                <w:highlight w:val="none"/>
              </w:rPr>
              <w:t>投标无效。</w:t>
            </w:r>
          </w:p>
        </w:tc>
        <w:tc>
          <w:tcPr>
            <w:tcW w:w="531" w:type="pct"/>
            <w:tcBorders>
              <w:left w:val="single" w:color="auto" w:sz="4" w:space="0"/>
              <w:right w:val="single" w:color="auto" w:sz="4" w:space="0"/>
            </w:tcBorders>
            <w:vAlign w:val="center"/>
          </w:tcPr>
          <w:p w14:paraId="2E0E1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E255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5474A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321618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0F96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6D8A4F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73679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磋商保证金是否</w:t>
            </w:r>
            <w:r>
              <w:rPr>
                <w:rFonts w:hint="eastAsia" w:ascii="宋体" w:hAnsi="宋体" w:eastAsia="宋体" w:cs="宋体"/>
                <w:color w:val="auto"/>
                <w:sz w:val="21"/>
                <w:szCs w:val="21"/>
                <w:highlight w:val="none"/>
                <w:lang w:val="en-US" w:eastAsia="zh-CN"/>
              </w:rPr>
              <w:t>按规定</w:t>
            </w:r>
            <w:r>
              <w:rPr>
                <w:rFonts w:hint="eastAsia" w:ascii="宋体" w:hAnsi="宋体" w:eastAsia="宋体" w:cs="宋体"/>
                <w:color w:val="auto"/>
                <w:sz w:val="21"/>
                <w:szCs w:val="21"/>
                <w:highlight w:val="none"/>
              </w:rPr>
              <w:t>提交</w:t>
            </w:r>
          </w:p>
        </w:tc>
        <w:tc>
          <w:tcPr>
            <w:tcW w:w="531" w:type="pct"/>
            <w:tcBorders>
              <w:left w:val="single" w:color="auto" w:sz="4" w:space="0"/>
              <w:right w:val="single" w:color="auto" w:sz="4" w:space="0"/>
            </w:tcBorders>
            <w:vAlign w:val="center"/>
          </w:tcPr>
          <w:p w14:paraId="5BC24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2F8DF1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39215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173173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21AD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1FA50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62" w:type="pct"/>
            <w:tcBorders>
              <w:top w:val="single" w:color="auto" w:sz="4" w:space="0"/>
              <w:left w:val="single" w:color="auto" w:sz="4" w:space="0"/>
              <w:bottom w:val="single" w:color="auto" w:sz="4" w:space="0"/>
              <w:right w:val="single" w:color="auto" w:sz="4" w:space="0"/>
            </w:tcBorders>
            <w:vAlign w:val="center"/>
          </w:tcPr>
          <w:p w14:paraId="7039E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法定代表人身份证明或附法定代表人身份证明的法定代表人授权书</w:t>
            </w:r>
          </w:p>
        </w:tc>
        <w:tc>
          <w:tcPr>
            <w:tcW w:w="531" w:type="pct"/>
            <w:tcBorders>
              <w:left w:val="single" w:color="auto" w:sz="4" w:space="0"/>
              <w:right w:val="single" w:color="auto" w:sz="4" w:space="0"/>
            </w:tcBorders>
            <w:vAlign w:val="center"/>
          </w:tcPr>
          <w:p w14:paraId="711E1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1B6A1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C293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41ED68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519F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6F745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62" w:type="pct"/>
            <w:tcBorders>
              <w:top w:val="single" w:color="auto" w:sz="4" w:space="0"/>
              <w:left w:val="single" w:color="auto" w:sz="4" w:space="0"/>
              <w:bottom w:val="single" w:color="auto" w:sz="4" w:space="0"/>
              <w:right w:val="single" w:color="auto" w:sz="4" w:space="0"/>
            </w:tcBorders>
            <w:vAlign w:val="center"/>
          </w:tcPr>
          <w:p w14:paraId="13FAA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企业营业执照（处于有效期内）</w:t>
            </w:r>
          </w:p>
        </w:tc>
        <w:tc>
          <w:tcPr>
            <w:tcW w:w="531" w:type="pct"/>
            <w:tcBorders>
              <w:left w:val="single" w:color="auto" w:sz="4" w:space="0"/>
              <w:right w:val="single" w:color="auto" w:sz="4" w:space="0"/>
            </w:tcBorders>
            <w:vAlign w:val="center"/>
          </w:tcPr>
          <w:p w14:paraId="3DA9C5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E0C2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594B7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618E7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56B3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vAlign w:val="center"/>
          </w:tcPr>
          <w:p w14:paraId="0E3D10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7899A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湖南省政府采购供应商资格承诺函是否按</w:t>
            </w:r>
            <w:r>
              <w:rPr>
                <w:rFonts w:hint="eastAsia" w:ascii="宋体" w:hAnsi="宋体" w:cs="宋体"/>
                <w:color w:val="auto"/>
                <w:kern w:val="0"/>
                <w:sz w:val="21"/>
                <w:szCs w:val="21"/>
                <w:highlight w:val="none"/>
                <w:lang w:val="en-US" w:eastAsia="zh-CN"/>
              </w:rPr>
              <w:t>磋商</w:t>
            </w:r>
            <w:r>
              <w:rPr>
                <w:rFonts w:hint="eastAsia" w:ascii="宋体" w:hAnsi="宋体" w:eastAsia="宋体" w:cs="宋体"/>
                <w:color w:val="auto"/>
                <w:kern w:val="0"/>
                <w:sz w:val="21"/>
                <w:szCs w:val="21"/>
                <w:highlight w:val="none"/>
              </w:rPr>
              <w:t>文件要求提供</w:t>
            </w:r>
          </w:p>
        </w:tc>
        <w:tc>
          <w:tcPr>
            <w:tcW w:w="531" w:type="pct"/>
            <w:tcBorders>
              <w:left w:val="single" w:color="auto" w:sz="4" w:space="0"/>
              <w:right w:val="single" w:color="auto" w:sz="4" w:space="0"/>
            </w:tcBorders>
            <w:shd w:val="clear" w:color="auto" w:fill="auto"/>
            <w:vAlign w:val="center"/>
          </w:tcPr>
          <w:p w14:paraId="7D7C2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kern w:val="0"/>
                <w:sz w:val="21"/>
                <w:szCs w:val="21"/>
                <w:highlight w:val="none"/>
              </w:rPr>
            </w:pPr>
          </w:p>
        </w:tc>
        <w:tc>
          <w:tcPr>
            <w:tcW w:w="531" w:type="pct"/>
            <w:tcBorders>
              <w:left w:val="single" w:color="auto" w:sz="4" w:space="0"/>
              <w:right w:val="single" w:color="auto" w:sz="4" w:space="0"/>
            </w:tcBorders>
            <w:vAlign w:val="center"/>
          </w:tcPr>
          <w:p w14:paraId="3E8D1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C111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70EF53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50C0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2BD5C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0B9C2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是否符合特定资格条件证明材料复印件（如有）</w:t>
            </w:r>
          </w:p>
        </w:tc>
        <w:tc>
          <w:tcPr>
            <w:tcW w:w="531" w:type="pct"/>
            <w:tcBorders>
              <w:left w:val="single" w:color="auto" w:sz="4" w:space="0"/>
              <w:right w:val="single" w:color="auto" w:sz="4" w:space="0"/>
            </w:tcBorders>
            <w:shd w:val="clear" w:color="auto" w:fill="auto"/>
            <w:vAlign w:val="center"/>
          </w:tcPr>
          <w:p w14:paraId="1E547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kern w:val="0"/>
                <w:sz w:val="21"/>
                <w:szCs w:val="21"/>
                <w:highlight w:val="none"/>
              </w:rPr>
            </w:pPr>
          </w:p>
        </w:tc>
        <w:tc>
          <w:tcPr>
            <w:tcW w:w="531" w:type="pct"/>
            <w:tcBorders>
              <w:left w:val="single" w:color="auto" w:sz="4" w:space="0"/>
              <w:right w:val="single" w:color="auto" w:sz="4" w:space="0"/>
            </w:tcBorders>
            <w:vAlign w:val="center"/>
          </w:tcPr>
          <w:p w14:paraId="678F3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68B81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31E74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0255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7375A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13CAA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响应文件签名、签章等是否符合要求</w:t>
            </w:r>
          </w:p>
        </w:tc>
        <w:tc>
          <w:tcPr>
            <w:tcW w:w="531" w:type="pct"/>
            <w:tcBorders>
              <w:left w:val="single" w:color="auto" w:sz="4" w:space="0"/>
              <w:right w:val="single" w:color="auto" w:sz="4" w:space="0"/>
            </w:tcBorders>
            <w:vAlign w:val="center"/>
          </w:tcPr>
          <w:p w14:paraId="18E88E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273C6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3412E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6B664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7122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1DCFF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8</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7B02C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信用信息查询结果</w:t>
            </w:r>
          </w:p>
        </w:tc>
        <w:tc>
          <w:tcPr>
            <w:tcW w:w="531" w:type="pct"/>
            <w:tcBorders>
              <w:left w:val="single" w:color="auto" w:sz="4" w:space="0"/>
              <w:right w:val="single" w:color="auto" w:sz="4" w:space="0"/>
            </w:tcBorders>
            <w:vAlign w:val="center"/>
          </w:tcPr>
          <w:p w14:paraId="3ACA72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3044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15F10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35F37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3086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71184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31D24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本次磋商不接受联合体投标</w:t>
            </w:r>
          </w:p>
        </w:tc>
        <w:tc>
          <w:tcPr>
            <w:tcW w:w="531" w:type="pct"/>
            <w:tcBorders>
              <w:left w:val="single" w:color="auto" w:sz="4" w:space="0"/>
              <w:right w:val="single" w:color="auto" w:sz="4" w:space="0"/>
            </w:tcBorders>
            <w:vAlign w:val="center"/>
          </w:tcPr>
          <w:p w14:paraId="03BCE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1A68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5ABE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720CAB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5977F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4A4C42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3B42A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磋商响应声明</w:t>
            </w:r>
          </w:p>
        </w:tc>
        <w:tc>
          <w:tcPr>
            <w:tcW w:w="531" w:type="pct"/>
            <w:tcBorders>
              <w:left w:val="single" w:color="auto" w:sz="4" w:space="0"/>
              <w:right w:val="single" w:color="auto" w:sz="4" w:space="0"/>
            </w:tcBorders>
            <w:vAlign w:val="center"/>
          </w:tcPr>
          <w:p w14:paraId="5F0C5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08FE1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3AFF1E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34E3E9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14E6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7" w:type="pct"/>
            <w:tcBorders>
              <w:top w:val="single" w:color="auto" w:sz="4" w:space="0"/>
              <w:left w:val="single" w:color="auto" w:sz="4" w:space="0"/>
              <w:bottom w:val="single" w:color="auto" w:sz="4" w:space="0"/>
              <w:right w:val="single" w:color="auto" w:sz="4" w:space="0"/>
            </w:tcBorders>
            <w:shd w:val="clear" w:color="auto" w:fill="auto"/>
            <w:vAlign w:val="center"/>
          </w:tcPr>
          <w:p w14:paraId="7FE07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462" w:type="pct"/>
            <w:tcBorders>
              <w:top w:val="single" w:color="auto" w:sz="4" w:space="0"/>
              <w:left w:val="single" w:color="auto" w:sz="4" w:space="0"/>
              <w:bottom w:val="single" w:color="auto" w:sz="4" w:space="0"/>
              <w:right w:val="single" w:color="auto" w:sz="4" w:space="0"/>
            </w:tcBorders>
            <w:shd w:val="clear" w:color="auto" w:fill="auto"/>
            <w:vAlign w:val="center"/>
          </w:tcPr>
          <w:p w14:paraId="22EDA8A3">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kern w:val="2"/>
                <w:sz w:val="21"/>
                <w:szCs w:val="21"/>
                <w:highlight w:val="none"/>
                <w:lang w:val="ru-RU"/>
              </w:rPr>
            </w:pPr>
            <w:r>
              <w:rPr>
                <w:rFonts w:hint="eastAsia" w:ascii="宋体" w:hAnsi="宋体" w:eastAsia="宋体" w:cs="宋体"/>
                <w:color w:val="auto"/>
                <w:kern w:val="2"/>
                <w:sz w:val="21"/>
                <w:szCs w:val="21"/>
                <w:highlight w:val="none"/>
                <w:lang w:val="ru-RU"/>
              </w:rPr>
              <w:t>是否存在不</w:t>
            </w:r>
            <w:r>
              <w:rPr>
                <w:rFonts w:hint="eastAsia" w:ascii="宋体" w:hAnsi="宋体" w:eastAsia="宋体" w:cs="宋体"/>
                <w:color w:val="auto"/>
                <w:kern w:val="2"/>
                <w:sz w:val="21"/>
                <w:szCs w:val="21"/>
                <w:highlight w:val="none"/>
                <w:lang w:val="ru-RU" w:eastAsia="ru-RU"/>
              </w:rPr>
              <w:t>符合法律、规章、规范性文件和</w:t>
            </w:r>
            <w:r>
              <w:rPr>
                <w:rFonts w:hint="eastAsia" w:ascii="宋体" w:hAnsi="宋体" w:eastAsia="宋体" w:cs="宋体"/>
                <w:color w:val="auto"/>
                <w:kern w:val="2"/>
                <w:sz w:val="21"/>
                <w:szCs w:val="21"/>
                <w:highlight w:val="none"/>
                <w:lang w:val="ru-RU"/>
              </w:rPr>
              <w:t>磋商</w:t>
            </w:r>
            <w:r>
              <w:rPr>
                <w:rFonts w:hint="eastAsia" w:ascii="宋体" w:hAnsi="宋体" w:eastAsia="宋体" w:cs="宋体"/>
                <w:color w:val="auto"/>
                <w:kern w:val="2"/>
                <w:sz w:val="21"/>
                <w:szCs w:val="21"/>
                <w:highlight w:val="none"/>
                <w:lang w:val="ru-RU" w:eastAsia="ru-RU"/>
              </w:rPr>
              <w:t>文件</w:t>
            </w:r>
            <w:r>
              <w:rPr>
                <w:rFonts w:hint="eastAsia" w:ascii="宋体" w:hAnsi="宋体" w:eastAsia="宋体" w:cs="宋体"/>
                <w:color w:val="auto"/>
                <w:kern w:val="2"/>
                <w:sz w:val="21"/>
                <w:szCs w:val="21"/>
                <w:highlight w:val="none"/>
                <w:lang w:val="ru-RU"/>
              </w:rPr>
              <w:t>的</w:t>
            </w:r>
            <w:r>
              <w:rPr>
                <w:rFonts w:hint="eastAsia" w:ascii="宋体" w:hAnsi="宋体" w:eastAsia="宋体" w:cs="宋体"/>
                <w:color w:val="auto"/>
                <w:kern w:val="2"/>
                <w:sz w:val="21"/>
                <w:szCs w:val="21"/>
                <w:highlight w:val="none"/>
                <w:lang w:val="ru-RU" w:eastAsia="ru-RU"/>
              </w:rPr>
              <w:t>规定</w:t>
            </w:r>
          </w:p>
        </w:tc>
        <w:tc>
          <w:tcPr>
            <w:tcW w:w="531" w:type="pct"/>
            <w:tcBorders>
              <w:left w:val="single" w:color="auto" w:sz="4" w:space="0"/>
              <w:right w:val="single" w:color="auto" w:sz="4" w:space="0"/>
            </w:tcBorders>
            <w:vAlign w:val="center"/>
          </w:tcPr>
          <w:p w14:paraId="11C8C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CCD2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3F2CA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605D5A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r w14:paraId="11B2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870" w:type="pct"/>
            <w:gridSpan w:val="2"/>
            <w:tcBorders>
              <w:top w:val="single" w:color="auto" w:sz="4" w:space="0"/>
              <w:left w:val="single" w:color="auto" w:sz="4" w:space="0"/>
              <w:bottom w:val="single" w:color="auto" w:sz="4" w:space="0"/>
              <w:right w:val="single" w:color="auto" w:sz="4" w:space="0"/>
            </w:tcBorders>
            <w:vAlign w:val="center"/>
          </w:tcPr>
          <w:p w14:paraId="15183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评审结论（合格或不合格）</w:t>
            </w:r>
          </w:p>
        </w:tc>
        <w:tc>
          <w:tcPr>
            <w:tcW w:w="531" w:type="pct"/>
            <w:tcBorders>
              <w:left w:val="single" w:color="auto" w:sz="4" w:space="0"/>
              <w:right w:val="single" w:color="auto" w:sz="4" w:space="0"/>
            </w:tcBorders>
            <w:vAlign w:val="center"/>
          </w:tcPr>
          <w:p w14:paraId="6DD13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732E8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1" w:type="pct"/>
            <w:tcBorders>
              <w:left w:val="single" w:color="auto" w:sz="4" w:space="0"/>
              <w:right w:val="single" w:color="auto" w:sz="4" w:space="0"/>
            </w:tcBorders>
            <w:vAlign w:val="center"/>
          </w:tcPr>
          <w:p w14:paraId="340A2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c>
          <w:tcPr>
            <w:tcW w:w="536" w:type="pct"/>
            <w:tcBorders>
              <w:left w:val="single" w:color="auto" w:sz="4" w:space="0"/>
              <w:right w:val="single" w:color="auto" w:sz="4" w:space="0"/>
            </w:tcBorders>
            <w:vAlign w:val="center"/>
          </w:tcPr>
          <w:p w14:paraId="641C0C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p>
        </w:tc>
      </w:tr>
    </w:tbl>
    <w:p w14:paraId="78F3AF2D">
      <w:pPr>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符合性评审表</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4221"/>
        <w:gridCol w:w="897"/>
        <w:gridCol w:w="929"/>
        <w:gridCol w:w="897"/>
        <w:gridCol w:w="898"/>
      </w:tblGrid>
      <w:tr w14:paraId="45A8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trPr>
        <w:tc>
          <w:tcPr>
            <w:tcW w:w="397" w:type="pct"/>
            <w:vAlign w:val="center"/>
          </w:tcPr>
          <w:p w14:paraId="09DF654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475" w:type="pct"/>
            <w:vAlign w:val="center"/>
          </w:tcPr>
          <w:p w14:paraId="717DD1B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p>
        </w:tc>
        <w:tc>
          <w:tcPr>
            <w:tcW w:w="526" w:type="pct"/>
            <w:vAlign w:val="center"/>
          </w:tcPr>
          <w:p w14:paraId="202943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11F0E6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458BC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1F276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544C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1079DF9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475" w:type="pct"/>
            <w:vAlign w:val="center"/>
          </w:tcPr>
          <w:p w14:paraId="6A276DF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投标文件的组成及格式</w:t>
            </w:r>
          </w:p>
        </w:tc>
        <w:tc>
          <w:tcPr>
            <w:tcW w:w="526" w:type="pct"/>
            <w:vAlign w:val="center"/>
          </w:tcPr>
          <w:p w14:paraId="44FE51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5DF0E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504AC7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42D5D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1E7FD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5A815E4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75" w:type="pct"/>
            <w:vAlign w:val="center"/>
          </w:tcPr>
          <w:p w14:paraId="595C839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投标报价范围</w:t>
            </w:r>
          </w:p>
        </w:tc>
        <w:tc>
          <w:tcPr>
            <w:tcW w:w="526" w:type="pct"/>
            <w:vAlign w:val="center"/>
          </w:tcPr>
          <w:p w14:paraId="3A6EA7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2DA0E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64761C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3C09A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30D4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06BF6C9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75" w:type="pct"/>
            <w:vAlign w:val="center"/>
          </w:tcPr>
          <w:p w14:paraId="3D9AE40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526" w:type="pct"/>
            <w:vAlign w:val="center"/>
          </w:tcPr>
          <w:p w14:paraId="58C2A9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17586E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2BB63E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4D1158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4F1F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377DE20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75" w:type="pct"/>
            <w:vAlign w:val="center"/>
          </w:tcPr>
          <w:p w14:paraId="06DCBE8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投标服务承诺的范围</w:t>
            </w:r>
          </w:p>
        </w:tc>
        <w:tc>
          <w:tcPr>
            <w:tcW w:w="526" w:type="pct"/>
            <w:vAlign w:val="center"/>
          </w:tcPr>
          <w:p w14:paraId="18958A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4C409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3A08E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7EB15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59AF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50B2D2F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75" w:type="pct"/>
            <w:vAlign w:val="center"/>
          </w:tcPr>
          <w:p w14:paraId="1002362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是否含有采购人不能接受的附加条件</w:t>
            </w:r>
          </w:p>
        </w:tc>
        <w:tc>
          <w:tcPr>
            <w:tcW w:w="526" w:type="pct"/>
            <w:vAlign w:val="center"/>
          </w:tcPr>
          <w:p w14:paraId="6EC402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461284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772324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5B5A62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7A041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7" w:type="pct"/>
            <w:vAlign w:val="center"/>
          </w:tcPr>
          <w:p w14:paraId="221FF41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475" w:type="pct"/>
            <w:vAlign w:val="center"/>
          </w:tcPr>
          <w:p w14:paraId="0BCAFA0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是否对磋商文件所有实质性要求和条件作出响应，且对磋商文件的偏差未超出磋商文件规定的偏差范围或最高项数</w:t>
            </w:r>
          </w:p>
        </w:tc>
        <w:tc>
          <w:tcPr>
            <w:tcW w:w="526" w:type="pct"/>
            <w:vAlign w:val="center"/>
          </w:tcPr>
          <w:p w14:paraId="4C5AE5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16B26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399B9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10E5AD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r w14:paraId="2079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873" w:type="pct"/>
            <w:gridSpan w:val="2"/>
            <w:vAlign w:val="center"/>
          </w:tcPr>
          <w:p w14:paraId="3E0AAD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
                <w:bCs/>
                <w:color w:val="auto"/>
                <w:sz w:val="21"/>
                <w:szCs w:val="21"/>
                <w:highlight w:val="none"/>
              </w:rPr>
              <w:t>结论（合格或不合格）</w:t>
            </w:r>
          </w:p>
        </w:tc>
        <w:tc>
          <w:tcPr>
            <w:tcW w:w="526" w:type="pct"/>
            <w:vAlign w:val="center"/>
          </w:tcPr>
          <w:p w14:paraId="6E8428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45" w:type="pct"/>
            <w:vAlign w:val="center"/>
          </w:tcPr>
          <w:p w14:paraId="42B005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6" w:type="pct"/>
            <w:vAlign w:val="center"/>
          </w:tcPr>
          <w:p w14:paraId="589D6C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c>
          <w:tcPr>
            <w:tcW w:w="527" w:type="pct"/>
            <w:vAlign w:val="center"/>
          </w:tcPr>
          <w:p w14:paraId="61E46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color w:val="auto"/>
                <w:kern w:val="0"/>
                <w:sz w:val="21"/>
                <w:szCs w:val="21"/>
                <w:highlight w:val="none"/>
              </w:rPr>
            </w:pPr>
          </w:p>
        </w:tc>
      </w:tr>
    </w:tbl>
    <w:p w14:paraId="29184356">
      <w:pPr>
        <w:widowControl/>
        <w:adjustRightInd w:val="0"/>
        <w:snapToGrid w:val="0"/>
        <w:spacing w:before="120" w:beforeLines="50" w:line="360" w:lineRule="auto"/>
        <w:ind w:firstLine="422" w:firstLineChars="200"/>
        <w:jc w:val="left"/>
        <w:rPr>
          <w:rFonts w:hint="eastAsia" w:ascii="宋体" w:hAnsi="宋体" w:eastAsia="宋体" w:cs="宋体"/>
          <w:b/>
          <w:bCs/>
          <w:color w:val="auto"/>
          <w:sz w:val="21"/>
          <w:szCs w:val="21"/>
          <w:highlight w:val="none"/>
        </w:rPr>
      </w:pPr>
      <w:bookmarkStart w:id="70" w:name="_Toc26709"/>
      <w:r>
        <w:rPr>
          <w:rFonts w:hint="eastAsia" w:ascii="宋体" w:hAnsi="宋体" w:eastAsia="宋体" w:cs="宋体"/>
          <w:b/>
          <w:bCs/>
          <w:color w:val="auto"/>
          <w:sz w:val="21"/>
          <w:szCs w:val="21"/>
          <w:highlight w:val="none"/>
        </w:rPr>
        <w:t>3.8评分细则</w:t>
      </w:r>
      <w:bookmarkEnd w:id="70"/>
    </w:p>
    <w:tbl>
      <w:tblPr>
        <w:tblStyle w:val="18"/>
        <w:tblW w:w="4998"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784"/>
        <w:gridCol w:w="738"/>
        <w:gridCol w:w="6319"/>
      </w:tblGrid>
      <w:tr w14:paraId="19F30C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Align w:val="center"/>
          </w:tcPr>
          <w:p w14:paraId="55131211">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类别</w:t>
            </w:r>
          </w:p>
        </w:tc>
        <w:tc>
          <w:tcPr>
            <w:tcW w:w="460" w:type="pct"/>
            <w:vAlign w:val="center"/>
          </w:tcPr>
          <w:p w14:paraId="61CFA7E6">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计分</w:t>
            </w:r>
          </w:p>
          <w:p w14:paraId="0256AFE0">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因素</w:t>
            </w:r>
          </w:p>
        </w:tc>
        <w:tc>
          <w:tcPr>
            <w:tcW w:w="433" w:type="pct"/>
            <w:vAlign w:val="center"/>
          </w:tcPr>
          <w:p w14:paraId="21A174E1">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分值</w:t>
            </w:r>
          </w:p>
        </w:tc>
        <w:tc>
          <w:tcPr>
            <w:tcW w:w="3708" w:type="pct"/>
            <w:vAlign w:val="center"/>
          </w:tcPr>
          <w:p w14:paraId="5950CFA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评分标准</w:t>
            </w:r>
          </w:p>
        </w:tc>
      </w:tr>
      <w:tr w14:paraId="36E60B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Align w:val="center"/>
          </w:tcPr>
          <w:p w14:paraId="6C386AF7">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价格部分（</w:t>
            </w:r>
            <w:r>
              <w:rPr>
                <w:rFonts w:hint="eastAsia" w:ascii="宋体" w:hAnsi="宋体" w:cs="宋体"/>
                <w:sz w:val="21"/>
                <w:szCs w:val="21"/>
                <w:highlight w:val="none"/>
                <w:lang w:val="en-US" w:eastAsia="zh-CN"/>
              </w:rPr>
              <w:t>60</w:t>
            </w:r>
            <w:r>
              <w:rPr>
                <w:rFonts w:hint="eastAsia" w:ascii="宋体" w:hAnsi="宋体" w:eastAsia="宋体" w:cs="宋体"/>
                <w:sz w:val="21"/>
                <w:szCs w:val="21"/>
                <w:highlight w:val="none"/>
              </w:rPr>
              <w:t>分）</w:t>
            </w:r>
          </w:p>
        </w:tc>
        <w:tc>
          <w:tcPr>
            <w:tcW w:w="460" w:type="pct"/>
            <w:vAlign w:val="center"/>
          </w:tcPr>
          <w:p w14:paraId="13136E91">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w:t>
            </w:r>
          </w:p>
          <w:p w14:paraId="1BFEBA9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报价</w:t>
            </w:r>
          </w:p>
        </w:tc>
        <w:tc>
          <w:tcPr>
            <w:tcW w:w="433" w:type="pct"/>
            <w:vAlign w:val="center"/>
          </w:tcPr>
          <w:p w14:paraId="10257942">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60</w:t>
            </w:r>
            <w:r>
              <w:rPr>
                <w:rFonts w:hint="eastAsia" w:ascii="宋体" w:hAnsi="宋体" w:eastAsia="宋体" w:cs="宋体"/>
                <w:sz w:val="21"/>
                <w:szCs w:val="21"/>
                <w:highlight w:val="none"/>
              </w:rPr>
              <w:t>分</w:t>
            </w:r>
          </w:p>
        </w:tc>
        <w:tc>
          <w:tcPr>
            <w:tcW w:w="3708" w:type="pct"/>
            <w:vAlign w:val="center"/>
          </w:tcPr>
          <w:p w14:paraId="3E6A1C1A">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以经磋商小组一致认定满足磋商文件要求且投标价格最低的投标报价为评标基准价，其价格得分计</w:t>
            </w:r>
            <w:r>
              <w:rPr>
                <w:rFonts w:hint="eastAsia" w:ascii="宋体" w:hAnsi="宋体" w:cs="宋体"/>
                <w:sz w:val="21"/>
                <w:szCs w:val="21"/>
                <w:highlight w:val="none"/>
                <w:lang w:val="en-US" w:eastAsia="zh-CN"/>
              </w:rPr>
              <w:t>60</w:t>
            </w:r>
            <w:r>
              <w:rPr>
                <w:rFonts w:hint="eastAsia" w:ascii="宋体" w:hAnsi="宋体" w:eastAsia="宋体" w:cs="宋体"/>
                <w:sz w:val="21"/>
                <w:szCs w:val="21"/>
                <w:highlight w:val="none"/>
              </w:rPr>
              <w:t>分。其他供应商的价格得分统一按公式计算：报价得分＝评标基准价÷投标报价×投标报价</w:t>
            </w:r>
            <w:r>
              <w:rPr>
                <w:rFonts w:hint="eastAsia" w:ascii="宋体" w:hAnsi="宋体" w:eastAsia="宋体" w:cs="宋体"/>
                <w:sz w:val="21"/>
                <w:szCs w:val="21"/>
                <w:highlight w:val="none"/>
                <w:lang w:val="en-US" w:eastAsia="zh-CN"/>
              </w:rPr>
              <w:t>分值。</w:t>
            </w:r>
          </w:p>
          <w:p w14:paraId="13E136D5">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注：磋商小组认为</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sz w:val="21"/>
                <w:szCs w:val="21"/>
                <w:highlight w:val="none"/>
              </w:rPr>
              <w:t>的报价明显低于其他通过符合性审查投标人的报价，有可能影响服务或者不能诚信履约的，应当要求其在评标现场合理的时间内提供书面说明，必要时提交相关证明材料；投标人不能证明报价合理性的，磋商小组应当将其作为投标无效处理。</w:t>
            </w:r>
          </w:p>
          <w:p w14:paraId="3D74EF1D">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异常低价审查：</w:t>
            </w:r>
          </w:p>
          <w:p w14:paraId="3226FAC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（一）政府采购评审中出现下列情形之一的，磋商小组应当启动异常低价投标（响应）审查程序：</w:t>
            </w:r>
          </w:p>
          <w:p w14:paraId="0EC7435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（1）投标（响应）报价低于全部通过符合性审查供应商投标（响应）报价平均值</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%的，即投标（响应）报价&lt;全部通过符合性审查供应商投标（响应）报价平均值×</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w:t>
            </w:r>
          </w:p>
          <w:p w14:paraId="42BFA6B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（2）投标（响应）报价低于通过符合性审查的次低报价供应商投标（响应）报价</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%的，即投标（响应）报价&lt;通过符合性审查的次低报价供应商投标（响应）报价×</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w:t>
            </w:r>
          </w:p>
          <w:p w14:paraId="43F736D8">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（3）投标（响应）报价低于采购项目最高限价</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%的，即投标（响应）报价&lt;采购项目最高限价×</w:t>
            </w:r>
            <w:r>
              <w:rPr>
                <w:rFonts w:hint="eastAsia" w:ascii="宋体" w:hAnsi="宋体" w:cs="宋体"/>
                <w:sz w:val="21"/>
                <w:szCs w:val="21"/>
                <w:highlight w:val="none"/>
                <w:lang w:val="en-US" w:eastAsia="zh-CN"/>
              </w:rPr>
              <w:t>65</w:t>
            </w:r>
            <w:r>
              <w:rPr>
                <w:rFonts w:hint="eastAsia" w:ascii="宋体" w:hAnsi="宋体" w:eastAsia="宋体" w:cs="宋体"/>
                <w:sz w:val="21"/>
                <w:szCs w:val="21"/>
                <w:highlight w:val="none"/>
                <w:lang w:eastAsia="zh-CN"/>
              </w:rPr>
              <w:t>%；</w:t>
            </w:r>
          </w:p>
          <w:p w14:paraId="1AC943FC">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（4）磋商小组基于专业判断，认为供应商报价过低，有可能影响产品质量或者不能诚信履约的其他情形。</w:t>
            </w:r>
          </w:p>
          <w:p w14:paraId="633D8860">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二）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D20DB1A">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r w14:paraId="405C39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restart"/>
            <w:vAlign w:val="center"/>
          </w:tcPr>
          <w:p w14:paraId="184358A8">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技术部分（</w:t>
            </w:r>
            <w:r>
              <w:rPr>
                <w:rFonts w:hint="eastAsia" w:ascii="宋体" w:hAnsi="宋体" w:cs="宋体"/>
                <w:sz w:val="21"/>
                <w:szCs w:val="21"/>
                <w:highlight w:val="none"/>
                <w:lang w:val="en-US" w:eastAsia="zh-CN"/>
              </w:rPr>
              <w:t>30</w:t>
            </w:r>
            <w:r>
              <w:rPr>
                <w:rFonts w:hint="eastAsia" w:ascii="宋体" w:hAnsi="宋体" w:eastAsia="宋体" w:cs="宋体"/>
                <w:sz w:val="21"/>
                <w:szCs w:val="21"/>
                <w:highlight w:val="none"/>
              </w:rPr>
              <w:t>分）</w:t>
            </w:r>
          </w:p>
        </w:tc>
        <w:tc>
          <w:tcPr>
            <w:tcW w:w="460" w:type="pct"/>
            <w:vAlign w:val="center"/>
          </w:tcPr>
          <w:p w14:paraId="30713BC8">
            <w:pPr>
              <w:pStyle w:val="2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产品配置及技术参数</w:t>
            </w:r>
          </w:p>
        </w:tc>
        <w:tc>
          <w:tcPr>
            <w:tcW w:w="433" w:type="pct"/>
            <w:vAlign w:val="center"/>
          </w:tcPr>
          <w:p w14:paraId="4D4EDF87">
            <w:pPr>
              <w:pStyle w:val="2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3708" w:type="pct"/>
            <w:shd w:val="clear" w:color="auto" w:fill="auto"/>
            <w:vAlign w:val="center"/>
          </w:tcPr>
          <w:p w14:paraId="52156CF2">
            <w:pPr>
              <w:pStyle w:val="2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文件没有货物说明一览表或</w:t>
            </w:r>
            <w:r>
              <w:rPr>
                <w:rFonts w:hint="eastAsia" w:ascii="宋体" w:hAnsi="宋体" w:eastAsia="宋体" w:cs="宋体"/>
                <w:sz w:val="21"/>
                <w:szCs w:val="21"/>
                <w:highlight w:val="none"/>
              </w:rPr>
              <w:t>技术/商务响应与偏离表</w:t>
            </w:r>
            <w:r>
              <w:rPr>
                <w:rFonts w:hint="eastAsia" w:ascii="宋体" w:hAnsi="宋体" w:eastAsia="宋体" w:cs="宋体"/>
                <w:color w:val="auto"/>
                <w:sz w:val="21"/>
                <w:szCs w:val="21"/>
                <w:highlight w:val="none"/>
              </w:rPr>
              <w:t>的，不计分。</w:t>
            </w:r>
          </w:p>
          <w:p w14:paraId="18889D11">
            <w:pPr>
              <w:pStyle w:val="2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全部符合</w:t>
            </w:r>
            <w:r>
              <w:rPr>
                <w:rFonts w:hint="eastAsia" w:ascii="宋体" w:hAnsi="宋体" w:eastAsia="宋体" w:cs="宋体"/>
                <w:color w:val="auto"/>
                <w:sz w:val="21"/>
                <w:szCs w:val="21"/>
                <w:highlight w:val="none"/>
                <w:lang w:val="en-US" w:eastAsia="zh-CN"/>
              </w:rPr>
              <w:t>磋商</w:t>
            </w:r>
            <w:r>
              <w:rPr>
                <w:rFonts w:hint="eastAsia" w:ascii="宋体" w:hAnsi="宋体" w:eastAsia="宋体" w:cs="宋体"/>
                <w:color w:val="auto"/>
                <w:sz w:val="21"/>
                <w:szCs w:val="21"/>
                <w:highlight w:val="none"/>
              </w:rPr>
              <w:t>文件要求的计</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一般</w:t>
            </w:r>
            <w:r>
              <w:rPr>
                <w:rFonts w:hint="eastAsia" w:ascii="宋体" w:hAnsi="宋体" w:eastAsia="宋体" w:cs="宋体"/>
                <w:color w:val="auto"/>
                <w:sz w:val="21"/>
                <w:szCs w:val="21"/>
                <w:highlight w:val="none"/>
              </w:rPr>
              <w:t>技术条款每项参数负偏离或不满足的扣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分，扣完为止</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标记为“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”为重要参数，</w:t>
            </w:r>
            <w:r>
              <w:rPr>
                <w:rFonts w:hint="eastAsia" w:ascii="宋体" w:hAnsi="宋体" w:eastAsia="宋体" w:cs="宋体"/>
                <w:color w:val="auto"/>
                <w:sz w:val="21"/>
                <w:szCs w:val="21"/>
                <w:highlight w:val="none"/>
              </w:rPr>
              <w:t>每项</w:t>
            </w:r>
            <w:r>
              <w:rPr>
                <w:rFonts w:hint="eastAsia" w:ascii="宋体" w:hAnsi="宋体" w:cs="宋体"/>
                <w:color w:val="auto"/>
                <w:sz w:val="21"/>
                <w:szCs w:val="21"/>
                <w:highlight w:val="none"/>
                <w:lang w:val="en-US" w:eastAsia="zh-CN"/>
              </w:rPr>
              <w:t>重要</w:t>
            </w:r>
            <w:r>
              <w:rPr>
                <w:rFonts w:hint="eastAsia" w:ascii="宋体" w:hAnsi="宋体" w:eastAsia="宋体" w:cs="宋体"/>
                <w:color w:val="auto"/>
                <w:sz w:val="21"/>
                <w:szCs w:val="21"/>
                <w:highlight w:val="none"/>
              </w:rPr>
              <w:t>参数负偏离或不满足的扣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分，扣完为止。配置不详，技术参数不清，缺漏项的，则视同负偏离处理。</w:t>
            </w:r>
          </w:p>
          <w:p w14:paraId="0575A893">
            <w:pPr>
              <w:pStyle w:val="25"/>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注：</w:t>
            </w:r>
            <w:r>
              <w:rPr>
                <w:rFonts w:hint="eastAsia" w:ascii="宋体" w:hAnsi="宋体" w:eastAsia="宋体" w:cs="宋体"/>
                <w:color w:val="auto"/>
                <w:kern w:val="2"/>
                <w:sz w:val="21"/>
                <w:szCs w:val="21"/>
                <w:highlight w:val="none"/>
                <w:lang w:val="en-US" w:eastAsia="zh-CN"/>
              </w:rPr>
              <w:t>标注为</w:t>
            </w:r>
            <w:r>
              <w:rPr>
                <w:rFonts w:hint="eastAsia" w:ascii="宋体" w:hAnsi="宋体" w:eastAsia="宋体" w:cs="宋体"/>
                <w:color w:val="auto"/>
                <w:kern w:val="2"/>
                <w:sz w:val="21"/>
                <w:szCs w:val="21"/>
                <w:highlight w:val="none"/>
                <w:lang w:val="ru-RU" w:eastAsia="ru-RU"/>
              </w:rPr>
              <w:t>“★”号为</w:t>
            </w:r>
            <w:r>
              <w:rPr>
                <w:rFonts w:hint="eastAsia" w:ascii="宋体" w:hAnsi="宋体" w:eastAsia="宋体" w:cs="宋体"/>
                <w:color w:val="auto"/>
                <w:kern w:val="2"/>
                <w:sz w:val="21"/>
                <w:szCs w:val="21"/>
                <w:highlight w:val="none"/>
                <w:lang w:val="en-US" w:eastAsia="zh-CN"/>
              </w:rPr>
              <w:t>实质性</w:t>
            </w:r>
            <w:r>
              <w:rPr>
                <w:rFonts w:hint="eastAsia" w:ascii="宋体" w:hAnsi="宋体" w:eastAsia="宋体" w:cs="宋体"/>
                <w:color w:val="auto"/>
                <w:kern w:val="2"/>
                <w:sz w:val="21"/>
                <w:szCs w:val="21"/>
                <w:highlight w:val="none"/>
              </w:rPr>
              <w:t>条款</w:t>
            </w:r>
            <w:r>
              <w:rPr>
                <w:rFonts w:hint="eastAsia" w:ascii="宋体" w:hAnsi="宋体" w:eastAsia="宋体" w:cs="宋体"/>
                <w:color w:val="auto"/>
                <w:kern w:val="2"/>
                <w:sz w:val="21"/>
                <w:szCs w:val="21"/>
                <w:highlight w:val="none"/>
                <w:lang w:val="ru-RU" w:eastAsia="ru-RU"/>
              </w:rPr>
              <w:t>，有</w:t>
            </w:r>
            <w:r>
              <w:rPr>
                <w:rFonts w:hint="eastAsia" w:ascii="宋体" w:hAnsi="宋体" w:eastAsia="宋体" w:cs="宋体"/>
                <w:color w:val="auto"/>
                <w:kern w:val="2"/>
                <w:sz w:val="21"/>
                <w:szCs w:val="21"/>
                <w:highlight w:val="none"/>
                <w:lang w:val="en-US" w:eastAsia="zh-CN"/>
              </w:rPr>
              <w:t>任何</w:t>
            </w:r>
            <w:r>
              <w:rPr>
                <w:rFonts w:hint="eastAsia" w:ascii="宋体" w:hAnsi="宋体" w:eastAsia="宋体" w:cs="宋体"/>
                <w:color w:val="auto"/>
                <w:kern w:val="2"/>
                <w:sz w:val="21"/>
                <w:szCs w:val="21"/>
                <w:highlight w:val="none"/>
              </w:rPr>
              <w:t>一</w:t>
            </w:r>
            <w:r>
              <w:rPr>
                <w:rFonts w:hint="eastAsia" w:ascii="宋体" w:hAnsi="宋体" w:eastAsia="宋体" w:cs="宋体"/>
                <w:color w:val="auto"/>
                <w:kern w:val="2"/>
                <w:sz w:val="21"/>
                <w:szCs w:val="21"/>
                <w:highlight w:val="none"/>
                <w:lang w:val="ru-RU" w:eastAsia="ru-RU"/>
              </w:rPr>
              <w:t>项负偏离视为无效</w:t>
            </w:r>
            <w:r>
              <w:rPr>
                <w:rFonts w:hint="eastAsia" w:ascii="宋体" w:hAnsi="宋体" w:eastAsia="宋体" w:cs="宋体"/>
                <w:color w:val="auto"/>
                <w:kern w:val="2"/>
                <w:sz w:val="21"/>
                <w:szCs w:val="21"/>
                <w:highlight w:val="none"/>
              </w:rPr>
              <w:t>投标。</w:t>
            </w:r>
          </w:p>
        </w:tc>
      </w:tr>
      <w:tr w14:paraId="5C1BA0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continue"/>
            <w:vAlign w:val="center"/>
          </w:tcPr>
          <w:p w14:paraId="17B9EF7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p>
        </w:tc>
        <w:tc>
          <w:tcPr>
            <w:tcW w:w="460" w:type="pct"/>
            <w:vAlign w:val="center"/>
          </w:tcPr>
          <w:p w14:paraId="2B39DCF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实施</w:t>
            </w:r>
          </w:p>
          <w:p w14:paraId="4A6364FA">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方案</w:t>
            </w:r>
          </w:p>
        </w:tc>
        <w:tc>
          <w:tcPr>
            <w:tcW w:w="433" w:type="pct"/>
            <w:vAlign w:val="center"/>
          </w:tcPr>
          <w:p w14:paraId="35BDFCC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rPr>
              <w:t>分</w:t>
            </w:r>
          </w:p>
        </w:tc>
        <w:tc>
          <w:tcPr>
            <w:tcW w:w="3708" w:type="pct"/>
            <w:shd w:val="clear" w:color="auto" w:fill="auto"/>
            <w:vAlign w:val="center"/>
          </w:tcPr>
          <w:p w14:paraId="4FA9D79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拟定的项目实施方案</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包括：①人员配备及</w:t>
            </w:r>
            <w:r>
              <w:rPr>
                <w:rFonts w:hint="eastAsia" w:ascii="宋体" w:hAnsi="宋体" w:eastAsia="宋体" w:cs="宋体"/>
                <w:color w:val="auto"/>
                <w:sz w:val="21"/>
                <w:szCs w:val="21"/>
                <w:highlight w:val="none"/>
                <w:lang w:val="en-US" w:eastAsia="zh-CN"/>
              </w:rPr>
              <w:t>进度</w:t>
            </w:r>
            <w:r>
              <w:rPr>
                <w:rFonts w:hint="eastAsia" w:ascii="宋体" w:hAnsi="宋体" w:eastAsia="宋体" w:cs="宋体"/>
                <w:color w:val="auto"/>
                <w:sz w:val="21"/>
                <w:szCs w:val="21"/>
                <w:highlight w:val="none"/>
              </w:rPr>
              <w:t>计划安排，②备货方案及运输方案，③安装调试方案，④成品保护与保养措施，⑤质量保障措施</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验收</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，进行综合评价</w:t>
            </w:r>
            <w:r>
              <w:rPr>
                <w:rFonts w:hint="eastAsia" w:ascii="宋体" w:hAnsi="宋体" w:eastAsia="宋体" w:cs="宋体"/>
                <w:color w:val="auto"/>
                <w:sz w:val="21"/>
                <w:szCs w:val="21"/>
                <w:highlight w:val="none"/>
              </w:rPr>
              <w:t>：</w:t>
            </w:r>
          </w:p>
          <w:p w14:paraId="644628A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1.实施方案</w:t>
            </w:r>
            <w:r>
              <w:rPr>
                <w:rFonts w:hint="eastAsia" w:ascii="宋体" w:hAnsi="宋体" w:eastAsia="宋体" w:cs="宋体"/>
                <w:color w:val="auto"/>
                <w:sz w:val="21"/>
                <w:szCs w:val="21"/>
                <w:highlight w:val="none"/>
                <w:lang w:eastAsia="zh-CN"/>
              </w:rPr>
              <w:t>考虑全面、人员</w:t>
            </w:r>
            <w:r>
              <w:rPr>
                <w:rFonts w:hint="eastAsia" w:ascii="宋体" w:hAnsi="宋体" w:cs="宋体"/>
                <w:color w:val="auto"/>
                <w:sz w:val="21"/>
                <w:szCs w:val="21"/>
                <w:highlight w:val="none"/>
                <w:lang w:val="en-US" w:eastAsia="zh-CN"/>
              </w:rPr>
              <w:t>及进度计划</w:t>
            </w:r>
            <w:r>
              <w:rPr>
                <w:rFonts w:hint="eastAsia" w:ascii="宋体" w:hAnsi="宋体" w:eastAsia="宋体" w:cs="宋体"/>
                <w:color w:val="auto"/>
                <w:sz w:val="21"/>
                <w:szCs w:val="21"/>
                <w:highlight w:val="none"/>
                <w:lang w:eastAsia="zh-CN"/>
              </w:rPr>
              <w:t>安排合理、有完整的备货方案及运输方案、安装调试</w:t>
            </w:r>
            <w:r>
              <w:rPr>
                <w:rFonts w:hint="eastAsia" w:ascii="宋体" w:hAnsi="宋体" w:cs="宋体"/>
                <w:color w:val="auto"/>
                <w:sz w:val="21"/>
                <w:szCs w:val="21"/>
                <w:highlight w:val="none"/>
                <w:lang w:eastAsia="zh-CN"/>
              </w:rPr>
              <w:t>、成品保护与保养措施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质保措施及</w:t>
            </w:r>
            <w:r>
              <w:rPr>
                <w:rFonts w:hint="eastAsia" w:ascii="宋体" w:hAnsi="宋体" w:eastAsia="宋体" w:cs="宋体"/>
                <w:color w:val="auto"/>
                <w:sz w:val="21"/>
                <w:szCs w:val="21"/>
                <w:highlight w:val="none"/>
                <w:lang w:eastAsia="zh-CN"/>
              </w:rPr>
              <w:t>验收方案</w:t>
            </w:r>
            <w:r>
              <w:rPr>
                <w:rFonts w:hint="eastAsia" w:ascii="宋体" w:hAnsi="宋体" w:eastAsia="宋体" w:cs="宋体"/>
                <w:color w:val="auto"/>
                <w:sz w:val="21"/>
                <w:szCs w:val="21"/>
                <w:highlight w:val="none"/>
                <w:lang w:val="en-US" w:eastAsia="zh-CN"/>
              </w:rPr>
              <w:t>完善</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kern w:val="0"/>
                <w:sz w:val="21"/>
                <w:szCs w:val="21"/>
                <w:highlight w:val="none"/>
              </w:rPr>
              <w:t>涵盖了以上所有子项</w:t>
            </w:r>
            <w:r>
              <w:rPr>
                <w:rFonts w:hint="eastAsia" w:ascii="宋体" w:hAnsi="宋体" w:eastAsia="宋体" w:cs="宋体"/>
                <w:color w:val="auto"/>
                <w:kern w:val="0"/>
                <w:sz w:val="21"/>
                <w:szCs w:val="21"/>
                <w:highlight w:val="none"/>
                <w:lang w:val="en-US" w:eastAsia="zh-CN"/>
              </w:rPr>
              <w:t>的</w:t>
            </w:r>
            <w:r>
              <w:rPr>
                <w:rFonts w:hint="eastAsia" w:ascii="宋体" w:hAnsi="宋体" w:eastAsia="宋体" w:cs="宋体"/>
                <w:color w:val="auto"/>
                <w:sz w:val="21"/>
                <w:szCs w:val="21"/>
                <w:highlight w:val="none"/>
              </w:rPr>
              <w:t>计</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2135B9C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Cs/>
                <w:color w:val="auto"/>
                <w:sz w:val="21"/>
                <w:szCs w:val="21"/>
                <w:highlight w:val="none"/>
                <w:lang w:val="zh-CN"/>
              </w:rPr>
              <w:t>方案内容</w:t>
            </w:r>
            <w:r>
              <w:rPr>
                <w:rStyle w:val="19"/>
                <w:rFonts w:hint="eastAsia" w:ascii="宋体" w:hAnsi="宋体" w:eastAsia="宋体" w:cs="宋体"/>
                <w:b w:val="0"/>
                <w:color w:val="auto"/>
                <w:sz w:val="21"/>
                <w:szCs w:val="21"/>
                <w:highlight w:val="none"/>
              </w:rPr>
              <w:t>错误或有缺陷</w:t>
            </w:r>
            <w:r>
              <w:rPr>
                <w:rFonts w:hint="eastAsia" w:ascii="宋体" w:hAnsi="宋体" w:eastAsia="宋体" w:cs="宋体"/>
                <w:bCs/>
                <w:color w:val="auto"/>
                <w:sz w:val="21"/>
                <w:szCs w:val="21"/>
                <w:highlight w:val="none"/>
                <w:lang w:val="zh-CN"/>
              </w:rPr>
              <w:t>的</w:t>
            </w:r>
            <w:r>
              <w:rPr>
                <w:rFonts w:hint="eastAsia" w:ascii="宋体" w:hAnsi="宋体" w:eastAsia="宋体" w:cs="宋体"/>
                <w:bCs/>
                <w:color w:val="auto"/>
                <w:sz w:val="21"/>
                <w:szCs w:val="21"/>
                <w:highlight w:val="none"/>
              </w:rPr>
              <w:t>每处扣</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分，扣完为止；</w:t>
            </w:r>
          </w:p>
          <w:p w14:paraId="394BE3A4">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3.①</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⑤</w:t>
            </w:r>
            <w:r>
              <w:rPr>
                <w:rFonts w:hint="eastAsia" w:ascii="宋体" w:hAnsi="宋体" w:eastAsia="宋体" w:cs="宋体"/>
                <w:color w:val="auto"/>
                <w:sz w:val="21"/>
                <w:szCs w:val="21"/>
                <w:highlight w:val="none"/>
                <w:lang w:val="en-US" w:eastAsia="zh-CN"/>
              </w:rPr>
              <w:t>评审小项有未提供的</w:t>
            </w:r>
            <w:r>
              <w:rPr>
                <w:rFonts w:hint="eastAsia" w:ascii="宋体" w:hAnsi="宋体" w:eastAsia="宋体" w:cs="宋体"/>
                <w:color w:val="auto"/>
                <w:sz w:val="21"/>
                <w:szCs w:val="21"/>
                <w:highlight w:val="none"/>
              </w:rPr>
              <w:t>每</w:t>
            </w:r>
            <w:r>
              <w:rPr>
                <w:rFonts w:hint="eastAsia" w:ascii="宋体" w:hAnsi="宋体" w:eastAsia="宋体" w:cs="宋体"/>
                <w:color w:val="auto"/>
                <w:sz w:val="21"/>
                <w:szCs w:val="21"/>
                <w:highlight w:val="none"/>
                <w:lang w:val="en-US" w:eastAsia="zh-CN"/>
              </w:rPr>
              <w:t>项</w:t>
            </w:r>
            <w:r>
              <w:rPr>
                <w:rFonts w:hint="eastAsia" w:ascii="宋体" w:hAnsi="宋体" w:eastAsia="宋体" w:cs="宋体"/>
                <w:color w:val="auto"/>
                <w:sz w:val="21"/>
                <w:szCs w:val="21"/>
                <w:highlight w:val="none"/>
              </w:rPr>
              <w:t>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分，扣完为止；</w:t>
            </w:r>
          </w:p>
          <w:p w14:paraId="1E3C1267">
            <w:pPr>
              <w:pStyle w:val="26"/>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leftChars="0" w:right="0" w:rightChars="0" w:firstLine="0" w:firstLineChars="0"/>
              <w:contextualSpacing/>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rPr>
              <w:t>4.未提供的不得分。</w:t>
            </w:r>
          </w:p>
        </w:tc>
      </w:tr>
      <w:tr w14:paraId="7CBEF2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continue"/>
            <w:vAlign w:val="center"/>
          </w:tcPr>
          <w:p w14:paraId="78D6B18F">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p>
        </w:tc>
        <w:tc>
          <w:tcPr>
            <w:tcW w:w="460" w:type="pct"/>
            <w:shd w:val="clear" w:color="auto" w:fill="auto"/>
            <w:vAlign w:val="center"/>
          </w:tcPr>
          <w:p w14:paraId="44B4EEEF">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售后服务</w:t>
            </w:r>
          </w:p>
        </w:tc>
        <w:tc>
          <w:tcPr>
            <w:tcW w:w="433" w:type="pct"/>
            <w:shd w:val="clear" w:color="auto" w:fill="auto"/>
            <w:vAlign w:val="center"/>
          </w:tcPr>
          <w:p w14:paraId="4ABBC294">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en-US" w:eastAsia="zh-CN"/>
              </w:rPr>
              <w:t>分</w:t>
            </w:r>
          </w:p>
        </w:tc>
        <w:tc>
          <w:tcPr>
            <w:tcW w:w="3708" w:type="pct"/>
            <w:shd w:val="clear" w:color="auto" w:fill="auto"/>
            <w:vAlign w:val="center"/>
          </w:tcPr>
          <w:p w14:paraId="285916C8">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根据</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sz w:val="21"/>
                <w:szCs w:val="21"/>
                <w:highlight w:val="none"/>
                <w:lang w:val="en-US" w:eastAsia="zh-CN"/>
              </w:rPr>
              <w:t>提供</w:t>
            </w:r>
            <w:r>
              <w:rPr>
                <w:rFonts w:hint="eastAsia" w:ascii="宋体" w:hAnsi="宋体" w:cs="宋体"/>
                <w:sz w:val="21"/>
                <w:szCs w:val="21"/>
                <w:highlight w:val="none"/>
                <w:lang w:val="en-US" w:eastAsia="zh-CN"/>
              </w:rPr>
              <w:t>的</w:t>
            </w:r>
            <w:r>
              <w:rPr>
                <w:rFonts w:hint="eastAsia" w:ascii="宋体" w:hAnsi="宋体" w:eastAsia="宋体" w:cs="宋体"/>
                <w:sz w:val="21"/>
                <w:szCs w:val="21"/>
                <w:highlight w:val="none"/>
              </w:rPr>
              <w:t>售后服务内容</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包括</w:t>
            </w:r>
            <w:r>
              <w:rPr>
                <w:rStyle w:val="19"/>
                <w:rFonts w:hint="eastAsia" w:ascii="宋体" w:hAnsi="宋体" w:eastAsia="宋体" w:cs="宋体"/>
                <w:b w:val="0"/>
                <w:color w:val="auto"/>
                <w:sz w:val="21"/>
                <w:szCs w:val="21"/>
                <w:highlight w:val="none"/>
              </w:rPr>
              <w:t>①</w:t>
            </w:r>
            <w:r>
              <w:rPr>
                <w:rFonts w:hint="eastAsia" w:ascii="宋体" w:hAnsi="宋体" w:eastAsia="宋体" w:cs="宋体"/>
                <w:color w:val="auto"/>
                <w:kern w:val="0"/>
                <w:sz w:val="21"/>
                <w:szCs w:val="21"/>
                <w:highlight w:val="none"/>
                <w:lang w:val="en-US" w:eastAsia="zh-CN"/>
              </w:rPr>
              <w:t>售后</w:t>
            </w:r>
            <w:r>
              <w:rPr>
                <w:rStyle w:val="19"/>
                <w:rFonts w:hint="eastAsia" w:ascii="宋体" w:hAnsi="宋体" w:eastAsia="宋体" w:cs="宋体"/>
                <w:b w:val="0"/>
                <w:color w:val="auto"/>
                <w:sz w:val="21"/>
                <w:szCs w:val="21"/>
                <w:highlight w:val="none"/>
              </w:rPr>
              <w:t>服务方式与内容</w:t>
            </w:r>
            <w:r>
              <w:rPr>
                <w:rStyle w:val="19"/>
                <w:rFonts w:hint="eastAsia" w:ascii="宋体" w:hAnsi="宋体" w:eastAsia="宋体" w:cs="宋体"/>
                <w:b w:val="0"/>
                <w:color w:val="auto"/>
                <w:sz w:val="21"/>
                <w:szCs w:val="21"/>
                <w:highlight w:val="none"/>
                <w:lang w:eastAsia="zh-CN"/>
              </w:rPr>
              <w:t>，</w:t>
            </w:r>
            <w:r>
              <w:rPr>
                <w:rStyle w:val="19"/>
                <w:rFonts w:hint="eastAsia" w:ascii="宋体" w:hAnsi="宋体" w:eastAsia="宋体" w:cs="宋体"/>
                <w:b w:val="0"/>
                <w:color w:val="auto"/>
                <w:sz w:val="21"/>
                <w:szCs w:val="21"/>
                <w:highlight w:val="none"/>
              </w:rPr>
              <w:t>②</w:t>
            </w:r>
            <w:r>
              <w:rPr>
                <w:rFonts w:hint="eastAsia" w:ascii="宋体" w:hAnsi="宋体" w:eastAsia="宋体" w:cs="宋体"/>
                <w:color w:val="auto"/>
                <w:kern w:val="0"/>
                <w:sz w:val="21"/>
                <w:szCs w:val="21"/>
                <w:highlight w:val="none"/>
                <w:lang w:val="en-US" w:eastAsia="zh-CN"/>
              </w:rPr>
              <w:t>售后</w:t>
            </w:r>
            <w:r>
              <w:rPr>
                <w:rStyle w:val="19"/>
                <w:rFonts w:hint="eastAsia" w:ascii="宋体" w:hAnsi="宋体" w:eastAsia="宋体" w:cs="宋体"/>
                <w:b w:val="0"/>
                <w:color w:val="auto"/>
                <w:sz w:val="21"/>
                <w:szCs w:val="21"/>
                <w:highlight w:val="none"/>
              </w:rPr>
              <w:t>服务计划</w:t>
            </w:r>
            <w:r>
              <w:rPr>
                <w:rStyle w:val="19"/>
                <w:rFonts w:hint="eastAsia" w:ascii="宋体" w:hAnsi="宋体" w:eastAsia="宋体" w:cs="宋体"/>
                <w:b w:val="0"/>
                <w:color w:val="auto"/>
                <w:sz w:val="21"/>
                <w:szCs w:val="21"/>
                <w:highlight w:val="none"/>
                <w:lang w:eastAsia="zh-CN"/>
              </w:rPr>
              <w:t>，</w:t>
            </w:r>
            <w:r>
              <w:rPr>
                <w:rStyle w:val="19"/>
                <w:rFonts w:hint="eastAsia" w:ascii="宋体" w:hAnsi="宋体" w:eastAsia="宋体" w:cs="宋体"/>
                <w:b w:val="0"/>
                <w:color w:val="auto"/>
                <w:sz w:val="21"/>
                <w:szCs w:val="21"/>
                <w:highlight w:val="none"/>
              </w:rPr>
              <w:t>③</w:t>
            </w:r>
            <w:r>
              <w:rPr>
                <w:rStyle w:val="19"/>
                <w:rFonts w:hint="eastAsia" w:ascii="宋体" w:hAnsi="宋体" w:cs="宋体"/>
                <w:b w:val="0"/>
                <w:color w:val="auto"/>
                <w:sz w:val="21"/>
                <w:szCs w:val="21"/>
                <w:highlight w:val="none"/>
                <w:lang w:val="en-US" w:eastAsia="zh-CN"/>
              </w:rPr>
              <w:t>售后</w:t>
            </w:r>
            <w:r>
              <w:rPr>
                <w:rStyle w:val="19"/>
                <w:rFonts w:hint="eastAsia" w:ascii="宋体" w:hAnsi="宋体" w:eastAsia="宋体" w:cs="宋体"/>
                <w:b w:val="0"/>
                <w:color w:val="auto"/>
                <w:sz w:val="21"/>
                <w:szCs w:val="21"/>
                <w:highlight w:val="none"/>
                <w:lang w:val="en-US" w:eastAsia="zh-CN"/>
              </w:rPr>
              <w:t>人员安排</w:t>
            </w:r>
            <w:r>
              <w:rPr>
                <w:rFonts w:hint="eastAsia" w:ascii="宋体" w:hAnsi="宋体" w:eastAsia="宋体" w:cs="宋体"/>
                <w:color w:val="auto"/>
                <w:sz w:val="21"/>
                <w:szCs w:val="21"/>
                <w:highlight w:val="none"/>
                <w:lang w:val="en-US" w:eastAsia="zh-CN"/>
              </w:rPr>
              <w:t>及实力</w:t>
            </w:r>
            <w:r>
              <w:rPr>
                <w:rStyle w:val="19"/>
                <w:rFonts w:hint="eastAsia" w:ascii="宋体" w:hAnsi="宋体" w:eastAsia="宋体" w:cs="宋体"/>
                <w:b w:val="0"/>
                <w:color w:val="auto"/>
                <w:sz w:val="21"/>
                <w:szCs w:val="21"/>
                <w:highlight w:val="none"/>
                <w:lang w:eastAsia="zh-CN"/>
              </w:rPr>
              <w:t>，</w:t>
            </w:r>
            <w:r>
              <w:rPr>
                <w:rStyle w:val="19"/>
                <w:rFonts w:hint="eastAsia" w:ascii="宋体" w:hAnsi="宋体" w:eastAsia="宋体" w:cs="宋体"/>
                <w:b w:val="0"/>
                <w:color w:val="auto"/>
                <w:sz w:val="21"/>
                <w:szCs w:val="21"/>
                <w:highlight w:val="none"/>
              </w:rPr>
              <w:t>④</w:t>
            </w:r>
            <w:r>
              <w:rPr>
                <w:rFonts w:hint="eastAsia" w:ascii="宋体" w:hAnsi="宋体" w:cs="宋体"/>
                <w:color w:val="auto"/>
                <w:sz w:val="21"/>
                <w:szCs w:val="21"/>
                <w:highlight w:val="none"/>
                <w:lang w:val="en-US" w:eastAsia="zh-CN"/>
              </w:rPr>
              <w:t>售后服务承诺、质保期后的维修报价及方案</w:t>
            </w:r>
            <w:r>
              <w:rPr>
                <w:rFonts w:hint="eastAsia" w:ascii="宋体" w:hAnsi="宋体" w:eastAsia="宋体" w:cs="宋体"/>
                <w:color w:val="auto"/>
                <w:sz w:val="21"/>
                <w:szCs w:val="21"/>
                <w:highlight w:val="none"/>
                <w:lang w:eastAsia="zh-CN"/>
              </w:rPr>
              <w:t>，</w:t>
            </w:r>
            <w:r>
              <w:rPr>
                <w:rStyle w:val="19"/>
                <w:rFonts w:hint="eastAsia" w:ascii="宋体" w:hAnsi="宋体" w:eastAsia="宋体" w:cs="宋体"/>
                <w:b w:val="0"/>
                <w:color w:val="auto"/>
                <w:sz w:val="21"/>
                <w:szCs w:val="21"/>
                <w:highlight w:val="none"/>
              </w:rPr>
              <w:t>⑤应急服务预案</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进行综合评价：</w:t>
            </w:r>
          </w:p>
          <w:p w14:paraId="5138EBA1">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1.售后服务方案完整</w:t>
            </w:r>
            <w:r>
              <w:rPr>
                <w:rFonts w:hint="eastAsia" w:ascii="宋体" w:hAnsi="宋体" w:eastAsia="宋体" w:cs="宋体"/>
                <w:sz w:val="21"/>
                <w:szCs w:val="21"/>
                <w:highlight w:val="none"/>
                <w:lang w:eastAsia="zh-CN"/>
              </w:rPr>
              <w:t>、响应迅速、故障处理条理清晰、售后便捷</w:t>
            </w:r>
            <w:r>
              <w:rPr>
                <w:rFonts w:hint="eastAsia" w:ascii="宋体" w:hAnsi="宋体" w:eastAsia="宋体" w:cs="宋体"/>
                <w:sz w:val="21"/>
                <w:szCs w:val="21"/>
                <w:highlight w:val="none"/>
              </w:rPr>
              <w:t>的</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涵盖了以上所有子项</w:t>
            </w:r>
            <w:r>
              <w:rPr>
                <w:rFonts w:hint="eastAsia" w:ascii="宋体" w:hAnsi="宋体" w:eastAsia="宋体" w:cs="宋体"/>
                <w:sz w:val="21"/>
                <w:szCs w:val="21"/>
                <w:highlight w:val="none"/>
                <w:lang w:val="en-US" w:eastAsia="zh-CN"/>
              </w:rPr>
              <w:t>的</w:t>
            </w:r>
            <w:r>
              <w:rPr>
                <w:rFonts w:hint="eastAsia" w:ascii="宋体" w:hAnsi="宋体" w:eastAsia="宋体" w:cs="宋体"/>
                <w:sz w:val="21"/>
                <w:szCs w:val="21"/>
                <w:highlight w:val="none"/>
              </w:rPr>
              <w:t>计</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分；</w:t>
            </w:r>
          </w:p>
          <w:p w14:paraId="222B9CC2">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CN"/>
              </w:rPr>
              <w:t>方案</w:t>
            </w:r>
            <w:r>
              <w:rPr>
                <w:rStyle w:val="19"/>
                <w:rFonts w:hint="eastAsia" w:ascii="宋体" w:hAnsi="宋体" w:eastAsia="宋体" w:cs="宋体"/>
                <w:b w:val="0"/>
                <w:color w:val="auto"/>
                <w:sz w:val="21"/>
                <w:szCs w:val="21"/>
                <w:highlight w:val="none"/>
              </w:rPr>
              <w:t>内容错误或有缺陷</w:t>
            </w:r>
            <w:r>
              <w:rPr>
                <w:rFonts w:hint="eastAsia" w:ascii="宋体" w:hAnsi="宋体" w:eastAsia="宋体" w:cs="宋体"/>
                <w:sz w:val="21"/>
                <w:szCs w:val="21"/>
                <w:highlight w:val="none"/>
                <w:lang w:eastAsia="zh-CN"/>
              </w:rPr>
              <w:t>的</w:t>
            </w:r>
            <w:r>
              <w:rPr>
                <w:rFonts w:hint="eastAsia" w:ascii="宋体" w:hAnsi="宋体" w:eastAsia="宋体" w:cs="宋体"/>
                <w:sz w:val="21"/>
                <w:szCs w:val="21"/>
                <w:highlight w:val="none"/>
              </w:rPr>
              <w:t>每处扣</w:t>
            </w:r>
            <w:r>
              <w:rPr>
                <w:rFonts w:hint="eastAsia" w:ascii="宋体" w:hAnsi="宋体" w:cs="宋体"/>
                <w:sz w:val="21"/>
                <w:szCs w:val="21"/>
                <w:highlight w:val="none"/>
                <w:lang w:val="en-US" w:eastAsia="zh-CN"/>
              </w:rPr>
              <w:t>0.5</w:t>
            </w:r>
            <w:r>
              <w:rPr>
                <w:rFonts w:hint="eastAsia" w:ascii="宋体" w:hAnsi="宋体" w:eastAsia="宋体" w:cs="宋体"/>
                <w:sz w:val="21"/>
                <w:szCs w:val="21"/>
                <w:highlight w:val="none"/>
              </w:rPr>
              <w:t>分，扣完为止；</w:t>
            </w:r>
          </w:p>
          <w:p w14:paraId="5C9E5C74">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①-</w:t>
            </w:r>
            <w:r>
              <w:rPr>
                <w:rStyle w:val="19"/>
                <w:rFonts w:hint="eastAsia" w:ascii="宋体" w:hAnsi="宋体" w:eastAsia="宋体" w:cs="宋体"/>
                <w:b w:val="0"/>
                <w:color w:val="auto"/>
                <w:sz w:val="21"/>
                <w:szCs w:val="21"/>
                <w:highlight w:val="none"/>
              </w:rPr>
              <w:t>⑤</w:t>
            </w:r>
            <w:r>
              <w:rPr>
                <w:rFonts w:hint="eastAsia" w:ascii="宋体" w:hAnsi="宋体" w:eastAsia="宋体" w:cs="宋体"/>
                <w:sz w:val="21"/>
                <w:szCs w:val="21"/>
                <w:highlight w:val="none"/>
                <w:lang w:val="en-US" w:eastAsia="zh-CN"/>
              </w:rPr>
              <w:t>评审小项</w:t>
            </w:r>
            <w:r>
              <w:rPr>
                <w:rFonts w:hint="eastAsia" w:ascii="宋体" w:hAnsi="宋体" w:eastAsia="宋体" w:cs="宋体"/>
                <w:sz w:val="21"/>
                <w:szCs w:val="21"/>
                <w:highlight w:val="none"/>
                <w:lang w:eastAsia="zh-CN"/>
              </w:rPr>
              <w:t>有未提供</w:t>
            </w:r>
            <w:r>
              <w:rPr>
                <w:rFonts w:hint="eastAsia" w:ascii="宋体" w:hAnsi="宋体" w:eastAsia="宋体" w:cs="宋体"/>
                <w:sz w:val="21"/>
                <w:szCs w:val="21"/>
                <w:highlight w:val="none"/>
              </w:rPr>
              <w:t>的每项扣</w:t>
            </w: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扣完为止；</w:t>
            </w:r>
          </w:p>
          <w:p w14:paraId="7F27B19D">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rPr>
              <w:t>4.未提供的不得分。</w:t>
            </w:r>
          </w:p>
        </w:tc>
      </w:tr>
      <w:tr w14:paraId="2B3DBD3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restart"/>
            <w:vAlign w:val="center"/>
          </w:tcPr>
          <w:p w14:paraId="7FC2B000">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商务部分（</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分）</w:t>
            </w:r>
          </w:p>
        </w:tc>
        <w:tc>
          <w:tcPr>
            <w:tcW w:w="460" w:type="pct"/>
            <w:vAlign w:val="center"/>
          </w:tcPr>
          <w:p w14:paraId="4FE87D0B">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团队人员</w:t>
            </w:r>
          </w:p>
        </w:tc>
        <w:tc>
          <w:tcPr>
            <w:tcW w:w="433" w:type="pct"/>
            <w:vAlign w:val="center"/>
          </w:tcPr>
          <w:p w14:paraId="37E4162A">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3708" w:type="pct"/>
            <w:vAlign w:val="center"/>
          </w:tcPr>
          <w:p w14:paraId="60DD099D">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拟</w:t>
            </w:r>
            <w:r>
              <w:rPr>
                <w:rFonts w:hint="eastAsia" w:ascii="宋体" w:hAnsi="宋体" w:eastAsia="宋体" w:cs="宋体"/>
                <w:color w:val="auto"/>
                <w:sz w:val="21"/>
                <w:szCs w:val="21"/>
                <w:highlight w:val="none"/>
                <w:lang w:val="en-US" w:eastAsia="zh-CN"/>
              </w:rPr>
              <w:t>配备</w:t>
            </w:r>
            <w:r>
              <w:rPr>
                <w:rFonts w:hint="eastAsia" w:ascii="宋体" w:hAnsi="宋体" w:eastAsia="宋体" w:cs="宋体"/>
                <w:color w:val="auto"/>
                <w:sz w:val="21"/>
                <w:szCs w:val="21"/>
                <w:highlight w:val="none"/>
              </w:rPr>
              <w:t>的项目团队人员具有</w:t>
            </w:r>
            <w:r>
              <w:rPr>
                <w:rFonts w:hint="eastAsia" w:ascii="宋体" w:hAnsi="宋体" w:eastAsia="宋体" w:cs="宋体"/>
                <w:color w:val="auto"/>
                <w:sz w:val="21"/>
                <w:szCs w:val="21"/>
                <w:highlight w:val="none"/>
                <w:lang w:val="en-US" w:eastAsia="zh-CN"/>
              </w:rPr>
              <w:t>高级</w:t>
            </w:r>
            <w:r>
              <w:rPr>
                <w:rFonts w:hint="eastAsia" w:ascii="宋体" w:hAnsi="宋体" w:eastAsia="宋体" w:cs="宋体"/>
                <w:color w:val="auto"/>
                <w:sz w:val="21"/>
                <w:szCs w:val="21"/>
                <w:highlight w:val="none"/>
              </w:rPr>
              <w:t>工程师证书（</w:t>
            </w:r>
            <w:r>
              <w:rPr>
                <w:rFonts w:hint="eastAsia" w:ascii="宋体" w:hAnsi="宋体" w:eastAsia="宋体" w:cs="宋体"/>
                <w:color w:val="auto"/>
                <w:sz w:val="21"/>
                <w:szCs w:val="21"/>
                <w:highlight w:val="none"/>
                <w:lang w:val="en-US" w:eastAsia="zh-CN"/>
              </w:rPr>
              <w:t>计算机网络或安全运维</w:t>
            </w:r>
            <w:r>
              <w:rPr>
                <w:rFonts w:hint="eastAsia" w:ascii="宋体" w:hAnsi="宋体" w:eastAsia="宋体" w:cs="宋体"/>
                <w:color w:val="auto"/>
                <w:sz w:val="21"/>
                <w:szCs w:val="21"/>
                <w:highlight w:val="none"/>
              </w:rPr>
              <w:t>相关专业）</w:t>
            </w:r>
            <w:r>
              <w:rPr>
                <w:rFonts w:hint="eastAsia" w:ascii="宋体" w:hAnsi="宋体" w:eastAsia="宋体" w:cs="宋体"/>
                <w:color w:val="auto"/>
                <w:sz w:val="21"/>
                <w:szCs w:val="21"/>
                <w:highlight w:val="none"/>
                <w:lang w:val="en-US" w:eastAsia="zh-CN"/>
              </w:rPr>
              <w:t>的，每提供一个计3分；</w:t>
            </w:r>
            <w:r>
              <w:rPr>
                <w:rFonts w:hint="eastAsia" w:ascii="宋体" w:hAnsi="宋体" w:eastAsia="宋体" w:cs="宋体"/>
                <w:color w:val="auto"/>
                <w:sz w:val="21"/>
                <w:szCs w:val="21"/>
                <w:highlight w:val="none"/>
              </w:rPr>
              <w:t>具有</w:t>
            </w:r>
            <w:r>
              <w:rPr>
                <w:rFonts w:hint="eastAsia" w:ascii="宋体" w:hAnsi="宋体" w:eastAsia="宋体" w:cs="宋体"/>
                <w:color w:val="auto"/>
                <w:sz w:val="21"/>
                <w:szCs w:val="21"/>
                <w:highlight w:val="none"/>
                <w:lang w:val="en-US" w:eastAsia="zh-CN"/>
              </w:rPr>
              <w:t>中级</w:t>
            </w:r>
            <w:r>
              <w:rPr>
                <w:rFonts w:hint="eastAsia" w:ascii="宋体" w:hAnsi="宋体" w:eastAsia="宋体" w:cs="宋体"/>
                <w:color w:val="auto"/>
                <w:sz w:val="21"/>
                <w:szCs w:val="21"/>
                <w:highlight w:val="none"/>
              </w:rPr>
              <w:t>工程师证书（</w:t>
            </w:r>
            <w:r>
              <w:rPr>
                <w:rFonts w:hint="eastAsia" w:ascii="宋体" w:hAnsi="宋体" w:eastAsia="宋体" w:cs="宋体"/>
                <w:color w:val="auto"/>
                <w:sz w:val="21"/>
                <w:szCs w:val="21"/>
                <w:highlight w:val="none"/>
                <w:lang w:val="en-US" w:eastAsia="zh-CN"/>
              </w:rPr>
              <w:t>计算机网络或安全运维</w:t>
            </w:r>
            <w:r>
              <w:rPr>
                <w:rFonts w:hint="eastAsia" w:ascii="宋体" w:hAnsi="宋体" w:eastAsia="宋体" w:cs="宋体"/>
                <w:color w:val="auto"/>
                <w:sz w:val="21"/>
                <w:szCs w:val="21"/>
                <w:highlight w:val="none"/>
              </w:rPr>
              <w:t>相关专业）</w:t>
            </w:r>
            <w:r>
              <w:rPr>
                <w:rFonts w:hint="eastAsia" w:ascii="宋体" w:hAnsi="宋体" w:eastAsia="宋体" w:cs="宋体"/>
                <w:color w:val="auto"/>
                <w:sz w:val="21"/>
                <w:szCs w:val="21"/>
                <w:highlight w:val="none"/>
                <w:lang w:val="en-US" w:eastAsia="zh-CN"/>
              </w:rPr>
              <w:t>的计1.5分，</w:t>
            </w:r>
            <w:r>
              <w:rPr>
                <w:rFonts w:hint="eastAsia" w:ascii="宋体" w:hAnsi="宋体" w:cs="宋体"/>
                <w:color w:val="auto"/>
                <w:sz w:val="21"/>
                <w:szCs w:val="21"/>
                <w:highlight w:val="none"/>
                <w:lang w:val="en-US" w:eastAsia="zh-CN"/>
              </w:rPr>
              <w:t>初阶工程师证书（计算机网络或安全运维相关专业）的计0.5分，</w:t>
            </w:r>
            <w:r>
              <w:rPr>
                <w:rFonts w:hint="eastAsia" w:ascii="宋体" w:hAnsi="宋体" w:eastAsia="宋体" w:cs="宋体"/>
                <w:color w:val="auto"/>
                <w:sz w:val="21"/>
                <w:szCs w:val="21"/>
                <w:highlight w:val="none"/>
                <w:lang w:val="en-US" w:eastAsia="zh-CN"/>
              </w:rPr>
              <w:t>本项最高计</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p w14:paraId="36CB0CD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注：需提供相关人员证书复印件、投标截止时间前半年内任意一个月投标人为其购买的社保缴纳证明，以上资料加盖投标人公章，未提供或提供不全的不计分。</w:t>
            </w:r>
          </w:p>
        </w:tc>
      </w:tr>
      <w:tr w14:paraId="221D3B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continue"/>
            <w:vAlign w:val="center"/>
          </w:tcPr>
          <w:p w14:paraId="59EBC5B6">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p>
        </w:tc>
        <w:tc>
          <w:tcPr>
            <w:tcW w:w="460" w:type="pct"/>
            <w:vAlign w:val="center"/>
          </w:tcPr>
          <w:p w14:paraId="5B8AA767">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企业实力</w:t>
            </w:r>
          </w:p>
        </w:tc>
        <w:tc>
          <w:tcPr>
            <w:tcW w:w="433" w:type="pct"/>
            <w:vAlign w:val="center"/>
          </w:tcPr>
          <w:p w14:paraId="5E200AA0">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3分</w:t>
            </w:r>
          </w:p>
        </w:tc>
        <w:tc>
          <w:tcPr>
            <w:tcW w:w="3708" w:type="pct"/>
            <w:vAlign w:val="center"/>
          </w:tcPr>
          <w:p w14:paraId="3E7AF91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strike w:val="0"/>
                <w:dstrike w:val="0"/>
                <w:snapToGrid w:val="0"/>
                <w:color w:val="auto"/>
                <w:spacing w:val="-4"/>
                <w:sz w:val="21"/>
                <w:szCs w:val="21"/>
                <w:highlight w:val="none"/>
                <w:lang w:val="en-US" w:eastAsia="zh-CN" w:bidi="ar-SA"/>
              </w:rPr>
              <w:t>投标人具备ISO14001环境管理体系认证、ISO9001质量管理体系认证、ISO45001职业健康安全管理体系认证的，每个得1分，共3分。</w:t>
            </w:r>
            <w:r>
              <w:rPr>
                <w:rFonts w:hint="eastAsia" w:ascii="宋体" w:hAnsi="宋体" w:eastAsia="宋体" w:cs="宋体"/>
                <w:color w:val="auto"/>
                <w:sz w:val="21"/>
                <w:szCs w:val="21"/>
                <w:highlight w:val="none"/>
              </w:rPr>
              <w:t>要求认证证书应在国家市场监督管理总局网或国家认证认可监督管理委员会平台网可查询，且证书</w:t>
            </w:r>
            <w:r>
              <w:rPr>
                <w:rFonts w:hint="eastAsia" w:ascii="宋体" w:hAnsi="宋体" w:eastAsia="宋体" w:cs="宋体"/>
                <w:color w:val="auto"/>
                <w:sz w:val="21"/>
                <w:szCs w:val="21"/>
                <w:highlight w:val="none"/>
                <w:lang w:eastAsia="zh-CN"/>
              </w:rPr>
              <w:t>在</w:t>
            </w:r>
            <w:r>
              <w:rPr>
                <w:rFonts w:hint="eastAsia" w:ascii="宋体" w:hAnsi="宋体" w:eastAsia="宋体" w:cs="宋体"/>
                <w:color w:val="auto"/>
                <w:sz w:val="21"/>
                <w:szCs w:val="21"/>
                <w:highlight w:val="none"/>
              </w:rPr>
              <w:t>有效期内。（提供证书复印件和查询截图加盖公章，否则不计分。）</w:t>
            </w:r>
          </w:p>
        </w:tc>
      </w:tr>
      <w:tr w14:paraId="6C5174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continue"/>
            <w:vAlign w:val="center"/>
          </w:tcPr>
          <w:p w14:paraId="47B4A2F3">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p>
        </w:tc>
        <w:tc>
          <w:tcPr>
            <w:tcW w:w="460" w:type="pct"/>
            <w:shd w:val="clear" w:color="auto" w:fill="auto"/>
            <w:vAlign w:val="center"/>
          </w:tcPr>
          <w:p w14:paraId="204AA9C8">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培训方案</w:t>
            </w:r>
          </w:p>
        </w:tc>
        <w:tc>
          <w:tcPr>
            <w:tcW w:w="433" w:type="pct"/>
            <w:shd w:val="clear" w:color="auto" w:fill="auto"/>
            <w:vAlign w:val="center"/>
          </w:tcPr>
          <w:p w14:paraId="2B42BA11">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w:t>
            </w:r>
          </w:p>
        </w:tc>
        <w:tc>
          <w:tcPr>
            <w:tcW w:w="3708" w:type="pct"/>
            <w:shd w:val="clear" w:color="auto" w:fill="auto"/>
            <w:vAlign w:val="center"/>
          </w:tcPr>
          <w:p w14:paraId="2E31D75D">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根据</w:t>
            </w:r>
            <w:r>
              <w:rPr>
                <w:rFonts w:hint="eastAsia" w:ascii="宋体" w:hAnsi="宋体" w:eastAsia="宋体" w:cs="宋体"/>
                <w:color w:val="auto"/>
                <w:sz w:val="21"/>
                <w:szCs w:val="21"/>
                <w:highlight w:val="none"/>
                <w:lang w:val="en-US" w:eastAsia="zh-CN"/>
              </w:rPr>
              <w:t>供应商提供的</w:t>
            </w:r>
            <w:r>
              <w:rPr>
                <w:rFonts w:hint="eastAsia"/>
                <w:color w:val="auto"/>
                <w:highlight w:val="none"/>
              </w:rPr>
              <w:t>培训方案</w:t>
            </w:r>
            <w:r>
              <w:rPr>
                <w:rFonts w:hint="eastAsia"/>
                <w:color w:val="auto"/>
                <w:highlight w:val="none"/>
                <w:lang w:eastAsia="zh-CN"/>
              </w:rPr>
              <w:t>，</w:t>
            </w:r>
            <w:r>
              <w:rPr>
                <w:rFonts w:hint="eastAsia"/>
                <w:color w:val="auto"/>
                <w:highlight w:val="none"/>
              </w:rPr>
              <w:t>包含①培训计划</w:t>
            </w:r>
            <w:r>
              <w:rPr>
                <w:rFonts w:hint="eastAsia"/>
                <w:color w:val="auto"/>
                <w:highlight w:val="none"/>
                <w:lang w:val="en-US" w:eastAsia="zh-CN"/>
              </w:rPr>
              <w:t>的组织及阶段性</w:t>
            </w:r>
            <w:r>
              <w:rPr>
                <w:rFonts w:hint="eastAsia"/>
                <w:color w:val="auto"/>
                <w:highlight w:val="none"/>
              </w:rPr>
              <w:t>安排；②培训</w:t>
            </w:r>
            <w:r>
              <w:rPr>
                <w:rFonts w:hint="eastAsia"/>
                <w:color w:val="auto"/>
                <w:highlight w:val="none"/>
                <w:lang w:val="en-US" w:eastAsia="zh-CN"/>
              </w:rPr>
              <w:t>的课程及</w:t>
            </w:r>
            <w:r>
              <w:rPr>
                <w:rFonts w:hint="eastAsia"/>
                <w:color w:val="auto"/>
                <w:highlight w:val="none"/>
              </w:rPr>
              <w:t>内容；③培训人员</w:t>
            </w:r>
            <w:r>
              <w:rPr>
                <w:rFonts w:hint="eastAsia"/>
                <w:color w:val="auto"/>
                <w:highlight w:val="none"/>
                <w:lang w:val="en-US" w:eastAsia="zh-CN"/>
              </w:rPr>
              <w:t>的技术实力</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进行综合评价：</w:t>
            </w:r>
          </w:p>
          <w:p w14:paraId="00B297A8">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color w:val="auto"/>
                <w:highlight w:val="none"/>
              </w:rPr>
              <w:t>培训方案</w:t>
            </w:r>
            <w:r>
              <w:rPr>
                <w:rFonts w:hint="eastAsia" w:ascii="宋体" w:hAnsi="宋体" w:eastAsia="宋体" w:cs="宋体"/>
                <w:color w:val="auto"/>
                <w:sz w:val="21"/>
                <w:szCs w:val="21"/>
                <w:highlight w:val="none"/>
              </w:rPr>
              <w:t>方案完整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合理、技术实力雄厚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涵盖了以上所有子项</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计</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14:paraId="0D0063C2">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方案</w:t>
            </w:r>
            <w:r>
              <w:rPr>
                <w:rStyle w:val="19"/>
                <w:rFonts w:hint="eastAsia" w:ascii="宋体" w:hAnsi="宋体" w:eastAsia="宋体" w:cs="宋体"/>
                <w:b w:val="0"/>
                <w:color w:val="auto"/>
                <w:sz w:val="21"/>
                <w:szCs w:val="21"/>
                <w:highlight w:val="none"/>
              </w:rPr>
              <w:t>内容错误或有缺陷</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每处扣</w:t>
            </w:r>
            <w:r>
              <w:rPr>
                <w:rFonts w:hint="eastAsia" w:ascii="宋体" w:hAnsi="宋体" w:cs="宋体"/>
                <w:color w:val="auto"/>
                <w:sz w:val="21"/>
                <w:szCs w:val="21"/>
                <w:highlight w:val="none"/>
                <w:lang w:val="en-US" w:eastAsia="zh-CN"/>
              </w:rPr>
              <w:t>0.5</w:t>
            </w:r>
            <w:r>
              <w:rPr>
                <w:rFonts w:hint="eastAsia" w:ascii="宋体" w:hAnsi="宋体" w:eastAsia="宋体" w:cs="宋体"/>
                <w:color w:val="auto"/>
                <w:sz w:val="21"/>
                <w:szCs w:val="21"/>
                <w:highlight w:val="none"/>
              </w:rPr>
              <w:t>分，扣完为止；</w:t>
            </w:r>
          </w:p>
          <w:p w14:paraId="37A50A4B">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①-</w:t>
            </w:r>
            <w:r>
              <w:rPr>
                <w:rFonts w:hint="eastAsia"/>
                <w:color w:val="auto"/>
                <w:highlight w:val="none"/>
              </w:rPr>
              <w:t>③</w:t>
            </w:r>
            <w:r>
              <w:rPr>
                <w:rFonts w:hint="eastAsia" w:ascii="宋体" w:hAnsi="宋体" w:eastAsia="宋体" w:cs="宋体"/>
                <w:color w:val="auto"/>
                <w:sz w:val="21"/>
                <w:szCs w:val="21"/>
                <w:highlight w:val="none"/>
                <w:lang w:val="en-US" w:eastAsia="zh-CN"/>
              </w:rPr>
              <w:t>评审小项</w:t>
            </w:r>
            <w:r>
              <w:rPr>
                <w:rFonts w:hint="eastAsia" w:ascii="宋体" w:hAnsi="宋体" w:eastAsia="宋体" w:cs="宋体"/>
                <w:color w:val="auto"/>
                <w:sz w:val="21"/>
                <w:szCs w:val="21"/>
                <w:highlight w:val="none"/>
                <w:lang w:eastAsia="zh-CN"/>
              </w:rPr>
              <w:t>有未提供</w:t>
            </w:r>
            <w:r>
              <w:rPr>
                <w:rFonts w:hint="eastAsia" w:ascii="宋体" w:hAnsi="宋体" w:eastAsia="宋体" w:cs="宋体"/>
                <w:color w:val="auto"/>
                <w:sz w:val="21"/>
                <w:szCs w:val="21"/>
                <w:highlight w:val="none"/>
              </w:rPr>
              <w:t>的每项扣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扣完为止；</w:t>
            </w:r>
          </w:p>
          <w:p w14:paraId="70C046AE">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4.未提供的不得分。</w:t>
            </w:r>
          </w:p>
        </w:tc>
      </w:tr>
      <w:tr w14:paraId="34ECE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8" w:type="pct"/>
            <w:vMerge w:val="continue"/>
            <w:vAlign w:val="center"/>
          </w:tcPr>
          <w:p w14:paraId="121D947F">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rPr>
            </w:pPr>
            <w:bookmarkStart w:id="71" w:name="_Toc4087"/>
          </w:p>
        </w:tc>
        <w:tc>
          <w:tcPr>
            <w:tcW w:w="460" w:type="pct"/>
            <w:shd w:val="clear" w:color="auto" w:fill="auto"/>
            <w:vAlign w:val="center"/>
          </w:tcPr>
          <w:p w14:paraId="7DAA800A">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合理化/增值服务</w:t>
            </w:r>
          </w:p>
        </w:tc>
        <w:tc>
          <w:tcPr>
            <w:tcW w:w="433" w:type="pct"/>
            <w:shd w:val="clear" w:color="auto" w:fill="auto"/>
            <w:vAlign w:val="center"/>
          </w:tcPr>
          <w:p w14:paraId="76F5B413">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firstLine="0" w:firstLineChars="0"/>
              <w:jc w:val="center"/>
              <w:textAlignment w:val="auto"/>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1分</w:t>
            </w:r>
          </w:p>
        </w:tc>
        <w:tc>
          <w:tcPr>
            <w:tcW w:w="3708" w:type="pct"/>
            <w:shd w:val="clear" w:color="auto" w:fill="auto"/>
            <w:vAlign w:val="center"/>
          </w:tcPr>
          <w:p w14:paraId="6EF2C765">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leftChars="0" w:right="0" w:rightChars="0"/>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供应商</w:t>
            </w:r>
            <w:r>
              <w:rPr>
                <w:rFonts w:hint="default" w:ascii="宋体" w:hAnsi="宋体" w:eastAsia="宋体" w:cs="宋体"/>
                <w:sz w:val="21"/>
                <w:szCs w:val="21"/>
                <w:highlight w:val="none"/>
                <w:lang w:val="en-US" w:eastAsia="zh-CN"/>
              </w:rPr>
              <w:t>结合本项目网络实训室建设目标，针对实训室布局优化、实训场景拓展、实训项目开发、技能竞赛配套、课程资源建设、后期运维管理、安全保障、节能减排、设备互联互通、产教融合社会培训等方面提出合理化</w:t>
            </w:r>
            <w:r>
              <w:rPr>
                <w:rFonts w:hint="eastAsia" w:ascii="宋体" w:hAnsi="宋体" w:eastAsia="宋体" w:cs="宋体"/>
                <w:sz w:val="21"/>
                <w:szCs w:val="21"/>
                <w:highlight w:val="none"/>
                <w:lang w:val="en-US" w:eastAsia="zh-CN"/>
              </w:rPr>
              <w:t>建议或</w:t>
            </w:r>
            <w:r>
              <w:rPr>
                <w:rFonts w:hint="default" w:ascii="宋体" w:hAnsi="宋体" w:eastAsia="宋体" w:cs="宋体"/>
                <w:sz w:val="21"/>
                <w:szCs w:val="21"/>
                <w:highlight w:val="none"/>
                <w:lang w:val="en-US" w:eastAsia="zh-CN"/>
              </w:rPr>
              <w:t>增值</w:t>
            </w:r>
            <w:r>
              <w:rPr>
                <w:rFonts w:hint="eastAsia" w:ascii="宋体" w:hAnsi="宋体" w:eastAsia="宋体" w:cs="宋体"/>
                <w:sz w:val="21"/>
                <w:szCs w:val="21"/>
                <w:highlight w:val="none"/>
                <w:lang w:val="en-US" w:eastAsia="zh-CN"/>
              </w:rPr>
              <w:t>服务，建议或增值服务针对性强、可落地、贴合本专业实训教学需求且经磋商小组认可的，每提供一条计0.5分，最高计1分</w:t>
            </w:r>
            <w:r>
              <w:rPr>
                <w:rFonts w:hint="default" w:ascii="宋体" w:hAnsi="宋体" w:eastAsia="宋体" w:cs="宋体"/>
                <w:sz w:val="21"/>
                <w:szCs w:val="21"/>
                <w:highlight w:val="none"/>
                <w:lang w:val="en-US" w:eastAsia="zh-CN"/>
              </w:rPr>
              <w:t>。</w:t>
            </w:r>
          </w:p>
        </w:tc>
      </w:tr>
      <w:tr w14:paraId="171CF5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4"/>
            <w:vAlign w:val="center"/>
          </w:tcPr>
          <w:p w14:paraId="456F72D9">
            <w:pPr>
              <w:keepNext w:val="0"/>
              <w:keepLines w:val="0"/>
              <w:pageBreakBefore w:val="0"/>
              <w:widowControl w:val="0"/>
              <w:suppressLineNumbers w:val="0"/>
              <w:kinsoku/>
              <w:wordWrap/>
              <w:overflowPunct/>
              <w:topLinePunct w:val="0"/>
              <w:bidi w:val="0"/>
              <w:adjustRightInd/>
              <w:snapToGrid/>
              <w:spacing w:before="0" w:beforeAutospacing="0" w:after="0" w:afterAutospacing="0"/>
              <w:ind w:left="0" w:right="0"/>
              <w:textAlignment w:val="auto"/>
              <w:rPr>
                <w:rFonts w:hint="eastAsia" w:ascii="宋体" w:hAnsi="宋体" w:eastAsia="宋体" w:cs="宋体"/>
                <w:sz w:val="21"/>
                <w:szCs w:val="21"/>
                <w:highlight w:val="none"/>
                <w:lang w:val="en-US" w:eastAsia="zh-CN"/>
              </w:rPr>
            </w:pPr>
            <w:r>
              <w:rPr>
                <w:rStyle w:val="19"/>
                <w:rFonts w:hint="eastAsia" w:ascii="宋体" w:hAnsi="宋体" w:eastAsia="宋体" w:cs="宋体"/>
                <w:b w:val="0"/>
                <w:color w:val="auto"/>
                <w:sz w:val="21"/>
                <w:szCs w:val="21"/>
                <w:highlight w:val="none"/>
              </w:rPr>
              <w:t>注：内容错误或有缺陷是指项目名称不符、内容与项目需求不一致、涉及的技术规范标准等与国家或行业或</w:t>
            </w:r>
            <w:r>
              <w:rPr>
                <w:rStyle w:val="19"/>
                <w:rFonts w:hint="eastAsia" w:ascii="宋体" w:hAnsi="宋体" w:eastAsia="宋体" w:cs="宋体"/>
                <w:b w:val="0"/>
                <w:color w:val="auto"/>
                <w:sz w:val="21"/>
                <w:szCs w:val="21"/>
                <w:highlight w:val="none"/>
                <w:lang w:eastAsia="zh-CN"/>
              </w:rPr>
              <w:t>磋商</w:t>
            </w:r>
            <w:r>
              <w:rPr>
                <w:rStyle w:val="19"/>
                <w:rFonts w:hint="eastAsia" w:ascii="宋体" w:hAnsi="宋体" w:eastAsia="宋体" w:cs="宋体"/>
                <w:b w:val="0"/>
                <w:color w:val="auto"/>
                <w:sz w:val="21"/>
                <w:szCs w:val="21"/>
                <w:highlight w:val="none"/>
              </w:rPr>
              <w:t>文件要求不一致，内容与实际实施存在差异性，</w:t>
            </w:r>
            <w:r>
              <w:rPr>
                <w:rStyle w:val="19"/>
                <w:rFonts w:hint="eastAsia" w:ascii="宋体" w:hAnsi="宋体" w:eastAsia="宋体" w:cs="宋体"/>
                <w:b w:val="0"/>
                <w:color w:val="auto"/>
                <w:sz w:val="21"/>
                <w:szCs w:val="21"/>
                <w:highlight w:val="none"/>
                <w:lang w:eastAsia="zh-CN"/>
              </w:rPr>
              <w:t>措施</w:t>
            </w:r>
            <w:r>
              <w:rPr>
                <w:rStyle w:val="19"/>
                <w:rFonts w:hint="eastAsia" w:ascii="宋体" w:hAnsi="宋体" w:eastAsia="宋体" w:cs="宋体"/>
                <w:b w:val="0"/>
                <w:color w:val="auto"/>
                <w:sz w:val="21"/>
                <w:szCs w:val="21"/>
                <w:highlight w:val="none"/>
              </w:rPr>
              <w:t>无条理性、内容空洞、混乱，内容不充实</w:t>
            </w:r>
            <w:r>
              <w:rPr>
                <w:rStyle w:val="19"/>
                <w:rFonts w:hint="eastAsia" w:ascii="宋体" w:hAnsi="宋体" w:eastAsia="宋体" w:cs="宋体"/>
                <w:b w:val="0"/>
                <w:color w:val="auto"/>
                <w:sz w:val="21"/>
                <w:szCs w:val="21"/>
                <w:highlight w:val="none"/>
                <w:lang w:eastAsia="zh-CN"/>
              </w:rPr>
              <w:t>、不完善</w:t>
            </w:r>
            <w:r>
              <w:rPr>
                <w:rStyle w:val="19"/>
                <w:rFonts w:hint="eastAsia" w:ascii="宋体" w:hAnsi="宋体" w:eastAsia="宋体" w:cs="宋体"/>
                <w:b w:val="0"/>
                <w:color w:val="auto"/>
                <w:sz w:val="21"/>
                <w:szCs w:val="21"/>
                <w:highlight w:val="none"/>
              </w:rPr>
              <w:t>等。</w:t>
            </w:r>
          </w:p>
        </w:tc>
      </w:tr>
    </w:tbl>
    <w:p w14:paraId="3EA3BCB2">
      <w:pPr>
        <w:widowControl/>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4.推荐成交候选人名单</w:t>
      </w:r>
      <w:bookmarkEnd w:id="71"/>
    </w:p>
    <w:p w14:paraId="28E6FCB7">
      <w:pPr>
        <w:widowControl/>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4.1按评审后得分由高到低顺序排列。得分相同的，按最终报价由低到高顺序排列。得分且最终报价相同的，按技术指标优劣顺序排列。</w:t>
      </w:r>
    </w:p>
    <w:p w14:paraId="437F1ADD">
      <w:pPr>
        <w:widowControl/>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4.2成交候选人数量为1-3名，本次磋商采购推荐的成交候选人数量见</w:t>
      </w:r>
      <w:r>
        <w:rPr>
          <w:rFonts w:hint="eastAsia" w:ascii="宋体" w:hAnsi="宋体" w:cs="宋体"/>
          <w:b/>
          <w:bCs/>
          <w:color w:val="auto"/>
          <w:kern w:val="0"/>
          <w:sz w:val="21"/>
          <w:szCs w:val="21"/>
          <w:highlight w:val="none"/>
          <w:lang w:eastAsia="zh-CN"/>
        </w:rPr>
        <w:t>磋商须知前附表</w:t>
      </w:r>
      <w:r>
        <w:rPr>
          <w:rFonts w:hint="eastAsia" w:ascii="宋体" w:hAnsi="宋体" w:eastAsia="宋体" w:cs="宋体"/>
          <w:color w:val="auto"/>
          <w:kern w:val="0"/>
          <w:sz w:val="21"/>
          <w:szCs w:val="21"/>
          <w:highlight w:val="none"/>
        </w:rPr>
        <w:t>。</w:t>
      </w:r>
    </w:p>
    <w:p w14:paraId="66C1CE10">
      <w:pP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br w:type="page"/>
      </w:r>
    </w:p>
    <w:p w14:paraId="22F8D63B">
      <w:pPr>
        <w:tabs>
          <w:tab w:val="left" w:pos="0"/>
        </w:tabs>
        <w:adjustRightInd w:val="0"/>
        <w:snapToGrid w:val="0"/>
        <w:spacing w:before="159" w:beforeLines="50" w:line="360" w:lineRule="auto"/>
        <w:ind w:firstLine="643" w:firstLineChars="200"/>
        <w:jc w:val="center"/>
        <w:outlineLvl w:val="0"/>
        <w:rPr>
          <w:rFonts w:hint="eastAsia" w:ascii="宋体" w:hAnsi="宋体" w:cs="宋体"/>
          <w:b/>
          <w:bCs/>
          <w:color w:val="auto"/>
          <w:sz w:val="32"/>
          <w:szCs w:val="32"/>
          <w:highlight w:val="none"/>
        </w:rPr>
      </w:pPr>
      <w:bookmarkStart w:id="72" w:name="_Toc32201"/>
      <w:bookmarkStart w:id="73" w:name="_Toc26300"/>
      <w:r>
        <w:rPr>
          <w:rFonts w:hint="eastAsia" w:ascii="宋体" w:hAnsi="宋体" w:cs="宋体"/>
          <w:b/>
          <w:color w:val="auto"/>
          <w:sz w:val="32"/>
          <w:szCs w:val="32"/>
          <w:highlight w:val="none"/>
        </w:rPr>
        <w:t xml:space="preserve">第四章 </w:t>
      </w:r>
      <w:r>
        <w:rPr>
          <w:rFonts w:hint="eastAsia" w:ascii="宋体" w:hAnsi="宋体" w:cs="宋体"/>
          <w:b/>
          <w:bCs/>
          <w:color w:val="auto"/>
          <w:sz w:val="32"/>
          <w:szCs w:val="32"/>
          <w:highlight w:val="none"/>
        </w:rPr>
        <w:t>采购合同格式</w:t>
      </w:r>
      <w:bookmarkEnd w:id="72"/>
      <w:bookmarkEnd w:id="73"/>
    </w:p>
    <w:p w14:paraId="3977547E">
      <w:pPr>
        <w:pStyle w:val="2"/>
        <w:pageBreakBefore w:val="0"/>
        <w:widowControl w:val="0"/>
        <w:kinsoku/>
        <w:wordWrap/>
        <w:overflowPunct/>
        <w:topLinePunct w:val="0"/>
        <w:bidi w:val="0"/>
        <w:adjustRightInd/>
        <w:snapToGrid/>
        <w:jc w:val="center"/>
        <w:textAlignment w:val="auto"/>
        <w:rPr>
          <w:rFonts w:hint="eastAsia" w:ascii="宋体" w:hAnsi="宋体" w:eastAsia="宋体" w:cs="宋体"/>
          <w:kern w:val="0"/>
          <w:sz w:val="21"/>
          <w:szCs w:val="21"/>
          <w:highlight w:val="none"/>
        </w:rPr>
      </w:pPr>
      <w:bookmarkStart w:id="74" w:name="_Toc27234"/>
      <w:bookmarkStart w:id="75" w:name="_Toc14991"/>
      <w:bookmarkStart w:id="76" w:name="_Toc9080"/>
      <w:r>
        <w:rPr>
          <w:rFonts w:hint="eastAsia" w:ascii="宋体" w:hAnsi="宋体" w:eastAsia="宋体" w:cs="宋体"/>
          <w:kern w:val="0"/>
          <w:sz w:val="21"/>
          <w:szCs w:val="21"/>
          <w:highlight w:val="none"/>
        </w:rPr>
        <w:t>第一节 政府采购合同协议书</w:t>
      </w:r>
      <w:bookmarkEnd w:id="74"/>
      <w:bookmarkEnd w:id="75"/>
      <w:bookmarkEnd w:id="76"/>
    </w:p>
    <w:p w14:paraId="0DA08C1F">
      <w:pPr>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采购计划编</w:t>
      </w:r>
      <w:r>
        <w:rPr>
          <w:rFonts w:hint="eastAsia" w:ascii="宋体" w:hAnsi="宋体" w:eastAsia="宋体" w:cs="宋体"/>
          <w:kern w:val="0"/>
          <w:sz w:val="21"/>
          <w:szCs w:val="21"/>
          <w:highlight w:val="none"/>
        </w:rPr>
        <w:t>号：</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sz w:val="21"/>
          <w:szCs w:val="21"/>
          <w:highlight w:val="none"/>
          <w:u w:val="single"/>
          <w:lang w:val="zh-CN"/>
        </w:rPr>
        <w:t>(2026)430000003087-1</w:t>
      </w:r>
    </w:p>
    <w:p w14:paraId="2E0AA5F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采购人（全称）：</w:t>
      </w:r>
      <w:r>
        <w:rPr>
          <w:rFonts w:hint="eastAsia" w:ascii="宋体" w:hAnsi="宋体" w:eastAsia="宋体" w:cs="宋体"/>
          <w:snapToGrid w:val="0"/>
          <w:sz w:val="21"/>
          <w:szCs w:val="21"/>
          <w:highlight w:val="none"/>
          <w:u w:val="single"/>
          <w:lang w:val="zh-CN"/>
        </w:rPr>
        <w:t xml:space="preserve">  湖南铁道职业技术学院  </w:t>
      </w:r>
      <w:r>
        <w:rPr>
          <w:rFonts w:hint="eastAsia" w:ascii="宋体" w:hAnsi="宋体" w:eastAsia="宋体" w:cs="宋体"/>
          <w:kern w:val="0"/>
          <w:sz w:val="21"/>
          <w:szCs w:val="21"/>
          <w:highlight w:val="none"/>
        </w:rPr>
        <w:t>（甲方）</w:t>
      </w:r>
    </w:p>
    <w:p w14:paraId="5E4AE8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供应商（全称）：</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snapToGrid w:val="0"/>
          <w:sz w:val="21"/>
          <w:szCs w:val="21"/>
          <w:highlight w:val="none"/>
          <w:u w:val="single"/>
          <w:lang w:val="en-US" w:eastAsia="zh-CN"/>
        </w:rPr>
        <w:t xml:space="preserve"> </w:t>
      </w:r>
      <w:r>
        <w:rPr>
          <w:rFonts w:hint="eastAsia" w:ascii="宋体" w:hAnsi="宋体" w:eastAsia="宋体" w:cs="宋体"/>
          <w:kern w:val="0"/>
          <w:sz w:val="21"/>
          <w:szCs w:val="21"/>
          <w:highlight w:val="none"/>
        </w:rPr>
        <w:t>（乙方）</w:t>
      </w:r>
    </w:p>
    <w:p w14:paraId="1E41CC68">
      <w:pPr>
        <w:pStyle w:val="7"/>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为了保护甲、乙双方合法权益，根据《中华人民共和国民法典》、《中华人民共和国政府采购法》及其他有关</w:t>
      </w:r>
      <w:r>
        <w:rPr>
          <w:rFonts w:hint="eastAsia" w:ascii="宋体" w:hAnsi="宋体" w:eastAsia="宋体" w:cs="宋体"/>
          <w:kern w:val="0"/>
          <w:sz w:val="21"/>
          <w:szCs w:val="21"/>
          <w:highlight w:val="none"/>
        </w:rPr>
        <w:t>法律、法规、规章，双方签订本合同协议书。</w:t>
      </w:r>
    </w:p>
    <w:p w14:paraId="4FC7F48B">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1.项目信息</w:t>
      </w:r>
    </w:p>
    <w:p w14:paraId="28C15E45">
      <w:pPr>
        <w:pStyle w:val="7"/>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（1）采购项目名称：</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sz w:val="21"/>
          <w:szCs w:val="21"/>
          <w:highlight w:val="none"/>
          <w:u w:val="single"/>
          <w:lang w:val="zh-CN"/>
        </w:rPr>
        <w:t>现代网络技术实训室</w:t>
      </w:r>
      <w:r>
        <w:rPr>
          <w:rFonts w:hint="eastAsia" w:ascii="宋体" w:hAnsi="宋体" w:eastAsia="宋体" w:cs="宋体"/>
          <w:snapToGrid w:val="0"/>
          <w:sz w:val="21"/>
          <w:szCs w:val="21"/>
          <w:highlight w:val="none"/>
          <w:u w:val="single"/>
          <w:lang w:val="zh-CN"/>
        </w:rPr>
        <w:t xml:space="preserve"> </w:t>
      </w:r>
    </w:p>
    <w:p w14:paraId="3CC8076B">
      <w:pPr>
        <w:pStyle w:val="7"/>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rPr>
        <w:t>2）采购计划编号：</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sz w:val="21"/>
          <w:szCs w:val="21"/>
          <w:highlight w:val="none"/>
          <w:u w:val="single"/>
          <w:lang w:val="zh-CN"/>
        </w:rPr>
        <w:t>(2026)430000003087-1</w:t>
      </w:r>
      <w:r>
        <w:rPr>
          <w:rFonts w:hint="eastAsia" w:ascii="宋体" w:hAnsi="宋体" w:eastAsia="宋体" w:cs="宋体"/>
          <w:snapToGrid w:val="0"/>
          <w:sz w:val="21"/>
          <w:szCs w:val="21"/>
          <w:highlight w:val="none"/>
          <w:u w:val="single"/>
          <w:lang w:val="zh-CN"/>
        </w:rPr>
        <w:t xml:space="preserve">  </w:t>
      </w:r>
    </w:p>
    <w:p w14:paraId="7C4CA4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napToGrid w:val="0"/>
          <w:sz w:val="21"/>
          <w:szCs w:val="21"/>
          <w:highlight w:val="none"/>
          <w:u w:val="single"/>
          <w:lang w:val="zh-CN"/>
        </w:rPr>
      </w:pPr>
      <w:r>
        <w:rPr>
          <w:rFonts w:hint="eastAsia" w:ascii="宋体" w:hAnsi="宋体" w:eastAsia="宋体" w:cs="宋体"/>
          <w:kern w:val="0"/>
          <w:sz w:val="21"/>
          <w:szCs w:val="21"/>
          <w:highlight w:val="none"/>
        </w:rPr>
        <w:t>（3）项目内容：</w:t>
      </w:r>
      <w:r>
        <w:rPr>
          <w:rFonts w:hint="eastAsia" w:ascii="宋体" w:hAnsi="宋体" w:eastAsia="宋体" w:cs="宋体"/>
          <w:snapToGrid w:val="0"/>
          <w:sz w:val="21"/>
          <w:szCs w:val="21"/>
          <w:highlight w:val="none"/>
          <w:u w:val="single"/>
          <w:lang w:val="zh-CN"/>
        </w:rPr>
        <w:t xml:space="preserve"> 本项目建成标准化现代网络技术实训室，打造虚实结合、贴合企业真实场景的网络实操平台，全面支撑网络基础、网络组建、局域网规划部署、路由交换配置、综合布线施工、光纤熔接、网络故障排查、基础网络安全运维等岗位技能实训。覆盖《现代网络技术》《网络设备配置与管理》等课程全流程理论+实操教学，满足信息安全、移动互联、人工智能、大数据、数字媒体全专业网络类实训授课需求。改善校内网络技术教学、技能竞赛、课程研发、教师教研条件，强化学生网络规划、设备调试、综合布线、运维排障实战能力，实现院校教学与网络工程、系统集成、企业网管等就业岗位无缝衔接；同时可对外承接兄弟院校师资培训、行业企业网络技能培训、省级/校级网络技能竞赛承办工作。</w:t>
      </w:r>
    </w:p>
    <w:p w14:paraId="7768BA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kern w:val="0"/>
          <w:sz w:val="21"/>
          <w:szCs w:val="21"/>
          <w:highlight w:val="none"/>
          <w:lang w:val="en-US" w:eastAsia="zh-CN"/>
        </w:rPr>
      </w:pPr>
      <w:r>
        <w:rPr>
          <w:rFonts w:hint="eastAsia" w:ascii="宋体" w:hAnsi="宋体" w:eastAsia="宋体" w:cs="宋体"/>
          <w:snapToGrid w:val="0"/>
          <w:sz w:val="21"/>
          <w:szCs w:val="21"/>
          <w:highlight w:val="none"/>
          <w:u w:val="single"/>
          <w:lang w:val="zh-CN"/>
        </w:rPr>
        <w:t>实训室建设遵循《高等职业学校专业实训教学条件建设标准》相关要求，贯彻《关于深化现代职业教育体系建设改革的意见》中深化产教融合、校企合作的指导精神，将产业真实场景和前沿技术体系融入教学，实现教育链、人才链与产业链、创新链的有效衔接。</w:t>
      </w:r>
      <w:r>
        <w:rPr>
          <w:rFonts w:hint="eastAsia" w:ascii="宋体" w:hAnsi="宋体" w:cs="宋体"/>
          <w:snapToGrid w:val="0"/>
          <w:sz w:val="21"/>
          <w:szCs w:val="21"/>
          <w:highlight w:val="none"/>
          <w:u w:val="single"/>
          <w:lang w:val="en-US" w:eastAsia="zh-CN"/>
        </w:rPr>
        <w:t>具体详见采购需求。</w:t>
      </w:r>
    </w:p>
    <w:p w14:paraId="32DA92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（4）项目负责人：</w:t>
      </w:r>
      <w:r>
        <w:rPr>
          <w:rFonts w:hint="eastAsia" w:ascii="宋体" w:hAnsi="宋体" w:eastAsia="宋体" w:cs="宋体"/>
          <w:snapToGrid w:val="0"/>
          <w:sz w:val="21"/>
          <w:szCs w:val="21"/>
          <w:highlight w:val="none"/>
          <w:u w:val="single"/>
          <w:lang w:val="zh-CN"/>
        </w:rPr>
        <w:t xml:space="preserve">                  </w:t>
      </w:r>
    </w:p>
    <w:p w14:paraId="1A4C2C02">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2.合同金额</w:t>
      </w:r>
    </w:p>
    <w:p w14:paraId="3724B25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（1）合同金额小写：</w:t>
      </w:r>
      <w:r>
        <w:rPr>
          <w:rFonts w:hint="eastAsia" w:ascii="宋体" w:hAnsi="宋体" w:eastAsia="宋体" w:cs="宋体"/>
          <w:snapToGrid w:val="0"/>
          <w:sz w:val="21"/>
          <w:szCs w:val="21"/>
          <w:highlight w:val="none"/>
          <w:u w:val="single"/>
          <w:lang w:val="zh-CN"/>
        </w:rPr>
        <w:t xml:space="preserve">                                          </w:t>
      </w:r>
    </w:p>
    <w:p w14:paraId="35529ABB">
      <w:pPr>
        <w:pageBreakBefore w:val="0"/>
        <w:widowControl w:val="0"/>
        <w:kinsoku/>
        <w:wordWrap/>
        <w:overflowPunct/>
        <w:topLinePunct w:val="0"/>
        <w:autoSpaceDE/>
        <w:autoSpaceDN/>
        <w:bidi w:val="0"/>
        <w:adjustRightInd/>
        <w:snapToGrid/>
        <w:spacing w:line="360" w:lineRule="auto"/>
        <w:ind w:firstLine="1890" w:firstLineChars="900"/>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大写：</w:t>
      </w:r>
      <w:r>
        <w:rPr>
          <w:rFonts w:hint="eastAsia" w:ascii="宋体" w:hAnsi="宋体" w:eastAsia="宋体" w:cs="宋体"/>
          <w:snapToGrid w:val="0"/>
          <w:sz w:val="21"/>
          <w:szCs w:val="21"/>
          <w:highlight w:val="none"/>
          <w:u w:val="single"/>
          <w:lang w:val="zh-CN"/>
        </w:rPr>
        <w:t xml:space="preserve">                                         </w:t>
      </w:r>
    </w:p>
    <w:p w14:paraId="4CEC83D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（2）具体标的见附件</w:t>
      </w:r>
      <w:r>
        <w:rPr>
          <w:rFonts w:hint="eastAsia" w:ascii="宋体" w:hAnsi="宋体" w:eastAsia="宋体" w:cs="宋体"/>
          <w:snapToGrid w:val="0"/>
          <w:sz w:val="21"/>
          <w:szCs w:val="21"/>
          <w:highlight w:val="none"/>
          <w:u w:val="single"/>
          <w:lang w:val="zh-CN"/>
        </w:rPr>
        <w:t xml:space="preserve">                     </w:t>
      </w:r>
    </w:p>
    <w:p w14:paraId="1678A472">
      <w:pPr>
        <w:keepNext w:val="0"/>
        <w:keepLines w:val="0"/>
        <w:pageBreakBefore w:val="0"/>
        <w:widowControl/>
        <w:kinsoku/>
        <w:wordWrap/>
        <w:overflowPunct/>
        <w:topLinePunct w:val="0"/>
        <w:autoSpaceDE/>
        <w:autoSpaceDN/>
        <w:bidi w:val="0"/>
        <w:adjustRightInd/>
        <w:snapToGrid/>
        <w:spacing w:line="360" w:lineRule="auto"/>
        <w:ind w:firstLine="42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（3）合同价格形式：</w:t>
      </w:r>
      <w:r>
        <w:rPr>
          <w:rFonts w:hint="eastAsia" w:ascii="宋体" w:hAnsi="宋体" w:eastAsia="宋体" w:cs="宋体"/>
          <w:color w:val="auto"/>
          <w:sz w:val="21"/>
          <w:szCs w:val="21"/>
          <w:highlight w:val="none"/>
          <w:u w:val="single"/>
          <w:lang w:bidi="ar"/>
        </w:rPr>
        <w:t>■</w:t>
      </w:r>
      <w:r>
        <w:rPr>
          <w:rFonts w:hint="eastAsia" w:ascii="宋体" w:hAnsi="宋体" w:eastAsia="宋体" w:cs="宋体"/>
          <w:color w:val="auto"/>
          <w:kern w:val="0"/>
          <w:sz w:val="21"/>
          <w:szCs w:val="21"/>
          <w:highlight w:val="none"/>
          <w:u w:val="single"/>
          <w:lang w:bidi="ar"/>
        </w:rPr>
        <w:t xml:space="preserve">固定总价 </w:t>
      </w:r>
      <w:r>
        <w:rPr>
          <w:rFonts w:hint="eastAsia" w:ascii="宋体" w:hAnsi="宋体" w:eastAsia="宋体" w:cs="宋体"/>
          <w:color w:val="auto"/>
          <w:sz w:val="21"/>
          <w:szCs w:val="21"/>
          <w:highlight w:val="none"/>
          <w:u w:val="single"/>
          <w:lang w:bidi="ar"/>
        </w:rPr>
        <w:sym w:font="Wingdings" w:char="00A8"/>
      </w:r>
      <w:r>
        <w:rPr>
          <w:rFonts w:hint="eastAsia" w:ascii="宋体" w:hAnsi="宋体" w:eastAsia="宋体" w:cs="宋体"/>
          <w:color w:val="auto"/>
          <w:kern w:val="0"/>
          <w:sz w:val="21"/>
          <w:szCs w:val="21"/>
          <w:highlight w:val="none"/>
          <w:u w:val="single"/>
          <w:lang w:bidi="ar"/>
        </w:rPr>
        <w:t xml:space="preserve">固定单价 </w:t>
      </w:r>
      <w:r>
        <w:rPr>
          <w:rFonts w:hint="eastAsia" w:ascii="宋体" w:hAnsi="宋体" w:eastAsia="宋体" w:cs="宋体"/>
          <w:color w:val="auto"/>
          <w:sz w:val="21"/>
          <w:szCs w:val="21"/>
          <w:highlight w:val="none"/>
          <w:u w:val="single"/>
          <w:lang w:bidi="ar"/>
        </w:rPr>
        <w:sym w:font="Wingdings" w:char="00A8"/>
      </w:r>
      <w:r>
        <w:rPr>
          <w:rFonts w:hint="eastAsia" w:ascii="宋体" w:hAnsi="宋体" w:eastAsia="宋体" w:cs="宋体"/>
          <w:color w:val="auto"/>
          <w:kern w:val="0"/>
          <w:sz w:val="21"/>
          <w:szCs w:val="21"/>
          <w:highlight w:val="none"/>
          <w:u w:val="single"/>
          <w:lang w:bidi="ar"/>
        </w:rPr>
        <w:t xml:space="preserve">成本补偿 </w:t>
      </w:r>
      <w:r>
        <w:rPr>
          <w:rFonts w:hint="eastAsia" w:ascii="宋体" w:hAnsi="宋体" w:eastAsia="宋体" w:cs="宋体"/>
          <w:color w:val="auto"/>
          <w:sz w:val="21"/>
          <w:szCs w:val="21"/>
          <w:highlight w:val="none"/>
          <w:u w:val="single"/>
          <w:lang w:bidi="ar"/>
        </w:rPr>
        <w:sym w:font="Wingdings" w:char="00A8"/>
      </w:r>
      <w:r>
        <w:rPr>
          <w:rFonts w:hint="eastAsia" w:ascii="宋体" w:hAnsi="宋体" w:eastAsia="宋体" w:cs="宋体"/>
          <w:color w:val="auto"/>
          <w:kern w:val="0"/>
          <w:sz w:val="21"/>
          <w:szCs w:val="21"/>
          <w:highlight w:val="none"/>
          <w:u w:val="single"/>
          <w:lang w:bidi="ar"/>
        </w:rPr>
        <w:t xml:space="preserve">绩效激励 </w:t>
      </w:r>
    </w:p>
    <w:p w14:paraId="7E11E41C">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kern w:val="0"/>
          <w:sz w:val="21"/>
          <w:szCs w:val="21"/>
          <w:highlight w:val="none"/>
          <w:u w:val="single"/>
        </w:rPr>
      </w:pPr>
      <w:r>
        <w:rPr>
          <w:rFonts w:hint="eastAsia" w:ascii="宋体" w:hAnsi="宋体" w:eastAsia="宋体" w:cs="宋体"/>
          <w:b/>
          <w:kern w:val="0"/>
          <w:sz w:val="21"/>
          <w:szCs w:val="21"/>
          <w:highlight w:val="none"/>
        </w:rPr>
        <w:t>3.履行合同的时间、地点及方式</w:t>
      </w:r>
      <w:r>
        <w:rPr>
          <w:rFonts w:hint="eastAsia" w:ascii="宋体" w:hAnsi="宋体" w:eastAsia="宋体" w:cs="宋体"/>
          <w:kern w:val="0"/>
          <w:sz w:val="21"/>
          <w:szCs w:val="21"/>
          <w:highlight w:val="none"/>
          <w:u w:val="single"/>
        </w:rPr>
        <w:t xml:space="preserve"> </w:t>
      </w:r>
    </w:p>
    <w:p w14:paraId="1F09B3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起始日期：</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年</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月</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日，完成日期：</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年</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月</w:t>
      </w:r>
      <w:r>
        <w:rPr>
          <w:rFonts w:hint="eastAsia" w:ascii="宋体" w:hAnsi="宋体" w:eastAsia="宋体" w:cs="宋体"/>
          <w:snapToGrid w:val="0"/>
          <w:sz w:val="21"/>
          <w:szCs w:val="21"/>
          <w:highlight w:val="none"/>
          <w:u w:val="single"/>
        </w:rPr>
        <w:t xml:space="preserve">    </w:t>
      </w:r>
      <w:r>
        <w:rPr>
          <w:rFonts w:hint="eastAsia" w:ascii="宋体" w:hAnsi="宋体" w:eastAsia="宋体" w:cs="宋体"/>
          <w:kern w:val="0"/>
          <w:sz w:val="21"/>
          <w:szCs w:val="21"/>
          <w:highlight w:val="none"/>
        </w:rPr>
        <w:t>日。</w:t>
      </w:r>
    </w:p>
    <w:p w14:paraId="60E2442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总日历天数：</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sz w:val="21"/>
          <w:szCs w:val="21"/>
          <w:highlight w:val="none"/>
          <w:u w:val="single"/>
          <w:lang w:val="en-US" w:eastAsia="zh-CN"/>
        </w:rPr>
        <w:t>30</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kern w:val="0"/>
          <w:sz w:val="21"/>
          <w:szCs w:val="21"/>
          <w:highlight w:val="none"/>
        </w:rPr>
        <w:t>天。</w:t>
      </w:r>
    </w:p>
    <w:p w14:paraId="695E943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地点</w:t>
      </w:r>
      <w:r>
        <w:rPr>
          <w:rFonts w:hint="eastAsia" w:ascii="宋体" w:hAnsi="宋体" w:eastAsia="宋体" w:cs="宋体"/>
          <w:b/>
          <w:kern w:val="0"/>
          <w:sz w:val="21"/>
          <w:szCs w:val="21"/>
          <w:highlight w:val="none"/>
        </w:rPr>
        <w:t>：</w:t>
      </w:r>
      <w:r>
        <w:rPr>
          <w:rFonts w:hint="eastAsia" w:ascii="宋体" w:hAnsi="宋体" w:eastAsia="宋体" w:cs="宋体"/>
          <w:snapToGrid w:val="0"/>
          <w:sz w:val="21"/>
          <w:szCs w:val="21"/>
          <w:highlight w:val="none"/>
          <w:u w:val="single"/>
          <w:lang w:val="zh-CN"/>
        </w:rPr>
        <w:t xml:space="preserve">  湖南铁道职业技术学院   </w:t>
      </w:r>
      <w:r>
        <w:rPr>
          <w:rFonts w:hint="eastAsia" w:ascii="宋体" w:hAnsi="宋体" w:eastAsia="宋体" w:cs="宋体"/>
          <w:kern w:val="0"/>
          <w:sz w:val="21"/>
          <w:szCs w:val="21"/>
          <w:highlight w:val="none"/>
        </w:rPr>
        <w:t>方式：</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snapToGrid w:val="0"/>
          <w:sz w:val="21"/>
          <w:szCs w:val="21"/>
          <w:highlight w:val="none"/>
          <w:u w:val="single"/>
          <w:lang w:val="en-US" w:eastAsia="zh-CN"/>
        </w:rPr>
        <w:t>按合同履行</w:t>
      </w:r>
      <w:r>
        <w:rPr>
          <w:rFonts w:hint="eastAsia" w:ascii="宋体" w:hAnsi="宋体" w:eastAsia="宋体" w:cs="宋体"/>
          <w:snapToGrid w:val="0"/>
          <w:sz w:val="21"/>
          <w:szCs w:val="21"/>
          <w:highlight w:val="none"/>
          <w:u w:val="single"/>
          <w:lang w:val="zh-CN"/>
        </w:rPr>
        <w:t xml:space="preserve">  </w:t>
      </w:r>
    </w:p>
    <w:p w14:paraId="7A2C6CE2">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4.付款：</w:t>
      </w:r>
    </w:p>
    <w:p w14:paraId="7CB426D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中标单位完成项目的全部建设内容且经采购方验收合格，采购方收到中标方开具的正规税务专用发票等相关材料后，向中标方支付合同金额的95%；质保期结束后，项目无质量问题、无服务纠纷以及其他经济法律纠纷等情况，采购人向中标方支付合同余款。</w:t>
      </w:r>
    </w:p>
    <w:p w14:paraId="2E614082">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5.解决合同纠纷方式</w:t>
      </w:r>
    </w:p>
    <w:p w14:paraId="5907801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首先通过双方协商解决，协商解决不成，则通过以下途径之一解决纠纷：</w:t>
      </w:r>
    </w:p>
    <w:p w14:paraId="7F6B095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提请仲裁    </w:t>
      </w:r>
      <w:r>
        <w:rPr>
          <w:rFonts w:hint="eastAsia" w:ascii="宋体" w:hAnsi="宋体" w:eastAsia="宋体" w:cs="宋体"/>
          <w:kern w:val="0"/>
          <w:sz w:val="21"/>
          <w:szCs w:val="21"/>
          <w:highlight w:val="none"/>
        </w:rPr>
        <w:t xml:space="preserve">   </w:t>
      </w:r>
      <w:r>
        <w:rPr>
          <w:rFonts w:hint="eastAsia" w:ascii="宋体" w:hAnsi="宋体" w:eastAsia="宋体" w:cs="宋体"/>
          <w:color w:val="auto"/>
          <w:sz w:val="21"/>
          <w:szCs w:val="21"/>
          <w:highlight w:val="none"/>
          <w:lang w:bidi="ar"/>
        </w:rPr>
        <w:t>■</w:t>
      </w:r>
      <w:r>
        <w:rPr>
          <w:rFonts w:hint="eastAsia" w:ascii="宋体" w:hAnsi="宋体" w:eastAsia="宋体" w:cs="宋体"/>
          <w:kern w:val="0"/>
          <w:sz w:val="21"/>
          <w:szCs w:val="21"/>
          <w:highlight w:val="none"/>
        </w:rPr>
        <w:t xml:space="preserve"> 向采购人所在地人民法院提起诉讼</w:t>
      </w:r>
    </w:p>
    <w:p w14:paraId="378BB252">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6.组成合同的文件</w:t>
      </w:r>
    </w:p>
    <w:p w14:paraId="7E60588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本协议书与下列文件一起构成合同文件，如下述文件之间有任何抵触、矛盾或歧义，应按以下顺序解释：</w:t>
      </w:r>
    </w:p>
    <w:p w14:paraId="43D30AB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（1）在采购或合同履行过程中乙方作出的承诺以及双方协商达成的变更或补充协议</w:t>
      </w:r>
    </w:p>
    <w:p w14:paraId="4262707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（2）本合同协议书</w:t>
      </w:r>
    </w:p>
    <w:p w14:paraId="6140319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（3）中标通知书</w:t>
      </w:r>
    </w:p>
    <w:p w14:paraId="5F578EA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（4）投标文件</w:t>
      </w:r>
    </w:p>
    <w:p w14:paraId="4432EC9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（5）政府采购合同专用条款</w:t>
      </w:r>
    </w:p>
    <w:p w14:paraId="13679C5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（6）政府采购合同通用条款</w:t>
      </w:r>
    </w:p>
    <w:p w14:paraId="40E2563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（7）标准、规范及有关技术文件，图纸。</w:t>
      </w:r>
    </w:p>
    <w:p w14:paraId="7A28AA8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（8）其他合同文件。</w:t>
      </w:r>
    </w:p>
    <w:p w14:paraId="53FF176F">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7.合同生效</w:t>
      </w:r>
    </w:p>
    <w:p w14:paraId="0254232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本合同自</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kern w:val="0"/>
          <w:sz w:val="21"/>
          <w:szCs w:val="21"/>
          <w:highlight w:val="none"/>
        </w:rPr>
        <w:t>生效。</w:t>
      </w:r>
    </w:p>
    <w:p w14:paraId="319817FD">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8.合同份数</w:t>
      </w:r>
    </w:p>
    <w:p w14:paraId="3FD7F5D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本合同一式</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snapToGrid w:val="0"/>
          <w:color w:val="auto"/>
          <w:sz w:val="21"/>
          <w:szCs w:val="21"/>
          <w:highlight w:val="none"/>
          <w:u w:val="single"/>
          <w:lang w:val="zh-CN"/>
        </w:rPr>
        <w:t xml:space="preserve"> </w:t>
      </w:r>
      <w:r>
        <w:rPr>
          <w:rFonts w:hint="eastAsia" w:ascii="宋体" w:hAnsi="宋体" w:cs="宋体"/>
          <w:snapToGrid w:val="0"/>
          <w:color w:val="auto"/>
          <w:sz w:val="21"/>
          <w:szCs w:val="21"/>
          <w:highlight w:val="none"/>
          <w:u w:val="single"/>
          <w:lang w:val="en-US" w:eastAsia="zh-CN"/>
        </w:rPr>
        <w:t>6</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kern w:val="0"/>
          <w:sz w:val="21"/>
          <w:szCs w:val="21"/>
          <w:highlight w:val="none"/>
        </w:rPr>
        <w:t>份，采购人执</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color w:val="000000" w:themeColor="text1"/>
          <w:sz w:val="21"/>
          <w:szCs w:val="21"/>
          <w:highlight w:val="none"/>
          <w:u w:val="single"/>
          <w:lang w:val="en-US" w:eastAsia="zh-CN"/>
          <w14:textFill>
            <w14:solidFill>
              <w14:schemeClr w14:val="tx1"/>
            </w14:solidFill>
          </w14:textFill>
        </w:rPr>
        <w:t>4</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kern w:val="0"/>
          <w:sz w:val="21"/>
          <w:szCs w:val="21"/>
          <w:highlight w:val="none"/>
        </w:rPr>
        <w:t>份，供应商执</w:t>
      </w:r>
      <w:r>
        <w:rPr>
          <w:rFonts w:hint="eastAsia" w:ascii="宋体" w:hAnsi="宋体" w:eastAsia="宋体" w:cs="宋体"/>
          <w:snapToGrid w:val="0"/>
          <w:sz w:val="21"/>
          <w:szCs w:val="21"/>
          <w:highlight w:val="none"/>
          <w:u w:val="single"/>
          <w:lang w:val="zh-CN"/>
        </w:rPr>
        <w:t xml:space="preserve"> </w:t>
      </w:r>
      <w:r>
        <w:rPr>
          <w:rFonts w:hint="eastAsia" w:ascii="宋体" w:hAnsi="宋体" w:cs="宋体"/>
          <w:snapToGrid w:val="0"/>
          <w:sz w:val="21"/>
          <w:szCs w:val="21"/>
          <w:highlight w:val="none"/>
          <w:u w:val="single"/>
          <w:lang w:val="en-US" w:eastAsia="zh-CN"/>
        </w:rPr>
        <w:t>2</w:t>
      </w:r>
      <w:r>
        <w:rPr>
          <w:rFonts w:hint="eastAsia" w:ascii="宋体" w:hAnsi="宋体" w:eastAsia="宋体" w:cs="宋体"/>
          <w:snapToGrid w:val="0"/>
          <w:sz w:val="21"/>
          <w:szCs w:val="21"/>
          <w:highlight w:val="none"/>
          <w:u w:val="single"/>
          <w:lang w:val="zh-CN"/>
        </w:rPr>
        <w:t xml:space="preserve"> </w:t>
      </w:r>
      <w:r>
        <w:rPr>
          <w:rFonts w:hint="eastAsia" w:ascii="宋体" w:hAnsi="宋体" w:eastAsia="宋体" w:cs="宋体"/>
          <w:kern w:val="0"/>
          <w:sz w:val="21"/>
          <w:szCs w:val="21"/>
          <w:highlight w:val="none"/>
        </w:rPr>
        <w:t>份；均具有同等法律效力。</w:t>
      </w:r>
    </w:p>
    <w:p w14:paraId="0A59BD9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合同订立时间：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年</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月</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日</w:t>
      </w:r>
    </w:p>
    <w:p w14:paraId="44C39E6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合同订立地点：</w:t>
      </w:r>
      <w:r>
        <w:rPr>
          <w:rFonts w:hint="eastAsia" w:ascii="宋体" w:hAnsi="宋体" w:eastAsia="宋体" w:cs="宋体"/>
          <w:kern w:val="0"/>
          <w:sz w:val="21"/>
          <w:szCs w:val="21"/>
          <w:highlight w:val="none"/>
          <w:u w:val="single"/>
        </w:rPr>
        <w:t xml:space="preserve"> 湖南铁道职业技术学院 </w:t>
      </w:r>
    </w:p>
    <w:p w14:paraId="32893BE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      方：（公章）湖南铁道职业技术学院    乙      方：（公章）</w:t>
      </w:r>
    </w:p>
    <w:p w14:paraId="7148B25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法定代表人：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法定代表人：</w:t>
      </w:r>
      <w:r>
        <w:rPr>
          <w:rFonts w:hint="eastAsia" w:ascii="宋体" w:hAnsi="宋体" w:eastAsia="宋体" w:cs="宋体"/>
          <w:kern w:val="0"/>
          <w:sz w:val="21"/>
          <w:szCs w:val="21"/>
          <w:highlight w:val="none"/>
          <w:u w:val="single"/>
        </w:rPr>
        <w:t xml:space="preserve">                   </w:t>
      </w:r>
    </w:p>
    <w:p w14:paraId="3FDC3CF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委托代理人：</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委托代理人：</w:t>
      </w:r>
      <w:r>
        <w:rPr>
          <w:rFonts w:hint="eastAsia" w:ascii="宋体" w:hAnsi="宋体" w:eastAsia="宋体" w:cs="宋体"/>
          <w:kern w:val="0"/>
          <w:sz w:val="21"/>
          <w:szCs w:val="21"/>
          <w:highlight w:val="none"/>
          <w:u w:val="single"/>
        </w:rPr>
        <w:t xml:space="preserve">                   </w:t>
      </w:r>
    </w:p>
    <w:p w14:paraId="01804F5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电      话：</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 xml:space="preserve">  电      话：</w:t>
      </w:r>
      <w:r>
        <w:rPr>
          <w:rFonts w:hint="eastAsia" w:ascii="宋体" w:hAnsi="宋体" w:eastAsia="宋体" w:cs="宋体"/>
          <w:kern w:val="0"/>
          <w:sz w:val="21"/>
          <w:szCs w:val="21"/>
          <w:highlight w:val="none"/>
          <w:u w:val="single"/>
        </w:rPr>
        <w:t xml:space="preserve">                   </w:t>
      </w:r>
    </w:p>
    <w:p w14:paraId="431F215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传      真：</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 xml:space="preserve">  传      真：</w:t>
      </w:r>
      <w:r>
        <w:rPr>
          <w:rFonts w:hint="eastAsia" w:ascii="宋体" w:hAnsi="宋体" w:eastAsia="宋体" w:cs="宋体"/>
          <w:kern w:val="0"/>
          <w:sz w:val="21"/>
          <w:szCs w:val="21"/>
          <w:highlight w:val="none"/>
          <w:u w:val="single"/>
        </w:rPr>
        <w:t xml:space="preserve">                   </w:t>
      </w:r>
    </w:p>
    <w:p w14:paraId="6D344AE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 xml:space="preserve"> 开 户 银 行：</w:t>
      </w:r>
      <w:r>
        <w:rPr>
          <w:rFonts w:hint="eastAsia" w:ascii="宋体" w:hAnsi="宋体" w:eastAsia="宋体" w:cs="宋体"/>
          <w:kern w:val="0"/>
          <w:sz w:val="21"/>
          <w:szCs w:val="21"/>
          <w:highlight w:val="none"/>
          <w:u w:val="single"/>
        </w:rPr>
        <w:t xml:space="preserve">                 </w:t>
      </w:r>
      <w:r>
        <w:rPr>
          <w:rFonts w:hint="eastAsia" w:ascii="宋体" w:hAnsi="宋体" w:eastAsia="宋体" w:cs="宋体"/>
          <w:kern w:val="0"/>
          <w:sz w:val="21"/>
          <w:szCs w:val="21"/>
          <w:highlight w:val="none"/>
          <w:u w:val="single"/>
          <w:lang w:val="en-US" w:eastAsia="zh-CN"/>
        </w:rPr>
        <w:t xml:space="preserve"> </w:t>
      </w:r>
    </w:p>
    <w:p w14:paraId="27157D4F">
      <w:pPr>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rPr>
        <w:t xml:space="preserve"> </w:t>
      </w:r>
      <w:r>
        <w:rPr>
          <w:rFonts w:hint="eastAsia" w:ascii="宋体" w:hAnsi="宋体" w:eastAsia="宋体" w:cs="宋体"/>
          <w:kern w:val="0"/>
          <w:sz w:val="21"/>
          <w:szCs w:val="21"/>
          <w:highlight w:val="none"/>
          <w:lang w:val="en-US" w:eastAsia="zh-CN"/>
        </w:rPr>
        <w:t>账</w:t>
      </w:r>
      <w:r>
        <w:rPr>
          <w:rFonts w:hint="eastAsia" w:ascii="宋体" w:hAnsi="宋体" w:eastAsia="宋体" w:cs="宋体"/>
          <w:kern w:val="0"/>
          <w:sz w:val="21"/>
          <w:szCs w:val="21"/>
          <w:highlight w:val="none"/>
        </w:rPr>
        <w:t xml:space="preserve">      号：</w:t>
      </w:r>
      <w:r>
        <w:rPr>
          <w:rFonts w:hint="eastAsia" w:ascii="宋体" w:hAnsi="宋体" w:eastAsia="宋体" w:cs="宋体"/>
          <w:kern w:val="0"/>
          <w:sz w:val="21"/>
          <w:szCs w:val="21"/>
          <w:highlight w:val="none"/>
          <w:u w:val="single"/>
        </w:rPr>
        <w:t xml:space="preserve">                 </w:t>
      </w:r>
    </w:p>
    <w:p w14:paraId="3BBBA131">
      <w:pPr>
        <w:pStyle w:val="2"/>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u w:val="single"/>
        </w:rPr>
        <w:br w:type="page"/>
      </w:r>
      <w:bookmarkStart w:id="77" w:name="_Toc24142"/>
      <w:bookmarkStart w:id="78" w:name="_Toc4633"/>
      <w:bookmarkStart w:id="79" w:name="_Toc937"/>
      <w:r>
        <w:rPr>
          <w:rFonts w:hint="eastAsia" w:ascii="宋体" w:hAnsi="宋体" w:eastAsia="宋体" w:cs="宋体"/>
          <w:kern w:val="0"/>
          <w:sz w:val="21"/>
          <w:szCs w:val="21"/>
          <w:highlight w:val="none"/>
        </w:rPr>
        <w:t>第二节 政府采购合同通用条款</w:t>
      </w:r>
      <w:bookmarkEnd w:id="77"/>
      <w:bookmarkEnd w:id="78"/>
      <w:bookmarkEnd w:id="79"/>
    </w:p>
    <w:p w14:paraId="58D3E8B9">
      <w:pPr>
        <w:pageBreakBefore w:val="0"/>
        <w:widowControl w:val="0"/>
        <w:tabs>
          <w:tab w:val="left" w:pos="8820"/>
          <w:tab w:val="left" w:pos="9345"/>
          <w:tab w:val="left" w:pos="9765"/>
        </w:tabs>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kern w:val="0"/>
          <w:sz w:val="21"/>
          <w:szCs w:val="21"/>
          <w:highlight w:val="none"/>
        </w:rPr>
        <w:t>1、</w:t>
      </w:r>
      <w:r>
        <w:rPr>
          <w:rFonts w:hint="eastAsia" w:ascii="宋体" w:hAnsi="宋体" w:eastAsia="宋体" w:cs="宋体"/>
          <w:b/>
          <w:bCs/>
          <w:kern w:val="0"/>
          <w:sz w:val="21"/>
          <w:szCs w:val="21"/>
          <w:highlight w:val="none"/>
        </w:rPr>
        <w:t>定义</w:t>
      </w:r>
    </w:p>
    <w:p w14:paraId="3791195C">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1.1合同当事人</w:t>
      </w:r>
    </w:p>
    <w:p w14:paraId="2EC58ED6">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kern w:val="0"/>
          <w:sz w:val="21"/>
          <w:szCs w:val="21"/>
          <w:highlight w:val="none"/>
        </w:rPr>
        <w:t>【政府采购合同专用条款】。</w:t>
      </w:r>
    </w:p>
    <w:p w14:paraId="4BEB203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（2）供应商（以下称乙方）是指参加政府采购活动而取得中标结果，并向采购人提供货物、服务的法人、其他组织或者自然人。</w:t>
      </w:r>
    </w:p>
    <w:p w14:paraId="187F8DA3">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1.2本合同下列术语应解释为：</w:t>
      </w:r>
    </w:p>
    <w:p w14:paraId="22A76FA6">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（1）“合同”系指甲乙双方签署的、政府采购合同协议书中载明的甲乙双方所达成的协议，包括所有的附件、附录和上述文件所提到的构成合同的所有文件。</w:t>
      </w:r>
    </w:p>
    <w:p w14:paraId="5AC5BACD">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（2）“合同价”系指根据本合同规定乙方在正确地完全履行合同义务后甲方应支付给乙方的价款。</w:t>
      </w:r>
    </w:p>
    <w:p w14:paraId="2E846AFD">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（3）“货物”系指乙方根据本合同规定须向甲方提供的各种形态和种类的物品，包括原材料、设备、产品（包括软件）及相关的其备品备件、工具、手册及其它技术资料和材料。</w:t>
      </w:r>
    </w:p>
    <w:p w14:paraId="5DC1454B">
      <w:pPr>
        <w:pageBreakBefore w:val="0"/>
        <w:widowControl w:val="0"/>
        <w:tabs>
          <w:tab w:val="left" w:pos="570"/>
          <w:tab w:val="left" w:pos="888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6B83FD61">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（5）“合同条款”系指本合同条款。</w:t>
      </w:r>
    </w:p>
    <w:p w14:paraId="3B03BEAD">
      <w:pPr>
        <w:pageBreakBefore w:val="0"/>
        <w:widowControl w:val="0"/>
        <w:tabs>
          <w:tab w:val="left" w:pos="570"/>
          <w:tab w:val="left" w:pos="9240"/>
          <w:tab w:val="left" w:pos="9555"/>
        </w:tabs>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（6）“项目现场”系指本合同项下货物安装、运行的现场，其名称见</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w:t>
      </w:r>
    </w:p>
    <w:p w14:paraId="181EB991">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2、合同的适用范围</w:t>
      </w:r>
    </w:p>
    <w:p w14:paraId="09E3F80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2.1 本合同条款适用于没有被本合同其他部分的条款所取代的范围。</w:t>
      </w:r>
    </w:p>
    <w:p w14:paraId="708267D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2.2 合同内容根据招标文件、投标文件而确定。</w:t>
      </w:r>
    </w:p>
    <w:p w14:paraId="6C6B62A9">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3、</w:t>
      </w:r>
      <w:r>
        <w:rPr>
          <w:rFonts w:hint="eastAsia" w:ascii="宋体" w:hAnsi="宋体" w:eastAsia="宋体" w:cs="宋体"/>
          <w:b/>
          <w:kern w:val="0"/>
          <w:sz w:val="21"/>
          <w:szCs w:val="21"/>
          <w:highlight w:val="none"/>
        </w:rPr>
        <w:t>合同标的及金额</w:t>
      </w:r>
    </w:p>
    <w:p w14:paraId="4018443A">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3.1 合同标的及金额应与中标结果一致。</w:t>
      </w:r>
    </w:p>
    <w:p w14:paraId="1419E7A5">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4、</w:t>
      </w:r>
      <w:r>
        <w:rPr>
          <w:rFonts w:hint="eastAsia" w:ascii="宋体" w:hAnsi="宋体" w:eastAsia="宋体" w:cs="宋体"/>
          <w:b/>
          <w:kern w:val="0"/>
          <w:sz w:val="21"/>
          <w:szCs w:val="21"/>
          <w:highlight w:val="none"/>
        </w:rPr>
        <w:t>合同价款</w:t>
      </w:r>
    </w:p>
    <w:p w14:paraId="58C17724">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b/>
          <w:bCs/>
          <w:i/>
          <w:iCs/>
          <w:kern w:val="0"/>
          <w:sz w:val="21"/>
          <w:szCs w:val="21"/>
          <w:highlight w:val="none"/>
        </w:rPr>
      </w:pPr>
      <w:r>
        <w:rPr>
          <w:rFonts w:hint="eastAsia" w:ascii="宋体" w:hAnsi="宋体" w:eastAsia="宋体" w:cs="宋体"/>
          <w:kern w:val="0"/>
          <w:sz w:val="21"/>
          <w:szCs w:val="21"/>
          <w:highlight w:val="none"/>
        </w:rPr>
        <w:t>4.1具体合同价款见本合同第3.1条。乙方为履行本合同而发生的所有费用均应包含在合同价款中，甲方不再另行支付其它任何费用。</w:t>
      </w:r>
    </w:p>
    <w:p w14:paraId="14ABD3CB">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5、履行合同的时间、地点和方式</w:t>
      </w:r>
    </w:p>
    <w:p w14:paraId="0F1B0CD5">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5.1 乙方应当在甲方确定的时间、指定的地点履行合同，具体的交货时间、地点和方式见</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w:t>
      </w:r>
    </w:p>
    <w:p w14:paraId="6EAB9157">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5.2 乙方提供服务的应当在甲方指定的地点完成服务项目。</w:t>
      </w:r>
    </w:p>
    <w:p w14:paraId="214FD248">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6、</w:t>
      </w:r>
      <w:r>
        <w:rPr>
          <w:rFonts w:hint="eastAsia" w:ascii="宋体" w:hAnsi="宋体" w:eastAsia="宋体" w:cs="宋体"/>
          <w:b/>
          <w:kern w:val="0"/>
          <w:sz w:val="21"/>
          <w:szCs w:val="21"/>
          <w:highlight w:val="none"/>
        </w:rPr>
        <w:t>货物的验收</w:t>
      </w:r>
    </w:p>
    <w:p w14:paraId="3B73EAA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6.1 甲方在收到乙方交付的货物后应当及时组织验收。</w:t>
      </w:r>
    </w:p>
    <w:p w14:paraId="0A9187EE">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6.2 货物的表面瑕疵，甲方应在验收时当面提出；对质量问题有异议的应在安装调试后十个工作日内提出。</w:t>
      </w:r>
    </w:p>
    <w:p w14:paraId="05E17C7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6.3 在验收过程中发现数量不足或有质量、技术等问题，乙方应负责按照甲方的要求采取补足、更换或退货等处理措施，并承担由此发生的一切费用和损失。</w:t>
      </w:r>
    </w:p>
    <w:p w14:paraId="416188D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6.4 甲方在乙方按合同规定交货或安装、调试后，无正当理由而拖延接收、验收或拒绝接收、验收的，应承担因此给乙方造成的直接损失。</w:t>
      </w:r>
    </w:p>
    <w:p w14:paraId="66F424D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6.5 甲方对货物进行检查验收合格后，应当收取发票并在《交货验收单》上签署验收意见及加盖单位印章。</w:t>
      </w:r>
    </w:p>
    <w:p w14:paraId="680C0FB5">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6.6 大型或者复杂的货物采购项目，甲方可以邀请国家认可的质量检测机构参加验收工作，并由其出具验收报告单。</w:t>
      </w:r>
    </w:p>
    <w:p w14:paraId="1158B30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6.7 乙方提供的进口产品，乙方应出示中华人民共和国进出口商品检验部门出具的检验证书（采购需求另有约定的除外）。</w:t>
      </w:r>
    </w:p>
    <w:p w14:paraId="59E2F1F0">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7、货物包装要求</w:t>
      </w:r>
    </w:p>
    <w:p w14:paraId="0DC4D9CA">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23BDB16C">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7.2 每一个包装箱内应附一份详细装箱单、质量证书和保修保养证书。</w:t>
      </w:r>
    </w:p>
    <w:p w14:paraId="0B22BFC3">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8、运输和保险</w:t>
      </w:r>
    </w:p>
    <w:p w14:paraId="65810680">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8.1乙方负责办理将货物运抵本合同第5.1条规定的交货地点的一切运输事项，相关费用应包括在合同总价中。</w:t>
      </w:r>
    </w:p>
    <w:p w14:paraId="7B279AE1">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8.2乙方应向保险公司投保以甲方为受益人的发运合同货物发票金额的110％运输一切险。</w:t>
      </w:r>
    </w:p>
    <w:p w14:paraId="0D455809">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9、质量标准和保证</w:t>
      </w:r>
    </w:p>
    <w:p w14:paraId="547346A6">
      <w:pPr>
        <w:pStyle w:val="10"/>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9.1 质量标准</w:t>
      </w:r>
    </w:p>
    <w:p w14:paraId="24B8DEC0">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（1）本合同下交付的货物应符合招标文件第四章“技术规格、参数与要求”所述的标准。如果没有提及适用标准，则应符合中华人民共和国有关机构发布的最新版本的标准。</w:t>
      </w:r>
    </w:p>
    <w:p w14:paraId="097FAB3B">
      <w:pPr>
        <w:pStyle w:val="10"/>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（2）采用中华人民共和国法定计量单位。</w:t>
      </w:r>
    </w:p>
    <w:p w14:paraId="7E5C6146">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（3）乙方所出售的货物还应符合国家有关安全、环保、卫生之规定。</w:t>
      </w:r>
    </w:p>
    <w:p w14:paraId="552E32E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9.2 保证</w:t>
      </w:r>
    </w:p>
    <w:p w14:paraId="2DBCEDA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规定或乙方承诺（两者以较长的为准）的质量保证期内，本保证保持有效。</w:t>
      </w:r>
    </w:p>
    <w:p w14:paraId="003C1846">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（2）在质量保证期内所发现的缺陷，甲方应尽快以书面形式通知乙方。</w:t>
      </w:r>
    </w:p>
    <w:p w14:paraId="79739859">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（3）乙方收到通知后应在</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规定的响应时间内以合理的速度免费维修或更换有缺陷的货物或部件。</w:t>
      </w:r>
    </w:p>
    <w:p w14:paraId="09B835A1">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55D4F1C7">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b/>
          <w:kern w:val="0"/>
          <w:sz w:val="21"/>
          <w:szCs w:val="21"/>
          <w:highlight w:val="none"/>
        </w:rPr>
      </w:pPr>
      <w:r>
        <w:rPr>
          <w:rFonts w:hint="eastAsia" w:ascii="宋体" w:hAnsi="宋体" w:eastAsia="宋体" w:cs="宋体"/>
          <w:kern w:val="0"/>
          <w:sz w:val="21"/>
          <w:szCs w:val="21"/>
          <w:highlight w:val="none"/>
        </w:rPr>
        <w:t>（5）乙方在约定的时间内未能弥补缺陷，甲方可采取必要的补救措施，但其风险和费用将由乙方承担，甲方根据合同规定对乙方行使的其他权利不受影响。</w:t>
      </w:r>
    </w:p>
    <w:p w14:paraId="49C82035">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10、权利瑕疵担保</w:t>
      </w:r>
    </w:p>
    <w:p w14:paraId="4A90EA01">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10.1 乙方保证对其出售的货物享有合法的权利。</w:t>
      </w:r>
    </w:p>
    <w:p w14:paraId="1A3B1634">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10.2 乙方保证在其出售的货物上不存在任何未曾向甲方透露的担保物权，如抵押权、质押权、留置权等。</w:t>
      </w:r>
    </w:p>
    <w:p w14:paraId="16EF447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10.3 如甲方使用该货物构成上述侵权的，则由乙方承担全部责任。</w:t>
      </w:r>
    </w:p>
    <w:p w14:paraId="3631CFC6">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11、知识产权保护</w:t>
      </w:r>
    </w:p>
    <w:p w14:paraId="3220D03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11.1 乙方对其所销售的货物应当享有知识产权或经权利人合法授权，保证没有侵犯任何第三人的知识产权和商业秘密等权利。</w:t>
      </w:r>
    </w:p>
    <w:p w14:paraId="4ED269B6">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11.2 甲方使用乙方提供的货物对第三人构成侵权的，应当由乙方承担全部法律责任，给甲方造成损害的，乙方应当承担赔偿责任。</w:t>
      </w:r>
    </w:p>
    <w:p w14:paraId="407D9592">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11.3 甲方委托乙方开发的产品，甲方享有知识产权，未经甲方许可不得转让任何第三人。</w:t>
      </w:r>
    </w:p>
    <w:p w14:paraId="2CF39C89">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12、保密义务</w:t>
      </w:r>
    </w:p>
    <w:p w14:paraId="2E30359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12.1 甲、乙双方在采购和履行合同过程中所获悉的对方属于保密的内容，双方均有保密义务。</w:t>
      </w:r>
    </w:p>
    <w:p w14:paraId="5E55ABE7">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13、合同价款支付</w:t>
      </w:r>
    </w:p>
    <w:p w14:paraId="2FC65C29">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13.1验收合格后，乙方出具正规发票给甲方，凭甲方开具的《政府采购合同验收报告单》办理合同价</w:t>
      </w:r>
      <w:r>
        <w:rPr>
          <w:rFonts w:hint="eastAsia" w:ascii="宋体" w:hAnsi="宋体" w:eastAsia="宋体" w:cs="宋体"/>
          <w:bCs/>
          <w:kern w:val="0"/>
          <w:sz w:val="21"/>
          <w:szCs w:val="21"/>
          <w:highlight w:val="none"/>
        </w:rPr>
        <w:t>款</w:t>
      </w:r>
      <w:r>
        <w:rPr>
          <w:rFonts w:hint="eastAsia" w:ascii="宋体" w:hAnsi="宋体" w:eastAsia="宋体" w:cs="宋体"/>
          <w:kern w:val="0"/>
          <w:sz w:val="21"/>
          <w:szCs w:val="21"/>
          <w:highlight w:val="none"/>
        </w:rPr>
        <w:t>结算手续。</w:t>
      </w:r>
    </w:p>
    <w:p w14:paraId="39E28F9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13.2 合同价款构成中应当由财政支付的部分，甲方应当在货物验收合格后的十五个工作日内向国库管理部门申请支付，经国库管理部门审核后直接支付给乙方。</w:t>
      </w:r>
    </w:p>
    <w:p w14:paraId="00546FAF">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13.3 合同价款构成中应当由甲方自行支付的部分，甲方应当在货物验收合格后十五个工作内支付。</w:t>
      </w:r>
    </w:p>
    <w:p w14:paraId="37133D9C">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13.4支付合同价</w:t>
      </w:r>
      <w:r>
        <w:rPr>
          <w:rFonts w:hint="eastAsia" w:ascii="宋体" w:hAnsi="宋体" w:eastAsia="宋体" w:cs="宋体"/>
          <w:bCs/>
          <w:kern w:val="0"/>
          <w:sz w:val="21"/>
          <w:szCs w:val="21"/>
          <w:highlight w:val="none"/>
        </w:rPr>
        <w:t>款</w:t>
      </w:r>
      <w:r>
        <w:rPr>
          <w:rFonts w:hint="eastAsia" w:ascii="宋体" w:hAnsi="宋体" w:eastAsia="宋体" w:cs="宋体"/>
          <w:kern w:val="0"/>
          <w:sz w:val="21"/>
          <w:szCs w:val="21"/>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0A485899">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13.5 合同价款支付方式</w:t>
      </w:r>
      <w:r>
        <w:rPr>
          <w:rFonts w:hint="eastAsia" w:ascii="宋体" w:hAnsi="宋体" w:eastAsia="宋体" w:cs="宋体"/>
          <w:bCs/>
          <w:kern w:val="0"/>
          <w:sz w:val="21"/>
          <w:szCs w:val="21"/>
          <w:highlight w:val="none"/>
        </w:rPr>
        <w:t>和条件在</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中另有规定。</w:t>
      </w:r>
    </w:p>
    <w:p w14:paraId="09858D49">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bCs/>
          <w:kern w:val="0"/>
          <w:sz w:val="21"/>
          <w:szCs w:val="21"/>
          <w:highlight w:val="none"/>
        </w:rPr>
        <w:t>14、</w:t>
      </w:r>
      <w:r>
        <w:rPr>
          <w:rFonts w:hint="eastAsia" w:ascii="宋体" w:hAnsi="宋体" w:eastAsia="宋体" w:cs="宋体"/>
          <w:b/>
          <w:kern w:val="0"/>
          <w:sz w:val="21"/>
          <w:szCs w:val="21"/>
          <w:highlight w:val="none"/>
        </w:rPr>
        <w:t>乙方应提供的服务</w:t>
      </w:r>
    </w:p>
    <w:p w14:paraId="7C418CFA">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14.1 乙方应向甲方提交所提供货物的技术文件，包括相应的中文技术文件，如：产品目录、图纸、操作手册、使用说明、维护手册或服务指南。这些文件应包装好随同货物一起发运。</w:t>
      </w:r>
    </w:p>
    <w:p w14:paraId="66B7083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14.2 乙方还应提供下列服务：</w:t>
      </w:r>
    </w:p>
    <w:p w14:paraId="32FECB0A">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（1）货物的现场移动、安装、调试、启动监督及技术支持；</w:t>
      </w:r>
    </w:p>
    <w:p w14:paraId="553EC964">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（2）提供货物组装和维修所需的专用工具和辅助材料；</w:t>
      </w:r>
    </w:p>
    <w:p w14:paraId="599E7E4C">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（3）在合同各方商定的一定期限内对所有的货物实施运行监督、维修，但前提条件是该服务并不能免除乙方在质量保证期内所承担的义务；</w:t>
      </w:r>
    </w:p>
    <w:p w14:paraId="69D2A4A4">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（4）在制造商或项目现场就货物的安装、启动、运营、维护对甲方操作人员进行培训；</w:t>
      </w:r>
    </w:p>
    <w:p w14:paraId="1B9E5276">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规定由乙方提供的其他服务。</w:t>
      </w:r>
    </w:p>
    <w:p w14:paraId="47C59439">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14.3 乙方提供的服务的费用应包含在合同价款中，甲方不再另行支付。</w:t>
      </w:r>
    </w:p>
    <w:p w14:paraId="3A1A94B1">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15、违约责任</w:t>
      </w:r>
    </w:p>
    <w:p w14:paraId="02656088">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15.1质量瑕疵的补救措施和索赔</w:t>
      </w:r>
    </w:p>
    <w:p w14:paraId="1DC84004">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FF2BCE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①乙方同意退货并将货款退还给甲方，由此发生的一切费用和损失由乙方承担。</w:t>
      </w:r>
    </w:p>
    <w:p w14:paraId="44773A95">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②根据货物的质量状况以及甲方所遭受的损失，经过甲乙双方商定降低货物的价格。</w:t>
      </w:r>
    </w:p>
    <w:p w14:paraId="779A168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AC0C32B">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0E888AB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15.2 迟延交货的违约责任</w:t>
      </w:r>
    </w:p>
    <w:p w14:paraId="2D474888">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3DAE15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（2）除本合同</w:t>
      </w:r>
      <w:r>
        <w:rPr>
          <w:rFonts w:hint="eastAsia" w:ascii="宋体" w:hAnsi="宋体" w:eastAsia="宋体" w:cs="宋体"/>
          <w:bCs/>
          <w:kern w:val="0"/>
          <w:sz w:val="21"/>
          <w:szCs w:val="21"/>
          <w:highlight w:val="none"/>
        </w:rPr>
        <w:t>第20条</w:t>
      </w:r>
      <w:r>
        <w:rPr>
          <w:rFonts w:hint="eastAsia" w:ascii="宋体" w:hAnsi="宋体" w:eastAsia="宋体" w:cs="宋体"/>
          <w:kern w:val="0"/>
          <w:sz w:val="21"/>
          <w:szCs w:val="21"/>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6E504385">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9F5C241">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16、合同的变更</w:t>
      </w:r>
    </w:p>
    <w:p w14:paraId="7C4D6324">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16.1 在合同履行过程中，甲、乙双方可就合同履行的时间、地点和方式等协商进行变更。协商一致后，双方应签订书面的补充协议。</w:t>
      </w:r>
    </w:p>
    <w:p w14:paraId="00BF026D">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16.2 在不改变合同其他条款的前提下，甲方有权在合同价款百分之十的范围内追加与合同标的相同的货物或服务，并就此与乙方签订补充合同，乙方不得拒绝。</w:t>
      </w:r>
    </w:p>
    <w:p w14:paraId="7882567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16.3 除双方签署书面协议，并成为合同不可分割的一部分外，本合同条件不得有任何变更。</w:t>
      </w:r>
    </w:p>
    <w:p w14:paraId="122AA6EA">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17、合同中止与终止</w:t>
      </w:r>
    </w:p>
    <w:p w14:paraId="401912E7">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17.1 合同的中止</w:t>
      </w:r>
    </w:p>
    <w:p w14:paraId="2623023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（1）合同在履行过程中，因采购计划调整，甲方可以要求中止履行，待计划确定后继续履行；</w:t>
      </w:r>
    </w:p>
    <w:p w14:paraId="6929CFB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（2）合同履行过程中因供应商就采购过程或结果提起投诉的，甲方认为有必要或财政部门责令中止的，应当中止合同的履行。</w:t>
      </w:r>
    </w:p>
    <w:p w14:paraId="0708C326">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17.2 合同的终止</w:t>
      </w:r>
    </w:p>
    <w:p w14:paraId="5D5D9BA7">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（1）合同因有效期限届满而终止；</w:t>
      </w:r>
    </w:p>
    <w:p w14:paraId="4EB86C60">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（2）乙方未能依照本合同约定条件履行合同，已构成根本性违约的，甲方有权终止本合同，并追究乙方的违约责任。</w:t>
      </w:r>
    </w:p>
    <w:p w14:paraId="68D4B825">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（3）如果乙方丧失履约能力或被宣告破产，甲方可在任何时候以书面形式通知乙方终止合同而不给乙方补偿。</w:t>
      </w:r>
    </w:p>
    <w:p w14:paraId="05EAD831">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（4）如果乙方在履行合同过程中有不正当竞争行为，甲方有权解除合同，并按《中华人民共和国反不正当竞争法》规定由有关部门追究其法律责任。</w:t>
      </w:r>
    </w:p>
    <w:p w14:paraId="20DD146B">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（5）如果合同的履行将损害国家利益或社会公共利益，甲方有权终止合同的履行，给乙方造成损失的予以相应补偿。</w:t>
      </w:r>
    </w:p>
    <w:p w14:paraId="28DDF2CA">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18、合同转让和分包</w:t>
      </w:r>
    </w:p>
    <w:p w14:paraId="3A658220">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18.1 乙方不得以任何形式将合同转包。</w:t>
      </w:r>
    </w:p>
    <w:p w14:paraId="4CA6EE0F">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18.2 乙方未在投标文件中说明，不得将</w:t>
      </w:r>
      <w:r>
        <w:rPr>
          <w:rFonts w:hint="eastAsia" w:ascii="宋体" w:hAnsi="宋体" w:eastAsia="宋体" w:cs="宋体"/>
          <w:bCs/>
          <w:kern w:val="0"/>
          <w:sz w:val="21"/>
          <w:szCs w:val="21"/>
          <w:highlight w:val="none"/>
        </w:rPr>
        <w:t>合同</w:t>
      </w:r>
      <w:r>
        <w:rPr>
          <w:rFonts w:hint="eastAsia" w:ascii="宋体" w:hAnsi="宋体" w:eastAsia="宋体" w:cs="宋体"/>
          <w:kern w:val="0"/>
          <w:sz w:val="21"/>
          <w:szCs w:val="21"/>
          <w:highlight w:val="none"/>
        </w:rPr>
        <w:t>的非主体、非关键性工作分包给他人。</w:t>
      </w:r>
    </w:p>
    <w:p w14:paraId="594B8D89">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19、不可抗力</w:t>
      </w:r>
    </w:p>
    <w:p w14:paraId="0C600967">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19.1 不可抗力是指合同双方不可预见、不可避免、不可克服的自然灾害和社会事件。</w:t>
      </w:r>
    </w:p>
    <w:p w14:paraId="6025CC31">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19.2 任何一方对由于不可抗力造成的部分或全部不能履行合同不承担违约责任。但迟延履行后发生不可抗力的，不能免除责任。</w:t>
      </w:r>
    </w:p>
    <w:p w14:paraId="0B84365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19.3 遇有不可抗力的一方，应在三日内将事件的情况以书面形式通知另一方，并在事件发生后十日内，向另一方提交合同不能履行或部分不能履行或需要延期履行理由的报告。</w:t>
      </w:r>
    </w:p>
    <w:p w14:paraId="5FAB2C48">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20、解决争议的方法</w:t>
      </w:r>
    </w:p>
    <w:p w14:paraId="23867541">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20.1 合同各方应通过友好协商，解决在执行合同过程中所发生的或与合同有关的一切争端。如从协商开始后十日内仍不能解决，可以向财政部门提请调解。</w:t>
      </w:r>
    </w:p>
    <w:p w14:paraId="6F71C0A0">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20.2 调解不成可以按</w:t>
      </w:r>
      <w:r>
        <w:rPr>
          <w:rFonts w:hint="eastAsia" w:ascii="宋体" w:hAnsi="宋体" w:eastAsia="宋体" w:cs="宋体"/>
          <w:b/>
          <w:kern w:val="0"/>
          <w:sz w:val="21"/>
          <w:szCs w:val="21"/>
          <w:highlight w:val="none"/>
        </w:rPr>
        <w:t>【政府采购合同专用条款】</w:t>
      </w:r>
      <w:r>
        <w:rPr>
          <w:rFonts w:hint="eastAsia" w:ascii="宋体" w:hAnsi="宋体" w:eastAsia="宋体" w:cs="宋体"/>
          <w:kern w:val="0"/>
          <w:sz w:val="21"/>
          <w:szCs w:val="21"/>
          <w:highlight w:val="none"/>
        </w:rPr>
        <w:t>中约定中规定下列方式之一提起仲裁或诉讼：</w:t>
      </w:r>
    </w:p>
    <w:p w14:paraId="39BDE383">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（1）向甲方所在地仲裁机构提起仲裁；</w:t>
      </w:r>
    </w:p>
    <w:p w14:paraId="4A49DA4B">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（2）向甲方所在地人民法院提起诉讼。</w:t>
      </w:r>
    </w:p>
    <w:p w14:paraId="52243F8A">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20.3 如仲裁或诉讼事项不影响合同其它部分的履行，则在仲裁或诉讼期间，除正在进行仲裁或诉讼的部分外，合同的其它部分应继续执行。</w:t>
      </w:r>
    </w:p>
    <w:p w14:paraId="52C6566B">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kern w:val="0"/>
          <w:sz w:val="21"/>
          <w:szCs w:val="21"/>
          <w:highlight w:val="none"/>
        </w:rPr>
        <w:t>21、法律适用</w:t>
      </w:r>
    </w:p>
    <w:p w14:paraId="5B81322E">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21.1 本合同适用中华人民共和国现行法律、行政法规和规章，如合同条款与法律、行政法规和规章不一致的，按照法律、行政法规和规章修改本合同。</w:t>
      </w:r>
    </w:p>
    <w:p w14:paraId="70F5EB24">
      <w:pPr>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kern w:val="0"/>
          <w:sz w:val="21"/>
          <w:szCs w:val="21"/>
          <w:highlight w:val="none"/>
        </w:rPr>
      </w:pPr>
      <w:r>
        <w:rPr>
          <w:rFonts w:hint="eastAsia" w:ascii="宋体" w:hAnsi="宋体" w:eastAsia="宋体" w:cs="宋体"/>
          <w:b/>
          <w:bCs/>
          <w:kern w:val="0"/>
          <w:sz w:val="21"/>
          <w:szCs w:val="21"/>
          <w:highlight w:val="none"/>
        </w:rPr>
        <w:t>22、</w:t>
      </w:r>
      <w:r>
        <w:rPr>
          <w:rFonts w:hint="eastAsia" w:ascii="宋体" w:hAnsi="宋体" w:eastAsia="宋体" w:cs="宋体"/>
          <w:b/>
          <w:kern w:val="0"/>
          <w:sz w:val="21"/>
          <w:szCs w:val="21"/>
          <w:highlight w:val="none"/>
        </w:rPr>
        <w:t>通知</w:t>
      </w:r>
    </w:p>
    <w:p w14:paraId="0A511A53">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22.1 本合同一方给另一方的通知均应采用书面形式，传真或快递送到本合同中规定的对方的地址和办理签收手续，</w:t>
      </w:r>
    </w:p>
    <w:p w14:paraId="0CA168B4">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22.2 通知以送到之日或通知书中规定的生效之日起生效，两者中以较迟之日为准。</w:t>
      </w:r>
    </w:p>
    <w:p w14:paraId="3E0A9BB2">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23、合同未尽事项</w:t>
      </w:r>
    </w:p>
    <w:p w14:paraId="7FF879D3">
      <w:pPr>
        <w:pageBreakBefore w:val="0"/>
        <w:widowControl w:val="0"/>
        <w:kinsoku/>
        <w:wordWrap/>
        <w:overflowPunct/>
        <w:topLinePunct w:val="0"/>
        <w:bidi w:val="0"/>
        <w:adjustRightInd/>
        <w:snapToGrid/>
        <w:spacing w:line="360" w:lineRule="auto"/>
        <w:ind w:firstLine="420" w:firstLineChars="200"/>
        <w:jc w:val="left"/>
        <w:textAlignment w:val="auto"/>
        <w:rPr>
          <w:rFonts w:hint="eastAsia" w:ascii="宋体" w:hAnsi="宋体" w:eastAsia="宋体" w:cs="宋体"/>
          <w:bCs/>
          <w:kern w:val="0"/>
          <w:sz w:val="21"/>
          <w:szCs w:val="21"/>
          <w:highlight w:val="none"/>
        </w:rPr>
      </w:pPr>
      <w:r>
        <w:rPr>
          <w:rFonts w:hint="eastAsia" w:ascii="宋体" w:hAnsi="宋体" w:eastAsia="宋体" w:cs="宋体"/>
          <w:bCs/>
          <w:kern w:val="0"/>
          <w:sz w:val="21"/>
          <w:szCs w:val="21"/>
          <w:highlight w:val="none"/>
        </w:rPr>
        <w:t>23.1 合同未尽事项见</w:t>
      </w:r>
      <w:r>
        <w:rPr>
          <w:rFonts w:hint="eastAsia" w:ascii="宋体" w:hAnsi="宋体" w:eastAsia="宋体" w:cs="宋体"/>
          <w:b/>
          <w:kern w:val="0"/>
          <w:sz w:val="21"/>
          <w:szCs w:val="21"/>
          <w:highlight w:val="none"/>
        </w:rPr>
        <w:t>【政府采购合同专用条款】。</w:t>
      </w:r>
    </w:p>
    <w:p w14:paraId="0BB3D2B7">
      <w:pPr>
        <w:pageBreakBefore w:val="0"/>
        <w:widowControl w:val="0"/>
        <w:kinsoku/>
        <w:wordWrap/>
        <w:overflowPunct/>
        <w:topLinePunct w:val="0"/>
        <w:bidi w:val="0"/>
        <w:adjustRightInd/>
        <w:snapToGrid/>
        <w:spacing w:line="360" w:lineRule="auto"/>
        <w:jc w:val="left"/>
        <w:textAlignment w:val="auto"/>
        <w:rPr>
          <w:rFonts w:hint="eastAsia" w:ascii="宋体" w:hAnsi="宋体" w:eastAsia="宋体" w:cs="宋体"/>
          <w:b/>
          <w:bCs/>
          <w:kern w:val="0"/>
          <w:sz w:val="21"/>
          <w:szCs w:val="21"/>
          <w:highlight w:val="none"/>
        </w:rPr>
      </w:pPr>
      <w:r>
        <w:rPr>
          <w:rFonts w:hint="eastAsia" w:ascii="宋体" w:hAnsi="宋体" w:eastAsia="宋体" w:cs="宋体"/>
          <w:b/>
          <w:bCs/>
          <w:kern w:val="0"/>
          <w:sz w:val="21"/>
          <w:szCs w:val="21"/>
          <w:highlight w:val="none"/>
        </w:rPr>
        <w:t>24、合同生效</w:t>
      </w:r>
    </w:p>
    <w:p w14:paraId="728B804B">
      <w:pPr>
        <w:pageBreakBefore w:val="0"/>
        <w:widowControl w:val="0"/>
        <w:kinsoku/>
        <w:wordWrap/>
        <w:overflowPunct/>
        <w:topLinePunct w:val="0"/>
        <w:autoSpaceDE w:val="0"/>
        <w:autoSpaceDN w:val="0"/>
        <w:bidi w:val="0"/>
        <w:adjustRightInd/>
        <w:snapToGrid/>
        <w:spacing w:line="360" w:lineRule="auto"/>
        <w:ind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24.1 本合同在合同双方签字盖章后生效。</w:t>
      </w:r>
    </w:p>
    <w:p w14:paraId="3ABA52D2">
      <w:pPr>
        <w:autoSpaceDE w:val="0"/>
        <w:autoSpaceDN w:val="0"/>
        <w:adjustRightInd w:val="0"/>
        <w:snapToGrid w:val="0"/>
        <w:spacing w:before="50" w:line="360" w:lineRule="auto"/>
        <w:ind w:firstLine="643" w:firstLineChars="200"/>
        <w:jc w:val="left"/>
        <w:rPr>
          <w:rFonts w:ascii="黑体" w:hAnsi="黑体" w:eastAsia="黑体"/>
          <w:b/>
          <w:bCs/>
          <w:kern w:val="0"/>
          <w:sz w:val="32"/>
          <w:highlight w:val="none"/>
        </w:rPr>
      </w:pPr>
      <w:r>
        <w:rPr>
          <w:rFonts w:ascii="黑体" w:hAnsi="黑体" w:eastAsia="黑体"/>
          <w:b/>
          <w:bCs/>
          <w:kern w:val="0"/>
          <w:sz w:val="32"/>
          <w:highlight w:val="none"/>
        </w:rPr>
        <w:br w:type="page"/>
      </w:r>
    </w:p>
    <w:p w14:paraId="33CBA846">
      <w:pPr>
        <w:pStyle w:val="2"/>
        <w:adjustRightInd w:val="0"/>
        <w:snapToGrid w:val="0"/>
        <w:jc w:val="center"/>
        <w:rPr>
          <w:rFonts w:hint="eastAsia" w:ascii="宋体" w:hAnsi="宋体" w:eastAsia="宋体" w:cs="宋体"/>
          <w:kern w:val="0"/>
          <w:sz w:val="21"/>
          <w:szCs w:val="21"/>
          <w:highlight w:val="none"/>
        </w:rPr>
      </w:pPr>
      <w:bookmarkStart w:id="80" w:name="_Toc1759"/>
      <w:bookmarkStart w:id="81" w:name="_Toc23593"/>
      <w:bookmarkStart w:id="82" w:name="_Toc7100"/>
      <w:r>
        <w:rPr>
          <w:rFonts w:hint="eastAsia" w:ascii="宋体" w:hAnsi="宋体" w:eastAsia="宋体" w:cs="宋体"/>
          <w:kern w:val="0"/>
          <w:sz w:val="21"/>
          <w:szCs w:val="21"/>
          <w:highlight w:val="none"/>
        </w:rPr>
        <w:t>第三节 政府采购合同专用条款</w:t>
      </w:r>
      <w:bookmarkEnd w:id="80"/>
      <w:bookmarkEnd w:id="81"/>
      <w:bookmarkEnd w:id="82"/>
    </w:p>
    <w:tbl>
      <w:tblPr>
        <w:tblStyle w:val="18"/>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741"/>
        <w:gridCol w:w="4948"/>
      </w:tblGrid>
      <w:tr w14:paraId="1865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53FBC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本章第二节</w:t>
            </w:r>
          </w:p>
          <w:p w14:paraId="42EFD5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第1.1款</w:t>
            </w:r>
          </w:p>
        </w:tc>
        <w:tc>
          <w:tcPr>
            <w:tcW w:w="1024" w:type="pct"/>
            <w:noWrap w:val="0"/>
            <w:vAlign w:val="center"/>
          </w:tcPr>
          <w:p w14:paraId="16FEBC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甲方名称、地址</w:t>
            </w:r>
          </w:p>
        </w:tc>
        <w:tc>
          <w:tcPr>
            <w:tcW w:w="2910" w:type="pct"/>
            <w:noWrap w:val="0"/>
            <w:vAlign w:val="center"/>
          </w:tcPr>
          <w:p w14:paraId="73E2F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甲方名称：</w:t>
            </w:r>
            <w:r>
              <w:rPr>
                <w:rFonts w:hint="eastAsia" w:ascii="宋体" w:hAnsi="宋体" w:eastAsia="宋体" w:cs="宋体"/>
                <w:kern w:val="0"/>
                <w:sz w:val="21"/>
                <w:szCs w:val="21"/>
                <w:highlight w:val="none"/>
                <w:lang w:eastAsia="zh-CN"/>
              </w:rPr>
              <w:t>湖南铁道职业技术学院</w:t>
            </w:r>
            <w:r>
              <w:rPr>
                <w:rFonts w:hint="eastAsia" w:ascii="宋体" w:hAnsi="宋体" w:eastAsia="宋体" w:cs="宋体"/>
                <w:kern w:val="0"/>
                <w:sz w:val="21"/>
                <w:szCs w:val="21"/>
                <w:highlight w:val="none"/>
              </w:rPr>
              <w:t>；</w:t>
            </w:r>
          </w:p>
          <w:p w14:paraId="17F5D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地    址：</w:t>
            </w:r>
            <w:r>
              <w:rPr>
                <w:rFonts w:hint="eastAsia" w:ascii="宋体" w:hAnsi="宋体" w:cs="宋体"/>
                <w:kern w:val="0"/>
                <w:sz w:val="21"/>
                <w:szCs w:val="21"/>
                <w:highlight w:val="none"/>
                <w:lang w:eastAsia="zh-CN"/>
              </w:rPr>
              <w:t>株洲市石峰区职教大学城智慧路1号</w:t>
            </w:r>
            <w:r>
              <w:rPr>
                <w:rFonts w:hint="eastAsia" w:ascii="宋体" w:hAnsi="宋体" w:eastAsia="宋体" w:cs="宋体"/>
                <w:kern w:val="0"/>
                <w:sz w:val="21"/>
                <w:szCs w:val="21"/>
                <w:highlight w:val="none"/>
              </w:rPr>
              <w:t>。</w:t>
            </w:r>
          </w:p>
        </w:tc>
      </w:tr>
      <w:tr w14:paraId="5B86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48D8DF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本章第二节</w:t>
            </w:r>
          </w:p>
          <w:p w14:paraId="53A166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第1.2（6）项</w:t>
            </w:r>
          </w:p>
        </w:tc>
        <w:tc>
          <w:tcPr>
            <w:tcW w:w="1024" w:type="pct"/>
            <w:noWrap w:val="0"/>
            <w:vAlign w:val="center"/>
          </w:tcPr>
          <w:p w14:paraId="336C7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项目现场</w:t>
            </w:r>
          </w:p>
        </w:tc>
        <w:tc>
          <w:tcPr>
            <w:tcW w:w="2910" w:type="pct"/>
            <w:noWrap w:val="0"/>
            <w:vAlign w:val="center"/>
          </w:tcPr>
          <w:p w14:paraId="0529C7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采购人指定交付地点。</w:t>
            </w:r>
          </w:p>
        </w:tc>
      </w:tr>
      <w:tr w14:paraId="4F51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00B2E6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本章第二节</w:t>
            </w:r>
          </w:p>
          <w:p w14:paraId="284E4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第5.1款</w:t>
            </w:r>
          </w:p>
        </w:tc>
        <w:tc>
          <w:tcPr>
            <w:tcW w:w="1024" w:type="pct"/>
            <w:noWrap w:val="0"/>
            <w:vAlign w:val="center"/>
          </w:tcPr>
          <w:p w14:paraId="6CEB91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履行合同的时间、地点及方式</w:t>
            </w:r>
          </w:p>
        </w:tc>
        <w:tc>
          <w:tcPr>
            <w:tcW w:w="2910" w:type="pct"/>
            <w:noWrap w:val="0"/>
            <w:vAlign w:val="center"/>
          </w:tcPr>
          <w:p w14:paraId="3859FD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1、交货时间：</w:t>
            </w:r>
            <w:r>
              <w:rPr>
                <w:rFonts w:hint="eastAsia" w:ascii="宋体" w:hAnsi="宋体" w:eastAsia="宋体" w:cs="宋体"/>
                <w:bCs/>
                <w:color w:val="000000"/>
                <w:kern w:val="0"/>
                <w:sz w:val="21"/>
                <w:szCs w:val="21"/>
                <w:highlight w:val="none"/>
                <w:lang w:val="en-US" w:eastAsia="zh-CN"/>
              </w:rPr>
              <w:t>见</w:t>
            </w:r>
            <w:r>
              <w:rPr>
                <w:rFonts w:hint="eastAsia" w:ascii="宋体" w:hAnsi="宋体" w:eastAsia="宋体" w:cs="宋体"/>
                <w:kern w:val="0"/>
                <w:sz w:val="21"/>
                <w:szCs w:val="21"/>
                <w:highlight w:val="none"/>
              </w:rPr>
              <w:t>第五章采购需求</w:t>
            </w:r>
            <w:r>
              <w:rPr>
                <w:rFonts w:hint="eastAsia" w:ascii="宋体" w:hAnsi="宋体" w:eastAsia="宋体" w:cs="宋体"/>
                <w:color w:val="000000"/>
                <w:kern w:val="0"/>
                <w:sz w:val="21"/>
                <w:szCs w:val="21"/>
                <w:highlight w:val="none"/>
              </w:rPr>
              <w:t>。</w:t>
            </w:r>
          </w:p>
          <w:p w14:paraId="60C75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2、交货地点：</w:t>
            </w:r>
            <w:r>
              <w:rPr>
                <w:rFonts w:hint="eastAsia" w:ascii="宋体" w:hAnsi="宋体" w:eastAsia="宋体" w:cs="宋体"/>
                <w:color w:val="000000"/>
                <w:kern w:val="0"/>
                <w:sz w:val="21"/>
                <w:szCs w:val="21"/>
                <w:highlight w:val="none"/>
                <w:lang w:eastAsia="zh-CN"/>
              </w:rPr>
              <w:t>湖南铁道职业技术学院</w:t>
            </w:r>
            <w:r>
              <w:rPr>
                <w:rFonts w:hint="eastAsia" w:ascii="宋体" w:hAnsi="宋体" w:eastAsia="宋体" w:cs="宋体"/>
                <w:color w:val="000000"/>
                <w:kern w:val="0"/>
                <w:sz w:val="21"/>
                <w:szCs w:val="21"/>
                <w:highlight w:val="none"/>
              </w:rPr>
              <w:t>校内指定地点。</w:t>
            </w:r>
          </w:p>
          <w:p w14:paraId="33CD5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3、交货方式：现场交付。</w:t>
            </w:r>
          </w:p>
        </w:tc>
      </w:tr>
      <w:tr w14:paraId="4BB8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2F768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本章第二节</w:t>
            </w:r>
          </w:p>
          <w:p w14:paraId="06724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第9.2（1）项</w:t>
            </w:r>
          </w:p>
        </w:tc>
        <w:tc>
          <w:tcPr>
            <w:tcW w:w="1024" w:type="pct"/>
            <w:noWrap w:val="0"/>
            <w:vAlign w:val="center"/>
          </w:tcPr>
          <w:p w14:paraId="53CC1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质量保证期</w:t>
            </w:r>
          </w:p>
        </w:tc>
        <w:tc>
          <w:tcPr>
            <w:tcW w:w="2910" w:type="pct"/>
            <w:noWrap w:val="0"/>
            <w:vAlign w:val="center"/>
          </w:tcPr>
          <w:p w14:paraId="22B2F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rPr>
            </w:pPr>
            <w:r>
              <w:rPr>
                <w:rFonts w:hint="eastAsia" w:ascii="宋体" w:hAnsi="宋体" w:eastAsia="宋体" w:cs="宋体"/>
                <w:bCs/>
                <w:color w:val="000000"/>
                <w:kern w:val="0"/>
                <w:sz w:val="21"/>
                <w:szCs w:val="21"/>
                <w:highlight w:val="none"/>
                <w:lang w:val="en-US" w:eastAsia="zh-CN"/>
              </w:rPr>
              <w:t>详见</w:t>
            </w:r>
            <w:r>
              <w:rPr>
                <w:rFonts w:hint="eastAsia" w:ascii="宋体" w:hAnsi="宋体" w:eastAsia="宋体" w:cs="宋体"/>
                <w:kern w:val="0"/>
                <w:sz w:val="21"/>
                <w:szCs w:val="21"/>
                <w:highlight w:val="none"/>
              </w:rPr>
              <w:t>第五章采购需求</w:t>
            </w:r>
          </w:p>
        </w:tc>
      </w:tr>
      <w:tr w14:paraId="13D8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0F73A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本章第二节</w:t>
            </w:r>
          </w:p>
          <w:p w14:paraId="5E7369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第9.2（3）项</w:t>
            </w:r>
          </w:p>
        </w:tc>
        <w:tc>
          <w:tcPr>
            <w:tcW w:w="1024" w:type="pct"/>
            <w:noWrap w:val="0"/>
            <w:vAlign w:val="center"/>
          </w:tcPr>
          <w:p w14:paraId="59E742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响应时间</w:t>
            </w:r>
          </w:p>
        </w:tc>
        <w:tc>
          <w:tcPr>
            <w:tcW w:w="2910" w:type="pct"/>
            <w:noWrap w:val="0"/>
            <w:vAlign w:val="center"/>
          </w:tcPr>
          <w:p w14:paraId="0392DE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bCs/>
                <w:color w:val="000000"/>
                <w:kern w:val="0"/>
                <w:sz w:val="21"/>
                <w:szCs w:val="21"/>
                <w:highlight w:val="none"/>
                <w:lang w:val="en-US" w:eastAsia="zh-CN"/>
              </w:rPr>
              <w:t>详见</w:t>
            </w:r>
            <w:r>
              <w:rPr>
                <w:rFonts w:hint="eastAsia" w:ascii="宋体" w:hAnsi="宋体" w:eastAsia="宋体" w:cs="宋体"/>
                <w:kern w:val="0"/>
                <w:sz w:val="21"/>
                <w:szCs w:val="21"/>
                <w:highlight w:val="none"/>
              </w:rPr>
              <w:t>第五章采购需求</w:t>
            </w:r>
          </w:p>
        </w:tc>
      </w:tr>
      <w:tr w14:paraId="648F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7EA08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本章第二节</w:t>
            </w:r>
          </w:p>
          <w:p w14:paraId="54552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第13.5款</w:t>
            </w:r>
          </w:p>
        </w:tc>
        <w:tc>
          <w:tcPr>
            <w:tcW w:w="1024" w:type="pct"/>
            <w:noWrap w:val="0"/>
            <w:vAlign w:val="center"/>
          </w:tcPr>
          <w:p w14:paraId="618FD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合同价款支付方式</w:t>
            </w:r>
            <w:r>
              <w:rPr>
                <w:rFonts w:hint="eastAsia" w:ascii="宋体" w:hAnsi="宋体" w:eastAsia="宋体" w:cs="宋体"/>
                <w:bCs/>
                <w:color w:val="000000"/>
                <w:kern w:val="0"/>
                <w:sz w:val="21"/>
                <w:szCs w:val="21"/>
                <w:highlight w:val="none"/>
              </w:rPr>
              <w:t>和条件</w:t>
            </w:r>
          </w:p>
        </w:tc>
        <w:tc>
          <w:tcPr>
            <w:tcW w:w="2910" w:type="pct"/>
            <w:noWrap w:val="0"/>
            <w:vAlign w:val="center"/>
          </w:tcPr>
          <w:p w14:paraId="559FA0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spacing w:val="0"/>
                <w:w w:val="100"/>
                <w:kern w:val="0"/>
                <w:position w:val="0"/>
                <w:sz w:val="21"/>
                <w:szCs w:val="21"/>
                <w:highlight w:val="none"/>
                <w:u w:val="none"/>
                <w:lang w:val="en-US" w:eastAsia="zh-CN"/>
              </w:rPr>
              <w:t>详见</w:t>
            </w:r>
            <w:r>
              <w:rPr>
                <w:rFonts w:hint="eastAsia" w:ascii="宋体" w:hAnsi="宋体" w:eastAsia="宋体" w:cs="宋体"/>
                <w:kern w:val="0"/>
                <w:sz w:val="21"/>
                <w:szCs w:val="21"/>
                <w:highlight w:val="none"/>
              </w:rPr>
              <w:t>第五章采购需求</w:t>
            </w:r>
          </w:p>
        </w:tc>
      </w:tr>
      <w:tr w14:paraId="204B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47506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本章第二节</w:t>
            </w:r>
          </w:p>
          <w:p w14:paraId="438C1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第14.2（</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rPr>
              <w:t>）项</w:t>
            </w:r>
          </w:p>
        </w:tc>
        <w:tc>
          <w:tcPr>
            <w:tcW w:w="1024" w:type="pct"/>
            <w:noWrap w:val="0"/>
            <w:vAlign w:val="center"/>
          </w:tcPr>
          <w:p w14:paraId="238DB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乙方提供的其他服务</w:t>
            </w:r>
          </w:p>
        </w:tc>
        <w:tc>
          <w:tcPr>
            <w:tcW w:w="2910" w:type="pct"/>
            <w:noWrap w:val="0"/>
            <w:vAlign w:val="center"/>
          </w:tcPr>
          <w:p w14:paraId="5EBEE2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u w:val="single"/>
              </w:rPr>
              <w:t>/</w:t>
            </w:r>
            <w:r>
              <w:rPr>
                <w:rFonts w:hint="eastAsia" w:ascii="宋体" w:hAnsi="宋体" w:eastAsia="宋体" w:cs="宋体"/>
                <w:kern w:val="0"/>
                <w:sz w:val="21"/>
                <w:szCs w:val="21"/>
                <w:highlight w:val="none"/>
                <w:u w:val="single"/>
                <w:lang w:val="en-US" w:eastAsia="zh-CN"/>
              </w:rPr>
              <w:t xml:space="preserve">   </w:t>
            </w:r>
            <w:r>
              <w:rPr>
                <w:rFonts w:hint="eastAsia" w:ascii="宋体" w:hAnsi="宋体" w:eastAsia="宋体" w:cs="宋体"/>
                <w:kern w:val="0"/>
                <w:sz w:val="21"/>
                <w:szCs w:val="21"/>
                <w:highlight w:val="none"/>
              </w:rPr>
              <w:t>，或见第五章采购需求。</w:t>
            </w:r>
          </w:p>
        </w:tc>
      </w:tr>
      <w:tr w14:paraId="1CC86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6D0F9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本章第二节</w:t>
            </w:r>
          </w:p>
          <w:p w14:paraId="115B43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bCs/>
                <w:kern w:val="0"/>
                <w:sz w:val="21"/>
                <w:szCs w:val="21"/>
                <w:highlight w:val="none"/>
              </w:rPr>
            </w:pPr>
            <w:r>
              <w:rPr>
                <w:rFonts w:hint="eastAsia" w:ascii="宋体" w:hAnsi="宋体" w:eastAsia="宋体" w:cs="宋体"/>
                <w:kern w:val="0"/>
                <w:sz w:val="21"/>
                <w:szCs w:val="21"/>
                <w:highlight w:val="none"/>
              </w:rPr>
              <w:t>第20.2款</w:t>
            </w:r>
          </w:p>
        </w:tc>
        <w:tc>
          <w:tcPr>
            <w:tcW w:w="1024" w:type="pct"/>
            <w:noWrap w:val="0"/>
            <w:vAlign w:val="center"/>
          </w:tcPr>
          <w:p w14:paraId="29E0A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bCs/>
                <w:kern w:val="0"/>
                <w:sz w:val="21"/>
                <w:szCs w:val="21"/>
                <w:highlight w:val="none"/>
              </w:rPr>
            </w:pPr>
            <w:r>
              <w:rPr>
                <w:rFonts w:hint="eastAsia" w:ascii="宋体" w:hAnsi="宋体" w:eastAsia="宋体" w:cs="宋体"/>
                <w:kern w:val="0"/>
                <w:sz w:val="21"/>
                <w:szCs w:val="21"/>
                <w:highlight w:val="none"/>
              </w:rPr>
              <w:t>解决争议的方式</w:t>
            </w:r>
          </w:p>
        </w:tc>
        <w:tc>
          <w:tcPr>
            <w:tcW w:w="2910" w:type="pct"/>
            <w:noWrap w:val="0"/>
            <w:vAlign w:val="center"/>
          </w:tcPr>
          <w:p w14:paraId="0CF34E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诉讼</w:t>
            </w:r>
          </w:p>
          <w:p w14:paraId="7C4CF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仲裁</w:t>
            </w:r>
          </w:p>
        </w:tc>
      </w:tr>
      <w:tr w14:paraId="69BD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4" w:type="pct"/>
            <w:noWrap w:val="0"/>
            <w:vAlign w:val="center"/>
          </w:tcPr>
          <w:p w14:paraId="75B20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本章第二节</w:t>
            </w:r>
          </w:p>
          <w:p w14:paraId="4D786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第23.1款</w:t>
            </w:r>
          </w:p>
        </w:tc>
        <w:tc>
          <w:tcPr>
            <w:tcW w:w="1024" w:type="pct"/>
            <w:noWrap w:val="0"/>
            <w:vAlign w:val="center"/>
          </w:tcPr>
          <w:p w14:paraId="1DD773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firstLine="0" w:firstLineChars="0"/>
              <w:jc w:val="center"/>
              <w:textAlignment w:val="auto"/>
              <w:rPr>
                <w:rFonts w:hint="eastAsia" w:ascii="宋体" w:hAnsi="宋体" w:eastAsia="宋体" w:cs="宋体"/>
                <w:kern w:val="0"/>
                <w:sz w:val="21"/>
                <w:szCs w:val="21"/>
                <w:highlight w:val="none"/>
              </w:rPr>
            </w:pPr>
            <w:r>
              <w:rPr>
                <w:rFonts w:hint="eastAsia" w:ascii="宋体" w:hAnsi="宋体" w:eastAsia="宋体" w:cs="宋体"/>
                <w:bCs/>
                <w:kern w:val="0"/>
                <w:sz w:val="21"/>
                <w:szCs w:val="21"/>
                <w:highlight w:val="none"/>
              </w:rPr>
              <w:t>合同未尽事项</w:t>
            </w:r>
          </w:p>
        </w:tc>
        <w:tc>
          <w:tcPr>
            <w:tcW w:w="2910" w:type="pct"/>
            <w:noWrap w:val="0"/>
            <w:vAlign w:val="center"/>
          </w:tcPr>
          <w:p w14:paraId="6363E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双方协商解决</w:t>
            </w:r>
          </w:p>
        </w:tc>
      </w:tr>
    </w:tbl>
    <w:p w14:paraId="5DEC70D8">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43825F3C">
      <w:pPr>
        <w:pStyle w:val="9"/>
        <w:rPr>
          <w:color w:val="auto"/>
          <w:highlight w:val="none"/>
        </w:rPr>
      </w:pPr>
    </w:p>
    <w:p w14:paraId="36A5E989">
      <w:pPr>
        <w:numPr>
          <w:ilvl w:val="0"/>
          <w:numId w:val="2"/>
        </w:numPr>
        <w:jc w:val="center"/>
        <w:outlineLvl w:val="0"/>
        <w:rPr>
          <w:rFonts w:hint="eastAsia" w:ascii="宋体" w:hAnsi="宋体" w:cs="宋体"/>
          <w:b/>
          <w:bCs/>
          <w:color w:val="auto"/>
          <w:sz w:val="32"/>
          <w:szCs w:val="32"/>
          <w:highlight w:val="none"/>
        </w:rPr>
      </w:pPr>
      <w:bookmarkStart w:id="83" w:name="_Toc1358"/>
      <w:bookmarkStart w:id="84" w:name="_Toc1921"/>
      <w:bookmarkStart w:id="85" w:name="_Toc209412953"/>
      <w:r>
        <w:rPr>
          <w:rFonts w:hint="eastAsia" w:ascii="宋体" w:hAnsi="宋体" w:cs="宋体"/>
          <w:b/>
          <w:bCs/>
          <w:color w:val="auto"/>
          <w:sz w:val="32"/>
          <w:szCs w:val="32"/>
          <w:highlight w:val="none"/>
        </w:rPr>
        <w:t>采购需求</w:t>
      </w:r>
      <w:bookmarkEnd w:id="83"/>
      <w:bookmarkEnd w:id="84"/>
    </w:p>
    <w:bookmarkEnd w:id="85"/>
    <w:p w14:paraId="5FFA368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highlight w:val="none"/>
        </w:rPr>
      </w:pPr>
      <w:bookmarkStart w:id="86" w:name="_Toc16555"/>
      <w:bookmarkStart w:id="87" w:name="_Toc5997"/>
      <w:r>
        <w:rPr>
          <w:rFonts w:hint="eastAsia" w:ascii="宋体" w:hAnsi="宋体" w:eastAsia="宋体" w:cs="宋体"/>
          <w:b/>
          <w:bCs/>
          <w:kern w:val="2"/>
          <w:sz w:val="21"/>
          <w:szCs w:val="24"/>
          <w:highlight w:val="none"/>
          <w:lang w:val="en-US" w:eastAsia="zh-CN" w:bidi="ar-SA"/>
        </w:rPr>
        <w:t>一、</w:t>
      </w:r>
      <w:r>
        <w:rPr>
          <w:rFonts w:hint="eastAsia" w:ascii="宋体" w:hAnsi="宋体" w:eastAsia="宋体" w:cs="宋体"/>
          <w:b/>
          <w:bCs/>
          <w:highlight w:val="none"/>
        </w:rPr>
        <w:t>项目概况：</w:t>
      </w:r>
      <w:bookmarkEnd w:id="86"/>
    </w:p>
    <w:p w14:paraId="697AD7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本项目建成标准化现代网络技术实训室，打造虚实结合、贴合企业真实场景的网络实操平台，全面支撑网络基础、网络组建、局域网规划部署、路由交换配置、综合布线施工、光纤熔接、网络故障排查、基础网络安全运维等岗位技能实训。覆盖《现代网络技术》《网络设备配置与管理》等课程全流程理论+实操教学，满足信息安全、移动互联、人工智能、大数据、数字媒体全专业网络类实训授课需求。改善校内网络技术教学、技能竞赛、课程研发、教师教研条件，强化学生网络规划、设备调试、综合布线、运维排障实战能力，实现院校教学与网络工程、系统集成、企业网管等就业岗位无缝衔接；同时可对外承接兄弟院校师资培训、行业企业网络技能培训、省级/校级网络技能竞赛承办工作。</w:t>
      </w:r>
    </w:p>
    <w:p w14:paraId="4C2CFF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实训室建设遵循《高等职业学校专业实训教学条件建设标准》相关要求，贯彻《关于深化现代职业教育体系建设改革的意见》中深化产教融合、校企合作的指导精神，将产业真实场景和前沿技术体系融入教学，实现教育链、人才链与产业链、创新链的有效衔接。</w:t>
      </w:r>
    </w:p>
    <w:p w14:paraId="57B40E70">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宋体" w:hAnsi="宋体" w:eastAsia="宋体" w:cs="宋体"/>
          <w:b/>
          <w:bCs/>
          <w:szCs w:val="21"/>
          <w:highlight w:val="none"/>
        </w:rPr>
      </w:pPr>
      <w:bookmarkStart w:id="88" w:name="_Toc7212"/>
      <w:r>
        <w:rPr>
          <w:rFonts w:hint="eastAsia" w:ascii="宋体" w:hAnsi="宋体" w:eastAsia="宋体" w:cs="宋体"/>
          <w:b/>
          <w:bCs/>
          <w:szCs w:val="21"/>
          <w:highlight w:val="none"/>
          <w:lang w:val="en-US" w:eastAsia="zh-CN"/>
        </w:rPr>
        <w:t>二</w:t>
      </w:r>
      <w:r>
        <w:rPr>
          <w:rFonts w:hint="eastAsia" w:ascii="宋体" w:hAnsi="宋体" w:eastAsia="宋体" w:cs="宋体"/>
          <w:b/>
          <w:bCs/>
          <w:szCs w:val="21"/>
          <w:highlight w:val="none"/>
        </w:rPr>
        <w:t>、采购货物清单</w:t>
      </w:r>
      <w:bookmarkEnd w:id="88"/>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652"/>
        <w:gridCol w:w="4410"/>
        <w:gridCol w:w="682"/>
        <w:gridCol w:w="662"/>
        <w:gridCol w:w="466"/>
      </w:tblGrid>
      <w:tr w14:paraId="4372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6259B16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序号</w:t>
            </w:r>
          </w:p>
        </w:tc>
        <w:tc>
          <w:tcPr>
            <w:tcW w:w="969" w:type="pct"/>
            <w:noWrap/>
            <w:vAlign w:val="center"/>
          </w:tcPr>
          <w:p w14:paraId="2FDCB09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货物名称</w:t>
            </w:r>
          </w:p>
        </w:tc>
        <w:tc>
          <w:tcPr>
            <w:tcW w:w="2587" w:type="pct"/>
            <w:noWrap w:val="0"/>
            <w:vAlign w:val="center"/>
          </w:tcPr>
          <w:p w14:paraId="530F676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规格</w:t>
            </w:r>
          </w:p>
        </w:tc>
        <w:tc>
          <w:tcPr>
            <w:tcW w:w="400" w:type="pct"/>
            <w:noWrap/>
            <w:vAlign w:val="center"/>
          </w:tcPr>
          <w:p w14:paraId="4A139C2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单位</w:t>
            </w:r>
          </w:p>
        </w:tc>
        <w:tc>
          <w:tcPr>
            <w:tcW w:w="388" w:type="pct"/>
            <w:noWrap/>
            <w:vAlign w:val="center"/>
          </w:tcPr>
          <w:p w14:paraId="7B626C3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数量</w:t>
            </w:r>
          </w:p>
        </w:tc>
        <w:tc>
          <w:tcPr>
            <w:tcW w:w="273" w:type="pct"/>
            <w:noWrap/>
            <w:vAlign w:val="center"/>
          </w:tcPr>
          <w:p w14:paraId="23C3512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备注</w:t>
            </w:r>
          </w:p>
        </w:tc>
      </w:tr>
      <w:tr w14:paraId="23D0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B5B952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969" w:type="pct"/>
            <w:noWrap w:val="0"/>
            <w:vAlign w:val="center"/>
          </w:tcPr>
          <w:p w14:paraId="7BDC634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网络综合布线实训墙</w:t>
            </w:r>
          </w:p>
        </w:tc>
        <w:tc>
          <w:tcPr>
            <w:tcW w:w="2587" w:type="pct"/>
            <w:noWrap w:val="0"/>
            <w:vAlign w:val="center"/>
          </w:tcPr>
          <w:p w14:paraId="35B7C70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r>
              <w:rPr>
                <w:rFonts w:hint="eastAsia" w:ascii="宋体" w:hAnsi="宋体" w:eastAsia="宋体" w:cs="宋体"/>
                <w:sz w:val="21"/>
                <w:szCs w:val="21"/>
                <w:highlight w:val="none"/>
                <w:lang w:val="en-US" w:eastAsia="zh-CN"/>
              </w:rPr>
              <w:t>、包含全套组网设备、全屋智能家居设备。</w:t>
            </w:r>
          </w:p>
          <w:p w14:paraId="711AEB1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lang w:val="en-US" w:eastAsia="zh-CN"/>
              </w:rPr>
              <w:t>、包含所有安装、耗材、led灯带等辅助设施。</w:t>
            </w:r>
          </w:p>
          <w:p w14:paraId="61ED749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根据现场情况定制，需经项目部门确定后供货，详见布线实训墙施工方案。</w:t>
            </w:r>
          </w:p>
        </w:tc>
        <w:tc>
          <w:tcPr>
            <w:tcW w:w="400" w:type="pct"/>
            <w:shd w:val="clear" w:color="auto" w:fill="auto"/>
            <w:noWrap w:val="0"/>
            <w:vAlign w:val="center"/>
          </w:tcPr>
          <w:p w14:paraId="1D43ACF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面</w:t>
            </w:r>
          </w:p>
        </w:tc>
        <w:tc>
          <w:tcPr>
            <w:tcW w:w="388" w:type="pct"/>
            <w:noWrap w:val="0"/>
            <w:vAlign w:val="center"/>
          </w:tcPr>
          <w:p w14:paraId="5D683AF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6874BAB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详见附件</w:t>
            </w:r>
          </w:p>
        </w:tc>
      </w:tr>
      <w:tr w14:paraId="3230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76A30F5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969" w:type="pct"/>
            <w:noWrap/>
            <w:vAlign w:val="center"/>
          </w:tcPr>
          <w:p w14:paraId="04502BA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光纤热熔工具套件</w:t>
            </w:r>
          </w:p>
        </w:tc>
        <w:tc>
          <w:tcPr>
            <w:tcW w:w="2587" w:type="pct"/>
            <w:noWrap w:val="0"/>
            <w:vAlign w:val="center"/>
          </w:tcPr>
          <w:p w14:paraId="09C348E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1、全自动智能光纤熔接机，学生教学实训专用机型</w:t>
            </w:r>
          </w:p>
          <w:p w14:paraId="75DF223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适用光纤：单模 9/125μm、多模 50/62.5μm、皮线光纤，兼容尾纤、裸纤熔接。</w:t>
            </w:r>
          </w:p>
          <w:p w14:paraId="0EFA41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熔接性能：自动对准、自动熔接、自动损耗估算，平均熔接损耗≤0.03dB，熔接时间≤7s，加热时间≤18s</w:t>
            </w:r>
          </w:p>
          <w:p w14:paraId="3A75FA4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显示屏幕</w:t>
            </w:r>
            <w:r>
              <w:rPr>
                <w:rFonts w:hint="eastAsia" w:ascii="宋体" w:hAnsi="宋体" w:eastAsia="宋体" w:cs="宋体"/>
                <w:sz w:val="21"/>
                <w:szCs w:val="21"/>
                <w:highlight w:val="none"/>
                <w:lang w:val="en-US" w:eastAsia="zh-CN"/>
              </w:rPr>
              <w:t>：≥4.3英寸高清彩色触摸屏，实时放大观察纤芯对接状态。</w:t>
            </w:r>
          </w:p>
          <w:p w14:paraId="7D28259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续航供电：内置大容量锂电池，满电可连续熔接≥200 次；支持外接电源、充电两用，配备备用电池。</w:t>
            </w:r>
          </w:p>
          <w:p w14:paraId="004B587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环境适配：工作温度</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10℃~+50℃，防尘抗摔，适合实训室日常教学使用，附加功能：内置光纤故障检测、熔接数据存储，支持数据导出查看。</w:t>
            </w:r>
          </w:p>
          <w:p w14:paraId="7D1F787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2、高强度防护工具箱：</w:t>
            </w:r>
          </w:p>
          <w:p w14:paraId="752BF72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防水、防震、抗压，分层收纳，用于整机及工具收纳携带高精度光纤切割刀：端面切割角度≤0.5°，自带废料收集盒，适配单模 / 多模光纤。</w:t>
            </w:r>
          </w:p>
          <w:p w14:paraId="70835E9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光纤剥线钳：三孔专用款，可剥离光纤外皮、涂覆层、缓冲层，不伤纤芯。</w:t>
            </w:r>
          </w:p>
          <w:p w14:paraId="5C16712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光纤清洁吹气球：强力气吹，清理光纤碎屑、灰尘。</w:t>
            </w:r>
          </w:p>
          <w:p w14:paraId="5097961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酒精瓶 + 光纤清洁棉：专用清洁配件，用于光纤端面清洁。</w:t>
            </w:r>
          </w:p>
          <w:p w14:paraId="20BA8AF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多功能小工具组：斜口钳、定位器、固定卡扣、镊子、备用电极棒等。</w:t>
            </w:r>
          </w:p>
          <w:p w14:paraId="6C775C3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电源适配器、充电线：适配熔接机充电及外接供电。</w:t>
            </w:r>
          </w:p>
          <w:p w14:paraId="2A9B346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光功率计：支持 850/1310/1550nm 三波长检测，精度 ±0.1dB，测量光纤熔接损耗、光功率值。</w:t>
            </w:r>
          </w:p>
          <w:p w14:paraId="30CC05C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红光笔：波长 650nm，检测距离 0</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5km，快速排查光纤断点、通断测试。</w:t>
            </w:r>
          </w:p>
          <w:p w14:paraId="193706F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3、光纤耗材</w:t>
            </w:r>
          </w:p>
          <w:p w14:paraId="22575FC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单模裸光纤：9/125μm，50m / 卷，用于学生反复练习熔接。</w:t>
            </w:r>
          </w:p>
          <w:p w14:paraId="231ED6F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单模 SC</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UPC 尾纤：1m / 根，低损耗，用于分组实验、成品熔接测试。</w:t>
            </w:r>
          </w:p>
          <w:p w14:paraId="307BCB3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光纤热缩套管：60mm 标准款，耐高温，熔接后光纤防护，100 根 / 包。</w:t>
            </w:r>
          </w:p>
          <w:p w14:paraId="0E2D80C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SC</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SC 光纤耦合器（法兰）：低损耗，用于尾纤对接、光纤延长测试。</w:t>
            </w:r>
          </w:p>
          <w:p w14:paraId="5A26B7E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无水乙醇 + 无尘擦拭纸：光纤专用，无杂质不掉屑，清洁光纤端面。</w:t>
            </w:r>
          </w:p>
          <w:p w14:paraId="6B77BEE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防水光纤标签纸：可手写，用于光纤标识、实验样品分类标记。</w:t>
            </w:r>
          </w:p>
        </w:tc>
        <w:tc>
          <w:tcPr>
            <w:tcW w:w="400" w:type="pct"/>
            <w:shd w:val="clear" w:color="auto" w:fill="auto"/>
            <w:noWrap/>
            <w:vAlign w:val="center"/>
          </w:tcPr>
          <w:p w14:paraId="222213B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ign w:val="center"/>
          </w:tcPr>
          <w:p w14:paraId="5A404A7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p>
        </w:tc>
        <w:tc>
          <w:tcPr>
            <w:tcW w:w="273" w:type="pct"/>
            <w:noWrap w:val="0"/>
            <w:vAlign w:val="center"/>
          </w:tcPr>
          <w:p w14:paraId="283756B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47C6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6E1B794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p>
        </w:tc>
        <w:tc>
          <w:tcPr>
            <w:tcW w:w="969" w:type="pct"/>
            <w:noWrap/>
            <w:vAlign w:val="center"/>
          </w:tcPr>
          <w:p w14:paraId="4E1E5FA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网络运维工具箱</w:t>
            </w:r>
          </w:p>
        </w:tc>
        <w:tc>
          <w:tcPr>
            <w:tcW w:w="2587" w:type="pct"/>
            <w:noWrap w:val="0"/>
            <w:vAlign w:val="center"/>
          </w:tcPr>
          <w:p w14:paraId="46014CC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1、液晶寻线测线仪（充电款）：内置锂电池，Type</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C 充电，128×64 背光液晶显示；支持网线长度测量、断点定位、POE 检测、NCV 非接触验电、寻线对线功能；RJ45/RJ11 接口，60V 防烧保护，带手电照明，自动关机。</w:t>
            </w:r>
          </w:p>
          <w:p w14:paraId="69D13DA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2、多功能网线钳：高碳钢钳体，三合一剥线、剪线、压接；适配 RJ45、RJ11 接头，支持超五类、六类网线；防滑绝缘手柄，刀口淬火处理。</w:t>
            </w:r>
          </w:p>
          <w:p w14:paraId="29E01A4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3、手动剥线器：适配 CAT5</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CAT6 网络双绞线，可调孔径旋转剥线；合金钢刀片，ABS 外壳，剥外护套不损伤线芯。</w:t>
            </w:r>
          </w:p>
          <w:p w14:paraId="48546A7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4、打线刀：110 型通用，高碳钢可换刀头，弹力冲击结构，打线同步剪线；绝缘防滑手柄，用于配线架、信息模块端接。</w:t>
            </w:r>
          </w:p>
          <w:p w14:paraId="63D23B5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5、电工剪刀：不锈钢刀刃，绝缘耐压 500V；可剪切网线、扎带等弱电线缆。</w:t>
            </w:r>
          </w:p>
          <w:p w14:paraId="4AF7D0D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6、螺丝刀套装：铬钒钢十字、一字多规格批头，防滑绝缘手柄；带收纳卡槽，用于机柜、配线架拆装维护。</w:t>
            </w:r>
          </w:p>
          <w:p w14:paraId="4972B2B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7、水晶头：RJ45 8P8C，六类非屏蔽，三叉镀金触点；数量 200 个，适配超五类、六类双绞线。</w:t>
            </w:r>
          </w:p>
          <w:p w14:paraId="03674B7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8、扎带：自锁式尼龙扎带，阻燃等级 UL94</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V2；规格 2.5mm×150mm，数量 100 个，用于线缆捆扎整理。</w:t>
            </w:r>
          </w:p>
          <w:p w14:paraId="7681924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9、网络配</w:t>
            </w:r>
            <w:r>
              <w:rPr>
                <w:rFonts w:hint="eastAsia" w:ascii="宋体" w:hAnsi="宋体" w:eastAsia="宋体" w:cs="宋体"/>
                <w:sz w:val="21"/>
                <w:szCs w:val="21"/>
                <w:highlight w:val="none"/>
                <w:lang w:val="en-US" w:eastAsia="zh-CN"/>
              </w:rPr>
              <w:t>线架 19”24 口：19 英寸 1U 机架式，</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24 口 RJ45 六类非屏蔽；兼容 T568A/T568B，IDC 端子适配 22</w:t>
            </w:r>
            <w:r>
              <w:rPr>
                <w:rFonts w:hint="eastAsia" w:ascii="宋体" w:hAnsi="宋体" w:eastAsia="宋体" w:cs="宋体"/>
                <w:sz w:val="21"/>
                <w:szCs w:val="21"/>
                <w:highlight w:val="none"/>
                <w:lang w:val="en-US" w:eastAsia="zh-CN"/>
              </w:rPr>
              <w:noBreakHyphen/>
            </w:r>
            <w:r>
              <w:rPr>
                <w:rFonts w:hint="eastAsia" w:ascii="宋体" w:hAnsi="宋体" w:eastAsia="宋体" w:cs="宋体"/>
                <w:sz w:val="21"/>
                <w:szCs w:val="21"/>
                <w:highlight w:val="none"/>
                <w:lang w:val="en-US" w:eastAsia="zh-CN"/>
              </w:rPr>
              <w:t>26AWG 线缆，镀金金针，带标签条与背部理线支架。</w:t>
            </w:r>
          </w:p>
          <w:p w14:paraId="3393B5B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10、理线环 19”：19 英寸 1U 机柜安装，冷轧钢材质黑色喷塑，梳齿式结构，用于机柜线缆整理。</w:t>
            </w:r>
          </w:p>
          <w:p w14:paraId="34F469C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11、工具收纳箱：硬质工程塑料箱体，带手提把手与锁扣，内部可拆卸隔层，抗压防震，用于整套布线工具收纳搬运。</w:t>
            </w:r>
          </w:p>
        </w:tc>
        <w:tc>
          <w:tcPr>
            <w:tcW w:w="400" w:type="pct"/>
            <w:shd w:val="clear" w:color="auto" w:fill="auto"/>
            <w:noWrap/>
            <w:vAlign w:val="center"/>
          </w:tcPr>
          <w:p w14:paraId="05EF8E6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ign w:val="center"/>
          </w:tcPr>
          <w:p w14:paraId="2056FCE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16</w:t>
            </w:r>
          </w:p>
        </w:tc>
        <w:tc>
          <w:tcPr>
            <w:tcW w:w="273" w:type="pct"/>
            <w:noWrap w:val="0"/>
            <w:vAlign w:val="center"/>
          </w:tcPr>
          <w:p w14:paraId="10289B4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20E6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1FD5DB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p>
        </w:tc>
        <w:tc>
          <w:tcPr>
            <w:tcW w:w="969" w:type="pct"/>
            <w:noWrap/>
            <w:vAlign w:val="center"/>
          </w:tcPr>
          <w:p w14:paraId="4533268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路由器</w:t>
            </w:r>
          </w:p>
        </w:tc>
        <w:tc>
          <w:tcPr>
            <w:tcW w:w="2587" w:type="pct"/>
            <w:noWrap w:val="0"/>
            <w:vAlign w:val="center"/>
          </w:tcPr>
          <w:p w14:paraId="45E32BA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▲1、交换容量≥70Gbps,包转发率（IPv4）≥3Mpps，提供官网技术资料截图；</w:t>
            </w:r>
          </w:p>
          <w:p w14:paraId="65D741A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2、WAN口≥3个千兆电+2个千兆光，LAN口≥24个千兆电；实配冗余电源。</w:t>
            </w:r>
          </w:p>
          <w:p w14:paraId="274F3BE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3、扩展业务槽位数≥4；</w:t>
            </w:r>
          </w:p>
          <w:p w14:paraId="1905219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4、支持国密和4G合一，满足4G上行且同时国密加密的需求；</w:t>
            </w:r>
          </w:p>
          <w:p w14:paraId="5AF397E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5、支持虚拟化特性，将物理上两台设备虚拟化成一台逻辑设备；</w:t>
            </w:r>
          </w:p>
          <w:p w14:paraId="1A81B6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6、支持无线控制器功能，对下挂瘦AP设备进行注册、配置管理、版本管理、流量转发等统一控制；</w:t>
            </w:r>
          </w:p>
          <w:p w14:paraId="7E5F7E9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7、MTR多拓扑路由，支持在一个物理网络上实现多个逻辑拓扑，指定不同业务流量走不同的逻辑拓扑路由转发；</w:t>
            </w:r>
          </w:p>
          <w:p w14:paraId="4283AD1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▲8、支持IPv6-IPv6报文前缀转换（提供第三方检测报告/原厂技术白皮书，加盖投标人公章）</w:t>
            </w:r>
          </w:p>
          <w:p w14:paraId="5BFF764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▲9、支持SRv6Policy（提供第三方检测报告/原厂技术白皮书，加盖投标人公章）</w:t>
            </w:r>
          </w:p>
        </w:tc>
        <w:tc>
          <w:tcPr>
            <w:tcW w:w="400" w:type="pct"/>
            <w:shd w:val="clear" w:color="auto" w:fill="auto"/>
            <w:noWrap/>
            <w:vAlign w:val="center"/>
          </w:tcPr>
          <w:p w14:paraId="5174BAF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47F627A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8</w:t>
            </w:r>
          </w:p>
        </w:tc>
        <w:tc>
          <w:tcPr>
            <w:tcW w:w="273" w:type="pct"/>
            <w:noWrap w:val="0"/>
            <w:vAlign w:val="center"/>
          </w:tcPr>
          <w:p w14:paraId="5586C2C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965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326A99C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w:t>
            </w:r>
          </w:p>
        </w:tc>
        <w:tc>
          <w:tcPr>
            <w:tcW w:w="969" w:type="pct"/>
            <w:noWrap/>
            <w:vAlign w:val="center"/>
          </w:tcPr>
          <w:p w14:paraId="392448B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三层交换机</w:t>
            </w:r>
          </w:p>
        </w:tc>
        <w:tc>
          <w:tcPr>
            <w:tcW w:w="2587" w:type="pct"/>
            <w:noWrap w:val="0"/>
            <w:vAlign w:val="center"/>
          </w:tcPr>
          <w:p w14:paraId="5EFF006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1、交换容量≥2.4Tbps；包转发率≥670Mpps；</w:t>
            </w:r>
          </w:p>
          <w:p w14:paraId="1E4843D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▲2、支持28个千兆电口，4个复用 10/100/1000BASE-T以太网Combo端口，8个万兆SFP+端口；配置1个扩展槽位，可扩展10G、25G、40G 业务板卡、防火墙插卡；提供官网技术资料截图。</w:t>
            </w:r>
          </w:p>
          <w:p w14:paraId="33C589C1">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3、实配冗余电源与冗余风扇；</w:t>
            </w:r>
          </w:p>
          <w:p w14:paraId="761145D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4、MAC地址表项容量≥32K；</w:t>
            </w:r>
          </w:p>
          <w:p w14:paraId="4CEF4A1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5、支持静态路由、RIPv1/2、RIPng、OSPF、OSPFv3；</w:t>
            </w:r>
          </w:p>
          <w:p w14:paraId="20298D3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▲6、主控CPU及交换芯片为国产化芯片（提供第三方检测报告或原厂技术白皮书，加盖投标人公章）；</w:t>
            </w:r>
          </w:p>
          <w:p w14:paraId="40B0BC3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▲7、支持TAP流量镜像能力，支持基于端口N:M报文复制，可识别指定报文并修改MAC/IP地址后复制转发；提供官网技术资料截图。</w:t>
            </w:r>
          </w:p>
          <w:p w14:paraId="45B7E0EB">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▲8、支持全端口256bit MACsec链路加密功能（提供第三方检测报告或原厂技术白皮书，加盖投标人公章）。</w:t>
            </w:r>
          </w:p>
        </w:tc>
        <w:tc>
          <w:tcPr>
            <w:tcW w:w="400" w:type="pct"/>
            <w:shd w:val="clear" w:color="auto" w:fill="auto"/>
            <w:noWrap/>
            <w:vAlign w:val="center"/>
          </w:tcPr>
          <w:p w14:paraId="622AED4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68D8648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8</w:t>
            </w:r>
          </w:p>
        </w:tc>
        <w:tc>
          <w:tcPr>
            <w:tcW w:w="273" w:type="pct"/>
            <w:noWrap w:val="0"/>
            <w:vAlign w:val="center"/>
          </w:tcPr>
          <w:p w14:paraId="1B5B0B3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22DC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0DC02D9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p>
        </w:tc>
        <w:tc>
          <w:tcPr>
            <w:tcW w:w="969" w:type="pct"/>
            <w:noWrap/>
            <w:vAlign w:val="center"/>
          </w:tcPr>
          <w:p w14:paraId="6E3B889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二层供电交换机</w:t>
            </w:r>
          </w:p>
        </w:tc>
        <w:tc>
          <w:tcPr>
            <w:tcW w:w="2587" w:type="pct"/>
            <w:noWrap w:val="0"/>
            <w:vAlign w:val="center"/>
          </w:tcPr>
          <w:p w14:paraId="46AF009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1、交换容量≥672Gbps，包转发率≥171Mpps，静音无风扇；</w:t>
            </w:r>
          </w:p>
          <w:p w14:paraId="3000671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2、提供≥24个10/100/1000BASE-T电口，提供≥4个1/10GE SFP+端口；</w:t>
            </w:r>
          </w:p>
          <w:p w14:paraId="1BCB191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3、支持基于端口的VLAN，支持基于协议的VLAN；</w:t>
            </w:r>
          </w:p>
          <w:p w14:paraId="5C972A8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4、堆叠链路冗余保护能够快速收敛，收敛时间≤50ms；</w:t>
            </w:r>
          </w:p>
          <w:p w14:paraId="6EA1AE7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5、支持IPv4/IPV6双栈管理和转发，支持静态路由协议和RIP、OSPF等路由协议，支持丰富的管理和安全特性；</w:t>
            </w:r>
          </w:p>
          <w:p w14:paraId="3461A77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支持内置智能图形化管理功能，能够实现通过图形化界面设备配置及命令一键下发和版本智能升级，全局配置及网管口配置，设备升级备份、监控及设备故障替换，组网拓扑可视及管理、设备列表展示等功能。</w:t>
            </w:r>
          </w:p>
          <w:p w14:paraId="168190D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▲7、支持安全启动Secure boot，在系统启动过程中支持安全检测，防止对系统镜像进行修改和伪造数据（提供具有CNAS或CMA认证的第三方检测机构出具的检测报告复印件并加盖投标人公章）；</w:t>
            </w:r>
          </w:p>
        </w:tc>
        <w:tc>
          <w:tcPr>
            <w:tcW w:w="400" w:type="pct"/>
            <w:shd w:val="clear" w:color="auto" w:fill="auto"/>
            <w:noWrap/>
            <w:vAlign w:val="center"/>
          </w:tcPr>
          <w:p w14:paraId="44EB86A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41870C3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16</w:t>
            </w:r>
          </w:p>
        </w:tc>
        <w:tc>
          <w:tcPr>
            <w:tcW w:w="273" w:type="pct"/>
            <w:noWrap w:val="0"/>
            <w:vAlign w:val="center"/>
          </w:tcPr>
          <w:p w14:paraId="02EF1AB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3BE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9E0B19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w:t>
            </w:r>
          </w:p>
        </w:tc>
        <w:tc>
          <w:tcPr>
            <w:tcW w:w="969" w:type="pct"/>
            <w:noWrap/>
            <w:vAlign w:val="center"/>
          </w:tcPr>
          <w:p w14:paraId="308ED1E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智能中控屏</w:t>
            </w:r>
          </w:p>
        </w:tc>
        <w:tc>
          <w:tcPr>
            <w:tcW w:w="2587" w:type="pct"/>
            <w:noWrap w:val="0"/>
            <w:vAlign w:val="center"/>
          </w:tcPr>
          <w:p w14:paraId="1DDF301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全屋智能核心枢纽，支持墙面安装，≥10.1英寸高清大屏，分辨率≥1920x1200，需预埋86型底盒，需零线。</w:t>
            </w:r>
          </w:p>
        </w:tc>
        <w:tc>
          <w:tcPr>
            <w:tcW w:w="400" w:type="pct"/>
            <w:shd w:val="clear" w:color="auto" w:fill="auto"/>
            <w:noWrap/>
            <w:vAlign w:val="center"/>
          </w:tcPr>
          <w:p w14:paraId="63DE987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1DEB550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723CBF9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2F8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63231C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8</w:t>
            </w:r>
          </w:p>
        </w:tc>
        <w:tc>
          <w:tcPr>
            <w:tcW w:w="969" w:type="pct"/>
            <w:noWrap/>
            <w:vAlign w:val="center"/>
          </w:tcPr>
          <w:p w14:paraId="299B90E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智能门锁</w:t>
            </w:r>
          </w:p>
        </w:tc>
        <w:tc>
          <w:tcPr>
            <w:tcW w:w="2587" w:type="pct"/>
            <w:noWrap w:val="0"/>
            <w:vAlign w:val="center"/>
          </w:tcPr>
          <w:p w14:paraId="6AA1A02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指纹/密码/NFC开锁，离家自动布防，带有电子猫眼等功能。</w:t>
            </w:r>
          </w:p>
        </w:tc>
        <w:tc>
          <w:tcPr>
            <w:tcW w:w="400" w:type="pct"/>
            <w:shd w:val="clear" w:color="auto" w:fill="auto"/>
            <w:noWrap/>
            <w:vAlign w:val="center"/>
          </w:tcPr>
          <w:p w14:paraId="7DF73B2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ign w:val="center"/>
          </w:tcPr>
          <w:p w14:paraId="0A2F88E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7D94D54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7AC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3E705BE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w:t>
            </w:r>
          </w:p>
        </w:tc>
        <w:tc>
          <w:tcPr>
            <w:tcW w:w="969" w:type="pct"/>
            <w:noWrap w:val="0"/>
            <w:vAlign w:val="center"/>
          </w:tcPr>
          <w:p w14:paraId="3CD4E60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智能窗帘电机</w:t>
            </w:r>
          </w:p>
        </w:tc>
        <w:tc>
          <w:tcPr>
            <w:tcW w:w="2587" w:type="pct"/>
            <w:noWrap w:val="0"/>
            <w:vAlign w:val="center"/>
          </w:tcPr>
          <w:p w14:paraId="59E7230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可轻拉启动自动开关窗帘、停电时可手动开关窗帘，遇阻即停，中间点限位。搭配网关后，可手机APP远程控制窗帘百分比开关、设置定时开关；智能AI：联动其他智能设备，可实现根据光照强弱开关窗帘等更多功能；适用于左右开合帘。双轨需搭配两个电机，带智能静音轨道。</w:t>
            </w:r>
          </w:p>
        </w:tc>
        <w:tc>
          <w:tcPr>
            <w:tcW w:w="400" w:type="pct"/>
            <w:shd w:val="clear" w:color="auto" w:fill="auto"/>
            <w:noWrap/>
            <w:vAlign w:val="center"/>
          </w:tcPr>
          <w:p w14:paraId="0A040C5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ign w:val="center"/>
          </w:tcPr>
          <w:p w14:paraId="3491DC4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w:t>
            </w:r>
          </w:p>
        </w:tc>
        <w:tc>
          <w:tcPr>
            <w:tcW w:w="273" w:type="pct"/>
            <w:noWrap w:val="0"/>
            <w:vAlign w:val="center"/>
          </w:tcPr>
          <w:p w14:paraId="09DCB34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86D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53C87A8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w:t>
            </w:r>
          </w:p>
        </w:tc>
        <w:tc>
          <w:tcPr>
            <w:tcW w:w="969" w:type="pct"/>
            <w:noWrap w:val="0"/>
            <w:vAlign w:val="center"/>
          </w:tcPr>
          <w:p w14:paraId="3356447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教学音响</w:t>
            </w:r>
          </w:p>
        </w:tc>
        <w:tc>
          <w:tcPr>
            <w:tcW w:w="2587" w:type="pct"/>
            <w:noWrap w:val="0"/>
            <w:vAlign w:val="center"/>
          </w:tcPr>
          <w:p w14:paraId="73DB578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一、教学功放</w:t>
            </w:r>
          </w:p>
          <w:p w14:paraId="7518343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1、双声道全频高保真放大设计，低噪稳定，适用于教室、实训室、会议室扩音场景。</w:t>
            </w:r>
          </w:p>
          <w:p w14:paraId="63B5C58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2、输入输出配置：4路立体声线路输入、3路话筒输入（前2后1），话筒支持DC+6V供电；带前级输出、AB组功率输出；话筒、线路高低音、音量可独立调节；按键暗藏式设计，耐用防尘。</w:t>
            </w:r>
          </w:p>
          <w:p w14:paraId="0A918F4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技术参数：频率响应：线路20Hz-20KHz，话筒50Hz-18KHz高低音调节：10KHz±12dB（高音）、100Hz±12dB（低音）输入电平：话筒15mV、线路300mV；输出电平：0.775V失真度≤0.3%，信噪比≥86dB(A计权)输出功率2×80W（4-16Ω），最大功耗200W供电：AC220V±10%/50Hz</w:t>
            </w:r>
          </w:p>
          <w:p w14:paraId="595BB6E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二、6.5寸教学音箱（1对2只）</w:t>
            </w:r>
          </w:p>
          <w:p w14:paraId="0B14170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1、配置6.5寸低音+3寸纸盆高音单元，CAD声学箱体设计，倒相式结构，搭配专业调校分频器，人声清晰、声场均匀。</w:t>
            </w:r>
          </w:p>
          <w:p w14:paraId="0DE6B8F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2、高密度中纤板箱体+钢网防护，标配万能安装支架，壁挂/吊装便捷，适配教学、会议场景。</w:t>
            </w:r>
          </w:p>
          <w:p w14:paraId="0153256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3、技术参数：频率响应：60Hz-20kHz标称功率70W，阻抗8Ω，灵敏度91dB/1W/1M最大声压级101dB，分频点1.8KHz覆盖角度：90°(水平)×50°(垂直)</w:t>
            </w:r>
          </w:p>
          <w:p w14:paraId="4BCAEA5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三、无线话筒（含5只领夹麦）</w:t>
            </w:r>
          </w:p>
          <w:p w14:paraId="392E0ED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采用U段传输，抗干扰、不串频，支持多信道切换，满足多人教学拾音使用。</w:t>
            </w:r>
          </w:p>
          <w:p w14:paraId="20BE3F3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技术参数：</w:t>
            </w:r>
          </w:p>
          <w:p w14:paraId="7107617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频率范围：720-820MHz</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音频响应：80Hz-18KHz(-3dB)</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信噪比＞105dB，接收灵敏度12dBuV</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发射功率：高功率10mW、低功率3mW</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信道数量：200信道</w:t>
            </w:r>
            <w:r>
              <w:rPr>
                <w:rFonts w:hint="eastAsia" w:ascii="宋体" w:hAnsi="宋体" w:cs="宋体"/>
                <w:sz w:val="21"/>
                <w:szCs w:val="21"/>
                <w:highlight w:val="none"/>
                <w:lang w:val="en-US" w:eastAsia="zh-CN"/>
              </w:rPr>
              <w:t>。</w:t>
            </w:r>
          </w:p>
        </w:tc>
        <w:tc>
          <w:tcPr>
            <w:tcW w:w="400" w:type="pct"/>
            <w:shd w:val="clear" w:color="auto" w:fill="auto"/>
            <w:noWrap/>
            <w:vAlign w:val="center"/>
          </w:tcPr>
          <w:p w14:paraId="7531BB67">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ign w:val="center"/>
          </w:tcPr>
          <w:p w14:paraId="6E5A5B1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067FDFD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7D4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1283DCC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p>
        </w:tc>
        <w:tc>
          <w:tcPr>
            <w:tcW w:w="969" w:type="pct"/>
            <w:noWrap/>
            <w:vAlign w:val="center"/>
          </w:tcPr>
          <w:p w14:paraId="59DC305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实训台</w:t>
            </w:r>
          </w:p>
        </w:tc>
        <w:tc>
          <w:tcPr>
            <w:tcW w:w="2587" w:type="pct"/>
            <w:noWrap w:val="0"/>
            <w:vAlign w:val="center"/>
          </w:tcPr>
          <w:p w14:paraId="2E42A53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1、实训单桌+双吊一抽+620挂板（W1600D600H1420mm）每张带接线柱2个,插座3个,漏保1个，超五类千兆RJ45网络接口2个（含模块面板、桌内预埋布线）。</w:t>
            </w:r>
          </w:p>
          <w:p w14:paraId="6DFD1B5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2、FTTR组网套装：</w:t>
            </w:r>
          </w:p>
          <w:p w14:paraId="2961B5B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FTTR主路由：支持万兆XG-PON/10G-EPON双制式上行，搭载WiFi6AX3000双频无线；硬件端口配置：1个2.5GE网口、3个千兆网口、1路全屋光纤组网专用光下联端口、1路语音接口；支持全屋光纤组网架构、无线AP无缝漫游功能，设备配套12V电源适配器。</w:t>
            </w:r>
          </w:p>
          <w:p w14:paraId="50050FA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（2）FTTR光插座：GPON光回传，WiFi6AX3000双频；2个千兆网口，SC/UPC光接口；86型暗装结构，支持与主设备协同无线漫游，配套电源适配器。</w:t>
            </w:r>
          </w:p>
          <w:p w14:paraId="2F74242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（3）FTTR从路由：GPON光回传，WiFi6AX3000双频并发；2个千兆LAN口；支持FTTR组网协议，可与主路由配置同步、实现无线无缝漫游，配套电源适配器。</w:t>
            </w:r>
          </w:p>
          <w:p w14:paraId="7245325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（4）FTTR光面板：86型暗装，内置SC/UPC光纤法兰盘，用于光纤端接实训及光插座安装实训。</w:t>
            </w:r>
          </w:p>
          <w:p w14:paraId="779999C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（5）光电转换器（1对）：千兆速率，SC光口+RJ45电口；支持10/100/1000M自适应</w:t>
            </w:r>
          </w:p>
          <w:p w14:paraId="00A0379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3、智能家居套装：</w:t>
            </w:r>
          </w:p>
          <w:p w14:paraId="1876B97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（1）智能中控面板（可语音交互）：86型触屏结构，内置蓝牙Mesh网关，支持语音唤醒、APP远程控制，可实现全屋智能设备场景联动，零线供电。</w:t>
            </w:r>
          </w:p>
          <w:p w14:paraId="6728CF0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（2）智能音箱Pro：支持远场语音唤醒，内置蓝牙Mesh网关，自带红外遥控功能，可联动智能家居设备运行自动化场景。</w:t>
            </w:r>
          </w:p>
          <w:p w14:paraId="36E9209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（3）智能摄像头：4K超清画质，支持AI人形识别、移动侦测，具备红外夜视、双向对讲、声光报警及设备联动告警功能。</w:t>
            </w:r>
          </w:p>
          <w:p w14:paraId="7D7EC0D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（4）智能温度计：高精度温湿度检测，蓝牙数据传输，支持数据记录与智能场景联动，低功耗电池供电。</w:t>
            </w:r>
          </w:p>
          <w:p w14:paraId="51F355A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（5）人体传感器：支持人体移动感应探测，蓝牙Mesh通信，可联动灯光及各类智能设备自动触发场景，电池供电。</w:t>
            </w:r>
          </w:p>
          <w:p w14:paraId="65C819C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（6）烟感卫士：光电式烟雾探测，支持本地声光报警、手机APP告警推送，具备设备联动、设备自检、低电量提醒功能。</w:t>
            </w:r>
          </w:p>
          <w:p w14:paraId="2054588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（7）门窗卫士：实时监测门窗开合状态，状态实时推送，支持智能家居自动化场景联动，低功耗续航。</w:t>
            </w:r>
          </w:p>
          <w:p w14:paraId="316D226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（8）智能开关：86型标准安装，支持按键、语音、APP多模式控制，支持定时设置、场景联动，具备过载安全保护。</w:t>
            </w:r>
          </w:p>
          <w:p w14:paraId="799AE4E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（9）智能墙壁插座：86型通用规格，支持远程控电、定时开关、功率统计，可联动智能设备，采用阻燃安全材质。</w:t>
            </w:r>
          </w:p>
          <w:p w14:paraId="1E950BC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（10）智能LED灯泡蓝牙MESH版（带插座）：蓝牙Mesh联网，支持亮度、色温调节，支持语音及远程控制，适配全屋智能场景自动化。</w:t>
            </w:r>
          </w:p>
          <w:p w14:paraId="4E0C3B2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根据现场情况定制，需经项目部门确定后供货。</w:t>
            </w:r>
          </w:p>
        </w:tc>
        <w:tc>
          <w:tcPr>
            <w:tcW w:w="400" w:type="pct"/>
            <w:shd w:val="clear" w:color="auto" w:fill="auto"/>
            <w:noWrap/>
            <w:vAlign w:val="center"/>
          </w:tcPr>
          <w:p w14:paraId="7F7DA6E6">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ign w:val="center"/>
          </w:tcPr>
          <w:p w14:paraId="1E50A9C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16</w:t>
            </w:r>
          </w:p>
        </w:tc>
        <w:tc>
          <w:tcPr>
            <w:tcW w:w="273" w:type="pct"/>
            <w:noWrap w:val="0"/>
            <w:vAlign w:val="center"/>
          </w:tcPr>
          <w:p w14:paraId="0A9564F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5B8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46140D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12</w:t>
            </w:r>
          </w:p>
        </w:tc>
        <w:tc>
          <w:tcPr>
            <w:tcW w:w="969" w:type="pct"/>
            <w:noWrap/>
            <w:vAlign w:val="center"/>
          </w:tcPr>
          <w:p w14:paraId="2013818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学生椅</w:t>
            </w:r>
          </w:p>
        </w:tc>
        <w:tc>
          <w:tcPr>
            <w:tcW w:w="2587" w:type="pct"/>
            <w:noWrap w:val="0"/>
            <w:vAlign w:val="center"/>
          </w:tcPr>
          <w:p w14:paraId="4F32CBD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材质: 冷轧钢 </w:t>
            </w:r>
          </w:p>
          <w:p w14:paraId="28865F8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椅子尺寸: 400*360*420mm</w:t>
            </w:r>
          </w:p>
          <w:p w14:paraId="798BEBF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椅面板: 10mm 多层胶合板 </w:t>
            </w:r>
          </w:p>
          <w:p w14:paraId="6968406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凳面板: 12mm 多层胶合板 </w:t>
            </w:r>
          </w:p>
          <w:p w14:paraId="2A57DFA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根据现场情况定制，需经项目部门确定后供货。</w:t>
            </w:r>
          </w:p>
        </w:tc>
        <w:tc>
          <w:tcPr>
            <w:tcW w:w="400" w:type="pct"/>
            <w:shd w:val="clear" w:color="auto" w:fill="auto"/>
            <w:noWrap/>
            <w:vAlign w:val="center"/>
          </w:tcPr>
          <w:p w14:paraId="1917978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ign w:val="center"/>
          </w:tcPr>
          <w:p w14:paraId="7541BD9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48</w:t>
            </w:r>
          </w:p>
        </w:tc>
        <w:tc>
          <w:tcPr>
            <w:tcW w:w="273" w:type="pct"/>
            <w:noWrap w:val="0"/>
            <w:vAlign w:val="center"/>
          </w:tcPr>
          <w:p w14:paraId="55C51D0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D39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3AE5172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13</w:t>
            </w:r>
          </w:p>
        </w:tc>
        <w:tc>
          <w:tcPr>
            <w:tcW w:w="969" w:type="pct"/>
            <w:noWrap/>
            <w:vAlign w:val="center"/>
          </w:tcPr>
          <w:p w14:paraId="4BFD885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教师桌椅</w:t>
            </w:r>
          </w:p>
        </w:tc>
        <w:tc>
          <w:tcPr>
            <w:tcW w:w="2587" w:type="pct"/>
            <w:noWrap w:val="0"/>
            <w:vAlign w:val="center"/>
          </w:tcPr>
          <w:p w14:paraId="1693BEB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参数1600*600*750mm,台面多层复合实木板；椅子：人体工学海绵坐垫弓形椅，采用40*40优质钢管，壁厚1.2mm。</w:t>
            </w:r>
          </w:p>
          <w:p w14:paraId="60A1D3F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根据现场情况定制，需经项目部门确定后供货。</w:t>
            </w:r>
          </w:p>
        </w:tc>
        <w:tc>
          <w:tcPr>
            <w:tcW w:w="400" w:type="pct"/>
            <w:shd w:val="clear" w:color="auto" w:fill="auto"/>
            <w:noWrap/>
            <w:vAlign w:val="center"/>
          </w:tcPr>
          <w:p w14:paraId="02F1BCF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ign w:val="center"/>
          </w:tcPr>
          <w:p w14:paraId="215E73E7">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273" w:type="pct"/>
            <w:noWrap w:val="0"/>
            <w:vAlign w:val="center"/>
          </w:tcPr>
          <w:p w14:paraId="58B06A0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853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E107FC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14</w:t>
            </w:r>
          </w:p>
        </w:tc>
        <w:tc>
          <w:tcPr>
            <w:tcW w:w="969" w:type="pct"/>
            <w:noWrap/>
            <w:vAlign w:val="center"/>
          </w:tcPr>
          <w:p w14:paraId="697EA17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网管型交换机</w:t>
            </w:r>
          </w:p>
        </w:tc>
        <w:tc>
          <w:tcPr>
            <w:tcW w:w="2587" w:type="pct"/>
            <w:noWrap w:val="0"/>
            <w:vAlign w:val="center"/>
          </w:tcPr>
          <w:p w14:paraId="15C0A8B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eastAsia="zh-CN"/>
              </w:rPr>
              <w:t>48个10/100/1000BASE-T自适应以太网电口；≥</w:t>
            </w:r>
            <w:r>
              <w:rPr>
                <w:rFonts w:hint="eastAsia" w:ascii="宋体" w:hAnsi="宋体" w:eastAsia="宋体" w:cs="宋体"/>
                <w:sz w:val="21"/>
                <w:szCs w:val="21"/>
                <w:highlight w:val="none"/>
                <w:lang w:val="en-US" w:eastAsia="zh-CN"/>
              </w:rPr>
              <w:t>4个1000BASE-X SFP千兆光口，支持Web图形化管理和命令行配置。包转发率为108 Mpps，交换容量为256 Gbps，支持VLAN划分、链路聚合、STP/RSTP/MSTP协议以及流量控制等功能。</w:t>
            </w:r>
          </w:p>
        </w:tc>
        <w:tc>
          <w:tcPr>
            <w:tcW w:w="400" w:type="pct"/>
            <w:shd w:val="clear" w:color="auto" w:fill="auto"/>
            <w:noWrap/>
            <w:vAlign w:val="center"/>
          </w:tcPr>
          <w:p w14:paraId="5847D30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1722983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03EC781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B8C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1FEC3B0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15</w:t>
            </w:r>
          </w:p>
        </w:tc>
        <w:tc>
          <w:tcPr>
            <w:tcW w:w="969" w:type="pct"/>
            <w:noWrap/>
            <w:vAlign w:val="center"/>
          </w:tcPr>
          <w:p w14:paraId="70CD78A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无线路由器</w:t>
            </w:r>
          </w:p>
        </w:tc>
        <w:tc>
          <w:tcPr>
            <w:tcW w:w="2587" w:type="pct"/>
            <w:noWrap w:val="0"/>
            <w:vAlign w:val="center"/>
          </w:tcPr>
          <w:p w14:paraId="31DEBA0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支持5</w:t>
            </w:r>
            <w:r>
              <w:rPr>
                <w:rFonts w:hint="eastAsia" w:ascii="宋体" w:hAnsi="宋体" w:eastAsia="宋体" w:cs="宋体"/>
                <w:sz w:val="21"/>
                <w:szCs w:val="21"/>
                <w:highlight w:val="none"/>
                <w:lang w:val="en-US" w:eastAsia="zh-CN"/>
              </w:rPr>
              <w:t>400Mbps的最高无线速率，并具备160MHz频宽。提供≥1个2.5G WAN/LAN口、≥1个千兆WAN口、≥2个千兆LAN/WAN复用口及≥1个千兆LAN口，支持多WAN接入和负载均衡。带机量为150-200台终端。</w:t>
            </w:r>
          </w:p>
        </w:tc>
        <w:tc>
          <w:tcPr>
            <w:tcW w:w="400" w:type="pct"/>
            <w:shd w:val="clear" w:color="auto" w:fill="auto"/>
            <w:noWrap/>
            <w:vAlign w:val="center"/>
          </w:tcPr>
          <w:p w14:paraId="79BCD77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ign w:val="center"/>
          </w:tcPr>
          <w:p w14:paraId="4B8B679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7C53DA1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4431E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123E735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16</w:t>
            </w:r>
          </w:p>
        </w:tc>
        <w:tc>
          <w:tcPr>
            <w:tcW w:w="969" w:type="pct"/>
            <w:noWrap w:val="0"/>
            <w:vAlign w:val="center"/>
          </w:tcPr>
          <w:p w14:paraId="5963F7B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运动相机</w:t>
            </w:r>
          </w:p>
        </w:tc>
        <w:tc>
          <w:tcPr>
            <w:tcW w:w="2587" w:type="pct"/>
            <w:noWrap w:val="0"/>
            <w:vAlign w:val="center"/>
          </w:tcPr>
          <w:p w14:paraId="48A5078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全能套装。套装额外包含≥2块1950mAh耐寒增强续航电池、1个双向快拆转接件，并配备多功能电池收纳盒3和1.5米延长杆，轻松应对长时间外拍与多角度取景。</w:t>
            </w:r>
          </w:p>
          <w:p w14:paraId="49E11ABA">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1/1.1英寸方形传感器；可变光圈f/2.0-f/4.0；耐低温&amp;4小时超长续航；双麦克风直连；≥50GB内置存储；≥20米裸机防水</w:t>
            </w:r>
            <w:r>
              <w:rPr>
                <w:rFonts w:hint="eastAsia" w:ascii="宋体" w:hAnsi="宋体" w:cs="宋体"/>
                <w:sz w:val="21"/>
                <w:szCs w:val="21"/>
                <w:highlight w:val="none"/>
                <w:lang w:val="en-US" w:eastAsia="zh-CN"/>
              </w:rPr>
              <w:t>；含</w:t>
            </w:r>
            <w:r>
              <w:rPr>
                <w:rFonts w:hint="eastAsia" w:ascii="宋体" w:hAnsi="宋体" w:eastAsia="宋体" w:cs="宋体"/>
                <w:sz w:val="21"/>
                <w:szCs w:val="21"/>
                <w:highlight w:val="none"/>
                <w:lang w:val="en-US" w:eastAsia="zh-CN"/>
              </w:rPr>
              <w:t>内存卡：≥128</w:t>
            </w:r>
            <w:r>
              <w:rPr>
                <w:rFonts w:hint="eastAsia" w:ascii="宋体" w:hAnsi="宋体" w:cs="宋体"/>
                <w:sz w:val="21"/>
                <w:szCs w:val="21"/>
                <w:highlight w:val="none"/>
                <w:lang w:val="en-US" w:eastAsia="zh-CN"/>
              </w:rPr>
              <w:t>G</w:t>
            </w:r>
          </w:p>
        </w:tc>
        <w:tc>
          <w:tcPr>
            <w:tcW w:w="400" w:type="pct"/>
            <w:shd w:val="clear" w:color="auto" w:fill="auto"/>
            <w:noWrap w:val="0"/>
            <w:vAlign w:val="center"/>
          </w:tcPr>
          <w:p w14:paraId="720F6F5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2653B1F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273" w:type="pct"/>
            <w:noWrap w:val="0"/>
            <w:vAlign w:val="center"/>
          </w:tcPr>
          <w:p w14:paraId="6B984D7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4134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56423BB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17</w:t>
            </w:r>
          </w:p>
        </w:tc>
        <w:tc>
          <w:tcPr>
            <w:tcW w:w="969" w:type="pct"/>
            <w:noWrap w:val="0"/>
            <w:vAlign w:val="center"/>
          </w:tcPr>
          <w:p w14:paraId="572C0B1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Vlog相机</w:t>
            </w:r>
          </w:p>
        </w:tc>
        <w:tc>
          <w:tcPr>
            <w:tcW w:w="2587" w:type="pct"/>
            <w:noWrap w:val="0"/>
            <w:vAlign w:val="center"/>
          </w:tcPr>
          <w:p w14:paraId="7E9ADCA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套装额外包含无线收音发射器（透明黑）、续航手柄、迷你三脚架和全新收纳包等实用配件。</w:t>
            </w:r>
          </w:p>
          <w:p w14:paraId="017EB82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搭载强劲的1英寸影像传感器，支持10-bitD-LogM色彩模式4K/120fps超清画面，让动态瞬间更显连贯流畅。</w:t>
            </w:r>
          </w:p>
          <w:p w14:paraId="3501B0D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三轴机械云台增稳；配备 2 英寸旋转显示屏；支持全像素疾速对焦</w:t>
            </w:r>
            <w:r>
              <w:rPr>
                <w:rFonts w:hint="eastAsia" w:ascii="宋体" w:hAnsi="宋体" w:cs="宋体"/>
                <w:sz w:val="21"/>
                <w:szCs w:val="21"/>
                <w:highlight w:val="none"/>
                <w:lang w:val="en-US" w:eastAsia="zh-CN"/>
              </w:rPr>
              <w:t>；含内存卡：</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128G。</w:t>
            </w:r>
          </w:p>
        </w:tc>
        <w:tc>
          <w:tcPr>
            <w:tcW w:w="400" w:type="pct"/>
            <w:shd w:val="clear" w:color="auto" w:fill="auto"/>
            <w:noWrap w:val="0"/>
            <w:vAlign w:val="center"/>
          </w:tcPr>
          <w:p w14:paraId="0A640CE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41A2718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w:t>
            </w:r>
          </w:p>
        </w:tc>
        <w:tc>
          <w:tcPr>
            <w:tcW w:w="273" w:type="pct"/>
            <w:noWrap w:val="0"/>
            <w:vAlign w:val="center"/>
          </w:tcPr>
          <w:p w14:paraId="3FBD8DB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440A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E8DCAB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18</w:t>
            </w:r>
          </w:p>
        </w:tc>
        <w:tc>
          <w:tcPr>
            <w:tcW w:w="969" w:type="pct"/>
            <w:noWrap w:val="0"/>
            <w:vAlign w:val="center"/>
          </w:tcPr>
          <w:p w14:paraId="29BB4C5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全景相机</w:t>
            </w:r>
          </w:p>
        </w:tc>
        <w:tc>
          <w:tcPr>
            <w:tcW w:w="2587" w:type="pct"/>
            <w:noWrap w:val="0"/>
            <w:vAlign w:val="center"/>
          </w:tcPr>
          <w:p w14:paraId="74CD101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套装额外包含1.2m隐形自拍杆、1950mAh电池*2、电池收纳盒等配件。</w:t>
            </w:r>
          </w:p>
          <w:p w14:paraId="5409943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全新方形传感器，1英寸全景影像，原生8K全景视频，4K/120fps 170°广角，1.2亿像素全景拍照，100分钟8K/30fps持续录制。</w:t>
            </w:r>
          </w:p>
          <w:p w14:paraId="69C9E81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2.4μm大像素原生8K全景视频，13.5挡高动态范围，不惧暗夜与大光比场景，画面依然清晰锐利。最高支持8K/50fps超高规格全景视频</w:t>
            </w:r>
            <w:r>
              <w:rPr>
                <w:rFonts w:hint="eastAsia" w:ascii="宋体" w:hAnsi="宋体" w:cs="宋体"/>
                <w:sz w:val="21"/>
                <w:szCs w:val="21"/>
                <w:highlight w:val="none"/>
                <w:lang w:val="en-US" w:eastAsia="zh-CN"/>
              </w:rPr>
              <w:t>；含内存卡：</w:t>
            </w:r>
            <w:r>
              <w:rPr>
                <w:rFonts w:hint="eastAsia" w:ascii="宋体" w:hAnsi="宋体" w:eastAsia="宋体" w:cs="宋体"/>
                <w:sz w:val="21"/>
                <w:szCs w:val="21"/>
                <w:highlight w:val="none"/>
                <w:lang w:val="en-US" w:eastAsia="zh-CN"/>
              </w:rPr>
              <w:t>≥</w:t>
            </w:r>
            <w:r>
              <w:rPr>
                <w:rFonts w:hint="eastAsia" w:ascii="宋体" w:hAnsi="宋体" w:cs="宋体"/>
                <w:sz w:val="21"/>
                <w:szCs w:val="21"/>
                <w:highlight w:val="none"/>
                <w:lang w:val="en-US" w:eastAsia="zh-CN"/>
              </w:rPr>
              <w:t>128G。</w:t>
            </w:r>
          </w:p>
        </w:tc>
        <w:tc>
          <w:tcPr>
            <w:tcW w:w="400" w:type="pct"/>
            <w:shd w:val="clear" w:color="auto" w:fill="auto"/>
            <w:noWrap w:val="0"/>
            <w:vAlign w:val="center"/>
          </w:tcPr>
          <w:p w14:paraId="69AB8BB0">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58482AE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p>
        </w:tc>
        <w:tc>
          <w:tcPr>
            <w:tcW w:w="273" w:type="pct"/>
            <w:noWrap w:val="0"/>
            <w:vAlign w:val="center"/>
          </w:tcPr>
          <w:p w14:paraId="2E012DD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4E0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66F30DD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19</w:t>
            </w:r>
          </w:p>
        </w:tc>
        <w:tc>
          <w:tcPr>
            <w:tcW w:w="969" w:type="pct"/>
            <w:noWrap w:val="0"/>
            <w:vAlign w:val="center"/>
          </w:tcPr>
          <w:p w14:paraId="5536C0F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录音设备</w:t>
            </w:r>
          </w:p>
        </w:tc>
        <w:tc>
          <w:tcPr>
            <w:tcW w:w="2587" w:type="pct"/>
            <w:noWrap w:val="0"/>
            <w:vAlign w:val="center"/>
          </w:tcPr>
          <w:p w14:paraId="026F73A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（两发一收，含充电盒）+手机连接头（Lightning）</w:t>
            </w:r>
          </w:p>
          <w:p w14:paraId="0586733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内含2个发射器、1个接收器、1个充电盒和1个Lightning连接头，适配安卓手机、全系苹果手机、相机等。</w:t>
            </w:r>
          </w:p>
          <w:p w14:paraId="5272102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支持2.4GHz与5GHz双频段自动跳频，传输距离可达400米。开启无损音频传输后，还可实现48kHz24-bit高保真传输，复杂环境下音质也纯净。</w:t>
            </w:r>
          </w:p>
          <w:p w14:paraId="73F6ECD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发射器续航8小时，接收器10小时[12]，充电盒支持28小时总续航；充5分钟可用2小时，快速回归创作状态；支持多种智能省电功能，还可边充边用。</w:t>
            </w:r>
          </w:p>
        </w:tc>
        <w:tc>
          <w:tcPr>
            <w:tcW w:w="400" w:type="pct"/>
            <w:shd w:val="clear" w:color="auto" w:fill="auto"/>
            <w:noWrap w:val="0"/>
            <w:vAlign w:val="center"/>
          </w:tcPr>
          <w:p w14:paraId="551857AE">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767B6D0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273" w:type="pct"/>
            <w:noWrap w:val="0"/>
            <w:vAlign w:val="center"/>
          </w:tcPr>
          <w:p w14:paraId="171EE43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4580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C6FABC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w:t>
            </w:r>
          </w:p>
        </w:tc>
        <w:tc>
          <w:tcPr>
            <w:tcW w:w="969" w:type="pct"/>
            <w:noWrap w:val="0"/>
            <w:vAlign w:val="center"/>
          </w:tcPr>
          <w:p w14:paraId="3BF85D5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户外电源</w:t>
            </w:r>
          </w:p>
        </w:tc>
        <w:tc>
          <w:tcPr>
            <w:tcW w:w="2587" w:type="pct"/>
            <w:noWrap w:val="0"/>
            <w:vAlign w:val="center"/>
          </w:tcPr>
          <w:p w14:paraId="3E7532F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额外包含1根交流供电电源线。便携式储能电源内置400W行车快充与MPPT太阳能充电模块，适配影视拍摄等多场景供电需求。内置400W行车快充及MPPT模块；400W行车快充可直连汽车电瓶，MPPT模块可直连太阳能板。</w:t>
            </w:r>
          </w:p>
        </w:tc>
        <w:tc>
          <w:tcPr>
            <w:tcW w:w="400" w:type="pct"/>
            <w:shd w:val="clear" w:color="auto" w:fill="auto"/>
            <w:noWrap w:val="0"/>
            <w:vAlign w:val="center"/>
          </w:tcPr>
          <w:p w14:paraId="1AB0BDEC">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0"/>
            <w:vAlign w:val="center"/>
          </w:tcPr>
          <w:p w14:paraId="4C24245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7F0CE53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AF8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0FDB375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21</w:t>
            </w:r>
          </w:p>
        </w:tc>
        <w:tc>
          <w:tcPr>
            <w:tcW w:w="969" w:type="pct"/>
            <w:noWrap w:val="0"/>
            <w:vAlign w:val="center"/>
          </w:tcPr>
          <w:p w14:paraId="080D0F1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摄影摇臂</w:t>
            </w:r>
          </w:p>
        </w:tc>
        <w:tc>
          <w:tcPr>
            <w:tcW w:w="2587" w:type="pct"/>
            <w:noWrap w:val="0"/>
            <w:vAlign w:val="center"/>
          </w:tcPr>
          <w:p w14:paraId="6798F84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产品材质：铝合金。</w:t>
            </w:r>
          </w:p>
          <w:p w14:paraId="0CE8DF8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产品承重：10kg。</w:t>
            </w:r>
          </w:p>
          <w:p w14:paraId="673584F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产品自重：6.5kg。</w:t>
            </w:r>
          </w:p>
          <w:p w14:paraId="5C8AEA5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最大配重：15kg (2×7.5kg)。</w:t>
            </w:r>
          </w:p>
        </w:tc>
        <w:tc>
          <w:tcPr>
            <w:tcW w:w="400" w:type="pct"/>
            <w:shd w:val="clear" w:color="auto" w:fill="auto"/>
            <w:noWrap w:val="0"/>
            <w:vAlign w:val="center"/>
          </w:tcPr>
          <w:p w14:paraId="052FDF9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0"/>
            <w:vAlign w:val="center"/>
          </w:tcPr>
          <w:p w14:paraId="34ECEBD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099CA50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7D1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6C75829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22</w:t>
            </w:r>
          </w:p>
        </w:tc>
        <w:tc>
          <w:tcPr>
            <w:tcW w:w="969" w:type="pct"/>
            <w:noWrap w:val="0"/>
            <w:vAlign w:val="center"/>
          </w:tcPr>
          <w:p w14:paraId="0D3B6C15">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摄影飞轮式云台滑轨</w:t>
            </w:r>
          </w:p>
        </w:tc>
        <w:tc>
          <w:tcPr>
            <w:tcW w:w="2587" w:type="pct"/>
            <w:noWrap w:val="0"/>
            <w:vAlign w:val="center"/>
          </w:tcPr>
          <w:p w14:paraId="6BA2AEC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1.8米专业三脚架液压云台套装+60cm升级加厚碳纤维滑轨+球形云台。</w:t>
            </w:r>
          </w:p>
          <w:p w14:paraId="3C4EEEF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采用铝合金材质，配备液压云台，共3节脚架；其自重为3.7kg，承重达10kg，收纳高度为90cm。</w:t>
            </w:r>
          </w:p>
        </w:tc>
        <w:tc>
          <w:tcPr>
            <w:tcW w:w="400" w:type="pct"/>
            <w:shd w:val="clear" w:color="auto" w:fill="auto"/>
            <w:noWrap w:val="0"/>
            <w:vAlign w:val="center"/>
          </w:tcPr>
          <w:p w14:paraId="3A5135CA">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0720365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7B9C049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CF1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76583F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23</w:t>
            </w:r>
          </w:p>
        </w:tc>
        <w:tc>
          <w:tcPr>
            <w:tcW w:w="969" w:type="pct"/>
            <w:noWrap w:val="0"/>
            <w:vAlign w:val="center"/>
          </w:tcPr>
          <w:p w14:paraId="066B8B3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视频工作站</w:t>
            </w:r>
          </w:p>
        </w:tc>
        <w:tc>
          <w:tcPr>
            <w:tcW w:w="2587" w:type="pct"/>
            <w:noWrap w:val="0"/>
            <w:vAlign w:val="center"/>
          </w:tcPr>
          <w:p w14:paraId="27AC1F5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配套 23.8 英寸显示器，独立显卡。处理器：高性能多核多线程处理器，主频≥2.7GHz，核心线程性能满足大型程序运算、多任务并发处理需求；内存：≥32GB DDR5；硬盘：≥1TB NVMe 高速固态硬盘；独立显卡：显存≥16GB，支持专业图形加速，兼容三维建模、高清渲染、图像处理等专业算力应用，适配主流图形处理运行环境。</w:t>
            </w:r>
            <w:r>
              <w:rPr>
                <w:rFonts w:hint="eastAsia" w:ascii="宋体" w:hAnsi="宋体" w:cs="宋体"/>
                <w:sz w:val="21"/>
                <w:szCs w:val="21"/>
                <w:highlight w:val="none"/>
                <w:lang w:val="en-US" w:eastAsia="zh-CN"/>
              </w:rPr>
              <w:t>满足信创产品要求。</w:t>
            </w:r>
          </w:p>
        </w:tc>
        <w:tc>
          <w:tcPr>
            <w:tcW w:w="400" w:type="pct"/>
            <w:shd w:val="clear" w:color="auto" w:fill="auto"/>
            <w:noWrap w:val="0"/>
            <w:vAlign w:val="center"/>
          </w:tcPr>
          <w:p w14:paraId="1ACAE97B">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0"/>
            <w:vAlign w:val="center"/>
          </w:tcPr>
          <w:p w14:paraId="6962B7F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1366C98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1AA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2101C733">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24</w:t>
            </w:r>
          </w:p>
        </w:tc>
        <w:tc>
          <w:tcPr>
            <w:tcW w:w="969" w:type="pct"/>
            <w:noWrap w:val="0"/>
            <w:vAlign w:val="center"/>
          </w:tcPr>
          <w:p w14:paraId="5D37F1C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一体式VR穿戴眼镜</w:t>
            </w:r>
          </w:p>
        </w:tc>
        <w:tc>
          <w:tcPr>
            <w:tcW w:w="2587" w:type="pct"/>
            <w:noWrap w:val="0"/>
            <w:vAlign w:val="center"/>
          </w:tcPr>
          <w:p w14:paraId="519F3BA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内存：≥12GB+256GB</w:t>
            </w:r>
            <w:r>
              <w:rPr>
                <w:rFonts w:hint="eastAsia" w:ascii="宋体" w:hAnsi="宋体" w:cs="宋体"/>
                <w:sz w:val="21"/>
                <w:szCs w:val="21"/>
                <w:highlight w:val="none"/>
                <w:lang w:val="en-US" w:eastAsia="zh-CN"/>
              </w:rPr>
              <w:t>。</w:t>
            </w:r>
          </w:p>
          <w:p w14:paraId="1DF34C7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LPDDR5+UFS3.1屏幕尺寸2.56英寸×2</w:t>
            </w:r>
            <w:r>
              <w:rPr>
                <w:rFonts w:hint="eastAsia" w:ascii="宋体" w:hAnsi="宋体" w:cs="宋体"/>
                <w:sz w:val="21"/>
                <w:szCs w:val="21"/>
                <w:highlight w:val="none"/>
                <w:lang w:val="en-US" w:eastAsia="zh-CN"/>
              </w:rPr>
              <w:t>。</w:t>
            </w:r>
          </w:p>
          <w:p w14:paraId="68D1668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分辨率2160×2160×2，1200PPI（每英寸像素数）</w:t>
            </w:r>
            <w:r>
              <w:rPr>
                <w:rFonts w:hint="eastAsia" w:ascii="宋体" w:hAnsi="宋体" w:cs="宋体"/>
                <w:sz w:val="21"/>
                <w:szCs w:val="21"/>
                <w:highlight w:val="none"/>
                <w:lang w:val="en-US" w:eastAsia="zh-CN"/>
              </w:rPr>
              <w:t>。</w:t>
            </w:r>
          </w:p>
          <w:p w14:paraId="0D16F8F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渲染分辨率1920×1920×2</w:t>
            </w:r>
            <w:r>
              <w:rPr>
                <w:rFonts w:hint="eastAsia" w:ascii="宋体" w:hAnsi="宋体" w:cs="宋体"/>
                <w:sz w:val="21"/>
                <w:szCs w:val="21"/>
                <w:highlight w:val="none"/>
                <w:lang w:val="en-US" w:eastAsia="zh-CN"/>
              </w:rPr>
              <w:t>。</w:t>
            </w:r>
          </w:p>
          <w:p w14:paraId="1F2471B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刷新率90Hz</w:t>
            </w:r>
            <w:r>
              <w:rPr>
                <w:rFonts w:hint="eastAsia" w:ascii="宋体" w:hAnsi="宋体" w:cs="宋体"/>
                <w:sz w:val="21"/>
                <w:szCs w:val="21"/>
                <w:highlight w:val="none"/>
                <w:lang w:val="en-US" w:eastAsia="zh-CN"/>
              </w:rPr>
              <w:t>。</w:t>
            </w:r>
          </w:p>
          <w:p w14:paraId="6147BCE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Pancake光学透镜</w:t>
            </w:r>
            <w:r>
              <w:rPr>
                <w:rFonts w:hint="eastAsia" w:ascii="宋体" w:hAnsi="宋体" w:cs="宋体"/>
                <w:sz w:val="21"/>
                <w:szCs w:val="21"/>
                <w:highlight w:val="none"/>
                <w:lang w:val="en-US" w:eastAsia="zh-CN"/>
              </w:rPr>
              <w:t>。</w:t>
            </w:r>
          </w:p>
          <w:p w14:paraId="114577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视场角105°</w:t>
            </w:r>
            <w:r>
              <w:rPr>
                <w:rFonts w:hint="eastAsia" w:ascii="宋体" w:hAnsi="宋体" w:cs="宋体"/>
                <w:sz w:val="21"/>
                <w:szCs w:val="21"/>
                <w:highlight w:val="none"/>
                <w:lang w:val="en-US" w:eastAsia="zh-CN"/>
              </w:rPr>
              <w:t>。</w:t>
            </w:r>
          </w:p>
          <w:p w14:paraId="551D486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20.6平均PPD（每度像素数）、22.5中心区域PPD</w:t>
            </w:r>
            <w:r>
              <w:rPr>
                <w:rFonts w:hint="eastAsia" w:ascii="宋体" w:hAnsi="宋体" w:cs="宋体"/>
                <w:sz w:val="21"/>
                <w:szCs w:val="21"/>
                <w:highlight w:val="none"/>
                <w:lang w:val="en-US" w:eastAsia="zh-CN"/>
              </w:rPr>
              <w:t>。</w:t>
            </w:r>
          </w:p>
          <w:p w14:paraId="5EE11FA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58mm–72mm无级电动瞳距调节</w:t>
            </w:r>
            <w:r>
              <w:rPr>
                <w:rFonts w:hint="eastAsia" w:ascii="宋体" w:hAnsi="宋体" w:cs="宋体"/>
                <w:sz w:val="21"/>
                <w:szCs w:val="21"/>
                <w:highlight w:val="none"/>
                <w:lang w:val="en-US" w:eastAsia="zh-CN"/>
              </w:rPr>
              <w:t>。</w:t>
            </w:r>
          </w:p>
        </w:tc>
        <w:tc>
          <w:tcPr>
            <w:tcW w:w="400" w:type="pct"/>
            <w:shd w:val="clear" w:color="auto" w:fill="auto"/>
            <w:noWrap w:val="0"/>
            <w:vAlign w:val="center"/>
          </w:tcPr>
          <w:p w14:paraId="35F172F9">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2492B722">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5D7DAE8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5FB5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068B14F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25</w:t>
            </w:r>
          </w:p>
        </w:tc>
        <w:tc>
          <w:tcPr>
            <w:tcW w:w="969" w:type="pct"/>
            <w:noWrap w:val="0"/>
            <w:vAlign w:val="center"/>
          </w:tcPr>
          <w:p w14:paraId="59C9974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3D打印机</w:t>
            </w:r>
          </w:p>
        </w:tc>
        <w:tc>
          <w:tcPr>
            <w:tcW w:w="2587" w:type="pct"/>
            <w:noWrap w:val="0"/>
            <w:vAlign w:val="center"/>
          </w:tcPr>
          <w:p w14:paraId="1C983C7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基础参数：</w:t>
            </w:r>
          </w:p>
          <w:p w14:paraId="50B0BB6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-成型原理：FDM熔融沉积成型</w:t>
            </w:r>
          </w:p>
          <w:p w14:paraId="7F987AE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-设备类型：桌面式整机，出厂整装，搭载10W激光拓展模块</w:t>
            </w:r>
          </w:p>
          <w:p w14:paraId="7CB33CF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-连接方式：Wi-Fi联网，支持远程打印</w:t>
            </w:r>
          </w:p>
          <w:p w14:paraId="3372772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打印核心规格：</w:t>
            </w:r>
          </w:p>
          <w:p w14:paraId="2684259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-单喷嘴成型尺寸不小于325×320×325mm；双喷嘴最大成型尺寸不小于350×320×325mm</w:t>
            </w:r>
          </w:p>
          <w:p w14:paraId="4AC87B4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-最高打印速度≥1000mm/s，日常稳定打印速度≥600mm/s</w:t>
            </w:r>
          </w:p>
          <w:p w14:paraId="7EC98B1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-温度配置：热端最高温度≥350℃，具备主动腔室加热，腔室温度≥65℃，热床最高温度≥120℃；可兼容PLA、PETG、ABS、尼龙、碳纤维增强复合材料等多种打印耗材</w:t>
            </w:r>
          </w:p>
          <w:p w14:paraId="09F87C1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耗材（13套）：</w:t>
            </w:r>
          </w:p>
          <w:p w14:paraId="163BFA0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-耗材类型：PLA聚乳酸3D打印线材</w:t>
            </w:r>
          </w:p>
          <w:p w14:paraId="4E19361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-单卷净重250g，共12卷/套，一套包含12种基础色彩</w:t>
            </w:r>
          </w:p>
          <w:p w14:paraId="3EE3338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-线材支持芯片识别，可由打印设备自动识别并加载打印参数</w:t>
            </w:r>
          </w:p>
        </w:tc>
        <w:tc>
          <w:tcPr>
            <w:tcW w:w="400" w:type="pct"/>
            <w:shd w:val="clear" w:color="auto" w:fill="auto"/>
            <w:noWrap w:val="0"/>
            <w:vAlign w:val="center"/>
          </w:tcPr>
          <w:p w14:paraId="3B5E443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388" w:type="pct"/>
            <w:noWrap w:val="0"/>
            <w:vAlign w:val="center"/>
          </w:tcPr>
          <w:p w14:paraId="7086732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6892FC6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257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5F07C0D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26</w:t>
            </w:r>
          </w:p>
        </w:tc>
        <w:tc>
          <w:tcPr>
            <w:tcW w:w="969" w:type="pct"/>
            <w:noWrap w:val="0"/>
            <w:vAlign w:val="center"/>
          </w:tcPr>
          <w:p w14:paraId="68A6B4E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分体式AR眼镜</w:t>
            </w:r>
          </w:p>
        </w:tc>
        <w:tc>
          <w:tcPr>
            <w:tcW w:w="2587" w:type="pct"/>
            <w:noWrap w:val="0"/>
            <w:vAlign w:val="center"/>
          </w:tcPr>
          <w:p w14:paraId="37D4E9C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AR计算主机</w:t>
            </w:r>
          </w:p>
          <w:p w14:paraId="75BC6FB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1.硬件：高性能XR处理器，内存≥12GBLPDDR5，存储≥128GB，配置智能散热风扇。</w:t>
            </w:r>
          </w:p>
          <w:p w14:paraId="614F0B7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2.数据连接：支持Wi</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rPr>
              <w:t>Fi6、蓝牙5.1。</w:t>
            </w:r>
          </w:p>
          <w:p w14:paraId="672D03C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3.续航与充电：电池容量≥7620mAh，支持≥27W快充。</w:t>
            </w:r>
          </w:p>
          <w:p w14:paraId="1ECA5D5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4.后置摄像头：4800万像素，≥115°超广角，配备双色温闪光灯。</w:t>
            </w:r>
          </w:p>
          <w:p w14:paraId="77FD3D5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5.传感器：X轴线性马达，增强型9轴惯性测量单元（陀螺仪、加速度计、磁力计），支持NFC功能。</w:t>
            </w:r>
          </w:p>
          <w:p w14:paraId="5859359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6.导航定位：支持GPS、北斗三号定位。</w:t>
            </w:r>
          </w:p>
          <w:p w14:paraId="06D0C9C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7.按键：方向键（上、下、左、右）、确认键、功能按键、电源键、主页键、菜单键、音量加减键。</w:t>
            </w:r>
          </w:p>
          <w:p w14:paraId="5A7C260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8.接口：2路Type‑C接口；一路用于连接AR眼镜及本机充电；一路支持USBHost，可外接USB外设。</w:t>
            </w:r>
          </w:p>
          <w:p w14:paraId="60725D2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AR眼镜终端</w:t>
            </w:r>
          </w:p>
          <w:p w14:paraId="41DF7D3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1.显示：MicroOLED微型显示屏幕；单眼分辨率≥1920×1200，色域≥108%</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rPr>
              <w:t>sRGB；色深8bit，可显示1670万色；默认入眼亮度500尼特，峰值入眼亮度≥600尼特；对比度≥100000:1；视场角约50度，角分辨率≥45PPD；最高刷新率≥120Hz；等效6米观看距离下215英寸大屏效果；遮光镜片带防指纹镀膜。</w:t>
            </w:r>
          </w:p>
          <w:p w14:paraId="42AF8E5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2.音频与拾音：2个近耳定向扬声器；2支高性能降噪麦克风，支持AI语音操控。</w:t>
            </w:r>
          </w:p>
          <w:p w14:paraId="4372B36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3.操控：音量调节键、亮度调节键；支持头部追踪、手势识别。</w:t>
            </w:r>
          </w:p>
          <w:p w14:paraId="7B89E4E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4.传感器：增强型9轴（陀螺仪、加速度计、磁力计）融合传感方案，搭载摄像头、距离传感器。</w:t>
            </w:r>
          </w:p>
          <w:p w14:paraId="6C3CDC2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5.拓展连接：</w:t>
            </w:r>
          </w:p>
          <w:p w14:paraId="1C484A7F">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直连设备：支持配套XR计算主机、带USB</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rPr>
              <w:t>C</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rPr>
              <w:t>DP输出的安卓手机、带USB</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rPr>
              <w:t>C</w:t>
            </w:r>
            <w:r>
              <w:rPr>
                <w:rFonts w:hint="eastAsia" w:ascii="宋体" w:hAnsi="宋体" w:cs="宋体"/>
                <w:sz w:val="21"/>
                <w:szCs w:val="21"/>
                <w:highlight w:val="none"/>
                <w:lang w:val="en-US" w:eastAsia="zh-CN"/>
              </w:rPr>
              <w:t xml:space="preserve"> </w:t>
            </w:r>
            <w:r>
              <w:rPr>
                <w:rFonts w:hint="eastAsia" w:ascii="宋体" w:hAnsi="宋体" w:eastAsia="宋体" w:cs="宋体"/>
                <w:sz w:val="21"/>
                <w:szCs w:val="21"/>
                <w:highlight w:val="none"/>
              </w:rPr>
              <w:t>DP输出的平板、电脑等设备。</w:t>
            </w:r>
          </w:p>
          <w:p w14:paraId="7011CA1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搭配第三方转接配件可连接：iOS系统平板/手机、带HDMI接口游戏主机、带HDMI接口电脑及其他视频输出设备。</w:t>
            </w:r>
          </w:p>
        </w:tc>
        <w:tc>
          <w:tcPr>
            <w:tcW w:w="400" w:type="pct"/>
            <w:shd w:val="clear" w:color="auto" w:fill="auto"/>
            <w:noWrap w:val="0"/>
            <w:vAlign w:val="center"/>
          </w:tcPr>
          <w:p w14:paraId="296518C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7327527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35C0B53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66D3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1FDF24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27</w:t>
            </w:r>
          </w:p>
        </w:tc>
        <w:tc>
          <w:tcPr>
            <w:tcW w:w="969" w:type="pct"/>
            <w:noWrap w:val="0"/>
            <w:vAlign w:val="center"/>
          </w:tcPr>
          <w:p w14:paraId="43E20C4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裸眼3D桌面式交互一体机</w:t>
            </w:r>
          </w:p>
        </w:tc>
        <w:tc>
          <w:tcPr>
            <w:tcW w:w="2587" w:type="pct"/>
            <w:noWrap w:val="0"/>
            <w:vAlign w:val="center"/>
          </w:tcPr>
          <w:p w14:paraId="449637A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采用27英寸电控可切换式液晶光栅裸眼3D显示技术（非贴膜式柱镜光栅技术），支持2D、3D两种工作模式切换。</w:t>
            </w:r>
          </w:p>
          <w:p w14:paraId="23A9FCD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-裸眼3D显示屏尺寸：≥27英寸</w:t>
            </w:r>
          </w:p>
          <w:p w14:paraId="05E5500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-3D显示跟踪系统：配备不少于6个红外传感器，组成3组红外传感单元</w:t>
            </w:r>
          </w:p>
          <w:p w14:paraId="608D070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-对比度：≥1000:1(typ.)</w:t>
            </w:r>
          </w:p>
          <w:p w14:paraId="10A8359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-2D可视角度：水平≥85°，垂直≥80°</w:t>
            </w:r>
          </w:p>
          <w:p w14:paraId="120272C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-处理器：多核多线程处理器，性能不低于十二核二十线程同等水平</w:t>
            </w:r>
          </w:p>
          <w:p w14:paraId="19CC477E">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-硬盘：≥512GBSSD固态硬盘</w:t>
            </w:r>
          </w:p>
          <w:p w14:paraId="6509689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-内存：≥16GBDDR5</w:t>
            </w:r>
          </w:p>
          <w:p w14:paraId="1862340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-独立专业图形显卡：显存≥4GBDDR6，图形处理性能不低于同档次专业图形显卡水平</w:t>
            </w:r>
          </w:p>
          <w:p w14:paraId="53A48AA2">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-触控功能：电容式十点触控，触控响应时间≤25ms，满足课堂交互使用需求</w:t>
            </w:r>
          </w:p>
          <w:p w14:paraId="4029AC7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-空间交互笔：支持6自由度位置与姿态追踪，位置追踪精度＜1mm，角度追踪精度＜0.1°</w:t>
            </w:r>
          </w:p>
          <w:p w14:paraId="0A5216D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-内置智慧物联控制系统</w:t>
            </w:r>
          </w:p>
          <w:p w14:paraId="4DA8AE6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-内置视频播放软件</w:t>
            </w:r>
          </w:p>
        </w:tc>
        <w:tc>
          <w:tcPr>
            <w:tcW w:w="400" w:type="pct"/>
            <w:shd w:val="clear" w:color="auto" w:fill="auto"/>
            <w:noWrap w:val="0"/>
            <w:vAlign w:val="center"/>
          </w:tcPr>
          <w:p w14:paraId="6ABBEAE1">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5B6FC7E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067811A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6EF73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73BEAE8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28</w:t>
            </w:r>
          </w:p>
        </w:tc>
        <w:tc>
          <w:tcPr>
            <w:tcW w:w="969" w:type="pct"/>
            <w:noWrap w:val="0"/>
            <w:vAlign w:val="center"/>
          </w:tcPr>
          <w:p w14:paraId="25F6604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直播摄像头</w:t>
            </w:r>
          </w:p>
        </w:tc>
        <w:tc>
          <w:tcPr>
            <w:tcW w:w="2587" w:type="pct"/>
            <w:noWrap w:val="0"/>
            <w:vAlign w:val="center"/>
          </w:tcPr>
          <w:p w14:paraId="2ABD202A">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用4K超高清成像规格，支持8倍光学变焦、TOF精准对焦、竖屏拍摄模式；内置收音麦克风，配备遥控操控功能。采用USB3.0高速接口，全程免驱安装，支持设备旋转调节、外接拓展使用，适配各类直播、教学录播场景，标配2米连接线材。</w:t>
            </w:r>
          </w:p>
        </w:tc>
        <w:tc>
          <w:tcPr>
            <w:tcW w:w="400" w:type="pct"/>
            <w:shd w:val="clear" w:color="auto" w:fill="auto"/>
            <w:noWrap w:val="0"/>
            <w:vAlign w:val="center"/>
          </w:tcPr>
          <w:p w14:paraId="074D083D">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0"/>
            <w:vAlign w:val="center"/>
          </w:tcPr>
          <w:p w14:paraId="143E84F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273" w:type="pct"/>
            <w:noWrap w:val="0"/>
            <w:vAlign w:val="center"/>
          </w:tcPr>
          <w:p w14:paraId="274150B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722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6DA110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29</w:t>
            </w:r>
          </w:p>
        </w:tc>
        <w:tc>
          <w:tcPr>
            <w:tcW w:w="969" w:type="pct"/>
            <w:noWrap w:val="0"/>
            <w:vAlign w:val="center"/>
          </w:tcPr>
          <w:p w14:paraId="34610C2C">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电脑桌椅</w:t>
            </w:r>
          </w:p>
        </w:tc>
        <w:tc>
          <w:tcPr>
            <w:tcW w:w="2587" w:type="pct"/>
            <w:noWrap w:val="0"/>
            <w:vAlign w:val="center"/>
          </w:tcPr>
          <w:p w14:paraId="115079A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桌子:【1.6cm厚桌面】白架+暖白色,长180cm*宽80cm*高74cm；椅子：总高88cm，座高45cm，座面46×44cm，透气尼龙网布，框架：PP塑料扶手+黑色钢制四脚支架，固定无滚轮、一体扶手、弓形钢架。</w:t>
            </w:r>
          </w:p>
        </w:tc>
        <w:tc>
          <w:tcPr>
            <w:tcW w:w="400" w:type="pct"/>
            <w:shd w:val="clear" w:color="auto" w:fill="auto"/>
            <w:noWrap w:val="0"/>
            <w:vAlign w:val="center"/>
          </w:tcPr>
          <w:p w14:paraId="685AC608">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张</w:t>
            </w:r>
          </w:p>
        </w:tc>
        <w:tc>
          <w:tcPr>
            <w:tcW w:w="388" w:type="pct"/>
            <w:noWrap w:val="0"/>
            <w:vAlign w:val="center"/>
          </w:tcPr>
          <w:p w14:paraId="52FEF879">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w:t>
            </w:r>
          </w:p>
        </w:tc>
        <w:tc>
          <w:tcPr>
            <w:tcW w:w="273" w:type="pct"/>
            <w:noWrap w:val="0"/>
            <w:vAlign w:val="center"/>
          </w:tcPr>
          <w:p w14:paraId="2496D83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3428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7FFFC5D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30</w:t>
            </w:r>
          </w:p>
        </w:tc>
        <w:tc>
          <w:tcPr>
            <w:tcW w:w="969" w:type="pct"/>
            <w:noWrap w:val="0"/>
            <w:vAlign w:val="center"/>
          </w:tcPr>
          <w:p w14:paraId="479D4486">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固定式多人桌</w:t>
            </w:r>
          </w:p>
        </w:tc>
        <w:tc>
          <w:tcPr>
            <w:tcW w:w="2587" w:type="pct"/>
            <w:noWrap w:val="0"/>
            <w:vAlign w:val="center"/>
          </w:tcPr>
          <w:p w14:paraId="3AAC202B">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长宽高1600*700*740，台面多层复合实木板。</w:t>
            </w:r>
          </w:p>
        </w:tc>
        <w:tc>
          <w:tcPr>
            <w:tcW w:w="400" w:type="pct"/>
            <w:shd w:val="clear" w:color="auto" w:fill="auto"/>
            <w:noWrap w:val="0"/>
            <w:vAlign w:val="center"/>
          </w:tcPr>
          <w:p w14:paraId="150BA6A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张</w:t>
            </w:r>
          </w:p>
        </w:tc>
        <w:tc>
          <w:tcPr>
            <w:tcW w:w="388" w:type="pct"/>
            <w:noWrap w:val="0"/>
            <w:vAlign w:val="center"/>
          </w:tcPr>
          <w:p w14:paraId="708F39C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w:t>
            </w:r>
          </w:p>
        </w:tc>
        <w:tc>
          <w:tcPr>
            <w:tcW w:w="273" w:type="pct"/>
            <w:noWrap w:val="0"/>
            <w:vAlign w:val="center"/>
          </w:tcPr>
          <w:p w14:paraId="17C52FBD">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769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781427BB">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w:t>
            </w:r>
          </w:p>
        </w:tc>
        <w:tc>
          <w:tcPr>
            <w:tcW w:w="969" w:type="pct"/>
            <w:noWrap w:val="0"/>
            <w:vAlign w:val="center"/>
          </w:tcPr>
          <w:p w14:paraId="0A22C88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学生椅子（小圆凳）</w:t>
            </w:r>
          </w:p>
        </w:tc>
        <w:tc>
          <w:tcPr>
            <w:tcW w:w="2587" w:type="pct"/>
            <w:noWrap w:val="0"/>
            <w:vAlign w:val="center"/>
          </w:tcPr>
          <w:p w14:paraId="614A631D">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尺寸360MM*360MM*500MM，支架为钢管，凳面为木板。</w:t>
            </w:r>
          </w:p>
        </w:tc>
        <w:tc>
          <w:tcPr>
            <w:tcW w:w="400" w:type="pct"/>
            <w:shd w:val="clear" w:color="auto" w:fill="auto"/>
            <w:noWrap w:val="0"/>
            <w:vAlign w:val="center"/>
          </w:tcPr>
          <w:p w14:paraId="4F4CFE55">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0"/>
            <w:vAlign w:val="center"/>
          </w:tcPr>
          <w:p w14:paraId="6E6374E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48</w:t>
            </w:r>
          </w:p>
        </w:tc>
        <w:tc>
          <w:tcPr>
            <w:tcW w:w="273" w:type="pct"/>
            <w:noWrap w:val="0"/>
            <w:vAlign w:val="center"/>
          </w:tcPr>
          <w:p w14:paraId="735B875F">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07B1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4C9E69F4">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32</w:t>
            </w:r>
          </w:p>
        </w:tc>
        <w:tc>
          <w:tcPr>
            <w:tcW w:w="969" w:type="pct"/>
            <w:noWrap w:val="0"/>
            <w:vAlign w:val="center"/>
          </w:tcPr>
          <w:p w14:paraId="369237C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储物柜</w:t>
            </w:r>
          </w:p>
        </w:tc>
        <w:tc>
          <w:tcPr>
            <w:tcW w:w="2587" w:type="pct"/>
            <w:noWrap w:val="0"/>
            <w:vAlign w:val="center"/>
          </w:tcPr>
          <w:p w14:paraId="74DAD9D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材质：冷轧钢。</w:t>
            </w:r>
          </w:p>
          <w:p w14:paraId="3C86C84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尺寸：1800x850x390mm。</w:t>
            </w:r>
          </w:p>
          <w:p w14:paraId="246FD70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颜色：白色。</w:t>
            </w:r>
          </w:p>
        </w:tc>
        <w:tc>
          <w:tcPr>
            <w:tcW w:w="400" w:type="pct"/>
            <w:shd w:val="clear" w:color="auto" w:fill="auto"/>
            <w:noWrap w:val="0"/>
            <w:vAlign w:val="center"/>
          </w:tcPr>
          <w:p w14:paraId="55353284">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个</w:t>
            </w:r>
          </w:p>
        </w:tc>
        <w:tc>
          <w:tcPr>
            <w:tcW w:w="388" w:type="pct"/>
            <w:noWrap w:val="0"/>
            <w:vAlign w:val="center"/>
          </w:tcPr>
          <w:p w14:paraId="64DA4C9A">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p>
        </w:tc>
        <w:tc>
          <w:tcPr>
            <w:tcW w:w="273" w:type="pct"/>
            <w:noWrap w:val="0"/>
            <w:vAlign w:val="center"/>
          </w:tcPr>
          <w:p w14:paraId="5A781600">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r w14:paraId="10E2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1" w:type="pct"/>
            <w:noWrap/>
            <w:vAlign w:val="center"/>
          </w:tcPr>
          <w:p w14:paraId="36FBDE7E">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33</w:t>
            </w:r>
          </w:p>
        </w:tc>
        <w:tc>
          <w:tcPr>
            <w:tcW w:w="969" w:type="pct"/>
            <w:noWrap w:val="0"/>
            <w:vAlign w:val="center"/>
          </w:tcPr>
          <w:p w14:paraId="35A54BF8">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手持3D扫描仪</w:t>
            </w:r>
          </w:p>
        </w:tc>
        <w:tc>
          <w:tcPr>
            <w:tcW w:w="2587" w:type="pct"/>
            <w:noWrap w:val="0"/>
            <w:vAlign w:val="center"/>
          </w:tcPr>
          <w:p w14:paraId="21D4D61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扫描模式支持红外扫描、多线蓝色激光扫描，采用红外VCSEL不可见光源；支持多点距扫描，适配多精度扫描作业需求。</w:t>
            </w:r>
          </w:p>
          <w:p w14:paraId="54FE2DF9">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具备高低速扫描档位，扫描速度最高可达480万点/秒；支持多档位工作距离，最大扫描幅面可达1170mm×1385mm。</w:t>
            </w:r>
          </w:p>
          <w:p w14:paraId="6CC51FD4">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搭载纹理成像相机，有效像素≥230万。</w:t>
            </w:r>
          </w:p>
          <w:p w14:paraId="50D1DBC7">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标配大容量锂电池（含备用电池），单块电池容量≥5500mAh；支持Type‑C接口充电，兼容PD3.0快充协议，快充功率≥60W。</w:t>
            </w:r>
          </w:p>
          <w:p w14:paraId="6F16CC6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配套设备搭载Windows11专业版64位操作系统，配备高性能独立显卡，图形性能不低于RTX2060同等规格。</w:t>
            </w:r>
          </w:p>
        </w:tc>
        <w:tc>
          <w:tcPr>
            <w:tcW w:w="400" w:type="pct"/>
            <w:shd w:val="clear" w:color="auto" w:fill="auto"/>
            <w:noWrap w:val="0"/>
            <w:vAlign w:val="center"/>
          </w:tcPr>
          <w:p w14:paraId="1CCEA8C2">
            <w:pPr>
              <w:keepNext w:val="0"/>
              <w:keepLines w:val="0"/>
              <w:widowControl/>
              <w:suppressLineNumbers w:val="0"/>
              <w:jc w:val="center"/>
              <w:textAlignment w:val="center"/>
              <w:rPr>
                <w:rFonts w:hint="eastAsia" w:ascii="宋体" w:hAnsi="宋体" w:eastAsia="宋体" w:cs="宋体"/>
                <w:i w:val="0"/>
                <w:iCs w:val="0"/>
                <w:color w:val="000000"/>
                <w:kern w:val="2"/>
                <w:sz w:val="21"/>
                <w:szCs w:val="21"/>
                <w:highlight w:val="none"/>
                <w:u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套</w:t>
            </w:r>
          </w:p>
        </w:tc>
        <w:tc>
          <w:tcPr>
            <w:tcW w:w="388" w:type="pct"/>
            <w:noWrap w:val="0"/>
            <w:vAlign w:val="center"/>
          </w:tcPr>
          <w:p w14:paraId="78E001B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273" w:type="pct"/>
            <w:noWrap w:val="0"/>
            <w:vAlign w:val="center"/>
          </w:tcPr>
          <w:p w14:paraId="0ED04921">
            <w:pPr>
              <w:keepNext w:val="0"/>
              <w:keepLines w:val="0"/>
              <w:pageBreakBefore w:val="0"/>
              <w:widowControl w:val="0"/>
              <w:kinsoku/>
              <w:wordWrap/>
              <w:overflowPunct/>
              <w:topLinePunct w:val="0"/>
              <w:autoSpaceDE/>
              <w:autoSpaceDN/>
              <w:bidi w:val="0"/>
              <w:adjustRightInd/>
              <w:snapToGrid/>
              <w:ind w:left="0" w:leftChars="0" w:right="0" w:rightChars="0" w:firstLine="0" w:firstLineChars="0"/>
              <w:jc w:val="center"/>
              <w:textAlignment w:val="auto"/>
              <w:rPr>
                <w:rFonts w:hint="eastAsia" w:ascii="宋体" w:hAnsi="宋体" w:eastAsia="宋体" w:cs="宋体"/>
                <w:sz w:val="21"/>
                <w:szCs w:val="21"/>
                <w:highlight w:val="none"/>
                <w:lang w:val="en-US" w:eastAsia="zh-CN"/>
              </w:rPr>
            </w:pPr>
          </w:p>
        </w:tc>
      </w:tr>
    </w:tbl>
    <w:p w14:paraId="246B3D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89" w:name="_Toc3100"/>
      <w:r>
        <w:rPr>
          <w:rFonts w:hint="eastAsia" w:cs="Times New Roman"/>
          <w:b/>
          <w:bCs/>
          <w:kern w:val="2"/>
          <w:sz w:val="21"/>
          <w:szCs w:val="21"/>
          <w:highlight w:val="none"/>
          <w:lang w:val="en-US" w:eastAsia="zh-CN" w:bidi="ar-SA"/>
        </w:rPr>
        <w:t>三</w:t>
      </w:r>
      <w:r>
        <w:rPr>
          <w:rFonts w:hint="eastAsia" w:ascii="Times New Roman" w:hAnsi="Times New Roman" w:eastAsia="宋体" w:cs="Times New Roman"/>
          <w:b/>
          <w:bCs/>
          <w:kern w:val="2"/>
          <w:sz w:val="21"/>
          <w:szCs w:val="21"/>
          <w:highlight w:val="none"/>
          <w:lang w:val="en-US" w:eastAsia="zh-CN" w:bidi="ar-SA"/>
        </w:rPr>
        <w:t>、</w:t>
      </w:r>
      <w:r>
        <w:rPr>
          <w:rFonts w:hint="default" w:ascii="Times New Roman" w:hAnsi="Times New Roman" w:cs="Times New Roman"/>
          <w:b/>
          <w:bCs/>
          <w:sz w:val="21"/>
          <w:szCs w:val="21"/>
          <w:highlight w:val="none"/>
        </w:rPr>
        <w:t>对所需采购的货物的功能、用途简要说明：</w:t>
      </w:r>
      <w:bookmarkEnd w:id="89"/>
    </w:p>
    <w:p w14:paraId="365812E6">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本次购置的设备包含三层交换机、路由器、综合布线实训机柜、光纤熔接机、</w:t>
      </w:r>
      <w:r>
        <w:rPr>
          <w:rFonts w:hint="eastAsia" w:ascii="Times New Roman" w:hAnsi="Times New Roman" w:cs="Times New Roman"/>
          <w:sz w:val="21"/>
          <w:szCs w:val="21"/>
          <w:highlight w:val="none"/>
          <w:lang w:val="en-US" w:eastAsia="zh-CN"/>
        </w:rPr>
        <w:t>便携式终端</w:t>
      </w:r>
      <w:r>
        <w:rPr>
          <w:rFonts w:hint="default" w:ascii="Times New Roman" w:hAnsi="Times New Roman" w:cs="Times New Roman"/>
          <w:sz w:val="21"/>
          <w:szCs w:val="21"/>
          <w:highlight w:val="none"/>
        </w:rPr>
        <w:t>、标准化网络实训台及配套</w:t>
      </w:r>
      <w:r>
        <w:rPr>
          <w:rFonts w:hint="eastAsia" w:ascii="Times New Roman" w:hAnsi="Times New Roman" w:cs="Times New Roman"/>
          <w:sz w:val="21"/>
          <w:szCs w:val="21"/>
          <w:highlight w:val="none"/>
          <w:lang w:val="en-US" w:eastAsia="zh-CN"/>
        </w:rPr>
        <w:t>工具和耗材</w:t>
      </w:r>
      <w:r>
        <w:rPr>
          <w:rFonts w:hint="default" w:ascii="Times New Roman" w:hAnsi="Times New Roman" w:cs="Times New Roman"/>
          <w:sz w:val="21"/>
          <w:szCs w:val="21"/>
          <w:highlight w:val="none"/>
        </w:rPr>
        <w:t>，面向</w:t>
      </w:r>
      <w:r>
        <w:rPr>
          <w:rFonts w:hint="eastAsia" w:ascii="Times New Roman" w:hAnsi="Times New Roman" w:cs="Times New Roman"/>
          <w:sz w:val="21"/>
          <w:szCs w:val="21"/>
          <w:highlight w:val="none"/>
          <w:lang w:val="en-US" w:eastAsia="zh-CN"/>
        </w:rPr>
        <w:t>信息安全技术应用、多媒体技术、</w:t>
      </w:r>
      <w:r>
        <w:rPr>
          <w:rFonts w:hint="default" w:ascii="Times New Roman" w:hAnsi="Times New Roman" w:cs="Times New Roman"/>
          <w:sz w:val="21"/>
          <w:szCs w:val="21"/>
          <w:highlight w:val="none"/>
        </w:rPr>
        <w:t>大数据技术、移动互联应用技术、人工智能应用技术等专业的</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现代网络技术</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等</w:t>
      </w:r>
      <w:r>
        <w:rPr>
          <w:rFonts w:hint="default" w:ascii="Times New Roman" w:hAnsi="Times New Roman" w:cs="Times New Roman"/>
          <w:sz w:val="21"/>
          <w:szCs w:val="21"/>
          <w:highlight w:val="none"/>
        </w:rPr>
        <w:t>相关课程教学与实践需求，具体用途如下：</w:t>
      </w:r>
    </w:p>
    <w:p w14:paraId="5DAAE700">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课程教学支撑：设备完整覆盖《现代网络技术》《网络设备配置与管理》等核心课程实操需求，可完成VLAN划分、路由协议配置、综合布线施工、光纤熔接、网络安全防护等全流程实训，解决现有无专业网络硬件、仅能理论授课的短板，满足人工智能学院五大专业常态化分组实训教学，落实理实一体化人才培养。</w:t>
      </w:r>
    </w:p>
    <w:p w14:paraId="09FD7E59">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2.竞赛培训支撑：可系统性支撑学生参与</w:t>
      </w:r>
      <w:r>
        <w:rPr>
          <w:rFonts w:hint="eastAsia" w:ascii="宋体" w:hAnsi="宋体" w:eastAsia="宋体" w:cs="宋体"/>
          <w:sz w:val="21"/>
          <w:szCs w:val="21"/>
          <w:highlight w:val="none"/>
          <w:lang w:val="en-US" w:eastAsia="zh-CN"/>
        </w:rPr>
        <w:t>网络管理、网络安全等</w:t>
      </w:r>
      <w:r>
        <w:rPr>
          <w:rFonts w:hint="eastAsia" w:ascii="宋体" w:hAnsi="宋体" w:eastAsia="宋体" w:cs="宋体"/>
          <w:sz w:val="21"/>
          <w:szCs w:val="21"/>
          <w:highlight w:val="none"/>
        </w:rPr>
        <w:t>技能竞赛（如全国职业院校技能大赛相关赛项、行业赛等）的备赛与训练。</w:t>
      </w:r>
    </w:p>
    <w:p w14:paraId="72730F66">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3.社会服务支撑：可面向区域内制造企业开展</w:t>
      </w:r>
      <w:r>
        <w:rPr>
          <w:rFonts w:hint="eastAsia" w:ascii="宋体" w:hAnsi="宋体" w:eastAsia="宋体" w:cs="宋体"/>
          <w:sz w:val="21"/>
          <w:szCs w:val="21"/>
          <w:highlight w:val="none"/>
          <w:lang w:val="en-US" w:eastAsia="zh-CN"/>
        </w:rPr>
        <w:t>网络管理与运维、网络安全运维</w:t>
      </w:r>
      <w:r>
        <w:rPr>
          <w:rFonts w:hint="eastAsia" w:ascii="宋体" w:hAnsi="宋体" w:eastAsia="宋体" w:cs="宋体"/>
          <w:sz w:val="21"/>
          <w:szCs w:val="21"/>
          <w:highlight w:val="none"/>
        </w:rPr>
        <w:t>等技术培训与技术服务。</w:t>
      </w:r>
    </w:p>
    <w:p w14:paraId="3498577E">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default" w:ascii="Times New Roman" w:hAnsi="Times New Roman" w:cs="Times New Roman"/>
          <w:sz w:val="21"/>
          <w:szCs w:val="21"/>
          <w:highlight w:val="none"/>
        </w:rPr>
      </w:pPr>
      <w:r>
        <w:rPr>
          <w:rFonts w:hint="eastAsia" w:ascii="宋体" w:hAnsi="宋体" w:eastAsia="宋体" w:cs="宋体"/>
          <w:sz w:val="21"/>
          <w:szCs w:val="21"/>
          <w:highlight w:val="none"/>
        </w:rPr>
        <w:t>4.课程资源建设：可配套开发</w:t>
      </w:r>
      <w:r>
        <w:rPr>
          <w:rFonts w:hint="eastAsia" w:ascii="宋体" w:hAnsi="宋体" w:eastAsia="宋体" w:cs="宋体"/>
          <w:sz w:val="21"/>
          <w:szCs w:val="21"/>
          <w:highlight w:val="none"/>
          <w:lang w:val="en-US" w:eastAsia="zh-CN"/>
        </w:rPr>
        <w:t>现代网络技术、网络设备配置与管理</w:t>
      </w:r>
      <w:r>
        <w:rPr>
          <w:rFonts w:hint="eastAsia" w:ascii="宋体" w:hAnsi="宋体" w:eastAsia="宋体" w:cs="宋体"/>
          <w:sz w:val="21"/>
          <w:szCs w:val="21"/>
          <w:highlight w:val="none"/>
        </w:rPr>
        <w:t>等课程的数字资源（实训指导书、微课视</w:t>
      </w:r>
      <w:r>
        <w:rPr>
          <w:rFonts w:hint="default" w:ascii="Times New Roman" w:hAnsi="Times New Roman" w:cs="Times New Roman"/>
          <w:sz w:val="21"/>
          <w:szCs w:val="21"/>
          <w:highlight w:val="none"/>
        </w:rPr>
        <w:t>频、虚拟仿真资源等）。</w:t>
      </w:r>
    </w:p>
    <w:p w14:paraId="69897692">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0" w:name="_Toc11939"/>
      <w:r>
        <w:rPr>
          <w:rFonts w:hint="eastAsia" w:cs="Times New Roman"/>
          <w:b/>
          <w:bCs/>
          <w:sz w:val="21"/>
          <w:szCs w:val="21"/>
          <w:highlight w:val="none"/>
          <w:lang w:val="en-US" w:eastAsia="zh-CN"/>
        </w:rPr>
        <w:t>四</w:t>
      </w:r>
      <w:r>
        <w:rPr>
          <w:rFonts w:hint="default" w:ascii="Times New Roman" w:hAnsi="Times New Roman" w:cs="Times New Roman"/>
          <w:b/>
          <w:bCs/>
          <w:sz w:val="21"/>
          <w:szCs w:val="21"/>
          <w:highlight w:val="none"/>
        </w:rPr>
        <w:t>、所需采购货物的技术规格、参数、工作条件、环境要求（必要时可提供技术文件、图纸、标准）(见附件)</w:t>
      </w:r>
      <w:bookmarkEnd w:id="90"/>
    </w:p>
    <w:p w14:paraId="03ED4DE4">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1.</w:t>
      </w:r>
      <w:r>
        <w:rPr>
          <w:rFonts w:hint="eastAsia" w:ascii="宋体" w:hAnsi="宋体" w:eastAsia="宋体" w:cs="宋体"/>
          <w:sz w:val="21"/>
          <w:szCs w:val="21"/>
          <w:highlight w:val="none"/>
        </w:rPr>
        <w:t>所有产品均应符合《中华人民共和国政府采购法》的有关规定，产品来源渠道合法。</w:t>
      </w:r>
    </w:p>
    <w:p w14:paraId="51DAF2DD">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2.</w:t>
      </w:r>
      <w:r>
        <w:rPr>
          <w:rFonts w:hint="eastAsia" w:ascii="宋体" w:hAnsi="宋体" w:eastAsia="宋体" w:cs="宋体"/>
          <w:sz w:val="21"/>
          <w:szCs w:val="21"/>
          <w:highlight w:val="none"/>
        </w:rPr>
        <w:t>供应商必须负责将所有货物运送至用户需求方指定的地点，进行安装调试。本项目所有设备应包含正常运行所需的相关连接配件，需求用户方不另行支付任何费用。</w:t>
      </w:r>
    </w:p>
    <w:p w14:paraId="1903F51E">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3.</w:t>
      </w:r>
      <w:r>
        <w:rPr>
          <w:rFonts w:hint="eastAsia" w:ascii="宋体" w:hAnsi="宋体" w:eastAsia="宋体" w:cs="宋体"/>
          <w:sz w:val="21"/>
          <w:szCs w:val="21"/>
          <w:highlight w:val="none"/>
        </w:rPr>
        <w:t>所有设备必须是在中国范围内合法销售、厂商原装、全新的产品，符合国家及该产品的出厂标准。</w:t>
      </w:r>
    </w:p>
    <w:p w14:paraId="283B9085">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4.</w:t>
      </w:r>
      <w:r>
        <w:rPr>
          <w:rFonts w:hint="eastAsia" w:ascii="宋体" w:hAnsi="宋体" w:eastAsia="宋体" w:cs="宋体"/>
          <w:sz w:val="21"/>
          <w:szCs w:val="21"/>
          <w:highlight w:val="none"/>
        </w:rPr>
        <w:t>所有设备提供出厂合格证等质量证明文件。</w:t>
      </w:r>
    </w:p>
    <w:p w14:paraId="7338A89B">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5.</w:t>
      </w:r>
      <w:r>
        <w:rPr>
          <w:rFonts w:hint="eastAsia" w:ascii="宋体" w:hAnsi="宋体" w:eastAsia="宋体" w:cs="宋体"/>
          <w:sz w:val="21"/>
          <w:szCs w:val="21"/>
          <w:highlight w:val="none"/>
        </w:rPr>
        <w:t>设备外观清洁，标记编号以及盘面显示等字体清晰，明确。</w:t>
      </w:r>
    </w:p>
    <w:p w14:paraId="4C903E86">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6.</w:t>
      </w:r>
      <w:r>
        <w:rPr>
          <w:rFonts w:hint="eastAsia" w:ascii="宋体" w:hAnsi="宋体" w:eastAsia="宋体" w:cs="宋体"/>
          <w:sz w:val="21"/>
          <w:szCs w:val="21"/>
          <w:highlight w:val="none"/>
        </w:rPr>
        <w:t>供应商应提供包括但不限于满足设备安装、使用和维护的技术文件，如设备和附件箱清单、质量合格检定证明文件、保修服务卡、使用教材、实验指导书、电路图纸、原理框图等。</w:t>
      </w:r>
    </w:p>
    <w:p w14:paraId="63F48F1B">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7.</w:t>
      </w:r>
      <w:r>
        <w:rPr>
          <w:rFonts w:hint="eastAsia" w:ascii="宋体" w:hAnsi="宋体" w:eastAsia="宋体" w:cs="宋体"/>
          <w:sz w:val="21"/>
          <w:szCs w:val="21"/>
          <w:highlight w:val="none"/>
        </w:rPr>
        <w:t>供应商保证所提供的产品不侵犯任何第三方的专利、商标或版权。否则，供应商须承担对第三方的专利或版权的侵权责任并承担因此而发生的所有费用。</w:t>
      </w:r>
    </w:p>
    <w:p w14:paraId="0AA24B51">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1" w:name="_Toc17143"/>
      <w:r>
        <w:rPr>
          <w:rFonts w:hint="eastAsia" w:cs="Times New Roman"/>
          <w:b/>
          <w:bCs/>
          <w:sz w:val="21"/>
          <w:szCs w:val="21"/>
          <w:highlight w:val="none"/>
          <w:lang w:val="en-US" w:eastAsia="zh-CN"/>
        </w:rPr>
        <w:t>五</w:t>
      </w:r>
      <w:r>
        <w:rPr>
          <w:rFonts w:hint="default" w:ascii="Times New Roman" w:hAnsi="Times New Roman" w:cs="Times New Roman"/>
          <w:b/>
          <w:bCs/>
          <w:sz w:val="21"/>
          <w:szCs w:val="21"/>
          <w:highlight w:val="none"/>
        </w:rPr>
        <w:t>、附件及零配件（包括专用工具）、备品备件的要求：</w:t>
      </w:r>
      <w:bookmarkEnd w:id="91"/>
    </w:p>
    <w:p w14:paraId="107F6EAA">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bCs/>
          <w:sz w:val="21"/>
          <w:szCs w:val="21"/>
          <w:highlight w:val="none"/>
        </w:rPr>
        <w:t>供应商应提供满足设备保修期内正常使用的备品备件（如有的话），其费用应包括在总报价之内。</w:t>
      </w:r>
    </w:p>
    <w:p w14:paraId="289C7EF7">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2" w:name="_Toc22900"/>
      <w:r>
        <w:rPr>
          <w:rFonts w:hint="eastAsia" w:cs="Times New Roman"/>
          <w:b/>
          <w:bCs/>
          <w:sz w:val="21"/>
          <w:szCs w:val="21"/>
          <w:highlight w:val="none"/>
          <w:lang w:val="en-US" w:eastAsia="zh-CN"/>
        </w:rPr>
        <w:t>六</w:t>
      </w:r>
      <w:r>
        <w:rPr>
          <w:rFonts w:hint="default" w:ascii="Times New Roman" w:hAnsi="Times New Roman" w:cs="Times New Roman"/>
          <w:b/>
          <w:bCs/>
          <w:sz w:val="21"/>
          <w:szCs w:val="21"/>
          <w:highlight w:val="none"/>
        </w:rPr>
        <w:t>、验收标准和方法：</w:t>
      </w:r>
      <w:bookmarkEnd w:id="92"/>
    </w:p>
    <w:p w14:paraId="2588D984">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1.</w:t>
      </w:r>
      <w:r>
        <w:rPr>
          <w:rFonts w:hint="default" w:ascii="宋体" w:hAnsi="宋体" w:eastAsia="宋体" w:cs="宋体"/>
          <w:sz w:val="21"/>
          <w:szCs w:val="21"/>
          <w:highlight w:val="none"/>
        </w:rPr>
        <w:t>必须符合招标文件的规定要求、国家和行业的相关标准。</w:t>
      </w:r>
    </w:p>
    <w:p w14:paraId="486CF460">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2.</w:t>
      </w:r>
      <w:r>
        <w:rPr>
          <w:rFonts w:hint="default" w:ascii="宋体" w:hAnsi="宋体" w:eastAsia="宋体" w:cs="宋体"/>
          <w:sz w:val="21"/>
          <w:szCs w:val="21"/>
          <w:highlight w:val="none"/>
        </w:rPr>
        <w:t>交付验收标准：依次序对照适用标准。</w:t>
      </w:r>
    </w:p>
    <w:p w14:paraId="535AF019">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3.</w:t>
      </w:r>
      <w:r>
        <w:rPr>
          <w:rFonts w:hint="default" w:ascii="宋体" w:hAnsi="宋体" w:eastAsia="宋体" w:cs="宋体"/>
          <w:sz w:val="21"/>
          <w:szCs w:val="21"/>
          <w:highlight w:val="none"/>
        </w:rPr>
        <w:t>符合中华人民共和国国家安全质量标准、环保标准或行业标准；</w:t>
      </w:r>
    </w:p>
    <w:p w14:paraId="0EC4D1F2">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4.</w:t>
      </w:r>
      <w:r>
        <w:rPr>
          <w:rFonts w:hint="default" w:ascii="宋体" w:hAnsi="宋体" w:eastAsia="宋体" w:cs="宋体"/>
          <w:sz w:val="21"/>
          <w:szCs w:val="21"/>
          <w:highlight w:val="none"/>
        </w:rPr>
        <w:t>符合招标文件和响应承诺中需求用户方认可的合理最佳配置、参数及各项要求；</w:t>
      </w:r>
    </w:p>
    <w:p w14:paraId="0D9F497E">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5.</w:t>
      </w:r>
      <w:r>
        <w:rPr>
          <w:rFonts w:hint="default" w:ascii="宋体" w:hAnsi="宋体" w:eastAsia="宋体" w:cs="宋体"/>
          <w:sz w:val="21"/>
          <w:szCs w:val="21"/>
          <w:highlight w:val="none"/>
        </w:rPr>
        <w:t>货物来源国官方标准。上述标准必须是有关官方机构发布的最新版本的标准。</w:t>
      </w:r>
    </w:p>
    <w:p w14:paraId="6437FF45">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6.</w:t>
      </w:r>
      <w:r>
        <w:rPr>
          <w:rFonts w:hint="default" w:ascii="宋体" w:hAnsi="宋体" w:eastAsia="宋体" w:cs="宋体"/>
          <w:sz w:val="21"/>
          <w:szCs w:val="21"/>
          <w:highlight w:val="none"/>
        </w:rPr>
        <w:t>国内制造的货物必须具备出厂合格证。</w:t>
      </w:r>
    </w:p>
    <w:p w14:paraId="11E8C18D">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7.</w:t>
      </w:r>
      <w:r>
        <w:rPr>
          <w:rFonts w:hint="default" w:ascii="宋体" w:hAnsi="宋体" w:eastAsia="宋体" w:cs="宋体"/>
          <w:sz w:val="21"/>
          <w:szCs w:val="21"/>
          <w:highlight w:val="none"/>
        </w:rPr>
        <w:t>需求用户方按供应商提供的供货清单检验货物合格证、使用说明书和其它的技术资料、检查货物及附件是否完整无损，技术资料与图纸是否与甲方的要求相符。如有损坏、缺件等情况，供应商自行负责。</w:t>
      </w:r>
    </w:p>
    <w:p w14:paraId="259C39B1">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0" w:leftChars="0" w:firstLine="420" w:firstLineChars="200"/>
        <w:textAlignment w:val="auto"/>
        <w:rPr>
          <w:rFonts w:hint="default"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8.</w:t>
      </w:r>
      <w:r>
        <w:rPr>
          <w:rFonts w:hint="default" w:ascii="宋体" w:hAnsi="宋体" w:eastAsia="宋体" w:cs="宋体"/>
          <w:sz w:val="21"/>
          <w:szCs w:val="21"/>
          <w:highlight w:val="none"/>
        </w:rPr>
        <w:t>交货验收过程中发现的各类不合格货品，由供应商自行替换、负责。验收过程中遇到外观不合格认定，以国标为准。</w:t>
      </w:r>
    </w:p>
    <w:p w14:paraId="4B13B46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3" w:name="_Toc1540"/>
      <w:r>
        <w:rPr>
          <w:rFonts w:hint="eastAsia" w:cs="Times New Roman"/>
          <w:b/>
          <w:bCs/>
          <w:kern w:val="2"/>
          <w:sz w:val="21"/>
          <w:szCs w:val="21"/>
          <w:highlight w:val="none"/>
          <w:lang w:val="en-US" w:eastAsia="zh-CN" w:bidi="ar-SA"/>
        </w:rPr>
        <w:t>七</w:t>
      </w:r>
      <w:r>
        <w:rPr>
          <w:rFonts w:hint="eastAsia" w:ascii="Times New Roman" w:hAnsi="Times New Roman" w:eastAsia="宋体" w:cs="Times New Roman"/>
          <w:b/>
          <w:bCs/>
          <w:kern w:val="2"/>
          <w:sz w:val="21"/>
          <w:szCs w:val="21"/>
          <w:highlight w:val="none"/>
          <w:lang w:val="en-US" w:eastAsia="zh-CN" w:bidi="ar-SA"/>
        </w:rPr>
        <w:t>、</w:t>
      </w:r>
      <w:r>
        <w:rPr>
          <w:rFonts w:hint="default" w:ascii="Times New Roman" w:hAnsi="Times New Roman" w:cs="Times New Roman"/>
          <w:b/>
          <w:bCs/>
          <w:sz w:val="21"/>
          <w:szCs w:val="21"/>
          <w:highlight w:val="none"/>
        </w:rPr>
        <w:t>安装调试及技术服务(含培训)要求：</w:t>
      </w:r>
      <w:bookmarkEnd w:id="93"/>
    </w:p>
    <w:p w14:paraId="7875D47B">
      <w:pPr>
        <w:pStyle w:val="17"/>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1、教师培训：设备到货后</w:t>
      </w:r>
      <w:r>
        <w:rPr>
          <w:rFonts w:hint="eastAsia" w:ascii="宋体" w:hAnsi="宋体" w:eastAsia="宋体" w:cs="宋体"/>
          <w:sz w:val="21"/>
          <w:szCs w:val="21"/>
          <w:highlight w:val="none"/>
          <w:lang w:val="en-US" w:eastAsia="zh-CN"/>
        </w:rPr>
        <w:t>1</w:t>
      </w:r>
      <w:r>
        <w:rPr>
          <w:rFonts w:hint="default" w:ascii="Times New Roman" w:hAnsi="Times New Roman" w:cs="Times New Roman"/>
          <w:sz w:val="21"/>
          <w:szCs w:val="21"/>
          <w:highlight w:val="none"/>
          <w:lang w:val="en-US" w:eastAsia="zh-CN"/>
        </w:rPr>
        <w:t>个月内，供应商提供定制化师资培训（含理论+实操），内容涵盖设备操作、实训项目开发、竞赛指导技巧；每年寒暑假提供进阶培训（如</w:t>
      </w:r>
      <w:r>
        <w:rPr>
          <w:rFonts w:hint="eastAsia" w:ascii="Times New Roman" w:hAnsi="Times New Roman" w:cs="Times New Roman"/>
          <w:sz w:val="21"/>
          <w:szCs w:val="21"/>
          <w:highlight w:val="none"/>
          <w:lang w:val="en-US" w:eastAsia="zh-CN"/>
        </w:rPr>
        <w:t>网络运维</w:t>
      </w:r>
      <w:r>
        <w:rPr>
          <w:rFonts w:hint="default" w:ascii="Times New Roman" w:hAnsi="Times New Roman" w:cs="Times New Roman"/>
          <w:sz w:val="21"/>
          <w:szCs w:val="21"/>
          <w:highlight w:val="none"/>
          <w:lang w:val="en-US" w:eastAsia="zh-CN"/>
        </w:rPr>
        <w:t>）。</w:t>
      </w:r>
    </w:p>
    <w:p w14:paraId="328BE1A5">
      <w:pPr>
        <w:pStyle w:val="17"/>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en-US" w:eastAsia="zh-CN"/>
        </w:rPr>
        <w:t>2、学生培训：每学期开学前，供应商协助专业教师开展新生入门培训（含设备认知、网络规划设计</w:t>
      </w:r>
      <w:r>
        <w:rPr>
          <w:rFonts w:hint="eastAsia" w:ascii="Times New Roman" w:hAnsi="Times New Roman" w:cs="Times New Roman"/>
          <w:sz w:val="21"/>
          <w:szCs w:val="21"/>
          <w:highlight w:val="none"/>
          <w:lang w:val="en-US" w:eastAsia="zh-CN"/>
        </w:rPr>
        <w:t>、配置</w:t>
      </w:r>
      <w:r>
        <w:rPr>
          <w:rFonts w:hint="default" w:ascii="Times New Roman" w:hAnsi="Times New Roman" w:cs="Times New Roman"/>
          <w:sz w:val="21"/>
          <w:szCs w:val="21"/>
          <w:highlight w:val="none"/>
          <w:lang w:val="en-US" w:eastAsia="zh-CN"/>
        </w:rPr>
        <w:t>操作）；竞赛集训期间，提供专项技能培训（如赛项模拟、真题解析）。</w:t>
      </w:r>
    </w:p>
    <w:p w14:paraId="4E1CEA3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4" w:name="_Toc12524"/>
      <w:r>
        <w:rPr>
          <w:rFonts w:hint="eastAsia" w:cs="Times New Roman"/>
          <w:b/>
          <w:bCs/>
          <w:kern w:val="2"/>
          <w:sz w:val="21"/>
          <w:szCs w:val="21"/>
          <w:highlight w:val="none"/>
          <w:lang w:val="en-US" w:eastAsia="zh-CN" w:bidi="ar-SA"/>
        </w:rPr>
        <w:t>八</w:t>
      </w:r>
      <w:r>
        <w:rPr>
          <w:rFonts w:hint="eastAsia" w:ascii="Times New Roman" w:hAnsi="Times New Roman" w:eastAsia="宋体" w:cs="Times New Roman"/>
          <w:b/>
          <w:bCs/>
          <w:kern w:val="2"/>
          <w:sz w:val="21"/>
          <w:szCs w:val="21"/>
          <w:highlight w:val="none"/>
          <w:lang w:val="en-US" w:eastAsia="zh-CN" w:bidi="ar-SA"/>
        </w:rPr>
        <w:t>、</w:t>
      </w:r>
      <w:r>
        <w:rPr>
          <w:rFonts w:hint="default" w:ascii="Times New Roman" w:hAnsi="Times New Roman" w:cs="Times New Roman"/>
          <w:b/>
          <w:bCs/>
          <w:sz w:val="21"/>
          <w:szCs w:val="21"/>
          <w:highlight w:val="none"/>
        </w:rPr>
        <w:t>质量保证期、售后服务要求：</w:t>
      </w:r>
      <w:bookmarkEnd w:id="94"/>
    </w:p>
    <w:p w14:paraId="234D152F">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3年质保，终身维修。</w:t>
      </w:r>
      <w:r>
        <w:rPr>
          <w:rFonts w:hint="eastAsia" w:ascii="宋体" w:hAnsi="宋体" w:eastAsia="宋体" w:cs="宋体"/>
          <w:sz w:val="21"/>
          <w:szCs w:val="21"/>
          <w:highlight w:val="none"/>
          <w:lang w:val="en-US" w:eastAsia="zh-CN"/>
        </w:rPr>
        <w:t>质保期内，每月至少1次现场巡检，记录设备运行状态、更新软件版本、优化系统性能；非质保期提供年度运维套餐（含远程监控、故障预警、季度巡检）。</w:t>
      </w:r>
    </w:p>
    <w:p w14:paraId="28FBBCCF">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2、设备供应商提供7×24小时远程技术支持热线：对交换机、路由器、无线设备等技术问题，1小时内响应、4小时内提供解决方案（复杂问题24小时内出具技术方案）。</w:t>
      </w:r>
    </w:p>
    <w:p w14:paraId="76D44928">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3、硬件设备（实训台、交换机、网关等）：质保期内免费维修/更换故障部件；质保期后，提供成本价配件供应+有偿上门维修（响应时效≤24小时）。</w:t>
      </w:r>
    </w:p>
    <w:p w14:paraId="62921F62">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4、软件平台（AIoT边缘云/中心云）：质保期内免费升级功能、修复漏洞；质保期后，提供年度授权续费+定制化功能开发（按需报价）</w:t>
      </w:r>
      <w:r>
        <w:rPr>
          <w:rFonts w:hint="eastAsia" w:ascii="宋体" w:hAnsi="宋体" w:cs="宋体"/>
          <w:sz w:val="21"/>
          <w:szCs w:val="21"/>
          <w:highlight w:val="none"/>
          <w:lang w:val="en-US" w:eastAsia="zh-CN"/>
        </w:rPr>
        <w:t>。</w:t>
      </w:r>
    </w:p>
    <w:p w14:paraId="3F3D355D">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5" w:name="_Toc23646"/>
      <w:r>
        <w:rPr>
          <w:rFonts w:hint="eastAsia" w:cs="Times New Roman"/>
          <w:b/>
          <w:bCs/>
          <w:sz w:val="21"/>
          <w:szCs w:val="21"/>
          <w:highlight w:val="none"/>
          <w:lang w:val="en-US" w:eastAsia="zh-CN"/>
        </w:rPr>
        <w:t>九</w:t>
      </w:r>
      <w:r>
        <w:rPr>
          <w:rFonts w:hint="default" w:ascii="Times New Roman" w:hAnsi="Times New Roman" w:cs="Times New Roman"/>
          <w:b/>
          <w:bCs/>
          <w:sz w:val="21"/>
          <w:szCs w:val="21"/>
          <w:highlight w:val="none"/>
        </w:rPr>
        <w:t>、履行合同的时间</w:t>
      </w:r>
      <w:bookmarkEnd w:id="95"/>
    </w:p>
    <w:p w14:paraId="44A032B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合同履行时间为</w:t>
      </w:r>
      <w:r>
        <w:rPr>
          <w:rFonts w:hint="eastAsia" w:ascii="宋体" w:hAnsi="宋体" w:eastAsia="宋体" w:cs="宋体"/>
          <w:sz w:val="21"/>
          <w:szCs w:val="21"/>
          <w:highlight w:val="none"/>
        </w:rPr>
        <w:t>30</w:t>
      </w:r>
      <w:r>
        <w:rPr>
          <w:rFonts w:hint="default" w:ascii="Times New Roman" w:hAnsi="Times New Roman" w:cs="Times New Roman"/>
          <w:sz w:val="21"/>
          <w:szCs w:val="21"/>
          <w:highlight w:val="none"/>
        </w:rPr>
        <w:t>天。</w:t>
      </w:r>
    </w:p>
    <w:p w14:paraId="61A576FE">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sz w:val="21"/>
          <w:szCs w:val="21"/>
          <w:highlight w:val="none"/>
        </w:rPr>
      </w:pPr>
      <w:bookmarkStart w:id="96" w:name="_Toc23477"/>
      <w:r>
        <w:rPr>
          <w:rFonts w:hint="default" w:ascii="Times New Roman" w:hAnsi="Times New Roman" w:cs="Times New Roman"/>
          <w:b/>
          <w:bCs/>
          <w:sz w:val="21"/>
          <w:szCs w:val="21"/>
          <w:highlight w:val="none"/>
        </w:rPr>
        <w:t>十、付款方式</w:t>
      </w:r>
      <w:bookmarkEnd w:id="96"/>
    </w:p>
    <w:p w14:paraId="4096B98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hint="default" w:ascii="Times New Roman" w:hAnsi="Times New Roman" w:cs="Times New Roman"/>
          <w:strike/>
          <w:dstrike w:val="0"/>
          <w:sz w:val="21"/>
          <w:szCs w:val="21"/>
          <w:highlight w:val="none"/>
        </w:rPr>
      </w:pPr>
      <w:r>
        <w:rPr>
          <w:rFonts w:hint="eastAsia" w:ascii="宋体" w:hAnsi="宋体" w:eastAsia="宋体" w:cs="宋体"/>
          <w:color w:val="auto"/>
          <w:kern w:val="2"/>
          <w:sz w:val="21"/>
          <w:szCs w:val="21"/>
          <w:highlight w:val="none"/>
          <w:lang w:val="en-US" w:eastAsia="zh-CN" w:bidi="ar-SA"/>
        </w:rPr>
        <w:t>中标单位完成项目的全部建设内容且经采购方验收合格，采购方收到中标方开具的正规税务专用发票等相关材料后，向中标方支付合同金额的95%；质保期结束后，项目无质量问题、无服务纠纷以及其他经济法律纠纷等情况，采购人向中标方支付合同余款</w:t>
      </w:r>
      <w:r>
        <w:rPr>
          <w:rFonts w:hint="eastAsia" w:ascii="宋体" w:hAnsi="宋体" w:eastAsia="宋体" w:cs="宋体"/>
          <w:b w:val="0"/>
          <w:bCs w:val="0"/>
          <w:color w:val="auto"/>
          <w:sz w:val="21"/>
          <w:szCs w:val="21"/>
          <w:highlight w:val="none"/>
        </w:rPr>
        <w:t>。</w:t>
      </w:r>
    </w:p>
    <w:p w14:paraId="5CF0C843">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ascii="Times New Roman" w:hAnsi="Times New Roman" w:cs="Times New Roman"/>
          <w:b/>
          <w:bCs/>
          <w:sz w:val="21"/>
          <w:szCs w:val="21"/>
          <w:highlight w:val="none"/>
          <w:lang w:val="en-US" w:eastAsia="zh-CN"/>
        </w:rPr>
      </w:pPr>
      <w:bookmarkStart w:id="97" w:name="_Toc1563"/>
      <w:r>
        <w:rPr>
          <w:rFonts w:hint="eastAsia" w:ascii="Times New Roman" w:hAnsi="Times New Roman" w:cs="Times New Roman"/>
          <w:b/>
          <w:bCs/>
          <w:sz w:val="21"/>
          <w:szCs w:val="21"/>
          <w:highlight w:val="none"/>
          <w:lang w:val="en-US" w:eastAsia="zh-CN"/>
        </w:rPr>
        <w:t>十一：其他</w:t>
      </w:r>
      <w:bookmarkEnd w:id="97"/>
    </w:p>
    <w:p w14:paraId="082AABA6">
      <w:pPr>
        <w:pStyle w:val="17"/>
        <w:keepNext w:val="0"/>
        <w:keepLines w:val="0"/>
        <w:pageBreakBefore w:val="0"/>
        <w:widowControl w:val="0"/>
        <w:kinsoku/>
        <w:wordWrap/>
        <w:overflowPunct/>
        <w:topLinePunct w:val="0"/>
        <w:autoSpaceDE/>
        <w:autoSpaceDN/>
        <w:bidi w:val="0"/>
        <w:adjustRightInd/>
        <w:snapToGrid/>
        <w:spacing w:after="0" w:line="360" w:lineRule="auto"/>
        <w:ind w:left="0" w:leftChars="0" w:firstLine="420" w:firstLineChars="200"/>
        <w:textAlignment w:val="auto"/>
        <w:rPr>
          <w:rFonts w:hint="eastAsia" w:ascii="宋体" w:hAnsi="宋体" w:cs="宋体"/>
          <w:b w:val="0"/>
          <w:bCs w:val="0"/>
          <w:color w:val="auto"/>
          <w:sz w:val="21"/>
          <w:szCs w:val="21"/>
          <w:highlight w:val="none"/>
        </w:rPr>
      </w:pPr>
      <w:r>
        <w:rPr>
          <w:rFonts w:hint="eastAsia" w:ascii="Times New Roman" w:hAnsi="Times New Roman" w:eastAsia="宋体" w:cs="Times New Roman"/>
          <w:kern w:val="2"/>
          <w:sz w:val="21"/>
          <w:szCs w:val="21"/>
          <w:highlight w:val="none"/>
          <w:lang w:val="en-US" w:eastAsia="zh-CN" w:bidi="ar-SA"/>
        </w:rPr>
        <w:t>投标人对磋商文件提出的要求和条件，应当在投标文件中作出明确响应。带“★”条款为本项目实质性条款，如有偏离或缺漏，视为无效投标。</w:t>
      </w:r>
    </w:p>
    <w:p w14:paraId="08CC2AC2">
      <w:pPr>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br w:type="page"/>
      </w:r>
    </w:p>
    <w:p w14:paraId="5F331F14">
      <w:pPr>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附件</w:t>
      </w:r>
    </w:p>
    <w:p w14:paraId="399FC085">
      <w:pPr>
        <w:ind w:left="0" w:leftChars="0" w:right="0" w:rightChars="0" w:firstLine="0" w:firstLineChars="0"/>
        <w:jc w:val="cente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网络综合布线实训墙</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8"/>
        <w:gridCol w:w="1915"/>
        <w:gridCol w:w="811"/>
        <w:gridCol w:w="869"/>
        <w:gridCol w:w="2747"/>
        <w:gridCol w:w="1337"/>
      </w:tblGrid>
      <w:tr w14:paraId="7A2A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trPr>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17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区域</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DE2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型号</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CAB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790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A8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设备参数</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E6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33F3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93B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玄关展示区</w:t>
            </w:r>
          </w:p>
        </w:tc>
        <w:tc>
          <w:tcPr>
            <w:tcW w:w="1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36B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主路由无线控制器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5D3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20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7BF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5个10/100/1000Mbps RJ45端口(V5/V6版)；900MHz网络专用处理器；可管理100台AP、带机量1000台；支持SSID/Tag VLAN绑定、MAC/Portal认证。</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3DA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647700" cy="175260"/>
                  <wp:effectExtent l="0" t="0" r="0" b="15240"/>
                  <wp:docPr id="1073742886" name="Picture_14" descr="wrcJvL"/>
                  <wp:cNvGraphicFramePr/>
                  <a:graphic xmlns:a="http://schemas.openxmlformats.org/drawingml/2006/main">
                    <a:graphicData uri="http://schemas.openxmlformats.org/drawingml/2006/picture">
                      <pic:pic xmlns:pic="http://schemas.openxmlformats.org/drawingml/2006/picture">
                        <pic:nvPicPr>
                          <pic:cNvPr id="1073742886" name="Picture_14" descr="wrcJvL"/>
                          <pic:cNvPicPr/>
                        </pic:nvPicPr>
                        <pic:blipFill>
                          <a:blip r:embed="rId9"/>
                          <a:stretch>
                            <a:fillRect/>
                          </a:stretch>
                        </pic:blipFill>
                        <pic:spPr>
                          <a:xfrm>
                            <a:off x="7704455" y="1180465"/>
                            <a:ext cx="647700" cy="175260"/>
                          </a:xfrm>
                          <a:prstGeom prst="rect">
                            <a:avLst/>
                          </a:prstGeom>
                        </pic:spPr>
                      </pic:pic>
                    </a:graphicData>
                  </a:graphic>
                </wp:inline>
              </w:drawing>
            </w:r>
          </w:p>
        </w:tc>
      </w:tr>
      <w:tr w14:paraId="2DFC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355CB">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20B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人在传感器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79E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9EF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30B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毫米波雷达，可检测静态人体存在；3年续航、1节纽扣电池；蓝牙连接；磁吸安装。</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88D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26695" cy="288290"/>
                  <wp:effectExtent l="0" t="0" r="1905" b="16510"/>
                  <wp:docPr id="1073742887" name="Picture_7" descr="hkqXwd"/>
                  <wp:cNvGraphicFramePr/>
                  <a:graphic xmlns:a="http://schemas.openxmlformats.org/drawingml/2006/main">
                    <a:graphicData uri="http://schemas.openxmlformats.org/drawingml/2006/picture">
                      <pic:pic xmlns:pic="http://schemas.openxmlformats.org/drawingml/2006/picture">
                        <pic:nvPicPr>
                          <pic:cNvPr id="1073742887" name="Picture_7" descr="hkqXwd"/>
                          <pic:cNvPicPr/>
                        </pic:nvPicPr>
                        <pic:blipFill>
                          <a:blip r:embed="rId10"/>
                          <a:stretch>
                            <a:fillRect/>
                          </a:stretch>
                        </pic:blipFill>
                        <pic:spPr>
                          <a:xfrm>
                            <a:off x="7917815" y="1516380"/>
                            <a:ext cx="226695" cy="288290"/>
                          </a:xfrm>
                          <a:prstGeom prst="rect">
                            <a:avLst/>
                          </a:prstGeom>
                        </pic:spPr>
                      </pic:pic>
                    </a:graphicData>
                  </a:graphic>
                </wp:inline>
              </w:drawing>
            </w:r>
          </w:p>
        </w:tc>
      </w:tr>
      <w:tr w14:paraId="6942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76ACC">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C0A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S20门窗传感器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ACB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BA1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ED13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磁吸开合检测；蓝牙5.1 BLE；CR2032电池；工作温度-10~55℃。</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CE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57810" cy="288290"/>
                  <wp:effectExtent l="0" t="0" r="8890" b="16510"/>
                  <wp:docPr id="1073742888" name="Picture_19" descr="PCreMn"/>
                  <wp:cNvGraphicFramePr/>
                  <a:graphic xmlns:a="http://schemas.openxmlformats.org/drawingml/2006/main">
                    <a:graphicData uri="http://schemas.openxmlformats.org/drawingml/2006/picture">
                      <pic:pic xmlns:pic="http://schemas.openxmlformats.org/drawingml/2006/picture">
                        <pic:nvPicPr>
                          <pic:cNvPr id="1073742888" name="Picture_19" descr="PCreMn"/>
                          <pic:cNvPicPr/>
                        </pic:nvPicPr>
                        <pic:blipFill>
                          <a:blip r:embed="rId11"/>
                          <a:stretch>
                            <a:fillRect/>
                          </a:stretch>
                        </pic:blipFill>
                        <pic:spPr>
                          <a:xfrm>
                            <a:off x="7870190" y="1894205"/>
                            <a:ext cx="257810" cy="288290"/>
                          </a:xfrm>
                          <a:prstGeom prst="rect">
                            <a:avLst/>
                          </a:prstGeom>
                        </pic:spPr>
                      </pic:pic>
                    </a:graphicData>
                  </a:graphic>
                </wp:inline>
              </w:drawing>
            </w:r>
          </w:p>
        </w:tc>
      </w:tr>
      <w:tr w14:paraId="5FACF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5A0D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E8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智能温度计</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3C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3B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F8DA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高精度温湿度检测；电子墨水屏显示；蓝牙连接；纽扣电池供电。</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AE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26390" cy="288290"/>
                  <wp:effectExtent l="0" t="0" r="16510" b="16510"/>
                  <wp:docPr id="1073742889" name="Picture_15" descr="rYdggD"/>
                  <wp:cNvGraphicFramePr/>
                  <a:graphic xmlns:a="http://schemas.openxmlformats.org/drawingml/2006/main">
                    <a:graphicData uri="http://schemas.openxmlformats.org/drawingml/2006/picture">
                      <pic:pic xmlns:pic="http://schemas.openxmlformats.org/drawingml/2006/picture">
                        <pic:nvPicPr>
                          <pic:cNvPr id="1073742889" name="Picture_15" descr="rYdggD"/>
                          <pic:cNvPicPr/>
                        </pic:nvPicPr>
                        <pic:blipFill>
                          <a:blip r:embed="rId12"/>
                          <a:stretch>
                            <a:fillRect/>
                          </a:stretch>
                        </pic:blipFill>
                        <pic:spPr>
                          <a:xfrm>
                            <a:off x="7830185" y="2266950"/>
                            <a:ext cx="326390" cy="288290"/>
                          </a:xfrm>
                          <a:prstGeom prst="rect">
                            <a:avLst/>
                          </a:prstGeom>
                        </pic:spPr>
                      </pic:pic>
                    </a:graphicData>
                  </a:graphic>
                </wp:inline>
              </w:drawing>
            </w:r>
          </w:p>
        </w:tc>
      </w:tr>
      <w:tr w14:paraId="1B977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B8D3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0EB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智能门铃</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037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79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F118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2K分辨率、180°超广角；5200mAh锂电池、USB Type-C充电；Wi-Fi连接；双向语音、红外夜视、AI人形侦测。</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D8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106680" cy="288290"/>
                  <wp:effectExtent l="0" t="0" r="7620" b="16510"/>
                  <wp:docPr id="1073742890" name="Picture_31" descr="PQbHQA"/>
                  <wp:cNvGraphicFramePr/>
                  <a:graphic xmlns:a="http://schemas.openxmlformats.org/drawingml/2006/main">
                    <a:graphicData uri="http://schemas.openxmlformats.org/drawingml/2006/picture">
                      <pic:pic xmlns:pic="http://schemas.openxmlformats.org/drawingml/2006/picture">
                        <pic:nvPicPr>
                          <pic:cNvPr id="1073742890" name="Picture_31" descr="PQbHQA"/>
                          <pic:cNvPicPr/>
                        </pic:nvPicPr>
                        <pic:blipFill>
                          <a:blip r:embed="rId13"/>
                          <a:stretch>
                            <a:fillRect/>
                          </a:stretch>
                        </pic:blipFill>
                        <pic:spPr>
                          <a:xfrm>
                            <a:off x="7941310" y="2639695"/>
                            <a:ext cx="106680" cy="288290"/>
                          </a:xfrm>
                          <a:prstGeom prst="rect">
                            <a:avLst/>
                          </a:prstGeom>
                        </pic:spPr>
                      </pic:pic>
                    </a:graphicData>
                  </a:graphic>
                </wp:inline>
              </w:drawing>
            </w:r>
          </w:p>
        </w:tc>
      </w:tr>
      <w:tr w14:paraId="3B1D8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7D01C">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EA8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中枢网关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4F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BA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A29B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支持蓝牙/蓝牙Mesh/ZigBee三协议；2.4G/5G双频Wi-Fi；RJ45网口(10/100M)、Type-C供电；128MB内存、1GHz双核CPU。</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6D7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500380" cy="259715"/>
                  <wp:effectExtent l="0" t="0" r="13970" b="6985"/>
                  <wp:docPr id="1073742891" name="Picture_4" descr="swdAhe"/>
                  <wp:cNvGraphicFramePr/>
                  <a:graphic xmlns:a="http://schemas.openxmlformats.org/drawingml/2006/main">
                    <a:graphicData uri="http://schemas.openxmlformats.org/drawingml/2006/picture">
                      <pic:pic xmlns:pic="http://schemas.openxmlformats.org/drawingml/2006/picture">
                        <pic:nvPicPr>
                          <pic:cNvPr id="1073742891" name="Picture_4" descr="swdAhe"/>
                          <pic:cNvPicPr/>
                        </pic:nvPicPr>
                        <pic:blipFill>
                          <a:blip r:embed="rId14"/>
                          <a:stretch>
                            <a:fillRect/>
                          </a:stretch>
                        </pic:blipFill>
                        <pic:spPr>
                          <a:xfrm>
                            <a:off x="7783195" y="3045460"/>
                            <a:ext cx="500380" cy="259715"/>
                          </a:xfrm>
                          <a:prstGeom prst="rect">
                            <a:avLst/>
                          </a:prstGeom>
                        </pic:spPr>
                      </pic:pic>
                    </a:graphicData>
                  </a:graphic>
                </wp:inline>
              </w:drawing>
            </w:r>
          </w:p>
        </w:tc>
      </w:tr>
      <w:tr w14:paraId="6ACE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147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客厅</w:t>
            </w:r>
          </w:p>
        </w:tc>
        <w:tc>
          <w:tcPr>
            <w:tcW w:w="1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9E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桌面智能中控屏</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027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6B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E0D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3.97英寸屏幕、800×480分辨率；小爱同学远场语音(双麦克风)；Wi-Fi/蓝牙；可控制全屋智能设备。</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22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440690" cy="254000"/>
                  <wp:effectExtent l="0" t="0" r="16510" b="12700"/>
                  <wp:docPr id="1073742892" name="Picture_20" descr="ZqqTLZ"/>
                  <wp:cNvGraphicFramePr/>
                  <a:graphic xmlns:a="http://schemas.openxmlformats.org/drawingml/2006/main">
                    <a:graphicData uri="http://schemas.openxmlformats.org/drawingml/2006/picture">
                      <pic:pic xmlns:pic="http://schemas.openxmlformats.org/drawingml/2006/picture">
                        <pic:nvPicPr>
                          <pic:cNvPr id="1073742892" name="Picture_20" descr="ZqqTLZ"/>
                          <pic:cNvPicPr/>
                        </pic:nvPicPr>
                        <pic:blipFill>
                          <a:blip r:embed="rId15"/>
                          <a:stretch>
                            <a:fillRect/>
                          </a:stretch>
                        </pic:blipFill>
                        <pic:spPr>
                          <a:xfrm>
                            <a:off x="7774940" y="3429000"/>
                            <a:ext cx="440690" cy="254000"/>
                          </a:xfrm>
                          <a:prstGeom prst="rect">
                            <a:avLst/>
                          </a:prstGeom>
                        </pic:spPr>
                      </pic:pic>
                    </a:graphicData>
                  </a:graphic>
                </wp:inline>
              </w:drawing>
            </w:r>
          </w:p>
        </w:tc>
      </w:tr>
      <w:tr w14:paraId="0424A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AF9D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786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500智能摄像头</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13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D9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A51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500万像素、2K分辨率(约2960×1666)；云台水平360°/垂直96°；红外夜视、人形侦测。</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B1D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179705" cy="252095"/>
                  <wp:effectExtent l="0" t="0" r="10795" b="14605"/>
                  <wp:docPr id="1073742893" name="Picture_2" descr="QTGxXP"/>
                  <wp:cNvGraphicFramePr/>
                  <a:graphic xmlns:a="http://schemas.openxmlformats.org/drawingml/2006/main">
                    <a:graphicData uri="http://schemas.openxmlformats.org/drawingml/2006/picture">
                      <pic:pic xmlns:pic="http://schemas.openxmlformats.org/drawingml/2006/picture">
                        <pic:nvPicPr>
                          <pic:cNvPr id="1073742893" name="Picture_2" descr="QTGxXP"/>
                          <pic:cNvPicPr/>
                        </pic:nvPicPr>
                        <pic:blipFill>
                          <a:blip r:embed="rId16"/>
                          <a:stretch>
                            <a:fillRect/>
                          </a:stretch>
                        </pic:blipFill>
                        <pic:spPr>
                          <a:xfrm>
                            <a:off x="7926070" y="3825875"/>
                            <a:ext cx="179705" cy="252095"/>
                          </a:xfrm>
                          <a:prstGeom prst="rect">
                            <a:avLst/>
                          </a:prstGeom>
                        </pic:spPr>
                      </pic:pic>
                    </a:graphicData>
                  </a:graphic>
                </wp:inline>
              </w:drawing>
            </w:r>
          </w:p>
        </w:tc>
      </w:tr>
      <w:tr w14:paraId="06BE5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B45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7D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监控专用TF卡</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B2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DF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5490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microSD存储卡，用于摄像头本地录像；需配合监控摄像头使用。</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D2D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32740" cy="252095"/>
                  <wp:effectExtent l="0" t="0" r="10160" b="14605"/>
                  <wp:docPr id="1073742894" name="Picture_18" descr="iORAVG"/>
                  <wp:cNvGraphicFramePr/>
                  <a:graphic xmlns:a="http://schemas.openxmlformats.org/drawingml/2006/main">
                    <a:graphicData uri="http://schemas.openxmlformats.org/drawingml/2006/picture">
                      <pic:pic xmlns:pic="http://schemas.openxmlformats.org/drawingml/2006/picture">
                        <pic:nvPicPr>
                          <pic:cNvPr id="1073742894" name="Picture_18" descr="iORAVG"/>
                          <pic:cNvPicPr/>
                        </pic:nvPicPr>
                        <pic:blipFill>
                          <a:blip r:embed="rId17"/>
                          <a:stretch>
                            <a:fillRect/>
                          </a:stretch>
                        </pic:blipFill>
                        <pic:spPr>
                          <a:xfrm>
                            <a:off x="7837805" y="4199255"/>
                            <a:ext cx="332740" cy="252095"/>
                          </a:xfrm>
                          <a:prstGeom prst="rect">
                            <a:avLst/>
                          </a:prstGeom>
                        </pic:spPr>
                      </pic:pic>
                    </a:graphicData>
                  </a:graphic>
                </wp:inline>
              </w:drawing>
            </w:r>
          </w:p>
        </w:tc>
      </w:tr>
      <w:tr w14:paraId="68989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536A6">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43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智能调光射灯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3B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3C8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CFC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5W功率；COB光源、显色指数Ra90；光束角24°、可调±25°；色温2700-6500K无级调光；蓝牙Mesh连接。</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55C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02895" cy="252095"/>
                  <wp:effectExtent l="0" t="0" r="1905" b="14605"/>
                  <wp:docPr id="1073742895" name="Picture_6" descr="nMQVvT"/>
                  <wp:cNvGraphicFramePr/>
                  <a:graphic xmlns:a="http://schemas.openxmlformats.org/drawingml/2006/main">
                    <a:graphicData uri="http://schemas.openxmlformats.org/drawingml/2006/picture">
                      <pic:pic xmlns:pic="http://schemas.openxmlformats.org/drawingml/2006/picture">
                        <pic:nvPicPr>
                          <pic:cNvPr id="1073742895" name="Picture_6" descr="nMQVvT"/>
                          <pic:cNvPicPr/>
                        </pic:nvPicPr>
                        <pic:blipFill>
                          <a:blip r:embed="rId18"/>
                          <a:stretch>
                            <a:fillRect/>
                          </a:stretch>
                        </pic:blipFill>
                        <pic:spPr>
                          <a:xfrm>
                            <a:off x="7838440" y="4587875"/>
                            <a:ext cx="302895" cy="252095"/>
                          </a:xfrm>
                          <a:prstGeom prst="rect">
                            <a:avLst/>
                          </a:prstGeom>
                        </pic:spPr>
                      </pic:pic>
                    </a:graphicData>
                  </a:graphic>
                </wp:inline>
              </w:drawing>
            </w:r>
          </w:p>
        </w:tc>
      </w:tr>
      <w:tr w14:paraId="71C4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2DC3B">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17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2A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07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F99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1F9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0665" cy="252095"/>
                  <wp:effectExtent l="0" t="0" r="6985" b="14605"/>
                  <wp:docPr id="1073742896" name="Picture_10" descr="dWwWTX"/>
                  <wp:cNvGraphicFramePr/>
                  <a:graphic xmlns:a="http://schemas.openxmlformats.org/drawingml/2006/main">
                    <a:graphicData uri="http://schemas.openxmlformats.org/drawingml/2006/picture">
                      <pic:pic xmlns:pic="http://schemas.openxmlformats.org/drawingml/2006/picture">
                        <pic:nvPicPr>
                          <pic:cNvPr id="1073742896" name="Picture_10" descr="dWwWTX"/>
                          <pic:cNvPicPr/>
                        </pic:nvPicPr>
                        <pic:blipFill>
                          <a:blip r:embed="rId19"/>
                          <a:stretch>
                            <a:fillRect/>
                          </a:stretch>
                        </pic:blipFill>
                        <pic:spPr>
                          <a:xfrm>
                            <a:off x="7878445" y="4973320"/>
                            <a:ext cx="240665" cy="252095"/>
                          </a:xfrm>
                          <a:prstGeom prst="rect">
                            <a:avLst/>
                          </a:prstGeom>
                        </pic:spPr>
                      </pic:pic>
                    </a:graphicData>
                  </a:graphic>
                </wp:inline>
              </w:drawing>
            </w:r>
          </w:p>
        </w:tc>
      </w:tr>
      <w:tr w14:paraId="21AF0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50F9B">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C39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B7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7E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8BD7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13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0665" cy="252095"/>
                  <wp:effectExtent l="0" t="0" r="6985" b="14605"/>
                  <wp:docPr id="1073742897" name="Picture_26" descr="mkmdmy"/>
                  <wp:cNvGraphicFramePr/>
                  <a:graphic xmlns:a="http://schemas.openxmlformats.org/drawingml/2006/main">
                    <a:graphicData uri="http://schemas.openxmlformats.org/drawingml/2006/picture">
                      <pic:pic xmlns:pic="http://schemas.openxmlformats.org/drawingml/2006/picture">
                        <pic:nvPicPr>
                          <pic:cNvPr id="1073742897" name="Picture_26" descr="mkmdmy"/>
                          <pic:cNvPicPr/>
                        </pic:nvPicPr>
                        <pic:blipFill>
                          <a:blip r:embed="rId20"/>
                          <a:stretch>
                            <a:fillRect/>
                          </a:stretch>
                        </pic:blipFill>
                        <pic:spPr>
                          <a:xfrm>
                            <a:off x="7862570" y="5325110"/>
                            <a:ext cx="240665" cy="252095"/>
                          </a:xfrm>
                          <a:prstGeom prst="rect">
                            <a:avLst/>
                          </a:prstGeom>
                        </pic:spPr>
                      </pic:pic>
                    </a:graphicData>
                  </a:graphic>
                </wp:inline>
              </w:drawing>
            </w:r>
          </w:p>
        </w:tc>
      </w:tr>
      <w:tr w14:paraId="4662E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5C33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17A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无线网络面板AP</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FC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58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0C58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300M无线速率、2.4GHz频段；86型面板式；PoE供电；胖瘦一体。</w:t>
            </w:r>
          </w:p>
        </w:tc>
        <w:tc>
          <w:tcPr>
            <w:tcW w:w="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12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0665" cy="252095"/>
                  <wp:effectExtent l="0" t="0" r="6985" b="14605"/>
                  <wp:docPr id="1073742898" name="Picture_25" descr="AKmguH"/>
                  <wp:cNvGraphicFramePr/>
                  <a:graphic xmlns:a="http://schemas.openxmlformats.org/drawingml/2006/main">
                    <a:graphicData uri="http://schemas.openxmlformats.org/drawingml/2006/picture">
                      <pic:pic xmlns:pic="http://schemas.openxmlformats.org/drawingml/2006/picture">
                        <pic:nvPicPr>
                          <pic:cNvPr id="1073742898" name="Picture_25" descr="AKmguH"/>
                          <pic:cNvPicPr/>
                        </pic:nvPicPr>
                        <pic:blipFill>
                          <a:blip r:embed="rId21"/>
                          <a:stretch>
                            <a:fillRect/>
                          </a:stretch>
                        </pic:blipFill>
                        <pic:spPr>
                          <a:xfrm>
                            <a:off x="7869555" y="5704205"/>
                            <a:ext cx="240665" cy="252095"/>
                          </a:xfrm>
                          <a:prstGeom prst="rect">
                            <a:avLst/>
                          </a:prstGeom>
                        </pic:spPr>
                      </pic:pic>
                    </a:graphicData>
                  </a:graphic>
                </wp:inline>
              </w:drawing>
            </w:r>
          </w:p>
        </w:tc>
      </w:tr>
      <w:tr w14:paraId="613C4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1C3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厨房餐厅展示区</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FE2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无线水浸漏水传感探测器溢水检测仪</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39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71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DFE9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ZigBee3.0、2.4GHz；CR2032电池(3V)；检测水位≥0.5mm；IP67防水；工作温度-10~55℃；需搭配A3网关。</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8A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472440" cy="252095"/>
                  <wp:effectExtent l="0" t="0" r="3810" b="14605"/>
                  <wp:docPr id="1073742899" name="Picture_35" descr="kQJqGL"/>
                  <wp:cNvGraphicFramePr/>
                  <a:graphic xmlns:a="http://schemas.openxmlformats.org/drawingml/2006/main">
                    <a:graphicData uri="http://schemas.openxmlformats.org/drawingml/2006/picture">
                      <pic:pic xmlns:pic="http://schemas.openxmlformats.org/drawingml/2006/picture">
                        <pic:nvPicPr>
                          <pic:cNvPr id="1073742899" name="Picture_35" descr="kQJqGL"/>
                          <pic:cNvPicPr/>
                        </pic:nvPicPr>
                        <pic:blipFill>
                          <a:blip r:embed="rId22"/>
                          <a:stretch>
                            <a:fillRect/>
                          </a:stretch>
                        </pic:blipFill>
                        <pic:spPr>
                          <a:xfrm>
                            <a:off x="7783195" y="6088380"/>
                            <a:ext cx="472440" cy="252095"/>
                          </a:xfrm>
                          <a:prstGeom prst="rect">
                            <a:avLst/>
                          </a:prstGeom>
                        </pic:spPr>
                      </pic:pic>
                    </a:graphicData>
                  </a:graphic>
                </wp:inline>
              </w:drawing>
            </w:r>
          </w:p>
        </w:tc>
      </w:tr>
      <w:tr w14:paraId="2E97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DE2B5">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00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天然气甲烷可燃气体探测器报警器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45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5F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5256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催化燃烧式甲烷检测、报警阈值8%LEL；DC12V供电；ZigBee3.0；声光报警70-115dB；含电磁阀/排风扇接口；消防CCCF认证。</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216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64795" cy="260350"/>
                  <wp:effectExtent l="0" t="0" r="1905" b="6350"/>
                  <wp:docPr id="1073742900" name="Picture_23" descr="jRDqoe"/>
                  <wp:cNvGraphicFramePr/>
                  <a:graphic xmlns:a="http://schemas.openxmlformats.org/drawingml/2006/main">
                    <a:graphicData uri="http://schemas.openxmlformats.org/drawingml/2006/picture">
                      <pic:pic xmlns:pic="http://schemas.openxmlformats.org/drawingml/2006/picture">
                        <pic:nvPicPr>
                          <pic:cNvPr id="1073742900" name="Picture_23" descr="jRDqoe"/>
                          <pic:cNvPicPr/>
                        </pic:nvPicPr>
                        <pic:blipFill>
                          <a:blip r:embed="rId23"/>
                          <a:stretch>
                            <a:fillRect/>
                          </a:stretch>
                        </pic:blipFill>
                        <pic:spPr>
                          <a:xfrm>
                            <a:off x="7878445" y="6501130"/>
                            <a:ext cx="264795" cy="260350"/>
                          </a:xfrm>
                          <a:prstGeom prst="rect">
                            <a:avLst/>
                          </a:prstGeom>
                        </pic:spPr>
                      </pic:pic>
                    </a:graphicData>
                  </a:graphic>
                </wp:inline>
              </w:drawing>
            </w:r>
          </w:p>
        </w:tc>
      </w:tr>
      <w:tr w14:paraId="7ACE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CD3A">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87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烟雾报警器烟感感应器消防火灾探测无线智能感烟警</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81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B6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A126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光电感烟；3V锂电池(2300mAh)；报警≥85dB@3m；工作温度-10~60℃；消防CCC认证；最多互联10只。</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1C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28295" cy="252095"/>
                  <wp:effectExtent l="0" t="0" r="14605" b="14605"/>
                  <wp:docPr id="1073742901" name="Picture_34" descr="AsztKe"/>
                  <wp:cNvGraphicFramePr/>
                  <a:graphic xmlns:a="http://schemas.openxmlformats.org/drawingml/2006/main">
                    <a:graphicData uri="http://schemas.openxmlformats.org/drawingml/2006/picture">
                      <pic:pic xmlns:pic="http://schemas.openxmlformats.org/drawingml/2006/picture">
                        <pic:nvPicPr>
                          <pic:cNvPr id="1073742901" name="Picture_34" descr="AsztKe"/>
                          <pic:cNvPicPr/>
                        </pic:nvPicPr>
                        <pic:blipFill>
                          <a:blip r:embed="rId24"/>
                          <a:stretch>
                            <a:fillRect/>
                          </a:stretch>
                        </pic:blipFill>
                        <pic:spPr>
                          <a:xfrm>
                            <a:off x="7822565" y="6866255"/>
                            <a:ext cx="328295" cy="252095"/>
                          </a:xfrm>
                          <a:prstGeom prst="rect">
                            <a:avLst/>
                          </a:prstGeom>
                        </pic:spPr>
                      </pic:pic>
                    </a:graphicData>
                  </a:graphic>
                </wp:inline>
              </w:drawing>
            </w:r>
          </w:p>
        </w:tc>
      </w:tr>
      <w:tr w14:paraId="06A85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3CBC8">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5F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智能调光射灯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C9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0A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B4F9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5W功率；COB光源、显色指数Ra90；光束角24°、可调±25°；色温2700-6500K无级调光；蓝牙Mesh连接。</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8F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00990" cy="252095"/>
                  <wp:effectExtent l="0" t="0" r="3810" b="14605"/>
                  <wp:docPr id="1073742902" name="Picture_3" descr="djakqY"/>
                  <wp:cNvGraphicFramePr/>
                  <a:graphic xmlns:a="http://schemas.openxmlformats.org/drawingml/2006/main">
                    <a:graphicData uri="http://schemas.openxmlformats.org/drawingml/2006/picture">
                      <pic:pic xmlns:pic="http://schemas.openxmlformats.org/drawingml/2006/picture">
                        <pic:nvPicPr>
                          <pic:cNvPr id="1073742902" name="Picture_3" descr="djakqY"/>
                          <pic:cNvPicPr/>
                        </pic:nvPicPr>
                        <pic:blipFill>
                          <a:blip r:embed="rId25"/>
                          <a:stretch>
                            <a:fillRect/>
                          </a:stretch>
                        </pic:blipFill>
                        <pic:spPr>
                          <a:xfrm>
                            <a:off x="7822565" y="7263130"/>
                            <a:ext cx="300990" cy="252095"/>
                          </a:xfrm>
                          <a:prstGeom prst="rect">
                            <a:avLst/>
                          </a:prstGeom>
                        </pic:spPr>
                      </pic:pic>
                    </a:graphicData>
                  </a:graphic>
                </wp:inline>
              </w:drawing>
            </w:r>
          </w:p>
        </w:tc>
      </w:tr>
      <w:tr w14:paraId="22DB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FA5C4">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787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B32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02B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EE7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590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6380" cy="252095"/>
                  <wp:effectExtent l="0" t="0" r="1270" b="14605"/>
                  <wp:docPr id="1073742903" name="Picture_9" descr="TUEtmj"/>
                  <wp:cNvGraphicFramePr/>
                  <a:graphic xmlns:a="http://schemas.openxmlformats.org/drawingml/2006/main">
                    <a:graphicData uri="http://schemas.openxmlformats.org/drawingml/2006/picture">
                      <pic:pic xmlns:pic="http://schemas.openxmlformats.org/drawingml/2006/picture">
                        <pic:nvPicPr>
                          <pic:cNvPr id="1073742903" name="Picture_9" descr="TUEtmj"/>
                          <pic:cNvPicPr/>
                        </pic:nvPicPr>
                        <pic:blipFill>
                          <a:blip r:embed="rId19"/>
                          <a:stretch>
                            <a:fillRect/>
                          </a:stretch>
                        </pic:blipFill>
                        <pic:spPr>
                          <a:xfrm>
                            <a:off x="7846695" y="7620000"/>
                            <a:ext cx="246380" cy="252095"/>
                          </a:xfrm>
                          <a:prstGeom prst="rect">
                            <a:avLst/>
                          </a:prstGeom>
                        </pic:spPr>
                      </pic:pic>
                    </a:graphicData>
                  </a:graphic>
                </wp:inline>
              </w:drawing>
            </w:r>
          </w:p>
        </w:tc>
      </w:tr>
      <w:tr w14:paraId="6FAA3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92CC0">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24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C2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FDA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ACC0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9A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1935" cy="252095"/>
                  <wp:effectExtent l="0" t="0" r="5715" b="14605"/>
                  <wp:docPr id="1073742904" name="Picture_8" descr="ShLFti"/>
                  <wp:cNvGraphicFramePr/>
                  <a:graphic xmlns:a="http://schemas.openxmlformats.org/drawingml/2006/main">
                    <a:graphicData uri="http://schemas.openxmlformats.org/drawingml/2006/picture">
                      <pic:pic xmlns:pic="http://schemas.openxmlformats.org/drawingml/2006/picture">
                        <pic:nvPicPr>
                          <pic:cNvPr id="1073742904" name="Picture_8" descr="ShLFti"/>
                          <pic:cNvPicPr/>
                        </pic:nvPicPr>
                        <pic:blipFill>
                          <a:blip r:embed="rId20"/>
                          <a:stretch>
                            <a:fillRect/>
                          </a:stretch>
                        </pic:blipFill>
                        <pic:spPr>
                          <a:xfrm>
                            <a:off x="7846060" y="8025130"/>
                            <a:ext cx="241935" cy="252095"/>
                          </a:xfrm>
                          <a:prstGeom prst="rect">
                            <a:avLst/>
                          </a:prstGeom>
                        </pic:spPr>
                      </pic:pic>
                    </a:graphicData>
                  </a:graphic>
                </wp:inline>
              </w:drawing>
            </w:r>
          </w:p>
        </w:tc>
      </w:tr>
      <w:tr w14:paraId="764F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3F4BA">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3EC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智能墙壁插座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14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29D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45DD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10A额定；蓝牙Mesh/ZigBee；支持电量统计；远程/语音控制；86型。</w:t>
            </w:r>
          </w:p>
        </w:tc>
        <w:tc>
          <w:tcPr>
            <w:tcW w:w="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7C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51460" cy="252095"/>
                  <wp:effectExtent l="0" t="0" r="15240" b="14605"/>
                  <wp:docPr id="1073742905" name="Picture_28" descr="jZVrTb"/>
                  <wp:cNvGraphicFramePr/>
                  <a:graphic xmlns:a="http://schemas.openxmlformats.org/drawingml/2006/main">
                    <a:graphicData uri="http://schemas.openxmlformats.org/drawingml/2006/picture">
                      <pic:pic xmlns:pic="http://schemas.openxmlformats.org/drawingml/2006/picture">
                        <pic:nvPicPr>
                          <pic:cNvPr id="1073742905" name="Picture_28" descr="jZVrTb"/>
                          <pic:cNvPicPr/>
                        </pic:nvPicPr>
                        <pic:blipFill>
                          <a:blip r:embed="rId26"/>
                          <a:stretch>
                            <a:fillRect/>
                          </a:stretch>
                        </pic:blipFill>
                        <pic:spPr>
                          <a:xfrm>
                            <a:off x="7838440" y="8398510"/>
                            <a:ext cx="251460" cy="252095"/>
                          </a:xfrm>
                          <a:prstGeom prst="rect">
                            <a:avLst/>
                          </a:prstGeom>
                        </pic:spPr>
                      </pic:pic>
                    </a:graphicData>
                  </a:graphic>
                </wp:inline>
              </w:drawing>
            </w:r>
          </w:p>
        </w:tc>
      </w:tr>
      <w:tr w14:paraId="2019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750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卧室区域</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96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无线水浸漏水传感探测器溢水检测仪</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392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FE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680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ZigBee3.0、2.4GHz；CR2032电池(3V)；检测水位≥0.5mm；IP67防水；工作温度-10~55℃；需搭配A3网关。</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14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0665" cy="252095"/>
                  <wp:effectExtent l="0" t="0" r="6985" b="14605"/>
                  <wp:docPr id="1073742906" name="Picture_12" descr="gBEcUb"/>
                  <wp:cNvGraphicFramePr/>
                  <a:graphic xmlns:a="http://schemas.openxmlformats.org/drawingml/2006/main">
                    <a:graphicData uri="http://schemas.openxmlformats.org/drawingml/2006/picture">
                      <pic:pic xmlns:pic="http://schemas.openxmlformats.org/drawingml/2006/picture">
                        <pic:nvPicPr>
                          <pic:cNvPr id="1073742906" name="Picture_12" descr="gBEcUb"/>
                          <pic:cNvPicPr/>
                        </pic:nvPicPr>
                        <pic:blipFill>
                          <a:blip r:embed="rId19"/>
                          <a:stretch>
                            <a:fillRect/>
                          </a:stretch>
                        </pic:blipFill>
                        <pic:spPr>
                          <a:xfrm>
                            <a:off x="7886065" y="8723630"/>
                            <a:ext cx="240665" cy="252095"/>
                          </a:xfrm>
                          <a:prstGeom prst="rect">
                            <a:avLst/>
                          </a:prstGeom>
                        </pic:spPr>
                      </pic:pic>
                    </a:graphicData>
                  </a:graphic>
                </wp:inline>
              </w:drawing>
            </w:r>
          </w:p>
        </w:tc>
      </w:tr>
      <w:tr w14:paraId="57352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CCB6">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C72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天然气甲烷可燃气体探测器报警器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92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DB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8F15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催化燃烧式甲烷检测、报警阈值8%LEL；DC12V供电；ZigBee3.0；声光报警70-115dB；含电磁阀/排风扇接口；消防CCCF认证。</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E0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0665" cy="269875"/>
                  <wp:effectExtent l="0" t="0" r="6985" b="15875"/>
                  <wp:docPr id="1073742907" name="Picture_5" descr="GSxxYO"/>
                  <wp:cNvGraphicFramePr/>
                  <a:graphic xmlns:a="http://schemas.openxmlformats.org/drawingml/2006/main">
                    <a:graphicData uri="http://schemas.openxmlformats.org/drawingml/2006/picture">
                      <pic:pic xmlns:pic="http://schemas.openxmlformats.org/drawingml/2006/picture">
                        <pic:nvPicPr>
                          <pic:cNvPr id="1073742907" name="Picture_5" descr="GSxxYO"/>
                          <pic:cNvPicPr/>
                        </pic:nvPicPr>
                        <pic:blipFill>
                          <a:blip r:embed="rId11"/>
                          <a:stretch>
                            <a:fillRect/>
                          </a:stretch>
                        </pic:blipFill>
                        <pic:spPr>
                          <a:xfrm>
                            <a:off x="7862570" y="9144635"/>
                            <a:ext cx="240665" cy="269875"/>
                          </a:xfrm>
                          <a:prstGeom prst="rect">
                            <a:avLst/>
                          </a:prstGeom>
                        </pic:spPr>
                      </pic:pic>
                    </a:graphicData>
                  </a:graphic>
                </wp:inline>
              </w:drawing>
            </w:r>
          </w:p>
        </w:tc>
      </w:tr>
      <w:tr w14:paraId="38CAA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6E25">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04C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烟雾报警器烟感感应器消防火灾探测无线智能感烟警</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1E4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78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CD9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光电感烟；3V锂电池(2300mAh)；报警≥85dB@3m；工作温度-10~60℃；消防CCC认证；最多互联10只。</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02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538480" cy="269875"/>
                  <wp:effectExtent l="0" t="0" r="13970" b="15875"/>
                  <wp:docPr id="1073742908" name="Picture_30" descr="DtFLfT"/>
                  <wp:cNvGraphicFramePr/>
                  <a:graphic xmlns:a="http://schemas.openxmlformats.org/drawingml/2006/main">
                    <a:graphicData uri="http://schemas.openxmlformats.org/drawingml/2006/picture">
                      <pic:pic xmlns:pic="http://schemas.openxmlformats.org/drawingml/2006/picture">
                        <pic:nvPicPr>
                          <pic:cNvPr id="1073742908" name="Picture_30" descr="DtFLfT"/>
                          <pic:cNvPicPr/>
                        </pic:nvPicPr>
                        <pic:blipFill>
                          <a:blip r:embed="rId27"/>
                          <a:stretch>
                            <a:fillRect/>
                          </a:stretch>
                        </pic:blipFill>
                        <pic:spPr>
                          <a:xfrm>
                            <a:off x="7743190" y="9509125"/>
                            <a:ext cx="538480" cy="269875"/>
                          </a:xfrm>
                          <a:prstGeom prst="rect">
                            <a:avLst/>
                          </a:prstGeom>
                        </pic:spPr>
                      </pic:pic>
                    </a:graphicData>
                  </a:graphic>
                </wp:inline>
              </w:drawing>
            </w:r>
          </w:p>
        </w:tc>
      </w:tr>
      <w:tr w14:paraId="3DEBE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435B6">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5D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智能调光射灯</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31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EA2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741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5W功率；COB光源、显色指数Ra90；光束角24°、可调±25°；色温2700-6500K无级调光；蓝牙Mesh连接。</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56E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199390" cy="252095"/>
                  <wp:effectExtent l="0" t="0" r="10160" b="14605"/>
                  <wp:docPr id="1073742909" name="Picture_17" descr="yksoHB"/>
                  <wp:cNvGraphicFramePr/>
                  <a:graphic xmlns:a="http://schemas.openxmlformats.org/drawingml/2006/main">
                    <a:graphicData uri="http://schemas.openxmlformats.org/drawingml/2006/picture">
                      <pic:pic xmlns:pic="http://schemas.openxmlformats.org/drawingml/2006/picture">
                        <pic:nvPicPr>
                          <pic:cNvPr id="1073742909" name="Picture_17" descr="yksoHB"/>
                          <pic:cNvPicPr/>
                        </pic:nvPicPr>
                        <pic:blipFill>
                          <a:blip r:embed="rId28"/>
                          <a:stretch>
                            <a:fillRect/>
                          </a:stretch>
                        </pic:blipFill>
                        <pic:spPr>
                          <a:xfrm>
                            <a:off x="7862570" y="9914255"/>
                            <a:ext cx="199390" cy="252095"/>
                          </a:xfrm>
                          <a:prstGeom prst="rect">
                            <a:avLst/>
                          </a:prstGeom>
                        </pic:spPr>
                      </pic:pic>
                    </a:graphicData>
                  </a:graphic>
                </wp:inline>
              </w:drawing>
            </w:r>
          </w:p>
        </w:tc>
      </w:tr>
      <w:tr w14:paraId="3A20C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467A2">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880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19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米</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BAA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BEE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7FAF">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r>
      <w:tr w14:paraId="2FD90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0F086">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A2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43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6CC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E02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48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131445" cy="252095"/>
                  <wp:effectExtent l="0" t="0" r="1905" b="14605"/>
                  <wp:docPr id="1073742910" name="Picture_33" descr="HZINgG"/>
                  <wp:cNvGraphicFramePr/>
                  <a:graphic xmlns:a="http://schemas.openxmlformats.org/drawingml/2006/main">
                    <a:graphicData uri="http://schemas.openxmlformats.org/drawingml/2006/picture">
                      <pic:pic xmlns:pic="http://schemas.openxmlformats.org/drawingml/2006/picture">
                        <pic:nvPicPr>
                          <pic:cNvPr id="1073742910" name="Picture_33" descr="HZINgG"/>
                          <pic:cNvPicPr/>
                        </pic:nvPicPr>
                        <pic:blipFill>
                          <a:blip r:embed="rId29"/>
                          <a:stretch>
                            <a:fillRect/>
                          </a:stretch>
                        </pic:blipFill>
                        <pic:spPr>
                          <a:xfrm>
                            <a:off x="7909560" y="10683240"/>
                            <a:ext cx="131445" cy="252095"/>
                          </a:xfrm>
                          <a:prstGeom prst="rect">
                            <a:avLst/>
                          </a:prstGeom>
                        </pic:spPr>
                      </pic:pic>
                    </a:graphicData>
                  </a:graphic>
                </wp:inline>
              </w:drawing>
            </w:r>
          </w:p>
        </w:tc>
      </w:tr>
      <w:tr w14:paraId="1819E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DA8B3">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4D9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智能墙壁插座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51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AD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490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10A额定；蓝牙Mesh/ZigBee；支持电量统计；远程/语音控制；86型。</w:t>
            </w:r>
          </w:p>
        </w:tc>
        <w:tc>
          <w:tcPr>
            <w:tcW w:w="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9B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171450" cy="252095"/>
                  <wp:effectExtent l="0" t="0" r="0" b="14605"/>
                  <wp:docPr id="1073742911" name="Picture_29" descr="dzbbDq"/>
                  <wp:cNvGraphicFramePr/>
                  <a:graphic xmlns:a="http://schemas.openxmlformats.org/drawingml/2006/main">
                    <a:graphicData uri="http://schemas.openxmlformats.org/drawingml/2006/picture">
                      <pic:pic xmlns:pic="http://schemas.openxmlformats.org/drawingml/2006/picture">
                        <pic:nvPicPr>
                          <pic:cNvPr id="1073742911" name="Picture_29" descr="dzbbDq"/>
                          <pic:cNvPicPr/>
                        </pic:nvPicPr>
                        <pic:blipFill>
                          <a:blip r:embed="rId30"/>
                          <a:stretch>
                            <a:fillRect/>
                          </a:stretch>
                        </pic:blipFill>
                        <pic:spPr>
                          <a:xfrm>
                            <a:off x="7885430" y="11054080"/>
                            <a:ext cx="171450" cy="252095"/>
                          </a:xfrm>
                          <a:prstGeom prst="rect">
                            <a:avLst/>
                          </a:prstGeom>
                        </pic:spPr>
                      </pic:pic>
                    </a:graphicData>
                  </a:graphic>
                </wp:inline>
              </w:drawing>
            </w:r>
          </w:p>
        </w:tc>
      </w:tr>
      <w:tr w14:paraId="6499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2BE0">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36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无线网络面板AP</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7E5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27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D86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300M无线速率、2.4GHz频段；86型面板式；PoE供电；胖瘦一体。</w:t>
            </w:r>
          </w:p>
        </w:tc>
        <w:tc>
          <w:tcPr>
            <w:tcW w:w="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B4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2570" cy="252095"/>
                  <wp:effectExtent l="0" t="0" r="5080" b="14605"/>
                  <wp:docPr id="1073742912" name="Picture_32" descr="DMlQBy"/>
                  <wp:cNvGraphicFramePr/>
                  <a:graphic xmlns:a="http://schemas.openxmlformats.org/drawingml/2006/main">
                    <a:graphicData uri="http://schemas.openxmlformats.org/drawingml/2006/picture">
                      <pic:pic xmlns:pic="http://schemas.openxmlformats.org/drawingml/2006/picture">
                        <pic:nvPicPr>
                          <pic:cNvPr id="1073742912" name="Picture_32" descr="DMlQBy"/>
                          <pic:cNvPicPr/>
                        </pic:nvPicPr>
                        <pic:blipFill>
                          <a:blip r:embed="rId31"/>
                          <a:stretch>
                            <a:fillRect/>
                          </a:stretch>
                        </pic:blipFill>
                        <pic:spPr>
                          <a:xfrm>
                            <a:off x="7882255" y="11437620"/>
                            <a:ext cx="242570" cy="252095"/>
                          </a:xfrm>
                          <a:prstGeom prst="rect">
                            <a:avLst/>
                          </a:prstGeom>
                        </pic:spPr>
                      </pic:pic>
                    </a:graphicData>
                  </a:graphic>
                </wp:inline>
              </w:drawing>
            </w:r>
          </w:p>
        </w:tc>
      </w:tr>
      <w:tr w14:paraId="7C3B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40C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书房</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DF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桌面智能中控屏</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17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C0C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E74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3.97英寸屏幕、800×480分辨率；小爱同学远场语音(双麦克风)；Wi-Fi/蓝牙；可控制全屋智能设备。</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97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438150" cy="252095"/>
                  <wp:effectExtent l="0" t="0" r="0" b="14605"/>
                  <wp:docPr id="1073742913" name="Picture_16" descr="AgnfVr"/>
                  <wp:cNvGraphicFramePr/>
                  <a:graphic xmlns:a="http://schemas.openxmlformats.org/drawingml/2006/main">
                    <a:graphicData uri="http://schemas.openxmlformats.org/drawingml/2006/picture">
                      <pic:pic xmlns:pic="http://schemas.openxmlformats.org/drawingml/2006/picture">
                        <pic:nvPicPr>
                          <pic:cNvPr id="1073742913" name="Picture_16" descr="AgnfVr"/>
                          <pic:cNvPicPr/>
                        </pic:nvPicPr>
                        <pic:blipFill>
                          <a:blip r:embed="rId32"/>
                          <a:stretch>
                            <a:fillRect/>
                          </a:stretch>
                        </pic:blipFill>
                        <pic:spPr>
                          <a:xfrm>
                            <a:off x="7776210" y="11809095"/>
                            <a:ext cx="438150" cy="252095"/>
                          </a:xfrm>
                          <a:prstGeom prst="rect">
                            <a:avLst/>
                          </a:prstGeom>
                        </pic:spPr>
                      </pic:pic>
                    </a:graphicData>
                  </a:graphic>
                </wp:inline>
              </w:drawing>
            </w:r>
          </w:p>
        </w:tc>
      </w:tr>
      <w:tr w14:paraId="0B47C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545D4">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F1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二位屏显开关</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AA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24B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50F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2路照明控制、每路≤300W负载；蓝牙Mesh2.0；LCD屏显可自定义文字；86型面板。</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86E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42570" cy="248285"/>
                  <wp:effectExtent l="0" t="0" r="5080" b="18415"/>
                  <wp:docPr id="1073742914" name="Picture_21" descr="AjUDXQ"/>
                  <wp:cNvGraphicFramePr/>
                  <a:graphic xmlns:a="http://schemas.openxmlformats.org/drawingml/2006/main">
                    <a:graphicData uri="http://schemas.openxmlformats.org/drawingml/2006/picture">
                      <pic:pic xmlns:pic="http://schemas.openxmlformats.org/drawingml/2006/picture">
                        <pic:nvPicPr>
                          <pic:cNvPr id="1073742914" name="Picture_21" descr="AjUDXQ"/>
                          <pic:cNvPicPr/>
                        </pic:nvPicPr>
                        <pic:blipFill>
                          <a:blip r:embed="rId33"/>
                          <a:stretch>
                            <a:fillRect/>
                          </a:stretch>
                        </pic:blipFill>
                        <pic:spPr>
                          <a:xfrm>
                            <a:off x="7863205" y="12204700"/>
                            <a:ext cx="242570" cy="248285"/>
                          </a:xfrm>
                          <a:prstGeom prst="rect">
                            <a:avLst/>
                          </a:prstGeom>
                        </pic:spPr>
                      </pic:pic>
                    </a:graphicData>
                  </a:graphic>
                </wp:inline>
              </w:drawing>
            </w:r>
          </w:p>
        </w:tc>
      </w:tr>
      <w:tr w14:paraId="7468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6DA29">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23D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无线网络面板AP</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CA3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6E7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E2E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300M无线速率、2.4GHz频段；86型面板式；PoE供电；胖瘦一体。</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F4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38760" cy="248920"/>
                  <wp:effectExtent l="0" t="0" r="8890" b="17780"/>
                  <wp:docPr id="1073742915" name="Picture_13" descr="ifXZRc"/>
                  <wp:cNvGraphicFramePr/>
                  <a:graphic xmlns:a="http://schemas.openxmlformats.org/drawingml/2006/main">
                    <a:graphicData uri="http://schemas.openxmlformats.org/drawingml/2006/picture">
                      <pic:pic xmlns:pic="http://schemas.openxmlformats.org/drawingml/2006/picture">
                        <pic:nvPicPr>
                          <pic:cNvPr id="1073742915" name="Picture_13" descr="ifXZRc"/>
                          <pic:cNvPicPr/>
                        </pic:nvPicPr>
                        <pic:blipFill>
                          <a:blip r:embed="rId31"/>
                          <a:stretch>
                            <a:fillRect/>
                          </a:stretch>
                        </pic:blipFill>
                        <pic:spPr>
                          <a:xfrm>
                            <a:off x="7856220" y="12592685"/>
                            <a:ext cx="238760" cy="248920"/>
                          </a:xfrm>
                          <a:prstGeom prst="rect">
                            <a:avLst/>
                          </a:prstGeom>
                        </pic:spPr>
                      </pic:pic>
                    </a:graphicData>
                  </a:graphic>
                </wp:inline>
              </w:drawing>
            </w:r>
          </w:p>
        </w:tc>
      </w:tr>
      <w:tr w14:paraId="6AE8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2BE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卫浴</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C9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无线水浸漏水传感探测器溢水检测仪</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4E1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A38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11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ZigBee3.0、2.4GHz；CR2032电池(3V)；检测水位≥0.5mm；IP67防水；工作温度-10~55℃；需搭配A3网关。</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B60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485140" cy="252095"/>
                  <wp:effectExtent l="0" t="0" r="10160" b="14605"/>
                  <wp:docPr id="1073742916" name="Picture_36" descr="NucEdf"/>
                  <wp:cNvGraphicFramePr/>
                  <a:graphic xmlns:a="http://schemas.openxmlformats.org/drawingml/2006/main">
                    <a:graphicData uri="http://schemas.openxmlformats.org/drawingml/2006/picture">
                      <pic:pic xmlns:pic="http://schemas.openxmlformats.org/drawingml/2006/picture">
                        <pic:nvPicPr>
                          <pic:cNvPr id="1073742916" name="Picture_36" descr="NucEdf"/>
                          <pic:cNvPicPr/>
                        </pic:nvPicPr>
                        <pic:blipFill>
                          <a:blip r:embed="rId34"/>
                          <a:stretch>
                            <a:fillRect/>
                          </a:stretch>
                        </pic:blipFill>
                        <pic:spPr>
                          <a:xfrm>
                            <a:off x="7767320" y="12941300"/>
                            <a:ext cx="485140" cy="252095"/>
                          </a:xfrm>
                          <a:prstGeom prst="rect">
                            <a:avLst/>
                          </a:prstGeom>
                        </pic:spPr>
                      </pic:pic>
                    </a:graphicData>
                  </a:graphic>
                </wp:inline>
              </w:drawing>
            </w:r>
          </w:p>
        </w:tc>
      </w:tr>
      <w:tr w14:paraId="4FE45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50F64">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FD8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人在传感器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D5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B8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CBD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毫米波雷达，可检测静态人体存在；3年续航、1节纽扣电池；蓝牙连接；磁吸安装。</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EA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52095" cy="252095"/>
                  <wp:effectExtent l="0" t="0" r="14605" b="14605"/>
                  <wp:docPr id="1073742917" name="Picture_11" descr="wPgEst"/>
                  <wp:cNvGraphicFramePr/>
                  <a:graphic xmlns:a="http://schemas.openxmlformats.org/drawingml/2006/main">
                    <a:graphicData uri="http://schemas.openxmlformats.org/drawingml/2006/picture">
                      <pic:pic xmlns:pic="http://schemas.openxmlformats.org/drawingml/2006/picture">
                        <pic:nvPicPr>
                          <pic:cNvPr id="1073742917" name="Picture_11" descr="wPgEst"/>
                          <pic:cNvPicPr/>
                        </pic:nvPicPr>
                        <pic:blipFill>
                          <a:blip r:embed="rId35"/>
                          <a:stretch>
                            <a:fillRect/>
                          </a:stretch>
                        </pic:blipFill>
                        <pic:spPr>
                          <a:xfrm>
                            <a:off x="7854950" y="13331825"/>
                            <a:ext cx="252095" cy="252095"/>
                          </a:xfrm>
                          <a:prstGeom prst="rect">
                            <a:avLst/>
                          </a:prstGeom>
                        </pic:spPr>
                      </pic:pic>
                    </a:graphicData>
                  </a:graphic>
                </wp:inline>
              </w:drawing>
            </w:r>
          </w:p>
        </w:tc>
      </w:tr>
      <w:tr w14:paraId="43B42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9CD94">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D0D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智能墙壁插座</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2B7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26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F93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10A额定；蓝牙Mesh/ZigBee；支持电量统计；远程/语音控制；86型。</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8BF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200025" cy="252095"/>
                  <wp:effectExtent l="0" t="0" r="9525" b="14605"/>
                  <wp:docPr id="1073742918" name="Picture_22" descr="fobtto"/>
                  <wp:cNvGraphicFramePr/>
                  <a:graphic xmlns:a="http://schemas.openxmlformats.org/drawingml/2006/main">
                    <a:graphicData uri="http://schemas.openxmlformats.org/drawingml/2006/picture">
                      <pic:pic xmlns:pic="http://schemas.openxmlformats.org/drawingml/2006/picture">
                        <pic:nvPicPr>
                          <pic:cNvPr id="1073742918" name="Picture_22" descr="fobtto"/>
                          <pic:cNvPicPr/>
                        </pic:nvPicPr>
                        <pic:blipFill>
                          <a:blip r:embed="rId36"/>
                          <a:stretch>
                            <a:fillRect/>
                          </a:stretch>
                        </pic:blipFill>
                        <pic:spPr>
                          <a:xfrm>
                            <a:off x="7865110" y="13719175"/>
                            <a:ext cx="200025" cy="252095"/>
                          </a:xfrm>
                          <a:prstGeom prst="rect">
                            <a:avLst/>
                          </a:prstGeom>
                        </pic:spPr>
                      </pic:pic>
                    </a:graphicData>
                  </a:graphic>
                </wp:inline>
              </w:drawing>
            </w:r>
          </w:p>
        </w:tc>
      </w:tr>
      <w:tr w14:paraId="15CDD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FA6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卫浴</w:t>
            </w: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E2C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户外防水摄像头</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96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B7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16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IP66防水；2K分辨率；红外/全彩夜视；PIR人体侦测；双向语音；Wi-Fi连接。</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15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25120" cy="252095"/>
                  <wp:effectExtent l="0" t="0" r="17780" b="14605"/>
                  <wp:docPr id="1073742919" name="Picture_37" descr="NEmdpx"/>
                  <wp:cNvGraphicFramePr/>
                  <a:graphic xmlns:a="http://schemas.openxmlformats.org/drawingml/2006/main">
                    <a:graphicData uri="http://schemas.openxmlformats.org/drawingml/2006/picture">
                      <pic:pic xmlns:pic="http://schemas.openxmlformats.org/drawingml/2006/picture">
                        <pic:nvPicPr>
                          <pic:cNvPr id="1073742919" name="Picture_37" descr="NEmdpx"/>
                          <pic:cNvPicPr/>
                        </pic:nvPicPr>
                        <pic:blipFill>
                          <a:blip r:embed="rId37"/>
                          <a:stretch>
                            <a:fillRect/>
                          </a:stretch>
                        </pic:blipFill>
                        <pic:spPr>
                          <a:xfrm>
                            <a:off x="7839075" y="14092555"/>
                            <a:ext cx="325120" cy="252095"/>
                          </a:xfrm>
                          <a:prstGeom prst="rect">
                            <a:avLst/>
                          </a:prstGeom>
                        </pic:spPr>
                      </pic:pic>
                    </a:graphicData>
                  </a:graphic>
                </wp:inline>
              </w:drawing>
            </w:r>
          </w:p>
        </w:tc>
      </w:tr>
      <w:tr w14:paraId="64269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C3B08">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A51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监控专用TF卡</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46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74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C020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microSD存储卡，用于摄像头本地录像；需配合监控摄像头使用。</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5AA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333375" cy="252095"/>
                  <wp:effectExtent l="0" t="0" r="9525" b="14605"/>
                  <wp:docPr id="1073742920" name="Picture_27" descr="GoGenA"/>
                  <wp:cNvGraphicFramePr/>
                  <a:graphic xmlns:a="http://schemas.openxmlformats.org/drawingml/2006/main">
                    <a:graphicData uri="http://schemas.openxmlformats.org/drawingml/2006/picture">
                      <pic:pic xmlns:pic="http://schemas.openxmlformats.org/drawingml/2006/picture">
                        <pic:nvPicPr>
                          <pic:cNvPr id="1073742920" name="Picture_27" descr="GoGenA"/>
                          <pic:cNvPicPr/>
                        </pic:nvPicPr>
                        <pic:blipFill>
                          <a:blip r:embed="rId38"/>
                          <a:stretch>
                            <a:fillRect/>
                          </a:stretch>
                        </pic:blipFill>
                        <pic:spPr>
                          <a:xfrm>
                            <a:off x="7837170" y="14474825"/>
                            <a:ext cx="333375" cy="252095"/>
                          </a:xfrm>
                          <a:prstGeom prst="rect">
                            <a:avLst/>
                          </a:prstGeom>
                        </pic:spPr>
                      </pic:pic>
                    </a:graphicData>
                  </a:graphic>
                </wp:inline>
              </w:drawing>
            </w:r>
          </w:p>
        </w:tc>
      </w:tr>
      <w:tr w14:paraId="10822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DB15C">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1"/>
                <w:szCs w:val="21"/>
                <w:highlight w:val="none"/>
                <w:u w:val="none"/>
              </w:rPr>
            </w:pPr>
          </w:p>
        </w:tc>
        <w:tc>
          <w:tcPr>
            <w:tcW w:w="11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F73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雨水感应器</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867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5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CA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67F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水浸+雨水二合一；蓝牙BLE；CR1632电池、续航3年；IPX7防水；灵敏度3档可调。</w:t>
            </w:r>
          </w:p>
        </w:tc>
        <w:tc>
          <w:tcPr>
            <w:tcW w:w="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6EF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bdr w:val="single" w:color="000000" w:sz="4" w:space="0"/>
                <w:lang w:val="en-US" w:eastAsia="zh-CN" w:bidi="ar"/>
              </w:rPr>
              <w:drawing>
                <wp:inline distT="0" distB="0" distL="114300" distR="114300">
                  <wp:extent cx="459105" cy="252095"/>
                  <wp:effectExtent l="0" t="0" r="17145" b="14605"/>
                  <wp:docPr id="1073742921" name="Picture_24" descr="mOzjrX"/>
                  <wp:cNvGraphicFramePr/>
                  <a:graphic xmlns:a="http://schemas.openxmlformats.org/drawingml/2006/main">
                    <a:graphicData uri="http://schemas.openxmlformats.org/drawingml/2006/picture">
                      <pic:pic xmlns:pic="http://schemas.openxmlformats.org/drawingml/2006/picture">
                        <pic:nvPicPr>
                          <pic:cNvPr id="1073742921" name="Picture_24" descr="mOzjrX"/>
                          <pic:cNvPicPr/>
                        </pic:nvPicPr>
                        <pic:blipFill>
                          <a:blip r:embed="rId39"/>
                          <a:stretch>
                            <a:fillRect/>
                          </a:stretch>
                        </pic:blipFill>
                        <pic:spPr>
                          <a:xfrm>
                            <a:off x="7715885" y="14863445"/>
                            <a:ext cx="459105" cy="252095"/>
                          </a:xfrm>
                          <a:prstGeom prst="rect">
                            <a:avLst/>
                          </a:prstGeom>
                        </pic:spPr>
                      </pic:pic>
                    </a:graphicData>
                  </a:graphic>
                </wp:inline>
              </w:drawing>
            </w:r>
          </w:p>
        </w:tc>
      </w:tr>
    </w:tbl>
    <w:p w14:paraId="2BA642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1"/>
          <w:szCs w:val="21"/>
          <w:highlight w:val="none"/>
          <w:lang w:val="en-US" w:eastAsia="zh-CN"/>
        </w:rPr>
      </w:pPr>
      <w:r>
        <w:rPr>
          <w:rFonts w:hint="eastAsia" w:ascii="宋体" w:hAnsi="宋体" w:eastAsia="宋体" w:cs="宋体"/>
          <w:sz w:val="21"/>
          <w:szCs w:val="21"/>
          <w:highlight w:val="none"/>
          <w:lang w:val="en-US" w:eastAsia="zh-CN"/>
        </w:rPr>
        <w:t>网络综合布线实训墙</w:t>
      </w:r>
      <w:r>
        <w:rPr>
          <w:rFonts w:hint="eastAsia" w:ascii="宋体" w:hAnsi="宋体" w:cs="宋体"/>
          <w:b w:val="0"/>
          <w:bCs w:val="0"/>
          <w:color w:val="auto"/>
          <w:sz w:val="21"/>
          <w:szCs w:val="21"/>
          <w:highlight w:val="none"/>
          <w:lang w:val="en-US" w:eastAsia="zh-CN"/>
        </w:rPr>
        <w:t>内容包含</w:t>
      </w:r>
      <w:r>
        <w:rPr>
          <w:rFonts w:hint="eastAsia" w:ascii="宋体" w:hAnsi="宋体" w:cs="宋体"/>
          <w:b w:val="0"/>
          <w:bCs w:val="0"/>
          <w:color w:val="auto"/>
          <w:sz w:val="21"/>
          <w:szCs w:val="21"/>
          <w:highlight w:val="none"/>
        </w:rPr>
        <w:t>智能控制设备产品</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rPr>
        <w:t>智能线路、安装、调试、售后</w:t>
      </w:r>
      <w:r>
        <w:rPr>
          <w:rFonts w:hint="eastAsia" w:ascii="宋体" w:hAnsi="宋体" w:cs="宋体"/>
          <w:b w:val="0"/>
          <w:bCs w:val="0"/>
          <w:color w:val="auto"/>
          <w:sz w:val="21"/>
          <w:szCs w:val="21"/>
          <w:highlight w:val="none"/>
          <w:lang w:val="en-US" w:eastAsia="zh-CN"/>
        </w:rPr>
        <w:t>等。</w:t>
      </w:r>
    </w:p>
    <w:p w14:paraId="6F1F38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1"/>
          <w:szCs w:val="21"/>
          <w:highlight w:val="none"/>
        </w:rPr>
      </w:pPr>
      <w:r>
        <w:rPr>
          <w:rFonts w:hint="eastAsia" w:ascii="宋体" w:hAnsi="宋体" w:cs="宋体"/>
          <w:b w:val="0"/>
          <w:bCs w:val="0"/>
          <w:color w:val="auto"/>
          <w:sz w:val="21"/>
          <w:szCs w:val="21"/>
          <w:highlight w:val="none"/>
        </w:rPr>
        <w:br w:type="page"/>
      </w:r>
    </w:p>
    <w:p w14:paraId="68475A82">
      <w:pPr>
        <w:pageBreakBefore/>
        <w:adjustRightInd w:val="0"/>
        <w:snapToGrid w:val="0"/>
        <w:jc w:val="center"/>
        <w:outlineLvl w:val="0"/>
        <w:rPr>
          <w:rFonts w:hint="eastAsia" w:ascii="宋体" w:hAnsi="宋体" w:cs="宋体"/>
          <w:b/>
          <w:color w:val="auto"/>
          <w:sz w:val="32"/>
          <w:szCs w:val="32"/>
          <w:highlight w:val="none"/>
        </w:rPr>
      </w:pPr>
      <w:bookmarkStart w:id="98" w:name="_Toc17755"/>
      <w:r>
        <w:rPr>
          <w:rFonts w:hint="eastAsia" w:ascii="宋体" w:hAnsi="宋体" w:cs="宋体"/>
          <w:b/>
          <w:color w:val="auto"/>
          <w:sz w:val="32"/>
          <w:szCs w:val="32"/>
          <w:highlight w:val="none"/>
        </w:rPr>
        <w:t>第六章 响应文件组成</w:t>
      </w:r>
      <w:bookmarkEnd w:id="87"/>
      <w:bookmarkEnd w:id="98"/>
    </w:p>
    <w:p w14:paraId="066795F7">
      <w:pPr>
        <w:spacing w:line="360" w:lineRule="exact"/>
        <w:rPr>
          <w:rFonts w:hint="eastAsia" w:ascii="宋体" w:hAnsi="宋体" w:cs="宋体"/>
          <w:color w:val="auto"/>
          <w:highlight w:val="none"/>
        </w:rPr>
      </w:pPr>
    </w:p>
    <w:p w14:paraId="7E0B8877">
      <w:pPr>
        <w:adjustRightInd w:val="0"/>
        <w:snapToGrid w:val="0"/>
        <w:spacing w:line="360" w:lineRule="auto"/>
        <w:ind w:firstLine="3570" w:firstLineChars="1700"/>
        <w:jc w:val="center"/>
        <w:rPr>
          <w:rFonts w:hint="eastAsia" w:ascii="宋体" w:hAnsi="宋体" w:cs="宋体"/>
          <w:color w:val="auto"/>
          <w:szCs w:val="21"/>
          <w:highlight w:val="none"/>
          <w:u w:val="single"/>
        </w:rPr>
      </w:pPr>
    </w:p>
    <w:p w14:paraId="10904E78">
      <w:pPr>
        <w:spacing w:line="360" w:lineRule="auto"/>
        <w:rPr>
          <w:rFonts w:hint="eastAsia" w:ascii="宋体" w:hAnsi="宋体" w:cs="宋体"/>
          <w:color w:val="auto"/>
          <w:sz w:val="22"/>
          <w:szCs w:val="28"/>
          <w:highlight w:val="none"/>
        </w:rPr>
      </w:pPr>
      <w:r>
        <w:rPr>
          <w:rFonts w:hint="eastAsia" w:ascii="宋体" w:hAnsi="宋体" w:cs="宋体"/>
          <w:color w:val="auto"/>
          <w:sz w:val="22"/>
          <w:szCs w:val="28"/>
          <w:highlight w:val="none"/>
        </w:rPr>
        <w:t>供应商的响应文件应包含以下九个部分：</w:t>
      </w:r>
    </w:p>
    <w:p w14:paraId="1AEEAB9C">
      <w:pPr>
        <w:adjustRightInd w:val="0"/>
        <w:snapToGrid w:val="0"/>
        <w:spacing w:line="360" w:lineRule="auto"/>
        <w:jc w:val="left"/>
        <w:rPr>
          <w:rFonts w:hint="eastAsia" w:ascii="宋体" w:hAnsi="宋体" w:cs="宋体"/>
          <w:b/>
          <w:color w:val="auto"/>
          <w:sz w:val="22"/>
          <w:szCs w:val="22"/>
          <w:highlight w:val="none"/>
        </w:rPr>
      </w:pPr>
      <w:bookmarkStart w:id="99" w:name="_Toc17831"/>
      <w:r>
        <w:rPr>
          <w:rFonts w:hint="eastAsia" w:ascii="宋体" w:hAnsi="宋体" w:cs="宋体"/>
          <w:b/>
          <w:color w:val="auto"/>
          <w:sz w:val="22"/>
          <w:szCs w:val="22"/>
          <w:highlight w:val="none"/>
        </w:rPr>
        <w:t>一、磋商响应声明</w:t>
      </w:r>
      <w:bookmarkEnd w:id="99"/>
    </w:p>
    <w:p w14:paraId="6E700C37">
      <w:pPr>
        <w:adjustRightInd w:val="0"/>
        <w:snapToGrid w:val="0"/>
        <w:spacing w:line="360" w:lineRule="auto"/>
        <w:ind w:firstLine="440" w:firstLineChars="200"/>
        <w:jc w:val="left"/>
        <w:rPr>
          <w:rFonts w:hint="eastAsia" w:ascii="宋体" w:hAnsi="宋体" w:cs="宋体"/>
          <w:color w:val="auto"/>
          <w:sz w:val="22"/>
          <w:szCs w:val="22"/>
          <w:highlight w:val="none"/>
        </w:rPr>
      </w:pPr>
      <w:bookmarkStart w:id="100" w:name="_Toc1671"/>
      <w:r>
        <w:rPr>
          <w:rFonts w:hint="eastAsia" w:ascii="宋体" w:hAnsi="宋体" w:cs="宋体"/>
          <w:color w:val="auto"/>
          <w:sz w:val="22"/>
          <w:szCs w:val="22"/>
          <w:highlight w:val="none"/>
        </w:rPr>
        <w:t>附件1：法定代表人身份证明</w:t>
      </w:r>
      <w:bookmarkEnd w:id="100"/>
    </w:p>
    <w:p w14:paraId="040A75B6">
      <w:pPr>
        <w:adjustRightInd w:val="0"/>
        <w:snapToGrid w:val="0"/>
        <w:spacing w:line="360" w:lineRule="auto"/>
        <w:ind w:firstLine="440" w:firstLineChars="200"/>
        <w:jc w:val="left"/>
        <w:rPr>
          <w:rFonts w:hint="eastAsia" w:ascii="宋体" w:hAnsi="宋体" w:cs="宋体"/>
          <w:color w:val="auto"/>
          <w:sz w:val="22"/>
          <w:szCs w:val="22"/>
          <w:highlight w:val="none"/>
        </w:rPr>
      </w:pPr>
      <w:bookmarkStart w:id="101" w:name="_Toc23153"/>
      <w:r>
        <w:rPr>
          <w:rFonts w:hint="eastAsia" w:ascii="宋体" w:hAnsi="宋体" w:cs="宋体"/>
          <w:color w:val="auto"/>
          <w:sz w:val="22"/>
          <w:szCs w:val="22"/>
          <w:highlight w:val="none"/>
        </w:rPr>
        <w:t>附件2：法定代表人授权委托书</w:t>
      </w:r>
      <w:bookmarkEnd w:id="101"/>
    </w:p>
    <w:p w14:paraId="266A87DA">
      <w:pPr>
        <w:numPr>
          <w:ilvl w:val="0"/>
          <w:numId w:val="3"/>
        </w:numPr>
        <w:adjustRightInd w:val="0"/>
        <w:snapToGrid w:val="0"/>
        <w:spacing w:line="360" w:lineRule="auto"/>
        <w:jc w:val="left"/>
        <w:rPr>
          <w:rFonts w:hint="eastAsia" w:ascii="宋体" w:hAnsi="宋体" w:cs="宋体"/>
          <w:b/>
          <w:color w:val="auto"/>
          <w:sz w:val="22"/>
          <w:szCs w:val="22"/>
          <w:highlight w:val="none"/>
        </w:rPr>
      </w:pPr>
      <w:bookmarkStart w:id="102" w:name="_Toc28547"/>
      <w:r>
        <w:rPr>
          <w:rFonts w:hint="eastAsia" w:ascii="宋体" w:hAnsi="宋体" w:cs="宋体"/>
          <w:b/>
          <w:color w:val="auto"/>
          <w:sz w:val="22"/>
          <w:szCs w:val="22"/>
          <w:highlight w:val="none"/>
        </w:rPr>
        <w:t>保证金</w:t>
      </w:r>
      <w:bookmarkEnd w:id="102"/>
    </w:p>
    <w:p w14:paraId="35BB6F56">
      <w:pPr>
        <w:adjustRightInd w:val="0"/>
        <w:snapToGrid w:val="0"/>
        <w:spacing w:line="360" w:lineRule="auto"/>
        <w:jc w:val="left"/>
        <w:rPr>
          <w:rFonts w:hint="eastAsia" w:ascii="宋体" w:hAnsi="宋体" w:cs="宋体"/>
          <w:b/>
          <w:color w:val="auto"/>
          <w:sz w:val="22"/>
          <w:szCs w:val="22"/>
          <w:highlight w:val="none"/>
        </w:rPr>
      </w:pPr>
      <w:bookmarkStart w:id="103" w:name="_Toc16522"/>
      <w:r>
        <w:rPr>
          <w:rFonts w:hint="eastAsia" w:ascii="宋体" w:hAnsi="宋体" w:cs="宋体"/>
          <w:b/>
          <w:color w:val="auto"/>
          <w:sz w:val="22"/>
          <w:szCs w:val="22"/>
          <w:highlight w:val="none"/>
        </w:rPr>
        <w:t>三、供应商的资格证明资料</w:t>
      </w:r>
      <w:bookmarkEnd w:id="103"/>
    </w:p>
    <w:p w14:paraId="638FB34C">
      <w:pPr>
        <w:adjustRightInd w:val="0"/>
        <w:snapToGrid w:val="0"/>
        <w:spacing w:line="360" w:lineRule="auto"/>
        <w:ind w:firstLine="440" w:firstLineChars="200"/>
        <w:jc w:val="left"/>
        <w:rPr>
          <w:rFonts w:hint="eastAsia" w:ascii="宋体" w:hAnsi="宋体" w:cs="宋体"/>
          <w:color w:val="auto"/>
          <w:sz w:val="22"/>
          <w:szCs w:val="22"/>
          <w:highlight w:val="none"/>
        </w:rPr>
      </w:pPr>
      <w:bookmarkStart w:id="104" w:name="_Toc5294"/>
      <w:r>
        <w:rPr>
          <w:rFonts w:hint="eastAsia" w:ascii="宋体" w:hAnsi="宋体" w:cs="宋体"/>
          <w:color w:val="auto"/>
          <w:sz w:val="22"/>
          <w:szCs w:val="22"/>
          <w:highlight w:val="none"/>
        </w:rPr>
        <w:t>附件3：供应商基本情况表</w:t>
      </w:r>
      <w:bookmarkEnd w:id="104"/>
    </w:p>
    <w:p w14:paraId="13A4B061">
      <w:pPr>
        <w:adjustRightInd w:val="0"/>
        <w:snapToGrid w:val="0"/>
        <w:spacing w:line="360" w:lineRule="auto"/>
        <w:ind w:firstLine="440" w:firstLineChars="200"/>
        <w:rPr>
          <w:rFonts w:hint="eastAsia" w:ascii="宋体" w:hAnsi="宋体" w:cs="宋体"/>
          <w:color w:val="auto"/>
          <w:sz w:val="22"/>
          <w:szCs w:val="22"/>
          <w:highlight w:val="none"/>
        </w:rPr>
      </w:pPr>
      <w:bookmarkStart w:id="105" w:name="_Toc6859"/>
      <w:r>
        <w:rPr>
          <w:rFonts w:hint="eastAsia" w:ascii="宋体" w:hAnsi="宋体" w:cs="宋体"/>
          <w:color w:val="auto"/>
          <w:sz w:val="22"/>
          <w:szCs w:val="22"/>
          <w:highlight w:val="none"/>
        </w:rPr>
        <w:t>附件4：参加政府采购活动前三年内在经营活动中没有重大违法记录的书面声明</w:t>
      </w:r>
      <w:bookmarkEnd w:id="105"/>
    </w:p>
    <w:p w14:paraId="0BCCC73D">
      <w:pPr>
        <w:adjustRightInd w:val="0"/>
        <w:snapToGrid w:val="0"/>
        <w:spacing w:line="360" w:lineRule="auto"/>
        <w:ind w:firstLine="440" w:firstLineChars="200"/>
        <w:rPr>
          <w:rFonts w:hint="eastAsia" w:ascii="宋体" w:hAnsi="宋体" w:cs="宋体"/>
          <w:color w:val="auto"/>
          <w:sz w:val="22"/>
          <w:szCs w:val="22"/>
          <w:highlight w:val="none"/>
        </w:rPr>
      </w:pPr>
      <w:bookmarkStart w:id="106" w:name="_Toc14414"/>
      <w:r>
        <w:rPr>
          <w:rFonts w:hint="eastAsia" w:ascii="宋体" w:hAnsi="宋体" w:cs="宋体"/>
          <w:color w:val="auto"/>
          <w:sz w:val="22"/>
          <w:szCs w:val="22"/>
          <w:highlight w:val="none"/>
        </w:rPr>
        <w:t>附件5：磋商文件规定的基本资格条件证明资料</w:t>
      </w:r>
      <w:bookmarkEnd w:id="106"/>
    </w:p>
    <w:p w14:paraId="54E1AA3F">
      <w:pPr>
        <w:adjustRightInd w:val="0"/>
        <w:snapToGrid w:val="0"/>
        <w:spacing w:line="360" w:lineRule="auto"/>
        <w:ind w:firstLine="440" w:firstLineChars="200"/>
        <w:rPr>
          <w:rFonts w:hint="eastAsia" w:ascii="宋体" w:hAnsi="宋体" w:cs="宋体"/>
          <w:color w:val="auto"/>
          <w:sz w:val="22"/>
          <w:szCs w:val="22"/>
          <w:highlight w:val="none"/>
        </w:rPr>
      </w:pPr>
      <w:bookmarkStart w:id="107" w:name="_Toc27107"/>
      <w:r>
        <w:rPr>
          <w:rFonts w:hint="eastAsia" w:ascii="宋体" w:hAnsi="宋体" w:cs="宋体"/>
          <w:bCs/>
          <w:color w:val="auto"/>
          <w:sz w:val="22"/>
          <w:szCs w:val="22"/>
          <w:highlight w:val="none"/>
        </w:rPr>
        <w:t>附件6：</w:t>
      </w:r>
      <w:r>
        <w:rPr>
          <w:rFonts w:hint="eastAsia" w:ascii="宋体" w:hAnsi="宋体" w:cs="宋体"/>
          <w:color w:val="auto"/>
          <w:sz w:val="22"/>
          <w:szCs w:val="22"/>
          <w:highlight w:val="none"/>
        </w:rPr>
        <w:t>磋商文件规定的特定资格条件证明资料</w:t>
      </w:r>
      <w:bookmarkEnd w:id="107"/>
    </w:p>
    <w:p w14:paraId="26FE9FBE">
      <w:pPr>
        <w:adjustRightInd w:val="0"/>
        <w:snapToGrid w:val="0"/>
        <w:spacing w:line="360" w:lineRule="auto"/>
        <w:ind w:firstLine="440" w:firstLineChars="200"/>
        <w:rPr>
          <w:rFonts w:hint="eastAsia" w:ascii="宋体" w:hAnsi="宋体" w:cs="宋体"/>
          <w:bCs/>
          <w:color w:val="auto"/>
          <w:sz w:val="22"/>
          <w:szCs w:val="22"/>
          <w:highlight w:val="none"/>
        </w:rPr>
      </w:pPr>
      <w:bookmarkStart w:id="108" w:name="_Toc10676"/>
      <w:r>
        <w:rPr>
          <w:rFonts w:hint="eastAsia" w:ascii="宋体" w:hAnsi="宋体" w:cs="宋体"/>
          <w:color w:val="auto"/>
          <w:sz w:val="22"/>
          <w:szCs w:val="28"/>
          <w:highlight w:val="none"/>
        </w:rPr>
        <w:t>附件7</w:t>
      </w:r>
      <w:r>
        <w:rPr>
          <w:rFonts w:hint="eastAsia" w:ascii="宋体" w:hAnsi="宋体" w:cs="宋体"/>
          <w:bCs/>
          <w:color w:val="auto"/>
          <w:sz w:val="22"/>
          <w:szCs w:val="22"/>
          <w:highlight w:val="none"/>
        </w:rPr>
        <w:t>：其他说明</w:t>
      </w:r>
      <w:bookmarkEnd w:id="108"/>
    </w:p>
    <w:p w14:paraId="6E779BCD">
      <w:pPr>
        <w:pStyle w:val="10"/>
        <w:adjustRightInd w:val="0"/>
        <w:snapToGrid w:val="0"/>
        <w:spacing w:line="360" w:lineRule="auto"/>
        <w:rPr>
          <w:rFonts w:hint="eastAsia" w:hAnsi="宋体" w:cs="宋体"/>
          <w:b/>
          <w:color w:val="auto"/>
          <w:sz w:val="21"/>
          <w:szCs w:val="22"/>
          <w:highlight w:val="none"/>
        </w:rPr>
      </w:pPr>
      <w:bookmarkStart w:id="109" w:name="_Toc21440"/>
      <w:r>
        <w:rPr>
          <w:rFonts w:hint="eastAsia" w:hAnsi="宋体" w:cs="宋体"/>
          <w:b/>
          <w:color w:val="auto"/>
          <w:sz w:val="21"/>
          <w:szCs w:val="22"/>
          <w:highlight w:val="none"/>
        </w:rPr>
        <w:t>四、项目技术方案</w:t>
      </w:r>
      <w:bookmarkEnd w:id="109"/>
    </w:p>
    <w:p w14:paraId="68CBFA2C">
      <w:pPr>
        <w:pStyle w:val="10"/>
        <w:adjustRightInd w:val="0"/>
        <w:snapToGrid w:val="0"/>
        <w:spacing w:line="360" w:lineRule="auto"/>
        <w:ind w:firstLine="435"/>
        <w:rPr>
          <w:rFonts w:hint="eastAsia" w:hAnsi="宋体" w:cs="宋体"/>
          <w:color w:val="auto"/>
          <w:sz w:val="21"/>
          <w:szCs w:val="22"/>
          <w:highlight w:val="none"/>
        </w:rPr>
      </w:pPr>
      <w:r>
        <w:rPr>
          <w:rFonts w:hint="eastAsia" w:hAnsi="宋体" w:cs="宋体"/>
          <w:color w:val="auto"/>
          <w:sz w:val="21"/>
          <w:szCs w:val="22"/>
          <w:highlight w:val="none"/>
        </w:rPr>
        <w:t>附件8：技术方案</w:t>
      </w:r>
    </w:p>
    <w:p w14:paraId="551C03AD">
      <w:pPr>
        <w:pStyle w:val="10"/>
        <w:adjustRightInd w:val="0"/>
        <w:snapToGrid w:val="0"/>
        <w:spacing w:line="360" w:lineRule="auto"/>
        <w:ind w:firstLine="435"/>
        <w:rPr>
          <w:rFonts w:hint="eastAsia" w:hAnsi="宋体" w:cs="宋体"/>
          <w:b/>
          <w:color w:val="auto"/>
          <w:sz w:val="21"/>
          <w:szCs w:val="22"/>
          <w:highlight w:val="none"/>
        </w:rPr>
      </w:pPr>
      <w:r>
        <w:rPr>
          <w:rFonts w:hint="eastAsia" w:hAnsi="宋体" w:cs="宋体"/>
          <w:color w:val="auto"/>
          <w:sz w:val="21"/>
          <w:szCs w:val="22"/>
          <w:highlight w:val="none"/>
        </w:rPr>
        <w:t>附件9：技术指标说明</w:t>
      </w:r>
    </w:p>
    <w:p w14:paraId="401EE693">
      <w:pPr>
        <w:numPr>
          <w:ilvl w:val="0"/>
          <w:numId w:val="4"/>
        </w:numPr>
        <w:adjustRightInd w:val="0"/>
        <w:snapToGrid w:val="0"/>
        <w:spacing w:line="360" w:lineRule="auto"/>
        <w:rPr>
          <w:rFonts w:hint="eastAsia" w:ascii="宋体" w:hAnsi="宋体" w:cs="宋体"/>
          <w:b/>
          <w:color w:val="auto"/>
          <w:sz w:val="22"/>
          <w:szCs w:val="28"/>
          <w:highlight w:val="none"/>
        </w:rPr>
      </w:pPr>
      <w:r>
        <w:rPr>
          <w:rFonts w:hint="eastAsia" w:ascii="宋体" w:hAnsi="宋体" w:cs="宋体"/>
          <w:b/>
          <w:color w:val="auto"/>
          <w:sz w:val="22"/>
          <w:szCs w:val="28"/>
          <w:highlight w:val="none"/>
        </w:rPr>
        <w:t>技术/商务响应与偏离表</w:t>
      </w:r>
    </w:p>
    <w:p w14:paraId="24B8B00D">
      <w:pPr>
        <w:pStyle w:val="10"/>
        <w:adjustRightInd w:val="0"/>
        <w:snapToGrid w:val="0"/>
        <w:spacing w:line="360" w:lineRule="auto"/>
        <w:rPr>
          <w:rFonts w:hint="eastAsia" w:hAnsi="宋体" w:cs="宋体"/>
          <w:b/>
          <w:color w:val="auto"/>
          <w:sz w:val="21"/>
          <w:szCs w:val="22"/>
          <w:highlight w:val="none"/>
        </w:rPr>
      </w:pPr>
      <w:r>
        <w:rPr>
          <w:rFonts w:hint="eastAsia" w:hAnsi="宋体" w:cs="宋体"/>
          <w:b/>
          <w:color w:val="auto"/>
          <w:sz w:val="21"/>
          <w:szCs w:val="22"/>
          <w:highlight w:val="none"/>
        </w:rPr>
        <w:t>六、提供享受政府采购政策的证明资料</w:t>
      </w:r>
    </w:p>
    <w:p w14:paraId="4B2A01A1">
      <w:pPr>
        <w:pStyle w:val="10"/>
        <w:adjustRightInd w:val="0"/>
        <w:snapToGrid w:val="0"/>
        <w:spacing w:line="360" w:lineRule="auto"/>
        <w:ind w:firstLine="420" w:firstLineChars="200"/>
        <w:rPr>
          <w:rFonts w:hint="eastAsia" w:hAnsi="宋体" w:cs="宋体"/>
          <w:color w:val="auto"/>
          <w:sz w:val="21"/>
          <w:szCs w:val="22"/>
          <w:highlight w:val="none"/>
        </w:rPr>
      </w:pPr>
      <w:r>
        <w:rPr>
          <w:rFonts w:hint="eastAsia" w:hAnsi="宋体" w:cs="宋体"/>
          <w:color w:val="auto"/>
          <w:sz w:val="21"/>
          <w:szCs w:val="22"/>
          <w:highlight w:val="none"/>
        </w:rPr>
        <w:t>附件10：中小企业声明函</w:t>
      </w:r>
    </w:p>
    <w:p w14:paraId="530CF40D">
      <w:pPr>
        <w:pStyle w:val="10"/>
        <w:adjustRightInd w:val="0"/>
        <w:snapToGrid w:val="0"/>
        <w:spacing w:line="360" w:lineRule="auto"/>
        <w:ind w:firstLine="420" w:firstLineChars="200"/>
        <w:rPr>
          <w:rFonts w:hint="eastAsia" w:hAnsi="宋体" w:cs="宋体"/>
          <w:color w:val="auto"/>
          <w:sz w:val="21"/>
          <w:szCs w:val="22"/>
          <w:highlight w:val="none"/>
        </w:rPr>
      </w:pPr>
      <w:r>
        <w:rPr>
          <w:rFonts w:hint="eastAsia" w:hAnsi="宋体" w:cs="宋体"/>
          <w:color w:val="auto"/>
          <w:sz w:val="21"/>
          <w:szCs w:val="22"/>
          <w:highlight w:val="none"/>
        </w:rPr>
        <w:t>附件10-1：中小企业货物清单表</w:t>
      </w:r>
    </w:p>
    <w:p w14:paraId="5CB004FC">
      <w:pPr>
        <w:pStyle w:val="10"/>
        <w:adjustRightInd w:val="0"/>
        <w:snapToGrid w:val="0"/>
        <w:spacing w:line="360" w:lineRule="auto"/>
        <w:ind w:firstLine="420" w:firstLineChars="200"/>
        <w:rPr>
          <w:rFonts w:hint="eastAsia" w:hAnsi="宋体" w:cs="宋体"/>
          <w:color w:val="auto"/>
          <w:sz w:val="21"/>
          <w:szCs w:val="22"/>
          <w:highlight w:val="none"/>
        </w:rPr>
      </w:pPr>
      <w:r>
        <w:rPr>
          <w:rFonts w:hint="eastAsia" w:hAnsi="宋体" w:cs="宋体"/>
          <w:color w:val="auto"/>
          <w:sz w:val="21"/>
          <w:szCs w:val="22"/>
          <w:highlight w:val="none"/>
        </w:rPr>
        <w:t>附件10-2：“节能产品”、“环境标志产品”证明材料</w:t>
      </w:r>
    </w:p>
    <w:p w14:paraId="4EDFFF2D">
      <w:pPr>
        <w:pStyle w:val="10"/>
        <w:adjustRightInd w:val="0"/>
        <w:snapToGrid w:val="0"/>
        <w:spacing w:line="360" w:lineRule="auto"/>
        <w:ind w:firstLine="420" w:firstLineChars="200"/>
        <w:rPr>
          <w:rFonts w:hint="eastAsia" w:hAnsi="宋体" w:cs="宋体"/>
          <w:color w:val="auto"/>
          <w:sz w:val="21"/>
          <w:szCs w:val="22"/>
          <w:highlight w:val="none"/>
        </w:rPr>
      </w:pPr>
      <w:r>
        <w:rPr>
          <w:rFonts w:hint="eastAsia" w:hAnsi="宋体" w:cs="宋体"/>
          <w:color w:val="auto"/>
          <w:sz w:val="21"/>
          <w:szCs w:val="22"/>
          <w:highlight w:val="none"/>
        </w:rPr>
        <w:t>附件10-3： 节能产品、环境标志产品</w:t>
      </w:r>
    </w:p>
    <w:p w14:paraId="74B83E9D">
      <w:pPr>
        <w:pStyle w:val="10"/>
        <w:adjustRightInd w:val="0"/>
        <w:snapToGrid w:val="0"/>
        <w:spacing w:line="360" w:lineRule="auto"/>
        <w:ind w:firstLine="420" w:firstLineChars="200"/>
        <w:rPr>
          <w:rFonts w:hint="eastAsia" w:hAnsi="宋体" w:cs="宋体"/>
          <w:color w:val="auto"/>
          <w:sz w:val="21"/>
          <w:szCs w:val="22"/>
          <w:highlight w:val="none"/>
        </w:rPr>
      </w:pPr>
      <w:r>
        <w:rPr>
          <w:rFonts w:hint="eastAsia" w:hAnsi="宋体" w:cs="宋体"/>
          <w:color w:val="auto"/>
          <w:sz w:val="21"/>
          <w:szCs w:val="22"/>
          <w:highlight w:val="none"/>
        </w:rPr>
        <w:t>附件10-</w:t>
      </w:r>
      <w:r>
        <w:rPr>
          <w:rFonts w:hint="eastAsia" w:hAnsi="宋体" w:cs="宋体"/>
          <w:color w:val="auto"/>
          <w:sz w:val="21"/>
          <w:szCs w:val="22"/>
          <w:highlight w:val="none"/>
          <w:lang w:val="en-US" w:eastAsia="zh-CN"/>
        </w:rPr>
        <w:t>4</w:t>
      </w:r>
      <w:r>
        <w:rPr>
          <w:rFonts w:hint="eastAsia" w:hAnsi="宋体" w:cs="宋体"/>
          <w:color w:val="auto"/>
          <w:sz w:val="21"/>
          <w:szCs w:val="22"/>
          <w:highlight w:val="none"/>
        </w:rPr>
        <w:t>：中国境内生产的组件成本核算基本规则</w:t>
      </w:r>
    </w:p>
    <w:p w14:paraId="7F8992EF">
      <w:pPr>
        <w:pStyle w:val="10"/>
        <w:adjustRightInd w:val="0"/>
        <w:snapToGrid w:val="0"/>
        <w:spacing w:line="360" w:lineRule="auto"/>
        <w:rPr>
          <w:rFonts w:hint="eastAsia" w:hAnsi="宋体" w:cs="宋体"/>
          <w:b/>
          <w:color w:val="auto"/>
          <w:sz w:val="21"/>
          <w:szCs w:val="22"/>
          <w:highlight w:val="none"/>
        </w:rPr>
      </w:pPr>
      <w:bookmarkStart w:id="110" w:name="_Toc9101"/>
      <w:r>
        <w:rPr>
          <w:rFonts w:hint="eastAsia" w:hAnsi="宋体" w:cs="宋体"/>
          <w:b/>
          <w:color w:val="auto"/>
          <w:sz w:val="21"/>
          <w:szCs w:val="22"/>
          <w:highlight w:val="none"/>
        </w:rPr>
        <w:t>七、报价一览表及分项价格表</w:t>
      </w:r>
      <w:bookmarkEnd w:id="110"/>
    </w:p>
    <w:p w14:paraId="43A3EE45">
      <w:pPr>
        <w:adjustRightInd w:val="0"/>
        <w:snapToGrid w:val="0"/>
        <w:spacing w:line="360" w:lineRule="auto"/>
        <w:ind w:firstLine="440" w:firstLineChars="200"/>
        <w:jc w:val="left"/>
        <w:rPr>
          <w:rFonts w:hint="eastAsia" w:ascii="宋体" w:hAnsi="宋体" w:cs="宋体"/>
          <w:bCs/>
          <w:color w:val="auto"/>
          <w:sz w:val="22"/>
          <w:szCs w:val="22"/>
          <w:highlight w:val="none"/>
        </w:rPr>
      </w:pPr>
      <w:bookmarkStart w:id="111" w:name="_Toc27399"/>
      <w:r>
        <w:rPr>
          <w:rFonts w:hint="eastAsia" w:ascii="宋体" w:hAnsi="宋体" w:cs="宋体"/>
          <w:color w:val="auto"/>
          <w:sz w:val="22"/>
          <w:szCs w:val="22"/>
          <w:highlight w:val="none"/>
        </w:rPr>
        <w:t>附件11：</w:t>
      </w:r>
      <w:r>
        <w:rPr>
          <w:rFonts w:hint="eastAsia" w:ascii="宋体" w:hAnsi="宋体" w:cs="宋体"/>
          <w:bCs/>
          <w:color w:val="auto"/>
          <w:sz w:val="22"/>
          <w:szCs w:val="22"/>
          <w:highlight w:val="none"/>
        </w:rPr>
        <w:t>报价一览表</w:t>
      </w:r>
      <w:bookmarkEnd w:id="111"/>
    </w:p>
    <w:p w14:paraId="63DF5F89">
      <w:pPr>
        <w:adjustRightInd w:val="0"/>
        <w:snapToGrid w:val="0"/>
        <w:spacing w:line="360" w:lineRule="auto"/>
        <w:ind w:firstLine="440" w:firstLineChars="200"/>
        <w:jc w:val="left"/>
        <w:rPr>
          <w:rFonts w:hint="eastAsia" w:ascii="宋体" w:hAnsi="宋体" w:cs="宋体"/>
          <w:color w:val="auto"/>
          <w:sz w:val="22"/>
          <w:szCs w:val="22"/>
          <w:highlight w:val="none"/>
        </w:rPr>
      </w:pPr>
      <w:bookmarkStart w:id="112" w:name="_Toc19949"/>
      <w:r>
        <w:rPr>
          <w:rFonts w:hint="eastAsia" w:ascii="宋体" w:hAnsi="宋体" w:cs="宋体"/>
          <w:bCs/>
          <w:color w:val="auto"/>
          <w:sz w:val="22"/>
          <w:szCs w:val="22"/>
          <w:highlight w:val="none"/>
        </w:rPr>
        <w:t>附件11-1：分项价格表</w:t>
      </w:r>
      <w:bookmarkEnd w:id="112"/>
    </w:p>
    <w:p w14:paraId="5935C83B">
      <w:pPr>
        <w:pStyle w:val="10"/>
        <w:numPr>
          <w:ilvl w:val="0"/>
          <w:numId w:val="5"/>
        </w:numPr>
        <w:adjustRightInd w:val="0"/>
        <w:snapToGrid w:val="0"/>
        <w:spacing w:line="360" w:lineRule="auto"/>
        <w:rPr>
          <w:rFonts w:hint="eastAsia" w:hAnsi="宋体" w:cs="宋体"/>
          <w:b/>
          <w:color w:val="auto"/>
          <w:sz w:val="21"/>
          <w:szCs w:val="22"/>
          <w:highlight w:val="none"/>
        </w:rPr>
      </w:pPr>
      <w:r>
        <w:rPr>
          <w:rFonts w:hint="eastAsia" w:hAnsi="宋体" w:cs="宋体"/>
          <w:b/>
          <w:color w:val="auto"/>
          <w:sz w:val="21"/>
          <w:szCs w:val="22"/>
          <w:highlight w:val="none"/>
        </w:rPr>
        <w:t>供应商认为需提供的其它资料</w:t>
      </w:r>
    </w:p>
    <w:p w14:paraId="4112D06C">
      <w:pPr>
        <w:pStyle w:val="10"/>
        <w:adjustRightInd w:val="0"/>
        <w:snapToGrid w:val="0"/>
        <w:spacing w:line="360" w:lineRule="auto"/>
        <w:rPr>
          <w:rFonts w:hint="eastAsia" w:hAnsi="宋体" w:cs="宋体"/>
          <w:b/>
          <w:color w:val="auto"/>
          <w:sz w:val="21"/>
          <w:szCs w:val="22"/>
          <w:highlight w:val="none"/>
        </w:rPr>
      </w:pPr>
      <w:r>
        <w:rPr>
          <w:rFonts w:hint="eastAsia" w:hAnsi="宋体" w:cs="宋体"/>
          <w:b/>
          <w:color w:val="auto"/>
          <w:sz w:val="21"/>
          <w:szCs w:val="22"/>
          <w:highlight w:val="none"/>
        </w:rPr>
        <w:t>九、最后报价</w:t>
      </w:r>
    </w:p>
    <w:p w14:paraId="042396AC">
      <w:pP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r>
    </w:p>
    <w:p w14:paraId="10D75E0F">
      <w:pPr>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cs="宋体"/>
          <w:color w:val="auto"/>
          <w:sz w:val="28"/>
          <w:szCs w:val="28"/>
          <w:highlight w:val="none"/>
        </w:rPr>
      </w:pPr>
      <w:bookmarkStart w:id="113" w:name="_Toc25909"/>
      <w:r>
        <w:rPr>
          <w:rFonts w:hint="eastAsia" w:ascii="宋体" w:hAnsi="宋体" w:cs="宋体"/>
          <w:b/>
          <w:color w:val="auto"/>
          <w:sz w:val="36"/>
          <w:szCs w:val="36"/>
          <w:highlight w:val="none"/>
        </w:rPr>
        <w:t>一、磋商响应声明</w:t>
      </w:r>
      <w:bookmarkEnd w:id="113"/>
    </w:p>
    <w:p w14:paraId="50EEC8B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rPr>
        <w:t>(采购人或采购代理机构)：</w:t>
      </w:r>
    </w:p>
    <w:p w14:paraId="11097074">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我方已仔细研究了</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 xml:space="preserve"> (项目名称)的竞争性磋商文件（采购代理编号：</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）的全部内容，知悉参加竞争性磋商的风险，我方承诺接受磋商文件的全部条款且无任何异议。</w:t>
      </w:r>
    </w:p>
    <w:p w14:paraId="5314EB4A">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一、我方同意在磋商文件中规定的提交首次响应文件截止时间起日</w:t>
      </w:r>
      <w:r>
        <w:rPr>
          <w:rFonts w:hint="eastAsia" w:hAnsi="宋体" w:cs="宋体"/>
          <w:color w:val="auto"/>
          <w:sz w:val="21"/>
          <w:highlight w:val="none"/>
        </w:rPr>
        <w:t>起</w:t>
      </w:r>
      <w:r>
        <w:rPr>
          <w:rFonts w:hint="eastAsia" w:hAnsi="宋体" w:cs="宋体"/>
          <w:color w:val="auto"/>
          <w:sz w:val="21"/>
          <w:highlight w:val="none"/>
          <w:u w:val="single"/>
        </w:rPr>
        <w:t xml:space="preserve">    </w:t>
      </w:r>
      <w:r>
        <w:rPr>
          <w:rFonts w:hint="eastAsia" w:hAnsi="宋体" w:cs="宋体"/>
          <w:color w:val="auto"/>
          <w:sz w:val="21"/>
          <w:highlight w:val="none"/>
        </w:rPr>
        <w:t>日内(响应文件有效期)</w:t>
      </w:r>
      <w:r>
        <w:rPr>
          <w:rFonts w:hint="eastAsia" w:hAnsi="宋体" w:cs="宋体"/>
          <w:color w:val="auto"/>
          <w:sz w:val="21"/>
          <w:szCs w:val="22"/>
          <w:highlight w:val="none"/>
        </w:rPr>
        <w:t>遵守本响应文件中的承诺且在此期限期满之前均具有法律约束力。</w:t>
      </w:r>
    </w:p>
    <w:p w14:paraId="01EFCEDE">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二、我方提交响应文件正本一份、副本</w:t>
      </w:r>
      <w:r>
        <w:rPr>
          <w:rFonts w:hint="eastAsia" w:hAnsi="宋体" w:cs="宋体"/>
          <w:color w:val="auto"/>
          <w:sz w:val="21"/>
          <w:szCs w:val="22"/>
          <w:highlight w:val="none"/>
          <w:u w:val="single"/>
          <w:lang w:val="en-US" w:eastAsia="zh-CN"/>
        </w:rPr>
        <w:t xml:space="preserve">    </w:t>
      </w:r>
      <w:r>
        <w:rPr>
          <w:rFonts w:hint="eastAsia" w:hAnsi="宋体" w:cs="宋体"/>
          <w:color w:val="auto"/>
          <w:sz w:val="21"/>
          <w:szCs w:val="22"/>
          <w:highlight w:val="none"/>
        </w:rPr>
        <w:t>份、电子文件</w:t>
      </w:r>
      <w:r>
        <w:rPr>
          <w:rFonts w:hint="eastAsia" w:hAnsi="宋体" w:cs="宋体"/>
          <w:color w:val="auto"/>
          <w:sz w:val="21"/>
          <w:szCs w:val="22"/>
          <w:highlight w:val="none"/>
          <w:u w:val="single"/>
          <w:lang w:val="en-US" w:eastAsia="zh-CN"/>
        </w:rPr>
        <w:t xml:space="preserve">    </w:t>
      </w:r>
      <w:r>
        <w:rPr>
          <w:rFonts w:hint="eastAsia" w:hAnsi="宋体" w:cs="宋体"/>
          <w:color w:val="auto"/>
          <w:sz w:val="21"/>
          <w:szCs w:val="22"/>
          <w:highlight w:val="none"/>
        </w:rPr>
        <w:t>份，并保证响应文件提供的数据和资料全部内容真实、合法、准确和完整。否则，愿承担《政府采购法》第七十七条规定的法律责任或其它法律责任。</w:t>
      </w:r>
    </w:p>
    <w:p w14:paraId="0C0651D3">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三、我方愿意向贵方提供任何与本项采购有关的数据、情况和技术资料。若贵方需要，我方愿意提供我方作出的一切承诺的证明资料。</w:t>
      </w:r>
    </w:p>
    <w:p w14:paraId="27F2DAE1">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四、我方愿意按磋商文件规定和磋商小组要求重新提交响应文件和最后报价。</w:t>
      </w:r>
    </w:p>
    <w:p w14:paraId="205867FD">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五、</w:t>
      </w:r>
      <w:r>
        <w:rPr>
          <w:rFonts w:hint="eastAsia" w:hAnsi="宋体" w:cs="宋体"/>
          <w:color w:val="auto"/>
          <w:spacing w:val="-6"/>
          <w:sz w:val="21"/>
          <w:szCs w:val="22"/>
          <w:highlight w:val="none"/>
        </w:rPr>
        <w:t>我方承诺遵守《中华人民共和国政府采购法》的有关规定，保证在获得成交资格后，按照磋商文件确定的事项签订政府采购合同，履行双方所签订的合同，并承担合同规定的责任和义务。</w:t>
      </w:r>
    </w:p>
    <w:p w14:paraId="1086343E">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bookmarkStart w:id="114" w:name="_Toc8046"/>
      <w:r>
        <w:rPr>
          <w:rFonts w:hint="eastAsia" w:hAnsi="宋体" w:cs="宋体"/>
          <w:color w:val="auto"/>
          <w:sz w:val="21"/>
          <w:szCs w:val="22"/>
          <w:highlight w:val="none"/>
        </w:rPr>
        <w:t>六、我方在此声明：</w:t>
      </w:r>
      <w:bookmarkEnd w:id="114"/>
    </w:p>
    <w:p w14:paraId="67C88E83">
      <w:pPr>
        <w:pStyle w:val="1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hAnsi="宋体" w:cs="宋体"/>
          <w:color w:val="auto"/>
          <w:sz w:val="21"/>
          <w:szCs w:val="22"/>
          <w:highlight w:val="none"/>
        </w:rPr>
      </w:pPr>
      <w:r>
        <w:rPr>
          <w:rFonts w:hint="eastAsia" w:hAnsi="宋体" w:cs="宋体"/>
          <w:color w:val="auto"/>
          <w:sz w:val="21"/>
          <w:szCs w:val="22"/>
          <w:highlight w:val="none"/>
        </w:rPr>
        <w:t>1、我单位是按照中华人民共和国法律规定登记注册的，注册地点为</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，全称为</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，统一社会信用代码为</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，法定代表人（</w:t>
      </w:r>
      <w:r>
        <w:rPr>
          <w:rFonts w:hint="eastAsia" w:hAnsi="宋体" w:cs="宋体"/>
          <w:color w:val="auto"/>
          <w:spacing w:val="-2"/>
          <w:sz w:val="21"/>
          <w:szCs w:val="22"/>
          <w:highlight w:val="none"/>
        </w:rPr>
        <w:t>单</w:t>
      </w:r>
      <w:r>
        <w:rPr>
          <w:rFonts w:hint="eastAsia" w:hAnsi="宋体" w:cs="宋体"/>
          <w:color w:val="auto"/>
          <w:sz w:val="21"/>
          <w:szCs w:val="22"/>
          <w:highlight w:val="none"/>
        </w:rPr>
        <w:t>位</w:t>
      </w:r>
      <w:r>
        <w:rPr>
          <w:rFonts w:hint="eastAsia" w:hAnsi="宋体" w:cs="宋体"/>
          <w:color w:val="auto"/>
          <w:spacing w:val="-2"/>
          <w:sz w:val="21"/>
          <w:szCs w:val="22"/>
          <w:highlight w:val="none"/>
        </w:rPr>
        <w:t>负</w:t>
      </w:r>
      <w:r>
        <w:rPr>
          <w:rFonts w:hint="eastAsia" w:hAnsi="宋体" w:cs="宋体"/>
          <w:color w:val="auto"/>
          <w:sz w:val="21"/>
          <w:szCs w:val="22"/>
          <w:highlight w:val="none"/>
        </w:rPr>
        <w:t>责人</w:t>
      </w:r>
      <w:r>
        <w:rPr>
          <w:rFonts w:hint="eastAsia" w:hAnsi="宋体" w:cs="宋体"/>
          <w:color w:val="auto"/>
          <w:spacing w:val="-2"/>
          <w:sz w:val="21"/>
          <w:szCs w:val="22"/>
          <w:highlight w:val="none"/>
        </w:rPr>
        <w:t>）</w:t>
      </w:r>
      <w:r>
        <w:rPr>
          <w:rFonts w:hint="eastAsia" w:hAnsi="宋体" w:cs="宋体"/>
          <w:color w:val="auto"/>
          <w:sz w:val="21"/>
          <w:szCs w:val="22"/>
          <w:highlight w:val="none"/>
        </w:rPr>
        <w:t>为</w:t>
      </w:r>
      <w:r>
        <w:rPr>
          <w:rFonts w:hint="eastAsia" w:hAnsi="宋体" w:cs="宋体"/>
          <w:color w:val="auto"/>
          <w:sz w:val="21"/>
          <w:szCs w:val="22"/>
          <w:highlight w:val="none"/>
          <w:u w:val="single"/>
        </w:rPr>
        <w:t xml:space="preserve">          </w:t>
      </w:r>
      <w:r>
        <w:rPr>
          <w:rFonts w:hint="eastAsia" w:hAnsi="宋体" w:cs="宋体"/>
          <w:color w:val="auto"/>
          <w:sz w:val="21"/>
          <w:szCs w:val="22"/>
          <w:highlight w:val="none"/>
        </w:rPr>
        <w:t>，具有独立承担民事责任的能力。</w:t>
      </w:r>
    </w:p>
    <w:p w14:paraId="2750580D">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2、我单位未被“国家企业信用信息系统”列入经营异常名录或者严重违法企业名单。</w:t>
      </w:r>
    </w:p>
    <w:p w14:paraId="1D6DF12C">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rPr>
        <w:t>我单位具有良好的商业信誉和健全的财务会计制度。</w:t>
      </w:r>
    </w:p>
    <w:p w14:paraId="63934CCA">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4、我</w:t>
      </w:r>
      <w:r>
        <w:rPr>
          <w:rFonts w:hint="eastAsia" w:ascii="宋体" w:hAnsi="宋体" w:cs="宋体"/>
          <w:color w:val="auto"/>
          <w:szCs w:val="21"/>
          <w:highlight w:val="none"/>
        </w:rPr>
        <w:t>单位</w:t>
      </w:r>
      <w:r>
        <w:rPr>
          <w:rFonts w:hint="eastAsia" w:ascii="宋体" w:hAnsi="宋体" w:cs="宋体"/>
          <w:color w:val="auto"/>
          <w:kern w:val="0"/>
          <w:szCs w:val="21"/>
          <w:highlight w:val="none"/>
        </w:rPr>
        <w:t>依法进行纳税和社会保险申报并实际履行了义务。</w:t>
      </w:r>
    </w:p>
    <w:p w14:paraId="113070AD">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5、我单位具有履行本项目采购合同所必需的设备和专业技术能力，并具有履行合同的良好记录。</w:t>
      </w:r>
    </w:p>
    <w:p w14:paraId="7E0E9A24">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432052B7">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供应商在参加政府采购活动前3年内因违法经营被禁止在一定期限内参加政府采购活动，期限届满的，可以参加政府采购活动。</w:t>
      </w:r>
    </w:p>
    <w:p w14:paraId="0D35478D">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bookmarkStart w:id="115" w:name="_Toc2492"/>
      <w:r>
        <w:rPr>
          <w:rFonts w:hint="eastAsia" w:ascii="宋体" w:hAnsi="宋体" w:cs="宋体"/>
          <w:color w:val="auto"/>
          <w:szCs w:val="21"/>
          <w:highlight w:val="none"/>
        </w:rPr>
        <w:t>7、我单位具备法律、行政法规规定的其他条件。</w:t>
      </w:r>
      <w:bookmarkEnd w:id="115"/>
    </w:p>
    <w:p w14:paraId="1F647C72">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8、</w:t>
      </w:r>
      <w:r>
        <w:rPr>
          <w:rFonts w:hint="eastAsia" w:ascii="宋体" w:hAnsi="宋体" w:cs="宋体"/>
          <w:color w:val="auto"/>
          <w:szCs w:val="21"/>
          <w:highlight w:val="none"/>
        </w:rPr>
        <w:t>与我单位存在“单位负责人为同一人或者存在直接控股、管理关系”的其他单位信息如下</w:t>
      </w:r>
      <w:r>
        <w:rPr>
          <w:rFonts w:hint="eastAsia" w:ascii="宋体" w:hAnsi="宋体" w:cs="宋体"/>
          <w:b/>
          <w:bCs/>
          <w:color w:val="auto"/>
          <w:szCs w:val="21"/>
          <w:highlight w:val="none"/>
        </w:rPr>
        <w:t>（如无，填写“无”）：</w:t>
      </w:r>
    </w:p>
    <w:p w14:paraId="6DD9A4E3">
      <w:pPr>
        <w:keepNext w:val="0"/>
        <w:keepLines w:val="0"/>
        <w:pageBreakBefore w:val="0"/>
        <w:tabs>
          <w:tab w:val="left" w:pos="1890"/>
        </w:tabs>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1、与我单位的法定代表人（单位负责人）为同一人的其他单位如下：</w:t>
      </w:r>
      <w:r>
        <w:rPr>
          <w:rFonts w:hint="eastAsia" w:ascii="宋体" w:hAnsi="宋体" w:cs="宋体"/>
          <w:color w:val="auto"/>
          <w:szCs w:val="21"/>
          <w:highlight w:val="none"/>
          <w:u w:val="single"/>
        </w:rPr>
        <w:t xml:space="preserve">               </w:t>
      </w:r>
    </w:p>
    <w:p w14:paraId="1D31D134">
      <w:pPr>
        <w:keepNext w:val="0"/>
        <w:keepLines w:val="0"/>
        <w:pageBreakBefore w:val="0"/>
        <w:tabs>
          <w:tab w:val="left" w:pos="1890"/>
        </w:tabs>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bookmarkStart w:id="116" w:name="_Toc1547"/>
      <w:r>
        <w:rPr>
          <w:rFonts w:hint="eastAsia" w:ascii="宋体" w:hAnsi="宋体" w:cs="宋体"/>
          <w:color w:val="auto"/>
          <w:szCs w:val="21"/>
          <w:highlight w:val="none"/>
        </w:rPr>
        <w:t>2、我单位直接控股的其他单位如下：</w:t>
      </w:r>
      <w:bookmarkEnd w:id="116"/>
      <w:r>
        <w:rPr>
          <w:rFonts w:hint="eastAsia" w:ascii="宋体" w:hAnsi="宋体" w:cs="宋体"/>
          <w:color w:val="auto"/>
          <w:szCs w:val="21"/>
          <w:highlight w:val="none"/>
          <w:u w:val="single"/>
        </w:rPr>
        <w:t xml:space="preserve">        </w:t>
      </w:r>
    </w:p>
    <w:p w14:paraId="2651819C">
      <w:pPr>
        <w:keepNext w:val="0"/>
        <w:keepLines w:val="0"/>
        <w:pageBreakBefore w:val="0"/>
        <w:tabs>
          <w:tab w:val="left" w:pos="1890"/>
        </w:tabs>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3、与我单位存在管理关系的其他单位如下：</w:t>
      </w:r>
      <w:r>
        <w:rPr>
          <w:rFonts w:hint="eastAsia" w:ascii="宋体" w:hAnsi="宋体" w:cs="宋体"/>
          <w:color w:val="auto"/>
          <w:szCs w:val="21"/>
          <w:highlight w:val="none"/>
          <w:u w:val="single"/>
        </w:rPr>
        <w:t xml:space="preserve">               </w:t>
      </w:r>
    </w:p>
    <w:p w14:paraId="711C5685">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9、我单位不属于为本项目提供整体设计、规范编制或者项目管理、监理、检测等服务的供应商。</w:t>
      </w:r>
    </w:p>
    <w:p w14:paraId="289FF759">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bookmarkStart w:id="117" w:name="_Toc6242"/>
      <w:r>
        <w:rPr>
          <w:rFonts w:hint="eastAsia" w:ascii="宋体" w:hAnsi="宋体" w:cs="宋体"/>
          <w:color w:val="auto"/>
          <w:szCs w:val="21"/>
          <w:highlight w:val="none"/>
        </w:rPr>
        <w:t>10、我单位无以下不良信用记录情形：</w:t>
      </w:r>
      <w:bookmarkEnd w:id="117"/>
    </w:p>
    <w:p w14:paraId="24B7A99C">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1、在“信用中国”网站被列入失信被执行人和重大税收违法案件当事人名单；</w:t>
      </w:r>
    </w:p>
    <w:p w14:paraId="5CDB8736">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2、在“中国政府采购网”网站被列入政府采购严重违法失信行为记录名单；</w:t>
      </w:r>
    </w:p>
    <w:p w14:paraId="4574FDC2">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bookmarkStart w:id="118" w:name="_Toc24772"/>
      <w:r>
        <w:rPr>
          <w:rFonts w:hint="eastAsia" w:ascii="宋体" w:hAnsi="宋体" w:cs="宋体"/>
          <w:color w:val="auto"/>
          <w:szCs w:val="21"/>
          <w:highlight w:val="none"/>
        </w:rPr>
        <w:t>3、不符合《政府采购法》第二十二条规定的条件。</w:t>
      </w:r>
      <w:bookmarkEnd w:id="118"/>
    </w:p>
    <w:p w14:paraId="0424F23B">
      <w:pPr>
        <w:keepNext w:val="0"/>
        <w:keepLines w:val="0"/>
        <w:pageBreakBefore w:val="0"/>
        <w:widowControl/>
        <w:tabs>
          <w:tab w:val="left" w:pos="189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我单位保证上述声明的事项都是真实的，如有虚假，我单位愿意承担相应的法律责任，并承担因此所造成的一切损失。</w:t>
      </w:r>
    </w:p>
    <w:p w14:paraId="0EBFDF41">
      <w:pPr>
        <w:keepNext w:val="0"/>
        <w:keepLines w:val="0"/>
        <w:pageBreakBefore w:val="0"/>
        <w:widowControl/>
        <w:tabs>
          <w:tab w:val="left" w:pos="18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Cs w:val="21"/>
          <w:highlight w:val="none"/>
        </w:rPr>
      </w:pPr>
    </w:p>
    <w:p w14:paraId="25D9C0F6">
      <w:pPr>
        <w:keepNext w:val="0"/>
        <w:keepLines w:val="0"/>
        <w:pageBreakBefore w:val="0"/>
        <w:widowControl/>
        <w:tabs>
          <w:tab w:val="left" w:pos="1890"/>
        </w:tabs>
        <w:kinsoku/>
        <w:wordWrap/>
        <w:overflowPunct/>
        <w:topLinePunct w:val="0"/>
        <w:autoSpaceDE/>
        <w:autoSpaceDN/>
        <w:bidi w:val="0"/>
        <w:adjustRightInd/>
        <w:snapToGrid/>
        <w:spacing w:line="360" w:lineRule="auto"/>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注：第三条“良好的商业信誉”是指供应商经营状况良好，无本资格声明第十条情形。</w:t>
      </w:r>
    </w:p>
    <w:p w14:paraId="479E3833">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p>
    <w:p w14:paraId="729711C5">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p>
    <w:p w14:paraId="7AB9A941">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p>
    <w:p w14:paraId="0BBE5CF5">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r>
        <w:rPr>
          <w:rFonts w:hint="eastAsia" w:hAnsi="宋体" w:cs="宋体"/>
          <w:color w:val="auto"/>
          <w:sz w:val="21"/>
          <w:szCs w:val="22"/>
          <w:highlight w:val="none"/>
        </w:rPr>
        <w:t>供应商名称(盖单位章)：</w:t>
      </w:r>
    </w:p>
    <w:p w14:paraId="338C520F">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r>
        <w:rPr>
          <w:rFonts w:hint="eastAsia" w:hAnsi="宋体" w:cs="宋体"/>
          <w:color w:val="auto"/>
          <w:sz w:val="21"/>
          <w:szCs w:val="22"/>
          <w:highlight w:val="none"/>
        </w:rPr>
        <w:t>法定代表人或其委托代理人 (签字)：</w:t>
      </w:r>
    </w:p>
    <w:p w14:paraId="4867E5EA">
      <w:pPr>
        <w:pStyle w:val="10"/>
        <w:keepNext w:val="0"/>
        <w:keepLines w:val="0"/>
        <w:pageBreakBefore w:val="0"/>
        <w:kinsoku/>
        <w:wordWrap/>
        <w:overflowPunct/>
        <w:topLinePunct w:val="0"/>
        <w:autoSpaceDE/>
        <w:autoSpaceDN/>
        <w:bidi w:val="0"/>
        <w:adjustRightInd/>
        <w:snapToGrid/>
        <w:spacing w:line="360" w:lineRule="auto"/>
        <w:textAlignment w:val="auto"/>
        <w:rPr>
          <w:rFonts w:hint="eastAsia" w:hAnsi="宋体" w:cs="宋体"/>
          <w:color w:val="auto"/>
          <w:sz w:val="21"/>
          <w:szCs w:val="22"/>
          <w:highlight w:val="none"/>
        </w:rPr>
      </w:pPr>
      <w:r>
        <w:rPr>
          <w:rFonts w:hint="eastAsia" w:hAnsi="宋体" w:cs="宋体"/>
          <w:color w:val="auto"/>
          <w:sz w:val="21"/>
          <w:szCs w:val="22"/>
          <w:highlight w:val="none"/>
        </w:rPr>
        <w:t>日期：   年   月   日</w:t>
      </w:r>
    </w:p>
    <w:p w14:paraId="17C04947">
      <w:pPr>
        <w:rPr>
          <w:rFonts w:hint="eastAsia" w:ascii="宋体" w:hAnsi="宋体" w:cs="宋体"/>
          <w:bCs/>
          <w:color w:val="auto"/>
          <w:sz w:val="32"/>
          <w:szCs w:val="32"/>
          <w:highlight w:val="none"/>
        </w:rPr>
      </w:pPr>
      <w:bookmarkStart w:id="119" w:name="_Toc2526"/>
      <w:r>
        <w:rPr>
          <w:rFonts w:hint="eastAsia" w:ascii="宋体" w:hAnsi="宋体" w:cs="宋体"/>
          <w:bCs/>
          <w:color w:val="auto"/>
          <w:sz w:val="32"/>
          <w:szCs w:val="32"/>
          <w:highlight w:val="none"/>
        </w:rPr>
        <w:br w:type="page"/>
      </w:r>
    </w:p>
    <w:p w14:paraId="205184F7">
      <w:pPr>
        <w:adjustRightInd w:val="0"/>
        <w:snapToGrid w:val="0"/>
        <w:spacing w:line="360" w:lineRule="auto"/>
        <w:ind w:right="24"/>
        <w:rPr>
          <w:rFonts w:hint="eastAsia" w:ascii="宋体" w:hAnsi="宋体" w:cs="宋体"/>
          <w:bCs/>
          <w:color w:val="auto"/>
          <w:sz w:val="32"/>
          <w:szCs w:val="32"/>
          <w:highlight w:val="none"/>
        </w:rPr>
      </w:pPr>
      <w:r>
        <w:rPr>
          <w:rFonts w:hint="eastAsia" w:ascii="宋体" w:hAnsi="宋体" w:cs="宋体"/>
          <w:bCs/>
          <w:color w:val="auto"/>
          <w:sz w:val="32"/>
          <w:szCs w:val="32"/>
          <w:highlight w:val="none"/>
        </w:rPr>
        <w:t>附件1</w:t>
      </w:r>
      <w:bookmarkEnd w:id="119"/>
    </w:p>
    <w:p w14:paraId="54FC0CCF">
      <w:pPr>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法定代表人身份证明</w:t>
      </w:r>
    </w:p>
    <w:p w14:paraId="1CDBA2F0">
      <w:pPr>
        <w:snapToGrid w:val="0"/>
        <w:spacing w:line="480" w:lineRule="auto"/>
        <w:rPr>
          <w:rFonts w:hint="eastAsia" w:ascii="宋体" w:hAnsi="宋体" w:cs="宋体"/>
          <w:color w:val="auto"/>
          <w:sz w:val="22"/>
          <w:szCs w:val="22"/>
          <w:highlight w:val="none"/>
        </w:rPr>
      </w:pPr>
    </w:p>
    <w:p w14:paraId="0485F560">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sz w:val="22"/>
          <w:szCs w:val="22"/>
          <w:highlight w:val="none"/>
        </w:rPr>
        <w:t>供应商</w:t>
      </w:r>
      <w:r>
        <w:rPr>
          <w:rFonts w:hint="eastAsia" w:ascii="宋体" w:hAnsi="宋体" w:cs="宋体"/>
          <w:color w:val="auto"/>
          <w:kern w:val="0"/>
          <w:sz w:val="22"/>
          <w:szCs w:val="22"/>
          <w:highlight w:val="none"/>
        </w:rPr>
        <w:t>名称：</w:t>
      </w:r>
    </w:p>
    <w:p w14:paraId="2AC99344">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注册号：</w:t>
      </w:r>
    </w:p>
    <w:p w14:paraId="633D9FB1">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注册地址：</w:t>
      </w:r>
    </w:p>
    <w:p w14:paraId="3C74C8DB">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成立时间：    年   月   日</w:t>
      </w:r>
    </w:p>
    <w:p w14:paraId="68AB16C1">
      <w:pPr>
        <w:autoSpaceDE w:val="0"/>
        <w:autoSpaceDN w:val="0"/>
        <w:adjustRightInd w:val="0"/>
        <w:snapToGrid w:val="0"/>
        <w:spacing w:line="360" w:lineRule="auto"/>
        <w:jc w:val="left"/>
        <w:rPr>
          <w:rFonts w:hint="eastAsia" w:ascii="宋体" w:hAnsi="宋体" w:cs="宋体"/>
          <w:color w:val="auto"/>
          <w:kern w:val="0"/>
          <w:sz w:val="22"/>
          <w:szCs w:val="22"/>
          <w:highlight w:val="none"/>
          <w:u w:val="single"/>
        </w:rPr>
      </w:pPr>
      <w:r>
        <w:rPr>
          <w:rFonts w:hint="eastAsia" w:ascii="宋体" w:hAnsi="宋体" w:cs="宋体"/>
          <w:color w:val="auto"/>
          <w:kern w:val="0"/>
          <w:sz w:val="22"/>
          <w:szCs w:val="22"/>
          <w:highlight w:val="none"/>
        </w:rPr>
        <w:t>经营期限：</w:t>
      </w:r>
    </w:p>
    <w:p w14:paraId="122177F3">
      <w:pPr>
        <w:autoSpaceDE w:val="0"/>
        <w:autoSpaceDN w:val="0"/>
        <w:adjustRightInd w:val="0"/>
        <w:snapToGrid w:val="0"/>
        <w:spacing w:line="360" w:lineRule="auto"/>
        <w:jc w:val="left"/>
        <w:rPr>
          <w:rFonts w:hint="eastAsia" w:ascii="宋体" w:hAnsi="宋体" w:cs="宋体"/>
          <w:color w:val="auto"/>
          <w:kern w:val="0"/>
          <w:sz w:val="22"/>
          <w:szCs w:val="22"/>
          <w:highlight w:val="none"/>
          <w:u w:val="single"/>
        </w:rPr>
      </w:pPr>
      <w:r>
        <w:rPr>
          <w:rFonts w:hint="eastAsia" w:ascii="宋体" w:hAnsi="宋体" w:cs="宋体"/>
          <w:color w:val="auto"/>
          <w:kern w:val="0"/>
          <w:sz w:val="22"/>
          <w:szCs w:val="22"/>
          <w:highlight w:val="none"/>
        </w:rPr>
        <w:t>经营范围：主营：；兼营：</w:t>
      </w:r>
    </w:p>
    <w:p w14:paraId="5710DB65">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姓名：性别：年龄：系（</w:t>
      </w:r>
      <w:r>
        <w:rPr>
          <w:rFonts w:hint="eastAsia" w:ascii="宋体" w:hAnsi="宋体" w:cs="宋体"/>
          <w:color w:val="auto"/>
          <w:sz w:val="22"/>
          <w:szCs w:val="22"/>
          <w:highlight w:val="none"/>
        </w:rPr>
        <w:t>供应商</w:t>
      </w:r>
      <w:r>
        <w:rPr>
          <w:rFonts w:hint="eastAsia" w:ascii="宋体" w:hAnsi="宋体" w:cs="宋体"/>
          <w:color w:val="auto"/>
          <w:kern w:val="0"/>
          <w:sz w:val="22"/>
          <w:szCs w:val="22"/>
          <w:highlight w:val="none"/>
        </w:rPr>
        <w:t>名称）的法定代表人。</w:t>
      </w:r>
    </w:p>
    <w:p w14:paraId="1FCE24DD">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特此证明。</w:t>
      </w:r>
    </w:p>
    <w:p w14:paraId="76653DCC">
      <w:pPr>
        <w:autoSpaceDE w:val="0"/>
        <w:autoSpaceDN w:val="0"/>
        <w:adjustRightInd w:val="0"/>
        <w:snapToGrid w:val="0"/>
        <w:spacing w:line="360" w:lineRule="auto"/>
        <w:jc w:val="left"/>
        <w:rPr>
          <w:rFonts w:hint="eastAsia" w:ascii="宋体" w:hAnsi="宋体" w:cs="宋体"/>
          <w:color w:val="auto"/>
          <w:kern w:val="0"/>
          <w:sz w:val="22"/>
          <w:szCs w:val="22"/>
          <w:highlight w:val="none"/>
        </w:rPr>
      </w:pPr>
      <w:r>
        <w:rPr>
          <w:rFonts w:hint="eastAsia" w:ascii="宋体" w:hAnsi="宋体" w:cs="宋体"/>
          <w:color w:val="auto"/>
          <w:sz w:val="22"/>
          <w:szCs w:val="22"/>
          <w:highlight w:val="none"/>
        </w:rPr>
        <w:t>附：法定代表人身份证复印件</w:t>
      </w:r>
    </w:p>
    <w:p w14:paraId="5BB3FA8A">
      <w:pPr>
        <w:snapToGrid w:val="0"/>
        <w:spacing w:line="480" w:lineRule="auto"/>
        <w:rPr>
          <w:rFonts w:hint="eastAsia" w:ascii="宋体" w:hAnsi="宋体" w:cs="宋体"/>
          <w:color w:val="auto"/>
          <w:sz w:val="22"/>
          <w:szCs w:val="22"/>
          <w:highlight w:val="none"/>
        </w:rPr>
      </w:pPr>
    </w:p>
    <w:p w14:paraId="106D1A65">
      <w:pPr>
        <w:snapToGrid w:val="0"/>
        <w:rPr>
          <w:rFonts w:hint="eastAsia" w:ascii="宋体" w:hAnsi="宋体" w:cs="宋体"/>
          <w:color w:val="auto"/>
          <w:sz w:val="22"/>
          <w:szCs w:val="22"/>
          <w:highlight w:val="none"/>
        </w:rPr>
      </w:pPr>
    </w:p>
    <w:p w14:paraId="6E795822">
      <w:pPr>
        <w:snapToGrid w:val="0"/>
        <w:rPr>
          <w:rFonts w:hint="eastAsia" w:ascii="宋体" w:hAnsi="宋体" w:cs="宋体"/>
          <w:color w:val="auto"/>
          <w:sz w:val="22"/>
          <w:szCs w:val="22"/>
          <w:highlight w:val="none"/>
        </w:rPr>
      </w:pPr>
    </w:p>
    <w:p w14:paraId="27706EFF">
      <w:pPr>
        <w:snapToGrid w:val="0"/>
        <w:rPr>
          <w:rFonts w:hint="eastAsia" w:ascii="宋体" w:hAnsi="宋体" w:cs="宋体"/>
          <w:color w:val="auto"/>
          <w:sz w:val="22"/>
          <w:szCs w:val="22"/>
          <w:highlight w:val="none"/>
        </w:rPr>
      </w:pPr>
    </w:p>
    <w:p w14:paraId="704D259F">
      <w:pPr>
        <w:snapToGrid w:val="0"/>
        <w:rPr>
          <w:rFonts w:hint="eastAsia" w:ascii="宋体" w:hAnsi="宋体" w:cs="宋体"/>
          <w:color w:val="auto"/>
          <w:sz w:val="22"/>
          <w:szCs w:val="22"/>
          <w:highlight w:val="none"/>
        </w:rPr>
      </w:pPr>
    </w:p>
    <w:p w14:paraId="30F42DC2">
      <w:pPr>
        <w:adjustRightInd w:val="0"/>
        <w:snapToGrid w:val="0"/>
        <w:spacing w:line="360" w:lineRule="auto"/>
        <w:rPr>
          <w:rFonts w:hint="eastAsia" w:ascii="宋体" w:hAnsi="宋体" w:cs="宋体"/>
          <w:color w:val="auto"/>
          <w:sz w:val="22"/>
          <w:szCs w:val="22"/>
          <w:highlight w:val="none"/>
        </w:rPr>
      </w:pPr>
    </w:p>
    <w:p w14:paraId="6C7A8B7F">
      <w:pPr>
        <w:adjustRightInd w:val="0"/>
        <w:snapToGrid w:val="0"/>
        <w:spacing w:line="360" w:lineRule="auto"/>
        <w:ind w:right="420"/>
        <w:rPr>
          <w:rFonts w:hint="eastAsia" w:ascii="宋体" w:hAnsi="宋体" w:cs="宋体"/>
          <w:color w:val="auto"/>
          <w:sz w:val="22"/>
          <w:szCs w:val="22"/>
          <w:highlight w:val="none"/>
        </w:rPr>
      </w:pPr>
      <w:r>
        <w:rPr>
          <w:rFonts w:hint="eastAsia" w:ascii="宋体" w:hAnsi="宋体" w:cs="宋体"/>
          <w:color w:val="auto"/>
          <w:sz w:val="22"/>
          <w:szCs w:val="22"/>
          <w:highlight w:val="none"/>
        </w:rPr>
        <w:t>供应商名称（盖单位章）：</w:t>
      </w:r>
    </w:p>
    <w:p w14:paraId="5894BA9B">
      <w:pPr>
        <w:adjustRightInd w:val="0"/>
        <w:snapToGrid w:val="0"/>
        <w:spacing w:line="360" w:lineRule="auto"/>
        <w:ind w:right="420"/>
        <w:rPr>
          <w:rFonts w:hint="eastAsia" w:ascii="宋体" w:hAnsi="宋体" w:cs="宋体"/>
          <w:color w:val="auto"/>
          <w:sz w:val="22"/>
          <w:szCs w:val="22"/>
          <w:highlight w:val="none"/>
        </w:rPr>
      </w:pPr>
      <w:r>
        <w:rPr>
          <w:rFonts w:hint="eastAsia" w:ascii="宋体" w:hAnsi="宋体" w:cs="宋体"/>
          <w:color w:val="auto"/>
          <w:sz w:val="22"/>
          <w:szCs w:val="22"/>
          <w:highlight w:val="none"/>
        </w:rPr>
        <w:t>日期：</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日</w:t>
      </w:r>
    </w:p>
    <w:p w14:paraId="765C79CE">
      <w:pPr>
        <w:widowControl/>
        <w:topLinePunct/>
        <w:spacing w:line="440" w:lineRule="atLeast"/>
        <w:jc w:val="left"/>
        <w:rPr>
          <w:rFonts w:hint="eastAsia" w:ascii="宋体" w:hAnsi="宋体" w:cs="宋体"/>
          <w:b/>
          <w:color w:val="auto"/>
          <w:kern w:val="0"/>
          <w:sz w:val="22"/>
          <w:szCs w:val="28"/>
          <w:highlight w:val="none"/>
        </w:rPr>
      </w:pPr>
    </w:p>
    <w:p w14:paraId="2B28D1AB">
      <w:pPr>
        <w:adjustRightInd w:val="0"/>
        <w:snapToGrid w:val="0"/>
        <w:spacing w:line="360" w:lineRule="auto"/>
        <w:ind w:right="420"/>
        <w:rPr>
          <w:rFonts w:hint="eastAsia" w:ascii="宋体" w:hAnsi="宋体" w:cs="宋体"/>
          <w:color w:val="auto"/>
          <w:sz w:val="22"/>
          <w:szCs w:val="22"/>
          <w:highlight w:val="none"/>
        </w:rPr>
      </w:pPr>
    </w:p>
    <w:p w14:paraId="4D006A6D">
      <w:pPr>
        <w:widowControl/>
        <w:jc w:val="left"/>
        <w:rPr>
          <w:rFonts w:hint="eastAsia" w:ascii="宋体" w:hAnsi="宋体" w:cs="宋体"/>
          <w:color w:val="auto"/>
          <w:sz w:val="32"/>
          <w:szCs w:val="32"/>
          <w:highlight w:val="none"/>
        </w:rPr>
      </w:pPr>
      <w:r>
        <w:rPr>
          <w:rFonts w:hint="eastAsia" w:ascii="宋体" w:hAnsi="宋体" w:cs="宋体"/>
          <w:bCs/>
          <w:color w:val="auto"/>
          <w:sz w:val="30"/>
          <w:szCs w:val="30"/>
          <w:highlight w:val="none"/>
        </w:rPr>
        <w:br w:type="page"/>
      </w:r>
      <w:r>
        <w:rPr>
          <w:rFonts w:hint="eastAsia" w:ascii="宋体" w:hAnsi="宋体" w:cs="宋体"/>
          <w:bCs/>
          <w:color w:val="auto"/>
          <w:sz w:val="32"/>
          <w:szCs w:val="32"/>
          <w:highlight w:val="none"/>
        </w:rPr>
        <w:t>附件2</w:t>
      </w:r>
    </w:p>
    <w:p w14:paraId="23DE31E6">
      <w:pPr>
        <w:tabs>
          <w:tab w:val="left" w:pos="1890"/>
        </w:tabs>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法定代表人授权委托书</w:t>
      </w:r>
    </w:p>
    <w:p w14:paraId="1A031621">
      <w:pPr>
        <w:tabs>
          <w:tab w:val="left" w:pos="1890"/>
        </w:tabs>
        <w:adjustRightInd w:val="0"/>
        <w:snapToGrid w:val="0"/>
        <w:spacing w:line="360" w:lineRule="auto"/>
        <w:jc w:val="center"/>
        <w:rPr>
          <w:rFonts w:hint="eastAsia" w:ascii="宋体" w:hAnsi="宋体" w:cs="宋体"/>
          <w:b/>
          <w:color w:val="auto"/>
          <w:sz w:val="28"/>
          <w:szCs w:val="28"/>
          <w:highlight w:val="none"/>
        </w:rPr>
      </w:pPr>
    </w:p>
    <w:p w14:paraId="219D3F30">
      <w:pPr>
        <w:tabs>
          <w:tab w:val="left" w:pos="1890"/>
        </w:tabs>
        <w:autoSpaceDE w:val="0"/>
        <w:autoSpaceDN w:val="0"/>
        <w:adjustRightInd w:val="0"/>
        <w:snapToGrid w:val="0"/>
        <w:spacing w:before="159"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本人</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供应商</w:t>
      </w:r>
      <w:r>
        <w:rPr>
          <w:rFonts w:hint="eastAsia" w:ascii="宋体" w:hAnsi="宋体" w:cs="宋体"/>
          <w:color w:val="auto"/>
          <w:kern w:val="0"/>
          <w:szCs w:val="21"/>
          <w:highlight w:val="none"/>
        </w:rPr>
        <w:t>名称）的法定代表人，现授权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（姓名、职务）为我方代理人。代理人根据授权，以我方名义：(1)签署、澄清、补正、修改、撤回、提交</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（项目名称、</w:t>
      </w:r>
      <w:r>
        <w:rPr>
          <w:rFonts w:hint="eastAsia" w:ascii="宋体" w:hAnsi="宋体" w:cs="宋体"/>
          <w:color w:val="auto"/>
          <w:szCs w:val="21"/>
          <w:highlight w:val="none"/>
        </w:rPr>
        <w:t>政府</w:t>
      </w:r>
      <w:r>
        <w:rPr>
          <w:rFonts w:hint="eastAsia" w:ascii="宋体" w:hAnsi="宋体" w:cs="宋体"/>
          <w:color w:val="auto"/>
          <w:kern w:val="0"/>
          <w:szCs w:val="21"/>
          <w:highlight w:val="none"/>
        </w:rPr>
        <w:t>采购编号、采购代理机构编号）响应文件；(2)签署并重新提交响应文件及最后报价；(3)签订合同和处理有关事宜，其法律后果由我方承担；（4）询问、质疑、投诉等相关事项，其法律后果由我方承担。</w:t>
      </w:r>
    </w:p>
    <w:p w14:paraId="34D282AA">
      <w:pPr>
        <w:tabs>
          <w:tab w:val="left" w:pos="1890"/>
        </w:tabs>
        <w:autoSpaceDE w:val="0"/>
        <w:autoSpaceDN w:val="0"/>
        <w:adjustRightInd w:val="0"/>
        <w:snapToGrid w:val="0"/>
        <w:spacing w:before="159" w:beforeLines="50" w:line="360" w:lineRule="auto"/>
        <w:ind w:firstLine="420" w:firstLineChars="200"/>
        <w:jc w:val="left"/>
        <w:rPr>
          <w:rFonts w:hint="eastAsia" w:ascii="宋体" w:hAnsi="宋体" w:cs="宋体"/>
          <w:color w:val="auto"/>
          <w:kern w:val="0"/>
          <w:szCs w:val="21"/>
          <w:highlight w:val="none"/>
        </w:rPr>
      </w:pPr>
    </w:p>
    <w:p w14:paraId="0C2D5B13">
      <w:pPr>
        <w:tabs>
          <w:tab w:val="left" w:pos="1890"/>
        </w:tabs>
        <w:autoSpaceDE w:val="0"/>
        <w:autoSpaceDN w:val="0"/>
        <w:adjustRightInd w:val="0"/>
        <w:snapToGrid w:val="0"/>
        <w:spacing w:before="159"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委托期限：</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0BB59B3C">
      <w:pPr>
        <w:tabs>
          <w:tab w:val="left" w:pos="1890"/>
        </w:tabs>
        <w:spacing w:line="360" w:lineRule="auto"/>
        <w:ind w:firstLine="435"/>
        <w:rPr>
          <w:rFonts w:hint="eastAsia" w:ascii="宋体" w:hAnsi="宋体" w:cs="宋体"/>
          <w:color w:val="auto"/>
          <w:kern w:val="0"/>
          <w:szCs w:val="21"/>
          <w:highlight w:val="none"/>
        </w:rPr>
      </w:pPr>
      <w:r>
        <w:rPr>
          <w:rFonts w:hint="eastAsia" w:ascii="宋体" w:hAnsi="宋体" w:cs="宋体"/>
          <w:color w:val="auto"/>
          <w:kern w:val="0"/>
          <w:szCs w:val="21"/>
          <w:highlight w:val="none"/>
        </w:rPr>
        <w:t>代理人无转委托权。</w:t>
      </w:r>
    </w:p>
    <w:p w14:paraId="0C34AD8B">
      <w:pPr>
        <w:tabs>
          <w:tab w:val="left" w:pos="1890"/>
        </w:tabs>
        <w:spacing w:line="360" w:lineRule="auto"/>
        <w:ind w:firstLine="435"/>
        <w:rPr>
          <w:rFonts w:hint="eastAsia" w:ascii="宋体" w:hAnsi="宋体" w:cs="宋体"/>
          <w:color w:val="auto"/>
          <w:szCs w:val="21"/>
          <w:highlight w:val="none"/>
        </w:rPr>
      </w:pPr>
      <w:r>
        <w:rPr>
          <w:rFonts w:hint="eastAsia" w:ascii="宋体" w:hAnsi="宋体" w:cs="宋体"/>
          <w:color w:val="auto"/>
          <w:szCs w:val="21"/>
          <w:highlight w:val="none"/>
        </w:rPr>
        <w:t>本授权书于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日签字生效，特此声明。</w:t>
      </w:r>
    </w:p>
    <w:p w14:paraId="7E675692">
      <w:pPr>
        <w:tabs>
          <w:tab w:val="left" w:pos="1890"/>
        </w:tabs>
        <w:adjustRightInd w:val="0"/>
        <w:snapToGrid w:val="0"/>
        <w:spacing w:before="159" w:beforeLines="5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附：委托代理人身份证复印件及法定代表人身份证明(附件1)</w:t>
      </w:r>
    </w:p>
    <w:p w14:paraId="12985C43">
      <w:pPr>
        <w:adjustRightInd w:val="0"/>
        <w:snapToGrid w:val="0"/>
        <w:spacing w:line="360" w:lineRule="auto"/>
        <w:ind w:right="420"/>
        <w:rPr>
          <w:rFonts w:hint="eastAsia" w:ascii="宋体" w:hAnsi="宋体" w:cs="宋体"/>
          <w:color w:val="auto"/>
          <w:sz w:val="22"/>
          <w:szCs w:val="22"/>
          <w:highlight w:val="none"/>
        </w:rPr>
      </w:pPr>
    </w:p>
    <w:p w14:paraId="79DDE65E">
      <w:pPr>
        <w:adjustRightInd w:val="0"/>
        <w:snapToGrid w:val="0"/>
        <w:spacing w:line="360" w:lineRule="auto"/>
        <w:ind w:right="420"/>
        <w:rPr>
          <w:rFonts w:hint="eastAsia" w:ascii="宋体" w:hAnsi="宋体" w:cs="宋体"/>
          <w:color w:val="auto"/>
          <w:sz w:val="22"/>
          <w:szCs w:val="22"/>
          <w:highlight w:val="none"/>
        </w:rPr>
      </w:pPr>
    </w:p>
    <w:p w14:paraId="0471BF26">
      <w:pPr>
        <w:adjustRightInd w:val="0"/>
        <w:snapToGrid w:val="0"/>
        <w:spacing w:line="360" w:lineRule="auto"/>
        <w:ind w:right="420"/>
        <w:rPr>
          <w:rFonts w:hint="eastAsia" w:ascii="宋体" w:hAnsi="宋体" w:cs="宋体"/>
          <w:color w:val="auto"/>
          <w:sz w:val="22"/>
          <w:szCs w:val="22"/>
          <w:highlight w:val="none"/>
        </w:rPr>
      </w:pPr>
    </w:p>
    <w:p w14:paraId="2BFA4630">
      <w:pPr>
        <w:adjustRightInd w:val="0"/>
        <w:snapToGrid w:val="0"/>
        <w:spacing w:line="360" w:lineRule="auto"/>
        <w:ind w:right="420"/>
        <w:rPr>
          <w:rFonts w:hint="eastAsia" w:ascii="宋体" w:hAnsi="宋体" w:cs="宋体"/>
          <w:color w:val="auto"/>
          <w:sz w:val="22"/>
          <w:szCs w:val="22"/>
          <w:highlight w:val="none"/>
        </w:rPr>
      </w:pPr>
    </w:p>
    <w:p w14:paraId="59819BC4">
      <w:pPr>
        <w:adjustRightInd w:val="0"/>
        <w:snapToGrid w:val="0"/>
        <w:spacing w:line="360" w:lineRule="auto"/>
        <w:ind w:right="420"/>
        <w:rPr>
          <w:rFonts w:hint="eastAsia" w:ascii="宋体" w:hAnsi="宋体" w:cs="宋体"/>
          <w:color w:val="auto"/>
          <w:sz w:val="22"/>
          <w:szCs w:val="22"/>
          <w:highlight w:val="none"/>
        </w:rPr>
      </w:pPr>
    </w:p>
    <w:p w14:paraId="7332F60A">
      <w:pPr>
        <w:adjustRightInd w:val="0"/>
        <w:snapToGrid w:val="0"/>
        <w:spacing w:line="360" w:lineRule="auto"/>
        <w:ind w:right="420"/>
        <w:rPr>
          <w:rFonts w:hint="eastAsia" w:ascii="宋体" w:hAnsi="宋体" w:cs="宋体"/>
          <w:color w:val="auto"/>
          <w:sz w:val="22"/>
          <w:szCs w:val="22"/>
          <w:highlight w:val="none"/>
        </w:rPr>
      </w:pPr>
    </w:p>
    <w:p w14:paraId="2BEE4BA6">
      <w:pPr>
        <w:adjustRightInd w:val="0"/>
        <w:snapToGrid w:val="0"/>
        <w:spacing w:line="360" w:lineRule="auto"/>
        <w:ind w:right="420"/>
        <w:rPr>
          <w:rFonts w:hint="eastAsia" w:ascii="宋体" w:hAnsi="宋体" w:cs="宋体"/>
          <w:color w:val="auto"/>
          <w:sz w:val="22"/>
          <w:szCs w:val="22"/>
          <w:highlight w:val="none"/>
        </w:rPr>
      </w:pPr>
    </w:p>
    <w:p w14:paraId="23B40B36">
      <w:pPr>
        <w:adjustRightInd w:val="0"/>
        <w:snapToGrid w:val="0"/>
        <w:spacing w:line="360" w:lineRule="auto"/>
        <w:ind w:right="420"/>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法定代表人（签字）：</w:t>
      </w:r>
    </w:p>
    <w:p w14:paraId="67520D36">
      <w:pPr>
        <w:adjustRightInd w:val="0"/>
        <w:snapToGrid w:val="0"/>
        <w:spacing w:line="360" w:lineRule="auto"/>
        <w:ind w:right="420"/>
        <w:rPr>
          <w:rFonts w:hint="eastAsia" w:ascii="宋体" w:hAnsi="宋体" w:cs="宋体"/>
          <w:color w:val="auto"/>
          <w:sz w:val="22"/>
          <w:szCs w:val="22"/>
          <w:highlight w:val="none"/>
        </w:rPr>
      </w:pPr>
      <w:r>
        <w:rPr>
          <w:rFonts w:hint="eastAsia" w:ascii="宋体" w:hAnsi="宋体" w:cs="宋体"/>
          <w:color w:val="auto"/>
          <w:sz w:val="22"/>
          <w:szCs w:val="22"/>
          <w:highlight w:val="none"/>
        </w:rPr>
        <w:t>委托代理人（签字）：</w:t>
      </w:r>
    </w:p>
    <w:p w14:paraId="30661C6C">
      <w:pPr>
        <w:adjustRightInd w:val="0"/>
        <w:snapToGrid w:val="0"/>
        <w:spacing w:line="360" w:lineRule="auto"/>
        <w:ind w:right="24"/>
        <w:rPr>
          <w:rFonts w:hint="eastAsia" w:ascii="宋体" w:hAnsi="宋体" w:cs="宋体"/>
          <w:color w:val="auto"/>
          <w:sz w:val="22"/>
          <w:szCs w:val="22"/>
          <w:highlight w:val="none"/>
        </w:rPr>
      </w:pPr>
      <w:r>
        <w:rPr>
          <w:rFonts w:hint="eastAsia" w:ascii="宋体" w:hAnsi="宋体" w:cs="宋体"/>
          <w:color w:val="auto"/>
          <w:sz w:val="22"/>
          <w:szCs w:val="22"/>
          <w:highlight w:val="none"/>
        </w:rPr>
        <w:t>日期：</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 xml:space="preserve">  </w:t>
      </w:r>
      <w:r>
        <w:rPr>
          <w:rFonts w:hint="eastAsia" w:ascii="宋体" w:hAnsi="宋体" w:cs="宋体"/>
          <w:color w:val="auto"/>
          <w:sz w:val="22"/>
          <w:szCs w:val="22"/>
          <w:highlight w:val="none"/>
        </w:rPr>
        <w:t>日</w:t>
      </w:r>
    </w:p>
    <w:p w14:paraId="569FE082">
      <w:pPr>
        <w:widowControl/>
        <w:topLinePunct/>
        <w:spacing w:line="440" w:lineRule="atLeast"/>
        <w:jc w:val="left"/>
        <w:rPr>
          <w:rFonts w:hint="eastAsia" w:ascii="宋体" w:hAnsi="宋体" w:cs="宋体"/>
          <w:b/>
          <w:color w:val="auto"/>
          <w:kern w:val="0"/>
          <w:sz w:val="22"/>
          <w:szCs w:val="28"/>
          <w:highlight w:val="none"/>
        </w:rPr>
      </w:pPr>
    </w:p>
    <w:p w14:paraId="2A85DBCE">
      <w:pPr>
        <w:widowControl/>
        <w:jc w:val="center"/>
        <w:outlineLvl w:val="1"/>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bookmarkStart w:id="120" w:name="_Toc25094"/>
      <w:bookmarkStart w:id="121" w:name="_Toc18047"/>
      <w:r>
        <w:rPr>
          <w:rFonts w:hint="eastAsia" w:ascii="宋体" w:hAnsi="宋体" w:cs="宋体"/>
          <w:b/>
          <w:color w:val="auto"/>
          <w:sz w:val="32"/>
          <w:szCs w:val="32"/>
          <w:highlight w:val="none"/>
        </w:rPr>
        <w:t>二、磋商保证金缴纳证明材料</w:t>
      </w:r>
      <w:bookmarkEnd w:id="120"/>
      <w:bookmarkEnd w:id="121"/>
    </w:p>
    <w:p w14:paraId="07722465">
      <w:pPr>
        <w:spacing w:line="360" w:lineRule="exact"/>
        <w:ind w:firstLine="422"/>
        <w:jc w:val="center"/>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提供转账凭证</w:t>
      </w:r>
      <w:r>
        <w:rPr>
          <w:rFonts w:hint="eastAsia" w:ascii="宋体" w:hAnsi="宋体" w:cs="宋体"/>
          <w:color w:val="auto"/>
          <w:sz w:val="21"/>
          <w:szCs w:val="21"/>
          <w:highlight w:val="none"/>
          <w:lang w:eastAsia="zh-CN"/>
        </w:rPr>
        <w:t>）</w:t>
      </w:r>
    </w:p>
    <w:p w14:paraId="18D90038">
      <w:pPr>
        <w:spacing w:line="360" w:lineRule="exact"/>
        <w:ind w:firstLine="422"/>
        <w:rPr>
          <w:rFonts w:hint="eastAsia" w:ascii="宋体" w:hAnsi="宋体" w:cs="宋体"/>
          <w:color w:val="auto"/>
          <w:sz w:val="21"/>
          <w:szCs w:val="21"/>
          <w:highlight w:val="none"/>
        </w:rPr>
      </w:pPr>
      <w:r>
        <w:rPr>
          <w:rFonts w:hint="eastAsia" w:ascii="宋体" w:hAnsi="宋体" w:cs="宋体"/>
          <w:color w:val="auto"/>
          <w:sz w:val="21"/>
          <w:szCs w:val="21"/>
          <w:highlight w:val="none"/>
        </w:rPr>
        <w:t>递交方式：投标保证金必须是从投标单位的账户转（汇）入投标保证金的托管账户管理，以现金（此处仅指狭义现金）方式和非账户提交的投标保证金无效。</w:t>
      </w:r>
    </w:p>
    <w:p w14:paraId="6EC57CB3">
      <w:pPr>
        <w:spacing w:line="360" w:lineRule="auto"/>
        <w:rPr>
          <w:rFonts w:hint="eastAsia" w:ascii="宋体" w:hAnsi="宋体" w:cs="宋体"/>
          <w:color w:val="auto"/>
          <w:sz w:val="21"/>
          <w:szCs w:val="21"/>
          <w:highlight w:val="none"/>
        </w:rPr>
      </w:pPr>
    </w:p>
    <w:p w14:paraId="0DDFD6C1">
      <w:pPr>
        <w:spacing w:line="360" w:lineRule="auto"/>
        <w:ind w:firstLine="210" w:firstLineChars="1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账户名称：湖南省中方项目管理有限公司政府采购保证金专户</w:t>
      </w:r>
    </w:p>
    <w:p w14:paraId="51EB49E7">
      <w:pPr>
        <w:spacing w:line="360" w:lineRule="auto"/>
        <w:ind w:firstLine="210" w:firstLineChars="1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开户银行：广发银行股份有限公司长沙分行营业部</w:t>
      </w:r>
    </w:p>
    <w:p w14:paraId="214799E6">
      <w:pPr>
        <w:spacing w:line="360" w:lineRule="auto"/>
        <w:ind w:firstLine="210" w:firstLineChars="1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银行账号：9550880221839500369</w:t>
      </w:r>
    </w:p>
    <w:p w14:paraId="30D83143">
      <w:pP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摘  要：</w:t>
      </w:r>
    </w:p>
    <w:p w14:paraId="6B979F8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val="en-US" w:eastAsia="zh-CN"/>
        </w:rPr>
        <w:t>XXX</w:t>
      </w:r>
      <w:r>
        <w:rPr>
          <w:rFonts w:hint="eastAsia" w:ascii="宋体" w:hAnsi="宋体" w:cs="宋体"/>
          <w:color w:val="auto"/>
          <w:sz w:val="21"/>
          <w:szCs w:val="21"/>
          <w:highlight w:val="none"/>
        </w:rPr>
        <w:t>投标保证金（备注时可提取关键字）</w:t>
      </w:r>
    </w:p>
    <w:p w14:paraId="438B76A2">
      <w:pPr>
        <w:spacing w:line="360" w:lineRule="auto"/>
        <w:ind w:firstLine="420" w:firstLineChars="200"/>
        <w:rPr>
          <w:rFonts w:hint="eastAsia" w:ascii="宋体" w:hAnsi="宋体" w:cs="宋体"/>
          <w:color w:val="auto"/>
          <w:sz w:val="21"/>
          <w:szCs w:val="21"/>
          <w:highlight w:val="none"/>
        </w:rPr>
      </w:pPr>
      <w:bookmarkStart w:id="122" w:name="_Toc6617"/>
      <w:r>
        <w:rPr>
          <w:rFonts w:hint="eastAsia" w:ascii="宋体" w:hAnsi="宋体" w:cs="宋体"/>
          <w:color w:val="auto"/>
          <w:sz w:val="21"/>
          <w:szCs w:val="21"/>
          <w:highlight w:val="none"/>
        </w:rPr>
        <w:t>2、提供付款凭证复印件。</w:t>
      </w:r>
      <w:bookmarkEnd w:id="122"/>
    </w:p>
    <w:p w14:paraId="5BAD5B8D">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7DCF17B1">
      <w:pPr>
        <w:adjustRightInd w:val="0"/>
        <w:snapToGrid w:val="0"/>
        <w:spacing w:line="360" w:lineRule="auto"/>
        <w:jc w:val="center"/>
        <w:outlineLvl w:val="1"/>
        <w:rPr>
          <w:rFonts w:hint="eastAsia" w:ascii="宋体" w:hAnsi="宋体" w:cs="宋体"/>
          <w:b/>
          <w:bCs/>
          <w:color w:val="auto"/>
          <w:sz w:val="32"/>
          <w:szCs w:val="32"/>
          <w:highlight w:val="none"/>
        </w:rPr>
      </w:pPr>
      <w:bookmarkStart w:id="123" w:name="_Toc22138"/>
      <w:bookmarkStart w:id="124" w:name="_Toc14058"/>
      <w:r>
        <w:rPr>
          <w:rFonts w:hint="eastAsia" w:ascii="宋体" w:hAnsi="宋体" w:cs="宋体"/>
          <w:b/>
          <w:color w:val="auto"/>
          <w:sz w:val="32"/>
          <w:szCs w:val="32"/>
          <w:highlight w:val="none"/>
        </w:rPr>
        <w:t>三、供应商</w:t>
      </w:r>
      <w:r>
        <w:rPr>
          <w:rFonts w:hint="eastAsia" w:ascii="宋体" w:hAnsi="宋体" w:cs="宋体"/>
          <w:b/>
          <w:bCs/>
          <w:color w:val="auto"/>
          <w:sz w:val="32"/>
          <w:szCs w:val="32"/>
          <w:highlight w:val="none"/>
        </w:rPr>
        <w:t>的资格证明资料</w:t>
      </w:r>
      <w:bookmarkEnd w:id="123"/>
      <w:bookmarkEnd w:id="124"/>
    </w:p>
    <w:p w14:paraId="5E91EF58">
      <w:pPr>
        <w:spacing w:line="480" w:lineRule="exact"/>
        <w:rPr>
          <w:rFonts w:hint="eastAsia" w:ascii="宋体" w:hAnsi="宋体" w:cs="宋体"/>
          <w:color w:val="auto"/>
          <w:sz w:val="30"/>
          <w:szCs w:val="30"/>
          <w:highlight w:val="none"/>
        </w:rPr>
      </w:pPr>
      <w:bookmarkStart w:id="125" w:name="_Toc10841"/>
      <w:r>
        <w:rPr>
          <w:rFonts w:hint="eastAsia" w:ascii="宋体" w:hAnsi="宋体" w:cs="宋体"/>
          <w:color w:val="auto"/>
          <w:sz w:val="30"/>
          <w:szCs w:val="30"/>
          <w:highlight w:val="none"/>
        </w:rPr>
        <w:t>附件3</w:t>
      </w:r>
      <w:bookmarkEnd w:id="125"/>
    </w:p>
    <w:p w14:paraId="1D2A8C96">
      <w:pPr>
        <w:spacing w:line="48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供应商基本情况表</w:t>
      </w:r>
    </w:p>
    <w:p w14:paraId="5DA8F32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盖供应商单位章</w:t>
      </w:r>
    </w:p>
    <w:tbl>
      <w:tblPr>
        <w:tblStyle w:val="18"/>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94"/>
        <w:gridCol w:w="520"/>
        <w:gridCol w:w="351"/>
        <w:gridCol w:w="1102"/>
        <w:gridCol w:w="821"/>
        <w:gridCol w:w="569"/>
        <w:gridCol w:w="285"/>
        <w:gridCol w:w="1048"/>
        <w:gridCol w:w="1283"/>
        <w:gridCol w:w="1847"/>
      </w:tblGrid>
      <w:tr w14:paraId="66E85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918" w:type="pct"/>
            <w:gridSpan w:val="3"/>
            <w:tcBorders>
              <w:top w:val="double" w:color="auto" w:sz="4" w:space="0"/>
              <w:left w:val="double" w:color="auto" w:sz="4" w:space="0"/>
              <w:bottom w:val="single" w:color="auto" w:sz="6" w:space="0"/>
              <w:right w:val="single" w:color="auto" w:sz="6" w:space="0"/>
            </w:tcBorders>
            <w:vAlign w:val="center"/>
          </w:tcPr>
          <w:p w14:paraId="52193A40">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2245" w:type="pct"/>
            <w:gridSpan w:val="5"/>
            <w:tcBorders>
              <w:top w:val="double" w:color="auto" w:sz="4" w:space="0"/>
              <w:left w:val="single" w:color="auto" w:sz="6" w:space="0"/>
              <w:bottom w:val="single" w:color="auto" w:sz="6" w:space="0"/>
              <w:right w:val="single" w:color="auto" w:sz="6" w:space="0"/>
            </w:tcBorders>
            <w:vAlign w:val="center"/>
          </w:tcPr>
          <w:p w14:paraId="5BE36023">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53" w:type="pct"/>
            <w:tcBorders>
              <w:top w:val="double" w:color="auto" w:sz="4" w:space="0"/>
              <w:left w:val="single" w:color="auto" w:sz="6" w:space="0"/>
              <w:bottom w:val="single" w:color="auto" w:sz="6" w:space="0"/>
              <w:right w:val="single" w:color="auto" w:sz="6" w:space="0"/>
            </w:tcBorders>
            <w:vAlign w:val="center"/>
          </w:tcPr>
          <w:p w14:paraId="728FCC0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1083" w:type="pct"/>
            <w:tcBorders>
              <w:top w:val="double" w:color="auto" w:sz="4" w:space="0"/>
              <w:left w:val="single" w:color="auto" w:sz="6" w:space="0"/>
              <w:bottom w:val="single" w:color="auto" w:sz="6" w:space="0"/>
              <w:right w:val="double" w:color="auto" w:sz="4" w:space="0"/>
            </w:tcBorders>
            <w:vAlign w:val="center"/>
          </w:tcPr>
          <w:p w14:paraId="07A1FC77">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499150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918" w:type="pct"/>
            <w:gridSpan w:val="3"/>
            <w:tcBorders>
              <w:top w:val="single" w:color="auto" w:sz="6" w:space="0"/>
              <w:left w:val="double" w:color="auto" w:sz="4" w:space="0"/>
              <w:bottom w:val="single" w:color="auto" w:sz="6" w:space="0"/>
              <w:right w:val="single" w:color="auto" w:sz="6" w:space="0"/>
            </w:tcBorders>
            <w:vAlign w:val="center"/>
          </w:tcPr>
          <w:p w14:paraId="6605AA7C">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委托代理人</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2B3846E6">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53" w:type="pct"/>
            <w:tcBorders>
              <w:top w:val="single" w:color="auto" w:sz="6" w:space="0"/>
              <w:left w:val="single" w:color="auto" w:sz="6" w:space="0"/>
              <w:bottom w:val="single" w:color="auto" w:sz="6" w:space="0"/>
              <w:right w:val="single" w:color="auto" w:sz="6" w:space="0"/>
            </w:tcBorders>
            <w:vAlign w:val="center"/>
          </w:tcPr>
          <w:p w14:paraId="50FEA2D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1083" w:type="pct"/>
            <w:tcBorders>
              <w:top w:val="single" w:color="auto" w:sz="6" w:space="0"/>
              <w:left w:val="single" w:color="auto" w:sz="6" w:space="0"/>
              <w:bottom w:val="single" w:color="auto" w:sz="6" w:space="0"/>
              <w:right w:val="double" w:color="auto" w:sz="4" w:space="0"/>
            </w:tcBorders>
            <w:vAlign w:val="center"/>
          </w:tcPr>
          <w:p w14:paraId="3F4F9B43">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0807AD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918" w:type="pct"/>
            <w:gridSpan w:val="3"/>
            <w:tcBorders>
              <w:top w:val="single" w:color="auto" w:sz="6" w:space="0"/>
              <w:left w:val="double" w:color="auto" w:sz="4" w:space="0"/>
              <w:bottom w:val="single" w:color="auto" w:sz="6" w:space="0"/>
              <w:right w:val="single" w:color="auto" w:sz="6" w:space="0"/>
            </w:tcBorders>
            <w:vAlign w:val="center"/>
          </w:tcPr>
          <w:p w14:paraId="147F376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联系电话</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59AE6EF2">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53" w:type="pct"/>
            <w:tcBorders>
              <w:top w:val="single" w:color="auto" w:sz="6" w:space="0"/>
              <w:left w:val="single" w:color="auto" w:sz="6" w:space="0"/>
              <w:bottom w:val="single" w:color="auto" w:sz="6" w:space="0"/>
              <w:right w:val="single" w:color="auto" w:sz="6" w:space="0"/>
            </w:tcBorders>
            <w:vAlign w:val="center"/>
          </w:tcPr>
          <w:p w14:paraId="535B97C9">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电子邮箱</w:t>
            </w:r>
          </w:p>
        </w:tc>
        <w:tc>
          <w:tcPr>
            <w:tcW w:w="1083" w:type="pct"/>
            <w:tcBorders>
              <w:top w:val="single" w:color="auto" w:sz="6" w:space="0"/>
              <w:left w:val="single" w:color="auto" w:sz="6" w:space="0"/>
              <w:bottom w:val="single" w:color="auto" w:sz="6" w:space="0"/>
              <w:right w:val="double" w:color="auto" w:sz="4" w:space="0"/>
            </w:tcBorders>
            <w:vAlign w:val="center"/>
          </w:tcPr>
          <w:p w14:paraId="0F178ED2">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62768D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918" w:type="pct"/>
            <w:gridSpan w:val="3"/>
            <w:tcBorders>
              <w:top w:val="single" w:color="auto" w:sz="6" w:space="0"/>
              <w:left w:val="double" w:color="auto" w:sz="4" w:space="0"/>
              <w:bottom w:val="single" w:color="auto" w:sz="6" w:space="0"/>
              <w:right w:val="single" w:color="auto" w:sz="6" w:space="0"/>
            </w:tcBorders>
            <w:vAlign w:val="center"/>
          </w:tcPr>
          <w:p w14:paraId="2C42767B">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上年营业收入</w:t>
            </w:r>
          </w:p>
        </w:tc>
        <w:tc>
          <w:tcPr>
            <w:tcW w:w="2245" w:type="pct"/>
            <w:gridSpan w:val="5"/>
            <w:tcBorders>
              <w:top w:val="single" w:color="auto" w:sz="6" w:space="0"/>
              <w:left w:val="single" w:color="auto" w:sz="6" w:space="0"/>
              <w:bottom w:val="single" w:color="auto" w:sz="6" w:space="0"/>
              <w:right w:val="single" w:color="auto" w:sz="6" w:space="0"/>
            </w:tcBorders>
            <w:vAlign w:val="center"/>
          </w:tcPr>
          <w:p w14:paraId="54EB33AE">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53" w:type="pct"/>
            <w:tcBorders>
              <w:top w:val="single" w:color="auto" w:sz="6" w:space="0"/>
              <w:left w:val="single" w:color="auto" w:sz="6" w:space="0"/>
              <w:bottom w:val="single" w:color="auto" w:sz="6" w:space="0"/>
              <w:right w:val="single" w:color="auto" w:sz="6" w:space="0"/>
            </w:tcBorders>
            <w:vAlign w:val="center"/>
          </w:tcPr>
          <w:p w14:paraId="53DC5818">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c>
          <w:tcPr>
            <w:tcW w:w="1083" w:type="pct"/>
            <w:tcBorders>
              <w:top w:val="single" w:color="auto" w:sz="6" w:space="0"/>
              <w:left w:val="single" w:color="auto" w:sz="6" w:space="0"/>
              <w:bottom w:val="single" w:color="auto" w:sz="6" w:space="0"/>
              <w:right w:val="double" w:color="auto" w:sz="4" w:space="0"/>
            </w:tcBorders>
            <w:vAlign w:val="center"/>
          </w:tcPr>
          <w:p w14:paraId="07F695FD">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1B7A2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07" w:type="pct"/>
            <w:vMerge w:val="restart"/>
            <w:tcBorders>
              <w:top w:val="single" w:color="auto" w:sz="6" w:space="0"/>
              <w:left w:val="double" w:color="auto" w:sz="4" w:space="0"/>
              <w:bottom w:val="single" w:color="auto" w:sz="6" w:space="0"/>
              <w:right w:val="single" w:color="auto" w:sz="6" w:space="0"/>
            </w:tcBorders>
            <w:vAlign w:val="center"/>
          </w:tcPr>
          <w:p w14:paraId="0F82DEDF">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营业执照</w:t>
            </w:r>
          </w:p>
        </w:tc>
        <w:tc>
          <w:tcPr>
            <w:tcW w:w="1158" w:type="pct"/>
            <w:gridSpan w:val="3"/>
            <w:tcBorders>
              <w:top w:val="single" w:color="auto" w:sz="6" w:space="0"/>
              <w:left w:val="single" w:color="auto" w:sz="6" w:space="0"/>
              <w:bottom w:val="single" w:color="auto" w:sz="6" w:space="0"/>
              <w:right w:val="single" w:color="auto" w:sz="6" w:space="0"/>
            </w:tcBorders>
            <w:vAlign w:val="center"/>
          </w:tcPr>
          <w:p w14:paraId="3F06E069">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注册号码</w:t>
            </w:r>
          </w:p>
        </w:tc>
        <w:tc>
          <w:tcPr>
            <w:tcW w:w="816" w:type="pct"/>
            <w:gridSpan w:val="2"/>
            <w:tcBorders>
              <w:top w:val="single" w:color="auto" w:sz="6" w:space="0"/>
              <w:left w:val="single" w:color="auto" w:sz="6" w:space="0"/>
              <w:bottom w:val="single" w:color="auto" w:sz="6" w:space="0"/>
              <w:right w:val="single" w:color="auto" w:sz="6" w:space="0"/>
            </w:tcBorders>
            <w:vAlign w:val="center"/>
          </w:tcPr>
          <w:p w14:paraId="287B1AF6">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81" w:type="pct"/>
            <w:gridSpan w:val="2"/>
            <w:tcBorders>
              <w:top w:val="single" w:color="auto" w:sz="6" w:space="0"/>
              <w:left w:val="single" w:color="auto" w:sz="6" w:space="0"/>
              <w:bottom w:val="single" w:color="auto" w:sz="6" w:space="0"/>
              <w:right w:val="single" w:color="auto" w:sz="6" w:space="0"/>
            </w:tcBorders>
            <w:vAlign w:val="center"/>
          </w:tcPr>
          <w:p w14:paraId="3948F1DC">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2C66762B">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p>
        </w:tc>
      </w:tr>
      <w:tr w14:paraId="5506CD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07" w:type="pct"/>
            <w:vMerge w:val="continue"/>
            <w:tcBorders>
              <w:top w:val="single" w:color="auto" w:sz="6" w:space="0"/>
              <w:left w:val="double" w:color="auto" w:sz="4" w:space="0"/>
              <w:bottom w:val="single" w:color="auto" w:sz="6" w:space="0"/>
              <w:right w:val="single" w:color="auto" w:sz="6" w:space="0"/>
            </w:tcBorders>
            <w:vAlign w:val="center"/>
          </w:tcPr>
          <w:p w14:paraId="6CE2A11C">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1158" w:type="pct"/>
            <w:gridSpan w:val="3"/>
            <w:tcBorders>
              <w:top w:val="single" w:color="auto" w:sz="6" w:space="0"/>
              <w:left w:val="single" w:color="auto" w:sz="6" w:space="0"/>
              <w:bottom w:val="single" w:color="auto" w:sz="6" w:space="0"/>
              <w:right w:val="single" w:color="auto" w:sz="6" w:space="0"/>
            </w:tcBorders>
            <w:vAlign w:val="center"/>
          </w:tcPr>
          <w:p w14:paraId="3036F1F1">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发证机关</w:t>
            </w:r>
          </w:p>
        </w:tc>
        <w:tc>
          <w:tcPr>
            <w:tcW w:w="816" w:type="pct"/>
            <w:gridSpan w:val="2"/>
            <w:tcBorders>
              <w:top w:val="single" w:color="auto" w:sz="6" w:space="0"/>
              <w:left w:val="single" w:color="auto" w:sz="6" w:space="0"/>
              <w:bottom w:val="single" w:color="auto" w:sz="6" w:space="0"/>
              <w:right w:val="single" w:color="auto" w:sz="6" w:space="0"/>
            </w:tcBorders>
            <w:vAlign w:val="center"/>
          </w:tcPr>
          <w:p w14:paraId="5D49F8BE">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781" w:type="pct"/>
            <w:gridSpan w:val="2"/>
            <w:tcBorders>
              <w:top w:val="single" w:color="auto" w:sz="6" w:space="0"/>
              <w:left w:val="single" w:color="auto" w:sz="6" w:space="0"/>
              <w:bottom w:val="single" w:color="auto" w:sz="6" w:space="0"/>
              <w:right w:val="single" w:color="auto" w:sz="6" w:space="0"/>
            </w:tcBorders>
            <w:vAlign w:val="center"/>
          </w:tcPr>
          <w:p w14:paraId="23EAEF33">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发证日期</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4861E818">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p>
        </w:tc>
      </w:tr>
      <w:tr w14:paraId="3924F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07" w:type="pct"/>
            <w:vMerge w:val="continue"/>
            <w:tcBorders>
              <w:top w:val="single" w:color="auto" w:sz="6" w:space="0"/>
              <w:left w:val="double" w:color="auto" w:sz="4" w:space="0"/>
              <w:bottom w:val="single" w:color="auto" w:sz="6" w:space="0"/>
              <w:right w:val="single" w:color="auto" w:sz="6" w:space="0"/>
            </w:tcBorders>
            <w:vAlign w:val="center"/>
          </w:tcPr>
          <w:p w14:paraId="4081470D">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1158" w:type="pct"/>
            <w:gridSpan w:val="3"/>
            <w:tcBorders>
              <w:top w:val="single" w:color="auto" w:sz="6" w:space="0"/>
              <w:left w:val="single" w:color="auto" w:sz="6" w:space="0"/>
              <w:bottom w:val="single" w:color="auto" w:sz="6" w:space="0"/>
              <w:right w:val="single" w:color="auto" w:sz="6" w:space="0"/>
            </w:tcBorders>
            <w:vAlign w:val="center"/>
          </w:tcPr>
          <w:p w14:paraId="4A1CC009">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营业范围（主营）</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52D7584E">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p>
        </w:tc>
      </w:tr>
      <w:tr w14:paraId="2A31A3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407" w:type="pct"/>
            <w:vMerge w:val="continue"/>
            <w:tcBorders>
              <w:top w:val="single" w:color="auto" w:sz="6" w:space="0"/>
              <w:left w:val="double" w:color="auto" w:sz="4" w:space="0"/>
              <w:bottom w:val="single" w:color="auto" w:sz="6" w:space="0"/>
              <w:right w:val="single" w:color="auto" w:sz="6" w:space="0"/>
            </w:tcBorders>
            <w:vAlign w:val="center"/>
          </w:tcPr>
          <w:p w14:paraId="138B660F">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1158" w:type="pct"/>
            <w:gridSpan w:val="3"/>
            <w:tcBorders>
              <w:top w:val="single" w:color="auto" w:sz="6" w:space="0"/>
              <w:left w:val="single" w:color="auto" w:sz="6" w:space="0"/>
              <w:bottom w:val="single" w:color="auto" w:sz="6" w:space="0"/>
              <w:right w:val="single" w:color="auto" w:sz="6" w:space="0"/>
            </w:tcBorders>
            <w:vAlign w:val="center"/>
          </w:tcPr>
          <w:p w14:paraId="37E2D94D">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营业范围（兼营）</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185F0A5C">
            <w:pPr>
              <w:keepNext w:val="0"/>
              <w:keepLines w:val="0"/>
              <w:suppressLineNumbers w:val="0"/>
              <w:topLinePunct/>
              <w:spacing w:before="0" w:beforeAutospacing="0" w:after="0" w:afterAutospacing="0" w:line="440" w:lineRule="exact"/>
              <w:ind w:left="0" w:right="0" w:firstLine="105" w:firstLineChars="50"/>
              <w:jc w:val="center"/>
              <w:rPr>
                <w:rFonts w:hint="eastAsia" w:ascii="宋体" w:hAnsi="宋体" w:cs="宋体"/>
                <w:color w:val="auto"/>
                <w:szCs w:val="21"/>
                <w:highlight w:val="none"/>
              </w:rPr>
            </w:pPr>
          </w:p>
        </w:tc>
      </w:tr>
      <w:tr w14:paraId="55733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65" w:type="pct"/>
            <w:gridSpan w:val="4"/>
            <w:tcBorders>
              <w:top w:val="single" w:color="auto" w:sz="6" w:space="0"/>
              <w:left w:val="double" w:color="auto" w:sz="4" w:space="0"/>
              <w:bottom w:val="single" w:color="auto" w:sz="6" w:space="0"/>
              <w:right w:val="single" w:color="auto" w:sz="6" w:space="0"/>
            </w:tcBorders>
            <w:vAlign w:val="center"/>
          </w:tcPr>
          <w:p w14:paraId="547BF8C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基本账户开户行及账号</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3FACA2CB">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54E10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565" w:type="pct"/>
            <w:gridSpan w:val="4"/>
            <w:tcBorders>
              <w:top w:val="single" w:color="auto" w:sz="6" w:space="0"/>
              <w:left w:val="double" w:color="auto" w:sz="4" w:space="0"/>
              <w:bottom w:val="single" w:color="auto" w:sz="6" w:space="0"/>
              <w:right w:val="single" w:color="auto" w:sz="6" w:space="0"/>
            </w:tcBorders>
            <w:vAlign w:val="center"/>
          </w:tcPr>
          <w:p w14:paraId="434AF557">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税务登记机关</w:t>
            </w:r>
          </w:p>
        </w:tc>
        <w:tc>
          <w:tcPr>
            <w:tcW w:w="3434" w:type="pct"/>
            <w:gridSpan w:val="6"/>
            <w:tcBorders>
              <w:top w:val="single" w:color="auto" w:sz="6" w:space="0"/>
              <w:left w:val="single" w:color="auto" w:sz="6" w:space="0"/>
              <w:bottom w:val="single" w:color="auto" w:sz="6" w:space="0"/>
              <w:right w:val="double" w:color="auto" w:sz="4" w:space="0"/>
            </w:tcBorders>
            <w:vAlign w:val="center"/>
          </w:tcPr>
          <w:p w14:paraId="6CD57C2C">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525EB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2047" w:type="pct"/>
            <w:gridSpan w:val="5"/>
            <w:tcBorders>
              <w:top w:val="single" w:color="auto" w:sz="6" w:space="0"/>
              <w:left w:val="double" w:color="auto" w:sz="4" w:space="0"/>
              <w:bottom w:val="single" w:color="auto" w:sz="6" w:space="0"/>
              <w:right w:val="single" w:color="auto" w:sz="6" w:space="0"/>
            </w:tcBorders>
            <w:vAlign w:val="center"/>
          </w:tcPr>
          <w:p w14:paraId="4C5D1C9A">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资质名称</w:t>
            </w:r>
          </w:p>
        </w:tc>
        <w:tc>
          <w:tcPr>
            <w:tcW w:w="501" w:type="pct"/>
            <w:gridSpan w:val="2"/>
            <w:tcBorders>
              <w:top w:val="single" w:color="auto" w:sz="6" w:space="0"/>
              <w:left w:val="single" w:color="auto" w:sz="6" w:space="0"/>
              <w:bottom w:val="single" w:color="auto" w:sz="6" w:space="0"/>
              <w:right w:val="single" w:color="auto" w:sz="6" w:space="0"/>
            </w:tcBorders>
            <w:vAlign w:val="center"/>
          </w:tcPr>
          <w:p w14:paraId="35F479EA">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等级</w:t>
            </w:r>
          </w:p>
        </w:tc>
        <w:tc>
          <w:tcPr>
            <w:tcW w:w="614" w:type="pct"/>
            <w:tcBorders>
              <w:top w:val="single" w:color="auto" w:sz="6" w:space="0"/>
              <w:left w:val="single" w:color="auto" w:sz="6" w:space="0"/>
              <w:bottom w:val="single" w:color="auto" w:sz="6" w:space="0"/>
              <w:right w:val="single" w:color="auto" w:sz="6" w:space="0"/>
            </w:tcBorders>
            <w:vAlign w:val="center"/>
          </w:tcPr>
          <w:p w14:paraId="289BAE6C">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发证机关</w:t>
            </w: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63B3742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有效期</w:t>
            </w:r>
          </w:p>
        </w:tc>
      </w:tr>
      <w:tr w14:paraId="4259E7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2047" w:type="pct"/>
            <w:gridSpan w:val="5"/>
            <w:tcBorders>
              <w:top w:val="single" w:color="auto" w:sz="6" w:space="0"/>
              <w:left w:val="double" w:color="auto" w:sz="4" w:space="0"/>
              <w:bottom w:val="single" w:color="auto" w:sz="6" w:space="0"/>
              <w:right w:val="single" w:color="auto" w:sz="6" w:space="0"/>
            </w:tcBorders>
            <w:vAlign w:val="center"/>
          </w:tcPr>
          <w:p w14:paraId="5B0131CE">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501" w:type="pct"/>
            <w:gridSpan w:val="2"/>
            <w:tcBorders>
              <w:top w:val="single" w:color="auto" w:sz="6" w:space="0"/>
              <w:left w:val="single" w:color="auto" w:sz="6" w:space="0"/>
              <w:bottom w:val="single" w:color="auto" w:sz="6" w:space="0"/>
              <w:right w:val="single" w:color="auto" w:sz="6" w:space="0"/>
            </w:tcBorders>
            <w:vAlign w:val="center"/>
          </w:tcPr>
          <w:p w14:paraId="7CF779E9">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614" w:type="pct"/>
            <w:tcBorders>
              <w:top w:val="single" w:color="auto" w:sz="6" w:space="0"/>
              <w:left w:val="single" w:color="auto" w:sz="6" w:space="0"/>
              <w:bottom w:val="single" w:color="auto" w:sz="6" w:space="0"/>
              <w:right w:val="single" w:color="auto" w:sz="6" w:space="0"/>
            </w:tcBorders>
            <w:vAlign w:val="center"/>
          </w:tcPr>
          <w:p w14:paraId="52F0BA0E">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4E092B44">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3B1B1C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2047" w:type="pct"/>
            <w:gridSpan w:val="5"/>
            <w:tcBorders>
              <w:top w:val="single" w:color="auto" w:sz="6" w:space="0"/>
              <w:left w:val="double" w:color="auto" w:sz="4" w:space="0"/>
              <w:bottom w:val="single" w:color="auto" w:sz="6" w:space="0"/>
              <w:right w:val="single" w:color="auto" w:sz="6" w:space="0"/>
            </w:tcBorders>
            <w:vAlign w:val="center"/>
          </w:tcPr>
          <w:p w14:paraId="6CEDD5C5">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501" w:type="pct"/>
            <w:gridSpan w:val="2"/>
            <w:tcBorders>
              <w:top w:val="single" w:color="auto" w:sz="6" w:space="0"/>
              <w:left w:val="single" w:color="auto" w:sz="6" w:space="0"/>
              <w:bottom w:val="single" w:color="auto" w:sz="6" w:space="0"/>
              <w:right w:val="single" w:color="auto" w:sz="6" w:space="0"/>
            </w:tcBorders>
            <w:vAlign w:val="center"/>
          </w:tcPr>
          <w:p w14:paraId="09D3F62B">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614" w:type="pct"/>
            <w:tcBorders>
              <w:top w:val="single" w:color="auto" w:sz="6" w:space="0"/>
              <w:left w:val="single" w:color="auto" w:sz="6" w:space="0"/>
              <w:bottom w:val="single" w:color="auto" w:sz="6" w:space="0"/>
              <w:right w:val="single" w:color="auto" w:sz="6" w:space="0"/>
            </w:tcBorders>
            <w:vAlign w:val="center"/>
          </w:tcPr>
          <w:p w14:paraId="1049CA6A">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c>
          <w:tcPr>
            <w:tcW w:w="1836" w:type="pct"/>
            <w:gridSpan w:val="2"/>
            <w:tcBorders>
              <w:top w:val="single" w:color="auto" w:sz="6" w:space="0"/>
              <w:left w:val="single" w:color="auto" w:sz="6" w:space="0"/>
              <w:bottom w:val="single" w:color="auto" w:sz="6" w:space="0"/>
              <w:right w:val="double" w:color="auto" w:sz="4" w:space="0"/>
            </w:tcBorders>
            <w:vAlign w:val="center"/>
          </w:tcPr>
          <w:p w14:paraId="1CF07AC8">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p>
        </w:tc>
      </w:tr>
      <w:tr w14:paraId="561E5B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712" w:type="pct"/>
            <w:gridSpan w:val="2"/>
            <w:tcBorders>
              <w:top w:val="single" w:color="auto" w:sz="6" w:space="0"/>
              <w:left w:val="double" w:color="auto" w:sz="4" w:space="0"/>
              <w:bottom w:val="double" w:color="auto" w:sz="4" w:space="0"/>
              <w:right w:val="single" w:color="auto" w:sz="6" w:space="0"/>
            </w:tcBorders>
            <w:vAlign w:val="center"/>
          </w:tcPr>
          <w:p w14:paraId="7C0A2DEE">
            <w:pPr>
              <w:keepNext w:val="0"/>
              <w:keepLines w:val="0"/>
              <w:suppressLineNumbers w:val="0"/>
              <w:topLinePunct/>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4287" w:type="pct"/>
            <w:gridSpan w:val="8"/>
            <w:tcBorders>
              <w:top w:val="single" w:color="auto" w:sz="6" w:space="0"/>
              <w:left w:val="single" w:color="auto" w:sz="6" w:space="0"/>
              <w:bottom w:val="double" w:color="auto" w:sz="4" w:space="0"/>
              <w:right w:val="double" w:color="auto" w:sz="4" w:space="0"/>
            </w:tcBorders>
            <w:vAlign w:val="center"/>
          </w:tcPr>
          <w:p w14:paraId="7B8C8D97">
            <w:pPr>
              <w:keepNext w:val="0"/>
              <w:keepLines w:val="0"/>
              <w:suppressLineNumbers w:val="0"/>
              <w:topLinePunct/>
              <w:spacing w:before="0" w:beforeAutospacing="0" w:after="0" w:afterAutospacing="0" w:line="44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附《营业执照》（副本）复印件</w:t>
            </w:r>
          </w:p>
        </w:tc>
      </w:tr>
    </w:tbl>
    <w:p w14:paraId="28DD680E">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7737EE74">
      <w:pPr>
        <w:adjustRightInd w:val="0"/>
        <w:snapToGrid w:val="0"/>
        <w:spacing w:line="360" w:lineRule="auto"/>
        <w:rPr>
          <w:rFonts w:hint="eastAsia" w:ascii="宋体" w:hAnsi="宋体" w:cs="宋体"/>
          <w:color w:val="auto"/>
          <w:sz w:val="30"/>
          <w:szCs w:val="30"/>
          <w:highlight w:val="none"/>
        </w:rPr>
      </w:pPr>
      <w:r>
        <w:rPr>
          <w:rFonts w:hint="eastAsia" w:ascii="宋体" w:hAnsi="宋体" w:cs="宋体"/>
          <w:color w:val="auto"/>
          <w:sz w:val="30"/>
          <w:szCs w:val="30"/>
          <w:highlight w:val="none"/>
        </w:rPr>
        <w:t>附件4</w:t>
      </w:r>
    </w:p>
    <w:p w14:paraId="1379C3F4">
      <w:pPr>
        <w:adjustRightInd w:val="0"/>
        <w:snapToGrid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参加政府采购活动前三年内在经营活动中</w:t>
      </w:r>
    </w:p>
    <w:p w14:paraId="3CF5D4AA">
      <w:pPr>
        <w:adjustRightInd w:val="0"/>
        <w:snapToGrid w:val="0"/>
        <w:spacing w:line="360" w:lineRule="auto"/>
        <w:ind w:firstLine="2811" w:firstLineChars="10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没有重大违法记录的书面声明</w:t>
      </w:r>
    </w:p>
    <w:p w14:paraId="19CCA531">
      <w:pPr>
        <w:adjustRightInd w:val="0"/>
        <w:snapToGrid w:val="0"/>
        <w:spacing w:before="159" w:beforeLines="50" w:line="360" w:lineRule="auto"/>
        <w:ind w:left="-88" w:leftChars="-42"/>
        <w:rPr>
          <w:rFonts w:hint="eastAsia" w:ascii="宋体" w:hAnsi="宋体" w:cs="宋体"/>
          <w:color w:val="auto"/>
          <w:szCs w:val="21"/>
          <w:highlight w:val="none"/>
        </w:rPr>
      </w:pPr>
      <w:bookmarkStart w:id="126" w:name="_Toc20579"/>
      <w:r>
        <w:rPr>
          <w:rFonts w:hint="eastAsia" w:ascii="宋体" w:hAnsi="宋体" w:cs="宋体"/>
          <w:color w:val="auto"/>
          <w:szCs w:val="21"/>
          <w:highlight w:val="none"/>
        </w:rPr>
        <w:t>致(采购代理机构)：</w:t>
      </w:r>
      <w:bookmarkEnd w:id="126"/>
    </w:p>
    <w:p w14:paraId="54EE5FBE">
      <w:pPr>
        <w:widowControl/>
        <w:adjustRightInd w:val="0"/>
        <w:snapToGrid w:val="0"/>
        <w:spacing w:before="159" w:beforeLines="50" w:line="360" w:lineRule="auto"/>
        <w:ind w:firstLine="420" w:firstLineChars="200"/>
        <w:rPr>
          <w:rFonts w:hint="eastAsia" w:ascii="宋体" w:hAnsi="宋体" w:cs="宋体"/>
          <w:color w:val="auto"/>
          <w:szCs w:val="21"/>
          <w:highlight w:val="none"/>
        </w:rPr>
      </w:pPr>
      <w:r>
        <w:rPr>
          <w:rFonts w:hint="eastAsia" w:ascii="宋体" w:hAnsi="宋体" w:cs="宋体"/>
          <w:bCs/>
          <w:color w:val="auto"/>
          <w:szCs w:val="21"/>
          <w:highlight w:val="none"/>
        </w:rPr>
        <w:t>我单位在</w:t>
      </w:r>
      <w:r>
        <w:rPr>
          <w:rFonts w:hint="eastAsia" w:ascii="宋体" w:hAnsi="宋体" w:cs="宋体"/>
          <w:color w:val="auto"/>
          <w:szCs w:val="21"/>
          <w:highlight w:val="none"/>
        </w:rPr>
        <w:t>参加采购活动前三年内在经营活动中没有政府采购法第二十二条第一款第（五）项所称重大违法记录，包括：</w:t>
      </w:r>
    </w:p>
    <w:p w14:paraId="1D6FC5FC">
      <w:pP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受到刑事处罚，</w:t>
      </w:r>
      <w:r>
        <w:rPr>
          <w:rFonts w:hint="eastAsia" w:ascii="宋体" w:hAnsi="宋体" w:cs="宋体"/>
          <w:bCs/>
          <w:color w:val="auto"/>
          <w:szCs w:val="21"/>
          <w:highlight w:val="none"/>
        </w:rPr>
        <w:t>受到</w:t>
      </w:r>
      <w:r>
        <w:rPr>
          <w:rFonts w:hint="eastAsia" w:ascii="宋体" w:hAnsi="宋体" w:cs="宋体"/>
          <w:color w:val="auto"/>
          <w:szCs w:val="21"/>
          <w:highlight w:val="none"/>
        </w:rPr>
        <w:t>较大数额</w:t>
      </w:r>
      <w:r>
        <w:rPr>
          <w:rFonts w:hint="eastAsia" w:ascii="宋体" w:hAnsi="宋体" w:cs="宋体"/>
          <w:bCs/>
          <w:color w:val="auto"/>
          <w:szCs w:val="21"/>
          <w:highlight w:val="none"/>
        </w:rPr>
        <w:t>的罚款、责令停产停业、在一至三年内禁止参加政府采购活动、暂扣或者吊销许可证、暂扣或者吊销执照等情形之一的行政处罚，或者存在</w:t>
      </w:r>
      <w:r>
        <w:rPr>
          <w:rFonts w:hint="eastAsia" w:ascii="宋体" w:hAnsi="宋体" w:cs="宋体"/>
          <w:color w:val="auto"/>
          <w:szCs w:val="21"/>
          <w:highlight w:val="none"/>
        </w:rPr>
        <w:t>财政部门认定的其他重大违法记录。</w:t>
      </w:r>
    </w:p>
    <w:p w14:paraId="3229601D">
      <w:pPr>
        <w:widowControl/>
        <w:adjustRightInd w:val="0"/>
        <w:snapToGrid w:val="0"/>
        <w:spacing w:before="159" w:beforeLines="50" w:line="360" w:lineRule="auto"/>
        <w:ind w:firstLine="407" w:firstLineChars="194"/>
        <w:rPr>
          <w:rFonts w:hint="eastAsia" w:ascii="宋体" w:hAnsi="宋体" w:cs="宋体"/>
          <w:color w:val="auto"/>
          <w:szCs w:val="21"/>
          <w:highlight w:val="none"/>
        </w:rPr>
      </w:pPr>
      <w:r>
        <w:rPr>
          <w:rFonts w:hint="eastAsia" w:ascii="宋体" w:hAnsi="宋体" w:cs="宋体"/>
          <w:color w:val="auto"/>
          <w:szCs w:val="21"/>
          <w:highlight w:val="none"/>
        </w:rPr>
        <w:t>特此声明！</w:t>
      </w:r>
    </w:p>
    <w:p w14:paraId="3251FEDC">
      <w:pPr>
        <w:widowControl/>
        <w:adjustRightInd w:val="0"/>
        <w:snapToGrid w:val="0"/>
        <w:spacing w:before="159" w:beforeLines="50" w:line="360" w:lineRule="auto"/>
        <w:ind w:firstLine="420"/>
        <w:rPr>
          <w:rFonts w:hint="eastAsia" w:ascii="宋体" w:hAnsi="宋体" w:cs="宋体"/>
          <w:color w:val="auto"/>
          <w:szCs w:val="21"/>
          <w:highlight w:val="none"/>
        </w:rPr>
      </w:pPr>
    </w:p>
    <w:p w14:paraId="2834ABDB">
      <w:pPr>
        <w:widowControl/>
        <w:adjustRightInd w:val="0"/>
        <w:snapToGrid w:val="0"/>
        <w:spacing w:before="159" w:beforeLines="50" w:line="360" w:lineRule="auto"/>
        <w:ind w:firstLine="420"/>
        <w:rPr>
          <w:rFonts w:hint="eastAsia" w:ascii="宋体" w:hAnsi="宋体" w:cs="宋体"/>
          <w:color w:val="auto"/>
          <w:szCs w:val="21"/>
          <w:highlight w:val="none"/>
        </w:rPr>
      </w:pPr>
    </w:p>
    <w:p w14:paraId="1171618B">
      <w:pPr>
        <w:adjustRightInd w:val="0"/>
        <w:snapToGrid w:val="0"/>
        <w:spacing w:before="159" w:beforeLines="50"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供应商名称（单位章）：</w:t>
      </w:r>
    </w:p>
    <w:p w14:paraId="797B3EC9">
      <w:pPr>
        <w:adjustRightInd w:val="0"/>
        <w:snapToGrid w:val="0"/>
        <w:spacing w:before="159" w:beforeLines="50"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p>
    <w:p w14:paraId="52D5735A">
      <w:pPr>
        <w:spacing w:line="480" w:lineRule="exact"/>
        <w:rPr>
          <w:rFonts w:hint="eastAsia" w:ascii="宋体" w:hAnsi="宋体" w:cs="宋体"/>
          <w:color w:val="auto"/>
          <w:sz w:val="24"/>
          <w:highlight w:val="none"/>
        </w:rPr>
      </w:pPr>
      <w:r>
        <w:rPr>
          <w:rFonts w:hint="eastAsia" w:ascii="宋体" w:hAnsi="宋体" w:cs="宋体"/>
          <w:color w:val="auto"/>
          <w:szCs w:val="21"/>
          <w:highlight w:val="none"/>
        </w:rPr>
        <w:t>日期：年月日</w:t>
      </w:r>
    </w:p>
    <w:p w14:paraId="28A08440">
      <w:pPr>
        <w:spacing w:line="480" w:lineRule="exact"/>
        <w:rPr>
          <w:rFonts w:hint="eastAsia" w:ascii="宋体" w:hAnsi="宋体" w:cs="宋体"/>
          <w:color w:val="auto"/>
          <w:sz w:val="30"/>
          <w:szCs w:val="30"/>
          <w:highlight w:val="none"/>
        </w:rPr>
      </w:pPr>
    </w:p>
    <w:p w14:paraId="2C35786B">
      <w:pPr>
        <w:adjustRightInd w:val="0"/>
        <w:snapToGrid w:val="0"/>
        <w:spacing w:line="360" w:lineRule="auto"/>
        <w:rPr>
          <w:rFonts w:hint="eastAsia" w:ascii="宋体" w:hAnsi="宋体" w:cs="宋体"/>
          <w:color w:val="auto"/>
          <w:sz w:val="30"/>
          <w:szCs w:val="30"/>
          <w:highlight w:val="none"/>
        </w:rPr>
      </w:pPr>
      <w:r>
        <w:rPr>
          <w:rFonts w:hint="eastAsia" w:ascii="宋体" w:hAnsi="宋体" w:cs="宋体"/>
          <w:color w:val="auto"/>
          <w:szCs w:val="21"/>
          <w:highlight w:val="none"/>
        </w:rPr>
        <w:t>（附“信用中国”（www.creditchina.gov.cn）网站与“中国政府采购网”（www.ccgp.gov.cn））上信用记录查询的网页截图并加盖公司公章）</w:t>
      </w:r>
    </w:p>
    <w:p w14:paraId="69FB111B">
      <w:pPr>
        <w:rPr>
          <w:rFonts w:hint="eastAsia" w:ascii="宋体" w:hAnsi="宋体" w:cs="宋体"/>
          <w:color w:val="auto"/>
          <w:highlight w:val="none"/>
        </w:rPr>
      </w:pPr>
    </w:p>
    <w:p w14:paraId="2CB6F1AD">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376F3C8A">
      <w:pPr>
        <w:spacing w:line="480" w:lineRule="exact"/>
        <w:rPr>
          <w:rFonts w:hint="eastAsia" w:ascii="宋体" w:hAnsi="宋体" w:cs="宋体"/>
          <w:color w:val="auto"/>
          <w:sz w:val="30"/>
          <w:szCs w:val="30"/>
          <w:highlight w:val="none"/>
        </w:rPr>
      </w:pPr>
      <w:r>
        <w:rPr>
          <w:rFonts w:hint="eastAsia" w:ascii="宋体" w:hAnsi="宋体" w:cs="宋体"/>
          <w:color w:val="auto"/>
          <w:sz w:val="30"/>
          <w:szCs w:val="30"/>
          <w:highlight w:val="none"/>
        </w:rPr>
        <w:t xml:space="preserve">附件5      </w:t>
      </w:r>
    </w:p>
    <w:p w14:paraId="219231F7">
      <w:pPr>
        <w:spacing w:line="48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磋商文件规定的基本资格条件证明资料</w:t>
      </w:r>
    </w:p>
    <w:p w14:paraId="3A7A1E63">
      <w:pPr>
        <w:spacing w:line="480" w:lineRule="exact"/>
        <w:rPr>
          <w:rFonts w:hint="eastAsia" w:ascii="宋体" w:hAnsi="宋体" w:cs="宋体"/>
          <w:color w:val="auto"/>
          <w:szCs w:val="21"/>
          <w:highlight w:val="none"/>
        </w:rPr>
      </w:pPr>
    </w:p>
    <w:p w14:paraId="6678ABAB">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备注：</w:t>
      </w:r>
    </w:p>
    <w:p w14:paraId="522ED8F3">
      <w:pPr>
        <w:spacing w:line="480" w:lineRule="exact"/>
        <w:ind w:firstLine="525" w:firstLineChars="250"/>
        <w:rPr>
          <w:rFonts w:hint="eastAsia" w:ascii="宋体" w:hAnsi="宋体" w:cs="宋体"/>
          <w:color w:val="auto"/>
          <w:szCs w:val="21"/>
          <w:highlight w:val="none"/>
        </w:rPr>
      </w:pPr>
      <w:bookmarkStart w:id="127" w:name="_Toc31874"/>
      <w:r>
        <w:rPr>
          <w:rFonts w:hint="eastAsia" w:ascii="宋体" w:hAnsi="宋体" w:cs="宋体"/>
          <w:color w:val="auto"/>
          <w:szCs w:val="21"/>
          <w:highlight w:val="none"/>
        </w:rPr>
        <w:t>1、湖南省政府采购供应商资格承诺函：</w:t>
      </w:r>
      <w:bookmarkEnd w:id="127"/>
    </w:p>
    <w:p w14:paraId="2C871530">
      <w:pPr>
        <w:spacing w:line="48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3、供应商未列入失信被执行人、重大税收违法案件当事人名单、政府采购严重违法失信行为记录名单的书面承诺（格式自拟），并附经“信用中国”（http://www.creditchina.gov.cn/）网信用报告和“中国政府采购网网站”（http://www.ccgp.gov.cn/）查询截图。</w:t>
      </w:r>
    </w:p>
    <w:p w14:paraId="3DEB9E84">
      <w:pPr>
        <w:spacing w:line="480" w:lineRule="exact"/>
        <w:rPr>
          <w:rFonts w:hint="eastAsia" w:ascii="宋体" w:hAnsi="宋体" w:cs="宋体"/>
          <w:color w:val="auto"/>
          <w:sz w:val="30"/>
          <w:szCs w:val="30"/>
          <w:highlight w:val="none"/>
        </w:rPr>
      </w:pPr>
    </w:p>
    <w:p w14:paraId="047DCB9D">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0CA4E244">
      <w:pPr>
        <w:spacing w:line="480" w:lineRule="exact"/>
        <w:rPr>
          <w:rFonts w:hint="eastAsia" w:ascii="宋体" w:hAnsi="宋体" w:cs="宋体"/>
          <w:color w:val="auto"/>
          <w:sz w:val="30"/>
          <w:szCs w:val="30"/>
          <w:highlight w:val="none"/>
        </w:rPr>
      </w:pPr>
      <w:bookmarkStart w:id="128" w:name="_Toc21476"/>
      <w:r>
        <w:rPr>
          <w:rFonts w:hint="eastAsia" w:ascii="宋体" w:hAnsi="宋体" w:cs="宋体"/>
          <w:color w:val="auto"/>
          <w:sz w:val="30"/>
          <w:szCs w:val="30"/>
          <w:highlight w:val="none"/>
        </w:rPr>
        <w:t>附件6  磋商文件规定的特定资格条件证明资料</w:t>
      </w:r>
      <w:bookmarkEnd w:id="128"/>
    </w:p>
    <w:p w14:paraId="541A7320">
      <w:pPr>
        <w:spacing w:line="480" w:lineRule="exact"/>
        <w:rPr>
          <w:rFonts w:hint="eastAsia" w:ascii="宋体" w:hAnsi="宋体" w:cs="宋体"/>
          <w:color w:val="auto"/>
          <w:szCs w:val="21"/>
          <w:highlight w:val="none"/>
        </w:rPr>
      </w:pPr>
    </w:p>
    <w:p w14:paraId="77B33EE3">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备注：提供第二章磋商须知第3.1款供应商特定资格条件证明资料的复印件。</w:t>
      </w:r>
    </w:p>
    <w:p w14:paraId="7E94751C">
      <w:pPr>
        <w:widowControl/>
        <w:jc w:val="left"/>
        <w:rPr>
          <w:rFonts w:hint="eastAsia" w:ascii="宋体" w:hAnsi="宋体" w:cs="宋体"/>
          <w:b/>
          <w:color w:val="auto"/>
          <w:sz w:val="30"/>
          <w:szCs w:val="30"/>
          <w:highlight w:val="none"/>
        </w:rPr>
      </w:pPr>
    </w:p>
    <w:p w14:paraId="3FAB3D82">
      <w:pPr>
        <w:widowControl/>
        <w:jc w:val="left"/>
        <w:rPr>
          <w:rFonts w:hint="eastAsia" w:ascii="宋体" w:hAnsi="宋体" w:cs="宋体"/>
          <w:b/>
          <w:color w:val="auto"/>
          <w:sz w:val="30"/>
          <w:szCs w:val="30"/>
          <w:highlight w:val="none"/>
        </w:rPr>
      </w:pPr>
    </w:p>
    <w:p w14:paraId="2991E6C6">
      <w:pPr>
        <w:widowControl/>
        <w:jc w:val="left"/>
        <w:rPr>
          <w:rFonts w:hint="eastAsia" w:ascii="宋体" w:hAnsi="宋体" w:cs="宋体"/>
          <w:b/>
          <w:color w:val="auto"/>
          <w:sz w:val="30"/>
          <w:szCs w:val="30"/>
          <w:highlight w:val="none"/>
        </w:rPr>
      </w:pPr>
    </w:p>
    <w:p w14:paraId="58980B20">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1B15F152">
      <w:pPr>
        <w:spacing w:line="48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附件7响应承诺、说明或其它证明资料</w:t>
      </w:r>
    </w:p>
    <w:p w14:paraId="764304B7">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备注：提供磋商文件或评分标准需要提供的相关证明文件复印件</w:t>
      </w:r>
    </w:p>
    <w:p w14:paraId="23998F6F">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32984B82">
      <w:pPr>
        <w:adjustRightInd w:val="0"/>
        <w:snapToGrid w:val="0"/>
        <w:spacing w:line="360" w:lineRule="auto"/>
        <w:jc w:val="center"/>
        <w:outlineLvl w:val="1"/>
        <w:rPr>
          <w:rFonts w:hint="eastAsia" w:ascii="宋体" w:hAnsi="宋体" w:cs="宋体"/>
          <w:b/>
          <w:color w:val="auto"/>
          <w:sz w:val="32"/>
          <w:szCs w:val="32"/>
          <w:highlight w:val="none"/>
        </w:rPr>
      </w:pPr>
      <w:bookmarkStart w:id="129" w:name="_Toc29926"/>
      <w:bookmarkStart w:id="130" w:name="_Toc22320"/>
      <w:r>
        <w:rPr>
          <w:rFonts w:hint="eastAsia" w:ascii="宋体" w:hAnsi="宋体" w:cs="宋体"/>
          <w:b/>
          <w:color w:val="auto"/>
          <w:sz w:val="32"/>
          <w:szCs w:val="32"/>
          <w:highlight w:val="none"/>
        </w:rPr>
        <w:t>四、技术方案</w:t>
      </w:r>
      <w:bookmarkEnd w:id="129"/>
      <w:bookmarkEnd w:id="130"/>
    </w:p>
    <w:p w14:paraId="4803BC38">
      <w:pPr>
        <w:adjustRightInd w:val="0"/>
        <w:snapToGrid w:val="0"/>
        <w:rPr>
          <w:rFonts w:hint="eastAsia" w:ascii="宋体" w:hAnsi="宋体" w:cs="宋体"/>
          <w:color w:val="auto"/>
          <w:sz w:val="21"/>
          <w:szCs w:val="21"/>
          <w:highlight w:val="none"/>
        </w:rPr>
      </w:pPr>
      <w:r>
        <w:rPr>
          <w:rFonts w:hint="eastAsia" w:ascii="宋体" w:hAnsi="宋体" w:cs="宋体"/>
          <w:color w:val="auto"/>
          <w:sz w:val="21"/>
          <w:szCs w:val="21"/>
          <w:highlight w:val="none"/>
        </w:rPr>
        <w:t>附件8：</w:t>
      </w:r>
    </w:p>
    <w:p w14:paraId="073FD5CC">
      <w:pPr>
        <w:adjustRightInd w:val="0"/>
        <w:snapToGrid w:val="0"/>
        <w:jc w:val="center"/>
        <w:rPr>
          <w:rFonts w:hint="eastAsia" w:ascii="宋体" w:hAnsi="宋体" w:cs="宋体"/>
          <w:b/>
          <w:color w:val="auto"/>
          <w:sz w:val="21"/>
          <w:szCs w:val="21"/>
          <w:highlight w:val="none"/>
        </w:rPr>
      </w:pPr>
      <w:r>
        <w:rPr>
          <w:rFonts w:hint="eastAsia" w:ascii="宋体" w:hAnsi="宋体" w:cs="宋体"/>
          <w:color w:val="auto"/>
          <w:sz w:val="21"/>
          <w:szCs w:val="21"/>
          <w:highlight w:val="none"/>
        </w:rPr>
        <w:t>技术方案</w:t>
      </w:r>
    </w:p>
    <w:p w14:paraId="6BDA8ED6">
      <w:pPr>
        <w:adjustRightInd w:val="0"/>
        <w:snapToGrid w:val="0"/>
        <w:rPr>
          <w:rFonts w:hint="eastAsia" w:ascii="宋体" w:hAnsi="宋体" w:cs="宋体"/>
          <w:color w:val="auto"/>
          <w:sz w:val="21"/>
          <w:szCs w:val="21"/>
          <w:highlight w:val="none"/>
        </w:rPr>
      </w:pPr>
    </w:p>
    <w:p w14:paraId="360440CA">
      <w:pPr>
        <w:adjustRightInd w:val="0"/>
        <w:snapToGrid w:val="0"/>
        <w:spacing w:line="360" w:lineRule="auto"/>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按照采购需求及评分标准</w:t>
      </w:r>
      <w:r>
        <w:rPr>
          <w:rFonts w:hint="eastAsia" w:ascii="宋体" w:hAnsi="宋体" w:cs="宋体"/>
          <w:color w:val="auto"/>
          <w:sz w:val="21"/>
          <w:szCs w:val="21"/>
          <w:highlight w:val="none"/>
          <w:lang w:val="en-US" w:eastAsia="zh-CN"/>
        </w:rPr>
        <w:t>自行拟定</w:t>
      </w:r>
      <w:r>
        <w:rPr>
          <w:rFonts w:hint="eastAsia" w:ascii="宋体" w:hAnsi="宋体" w:cs="宋体"/>
          <w:color w:val="auto"/>
          <w:sz w:val="21"/>
          <w:szCs w:val="21"/>
          <w:highlight w:val="none"/>
        </w:rPr>
        <w:t>。</w:t>
      </w:r>
    </w:p>
    <w:p w14:paraId="1B23F250">
      <w:pPr>
        <w:adjustRightInd w:val="0"/>
        <w:snapToGrid w:val="0"/>
        <w:spacing w:line="360" w:lineRule="auto"/>
        <w:rPr>
          <w:rFonts w:hint="eastAsia" w:ascii="宋体" w:hAnsi="宋体" w:cs="宋体"/>
          <w:color w:val="auto"/>
          <w:sz w:val="21"/>
          <w:szCs w:val="21"/>
          <w:highlight w:val="none"/>
        </w:rPr>
      </w:pPr>
    </w:p>
    <w:p w14:paraId="2B69EB42">
      <w:pPr>
        <w:adjustRightInd w:val="0"/>
        <w:snapToGrid w:val="0"/>
        <w:spacing w:line="360" w:lineRule="auto"/>
        <w:rPr>
          <w:rFonts w:hint="eastAsia" w:ascii="宋体" w:hAnsi="宋体" w:cs="宋体"/>
          <w:color w:val="auto"/>
          <w:sz w:val="21"/>
          <w:szCs w:val="21"/>
          <w:highlight w:val="none"/>
        </w:rPr>
      </w:pPr>
    </w:p>
    <w:p w14:paraId="291A5D41">
      <w:pPr>
        <w:adjustRightInd w:val="0"/>
        <w:snapToGrid w:val="0"/>
        <w:spacing w:line="360" w:lineRule="auto"/>
        <w:rPr>
          <w:rFonts w:hint="eastAsia" w:ascii="宋体" w:hAnsi="宋体" w:cs="宋体"/>
          <w:color w:val="auto"/>
          <w:sz w:val="21"/>
          <w:szCs w:val="21"/>
          <w:highlight w:val="none"/>
        </w:rPr>
      </w:pPr>
    </w:p>
    <w:p w14:paraId="0A16F0E9">
      <w:pPr>
        <w:adjustRightInd w:val="0"/>
        <w:snapToGrid w:val="0"/>
        <w:spacing w:line="360" w:lineRule="auto"/>
        <w:rPr>
          <w:rFonts w:hint="eastAsia" w:ascii="宋体" w:hAnsi="宋体" w:cs="宋体"/>
          <w:color w:val="auto"/>
          <w:sz w:val="21"/>
          <w:szCs w:val="21"/>
          <w:highlight w:val="none"/>
        </w:rPr>
      </w:pPr>
    </w:p>
    <w:p w14:paraId="3F77AAB0">
      <w:pPr>
        <w:adjustRightInd w:val="0"/>
        <w:snapToGrid w:val="0"/>
        <w:spacing w:line="360" w:lineRule="auto"/>
        <w:rPr>
          <w:rFonts w:hint="eastAsia" w:ascii="宋体" w:hAnsi="宋体" w:cs="宋体"/>
          <w:color w:val="auto"/>
          <w:sz w:val="21"/>
          <w:szCs w:val="21"/>
          <w:highlight w:val="none"/>
        </w:rPr>
      </w:pPr>
    </w:p>
    <w:p w14:paraId="5A854F32">
      <w:pPr>
        <w:pStyle w:val="11"/>
        <w:adjustRightInd w:val="0"/>
        <w:snapToGrid w:val="0"/>
        <w:spacing w:line="360" w:lineRule="auto"/>
        <w:rPr>
          <w:rFonts w:hint="eastAsia" w:ascii="宋体" w:hAnsi="宋体" w:cs="宋体"/>
          <w:bCs/>
          <w:color w:val="auto"/>
          <w:sz w:val="21"/>
          <w:szCs w:val="21"/>
          <w:highlight w:val="none"/>
        </w:rPr>
      </w:pPr>
      <w:bookmarkStart w:id="131" w:name="_Toc6886"/>
      <w:r>
        <w:rPr>
          <w:rFonts w:hint="eastAsia" w:ascii="宋体" w:hAnsi="宋体" w:cs="宋体"/>
          <w:color w:val="auto"/>
          <w:sz w:val="21"/>
          <w:szCs w:val="21"/>
          <w:highlight w:val="none"/>
        </w:rPr>
        <w:t>供应商名称：</w:t>
      </w:r>
      <w:bookmarkEnd w:id="131"/>
    </w:p>
    <w:p w14:paraId="4F379C1E">
      <w:pPr>
        <w:adjustRightInd w:val="0"/>
        <w:snapToGrid w:val="0"/>
        <w:spacing w:line="360" w:lineRule="auto"/>
        <w:rPr>
          <w:rFonts w:hint="eastAsia" w:ascii="宋体" w:hAnsi="宋体" w:cs="宋体"/>
          <w:color w:val="auto"/>
          <w:sz w:val="21"/>
          <w:szCs w:val="21"/>
          <w:highlight w:val="none"/>
          <w:u w:val="single"/>
        </w:rPr>
      </w:pPr>
      <w:bookmarkStart w:id="132" w:name="_Toc26915"/>
      <w:r>
        <w:rPr>
          <w:rFonts w:hint="eastAsia" w:ascii="宋体" w:hAnsi="宋体" w:cs="宋体"/>
          <w:color w:val="auto"/>
          <w:sz w:val="21"/>
          <w:szCs w:val="21"/>
          <w:highlight w:val="none"/>
        </w:rPr>
        <w:t>法定代表人</w:t>
      </w:r>
      <w:r>
        <w:rPr>
          <w:rFonts w:hint="eastAsia" w:ascii="宋体" w:hAnsi="宋体" w:cs="宋体"/>
          <w:color w:val="auto"/>
          <w:kern w:val="0"/>
          <w:sz w:val="21"/>
          <w:szCs w:val="21"/>
          <w:highlight w:val="none"/>
        </w:rPr>
        <w:t>（负责人）</w:t>
      </w:r>
      <w:r>
        <w:rPr>
          <w:rFonts w:hint="eastAsia" w:ascii="宋体" w:hAnsi="宋体" w:cs="宋体"/>
          <w:color w:val="auto"/>
          <w:sz w:val="21"/>
          <w:szCs w:val="21"/>
          <w:highlight w:val="none"/>
        </w:rPr>
        <w:t>或其委托代理人(签字)：</w:t>
      </w:r>
      <w:bookmarkEnd w:id="132"/>
      <w:r>
        <w:rPr>
          <w:rFonts w:hint="eastAsia" w:ascii="宋体" w:hAnsi="宋体" w:cs="宋体"/>
          <w:color w:val="auto"/>
          <w:sz w:val="21"/>
          <w:szCs w:val="21"/>
          <w:highlight w:val="none"/>
          <w:u w:val="single"/>
        </w:rPr>
        <w:t xml:space="preserve">     </w:t>
      </w:r>
    </w:p>
    <w:p w14:paraId="1A69E399">
      <w:pP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日期：  年  月  日</w:t>
      </w:r>
    </w:p>
    <w:p w14:paraId="21443336">
      <w:pPr>
        <w:pStyle w:val="27"/>
        <w:rPr>
          <w:rFonts w:hint="eastAsia" w:ascii="宋体" w:hAnsi="宋体" w:cs="宋体"/>
          <w:color w:val="auto"/>
          <w:highlight w:val="none"/>
        </w:rPr>
      </w:pPr>
    </w:p>
    <w:p w14:paraId="3777FF83">
      <w:pPr>
        <w:spacing w:line="360" w:lineRule="atLeast"/>
        <w:jc w:val="center"/>
        <w:rPr>
          <w:rFonts w:hint="eastAsia" w:ascii="宋体" w:hAnsi="宋体" w:cs="宋体"/>
          <w:color w:val="auto"/>
          <w:sz w:val="30"/>
          <w:szCs w:val="30"/>
          <w:highlight w:val="none"/>
        </w:rPr>
      </w:pPr>
    </w:p>
    <w:p w14:paraId="6E5E6A6C">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599BE9EB">
      <w:pPr>
        <w:spacing w:line="360" w:lineRule="atLeast"/>
        <w:jc w:val="center"/>
        <w:rPr>
          <w:rFonts w:hint="eastAsia" w:ascii="宋体" w:hAnsi="宋体" w:cs="宋体"/>
          <w:color w:val="auto"/>
          <w:sz w:val="28"/>
          <w:szCs w:val="28"/>
          <w:highlight w:val="none"/>
        </w:rPr>
      </w:pPr>
      <w:r>
        <w:rPr>
          <w:rFonts w:hint="eastAsia" w:ascii="宋体" w:hAnsi="宋体" w:cs="宋体"/>
          <w:color w:val="auto"/>
          <w:sz w:val="30"/>
          <w:szCs w:val="30"/>
          <w:highlight w:val="none"/>
        </w:rPr>
        <w:t>主要人员简历表</w:t>
      </w:r>
    </w:p>
    <w:tbl>
      <w:tblPr>
        <w:tblStyle w:val="18"/>
        <w:tblW w:w="850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772"/>
        <w:gridCol w:w="2469"/>
        <w:gridCol w:w="396"/>
        <w:gridCol w:w="1404"/>
        <w:gridCol w:w="540"/>
        <w:gridCol w:w="1663"/>
      </w:tblGrid>
      <w:tr w14:paraId="1C443A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3" w:type="dxa"/>
            <w:gridSpan w:val="2"/>
            <w:tcBorders>
              <w:top w:val="double" w:color="auto" w:sz="4" w:space="0"/>
              <w:left w:val="double" w:color="auto" w:sz="4" w:space="0"/>
              <w:bottom w:val="single" w:color="auto" w:sz="6" w:space="0"/>
              <w:right w:val="single" w:color="auto" w:sz="6" w:space="0"/>
            </w:tcBorders>
            <w:vAlign w:val="center"/>
          </w:tcPr>
          <w:p w14:paraId="672D59AB">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姓   名</w:t>
            </w:r>
          </w:p>
        </w:tc>
        <w:tc>
          <w:tcPr>
            <w:tcW w:w="2469" w:type="dxa"/>
            <w:tcBorders>
              <w:top w:val="double" w:color="auto" w:sz="4" w:space="0"/>
              <w:left w:val="single" w:color="auto" w:sz="6" w:space="0"/>
              <w:bottom w:val="single" w:color="auto" w:sz="6" w:space="0"/>
              <w:right w:val="single" w:color="auto" w:sz="6" w:space="0"/>
            </w:tcBorders>
            <w:vAlign w:val="center"/>
          </w:tcPr>
          <w:p w14:paraId="095623AA">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340" w:type="dxa"/>
            <w:gridSpan w:val="3"/>
            <w:tcBorders>
              <w:top w:val="double" w:color="auto" w:sz="4" w:space="0"/>
              <w:left w:val="single" w:color="auto" w:sz="6" w:space="0"/>
              <w:bottom w:val="single" w:color="auto" w:sz="6" w:space="0"/>
              <w:right w:val="single" w:color="auto" w:sz="6" w:space="0"/>
            </w:tcBorders>
            <w:vAlign w:val="center"/>
          </w:tcPr>
          <w:p w14:paraId="4D956CCD">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性  别</w:t>
            </w:r>
          </w:p>
        </w:tc>
        <w:tc>
          <w:tcPr>
            <w:tcW w:w="1663" w:type="dxa"/>
            <w:tcBorders>
              <w:top w:val="double" w:color="auto" w:sz="4" w:space="0"/>
              <w:left w:val="single" w:color="auto" w:sz="6" w:space="0"/>
              <w:bottom w:val="single" w:color="auto" w:sz="6" w:space="0"/>
              <w:right w:val="double" w:color="auto" w:sz="4" w:space="0"/>
            </w:tcBorders>
            <w:vAlign w:val="center"/>
          </w:tcPr>
          <w:p w14:paraId="5F44FBEE">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3FDA52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65548BB5">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职   务</w:t>
            </w:r>
          </w:p>
        </w:tc>
        <w:tc>
          <w:tcPr>
            <w:tcW w:w="2469" w:type="dxa"/>
            <w:tcBorders>
              <w:top w:val="single" w:color="auto" w:sz="6" w:space="0"/>
              <w:left w:val="single" w:color="auto" w:sz="6" w:space="0"/>
              <w:bottom w:val="single" w:color="auto" w:sz="6" w:space="0"/>
              <w:right w:val="single" w:color="auto" w:sz="6" w:space="0"/>
            </w:tcBorders>
            <w:vAlign w:val="center"/>
          </w:tcPr>
          <w:p w14:paraId="1FFA2D8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385A4F3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职  称</w:t>
            </w:r>
          </w:p>
        </w:tc>
        <w:tc>
          <w:tcPr>
            <w:tcW w:w="1663" w:type="dxa"/>
            <w:tcBorders>
              <w:top w:val="single" w:color="auto" w:sz="6" w:space="0"/>
              <w:left w:val="single" w:color="auto" w:sz="6" w:space="0"/>
              <w:bottom w:val="single" w:color="auto" w:sz="6" w:space="0"/>
              <w:right w:val="double" w:color="auto" w:sz="4" w:space="0"/>
            </w:tcBorders>
            <w:vAlign w:val="center"/>
          </w:tcPr>
          <w:p w14:paraId="2637137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31EC9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52ED65E3">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毕业学校、专业</w:t>
            </w:r>
          </w:p>
        </w:tc>
        <w:tc>
          <w:tcPr>
            <w:tcW w:w="6472" w:type="dxa"/>
            <w:gridSpan w:val="5"/>
            <w:tcBorders>
              <w:top w:val="single" w:color="auto" w:sz="6" w:space="0"/>
              <w:left w:val="single" w:color="auto" w:sz="6" w:space="0"/>
              <w:bottom w:val="single" w:color="auto" w:sz="6" w:space="0"/>
              <w:right w:val="double" w:color="auto" w:sz="4" w:space="0"/>
            </w:tcBorders>
            <w:vAlign w:val="center"/>
          </w:tcPr>
          <w:p w14:paraId="1DD13062">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3F273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7C61DCC9">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身份证号</w:t>
            </w:r>
          </w:p>
        </w:tc>
        <w:tc>
          <w:tcPr>
            <w:tcW w:w="2469" w:type="dxa"/>
            <w:tcBorders>
              <w:top w:val="single" w:color="auto" w:sz="6" w:space="0"/>
              <w:left w:val="single" w:color="auto" w:sz="6" w:space="0"/>
              <w:bottom w:val="single" w:color="auto" w:sz="6" w:space="0"/>
              <w:right w:val="single" w:color="auto" w:sz="6" w:space="0"/>
            </w:tcBorders>
            <w:vAlign w:val="center"/>
          </w:tcPr>
          <w:p w14:paraId="7D519D69">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4564CA1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拟在本合同任职</w:t>
            </w:r>
          </w:p>
        </w:tc>
        <w:tc>
          <w:tcPr>
            <w:tcW w:w="1663" w:type="dxa"/>
            <w:tcBorders>
              <w:top w:val="single" w:color="auto" w:sz="6" w:space="0"/>
              <w:left w:val="single" w:color="auto" w:sz="6" w:space="0"/>
              <w:bottom w:val="single" w:color="auto" w:sz="6" w:space="0"/>
              <w:right w:val="double" w:color="auto" w:sz="4" w:space="0"/>
            </w:tcBorders>
            <w:vAlign w:val="center"/>
          </w:tcPr>
          <w:p w14:paraId="4D6ADF89">
            <w:pPr>
              <w:keepNext w:val="0"/>
              <w:keepLines w:val="0"/>
              <w:suppressLineNumbers w:val="0"/>
              <w:spacing w:before="0" w:beforeAutospacing="0" w:after="0" w:afterAutospacing="0" w:line="360" w:lineRule="atLeast"/>
              <w:ind w:left="0" w:right="-105" w:rightChars="-50"/>
              <w:jc w:val="center"/>
              <w:rPr>
                <w:rFonts w:hint="eastAsia" w:ascii="宋体" w:hAnsi="宋体" w:cs="宋体"/>
                <w:color w:val="auto"/>
                <w:highlight w:val="none"/>
              </w:rPr>
            </w:pPr>
          </w:p>
        </w:tc>
      </w:tr>
      <w:tr w14:paraId="3821FE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13FA15CE">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执业资格证</w:t>
            </w:r>
          </w:p>
        </w:tc>
        <w:tc>
          <w:tcPr>
            <w:tcW w:w="2469" w:type="dxa"/>
            <w:tcBorders>
              <w:top w:val="single" w:color="auto" w:sz="6" w:space="0"/>
              <w:left w:val="single" w:color="auto" w:sz="6" w:space="0"/>
              <w:bottom w:val="single" w:color="auto" w:sz="6" w:space="0"/>
              <w:right w:val="single" w:color="auto" w:sz="6" w:space="0"/>
            </w:tcBorders>
            <w:vAlign w:val="center"/>
          </w:tcPr>
          <w:p w14:paraId="19E2A26E">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4CAF24F8">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执业资格证书号</w:t>
            </w:r>
          </w:p>
        </w:tc>
        <w:tc>
          <w:tcPr>
            <w:tcW w:w="1663" w:type="dxa"/>
            <w:tcBorders>
              <w:top w:val="single" w:color="auto" w:sz="6" w:space="0"/>
              <w:left w:val="single" w:color="auto" w:sz="6" w:space="0"/>
              <w:bottom w:val="single" w:color="auto" w:sz="6" w:space="0"/>
              <w:right w:val="double" w:color="auto" w:sz="4" w:space="0"/>
            </w:tcBorders>
            <w:vAlign w:val="center"/>
          </w:tcPr>
          <w:p w14:paraId="2B1ECDE4">
            <w:pPr>
              <w:keepNext w:val="0"/>
              <w:keepLines w:val="0"/>
              <w:suppressLineNumbers w:val="0"/>
              <w:spacing w:before="0" w:beforeAutospacing="0" w:after="0" w:afterAutospacing="0" w:line="360" w:lineRule="atLeast"/>
              <w:ind w:left="0" w:right="-105" w:rightChars="-50"/>
              <w:jc w:val="center"/>
              <w:rPr>
                <w:rFonts w:hint="eastAsia" w:ascii="宋体" w:hAnsi="宋体" w:cs="宋体"/>
                <w:color w:val="auto"/>
                <w:highlight w:val="none"/>
              </w:rPr>
            </w:pPr>
          </w:p>
        </w:tc>
      </w:tr>
      <w:tr w14:paraId="0379CE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8505" w:type="dxa"/>
            <w:gridSpan w:val="7"/>
            <w:tcBorders>
              <w:top w:val="single" w:color="auto" w:sz="6" w:space="0"/>
              <w:left w:val="double" w:color="auto" w:sz="4" w:space="0"/>
              <w:bottom w:val="single" w:color="auto" w:sz="6" w:space="0"/>
              <w:right w:val="double" w:color="auto" w:sz="4" w:space="0"/>
            </w:tcBorders>
            <w:vAlign w:val="center"/>
          </w:tcPr>
          <w:p w14:paraId="2B9ACB84">
            <w:pPr>
              <w:keepNext w:val="0"/>
              <w:keepLines w:val="0"/>
              <w:suppressLineNumbers w:val="0"/>
              <w:spacing w:before="0" w:beforeAutospacing="0" w:after="0" w:afterAutospacing="0" w:line="360" w:lineRule="atLeast"/>
              <w:ind w:left="0" w:right="0"/>
              <w:rPr>
                <w:rFonts w:hint="eastAsia" w:ascii="宋体" w:hAnsi="宋体" w:cs="宋体"/>
                <w:color w:val="auto"/>
                <w:highlight w:val="none"/>
              </w:rPr>
            </w:pPr>
            <w:r>
              <w:rPr>
                <w:rFonts w:hint="eastAsia" w:ascii="宋体" w:hAnsi="宋体" w:cs="宋体"/>
                <w:color w:val="auto"/>
                <w:highlight w:val="none"/>
              </w:rPr>
              <w:t>近三年承担项目情况</w:t>
            </w:r>
          </w:p>
        </w:tc>
      </w:tr>
      <w:tr w14:paraId="6718E3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4202185">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时间</w:t>
            </w: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47B74C55">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14:paraId="33DBBFC8">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担任职务</w:t>
            </w: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4FDDA8A2">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r>
              <w:rPr>
                <w:rFonts w:hint="eastAsia" w:ascii="宋体" w:hAnsi="宋体" w:cs="宋体"/>
                <w:color w:val="auto"/>
                <w:highlight w:val="none"/>
              </w:rPr>
              <w:t>项目单位名称及电话</w:t>
            </w:r>
          </w:p>
        </w:tc>
      </w:tr>
      <w:tr w14:paraId="41D11D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353BF5A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6FC3F2BC">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24B5AED8">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58F21C6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225F4E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5BE64A1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17DA4DB9">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38ED9AD0">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458F75F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18CCBF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3AC291F3">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1C7E2CEA">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11B5663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0933630B">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2D7EA4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3F316910">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78F154F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6B135E45">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30F7420D">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73668F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28D26B1D">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3169802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5BAC4A06">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70FEB4E3">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430B8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17A67DD6">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1ABA1C70">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048DF84C">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0A88375A">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364FD4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27694B6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4A7A9A68">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26D8CB9A">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3B50A6E9">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6C4143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BE4CE0D">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6CB0AE24">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286E338C">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single" w:color="auto" w:sz="6" w:space="0"/>
              <w:right w:val="double" w:color="auto" w:sz="4" w:space="0"/>
            </w:tcBorders>
            <w:vAlign w:val="center"/>
          </w:tcPr>
          <w:p w14:paraId="49AAD290">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r w14:paraId="6C4313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double" w:color="auto" w:sz="4" w:space="0"/>
              <w:right w:val="single" w:color="auto" w:sz="6" w:space="0"/>
            </w:tcBorders>
            <w:vAlign w:val="center"/>
          </w:tcPr>
          <w:p w14:paraId="15D6EBA3">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3637" w:type="dxa"/>
            <w:gridSpan w:val="3"/>
            <w:tcBorders>
              <w:top w:val="single" w:color="auto" w:sz="6" w:space="0"/>
              <w:left w:val="single" w:color="auto" w:sz="6" w:space="0"/>
              <w:bottom w:val="double" w:color="auto" w:sz="4" w:space="0"/>
              <w:right w:val="single" w:color="auto" w:sz="6" w:space="0"/>
            </w:tcBorders>
            <w:vAlign w:val="center"/>
          </w:tcPr>
          <w:p w14:paraId="1F87729C">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1404" w:type="dxa"/>
            <w:tcBorders>
              <w:top w:val="single" w:color="auto" w:sz="6" w:space="0"/>
              <w:left w:val="single" w:color="auto" w:sz="6" w:space="0"/>
              <w:bottom w:val="double" w:color="auto" w:sz="4" w:space="0"/>
              <w:right w:val="single" w:color="auto" w:sz="6" w:space="0"/>
            </w:tcBorders>
            <w:vAlign w:val="center"/>
          </w:tcPr>
          <w:p w14:paraId="35E298B1">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c>
          <w:tcPr>
            <w:tcW w:w="2203" w:type="dxa"/>
            <w:gridSpan w:val="2"/>
            <w:tcBorders>
              <w:top w:val="single" w:color="auto" w:sz="6" w:space="0"/>
              <w:left w:val="single" w:color="auto" w:sz="6" w:space="0"/>
              <w:bottom w:val="double" w:color="auto" w:sz="4" w:space="0"/>
              <w:right w:val="double" w:color="auto" w:sz="4" w:space="0"/>
            </w:tcBorders>
            <w:vAlign w:val="center"/>
          </w:tcPr>
          <w:p w14:paraId="17D4CC9B">
            <w:pPr>
              <w:keepNext w:val="0"/>
              <w:keepLines w:val="0"/>
              <w:suppressLineNumbers w:val="0"/>
              <w:spacing w:before="0" w:beforeAutospacing="0" w:after="0" w:afterAutospacing="0" w:line="360" w:lineRule="atLeast"/>
              <w:ind w:left="0" w:right="0"/>
              <w:jc w:val="center"/>
              <w:rPr>
                <w:rFonts w:hint="eastAsia" w:ascii="宋体" w:hAnsi="宋体" w:cs="宋体"/>
                <w:color w:val="auto"/>
                <w:highlight w:val="none"/>
              </w:rPr>
            </w:pPr>
          </w:p>
        </w:tc>
      </w:tr>
    </w:tbl>
    <w:p w14:paraId="7E36E850">
      <w:pPr>
        <w:spacing w:line="360" w:lineRule="atLeast"/>
        <w:rPr>
          <w:rFonts w:hint="eastAsia" w:ascii="宋体" w:hAnsi="宋体" w:cs="宋体"/>
          <w:color w:val="auto"/>
          <w:highlight w:val="none"/>
        </w:rPr>
      </w:pPr>
      <w:r>
        <w:rPr>
          <w:rFonts w:hint="eastAsia" w:ascii="宋体" w:hAnsi="宋体" w:cs="宋体"/>
          <w:color w:val="auto"/>
          <w:szCs w:val="21"/>
          <w:highlight w:val="none"/>
        </w:rPr>
        <w:t>说明</w:t>
      </w:r>
      <w:r>
        <w:rPr>
          <w:rFonts w:hint="eastAsia" w:ascii="宋体" w:hAnsi="宋体" w:cs="宋体"/>
          <w:color w:val="auto"/>
          <w:highlight w:val="none"/>
        </w:rPr>
        <w:t>：本项目</w:t>
      </w:r>
      <w:r>
        <w:rPr>
          <w:rFonts w:hint="eastAsia" w:ascii="宋体" w:hAnsi="宋体" w:cs="宋体"/>
          <w:color w:val="auto"/>
          <w:szCs w:val="21"/>
          <w:highlight w:val="none"/>
        </w:rPr>
        <w:t>主要人员证书、</w:t>
      </w:r>
      <w:r>
        <w:rPr>
          <w:rFonts w:hint="eastAsia" w:ascii="宋体" w:hAnsi="宋体" w:cs="宋体"/>
          <w:color w:val="auto"/>
          <w:highlight w:val="none"/>
        </w:rPr>
        <w:t>类似项目证明资料等按相关要求提供。</w:t>
      </w:r>
    </w:p>
    <w:p w14:paraId="1B68DFE8">
      <w:pPr>
        <w:adjustRightInd w:val="0"/>
        <w:snapToGrid w:val="0"/>
        <w:spacing w:line="360" w:lineRule="auto"/>
        <w:rPr>
          <w:rFonts w:hint="eastAsia" w:ascii="宋体" w:hAnsi="宋体" w:cs="宋体"/>
          <w:color w:val="auto"/>
          <w:szCs w:val="21"/>
          <w:highlight w:val="none"/>
        </w:rPr>
      </w:pPr>
    </w:p>
    <w:p w14:paraId="5667CB19">
      <w:pPr>
        <w:rPr>
          <w:rFonts w:hint="eastAsia" w:ascii="宋体" w:hAnsi="宋体" w:cs="宋体"/>
          <w:color w:val="auto"/>
          <w:szCs w:val="21"/>
          <w:highlight w:val="none"/>
        </w:rPr>
      </w:pPr>
    </w:p>
    <w:p w14:paraId="687C35A0">
      <w:pPr>
        <w:pStyle w:val="11"/>
        <w:adjustRightInd w:val="0"/>
        <w:snapToGrid w:val="0"/>
        <w:spacing w:line="360" w:lineRule="auto"/>
        <w:rPr>
          <w:rFonts w:hint="eastAsia" w:ascii="宋体" w:hAnsi="宋体" w:cs="宋体"/>
          <w:bCs/>
          <w:color w:val="auto"/>
          <w:sz w:val="21"/>
          <w:szCs w:val="21"/>
          <w:highlight w:val="none"/>
        </w:rPr>
      </w:pPr>
      <w:bookmarkStart w:id="133" w:name="_Toc27581"/>
      <w:r>
        <w:rPr>
          <w:rFonts w:hint="eastAsia" w:ascii="宋体" w:hAnsi="宋体" w:cs="宋体"/>
          <w:color w:val="auto"/>
          <w:sz w:val="21"/>
          <w:szCs w:val="21"/>
          <w:highlight w:val="none"/>
        </w:rPr>
        <w:t>供应商名称：</w:t>
      </w:r>
      <w:bookmarkEnd w:id="133"/>
    </w:p>
    <w:p w14:paraId="43CCC596">
      <w:pPr>
        <w:adjustRightInd w:val="0"/>
        <w:snapToGrid w:val="0"/>
        <w:spacing w:line="360" w:lineRule="auto"/>
        <w:rPr>
          <w:rFonts w:hint="eastAsia" w:ascii="宋体" w:hAnsi="宋体" w:cs="宋体"/>
          <w:color w:val="auto"/>
          <w:szCs w:val="21"/>
          <w:highlight w:val="none"/>
        </w:rPr>
      </w:pPr>
      <w:bookmarkStart w:id="134" w:name="_Toc12203"/>
      <w:r>
        <w:rPr>
          <w:rFonts w:hint="eastAsia" w:ascii="宋体" w:hAnsi="宋体" w:cs="宋体"/>
          <w:color w:val="auto"/>
          <w:szCs w:val="21"/>
          <w:highlight w:val="none"/>
        </w:rPr>
        <w:t>法定代表人</w:t>
      </w:r>
      <w:r>
        <w:rPr>
          <w:rFonts w:hint="eastAsia" w:ascii="宋体" w:hAnsi="宋体" w:cs="宋体"/>
          <w:color w:val="auto"/>
          <w:kern w:val="0"/>
          <w:szCs w:val="21"/>
          <w:highlight w:val="none"/>
        </w:rPr>
        <w:t>（负责人）</w:t>
      </w:r>
      <w:r>
        <w:rPr>
          <w:rFonts w:hint="eastAsia" w:ascii="宋体" w:hAnsi="宋体" w:cs="宋体"/>
          <w:color w:val="auto"/>
          <w:szCs w:val="21"/>
          <w:highlight w:val="none"/>
        </w:rPr>
        <w:t>或其委托代理人(签字)：</w:t>
      </w:r>
      <w:bookmarkEnd w:id="134"/>
    </w:p>
    <w:p w14:paraId="27A445D5">
      <w:pPr>
        <w:spacing w:line="360" w:lineRule="exact"/>
        <w:rPr>
          <w:rFonts w:hint="eastAsia" w:ascii="宋体" w:hAnsi="宋体" w:cs="宋体"/>
          <w:color w:val="auto"/>
          <w:highlight w:val="none"/>
        </w:rPr>
      </w:pPr>
      <w:r>
        <w:rPr>
          <w:rFonts w:hint="eastAsia" w:ascii="宋体" w:hAnsi="宋体" w:cs="宋体"/>
          <w:color w:val="auto"/>
          <w:szCs w:val="21"/>
          <w:highlight w:val="none"/>
        </w:rPr>
        <w:t>日期：  年  月  日</w:t>
      </w:r>
    </w:p>
    <w:p w14:paraId="21E83D8E">
      <w:pPr>
        <w:rPr>
          <w:rFonts w:hint="eastAsia" w:ascii="宋体" w:hAnsi="宋体" w:cs="宋体"/>
          <w:color w:val="auto"/>
          <w:sz w:val="30"/>
          <w:szCs w:val="30"/>
          <w:highlight w:val="none"/>
        </w:rPr>
      </w:pPr>
      <w:r>
        <w:rPr>
          <w:rFonts w:hint="eastAsia" w:ascii="宋体" w:hAnsi="宋体" w:cs="宋体"/>
          <w:color w:val="auto"/>
          <w:sz w:val="30"/>
          <w:szCs w:val="30"/>
          <w:highlight w:val="none"/>
        </w:rPr>
        <w:br w:type="page"/>
      </w:r>
    </w:p>
    <w:p w14:paraId="49B144CE">
      <w:pPr>
        <w:tabs>
          <w:tab w:val="left" w:pos="1890"/>
        </w:tabs>
        <w:adjustRightInd w:val="0"/>
        <w:snapToGrid w:val="0"/>
        <w:rPr>
          <w:rFonts w:hint="eastAsia" w:ascii="宋体" w:hAnsi="宋体" w:cs="宋体"/>
          <w:color w:val="auto"/>
          <w:sz w:val="30"/>
          <w:szCs w:val="30"/>
          <w:highlight w:val="none"/>
        </w:rPr>
      </w:pPr>
    </w:p>
    <w:p w14:paraId="54DB876A">
      <w:pPr>
        <w:tabs>
          <w:tab w:val="left" w:pos="1890"/>
        </w:tabs>
        <w:adjustRightInd w:val="0"/>
        <w:snapToGrid w:val="0"/>
        <w:rPr>
          <w:rFonts w:hint="eastAsia" w:ascii="宋体" w:hAnsi="宋体" w:cs="宋体"/>
          <w:color w:val="auto"/>
          <w:sz w:val="30"/>
          <w:szCs w:val="30"/>
          <w:highlight w:val="none"/>
        </w:rPr>
      </w:pPr>
    </w:p>
    <w:p w14:paraId="536AB0E6">
      <w:pPr>
        <w:tabs>
          <w:tab w:val="left" w:pos="1890"/>
        </w:tabs>
        <w:adjustRightInd w:val="0"/>
        <w:snapToGrid w:val="0"/>
        <w:rPr>
          <w:rFonts w:hint="eastAsia" w:ascii="宋体" w:hAnsi="宋体" w:cs="宋体"/>
          <w:color w:val="auto"/>
          <w:sz w:val="30"/>
          <w:szCs w:val="30"/>
          <w:highlight w:val="none"/>
        </w:rPr>
      </w:pPr>
      <w:r>
        <w:rPr>
          <w:rFonts w:hint="eastAsia" w:ascii="宋体" w:hAnsi="宋体" w:cs="宋体"/>
          <w:color w:val="auto"/>
          <w:sz w:val="30"/>
          <w:szCs w:val="30"/>
          <w:highlight w:val="none"/>
        </w:rPr>
        <w:t>附件9：</w:t>
      </w:r>
    </w:p>
    <w:p w14:paraId="499A2399">
      <w:pPr>
        <w:tabs>
          <w:tab w:val="left" w:pos="1890"/>
        </w:tabs>
        <w:adjustRightInd w:val="0"/>
        <w:snapToGrid w:val="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技术指标说明</w:t>
      </w:r>
    </w:p>
    <w:p w14:paraId="61162D92">
      <w:pPr>
        <w:tabs>
          <w:tab w:val="left" w:pos="1890"/>
        </w:tabs>
        <w:adjustRightInd w:val="0"/>
        <w:snapToGrid w:val="0"/>
        <w:rPr>
          <w:rFonts w:hint="eastAsia" w:ascii="宋体" w:hAnsi="宋体" w:cs="宋体"/>
          <w:color w:val="auto"/>
          <w:szCs w:val="21"/>
          <w:highlight w:val="none"/>
        </w:rPr>
      </w:pPr>
    </w:p>
    <w:tbl>
      <w:tblPr>
        <w:tblStyle w:val="18"/>
        <w:tblW w:w="4998"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03"/>
        <w:gridCol w:w="1346"/>
        <w:gridCol w:w="1177"/>
        <w:gridCol w:w="1008"/>
        <w:gridCol w:w="1654"/>
        <w:gridCol w:w="1654"/>
        <w:gridCol w:w="1177"/>
      </w:tblGrid>
      <w:tr w14:paraId="64ECD4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3" w:hRule="atLeast"/>
        </w:trPr>
        <w:tc>
          <w:tcPr>
            <w:tcW w:w="295" w:type="pct"/>
            <w:vAlign w:val="center"/>
          </w:tcPr>
          <w:p w14:paraId="6FC11F51">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p>
          <w:p w14:paraId="67D353BC">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789" w:type="pct"/>
            <w:vAlign w:val="center"/>
          </w:tcPr>
          <w:p w14:paraId="1CE29B09">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货物名称（品目分类）</w:t>
            </w:r>
          </w:p>
        </w:tc>
        <w:tc>
          <w:tcPr>
            <w:tcW w:w="690" w:type="pct"/>
            <w:vAlign w:val="center"/>
          </w:tcPr>
          <w:p w14:paraId="7D187396">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制造商名称</w:t>
            </w:r>
          </w:p>
        </w:tc>
        <w:tc>
          <w:tcPr>
            <w:tcW w:w="591" w:type="pct"/>
            <w:vAlign w:val="center"/>
          </w:tcPr>
          <w:p w14:paraId="735F4879">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型号规格</w:t>
            </w:r>
          </w:p>
        </w:tc>
        <w:tc>
          <w:tcPr>
            <w:tcW w:w="970" w:type="pct"/>
            <w:vAlign w:val="center"/>
          </w:tcPr>
          <w:p w14:paraId="26791B31">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主要技术参数和技术指标</w:t>
            </w:r>
          </w:p>
        </w:tc>
        <w:tc>
          <w:tcPr>
            <w:tcW w:w="970" w:type="pct"/>
            <w:vAlign w:val="center"/>
          </w:tcPr>
          <w:p w14:paraId="49AD41B6">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政策功能类型及编号</w:t>
            </w:r>
          </w:p>
        </w:tc>
        <w:tc>
          <w:tcPr>
            <w:tcW w:w="690" w:type="pct"/>
            <w:vAlign w:val="center"/>
          </w:tcPr>
          <w:p w14:paraId="36EF0C45">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备  注</w:t>
            </w:r>
          </w:p>
        </w:tc>
      </w:tr>
      <w:tr w14:paraId="5312B4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6FEF4AD9">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2321C3E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6E57AA1E">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216C9926">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412FAF96">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43ED996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1D53992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2A8556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64E0CEE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7567D835">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3DCB3923">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514CA07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162729C3">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65F20A53">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7DCFE2A8">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0839C6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531D8905">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26848F65">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7EFC2FB1">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4230CCEE">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6C3F10D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7911A271">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70C2F1A9">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3FB605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0554945B">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5460FB15">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0DD282FF">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4CF5798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6C6E7069">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0A8EB090">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59F4232B">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77F969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736F5CE0">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33F8DB6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0505779C">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7FF2855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01148B6C">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5B7B803E">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30290234">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656757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50EEA3D2">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2236B7FD">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50DE9052">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7AE4FC0B">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5143F282">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4CFF939D">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1F5165C8">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r w14:paraId="2C88DD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95" w:type="pct"/>
          </w:tcPr>
          <w:p w14:paraId="114E2BB6">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789" w:type="pct"/>
          </w:tcPr>
          <w:p w14:paraId="36D8C490">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34B9354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591" w:type="pct"/>
          </w:tcPr>
          <w:p w14:paraId="0ACB48CC">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13AF98BD">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970" w:type="pct"/>
          </w:tcPr>
          <w:p w14:paraId="6B7F0431">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c>
          <w:tcPr>
            <w:tcW w:w="690" w:type="pct"/>
          </w:tcPr>
          <w:p w14:paraId="6F516447">
            <w:pPr>
              <w:keepNext w:val="0"/>
              <w:keepLines w:val="0"/>
              <w:suppressLineNumbers w:val="0"/>
              <w:tabs>
                <w:tab w:val="left" w:pos="1890"/>
              </w:tabs>
              <w:adjustRightInd w:val="0"/>
              <w:snapToGrid w:val="0"/>
              <w:spacing w:before="0" w:beforeAutospacing="0" w:after="0" w:afterAutospacing="0" w:line="400" w:lineRule="atLeast"/>
              <w:ind w:left="-88" w:leftChars="-42" w:right="0"/>
              <w:jc w:val="center"/>
              <w:rPr>
                <w:rFonts w:hint="eastAsia" w:ascii="宋体" w:hAnsi="宋体" w:cs="宋体"/>
                <w:b/>
                <w:color w:val="auto"/>
                <w:szCs w:val="21"/>
                <w:highlight w:val="none"/>
              </w:rPr>
            </w:pPr>
          </w:p>
        </w:tc>
      </w:tr>
    </w:tbl>
    <w:p w14:paraId="7D40CAE0">
      <w:pPr>
        <w:tabs>
          <w:tab w:val="left" w:pos="1890"/>
        </w:tabs>
        <w:rPr>
          <w:rFonts w:hint="eastAsia" w:ascii="宋体" w:hAnsi="宋体" w:cs="宋体"/>
          <w:color w:val="auto"/>
          <w:kern w:val="0"/>
          <w:szCs w:val="21"/>
          <w:highlight w:val="none"/>
        </w:rPr>
      </w:pPr>
    </w:p>
    <w:p w14:paraId="7924D7EE">
      <w:pPr>
        <w:tabs>
          <w:tab w:val="left" w:pos="1890"/>
        </w:tabs>
        <w:rPr>
          <w:rFonts w:hint="eastAsia" w:ascii="宋体" w:hAnsi="宋体" w:cs="宋体"/>
          <w:color w:val="auto"/>
          <w:highlight w:val="none"/>
        </w:rPr>
      </w:pPr>
      <w:r>
        <w:rPr>
          <w:rFonts w:hint="eastAsia" w:ascii="宋体" w:hAnsi="宋体" w:cs="宋体"/>
          <w:color w:val="auto"/>
          <w:highlight w:val="none"/>
        </w:rPr>
        <w:t>说明：1、货物类项目按本表填写。货物的主要技术参数和技术指标可另页描述。</w:t>
      </w:r>
    </w:p>
    <w:p w14:paraId="429A042D">
      <w:pPr>
        <w:tabs>
          <w:tab w:val="left" w:pos="1890"/>
        </w:tabs>
        <w:rPr>
          <w:rFonts w:hint="eastAsia" w:ascii="宋体" w:hAnsi="宋体" w:cs="宋体"/>
          <w:color w:val="auto"/>
          <w:kern w:val="0"/>
          <w:szCs w:val="21"/>
          <w:highlight w:val="none"/>
        </w:rPr>
      </w:pPr>
    </w:p>
    <w:p w14:paraId="48E93A0A">
      <w:pPr>
        <w:tabs>
          <w:tab w:val="left" w:pos="1890"/>
        </w:tabs>
        <w:rPr>
          <w:rFonts w:hint="eastAsia" w:ascii="宋体" w:hAnsi="宋体" w:cs="宋体"/>
          <w:color w:val="auto"/>
          <w:kern w:val="0"/>
          <w:szCs w:val="21"/>
          <w:highlight w:val="none"/>
        </w:rPr>
      </w:pPr>
    </w:p>
    <w:p w14:paraId="67828FA8">
      <w:pPr>
        <w:tabs>
          <w:tab w:val="left" w:pos="1890"/>
        </w:tabs>
        <w:rPr>
          <w:rFonts w:hint="eastAsia" w:ascii="宋体" w:hAnsi="宋体" w:cs="宋体"/>
          <w:color w:val="auto"/>
          <w:kern w:val="0"/>
          <w:szCs w:val="21"/>
          <w:highlight w:val="none"/>
        </w:rPr>
      </w:pPr>
    </w:p>
    <w:p w14:paraId="10B476AF">
      <w:pPr>
        <w:tabs>
          <w:tab w:val="left" w:pos="1890"/>
        </w:tabs>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               </w:t>
      </w:r>
    </w:p>
    <w:p w14:paraId="13929B59">
      <w:pPr>
        <w:tabs>
          <w:tab w:val="left" w:pos="1890"/>
        </w:tabs>
        <w:adjustRightInd w:val="0"/>
        <w:snapToGrid w:val="0"/>
        <w:rPr>
          <w:rFonts w:hint="eastAsia" w:ascii="宋体" w:hAnsi="宋体" w:cs="宋体"/>
          <w:color w:val="auto"/>
          <w:szCs w:val="21"/>
          <w:highlight w:val="none"/>
        </w:rPr>
      </w:pPr>
    </w:p>
    <w:p w14:paraId="105086ED">
      <w:pPr>
        <w:pStyle w:val="11"/>
        <w:tabs>
          <w:tab w:val="left" w:pos="1890"/>
        </w:tabs>
        <w:adjustRightInd w:val="0"/>
        <w:snapToGrid w:val="0"/>
        <w:spacing w:line="360" w:lineRule="auto"/>
        <w:rPr>
          <w:rFonts w:hint="eastAsia" w:ascii="宋体" w:hAnsi="宋体" w:cs="宋体"/>
          <w:bCs/>
          <w:color w:val="auto"/>
          <w:sz w:val="21"/>
          <w:szCs w:val="21"/>
          <w:highlight w:val="none"/>
        </w:rPr>
      </w:pPr>
      <w:bookmarkStart w:id="135" w:name="_Toc1438"/>
      <w:r>
        <w:rPr>
          <w:rFonts w:hint="eastAsia" w:ascii="宋体" w:hAnsi="宋体" w:cs="宋体"/>
          <w:color w:val="auto"/>
          <w:sz w:val="21"/>
          <w:szCs w:val="21"/>
          <w:highlight w:val="none"/>
        </w:rPr>
        <w:t>供应商名称：</w:t>
      </w:r>
      <w:bookmarkEnd w:id="135"/>
      <w:r>
        <w:rPr>
          <w:rFonts w:hint="eastAsia" w:ascii="宋体" w:hAnsi="宋体" w:cs="宋体"/>
          <w:color w:val="auto"/>
          <w:sz w:val="21"/>
          <w:szCs w:val="21"/>
          <w:highlight w:val="none"/>
          <w:u w:val="single"/>
        </w:rPr>
        <w:t xml:space="preserve">                </w:t>
      </w:r>
    </w:p>
    <w:p w14:paraId="0018635B">
      <w:pPr>
        <w:tabs>
          <w:tab w:val="left" w:pos="1890"/>
        </w:tabs>
        <w:adjustRightInd w:val="0"/>
        <w:snapToGrid w:val="0"/>
        <w:spacing w:line="360" w:lineRule="auto"/>
        <w:rPr>
          <w:rFonts w:hint="eastAsia" w:ascii="宋体" w:hAnsi="宋体" w:cs="宋体"/>
          <w:color w:val="auto"/>
          <w:szCs w:val="21"/>
          <w:highlight w:val="none"/>
        </w:rPr>
      </w:pPr>
      <w:bookmarkStart w:id="136" w:name="_Toc20421"/>
      <w:r>
        <w:rPr>
          <w:rFonts w:hint="eastAsia" w:ascii="宋体" w:hAnsi="宋体" w:cs="宋体"/>
          <w:color w:val="auto"/>
          <w:szCs w:val="21"/>
          <w:highlight w:val="none"/>
        </w:rPr>
        <w:t>法定代表人</w:t>
      </w:r>
      <w:r>
        <w:rPr>
          <w:rFonts w:hint="eastAsia" w:ascii="宋体" w:hAnsi="宋体" w:cs="宋体"/>
          <w:color w:val="auto"/>
          <w:kern w:val="0"/>
          <w:szCs w:val="21"/>
          <w:highlight w:val="none"/>
        </w:rPr>
        <w:t>（负责人）</w:t>
      </w:r>
      <w:r>
        <w:rPr>
          <w:rFonts w:hint="eastAsia" w:ascii="宋体" w:hAnsi="宋体" w:cs="宋体"/>
          <w:color w:val="auto"/>
          <w:szCs w:val="21"/>
          <w:highlight w:val="none"/>
        </w:rPr>
        <w:t>或其委托代理人(签字)：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_</w:t>
      </w:r>
      <w:bookmarkEnd w:id="136"/>
    </w:p>
    <w:p w14:paraId="7B6CAFA9">
      <w:pPr>
        <w:tabs>
          <w:tab w:val="left" w:pos="1890"/>
        </w:tabs>
        <w:spacing w:line="360" w:lineRule="exact"/>
        <w:rPr>
          <w:rFonts w:hint="eastAsia" w:ascii="宋体" w:hAnsi="宋体" w:cs="宋体"/>
          <w:color w:val="auto"/>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B2DCE8D">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 w:val="30"/>
          <w:szCs w:val="30"/>
          <w:highlight w:val="none"/>
        </w:rPr>
        <w:br w:type="page"/>
      </w:r>
    </w:p>
    <w:p w14:paraId="6DF69C49">
      <w:pPr>
        <w:adjustRightInd w:val="0"/>
        <w:snapToGrid w:val="0"/>
        <w:spacing w:line="360" w:lineRule="auto"/>
        <w:jc w:val="center"/>
        <w:outlineLvl w:val="1"/>
        <w:rPr>
          <w:rFonts w:hint="eastAsia" w:ascii="宋体" w:hAnsi="宋体" w:cs="宋体"/>
          <w:b/>
          <w:color w:val="auto"/>
          <w:sz w:val="30"/>
          <w:szCs w:val="30"/>
          <w:highlight w:val="none"/>
        </w:rPr>
      </w:pPr>
      <w:bookmarkStart w:id="137" w:name="_Toc26858"/>
      <w:bookmarkStart w:id="138" w:name="_Toc23864"/>
      <w:r>
        <w:rPr>
          <w:rFonts w:hint="eastAsia" w:ascii="宋体" w:hAnsi="宋体" w:cs="宋体"/>
          <w:b/>
          <w:color w:val="auto"/>
          <w:sz w:val="30"/>
          <w:szCs w:val="30"/>
          <w:highlight w:val="none"/>
        </w:rPr>
        <w:t>五、技术/商务响应与偏离表</w:t>
      </w:r>
      <w:bookmarkEnd w:id="137"/>
      <w:bookmarkEnd w:id="138"/>
    </w:p>
    <w:p w14:paraId="795A6780">
      <w:pPr>
        <w:adjustRightInd w:val="0"/>
        <w:snapToGrid w:val="0"/>
        <w:ind w:left="-88" w:leftChars="-42" w:firstLine="315" w:firstLineChars="150"/>
        <w:rPr>
          <w:rFonts w:hint="eastAsia" w:ascii="宋体" w:hAnsi="宋体" w:cs="宋体"/>
          <w:color w:val="auto"/>
          <w:szCs w:val="21"/>
          <w:highlight w:val="none"/>
          <w:u w:val="single"/>
        </w:rPr>
      </w:pPr>
    </w:p>
    <w:tbl>
      <w:tblPr>
        <w:tblStyle w:val="18"/>
        <w:tblW w:w="87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6"/>
        <w:gridCol w:w="1949"/>
        <w:gridCol w:w="2601"/>
        <w:gridCol w:w="1214"/>
        <w:gridCol w:w="661"/>
      </w:tblGrid>
      <w:tr w14:paraId="128A12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tcBorders>
              <w:top w:val="double" w:color="auto" w:sz="4" w:space="0"/>
              <w:left w:val="double" w:color="auto" w:sz="4" w:space="0"/>
              <w:bottom w:val="single" w:color="auto" w:sz="6" w:space="0"/>
              <w:right w:val="single" w:color="auto" w:sz="6" w:space="0"/>
            </w:tcBorders>
            <w:vAlign w:val="center"/>
          </w:tcPr>
          <w:p w14:paraId="44D7C37E">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bCs/>
                <w:color w:val="auto"/>
                <w:szCs w:val="21"/>
                <w:highlight w:val="none"/>
              </w:rPr>
            </w:pPr>
            <w:r>
              <w:rPr>
                <w:rFonts w:hint="eastAsia" w:ascii="宋体" w:hAnsi="宋体" w:cs="宋体"/>
                <w:bCs/>
                <w:color w:val="auto"/>
                <w:szCs w:val="21"/>
                <w:highlight w:val="none"/>
              </w:rPr>
              <w:t>序号</w:t>
            </w:r>
          </w:p>
        </w:tc>
        <w:tc>
          <w:tcPr>
            <w:tcW w:w="1686" w:type="dxa"/>
            <w:tcBorders>
              <w:top w:val="double" w:color="auto" w:sz="4" w:space="0"/>
              <w:left w:val="single" w:color="auto" w:sz="6" w:space="0"/>
              <w:bottom w:val="single" w:color="auto" w:sz="6" w:space="0"/>
              <w:right w:val="single" w:color="auto" w:sz="6" w:space="0"/>
            </w:tcBorders>
            <w:vAlign w:val="center"/>
          </w:tcPr>
          <w:p w14:paraId="070129F6">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r>
              <w:rPr>
                <w:rFonts w:hint="eastAsia" w:ascii="宋体" w:hAnsi="宋体" w:cs="宋体"/>
                <w:color w:val="auto"/>
                <w:szCs w:val="21"/>
                <w:highlight w:val="none"/>
              </w:rPr>
              <w:t>磋商文件条目号</w:t>
            </w:r>
          </w:p>
        </w:tc>
        <w:tc>
          <w:tcPr>
            <w:tcW w:w="1949" w:type="dxa"/>
            <w:tcBorders>
              <w:top w:val="double" w:color="auto" w:sz="4" w:space="0"/>
              <w:left w:val="single" w:color="auto" w:sz="6" w:space="0"/>
              <w:bottom w:val="single" w:color="auto" w:sz="6" w:space="0"/>
              <w:right w:val="single" w:color="auto" w:sz="6" w:space="0"/>
            </w:tcBorders>
            <w:vAlign w:val="center"/>
          </w:tcPr>
          <w:p w14:paraId="161DE843">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r>
              <w:rPr>
                <w:rFonts w:hint="eastAsia" w:ascii="宋体" w:hAnsi="宋体" w:cs="宋体"/>
                <w:color w:val="auto"/>
                <w:szCs w:val="21"/>
                <w:highlight w:val="none"/>
              </w:rPr>
              <w:t>采购规格/商务条款</w:t>
            </w:r>
          </w:p>
        </w:tc>
        <w:tc>
          <w:tcPr>
            <w:tcW w:w="2601" w:type="dxa"/>
            <w:tcBorders>
              <w:top w:val="double" w:color="auto" w:sz="4" w:space="0"/>
              <w:left w:val="single" w:color="auto" w:sz="6" w:space="0"/>
              <w:bottom w:val="single" w:color="auto" w:sz="6" w:space="0"/>
              <w:right w:val="single" w:color="auto" w:sz="6" w:space="0"/>
            </w:tcBorders>
            <w:vAlign w:val="center"/>
          </w:tcPr>
          <w:p w14:paraId="538D333A">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r>
              <w:rPr>
                <w:rFonts w:hint="eastAsia" w:ascii="宋体" w:hAnsi="宋体" w:cs="宋体"/>
                <w:color w:val="auto"/>
                <w:szCs w:val="21"/>
                <w:highlight w:val="none"/>
              </w:rPr>
              <w:t>响应文件的规格/商务条款</w:t>
            </w:r>
          </w:p>
        </w:tc>
        <w:tc>
          <w:tcPr>
            <w:tcW w:w="1214" w:type="dxa"/>
            <w:tcBorders>
              <w:top w:val="double" w:color="auto" w:sz="4" w:space="0"/>
              <w:left w:val="single" w:color="auto" w:sz="6" w:space="0"/>
              <w:bottom w:val="single" w:color="auto" w:sz="6" w:space="0"/>
              <w:right w:val="single" w:color="auto" w:sz="6" w:space="0"/>
            </w:tcBorders>
            <w:vAlign w:val="center"/>
          </w:tcPr>
          <w:p w14:paraId="53B5BD34">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r>
              <w:rPr>
                <w:rFonts w:hint="eastAsia" w:ascii="宋体" w:hAnsi="宋体" w:cs="宋体"/>
                <w:color w:val="auto"/>
                <w:szCs w:val="21"/>
                <w:highlight w:val="none"/>
              </w:rPr>
              <w:t>响应与偏离</w:t>
            </w:r>
          </w:p>
        </w:tc>
        <w:tc>
          <w:tcPr>
            <w:tcW w:w="661" w:type="dxa"/>
            <w:tcBorders>
              <w:top w:val="double" w:color="auto" w:sz="4" w:space="0"/>
              <w:left w:val="single" w:color="auto" w:sz="6" w:space="0"/>
              <w:bottom w:val="single" w:color="auto" w:sz="6" w:space="0"/>
              <w:right w:val="double" w:color="auto" w:sz="4" w:space="0"/>
            </w:tcBorders>
            <w:vAlign w:val="center"/>
          </w:tcPr>
          <w:p w14:paraId="75BC5A26">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r>
              <w:rPr>
                <w:rFonts w:hint="eastAsia" w:ascii="宋体" w:hAnsi="宋体" w:cs="宋体"/>
                <w:color w:val="auto"/>
                <w:szCs w:val="21"/>
                <w:highlight w:val="none"/>
              </w:rPr>
              <w:t>说明</w:t>
            </w:r>
          </w:p>
        </w:tc>
      </w:tr>
      <w:tr w14:paraId="292D46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14:paraId="7BC37473">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686" w:type="dxa"/>
            <w:tcBorders>
              <w:top w:val="single" w:color="auto" w:sz="6" w:space="0"/>
              <w:left w:val="single" w:color="auto" w:sz="6" w:space="0"/>
              <w:bottom w:val="single" w:color="auto" w:sz="6" w:space="0"/>
              <w:right w:val="single" w:color="auto" w:sz="6" w:space="0"/>
            </w:tcBorders>
            <w:vAlign w:val="center"/>
          </w:tcPr>
          <w:p w14:paraId="722B9BB2">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949" w:type="dxa"/>
            <w:tcBorders>
              <w:top w:val="single" w:color="auto" w:sz="6" w:space="0"/>
              <w:left w:val="single" w:color="auto" w:sz="6" w:space="0"/>
              <w:bottom w:val="single" w:color="auto" w:sz="6" w:space="0"/>
              <w:right w:val="single" w:color="auto" w:sz="6" w:space="0"/>
            </w:tcBorders>
            <w:vAlign w:val="center"/>
          </w:tcPr>
          <w:p w14:paraId="4AB7EDAB">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2601" w:type="dxa"/>
            <w:tcBorders>
              <w:top w:val="single" w:color="auto" w:sz="6" w:space="0"/>
              <w:left w:val="single" w:color="auto" w:sz="6" w:space="0"/>
              <w:bottom w:val="single" w:color="auto" w:sz="6" w:space="0"/>
              <w:right w:val="single" w:color="auto" w:sz="6" w:space="0"/>
            </w:tcBorders>
            <w:vAlign w:val="center"/>
          </w:tcPr>
          <w:p w14:paraId="432D706F">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214" w:type="dxa"/>
            <w:tcBorders>
              <w:top w:val="single" w:color="auto" w:sz="6" w:space="0"/>
              <w:left w:val="single" w:color="auto" w:sz="6" w:space="0"/>
              <w:bottom w:val="single" w:color="auto" w:sz="6" w:space="0"/>
              <w:right w:val="single" w:color="auto" w:sz="6" w:space="0"/>
            </w:tcBorders>
            <w:vAlign w:val="center"/>
          </w:tcPr>
          <w:p w14:paraId="327A99A5">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661" w:type="dxa"/>
            <w:tcBorders>
              <w:top w:val="single" w:color="auto" w:sz="6" w:space="0"/>
              <w:left w:val="single" w:color="auto" w:sz="6" w:space="0"/>
              <w:bottom w:val="single" w:color="auto" w:sz="6" w:space="0"/>
              <w:right w:val="double" w:color="auto" w:sz="4" w:space="0"/>
            </w:tcBorders>
            <w:vAlign w:val="center"/>
          </w:tcPr>
          <w:p w14:paraId="7C2477A7">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r>
      <w:tr w14:paraId="031B96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14:paraId="1B4855D3">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686" w:type="dxa"/>
            <w:tcBorders>
              <w:top w:val="single" w:color="auto" w:sz="6" w:space="0"/>
              <w:left w:val="single" w:color="auto" w:sz="6" w:space="0"/>
              <w:bottom w:val="single" w:color="auto" w:sz="6" w:space="0"/>
              <w:right w:val="single" w:color="auto" w:sz="6" w:space="0"/>
            </w:tcBorders>
            <w:vAlign w:val="center"/>
          </w:tcPr>
          <w:p w14:paraId="1F67A159">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949" w:type="dxa"/>
            <w:tcBorders>
              <w:top w:val="single" w:color="auto" w:sz="6" w:space="0"/>
              <w:left w:val="single" w:color="auto" w:sz="6" w:space="0"/>
              <w:bottom w:val="single" w:color="auto" w:sz="6" w:space="0"/>
              <w:right w:val="single" w:color="auto" w:sz="6" w:space="0"/>
            </w:tcBorders>
            <w:vAlign w:val="center"/>
          </w:tcPr>
          <w:p w14:paraId="2AE01E50">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2601" w:type="dxa"/>
            <w:tcBorders>
              <w:top w:val="single" w:color="auto" w:sz="6" w:space="0"/>
              <w:left w:val="single" w:color="auto" w:sz="6" w:space="0"/>
              <w:bottom w:val="single" w:color="auto" w:sz="6" w:space="0"/>
              <w:right w:val="single" w:color="auto" w:sz="6" w:space="0"/>
            </w:tcBorders>
            <w:vAlign w:val="center"/>
          </w:tcPr>
          <w:p w14:paraId="4BC42FC9">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214" w:type="dxa"/>
            <w:tcBorders>
              <w:top w:val="single" w:color="auto" w:sz="6" w:space="0"/>
              <w:left w:val="single" w:color="auto" w:sz="6" w:space="0"/>
              <w:bottom w:val="single" w:color="auto" w:sz="6" w:space="0"/>
              <w:right w:val="single" w:color="auto" w:sz="6" w:space="0"/>
            </w:tcBorders>
            <w:vAlign w:val="center"/>
          </w:tcPr>
          <w:p w14:paraId="5ED37304">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661" w:type="dxa"/>
            <w:tcBorders>
              <w:top w:val="single" w:color="auto" w:sz="6" w:space="0"/>
              <w:left w:val="single" w:color="auto" w:sz="6" w:space="0"/>
              <w:bottom w:val="single" w:color="auto" w:sz="6" w:space="0"/>
              <w:right w:val="double" w:color="auto" w:sz="4" w:space="0"/>
            </w:tcBorders>
            <w:vAlign w:val="center"/>
          </w:tcPr>
          <w:p w14:paraId="5800341A">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r>
      <w:tr w14:paraId="3FFC20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14:paraId="5C131118">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686" w:type="dxa"/>
            <w:tcBorders>
              <w:top w:val="single" w:color="auto" w:sz="6" w:space="0"/>
              <w:left w:val="single" w:color="auto" w:sz="6" w:space="0"/>
              <w:bottom w:val="single" w:color="auto" w:sz="6" w:space="0"/>
              <w:right w:val="single" w:color="auto" w:sz="6" w:space="0"/>
            </w:tcBorders>
            <w:vAlign w:val="center"/>
          </w:tcPr>
          <w:p w14:paraId="2131FD4A">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949" w:type="dxa"/>
            <w:tcBorders>
              <w:top w:val="single" w:color="auto" w:sz="6" w:space="0"/>
              <w:left w:val="single" w:color="auto" w:sz="6" w:space="0"/>
              <w:bottom w:val="single" w:color="auto" w:sz="6" w:space="0"/>
              <w:right w:val="single" w:color="auto" w:sz="6" w:space="0"/>
            </w:tcBorders>
            <w:vAlign w:val="center"/>
          </w:tcPr>
          <w:p w14:paraId="75DD084C">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2601" w:type="dxa"/>
            <w:tcBorders>
              <w:top w:val="single" w:color="auto" w:sz="6" w:space="0"/>
              <w:left w:val="single" w:color="auto" w:sz="6" w:space="0"/>
              <w:bottom w:val="single" w:color="auto" w:sz="6" w:space="0"/>
              <w:right w:val="single" w:color="auto" w:sz="6" w:space="0"/>
            </w:tcBorders>
            <w:vAlign w:val="center"/>
          </w:tcPr>
          <w:p w14:paraId="2A56D915">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214" w:type="dxa"/>
            <w:tcBorders>
              <w:top w:val="single" w:color="auto" w:sz="6" w:space="0"/>
              <w:left w:val="single" w:color="auto" w:sz="6" w:space="0"/>
              <w:bottom w:val="single" w:color="auto" w:sz="6" w:space="0"/>
              <w:right w:val="single" w:color="auto" w:sz="6" w:space="0"/>
            </w:tcBorders>
            <w:vAlign w:val="center"/>
          </w:tcPr>
          <w:p w14:paraId="79C6DC9A">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661" w:type="dxa"/>
            <w:tcBorders>
              <w:top w:val="single" w:color="auto" w:sz="6" w:space="0"/>
              <w:left w:val="single" w:color="auto" w:sz="6" w:space="0"/>
              <w:bottom w:val="single" w:color="auto" w:sz="6" w:space="0"/>
              <w:right w:val="double" w:color="auto" w:sz="4" w:space="0"/>
            </w:tcBorders>
            <w:vAlign w:val="center"/>
          </w:tcPr>
          <w:p w14:paraId="48B2F829">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r>
      <w:tr w14:paraId="45D452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single" w:color="auto" w:sz="6" w:space="0"/>
              <w:right w:val="single" w:color="auto" w:sz="6" w:space="0"/>
            </w:tcBorders>
          </w:tcPr>
          <w:p w14:paraId="402459ED">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686" w:type="dxa"/>
            <w:tcBorders>
              <w:top w:val="single" w:color="auto" w:sz="6" w:space="0"/>
              <w:left w:val="single" w:color="auto" w:sz="6" w:space="0"/>
              <w:bottom w:val="single" w:color="auto" w:sz="6" w:space="0"/>
              <w:right w:val="single" w:color="auto" w:sz="6" w:space="0"/>
            </w:tcBorders>
            <w:vAlign w:val="center"/>
          </w:tcPr>
          <w:p w14:paraId="0ACF8898">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949" w:type="dxa"/>
            <w:tcBorders>
              <w:top w:val="single" w:color="auto" w:sz="6" w:space="0"/>
              <w:left w:val="single" w:color="auto" w:sz="6" w:space="0"/>
              <w:bottom w:val="single" w:color="auto" w:sz="6" w:space="0"/>
              <w:right w:val="single" w:color="auto" w:sz="6" w:space="0"/>
            </w:tcBorders>
            <w:vAlign w:val="center"/>
          </w:tcPr>
          <w:p w14:paraId="20B81C46">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2601" w:type="dxa"/>
            <w:tcBorders>
              <w:top w:val="single" w:color="auto" w:sz="6" w:space="0"/>
              <w:left w:val="single" w:color="auto" w:sz="6" w:space="0"/>
              <w:bottom w:val="single" w:color="auto" w:sz="6" w:space="0"/>
              <w:right w:val="single" w:color="auto" w:sz="6" w:space="0"/>
            </w:tcBorders>
            <w:vAlign w:val="center"/>
          </w:tcPr>
          <w:p w14:paraId="75002217">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214" w:type="dxa"/>
            <w:tcBorders>
              <w:top w:val="single" w:color="auto" w:sz="6" w:space="0"/>
              <w:left w:val="single" w:color="auto" w:sz="6" w:space="0"/>
              <w:bottom w:val="single" w:color="auto" w:sz="6" w:space="0"/>
              <w:right w:val="single" w:color="auto" w:sz="6" w:space="0"/>
            </w:tcBorders>
            <w:vAlign w:val="center"/>
          </w:tcPr>
          <w:p w14:paraId="04CEB4BC">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661" w:type="dxa"/>
            <w:tcBorders>
              <w:top w:val="single" w:color="auto" w:sz="6" w:space="0"/>
              <w:left w:val="single" w:color="auto" w:sz="6" w:space="0"/>
              <w:bottom w:val="single" w:color="auto" w:sz="6" w:space="0"/>
              <w:right w:val="double" w:color="auto" w:sz="4" w:space="0"/>
            </w:tcBorders>
            <w:vAlign w:val="center"/>
          </w:tcPr>
          <w:p w14:paraId="1C888CD8">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r>
      <w:tr w14:paraId="018F2D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4" w:space="0"/>
              <w:bottom w:val="double" w:color="auto" w:sz="4" w:space="0"/>
              <w:right w:val="single" w:color="auto" w:sz="6" w:space="0"/>
            </w:tcBorders>
          </w:tcPr>
          <w:p w14:paraId="2F2654B6">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686" w:type="dxa"/>
            <w:tcBorders>
              <w:top w:val="single" w:color="auto" w:sz="6" w:space="0"/>
              <w:left w:val="single" w:color="auto" w:sz="6" w:space="0"/>
              <w:bottom w:val="double" w:color="auto" w:sz="4" w:space="0"/>
              <w:right w:val="single" w:color="auto" w:sz="6" w:space="0"/>
            </w:tcBorders>
            <w:vAlign w:val="center"/>
          </w:tcPr>
          <w:p w14:paraId="31D82B12">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949" w:type="dxa"/>
            <w:tcBorders>
              <w:top w:val="single" w:color="auto" w:sz="6" w:space="0"/>
              <w:left w:val="single" w:color="auto" w:sz="6" w:space="0"/>
              <w:bottom w:val="double" w:color="auto" w:sz="4" w:space="0"/>
              <w:right w:val="single" w:color="auto" w:sz="6" w:space="0"/>
            </w:tcBorders>
            <w:vAlign w:val="center"/>
          </w:tcPr>
          <w:p w14:paraId="1CE527FC">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2601" w:type="dxa"/>
            <w:tcBorders>
              <w:top w:val="single" w:color="auto" w:sz="6" w:space="0"/>
              <w:left w:val="single" w:color="auto" w:sz="6" w:space="0"/>
              <w:bottom w:val="double" w:color="auto" w:sz="4" w:space="0"/>
              <w:right w:val="single" w:color="auto" w:sz="6" w:space="0"/>
            </w:tcBorders>
            <w:vAlign w:val="center"/>
          </w:tcPr>
          <w:p w14:paraId="5FCA96FE">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1214" w:type="dxa"/>
            <w:tcBorders>
              <w:top w:val="single" w:color="auto" w:sz="6" w:space="0"/>
              <w:left w:val="single" w:color="auto" w:sz="6" w:space="0"/>
              <w:bottom w:val="double" w:color="auto" w:sz="4" w:space="0"/>
              <w:right w:val="single" w:color="auto" w:sz="6" w:space="0"/>
            </w:tcBorders>
            <w:vAlign w:val="center"/>
          </w:tcPr>
          <w:p w14:paraId="37CA8D63">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c>
          <w:tcPr>
            <w:tcW w:w="661" w:type="dxa"/>
            <w:tcBorders>
              <w:top w:val="single" w:color="auto" w:sz="6" w:space="0"/>
              <w:left w:val="single" w:color="auto" w:sz="6" w:space="0"/>
              <w:bottom w:val="double" w:color="auto" w:sz="4" w:space="0"/>
              <w:right w:val="double" w:color="auto" w:sz="4" w:space="0"/>
            </w:tcBorders>
            <w:vAlign w:val="center"/>
          </w:tcPr>
          <w:p w14:paraId="616EACC7">
            <w:pPr>
              <w:keepNext w:val="0"/>
              <w:keepLines w:val="0"/>
              <w:suppressLineNumbers w:val="0"/>
              <w:adjustRightInd w:val="0"/>
              <w:snapToGrid w:val="0"/>
              <w:spacing w:before="0" w:beforeAutospacing="0" w:after="0" w:afterAutospacing="0"/>
              <w:ind w:left="-88" w:leftChars="-42" w:right="0"/>
              <w:jc w:val="center"/>
              <w:rPr>
                <w:rFonts w:hint="eastAsia" w:ascii="宋体" w:hAnsi="宋体" w:cs="宋体"/>
                <w:color w:val="auto"/>
                <w:szCs w:val="21"/>
                <w:highlight w:val="none"/>
              </w:rPr>
            </w:pPr>
          </w:p>
        </w:tc>
      </w:tr>
    </w:tbl>
    <w:p w14:paraId="234F6327">
      <w:pPr>
        <w:adjustRightInd w:val="0"/>
        <w:snapToGrid w:val="0"/>
        <w:spacing w:line="360" w:lineRule="auto"/>
        <w:ind w:left="-88" w:leftChars="-42"/>
        <w:rPr>
          <w:rFonts w:hint="eastAsia" w:ascii="宋体" w:hAnsi="宋体" w:cs="宋体"/>
          <w:color w:val="auto"/>
          <w:szCs w:val="21"/>
          <w:highlight w:val="none"/>
        </w:rPr>
      </w:pPr>
    </w:p>
    <w:p w14:paraId="36DAD9B2">
      <w:pPr>
        <w:adjustRightInd w:val="0"/>
        <w:snapToGrid w:val="0"/>
        <w:spacing w:line="360" w:lineRule="auto"/>
        <w:ind w:left="-88" w:leftChars="-42"/>
        <w:rPr>
          <w:rFonts w:hint="eastAsia" w:ascii="宋体" w:hAnsi="宋体" w:cs="宋体"/>
          <w:color w:val="auto"/>
          <w:szCs w:val="21"/>
          <w:highlight w:val="none"/>
        </w:rPr>
      </w:pPr>
      <w:r>
        <w:rPr>
          <w:rFonts w:hint="eastAsia" w:ascii="宋体" w:hAnsi="宋体" w:cs="宋体"/>
          <w:color w:val="auto"/>
          <w:szCs w:val="21"/>
          <w:highlight w:val="none"/>
        </w:rPr>
        <w:t>说明：1、“响应与偏离”应注明“响应”或“偏离”。</w:t>
      </w:r>
    </w:p>
    <w:p w14:paraId="58D0BE52">
      <w:pPr>
        <w:adjustRightInd w:val="0"/>
        <w:snapToGrid w:val="0"/>
        <w:spacing w:line="360" w:lineRule="auto"/>
        <w:rPr>
          <w:rFonts w:hint="eastAsia" w:ascii="宋体" w:hAnsi="宋体" w:cs="宋体"/>
          <w:color w:val="auto"/>
          <w:szCs w:val="21"/>
          <w:highlight w:val="none"/>
        </w:rPr>
      </w:pPr>
      <w:bookmarkStart w:id="139" w:name="_Toc24206"/>
      <w:r>
        <w:rPr>
          <w:rFonts w:hint="eastAsia" w:ascii="宋体" w:hAnsi="宋体" w:cs="宋体"/>
          <w:color w:val="auto"/>
          <w:szCs w:val="21"/>
          <w:highlight w:val="none"/>
        </w:rPr>
        <w:t>2、属磋商文件规定可能变动的内容在“说明”栏中注明。</w:t>
      </w:r>
      <w:bookmarkEnd w:id="139"/>
    </w:p>
    <w:p w14:paraId="293122FD">
      <w:pPr>
        <w:pStyle w:val="11"/>
        <w:adjustRightInd w:val="0"/>
        <w:snapToGrid w:val="0"/>
        <w:spacing w:line="360" w:lineRule="auto"/>
        <w:rPr>
          <w:rFonts w:hint="eastAsia" w:ascii="宋体" w:hAnsi="宋体" w:cs="宋体"/>
          <w:color w:val="auto"/>
          <w:sz w:val="21"/>
          <w:szCs w:val="21"/>
          <w:highlight w:val="none"/>
        </w:rPr>
      </w:pPr>
    </w:p>
    <w:p w14:paraId="29FC8E43">
      <w:pPr>
        <w:rPr>
          <w:rFonts w:hint="eastAsia" w:ascii="宋体" w:hAnsi="宋体" w:cs="宋体"/>
          <w:color w:val="auto"/>
          <w:highlight w:val="none"/>
        </w:rPr>
      </w:pPr>
    </w:p>
    <w:p w14:paraId="283835F2">
      <w:pPr>
        <w:rPr>
          <w:rFonts w:hint="eastAsia" w:ascii="宋体" w:hAnsi="宋体" w:cs="宋体"/>
          <w:color w:val="auto"/>
          <w:highlight w:val="none"/>
        </w:rPr>
      </w:pPr>
    </w:p>
    <w:p w14:paraId="43AF8681">
      <w:pPr>
        <w:rPr>
          <w:rFonts w:hint="eastAsia" w:ascii="宋体" w:hAnsi="宋体" w:cs="宋体"/>
          <w:color w:val="auto"/>
          <w:highlight w:val="none"/>
        </w:rPr>
      </w:pPr>
    </w:p>
    <w:p w14:paraId="6398DDA5">
      <w:pPr>
        <w:rPr>
          <w:rFonts w:hint="eastAsia" w:ascii="宋体" w:hAnsi="宋体" w:cs="宋体"/>
          <w:color w:val="auto"/>
          <w:highlight w:val="none"/>
        </w:rPr>
      </w:pPr>
    </w:p>
    <w:p w14:paraId="22A430B8">
      <w:pPr>
        <w:rPr>
          <w:rFonts w:hint="eastAsia" w:ascii="宋体" w:hAnsi="宋体" w:cs="宋体"/>
          <w:color w:val="auto"/>
          <w:highlight w:val="none"/>
        </w:rPr>
      </w:pPr>
    </w:p>
    <w:p w14:paraId="767FD480">
      <w:pPr>
        <w:rPr>
          <w:rFonts w:hint="eastAsia" w:ascii="宋体" w:hAnsi="宋体" w:cs="宋体"/>
          <w:color w:val="auto"/>
          <w:highlight w:val="none"/>
        </w:rPr>
      </w:pPr>
    </w:p>
    <w:p w14:paraId="78E7E22D">
      <w:pPr>
        <w:pStyle w:val="11"/>
        <w:adjustRightInd w:val="0"/>
        <w:snapToGrid w:val="0"/>
        <w:spacing w:line="360" w:lineRule="auto"/>
        <w:rPr>
          <w:rFonts w:hint="eastAsia" w:ascii="宋体" w:hAnsi="宋体" w:cs="宋体"/>
          <w:bCs/>
          <w:color w:val="auto"/>
          <w:sz w:val="21"/>
          <w:szCs w:val="21"/>
          <w:highlight w:val="none"/>
        </w:rPr>
      </w:pPr>
      <w:bookmarkStart w:id="140" w:name="_Toc10089"/>
      <w:r>
        <w:rPr>
          <w:rFonts w:hint="eastAsia" w:ascii="宋体" w:hAnsi="宋体" w:cs="宋体"/>
          <w:color w:val="auto"/>
          <w:sz w:val="21"/>
          <w:szCs w:val="21"/>
          <w:highlight w:val="none"/>
        </w:rPr>
        <w:t>供应商名称：</w:t>
      </w:r>
      <w:bookmarkEnd w:id="140"/>
    </w:p>
    <w:p w14:paraId="3A62D2EF">
      <w:pPr>
        <w:adjustRightInd w:val="0"/>
        <w:snapToGrid w:val="0"/>
        <w:spacing w:line="360" w:lineRule="auto"/>
        <w:rPr>
          <w:rFonts w:hint="eastAsia" w:ascii="宋体" w:hAnsi="宋体" w:cs="宋体"/>
          <w:color w:val="auto"/>
          <w:szCs w:val="21"/>
          <w:highlight w:val="none"/>
        </w:rPr>
      </w:pPr>
      <w:bookmarkStart w:id="141" w:name="_Toc30128"/>
      <w:r>
        <w:rPr>
          <w:rFonts w:hint="eastAsia" w:ascii="宋体" w:hAnsi="宋体" w:cs="宋体"/>
          <w:color w:val="auto"/>
          <w:szCs w:val="21"/>
          <w:highlight w:val="none"/>
        </w:rPr>
        <w:t>法定代表人</w:t>
      </w:r>
      <w:r>
        <w:rPr>
          <w:rFonts w:hint="eastAsia" w:ascii="宋体" w:hAnsi="宋体" w:cs="宋体"/>
          <w:color w:val="auto"/>
          <w:kern w:val="0"/>
          <w:szCs w:val="21"/>
          <w:highlight w:val="none"/>
        </w:rPr>
        <w:t>（负责人）</w:t>
      </w:r>
      <w:r>
        <w:rPr>
          <w:rFonts w:hint="eastAsia" w:ascii="宋体" w:hAnsi="宋体" w:cs="宋体"/>
          <w:color w:val="auto"/>
          <w:szCs w:val="21"/>
          <w:highlight w:val="none"/>
        </w:rPr>
        <w:t>或其委托代理人(签字)：</w:t>
      </w:r>
      <w:bookmarkEnd w:id="141"/>
    </w:p>
    <w:p w14:paraId="6DC2E0C4">
      <w:pPr>
        <w:adjustRightInd w:val="0"/>
        <w:snapToGrid w:val="0"/>
        <w:spacing w:line="360" w:lineRule="auto"/>
        <w:rPr>
          <w:rFonts w:hint="eastAsia" w:ascii="宋体" w:hAnsi="宋体" w:cs="宋体"/>
          <w:color w:val="auto"/>
          <w:szCs w:val="21"/>
          <w:highlight w:val="none"/>
        </w:rPr>
      </w:pPr>
      <w:bookmarkStart w:id="142" w:name="_Toc8705"/>
      <w:r>
        <w:rPr>
          <w:rFonts w:hint="eastAsia" w:ascii="宋体" w:hAnsi="宋体" w:cs="宋体"/>
          <w:color w:val="auto"/>
          <w:szCs w:val="21"/>
          <w:highlight w:val="none"/>
        </w:rPr>
        <w:t>日          期：  年  月  日</w:t>
      </w:r>
      <w:bookmarkEnd w:id="142"/>
    </w:p>
    <w:p w14:paraId="4A92E1BE">
      <w:pPr>
        <w:adjustRightInd w:val="0"/>
        <w:snapToGrid w:val="0"/>
        <w:spacing w:line="360" w:lineRule="auto"/>
        <w:rPr>
          <w:rFonts w:hint="eastAsia" w:ascii="宋体" w:hAnsi="宋体" w:cs="宋体"/>
          <w:color w:val="auto"/>
          <w:szCs w:val="21"/>
          <w:highlight w:val="none"/>
        </w:rPr>
      </w:pPr>
    </w:p>
    <w:p w14:paraId="65F1D872">
      <w:pPr>
        <w:rPr>
          <w:rFonts w:hint="eastAsia" w:ascii="宋体" w:hAnsi="宋体" w:cs="宋体"/>
          <w:color w:val="auto"/>
          <w:highlight w:val="none"/>
        </w:rPr>
      </w:pPr>
      <w:r>
        <w:rPr>
          <w:rFonts w:hint="eastAsia" w:ascii="宋体" w:hAnsi="宋体" w:cs="宋体"/>
          <w:color w:val="auto"/>
          <w:highlight w:val="none"/>
        </w:rPr>
        <w:br w:type="page"/>
      </w:r>
    </w:p>
    <w:p w14:paraId="2AC76670">
      <w:pPr>
        <w:tabs>
          <w:tab w:val="left" w:pos="3600"/>
        </w:tabs>
        <w:adjustRightInd w:val="0"/>
        <w:snapToGrid w:val="0"/>
        <w:jc w:val="center"/>
        <w:outlineLvl w:val="1"/>
        <w:rPr>
          <w:rFonts w:hint="eastAsia" w:ascii="宋体" w:hAnsi="宋体" w:cs="宋体"/>
          <w:b/>
          <w:color w:val="auto"/>
          <w:sz w:val="30"/>
          <w:szCs w:val="30"/>
          <w:highlight w:val="none"/>
        </w:rPr>
      </w:pPr>
      <w:bookmarkStart w:id="143" w:name="_Toc25230"/>
      <w:bookmarkStart w:id="144" w:name="_Toc5927"/>
      <w:r>
        <w:rPr>
          <w:rFonts w:hint="eastAsia" w:ascii="宋体" w:hAnsi="宋体" w:cs="宋体"/>
          <w:b/>
          <w:color w:val="auto"/>
          <w:sz w:val="30"/>
          <w:szCs w:val="30"/>
          <w:highlight w:val="none"/>
        </w:rPr>
        <w:t>六、提供享受政府采购政策的证明材料</w:t>
      </w:r>
      <w:bookmarkEnd w:id="143"/>
      <w:bookmarkEnd w:id="144"/>
    </w:p>
    <w:p w14:paraId="10F0CF59">
      <w:pPr>
        <w:tabs>
          <w:tab w:val="left" w:pos="3600"/>
        </w:tabs>
        <w:adjustRightInd w:val="0"/>
        <w:snapToGrid w:val="0"/>
        <w:jc w:val="center"/>
        <w:rPr>
          <w:rFonts w:hint="eastAsia" w:ascii="宋体" w:hAnsi="宋体" w:cs="宋体"/>
          <w:b/>
          <w:color w:val="auto"/>
          <w:sz w:val="32"/>
          <w:szCs w:val="32"/>
          <w:highlight w:val="none"/>
        </w:rPr>
      </w:pPr>
    </w:p>
    <w:p w14:paraId="5480C55B">
      <w:pPr>
        <w:rPr>
          <w:rFonts w:hint="eastAsia" w:ascii="宋体" w:hAnsi="宋体" w:cs="宋体"/>
          <w:color w:val="auto"/>
          <w:sz w:val="30"/>
          <w:szCs w:val="30"/>
          <w:highlight w:val="none"/>
        </w:rPr>
      </w:pPr>
      <w:r>
        <w:rPr>
          <w:rFonts w:hint="eastAsia" w:ascii="宋体" w:hAnsi="宋体" w:cs="宋体"/>
          <w:color w:val="auto"/>
          <w:sz w:val="30"/>
          <w:szCs w:val="30"/>
          <w:highlight w:val="none"/>
        </w:rPr>
        <w:t>附件10</w:t>
      </w:r>
    </w:p>
    <w:p w14:paraId="44FA0573">
      <w:pPr>
        <w:widowControl/>
        <w:jc w:val="center"/>
        <w:rPr>
          <w:rFonts w:hint="eastAsia" w:ascii="宋体" w:hAnsi="宋体" w:cs="宋体"/>
          <w:b/>
          <w:color w:val="auto"/>
          <w:kern w:val="0"/>
          <w:szCs w:val="21"/>
          <w:highlight w:val="none"/>
        </w:rPr>
      </w:pPr>
    </w:p>
    <w:p w14:paraId="3945C733">
      <w:pPr>
        <w:widowControl/>
        <w:jc w:val="center"/>
        <w:rPr>
          <w:rFonts w:hint="eastAsia" w:ascii="宋体" w:hAnsi="宋体" w:cs="宋体"/>
          <w:color w:val="auto"/>
          <w:szCs w:val="21"/>
          <w:highlight w:val="none"/>
        </w:rPr>
      </w:pPr>
      <w:bookmarkStart w:id="145" w:name="_Toc28572"/>
      <w:r>
        <w:rPr>
          <w:rFonts w:hint="eastAsia" w:ascii="宋体" w:hAnsi="宋体" w:cs="宋体"/>
          <w:b/>
          <w:color w:val="auto"/>
          <w:kern w:val="0"/>
          <w:szCs w:val="21"/>
          <w:highlight w:val="none"/>
        </w:rPr>
        <w:t>中小企业声明函（货物）</w:t>
      </w:r>
      <w:bookmarkEnd w:id="145"/>
    </w:p>
    <w:p w14:paraId="34DEA31E">
      <w:pPr>
        <w:widowControl/>
        <w:spacing w:line="360" w:lineRule="auto"/>
        <w:ind w:firstLine="420" w:firstLineChars="200"/>
        <w:jc w:val="left"/>
        <w:rPr>
          <w:rFonts w:hint="eastAsia" w:ascii="宋体" w:hAnsi="宋体" w:cs="宋体"/>
          <w:color w:val="auto"/>
          <w:kern w:val="0"/>
          <w:szCs w:val="21"/>
          <w:highlight w:val="none"/>
        </w:rPr>
      </w:pPr>
    </w:p>
    <w:p w14:paraId="0DB0B0F9">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本公司（联合体）郑重声明，根据《政府采购促进中小企业发展管理办法》（财库﹝2020﹞46号）的规定，本公司（联合体）参加</w:t>
      </w:r>
      <w:r>
        <w:rPr>
          <w:rFonts w:hint="eastAsia" w:ascii="宋体" w:hAnsi="宋体" w:cs="宋体"/>
          <w:color w:val="auto"/>
          <w:kern w:val="0"/>
          <w:szCs w:val="21"/>
          <w:highlight w:val="none"/>
          <w:u w:val="single"/>
        </w:rPr>
        <w:t xml:space="preserve">（单位名称）   </w:t>
      </w:r>
      <w:r>
        <w:rPr>
          <w:rFonts w:hint="eastAsia" w:ascii="宋体" w:hAnsi="宋体" w:cs="宋体"/>
          <w:color w:val="auto"/>
          <w:kern w:val="0"/>
          <w:szCs w:val="21"/>
          <w:highlight w:val="none"/>
        </w:rPr>
        <w:t>的</w:t>
      </w:r>
      <w:r>
        <w:rPr>
          <w:rFonts w:hint="eastAsia" w:ascii="宋体" w:hAnsi="宋体" w:cs="宋体"/>
          <w:color w:val="auto"/>
          <w:kern w:val="0"/>
          <w:szCs w:val="21"/>
          <w:highlight w:val="none"/>
          <w:u w:val="single"/>
        </w:rPr>
        <w:t xml:space="preserve">（项目名称）   </w:t>
      </w:r>
      <w:r>
        <w:rPr>
          <w:rFonts w:hint="eastAsia" w:ascii="宋体" w:hAnsi="宋体" w:cs="宋体"/>
          <w:color w:val="auto"/>
          <w:kern w:val="0"/>
          <w:szCs w:val="21"/>
          <w:highlight w:val="none"/>
        </w:rPr>
        <w:t xml:space="preserve">采购活动，提供的货物全部由符合政策要求的中小企业制造。相关企业（含联合体中的中小企业、签订分包意向协议的中小企业）的具体情况如下： </w:t>
      </w:r>
    </w:p>
    <w:p w14:paraId="4DC53535">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u w:val="single"/>
        </w:rPr>
        <w:t xml:space="preserve">（标的名称）     </w:t>
      </w:r>
      <w:r>
        <w:rPr>
          <w:rFonts w:hint="eastAsia" w:ascii="宋体" w:hAnsi="宋体" w:cs="宋体"/>
          <w:color w:val="auto"/>
          <w:kern w:val="0"/>
          <w:szCs w:val="21"/>
          <w:highlight w:val="none"/>
        </w:rPr>
        <w:t>，属于</w:t>
      </w:r>
      <w:r>
        <w:rPr>
          <w:rFonts w:hint="eastAsia" w:ascii="宋体" w:hAnsi="宋体" w:cs="宋体"/>
          <w:color w:val="auto"/>
          <w:kern w:val="0"/>
          <w:szCs w:val="21"/>
          <w:highlight w:val="none"/>
          <w:u w:val="single"/>
        </w:rPr>
        <w:t xml:space="preserve">（采购文件中明确的所属行业）    </w:t>
      </w:r>
      <w:r>
        <w:rPr>
          <w:rFonts w:hint="eastAsia" w:ascii="宋体" w:hAnsi="宋体" w:cs="宋体"/>
          <w:color w:val="auto"/>
          <w:kern w:val="0"/>
          <w:szCs w:val="21"/>
          <w:highlight w:val="none"/>
        </w:rPr>
        <w:t>行业；制造商为</w:t>
      </w:r>
      <w:r>
        <w:rPr>
          <w:rFonts w:hint="eastAsia" w:ascii="宋体" w:hAnsi="宋体" w:cs="宋体"/>
          <w:color w:val="auto"/>
          <w:kern w:val="0"/>
          <w:szCs w:val="21"/>
          <w:highlight w:val="none"/>
          <w:u w:val="single"/>
        </w:rPr>
        <w:t>（企业名称）</w:t>
      </w:r>
      <w:r>
        <w:rPr>
          <w:rFonts w:hint="eastAsia" w:ascii="宋体" w:hAnsi="宋体" w:cs="宋体"/>
          <w:color w:val="auto"/>
          <w:kern w:val="0"/>
          <w:szCs w:val="21"/>
          <w:highlight w:val="none"/>
        </w:rPr>
        <w:t>，从业人员</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万元，属于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Cs w:val="21"/>
          <w:highlight w:val="none"/>
        </w:rPr>
        <w:t xml:space="preserve">； </w:t>
      </w:r>
    </w:p>
    <w:p w14:paraId="5EEFADA0">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u w:val="single"/>
        </w:rPr>
        <w:t xml:space="preserve">（标的名称）     </w:t>
      </w:r>
      <w:r>
        <w:rPr>
          <w:rFonts w:hint="eastAsia" w:ascii="宋体" w:hAnsi="宋体" w:cs="宋体"/>
          <w:color w:val="auto"/>
          <w:kern w:val="0"/>
          <w:szCs w:val="21"/>
          <w:highlight w:val="none"/>
        </w:rPr>
        <w:t>，属于</w:t>
      </w:r>
      <w:r>
        <w:rPr>
          <w:rFonts w:hint="eastAsia" w:ascii="宋体" w:hAnsi="宋体" w:cs="宋体"/>
          <w:color w:val="auto"/>
          <w:kern w:val="0"/>
          <w:szCs w:val="21"/>
          <w:highlight w:val="none"/>
          <w:u w:val="single"/>
        </w:rPr>
        <w:t xml:space="preserve">（采购文件中明确的所属行业）    </w:t>
      </w:r>
      <w:r>
        <w:rPr>
          <w:rFonts w:hint="eastAsia" w:ascii="宋体" w:hAnsi="宋体" w:cs="宋体"/>
          <w:color w:val="auto"/>
          <w:kern w:val="0"/>
          <w:szCs w:val="21"/>
          <w:highlight w:val="none"/>
        </w:rPr>
        <w:t>行业；制造商为</w:t>
      </w:r>
      <w:r>
        <w:rPr>
          <w:rFonts w:hint="eastAsia" w:ascii="宋体" w:hAnsi="宋体" w:cs="宋体"/>
          <w:color w:val="auto"/>
          <w:kern w:val="0"/>
          <w:szCs w:val="21"/>
          <w:highlight w:val="none"/>
          <w:u w:val="single"/>
        </w:rPr>
        <w:t>（企业名称）</w:t>
      </w:r>
      <w:r>
        <w:rPr>
          <w:rFonts w:hint="eastAsia" w:ascii="宋体" w:hAnsi="宋体" w:cs="宋体"/>
          <w:color w:val="auto"/>
          <w:kern w:val="0"/>
          <w:szCs w:val="21"/>
          <w:highlight w:val="none"/>
        </w:rPr>
        <w:t>，从业人员从业人员</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人，营业收入为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万元，资产总额为</w:t>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万元，属于</w:t>
      </w:r>
      <w:r>
        <w:rPr>
          <w:rFonts w:hint="eastAsia" w:ascii="宋体" w:hAnsi="宋体" w:cs="宋体"/>
          <w:color w:val="auto"/>
          <w:kern w:val="0"/>
          <w:szCs w:val="21"/>
          <w:highlight w:val="none"/>
          <w:u w:val="single"/>
        </w:rPr>
        <w:t>（中型企业、小型企业、微型企业）</w:t>
      </w:r>
      <w:r>
        <w:rPr>
          <w:rFonts w:hint="eastAsia" w:ascii="宋体" w:hAnsi="宋体" w:cs="宋体"/>
          <w:color w:val="auto"/>
          <w:kern w:val="0"/>
          <w:szCs w:val="21"/>
          <w:highlight w:val="none"/>
        </w:rPr>
        <w:t xml:space="preserve">； </w:t>
      </w:r>
    </w:p>
    <w:p w14:paraId="01A0E3EB">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以上企业，不属于大企业的分支机构，不存在控股股东为大企业的情形，也不存在与大企业的负责人为同一人的情形。</w:t>
      </w:r>
    </w:p>
    <w:p w14:paraId="21EA2E61">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 xml:space="preserve">本企业对上述声明内容的真实性负责。如有虚假，将依法承担相应责任。 </w:t>
      </w:r>
    </w:p>
    <w:p w14:paraId="2C39D539">
      <w:pPr>
        <w:widowControl/>
        <w:jc w:val="left"/>
        <w:rPr>
          <w:rFonts w:hint="eastAsia" w:ascii="宋体" w:hAnsi="宋体" w:cs="宋体"/>
          <w:color w:val="auto"/>
          <w:kern w:val="0"/>
          <w:szCs w:val="21"/>
          <w:highlight w:val="none"/>
        </w:rPr>
      </w:pPr>
    </w:p>
    <w:p w14:paraId="632280DC">
      <w:pPr>
        <w:widowControl/>
        <w:jc w:val="left"/>
        <w:rPr>
          <w:rFonts w:hint="eastAsia" w:ascii="宋体" w:hAnsi="宋体" w:cs="宋体"/>
          <w:color w:val="auto"/>
          <w:kern w:val="0"/>
          <w:szCs w:val="21"/>
          <w:highlight w:val="none"/>
        </w:rPr>
      </w:pPr>
    </w:p>
    <w:p w14:paraId="1C43E341">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rPr>
        <w:t xml:space="preserve">企业名称（盖章）： </w:t>
      </w:r>
    </w:p>
    <w:p w14:paraId="6FFFA5CD">
      <w:pPr>
        <w:widowControl/>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rPr>
        <w:t xml:space="preserve">日 期： </w:t>
      </w:r>
    </w:p>
    <w:p w14:paraId="48E90F59">
      <w:pPr>
        <w:widowControl/>
        <w:jc w:val="left"/>
        <w:rPr>
          <w:rFonts w:hint="eastAsia" w:ascii="宋体" w:hAnsi="宋体" w:cs="宋体"/>
          <w:color w:val="auto"/>
          <w:kern w:val="0"/>
          <w:szCs w:val="21"/>
          <w:highlight w:val="none"/>
        </w:rPr>
      </w:pPr>
    </w:p>
    <w:p w14:paraId="3A992792">
      <w:pPr>
        <w:widowControl/>
        <w:jc w:val="left"/>
        <w:rPr>
          <w:rFonts w:hint="eastAsia" w:ascii="宋体" w:hAnsi="宋体" w:cs="宋体"/>
          <w:color w:val="auto"/>
          <w:kern w:val="0"/>
          <w:szCs w:val="21"/>
          <w:highlight w:val="none"/>
        </w:rPr>
      </w:pPr>
    </w:p>
    <w:p w14:paraId="6E610BC1">
      <w:pPr>
        <w:widowControl/>
        <w:jc w:val="left"/>
        <w:rPr>
          <w:rFonts w:hint="eastAsia" w:ascii="宋体" w:hAnsi="宋体" w:cs="宋体"/>
          <w:color w:val="auto"/>
          <w:kern w:val="0"/>
          <w:szCs w:val="21"/>
          <w:highlight w:val="none"/>
        </w:rPr>
      </w:pPr>
    </w:p>
    <w:p w14:paraId="31437279">
      <w:pPr>
        <w:widowControl/>
        <w:jc w:val="left"/>
        <w:rPr>
          <w:rFonts w:hint="eastAsia" w:ascii="宋体" w:hAnsi="宋体" w:cs="宋体"/>
          <w:color w:val="auto"/>
          <w:kern w:val="0"/>
          <w:szCs w:val="21"/>
          <w:highlight w:val="none"/>
        </w:rPr>
      </w:pPr>
    </w:p>
    <w:p w14:paraId="766D22C1">
      <w:pPr>
        <w:widowControl/>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注：从业人员、营业收入、资产总额填报上一年度数据，无上一年度数据的新成立企业可不填报。</w:t>
      </w:r>
    </w:p>
    <w:p w14:paraId="40D65F3F">
      <w:pPr>
        <w:widowControl/>
        <w:jc w:val="left"/>
        <w:rPr>
          <w:rFonts w:hint="eastAsia" w:ascii="宋体" w:hAnsi="宋体" w:cs="宋体"/>
          <w:b/>
          <w:bCs/>
          <w:color w:val="auto"/>
          <w:kern w:val="0"/>
          <w:szCs w:val="21"/>
          <w:highlight w:val="none"/>
        </w:rPr>
      </w:pPr>
    </w:p>
    <w:p w14:paraId="0DBF2EA6">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122AEE">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32"/>
          <w:szCs w:val="32"/>
          <w:highlight w:val="none"/>
        </w:rPr>
        <w:t>湖南省政府采购供应商资格承诺函</w:t>
      </w:r>
    </w:p>
    <w:p w14:paraId="111C0FD9">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6EEDCE2">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按照《政府采购促进中小企业发展管理办法》(财库[2020〕46号)，本公司企业规模为:大型口 中型口 小型口 微型口</w:t>
      </w:r>
    </w:p>
    <w:p w14:paraId="5C5F8FB2">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口本公司自愿入驻湖南省政府采购电子卖场，遵守《湖南省政府采购电子卖场管理办法》(湘财购〔2019〕27号)，如违反承诺，同意金融机构将增信保证划缴国库(非电子卖场采购活动项目不需勾选)。</w:t>
      </w:r>
    </w:p>
    <w:p w14:paraId="0BBB1F2A">
      <w:pPr>
        <w:adjustRightInd w:val="0"/>
        <w:snapToGrid w:val="0"/>
        <w:spacing w:line="360" w:lineRule="auto"/>
        <w:rPr>
          <w:rFonts w:hint="eastAsia" w:ascii="宋体" w:hAnsi="宋体" w:cs="宋体"/>
          <w:bCs/>
          <w:color w:val="auto"/>
          <w:szCs w:val="21"/>
          <w:highlight w:val="none"/>
        </w:rPr>
      </w:pPr>
    </w:p>
    <w:p w14:paraId="107A7A1F">
      <w:pPr>
        <w:adjustRightInd w:val="0"/>
        <w:snapToGrid w:val="0"/>
        <w:spacing w:line="360" w:lineRule="auto"/>
        <w:jc w:val="right"/>
        <w:rPr>
          <w:rFonts w:hint="eastAsia" w:ascii="宋体" w:hAnsi="宋体" w:cs="宋体"/>
          <w:bCs/>
          <w:color w:val="auto"/>
          <w:szCs w:val="21"/>
          <w:highlight w:val="none"/>
        </w:rPr>
      </w:pPr>
      <w:r>
        <w:rPr>
          <w:rFonts w:hint="eastAsia" w:ascii="宋体" w:hAnsi="宋体" w:cs="宋体"/>
          <w:bCs/>
          <w:color w:val="auto"/>
          <w:szCs w:val="21"/>
          <w:highlight w:val="none"/>
        </w:rPr>
        <w:t>公司(单位)名称(盖章)</w:t>
      </w:r>
    </w:p>
    <w:p w14:paraId="5DBF4523">
      <w:pPr>
        <w:adjustRightInd w:val="0"/>
        <w:snapToGrid w:val="0"/>
        <w:spacing w:line="360" w:lineRule="auto"/>
        <w:jc w:val="right"/>
        <w:rPr>
          <w:rFonts w:hint="eastAsia" w:ascii="宋体" w:hAnsi="宋体" w:cs="宋体"/>
          <w:bCs/>
          <w:color w:val="auto"/>
          <w:szCs w:val="21"/>
          <w:highlight w:val="none"/>
        </w:rPr>
      </w:pP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年__月__日</w:t>
      </w:r>
    </w:p>
    <w:p w14:paraId="52243C70">
      <w:pPr>
        <w:adjustRightInd w:val="0"/>
        <w:snapToGrid w:val="0"/>
        <w:spacing w:line="360" w:lineRule="auto"/>
        <w:rPr>
          <w:rFonts w:hint="eastAsia" w:ascii="宋体" w:hAnsi="宋体" w:cs="宋体"/>
          <w:bCs/>
          <w:color w:val="auto"/>
          <w:szCs w:val="21"/>
          <w:highlight w:val="none"/>
        </w:rPr>
      </w:pPr>
    </w:p>
    <w:p w14:paraId="6482D6AF">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机构代码：</w:t>
      </w:r>
    </w:p>
    <w:p w14:paraId="1939BE68">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注册登记机构：</w:t>
      </w:r>
    </w:p>
    <w:p w14:paraId="4F126803">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日期：</w:t>
      </w:r>
    </w:p>
    <w:p w14:paraId="539F61DE">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有效期：</w:t>
      </w:r>
    </w:p>
    <w:p w14:paraId="39E89D68">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注册资本：</w:t>
      </w:r>
    </w:p>
    <w:p w14:paraId="51048EFE">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地址：</w:t>
      </w:r>
    </w:p>
    <w:p w14:paraId="533C7933">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经济行业：</w:t>
      </w:r>
    </w:p>
    <w:p w14:paraId="2F952D15">
      <w:pPr>
        <w:adjustRightInd w:val="0"/>
        <w:snapToGrid w:val="0"/>
        <w:spacing w:line="360" w:lineRule="auto"/>
        <w:rPr>
          <w:rFonts w:hint="eastAsia" w:ascii="宋体" w:hAnsi="宋体" w:cs="宋体"/>
          <w:color w:val="auto"/>
          <w:highlight w:val="none"/>
        </w:rPr>
      </w:pPr>
      <w:r>
        <w:rPr>
          <w:rFonts w:hint="eastAsia" w:ascii="宋体" w:hAnsi="宋体" w:cs="宋体"/>
          <w:bCs/>
          <w:color w:val="auto"/>
          <w:szCs w:val="21"/>
          <w:highlight w:val="none"/>
        </w:rPr>
        <w:t>经济性质：</w:t>
      </w:r>
    </w:p>
    <w:p w14:paraId="076EF9CE">
      <w:pPr>
        <w:adjustRightInd w:val="0"/>
        <w:snapToGrid w:val="0"/>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法定代表人(负责人)姓名(签字)、身份证号、手机号:</w:t>
      </w:r>
    </w:p>
    <w:p w14:paraId="7729B476">
      <w:pPr>
        <w:adjustRightInd w:val="0"/>
        <w:snapToGrid w:val="0"/>
        <w:spacing w:before="50" w:line="360" w:lineRule="auto"/>
        <w:rPr>
          <w:rFonts w:hint="eastAsia" w:ascii="宋体" w:hAnsi="宋体" w:cs="宋体"/>
          <w:bCs/>
          <w:color w:val="auto"/>
          <w:szCs w:val="21"/>
          <w:highlight w:val="none"/>
        </w:rPr>
      </w:pPr>
      <w:r>
        <w:rPr>
          <w:rFonts w:hint="eastAsia" w:ascii="宋体" w:hAnsi="宋体" w:cs="宋体"/>
          <w:bCs/>
          <w:color w:val="auto"/>
          <w:szCs w:val="21"/>
          <w:highlight w:val="none"/>
        </w:rPr>
        <w:t>授权代表人姓名(签字)、身份证号、手机号:</w:t>
      </w:r>
    </w:p>
    <w:p w14:paraId="23BCB2BC">
      <w:pPr>
        <w:adjustRightInd w:val="0"/>
        <w:snapToGrid w:val="0"/>
        <w:spacing w:before="50" w:line="360" w:lineRule="auto"/>
        <w:rPr>
          <w:rFonts w:hint="eastAsia" w:ascii="宋体" w:hAnsi="宋体" w:cs="宋体"/>
          <w:bCs/>
          <w:color w:val="auto"/>
          <w:szCs w:val="21"/>
          <w:highlight w:val="none"/>
        </w:rPr>
      </w:pPr>
      <w:r>
        <w:rPr>
          <w:rFonts w:hint="eastAsia" w:ascii="宋体" w:hAnsi="宋体" w:cs="宋体"/>
          <w:b/>
          <w:color w:val="auto"/>
          <w:sz w:val="32"/>
          <w:szCs w:val="32"/>
          <w:highlight w:val="none"/>
        </w:rPr>
        <w:br w:type="page"/>
      </w:r>
    </w:p>
    <w:p w14:paraId="12F3ED6C">
      <w:pPr>
        <w:pStyle w:val="10"/>
        <w:tabs>
          <w:tab w:val="left" w:pos="1890"/>
        </w:tabs>
        <w:adjustRightInd w:val="0"/>
        <w:snapToGrid w:val="0"/>
        <w:spacing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10-1中小企业货物清单表</w:t>
      </w:r>
    </w:p>
    <w:p w14:paraId="4B618E02">
      <w:pPr>
        <w:adjustRightInd w:val="0"/>
        <w:snapToGrid w:val="0"/>
        <w:spacing w:before="159" w:beforeLines="50" w:line="360" w:lineRule="auto"/>
        <w:jc w:val="left"/>
        <w:rPr>
          <w:rFonts w:hint="eastAsia" w:ascii="宋体" w:hAnsi="宋体" w:eastAsia="宋体" w:cs="宋体"/>
          <w:color w:val="auto"/>
          <w:sz w:val="21"/>
          <w:szCs w:val="21"/>
          <w:highlight w:val="none"/>
        </w:rPr>
      </w:pPr>
    </w:p>
    <w:p w14:paraId="4ED11157">
      <w:pPr>
        <w:adjustRightInd w:val="0"/>
        <w:snapToGrid w:val="0"/>
        <w:spacing w:before="5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价格评审优惠货物清单</w:t>
      </w:r>
    </w:p>
    <w:p w14:paraId="1F878A99">
      <w:pPr>
        <w:adjustRightInd w:val="0"/>
        <w:snapToGrid w:val="0"/>
        <w:spacing w:before="5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采购代理编号：__________                       项目名称：__________ </w:t>
      </w:r>
    </w:p>
    <w:p w14:paraId="4DACAA7A">
      <w:pPr>
        <w:adjustRightInd w:val="0"/>
        <w:snapToGrid w:val="0"/>
        <w:spacing w:before="5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包       号：__________                        包名称：__________ </w:t>
      </w:r>
    </w:p>
    <w:tbl>
      <w:tblPr>
        <w:tblStyle w:val="18"/>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86"/>
        <w:gridCol w:w="1098"/>
        <w:gridCol w:w="1098"/>
        <w:gridCol w:w="1098"/>
        <w:gridCol w:w="1648"/>
        <w:gridCol w:w="1786"/>
        <w:gridCol w:w="1108"/>
      </w:tblGrid>
      <w:tr w14:paraId="52E4C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5000" w:type="pct"/>
            <w:gridSpan w:val="7"/>
            <w:vAlign w:val="center"/>
          </w:tcPr>
          <w:p w14:paraId="15E12D9C">
            <w:pPr>
              <w:keepNext w:val="0"/>
              <w:keepLines w:val="0"/>
              <w:widowControl/>
              <w:suppressLineNumbers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以下为供应商提供的享受价格评审优惠的货物，供应商对本表的真实性负责。如有虚假，将依法承担相应责任。</w:t>
            </w:r>
          </w:p>
        </w:tc>
      </w:tr>
      <w:tr w14:paraId="3D4FAC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403" w:type="pct"/>
            <w:vAlign w:val="center"/>
          </w:tcPr>
          <w:p w14:paraId="124212AA">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644" w:type="pct"/>
            <w:vAlign w:val="center"/>
          </w:tcPr>
          <w:p w14:paraId="30A0366F">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644" w:type="pct"/>
            <w:tcBorders>
              <w:right w:val="single" w:color="auto" w:sz="4" w:space="0"/>
            </w:tcBorders>
            <w:vAlign w:val="center"/>
          </w:tcPr>
          <w:p w14:paraId="10A5F33F">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644" w:type="pct"/>
            <w:tcBorders>
              <w:left w:val="single" w:color="auto" w:sz="4" w:space="0"/>
            </w:tcBorders>
            <w:vAlign w:val="center"/>
          </w:tcPr>
          <w:p w14:paraId="30ABEBA2">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967" w:type="pct"/>
            <w:vAlign w:val="center"/>
          </w:tcPr>
          <w:p w14:paraId="1A57169E">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048" w:type="pct"/>
            <w:vAlign w:val="center"/>
          </w:tcPr>
          <w:p w14:paraId="141C0FF9">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646" w:type="pct"/>
            <w:vAlign w:val="center"/>
          </w:tcPr>
          <w:p w14:paraId="31C070F3">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r>
      <w:tr w14:paraId="218A44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403" w:type="pct"/>
            <w:vAlign w:val="center"/>
          </w:tcPr>
          <w:p w14:paraId="226BBCF8">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644" w:type="pct"/>
            <w:vAlign w:val="center"/>
          </w:tcPr>
          <w:p w14:paraId="5D814D0A">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货物名称</w:t>
            </w:r>
          </w:p>
        </w:tc>
        <w:tc>
          <w:tcPr>
            <w:tcW w:w="644" w:type="pct"/>
            <w:tcBorders>
              <w:right w:val="single" w:color="auto" w:sz="4" w:space="0"/>
            </w:tcBorders>
            <w:vAlign w:val="center"/>
          </w:tcPr>
          <w:p w14:paraId="0A7DEAA1">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规格型号</w:t>
            </w:r>
          </w:p>
        </w:tc>
        <w:tc>
          <w:tcPr>
            <w:tcW w:w="644" w:type="pct"/>
            <w:tcBorders>
              <w:left w:val="single" w:color="auto" w:sz="4" w:space="0"/>
            </w:tcBorders>
            <w:vAlign w:val="center"/>
          </w:tcPr>
          <w:p w14:paraId="6270C47A">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价格（元）</w:t>
            </w:r>
          </w:p>
        </w:tc>
        <w:tc>
          <w:tcPr>
            <w:tcW w:w="967" w:type="pct"/>
            <w:vAlign w:val="center"/>
          </w:tcPr>
          <w:p w14:paraId="6DE94A09">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货物制造商名称</w:t>
            </w:r>
          </w:p>
        </w:tc>
        <w:tc>
          <w:tcPr>
            <w:tcW w:w="1048" w:type="pct"/>
            <w:vAlign w:val="center"/>
          </w:tcPr>
          <w:p w14:paraId="50EA62CA">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货物制造商类型</w:t>
            </w:r>
          </w:p>
        </w:tc>
        <w:tc>
          <w:tcPr>
            <w:tcW w:w="646" w:type="pct"/>
            <w:vAlign w:val="center"/>
          </w:tcPr>
          <w:p w14:paraId="58FF3FE2">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商标名称</w:t>
            </w:r>
          </w:p>
        </w:tc>
      </w:tr>
      <w:tr w14:paraId="3EEE6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2FD53E38">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vAlign w:val="center"/>
          </w:tcPr>
          <w:p w14:paraId="7973233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right w:val="single" w:color="auto" w:sz="4" w:space="0"/>
            </w:tcBorders>
            <w:vAlign w:val="center"/>
          </w:tcPr>
          <w:p w14:paraId="7C3740B9">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21CCAEC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13E2B9F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048" w:type="pct"/>
          </w:tcPr>
          <w:p w14:paraId="5787DC0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6" w:type="pct"/>
            <w:vAlign w:val="center"/>
          </w:tcPr>
          <w:p w14:paraId="48661DF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r>
      <w:tr w14:paraId="10C62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64F2E2A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vAlign w:val="center"/>
          </w:tcPr>
          <w:p w14:paraId="1687295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right w:val="single" w:color="auto" w:sz="4" w:space="0"/>
            </w:tcBorders>
            <w:vAlign w:val="center"/>
          </w:tcPr>
          <w:p w14:paraId="7AB9A36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72907D18">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56A1501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048" w:type="pct"/>
          </w:tcPr>
          <w:p w14:paraId="5EA9028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6" w:type="pct"/>
            <w:vAlign w:val="center"/>
          </w:tcPr>
          <w:p w14:paraId="2D2AD8DF">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r>
      <w:tr w14:paraId="19840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6D149899">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vAlign w:val="center"/>
          </w:tcPr>
          <w:p w14:paraId="7DD0040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right w:val="single" w:color="auto" w:sz="4" w:space="0"/>
            </w:tcBorders>
            <w:vAlign w:val="center"/>
          </w:tcPr>
          <w:p w14:paraId="108EFC1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6A3EF51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17709C9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048" w:type="pct"/>
          </w:tcPr>
          <w:p w14:paraId="3640D62F">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6" w:type="pct"/>
            <w:vAlign w:val="center"/>
          </w:tcPr>
          <w:p w14:paraId="0B2D65F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r>
      <w:tr w14:paraId="7545B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168717B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vAlign w:val="center"/>
          </w:tcPr>
          <w:p w14:paraId="6A6E4879">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right w:val="single" w:color="auto" w:sz="4" w:space="0"/>
            </w:tcBorders>
            <w:vAlign w:val="center"/>
          </w:tcPr>
          <w:p w14:paraId="5B00A87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055EE364">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3728480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048" w:type="pct"/>
          </w:tcPr>
          <w:p w14:paraId="3AA53AE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6" w:type="pct"/>
            <w:vAlign w:val="center"/>
          </w:tcPr>
          <w:p w14:paraId="4D948DD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r>
      <w:tr w14:paraId="6AE145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1DD4139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vAlign w:val="center"/>
          </w:tcPr>
          <w:p w14:paraId="38189C0F">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right w:val="single" w:color="auto" w:sz="4" w:space="0"/>
            </w:tcBorders>
            <w:vAlign w:val="center"/>
          </w:tcPr>
          <w:p w14:paraId="72C5A4A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4B820A0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25381601">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1048" w:type="pct"/>
          </w:tcPr>
          <w:p w14:paraId="5D18A8D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6" w:type="pct"/>
            <w:vAlign w:val="center"/>
          </w:tcPr>
          <w:p w14:paraId="5A3FAA9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r>
      <w:tr w14:paraId="5E615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403" w:type="pct"/>
            <w:vAlign w:val="center"/>
          </w:tcPr>
          <w:p w14:paraId="254FF187">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644" w:type="pct"/>
            <w:vAlign w:val="center"/>
          </w:tcPr>
          <w:p w14:paraId="4A89B46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p>
        </w:tc>
        <w:tc>
          <w:tcPr>
            <w:tcW w:w="644" w:type="pct"/>
            <w:tcBorders>
              <w:right w:val="single" w:color="auto" w:sz="4" w:space="0"/>
            </w:tcBorders>
            <w:vAlign w:val="center"/>
          </w:tcPr>
          <w:p w14:paraId="50555DA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644" w:type="pct"/>
            <w:tcBorders>
              <w:left w:val="single" w:color="auto" w:sz="4" w:space="0"/>
            </w:tcBorders>
            <w:vAlign w:val="center"/>
          </w:tcPr>
          <w:p w14:paraId="5D072817">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p>
        </w:tc>
        <w:tc>
          <w:tcPr>
            <w:tcW w:w="967" w:type="pct"/>
            <w:vAlign w:val="center"/>
          </w:tcPr>
          <w:p w14:paraId="12CB9DF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p>
        </w:tc>
        <w:tc>
          <w:tcPr>
            <w:tcW w:w="1048" w:type="pct"/>
            <w:vAlign w:val="center"/>
          </w:tcPr>
          <w:p w14:paraId="708AA622">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p>
        </w:tc>
        <w:tc>
          <w:tcPr>
            <w:tcW w:w="646" w:type="pct"/>
            <w:vAlign w:val="center"/>
          </w:tcPr>
          <w:p w14:paraId="67537E0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w:t>
            </w:r>
          </w:p>
        </w:tc>
      </w:tr>
    </w:tbl>
    <w:p w14:paraId="1A269644">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1、本清单用于计算政府采购价格评审优惠应享受的政府采购政策价格扣除。提供附件10-1、附件10-2的，且提供的货物为小型、微型企业制造的，包括视同小型、微型企业，享受评审中价格扣除的监狱企业、残疾人福利性单位制造的货物。货物制造商类型填写小型、微型企业或监狱企业或残疾人福利性单位。</w:t>
      </w:r>
    </w:p>
    <w:p w14:paraId="7917C61C">
      <w:pPr>
        <w:adjustRightInd w:val="0"/>
        <w:snapToGrid w:val="0"/>
        <w:spacing w:line="360" w:lineRule="auto"/>
        <w:ind w:firstLine="630" w:firstLineChars="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2、栏目4“价格”为综合单价，包含该货物所有隐含的内容，如运输费、保险费、安装调试费、管理费和利润等。</w:t>
      </w:r>
    </w:p>
    <w:p w14:paraId="32135317">
      <w:pPr>
        <w:adjustRightInd w:val="0"/>
        <w:snapToGrid w:val="0"/>
        <w:spacing w:line="360" w:lineRule="auto"/>
        <w:ind w:firstLine="630" w:firstLineChars="3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Cs/>
          <w:color w:val="auto"/>
          <w:sz w:val="21"/>
          <w:szCs w:val="21"/>
          <w:highlight w:val="none"/>
        </w:rPr>
        <w:t>供应商在投标截止时间前修改“开标一览表”中的投标报价的，应按第二章第</w:t>
      </w:r>
      <w:r>
        <w:rPr>
          <w:rFonts w:hint="eastAsia" w:ascii="宋体" w:hAnsi="宋体" w:cs="宋体"/>
          <w:bCs/>
          <w:color w:val="auto"/>
          <w:sz w:val="21"/>
          <w:szCs w:val="21"/>
          <w:highlight w:val="none"/>
          <w:lang w:val="en-US" w:eastAsia="zh-CN"/>
        </w:rPr>
        <w:t>15.2</w:t>
      </w:r>
      <w:r>
        <w:rPr>
          <w:rFonts w:hint="eastAsia" w:ascii="宋体" w:hAnsi="宋体" w:eastAsia="宋体" w:cs="宋体"/>
          <w:bCs/>
          <w:color w:val="auto"/>
          <w:sz w:val="21"/>
          <w:szCs w:val="21"/>
          <w:highlight w:val="none"/>
        </w:rPr>
        <w:t>款规定修改本表相应内容。否则，评审时涉及本表所有优惠不予以考虑。</w:t>
      </w:r>
    </w:p>
    <w:p w14:paraId="1E40B585">
      <w:pPr>
        <w:adjustRightInd w:val="0"/>
        <w:snapToGrid w:val="0"/>
        <w:spacing w:line="360" w:lineRule="auto"/>
        <w:ind w:firstLine="630" w:firstLineChars="300"/>
        <w:rPr>
          <w:rFonts w:hint="eastAsia" w:ascii="宋体" w:hAnsi="宋体" w:eastAsia="宋体" w:cs="宋体"/>
          <w:color w:val="auto"/>
          <w:sz w:val="21"/>
          <w:szCs w:val="21"/>
          <w:highlight w:val="none"/>
        </w:rPr>
      </w:pPr>
    </w:p>
    <w:p w14:paraId="1497AD47">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供应商名称（盖章）：</w:t>
      </w:r>
    </w:p>
    <w:p w14:paraId="290F806A">
      <w:pPr>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pacing w:val="-2"/>
          <w:kern w:val="0"/>
          <w:sz w:val="21"/>
          <w:szCs w:val="21"/>
          <w:highlight w:val="none"/>
        </w:rPr>
        <w:t>法</w:t>
      </w:r>
      <w:r>
        <w:rPr>
          <w:rFonts w:hint="eastAsia" w:ascii="宋体" w:hAnsi="宋体" w:eastAsia="宋体" w:cs="宋体"/>
          <w:color w:val="auto"/>
          <w:kern w:val="0"/>
          <w:sz w:val="21"/>
          <w:szCs w:val="21"/>
          <w:highlight w:val="none"/>
        </w:rPr>
        <w:t>定</w:t>
      </w:r>
      <w:r>
        <w:rPr>
          <w:rFonts w:hint="eastAsia" w:ascii="宋体" w:hAnsi="宋体" w:eastAsia="宋体" w:cs="宋体"/>
          <w:color w:val="auto"/>
          <w:spacing w:val="-2"/>
          <w:kern w:val="0"/>
          <w:sz w:val="21"/>
          <w:szCs w:val="21"/>
          <w:highlight w:val="none"/>
        </w:rPr>
        <w:t>代</w:t>
      </w:r>
      <w:r>
        <w:rPr>
          <w:rFonts w:hint="eastAsia" w:ascii="宋体" w:hAnsi="宋体" w:eastAsia="宋体" w:cs="宋体"/>
          <w:color w:val="auto"/>
          <w:kern w:val="0"/>
          <w:sz w:val="21"/>
          <w:szCs w:val="21"/>
          <w:highlight w:val="none"/>
        </w:rPr>
        <w:t>表</w:t>
      </w:r>
      <w:r>
        <w:rPr>
          <w:rFonts w:hint="eastAsia" w:ascii="宋体" w:hAnsi="宋体" w:eastAsia="宋体" w:cs="宋体"/>
          <w:color w:val="auto"/>
          <w:spacing w:val="-2"/>
          <w:kern w:val="0"/>
          <w:sz w:val="21"/>
          <w:szCs w:val="21"/>
          <w:highlight w:val="none"/>
        </w:rPr>
        <w:t>人</w:t>
      </w:r>
      <w:r>
        <w:rPr>
          <w:rFonts w:hint="eastAsia" w:ascii="宋体" w:hAnsi="宋体" w:eastAsia="宋体" w:cs="宋体"/>
          <w:color w:val="auto"/>
          <w:kern w:val="0"/>
          <w:sz w:val="21"/>
          <w:szCs w:val="21"/>
          <w:highlight w:val="none"/>
        </w:rPr>
        <w:t>（</w:t>
      </w:r>
      <w:r>
        <w:rPr>
          <w:rFonts w:hint="eastAsia" w:ascii="宋体" w:hAnsi="宋体" w:eastAsia="宋体" w:cs="宋体"/>
          <w:color w:val="auto"/>
          <w:spacing w:val="-2"/>
          <w:kern w:val="0"/>
          <w:sz w:val="21"/>
          <w:szCs w:val="21"/>
          <w:highlight w:val="none"/>
        </w:rPr>
        <w:t>单</w:t>
      </w:r>
      <w:r>
        <w:rPr>
          <w:rFonts w:hint="eastAsia" w:ascii="宋体" w:hAnsi="宋体" w:eastAsia="宋体" w:cs="宋体"/>
          <w:color w:val="auto"/>
          <w:kern w:val="0"/>
          <w:sz w:val="21"/>
          <w:szCs w:val="21"/>
          <w:highlight w:val="none"/>
        </w:rPr>
        <w:t>位</w:t>
      </w:r>
      <w:r>
        <w:rPr>
          <w:rFonts w:hint="eastAsia" w:ascii="宋体" w:hAnsi="宋体" w:eastAsia="宋体" w:cs="宋体"/>
          <w:color w:val="auto"/>
          <w:spacing w:val="-2"/>
          <w:kern w:val="0"/>
          <w:sz w:val="21"/>
          <w:szCs w:val="21"/>
          <w:highlight w:val="none"/>
        </w:rPr>
        <w:t>负</w:t>
      </w:r>
      <w:r>
        <w:rPr>
          <w:rFonts w:hint="eastAsia" w:ascii="宋体" w:hAnsi="宋体" w:eastAsia="宋体" w:cs="宋体"/>
          <w:color w:val="auto"/>
          <w:kern w:val="0"/>
          <w:sz w:val="21"/>
          <w:szCs w:val="21"/>
          <w:highlight w:val="none"/>
        </w:rPr>
        <w:t>责人</w:t>
      </w:r>
      <w:r>
        <w:rPr>
          <w:rFonts w:hint="eastAsia" w:ascii="宋体" w:hAnsi="宋体" w:eastAsia="宋体" w:cs="宋体"/>
          <w:color w:val="auto"/>
          <w:spacing w:val="-2"/>
          <w:kern w:val="0"/>
          <w:sz w:val="21"/>
          <w:szCs w:val="21"/>
          <w:highlight w:val="none"/>
        </w:rPr>
        <w:t>）</w:t>
      </w:r>
      <w:r>
        <w:rPr>
          <w:rFonts w:hint="eastAsia" w:ascii="宋体" w:hAnsi="宋体" w:eastAsia="宋体" w:cs="宋体"/>
          <w:color w:val="auto"/>
          <w:sz w:val="21"/>
          <w:szCs w:val="21"/>
          <w:highlight w:val="none"/>
        </w:rPr>
        <w:t>或其委托代理人（电子签字或电子印章）：</w:t>
      </w:r>
      <w:r>
        <w:rPr>
          <w:rFonts w:hint="eastAsia" w:ascii="宋体" w:hAnsi="宋体" w:eastAsia="宋体" w:cs="宋体"/>
          <w:color w:val="auto"/>
          <w:sz w:val="21"/>
          <w:szCs w:val="21"/>
          <w:highlight w:val="none"/>
          <w:u w:val="single"/>
        </w:rPr>
        <w:t xml:space="preserve">       </w:t>
      </w:r>
    </w:p>
    <w:p w14:paraId="213DD0DC">
      <w:pPr>
        <w:tabs>
          <w:tab w:val="left" w:pos="1890"/>
        </w:tabs>
        <w:adjustRightInd w:val="0"/>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91BD748">
      <w:pPr>
        <w:tabs>
          <w:tab w:val="left" w:pos="1890"/>
        </w:tabs>
        <w:adjustRightInd w:val="0"/>
        <w:snapToGrid w:val="0"/>
        <w:rPr>
          <w:rFonts w:hint="eastAsia" w:ascii="宋体" w:hAnsi="宋体" w:eastAsia="宋体" w:cs="宋体"/>
          <w:color w:val="auto"/>
          <w:sz w:val="21"/>
          <w:szCs w:val="21"/>
          <w:highlight w:val="none"/>
        </w:rPr>
      </w:pPr>
    </w:p>
    <w:p w14:paraId="7BB3F72F">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243E3B4C">
      <w:pPr>
        <w:tabs>
          <w:tab w:val="left" w:pos="1890"/>
        </w:tabs>
        <w:adjustRightInd w:val="0"/>
        <w:snapToGrid w:val="0"/>
        <w:rPr>
          <w:rFonts w:hint="eastAsia" w:ascii="宋体" w:hAnsi="宋体" w:cs="宋体"/>
          <w:color w:val="auto"/>
          <w:sz w:val="21"/>
          <w:szCs w:val="21"/>
          <w:highlight w:val="none"/>
        </w:rPr>
      </w:pPr>
    </w:p>
    <w:p w14:paraId="713D2768">
      <w:pPr>
        <w:adjustRightInd w:val="0"/>
        <w:snapToGrid w:val="0"/>
        <w:spacing w:line="360" w:lineRule="auto"/>
        <w:jc w:val="center"/>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残疾人福利性单位声明函</w:t>
      </w:r>
    </w:p>
    <w:p w14:paraId="4D40DCD3">
      <w:pPr>
        <w:adjustRightInd w:val="0"/>
        <w:snapToGrid w:val="0"/>
        <w:spacing w:line="360" w:lineRule="auto"/>
        <w:ind w:firstLine="1365" w:firstLineChars="650"/>
        <w:rPr>
          <w:rFonts w:hint="eastAsia" w:ascii="宋体" w:hAnsi="宋体" w:cs="宋体"/>
          <w:bCs/>
          <w:color w:val="auto"/>
          <w:sz w:val="21"/>
          <w:szCs w:val="21"/>
          <w:highlight w:val="none"/>
        </w:rPr>
      </w:pPr>
      <w:r>
        <w:rPr>
          <w:rFonts w:hint="eastAsia" w:ascii="宋体" w:hAnsi="宋体" w:cs="宋体"/>
          <w:bCs/>
          <w:color w:val="auto"/>
          <w:sz w:val="21"/>
          <w:szCs w:val="21"/>
          <w:highlight w:val="none"/>
        </w:rPr>
        <w:t>【不属于残疾人福利性单位的无需填写】</w:t>
      </w:r>
    </w:p>
    <w:p w14:paraId="487BF8A0">
      <w:pPr>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本单位郑重声明，根据《财政部 民政部 中国残疾人联合会关于促进残疾人就业政府政府采购政策的通知》(财库﹝2017﹞141号）的规定，本单位为符合条件的残疾人福利性单位，且本单位参与 单位的 项目采购活动提供本单位制造的货物（由本单位承担工程/提供服务），或者提供其他残疾人福利性单位制造的货物（不包括使用非残疾人福利性单位注册商标的货物）。</w:t>
      </w:r>
    </w:p>
    <w:p w14:paraId="287C6DDE">
      <w:pPr>
        <w:adjustRightInd w:val="0"/>
        <w:snapToGrid w:val="0"/>
        <w:spacing w:line="360" w:lineRule="auto"/>
        <w:ind w:firstLine="420" w:firstLineChars="200"/>
        <w:rPr>
          <w:rFonts w:hint="eastAsia" w:ascii="宋体" w:hAnsi="宋体" w:cs="宋体"/>
          <w:bCs/>
          <w:color w:val="auto"/>
          <w:sz w:val="21"/>
          <w:szCs w:val="21"/>
          <w:highlight w:val="none"/>
        </w:rPr>
      </w:pPr>
    </w:p>
    <w:p w14:paraId="707117AA">
      <w:pPr>
        <w:adjustRightInd w:val="0"/>
        <w:snapToGrid w:val="0"/>
        <w:spacing w:line="360" w:lineRule="auto"/>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本单位对上述声明的真实性负责。如有虚假，将依法承担相应责任。</w:t>
      </w:r>
    </w:p>
    <w:p w14:paraId="7573B361">
      <w:pPr>
        <w:adjustRightInd w:val="0"/>
        <w:snapToGrid w:val="0"/>
        <w:spacing w:line="360" w:lineRule="auto"/>
        <w:ind w:firstLine="420" w:firstLineChars="200"/>
        <w:rPr>
          <w:rFonts w:hint="eastAsia" w:ascii="宋体" w:hAnsi="宋体" w:cs="宋体"/>
          <w:bCs/>
          <w:color w:val="auto"/>
          <w:sz w:val="21"/>
          <w:szCs w:val="21"/>
          <w:highlight w:val="none"/>
        </w:rPr>
      </w:pPr>
    </w:p>
    <w:p w14:paraId="704E14B2">
      <w:pPr>
        <w:adjustRightInd w:val="0"/>
        <w:snapToGrid w:val="0"/>
        <w:spacing w:line="360" w:lineRule="auto"/>
        <w:ind w:firstLine="420" w:firstLineChars="200"/>
        <w:rPr>
          <w:rFonts w:hint="eastAsia" w:ascii="宋体" w:hAnsi="宋体" w:cs="宋体"/>
          <w:bCs/>
          <w:color w:val="auto"/>
          <w:sz w:val="21"/>
          <w:szCs w:val="21"/>
          <w:highlight w:val="none"/>
        </w:rPr>
      </w:pPr>
    </w:p>
    <w:p w14:paraId="26DBCB16">
      <w:pPr>
        <w:adjustRightInd w:val="0"/>
        <w:snapToGrid w:val="0"/>
        <w:spacing w:line="360" w:lineRule="auto"/>
        <w:ind w:firstLine="420" w:firstLineChars="200"/>
        <w:jc w:val="right"/>
        <w:rPr>
          <w:rFonts w:hint="eastAsia" w:ascii="宋体" w:hAnsi="宋体" w:cs="宋体"/>
          <w:bCs/>
          <w:color w:val="auto"/>
          <w:sz w:val="21"/>
          <w:szCs w:val="21"/>
          <w:highlight w:val="none"/>
        </w:rPr>
      </w:pPr>
    </w:p>
    <w:p w14:paraId="6CB72ACF">
      <w:pPr>
        <w:adjustRightInd w:val="0"/>
        <w:snapToGrid w:val="0"/>
        <w:spacing w:line="360" w:lineRule="auto"/>
        <w:ind w:firstLine="420" w:firstLineChars="200"/>
        <w:jc w:val="right"/>
        <w:rPr>
          <w:rFonts w:hint="eastAsia" w:ascii="宋体" w:hAnsi="宋体" w:cs="宋体"/>
          <w:bCs/>
          <w:color w:val="auto"/>
          <w:sz w:val="21"/>
          <w:szCs w:val="21"/>
          <w:highlight w:val="none"/>
        </w:rPr>
      </w:pPr>
    </w:p>
    <w:p w14:paraId="424BF52D">
      <w:pPr>
        <w:adjustRightInd w:val="0"/>
        <w:snapToGrid w:val="0"/>
        <w:spacing w:line="360" w:lineRule="auto"/>
        <w:ind w:firstLine="420" w:firstLineChars="200"/>
        <w:jc w:val="right"/>
        <w:rPr>
          <w:rFonts w:hint="eastAsia" w:ascii="宋体" w:hAnsi="宋体" w:cs="宋体"/>
          <w:bCs/>
          <w:color w:val="auto"/>
          <w:sz w:val="21"/>
          <w:szCs w:val="21"/>
          <w:highlight w:val="none"/>
        </w:rPr>
      </w:pPr>
      <w:r>
        <w:rPr>
          <w:rFonts w:hint="eastAsia" w:ascii="宋体" w:hAnsi="宋体" w:cs="宋体"/>
          <w:bCs/>
          <w:color w:val="auto"/>
          <w:sz w:val="21"/>
          <w:szCs w:val="21"/>
          <w:highlight w:val="none"/>
        </w:rPr>
        <w:t>供应商名称（盖单位章）：</w:t>
      </w:r>
    </w:p>
    <w:p w14:paraId="317F8553">
      <w:pPr>
        <w:adjustRightInd w:val="0"/>
        <w:snapToGrid w:val="0"/>
        <w:spacing w:line="360" w:lineRule="auto"/>
        <w:ind w:firstLine="420" w:firstLineChars="200"/>
        <w:jc w:val="right"/>
        <w:rPr>
          <w:rFonts w:hint="eastAsia" w:ascii="宋体" w:hAnsi="宋体" w:cs="宋体"/>
          <w:b/>
          <w:bCs/>
          <w:color w:val="auto"/>
          <w:sz w:val="21"/>
          <w:szCs w:val="21"/>
          <w:highlight w:val="none"/>
        </w:rPr>
      </w:pPr>
      <w:r>
        <w:rPr>
          <w:rFonts w:hint="eastAsia" w:ascii="宋体" w:hAnsi="宋体" w:cs="宋体"/>
          <w:bCs/>
          <w:color w:val="auto"/>
          <w:sz w:val="21"/>
          <w:szCs w:val="21"/>
          <w:highlight w:val="none"/>
        </w:rPr>
        <w:t>日    期：</w:t>
      </w:r>
    </w:p>
    <w:p w14:paraId="5DC3990E">
      <w:pP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7EE3FE03">
      <w:pPr>
        <w:pStyle w:val="5"/>
        <w:rPr>
          <w:rFonts w:hint="eastAsia" w:ascii="宋体" w:hAnsi="宋体" w:cs="宋体"/>
          <w:color w:val="auto"/>
          <w:sz w:val="21"/>
          <w:szCs w:val="21"/>
          <w:highlight w:val="none"/>
        </w:rPr>
      </w:pPr>
    </w:p>
    <w:p w14:paraId="6F57FDD1">
      <w:pPr>
        <w:adjustRightInd w:val="0"/>
        <w:snapToGrid w:val="0"/>
        <w:spacing w:before="50" w:line="360" w:lineRule="auto"/>
        <w:jc w:val="center"/>
        <w:rPr>
          <w:rFonts w:hint="eastAsia" w:ascii="宋体" w:hAnsi="宋体" w:cs="宋体"/>
          <w:color w:val="auto"/>
          <w:sz w:val="21"/>
          <w:szCs w:val="21"/>
          <w:highlight w:val="none"/>
        </w:rPr>
      </w:pPr>
      <w:r>
        <w:rPr>
          <w:rFonts w:hint="eastAsia" w:ascii="宋体" w:hAnsi="宋体" w:cs="宋体"/>
          <w:b/>
          <w:bCs/>
          <w:color w:val="auto"/>
          <w:sz w:val="21"/>
          <w:szCs w:val="21"/>
          <w:highlight w:val="none"/>
        </w:rPr>
        <w:t>监狱企业证明资料</w:t>
      </w:r>
    </w:p>
    <w:p w14:paraId="3F5D4115">
      <w:pPr>
        <w:adjustRightInd w:val="0"/>
        <w:snapToGrid w:val="0"/>
        <w:spacing w:line="360" w:lineRule="auto"/>
        <w:jc w:val="center"/>
        <w:rPr>
          <w:rFonts w:hint="eastAsia" w:ascii="宋体" w:hAnsi="宋体" w:cs="宋体"/>
          <w:bCs/>
          <w:color w:val="auto"/>
          <w:sz w:val="21"/>
          <w:szCs w:val="21"/>
          <w:highlight w:val="none"/>
        </w:rPr>
      </w:pPr>
      <w:r>
        <w:rPr>
          <w:rFonts w:hint="eastAsia" w:ascii="宋体" w:hAnsi="宋体" w:cs="宋体"/>
          <w:bCs/>
          <w:color w:val="auto"/>
          <w:sz w:val="21"/>
          <w:szCs w:val="21"/>
          <w:highlight w:val="none"/>
        </w:rPr>
        <w:t>【不属于监狱企业的无需填写】</w:t>
      </w:r>
    </w:p>
    <w:p w14:paraId="797A91F0">
      <w:pPr>
        <w:adjustRightInd w:val="0"/>
        <w:snapToGrid w:val="0"/>
        <w:spacing w:line="360" w:lineRule="auto"/>
        <w:ind w:firstLine="630" w:firstLineChars="300"/>
        <w:rPr>
          <w:rFonts w:hint="eastAsia" w:ascii="宋体" w:hAnsi="宋体" w:cs="宋体"/>
          <w:color w:val="auto"/>
          <w:sz w:val="21"/>
          <w:szCs w:val="21"/>
          <w:highlight w:val="none"/>
        </w:rPr>
      </w:pPr>
      <w:r>
        <w:rPr>
          <w:rFonts w:hint="eastAsia" w:ascii="宋体" w:hAnsi="宋体" w:cs="宋体"/>
          <w:bCs/>
          <w:color w:val="auto"/>
          <w:sz w:val="21"/>
          <w:szCs w:val="21"/>
          <w:highlight w:val="none"/>
        </w:rPr>
        <w:t>说明：按《财政部 司法部关于政府采购支持监狱企业发展有关问题的通知》(财库﹝2014﹞68号）文件规定提供证明文件（复印件）。</w:t>
      </w:r>
    </w:p>
    <w:p w14:paraId="38258DE9">
      <w:pPr>
        <w:tabs>
          <w:tab w:val="left" w:pos="1890"/>
        </w:tabs>
        <w:adjustRightInd w:val="0"/>
        <w:snapToGrid w:val="0"/>
        <w:rPr>
          <w:rFonts w:hint="eastAsia" w:ascii="宋体" w:hAnsi="宋体" w:cs="宋体"/>
          <w:color w:val="auto"/>
          <w:sz w:val="21"/>
          <w:szCs w:val="21"/>
          <w:highlight w:val="none"/>
        </w:rPr>
      </w:pPr>
      <w:r>
        <w:rPr>
          <w:rFonts w:hint="eastAsia" w:ascii="宋体" w:hAnsi="宋体" w:cs="宋体"/>
          <w:color w:val="auto"/>
          <w:sz w:val="30"/>
          <w:szCs w:val="30"/>
          <w:highlight w:val="none"/>
        </w:rPr>
        <w:br w:type="page"/>
      </w:r>
      <w:r>
        <w:rPr>
          <w:rFonts w:hint="eastAsia" w:ascii="宋体" w:hAnsi="宋体" w:cs="宋体"/>
          <w:color w:val="auto"/>
          <w:sz w:val="21"/>
          <w:szCs w:val="21"/>
          <w:highlight w:val="none"/>
        </w:rPr>
        <w:t>附件10-2</w:t>
      </w:r>
    </w:p>
    <w:p w14:paraId="77D8A13A">
      <w:pPr>
        <w:tabs>
          <w:tab w:val="left" w:pos="1890"/>
        </w:tabs>
        <w:adjustRightInd w:val="0"/>
        <w:snapToGrid w:val="0"/>
        <w:spacing w:before="50" w:line="360" w:lineRule="auto"/>
        <w:jc w:val="center"/>
        <w:rPr>
          <w:rFonts w:hint="eastAsia" w:ascii="宋体" w:hAnsi="宋体" w:cs="宋体"/>
          <w:b/>
          <w:bCs/>
          <w:color w:val="auto"/>
          <w:sz w:val="24"/>
          <w:szCs w:val="24"/>
          <w:highlight w:val="none"/>
        </w:rPr>
      </w:pPr>
      <w:r>
        <w:rPr>
          <w:rFonts w:hint="eastAsia" w:ascii="宋体" w:hAnsi="宋体" w:cs="宋体"/>
          <w:b/>
          <w:color w:val="auto"/>
          <w:sz w:val="24"/>
          <w:szCs w:val="24"/>
          <w:highlight w:val="none"/>
        </w:rPr>
        <w:t>“节能</w:t>
      </w:r>
      <w:r>
        <w:rPr>
          <w:rFonts w:hint="eastAsia" w:ascii="宋体" w:hAnsi="宋体" w:cs="宋体"/>
          <w:b/>
          <w:bCs/>
          <w:color w:val="auto"/>
          <w:sz w:val="24"/>
          <w:szCs w:val="24"/>
          <w:highlight w:val="none"/>
        </w:rPr>
        <w:t>产品</w:t>
      </w:r>
      <w:r>
        <w:rPr>
          <w:rFonts w:hint="eastAsia" w:ascii="宋体" w:hAnsi="宋体" w:cs="宋体"/>
          <w:b/>
          <w:color w:val="auto"/>
          <w:sz w:val="24"/>
          <w:szCs w:val="24"/>
          <w:highlight w:val="none"/>
        </w:rPr>
        <w:t>”、“环境标志</w:t>
      </w:r>
      <w:r>
        <w:rPr>
          <w:rFonts w:hint="eastAsia" w:ascii="宋体" w:hAnsi="宋体" w:cs="宋体"/>
          <w:b/>
          <w:bCs/>
          <w:color w:val="auto"/>
          <w:sz w:val="24"/>
          <w:szCs w:val="24"/>
          <w:highlight w:val="none"/>
        </w:rPr>
        <w:t>产品</w:t>
      </w:r>
      <w:r>
        <w:rPr>
          <w:rFonts w:hint="eastAsia" w:ascii="宋体" w:hAnsi="宋体" w:cs="宋体"/>
          <w:b/>
          <w:color w:val="auto"/>
          <w:sz w:val="24"/>
          <w:szCs w:val="24"/>
          <w:highlight w:val="none"/>
        </w:rPr>
        <w:t>”证明材料</w:t>
      </w:r>
    </w:p>
    <w:p w14:paraId="0058AA88">
      <w:pPr>
        <w:tabs>
          <w:tab w:val="left" w:pos="1890"/>
        </w:tabs>
        <w:spacing w:line="480" w:lineRule="exact"/>
        <w:rPr>
          <w:rFonts w:hint="eastAsia" w:ascii="宋体" w:hAnsi="宋体" w:cs="宋体"/>
          <w:color w:val="auto"/>
          <w:sz w:val="21"/>
          <w:szCs w:val="21"/>
          <w:highlight w:val="none"/>
        </w:rPr>
      </w:pPr>
    </w:p>
    <w:p w14:paraId="7A5C752E">
      <w:pPr>
        <w:tabs>
          <w:tab w:val="left" w:pos="1890"/>
        </w:tabs>
        <w:adjustRightInd w:val="0"/>
        <w:snapToGrid w:val="0"/>
        <w:spacing w:line="360" w:lineRule="auto"/>
        <w:ind w:firstLine="525" w:firstLineChars="250"/>
        <w:rPr>
          <w:rFonts w:hint="eastAsia" w:ascii="宋体" w:hAnsi="宋体" w:cs="宋体"/>
          <w:color w:val="auto"/>
          <w:sz w:val="21"/>
          <w:szCs w:val="21"/>
          <w:highlight w:val="none"/>
        </w:rPr>
      </w:pPr>
      <w:r>
        <w:rPr>
          <w:rFonts w:hint="eastAsia" w:ascii="宋体" w:hAnsi="宋体" w:cs="宋体"/>
          <w:color w:val="auto"/>
          <w:sz w:val="21"/>
          <w:szCs w:val="21"/>
          <w:highlight w:val="none"/>
        </w:rPr>
        <w:t>1、供应商提供的产品属于下列情形，应按第二章磋商须知第2.8款、第9.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款规定提供相关证明材料(清单、认证证书或目录所在页复印件)。</w:t>
      </w:r>
    </w:p>
    <w:p w14:paraId="6B4C9AE1">
      <w:pPr>
        <w:tabs>
          <w:tab w:val="left" w:pos="1890"/>
        </w:tabs>
        <w:adjustRightInd w:val="0"/>
        <w:snapToGrid w:val="0"/>
        <w:spacing w:line="360" w:lineRule="auto"/>
        <w:ind w:firstLine="527" w:firstLineChars="250"/>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(1)符合政府采购强制采购政策的(《节能产品政府采购清单》中标记★符号节能产品及其他强制采购产品)；</w:t>
      </w:r>
    </w:p>
    <w:p w14:paraId="2FE18C42">
      <w:pPr>
        <w:tabs>
          <w:tab w:val="left" w:pos="1890"/>
        </w:tabs>
        <w:adjustRightInd w:val="0"/>
        <w:snapToGrid w:val="0"/>
        <w:spacing w:line="360" w:lineRule="auto"/>
        <w:ind w:firstLine="525" w:firstLineChars="250"/>
        <w:rPr>
          <w:rFonts w:hint="eastAsia" w:ascii="宋体" w:hAnsi="宋体" w:cs="宋体"/>
          <w:color w:val="auto"/>
          <w:sz w:val="21"/>
          <w:szCs w:val="21"/>
          <w:highlight w:val="none"/>
        </w:rPr>
      </w:pPr>
      <w:r>
        <w:rPr>
          <w:rFonts w:hint="eastAsia" w:ascii="宋体" w:hAnsi="宋体" w:cs="宋体"/>
          <w:color w:val="auto"/>
          <w:sz w:val="21"/>
          <w:szCs w:val="21"/>
          <w:highlight w:val="none"/>
        </w:rPr>
        <w:t xml:space="preserve">(2)符合政府采购优先采购政策的(《节能产品政府采购品目清单》范围内并获得国家确定的认证机构出具的、处于有效期之内的节能产品认证证书的节能产品、《环境标志产品政府采购品目清单》范围内并获得国家确定的认证机构出具的、处于有效期之内的环境标志产品认证证书的环境标志产品。   </w:t>
      </w:r>
    </w:p>
    <w:p w14:paraId="5A183E4E">
      <w:pPr>
        <w:tabs>
          <w:tab w:val="left" w:pos="1890"/>
        </w:tabs>
        <w:adjustRightInd w:val="0"/>
        <w:snapToGrid w:val="0"/>
        <w:spacing w:line="360" w:lineRule="auto"/>
        <w:ind w:firstLine="525" w:firstLineChars="250"/>
        <w:rPr>
          <w:rFonts w:hint="eastAsia" w:ascii="宋体" w:hAnsi="宋体" w:cs="宋体"/>
          <w:color w:val="auto"/>
          <w:sz w:val="21"/>
          <w:szCs w:val="21"/>
          <w:highlight w:val="none"/>
        </w:rPr>
      </w:pPr>
    </w:p>
    <w:p w14:paraId="031B4858">
      <w:pPr>
        <w:tabs>
          <w:tab w:val="left" w:pos="1890"/>
        </w:tabs>
        <w:adjustRightInd w:val="0"/>
        <w:snapToGrid w:val="0"/>
        <w:spacing w:line="360" w:lineRule="auto"/>
        <w:ind w:firstLine="525" w:firstLineChars="250"/>
        <w:rPr>
          <w:rFonts w:hint="eastAsia" w:ascii="宋体" w:hAnsi="宋体" w:cs="宋体"/>
          <w:color w:val="auto"/>
          <w:sz w:val="21"/>
          <w:szCs w:val="21"/>
          <w:highlight w:val="none"/>
        </w:rPr>
      </w:pPr>
      <w:bookmarkStart w:id="146" w:name="_Toc16063"/>
      <w:r>
        <w:rPr>
          <w:rFonts w:hint="eastAsia" w:ascii="宋体" w:hAnsi="宋体" w:cs="宋体"/>
          <w:color w:val="auto"/>
          <w:sz w:val="21"/>
          <w:szCs w:val="21"/>
          <w:highlight w:val="none"/>
        </w:rPr>
        <w:t>2、未按上述要求提供的，评审时不予以考虑。</w:t>
      </w:r>
      <w:bookmarkEnd w:id="146"/>
    </w:p>
    <w:p w14:paraId="07445C4A">
      <w:pPr>
        <w:tabs>
          <w:tab w:val="left" w:pos="1890"/>
        </w:tabs>
        <w:adjustRightInd w:val="0"/>
        <w:snapToGrid w:val="0"/>
        <w:spacing w:line="360" w:lineRule="auto"/>
        <w:ind w:firstLine="525" w:firstLineChars="250"/>
        <w:rPr>
          <w:rFonts w:hint="eastAsia" w:ascii="宋体" w:hAnsi="宋体" w:cs="宋体"/>
          <w:bCs/>
          <w:color w:val="auto"/>
          <w:sz w:val="21"/>
          <w:szCs w:val="21"/>
          <w:highlight w:val="none"/>
        </w:rPr>
      </w:pPr>
      <w:r>
        <w:rPr>
          <w:rFonts w:hint="eastAsia" w:ascii="宋体" w:hAnsi="宋体" w:cs="宋体"/>
          <w:color w:val="auto"/>
          <w:sz w:val="21"/>
          <w:szCs w:val="21"/>
          <w:highlight w:val="none"/>
        </w:rPr>
        <w:t>备注：（不符合条件的，不需要提供）</w:t>
      </w:r>
      <w:r>
        <w:rPr>
          <w:rFonts w:hint="eastAsia" w:ascii="宋体" w:hAnsi="宋体" w:cs="宋体"/>
          <w:bCs/>
          <w:color w:val="auto"/>
          <w:sz w:val="21"/>
          <w:szCs w:val="21"/>
          <w:highlight w:val="none"/>
        </w:rPr>
        <w:t>。</w:t>
      </w:r>
    </w:p>
    <w:p w14:paraId="33FD50C9">
      <w:pPr>
        <w:tabs>
          <w:tab w:val="left" w:pos="1890"/>
        </w:tabs>
        <w:adjustRightInd w:val="0"/>
        <w:snapToGrid w:val="0"/>
        <w:spacing w:before="50" w:line="360" w:lineRule="auto"/>
        <w:jc w:val="left"/>
        <w:rPr>
          <w:rFonts w:hint="eastAsia" w:ascii="宋体" w:hAnsi="宋体" w:eastAsia="宋体" w:cs="宋体"/>
          <w:color w:val="auto"/>
          <w:sz w:val="21"/>
          <w:szCs w:val="21"/>
          <w:highlight w:val="none"/>
        </w:rPr>
      </w:pPr>
      <w:r>
        <w:rPr>
          <w:rFonts w:hint="eastAsia" w:ascii="宋体" w:hAnsi="宋体" w:cs="宋体"/>
          <w:color w:val="auto"/>
          <w:sz w:val="28"/>
          <w:szCs w:val="28"/>
          <w:highlight w:val="none"/>
        </w:rPr>
        <w:br w:type="page"/>
      </w:r>
      <w:r>
        <w:rPr>
          <w:rFonts w:hint="eastAsia" w:ascii="宋体" w:hAnsi="宋体" w:eastAsia="宋体" w:cs="宋体"/>
          <w:color w:val="auto"/>
          <w:sz w:val="21"/>
          <w:szCs w:val="21"/>
          <w:highlight w:val="none"/>
        </w:rPr>
        <w:t>附件10-3</w:t>
      </w:r>
    </w:p>
    <w:p w14:paraId="7FC5CDA7">
      <w:pPr>
        <w:tabs>
          <w:tab w:val="left" w:pos="1890"/>
        </w:tabs>
        <w:adjustRightInd w:val="0"/>
        <w:snapToGrid w:val="0"/>
        <w:spacing w:before="50" w:line="360" w:lineRule="auto"/>
        <w:jc w:val="center"/>
        <w:rPr>
          <w:rFonts w:hint="eastAsia" w:ascii="宋体" w:hAnsi="宋体" w:eastAsia="宋体" w:cs="宋体"/>
          <w:b/>
          <w:bCs/>
          <w:color w:val="auto"/>
          <w:sz w:val="24"/>
          <w:szCs w:val="24"/>
          <w:highlight w:val="none"/>
        </w:rPr>
      </w:pPr>
      <w:bookmarkStart w:id="147" w:name="_Toc1820"/>
      <w:r>
        <w:rPr>
          <w:rFonts w:hint="eastAsia" w:ascii="宋体" w:hAnsi="宋体" w:eastAsia="宋体" w:cs="宋体"/>
          <w:b/>
          <w:bCs/>
          <w:color w:val="auto"/>
          <w:sz w:val="24"/>
          <w:szCs w:val="24"/>
          <w:highlight w:val="none"/>
        </w:rPr>
        <w:t>节能产品、环境标志产品表</w:t>
      </w:r>
      <w:bookmarkEnd w:id="147"/>
    </w:p>
    <w:p w14:paraId="198E09BF">
      <w:pPr>
        <w:tabs>
          <w:tab w:val="left" w:pos="1890"/>
        </w:tabs>
        <w:adjustRightInd w:val="0"/>
        <w:snapToGrid w:val="0"/>
        <w:spacing w:before="50" w:line="360" w:lineRule="auto"/>
        <w:jc w:val="left"/>
        <w:rPr>
          <w:rFonts w:hint="eastAsia" w:ascii="宋体" w:hAnsi="宋体" w:eastAsia="宋体" w:cs="宋体"/>
          <w:color w:val="auto"/>
          <w:sz w:val="21"/>
          <w:szCs w:val="21"/>
          <w:highlight w:val="none"/>
        </w:rPr>
      </w:pPr>
    </w:p>
    <w:tbl>
      <w:tblPr>
        <w:tblStyle w:val="18"/>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9"/>
        <w:gridCol w:w="1686"/>
        <w:gridCol w:w="687"/>
        <w:gridCol w:w="823"/>
        <w:gridCol w:w="961"/>
        <w:gridCol w:w="1923"/>
        <w:gridCol w:w="1793"/>
      </w:tblGrid>
      <w:tr w14:paraId="3304B6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5000" w:type="pct"/>
            <w:gridSpan w:val="7"/>
            <w:vAlign w:val="center"/>
          </w:tcPr>
          <w:p w14:paraId="3DC4D93E">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本公司对本表的真实性负责。如有虚假，将依法承担相应责任。</w:t>
            </w:r>
          </w:p>
        </w:tc>
      </w:tr>
      <w:tr w14:paraId="5BAD1A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381" w:type="pct"/>
            <w:vAlign w:val="center"/>
          </w:tcPr>
          <w:p w14:paraId="39C995CE">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989" w:type="pct"/>
            <w:vAlign w:val="center"/>
          </w:tcPr>
          <w:p w14:paraId="5B9D5B6A">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403" w:type="pct"/>
            <w:vAlign w:val="center"/>
          </w:tcPr>
          <w:p w14:paraId="7A3DE156">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483" w:type="pct"/>
            <w:vAlign w:val="center"/>
          </w:tcPr>
          <w:p w14:paraId="2817D245">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564" w:type="pct"/>
            <w:vAlign w:val="center"/>
          </w:tcPr>
          <w:p w14:paraId="491C8E33">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w:t>
            </w:r>
          </w:p>
        </w:tc>
        <w:tc>
          <w:tcPr>
            <w:tcW w:w="1128" w:type="pct"/>
            <w:vAlign w:val="center"/>
          </w:tcPr>
          <w:p w14:paraId="5C15C71D">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p>
        </w:tc>
        <w:tc>
          <w:tcPr>
            <w:tcW w:w="1050" w:type="pct"/>
            <w:vAlign w:val="center"/>
          </w:tcPr>
          <w:p w14:paraId="749EF447">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p>
        </w:tc>
      </w:tr>
      <w:tr w14:paraId="38D246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381" w:type="pct"/>
            <w:vAlign w:val="center"/>
          </w:tcPr>
          <w:p w14:paraId="25C46C30">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989" w:type="pct"/>
            <w:vAlign w:val="center"/>
          </w:tcPr>
          <w:p w14:paraId="27B7CBDE">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货物名称</w:t>
            </w:r>
          </w:p>
        </w:tc>
        <w:tc>
          <w:tcPr>
            <w:tcW w:w="403" w:type="pct"/>
            <w:vAlign w:val="center"/>
          </w:tcPr>
          <w:p w14:paraId="5F8DF5F8">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w:t>
            </w:r>
          </w:p>
        </w:tc>
        <w:tc>
          <w:tcPr>
            <w:tcW w:w="483" w:type="pct"/>
            <w:vAlign w:val="center"/>
          </w:tcPr>
          <w:p w14:paraId="7BA63D82">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单价</w:t>
            </w:r>
          </w:p>
        </w:tc>
        <w:tc>
          <w:tcPr>
            <w:tcW w:w="564" w:type="pct"/>
            <w:vAlign w:val="center"/>
          </w:tcPr>
          <w:p w14:paraId="01D5B81B">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总额</w:t>
            </w:r>
          </w:p>
        </w:tc>
        <w:tc>
          <w:tcPr>
            <w:tcW w:w="1128" w:type="pct"/>
            <w:vAlign w:val="center"/>
          </w:tcPr>
          <w:p w14:paraId="02BE0D82">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货物制造商名称</w:t>
            </w:r>
          </w:p>
        </w:tc>
        <w:tc>
          <w:tcPr>
            <w:tcW w:w="1050" w:type="pct"/>
            <w:vAlign w:val="center"/>
          </w:tcPr>
          <w:p w14:paraId="4E458A1B">
            <w:pPr>
              <w:keepNext w:val="0"/>
              <w:keepLines w:val="0"/>
              <w:widowControl/>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政策功能编码</w:t>
            </w:r>
          </w:p>
        </w:tc>
      </w:tr>
      <w:tr w14:paraId="1917A7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5000" w:type="pct"/>
            <w:gridSpan w:val="7"/>
            <w:vAlign w:val="center"/>
          </w:tcPr>
          <w:p w14:paraId="49E962D5">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节能产品</w:t>
            </w:r>
          </w:p>
        </w:tc>
      </w:tr>
      <w:tr w14:paraId="57D8FE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381" w:type="pct"/>
            <w:vAlign w:val="center"/>
          </w:tcPr>
          <w:p w14:paraId="047A8322">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89" w:type="pct"/>
            <w:vAlign w:val="center"/>
          </w:tcPr>
          <w:p w14:paraId="2D81E485">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403" w:type="pct"/>
            <w:vAlign w:val="center"/>
          </w:tcPr>
          <w:p w14:paraId="12C4F32C">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483" w:type="pct"/>
            <w:vAlign w:val="center"/>
          </w:tcPr>
          <w:p w14:paraId="48BD1D0A">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564" w:type="pct"/>
            <w:vAlign w:val="center"/>
          </w:tcPr>
          <w:p w14:paraId="7E9173A6">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p>
        </w:tc>
        <w:tc>
          <w:tcPr>
            <w:tcW w:w="1128" w:type="pct"/>
            <w:vAlign w:val="center"/>
          </w:tcPr>
          <w:p w14:paraId="2E4D15E9">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1050" w:type="pct"/>
            <w:vAlign w:val="center"/>
          </w:tcPr>
          <w:p w14:paraId="19363191">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r>
      <w:tr w14:paraId="6D102C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381" w:type="pct"/>
            <w:vAlign w:val="center"/>
          </w:tcPr>
          <w:p w14:paraId="7553F27C">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989" w:type="pct"/>
            <w:vAlign w:val="center"/>
          </w:tcPr>
          <w:p w14:paraId="5A8C3D76">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403" w:type="pct"/>
            <w:vAlign w:val="center"/>
          </w:tcPr>
          <w:p w14:paraId="2706F3ED">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483" w:type="pct"/>
            <w:vAlign w:val="center"/>
          </w:tcPr>
          <w:p w14:paraId="51BE790E">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564" w:type="pct"/>
            <w:vAlign w:val="center"/>
          </w:tcPr>
          <w:p w14:paraId="3FE41EE8">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p>
        </w:tc>
        <w:tc>
          <w:tcPr>
            <w:tcW w:w="1128" w:type="pct"/>
            <w:vAlign w:val="center"/>
          </w:tcPr>
          <w:p w14:paraId="42FCD152">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050" w:type="pct"/>
            <w:vAlign w:val="center"/>
          </w:tcPr>
          <w:p w14:paraId="723AD4BC">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r w14:paraId="771FCB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5000" w:type="pct"/>
            <w:gridSpan w:val="7"/>
            <w:vAlign w:val="center"/>
          </w:tcPr>
          <w:p w14:paraId="55AE88A6">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环境标志产品</w:t>
            </w:r>
          </w:p>
        </w:tc>
      </w:tr>
      <w:tr w14:paraId="582FD4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381" w:type="pct"/>
            <w:vAlign w:val="center"/>
          </w:tcPr>
          <w:p w14:paraId="664086DC">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89" w:type="pct"/>
            <w:vAlign w:val="center"/>
          </w:tcPr>
          <w:p w14:paraId="5440B423">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403" w:type="pct"/>
            <w:vAlign w:val="center"/>
          </w:tcPr>
          <w:p w14:paraId="75EBBEDF">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483" w:type="pct"/>
            <w:vAlign w:val="center"/>
          </w:tcPr>
          <w:p w14:paraId="554B6D33">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564" w:type="pct"/>
            <w:vAlign w:val="center"/>
          </w:tcPr>
          <w:p w14:paraId="1B93F663">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p>
        </w:tc>
        <w:tc>
          <w:tcPr>
            <w:tcW w:w="1128" w:type="pct"/>
            <w:vAlign w:val="center"/>
          </w:tcPr>
          <w:p w14:paraId="22869915">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1050" w:type="pct"/>
            <w:vAlign w:val="center"/>
          </w:tcPr>
          <w:p w14:paraId="1B70AABB">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r>
      <w:tr w14:paraId="2D5FBE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381" w:type="pct"/>
            <w:vAlign w:val="center"/>
          </w:tcPr>
          <w:p w14:paraId="6BB355B9">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小计</w:t>
            </w:r>
          </w:p>
        </w:tc>
        <w:tc>
          <w:tcPr>
            <w:tcW w:w="989" w:type="pct"/>
            <w:vAlign w:val="center"/>
          </w:tcPr>
          <w:p w14:paraId="4AA1BE86">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403" w:type="pct"/>
            <w:vAlign w:val="center"/>
          </w:tcPr>
          <w:p w14:paraId="13904651">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483" w:type="pct"/>
            <w:vAlign w:val="center"/>
          </w:tcPr>
          <w:p w14:paraId="176F7B0B">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564" w:type="pct"/>
            <w:vAlign w:val="center"/>
          </w:tcPr>
          <w:p w14:paraId="6DCAEECB">
            <w:pPr>
              <w:keepNext w:val="0"/>
              <w:keepLines w:val="0"/>
              <w:suppressLineNumbers w:val="0"/>
              <w:tabs>
                <w:tab w:val="left" w:pos="1890"/>
              </w:tabs>
              <w:spacing w:before="0" w:beforeAutospacing="0" w:after="0" w:afterAutospacing="0" w:line="360" w:lineRule="auto"/>
              <w:ind w:left="0" w:right="0"/>
              <w:jc w:val="left"/>
              <w:rPr>
                <w:rFonts w:hint="eastAsia" w:ascii="宋体" w:hAnsi="宋体" w:eastAsia="宋体" w:cs="宋体"/>
                <w:b/>
                <w:color w:val="auto"/>
                <w:sz w:val="21"/>
                <w:szCs w:val="21"/>
                <w:highlight w:val="none"/>
              </w:rPr>
            </w:pPr>
          </w:p>
        </w:tc>
        <w:tc>
          <w:tcPr>
            <w:tcW w:w="1128" w:type="pct"/>
            <w:vAlign w:val="center"/>
          </w:tcPr>
          <w:p w14:paraId="0863C3BF">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c>
          <w:tcPr>
            <w:tcW w:w="1050" w:type="pct"/>
            <w:vAlign w:val="center"/>
          </w:tcPr>
          <w:p w14:paraId="53B1C16F">
            <w:pPr>
              <w:keepNext w:val="0"/>
              <w:keepLines w:val="0"/>
              <w:suppressLineNumbers w:val="0"/>
              <w:tabs>
                <w:tab w:val="left" w:pos="1890"/>
              </w:tabs>
              <w:spacing w:before="0" w:beforeAutospacing="0" w:after="0" w:afterAutospacing="0" w:line="360" w:lineRule="auto"/>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w:t>
            </w:r>
          </w:p>
        </w:tc>
      </w:tr>
    </w:tbl>
    <w:p w14:paraId="3D651D3C">
      <w:pPr>
        <w:tabs>
          <w:tab w:val="left" w:pos="1890"/>
        </w:tabs>
        <w:adjustRightInd w:val="0"/>
        <w:snapToGrid w:val="0"/>
        <w:spacing w:line="360" w:lineRule="auto"/>
        <w:jc w:val="left"/>
        <w:rPr>
          <w:rFonts w:hint="eastAsia" w:ascii="宋体" w:hAnsi="宋体" w:eastAsia="宋体" w:cs="宋体"/>
          <w:color w:val="auto"/>
          <w:sz w:val="21"/>
          <w:szCs w:val="21"/>
          <w:highlight w:val="none"/>
        </w:rPr>
      </w:pPr>
    </w:p>
    <w:p w14:paraId="5CBC7F36">
      <w:pPr>
        <w:tabs>
          <w:tab w:val="left" w:pos="1890"/>
        </w:tabs>
        <w:adjustRightInd w:val="0"/>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本表用于计算节能产品、环境标志产品应享受的政策功能加分。</w:t>
      </w:r>
    </w:p>
    <w:p w14:paraId="0C091744">
      <w:pPr>
        <w:tabs>
          <w:tab w:val="left" w:pos="1890"/>
        </w:tabs>
        <w:adjustRightInd w:val="0"/>
        <w:snapToGrid w:val="0"/>
        <w:spacing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2、栏目7“政策功能编码”是指货物的中国环境标志认证证书编号、节能标志认证证书号(货物同时属于节能产品、环境标志产品的，只填写一种)。</w:t>
      </w:r>
    </w:p>
    <w:p w14:paraId="63019551">
      <w:pPr>
        <w:tabs>
          <w:tab w:val="left" w:pos="1890"/>
        </w:tabs>
        <w:adjustRightInd w:val="0"/>
        <w:snapToGrid w:val="0"/>
        <w:spacing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3、栏目4“单价”为综合单价，包含货物所有隐含的内容，如运输费、保险费、管理费和利润等。</w:t>
      </w:r>
    </w:p>
    <w:p w14:paraId="02E466C6">
      <w:pPr>
        <w:tabs>
          <w:tab w:val="left" w:pos="1890"/>
        </w:tabs>
        <w:adjustRightInd w:val="0"/>
        <w:snapToGrid w:val="0"/>
        <w:spacing w:line="360" w:lineRule="auto"/>
        <w:ind w:firstLine="630" w:firstLineChars="3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4、未按上述要求提供、</w:t>
      </w:r>
      <w:r>
        <w:rPr>
          <w:rFonts w:hint="eastAsia" w:ascii="宋体" w:hAnsi="宋体" w:eastAsia="宋体" w:cs="宋体"/>
          <w:color w:val="auto"/>
          <w:sz w:val="21"/>
          <w:szCs w:val="21"/>
          <w:highlight w:val="none"/>
        </w:rPr>
        <w:t>填写，或者提供的内容不真实的，</w:t>
      </w:r>
      <w:r>
        <w:rPr>
          <w:rFonts w:hint="eastAsia" w:ascii="宋体" w:hAnsi="宋体" w:eastAsia="宋体" w:cs="宋体"/>
          <w:bCs/>
          <w:color w:val="auto"/>
          <w:sz w:val="21"/>
          <w:szCs w:val="21"/>
          <w:highlight w:val="none"/>
        </w:rPr>
        <w:t>评审时本表所有优惠不予以考虑。</w:t>
      </w:r>
    </w:p>
    <w:p w14:paraId="7A9D7805">
      <w:pPr>
        <w:tabs>
          <w:tab w:val="left" w:pos="1890"/>
        </w:tabs>
        <w:spacing w:line="360" w:lineRule="auto"/>
        <w:rPr>
          <w:rFonts w:hint="eastAsia" w:ascii="宋体" w:hAnsi="宋体" w:eastAsia="宋体" w:cs="宋体"/>
          <w:color w:val="auto"/>
          <w:sz w:val="21"/>
          <w:szCs w:val="21"/>
          <w:highlight w:val="none"/>
        </w:rPr>
      </w:pPr>
    </w:p>
    <w:p w14:paraId="0F4CB72B">
      <w:pPr>
        <w:tabs>
          <w:tab w:val="left" w:pos="1890"/>
        </w:tabs>
        <w:spacing w:line="360" w:lineRule="auto"/>
        <w:rPr>
          <w:rFonts w:hint="eastAsia" w:ascii="宋体" w:hAnsi="宋体" w:eastAsia="宋体" w:cs="宋体"/>
          <w:color w:val="auto"/>
          <w:sz w:val="21"/>
          <w:szCs w:val="21"/>
          <w:highlight w:val="none"/>
        </w:rPr>
      </w:pPr>
    </w:p>
    <w:p w14:paraId="2427BA8E">
      <w:pPr>
        <w:tabs>
          <w:tab w:val="left" w:pos="1890"/>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供应商名称（单位章）：</w:t>
      </w:r>
    </w:p>
    <w:p w14:paraId="47D4E695">
      <w:pPr>
        <w:tabs>
          <w:tab w:val="left" w:pos="1890"/>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w:t>
      </w:r>
      <w:r>
        <w:rPr>
          <w:rFonts w:hint="eastAsia" w:ascii="宋体" w:hAnsi="宋体" w:eastAsia="宋体" w:cs="宋体"/>
          <w:color w:val="auto"/>
          <w:sz w:val="21"/>
          <w:szCs w:val="21"/>
          <w:highlight w:val="none"/>
          <w:u w:val="single"/>
        </w:rPr>
        <w:t xml:space="preserve">       </w:t>
      </w:r>
    </w:p>
    <w:p w14:paraId="40C12A85">
      <w:pPr>
        <w:tabs>
          <w:tab w:val="left" w:pos="1890"/>
        </w:tabs>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994699D">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36B25F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附件10-4</w:t>
      </w:r>
    </w:p>
    <w:p w14:paraId="76D401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highlight w:val="none"/>
        </w:rPr>
      </w:pPr>
      <w:r>
        <w:rPr>
          <w:rFonts w:hint="eastAsia" w:ascii="宋体" w:hAnsi="宋体" w:eastAsia="宋体" w:cs="宋体"/>
          <w:b/>
          <w:bCs/>
          <w:highlight w:val="none"/>
        </w:rPr>
        <w:t>中国境内生产的组件成本核算基本规则</w:t>
      </w:r>
    </w:p>
    <w:p w14:paraId="4C1407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1FA8E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一、产品的一级组件是指直接组成产品的组件。产品的二级组件是指直接组成产品一级组件的组件。一级组件不可分解的，视同二级组件。</w:t>
      </w:r>
    </w:p>
    <w:p w14:paraId="5684FF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二、二级组件在中国境内生产的，其全部成本计入中国境内生产的组件成本；二级组件不在中国境内生产的，其成本不计入中国境内生产的组件成本。</w:t>
      </w:r>
    </w:p>
    <w:p w14:paraId="2C61A9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三、产品总成本和组件成本以相关会计核算数据、采购合同、进货记录等为基础进行计算。</w:t>
      </w:r>
    </w:p>
    <w:p w14:paraId="6DBF4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四、需要对成本核算规则予以进一步明确的其他有关事项，由财政部会同有关部门另行规定。</w:t>
      </w:r>
    </w:p>
    <w:p w14:paraId="2623C9C1">
      <w:pPr>
        <w:rPr>
          <w:rFonts w:hint="eastAsia" w:ascii="宋体" w:hAnsi="宋体" w:eastAsia="宋体" w:cs="宋体"/>
          <w:highlight w:val="none"/>
        </w:rPr>
      </w:pPr>
      <w:r>
        <w:rPr>
          <w:rFonts w:hint="eastAsia" w:ascii="宋体" w:hAnsi="宋体" w:eastAsia="宋体" w:cs="宋体"/>
          <w:highlight w:val="none"/>
        </w:rPr>
        <w:br w:type="page"/>
      </w:r>
    </w:p>
    <w:p w14:paraId="589FA3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highlight w:val="none"/>
          <w:lang w:val="en-US" w:eastAsia="zh-CN"/>
        </w:rPr>
      </w:pPr>
      <w:bookmarkStart w:id="148" w:name="OLE_LINK1_0"/>
      <w:r>
        <w:rPr>
          <w:rFonts w:hint="eastAsia" w:ascii="宋体" w:hAnsi="宋体" w:eastAsia="宋体" w:cs="宋体"/>
          <w:b/>
          <w:bCs/>
          <w:highlight w:val="none"/>
          <w:lang w:val="en-US" w:eastAsia="zh-CN"/>
        </w:rPr>
        <w:t>《关于符合本国产品标准的声明函》或相关证明材料</w:t>
      </w:r>
      <w:bookmarkEnd w:id="148"/>
      <w:r>
        <w:rPr>
          <w:rFonts w:hint="eastAsia" w:ascii="宋体" w:hAnsi="宋体" w:eastAsia="宋体" w:cs="宋体"/>
          <w:b/>
          <w:bCs/>
          <w:highlight w:val="none"/>
          <w:lang w:val="en-US" w:eastAsia="zh-CN"/>
        </w:rPr>
        <w:t>（如是）</w:t>
      </w:r>
    </w:p>
    <w:p w14:paraId="1A35DE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Cs w:val="21"/>
          <w:highlight w:val="none"/>
          <w:lang w:eastAsia="zh"/>
        </w:rPr>
      </w:pPr>
      <w:r>
        <w:rPr>
          <w:rFonts w:hint="eastAsia" w:ascii="宋体" w:hAnsi="宋体" w:eastAsia="宋体" w:cs="宋体"/>
          <w:color w:val="auto"/>
          <w:szCs w:val="21"/>
          <w:highlight w:val="none"/>
        </w:rPr>
        <w:t>本国产品成本比例承诺函</w:t>
      </w:r>
    </w:p>
    <w:tbl>
      <w:tblPr>
        <w:tblStyle w:val="18"/>
        <w:tblW w:w="4998" w:type="pct"/>
        <w:tblInd w:w="0" w:type="dxa"/>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Layout w:type="autofit"/>
        <w:tblCellMar>
          <w:top w:w="15" w:type="dxa"/>
          <w:left w:w="15" w:type="dxa"/>
          <w:bottom w:w="15" w:type="dxa"/>
          <w:right w:w="15" w:type="dxa"/>
        </w:tblCellMar>
      </w:tblPr>
      <w:tblGrid>
        <w:gridCol w:w="734"/>
        <w:gridCol w:w="2027"/>
        <w:gridCol w:w="2567"/>
        <w:gridCol w:w="3215"/>
      </w:tblGrid>
      <w:tr w14:paraId="5FF0438B">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430" w:type="pct"/>
            <w:tcBorders>
              <w:top w:val="single" w:color="000000" w:sz="8" w:space="0"/>
              <w:left w:val="single" w:color="000000" w:sz="8" w:space="0"/>
              <w:bottom w:val="single" w:color="000000" w:sz="8" w:space="0"/>
              <w:right w:val="single" w:color="000000" w:sz="8" w:space="0"/>
            </w:tcBorders>
            <w:shd w:val="clear" w:color="auto" w:fill="FFFFFF"/>
            <w:noWrap w:val="0"/>
            <w:tcMar>
              <w:top w:w="0" w:type="dxa"/>
              <w:left w:w="120" w:type="dxa"/>
              <w:bottom w:w="0" w:type="dxa"/>
              <w:right w:w="120" w:type="dxa"/>
            </w:tcMar>
            <w:vAlign w:val="center"/>
          </w:tcPr>
          <w:p w14:paraId="3ACFCDFE">
            <w:pPr>
              <w:keepNext w:val="0"/>
              <w:keepLines w:val="0"/>
              <w:pageBreakBefore w:val="0"/>
              <w:widowControl/>
              <w:kinsoku/>
              <w:wordWrap/>
              <w:overflowPunct/>
              <w:topLinePunct w:val="0"/>
              <w:autoSpaceDE/>
              <w:autoSpaceDN/>
              <w:bidi w:val="0"/>
              <w:adjustRightInd/>
              <w:snapToGrid/>
              <w:spacing w:before="161" w:beforeLines="50" w:after="161" w:afterLines="5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序号</w:t>
            </w:r>
          </w:p>
        </w:tc>
        <w:tc>
          <w:tcPr>
            <w:tcW w:w="1186"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714F965C">
            <w:pPr>
              <w:keepNext w:val="0"/>
              <w:keepLines w:val="0"/>
              <w:pageBreakBefore w:val="0"/>
              <w:widowControl/>
              <w:kinsoku/>
              <w:wordWrap/>
              <w:overflowPunct/>
              <w:topLinePunct w:val="0"/>
              <w:autoSpaceDE/>
              <w:autoSpaceDN/>
              <w:bidi w:val="0"/>
              <w:adjustRightInd/>
              <w:snapToGrid/>
              <w:spacing w:before="161" w:beforeLines="50" w:after="161" w:afterLines="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主要产品/技术名称（规格型号）</w:t>
            </w:r>
          </w:p>
        </w:tc>
        <w:tc>
          <w:tcPr>
            <w:tcW w:w="1502"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26EBE0D0">
            <w:pPr>
              <w:keepNext w:val="0"/>
              <w:keepLines w:val="0"/>
              <w:pageBreakBefore w:val="0"/>
              <w:widowControl/>
              <w:kinsoku/>
              <w:wordWrap/>
              <w:overflowPunct/>
              <w:topLinePunct w:val="0"/>
              <w:autoSpaceDE/>
              <w:autoSpaceDN/>
              <w:bidi w:val="0"/>
              <w:adjustRightInd/>
              <w:snapToGrid/>
              <w:spacing w:before="161" w:beforeLines="50" w:after="161" w:afterLines="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本国产品</w:t>
            </w:r>
          </w:p>
        </w:tc>
        <w:tc>
          <w:tcPr>
            <w:tcW w:w="1881" w:type="pct"/>
            <w:tcBorders>
              <w:top w:val="single" w:color="auto" w:sz="8" w:space="0"/>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8F9EE4C">
            <w:pPr>
              <w:keepNext w:val="0"/>
              <w:keepLines w:val="0"/>
              <w:pageBreakBefore w:val="0"/>
              <w:widowControl/>
              <w:kinsoku/>
              <w:wordWrap/>
              <w:overflowPunct/>
              <w:topLinePunct w:val="0"/>
              <w:autoSpaceDE/>
              <w:autoSpaceDN/>
              <w:bidi w:val="0"/>
              <w:adjustRightInd/>
              <w:snapToGrid/>
              <w:spacing w:before="161" w:beforeLines="50" w:after="161" w:afterLines="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该产品</w:t>
            </w:r>
            <w:r>
              <w:rPr>
                <w:rFonts w:hint="eastAsia" w:ascii="宋体" w:hAnsi="宋体" w:eastAsia="宋体" w:cs="宋体"/>
                <w:color w:val="auto"/>
                <w:kern w:val="0"/>
                <w:sz w:val="21"/>
                <w:szCs w:val="21"/>
                <w:highlight w:val="none"/>
                <w:lang w:eastAsia="zh" w:bidi="ar"/>
              </w:rPr>
              <w:t>成本</w:t>
            </w:r>
            <w:r>
              <w:rPr>
                <w:rFonts w:hint="eastAsia" w:ascii="宋体" w:hAnsi="宋体" w:eastAsia="宋体" w:cs="宋体"/>
                <w:color w:val="auto"/>
                <w:kern w:val="0"/>
                <w:sz w:val="21"/>
                <w:szCs w:val="21"/>
                <w:highlight w:val="none"/>
                <w:lang w:bidi="ar"/>
              </w:rPr>
              <w:t>在产品总成本中占比（%）</w:t>
            </w:r>
          </w:p>
        </w:tc>
      </w:tr>
      <w:tr w14:paraId="1A362BE6">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321939FF">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1</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974CC28">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331F29C9">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lang w:eastAsia="zh"/>
              </w:rPr>
            </w:pPr>
            <w:r>
              <w:rPr>
                <w:rFonts w:hint="eastAsia" w:ascii="宋体" w:hAnsi="宋体" w:eastAsia="宋体" w:cs="宋体"/>
                <w:color w:val="auto"/>
                <w:sz w:val="21"/>
                <w:szCs w:val="21"/>
                <w:highlight w:val="none"/>
                <w:lang w:eastAsia="zh"/>
              </w:rPr>
              <w:t>是</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728A4C4">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XX</w:t>
            </w:r>
          </w:p>
        </w:tc>
      </w:tr>
      <w:tr w14:paraId="04E3A3C8">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FF19753">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2</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DC92F13">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0A0AAED">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lang w:eastAsia="zh"/>
              </w:rPr>
            </w:pPr>
            <w:r>
              <w:rPr>
                <w:rFonts w:hint="eastAsia" w:ascii="宋体" w:hAnsi="宋体" w:eastAsia="宋体" w:cs="宋体"/>
                <w:color w:val="auto"/>
                <w:sz w:val="21"/>
                <w:szCs w:val="21"/>
                <w:highlight w:val="none"/>
                <w:lang w:eastAsia="zh"/>
              </w:rPr>
              <w:t>是</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C7B65BF">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XX</w:t>
            </w:r>
          </w:p>
        </w:tc>
      </w:tr>
      <w:tr w14:paraId="03D49372">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430" w:type="pct"/>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2CC11AF">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3</w:t>
            </w:r>
          </w:p>
        </w:tc>
        <w:tc>
          <w:tcPr>
            <w:tcW w:w="1186"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5B3B48F3">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p>
        </w:tc>
        <w:tc>
          <w:tcPr>
            <w:tcW w:w="1502"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1FE6ADF4">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lang w:eastAsia="zh"/>
              </w:rPr>
            </w:pPr>
            <w:r>
              <w:rPr>
                <w:rFonts w:hint="eastAsia" w:ascii="宋体" w:hAnsi="宋体" w:eastAsia="宋体" w:cs="宋体"/>
                <w:color w:val="auto"/>
                <w:sz w:val="21"/>
                <w:szCs w:val="21"/>
                <w:highlight w:val="none"/>
                <w:lang w:eastAsia="zh"/>
              </w:rPr>
              <w:t>否</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617E538F">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XX</w:t>
            </w:r>
          </w:p>
        </w:tc>
      </w:tr>
      <w:tr w14:paraId="3F798200">
        <w:tblPrEx>
          <w:tblBorders>
            <w:top w:val="outset" w:color="auto" w:sz="0" w:space="0"/>
            <w:left w:val="outset" w:color="auto" w:sz="0" w:space="0"/>
            <w:bottom w:val="outset" w:color="auto" w:sz="0" w:space="0"/>
            <w:right w:val="outset" w:color="auto" w:sz="0" w:space="0"/>
            <w:insideH w:val="outset" w:color="auto" w:sz="6" w:space="0"/>
            <w:insideV w:val="outset" w:color="auto" w:sz="6" w:space="0"/>
          </w:tblBorders>
          <w:tblCellMar>
            <w:top w:w="15" w:type="dxa"/>
            <w:left w:w="15" w:type="dxa"/>
            <w:bottom w:w="15" w:type="dxa"/>
            <w:right w:w="15" w:type="dxa"/>
          </w:tblCellMar>
        </w:tblPrEx>
        <w:trPr>
          <w:trHeight w:val="23" w:hRule="atLeast"/>
        </w:trPr>
        <w:tc>
          <w:tcPr>
            <w:tcW w:w="3118" w:type="pct"/>
            <w:gridSpan w:val="3"/>
            <w:tcBorders>
              <w:top w:val="nil"/>
              <w:left w:val="single" w:color="auto" w:sz="8" w:space="0"/>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00087950">
            <w:pPr>
              <w:keepNext w:val="0"/>
              <w:keepLines w:val="0"/>
              <w:pageBreakBefore w:val="0"/>
              <w:widowControl/>
              <w:kinsoku/>
              <w:wordWrap/>
              <w:overflowPunct/>
              <w:topLinePunct w:val="0"/>
              <w:autoSpaceDE/>
              <w:autoSpaceDN/>
              <w:bidi w:val="0"/>
              <w:adjustRightInd/>
              <w:snapToGrid/>
              <w:spacing w:before="161" w:beforeLines="50" w:after="161" w:afterLines="5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本国</w:t>
            </w:r>
            <w:r>
              <w:rPr>
                <w:rFonts w:hint="eastAsia" w:ascii="宋体" w:hAnsi="宋体" w:eastAsia="宋体" w:cs="宋体"/>
                <w:color w:val="auto"/>
                <w:kern w:val="0"/>
                <w:sz w:val="21"/>
                <w:szCs w:val="21"/>
                <w:highlight w:val="none"/>
                <w:lang w:eastAsia="zh" w:bidi="ar"/>
              </w:rPr>
              <w:t>产品</w:t>
            </w:r>
            <w:r>
              <w:rPr>
                <w:rFonts w:hint="eastAsia" w:ascii="宋体" w:hAnsi="宋体" w:eastAsia="宋体" w:cs="宋体"/>
                <w:color w:val="auto"/>
                <w:kern w:val="0"/>
                <w:sz w:val="21"/>
                <w:szCs w:val="21"/>
                <w:highlight w:val="none"/>
                <w:lang w:bidi="ar"/>
              </w:rPr>
              <w:t>在产品总成本中占比合计</w:t>
            </w:r>
          </w:p>
        </w:tc>
        <w:tc>
          <w:tcPr>
            <w:tcW w:w="1881" w:type="pct"/>
            <w:tcBorders>
              <w:top w:val="nil"/>
              <w:left w:val="nil"/>
              <w:bottom w:val="single" w:color="auto" w:sz="8" w:space="0"/>
              <w:right w:val="single" w:color="auto" w:sz="8" w:space="0"/>
            </w:tcBorders>
            <w:shd w:val="clear" w:color="auto" w:fill="FFFFFF"/>
            <w:noWrap w:val="0"/>
            <w:tcMar>
              <w:top w:w="0" w:type="dxa"/>
              <w:left w:w="120" w:type="dxa"/>
              <w:bottom w:w="0" w:type="dxa"/>
              <w:right w:w="120" w:type="dxa"/>
            </w:tcMar>
            <w:vAlign w:val="center"/>
          </w:tcPr>
          <w:p w14:paraId="49CF8170">
            <w:pPr>
              <w:keepNext w:val="0"/>
              <w:keepLines w:val="0"/>
              <w:pageBreakBefore w:val="0"/>
              <w:widowControl/>
              <w:kinsoku/>
              <w:wordWrap/>
              <w:overflowPunct/>
              <w:topLinePunct w:val="0"/>
              <w:autoSpaceDE/>
              <w:autoSpaceDN/>
              <w:bidi w:val="0"/>
              <w:adjustRightInd/>
              <w:snapToGrid/>
              <w:spacing w:before="161" w:beforeLines="50" w:after="161" w:afterLines="50"/>
              <w:ind w:left="0" w:leftChars="0" w:right="0" w:rightChars="0" w:firstLine="0" w:firstLineChars="0"/>
              <w:jc w:val="center"/>
              <w:textAlignment w:val="auto"/>
              <w:rPr>
                <w:rFonts w:hint="eastAsia" w:ascii="宋体" w:hAnsi="宋体" w:eastAsia="宋体" w:cs="宋体"/>
                <w:color w:val="auto"/>
                <w:sz w:val="21"/>
                <w:szCs w:val="21"/>
                <w:highlight w:val="none"/>
                <w:lang w:eastAsia="zh"/>
              </w:rPr>
            </w:pPr>
            <w:r>
              <w:rPr>
                <w:rFonts w:hint="eastAsia" w:ascii="宋体" w:hAnsi="宋体" w:eastAsia="宋体" w:cs="宋体"/>
                <w:color w:val="auto"/>
                <w:sz w:val="21"/>
                <w:szCs w:val="21"/>
                <w:highlight w:val="none"/>
              </w:rPr>
              <w:t>XX</w:t>
            </w:r>
            <w:r>
              <w:rPr>
                <w:rFonts w:hint="eastAsia" w:ascii="宋体" w:hAnsi="宋体" w:eastAsia="宋体" w:cs="宋体"/>
                <w:color w:val="auto"/>
                <w:sz w:val="21"/>
                <w:szCs w:val="21"/>
                <w:highlight w:val="none"/>
                <w:lang w:eastAsia="zh"/>
              </w:rPr>
              <w:t>%</w:t>
            </w:r>
          </w:p>
        </w:tc>
      </w:tr>
    </w:tbl>
    <w:p w14:paraId="2B65E170">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本公司（单位）承诺上述数据均已经我公司（单位）核实确认，确保真实、有效。</w:t>
      </w:r>
    </w:p>
    <w:p w14:paraId="4CF1137A">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bidi="ar"/>
        </w:rPr>
        <w:t>供应商名称（盖章）：</w:t>
      </w:r>
      <w:r>
        <w:rPr>
          <w:rFonts w:hint="eastAsia" w:ascii="Calibri" w:hAnsi="Calibri" w:cs="Calibri"/>
          <w:color w:val="auto"/>
          <w:kern w:val="0"/>
          <w:szCs w:val="21"/>
          <w:highlight w:val="none"/>
          <w:u w:val="single"/>
          <w:lang w:val="en-US" w:eastAsia="zh-CN" w:bidi="ar"/>
        </w:rPr>
        <w:t xml:space="preserve">                 </w:t>
      </w:r>
    </w:p>
    <w:p w14:paraId="01360965">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cs="宋体"/>
          <w:color w:val="auto"/>
          <w:szCs w:val="21"/>
          <w:highlight w:val="none"/>
        </w:rPr>
      </w:pPr>
      <w:r>
        <w:rPr>
          <w:rFonts w:hint="eastAsia" w:ascii="宋体" w:hAnsi="宋体" w:cs="宋体"/>
          <w:color w:val="auto"/>
          <w:kern w:val="0"/>
          <w:szCs w:val="21"/>
          <w:highlight w:val="none"/>
          <w:lang w:bidi="ar"/>
        </w:rPr>
        <w:t>日期：</w:t>
      </w:r>
      <w:r>
        <w:rPr>
          <w:rFonts w:hint="eastAsia" w:ascii="宋体" w:hAnsi="宋体" w:cs="宋体"/>
          <w:color w:val="auto"/>
          <w:kern w:val="0"/>
          <w:szCs w:val="21"/>
          <w:highlight w:val="none"/>
          <w:u w:val="single"/>
          <w:lang w:val="en-US" w:eastAsia="zh-CN" w:bidi="ar"/>
        </w:rPr>
        <w:t xml:space="preserve">   </w:t>
      </w:r>
      <w:r>
        <w:rPr>
          <w:rFonts w:hint="eastAsia" w:ascii="宋体" w:hAnsi="宋体" w:cs="宋体"/>
          <w:color w:val="auto"/>
          <w:kern w:val="0"/>
          <w:szCs w:val="21"/>
          <w:highlight w:val="none"/>
          <w:lang w:bidi="ar"/>
        </w:rPr>
        <w:t>年</w:t>
      </w:r>
      <w:r>
        <w:rPr>
          <w:rFonts w:hint="eastAsia" w:ascii="宋体" w:hAnsi="宋体" w:cs="宋体"/>
          <w:color w:val="auto"/>
          <w:kern w:val="0"/>
          <w:szCs w:val="21"/>
          <w:highlight w:val="none"/>
          <w:u w:val="single"/>
          <w:lang w:val="en-US" w:eastAsia="zh-CN" w:bidi="ar"/>
        </w:rPr>
        <w:t xml:space="preserve">   </w:t>
      </w:r>
      <w:r>
        <w:rPr>
          <w:rFonts w:hint="eastAsia" w:ascii="宋体" w:hAnsi="宋体" w:cs="宋体"/>
          <w:color w:val="auto"/>
          <w:kern w:val="0"/>
          <w:szCs w:val="21"/>
          <w:highlight w:val="none"/>
          <w:lang w:bidi="ar"/>
        </w:rPr>
        <w:t>月</w:t>
      </w:r>
      <w:r>
        <w:rPr>
          <w:rFonts w:hint="eastAsia" w:ascii="宋体" w:hAnsi="宋体" w:cs="宋体"/>
          <w:color w:val="auto"/>
          <w:kern w:val="0"/>
          <w:szCs w:val="21"/>
          <w:highlight w:val="none"/>
          <w:u w:val="single"/>
          <w:lang w:val="en-US" w:eastAsia="zh-CN" w:bidi="ar"/>
        </w:rPr>
        <w:t xml:space="preserve">   </w:t>
      </w:r>
      <w:r>
        <w:rPr>
          <w:rFonts w:hint="eastAsia" w:ascii="宋体" w:hAnsi="宋体" w:cs="宋体"/>
          <w:color w:val="auto"/>
          <w:kern w:val="0"/>
          <w:szCs w:val="21"/>
          <w:highlight w:val="none"/>
          <w:lang w:bidi="ar"/>
        </w:rPr>
        <w:t>日</w:t>
      </w:r>
    </w:p>
    <w:p w14:paraId="098FFF3E">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cs="宋体"/>
          <w:color w:val="auto"/>
          <w:szCs w:val="21"/>
          <w:highlight w:val="none"/>
        </w:rPr>
      </w:pPr>
    </w:p>
    <w:p w14:paraId="08943EFC">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cs="宋体"/>
          <w:color w:val="auto"/>
          <w:szCs w:val="21"/>
          <w:highlight w:val="none"/>
        </w:rPr>
      </w:pPr>
      <w:r>
        <w:rPr>
          <w:rFonts w:hint="eastAsia" w:ascii="宋体" w:hAnsi="宋体" w:cs="宋体"/>
          <w:color w:val="auto"/>
          <w:kern w:val="0"/>
          <w:szCs w:val="21"/>
          <w:highlight w:val="none"/>
          <w:lang w:bidi="ar"/>
        </w:rPr>
        <w:t>注：</w:t>
      </w:r>
    </w:p>
    <w:p w14:paraId="49453370">
      <w:pPr>
        <w:keepNext w:val="0"/>
        <w:keepLines w:val="0"/>
        <w:pageBreakBefore w:val="0"/>
        <w:widowControl/>
        <w:tabs>
          <w:tab w:val="left" w:pos="312"/>
        </w:tabs>
        <w:kinsoku/>
        <w:wordWrap/>
        <w:overflowPunct/>
        <w:topLinePunct w:val="0"/>
        <w:autoSpaceDE/>
        <w:autoSpaceDN/>
        <w:bidi w:val="0"/>
        <w:adjustRightInd/>
        <w:snapToGrid/>
        <w:spacing w:beforeAutospacing="0" w:afterAutospacing="0" w:line="360" w:lineRule="auto"/>
        <w:jc w:val="left"/>
        <w:textAlignment w:val="auto"/>
        <w:rPr>
          <w:rFonts w:hint="eastAsia" w:ascii="宋体" w:hAnsi="宋体" w:cs="宋体"/>
          <w:color w:val="auto"/>
          <w:szCs w:val="21"/>
          <w:highlight w:val="none"/>
        </w:rPr>
      </w:pPr>
      <w:r>
        <w:rPr>
          <w:rFonts w:hint="eastAsia" w:ascii="Calibri" w:hAnsi="Calibri"/>
          <w:color w:val="auto"/>
          <w:szCs w:val="21"/>
          <w:highlight w:val="none"/>
          <w:lang w:bidi="ar"/>
        </w:rPr>
        <w:t>1.</w:t>
      </w:r>
      <w:r>
        <w:rPr>
          <w:rFonts w:hint="eastAsia" w:ascii="宋体" w:hAnsi="宋体" w:cs="宋体"/>
          <w:color w:val="auto"/>
          <w:kern w:val="0"/>
          <w:szCs w:val="21"/>
          <w:highlight w:val="none"/>
          <w:lang w:bidi="ar"/>
        </w:rPr>
        <w:t>供应商提供本国产品应符合《国务院办公厅关于在政府采购中实施本国产品标准及相关政策的通知》（国办发〔</w:t>
      </w:r>
      <w:r>
        <w:rPr>
          <w:rFonts w:ascii="Calibri" w:hAnsi="Calibri" w:cs="Calibri"/>
          <w:color w:val="auto"/>
          <w:kern w:val="0"/>
          <w:szCs w:val="21"/>
          <w:highlight w:val="none"/>
          <w:lang w:bidi="ar"/>
        </w:rPr>
        <w:t>2025</w:t>
      </w:r>
      <w:r>
        <w:rPr>
          <w:rFonts w:hint="eastAsia" w:ascii="宋体" w:hAnsi="宋体" w:cs="宋体"/>
          <w:color w:val="auto"/>
          <w:kern w:val="0"/>
          <w:szCs w:val="21"/>
          <w:highlight w:val="none"/>
          <w:lang w:bidi="ar"/>
        </w:rPr>
        <w:t>〕</w:t>
      </w:r>
      <w:r>
        <w:rPr>
          <w:rFonts w:ascii="Calibri" w:hAnsi="Calibri" w:cs="Calibri"/>
          <w:color w:val="auto"/>
          <w:kern w:val="0"/>
          <w:szCs w:val="21"/>
          <w:highlight w:val="none"/>
          <w:lang w:bidi="ar"/>
        </w:rPr>
        <w:t>34</w:t>
      </w:r>
      <w:r>
        <w:rPr>
          <w:rFonts w:hint="eastAsia" w:ascii="宋体" w:hAnsi="宋体" w:cs="宋体"/>
          <w:color w:val="auto"/>
          <w:kern w:val="0"/>
          <w:szCs w:val="21"/>
          <w:highlight w:val="none"/>
          <w:lang w:bidi="ar"/>
        </w:rPr>
        <w:t>号），如后续有更新的，则以更新后的文件为准，按照《中国境内生产的组件成本核算基本规则》提供该产品</w:t>
      </w:r>
      <w:r>
        <w:rPr>
          <w:rFonts w:hint="eastAsia" w:ascii="宋体" w:hAnsi="宋体" w:cs="宋体"/>
          <w:color w:val="auto"/>
          <w:kern w:val="0"/>
          <w:szCs w:val="21"/>
          <w:highlight w:val="none"/>
          <w:lang w:eastAsia="zh" w:bidi="ar"/>
        </w:rPr>
        <w:t>成本</w:t>
      </w:r>
      <w:r>
        <w:rPr>
          <w:rFonts w:hint="eastAsia" w:ascii="宋体" w:hAnsi="宋体" w:cs="宋体"/>
          <w:color w:val="auto"/>
          <w:kern w:val="0"/>
          <w:szCs w:val="21"/>
          <w:highlight w:val="none"/>
          <w:lang w:bidi="ar"/>
        </w:rPr>
        <w:t>在产品总成本中占比。</w:t>
      </w:r>
    </w:p>
    <w:p w14:paraId="6F6ACA90">
      <w:pPr>
        <w:keepNext w:val="0"/>
        <w:keepLines w:val="0"/>
        <w:pageBreakBefore w:val="0"/>
        <w:widowControl/>
        <w:tabs>
          <w:tab w:val="left" w:pos="312"/>
        </w:tabs>
        <w:kinsoku/>
        <w:wordWrap/>
        <w:overflowPunct/>
        <w:topLinePunct w:val="0"/>
        <w:autoSpaceDE/>
        <w:autoSpaceDN/>
        <w:bidi w:val="0"/>
        <w:adjustRightInd/>
        <w:snapToGrid/>
        <w:spacing w:beforeAutospacing="0" w:afterAutospacing="0" w:line="360" w:lineRule="auto"/>
        <w:jc w:val="left"/>
        <w:textAlignment w:val="auto"/>
        <w:rPr>
          <w:rFonts w:hint="eastAsia" w:ascii="宋体" w:hAnsi="宋体" w:eastAsia="宋体" w:cs="宋体"/>
          <w:highlight w:val="none"/>
        </w:rPr>
      </w:pPr>
      <w:r>
        <w:rPr>
          <w:rFonts w:hint="eastAsia" w:ascii="Calibri" w:hAnsi="Calibri"/>
          <w:color w:val="auto"/>
          <w:szCs w:val="21"/>
          <w:highlight w:val="none"/>
          <w:lang w:bidi="ar"/>
        </w:rPr>
        <w:t>2.</w:t>
      </w:r>
      <w:r>
        <w:rPr>
          <w:rFonts w:hint="eastAsia" w:ascii="宋体" w:hAnsi="宋体" w:cs="宋体"/>
          <w:color w:val="auto"/>
          <w:kern w:val="0"/>
          <w:szCs w:val="21"/>
          <w:highlight w:val="none"/>
          <w:lang w:bidi="ar"/>
        </w:rPr>
        <w:t>供应商须同时出具《关于符合本国产品标准的声明函》或财政部会同有关部门规定的有关证明文件。出具符合要求的《声明函》或有关证明文件的，该产品视为本国产品。</w:t>
      </w:r>
    </w:p>
    <w:p w14:paraId="1CF71B5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highlight w:val="none"/>
          <w:lang w:val="en-US" w:eastAsia="zh-CN"/>
        </w:rPr>
      </w:pPr>
      <w:r>
        <w:rPr>
          <w:rFonts w:hint="eastAsia" w:ascii="宋体" w:hAnsi="宋体" w:eastAsia="宋体" w:cs="宋体"/>
          <w:highlight w:val="none"/>
        </w:rPr>
        <w:br w:type="page"/>
      </w:r>
      <w:r>
        <w:rPr>
          <w:rFonts w:hint="eastAsia" w:ascii="宋体" w:hAnsi="宋体" w:eastAsia="宋体" w:cs="宋体"/>
          <w:highlight w:val="none"/>
          <w:lang w:val="en-US" w:eastAsia="zh-CN"/>
        </w:rPr>
        <w:t>附件10-4-1</w:t>
      </w:r>
    </w:p>
    <w:p w14:paraId="0A125E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highlight w:val="none"/>
        </w:rPr>
      </w:pPr>
      <w:r>
        <w:rPr>
          <w:rFonts w:hint="eastAsia" w:ascii="宋体" w:hAnsi="宋体" w:eastAsia="宋体" w:cs="宋体"/>
          <w:b/>
          <w:bCs/>
          <w:highlight w:val="none"/>
        </w:rPr>
        <w:t>关于符合本国产品标准的声明函</w:t>
      </w:r>
    </w:p>
    <w:p w14:paraId="4BDDA1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本公司（单位）郑重声明，根据《国务院办公厅关于在政府采购中实施本国产品标准及相关政策的通知》（国办发〔2025〕34号）的规定，本公司（单位）提供的以下产品属于本国产品。具体情况如下：</w:t>
      </w:r>
    </w:p>
    <w:p w14:paraId="5940D5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1.（产品名称1）</w:t>
      </w:r>
      <w:r>
        <w:rPr>
          <w:rFonts w:hint="eastAsia" w:ascii="宋体" w:hAnsi="宋体" w:eastAsia="宋体" w:cs="宋体"/>
          <w:sz w:val="32"/>
          <w:szCs w:val="40"/>
          <w:highlight w:val="none"/>
          <w:vertAlign w:val="superscript"/>
        </w:rPr>
        <w:t>1</w:t>
      </w:r>
      <w:r>
        <w:rPr>
          <w:rFonts w:hint="eastAsia" w:ascii="宋体" w:hAnsi="宋体" w:eastAsia="宋体" w:cs="宋体"/>
          <w:highlight w:val="none"/>
        </w:rPr>
        <w:t>，生产厂为（厂名）</w:t>
      </w:r>
      <w:r>
        <w:rPr>
          <w:rFonts w:hint="eastAsia" w:ascii="宋体" w:hAnsi="宋体" w:eastAsia="宋体" w:cs="宋体"/>
          <w:sz w:val="32"/>
          <w:szCs w:val="40"/>
          <w:highlight w:val="none"/>
          <w:vertAlign w:val="superscript"/>
        </w:rPr>
        <w:t>2</w:t>
      </w:r>
      <w:r>
        <w:rPr>
          <w:rFonts w:hint="eastAsia" w:ascii="宋体" w:hAnsi="宋体" w:eastAsia="宋体" w:cs="宋体"/>
          <w:highlight w:val="none"/>
        </w:rPr>
        <w:t>，厂址为（生产厂址）。（产品名称1）的中国境内生产的组件成本占比≥（规定比例）</w:t>
      </w:r>
      <w:r>
        <w:rPr>
          <w:rFonts w:hint="eastAsia" w:ascii="宋体" w:hAnsi="宋体" w:eastAsia="宋体" w:cs="宋体"/>
          <w:sz w:val="32"/>
          <w:szCs w:val="40"/>
          <w:highlight w:val="none"/>
          <w:vertAlign w:val="superscript"/>
        </w:rPr>
        <w:t>3</w:t>
      </w:r>
      <w:r>
        <w:rPr>
          <w:rFonts w:hint="eastAsia" w:ascii="宋体" w:hAnsi="宋体" w:eastAsia="宋体" w:cs="宋体"/>
          <w:highlight w:val="none"/>
        </w:rPr>
        <w:t>。（产品名称1）的（关键组件）</w:t>
      </w:r>
      <w:r>
        <w:rPr>
          <w:rFonts w:hint="eastAsia" w:ascii="宋体" w:hAnsi="宋体" w:eastAsia="宋体" w:cs="宋体"/>
          <w:sz w:val="32"/>
          <w:szCs w:val="40"/>
          <w:highlight w:val="none"/>
          <w:vertAlign w:val="superscript"/>
        </w:rPr>
        <w:t>4</w:t>
      </w:r>
      <w:r>
        <w:rPr>
          <w:rFonts w:hint="eastAsia" w:ascii="宋体" w:hAnsi="宋体" w:eastAsia="宋体" w:cs="宋体"/>
          <w:highlight w:val="none"/>
        </w:rPr>
        <w:t>在中国境内生产。（产品名称1）的（关键工序）</w:t>
      </w:r>
      <w:r>
        <w:rPr>
          <w:rFonts w:hint="eastAsia" w:ascii="宋体" w:hAnsi="宋体" w:eastAsia="宋体" w:cs="宋体"/>
          <w:sz w:val="32"/>
          <w:szCs w:val="40"/>
          <w:highlight w:val="none"/>
          <w:vertAlign w:val="superscript"/>
        </w:rPr>
        <w:t>5</w:t>
      </w:r>
      <w:r>
        <w:rPr>
          <w:rFonts w:hint="eastAsia" w:ascii="宋体" w:hAnsi="宋体" w:eastAsia="宋体" w:cs="宋体"/>
          <w:highlight w:val="none"/>
        </w:rPr>
        <w:t>在中国境内完成。</w:t>
      </w:r>
    </w:p>
    <w:p w14:paraId="02321F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产品名称2），生产厂为（厂名），厂址为（生产厂址）。（产品名称2）的中国境内生产的组件成本占比≥（规定比例）。（产品名称2）的（关键组件）中国境内生产。（产品名称2）的（关键工序）在中国境内完成。</w:t>
      </w:r>
    </w:p>
    <w:p w14:paraId="1ADA8D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w:t>
      </w:r>
    </w:p>
    <w:p w14:paraId="1884C6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本公司（单位）对上述声明内容的真实性负责。如有虚假，愿承担相应法律责任。</w:t>
      </w:r>
    </w:p>
    <w:p w14:paraId="25A79A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highlight w:val="none"/>
        </w:rPr>
      </w:pPr>
    </w:p>
    <w:p w14:paraId="50A794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highlight w:val="none"/>
        </w:rPr>
      </w:pPr>
      <w:r>
        <w:rPr>
          <w:rFonts w:hint="eastAsia" w:ascii="宋体" w:hAnsi="宋体" w:eastAsia="宋体" w:cs="宋体"/>
          <w:highlight w:val="none"/>
        </w:rPr>
        <w:t>公司（单位）名称（盖章）：</w:t>
      </w:r>
    </w:p>
    <w:p w14:paraId="161B2D4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highlight w:val="none"/>
        </w:rPr>
      </w:pPr>
      <w:r>
        <w:rPr>
          <w:rFonts w:hint="eastAsia" w:ascii="宋体" w:hAnsi="宋体" w:eastAsia="宋体" w:cs="宋体"/>
          <w:highlight w:val="none"/>
        </w:rPr>
        <w:t xml:space="preserve">日期： </w:t>
      </w:r>
      <w:r>
        <w:rPr>
          <w:rFonts w:hint="eastAsia" w:ascii="宋体" w:hAnsi="宋体" w:eastAsia="宋体" w:cs="宋体"/>
          <w:highlight w:val="none"/>
          <w:lang w:val="en-US" w:eastAsia="zh-CN"/>
        </w:rPr>
        <w:t xml:space="preserve">  </w:t>
      </w:r>
      <w:r>
        <w:rPr>
          <w:rFonts w:hint="eastAsia" w:ascii="宋体" w:hAnsi="宋体" w:eastAsia="宋体" w:cs="宋体"/>
          <w:highlight w:val="none"/>
        </w:rPr>
        <w:t xml:space="preserve">年 </w:t>
      </w:r>
      <w:r>
        <w:rPr>
          <w:rFonts w:hint="eastAsia" w:ascii="宋体" w:hAnsi="宋体" w:eastAsia="宋体" w:cs="宋体"/>
          <w:highlight w:val="none"/>
          <w:lang w:val="en-US" w:eastAsia="zh-CN"/>
        </w:rPr>
        <w:t xml:space="preserve">  </w:t>
      </w:r>
      <w:r>
        <w:rPr>
          <w:rFonts w:hint="eastAsia" w:ascii="宋体" w:hAnsi="宋体" w:eastAsia="宋体" w:cs="宋体"/>
          <w:highlight w:val="none"/>
        </w:rPr>
        <w:t>月</w:t>
      </w:r>
      <w:r>
        <w:rPr>
          <w:rFonts w:hint="eastAsia" w:ascii="宋体" w:hAnsi="宋体" w:eastAsia="宋体" w:cs="宋体"/>
          <w:highlight w:val="none"/>
          <w:lang w:val="en-US" w:eastAsia="zh-CN"/>
        </w:rPr>
        <w:t xml:space="preserve">  </w:t>
      </w:r>
      <w:r>
        <w:rPr>
          <w:rFonts w:hint="eastAsia" w:ascii="宋体" w:hAnsi="宋体" w:eastAsia="宋体" w:cs="宋体"/>
          <w:highlight w:val="none"/>
        </w:rPr>
        <w:t xml:space="preserve"> 日</w:t>
      </w:r>
    </w:p>
    <w:p w14:paraId="55054C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p>
    <w:p w14:paraId="287066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highlight w:val="none"/>
          <w:u w:val="single"/>
          <w:lang w:val="en-US" w:eastAsia="zh-CN"/>
        </w:rPr>
      </w:pPr>
      <w:r>
        <w:rPr>
          <w:rFonts w:hint="eastAsia" w:ascii="宋体" w:hAnsi="宋体" w:eastAsia="宋体" w:cs="宋体"/>
          <w:highlight w:val="none"/>
          <w:u w:val="single"/>
          <w:lang w:val="en-US" w:eastAsia="zh-CN"/>
        </w:rPr>
        <w:t xml:space="preserve">                          </w:t>
      </w:r>
    </w:p>
    <w:p w14:paraId="4DAC27C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1.产品如有型号，请在“产品名称”栏一并填写，多种产品应分别填写名称。</w:t>
      </w:r>
    </w:p>
    <w:p w14:paraId="3024BA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2.生产厂名与厂址应与生产厂营业执照载明的相关信息保持一致。</w:t>
      </w:r>
    </w:p>
    <w:p w14:paraId="5C6FEE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3.该产品的中国境内生产的组件成本占比相关要求实施前，“规定比例”栏可不填，下同。</w:t>
      </w:r>
    </w:p>
    <w:p w14:paraId="72BB8E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4.该产品的关键组件要求实施前，“关键组件”栏可不填，下同。</w:t>
      </w:r>
    </w:p>
    <w:p w14:paraId="6BAAF0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highlight w:val="none"/>
        </w:rPr>
      </w:pPr>
      <w:r>
        <w:rPr>
          <w:rFonts w:hint="eastAsia" w:ascii="宋体" w:hAnsi="宋体" w:eastAsia="宋体" w:cs="宋体"/>
          <w:highlight w:val="none"/>
        </w:rPr>
        <w:t>5.该产品的关键工序要求实施前，“关键工序”栏可不填，下同。</w:t>
      </w:r>
    </w:p>
    <w:p w14:paraId="41FEBB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val="en-US" w:eastAsia="zh-CN"/>
        </w:rPr>
      </w:pPr>
      <w:r>
        <w:rPr>
          <w:rFonts w:hint="eastAsia" w:ascii="宋体" w:hAnsi="宋体" w:eastAsia="宋体" w:cs="宋体"/>
          <w:highlight w:val="none"/>
        </w:rPr>
        <w:br w:type="page"/>
      </w:r>
      <w:r>
        <w:rPr>
          <w:rFonts w:hint="eastAsia" w:ascii="宋体" w:hAnsi="宋体" w:eastAsia="宋体" w:cs="宋体"/>
          <w:highlight w:val="none"/>
          <w:lang w:val="en-US" w:eastAsia="zh-CN"/>
        </w:rPr>
        <w:t>附件10-4-2</w:t>
      </w:r>
    </w:p>
    <w:p w14:paraId="5C1549C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bCs/>
          <w:highlight w:val="none"/>
        </w:rPr>
        <w:t>其他证明材料</w:t>
      </w:r>
    </w:p>
    <w:p w14:paraId="347FA647">
      <w:pPr>
        <w:adjustRightInd w:val="0"/>
        <w:snapToGrid w:val="0"/>
        <w:spacing w:before="50" w:line="360" w:lineRule="auto"/>
        <w:rPr>
          <w:rFonts w:hint="eastAsia" w:ascii="宋体" w:hAnsi="宋体" w:eastAsia="宋体" w:cs="宋体"/>
          <w:b/>
          <w:color w:val="auto"/>
          <w:sz w:val="21"/>
          <w:szCs w:val="21"/>
          <w:highlight w:val="none"/>
        </w:rPr>
      </w:pPr>
    </w:p>
    <w:p w14:paraId="62944D1A">
      <w:pPr>
        <w:adjustRightInd w:val="0"/>
        <w:snapToGrid w:val="0"/>
        <w:spacing w:before="50" w:line="360" w:lineRule="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br w:type="page"/>
      </w:r>
    </w:p>
    <w:p w14:paraId="522287F6">
      <w:pPr>
        <w:adjustRightInd w:val="0"/>
        <w:snapToGrid w:val="0"/>
        <w:spacing w:before="50" w:line="360" w:lineRule="auto"/>
        <w:rPr>
          <w:rFonts w:hint="eastAsia" w:ascii="宋体" w:hAnsi="宋体" w:cs="宋体"/>
          <w:bCs/>
          <w:color w:val="auto"/>
          <w:szCs w:val="21"/>
          <w:highlight w:val="none"/>
        </w:rPr>
      </w:pPr>
    </w:p>
    <w:p w14:paraId="725ED64E">
      <w:pPr>
        <w:adjustRightInd w:val="0"/>
        <w:snapToGrid w:val="0"/>
        <w:spacing w:line="360" w:lineRule="auto"/>
        <w:ind w:firstLine="803" w:firstLineChars="250"/>
        <w:jc w:val="center"/>
        <w:outlineLvl w:val="1"/>
        <w:rPr>
          <w:rFonts w:hint="eastAsia" w:ascii="宋体" w:hAnsi="宋体" w:cs="宋体"/>
          <w:color w:val="auto"/>
          <w:szCs w:val="21"/>
          <w:highlight w:val="none"/>
        </w:rPr>
      </w:pPr>
      <w:bookmarkStart w:id="149" w:name="_Toc28930"/>
      <w:bookmarkStart w:id="150" w:name="_Toc681"/>
      <w:r>
        <w:rPr>
          <w:rFonts w:hint="eastAsia" w:ascii="宋体" w:hAnsi="宋体" w:cs="宋体"/>
          <w:b/>
          <w:bCs/>
          <w:color w:val="auto"/>
          <w:sz w:val="32"/>
          <w:szCs w:val="32"/>
          <w:highlight w:val="none"/>
        </w:rPr>
        <w:t>七、</w:t>
      </w:r>
      <w:r>
        <w:rPr>
          <w:rFonts w:hint="eastAsia" w:ascii="宋体" w:hAnsi="宋体" w:cs="宋体"/>
          <w:b/>
          <w:color w:val="auto"/>
          <w:sz w:val="32"/>
          <w:szCs w:val="32"/>
          <w:highlight w:val="none"/>
        </w:rPr>
        <w:t>报价一览表及报价文件</w:t>
      </w:r>
      <w:bookmarkEnd w:id="149"/>
      <w:bookmarkEnd w:id="150"/>
    </w:p>
    <w:p w14:paraId="046D29BA">
      <w:pPr>
        <w:adjustRightInd w:val="0"/>
        <w:snapToGrid w:val="0"/>
        <w:rPr>
          <w:rFonts w:hint="eastAsia" w:ascii="宋体" w:hAnsi="宋体" w:cs="宋体"/>
          <w:b/>
          <w:color w:val="auto"/>
          <w:sz w:val="21"/>
          <w:szCs w:val="21"/>
          <w:highlight w:val="none"/>
        </w:rPr>
      </w:pPr>
    </w:p>
    <w:p w14:paraId="60DB521B">
      <w:pPr>
        <w:adjustRightInd w:val="0"/>
        <w:snapToGrid w:val="0"/>
        <w:rPr>
          <w:rFonts w:hint="eastAsia" w:ascii="宋体" w:hAnsi="宋体" w:cs="宋体"/>
          <w:b/>
          <w:color w:val="auto"/>
          <w:sz w:val="21"/>
          <w:szCs w:val="21"/>
          <w:highlight w:val="none"/>
        </w:rPr>
      </w:pPr>
      <w:r>
        <w:rPr>
          <w:rFonts w:hint="eastAsia" w:ascii="宋体" w:hAnsi="宋体" w:cs="宋体"/>
          <w:b/>
          <w:color w:val="auto"/>
          <w:sz w:val="21"/>
          <w:szCs w:val="21"/>
          <w:highlight w:val="none"/>
        </w:rPr>
        <w:t>附件11：</w:t>
      </w:r>
    </w:p>
    <w:p w14:paraId="67B7A218">
      <w:pPr>
        <w:adjustRightInd w:val="0"/>
        <w:snapToGrid w:val="0"/>
        <w:rPr>
          <w:rFonts w:hint="eastAsia" w:ascii="宋体" w:hAnsi="宋体" w:cs="宋体"/>
          <w:color w:val="auto"/>
          <w:sz w:val="21"/>
          <w:szCs w:val="21"/>
          <w:highlight w:val="none"/>
        </w:rPr>
      </w:pPr>
    </w:p>
    <w:tbl>
      <w:tblPr>
        <w:tblStyle w:val="18"/>
        <w:tblW w:w="8542"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34"/>
        <w:gridCol w:w="1486"/>
        <w:gridCol w:w="2242"/>
      </w:tblGrid>
      <w:tr w14:paraId="0FF66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1B7FF377">
            <w:pPr>
              <w:keepNext w:val="0"/>
              <w:keepLines w:val="0"/>
              <w:pageBreakBefore w:val="0"/>
              <w:widowControl w:val="0"/>
              <w:suppressLineNumbers w:val="0"/>
              <w:tabs>
                <w:tab w:val="left" w:pos="403"/>
                <w:tab w:val="center" w:pos="3781"/>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0EE5A048">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p>
        </w:tc>
        <w:tc>
          <w:tcPr>
            <w:tcW w:w="1620" w:type="dxa"/>
            <w:gridSpan w:val="2"/>
            <w:tcBorders>
              <w:top w:val="double" w:color="auto" w:sz="4" w:space="0"/>
              <w:left w:val="single" w:color="auto" w:sz="6" w:space="0"/>
              <w:bottom w:val="single" w:color="auto" w:sz="6" w:space="0"/>
              <w:right w:val="single" w:color="auto" w:sz="6" w:space="0"/>
            </w:tcBorders>
            <w:vAlign w:val="center"/>
          </w:tcPr>
          <w:p w14:paraId="40450F98">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政府采购编号</w:t>
            </w:r>
          </w:p>
        </w:tc>
        <w:tc>
          <w:tcPr>
            <w:tcW w:w="2242" w:type="dxa"/>
            <w:tcBorders>
              <w:top w:val="double" w:color="auto" w:sz="4" w:space="0"/>
              <w:left w:val="single" w:color="auto" w:sz="6" w:space="0"/>
              <w:bottom w:val="single" w:color="auto" w:sz="6" w:space="0"/>
              <w:right w:val="double" w:color="auto" w:sz="4" w:space="0"/>
            </w:tcBorders>
            <w:vAlign w:val="center"/>
          </w:tcPr>
          <w:p w14:paraId="41E27820">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p>
        </w:tc>
      </w:tr>
      <w:tr w14:paraId="7B9E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5F9CF24A">
            <w:pPr>
              <w:keepNext w:val="0"/>
              <w:keepLines w:val="0"/>
              <w:pageBreakBefore w:val="0"/>
              <w:widowControl w:val="0"/>
              <w:suppressLineNumbers w:val="0"/>
              <w:tabs>
                <w:tab w:val="left" w:pos="403"/>
                <w:tab w:val="center" w:pos="3781"/>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755C4F2B">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p>
        </w:tc>
        <w:tc>
          <w:tcPr>
            <w:tcW w:w="1620" w:type="dxa"/>
            <w:gridSpan w:val="2"/>
            <w:tcBorders>
              <w:top w:val="single" w:color="auto" w:sz="6" w:space="0"/>
              <w:left w:val="single" w:color="auto" w:sz="6" w:space="0"/>
              <w:bottom w:val="single" w:color="auto" w:sz="6" w:space="0"/>
              <w:right w:val="single" w:color="auto" w:sz="6" w:space="0"/>
            </w:tcBorders>
            <w:vAlign w:val="center"/>
          </w:tcPr>
          <w:p w14:paraId="55984AEB">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采购代理编号</w:t>
            </w:r>
          </w:p>
        </w:tc>
        <w:tc>
          <w:tcPr>
            <w:tcW w:w="2242" w:type="dxa"/>
            <w:tcBorders>
              <w:top w:val="single" w:color="auto" w:sz="6" w:space="0"/>
              <w:left w:val="single" w:color="auto" w:sz="6" w:space="0"/>
              <w:bottom w:val="single" w:color="auto" w:sz="6" w:space="0"/>
              <w:right w:val="double" w:color="auto" w:sz="4" w:space="0"/>
            </w:tcBorders>
            <w:vAlign w:val="center"/>
          </w:tcPr>
          <w:p w14:paraId="3A4E8C55">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jc w:val="center"/>
              <w:textAlignment w:val="auto"/>
              <w:rPr>
                <w:rFonts w:hint="eastAsia" w:ascii="宋体" w:hAnsi="宋体" w:cs="宋体"/>
                <w:color w:val="auto"/>
                <w:sz w:val="21"/>
                <w:szCs w:val="21"/>
                <w:highlight w:val="none"/>
              </w:rPr>
            </w:pPr>
          </w:p>
        </w:tc>
      </w:tr>
      <w:tr w14:paraId="13D42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tcBorders>
              <w:top w:val="single" w:color="auto" w:sz="6" w:space="0"/>
              <w:left w:val="double" w:color="auto" w:sz="4" w:space="0"/>
              <w:right w:val="single" w:color="auto" w:sz="6" w:space="0"/>
            </w:tcBorders>
            <w:vAlign w:val="center"/>
          </w:tcPr>
          <w:p w14:paraId="0F954959">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报价</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14576CE2">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大写：</w:t>
            </w:r>
            <w:r>
              <w:rPr>
                <w:rFonts w:hint="eastAsia" w:ascii="宋体" w:hAnsi="宋体" w:cs="宋体"/>
                <w:color w:val="auto"/>
                <w:sz w:val="21"/>
                <w:szCs w:val="21"/>
                <w:highlight w:val="none"/>
                <w:u w:val="single"/>
              </w:rPr>
              <w:t xml:space="preserve">                       </w:t>
            </w:r>
          </w:p>
          <w:p w14:paraId="57941081">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小写：</w:t>
            </w:r>
            <w:r>
              <w:rPr>
                <w:rFonts w:hint="eastAsia" w:ascii="宋体" w:hAnsi="宋体" w:cs="宋体"/>
                <w:color w:val="auto"/>
                <w:sz w:val="21"/>
                <w:szCs w:val="21"/>
                <w:highlight w:val="none"/>
                <w:u w:val="single"/>
              </w:rPr>
              <w:t xml:space="preserve">                       </w:t>
            </w:r>
          </w:p>
        </w:tc>
      </w:tr>
      <w:tr w14:paraId="5A047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tcBorders>
              <w:top w:val="single" w:color="auto" w:sz="6" w:space="0"/>
              <w:left w:val="double" w:color="auto" w:sz="4" w:space="0"/>
              <w:bottom w:val="single" w:color="auto" w:sz="6" w:space="0"/>
              <w:right w:val="single" w:color="auto" w:sz="6" w:space="0"/>
            </w:tcBorders>
            <w:vAlign w:val="center"/>
          </w:tcPr>
          <w:p w14:paraId="53252D79">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交货期</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730D7C48">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iCs/>
                <w:color w:val="auto"/>
                <w:sz w:val="21"/>
                <w:szCs w:val="21"/>
                <w:highlight w:val="none"/>
              </w:rPr>
            </w:pPr>
          </w:p>
        </w:tc>
      </w:tr>
      <w:tr w14:paraId="3B5819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tcBorders>
              <w:top w:val="single" w:color="auto" w:sz="6" w:space="0"/>
              <w:left w:val="double" w:color="auto" w:sz="4" w:space="0"/>
              <w:bottom w:val="single" w:color="auto" w:sz="6" w:space="0"/>
              <w:right w:val="single" w:color="auto" w:sz="6" w:space="0"/>
            </w:tcBorders>
            <w:vAlign w:val="center"/>
          </w:tcPr>
          <w:p w14:paraId="2A828FCE">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质量保证期</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4C87519E">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p>
        </w:tc>
      </w:tr>
      <w:tr w14:paraId="643A4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tcBorders>
              <w:top w:val="single" w:color="auto" w:sz="6" w:space="0"/>
              <w:left w:val="double" w:color="auto" w:sz="4" w:space="0"/>
              <w:bottom w:val="single" w:color="auto" w:sz="6" w:space="0"/>
              <w:right w:val="single" w:color="auto" w:sz="6" w:space="0"/>
            </w:tcBorders>
            <w:vAlign w:val="center"/>
          </w:tcPr>
          <w:p w14:paraId="79501F8A">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项目负责人</w:t>
            </w:r>
          </w:p>
        </w:tc>
        <w:tc>
          <w:tcPr>
            <w:tcW w:w="3194" w:type="dxa"/>
            <w:gridSpan w:val="2"/>
            <w:tcBorders>
              <w:top w:val="single" w:color="auto" w:sz="6" w:space="0"/>
              <w:left w:val="single" w:color="auto" w:sz="6" w:space="0"/>
              <w:bottom w:val="single" w:color="auto" w:sz="6" w:space="0"/>
              <w:right w:val="single" w:color="auto" w:sz="4" w:space="0"/>
            </w:tcBorders>
            <w:vAlign w:val="center"/>
          </w:tcPr>
          <w:p w14:paraId="351AD703">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p>
        </w:tc>
        <w:tc>
          <w:tcPr>
            <w:tcW w:w="1486" w:type="dxa"/>
            <w:tcBorders>
              <w:top w:val="single" w:color="auto" w:sz="6" w:space="0"/>
              <w:left w:val="single" w:color="auto" w:sz="4" w:space="0"/>
              <w:bottom w:val="single" w:color="auto" w:sz="6" w:space="0"/>
              <w:right w:val="single" w:color="auto" w:sz="4" w:space="0"/>
            </w:tcBorders>
            <w:vAlign w:val="center"/>
          </w:tcPr>
          <w:p w14:paraId="567AAFA3">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联系电话</w:t>
            </w:r>
          </w:p>
        </w:tc>
        <w:tc>
          <w:tcPr>
            <w:tcW w:w="2242" w:type="dxa"/>
            <w:tcBorders>
              <w:top w:val="single" w:color="auto" w:sz="6" w:space="0"/>
              <w:left w:val="single" w:color="auto" w:sz="4" w:space="0"/>
              <w:bottom w:val="single" w:color="auto" w:sz="6" w:space="0"/>
              <w:right w:val="double" w:color="auto" w:sz="4" w:space="0"/>
            </w:tcBorders>
            <w:vAlign w:val="center"/>
          </w:tcPr>
          <w:p w14:paraId="6282E3A3">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p>
        </w:tc>
      </w:tr>
      <w:tr w14:paraId="5BCEC8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20" w:type="dxa"/>
            <w:tcBorders>
              <w:top w:val="single" w:color="auto" w:sz="6" w:space="0"/>
              <w:left w:val="double" w:color="auto" w:sz="4" w:space="0"/>
              <w:bottom w:val="double" w:color="auto" w:sz="4" w:space="0"/>
              <w:right w:val="single" w:color="auto" w:sz="6" w:space="0"/>
            </w:tcBorders>
            <w:vAlign w:val="center"/>
          </w:tcPr>
          <w:p w14:paraId="24AC49BC">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备  注</w:t>
            </w:r>
          </w:p>
        </w:tc>
        <w:tc>
          <w:tcPr>
            <w:tcW w:w="6922" w:type="dxa"/>
            <w:gridSpan w:val="4"/>
            <w:tcBorders>
              <w:top w:val="single" w:color="auto" w:sz="6" w:space="0"/>
              <w:left w:val="single" w:color="auto" w:sz="6" w:space="0"/>
              <w:bottom w:val="double" w:color="auto" w:sz="4" w:space="0"/>
              <w:right w:val="double" w:color="auto" w:sz="4" w:space="0"/>
            </w:tcBorders>
            <w:vAlign w:val="center"/>
          </w:tcPr>
          <w:p w14:paraId="679AC756">
            <w:pPr>
              <w:keepNext w:val="0"/>
              <w:keepLines w:val="0"/>
              <w:pageBreakBefore w:val="0"/>
              <w:widowControl w:val="0"/>
              <w:suppressLineNumbers w:val="0"/>
              <w:kinsoku/>
              <w:wordWrap/>
              <w:overflowPunct/>
              <w:topLinePunct w:val="0"/>
              <w:autoSpaceDE/>
              <w:autoSpaceDN/>
              <w:bidi w:val="0"/>
              <w:adjustRightInd/>
              <w:snapToGrid/>
              <w:spacing w:before="161" w:beforeLines="50" w:beforeAutospacing="0" w:after="161" w:afterLines="50" w:afterAutospacing="0" w:line="240" w:lineRule="auto"/>
              <w:ind w:left="0" w:right="0" w:firstLine="0" w:firstLineChars="0"/>
              <w:textAlignment w:val="auto"/>
              <w:rPr>
                <w:rFonts w:hint="eastAsia" w:ascii="宋体" w:hAnsi="宋体" w:cs="宋体"/>
                <w:color w:val="auto"/>
                <w:sz w:val="21"/>
                <w:szCs w:val="21"/>
                <w:highlight w:val="none"/>
              </w:rPr>
            </w:pPr>
          </w:p>
        </w:tc>
      </w:tr>
    </w:tbl>
    <w:p w14:paraId="5B9701EE">
      <w:pPr>
        <w:adjustRightInd w:val="0"/>
        <w:snapToGrid w:val="0"/>
        <w:spacing w:line="360" w:lineRule="auto"/>
        <w:rPr>
          <w:rFonts w:hint="eastAsia" w:ascii="宋体" w:hAnsi="宋体" w:cs="宋体"/>
          <w:color w:val="auto"/>
          <w:sz w:val="21"/>
          <w:szCs w:val="21"/>
          <w:highlight w:val="none"/>
        </w:rPr>
      </w:pPr>
    </w:p>
    <w:p w14:paraId="31B42808">
      <w:pPr>
        <w:adjustRightInd w:val="0"/>
        <w:snapToGrid w:val="0"/>
        <w:spacing w:line="360" w:lineRule="auto"/>
        <w:rPr>
          <w:rFonts w:hint="eastAsia" w:ascii="宋体" w:hAnsi="宋体" w:cs="宋体"/>
          <w:color w:val="auto"/>
          <w:sz w:val="21"/>
          <w:szCs w:val="21"/>
          <w:highlight w:val="none"/>
        </w:rPr>
      </w:pPr>
    </w:p>
    <w:p w14:paraId="41752587">
      <w:pPr>
        <w:adjustRightInd w:val="0"/>
        <w:snapToGrid w:val="0"/>
        <w:spacing w:line="360" w:lineRule="auto"/>
        <w:rPr>
          <w:rFonts w:hint="eastAsia" w:ascii="宋体" w:hAnsi="宋体" w:cs="宋体"/>
          <w:color w:val="auto"/>
          <w:sz w:val="21"/>
          <w:szCs w:val="21"/>
          <w:highlight w:val="none"/>
        </w:rPr>
      </w:pPr>
    </w:p>
    <w:p w14:paraId="5506B0AC">
      <w:pPr>
        <w:adjustRightInd w:val="0"/>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供应商（盖单位章）：</w:t>
      </w:r>
    </w:p>
    <w:p w14:paraId="2269F464">
      <w:pPr>
        <w:adjustRightInd w:val="0"/>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法定代表人或其委托代理人签字：</w:t>
      </w:r>
      <w:r>
        <w:rPr>
          <w:rFonts w:hint="eastAsia" w:ascii="宋体" w:hAnsi="宋体" w:cs="宋体"/>
          <w:color w:val="auto"/>
          <w:sz w:val="21"/>
          <w:szCs w:val="21"/>
          <w:highlight w:val="none"/>
          <w:u w:val="single"/>
        </w:rPr>
        <w:t xml:space="preserve">       </w:t>
      </w:r>
    </w:p>
    <w:p w14:paraId="073F06E3">
      <w:pPr>
        <w:adjustRightInd w:val="0"/>
        <w:snapToGrid w:val="0"/>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日期：</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日</w:t>
      </w:r>
    </w:p>
    <w:p w14:paraId="482B6718">
      <w:pPr>
        <w:adjustRightInd w:val="0"/>
        <w:snapToGrid w:val="0"/>
        <w:jc w:val="right"/>
        <w:rPr>
          <w:rFonts w:hint="eastAsia" w:ascii="宋体" w:hAnsi="宋体" w:cs="宋体"/>
          <w:color w:val="auto"/>
          <w:szCs w:val="21"/>
          <w:highlight w:val="none"/>
        </w:rPr>
      </w:pPr>
    </w:p>
    <w:p w14:paraId="74DD59DE">
      <w:pPr>
        <w:adjustRightInd w:val="0"/>
        <w:snapToGrid w:val="0"/>
        <w:jc w:val="right"/>
        <w:rPr>
          <w:rFonts w:hint="eastAsia" w:ascii="宋体" w:hAnsi="宋体" w:cs="宋体"/>
          <w:color w:val="auto"/>
          <w:szCs w:val="21"/>
          <w:highlight w:val="none"/>
        </w:rPr>
      </w:pPr>
    </w:p>
    <w:p w14:paraId="6E3FBBB4">
      <w:pP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p>
    <w:p w14:paraId="2591D2F6">
      <w:pPr>
        <w:adjustRightInd w:val="0"/>
        <w:snapToGrid w:val="0"/>
        <w:jc w:val="center"/>
        <w:rPr>
          <w:rFonts w:hint="eastAsia" w:ascii="宋体" w:hAnsi="宋体" w:cs="宋体"/>
          <w:b/>
          <w:color w:val="auto"/>
          <w:sz w:val="28"/>
          <w:szCs w:val="28"/>
          <w:highlight w:val="none"/>
        </w:rPr>
      </w:pPr>
    </w:p>
    <w:p w14:paraId="48333462">
      <w:pPr>
        <w:adjustRightInd w:val="0"/>
        <w:snapToGrid w:val="0"/>
        <w:spacing w:line="400" w:lineRule="exact"/>
        <w:ind w:right="23" w:rightChars="11"/>
        <w:rPr>
          <w:rFonts w:hint="eastAsia" w:ascii="宋体" w:hAnsi="宋体" w:cs="宋体"/>
          <w:b/>
          <w:color w:val="auto"/>
          <w:sz w:val="30"/>
          <w:szCs w:val="30"/>
          <w:highlight w:val="none"/>
        </w:rPr>
      </w:pPr>
      <w:bookmarkStart w:id="151" w:name="_Toc28748"/>
      <w:r>
        <w:rPr>
          <w:rFonts w:hint="eastAsia" w:ascii="宋体" w:hAnsi="宋体" w:cs="宋体"/>
          <w:b/>
          <w:color w:val="auto"/>
          <w:sz w:val="30"/>
          <w:szCs w:val="30"/>
          <w:highlight w:val="none"/>
        </w:rPr>
        <w:t>附件：11-1</w:t>
      </w:r>
      <w:bookmarkEnd w:id="151"/>
    </w:p>
    <w:p w14:paraId="5F7CA5FE">
      <w:pPr>
        <w:tabs>
          <w:tab w:val="left" w:pos="1890"/>
        </w:tabs>
        <w:adjustRightInd w:val="0"/>
        <w:snapToGrid w:val="0"/>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分项价格表</w:t>
      </w:r>
    </w:p>
    <w:p w14:paraId="4E52745E">
      <w:pPr>
        <w:tabs>
          <w:tab w:val="left" w:pos="1890"/>
        </w:tabs>
        <w:spacing w:line="360" w:lineRule="exact"/>
        <w:ind w:firstLine="211" w:firstLineChars="1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项目名称：</w:t>
      </w:r>
    </w:p>
    <w:p w14:paraId="17794BC8">
      <w:pPr>
        <w:tabs>
          <w:tab w:val="left" w:pos="1890"/>
        </w:tabs>
        <w:spacing w:line="360" w:lineRule="exact"/>
        <w:ind w:firstLine="211" w:firstLineChars="1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包号：                                               金额单位：元     </w:t>
      </w:r>
    </w:p>
    <w:tbl>
      <w:tblPr>
        <w:tblStyle w:val="18"/>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899"/>
        <w:gridCol w:w="817"/>
        <w:gridCol w:w="955"/>
        <w:gridCol w:w="955"/>
        <w:gridCol w:w="602"/>
        <w:gridCol w:w="602"/>
        <w:gridCol w:w="699"/>
        <w:gridCol w:w="699"/>
        <w:gridCol w:w="844"/>
        <w:gridCol w:w="844"/>
      </w:tblGrid>
      <w:tr w14:paraId="793EE6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1754D9D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527" w:type="pct"/>
            <w:vAlign w:val="center"/>
          </w:tcPr>
          <w:p w14:paraId="6E3455A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479" w:type="pct"/>
            <w:vAlign w:val="center"/>
          </w:tcPr>
          <w:p w14:paraId="0AA8A09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560" w:type="pct"/>
            <w:vAlign w:val="center"/>
          </w:tcPr>
          <w:p w14:paraId="524D8AA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560" w:type="pct"/>
            <w:vAlign w:val="center"/>
          </w:tcPr>
          <w:p w14:paraId="231D9F9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制造厂商</w:t>
            </w:r>
          </w:p>
        </w:tc>
        <w:tc>
          <w:tcPr>
            <w:tcW w:w="353" w:type="pct"/>
            <w:vAlign w:val="center"/>
          </w:tcPr>
          <w:p w14:paraId="0D4EABA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小微企业</w:t>
            </w:r>
          </w:p>
        </w:tc>
        <w:tc>
          <w:tcPr>
            <w:tcW w:w="353" w:type="pct"/>
            <w:vAlign w:val="center"/>
          </w:tcPr>
          <w:p w14:paraId="01DD43D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410" w:type="pct"/>
            <w:vAlign w:val="center"/>
          </w:tcPr>
          <w:p w14:paraId="75DC4F7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10" w:type="pct"/>
            <w:vAlign w:val="center"/>
          </w:tcPr>
          <w:p w14:paraId="202B9E6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495" w:type="pct"/>
            <w:vAlign w:val="center"/>
          </w:tcPr>
          <w:p w14:paraId="1EB05F4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政策功能编码</w:t>
            </w:r>
          </w:p>
        </w:tc>
        <w:tc>
          <w:tcPr>
            <w:tcW w:w="495" w:type="pct"/>
            <w:vAlign w:val="center"/>
          </w:tcPr>
          <w:p w14:paraId="08BB92F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55BCF7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3336AD7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222B334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22C07EF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73739EF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666F18D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0DAF9D0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5085242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70ED6C8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0A866D0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0C847A4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45450C5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5C24C6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30ABE8B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4F9DD34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3295D0B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7CC7D4A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61B3A6F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5843CDA3">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156EB1F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3E0C0A9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7D1E223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4BA7BFF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468BD26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28BED5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2823A52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10F8E73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0569CCA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196D11B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0B2DD81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3E1F51BB">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082BD57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0110DAF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54235B1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4844388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15F9F39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0788F2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1" w:type="pct"/>
            <w:gridSpan w:val="2"/>
            <w:vAlign w:val="center"/>
          </w:tcPr>
          <w:p w14:paraId="75D8B13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479" w:type="pct"/>
            <w:vAlign w:val="center"/>
          </w:tcPr>
          <w:p w14:paraId="7FE40E6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245231E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4D188079">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3F3FB8F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969768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16AF9B7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6509B0E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73A71B3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569679B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bl>
    <w:p w14:paraId="58FD0938">
      <w:pPr>
        <w:tabs>
          <w:tab w:val="left" w:pos="1890"/>
        </w:tabs>
        <w:spacing w:line="360" w:lineRule="exact"/>
        <w:rPr>
          <w:rFonts w:hint="eastAsia" w:ascii="宋体" w:hAnsi="宋体" w:eastAsia="宋体" w:cs="宋体"/>
          <w:b/>
          <w:color w:val="auto"/>
          <w:sz w:val="21"/>
          <w:szCs w:val="21"/>
          <w:highlight w:val="none"/>
        </w:rPr>
      </w:pPr>
    </w:p>
    <w:p w14:paraId="11FA97A1">
      <w:pPr>
        <w:tabs>
          <w:tab w:val="left" w:pos="1890"/>
        </w:tabs>
        <w:adjustRightInd w:val="0"/>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报价金额合计：小写：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F38D190">
      <w:pPr>
        <w:tabs>
          <w:tab w:val="left" w:pos="1890"/>
        </w:tabs>
        <w:spacing w:line="360" w:lineRule="exact"/>
        <w:ind w:firstLine="1470" w:firstLineChars="700"/>
        <w:rPr>
          <w:rFonts w:hint="eastAsia" w:ascii="宋体" w:hAnsi="宋体" w:eastAsia="宋体" w:cs="宋体"/>
          <w:color w:val="auto"/>
          <w:sz w:val="21"/>
          <w:szCs w:val="21"/>
          <w:highlight w:val="none"/>
          <w:u w:val="single"/>
        </w:rPr>
      </w:pPr>
    </w:p>
    <w:p w14:paraId="2A31375E">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说明：中小企业是指制造厂商为“</w:t>
      </w:r>
      <w:r>
        <w:rPr>
          <w:rFonts w:hint="eastAsia" w:ascii="宋体" w:hAnsi="宋体" w:eastAsia="宋体" w:cs="宋体"/>
          <w:color w:val="auto"/>
          <w:kern w:val="0"/>
          <w:sz w:val="21"/>
          <w:szCs w:val="21"/>
          <w:highlight w:val="none"/>
        </w:rPr>
        <w:t>中型</w:t>
      </w:r>
      <w:r>
        <w:rPr>
          <w:rFonts w:hint="eastAsia" w:ascii="宋体" w:hAnsi="宋体" w:eastAsia="宋体" w:cs="宋体"/>
          <w:color w:val="auto"/>
          <w:sz w:val="21"/>
          <w:szCs w:val="21"/>
          <w:highlight w:val="none"/>
        </w:rPr>
        <w:t>企业”</w:t>
      </w:r>
      <w:r>
        <w:rPr>
          <w:rFonts w:hint="eastAsia" w:ascii="宋体" w:hAnsi="宋体" w:eastAsia="宋体" w:cs="宋体"/>
          <w:color w:val="auto"/>
          <w:kern w:val="0"/>
          <w:sz w:val="21"/>
          <w:szCs w:val="21"/>
          <w:highlight w:val="none"/>
        </w:rPr>
        <w:t>或者“小型、微型</w:t>
      </w:r>
      <w:r>
        <w:rPr>
          <w:rFonts w:hint="eastAsia" w:ascii="宋体" w:hAnsi="宋体" w:eastAsia="宋体" w:cs="宋体"/>
          <w:color w:val="auto"/>
          <w:sz w:val="21"/>
          <w:szCs w:val="21"/>
          <w:highlight w:val="none"/>
        </w:rPr>
        <w:t>企业</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。政策功能编码是指产品的中国环境标志认证证书编号、节能标志认证证书号。</w:t>
      </w:r>
    </w:p>
    <w:p w14:paraId="7FE548CF">
      <w:pPr>
        <w:tabs>
          <w:tab w:val="left" w:pos="1890"/>
        </w:tabs>
        <w:adjustRightInd w:val="0"/>
        <w:snapToGrid w:val="0"/>
        <w:spacing w:line="360" w:lineRule="auto"/>
        <w:rPr>
          <w:rFonts w:hint="eastAsia" w:ascii="宋体" w:hAnsi="宋体" w:eastAsia="宋体" w:cs="宋体"/>
          <w:color w:val="auto"/>
          <w:sz w:val="21"/>
          <w:szCs w:val="21"/>
          <w:highlight w:val="none"/>
        </w:rPr>
      </w:pPr>
    </w:p>
    <w:p w14:paraId="257D1168">
      <w:pPr>
        <w:tabs>
          <w:tab w:val="left" w:pos="1890"/>
        </w:tabs>
        <w:adjustRightInd w:val="0"/>
        <w:snapToGrid w:val="0"/>
        <w:spacing w:line="360" w:lineRule="auto"/>
        <w:rPr>
          <w:rFonts w:hint="eastAsia" w:ascii="宋体" w:hAnsi="宋体" w:eastAsia="宋体" w:cs="宋体"/>
          <w:color w:val="auto"/>
          <w:sz w:val="21"/>
          <w:szCs w:val="21"/>
          <w:highlight w:val="none"/>
        </w:rPr>
      </w:pPr>
    </w:p>
    <w:p w14:paraId="5F9653F5">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供应商（盖单位章）：</w:t>
      </w:r>
    </w:p>
    <w:p w14:paraId="7FA10E9B">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w:t>
      </w:r>
      <w:r>
        <w:rPr>
          <w:rFonts w:hint="eastAsia" w:ascii="宋体" w:hAnsi="宋体" w:eastAsia="宋体" w:cs="宋体"/>
          <w:color w:val="auto"/>
          <w:sz w:val="21"/>
          <w:szCs w:val="21"/>
          <w:highlight w:val="none"/>
          <w:u w:val="single"/>
        </w:rPr>
        <w:t xml:space="preserve">       </w:t>
      </w:r>
    </w:p>
    <w:p w14:paraId="3A19FB32">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0C73C2C">
      <w:pPr>
        <w:rPr>
          <w:rFonts w:hint="eastAsia" w:ascii="宋体" w:hAnsi="宋体" w:cs="宋体"/>
          <w:color w:val="auto"/>
          <w:highlight w:val="none"/>
        </w:rPr>
      </w:pPr>
      <w:r>
        <w:rPr>
          <w:rFonts w:hint="eastAsia" w:ascii="宋体" w:hAnsi="宋体" w:cs="宋体"/>
          <w:color w:val="auto"/>
          <w:highlight w:val="none"/>
        </w:rPr>
        <w:br w:type="page"/>
      </w:r>
    </w:p>
    <w:p w14:paraId="64500FF1">
      <w:pPr>
        <w:rPr>
          <w:rFonts w:hint="eastAsia" w:ascii="宋体" w:hAnsi="宋体" w:cs="宋体"/>
          <w:color w:val="auto"/>
          <w:highlight w:val="none"/>
        </w:rPr>
      </w:pPr>
    </w:p>
    <w:p w14:paraId="7CFCAA41">
      <w:pPr>
        <w:numPr>
          <w:ilvl w:val="0"/>
          <w:numId w:val="0"/>
        </w:numPr>
        <w:adjustRightInd w:val="0"/>
        <w:snapToGrid w:val="0"/>
        <w:spacing w:line="360" w:lineRule="auto"/>
        <w:ind w:left="-88" w:leftChars="-42"/>
        <w:jc w:val="center"/>
        <w:outlineLvl w:val="1"/>
        <w:rPr>
          <w:rFonts w:hint="eastAsia" w:ascii="宋体" w:hAnsi="宋体" w:cs="宋体"/>
          <w:b/>
          <w:bCs/>
          <w:color w:val="auto"/>
          <w:sz w:val="32"/>
          <w:szCs w:val="32"/>
          <w:highlight w:val="none"/>
        </w:rPr>
      </w:pPr>
      <w:bookmarkStart w:id="152" w:name="_Toc11249"/>
      <w:bookmarkStart w:id="153" w:name="_Toc27499"/>
      <w:r>
        <w:rPr>
          <w:rFonts w:hint="eastAsia" w:ascii="宋体" w:hAnsi="宋体" w:eastAsia="宋体" w:cs="Times New Roman"/>
          <w:b/>
          <w:bCs/>
          <w:color w:val="auto"/>
          <w:kern w:val="2"/>
          <w:sz w:val="32"/>
          <w:szCs w:val="32"/>
          <w:highlight w:val="none"/>
          <w:lang w:val="en-US" w:eastAsia="zh-CN" w:bidi="ar-SA"/>
        </w:rPr>
        <w:t>八、</w:t>
      </w:r>
      <w:r>
        <w:rPr>
          <w:rFonts w:hint="eastAsia" w:ascii="宋体" w:hAnsi="宋体" w:cs="宋体"/>
          <w:b/>
          <w:bCs/>
          <w:color w:val="auto"/>
          <w:sz w:val="32"/>
          <w:szCs w:val="32"/>
          <w:highlight w:val="none"/>
        </w:rPr>
        <w:t>供应商认为需要提供的其它资料</w:t>
      </w:r>
      <w:bookmarkEnd w:id="152"/>
      <w:bookmarkEnd w:id="153"/>
    </w:p>
    <w:p w14:paraId="779DCEE0">
      <w:pPr>
        <w:tabs>
          <w:tab w:val="left" w:pos="1890"/>
        </w:tabs>
        <w:adjustRightInd w:val="0"/>
        <w:snapToGrid w:val="0"/>
        <w:spacing w:line="50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注：请供应商按综合评分细则提供资料。并请认真阅读磋商文件，供应商必须对“采购需求”作出回应的，请按规定作出承诺及说明。</w:t>
      </w:r>
    </w:p>
    <w:p w14:paraId="2BDFBFE5">
      <w:pPr>
        <w:rPr>
          <w:rFonts w:hint="eastAsia" w:ascii="宋体" w:hAnsi="宋体" w:cs="宋体"/>
          <w:b/>
          <w:color w:val="auto"/>
          <w:sz w:val="21"/>
          <w:szCs w:val="21"/>
          <w:highlight w:val="none"/>
        </w:rPr>
      </w:pPr>
      <w:bookmarkStart w:id="154" w:name="_Toc15105"/>
      <w:r>
        <w:rPr>
          <w:rFonts w:hint="eastAsia" w:ascii="宋体" w:hAnsi="宋体" w:cs="宋体"/>
          <w:b/>
          <w:color w:val="auto"/>
          <w:sz w:val="21"/>
          <w:szCs w:val="21"/>
          <w:highlight w:val="none"/>
        </w:rPr>
        <w:br w:type="page"/>
      </w:r>
    </w:p>
    <w:p w14:paraId="4F54975F">
      <w:pPr>
        <w:adjustRightInd w:val="0"/>
        <w:snapToGrid w:val="0"/>
        <w:spacing w:before="159" w:beforeLines="50" w:line="360" w:lineRule="auto"/>
        <w:jc w:val="center"/>
        <w:outlineLvl w:val="1"/>
        <w:rPr>
          <w:rFonts w:hint="eastAsia" w:ascii="宋体" w:hAnsi="宋体" w:cs="宋体"/>
          <w:b/>
          <w:color w:val="auto"/>
          <w:sz w:val="32"/>
          <w:szCs w:val="32"/>
          <w:highlight w:val="none"/>
        </w:rPr>
      </w:pPr>
      <w:bookmarkStart w:id="155" w:name="_Toc816"/>
      <w:r>
        <w:rPr>
          <w:rFonts w:hint="eastAsia" w:ascii="宋体" w:hAnsi="宋体" w:cs="宋体"/>
          <w:b/>
          <w:color w:val="auto"/>
          <w:sz w:val="32"/>
          <w:szCs w:val="32"/>
          <w:highlight w:val="none"/>
        </w:rPr>
        <w:t>九、最后报价</w:t>
      </w:r>
      <w:bookmarkEnd w:id="154"/>
      <w:bookmarkEnd w:id="155"/>
    </w:p>
    <w:tbl>
      <w:tblPr>
        <w:tblStyle w:val="18"/>
        <w:tblW w:w="8542"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34"/>
        <w:gridCol w:w="1486"/>
        <w:gridCol w:w="2242"/>
      </w:tblGrid>
      <w:tr w14:paraId="1AA4F2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76DAB537">
            <w:pPr>
              <w:keepNext w:val="0"/>
              <w:keepLines w:val="0"/>
              <w:suppressLineNumbers w:val="0"/>
              <w:tabs>
                <w:tab w:val="left" w:pos="403"/>
                <w:tab w:val="center" w:pos="3781"/>
              </w:tabs>
              <w:spacing w:before="0" w:beforeAutospacing="0" w:after="0" w:afterAutospacing="0" w:line="420" w:lineRule="exact"/>
              <w:ind w:left="0" w:right="-5206" w:rightChars="-2479" w:firstLine="210" w:firstLineChars="100"/>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rPr>
              <w:tab/>
            </w:r>
            <w:r>
              <w:rPr>
                <w:rFonts w:hint="eastAsia" w:ascii="宋体" w:hAnsi="宋体" w:cs="宋体"/>
                <w:color w:val="auto"/>
                <w:szCs w:val="21"/>
                <w:highlight w:val="none"/>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263582A2">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p>
        </w:tc>
        <w:tc>
          <w:tcPr>
            <w:tcW w:w="1620" w:type="dxa"/>
            <w:gridSpan w:val="2"/>
            <w:tcBorders>
              <w:top w:val="double" w:color="auto" w:sz="4" w:space="0"/>
              <w:left w:val="single" w:color="auto" w:sz="6" w:space="0"/>
              <w:bottom w:val="single" w:color="auto" w:sz="6" w:space="0"/>
              <w:right w:val="single" w:color="auto" w:sz="6" w:space="0"/>
            </w:tcBorders>
            <w:vAlign w:val="center"/>
          </w:tcPr>
          <w:p w14:paraId="70C75926">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政府采购编号</w:t>
            </w:r>
          </w:p>
        </w:tc>
        <w:tc>
          <w:tcPr>
            <w:tcW w:w="2242" w:type="dxa"/>
            <w:tcBorders>
              <w:top w:val="double" w:color="auto" w:sz="4" w:space="0"/>
              <w:left w:val="single" w:color="auto" w:sz="6" w:space="0"/>
              <w:bottom w:val="single" w:color="auto" w:sz="6" w:space="0"/>
              <w:right w:val="double" w:color="auto" w:sz="4" w:space="0"/>
            </w:tcBorders>
            <w:vAlign w:val="center"/>
          </w:tcPr>
          <w:p w14:paraId="20C969D8">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p>
        </w:tc>
      </w:tr>
      <w:tr w14:paraId="4B9B2B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459C984A">
            <w:pPr>
              <w:keepNext w:val="0"/>
              <w:keepLines w:val="0"/>
              <w:suppressLineNumbers w:val="0"/>
              <w:tabs>
                <w:tab w:val="left" w:pos="403"/>
                <w:tab w:val="center" w:pos="3781"/>
              </w:tabs>
              <w:spacing w:before="0" w:beforeAutospacing="0" w:after="0" w:afterAutospacing="0" w:line="420" w:lineRule="exact"/>
              <w:ind w:left="0" w:right="-5206" w:rightChars="-2479"/>
              <w:rPr>
                <w:rFonts w:hint="eastAsia" w:ascii="宋体" w:hAnsi="宋体" w:cs="宋体"/>
                <w:color w:val="auto"/>
                <w:szCs w:val="21"/>
                <w:highlight w:val="none"/>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3A3680A5">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p>
        </w:tc>
        <w:tc>
          <w:tcPr>
            <w:tcW w:w="1620" w:type="dxa"/>
            <w:gridSpan w:val="2"/>
            <w:tcBorders>
              <w:top w:val="single" w:color="auto" w:sz="6" w:space="0"/>
              <w:left w:val="single" w:color="auto" w:sz="6" w:space="0"/>
              <w:bottom w:val="single" w:color="auto" w:sz="6" w:space="0"/>
              <w:right w:val="single" w:color="auto" w:sz="6" w:space="0"/>
            </w:tcBorders>
            <w:vAlign w:val="center"/>
          </w:tcPr>
          <w:p w14:paraId="4F1BCB32">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采购代理编号</w:t>
            </w:r>
          </w:p>
        </w:tc>
        <w:tc>
          <w:tcPr>
            <w:tcW w:w="2242" w:type="dxa"/>
            <w:tcBorders>
              <w:top w:val="single" w:color="auto" w:sz="6" w:space="0"/>
              <w:left w:val="single" w:color="auto" w:sz="6" w:space="0"/>
              <w:bottom w:val="single" w:color="auto" w:sz="6" w:space="0"/>
              <w:right w:val="double" w:color="auto" w:sz="4" w:space="0"/>
            </w:tcBorders>
            <w:vAlign w:val="center"/>
          </w:tcPr>
          <w:p w14:paraId="6CFEB67D">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p>
        </w:tc>
      </w:tr>
      <w:tr w14:paraId="2CB8EF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2E10EB0B">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品目代码</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4DD056EA">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p w14:paraId="42871AB3">
            <w:pPr>
              <w:keepNext w:val="0"/>
              <w:keepLines w:val="0"/>
              <w:suppressLineNumbers w:val="0"/>
              <w:spacing w:before="0" w:beforeAutospacing="0" w:after="0" w:afterAutospacing="0"/>
              <w:ind w:left="0" w:right="0"/>
              <w:jc w:val="center"/>
              <w:rPr>
                <w:rFonts w:hint="eastAsia" w:ascii="宋体" w:hAnsi="宋体" w:cs="宋体"/>
                <w:color w:val="auto"/>
                <w:szCs w:val="21"/>
                <w:highlight w:val="none"/>
              </w:rPr>
            </w:pPr>
          </w:p>
        </w:tc>
      </w:tr>
      <w:tr w14:paraId="167B2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620" w:type="dxa"/>
            <w:tcBorders>
              <w:top w:val="single" w:color="auto" w:sz="6" w:space="0"/>
              <w:left w:val="double" w:color="auto" w:sz="4" w:space="0"/>
              <w:right w:val="single" w:color="auto" w:sz="6" w:space="0"/>
            </w:tcBorders>
            <w:vAlign w:val="center"/>
          </w:tcPr>
          <w:p w14:paraId="2C3C9850">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报价</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6518808A">
            <w:pPr>
              <w:keepNext w:val="0"/>
              <w:keepLines w:val="0"/>
              <w:suppressLineNumbers w:val="0"/>
              <w:spacing w:before="0" w:beforeAutospacing="0" w:after="0" w:afterAutospacing="0"/>
              <w:ind w:left="0" w:right="0"/>
              <w:rPr>
                <w:rFonts w:hint="eastAsia" w:ascii="宋体" w:hAnsi="宋体" w:cs="宋体"/>
                <w:color w:val="auto"/>
                <w:szCs w:val="21"/>
                <w:highlight w:val="none"/>
              </w:rPr>
            </w:pPr>
            <w:r>
              <w:rPr>
                <w:rFonts w:hint="eastAsia" w:ascii="宋体" w:hAnsi="宋体" w:cs="宋体"/>
                <w:color w:val="auto"/>
                <w:szCs w:val="21"/>
                <w:highlight w:val="none"/>
              </w:rPr>
              <w:t>大写：</w:t>
            </w:r>
            <w:r>
              <w:rPr>
                <w:rFonts w:hint="eastAsia" w:ascii="宋体" w:hAnsi="宋体" w:cs="宋体"/>
                <w:color w:val="auto"/>
                <w:szCs w:val="21"/>
                <w:highlight w:val="none"/>
                <w:u w:val="single"/>
              </w:rPr>
              <w:t xml:space="preserve">                       </w:t>
            </w:r>
          </w:p>
          <w:p w14:paraId="50493F66">
            <w:pPr>
              <w:keepNext w:val="0"/>
              <w:keepLines w:val="0"/>
              <w:suppressLineNumbers w:val="0"/>
              <w:spacing w:before="0" w:beforeAutospacing="0" w:after="0" w:afterAutospacing="0" w:line="420" w:lineRule="exact"/>
              <w:ind w:left="0" w:right="0"/>
              <w:rPr>
                <w:rFonts w:hint="eastAsia" w:ascii="宋体" w:hAnsi="宋体" w:cs="宋体"/>
                <w:color w:val="auto"/>
                <w:szCs w:val="21"/>
                <w:highlight w:val="none"/>
              </w:rPr>
            </w:pPr>
            <w:r>
              <w:rPr>
                <w:rFonts w:hint="eastAsia" w:ascii="宋体" w:hAnsi="宋体" w:cs="宋体"/>
                <w:color w:val="auto"/>
                <w:szCs w:val="21"/>
                <w:highlight w:val="none"/>
              </w:rPr>
              <w:t>小写：</w:t>
            </w:r>
            <w:r>
              <w:rPr>
                <w:rFonts w:hint="eastAsia" w:ascii="宋体" w:hAnsi="宋体" w:cs="宋体"/>
                <w:color w:val="auto"/>
                <w:szCs w:val="21"/>
                <w:highlight w:val="none"/>
                <w:u w:val="single"/>
              </w:rPr>
              <w:t xml:space="preserve">                       </w:t>
            </w:r>
          </w:p>
        </w:tc>
      </w:tr>
      <w:tr w14:paraId="391E2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620" w:type="dxa"/>
            <w:tcBorders>
              <w:top w:val="single" w:color="auto" w:sz="6" w:space="0"/>
              <w:left w:val="double" w:color="auto" w:sz="4" w:space="0"/>
              <w:bottom w:val="single" w:color="auto" w:sz="6" w:space="0"/>
              <w:right w:val="single" w:color="auto" w:sz="6" w:space="0"/>
            </w:tcBorders>
            <w:vAlign w:val="center"/>
          </w:tcPr>
          <w:p w14:paraId="798908B9">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交货期</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52C8CA0C">
            <w:pPr>
              <w:keepNext w:val="0"/>
              <w:keepLines w:val="0"/>
              <w:suppressLineNumbers w:val="0"/>
              <w:spacing w:before="0" w:beforeAutospacing="0" w:after="0" w:afterAutospacing="0" w:line="420" w:lineRule="exact"/>
              <w:ind w:left="0" w:right="0"/>
              <w:rPr>
                <w:rFonts w:hint="eastAsia" w:ascii="宋体" w:hAnsi="宋体" w:cs="宋体"/>
                <w:iCs/>
                <w:color w:val="auto"/>
                <w:szCs w:val="21"/>
                <w:highlight w:val="none"/>
              </w:rPr>
            </w:pPr>
          </w:p>
        </w:tc>
      </w:tr>
      <w:tr w14:paraId="1AFEBA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620" w:type="dxa"/>
            <w:tcBorders>
              <w:top w:val="single" w:color="auto" w:sz="6" w:space="0"/>
              <w:left w:val="double" w:color="auto" w:sz="4" w:space="0"/>
              <w:bottom w:val="single" w:color="auto" w:sz="6" w:space="0"/>
              <w:right w:val="single" w:color="auto" w:sz="6" w:space="0"/>
            </w:tcBorders>
            <w:vAlign w:val="center"/>
          </w:tcPr>
          <w:p w14:paraId="0EC8D707">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质量保证期</w:t>
            </w:r>
          </w:p>
        </w:tc>
        <w:tc>
          <w:tcPr>
            <w:tcW w:w="6922" w:type="dxa"/>
            <w:gridSpan w:val="4"/>
            <w:tcBorders>
              <w:top w:val="single" w:color="auto" w:sz="6" w:space="0"/>
              <w:left w:val="single" w:color="auto" w:sz="6" w:space="0"/>
              <w:bottom w:val="single" w:color="auto" w:sz="6" w:space="0"/>
              <w:right w:val="double" w:color="auto" w:sz="4" w:space="0"/>
            </w:tcBorders>
            <w:vAlign w:val="center"/>
          </w:tcPr>
          <w:p w14:paraId="65AC5A11">
            <w:pPr>
              <w:keepNext w:val="0"/>
              <w:keepLines w:val="0"/>
              <w:suppressLineNumbers w:val="0"/>
              <w:spacing w:before="0" w:beforeAutospacing="0" w:after="0" w:afterAutospacing="0" w:line="420" w:lineRule="exact"/>
              <w:ind w:left="0" w:right="0" w:firstLine="210" w:firstLineChars="100"/>
              <w:rPr>
                <w:rFonts w:hint="eastAsia" w:ascii="宋体" w:hAnsi="宋体" w:cs="宋体"/>
                <w:color w:val="auto"/>
                <w:szCs w:val="21"/>
                <w:highlight w:val="none"/>
              </w:rPr>
            </w:pPr>
          </w:p>
        </w:tc>
      </w:tr>
      <w:tr w14:paraId="7C2A6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620" w:type="dxa"/>
            <w:tcBorders>
              <w:top w:val="single" w:color="auto" w:sz="6" w:space="0"/>
              <w:left w:val="double" w:color="auto" w:sz="4" w:space="0"/>
              <w:bottom w:val="single" w:color="auto" w:sz="6" w:space="0"/>
              <w:right w:val="single" w:color="auto" w:sz="6" w:space="0"/>
            </w:tcBorders>
            <w:vAlign w:val="center"/>
          </w:tcPr>
          <w:p w14:paraId="7B8355EE">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项目负责人</w:t>
            </w:r>
          </w:p>
        </w:tc>
        <w:tc>
          <w:tcPr>
            <w:tcW w:w="3194" w:type="dxa"/>
            <w:gridSpan w:val="2"/>
            <w:tcBorders>
              <w:top w:val="single" w:color="auto" w:sz="6" w:space="0"/>
              <w:left w:val="single" w:color="auto" w:sz="6" w:space="0"/>
              <w:bottom w:val="single" w:color="auto" w:sz="6" w:space="0"/>
              <w:right w:val="single" w:color="auto" w:sz="4" w:space="0"/>
            </w:tcBorders>
            <w:vAlign w:val="center"/>
          </w:tcPr>
          <w:p w14:paraId="3EC16929">
            <w:pPr>
              <w:keepNext w:val="0"/>
              <w:keepLines w:val="0"/>
              <w:suppressLineNumbers w:val="0"/>
              <w:spacing w:before="0" w:beforeAutospacing="0" w:after="0" w:afterAutospacing="0" w:line="420" w:lineRule="exact"/>
              <w:ind w:left="0" w:right="0" w:firstLine="210" w:firstLineChars="100"/>
              <w:rPr>
                <w:rFonts w:hint="eastAsia" w:ascii="宋体" w:hAnsi="宋体" w:cs="宋体"/>
                <w:color w:val="auto"/>
                <w:szCs w:val="21"/>
                <w:highlight w:val="none"/>
              </w:rPr>
            </w:pPr>
          </w:p>
        </w:tc>
        <w:tc>
          <w:tcPr>
            <w:tcW w:w="1486" w:type="dxa"/>
            <w:tcBorders>
              <w:top w:val="single" w:color="auto" w:sz="6" w:space="0"/>
              <w:left w:val="single" w:color="auto" w:sz="4" w:space="0"/>
              <w:bottom w:val="single" w:color="auto" w:sz="6" w:space="0"/>
              <w:right w:val="single" w:color="auto" w:sz="4" w:space="0"/>
            </w:tcBorders>
            <w:vAlign w:val="center"/>
          </w:tcPr>
          <w:p w14:paraId="4A655C4D">
            <w:pPr>
              <w:keepNext w:val="0"/>
              <w:keepLines w:val="0"/>
              <w:suppressLineNumbers w:val="0"/>
              <w:spacing w:before="0" w:beforeAutospacing="0" w:after="0" w:afterAutospacing="0" w:line="420" w:lineRule="exact"/>
              <w:ind w:left="0" w:right="0" w:firstLine="210" w:firstLineChars="100"/>
              <w:rPr>
                <w:rFonts w:hint="eastAsia" w:ascii="宋体" w:hAnsi="宋体" w:cs="宋体"/>
                <w:color w:val="auto"/>
                <w:szCs w:val="21"/>
                <w:highlight w:val="none"/>
              </w:rPr>
            </w:pPr>
            <w:r>
              <w:rPr>
                <w:rFonts w:hint="eastAsia" w:ascii="宋体" w:hAnsi="宋体" w:cs="宋体"/>
                <w:color w:val="auto"/>
                <w:szCs w:val="21"/>
                <w:highlight w:val="none"/>
              </w:rPr>
              <w:t>联系电话</w:t>
            </w:r>
          </w:p>
        </w:tc>
        <w:tc>
          <w:tcPr>
            <w:tcW w:w="2242" w:type="dxa"/>
            <w:tcBorders>
              <w:top w:val="single" w:color="auto" w:sz="6" w:space="0"/>
              <w:left w:val="single" w:color="auto" w:sz="4" w:space="0"/>
              <w:bottom w:val="single" w:color="auto" w:sz="6" w:space="0"/>
              <w:right w:val="double" w:color="auto" w:sz="4" w:space="0"/>
            </w:tcBorders>
            <w:vAlign w:val="center"/>
          </w:tcPr>
          <w:p w14:paraId="14C790BF">
            <w:pPr>
              <w:keepNext w:val="0"/>
              <w:keepLines w:val="0"/>
              <w:suppressLineNumbers w:val="0"/>
              <w:spacing w:before="0" w:beforeAutospacing="0" w:after="0" w:afterAutospacing="0" w:line="420" w:lineRule="exact"/>
              <w:ind w:left="0" w:right="0" w:firstLine="210" w:firstLineChars="100"/>
              <w:rPr>
                <w:rFonts w:hint="eastAsia" w:ascii="宋体" w:hAnsi="宋体" w:cs="宋体"/>
                <w:color w:val="auto"/>
                <w:szCs w:val="21"/>
                <w:highlight w:val="none"/>
              </w:rPr>
            </w:pPr>
          </w:p>
        </w:tc>
      </w:tr>
      <w:tr w14:paraId="3A156B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630B544A">
            <w:pPr>
              <w:keepNext w:val="0"/>
              <w:keepLines w:val="0"/>
              <w:suppressLineNumbers w:val="0"/>
              <w:spacing w:before="0" w:beforeAutospacing="0" w:after="0" w:afterAutospacing="0" w:line="420" w:lineRule="exact"/>
              <w:ind w:left="0" w:right="0"/>
              <w:jc w:val="center"/>
              <w:rPr>
                <w:rFonts w:hint="eastAsia" w:ascii="宋体" w:hAnsi="宋体" w:cs="宋体"/>
                <w:color w:val="auto"/>
                <w:szCs w:val="21"/>
                <w:highlight w:val="none"/>
              </w:rPr>
            </w:pPr>
            <w:r>
              <w:rPr>
                <w:rFonts w:hint="eastAsia" w:ascii="宋体" w:hAnsi="宋体" w:cs="宋体"/>
                <w:color w:val="auto"/>
                <w:szCs w:val="21"/>
                <w:highlight w:val="none"/>
              </w:rPr>
              <w:t>备  注</w:t>
            </w:r>
          </w:p>
        </w:tc>
        <w:tc>
          <w:tcPr>
            <w:tcW w:w="6922" w:type="dxa"/>
            <w:gridSpan w:val="4"/>
            <w:tcBorders>
              <w:top w:val="single" w:color="auto" w:sz="6" w:space="0"/>
              <w:left w:val="single" w:color="auto" w:sz="6" w:space="0"/>
              <w:bottom w:val="double" w:color="auto" w:sz="4" w:space="0"/>
              <w:right w:val="double" w:color="auto" w:sz="4" w:space="0"/>
            </w:tcBorders>
            <w:vAlign w:val="center"/>
          </w:tcPr>
          <w:p w14:paraId="53FC53F3">
            <w:pPr>
              <w:keepNext w:val="0"/>
              <w:keepLines w:val="0"/>
              <w:suppressLineNumbers w:val="0"/>
              <w:spacing w:before="0" w:beforeAutospacing="0" w:after="0" w:afterAutospacing="0" w:line="420" w:lineRule="exact"/>
              <w:ind w:left="0" w:right="0"/>
              <w:rPr>
                <w:rFonts w:hint="eastAsia" w:ascii="宋体" w:hAnsi="宋体" w:cs="宋体"/>
                <w:color w:val="auto"/>
                <w:szCs w:val="21"/>
                <w:highlight w:val="none"/>
              </w:rPr>
            </w:pPr>
          </w:p>
        </w:tc>
      </w:tr>
    </w:tbl>
    <w:p w14:paraId="463312D1">
      <w:pPr>
        <w:adjustRightInd w:val="0"/>
        <w:snapToGrid w:val="0"/>
        <w:spacing w:line="360" w:lineRule="auto"/>
        <w:rPr>
          <w:rFonts w:hint="eastAsia" w:ascii="宋体" w:hAnsi="宋体" w:cs="宋体"/>
          <w:color w:val="auto"/>
          <w:szCs w:val="21"/>
          <w:highlight w:val="none"/>
        </w:rPr>
      </w:pPr>
    </w:p>
    <w:p w14:paraId="5644664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供应商（盖单位章）：</w:t>
      </w:r>
    </w:p>
    <w:p w14:paraId="079154E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4E9DFCB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1A6C560">
      <w:pPr>
        <w:spacing w:line="360" w:lineRule="exact"/>
        <w:rPr>
          <w:rFonts w:hint="eastAsia" w:ascii="宋体" w:hAnsi="宋体" w:cs="宋体"/>
          <w:color w:val="auto"/>
          <w:szCs w:val="21"/>
          <w:highlight w:val="none"/>
        </w:rPr>
      </w:pPr>
    </w:p>
    <w:p w14:paraId="6C409977">
      <w:pPr>
        <w:rPr>
          <w:rFonts w:hint="eastAsia" w:ascii="宋体" w:hAnsi="宋体" w:cs="宋体"/>
          <w:color w:val="auto"/>
          <w:szCs w:val="21"/>
          <w:highlight w:val="none"/>
        </w:rPr>
      </w:pPr>
    </w:p>
    <w:p w14:paraId="00ED9DA7">
      <w:pPr>
        <w:adjustRightInd w:val="0"/>
        <w:snapToGrid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注：最后报价表不得装订在响应文件中，供应商需单独准备1-3份，填写项目基本信息及加盖单位公章，以供投标单位在开标现场进行最后报价（最后报价可在开标现场手写）。</w:t>
      </w:r>
    </w:p>
    <w:p w14:paraId="0D8DC675">
      <w:pPr>
        <w:rPr>
          <w:rFonts w:hint="eastAsia" w:ascii="宋体" w:hAnsi="宋体" w:cs="宋体"/>
          <w:color w:val="auto"/>
          <w:kern w:val="0"/>
          <w:szCs w:val="21"/>
          <w:highlight w:val="none"/>
        </w:rPr>
      </w:pPr>
      <w:r>
        <w:rPr>
          <w:rFonts w:hint="eastAsia" w:ascii="宋体" w:hAnsi="宋体" w:cs="宋体"/>
          <w:color w:val="auto"/>
          <w:kern w:val="0"/>
          <w:szCs w:val="21"/>
          <w:highlight w:val="none"/>
        </w:rPr>
        <w:br w:type="page"/>
      </w:r>
    </w:p>
    <w:p w14:paraId="783CB83E">
      <w:pPr>
        <w:tabs>
          <w:tab w:val="left" w:pos="1890"/>
        </w:tabs>
        <w:adjustRightInd w:val="0"/>
        <w:snapToGrid w:val="0"/>
        <w:jc w:val="center"/>
        <w:rPr>
          <w:rFonts w:hint="eastAsia" w:ascii="宋体" w:hAnsi="宋体" w:cs="宋体"/>
          <w:b/>
          <w:bCs/>
          <w:color w:val="auto"/>
          <w:sz w:val="30"/>
          <w:szCs w:val="30"/>
          <w:highlight w:val="none"/>
        </w:rPr>
      </w:pPr>
      <w:r>
        <w:rPr>
          <w:rFonts w:hint="eastAsia" w:ascii="宋体" w:hAnsi="宋体" w:cs="宋体"/>
          <w:b/>
          <w:bCs/>
          <w:color w:val="auto"/>
          <w:sz w:val="30"/>
          <w:szCs w:val="30"/>
          <w:highlight w:val="none"/>
        </w:rPr>
        <w:t>分项价格表</w:t>
      </w:r>
    </w:p>
    <w:p w14:paraId="17A4EC7A">
      <w:pPr>
        <w:tabs>
          <w:tab w:val="left" w:pos="1890"/>
        </w:tabs>
        <w:spacing w:line="360" w:lineRule="exact"/>
        <w:ind w:firstLine="211" w:firstLineChars="1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项目名称：</w:t>
      </w:r>
    </w:p>
    <w:p w14:paraId="35A2D69D">
      <w:pPr>
        <w:tabs>
          <w:tab w:val="left" w:pos="1890"/>
        </w:tabs>
        <w:spacing w:line="360" w:lineRule="exact"/>
        <w:ind w:firstLine="211" w:firstLineChars="1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包号：                                               金额单位：元     </w:t>
      </w:r>
    </w:p>
    <w:tbl>
      <w:tblPr>
        <w:tblStyle w:val="18"/>
        <w:tblW w:w="499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899"/>
        <w:gridCol w:w="817"/>
        <w:gridCol w:w="955"/>
        <w:gridCol w:w="955"/>
        <w:gridCol w:w="602"/>
        <w:gridCol w:w="602"/>
        <w:gridCol w:w="699"/>
        <w:gridCol w:w="699"/>
        <w:gridCol w:w="844"/>
        <w:gridCol w:w="844"/>
      </w:tblGrid>
      <w:tr w14:paraId="78D7AD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23" w:hRule="atLeast"/>
          <w:jc w:val="center"/>
        </w:trPr>
        <w:tc>
          <w:tcPr>
            <w:tcW w:w="353" w:type="pct"/>
            <w:vAlign w:val="center"/>
          </w:tcPr>
          <w:p w14:paraId="6AAA4C1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527" w:type="pct"/>
            <w:vAlign w:val="center"/>
          </w:tcPr>
          <w:p w14:paraId="58411E88">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货物名称</w:t>
            </w:r>
          </w:p>
        </w:tc>
        <w:tc>
          <w:tcPr>
            <w:tcW w:w="479" w:type="pct"/>
            <w:vAlign w:val="center"/>
          </w:tcPr>
          <w:p w14:paraId="29D3042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560" w:type="pct"/>
            <w:vAlign w:val="center"/>
          </w:tcPr>
          <w:p w14:paraId="66847F8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型号规格</w:t>
            </w:r>
          </w:p>
        </w:tc>
        <w:tc>
          <w:tcPr>
            <w:tcW w:w="560" w:type="pct"/>
            <w:vAlign w:val="center"/>
          </w:tcPr>
          <w:p w14:paraId="457223B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制造厂商</w:t>
            </w:r>
          </w:p>
        </w:tc>
        <w:tc>
          <w:tcPr>
            <w:tcW w:w="353" w:type="pct"/>
            <w:vAlign w:val="center"/>
          </w:tcPr>
          <w:p w14:paraId="5419C20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小微企业</w:t>
            </w:r>
          </w:p>
        </w:tc>
        <w:tc>
          <w:tcPr>
            <w:tcW w:w="353" w:type="pct"/>
            <w:vAlign w:val="center"/>
          </w:tcPr>
          <w:p w14:paraId="54DF602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410" w:type="pct"/>
            <w:vAlign w:val="center"/>
          </w:tcPr>
          <w:p w14:paraId="471F9AF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410" w:type="pct"/>
            <w:vAlign w:val="center"/>
          </w:tcPr>
          <w:p w14:paraId="08B2C87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495" w:type="pct"/>
            <w:vAlign w:val="center"/>
          </w:tcPr>
          <w:p w14:paraId="186163F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政策功能编码</w:t>
            </w:r>
          </w:p>
        </w:tc>
        <w:tc>
          <w:tcPr>
            <w:tcW w:w="495" w:type="pct"/>
            <w:vAlign w:val="center"/>
          </w:tcPr>
          <w:p w14:paraId="59C8F8A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leftChars="0" w:right="0" w:righ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AB74B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68515AE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37C5354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6E1E4C1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2131C91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1E073B6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117A76E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709E1C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58EF51A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55C93E2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1BC86B3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3D12BFE3">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5A5AFA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7661919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5BFEA30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0F62438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58E4A84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154D34F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3EF4BF1A">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18D27D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664A176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0396BEA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5E7AC286">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7A5B23F7">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2DC4A1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3" w:type="pct"/>
            <w:vAlign w:val="center"/>
          </w:tcPr>
          <w:p w14:paraId="19005D7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27" w:type="pct"/>
            <w:vAlign w:val="center"/>
          </w:tcPr>
          <w:p w14:paraId="016B504F">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79" w:type="pct"/>
            <w:vAlign w:val="center"/>
          </w:tcPr>
          <w:p w14:paraId="2288958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7B0AA89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78D96C7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010C3AE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50A166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0A43247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1638A650">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515443AD">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6B6A695B">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r w14:paraId="14361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1" w:type="pct"/>
            <w:gridSpan w:val="2"/>
            <w:vAlign w:val="center"/>
          </w:tcPr>
          <w:p w14:paraId="45A7279C">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479" w:type="pct"/>
            <w:vAlign w:val="center"/>
          </w:tcPr>
          <w:p w14:paraId="348FCE25">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0B2A85CB">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560" w:type="pct"/>
            <w:vAlign w:val="center"/>
          </w:tcPr>
          <w:p w14:paraId="76A0532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F51D4D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353" w:type="pct"/>
            <w:vAlign w:val="center"/>
          </w:tcPr>
          <w:p w14:paraId="2F1FB113">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53AAD2EE">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10" w:type="pct"/>
            <w:vAlign w:val="center"/>
          </w:tcPr>
          <w:p w14:paraId="12045BB2">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11C1C044">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c>
          <w:tcPr>
            <w:tcW w:w="495" w:type="pct"/>
            <w:vAlign w:val="center"/>
          </w:tcPr>
          <w:p w14:paraId="2D6176E1">
            <w:pPr>
              <w:keepNext w:val="0"/>
              <w:keepLines w:val="0"/>
              <w:pageBreakBefore w:val="0"/>
              <w:widowControl w:val="0"/>
              <w:suppressLineNumbers w:val="0"/>
              <w:tabs>
                <w:tab w:val="left" w:pos="1890"/>
              </w:tabs>
              <w:kinsoku/>
              <w:wordWrap/>
              <w:overflowPunct/>
              <w:topLinePunct w:val="0"/>
              <w:autoSpaceDE/>
              <w:autoSpaceDN/>
              <w:bidi w:val="0"/>
              <w:adjustRightInd/>
              <w:snapToGrid/>
              <w:spacing w:before="161" w:beforeLines="50" w:beforeAutospacing="0" w:after="161" w:afterLines="50" w:afterAutospacing="0" w:line="240" w:lineRule="auto"/>
              <w:ind w:left="0" w:right="0"/>
              <w:jc w:val="left"/>
              <w:textAlignment w:val="auto"/>
              <w:rPr>
                <w:rFonts w:hint="eastAsia" w:ascii="宋体" w:hAnsi="宋体" w:eastAsia="宋体" w:cs="宋体"/>
                <w:color w:val="auto"/>
                <w:sz w:val="21"/>
                <w:szCs w:val="21"/>
                <w:highlight w:val="none"/>
              </w:rPr>
            </w:pPr>
          </w:p>
        </w:tc>
      </w:tr>
    </w:tbl>
    <w:p w14:paraId="0560A5BF">
      <w:pPr>
        <w:tabs>
          <w:tab w:val="left" w:pos="1890"/>
        </w:tabs>
        <w:spacing w:line="360" w:lineRule="exact"/>
        <w:rPr>
          <w:rFonts w:hint="eastAsia" w:ascii="宋体" w:hAnsi="宋体" w:eastAsia="宋体" w:cs="宋体"/>
          <w:b/>
          <w:color w:val="auto"/>
          <w:sz w:val="21"/>
          <w:szCs w:val="21"/>
          <w:highlight w:val="none"/>
        </w:rPr>
      </w:pPr>
    </w:p>
    <w:p w14:paraId="4973D2BE">
      <w:pPr>
        <w:tabs>
          <w:tab w:val="left" w:pos="1890"/>
        </w:tabs>
        <w:adjustRightInd w:val="0"/>
        <w:snapToGrid w:val="0"/>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报价金额合计：小写：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3EFDB1">
      <w:pPr>
        <w:tabs>
          <w:tab w:val="left" w:pos="1890"/>
        </w:tabs>
        <w:spacing w:line="360" w:lineRule="exact"/>
        <w:ind w:firstLine="1470" w:firstLineChars="700"/>
        <w:rPr>
          <w:rFonts w:hint="eastAsia" w:ascii="宋体" w:hAnsi="宋体" w:eastAsia="宋体" w:cs="宋体"/>
          <w:color w:val="auto"/>
          <w:sz w:val="21"/>
          <w:szCs w:val="21"/>
          <w:highlight w:val="none"/>
          <w:u w:val="single"/>
        </w:rPr>
      </w:pPr>
    </w:p>
    <w:p w14:paraId="1A1881F0">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说明：中小企业是指制造厂商为“</w:t>
      </w:r>
      <w:r>
        <w:rPr>
          <w:rFonts w:hint="eastAsia" w:ascii="宋体" w:hAnsi="宋体" w:eastAsia="宋体" w:cs="宋体"/>
          <w:color w:val="auto"/>
          <w:kern w:val="0"/>
          <w:sz w:val="21"/>
          <w:szCs w:val="21"/>
          <w:highlight w:val="none"/>
        </w:rPr>
        <w:t>中型</w:t>
      </w:r>
      <w:r>
        <w:rPr>
          <w:rFonts w:hint="eastAsia" w:ascii="宋体" w:hAnsi="宋体" w:eastAsia="宋体" w:cs="宋体"/>
          <w:color w:val="auto"/>
          <w:sz w:val="21"/>
          <w:szCs w:val="21"/>
          <w:highlight w:val="none"/>
        </w:rPr>
        <w:t>企业”</w:t>
      </w:r>
      <w:r>
        <w:rPr>
          <w:rFonts w:hint="eastAsia" w:ascii="宋体" w:hAnsi="宋体" w:eastAsia="宋体" w:cs="宋体"/>
          <w:color w:val="auto"/>
          <w:kern w:val="0"/>
          <w:sz w:val="21"/>
          <w:szCs w:val="21"/>
          <w:highlight w:val="none"/>
        </w:rPr>
        <w:t>或者“小型、微型</w:t>
      </w:r>
      <w:r>
        <w:rPr>
          <w:rFonts w:hint="eastAsia" w:ascii="宋体" w:hAnsi="宋体" w:eastAsia="宋体" w:cs="宋体"/>
          <w:color w:val="auto"/>
          <w:sz w:val="21"/>
          <w:szCs w:val="21"/>
          <w:highlight w:val="none"/>
        </w:rPr>
        <w:t>企业</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。政策功能编码是指产品的中国环境标志认证证书编号、节能标志认证证书号。</w:t>
      </w:r>
    </w:p>
    <w:p w14:paraId="0EACE072">
      <w:pPr>
        <w:tabs>
          <w:tab w:val="left" w:pos="1890"/>
        </w:tabs>
        <w:adjustRightInd w:val="0"/>
        <w:snapToGrid w:val="0"/>
        <w:spacing w:line="360" w:lineRule="auto"/>
        <w:rPr>
          <w:rFonts w:hint="eastAsia" w:ascii="宋体" w:hAnsi="宋体" w:eastAsia="宋体" w:cs="宋体"/>
          <w:color w:val="auto"/>
          <w:sz w:val="21"/>
          <w:szCs w:val="21"/>
          <w:highlight w:val="none"/>
        </w:rPr>
      </w:pPr>
    </w:p>
    <w:p w14:paraId="18DDFB97">
      <w:pPr>
        <w:tabs>
          <w:tab w:val="left" w:pos="1890"/>
        </w:tabs>
        <w:adjustRightInd w:val="0"/>
        <w:snapToGrid w:val="0"/>
        <w:spacing w:line="360" w:lineRule="auto"/>
        <w:rPr>
          <w:rFonts w:hint="eastAsia" w:ascii="宋体" w:hAnsi="宋体" w:eastAsia="宋体" w:cs="宋体"/>
          <w:color w:val="auto"/>
          <w:sz w:val="21"/>
          <w:szCs w:val="21"/>
          <w:highlight w:val="none"/>
        </w:rPr>
      </w:pPr>
    </w:p>
    <w:p w14:paraId="1CE43B39">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供应商（盖单位章）：</w:t>
      </w:r>
    </w:p>
    <w:p w14:paraId="75108407">
      <w:pPr>
        <w:tabs>
          <w:tab w:val="left" w:pos="1890"/>
        </w:tabs>
        <w:adjustRightInd w:val="0"/>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法定代表人或其委托代理人签字：</w:t>
      </w:r>
      <w:r>
        <w:rPr>
          <w:rFonts w:hint="eastAsia" w:ascii="宋体" w:hAnsi="宋体" w:eastAsia="宋体" w:cs="宋体"/>
          <w:color w:val="auto"/>
          <w:sz w:val="21"/>
          <w:szCs w:val="21"/>
          <w:highlight w:val="none"/>
          <w:u w:val="single"/>
        </w:rPr>
        <w:t xml:space="preserve">       </w:t>
      </w:r>
    </w:p>
    <w:p w14:paraId="2A077E18">
      <w:pPr>
        <w:tabs>
          <w:tab w:val="left" w:pos="1890"/>
        </w:tabs>
        <w:adjustRightInd w:val="0"/>
        <w:snapToGrid w:val="0"/>
        <w:spacing w:line="360" w:lineRule="auto"/>
        <w:rPr>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sectPr>
      <w:headerReference r:id="rId6" w:type="default"/>
      <w:footerReference r:id="rId7" w:type="default"/>
      <w:pgSz w:w="11906" w:h="16838"/>
      <w:pgMar w:top="1440" w:right="1800" w:bottom="1440" w:left="1800" w:header="851" w:footer="992" w:gutter="0"/>
      <w:pgNumType w:fmt="decimal" w:start="1"/>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561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D1EE">
    <w:pPr>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000EF">
    <w:pPr>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6BA7B">
                          <w:pPr>
                            <w:pStyle w:val="12"/>
                          </w:pPr>
                          <w:r>
                            <w:t xml:space="preserve">第 </w:t>
                          </w:r>
                          <w:r>
                            <w:fldChar w:fldCharType="begin"/>
                          </w:r>
                          <w:r>
                            <w:instrText xml:space="preserve"> PAGE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4C6BA7B">
                    <w:pPr>
                      <w:pStyle w:val="12"/>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A54C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A538">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9CD67F"/>
    <w:multiLevelType w:val="singleLevel"/>
    <w:tmpl w:val="AC9CD67F"/>
    <w:lvl w:ilvl="0" w:tentative="0">
      <w:start w:val="1"/>
      <w:numFmt w:val="decimal"/>
      <w:suff w:val="nothing"/>
      <w:lvlText w:val="（%1）"/>
      <w:lvlJc w:val="left"/>
    </w:lvl>
  </w:abstractNum>
  <w:abstractNum w:abstractNumId="1">
    <w:nsid w:val="56CED336"/>
    <w:multiLevelType w:val="singleLevel"/>
    <w:tmpl w:val="56CED336"/>
    <w:lvl w:ilvl="0" w:tentative="0">
      <w:start w:val="5"/>
      <w:numFmt w:val="chineseCounting"/>
      <w:suff w:val="space"/>
      <w:lvlText w:val="第%1章"/>
      <w:lvlJc w:val="left"/>
      <w:rPr>
        <w:rFonts w:hint="eastAsia"/>
      </w:rPr>
    </w:lvl>
  </w:abstractNum>
  <w:abstractNum w:abstractNumId="2">
    <w:nsid w:val="58A6B8AF"/>
    <w:multiLevelType w:val="singleLevel"/>
    <w:tmpl w:val="58A6B8AF"/>
    <w:lvl w:ilvl="0" w:tentative="0">
      <w:start w:val="2"/>
      <w:numFmt w:val="chineseCounting"/>
      <w:suff w:val="nothing"/>
      <w:lvlText w:val="%1、"/>
      <w:lvlJc w:val="left"/>
      <w:rPr>
        <w:rFonts w:cs="Times New Roman"/>
      </w:rPr>
    </w:lvl>
  </w:abstractNum>
  <w:abstractNum w:abstractNumId="3">
    <w:nsid w:val="599D036D"/>
    <w:multiLevelType w:val="singleLevel"/>
    <w:tmpl w:val="599D036D"/>
    <w:lvl w:ilvl="0" w:tentative="0">
      <w:start w:val="5"/>
      <w:numFmt w:val="chineseCounting"/>
      <w:suff w:val="nothing"/>
      <w:lvlText w:val="%1、"/>
      <w:lvlJc w:val="left"/>
      <w:rPr>
        <w:rFonts w:cs="Times New Roman"/>
      </w:rPr>
    </w:lvl>
  </w:abstractNum>
  <w:abstractNum w:abstractNumId="4">
    <w:nsid w:val="599D0556"/>
    <w:multiLevelType w:val="singleLevel"/>
    <w:tmpl w:val="599D0556"/>
    <w:lvl w:ilvl="0" w:tentative="0">
      <w:start w:val="8"/>
      <w:numFmt w:val="chineseCounting"/>
      <w:suff w:val="nothing"/>
      <w:lvlText w:val="%1、"/>
      <w:lvlJc w:val="left"/>
      <w:rPr>
        <w:rFonts w:cs="Times New Roman"/>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2A69B1"/>
    <w:rsid w:val="00243D78"/>
    <w:rsid w:val="01F01BD2"/>
    <w:rsid w:val="03443803"/>
    <w:rsid w:val="05A0746B"/>
    <w:rsid w:val="064E6279"/>
    <w:rsid w:val="07A9124F"/>
    <w:rsid w:val="07C24BEF"/>
    <w:rsid w:val="09802A2B"/>
    <w:rsid w:val="0A282000"/>
    <w:rsid w:val="0FDF25B0"/>
    <w:rsid w:val="11065CD9"/>
    <w:rsid w:val="11405FA6"/>
    <w:rsid w:val="152A69B1"/>
    <w:rsid w:val="15632399"/>
    <w:rsid w:val="17D00627"/>
    <w:rsid w:val="18D53260"/>
    <w:rsid w:val="1A312930"/>
    <w:rsid w:val="1BE25C42"/>
    <w:rsid w:val="1C8F773C"/>
    <w:rsid w:val="1E4F57D7"/>
    <w:rsid w:val="1F184234"/>
    <w:rsid w:val="1FAE0C8A"/>
    <w:rsid w:val="20156D4C"/>
    <w:rsid w:val="20B8736A"/>
    <w:rsid w:val="21115269"/>
    <w:rsid w:val="26871C47"/>
    <w:rsid w:val="26D70B02"/>
    <w:rsid w:val="270D124C"/>
    <w:rsid w:val="2A5C7555"/>
    <w:rsid w:val="2BDD7D7D"/>
    <w:rsid w:val="2CA90B0D"/>
    <w:rsid w:val="2CFD25D9"/>
    <w:rsid w:val="2D85389A"/>
    <w:rsid w:val="2DC841DA"/>
    <w:rsid w:val="2E151A77"/>
    <w:rsid w:val="2E5E4CF1"/>
    <w:rsid w:val="2F4B77F6"/>
    <w:rsid w:val="2FC67D73"/>
    <w:rsid w:val="3089479E"/>
    <w:rsid w:val="30D47C77"/>
    <w:rsid w:val="32370C99"/>
    <w:rsid w:val="32904DBD"/>
    <w:rsid w:val="335E6CE7"/>
    <w:rsid w:val="336E38C2"/>
    <w:rsid w:val="34390411"/>
    <w:rsid w:val="34C15E73"/>
    <w:rsid w:val="352A6B49"/>
    <w:rsid w:val="35F35675"/>
    <w:rsid w:val="37682747"/>
    <w:rsid w:val="380307D5"/>
    <w:rsid w:val="38486661"/>
    <w:rsid w:val="392F0EB2"/>
    <w:rsid w:val="39720874"/>
    <w:rsid w:val="3B082DE1"/>
    <w:rsid w:val="3D5257EE"/>
    <w:rsid w:val="3D566435"/>
    <w:rsid w:val="3E8E4B91"/>
    <w:rsid w:val="3FD00372"/>
    <w:rsid w:val="408E5B37"/>
    <w:rsid w:val="42080E71"/>
    <w:rsid w:val="43B753A5"/>
    <w:rsid w:val="44C83FD9"/>
    <w:rsid w:val="451142AB"/>
    <w:rsid w:val="46C83A26"/>
    <w:rsid w:val="471937D7"/>
    <w:rsid w:val="475E44B5"/>
    <w:rsid w:val="47CF53B3"/>
    <w:rsid w:val="49C64593"/>
    <w:rsid w:val="4C8F5191"/>
    <w:rsid w:val="4CA95865"/>
    <w:rsid w:val="4D355F0D"/>
    <w:rsid w:val="4DB0194D"/>
    <w:rsid w:val="511653FD"/>
    <w:rsid w:val="52C01ADF"/>
    <w:rsid w:val="53C95348"/>
    <w:rsid w:val="545107CE"/>
    <w:rsid w:val="559E053D"/>
    <w:rsid w:val="56563B71"/>
    <w:rsid w:val="58213438"/>
    <w:rsid w:val="595F30A4"/>
    <w:rsid w:val="59C25B2C"/>
    <w:rsid w:val="5A905D2A"/>
    <w:rsid w:val="5C236519"/>
    <w:rsid w:val="5C4375E0"/>
    <w:rsid w:val="5D1553A8"/>
    <w:rsid w:val="5F182D44"/>
    <w:rsid w:val="5FDE2F26"/>
    <w:rsid w:val="5FEB0458"/>
    <w:rsid w:val="600119E2"/>
    <w:rsid w:val="623520E7"/>
    <w:rsid w:val="62CE152B"/>
    <w:rsid w:val="630A6BAE"/>
    <w:rsid w:val="6346435C"/>
    <w:rsid w:val="638D03E4"/>
    <w:rsid w:val="645178EB"/>
    <w:rsid w:val="64A43930"/>
    <w:rsid w:val="68AD545F"/>
    <w:rsid w:val="68F36C8D"/>
    <w:rsid w:val="69636A20"/>
    <w:rsid w:val="698711F2"/>
    <w:rsid w:val="6A3757DD"/>
    <w:rsid w:val="6A4E1166"/>
    <w:rsid w:val="6C17366B"/>
    <w:rsid w:val="6C260C93"/>
    <w:rsid w:val="6D0F3890"/>
    <w:rsid w:val="6D584652"/>
    <w:rsid w:val="6DEF7990"/>
    <w:rsid w:val="6E3A03BF"/>
    <w:rsid w:val="6F3C65DA"/>
    <w:rsid w:val="703875DF"/>
    <w:rsid w:val="713303FD"/>
    <w:rsid w:val="75950537"/>
    <w:rsid w:val="759F5ACC"/>
    <w:rsid w:val="76440534"/>
    <w:rsid w:val="76C02583"/>
    <w:rsid w:val="78276EE9"/>
    <w:rsid w:val="786B792E"/>
    <w:rsid w:val="787B282B"/>
    <w:rsid w:val="79B62736"/>
    <w:rsid w:val="7A582B82"/>
    <w:rsid w:val="7A5D5AFD"/>
    <w:rsid w:val="7D823F38"/>
    <w:rsid w:val="7D861080"/>
    <w:rsid w:val="7DCA5547"/>
    <w:rsid w:val="7EE6640C"/>
    <w:rsid w:val="7F9278A3"/>
    <w:rsid w:val="BDE71BA1"/>
    <w:rsid w:val="FB7F1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kern w:val="0"/>
      <w:sz w:val="24"/>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kern w:val="0"/>
      <w:sz w:val="20"/>
    </w:rPr>
  </w:style>
  <w:style w:type="paragraph" w:customStyle="1" w:styleId="6">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7">
    <w:name w:val="Body Text Indent"/>
    <w:basedOn w:val="1"/>
    <w:next w:val="8"/>
    <w:qFormat/>
    <w:uiPriority w:val="0"/>
    <w:pPr>
      <w:spacing w:after="120"/>
      <w:ind w:left="420" w:leftChars="200"/>
    </w:pPr>
    <w:rPr>
      <w:kern w:val="0"/>
      <w:sz w:val="20"/>
    </w:rPr>
  </w:style>
  <w:style w:type="paragraph" w:styleId="8">
    <w:name w:val="Body Text Indent 2"/>
    <w:basedOn w:val="1"/>
    <w:next w:val="1"/>
    <w:qFormat/>
    <w:uiPriority w:val="0"/>
    <w:pPr>
      <w:spacing w:after="120" w:line="480" w:lineRule="auto"/>
      <w:ind w:left="420" w:leftChars="200"/>
    </w:pPr>
    <w:rPr>
      <w:kern w:val="0"/>
      <w:sz w:val="20"/>
    </w:rPr>
  </w:style>
  <w:style w:type="paragraph" w:styleId="9">
    <w:name w:val="Block Text"/>
    <w:basedOn w:val="1"/>
    <w:qFormat/>
    <w:uiPriority w:val="0"/>
    <w:pPr>
      <w:ind w:left="1171" w:right="91" w:hanging="1080"/>
    </w:pPr>
    <w:rPr>
      <w:rFonts w:eastAsia="楷体_GB2312"/>
      <w:szCs w:val="20"/>
    </w:rPr>
  </w:style>
  <w:style w:type="paragraph" w:styleId="10">
    <w:name w:val="Plain Text"/>
    <w:basedOn w:val="1"/>
    <w:next w:val="6"/>
    <w:qFormat/>
    <w:uiPriority w:val="0"/>
    <w:rPr>
      <w:rFonts w:ascii="宋体" w:hAnsi="Courier New"/>
      <w:kern w:val="0"/>
      <w:sz w:val="20"/>
      <w:szCs w:val="21"/>
    </w:rPr>
  </w:style>
  <w:style w:type="paragraph" w:styleId="11">
    <w:name w:val="Date"/>
    <w:basedOn w:val="1"/>
    <w:next w:val="1"/>
    <w:qFormat/>
    <w:uiPriority w:val="0"/>
    <w:rPr>
      <w:kern w:val="0"/>
      <w:sz w:val="24"/>
      <w:szCs w:val="20"/>
    </w:rPr>
  </w:style>
  <w:style w:type="paragraph" w:styleId="12">
    <w:name w:val="footer"/>
    <w:basedOn w:val="1"/>
    <w:qFormat/>
    <w:uiPriority w:val="0"/>
    <w:pPr>
      <w:tabs>
        <w:tab w:val="center" w:pos="4153"/>
        <w:tab w:val="right" w:pos="8306"/>
      </w:tabs>
      <w:snapToGrid w:val="0"/>
      <w:jc w:val="left"/>
    </w:pPr>
    <w:rPr>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semiHidden/>
    <w:unhideWhenUsed/>
    <w:qFormat/>
    <w:uiPriority w:val="39"/>
  </w:style>
  <w:style w:type="paragraph" w:styleId="15">
    <w:name w:val="toc 2"/>
    <w:basedOn w:val="1"/>
    <w:next w:val="1"/>
    <w:qFormat/>
    <w:uiPriority w:val="0"/>
    <w:pPr>
      <w:ind w:left="420" w:leftChars="200"/>
    </w:p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2"/>
    <w:basedOn w:val="7"/>
    <w:next w:val="1"/>
    <w:unhideWhenUsed/>
    <w:qFormat/>
    <w:uiPriority w:val="99"/>
    <w:pPr>
      <w:ind w:firstLine="420" w:firstLineChars="200"/>
    </w:pPr>
  </w:style>
  <w:style w:type="character" w:styleId="20">
    <w:name w:val="Strong"/>
    <w:basedOn w:val="19"/>
    <w:qFormat/>
    <w:uiPriority w:val="0"/>
    <w:rPr>
      <w:b/>
    </w:rPr>
  </w:style>
  <w:style w:type="character" w:styleId="21">
    <w:name w:val="Hyperlink"/>
    <w:qFormat/>
    <w:uiPriority w:val="0"/>
    <w:rPr>
      <w:color w:val="136EC2"/>
      <w:u w:val="single"/>
    </w:rPr>
  </w:style>
  <w:style w:type="paragraph" w:customStyle="1" w:styleId="22">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3">
    <w:name w:val="表格文字"/>
    <w:basedOn w:val="1"/>
    <w:qFormat/>
    <w:uiPriority w:val="0"/>
    <w:pPr>
      <w:spacing w:before="25" w:after="25"/>
      <w:jc w:val="left"/>
    </w:pPr>
    <w:rPr>
      <w:bCs/>
      <w:spacing w:val="10"/>
      <w:kern w:val="0"/>
      <w:sz w:val="24"/>
    </w:rPr>
  </w:style>
  <w:style w:type="paragraph" w:customStyle="1" w:styleId="24">
    <w:name w:val="p0"/>
    <w:basedOn w:val="1"/>
    <w:qFormat/>
    <w:uiPriority w:val="0"/>
    <w:pPr>
      <w:widowControl/>
    </w:pPr>
    <w:rPr>
      <w:kern w:val="0"/>
      <w:sz w:val="20"/>
      <w:szCs w:val="21"/>
    </w:rPr>
  </w:style>
  <w:style w:type="paragraph" w:customStyle="1" w:styleId="25">
    <w:name w:val="Normal_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6">
    <w:name w:val="列出段落1"/>
    <w:basedOn w:val="1"/>
    <w:qFormat/>
    <w:uiPriority w:val="34"/>
    <w:pPr>
      <w:ind w:firstLine="420" w:firstLineChars="200"/>
    </w:pPr>
    <w:rPr>
      <w:rFonts w:ascii="Calibri" w:hAnsi="Calibri" w:cs="Calibri"/>
      <w:szCs w:val="21"/>
    </w:rPr>
  </w:style>
  <w:style w:type="paragraph" w:customStyle="1" w:styleId="27">
    <w:name w:val="样式2"/>
    <w:basedOn w:val="28"/>
    <w:next w:val="1"/>
    <w:qFormat/>
    <w:uiPriority w:val="0"/>
  </w:style>
  <w:style w:type="paragraph" w:styleId="28">
    <w:name w:val="List Paragraph"/>
    <w:basedOn w:val="1"/>
    <w:qFormat/>
    <w:uiPriority w:val="99"/>
    <w:pPr>
      <w:ind w:firstLine="420" w:firstLineChars="200"/>
    </w:pPr>
    <w:rPr>
      <w:rFonts w:ascii="Calibri" w:hAnsi="Calibri"/>
      <w:szCs w:val="22"/>
    </w:rPr>
  </w:style>
  <w:style w:type="paragraph" w:customStyle="1" w:styleId="29">
    <w:name w:val="正文_4"/>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3622</Words>
  <Characters>3947</Characters>
  <Lines>0</Lines>
  <Paragraphs>0</Paragraphs>
  <TotalTime>49</TotalTime>
  <ScaleCrop>false</ScaleCrop>
  <LinksUpToDate>false</LinksUpToDate>
  <CharactersWithSpaces>4200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2026-08-04T17:33:00Z</dcterms:created>
  <dc:creator>Administrator</dc:creator>
  <cp:lastModifiedBy>唐周</cp:lastModifiedBy>
  <dcterms:modified xsi:type="dcterms:W3CDTF">2026-10-09T08:52:52Z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A2F128AEAE78499BA09DE716ED824496_13</vt:lpwstr>
  </property>
  <property fmtid="{D5CDD505-2E9C-101B-9397-08002B2CF9AE}" pid="4" name="KSOTemplateDocerSaveRecord">
    <vt:lpwstr>eyJoZGlkIjoiOTJhNzhkNTIzOGI5ZWEzYWNiMWM2YWQ5OTZkNTc1YWMifQ==</vt:lpwstr>
  </property>
</Properties>
</file>