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E31D4">
      <w:pPr>
        <w:kinsoku/>
        <w:wordWrap/>
        <w:overflowPunct/>
        <w:bidi w:val="0"/>
        <w:spacing w:line="500" w:lineRule="exact"/>
        <w:rPr>
          <w:rFonts w:hint="eastAsia" w:ascii="宋体" w:hAnsi="宋体" w:eastAsia="宋体" w:cs="宋体"/>
          <w:color w:val="auto"/>
          <w:sz w:val="32"/>
          <w:szCs w:val="32"/>
          <w:highlight w:val="none"/>
        </w:rPr>
      </w:pPr>
    </w:p>
    <w:p w14:paraId="7191ABFC">
      <w:pPr>
        <w:pStyle w:val="18"/>
        <w:jc w:val="center"/>
        <w:outlineLvl w:val="9"/>
        <w:rPr>
          <w:rFonts w:hint="eastAsia" w:ascii="宋体" w:hAnsi="宋体" w:cs="宋体"/>
          <w:b/>
          <w:color w:val="auto"/>
          <w:sz w:val="72"/>
          <w:szCs w:val="72"/>
          <w:highlight w:val="none"/>
          <w:lang w:val="en-US" w:eastAsia="zh-CN"/>
        </w:rPr>
      </w:pPr>
      <w:r>
        <w:rPr>
          <w:rFonts w:hint="eastAsia"/>
          <w:b/>
          <w:color w:val="auto"/>
          <w:sz w:val="84"/>
          <w:szCs w:val="84"/>
          <w:highlight w:val="none"/>
        </w:rPr>
        <w:t>政府采购</w:t>
      </w:r>
    </w:p>
    <w:p w14:paraId="4E00A837">
      <w:pPr>
        <w:pStyle w:val="18"/>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 xml:space="preserve">竞争性磋商文件 </w:t>
      </w:r>
    </w:p>
    <w:p w14:paraId="6289AE6A">
      <w:pPr>
        <w:keepNext w:val="0"/>
        <w:keepLines w:val="0"/>
        <w:pageBreakBefore w:val="0"/>
        <w:widowControl w:val="0"/>
        <w:tabs>
          <w:tab w:val="left" w:pos="1260"/>
        </w:tabs>
        <w:kinsoku/>
        <w:wordWrap/>
        <w:overflowPunct/>
        <w:topLinePunct w:val="0"/>
        <w:autoSpaceDE/>
        <w:autoSpaceDN/>
        <w:bidi w:val="0"/>
        <w:spacing w:line="600" w:lineRule="exact"/>
        <w:ind w:left="3207" w:leftChars="456" w:hanging="2249" w:hangingChars="700"/>
        <w:textAlignment w:val="auto"/>
        <w:rPr>
          <w:rFonts w:hint="eastAsia" w:ascii="宋体" w:hAnsi="宋体" w:eastAsia="宋体" w:cs="宋体"/>
          <w:b/>
          <w:color w:val="auto"/>
          <w:sz w:val="32"/>
          <w:szCs w:val="32"/>
          <w:highlight w:val="none"/>
        </w:rPr>
      </w:pPr>
    </w:p>
    <w:p w14:paraId="60DBE978">
      <w:pPr>
        <w:keepNext w:val="0"/>
        <w:keepLines w:val="0"/>
        <w:pageBreakBefore w:val="0"/>
        <w:widowControl w:val="0"/>
        <w:tabs>
          <w:tab w:val="left" w:pos="1260"/>
        </w:tabs>
        <w:kinsoku/>
        <w:wordWrap/>
        <w:overflowPunct/>
        <w:topLinePunct w:val="0"/>
        <w:autoSpaceDE/>
        <w:autoSpaceDN/>
        <w:bidi w:val="0"/>
        <w:spacing w:line="600" w:lineRule="exact"/>
        <w:ind w:left="2570" w:hanging="2570" w:hangingChars="800"/>
        <w:jc w:val="left"/>
        <w:textAlignment w:val="auto"/>
        <w:rPr>
          <w:rFonts w:hint="default" w:ascii="宋体" w:hAnsi="宋体" w:eastAsia="宋体" w:cs="宋体"/>
          <w:b/>
          <w:color w:val="auto"/>
          <w:sz w:val="32"/>
          <w:szCs w:val="32"/>
          <w:highlight w:val="none"/>
          <w:u w:val="single"/>
          <w:lang w:val="en-US" w:eastAsia="zh-CN"/>
        </w:rPr>
      </w:pPr>
      <w:r>
        <w:rPr>
          <w:rFonts w:hint="eastAsia" w:ascii="宋体" w:hAnsi="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采购项目名称：</w:t>
      </w:r>
      <w:r>
        <w:rPr>
          <w:rFonts w:hint="eastAsia" w:ascii="宋体" w:hAnsi="宋体" w:cs="宋体"/>
          <w:b/>
          <w:color w:val="auto"/>
          <w:sz w:val="32"/>
          <w:szCs w:val="32"/>
          <w:highlight w:val="none"/>
          <w:lang w:val="en-US" w:eastAsia="zh-CN"/>
        </w:rPr>
        <w:t xml:space="preserve"> 湖南省湘江流域取用水监测计量能力提升重点项目（省级）</w:t>
      </w:r>
    </w:p>
    <w:p w14:paraId="3750499C">
      <w:pPr>
        <w:keepNext w:val="0"/>
        <w:keepLines w:val="0"/>
        <w:pageBreakBefore w:val="0"/>
        <w:widowControl w:val="0"/>
        <w:tabs>
          <w:tab w:val="left" w:pos="1260"/>
        </w:tabs>
        <w:kinsoku/>
        <w:wordWrap/>
        <w:overflowPunct/>
        <w:topLinePunct w:val="0"/>
        <w:autoSpaceDE/>
        <w:autoSpaceDN/>
        <w:bidi w:val="0"/>
        <w:spacing w:line="600" w:lineRule="exact"/>
        <w:ind w:firstLine="321" w:firstLineChars="100"/>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采   购   人： </w:t>
      </w:r>
      <w:r>
        <w:rPr>
          <w:rFonts w:hint="eastAsia" w:ascii="宋体" w:hAnsi="宋体" w:cs="宋体"/>
          <w:b/>
          <w:color w:val="auto"/>
          <w:sz w:val="32"/>
          <w:szCs w:val="32"/>
          <w:highlight w:val="none"/>
          <w:lang w:val="en-US" w:eastAsia="zh-CN"/>
        </w:rPr>
        <w:t>湖南省水利厅</w:t>
      </w:r>
      <w:r>
        <w:rPr>
          <w:rFonts w:hint="eastAsia" w:ascii="宋体" w:hAnsi="宋体" w:eastAsia="宋体" w:cs="宋体"/>
          <w:b/>
          <w:color w:val="auto"/>
          <w:sz w:val="32"/>
          <w:szCs w:val="32"/>
          <w:highlight w:val="none"/>
        </w:rPr>
        <w:t xml:space="preserve"> </w:t>
      </w:r>
    </w:p>
    <w:p w14:paraId="150C1CB6">
      <w:pPr>
        <w:pStyle w:val="18"/>
        <w:keepNext w:val="0"/>
        <w:keepLines w:val="0"/>
        <w:pageBreakBefore w:val="0"/>
        <w:widowControl w:val="0"/>
        <w:kinsoku/>
        <w:wordWrap/>
        <w:overflowPunct/>
        <w:topLinePunct w:val="0"/>
        <w:autoSpaceDE/>
        <w:autoSpaceDN/>
        <w:bidi w:val="0"/>
        <w:adjustRightInd w:val="0"/>
        <w:snapToGrid w:val="0"/>
        <w:spacing w:line="600" w:lineRule="exact"/>
        <w:ind w:firstLine="321" w:firstLineChars="100"/>
        <w:textAlignment w:val="auto"/>
        <w:rPr>
          <w:rFonts w:hint="eastAsia" w:ascii="宋体" w:hAnsi="宋体" w:eastAsia="宋体" w:cs="宋体"/>
          <w:b/>
          <w:bCs/>
          <w:color w:val="auto"/>
          <w:sz w:val="32"/>
          <w:szCs w:val="32"/>
          <w:highlight w:val="none"/>
          <w:u w:val="none"/>
          <w:lang w:val="en-US" w:eastAsia="zh-CN"/>
          <w:rPrChange w:id="0" w:author="红博" w:date="2026-06-26T17:17:19Z">
            <w:rPr>
              <w:rFonts w:hint="eastAsia" w:ascii="宋体" w:hAnsi="宋体" w:eastAsia="宋体" w:cs="宋体"/>
              <w:b/>
              <w:color w:val="auto"/>
              <w:sz w:val="30"/>
              <w:szCs w:val="30"/>
              <w:highlight w:val="none"/>
              <w:lang w:val="en-US" w:eastAsia="zh-CN"/>
            </w:rPr>
          </w:rPrChange>
        </w:rPr>
      </w:pPr>
      <w:del w:id="1" w:author="红博" w:date="2026-06-23T17:54:38Z">
        <w:r>
          <w:rPr>
            <w:rFonts w:hint="default" w:hAnsi="宋体" w:cs="宋体"/>
            <w:b/>
            <w:bCs/>
            <w:color w:val="auto"/>
            <w:sz w:val="32"/>
            <w:szCs w:val="32"/>
            <w:highlight w:val="none"/>
            <w:lang w:val="en-US" w:eastAsia="zh-CN"/>
          </w:rPr>
          <w:delText>政府采购</w:delText>
        </w:r>
      </w:del>
      <w:ins w:id="2" w:author="红博" w:date="2026-06-23T17:54:40Z">
        <w:r>
          <w:rPr>
            <w:rFonts w:hint="eastAsia" w:hAnsi="宋体" w:cs="宋体"/>
            <w:b/>
            <w:bCs/>
            <w:color w:val="auto"/>
            <w:sz w:val="32"/>
            <w:szCs w:val="32"/>
            <w:highlight w:val="none"/>
            <w:lang w:val="en-US" w:eastAsia="zh-CN"/>
          </w:rPr>
          <w:t>采购</w:t>
        </w:r>
      </w:ins>
      <w:ins w:id="3" w:author="红博" w:date="2026-06-26T17:16:19Z">
        <w:r>
          <w:rPr>
            <w:rFonts w:hint="eastAsia" w:hAnsi="宋体" w:cs="宋体"/>
            <w:b/>
            <w:bCs/>
            <w:color w:val="auto"/>
            <w:sz w:val="32"/>
            <w:szCs w:val="32"/>
            <w:highlight w:val="none"/>
            <w:lang w:val="en-US" w:eastAsia="zh-CN"/>
          </w:rPr>
          <w:t>计划</w:t>
        </w:r>
      </w:ins>
      <w:r>
        <w:rPr>
          <w:rFonts w:hint="eastAsia" w:ascii="宋体" w:hAnsi="宋体" w:eastAsia="宋体" w:cs="宋体"/>
          <w:b/>
          <w:bCs/>
          <w:color w:val="auto"/>
          <w:sz w:val="32"/>
          <w:szCs w:val="32"/>
          <w:highlight w:val="none"/>
        </w:rPr>
        <w:t>编号：</w:t>
      </w:r>
      <w:r>
        <w:rPr>
          <w:rFonts w:hint="eastAsia" w:ascii="宋体" w:hAnsi="宋体" w:eastAsia="宋体" w:cs="宋体"/>
          <w:b/>
          <w:bCs/>
          <w:color w:val="auto"/>
          <w:sz w:val="32"/>
          <w:szCs w:val="32"/>
          <w:highlight w:val="none"/>
          <w:lang w:val="en-US" w:eastAsia="zh-CN"/>
        </w:rPr>
        <w:t xml:space="preserve"> </w:t>
      </w:r>
      <w:ins w:id="4" w:author="红博" w:date="2026-06-26T17:17:15Z">
        <w:r>
          <w:rPr>
            <w:rFonts w:hint="eastAsia" w:ascii="宋体" w:hAnsi="宋体" w:eastAsia="宋体" w:cs="宋体"/>
            <w:b/>
            <w:bCs/>
            <w:i w:val="0"/>
            <w:color w:val="auto"/>
            <w:spacing w:val="0"/>
            <w:sz w:val="32"/>
            <w:szCs w:val="32"/>
            <w:highlight w:val="none"/>
            <w:u w:val="none"/>
            <w:lang w:val="en-US" w:eastAsia="zh-CN"/>
            <w:rPrChange w:id="5" w:author="红博" w:date="2026-06-26T17:17:19Z">
              <w:rPr>
                <w:rFonts w:hint="eastAsia" w:ascii="宋体" w:hAnsi="宋体" w:eastAsia="宋体" w:cs="宋体"/>
                <w:b w:val="0"/>
                <w:i w:val="0"/>
                <w:color w:val="000000"/>
                <w:spacing w:val="0"/>
                <w:sz w:val="28"/>
                <w:lang w:val="en-US" w:eastAsia="zh-CN"/>
              </w:rPr>
            </w:rPrChange>
          </w:rPr>
          <w:t>(2026)430000000019-1</w:t>
        </w:r>
      </w:ins>
      <w:del w:id="7" w:author="红博" w:date="2026-06-26T17:17:15Z">
        <w:r>
          <w:rPr>
            <w:rFonts w:hint="eastAsia" w:hAnsi="宋体" w:cs="宋体"/>
            <w:b/>
            <w:bCs/>
            <w:color w:val="auto"/>
            <w:sz w:val="32"/>
            <w:szCs w:val="32"/>
            <w:highlight w:val="none"/>
            <w:u w:val="none"/>
            <w:lang w:val="en-US" w:eastAsia="zh-CN"/>
            <w:rPrChange w:id="8" w:author="红博" w:date="2026-06-26T17:17:19Z">
              <w:rPr>
                <w:rFonts w:hint="eastAsia" w:hAnsi="宋体" w:cs="宋体"/>
                <w:b/>
                <w:bCs/>
                <w:color w:val="auto"/>
                <w:sz w:val="32"/>
                <w:szCs w:val="32"/>
                <w:highlight w:val="none"/>
                <w:u w:val="none"/>
                <w:lang w:val="en-US" w:eastAsia="zh-CN"/>
              </w:rPr>
            </w:rPrChange>
          </w:rPr>
          <w:delText>CGXM2026430000000064</w:delText>
        </w:r>
      </w:del>
    </w:p>
    <w:p w14:paraId="4CC534BF">
      <w:pPr>
        <w:pStyle w:val="18"/>
        <w:keepNext w:val="0"/>
        <w:keepLines w:val="0"/>
        <w:pageBreakBefore w:val="0"/>
        <w:widowControl w:val="0"/>
        <w:kinsoku/>
        <w:wordWrap/>
        <w:overflowPunct/>
        <w:topLinePunct w:val="0"/>
        <w:autoSpaceDE/>
        <w:autoSpaceDN/>
        <w:bidi w:val="0"/>
        <w:adjustRightInd w:val="0"/>
        <w:snapToGrid w:val="0"/>
        <w:spacing w:line="600" w:lineRule="exact"/>
        <w:ind w:firstLine="321" w:firstLineChars="100"/>
        <w:textAlignment w:val="auto"/>
        <w:rPr>
          <w:rFonts w:hint="eastAsia" w:ascii="宋体" w:hAnsi="宋体" w:eastAsia="宋体" w:cs="宋体"/>
          <w:b/>
          <w:color w:val="auto"/>
          <w:sz w:val="30"/>
          <w:szCs w:val="30"/>
          <w:highlight w:val="none"/>
          <w:lang w:val="en-US" w:eastAsia="zh-CN"/>
        </w:rPr>
      </w:pPr>
      <w:r>
        <w:rPr>
          <w:rFonts w:hint="eastAsia" w:ascii="宋体" w:hAnsi="宋体" w:eastAsia="宋体" w:cs="宋体"/>
          <w:b/>
          <w:bCs/>
          <w:color w:val="auto"/>
          <w:sz w:val="32"/>
          <w:szCs w:val="32"/>
          <w:highlight w:val="none"/>
          <w:lang w:val="en-US" w:eastAsia="zh-CN"/>
        </w:rPr>
        <w:t>委托代理</w:t>
      </w:r>
      <w:r>
        <w:rPr>
          <w:rFonts w:hint="eastAsia" w:ascii="宋体" w:hAnsi="宋体" w:eastAsia="宋体" w:cs="宋体"/>
          <w:b/>
          <w:bCs/>
          <w:color w:val="auto"/>
          <w:sz w:val="32"/>
          <w:szCs w:val="32"/>
          <w:highlight w:val="none"/>
        </w:rPr>
        <w:t>编号：</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u w:val="none"/>
          <w:lang w:val="en-US" w:eastAsia="zh-CN"/>
        </w:rPr>
        <w:t>ZLZB</w:t>
      </w:r>
      <w:r>
        <w:rPr>
          <w:rFonts w:hint="eastAsia" w:ascii="宋体" w:hAnsi="宋体" w:eastAsia="宋体" w:cs="宋体"/>
          <w:b/>
          <w:bCs/>
          <w:color w:val="auto"/>
          <w:sz w:val="32"/>
          <w:szCs w:val="32"/>
          <w:highlight w:val="none"/>
          <w:u w:val="none"/>
        </w:rPr>
        <w:t>-202</w:t>
      </w:r>
      <w:r>
        <w:rPr>
          <w:rFonts w:hint="eastAsia" w:hAnsi="宋体" w:cs="宋体"/>
          <w:b/>
          <w:bCs/>
          <w:color w:val="auto"/>
          <w:sz w:val="32"/>
          <w:szCs w:val="32"/>
          <w:highlight w:val="none"/>
          <w:u w:val="none"/>
          <w:lang w:val="en-US" w:eastAsia="zh-CN"/>
        </w:rPr>
        <w:t>6</w:t>
      </w:r>
      <w:r>
        <w:rPr>
          <w:rFonts w:hint="eastAsia" w:ascii="宋体" w:hAnsi="宋体" w:eastAsia="宋体" w:cs="宋体"/>
          <w:b/>
          <w:bCs/>
          <w:color w:val="auto"/>
          <w:sz w:val="32"/>
          <w:szCs w:val="32"/>
          <w:highlight w:val="none"/>
          <w:u w:val="none"/>
        </w:rPr>
        <w:t>-</w:t>
      </w:r>
      <w:r>
        <w:rPr>
          <w:rFonts w:hint="eastAsia" w:ascii="宋体" w:hAnsi="宋体" w:eastAsia="宋体" w:cs="宋体"/>
          <w:b/>
          <w:bCs/>
          <w:color w:val="auto"/>
          <w:sz w:val="32"/>
          <w:szCs w:val="32"/>
          <w:highlight w:val="none"/>
          <w:u w:val="none"/>
          <w:lang w:val="en-US" w:eastAsia="zh-CN"/>
        </w:rPr>
        <w:t>JC</w:t>
      </w:r>
      <w:r>
        <w:rPr>
          <w:rFonts w:hint="eastAsia" w:ascii="宋体" w:hAnsi="宋体" w:eastAsia="宋体" w:cs="宋体"/>
          <w:b/>
          <w:bCs/>
          <w:color w:val="auto"/>
          <w:sz w:val="32"/>
          <w:szCs w:val="32"/>
          <w:highlight w:val="none"/>
          <w:u w:val="none"/>
        </w:rPr>
        <w:t>-</w:t>
      </w:r>
      <w:r>
        <w:rPr>
          <w:rFonts w:hint="eastAsia" w:hAnsi="宋体" w:cs="宋体"/>
          <w:b/>
          <w:bCs/>
          <w:color w:val="auto"/>
          <w:sz w:val="32"/>
          <w:szCs w:val="32"/>
          <w:highlight w:val="none"/>
          <w:u w:val="none"/>
          <w:lang w:val="en-US" w:eastAsia="zh-CN"/>
        </w:rPr>
        <w:t>005</w:t>
      </w:r>
    </w:p>
    <w:p w14:paraId="6692DB4D">
      <w:pPr>
        <w:pStyle w:val="18"/>
        <w:keepNext w:val="0"/>
        <w:keepLines w:val="0"/>
        <w:pageBreakBefore w:val="0"/>
        <w:widowControl w:val="0"/>
        <w:kinsoku/>
        <w:wordWrap/>
        <w:overflowPunct/>
        <w:topLinePunct w:val="0"/>
        <w:autoSpaceDE/>
        <w:autoSpaceDN/>
        <w:bidi w:val="0"/>
        <w:adjustRightInd w:val="0"/>
        <w:snapToGrid w:val="0"/>
        <w:spacing w:line="600" w:lineRule="exact"/>
        <w:ind w:firstLine="321" w:firstLineChars="100"/>
        <w:textAlignment w:val="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采购代理机构: 湖南智联建设项目管理有限公司</w:t>
      </w:r>
    </w:p>
    <w:p w14:paraId="02061408">
      <w:pPr>
        <w:pStyle w:val="18"/>
        <w:kinsoku/>
        <w:wordWrap/>
        <w:overflowPunct/>
        <w:bidi w:val="0"/>
        <w:adjustRightInd w:val="0"/>
        <w:snapToGrid w:val="0"/>
        <w:spacing w:line="500" w:lineRule="exact"/>
        <w:rPr>
          <w:rFonts w:hint="eastAsia" w:ascii="宋体" w:hAnsi="宋体" w:eastAsia="宋体" w:cs="宋体"/>
          <w:b/>
          <w:color w:val="auto"/>
          <w:sz w:val="32"/>
          <w:highlight w:val="none"/>
        </w:rPr>
      </w:pPr>
    </w:p>
    <w:p w14:paraId="12414A23">
      <w:pPr>
        <w:pStyle w:val="18"/>
        <w:kinsoku/>
        <w:wordWrap/>
        <w:overflowPunct/>
        <w:bidi w:val="0"/>
        <w:adjustRightInd w:val="0"/>
        <w:snapToGrid w:val="0"/>
        <w:spacing w:line="500" w:lineRule="exact"/>
        <w:rPr>
          <w:rFonts w:hint="eastAsia" w:ascii="宋体" w:hAnsi="宋体" w:eastAsia="宋体" w:cs="宋体"/>
          <w:b/>
          <w:color w:val="auto"/>
          <w:sz w:val="32"/>
          <w:highlight w:val="none"/>
        </w:rPr>
      </w:pPr>
    </w:p>
    <w:p w14:paraId="52FCFF73">
      <w:pPr>
        <w:pStyle w:val="18"/>
        <w:kinsoku/>
        <w:wordWrap/>
        <w:overflowPunct/>
        <w:bidi w:val="0"/>
        <w:adjustRightInd w:val="0"/>
        <w:snapToGrid w:val="0"/>
        <w:spacing w:line="500" w:lineRule="exact"/>
        <w:rPr>
          <w:rFonts w:hint="eastAsia" w:ascii="宋体" w:hAnsi="宋体" w:eastAsia="宋体" w:cs="宋体"/>
          <w:b/>
          <w:color w:val="auto"/>
          <w:sz w:val="32"/>
          <w:highlight w:val="none"/>
        </w:rPr>
      </w:pPr>
    </w:p>
    <w:p w14:paraId="4F50666B">
      <w:pPr>
        <w:rPr>
          <w:rFonts w:hint="eastAsia" w:ascii="宋体" w:hAnsi="宋体" w:eastAsia="宋体" w:cs="宋体"/>
          <w:b/>
          <w:color w:val="auto"/>
          <w:sz w:val="32"/>
          <w:highlight w:val="none"/>
        </w:rPr>
      </w:pPr>
    </w:p>
    <w:p w14:paraId="09CB4558">
      <w:pPr>
        <w:pStyle w:val="18"/>
        <w:bidi w:val="0"/>
        <w:rPr>
          <w:rFonts w:hint="eastAsia"/>
          <w:highlight w:val="none"/>
        </w:rPr>
      </w:pPr>
    </w:p>
    <w:p w14:paraId="40D67C3F">
      <w:pPr>
        <w:rPr>
          <w:rFonts w:hint="eastAsia"/>
          <w:highlight w:val="none"/>
        </w:rPr>
      </w:pPr>
    </w:p>
    <w:p w14:paraId="740C1FB5">
      <w:pPr>
        <w:rPr>
          <w:rFonts w:hint="eastAsia"/>
          <w:highlight w:val="none"/>
        </w:rPr>
      </w:pPr>
    </w:p>
    <w:p w14:paraId="103469FB">
      <w:pPr>
        <w:pStyle w:val="18"/>
        <w:kinsoku/>
        <w:wordWrap/>
        <w:overflowPunct/>
        <w:bidi w:val="0"/>
        <w:adjustRightInd w:val="0"/>
        <w:snapToGrid w:val="0"/>
        <w:spacing w:line="500" w:lineRule="exact"/>
        <w:rPr>
          <w:rFonts w:hint="eastAsia" w:ascii="宋体" w:hAnsi="宋体" w:eastAsia="宋体" w:cs="宋体"/>
          <w:b/>
          <w:color w:val="auto"/>
          <w:sz w:val="32"/>
          <w:highlight w:val="none"/>
        </w:rPr>
      </w:pPr>
    </w:p>
    <w:p w14:paraId="42536F7B">
      <w:pPr>
        <w:pStyle w:val="18"/>
        <w:tabs>
          <w:tab w:val="left" w:pos="3990"/>
        </w:tabs>
        <w:kinsoku/>
        <w:wordWrap/>
        <w:overflowPunct/>
        <w:bidi w:val="0"/>
        <w:adjustRightInd w:val="0"/>
        <w:snapToGrid w:val="0"/>
        <w:spacing w:line="500" w:lineRule="exact"/>
        <w:rPr>
          <w:rFonts w:hint="eastAsia" w:ascii="宋体" w:hAnsi="宋体" w:eastAsia="宋体" w:cs="宋体"/>
          <w:b/>
          <w:color w:val="auto"/>
          <w:sz w:val="32"/>
          <w:highlight w:val="none"/>
        </w:rPr>
      </w:pPr>
      <w:r>
        <w:rPr>
          <w:rFonts w:hint="eastAsia" w:ascii="宋体" w:hAnsi="宋体" w:eastAsia="宋体" w:cs="宋体"/>
          <w:b/>
          <w:color w:val="auto"/>
          <w:sz w:val="32"/>
          <w:highlight w:val="none"/>
        </w:rPr>
        <w:tab/>
      </w:r>
    </w:p>
    <w:p w14:paraId="3C1B8C21">
      <w:pPr>
        <w:pStyle w:val="18"/>
        <w:kinsoku/>
        <w:wordWrap/>
        <w:overflowPunct/>
        <w:bidi w:val="0"/>
        <w:adjustRightInd w:val="0"/>
        <w:snapToGrid w:val="0"/>
        <w:spacing w:line="500"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202</w:t>
      </w:r>
      <w:r>
        <w:rPr>
          <w:rFonts w:hint="eastAsia" w:hAnsi="宋体" w:cs="宋体"/>
          <w:b/>
          <w:color w:val="auto"/>
          <w:sz w:val="32"/>
          <w:highlight w:val="none"/>
          <w:lang w:val="en-US" w:eastAsia="zh-CN"/>
        </w:rPr>
        <w:t>6</w:t>
      </w:r>
      <w:r>
        <w:rPr>
          <w:rFonts w:hint="eastAsia" w:ascii="宋体" w:hAnsi="宋体" w:eastAsia="宋体" w:cs="宋体"/>
          <w:b/>
          <w:color w:val="auto"/>
          <w:sz w:val="32"/>
          <w:highlight w:val="none"/>
        </w:rPr>
        <w:t>年</w:t>
      </w:r>
      <w:r>
        <w:rPr>
          <w:rFonts w:hint="eastAsia" w:hAnsi="宋体" w:cs="宋体"/>
          <w:b/>
          <w:color w:val="auto"/>
          <w:sz w:val="32"/>
          <w:highlight w:val="none"/>
          <w:lang w:val="en-US" w:eastAsia="zh-CN"/>
        </w:rPr>
        <w:t>6</w:t>
      </w:r>
      <w:r>
        <w:rPr>
          <w:rFonts w:hint="eastAsia" w:ascii="宋体" w:hAnsi="宋体" w:eastAsia="宋体" w:cs="宋体"/>
          <w:b/>
          <w:color w:val="auto"/>
          <w:sz w:val="32"/>
          <w:highlight w:val="none"/>
        </w:rPr>
        <w:t>月</w:t>
      </w:r>
    </w:p>
    <w:p w14:paraId="6835AFA5">
      <w:pPr>
        <w:rPr>
          <w:rFonts w:hint="eastAsia" w:ascii="宋体" w:hAnsi="宋体" w:eastAsia="宋体" w:cs="宋体"/>
          <w:color w:val="auto"/>
          <w:spacing w:val="160"/>
          <w:sz w:val="36"/>
          <w:szCs w:val="36"/>
          <w:highlight w:val="none"/>
        </w:rPr>
      </w:pPr>
      <w:r>
        <w:rPr>
          <w:rFonts w:hint="eastAsia" w:ascii="宋体" w:hAnsi="宋体" w:eastAsia="宋体" w:cs="宋体"/>
          <w:color w:val="auto"/>
          <w:spacing w:val="160"/>
          <w:sz w:val="36"/>
          <w:szCs w:val="36"/>
          <w:highlight w:val="none"/>
        </w:rPr>
        <w:br w:type="page"/>
      </w:r>
      <w:r>
        <w:rPr>
          <w:rFonts w:hint="eastAsia" w:ascii="宋体" w:hAnsi="宋体" w:eastAsia="宋体" w:cs="宋体"/>
          <w:color w:val="auto"/>
          <w:spacing w:val="160"/>
          <w:sz w:val="36"/>
          <w:szCs w:val="36"/>
          <w:highlight w:val="none"/>
        </w:rPr>
        <w:br w:type="page"/>
      </w:r>
    </w:p>
    <w:p w14:paraId="58CB214E">
      <w:pPr>
        <w:pStyle w:val="8"/>
        <w:rPr>
          <w:rFonts w:hint="eastAsia"/>
          <w:highlight w:val="none"/>
        </w:rPr>
        <w:sectPr>
          <w:footerReference r:id="rId4" w:type="first"/>
          <w:footerReference r:id="rId3" w:type="default"/>
          <w:pgSz w:w="11906" w:h="16838"/>
          <w:pgMar w:top="1440" w:right="1531" w:bottom="1440" w:left="1531" w:header="851" w:footer="992" w:gutter="0"/>
          <w:pgBorders>
            <w:top w:val="none" w:sz="0" w:space="0"/>
            <w:left w:val="none" w:sz="0" w:space="0"/>
            <w:bottom w:val="none" w:sz="0" w:space="0"/>
            <w:right w:val="none" w:sz="0" w:space="0"/>
          </w:pgBorders>
          <w:pgNumType w:start="1"/>
          <w:cols w:space="720" w:num="1"/>
          <w:rtlGutter w:val="1"/>
          <w:docGrid w:type="lines" w:linePitch="312" w:charSpace="0"/>
        </w:sectPr>
      </w:pPr>
    </w:p>
    <w:p w14:paraId="00EF96DC">
      <w:pPr>
        <w:kinsoku/>
        <w:wordWrap/>
        <w:overflowPunct/>
        <w:bidi w:val="0"/>
        <w:spacing w:line="500" w:lineRule="exact"/>
        <w:jc w:val="center"/>
        <w:rPr>
          <w:rFonts w:hint="eastAsia" w:ascii="宋体" w:hAnsi="宋体" w:eastAsia="宋体" w:cs="宋体"/>
          <w:color w:val="auto"/>
          <w:spacing w:val="160"/>
          <w:sz w:val="36"/>
          <w:szCs w:val="36"/>
          <w:highlight w:val="none"/>
        </w:rPr>
      </w:pPr>
      <w:r>
        <w:rPr>
          <w:rFonts w:hint="eastAsia" w:ascii="宋体" w:hAnsi="宋体" w:eastAsia="宋体" w:cs="宋体"/>
          <w:color w:val="auto"/>
          <w:spacing w:val="160"/>
          <w:sz w:val="36"/>
          <w:szCs w:val="36"/>
          <w:highlight w:val="none"/>
        </w:rPr>
        <w:t>目录</w:t>
      </w:r>
    </w:p>
    <w:p w14:paraId="20672D8A">
      <w:pPr>
        <w:pStyle w:val="18"/>
        <w:kinsoku/>
        <w:wordWrap/>
        <w:overflowPunct/>
        <w:bidi w:val="0"/>
        <w:adjustRightInd w:val="0"/>
        <w:snapToGrid w:val="0"/>
        <w:spacing w:line="5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第一章磋商邀请</w:t>
      </w:r>
    </w:p>
    <w:p w14:paraId="70A4C343">
      <w:pPr>
        <w:pStyle w:val="18"/>
        <w:kinsoku/>
        <w:wordWrap/>
        <w:overflowPunct/>
        <w:bidi w:val="0"/>
        <w:adjustRightInd w:val="0"/>
        <w:snapToGrid w:val="0"/>
        <w:spacing w:line="5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第二章磋商须知</w:t>
      </w:r>
    </w:p>
    <w:p w14:paraId="4A0A73BF">
      <w:pPr>
        <w:tabs>
          <w:tab w:val="left" w:pos="1440"/>
          <w:tab w:val="left" w:pos="3525"/>
        </w:tabs>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磋商须知前附表</w:t>
      </w:r>
      <w:r>
        <w:rPr>
          <w:rFonts w:hint="eastAsia" w:ascii="宋体" w:hAnsi="宋体" w:eastAsia="宋体" w:cs="宋体"/>
          <w:color w:val="auto"/>
          <w:highlight w:val="none"/>
        </w:rPr>
        <w:tab/>
      </w:r>
    </w:p>
    <w:p w14:paraId="68A8AB86">
      <w:pPr>
        <w:tabs>
          <w:tab w:val="left" w:pos="1440"/>
        </w:tabs>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磋商须知正文</w:t>
      </w:r>
    </w:p>
    <w:p w14:paraId="200ED40E">
      <w:pPr>
        <w:tabs>
          <w:tab w:val="left" w:pos="1440"/>
        </w:tabs>
        <w:kinsoku/>
        <w:wordWrap/>
        <w:overflowPunct/>
        <w:bidi w:val="0"/>
        <w:adjustRightInd w:val="0"/>
        <w:snapToGrid w:val="0"/>
        <w:spacing w:line="5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一、说明</w:t>
      </w:r>
    </w:p>
    <w:p w14:paraId="54F109D5">
      <w:pPr>
        <w:tabs>
          <w:tab w:val="left" w:pos="1440"/>
        </w:tabs>
        <w:kinsoku/>
        <w:wordWrap/>
        <w:overflowPunct/>
        <w:bidi w:val="0"/>
        <w:adjustRightInd w:val="0"/>
        <w:snapToGrid w:val="0"/>
        <w:spacing w:line="5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二、磋商文件</w:t>
      </w:r>
    </w:p>
    <w:p w14:paraId="5BF8F234">
      <w:pPr>
        <w:kinsoku/>
        <w:wordWrap/>
        <w:overflowPunct/>
        <w:bidi w:val="0"/>
        <w:adjustRightInd w:val="0"/>
        <w:snapToGrid w:val="0"/>
        <w:spacing w:line="5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三、响应文件</w:t>
      </w:r>
    </w:p>
    <w:p w14:paraId="5DC366F4">
      <w:pPr>
        <w:kinsoku/>
        <w:wordWrap/>
        <w:overflowPunct/>
        <w:bidi w:val="0"/>
        <w:adjustRightInd w:val="0"/>
        <w:snapToGrid w:val="0"/>
        <w:spacing w:line="5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四、响应文件的递交</w:t>
      </w:r>
    </w:p>
    <w:p w14:paraId="4AE5B324">
      <w:pPr>
        <w:kinsoku/>
        <w:wordWrap/>
        <w:overflowPunct/>
        <w:bidi w:val="0"/>
        <w:adjustRightInd w:val="0"/>
        <w:snapToGrid w:val="0"/>
        <w:spacing w:line="5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五、响应文件的磋商与评审</w:t>
      </w:r>
    </w:p>
    <w:p w14:paraId="73DB21A4">
      <w:pPr>
        <w:kinsoku/>
        <w:wordWrap/>
        <w:overflowPunct/>
        <w:bidi w:val="0"/>
        <w:adjustRightInd w:val="0"/>
        <w:snapToGrid w:val="0"/>
        <w:spacing w:line="5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六、成交结果信息公布与授予合同</w:t>
      </w:r>
    </w:p>
    <w:p w14:paraId="3F926797">
      <w:pPr>
        <w:kinsoku/>
        <w:wordWrap/>
        <w:overflowPunct/>
        <w:bidi w:val="0"/>
        <w:adjustRightInd w:val="0"/>
        <w:snapToGrid w:val="0"/>
        <w:spacing w:line="500" w:lineRule="exact"/>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七、其他规定</w:t>
      </w:r>
    </w:p>
    <w:p w14:paraId="25E3BB52">
      <w:pPr>
        <w:kinsoku/>
        <w:wordWrap/>
        <w:overflowPunct/>
        <w:bidi w:val="0"/>
        <w:adjustRightInd w:val="0"/>
        <w:snapToGrid w:val="0"/>
        <w:spacing w:line="5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第三章采购需求</w:t>
      </w:r>
    </w:p>
    <w:p w14:paraId="43348FF3">
      <w:pPr>
        <w:kinsoku/>
        <w:wordWrap/>
        <w:overflowPunct/>
        <w:bidi w:val="0"/>
        <w:adjustRightInd w:val="0"/>
        <w:snapToGrid w:val="0"/>
        <w:spacing w:line="5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第四章政府采购合同格式</w:t>
      </w:r>
    </w:p>
    <w:p w14:paraId="3B11F16C">
      <w:pPr>
        <w:pStyle w:val="18"/>
        <w:kinsoku/>
        <w:wordWrap/>
        <w:overflowPunct/>
        <w:bidi w:val="0"/>
        <w:adjustRightInd w:val="0"/>
        <w:snapToGrid w:val="0"/>
        <w:spacing w:line="5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第五章响应文件组成</w:t>
      </w:r>
    </w:p>
    <w:p w14:paraId="7A9EE81D">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51284ABC">
      <w:pPr>
        <w:rPr>
          <w:rFonts w:hint="eastAsia"/>
          <w:highlight w:val="none"/>
        </w:rPr>
      </w:pPr>
      <w:r>
        <w:rPr>
          <w:rFonts w:hint="eastAsia"/>
          <w:highlight w:val="none"/>
        </w:rPr>
        <w:br w:type="page"/>
      </w:r>
    </w:p>
    <w:p w14:paraId="0D57C0C2">
      <w:pPr>
        <w:pStyle w:val="8"/>
        <w:rPr>
          <w:rFonts w:hint="eastAsia"/>
          <w:highlight w:val="none"/>
        </w:rPr>
        <w:sectPr>
          <w:footerReference r:id="rId5" w:type="default"/>
          <w:pgSz w:w="11906" w:h="16838"/>
          <w:pgMar w:top="1440" w:right="1531" w:bottom="1440" w:left="1531" w:header="851" w:footer="992" w:gutter="0"/>
          <w:pgBorders>
            <w:top w:val="none" w:sz="0" w:space="0"/>
            <w:left w:val="none" w:sz="0" w:space="0"/>
            <w:bottom w:val="none" w:sz="0" w:space="0"/>
            <w:right w:val="none" w:sz="0" w:space="0"/>
          </w:pgBorders>
          <w:pgNumType w:start="1"/>
          <w:cols w:space="720" w:num="1"/>
          <w:rtlGutter w:val="1"/>
          <w:docGrid w:type="lines" w:linePitch="312" w:charSpace="0"/>
        </w:sectPr>
      </w:pPr>
    </w:p>
    <w:p w14:paraId="153772AC">
      <w:pPr>
        <w:pStyle w:val="7"/>
        <w:kinsoku/>
        <w:wordWrap/>
        <w:overflow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第一章 磋商邀请</w:t>
      </w:r>
    </w:p>
    <w:p w14:paraId="7D33F07A">
      <w:pPr>
        <w:pStyle w:val="18"/>
        <w:adjustRightInd w:val="0"/>
        <w:snapToGrid w:val="0"/>
        <w:spacing w:line="460" w:lineRule="exact"/>
        <w:ind w:firstLine="420" w:firstLineChars="200"/>
        <w:rPr>
          <w:rFonts w:hint="eastAsia" w:hAnsi="宋体" w:cs="宋体"/>
        </w:rPr>
      </w:pPr>
      <w:r>
        <w:rPr>
          <w:rFonts w:hint="eastAsia" w:hAnsi="宋体" w:cs="宋体"/>
          <w:iCs/>
        </w:rPr>
        <w:t>湖南省水利厅的</w:t>
      </w:r>
      <w:r>
        <w:rPr>
          <w:rFonts w:hint="eastAsia" w:hAnsi="宋体" w:cs="宋体"/>
          <w:iCs/>
          <w:lang w:val="en-US" w:eastAsia="zh-CN"/>
        </w:rPr>
        <w:t>湖南省湘江流域取用水监测计量能力提升重点项目（省级）</w:t>
      </w:r>
      <w:r>
        <w:rPr>
          <w:rFonts w:hint="eastAsia" w:hAnsi="宋体" w:cs="宋体"/>
          <w:iCs/>
        </w:rPr>
        <w:t>进行采购，现邀请合格</w:t>
      </w:r>
      <w:r>
        <w:rPr>
          <w:rFonts w:hint="eastAsia" w:hAnsi="宋体" w:cs="宋体"/>
          <w:iCs/>
          <w:lang w:val="en-US" w:eastAsia="zh-CN"/>
        </w:rPr>
        <w:t>供应商</w:t>
      </w:r>
      <w:r>
        <w:rPr>
          <w:rFonts w:hint="eastAsia" w:hAnsi="宋体" w:cs="宋体"/>
          <w:iCs/>
        </w:rPr>
        <w:t>参加</w:t>
      </w:r>
      <w:r>
        <w:rPr>
          <w:rFonts w:hint="eastAsia" w:hAnsi="宋体" w:cs="宋体"/>
          <w:iCs/>
          <w:lang w:val="en-US" w:eastAsia="zh-CN"/>
        </w:rPr>
        <w:t>竞争性磋商采购活动</w:t>
      </w:r>
      <w:r>
        <w:rPr>
          <w:rFonts w:hint="eastAsia" w:hAnsi="宋体" w:cs="宋体"/>
          <w:iCs/>
        </w:rPr>
        <w:t>。</w:t>
      </w:r>
    </w:p>
    <w:p w14:paraId="19259A1D">
      <w:pPr>
        <w:adjustRightInd w:val="0"/>
        <w:snapToGrid w:val="0"/>
        <w:spacing w:line="460" w:lineRule="exact"/>
        <w:ind w:firstLine="527" w:firstLineChars="250"/>
        <w:rPr>
          <w:rFonts w:hint="eastAsia" w:ascii="宋体" w:hAnsi="宋体" w:cs="宋体"/>
          <w:b/>
          <w:bCs/>
          <w:szCs w:val="21"/>
        </w:rPr>
      </w:pPr>
      <w:r>
        <w:rPr>
          <w:rFonts w:hint="eastAsia" w:ascii="宋体" w:hAnsi="宋体" w:cs="宋体"/>
          <w:b/>
          <w:bCs/>
          <w:szCs w:val="21"/>
        </w:rPr>
        <w:t>一、采购项目基本概况</w:t>
      </w:r>
    </w:p>
    <w:p w14:paraId="011484A2">
      <w:pPr>
        <w:adjustRightInd w:val="0"/>
        <w:snapToGrid w:val="0"/>
        <w:spacing w:line="460" w:lineRule="exact"/>
        <w:ind w:left="2383" w:leftChars="285" w:hanging="1785" w:hangingChars="850"/>
        <w:rPr>
          <w:rFonts w:hint="eastAsia" w:ascii="宋体" w:hAnsi="宋体" w:eastAsia="宋体" w:cs="宋体"/>
          <w:szCs w:val="21"/>
          <w:u w:val="single"/>
          <w:lang w:eastAsia="zh-CN"/>
        </w:rPr>
      </w:pPr>
      <w:r>
        <w:rPr>
          <w:rFonts w:hint="eastAsia" w:ascii="宋体" w:hAnsi="宋体" w:cs="宋体"/>
          <w:szCs w:val="21"/>
        </w:rPr>
        <w:t>1、采购项目名称：</w:t>
      </w:r>
      <w:r>
        <w:rPr>
          <w:rFonts w:hint="eastAsia" w:hAnsi="宋体" w:cs="宋体"/>
          <w:iCs/>
          <w:u w:val="single"/>
          <w:lang w:val="en-US" w:eastAsia="zh-CN"/>
        </w:rPr>
        <w:t>湖南省湘江流域取用水监测计量能力提升重点项目（省级）</w:t>
      </w:r>
    </w:p>
    <w:p w14:paraId="7D2072D5">
      <w:pPr>
        <w:keepNext w:val="0"/>
        <w:keepLines w:val="0"/>
        <w:pageBreakBefore w:val="0"/>
        <w:widowControl w:val="0"/>
        <w:kinsoku/>
        <w:wordWrap/>
        <w:overflowPunct/>
        <w:topLinePunct w:val="0"/>
        <w:autoSpaceDE/>
        <w:autoSpaceDN/>
        <w:bidi w:val="0"/>
        <w:adjustRightInd w:val="0"/>
        <w:snapToGrid w:val="0"/>
        <w:spacing w:line="460" w:lineRule="exact"/>
        <w:ind w:left="2383" w:leftChars="285" w:hanging="1785" w:hangingChars="850"/>
        <w:textAlignment w:val="auto"/>
        <w:rPr>
          <w:ins w:id="11" w:author="红博" w:date="2026-06-26T17:17:58Z"/>
          <w:rFonts w:hint="eastAsia" w:ascii="宋体" w:hAnsi="宋体" w:eastAsia="宋体" w:cs="宋体"/>
          <w:b w:val="0"/>
          <w:bCs w:val="0"/>
          <w:sz w:val="21"/>
          <w:szCs w:val="21"/>
          <w:u w:val="none"/>
          <w:lang w:val="en-US" w:eastAsia="zh-CN"/>
          <w:rPrChange w:id="12" w:author="红博" w:date="2026-06-26T17:18:19Z">
            <w:rPr>
              <w:ins w:id="13" w:author="红博" w:date="2026-06-26T17:17:58Z"/>
              <w:rFonts w:hint="eastAsia" w:ascii="宋体" w:hAnsi="宋体" w:eastAsia="宋体" w:cs="宋体"/>
              <w:b/>
              <w:bCs/>
              <w:color w:val="auto"/>
              <w:sz w:val="32"/>
              <w:szCs w:val="32"/>
              <w:highlight w:val="none"/>
              <w:u w:val="none"/>
              <w:lang w:val="en-US" w:eastAsia="zh-CN"/>
            </w:rPr>
          </w:rPrChange>
        </w:rPr>
        <w:pPrChange w:id="10" w:author="红博" w:date="2026-06-26T17:18:19Z">
          <w:pPr>
            <w:pStyle w:val="18"/>
            <w:keepNext w:val="0"/>
            <w:keepLines w:val="0"/>
            <w:pageBreakBefore w:val="0"/>
            <w:widowControl w:val="0"/>
            <w:kinsoku/>
            <w:wordWrap/>
            <w:overflowPunct/>
            <w:topLinePunct w:val="0"/>
            <w:autoSpaceDE/>
            <w:autoSpaceDN/>
            <w:bidi w:val="0"/>
            <w:adjustRightInd w:val="0"/>
            <w:snapToGrid w:val="0"/>
            <w:spacing w:line="600" w:lineRule="exact"/>
            <w:ind w:firstLine="321" w:firstLineChars="100"/>
            <w:textAlignment w:val="auto"/>
          </w:pPr>
        </w:pPrChange>
      </w:pPr>
      <w:r>
        <w:rPr>
          <w:rFonts w:hint="eastAsia" w:ascii="宋体" w:hAnsi="宋体" w:cs="宋体"/>
          <w:szCs w:val="21"/>
          <w:lang w:val="en-US" w:eastAsia="zh-CN"/>
          <w:rPrChange w:id="14" w:author="红博" w:date="2026-06-26T17:18:19Z">
            <w:rPr>
              <w:rFonts w:hint="eastAsia" w:ascii="宋体" w:hAnsi="宋体" w:cs="宋体"/>
              <w:szCs w:val="21"/>
              <w:lang w:val="en-US" w:eastAsia="zh-CN"/>
            </w:rPr>
          </w:rPrChange>
        </w:rPr>
        <w:t>2、</w:t>
      </w:r>
      <w:del w:id="15" w:author="红博" w:date="2026-06-23T17:54:50Z">
        <w:r>
          <w:rPr>
            <w:rFonts w:hint="eastAsia" w:ascii="宋体" w:hAnsi="宋体" w:cs="宋体"/>
            <w:szCs w:val="21"/>
            <w:lang w:val="en-US" w:eastAsia="zh-CN"/>
            <w:rPrChange w:id="16" w:author="红博" w:date="2026-06-26T17:18:19Z">
              <w:rPr>
                <w:rFonts w:hint="default" w:ascii="宋体" w:hAnsi="宋体" w:cs="宋体"/>
                <w:szCs w:val="21"/>
                <w:lang w:val="en-US" w:eastAsia="zh-CN"/>
              </w:rPr>
            </w:rPrChange>
          </w:rPr>
          <w:delText>政府采购</w:delText>
        </w:r>
      </w:del>
      <w:ins w:id="18" w:author="红博" w:date="2026-06-23T17:54:51Z">
        <w:r>
          <w:rPr>
            <w:rFonts w:hint="eastAsia" w:ascii="宋体" w:hAnsi="宋体" w:cs="宋体"/>
            <w:szCs w:val="21"/>
            <w:lang w:val="en-US" w:eastAsia="zh-CN"/>
            <w:rPrChange w:id="19" w:author="红博" w:date="2026-06-26T17:18:19Z">
              <w:rPr>
                <w:rFonts w:hint="eastAsia" w:ascii="宋体" w:hAnsi="宋体" w:cs="宋体"/>
                <w:szCs w:val="21"/>
                <w:lang w:val="en-US" w:eastAsia="zh-CN"/>
              </w:rPr>
            </w:rPrChange>
          </w:rPr>
          <w:t>采购</w:t>
        </w:r>
      </w:ins>
      <w:ins w:id="21" w:author="红博" w:date="2026-06-26T17:17:29Z">
        <w:r>
          <w:rPr>
            <w:rFonts w:hint="eastAsia" w:ascii="宋体" w:hAnsi="宋体" w:cs="宋体"/>
            <w:szCs w:val="21"/>
            <w:lang w:val="en-US" w:eastAsia="zh-CN"/>
            <w:rPrChange w:id="22" w:author="红博" w:date="2026-06-26T17:18:19Z">
              <w:rPr>
                <w:rFonts w:hint="eastAsia" w:ascii="宋体" w:hAnsi="宋体" w:cs="宋体"/>
                <w:szCs w:val="21"/>
                <w:lang w:val="en-US" w:eastAsia="zh-CN"/>
              </w:rPr>
            </w:rPrChange>
          </w:rPr>
          <w:t>计划</w:t>
        </w:r>
      </w:ins>
      <w:r>
        <w:rPr>
          <w:rFonts w:hint="eastAsia" w:ascii="宋体" w:hAnsi="宋体" w:cs="宋体"/>
          <w:szCs w:val="21"/>
          <w:lang w:val="en-US" w:eastAsia="zh-CN"/>
          <w:rPrChange w:id="24" w:author="红博" w:date="2026-06-26T17:18:19Z">
            <w:rPr>
              <w:rFonts w:hint="eastAsia" w:ascii="宋体" w:hAnsi="宋体" w:cs="宋体"/>
              <w:szCs w:val="21"/>
              <w:lang w:val="en-US" w:eastAsia="zh-CN"/>
            </w:rPr>
          </w:rPrChange>
        </w:rPr>
        <w:t>编号：</w:t>
      </w:r>
      <w:ins w:id="25" w:author="红博" w:date="2026-06-26T17:17:58Z">
        <w:r>
          <w:rPr>
            <w:rFonts w:hint="eastAsia" w:ascii="宋体" w:hAnsi="宋体" w:eastAsia="宋体" w:cs="宋体"/>
            <w:b w:val="0"/>
            <w:bCs w:val="0"/>
            <w:i w:val="0"/>
            <w:spacing w:val="0"/>
            <w:sz w:val="21"/>
            <w:szCs w:val="21"/>
            <w:u w:val="none"/>
            <w:lang w:val="en-US" w:eastAsia="zh-CN"/>
            <w:rPrChange w:id="26" w:author="红博" w:date="2026-06-26T17:18:19Z">
              <w:rPr>
                <w:rFonts w:hint="eastAsia" w:ascii="宋体" w:hAnsi="宋体" w:eastAsia="宋体" w:cs="宋体"/>
                <w:b/>
                <w:bCs/>
                <w:i w:val="0"/>
                <w:color w:val="auto"/>
                <w:spacing w:val="0"/>
                <w:sz w:val="32"/>
                <w:szCs w:val="32"/>
                <w:highlight w:val="none"/>
                <w:u w:val="none"/>
                <w:lang w:val="en-US" w:eastAsia="zh-CN"/>
              </w:rPr>
            </w:rPrChange>
          </w:rPr>
          <w:t>(2026)430000000019-1</w:t>
        </w:r>
      </w:ins>
    </w:p>
    <w:p w14:paraId="0EF10E1A">
      <w:pPr>
        <w:adjustRightInd w:val="0"/>
        <w:snapToGrid w:val="0"/>
        <w:spacing w:line="460" w:lineRule="exact"/>
        <w:ind w:left="2383" w:leftChars="285" w:hanging="1785" w:hangingChars="850"/>
        <w:rPr>
          <w:del w:id="29" w:author="红博" w:date="2026-06-26T17:18:07Z"/>
          <w:rFonts w:hint="eastAsia" w:ascii="宋体" w:hAnsi="宋体" w:cs="宋体"/>
          <w:szCs w:val="21"/>
          <w:u w:val="none"/>
          <w:lang w:val="en-US" w:eastAsia="zh-CN"/>
          <w:rPrChange w:id="30" w:author="红博" w:date="2026-06-26T17:18:19Z">
            <w:rPr>
              <w:del w:id="31" w:author="红博" w:date="2026-06-26T17:18:07Z"/>
              <w:rFonts w:hint="default" w:ascii="宋体" w:hAnsi="宋体" w:cs="宋体"/>
              <w:szCs w:val="21"/>
              <w:u w:val="single"/>
              <w:lang w:val="en-US" w:eastAsia="zh-CN"/>
            </w:rPr>
          </w:rPrChange>
        </w:rPr>
        <w:pPrChange w:id="28" w:author="红博" w:date="2026-06-26T17:18:19Z">
          <w:pPr>
            <w:adjustRightInd w:val="0"/>
            <w:snapToGrid w:val="0"/>
            <w:spacing w:line="460" w:lineRule="exact"/>
            <w:ind w:firstLine="525" w:firstLineChars="250"/>
          </w:pPr>
        </w:pPrChange>
      </w:pPr>
      <w:del w:id="32" w:author="红博" w:date="2026-06-26T17:18:07Z">
        <w:r>
          <w:rPr>
            <w:rFonts w:hint="eastAsia" w:ascii="宋体" w:hAnsi="宋体" w:cs="宋体"/>
            <w:szCs w:val="21"/>
            <w:u w:val="none"/>
            <w:lang w:val="en-US" w:eastAsia="zh-CN"/>
            <w:rPrChange w:id="33" w:author="红博" w:date="2026-06-26T17:18:19Z">
              <w:rPr>
                <w:rFonts w:hint="eastAsia" w:ascii="宋体" w:hAnsi="宋体" w:cs="宋体"/>
                <w:szCs w:val="21"/>
                <w:u w:val="single"/>
                <w:lang w:val="en-US" w:eastAsia="zh-CN"/>
              </w:rPr>
            </w:rPrChange>
          </w:rPr>
          <w:delText>CGXM2026430000000064</w:delText>
        </w:r>
      </w:del>
    </w:p>
    <w:p w14:paraId="220F6F7F">
      <w:pPr>
        <w:adjustRightInd w:val="0"/>
        <w:snapToGrid w:val="0"/>
        <w:spacing w:line="460" w:lineRule="exact"/>
        <w:ind w:left="2383" w:leftChars="285" w:hanging="1785" w:hangingChars="850"/>
        <w:rPr>
          <w:rFonts w:hint="eastAsia" w:ascii="宋体" w:hAnsi="宋体" w:cs="宋体"/>
          <w:szCs w:val="21"/>
          <w:u w:val="none"/>
          <w:lang w:eastAsia="zh-CN"/>
          <w:rPrChange w:id="36" w:author="红博" w:date="2026-06-26T17:18:19Z">
            <w:rPr>
              <w:rFonts w:hint="eastAsia" w:ascii="宋体" w:hAnsi="宋体" w:cs="宋体"/>
              <w:szCs w:val="21"/>
              <w:u w:val="single"/>
              <w:lang w:eastAsia="zh-CN"/>
            </w:rPr>
          </w:rPrChange>
        </w:rPr>
        <w:pPrChange w:id="35" w:author="红博" w:date="2026-06-26T17:18:19Z">
          <w:pPr>
            <w:adjustRightInd w:val="0"/>
            <w:snapToGrid w:val="0"/>
            <w:spacing w:line="460" w:lineRule="exact"/>
            <w:ind w:firstLine="525" w:firstLineChars="250"/>
          </w:pPr>
        </w:pPrChange>
      </w:pPr>
      <w:del w:id="37" w:author="红博" w:date="2026-06-26T17:18:21Z">
        <w:r>
          <w:rPr>
            <w:rFonts w:hint="default" w:ascii="宋体" w:hAnsi="宋体" w:cs="宋体"/>
            <w:szCs w:val="21"/>
            <w:lang w:val="en-US" w:eastAsia="zh-CN"/>
            <w:rPrChange w:id="38" w:author="红博" w:date="2026-06-26T17:18:19Z">
              <w:rPr>
                <w:rFonts w:hint="eastAsia" w:ascii="宋体" w:hAnsi="宋体" w:cs="宋体"/>
                <w:szCs w:val="21"/>
                <w:lang w:val="en-US" w:eastAsia="zh-CN"/>
              </w:rPr>
            </w:rPrChange>
          </w:rPr>
          <w:delText>2</w:delText>
        </w:r>
      </w:del>
      <w:ins w:id="40" w:author="红博" w:date="2026-06-26T17:18:21Z">
        <w:r>
          <w:rPr>
            <w:rFonts w:hint="eastAsia" w:ascii="宋体" w:hAnsi="宋体" w:cs="宋体"/>
            <w:szCs w:val="21"/>
            <w:lang w:val="en-US" w:eastAsia="zh-CN"/>
          </w:rPr>
          <w:t>3</w:t>
        </w:r>
      </w:ins>
      <w:r>
        <w:rPr>
          <w:rFonts w:hint="eastAsia" w:ascii="宋体" w:hAnsi="宋体" w:cs="宋体"/>
          <w:szCs w:val="21"/>
        </w:rPr>
        <w:t>、委托代理编号：</w:t>
      </w:r>
      <w:r>
        <w:rPr>
          <w:rFonts w:hint="eastAsia" w:ascii="宋体" w:hAnsi="宋体" w:cs="宋体"/>
          <w:szCs w:val="21"/>
          <w:u w:val="none"/>
          <w:lang w:val="en-US" w:eastAsia="zh-CN"/>
          <w:rPrChange w:id="41" w:author="红博" w:date="2026-06-26T17:18:19Z">
            <w:rPr>
              <w:rFonts w:hint="eastAsia" w:ascii="宋体" w:hAnsi="宋体" w:cs="宋体"/>
              <w:szCs w:val="21"/>
              <w:u w:val="single"/>
              <w:lang w:val="en-US" w:eastAsia="zh-CN"/>
            </w:rPr>
          </w:rPrChange>
        </w:rPr>
        <w:t>ZLZB</w:t>
      </w:r>
      <w:r>
        <w:rPr>
          <w:rFonts w:hint="eastAsia" w:ascii="宋体" w:hAnsi="宋体" w:cs="宋体"/>
          <w:szCs w:val="21"/>
          <w:u w:val="none"/>
          <w:lang w:eastAsia="zh-CN"/>
          <w:rPrChange w:id="42" w:author="红博" w:date="2026-06-26T17:18:19Z">
            <w:rPr>
              <w:rFonts w:hint="eastAsia" w:ascii="宋体" w:hAnsi="宋体" w:cs="宋体"/>
              <w:szCs w:val="21"/>
              <w:u w:val="single"/>
              <w:lang w:eastAsia="zh-CN"/>
            </w:rPr>
          </w:rPrChange>
        </w:rPr>
        <w:t>-202</w:t>
      </w:r>
      <w:r>
        <w:rPr>
          <w:rFonts w:hint="eastAsia" w:ascii="宋体" w:hAnsi="宋体" w:cs="宋体"/>
          <w:szCs w:val="21"/>
          <w:u w:val="none"/>
          <w:lang w:val="en-US" w:eastAsia="zh-CN"/>
          <w:rPrChange w:id="43" w:author="红博" w:date="2026-06-26T17:18:19Z">
            <w:rPr>
              <w:rFonts w:hint="eastAsia" w:ascii="宋体" w:hAnsi="宋体" w:cs="宋体"/>
              <w:szCs w:val="21"/>
              <w:u w:val="single"/>
              <w:lang w:val="en-US" w:eastAsia="zh-CN"/>
            </w:rPr>
          </w:rPrChange>
        </w:rPr>
        <w:t>6</w:t>
      </w:r>
      <w:r>
        <w:rPr>
          <w:rFonts w:hint="eastAsia" w:ascii="宋体" w:hAnsi="宋体" w:cs="宋体"/>
          <w:szCs w:val="21"/>
          <w:u w:val="none"/>
          <w:lang w:eastAsia="zh-CN"/>
          <w:rPrChange w:id="44" w:author="红博" w:date="2026-06-26T17:18:19Z">
            <w:rPr>
              <w:rFonts w:hint="eastAsia" w:ascii="宋体" w:hAnsi="宋体" w:cs="宋体"/>
              <w:szCs w:val="21"/>
              <w:u w:val="single"/>
              <w:lang w:eastAsia="zh-CN"/>
            </w:rPr>
          </w:rPrChange>
        </w:rPr>
        <w:t>-</w:t>
      </w:r>
      <w:r>
        <w:rPr>
          <w:rFonts w:hint="eastAsia" w:ascii="宋体" w:hAnsi="宋体" w:cs="宋体"/>
          <w:szCs w:val="21"/>
          <w:u w:val="none"/>
          <w:lang w:val="en-US" w:eastAsia="zh-CN"/>
          <w:rPrChange w:id="45" w:author="红博" w:date="2026-06-26T17:18:19Z">
            <w:rPr>
              <w:rFonts w:hint="eastAsia" w:ascii="宋体" w:hAnsi="宋体" w:cs="宋体"/>
              <w:szCs w:val="21"/>
              <w:u w:val="single"/>
              <w:lang w:val="en-US" w:eastAsia="zh-CN"/>
            </w:rPr>
          </w:rPrChange>
        </w:rPr>
        <w:t>JC</w:t>
      </w:r>
      <w:r>
        <w:rPr>
          <w:rFonts w:hint="eastAsia" w:ascii="宋体" w:hAnsi="宋体" w:cs="宋体"/>
          <w:szCs w:val="21"/>
          <w:u w:val="none"/>
          <w:lang w:eastAsia="zh-CN"/>
          <w:rPrChange w:id="46" w:author="红博" w:date="2026-06-26T17:18:19Z">
            <w:rPr>
              <w:rFonts w:hint="eastAsia" w:ascii="宋体" w:hAnsi="宋体" w:cs="宋体"/>
              <w:szCs w:val="21"/>
              <w:u w:val="single"/>
              <w:lang w:eastAsia="zh-CN"/>
            </w:rPr>
          </w:rPrChange>
        </w:rPr>
        <w:t>-</w:t>
      </w:r>
      <w:r>
        <w:rPr>
          <w:rFonts w:hint="eastAsia" w:ascii="宋体" w:hAnsi="宋体" w:cs="宋体"/>
          <w:szCs w:val="21"/>
          <w:u w:val="none"/>
          <w:lang w:val="en-US" w:eastAsia="zh-CN"/>
          <w:rPrChange w:id="47" w:author="红博" w:date="2026-06-26T17:18:19Z">
            <w:rPr>
              <w:rFonts w:hint="eastAsia" w:ascii="宋体" w:hAnsi="宋体" w:cs="宋体"/>
              <w:szCs w:val="21"/>
              <w:u w:val="single"/>
              <w:lang w:val="en-US" w:eastAsia="zh-CN"/>
            </w:rPr>
          </w:rPrChange>
        </w:rPr>
        <w:t>005</w:t>
      </w:r>
    </w:p>
    <w:p w14:paraId="3884D999">
      <w:pPr>
        <w:adjustRightInd w:val="0"/>
        <w:snapToGrid w:val="0"/>
        <w:spacing w:line="460" w:lineRule="exact"/>
        <w:ind w:left="2383" w:leftChars="285" w:hanging="1785" w:hangingChars="850"/>
        <w:rPr>
          <w:rFonts w:hint="eastAsia" w:ascii="宋体" w:hAnsi="宋体" w:cs="宋体"/>
          <w:szCs w:val="21"/>
          <w:u w:val="none"/>
          <w:rPrChange w:id="49" w:author="红博" w:date="2026-06-26T17:18:19Z">
            <w:rPr>
              <w:rFonts w:ascii="宋体" w:hAnsi="宋体" w:cs="宋体"/>
              <w:szCs w:val="21"/>
              <w:u w:val="single"/>
            </w:rPr>
          </w:rPrChange>
        </w:rPr>
        <w:pPrChange w:id="48" w:author="红博" w:date="2026-06-26T17:18:19Z">
          <w:pPr>
            <w:adjustRightInd w:val="0"/>
            <w:snapToGrid w:val="0"/>
            <w:spacing w:line="460" w:lineRule="exact"/>
            <w:ind w:firstLine="525" w:firstLineChars="250"/>
          </w:pPr>
        </w:pPrChange>
      </w:pPr>
      <w:del w:id="50" w:author="红博" w:date="2026-06-26T17:18:22Z">
        <w:r>
          <w:rPr>
            <w:rFonts w:hint="default" w:ascii="宋体" w:hAnsi="宋体" w:cs="宋体"/>
            <w:szCs w:val="21"/>
            <w:lang w:val="en-US" w:eastAsia="zh-CN"/>
            <w:rPrChange w:id="51" w:author="红博" w:date="2026-06-26T17:18:19Z">
              <w:rPr>
                <w:rFonts w:hint="eastAsia" w:ascii="宋体" w:hAnsi="宋体" w:cs="宋体"/>
                <w:szCs w:val="21"/>
                <w:lang w:val="en-US" w:eastAsia="zh-CN"/>
              </w:rPr>
            </w:rPrChange>
          </w:rPr>
          <w:delText>3</w:delText>
        </w:r>
      </w:del>
      <w:ins w:id="53" w:author="红博" w:date="2026-06-26T17:18:22Z">
        <w:r>
          <w:rPr>
            <w:rFonts w:hint="eastAsia" w:ascii="宋体" w:hAnsi="宋体" w:cs="宋体"/>
            <w:szCs w:val="21"/>
            <w:lang w:val="en-US" w:eastAsia="zh-CN"/>
          </w:rPr>
          <w:t>4</w:t>
        </w:r>
      </w:ins>
      <w:r>
        <w:rPr>
          <w:rFonts w:hint="eastAsia" w:ascii="宋体" w:hAnsi="宋体" w:cs="宋体"/>
          <w:szCs w:val="21"/>
        </w:rPr>
        <w:t>、采购项目预算：</w:t>
      </w:r>
      <w:r>
        <w:rPr>
          <w:rFonts w:hint="eastAsia" w:ascii="宋体" w:hAnsi="宋体" w:cs="宋体"/>
          <w:szCs w:val="21"/>
          <w:u w:val="none"/>
          <w:lang w:val="en-US" w:eastAsia="zh-CN"/>
          <w:rPrChange w:id="54" w:author="红博" w:date="2026-06-26T17:18:19Z">
            <w:rPr>
              <w:rFonts w:hint="eastAsia" w:ascii="宋体" w:hAnsi="宋体" w:cs="宋体"/>
              <w:szCs w:val="21"/>
              <w:u w:val="single"/>
              <w:lang w:val="en-US" w:eastAsia="zh-CN"/>
            </w:rPr>
          </w:rPrChange>
        </w:rPr>
        <w:t>1620000</w:t>
      </w:r>
      <w:r>
        <w:rPr>
          <w:rFonts w:hint="eastAsia" w:ascii="宋体" w:hAnsi="宋体" w:cs="宋体"/>
          <w:szCs w:val="21"/>
        </w:rPr>
        <w:t>元。</w:t>
      </w:r>
    </w:p>
    <w:p w14:paraId="293C3FB4">
      <w:pPr>
        <w:adjustRightInd w:val="0"/>
        <w:snapToGrid w:val="0"/>
        <w:spacing w:line="460" w:lineRule="exact"/>
        <w:ind w:firstLine="525" w:firstLineChars="250"/>
        <w:rPr>
          <w:rFonts w:ascii="宋体" w:hAnsi="宋体" w:cs="宋体"/>
          <w:szCs w:val="21"/>
          <w:u w:val="single"/>
        </w:rPr>
      </w:pPr>
      <w:r>
        <w:rPr>
          <w:rFonts w:hint="eastAsia" w:ascii="宋体" w:hAnsi="宋体" w:cs="宋体"/>
          <w:szCs w:val="21"/>
        </w:rPr>
        <w:t>本项目对应的中小企业划分标准所属行业：</w:t>
      </w:r>
      <w:r>
        <w:rPr>
          <w:rFonts w:hint="eastAsia" w:ascii="宋体" w:hAnsi="宋体" w:cs="宋体"/>
          <w:szCs w:val="21"/>
          <w:u w:val="single"/>
        </w:rPr>
        <w:t>（十六）其他未列明行业</w:t>
      </w:r>
    </w:p>
    <w:p w14:paraId="54326C26">
      <w:pPr>
        <w:adjustRightInd w:val="0"/>
        <w:snapToGrid w:val="0"/>
        <w:spacing w:line="460" w:lineRule="exact"/>
        <w:ind w:firstLine="525" w:firstLineChars="250"/>
        <w:rPr>
          <w:rFonts w:hint="eastAsia" w:ascii="宋体" w:hAnsi="宋体" w:cs="宋体"/>
          <w:szCs w:val="21"/>
        </w:rPr>
      </w:pPr>
      <w:del w:id="55" w:author="红博" w:date="2026-06-26T17:18:25Z">
        <w:r>
          <w:rPr>
            <w:rFonts w:hint="default" w:ascii="宋体" w:hAnsi="宋体" w:cs="宋体"/>
            <w:szCs w:val="21"/>
            <w:lang w:val="en-US" w:eastAsia="zh-CN"/>
          </w:rPr>
          <w:delText>4</w:delText>
        </w:r>
      </w:del>
      <w:ins w:id="56" w:author="红博" w:date="2026-06-26T17:18:25Z">
        <w:r>
          <w:rPr>
            <w:rFonts w:hint="eastAsia" w:ascii="宋体" w:hAnsi="宋体" w:cs="宋体"/>
            <w:szCs w:val="21"/>
            <w:lang w:val="en-US" w:eastAsia="zh-CN"/>
          </w:rPr>
          <w:t>5</w:t>
        </w:r>
      </w:ins>
      <w:r>
        <w:rPr>
          <w:rFonts w:hint="eastAsia" w:ascii="宋体" w:hAnsi="宋体" w:cs="宋体"/>
          <w:szCs w:val="21"/>
        </w:rPr>
        <w:t xml:space="preserve">、评标方法： </w:t>
      </w:r>
      <w:r>
        <w:rPr>
          <w:rFonts w:hint="eastAsia" w:ascii="宋体" w:hAnsi="宋体" w:cs="宋体"/>
          <w:szCs w:val="21"/>
        </w:rPr>
        <w:sym w:font="Wingdings 2" w:char="00A3"/>
      </w:r>
      <w:r>
        <w:rPr>
          <w:rFonts w:hint="eastAsia" w:ascii="宋体" w:hAnsi="宋体" w:cs="宋体"/>
          <w:szCs w:val="21"/>
        </w:rPr>
        <w:t xml:space="preserve"> 最低价法  </w:t>
      </w:r>
      <w:r>
        <w:rPr>
          <w:rFonts w:hint="eastAsia" w:ascii="宋体" w:hAnsi="宋体" w:cs="宋体"/>
          <w:szCs w:val="21"/>
        </w:rPr>
        <w:sym w:font="Wingdings 2" w:char="00A2"/>
      </w:r>
      <w:r>
        <w:rPr>
          <w:rFonts w:hint="eastAsia" w:ascii="宋体" w:hAnsi="宋体" w:cs="宋体"/>
          <w:szCs w:val="21"/>
        </w:rPr>
        <w:t xml:space="preserve"> 综合评分法</w:t>
      </w:r>
    </w:p>
    <w:p w14:paraId="205E26F2">
      <w:pPr>
        <w:adjustRightInd w:val="0"/>
        <w:snapToGrid w:val="0"/>
        <w:spacing w:line="460" w:lineRule="exact"/>
        <w:ind w:firstLine="525" w:firstLineChars="250"/>
        <w:rPr>
          <w:rFonts w:hint="eastAsia" w:ascii="宋体" w:hAnsi="宋体" w:cs="宋体"/>
          <w:szCs w:val="21"/>
          <w:highlight w:val="none"/>
        </w:rPr>
      </w:pPr>
      <w:del w:id="57" w:author="红博" w:date="2026-06-26T17:18:27Z">
        <w:r>
          <w:rPr>
            <w:rFonts w:hint="default" w:ascii="宋体" w:hAnsi="宋体" w:cs="宋体"/>
            <w:szCs w:val="21"/>
            <w:highlight w:val="none"/>
            <w:lang w:val="en-US" w:eastAsia="zh-CN"/>
          </w:rPr>
          <w:delText>5</w:delText>
        </w:r>
      </w:del>
      <w:ins w:id="58" w:author="红博" w:date="2026-06-26T17:18:27Z">
        <w:r>
          <w:rPr>
            <w:rFonts w:hint="eastAsia" w:ascii="宋体" w:hAnsi="宋体" w:cs="宋体"/>
            <w:szCs w:val="21"/>
            <w:highlight w:val="none"/>
            <w:lang w:val="en-US" w:eastAsia="zh-CN"/>
          </w:rPr>
          <w:t>6</w:t>
        </w:r>
      </w:ins>
      <w:r>
        <w:rPr>
          <w:rFonts w:hint="eastAsia" w:ascii="宋体" w:hAnsi="宋体" w:cs="宋体"/>
          <w:szCs w:val="21"/>
          <w:highlight w:val="none"/>
        </w:rPr>
        <w:t>、合同定价方式：</w:t>
      </w:r>
      <w:r>
        <w:rPr>
          <w:rFonts w:hint="eastAsia" w:ascii="宋体" w:hAnsi="宋体" w:cs="宋体"/>
          <w:szCs w:val="21"/>
          <w:highlight w:val="none"/>
        </w:rPr>
        <w:sym w:font="Wingdings 2" w:char="00A2"/>
      </w:r>
      <w:r>
        <w:rPr>
          <w:rFonts w:hint="eastAsia" w:ascii="宋体" w:hAnsi="宋体" w:cs="宋体"/>
          <w:szCs w:val="21"/>
          <w:highlight w:val="none"/>
        </w:rPr>
        <w:t xml:space="preserve"> 固定总价   </w:t>
      </w:r>
      <w:r>
        <w:rPr>
          <w:rFonts w:hint="eastAsia" w:ascii="宋体" w:hAnsi="宋体" w:cs="宋体"/>
          <w:szCs w:val="21"/>
          <w:highlight w:val="none"/>
        </w:rPr>
        <w:sym w:font="Wingdings 2" w:char="00A3"/>
      </w:r>
      <w:r>
        <w:rPr>
          <w:rFonts w:hint="eastAsia" w:ascii="宋体" w:hAnsi="宋体" w:cs="宋体"/>
          <w:szCs w:val="21"/>
          <w:highlight w:val="none"/>
        </w:rPr>
        <w:t xml:space="preserve"> 固定单价  </w:t>
      </w:r>
      <w:r>
        <w:rPr>
          <w:rFonts w:hint="eastAsia" w:ascii="宋体" w:hAnsi="宋体" w:cs="宋体"/>
          <w:szCs w:val="21"/>
          <w:highlight w:val="none"/>
        </w:rPr>
        <w:sym w:font="Wingdings 2" w:char="00A3"/>
      </w:r>
      <w:r>
        <w:rPr>
          <w:rFonts w:hint="eastAsia" w:ascii="宋体" w:hAnsi="宋体" w:cs="宋体"/>
          <w:szCs w:val="21"/>
          <w:highlight w:val="none"/>
        </w:rPr>
        <w:t xml:space="preserve"> 成本补偿   </w:t>
      </w:r>
      <w:r>
        <w:rPr>
          <w:rFonts w:hint="eastAsia" w:ascii="宋体" w:hAnsi="宋体" w:cs="宋体"/>
          <w:szCs w:val="21"/>
          <w:highlight w:val="none"/>
        </w:rPr>
        <w:sym w:font="Wingdings 2" w:char="00A3"/>
      </w:r>
      <w:r>
        <w:rPr>
          <w:rFonts w:hint="eastAsia" w:ascii="宋体" w:hAnsi="宋体" w:cs="宋体"/>
          <w:szCs w:val="21"/>
          <w:highlight w:val="none"/>
        </w:rPr>
        <w:t xml:space="preserve"> 绩效激励</w:t>
      </w:r>
    </w:p>
    <w:p w14:paraId="501B62D7">
      <w:pPr>
        <w:adjustRightInd w:val="0"/>
        <w:snapToGrid w:val="0"/>
        <w:spacing w:line="460" w:lineRule="exact"/>
        <w:ind w:firstLine="525" w:firstLineChars="250"/>
        <w:rPr>
          <w:rFonts w:hint="default" w:ascii="宋体" w:hAnsi="宋体" w:eastAsia="宋体" w:cs="宋体"/>
          <w:szCs w:val="21"/>
          <w:highlight w:val="none"/>
          <w:u w:val="single"/>
          <w:lang w:val="en-US" w:eastAsia="zh-CN"/>
        </w:rPr>
      </w:pPr>
      <w:del w:id="59" w:author="红博" w:date="2026-06-26T17:18:28Z">
        <w:r>
          <w:rPr>
            <w:rFonts w:hint="default" w:ascii="宋体" w:hAnsi="宋体" w:cs="宋体"/>
            <w:szCs w:val="21"/>
            <w:highlight w:val="none"/>
            <w:lang w:val="en-US" w:eastAsia="zh-CN"/>
          </w:rPr>
          <w:delText>6</w:delText>
        </w:r>
      </w:del>
      <w:ins w:id="60" w:author="红博" w:date="2026-06-26T17:18:28Z">
        <w:r>
          <w:rPr>
            <w:rFonts w:hint="eastAsia" w:ascii="宋体" w:hAnsi="宋体" w:cs="宋体"/>
            <w:szCs w:val="21"/>
            <w:highlight w:val="none"/>
            <w:lang w:val="en-US" w:eastAsia="zh-CN"/>
          </w:rPr>
          <w:t>7</w:t>
        </w:r>
      </w:ins>
      <w:r>
        <w:rPr>
          <w:rFonts w:hint="eastAsia" w:ascii="宋体" w:hAnsi="宋体" w:cs="宋体"/>
          <w:szCs w:val="21"/>
          <w:highlight w:val="none"/>
        </w:rPr>
        <w:t>、合同履行期限：</w:t>
      </w:r>
      <w:r>
        <w:rPr>
          <w:rFonts w:hint="eastAsia" w:ascii="宋体" w:hAnsi="宋体" w:cs="宋体"/>
          <w:szCs w:val="21"/>
          <w:highlight w:val="none"/>
          <w:u w:val="single"/>
          <w:lang w:val="en-US" w:eastAsia="zh-CN"/>
        </w:rPr>
        <w:t xml:space="preserve">  自合同生效之日起至2026年12月20日前完成全部工作 </w:t>
      </w:r>
    </w:p>
    <w:p w14:paraId="74613369">
      <w:pPr>
        <w:adjustRightInd w:val="0"/>
        <w:snapToGrid w:val="0"/>
        <w:spacing w:line="460" w:lineRule="exact"/>
        <w:ind w:firstLine="525" w:firstLineChars="250"/>
        <w:rPr>
          <w:rFonts w:hint="eastAsia" w:ascii="宋体" w:hAnsi="宋体" w:cs="宋体"/>
          <w:szCs w:val="21"/>
        </w:rPr>
      </w:pPr>
      <w:del w:id="61" w:author="红博" w:date="2026-06-26T17:18:29Z">
        <w:r>
          <w:rPr>
            <w:rFonts w:hint="default" w:ascii="宋体" w:hAnsi="宋体" w:cs="宋体"/>
            <w:szCs w:val="21"/>
            <w:lang w:val="en-US" w:eastAsia="zh-CN"/>
          </w:rPr>
          <w:delText>7</w:delText>
        </w:r>
      </w:del>
      <w:ins w:id="62" w:author="红博" w:date="2026-06-26T17:18:29Z">
        <w:r>
          <w:rPr>
            <w:rFonts w:hint="eastAsia" w:ascii="宋体" w:hAnsi="宋体" w:cs="宋体"/>
            <w:szCs w:val="21"/>
            <w:lang w:val="en-US" w:eastAsia="zh-CN"/>
          </w:rPr>
          <w:t>8</w:t>
        </w:r>
      </w:ins>
      <w:r>
        <w:rPr>
          <w:rFonts w:hint="eastAsia" w:ascii="宋体" w:hAnsi="宋体" w:cs="宋体"/>
          <w:szCs w:val="21"/>
        </w:rPr>
        <w:t>、本项目分阶段要求供应商提供以下保证：</w:t>
      </w:r>
    </w:p>
    <w:p w14:paraId="151AC6F2">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磋商保证金：采购项目预算的</w:t>
      </w:r>
      <w:r>
        <w:rPr>
          <w:rFonts w:hint="eastAsia" w:ascii="宋体" w:hAnsi="宋体" w:cs="宋体"/>
          <w:szCs w:val="21"/>
          <w:u w:val="single"/>
        </w:rPr>
        <w:t xml:space="preserve"> / </w:t>
      </w:r>
      <w:r>
        <w:rPr>
          <w:rFonts w:hint="eastAsia" w:ascii="宋体" w:hAnsi="宋体" w:cs="宋体"/>
          <w:szCs w:val="21"/>
        </w:rPr>
        <w:t>%； </w:t>
      </w:r>
    </w:p>
    <w:p w14:paraId="0BEFCB97">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履约保证金：中标金额的</w:t>
      </w:r>
      <w:r>
        <w:rPr>
          <w:rFonts w:hint="eastAsia" w:ascii="宋体" w:hAnsi="宋体" w:cs="宋体"/>
          <w:szCs w:val="21"/>
          <w:u w:val="single"/>
        </w:rPr>
        <w:t xml:space="preserve"> / </w:t>
      </w:r>
      <w:r>
        <w:rPr>
          <w:rFonts w:hint="eastAsia" w:ascii="宋体" w:hAnsi="宋体" w:cs="宋体"/>
          <w:szCs w:val="21"/>
        </w:rPr>
        <w:t xml:space="preserve"> %； </w:t>
      </w:r>
    </w:p>
    <w:p w14:paraId="4C3A9743">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预付款保证金：预付款的 </w:t>
      </w:r>
      <w:r>
        <w:rPr>
          <w:rFonts w:hint="eastAsia" w:ascii="宋体" w:hAnsi="宋体" w:cs="宋体"/>
          <w:szCs w:val="21"/>
          <w:u w:val="single"/>
        </w:rPr>
        <w:t xml:space="preserve"> / </w:t>
      </w:r>
      <w:r>
        <w:rPr>
          <w:rFonts w:hint="eastAsia" w:ascii="宋体" w:hAnsi="宋体" w:cs="宋体"/>
          <w:szCs w:val="21"/>
        </w:rPr>
        <w:t>%； </w:t>
      </w:r>
    </w:p>
    <w:p w14:paraId="3E6EC22A">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质量保证金：合同金额的</w:t>
      </w:r>
      <w:r>
        <w:rPr>
          <w:rFonts w:hint="eastAsia" w:ascii="宋体" w:hAnsi="宋体" w:cs="宋体"/>
          <w:szCs w:val="21"/>
          <w:u w:val="single"/>
        </w:rPr>
        <w:t xml:space="preserve">  /  </w:t>
      </w:r>
      <w:r>
        <w:rPr>
          <w:rFonts w:hint="eastAsia" w:ascii="宋体" w:hAnsi="宋体" w:cs="宋体"/>
          <w:szCs w:val="21"/>
        </w:rPr>
        <w:t>%</w:t>
      </w:r>
    </w:p>
    <w:p w14:paraId="7CBDF4EE">
      <w:pPr>
        <w:adjustRightInd w:val="0"/>
        <w:snapToGrid w:val="0"/>
        <w:spacing w:line="460" w:lineRule="exact"/>
        <w:ind w:firstLine="527" w:firstLineChars="250"/>
        <w:rPr>
          <w:rFonts w:hint="eastAsia" w:ascii="宋体" w:hAnsi="宋体" w:cs="宋体"/>
          <w:szCs w:val="21"/>
        </w:rPr>
      </w:pPr>
      <w:r>
        <w:rPr>
          <w:rFonts w:hint="eastAsia" w:ascii="宋体" w:hAnsi="宋体" w:cs="宋体"/>
          <w:b/>
          <w:bCs/>
          <w:szCs w:val="21"/>
        </w:rPr>
        <w:t>二、采购人的采购需求</w:t>
      </w:r>
    </w:p>
    <w:tbl>
      <w:tblPr>
        <w:tblStyle w:val="29"/>
        <w:tblW w:w="8748" w:type="dxa"/>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230"/>
        <w:gridCol w:w="2392"/>
        <w:gridCol w:w="967"/>
        <w:gridCol w:w="638"/>
        <w:gridCol w:w="1065"/>
        <w:gridCol w:w="735"/>
        <w:gridCol w:w="810"/>
      </w:tblGrid>
      <w:tr w14:paraId="5678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11" w:type="dxa"/>
            <w:noWrap w:val="0"/>
            <w:vAlign w:val="center"/>
          </w:tcPr>
          <w:p w14:paraId="68F259C8">
            <w:pPr>
              <w:widowControl/>
              <w:spacing w:line="3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包名称</w:t>
            </w:r>
          </w:p>
        </w:tc>
        <w:tc>
          <w:tcPr>
            <w:tcW w:w="1230" w:type="dxa"/>
            <w:noWrap w:val="0"/>
            <w:vAlign w:val="center"/>
          </w:tcPr>
          <w:p w14:paraId="75E52635">
            <w:pPr>
              <w:widowControl/>
              <w:spacing w:line="3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最高限价</w:t>
            </w:r>
          </w:p>
          <w:p w14:paraId="62C69AB3">
            <w:pPr>
              <w:widowControl/>
              <w:spacing w:line="3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（元）</w:t>
            </w:r>
          </w:p>
        </w:tc>
        <w:tc>
          <w:tcPr>
            <w:tcW w:w="2392" w:type="dxa"/>
            <w:noWrap w:val="0"/>
            <w:vAlign w:val="center"/>
          </w:tcPr>
          <w:p w14:paraId="004E32D1">
            <w:pPr>
              <w:widowControl/>
              <w:spacing w:line="3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标的名称</w:t>
            </w:r>
          </w:p>
        </w:tc>
        <w:tc>
          <w:tcPr>
            <w:tcW w:w="967" w:type="dxa"/>
            <w:noWrap w:val="0"/>
            <w:vAlign w:val="center"/>
          </w:tcPr>
          <w:p w14:paraId="2BF17904">
            <w:pPr>
              <w:widowControl/>
              <w:spacing w:line="3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简要技术要求</w:t>
            </w:r>
          </w:p>
        </w:tc>
        <w:tc>
          <w:tcPr>
            <w:tcW w:w="638" w:type="dxa"/>
            <w:noWrap w:val="0"/>
            <w:vAlign w:val="center"/>
          </w:tcPr>
          <w:p w14:paraId="793ED07C">
            <w:pPr>
              <w:widowControl/>
              <w:spacing w:line="3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数量</w:t>
            </w:r>
          </w:p>
        </w:tc>
        <w:tc>
          <w:tcPr>
            <w:tcW w:w="1065" w:type="dxa"/>
            <w:noWrap w:val="0"/>
            <w:vAlign w:val="center"/>
          </w:tcPr>
          <w:p w14:paraId="53BC1A21">
            <w:pPr>
              <w:widowControl/>
              <w:spacing w:line="3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标的预算（元）</w:t>
            </w:r>
          </w:p>
        </w:tc>
        <w:tc>
          <w:tcPr>
            <w:tcW w:w="735" w:type="dxa"/>
            <w:noWrap w:val="0"/>
            <w:vAlign w:val="center"/>
          </w:tcPr>
          <w:p w14:paraId="7CB5647C">
            <w:pPr>
              <w:widowControl/>
              <w:spacing w:line="3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节能</w:t>
            </w:r>
          </w:p>
          <w:p w14:paraId="331799EB">
            <w:pPr>
              <w:widowControl/>
              <w:spacing w:line="3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产品</w:t>
            </w:r>
          </w:p>
        </w:tc>
        <w:tc>
          <w:tcPr>
            <w:tcW w:w="810" w:type="dxa"/>
            <w:noWrap w:val="0"/>
            <w:vAlign w:val="center"/>
          </w:tcPr>
          <w:p w14:paraId="656AF9E8">
            <w:pPr>
              <w:widowControl/>
              <w:spacing w:line="3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进口</w:t>
            </w:r>
          </w:p>
          <w:p w14:paraId="7BD4F49A">
            <w:pPr>
              <w:widowControl/>
              <w:spacing w:line="3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产品</w:t>
            </w:r>
          </w:p>
        </w:tc>
      </w:tr>
      <w:tr w14:paraId="3870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11" w:type="dxa"/>
            <w:noWrap w:val="0"/>
            <w:vAlign w:val="center"/>
          </w:tcPr>
          <w:p w14:paraId="7C1F04FF">
            <w:pPr>
              <w:widowControl/>
              <w:spacing w:line="360" w:lineRule="exact"/>
              <w:jc w:val="center"/>
              <w:rPr>
                <w:rFonts w:ascii="宋体" w:hAnsi="宋体" w:cs="宋体"/>
                <w:szCs w:val="21"/>
              </w:rPr>
            </w:pPr>
            <w:r>
              <w:rPr>
                <w:rFonts w:hint="eastAsia" w:ascii="宋体" w:hAnsi="宋体" w:cs="宋体"/>
                <w:color w:val="000000"/>
                <w:kern w:val="0"/>
                <w:szCs w:val="21"/>
                <w:lang w:bidi="ar"/>
              </w:rPr>
              <w:t>包1</w:t>
            </w:r>
          </w:p>
        </w:tc>
        <w:tc>
          <w:tcPr>
            <w:tcW w:w="1230" w:type="dxa"/>
            <w:noWrap w:val="0"/>
            <w:vAlign w:val="center"/>
          </w:tcPr>
          <w:p w14:paraId="031D3E1E">
            <w:pPr>
              <w:spacing w:line="360" w:lineRule="auto"/>
              <w:jc w:val="center"/>
              <w:rPr>
                <w:rFonts w:hint="default" w:eastAsia="宋体"/>
                <w:lang w:val="en-US" w:eastAsia="zh-CN"/>
              </w:rPr>
            </w:pPr>
            <w:r>
              <w:rPr>
                <w:rFonts w:hint="eastAsia"/>
                <w:lang w:val="en-US" w:eastAsia="zh-CN"/>
              </w:rPr>
              <w:t>1597000</w:t>
            </w:r>
          </w:p>
        </w:tc>
        <w:tc>
          <w:tcPr>
            <w:tcW w:w="2392" w:type="dxa"/>
            <w:noWrap w:val="0"/>
            <w:vAlign w:val="center"/>
          </w:tcPr>
          <w:p w14:paraId="59539B24">
            <w:pPr>
              <w:jc w:val="center"/>
              <w:rPr>
                <w:rFonts w:hint="eastAsia" w:eastAsia="宋体"/>
                <w:lang w:eastAsia="zh-CN"/>
              </w:rPr>
            </w:pPr>
            <w:r>
              <w:rPr>
                <w:rFonts w:hint="eastAsia" w:hAnsi="宋体" w:cs="宋体"/>
                <w:iCs/>
                <w:lang w:val="en-US" w:eastAsia="zh-CN"/>
              </w:rPr>
              <w:t>湖南省湘江流域取用水监测计量能力提升重点项目（省级）</w:t>
            </w:r>
          </w:p>
        </w:tc>
        <w:tc>
          <w:tcPr>
            <w:tcW w:w="967" w:type="dxa"/>
            <w:noWrap w:val="0"/>
            <w:vAlign w:val="center"/>
          </w:tcPr>
          <w:p w14:paraId="40346A91">
            <w:pPr>
              <w:widowControl/>
              <w:spacing w:line="3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详见采购文件</w:t>
            </w:r>
          </w:p>
        </w:tc>
        <w:tc>
          <w:tcPr>
            <w:tcW w:w="638" w:type="dxa"/>
            <w:noWrap w:val="0"/>
            <w:vAlign w:val="center"/>
          </w:tcPr>
          <w:p w14:paraId="597B130E">
            <w:pPr>
              <w:widowControl/>
              <w:spacing w:line="360" w:lineRule="exact"/>
              <w:jc w:val="center"/>
              <w:rPr>
                <w:rFonts w:hint="eastAsia" w:ascii="宋体" w:hAnsi="宋体" w:cs="宋体"/>
                <w:szCs w:val="21"/>
              </w:rPr>
            </w:pPr>
            <w:r>
              <w:rPr>
                <w:rFonts w:hint="eastAsia" w:ascii="宋体" w:hAnsi="宋体" w:cs="宋体"/>
                <w:szCs w:val="21"/>
              </w:rPr>
              <w:t>1</w:t>
            </w:r>
          </w:p>
        </w:tc>
        <w:tc>
          <w:tcPr>
            <w:tcW w:w="1065" w:type="dxa"/>
            <w:noWrap w:val="0"/>
            <w:vAlign w:val="center"/>
          </w:tcPr>
          <w:p w14:paraId="599C934A">
            <w:pPr>
              <w:spacing w:line="360" w:lineRule="auto"/>
              <w:jc w:val="center"/>
              <w:rPr>
                <w:rFonts w:hint="default" w:eastAsia="宋体"/>
                <w:lang w:val="en-US" w:eastAsia="zh-CN"/>
              </w:rPr>
            </w:pPr>
            <w:r>
              <w:rPr>
                <w:rFonts w:hint="eastAsia"/>
                <w:lang w:val="en-US" w:eastAsia="zh-CN"/>
              </w:rPr>
              <w:t>1620000</w:t>
            </w:r>
          </w:p>
        </w:tc>
        <w:tc>
          <w:tcPr>
            <w:tcW w:w="735" w:type="dxa"/>
            <w:noWrap w:val="0"/>
            <w:vAlign w:val="center"/>
          </w:tcPr>
          <w:p w14:paraId="6D1C858D">
            <w:pPr>
              <w:widowControl/>
              <w:spacing w:line="360" w:lineRule="exact"/>
              <w:jc w:val="center"/>
              <w:rPr>
                <w:rFonts w:hint="eastAsia" w:ascii="宋体" w:hAnsi="宋体" w:cs="宋体"/>
                <w:szCs w:val="21"/>
              </w:rPr>
            </w:pPr>
            <w:r>
              <w:rPr>
                <w:rFonts w:hint="eastAsia" w:ascii="宋体" w:hAnsi="宋体" w:cs="宋体"/>
                <w:szCs w:val="21"/>
              </w:rPr>
              <w:sym w:font="Wingdings 2" w:char="00A3"/>
            </w:r>
          </w:p>
        </w:tc>
        <w:tc>
          <w:tcPr>
            <w:tcW w:w="810" w:type="dxa"/>
            <w:noWrap w:val="0"/>
            <w:vAlign w:val="center"/>
          </w:tcPr>
          <w:p w14:paraId="480BAFDC">
            <w:pPr>
              <w:widowControl/>
              <w:spacing w:line="360" w:lineRule="exact"/>
              <w:jc w:val="center"/>
              <w:rPr>
                <w:rFonts w:hint="eastAsia" w:ascii="宋体" w:hAnsi="宋体" w:cs="宋体"/>
                <w:szCs w:val="21"/>
              </w:rPr>
            </w:pPr>
            <w:r>
              <w:rPr>
                <w:rFonts w:hint="eastAsia" w:ascii="宋体" w:hAnsi="宋体" w:cs="宋体"/>
                <w:szCs w:val="21"/>
              </w:rPr>
              <w:sym w:font="Wingdings 2" w:char="00A3"/>
            </w:r>
          </w:p>
        </w:tc>
      </w:tr>
    </w:tbl>
    <w:p w14:paraId="0321D347">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t>说明：</w:t>
      </w:r>
    </w:p>
    <w:p w14:paraId="2F3182CF">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t>1.节能产品实行强制采购的，需提供国家认证机构出具的、处于有效期内的节能产品证书。</w:t>
      </w:r>
    </w:p>
    <w:p w14:paraId="0A2E0AEF">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t>2.同意购买进口产品的，不限制满足采购需求的国内产品参与投标。</w:t>
      </w:r>
    </w:p>
    <w:p w14:paraId="6C15029E">
      <w:pPr>
        <w:adjustRightInd w:val="0"/>
        <w:snapToGrid w:val="0"/>
        <w:spacing w:line="460" w:lineRule="exact"/>
        <w:ind w:firstLine="527" w:firstLineChars="250"/>
        <w:rPr>
          <w:rFonts w:hint="eastAsia" w:ascii="宋体" w:hAnsi="宋体" w:cs="宋体"/>
          <w:b/>
          <w:bCs/>
          <w:szCs w:val="21"/>
        </w:rPr>
      </w:pPr>
      <w:r>
        <w:rPr>
          <w:rFonts w:hint="eastAsia" w:ascii="宋体" w:hAnsi="宋体" w:cs="宋体"/>
          <w:b/>
          <w:bCs/>
          <w:szCs w:val="21"/>
        </w:rPr>
        <w:t>三、采购项目需落实的政府采购政策：</w:t>
      </w:r>
    </w:p>
    <w:p w14:paraId="43241CCC">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t>1、优先采购：节能产品、环境标志产品、两型产品享受加分或价格折扣。</w:t>
      </w:r>
    </w:p>
    <w:p w14:paraId="742169E0">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t>2、支持中小企业：中小企业享受预留采购份额或价格折扣</w:t>
      </w:r>
    </w:p>
    <w:p w14:paraId="7866D6AB">
      <w:pPr>
        <w:adjustRightInd w:val="0"/>
        <w:snapToGrid w:val="0"/>
        <w:spacing w:line="460" w:lineRule="exact"/>
        <w:ind w:firstLine="527" w:firstLineChars="250"/>
        <w:rPr>
          <w:rFonts w:hint="eastAsia" w:ascii="宋体" w:hAnsi="宋体" w:cs="宋体"/>
          <w:b/>
          <w:bCs/>
          <w:szCs w:val="21"/>
        </w:rPr>
      </w:pPr>
      <w:r>
        <w:rPr>
          <w:rFonts w:hint="eastAsia" w:ascii="宋体" w:hAnsi="宋体" w:cs="宋体"/>
          <w:b/>
          <w:bCs/>
          <w:szCs w:val="21"/>
        </w:rPr>
        <w:t>四、供应商资格条件：</w:t>
      </w:r>
    </w:p>
    <w:p w14:paraId="186EB8D6">
      <w:pPr>
        <w:adjustRightInd w:val="0"/>
        <w:snapToGrid w:val="0"/>
        <w:spacing w:line="460" w:lineRule="exact"/>
        <w:ind w:firstLine="420" w:firstLineChars="200"/>
        <w:rPr>
          <w:rFonts w:hint="eastAsia" w:ascii="宋体" w:hAnsi="宋体" w:cs="宋体"/>
          <w:szCs w:val="21"/>
        </w:rPr>
      </w:pPr>
      <w:r>
        <w:rPr>
          <w:rFonts w:hint="eastAsia" w:ascii="宋体" w:hAnsi="宋体" w:cs="宋体"/>
          <w:szCs w:val="21"/>
        </w:rPr>
        <w:t xml:space="preserve">1、供应商基本资格条件：符合《中华人民共和国政府采购法》第二十二条规定的供应商条件； </w:t>
      </w:r>
    </w:p>
    <w:p w14:paraId="4384FF8D">
      <w:pPr>
        <w:adjustRightInd w:val="0"/>
        <w:snapToGrid w:val="0"/>
        <w:spacing w:line="460" w:lineRule="exact"/>
        <w:ind w:firstLine="525" w:firstLineChars="250"/>
        <w:rPr>
          <w:rFonts w:hint="eastAsia" w:ascii="宋体" w:hAnsi="宋体" w:cs="宋体"/>
          <w:szCs w:val="21"/>
          <w:highlight w:val="none"/>
        </w:rPr>
      </w:pPr>
      <w:r>
        <w:rPr>
          <w:rFonts w:hint="eastAsia" w:ascii="宋体" w:hAnsi="宋体" w:cs="宋体"/>
          <w:szCs w:val="21"/>
          <w:highlight w:val="none"/>
        </w:rPr>
        <w:t>2、落实政府采购政策需满足的资格要求：</w:t>
      </w:r>
    </w:p>
    <w:p w14:paraId="64734BA6">
      <w:pPr>
        <w:adjustRightInd w:val="0"/>
        <w:snapToGrid w:val="0"/>
        <w:spacing w:line="460" w:lineRule="exact"/>
        <w:ind w:firstLine="525" w:firstLineChars="25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rPr>
        <w:sym w:font="Wingdings 2" w:char="00A3"/>
      </w:r>
      <w:r>
        <w:rPr>
          <w:rFonts w:hint="eastAsia" w:ascii="宋体" w:hAnsi="宋体" w:cs="宋体"/>
          <w:szCs w:val="21"/>
          <w:highlight w:val="none"/>
        </w:rPr>
        <w:t>专门面向：</w:t>
      </w:r>
      <w:r>
        <w:rPr>
          <w:rFonts w:hint="eastAsia" w:ascii="宋体" w:hAnsi="宋体" w:cs="宋体"/>
          <w:szCs w:val="21"/>
          <w:highlight w:val="none"/>
        </w:rPr>
        <w:sym w:font="Wingdings 2" w:char="00A3"/>
      </w:r>
      <w:r>
        <w:rPr>
          <w:rFonts w:hint="eastAsia" w:ascii="宋体" w:hAnsi="宋体" w:cs="宋体"/>
          <w:szCs w:val="21"/>
          <w:highlight w:val="none"/>
        </w:rPr>
        <w:t xml:space="preserve"> 中小企业   </w:t>
      </w:r>
      <w:r>
        <w:rPr>
          <w:rFonts w:hint="eastAsia" w:ascii="宋体" w:hAnsi="宋体" w:cs="宋体"/>
          <w:szCs w:val="21"/>
          <w:highlight w:val="none"/>
        </w:rPr>
        <w:sym w:font="Wingdings 2" w:char="00A3"/>
      </w:r>
      <w:r>
        <w:rPr>
          <w:rFonts w:hint="eastAsia" w:ascii="宋体" w:hAnsi="宋体" w:cs="宋体"/>
          <w:szCs w:val="21"/>
          <w:highlight w:val="none"/>
        </w:rPr>
        <w:t>小微企业 </w:t>
      </w:r>
      <w:r>
        <w:rPr>
          <w:rFonts w:hint="eastAsia" w:ascii="宋体" w:hAnsi="宋体" w:cs="宋体"/>
          <w:szCs w:val="21"/>
          <w:highlight w:val="none"/>
        </w:rPr>
        <w:sym w:font="Wingdings 2" w:char="00A3"/>
      </w:r>
      <w:r>
        <w:rPr>
          <w:rFonts w:hint="eastAsia" w:ascii="宋体" w:hAnsi="宋体" w:cs="宋体"/>
          <w:szCs w:val="21"/>
          <w:highlight w:val="none"/>
        </w:rPr>
        <w:t xml:space="preserve"> 监狱企业 </w:t>
      </w:r>
      <w:r>
        <w:rPr>
          <w:rFonts w:hint="eastAsia" w:ascii="宋体" w:hAnsi="宋体" w:cs="宋体"/>
          <w:szCs w:val="21"/>
          <w:highlight w:val="none"/>
        </w:rPr>
        <w:sym w:font="Wingdings 2" w:char="00A3"/>
      </w:r>
      <w:r>
        <w:rPr>
          <w:rFonts w:hint="eastAsia" w:ascii="宋体" w:hAnsi="宋体" w:cs="宋体"/>
          <w:szCs w:val="21"/>
          <w:highlight w:val="none"/>
        </w:rPr>
        <w:t xml:space="preserve"> 福利性单位。</w:t>
      </w:r>
    </w:p>
    <w:p w14:paraId="16B3562F">
      <w:pPr>
        <w:adjustRightInd w:val="0"/>
        <w:snapToGrid w:val="0"/>
        <w:spacing w:line="460" w:lineRule="exact"/>
        <w:ind w:firstLine="525" w:firstLineChars="25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rPr>
        <w:sym w:font="Wingdings 2" w:char="00A3"/>
      </w:r>
      <w:r>
        <w:rPr>
          <w:rFonts w:hint="eastAsia" w:ascii="宋体" w:hAnsi="宋体" w:cs="宋体"/>
          <w:szCs w:val="21"/>
          <w:highlight w:val="none"/>
        </w:rPr>
        <w:t>强制分包：</w:t>
      </w:r>
      <w:r>
        <w:rPr>
          <w:rFonts w:hint="eastAsia" w:ascii="宋体" w:hAnsi="宋体" w:cs="宋体"/>
          <w:szCs w:val="21"/>
          <w:highlight w:val="none"/>
        </w:rPr>
        <w:sym w:font="Wingdings 2" w:char="00A3"/>
      </w:r>
      <w:r>
        <w:rPr>
          <w:rFonts w:hint="eastAsia" w:ascii="宋体" w:hAnsi="宋体" w:cs="宋体"/>
          <w:szCs w:val="21"/>
          <w:highlight w:val="none"/>
        </w:rPr>
        <w:t xml:space="preserve"> 大型企业应将采购份额的</w:t>
      </w:r>
      <w:r>
        <w:rPr>
          <w:rFonts w:hint="eastAsia" w:ascii="宋体" w:hAnsi="宋体" w:cs="宋体"/>
          <w:szCs w:val="21"/>
          <w:highlight w:val="none"/>
          <w:u w:val="single"/>
        </w:rPr>
        <w:t xml:space="preserve"> / </w:t>
      </w:r>
      <w:r>
        <w:rPr>
          <w:rFonts w:hint="eastAsia" w:ascii="宋体" w:hAnsi="宋体" w:cs="宋体"/>
          <w:szCs w:val="21"/>
          <w:highlight w:val="none"/>
        </w:rPr>
        <w:t>%分包给中小企业。</w:t>
      </w:r>
    </w:p>
    <w:p w14:paraId="006D046B">
      <w:pPr>
        <w:numPr>
          <w:ilvl w:val="0"/>
          <w:numId w:val="2"/>
        </w:numPr>
        <w:adjustRightInd w:val="0"/>
        <w:snapToGrid w:val="0"/>
        <w:spacing w:line="460" w:lineRule="exact"/>
        <w:ind w:firstLine="525" w:firstLineChars="250"/>
        <w:rPr>
          <w:rFonts w:hint="eastAsia" w:ascii="宋体" w:hAnsi="宋体" w:cs="宋体"/>
          <w:szCs w:val="21"/>
          <w:highlight w:val="none"/>
        </w:rPr>
      </w:pPr>
      <w:r>
        <w:rPr>
          <w:rFonts w:hint="eastAsia" w:ascii="宋体" w:hAnsi="宋体" w:cs="宋体"/>
          <w:szCs w:val="21"/>
          <w:highlight w:val="none"/>
        </w:rPr>
        <w:t>供应商特定资格条件：无</w:t>
      </w:r>
      <w:r>
        <w:rPr>
          <w:rFonts w:hint="eastAsia" w:ascii="宋体" w:hAnsi="宋体" w:cs="宋体"/>
          <w:szCs w:val="21"/>
          <w:highlight w:val="none"/>
          <w:lang w:eastAsia="zh-CN"/>
        </w:rPr>
        <w:t>。</w:t>
      </w:r>
    </w:p>
    <w:p w14:paraId="0D4CAF8E">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highlight w:val="none"/>
        </w:rPr>
        <w:t>4、单位负责人为同一人或者存在直接控股、管理</w:t>
      </w:r>
      <w:r>
        <w:rPr>
          <w:rFonts w:hint="eastAsia" w:ascii="宋体" w:hAnsi="宋体" w:cs="宋体"/>
          <w:szCs w:val="21"/>
        </w:rPr>
        <w:t>关系的不同投标人，不得参加同一合同项下的政府采购活动。</w:t>
      </w:r>
    </w:p>
    <w:p w14:paraId="0A37404E">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t>5、为本采购项目提供整体设计、规范编制或者项目管理、监理、检测等服务的，不得再参加此项目的其他采购活动。</w:t>
      </w:r>
    </w:p>
    <w:p w14:paraId="38D814E4">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t>6、列入失信被执行人、重大税收违法失信主体名单、政府采购严重违法失信行为记录名单的，拒绝其参与政府采购活动。</w:t>
      </w:r>
    </w:p>
    <w:p w14:paraId="76028A6D">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t xml:space="preserve">7、联合体响应。本次采购 </w:t>
      </w:r>
      <w:r>
        <w:rPr>
          <w:rFonts w:hint="eastAsia" w:ascii="宋体" w:hAnsi="宋体" w:cs="宋体"/>
          <w:szCs w:val="21"/>
          <w:u w:val="single"/>
        </w:rPr>
        <w:t xml:space="preserve">不接受 </w:t>
      </w:r>
      <w:r>
        <w:rPr>
          <w:rFonts w:hint="eastAsia" w:ascii="宋体" w:hAnsi="宋体" w:cs="宋体"/>
          <w:szCs w:val="21"/>
        </w:rPr>
        <w:t>(接受或不接受)联合体响应。</w:t>
      </w:r>
    </w:p>
    <w:p w14:paraId="2D9C6576">
      <w:pPr>
        <w:adjustRightInd w:val="0"/>
        <w:snapToGrid w:val="0"/>
        <w:spacing w:line="460" w:lineRule="exact"/>
        <w:ind w:firstLine="527" w:firstLineChars="250"/>
        <w:rPr>
          <w:rFonts w:hint="eastAsia" w:ascii="宋体" w:hAnsi="宋体" w:cs="宋体"/>
          <w:b/>
          <w:bCs/>
          <w:szCs w:val="21"/>
        </w:rPr>
      </w:pPr>
      <w:r>
        <w:rPr>
          <w:rFonts w:hint="eastAsia" w:ascii="宋体" w:hAnsi="宋体" w:cs="宋体"/>
          <w:b/>
          <w:bCs/>
          <w:szCs w:val="21"/>
        </w:rPr>
        <w:t>五、获取招标文件的时间、期限、地点及方式</w:t>
      </w:r>
    </w:p>
    <w:p w14:paraId="533A1018">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t>有意参加投标者，于202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 xml:space="preserve"> 2</w:t>
      </w:r>
      <w:del w:id="63" w:author="红博" w:date="2026-06-26T17:15:04Z">
        <w:r>
          <w:rPr>
            <w:rFonts w:hint="default" w:ascii="宋体" w:hAnsi="宋体" w:cs="宋体"/>
            <w:szCs w:val="21"/>
            <w:lang w:val="en-US" w:eastAsia="zh-CN"/>
          </w:rPr>
          <w:delText>3</w:delText>
        </w:r>
      </w:del>
      <w:ins w:id="64" w:author="红博" w:date="2026-06-26T17:15:04Z">
        <w:r>
          <w:rPr>
            <w:rFonts w:hint="eastAsia" w:ascii="宋体" w:hAnsi="宋体" w:cs="宋体"/>
            <w:szCs w:val="21"/>
            <w:lang w:val="en-US" w:eastAsia="zh-CN"/>
          </w:rPr>
          <w:t>6</w:t>
        </w:r>
      </w:ins>
      <w:r>
        <w:rPr>
          <w:rFonts w:hint="eastAsia" w:ascii="宋体" w:hAnsi="宋体" w:cs="宋体"/>
          <w:szCs w:val="21"/>
          <w:lang w:val="en-US" w:eastAsia="zh-CN"/>
        </w:rPr>
        <w:t xml:space="preserve"> </w:t>
      </w:r>
      <w:r>
        <w:rPr>
          <w:rFonts w:hint="eastAsia" w:ascii="宋体" w:hAnsi="宋体" w:cs="宋体"/>
          <w:szCs w:val="21"/>
        </w:rPr>
        <w:t>日 至202</w:t>
      </w:r>
      <w:r>
        <w:rPr>
          <w:rFonts w:hint="eastAsia" w:ascii="宋体" w:hAnsi="宋体" w:cs="宋体"/>
          <w:szCs w:val="21"/>
          <w:lang w:val="en-US" w:eastAsia="zh-CN"/>
        </w:rPr>
        <w:t>6</w:t>
      </w:r>
      <w:r>
        <w:rPr>
          <w:rFonts w:hint="eastAsia" w:ascii="宋体" w:hAnsi="宋体" w:cs="宋体"/>
          <w:szCs w:val="21"/>
        </w:rPr>
        <w:t>年</w:t>
      </w:r>
      <w:del w:id="65" w:author="红博" w:date="2026-06-23T17:43:01Z">
        <w:r>
          <w:rPr>
            <w:rFonts w:hint="default" w:ascii="宋体" w:hAnsi="宋体" w:cs="宋体"/>
            <w:szCs w:val="21"/>
            <w:lang w:val="en-US" w:eastAsia="zh-CN"/>
          </w:rPr>
          <w:delText>6</w:delText>
        </w:r>
      </w:del>
      <w:ins w:id="66" w:author="红博" w:date="2026-06-23T17:43:01Z">
        <w:r>
          <w:rPr>
            <w:rFonts w:hint="eastAsia" w:ascii="宋体" w:hAnsi="宋体" w:cs="宋体"/>
            <w:szCs w:val="21"/>
            <w:lang w:val="en-US" w:eastAsia="zh-CN"/>
          </w:rPr>
          <w:t>7</w:t>
        </w:r>
      </w:ins>
      <w:r>
        <w:rPr>
          <w:rFonts w:hint="eastAsia" w:ascii="宋体" w:hAnsi="宋体" w:cs="宋体"/>
          <w:szCs w:val="21"/>
          <w:lang w:val="en-US" w:eastAsia="zh-CN"/>
        </w:rPr>
        <w:t xml:space="preserve"> </w:t>
      </w:r>
      <w:r>
        <w:rPr>
          <w:rFonts w:hint="eastAsia" w:ascii="宋体" w:hAnsi="宋体" w:cs="宋体"/>
          <w:szCs w:val="21"/>
        </w:rPr>
        <w:t>月</w:t>
      </w:r>
      <w:del w:id="67" w:author="红博" w:date="2026-06-26T17:15:19Z">
        <w:r>
          <w:rPr>
            <w:rFonts w:hint="default" w:ascii="宋体" w:hAnsi="宋体" w:cs="宋体"/>
            <w:szCs w:val="21"/>
            <w:lang w:val="en-US" w:eastAsia="zh-CN"/>
          </w:rPr>
          <w:delText>30</w:delText>
        </w:r>
      </w:del>
      <w:ins w:id="68" w:author="红博" w:date="2026-06-26T17:15:19Z">
        <w:r>
          <w:rPr>
            <w:rFonts w:hint="eastAsia" w:ascii="宋体" w:hAnsi="宋体" w:cs="宋体"/>
            <w:szCs w:val="21"/>
            <w:lang w:val="en-US" w:eastAsia="zh-CN"/>
          </w:rPr>
          <w:t>4</w:t>
        </w:r>
      </w:ins>
      <w:r>
        <w:rPr>
          <w:rFonts w:hint="eastAsia" w:ascii="宋体" w:hAnsi="宋体" w:cs="宋体"/>
          <w:szCs w:val="21"/>
        </w:rPr>
        <w:t>日， 上午9:00时到12:00时，下午15:00 时到17:00时（北京时间，节假日除外）， 在长沙市</w:t>
      </w:r>
      <w:r>
        <w:rPr>
          <w:rFonts w:hint="eastAsia" w:ascii="宋体" w:hAnsi="宋体" w:cs="宋体"/>
          <w:szCs w:val="21"/>
          <w:lang w:val="en-US" w:eastAsia="zh-CN"/>
        </w:rPr>
        <w:t>雨花区水电街70号湖南省水利水电施工管理局综合楼1楼</w:t>
      </w:r>
      <w:r>
        <w:rPr>
          <w:rFonts w:hint="eastAsia" w:ascii="宋体" w:hAnsi="宋体" w:cs="宋体"/>
          <w:szCs w:val="21"/>
        </w:rPr>
        <w:t>持本人身份证原件、法定代表人身份证明（或者授权委托书并附法定代表人身份证明）获取招标文件。</w:t>
      </w:r>
    </w:p>
    <w:p w14:paraId="5CE745E7">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t xml:space="preserve"> </w:t>
      </w:r>
      <w:r>
        <w:rPr>
          <w:rFonts w:hint="eastAsia" w:ascii="宋体" w:hAnsi="宋体" w:cs="宋体"/>
          <w:szCs w:val="21"/>
        </w:rPr>
        <w:sym w:font="Wingdings 2" w:char="00A3"/>
      </w:r>
      <w:r>
        <w:rPr>
          <w:rFonts w:hint="eastAsia" w:ascii="宋体" w:hAnsi="宋体" w:cs="宋体"/>
          <w:szCs w:val="21"/>
        </w:rPr>
        <w:t xml:space="preserve"> 本项目实行电子交易，有意参加投标者，在长沙市</w:t>
      </w:r>
      <w:r>
        <w:rPr>
          <w:rFonts w:hint="eastAsia" w:ascii="宋体" w:hAnsi="宋体" w:cs="宋体"/>
          <w:szCs w:val="21"/>
          <w:lang w:val="en-US" w:eastAsia="zh-CN"/>
        </w:rPr>
        <w:t>雨花区水电街70号湖南省水利水电施工管理局综合楼1楼</w:t>
      </w:r>
      <w:r>
        <w:rPr>
          <w:rFonts w:hint="eastAsia" w:ascii="宋体" w:hAnsi="宋体" w:cs="宋体"/>
          <w:szCs w:val="21"/>
        </w:rPr>
        <w:t>持本人身份证原件、个人身份证、法定代表人身份证明（或者授权委托书并附法定代表人身份证明）获取电子版招标文件。</w:t>
      </w:r>
    </w:p>
    <w:p w14:paraId="22F5E5FC">
      <w:pPr>
        <w:adjustRightInd w:val="0"/>
        <w:snapToGrid w:val="0"/>
        <w:spacing w:line="460" w:lineRule="exact"/>
        <w:ind w:firstLine="527" w:firstLineChars="250"/>
        <w:rPr>
          <w:rFonts w:hint="eastAsia" w:ascii="宋体" w:hAnsi="宋体" w:cs="宋体"/>
          <w:b/>
          <w:bCs/>
          <w:szCs w:val="21"/>
        </w:rPr>
      </w:pPr>
      <w:r>
        <w:rPr>
          <w:rFonts w:hint="eastAsia" w:ascii="宋体" w:hAnsi="宋体" w:cs="宋体"/>
          <w:b/>
          <w:bCs/>
          <w:szCs w:val="21"/>
        </w:rPr>
        <w:t>六、投标截止时间、开标时间及地点</w:t>
      </w:r>
    </w:p>
    <w:p w14:paraId="54A6C436">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t>1、提交投标文件的截止时间：202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1</w:t>
      </w:r>
      <w:del w:id="69" w:author="红博" w:date="2026-06-26T17:15:30Z">
        <w:r>
          <w:rPr>
            <w:rFonts w:hint="default" w:ascii="宋体" w:hAnsi="宋体" w:cs="宋体"/>
            <w:szCs w:val="21"/>
            <w:lang w:val="en-US" w:eastAsia="zh-CN"/>
          </w:rPr>
          <w:delText>3</w:delText>
        </w:r>
      </w:del>
      <w:ins w:id="70" w:author="红博" w:date="2026-06-26T17:15:30Z">
        <w:r>
          <w:rPr>
            <w:rFonts w:hint="eastAsia" w:ascii="宋体" w:hAnsi="宋体" w:cs="宋体"/>
            <w:szCs w:val="21"/>
            <w:lang w:val="en-US" w:eastAsia="zh-CN"/>
          </w:rPr>
          <w:t>5</w:t>
        </w:r>
      </w:ins>
      <w:r>
        <w:rPr>
          <w:rFonts w:hint="eastAsia" w:ascii="宋体" w:hAnsi="宋体" w:cs="宋体"/>
          <w:szCs w:val="21"/>
        </w:rPr>
        <w:t>日 9:00（北京时间）。</w:t>
      </w:r>
    </w:p>
    <w:p w14:paraId="0B9E61D7">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t>2、提交投标文件地点：</w:t>
      </w:r>
      <w:bookmarkStart w:id="0" w:name="OLE_LINK8"/>
      <w:r>
        <w:rPr>
          <w:rFonts w:hint="eastAsia" w:ascii="宋体" w:hAnsi="宋体" w:cs="宋体"/>
          <w:szCs w:val="21"/>
          <w:lang w:val="en-US" w:eastAsia="zh-CN"/>
        </w:rPr>
        <w:t>湖南智联建设项目管理有限</w:t>
      </w:r>
      <w:r>
        <w:rPr>
          <w:rFonts w:hint="eastAsia" w:ascii="宋体" w:hAnsi="宋体" w:cs="宋体"/>
          <w:szCs w:val="21"/>
        </w:rPr>
        <w:t>公司开标室（地址：长沙市</w:t>
      </w:r>
      <w:r>
        <w:rPr>
          <w:rFonts w:hint="eastAsia" w:ascii="宋体" w:hAnsi="宋体" w:cs="宋体"/>
          <w:szCs w:val="21"/>
          <w:lang w:val="en-US" w:eastAsia="zh-CN"/>
        </w:rPr>
        <w:t>雨花区水电街70号湖南省水利水电施工管理局综合楼1楼</w:t>
      </w:r>
      <w:r>
        <w:rPr>
          <w:rFonts w:hint="eastAsia" w:ascii="宋体" w:hAnsi="宋体" w:cs="宋体"/>
          <w:szCs w:val="21"/>
        </w:rPr>
        <w:t>）</w:t>
      </w:r>
      <w:bookmarkEnd w:id="0"/>
      <w:r>
        <w:rPr>
          <w:rFonts w:hint="eastAsia" w:ascii="宋体" w:hAnsi="宋体" w:cs="宋体"/>
          <w:szCs w:val="21"/>
        </w:rPr>
        <w:t>。</w:t>
      </w:r>
    </w:p>
    <w:p w14:paraId="39AAA2A6">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t>3、开标时间：202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 xml:space="preserve"> 1</w:t>
      </w:r>
      <w:del w:id="71" w:author="红博" w:date="2026-06-26T17:15:34Z">
        <w:r>
          <w:rPr>
            <w:rFonts w:hint="default" w:ascii="宋体" w:hAnsi="宋体" w:cs="宋体"/>
            <w:szCs w:val="21"/>
            <w:lang w:val="en-US" w:eastAsia="zh-CN"/>
          </w:rPr>
          <w:delText xml:space="preserve">3 </w:delText>
        </w:r>
      </w:del>
      <w:ins w:id="72" w:author="红博" w:date="2026-06-26T17:15:34Z">
        <w:r>
          <w:rPr>
            <w:rFonts w:hint="eastAsia" w:ascii="宋体" w:hAnsi="宋体" w:cs="宋体"/>
            <w:szCs w:val="21"/>
            <w:lang w:val="en-US" w:eastAsia="zh-CN"/>
          </w:rPr>
          <w:t>5</w:t>
        </w:r>
      </w:ins>
      <w:r>
        <w:rPr>
          <w:rFonts w:hint="eastAsia" w:ascii="宋体" w:hAnsi="宋体" w:cs="宋体"/>
          <w:szCs w:val="21"/>
        </w:rPr>
        <w:t>日 9:00（北京时间）。</w:t>
      </w:r>
    </w:p>
    <w:p w14:paraId="0F838200">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t>4、开标地点：</w:t>
      </w:r>
      <w:r>
        <w:rPr>
          <w:rFonts w:hint="eastAsia" w:ascii="宋体" w:hAnsi="宋体" w:cs="宋体"/>
          <w:szCs w:val="21"/>
          <w:lang w:val="en-US" w:eastAsia="zh-CN"/>
        </w:rPr>
        <w:t>湖南智联建设项目管理有限</w:t>
      </w:r>
      <w:r>
        <w:rPr>
          <w:rFonts w:hint="eastAsia" w:ascii="宋体" w:hAnsi="宋体" w:cs="宋体"/>
          <w:szCs w:val="21"/>
        </w:rPr>
        <w:t>公司开标室（地址：长沙市</w:t>
      </w:r>
      <w:r>
        <w:rPr>
          <w:rFonts w:hint="eastAsia" w:ascii="宋体" w:hAnsi="宋体" w:cs="宋体"/>
          <w:szCs w:val="21"/>
          <w:lang w:val="en-US" w:eastAsia="zh-CN"/>
        </w:rPr>
        <w:t>雨花区水电街70号湖南省水利水电施工管理局综合楼1楼</w:t>
      </w:r>
      <w:r>
        <w:rPr>
          <w:rFonts w:hint="eastAsia" w:ascii="宋体" w:hAnsi="宋体" w:cs="宋体"/>
          <w:szCs w:val="21"/>
        </w:rPr>
        <w:t>）。</w:t>
      </w:r>
    </w:p>
    <w:p w14:paraId="16C4E384">
      <w:pPr>
        <w:adjustRightInd w:val="0"/>
        <w:snapToGrid w:val="0"/>
        <w:spacing w:line="460" w:lineRule="exact"/>
        <w:ind w:firstLine="527" w:firstLineChars="250"/>
        <w:rPr>
          <w:rFonts w:hint="eastAsia" w:ascii="宋体" w:hAnsi="宋体" w:cs="宋体"/>
          <w:b/>
          <w:bCs/>
          <w:szCs w:val="21"/>
        </w:rPr>
      </w:pPr>
      <w:r>
        <w:rPr>
          <w:rFonts w:hint="eastAsia" w:ascii="宋体" w:hAnsi="宋体" w:cs="宋体"/>
          <w:b/>
          <w:bCs/>
          <w:szCs w:val="21"/>
        </w:rPr>
        <w:t>七、公告期限</w:t>
      </w:r>
    </w:p>
    <w:p w14:paraId="32E02A6C">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t>1、本招标公告在</w:t>
      </w:r>
      <w:r>
        <w:rPr>
          <w:rFonts w:hint="eastAsia" w:ascii="宋体" w:hAnsi="宋体" w:cs="宋体"/>
          <w:szCs w:val="21"/>
          <w:lang w:val="en-US" w:eastAsia="zh-CN"/>
        </w:rPr>
        <w:t>湖南省政府采购网</w:t>
      </w:r>
      <w:r>
        <w:rPr>
          <w:rFonts w:hint="eastAsia" w:ascii="宋体" w:hAnsi="宋体" w:cs="宋体"/>
          <w:szCs w:val="21"/>
        </w:rPr>
        <w:t>（http://www.ccgp-hunan.gov.cn/）发布。公告期限从本招标公告发布之日起5个工作日。</w:t>
      </w:r>
    </w:p>
    <w:p w14:paraId="57BE91B9">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t>2、在其他媒体发布的招标公告，公告内容以本招标公告指定媒体发布的公告为准；公告期限自本招标公告指定媒体最先发布公告之日起算。</w:t>
      </w:r>
    </w:p>
    <w:p w14:paraId="71BA7027">
      <w:pPr>
        <w:adjustRightInd w:val="0"/>
        <w:snapToGrid w:val="0"/>
        <w:spacing w:line="460" w:lineRule="exact"/>
        <w:ind w:firstLine="527" w:firstLineChars="250"/>
        <w:rPr>
          <w:rFonts w:hint="eastAsia" w:ascii="宋体" w:hAnsi="宋体" w:cs="宋体"/>
          <w:b/>
          <w:bCs/>
          <w:szCs w:val="21"/>
        </w:rPr>
      </w:pPr>
      <w:r>
        <w:rPr>
          <w:rFonts w:hint="eastAsia" w:ascii="宋体" w:hAnsi="宋体" w:cs="宋体"/>
          <w:b/>
          <w:bCs/>
          <w:szCs w:val="21"/>
        </w:rPr>
        <w:t>八、询问及质疑</w:t>
      </w:r>
    </w:p>
    <w:p w14:paraId="4F02D0AC">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t>1、投标人对政府采购活动事项如有疑问的，可以向采购人、采购代理机构提出询问。采购人、采购代理机构将在3个工作日内作出答复。</w:t>
      </w:r>
    </w:p>
    <w:p w14:paraId="6F4124DB">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t>2、投标人对电子交易平台办理CA证书、操作等如有疑问，请咨询电子交易平台服务机构。</w:t>
      </w:r>
    </w:p>
    <w:p w14:paraId="6453ECB4">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t>3、潜在投标人认为招标文件或招标公告使自己的合法权益受到损害的，可以在收到招标文件之日或招标公告期限届满之日起7个工作日内，</w:t>
      </w:r>
      <w:r>
        <w:rPr>
          <w:rFonts w:hint="eastAsia" w:ascii="宋体" w:hAnsi="宋体" w:cs="宋体"/>
          <w:szCs w:val="21"/>
          <w:lang w:eastAsia="zh-CN"/>
        </w:rPr>
        <w:t>按《湖南省财政厅关于印发＜政府采购质疑答复和投诉处理操作规程＞的通知》(湘财购〔2024〕67号)规定</w:t>
      </w:r>
      <w:r>
        <w:rPr>
          <w:rFonts w:hint="eastAsia" w:ascii="宋体" w:hAnsi="宋体" w:cs="宋体"/>
          <w:szCs w:val="21"/>
        </w:rPr>
        <w:t>，以纸质书面形式向采购人、采购代理机构提出质疑。</w:t>
      </w:r>
    </w:p>
    <w:p w14:paraId="71756938">
      <w:pPr>
        <w:adjustRightInd w:val="0"/>
        <w:snapToGrid w:val="0"/>
        <w:spacing w:line="460" w:lineRule="exact"/>
        <w:ind w:firstLine="527" w:firstLineChars="250"/>
        <w:rPr>
          <w:rFonts w:hint="eastAsia" w:ascii="宋体" w:hAnsi="宋体" w:cs="宋体"/>
          <w:b/>
          <w:bCs/>
          <w:szCs w:val="21"/>
        </w:rPr>
      </w:pPr>
      <w:r>
        <w:rPr>
          <w:rFonts w:hint="eastAsia" w:ascii="宋体" w:hAnsi="宋体" w:cs="宋体"/>
          <w:b/>
          <w:bCs/>
          <w:szCs w:val="21"/>
        </w:rPr>
        <w:t>九、投标说明</w:t>
      </w:r>
    </w:p>
    <w:p w14:paraId="3F4A5824">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t xml:space="preserve">1、本公告选项： </w:t>
      </w:r>
      <w:r>
        <w:rPr>
          <w:rFonts w:hint="eastAsia" w:ascii="宋体" w:hAnsi="宋体" w:cs="宋体"/>
          <w:szCs w:val="21"/>
        </w:rPr>
        <w:sym w:font="Wingdings 2" w:char="00A2"/>
      </w:r>
      <w:r>
        <w:rPr>
          <w:rFonts w:hint="eastAsia" w:ascii="宋体" w:hAnsi="宋体" w:cs="宋体"/>
          <w:szCs w:val="21"/>
        </w:rPr>
        <w:t>表示选择，</w:t>
      </w:r>
      <w:r>
        <w:rPr>
          <w:rFonts w:hint="eastAsia" w:ascii="宋体" w:hAnsi="宋体" w:cs="宋体"/>
          <w:szCs w:val="21"/>
        </w:rPr>
        <w:sym w:font="Wingdings 2" w:char="00A3"/>
      </w:r>
      <w:r>
        <w:rPr>
          <w:rFonts w:hint="eastAsia" w:ascii="宋体" w:hAnsi="宋体" w:cs="宋体"/>
          <w:szCs w:val="21"/>
        </w:rPr>
        <w:t xml:space="preserve"> 表示未选择。</w:t>
      </w:r>
    </w:p>
    <w:p w14:paraId="5B9D1F6A">
      <w:pPr>
        <w:adjustRightInd w:val="0"/>
        <w:snapToGrid w:val="0"/>
        <w:spacing w:line="460" w:lineRule="exact"/>
        <w:ind w:firstLine="525" w:firstLineChars="250"/>
        <w:rPr>
          <w:rFonts w:hint="eastAsia" w:ascii="宋体" w:hAnsi="宋体" w:cs="宋体"/>
          <w:szCs w:val="21"/>
        </w:rPr>
      </w:pPr>
      <w:r>
        <w:rPr>
          <w:rFonts w:hint="eastAsia" w:ascii="宋体" w:hAnsi="宋体" w:cs="宋体"/>
          <w:szCs w:val="21"/>
        </w:rPr>
        <w:t>2、投标人参与政府采购活动，无需向采购人、代理机构、交易平台缴纳任何费用。</w:t>
      </w:r>
    </w:p>
    <w:p w14:paraId="38DADDCE">
      <w:pPr>
        <w:adjustRightInd w:val="0"/>
        <w:snapToGrid w:val="0"/>
        <w:spacing w:line="460" w:lineRule="exact"/>
        <w:ind w:firstLine="527" w:firstLineChars="250"/>
        <w:rPr>
          <w:rFonts w:hint="eastAsia" w:ascii="宋体" w:hAnsi="宋体" w:cs="宋体"/>
          <w:b/>
          <w:bCs/>
          <w:szCs w:val="21"/>
        </w:rPr>
      </w:pPr>
      <w:r>
        <w:rPr>
          <w:rFonts w:hint="eastAsia" w:ascii="宋体" w:hAnsi="宋体" w:cs="宋体"/>
          <w:b/>
          <w:bCs/>
          <w:szCs w:val="21"/>
        </w:rPr>
        <w:t>十、采购项目联系人姓名和电话</w:t>
      </w:r>
    </w:p>
    <w:p w14:paraId="660F89F1">
      <w:pPr>
        <w:adjustRightInd w:val="0"/>
        <w:snapToGrid w:val="0"/>
        <w:spacing w:line="460" w:lineRule="exact"/>
        <w:ind w:firstLine="525" w:firstLineChars="250"/>
        <w:rPr>
          <w:rFonts w:hint="default" w:ascii="宋体" w:hAnsi="宋体" w:cs="宋体"/>
          <w:szCs w:val="21"/>
          <w:lang w:val="en-US"/>
        </w:rPr>
      </w:pPr>
      <w:r>
        <w:rPr>
          <w:rFonts w:hint="eastAsia" w:ascii="宋体" w:hAnsi="宋体" w:cs="宋体"/>
          <w:szCs w:val="21"/>
          <w:lang w:val="en-US" w:eastAsia="zh-CN"/>
        </w:rPr>
        <w:t>1、联系人姓名：肖乐</w:t>
      </w:r>
    </w:p>
    <w:p w14:paraId="724B0EA6">
      <w:pPr>
        <w:adjustRightInd w:val="0"/>
        <w:snapToGrid w:val="0"/>
        <w:spacing w:line="460" w:lineRule="exact"/>
        <w:ind w:firstLine="525" w:firstLineChars="250"/>
        <w:rPr>
          <w:rFonts w:hint="default" w:ascii="宋体" w:hAnsi="宋体" w:cs="宋体"/>
          <w:color w:val="auto"/>
          <w:szCs w:val="21"/>
          <w:lang w:val="en-US"/>
        </w:rPr>
      </w:pPr>
      <w:r>
        <w:rPr>
          <w:rFonts w:hint="eastAsia" w:ascii="宋体" w:hAnsi="宋体" w:cs="宋体"/>
          <w:color w:val="auto"/>
          <w:szCs w:val="21"/>
          <w:lang w:val="en-US" w:eastAsia="zh-CN"/>
        </w:rPr>
        <w:t>2、电话：</w:t>
      </w:r>
      <w:r>
        <w:rPr>
          <w:rFonts w:hint="eastAsia" w:ascii="宋体" w:hAnsi="宋体" w:cs="宋体"/>
          <w:color w:val="auto"/>
          <w:highlight w:val="none"/>
          <w:lang w:val="en-US" w:eastAsia="zh-CN"/>
        </w:rPr>
        <w:t>0731-85483010</w:t>
      </w:r>
    </w:p>
    <w:p w14:paraId="479AA9D4">
      <w:pPr>
        <w:adjustRightInd w:val="0"/>
        <w:snapToGrid w:val="0"/>
        <w:spacing w:line="460" w:lineRule="exact"/>
        <w:ind w:firstLine="527" w:firstLineChars="250"/>
        <w:rPr>
          <w:rFonts w:hint="eastAsia" w:ascii="宋体" w:hAnsi="宋体" w:cs="宋体"/>
          <w:b/>
          <w:bCs/>
          <w:color w:val="auto"/>
          <w:szCs w:val="21"/>
        </w:rPr>
      </w:pPr>
      <w:r>
        <w:rPr>
          <w:rFonts w:hint="eastAsia" w:ascii="宋体" w:hAnsi="宋体" w:cs="宋体"/>
          <w:b/>
          <w:bCs/>
          <w:color w:val="auto"/>
          <w:szCs w:val="21"/>
        </w:rPr>
        <w:t>十</w:t>
      </w:r>
      <w:r>
        <w:rPr>
          <w:rFonts w:hint="eastAsia" w:ascii="宋体" w:hAnsi="宋体" w:cs="宋体"/>
          <w:b/>
          <w:bCs/>
          <w:color w:val="auto"/>
          <w:szCs w:val="21"/>
          <w:lang w:val="en-US" w:eastAsia="zh-CN"/>
        </w:rPr>
        <w:t>一</w:t>
      </w:r>
      <w:r>
        <w:rPr>
          <w:rFonts w:hint="eastAsia" w:ascii="宋体" w:hAnsi="宋体" w:cs="宋体"/>
          <w:b/>
          <w:bCs/>
          <w:color w:val="auto"/>
          <w:szCs w:val="21"/>
        </w:rPr>
        <w:t>、采购人、采购代理机构的名称、地址和联系方法</w:t>
      </w:r>
    </w:p>
    <w:p w14:paraId="7CA4A42D">
      <w:pPr>
        <w:adjustRightInd w:val="0"/>
        <w:snapToGrid w:val="0"/>
        <w:spacing w:line="460" w:lineRule="exact"/>
        <w:ind w:firstLine="527" w:firstLineChars="250"/>
        <w:rPr>
          <w:rFonts w:hint="eastAsia" w:ascii="宋体" w:hAnsi="宋体" w:cs="宋体"/>
          <w:b/>
          <w:bCs/>
          <w:color w:val="auto"/>
          <w:szCs w:val="21"/>
          <w:lang w:val="en-US" w:eastAsia="zh-CN"/>
        </w:rPr>
      </w:pPr>
      <w:r>
        <w:rPr>
          <w:rFonts w:hint="eastAsia" w:ascii="宋体" w:hAnsi="宋体" w:cs="宋体"/>
          <w:b/>
          <w:bCs/>
          <w:color w:val="auto"/>
          <w:szCs w:val="21"/>
          <w:lang w:val="en-US" w:eastAsia="zh-CN"/>
        </w:rPr>
        <w:t>1、采购人信息：</w:t>
      </w:r>
    </w:p>
    <w:p w14:paraId="6AD2BA8D">
      <w:pPr>
        <w:adjustRightInd w:val="0"/>
        <w:snapToGrid w:val="0"/>
        <w:spacing w:line="460" w:lineRule="exact"/>
        <w:ind w:firstLine="525" w:firstLineChars="250"/>
        <w:rPr>
          <w:rFonts w:hint="eastAsia" w:ascii="宋体" w:hAnsi="宋体" w:cs="宋体"/>
          <w:color w:val="auto"/>
          <w:szCs w:val="21"/>
          <w:lang w:val="en-US" w:eastAsia="zh-CN"/>
        </w:rPr>
      </w:pPr>
      <w:r>
        <w:rPr>
          <w:rFonts w:hint="eastAsia" w:ascii="宋体" w:hAnsi="宋体" w:cs="宋体"/>
          <w:color w:val="auto"/>
          <w:szCs w:val="21"/>
          <w:lang w:val="en-US" w:eastAsia="zh-CN"/>
        </w:rPr>
        <w:t>（1）名称：湖南省水利厅</w:t>
      </w:r>
    </w:p>
    <w:p w14:paraId="259D23E6">
      <w:pPr>
        <w:adjustRightInd w:val="0"/>
        <w:snapToGrid w:val="0"/>
        <w:spacing w:line="460" w:lineRule="exact"/>
        <w:ind w:firstLine="525" w:firstLineChars="250"/>
        <w:rPr>
          <w:rFonts w:hint="eastAsia" w:ascii="宋体" w:hAnsi="宋体" w:cs="宋体"/>
          <w:color w:val="auto"/>
          <w:szCs w:val="21"/>
          <w:lang w:val="en-US" w:eastAsia="zh-CN"/>
        </w:rPr>
      </w:pPr>
      <w:r>
        <w:rPr>
          <w:rFonts w:hint="eastAsia" w:ascii="宋体" w:hAnsi="宋体" w:cs="宋体"/>
          <w:color w:val="auto"/>
          <w:szCs w:val="21"/>
          <w:lang w:val="en-US" w:eastAsia="zh-CN"/>
        </w:rPr>
        <w:t>（2）地  址：长沙市雨花区韶山北路370号</w:t>
      </w:r>
    </w:p>
    <w:p w14:paraId="304C41C6">
      <w:pPr>
        <w:adjustRightInd w:val="0"/>
        <w:snapToGrid w:val="0"/>
        <w:spacing w:line="460" w:lineRule="exact"/>
        <w:ind w:firstLine="525" w:firstLineChars="250"/>
        <w:rPr>
          <w:rFonts w:hint="eastAsia" w:ascii="宋体" w:hAnsi="宋体" w:cs="宋体"/>
          <w:color w:val="auto"/>
          <w:szCs w:val="21"/>
          <w:lang w:val="en-US" w:eastAsia="zh-CN"/>
        </w:rPr>
      </w:pPr>
      <w:r>
        <w:rPr>
          <w:rFonts w:hint="eastAsia" w:ascii="宋体" w:hAnsi="宋体" w:cs="宋体"/>
          <w:color w:val="auto"/>
          <w:szCs w:val="21"/>
          <w:lang w:val="en-US" w:eastAsia="zh-CN"/>
        </w:rPr>
        <w:t>（3）项目联系人：肖乐</w:t>
      </w:r>
    </w:p>
    <w:p w14:paraId="6995C5AB">
      <w:pPr>
        <w:adjustRightInd w:val="0"/>
        <w:snapToGrid w:val="0"/>
        <w:spacing w:line="460" w:lineRule="exact"/>
        <w:ind w:firstLine="525" w:firstLineChars="250"/>
        <w:rPr>
          <w:rFonts w:hint="eastAsia" w:ascii="宋体" w:hAnsi="宋体" w:cs="宋体"/>
          <w:color w:val="auto"/>
          <w:szCs w:val="21"/>
          <w:lang w:val="en-US" w:eastAsia="zh-CN"/>
        </w:rPr>
      </w:pPr>
      <w:r>
        <w:rPr>
          <w:rFonts w:hint="eastAsia" w:ascii="宋体" w:hAnsi="宋体" w:cs="宋体"/>
          <w:color w:val="auto"/>
          <w:szCs w:val="21"/>
          <w:lang w:val="en-US" w:eastAsia="zh-CN"/>
        </w:rPr>
        <w:t>（4）邮编：410007</w:t>
      </w:r>
    </w:p>
    <w:p w14:paraId="0D9EB6F5">
      <w:pPr>
        <w:adjustRightInd w:val="0"/>
        <w:snapToGrid w:val="0"/>
        <w:spacing w:line="460" w:lineRule="exact"/>
        <w:ind w:firstLine="525" w:firstLineChars="250"/>
        <w:rPr>
          <w:rFonts w:hint="default" w:ascii="宋体" w:hAnsi="宋体" w:cs="宋体"/>
          <w:color w:val="auto"/>
          <w:szCs w:val="21"/>
          <w:lang w:val="en-US" w:eastAsia="zh-CN"/>
        </w:rPr>
      </w:pPr>
      <w:r>
        <w:rPr>
          <w:rFonts w:hint="eastAsia" w:ascii="宋体" w:hAnsi="宋体" w:cs="宋体"/>
          <w:color w:val="auto"/>
          <w:szCs w:val="21"/>
          <w:lang w:val="en-US" w:eastAsia="zh-CN"/>
        </w:rPr>
        <w:t>（5）电  话：</w:t>
      </w:r>
      <w:r>
        <w:rPr>
          <w:rFonts w:hint="eastAsia" w:ascii="宋体" w:hAnsi="宋体" w:cs="宋体"/>
          <w:color w:val="auto"/>
          <w:highlight w:val="none"/>
          <w:lang w:val="en-US" w:eastAsia="zh-CN"/>
        </w:rPr>
        <w:t>0731-85483010</w:t>
      </w:r>
    </w:p>
    <w:p w14:paraId="24E25C41">
      <w:pPr>
        <w:adjustRightInd w:val="0"/>
        <w:snapToGrid w:val="0"/>
        <w:spacing w:line="460" w:lineRule="exact"/>
        <w:ind w:firstLine="525" w:firstLineChars="250"/>
        <w:rPr>
          <w:rFonts w:hint="default" w:ascii="宋体" w:hAnsi="宋体" w:cs="宋体"/>
          <w:szCs w:val="21"/>
          <w:lang w:val="en-US" w:eastAsia="zh-CN"/>
        </w:rPr>
      </w:pPr>
      <w:r>
        <w:rPr>
          <w:rFonts w:hint="eastAsia" w:ascii="宋体" w:hAnsi="宋体" w:cs="宋体"/>
          <w:szCs w:val="21"/>
          <w:lang w:val="en-US" w:eastAsia="zh-CN"/>
        </w:rPr>
        <w:t>（6）电子邮箱：1216770554@qq.com</w:t>
      </w:r>
    </w:p>
    <w:p w14:paraId="6790C483">
      <w:pPr>
        <w:adjustRightInd w:val="0"/>
        <w:snapToGrid w:val="0"/>
        <w:spacing w:line="460" w:lineRule="exact"/>
        <w:ind w:firstLine="527" w:firstLineChars="250"/>
        <w:rPr>
          <w:rFonts w:hint="eastAsia" w:ascii="宋体" w:hAnsi="宋体" w:cs="宋体"/>
          <w:b/>
          <w:bCs/>
          <w:szCs w:val="21"/>
          <w:lang w:val="en-US" w:eastAsia="zh-CN"/>
        </w:rPr>
      </w:pPr>
      <w:r>
        <w:rPr>
          <w:rFonts w:hint="eastAsia" w:ascii="宋体" w:hAnsi="宋体" w:cs="宋体"/>
          <w:b/>
          <w:bCs/>
          <w:szCs w:val="21"/>
          <w:lang w:val="en-US" w:eastAsia="zh-CN"/>
        </w:rPr>
        <w:t>2、采购代理机构信息：</w:t>
      </w:r>
    </w:p>
    <w:p w14:paraId="0E0E6962">
      <w:pPr>
        <w:adjustRightInd w:val="0"/>
        <w:snapToGrid w:val="0"/>
        <w:spacing w:line="460" w:lineRule="exact"/>
        <w:ind w:firstLine="525" w:firstLineChars="250"/>
        <w:rPr>
          <w:rFonts w:hint="default" w:ascii="宋体" w:hAnsi="宋体" w:cs="宋体"/>
          <w:szCs w:val="21"/>
          <w:lang w:val="en-US" w:eastAsia="zh-CN"/>
        </w:rPr>
      </w:pPr>
      <w:r>
        <w:rPr>
          <w:rFonts w:hint="eastAsia" w:ascii="宋体" w:hAnsi="宋体" w:cs="宋体"/>
          <w:szCs w:val="21"/>
          <w:lang w:val="en-US" w:eastAsia="zh-CN"/>
        </w:rPr>
        <w:t>（1）名称：湖南智联建设项目管理有限公司</w:t>
      </w:r>
    </w:p>
    <w:p w14:paraId="11B6C56A">
      <w:pPr>
        <w:adjustRightInd w:val="0"/>
        <w:snapToGrid w:val="0"/>
        <w:spacing w:line="460" w:lineRule="exact"/>
        <w:ind w:firstLine="525" w:firstLineChars="250"/>
        <w:rPr>
          <w:rFonts w:hint="eastAsia" w:ascii="宋体" w:hAnsi="宋体" w:cs="宋体"/>
          <w:szCs w:val="21"/>
          <w:lang w:val="en-US" w:eastAsia="zh-CN"/>
        </w:rPr>
      </w:pPr>
      <w:r>
        <w:rPr>
          <w:rFonts w:hint="eastAsia" w:ascii="宋体" w:hAnsi="宋体" w:cs="宋体"/>
          <w:szCs w:val="21"/>
          <w:lang w:val="en-US" w:eastAsia="zh-CN"/>
        </w:rPr>
        <w:t>（2）地  址：长沙市雨花区水电街70号湖南省水利水电施工管理局综合楼1楼</w:t>
      </w:r>
    </w:p>
    <w:p w14:paraId="1574E25B">
      <w:pPr>
        <w:adjustRightInd w:val="0"/>
        <w:snapToGrid w:val="0"/>
        <w:spacing w:line="460" w:lineRule="exact"/>
        <w:ind w:firstLine="525" w:firstLineChars="250"/>
        <w:rPr>
          <w:rFonts w:hint="eastAsia" w:ascii="宋体" w:hAnsi="宋体" w:cs="宋体"/>
          <w:szCs w:val="21"/>
          <w:lang w:val="en-US" w:eastAsia="zh-CN"/>
        </w:rPr>
      </w:pPr>
      <w:r>
        <w:rPr>
          <w:rFonts w:hint="eastAsia" w:ascii="宋体" w:hAnsi="宋体" w:cs="宋体"/>
          <w:szCs w:val="21"/>
          <w:lang w:val="en-US" w:eastAsia="zh-CN"/>
        </w:rPr>
        <w:t>（3）联系人：</w:t>
      </w:r>
      <w:bookmarkStart w:id="1" w:name="OLE_LINK10"/>
      <w:r>
        <w:rPr>
          <w:rFonts w:hint="eastAsia" w:ascii="宋体" w:hAnsi="宋体" w:cs="宋体"/>
          <w:szCs w:val="21"/>
          <w:lang w:val="en-US" w:eastAsia="zh-CN"/>
        </w:rPr>
        <w:t xml:space="preserve">王宏波、郑瑞红、张小龙  </w:t>
      </w:r>
      <w:bookmarkEnd w:id="1"/>
      <w:r>
        <w:rPr>
          <w:rFonts w:hint="eastAsia" w:ascii="宋体" w:hAnsi="宋体" w:cs="宋体"/>
          <w:szCs w:val="21"/>
          <w:lang w:val="en-US" w:eastAsia="zh-CN"/>
        </w:rPr>
        <w:t xml:space="preserve">                      </w:t>
      </w:r>
    </w:p>
    <w:p w14:paraId="3D1B4811">
      <w:pPr>
        <w:adjustRightInd w:val="0"/>
        <w:snapToGrid w:val="0"/>
        <w:spacing w:line="460" w:lineRule="exact"/>
        <w:ind w:firstLine="525" w:firstLineChars="250"/>
        <w:rPr>
          <w:rFonts w:hint="eastAsia" w:ascii="宋体" w:hAnsi="宋体" w:cs="宋体"/>
          <w:szCs w:val="21"/>
          <w:lang w:val="en-US" w:eastAsia="zh-CN"/>
        </w:rPr>
      </w:pPr>
      <w:r>
        <w:rPr>
          <w:rFonts w:hint="eastAsia" w:ascii="宋体" w:hAnsi="宋体" w:cs="宋体"/>
          <w:szCs w:val="21"/>
          <w:lang w:val="en-US" w:eastAsia="zh-CN"/>
        </w:rPr>
        <w:t>（4）邮编：410007</w:t>
      </w:r>
    </w:p>
    <w:p w14:paraId="545F262C">
      <w:pPr>
        <w:adjustRightInd w:val="0"/>
        <w:snapToGrid w:val="0"/>
        <w:spacing w:line="460" w:lineRule="exact"/>
        <w:ind w:firstLine="525" w:firstLineChars="250"/>
        <w:rPr>
          <w:rFonts w:hint="default" w:ascii="宋体" w:hAnsi="宋体" w:cs="宋体"/>
          <w:szCs w:val="21"/>
          <w:lang w:val="en-US" w:eastAsia="zh-CN"/>
        </w:rPr>
      </w:pPr>
      <w:r>
        <w:rPr>
          <w:rFonts w:hint="eastAsia" w:ascii="宋体" w:hAnsi="宋体" w:cs="宋体"/>
          <w:szCs w:val="21"/>
          <w:lang w:val="en-US" w:eastAsia="zh-CN"/>
        </w:rPr>
        <w:t>（5）传  话：15200629669</w:t>
      </w:r>
    </w:p>
    <w:p w14:paraId="3BBB9F02">
      <w:pPr>
        <w:adjustRightInd w:val="0"/>
        <w:snapToGrid w:val="0"/>
        <w:spacing w:line="460" w:lineRule="exact"/>
        <w:ind w:firstLine="525" w:firstLineChars="250"/>
        <w:rPr>
          <w:rFonts w:hint="eastAsia" w:ascii="宋体" w:hAnsi="宋体" w:cs="宋体"/>
          <w:szCs w:val="21"/>
          <w:lang w:val="en-US" w:eastAsia="zh-CN"/>
        </w:rPr>
      </w:pPr>
      <w:r>
        <w:rPr>
          <w:rFonts w:hint="eastAsia" w:ascii="宋体" w:hAnsi="宋体" w:cs="宋体"/>
          <w:szCs w:val="21"/>
          <w:lang w:val="en-US" w:eastAsia="zh-CN"/>
        </w:rPr>
        <w:t>（6）电子邮箱：</w:t>
      </w:r>
      <w:r>
        <w:rPr>
          <w:rFonts w:hint="eastAsia" w:ascii="宋体" w:hAnsi="宋体" w:cs="宋体"/>
          <w:szCs w:val="21"/>
          <w:lang w:val="en-US" w:eastAsia="zh-CN"/>
        </w:rPr>
        <w:fldChar w:fldCharType="begin"/>
      </w:r>
      <w:r>
        <w:rPr>
          <w:rFonts w:hint="eastAsia" w:ascii="宋体" w:hAnsi="宋体" w:cs="宋体"/>
          <w:szCs w:val="21"/>
          <w:lang w:val="en-US" w:eastAsia="zh-CN"/>
        </w:rPr>
        <w:instrText xml:space="preserve"> HYPERLINK "mailto:hnxyzxgs@163.com" </w:instrText>
      </w:r>
      <w:r>
        <w:rPr>
          <w:rFonts w:hint="eastAsia" w:ascii="宋体" w:hAnsi="宋体" w:cs="宋体"/>
          <w:szCs w:val="21"/>
          <w:lang w:val="en-US" w:eastAsia="zh-CN"/>
        </w:rPr>
        <w:fldChar w:fldCharType="separate"/>
      </w:r>
      <w:r>
        <w:rPr>
          <w:rFonts w:hint="eastAsia" w:ascii="宋体" w:hAnsi="宋体" w:cs="宋体"/>
          <w:szCs w:val="21"/>
          <w:lang w:val="en-US" w:eastAsia="zh-CN"/>
        </w:rPr>
        <w:t>315513507@qq.com</w:t>
      </w:r>
      <w:r>
        <w:rPr>
          <w:rFonts w:hint="eastAsia" w:ascii="宋体" w:hAnsi="宋体" w:cs="宋体"/>
          <w:szCs w:val="21"/>
          <w:lang w:val="en-US" w:eastAsia="zh-CN"/>
        </w:rPr>
        <w:fldChar w:fldCharType="end"/>
      </w:r>
    </w:p>
    <w:p w14:paraId="230268E0">
      <w:pPr>
        <w:pStyle w:val="7"/>
        <w:keepNext/>
        <w:keepLines/>
        <w:pageBreakBefore/>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第二章 磋商须知</w:t>
      </w:r>
    </w:p>
    <w:p w14:paraId="354670E7">
      <w:pPr>
        <w:pStyle w:val="18"/>
        <w:kinsoku/>
        <w:wordWrap/>
        <w:overflowPunct/>
        <w:bidi w:val="0"/>
        <w:spacing w:line="500" w:lineRule="exact"/>
        <w:ind w:firstLine="354" w:firstLineChars="14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磋商须知前附表</w:t>
      </w:r>
    </w:p>
    <w:p w14:paraId="7CFC4C6D">
      <w:pPr>
        <w:pStyle w:val="18"/>
        <w:kinsoku/>
        <w:wordWrap/>
        <w:overflowPunct/>
        <w:bidi w:val="0"/>
        <w:spacing w:line="50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注：请在方框□内划√选择，在“条款号”内限选一项。</w:t>
      </w:r>
    </w:p>
    <w:tbl>
      <w:tblPr>
        <w:tblStyle w:val="29"/>
        <w:tblW w:w="933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47"/>
        <w:gridCol w:w="1152"/>
        <w:gridCol w:w="6240"/>
      </w:tblGrid>
      <w:tr w14:paraId="14AF82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4" w:hRule="atLeast"/>
          <w:tblHeader/>
          <w:jc w:val="center"/>
        </w:trPr>
        <w:tc>
          <w:tcPr>
            <w:tcW w:w="1947" w:type="dxa"/>
            <w:tcBorders>
              <w:top w:val="double" w:color="auto" w:sz="4" w:space="0"/>
            </w:tcBorders>
            <w:vAlign w:val="center"/>
          </w:tcPr>
          <w:p w14:paraId="2F75FC4C">
            <w:pPr>
              <w:kinsoku/>
              <w:wordWrap/>
              <w:overflowPunct/>
              <w:bidi w:val="0"/>
              <w:adjustRightInd w:val="0"/>
              <w:snapToGrid w:val="0"/>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152" w:type="dxa"/>
            <w:tcBorders>
              <w:top w:val="double" w:color="auto" w:sz="4" w:space="0"/>
            </w:tcBorders>
            <w:vAlign w:val="center"/>
          </w:tcPr>
          <w:p w14:paraId="5B20FC09">
            <w:pPr>
              <w:kinsoku/>
              <w:wordWrap/>
              <w:overflowPunct/>
              <w:bidi w:val="0"/>
              <w:adjustRightInd w:val="0"/>
              <w:snapToGrid w:val="0"/>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条款名称</w:t>
            </w:r>
          </w:p>
        </w:tc>
        <w:tc>
          <w:tcPr>
            <w:tcW w:w="6240" w:type="dxa"/>
            <w:tcBorders>
              <w:top w:val="double" w:color="auto" w:sz="4" w:space="0"/>
            </w:tcBorders>
            <w:vAlign w:val="center"/>
          </w:tcPr>
          <w:p w14:paraId="4AD91B2E">
            <w:pPr>
              <w:kinsoku/>
              <w:wordWrap/>
              <w:overflowPunct/>
              <w:bidi w:val="0"/>
              <w:adjustRightInd w:val="0"/>
              <w:snapToGrid w:val="0"/>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编列内容规定</w:t>
            </w:r>
          </w:p>
        </w:tc>
      </w:tr>
      <w:tr w14:paraId="75DF54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339" w:type="dxa"/>
            <w:gridSpan w:val="3"/>
            <w:vAlign w:val="center"/>
          </w:tcPr>
          <w:p w14:paraId="452AE303">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b/>
                <w:bCs/>
                <w:color w:val="auto"/>
                <w:highlight w:val="none"/>
              </w:rPr>
              <w:t>一、说明</w:t>
            </w:r>
          </w:p>
        </w:tc>
      </w:tr>
      <w:tr w14:paraId="49C254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47" w:type="dxa"/>
            <w:vAlign w:val="center"/>
          </w:tcPr>
          <w:p w14:paraId="0F3B0814">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第二章第1.1款</w:t>
            </w:r>
          </w:p>
        </w:tc>
        <w:tc>
          <w:tcPr>
            <w:tcW w:w="1152" w:type="dxa"/>
            <w:vAlign w:val="center"/>
          </w:tcPr>
          <w:p w14:paraId="14586B2B">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采购项目</w:t>
            </w:r>
          </w:p>
        </w:tc>
        <w:tc>
          <w:tcPr>
            <w:tcW w:w="6240" w:type="dxa"/>
            <w:vAlign w:val="center"/>
          </w:tcPr>
          <w:p w14:paraId="6EB3ED0D">
            <w:pPr>
              <w:kinsoku/>
              <w:wordWrap/>
              <w:overflowPunct/>
              <w:bidi w:val="0"/>
              <w:adjustRightInd w:val="0"/>
              <w:snapToGrid w:val="0"/>
              <w:spacing w:line="360" w:lineRule="auto"/>
              <w:rPr>
                <w:rFonts w:hint="eastAsia" w:ascii="宋体" w:hAnsi="宋体" w:eastAsia="宋体" w:cs="宋体"/>
                <w:color w:val="FF0000"/>
                <w:highlight w:val="none"/>
                <w:lang w:eastAsia="zh-CN"/>
              </w:rPr>
            </w:pPr>
            <w:r>
              <w:rPr>
                <w:rFonts w:hint="eastAsia" w:hAnsi="宋体" w:cs="宋体"/>
                <w:iCs/>
                <w:lang w:val="en-US" w:eastAsia="zh-CN"/>
              </w:rPr>
              <w:t>湖南省湘江流域取用水监测计量能力提升重点项目（省级）</w:t>
            </w:r>
          </w:p>
        </w:tc>
      </w:tr>
      <w:tr w14:paraId="005E1D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47" w:hRule="atLeast"/>
          <w:jc w:val="center"/>
        </w:trPr>
        <w:tc>
          <w:tcPr>
            <w:tcW w:w="1947" w:type="dxa"/>
            <w:vAlign w:val="center"/>
          </w:tcPr>
          <w:p w14:paraId="6CE76C94">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第二章第2.1款</w:t>
            </w:r>
          </w:p>
        </w:tc>
        <w:tc>
          <w:tcPr>
            <w:tcW w:w="1152" w:type="dxa"/>
            <w:vAlign w:val="center"/>
          </w:tcPr>
          <w:p w14:paraId="48500C67">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采购人</w:t>
            </w:r>
          </w:p>
        </w:tc>
        <w:tc>
          <w:tcPr>
            <w:tcW w:w="6240" w:type="dxa"/>
            <w:vAlign w:val="center"/>
          </w:tcPr>
          <w:p w14:paraId="12895BD2">
            <w:pPr>
              <w:kinsoku/>
              <w:wordWrap/>
              <w:overflowPunct/>
              <w:bidi w:val="0"/>
              <w:adjustRightInd w:val="0"/>
              <w:snapToGrid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采购人：</w:t>
            </w:r>
            <w:r>
              <w:rPr>
                <w:rFonts w:hint="eastAsia" w:ascii="宋体" w:hAnsi="宋体" w:eastAsia="宋体" w:cs="宋体"/>
                <w:color w:val="auto"/>
                <w:highlight w:val="none"/>
                <w:lang w:val="en-US" w:eastAsia="zh-CN"/>
              </w:rPr>
              <w:t>湖南省水利厅</w:t>
            </w:r>
          </w:p>
          <w:p w14:paraId="33E87D4D">
            <w:pPr>
              <w:kinsoku/>
              <w:wordWrap/>
              <w:overflowPunct/>
              <w:bidi w:val="0"/>
              <w:adjustRightInd w:val="0"/>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肖乐</w:t>
            </w:r>
          </w:p>
          <w:p w14:paraId="07B6D792">
            <w:pPr>
              <w:kinsoku/>
              <w:wordWrap/>
              <w:overflowPunct/>
              <w:bidi w:val="0"/>
              <w:adjustRightInd w:val="0"/>
              <w:snapToGrid w:val="0"/>
              <w:spacing w:line="360" w:lineRule="auto"/>
              <w:rPr>
                <w:rFonts w:hint="default" w:ascii="宋体" w:hAnsi="宋体" w:cs="宋体"/>
                <w:color w:val="auto"/>
                <w:highlight w:val="none"/>
                <w:lang w:val="en-US" w:eastAsia="zh-CN"/>
              </w:rPr>
            </w:pPr>
            <w:r>
              <w:rPr>
                <w:rFonts w:hint="eastAsia" w:ascii="宋体" w:hAnsi="宋体" w:eastAsia="宋体" w:cs="宋体"/>
                <w:color w:val="auto"/>
                <w:highlight w:val="none"/>
              </w:rPr>
              <w:t>联系电话：</w:t>
            </w:r>
            <w:r>
              <w:rPr>
                <w:rFonts w:hint="eastAsia" w:ascii="宋体" w:hAnsi="宋体" w:cs="宋体"/>
                <w:color w:val="auto"/>
                <w:highlight w:val="none"/>
                <w:lang w:val="en-US" w:eastAsia="zh-CN"/>
              </w:rPr>
              <w:t>0731-85483010</w:t>
            </w:r>
          </w:p>
          <w:p w14:paraId="3055B6F0">
            <w:pPr>
              <w:kinsoku/>
              <w:wordWrap/>
              <w:overflowPunct/>
              <w:bidi w:val="0"/>
              <w:adjustRightInd w:val="0"/>
              <w:snapToGrid w:val="0"/>
              <w:spacing w:line="360" w:lineRule="auto"/>
              <w:rPr>
                <w:rFonts w:hint="eastAsia" w:ascii="宋体" w:hAnsi="宋体" w:eastAsia="宋体" w:cs="宋体"/>
                <w:color w:val="FF0000"/>
                <w:highlight w:val="none"/>
              </w:rPr>
            </w:pPr>
            <w:r>
              <w:rPr>
                <w:rFonts w:hint="eastAsia" w:ascii="宋体" w:hAnsi="宋体" w:eastAsia="宋体" w:cs="宋体"/>
                <w:color w:val="auto"/>
                <w:highlight w:val="none"/>
              </w:rPr>
              <w:t>地 址： 湖南省长沙市雨花区韶山北路370号</w:t>
            </w:r>
          </w:p>
        </w:tc>
      </w:tr>
      <w:tr w14:paraId="02E973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61" w:hRule="atLeast"/>
          <w:jc w:val="center"/>
        </w:trPr>
        <w:tc>
          <w:tcPr>
            <w:tcW w:w="1947" w:type="dxa"/>
            <w:vAlign w:val="center"/>
          </w:tcPr>
          <w:p w14:paraId="7984205F">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第二章第2.2款</w:t>
            </w:r>
          </w:p>
        </w:tc>
        <w:tc>
          <w:tcPr>
            <w:tcW w:w="1152" w:type="dxa"/>
            <w:vAlign w:val="center"/>
          </w:tcPr>
          <w:p w14:paraId="19ABF766">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采购代理机构</w:t>
            </w:r>
          </w:p>
        </w:tc>
        <w:tc>
          <w:tcPr>
            <w:tcW w:w="6240" w:type="dxa"/>
            <w:vAlign w:val="center"/>
          </w:tcPr>
          <w:p w14:paraId="4CCCE3D9">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名称：湖南智联建设项目管理有限公司</w:t>
            </w:r>
          </w:p>
          <w:p w14:paraId="2A1D99B0">
            <w:pPr>
              <w:kinsoku/>
              <w:wordWrap/>
              <w:overflowPunct/>
              <w:bidi w:val="0"/>
              <w:adjustRightInd w:val="0"/>
              <w:snapToGrid w:val="0"/>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王宏波、郑瑞红、</w:t>
            </w:r>
            <w:r>
              <w:rPr>
                <w:rFonts w:hint="eastAsia" w:ascii="宋体" w:hAnsi="宋体" w:eastAsia="宋体" w:cs="宋体"/>
                <w:color w:val="auto"/>
                <w:highlight w:val="none"/>
              </w:rPr>
              <w:t>张</w:t>
            </w:r>
            <w:r>
              <w:rPr>
                <w:rFonts w:hint="eastAsia" w:ascii="宋体" w:hAnsi="宋体" w:cs="宋体"/>
                <w:color w:val="auto"/>
                <w:highlight w:val="none"/>
                <w:lang w:val="en-US" w:eastAsia="zh-CN"/>
              </w:rPr>
              <w:t>小龙</w:t>
            </w:r>
          </w:p>
          <w:p w14:paraId="5597C427">
            <w:pPr>
              <w:kinsoku/>
              <w:wordWrap/>
              <w:overflowPunct/>
              <w:bidi w:val="0"/>
              <w:adjustRightInd w:val="0"/>
              <w:snapToGrid w:val="0"/>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联系电话：</w:t>
            </w:r>
            <w:r>
              <w:rPr>
                <w:rFonts w:hint="eastAsia" w:ascii="宋体" w:hAnsi="宋体" w:cs="宋体"/>
                <w:color w:val="auto"/>
                <w:highlight w:val="none"/>
                <w:lang w:val="en-US" w:eastAsia="zh-CN"/>
              </w:rPr>
              <w:t>15200629669</w:t>
            </w:r>
          </w:p>
          <w:p w14:paraId="55635682">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地址：长沙市雨花区</w:t>
            </w:r>
            <w:r>
              <w:rPr>
                <w:rFonts w:hint="eastAsia" w:ascii="宋体" w:hAnsi="宋体" w:cs="宋体"/>
                <w:color w:val="auto"/>
                <w:highlight w:val="none"/>
                <w:lang w:val="en-US" w:eastAsia="zh-CN"/>
              </w:rPr>
              <w:t>水电街70号湖南省水利水电施工管理局综合楼1楼</w:t>
            </w:r>
          </w:p>
        </w:tc>
      </w:tr>
      <w:tr w14:paraId="6F0120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1947" w:type="dxa"/>
            <w:vAlign w:val="center"/>
          </w:tcPr>
          <w:p w14:paraId="35840B5E">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第二章第2.3款</w:t>
            </w:r>
          </w:p>
        </w:tc>
        <w:tc>
          <w:tcPr>
            <w:tcW w:w="1152" w:type="dxa"/>
            <w:vAlign w:val="center"/>
          </w:tcPr>
          <w:p w14:paraId="2BCAB6F4">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rPr>
              <w:t>供应商的</w:t>
            </w:r>
            <w:r>
              <w:rPr>
                <w:rFonts w:hint="eastAsia" w:ascii="宋体" w:hAnsi="宋体" w:eastAsia="宋体" w:cs="宋体"/>
                <w:color w:val="auto"/>
                <w:highlight w:val="none"/>
              </w:rPr>
              <w:t>邀请方式</w:t>
            </w:r>
          </w:p>
        </w:tc>
        <w:tc>
          <w:tcPr>
            <w:tcW w:w="6240" w:type="dxa"/>
            <w:vAlign w:val="center"/>
          </w:tcPr>
          <w:p w14:paraId="69BA155A">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发布公告</w:t>
            </w:r>
          </w:p>
          <w:p w14:paraId="593A6EEC">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□从省级以上财政部门建立的供应商库中随机抽取</w:t>
            </w:r>
          </w:p>
          <w:p w14:paraId="4BB25406">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采购人和评审专家分别书面推荐的方式</w:t>
            </w:r>
          </w:p>
        </w:tc>
      </w:tr>
      <w:tr w14:paraId="461B0B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1947" w:type="dxa"/>
            <w:vAlign w:val="center"/>
          </w:tcPr>
          <w:p w14:paraId="202414C8">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第二章第3.1款</w:t>
            </w:r>
          </w:p>
        </w:tc>
        <w:tc>
          <w:tcPr>
            <w:tcW w:w="1152" w:type="dxa"/>
            <w:vAlign w:val="center"/>
          </w:tcPr>
          <w:p w14:paraId="6D1991F0">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供应商资格条件</w:t>
            </w:r>
          </w:p>
        </w:tc>
        <w:tc>
          <w:tcPr>
            <w:tcW w:w="6240" w:type="dxa"/>
          </w:tcPr>
          <w:p w14:paraId="133C2D29">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rPr>
              <w:t>投标人必须是在中华人民共和国境内注册登记的法人、其他组织或者自然人，</w:t>
            </w:r>
            <w:r>
              <w:rPr>
                <w:rFonts w:hint="eastAsia" w:ascii="宋体" w:hAnsi="宋体" w:cs="宋体"/>
                <w:color w:val="auto"/>
                <w:highlight w:val="none"/>
                <w:lang w:val="en-US" w:eastAsia="zh-CN"/>
              </w:rPr>
              <w:t>且应当</w:t>
            </w:r>
            <w:r>
              <w:rPr>
                <w:rFonts w:hint="eastAsia" w:ascii="宋体" w:hAnsi="宋体" w:cs="宋体"/>
                <w:color w:val="auto"/>
                <w:highlight w:val="none"/>
              </w:rPr>
              <w:t>符合《政府采购法》第二十二条</w:t>
            </w:r>
            <w:r>
              <w:rPr>
                <w:rFonts w:hint="eastAsia" w:ascii="宋体" w:hAnsi="宋体" w:cs="宋体"/>
                <w:color w:val="auto"/>
                <w:highlight w:val="none"/>
                <w:lang w:val="en-US" w:eastAsia="zh-CN"/>
              </w:rPr>
              <w:t>第一款的</w:t>
            </w:r>
            <w:r>
              <w:rPr>
                <w:rFonts w:hint="eastAsia" w:ascii="宋体" w:hAnsi="宋体" w:cs="宋体"/>
                <w:color w:val="auto"/>
                <w:highlight w:val="none"/>
              </w:rPr>
              <w:t>规定：</w:t>
            </w:r>
            <w:r>
              <w:rPr>
                <w:rFonts w:hint="eastAsia" w:ascii="宋体" w:hAnsi="宋体" w:eastAsia="宋体" w:cs="宋体"/>
                <w:color w:val="auto"/>
                <w:highlight w:val="none"/>
              </w:rPr>
              <w:t xml:space="preserve"> </w:t>
            </w:r>
          </w:p>
          <w:p w14:paraId="67830050">
            <w:pPr>
              <w:kinsoku/>
              <w:wordWrap/>
              <w:overflowPunct/>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w:t>
            </w:r>
          </w:p>
          <w:p w14:paraId="3355EAF5">
            <w:pPr>
              <w:kinsoku/>
              <w:wordWrap/>
              <w:overflowPunct/>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专门面向：</w:t>
            </w: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 xml:space="preserve"> 中小企业   </w:t>
            </w: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小微企业 </w:t>
            </w: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 xml:space="preserve"> 监狱企业 </w:t>
            </w: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 xml:space="preserve"> 福利性单位。</w:t>
            </w:r>
          </w:p>
          <w:p w14:paraId="4437F71F">
            <w:pPr>
              <w:kinsoku/>
              <w:wordWrap/>
              <w:overflowPunct/>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强制分包：</w:t>
            </w: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 xml:space="preserve"> 大型企业应将采购份额的</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%分包给中小企业。</w:t>
            </w:r>
          </w:p>
          <w:p w14:paraId="6C000F09">
            <w:pPr>
              <w:pStyle w:val="2"/>
              <w:numPr>
                <w:ilvl w:val="0"/>
                <w:numId w:val="0"/>
              </w:numPr>
              <w:kinsoku/>
              <w:wordWrap/>
              <w:overflowPunct/>
              <w:bidi w:val="0"/>
              <w:spacing w:line="360" w:lineRule="auto"/>
              <w:ind w:left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供应商特定资格条件：</w:t>
            </w:r>
          </w:p>
          <w:p w14:paraId="5B2F847A">
            <w:pPr>
              <w:kinsoku/>
              <w:wordWrap/>
              <w:overflowPunct/>
              <w:bidi w:val="0"/>
              <w:adjustRightInd w:val="0"/>
              <w:snapToGrid w:val="0"/>
              <w:spacing w:line="360" w:lineRule="auto"/>
              <w:ind w:left="420" w:leftChars="200" w:firstLine="0" w:firstLineChars="0"/>
              <w:rPr>
                <w:rFonts w:hint="eastAsia" w:ascii="宋体" w:hAnsi="宋体" w:eastAsia="宋体" w:cs="宋体"/>
                <w:color w:val="auto"/>
                <w:highlight w:val="none"/>
              </w:rPr>
            </w:pPr>
            <w:r>
              <w:rPr>
                <w:rFonts w:hint="eastAsia" w:ascii="宋体" w:hAnsi="宋体" w:cs="宋体"/>
                <w:color w:val="auto"/>
                <w:highlight w:val="none"/>
                <w:shd w:val="clear" w:color="auto" w:fill="auto"/>
                <w:lang w:val="en-US" w:eastAsia="zh-CN"/>
              </w:rPr>
              <w:t>无</w:t>
            </w:r>
            <w:r>
              <w:rPr>
                <w:rFonts w:hint="eastAsia" w:ascii="宋体" w:hAnsi="宋体" w:cs="宋体"/>
                <w:color w:val="auto"/>
                <w:highlight w:val="none"/>
                <w:lang w:val="en-US" w:eastAsia="zh-CN"/>
              </w:rPr>
              <w:br w:type="textWrapping"/>
            </w:r>
            <w:r>
              <w:rPr>
                <w:rFonts w:hint="eastAsia" w:ascii="宋体" w:hAnsi="宋体" w:eastAsia="宋体" w:cs="宋体"/>
                <w:color w:val="auto"/>
                <w:highlight w:val="none"/>
              </w:rPr>
              <w:t>4、单位负责人为同一人或者存在直接控股、管理关系的不同投标人，不得参加同一合同项下的政府采购活动。</w:t>
            </w:r>
          </w:p>
          <w:p w14:paraId="4310F9FA">
            <w:pPr>
              <w:kinsoku/>
              <w:wordWrap/>
              <w:overflowPunct/>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5、为本采购项目提供整体设计、规范编制或者项目管理、监理、检测等服务的，不得再参加此项目的其他采购活动。</w:t>
            </w:r>
          </w:p>
          <w:p w14:paraId="4B635979">
            <w:pPr>
              <w:kinsoku/>
              <w:wordWrap/>
              <w:overflowPunct/>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6、列入失信被执行人、重大税收违法失信主体名单、政府采购严重违法失信行为记录名单的，拒绝其参与政府采购活动。</w:t>
            </w:r>
          </w:p>
          <w:p w14:paraId="0EFDD49A">
            <w:pPr>
              <w:pStyle w:val="16"/>
              <w:kinsoku/>
              <w:wordWrap/>
              <w:overflowPunct/>
              <w:bidi w:val="0"/>
              <w:spacing w:after="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7、联合体响应。本次采购 </w:t>
            </w:r>
            <w:r>
              <w:rPr>
                <w:rFonts w:hint="eastAsia" w:ascii="宋体" w:hAnsi="宋体" w:eastAsia="宋体" w:cs="宋体"/>
                <w:color w:val="auto"/>
                <w:highlight w:val="none"/>
                <w:u w:val="single"/>
              </w:rPr>
              <w:t xml:space="preserve">不接受 </w:t>
            </w:r>
            <w:r>
              <w:rPr>
                <w:rFonts w:hint="eastAsia" w:ascii="宋体" w:hAnsi="宋体" w:eastAsia="宋体" w:cs="宋体"/>
                <w:color w:val="auto"/>
                <w:highlight w:val="none"/>
              </w:rPr>
              <w:t>(接受或不接受)联合体响应。</w:t>
            </w:r>
          </w:p>
          <w:p w14:paraId="2DD17E91">
            <w:pPr>
              <w:kinsoku/>
              <w:wordWrap/>
              <w:overflowPunct/>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8、投标人具有实行了“三证合一”、“五证合一”登记制度改革的新证，视同为持有工商营业执照、组织机构代码证，符合基本资格条件的相关条款。投标人如是“三证合一或五证合一”，请自行说明。</w:t>
            </w:r>
          </w:p>
          <w:p w14:paraId="6C486FF9">
            <w:pPr>
              <w:kinsoku/>
              <w:wordWrap/>
              <w:overflowPunct/>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9、按《湖南省财政厅关于政府采购促进中小企业发展有关措施的通知》湘财购</w:t>
            </w:r>
            <w:r>
              <w:rPr>
                <w:rFonts w:hint="eastAsia" w:ascii="宋体" w:hAnsi="宋体" w:cs="宋体"/>
                <w:color w:val="auto"/>
                <w:highlight w:val="none"/>
                <w:lang w:eastAsia="zh-CN"/>
              </w:rPr>
              <w:t>〔2022〕17号</w:t>
            </w:r>
            <w:r>
              <w:rPr>
                <w:rFonts w:hint="eastAsia" w:ascii="宋体" w:hAnsi="宋体" w:eastAsia="宋体" w:cs="宋体"/>
                <w:color w:val="auto"/>
                <w:highlight w:val="none"/>
              </w:rPr>
              <w:t>文的规定，投标人按采购文件内格式提供《湖南省政府采购供应商资格承诺函》参与投标，无需再提供财务报告、依法缴纳税收和社会保险费的证明材料、参加政府采购活动前 3 年内在经营活动中没有重大违法记录的书面声明。</w:t>
            </w:r>
          </w:p>
          <w:p w14:paraId="2B525B21">
            <w:pPr>
              <w:kinsoku/>
              <w:wordWrap/>
              <w:overflowPunct/>
              <w:bidi w:val="0"/>
              <w:adjustRightInd w:val="0"/>
              <w:snapToGrid w:val="0"/>
              <w:spacing w:line="360" w:lineRule="auto"/>
              <w:rPr>
                <w:rFonts w:hint="eastAsia" w:ascii="宋体" w:hAnsi="宋体" w:eastAsia="宋体" w:cs="宋体"/>
                <w:color w:val="auto"/>
                <w:highlight w:val="none"/>
              </w:rPr>
            </w:pPr>
          </w:p>
        </w:tc>
      </w:tr>
      <w:tr w14:paraId="10C380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62" w:hRule="atLeast"/>
          <w:jc w:val="center"/>
        </w:trPr>
        <w:tc>
          <w:tcPr>
            <w:tcW w:w="1947" w:type="dxa"/>
            <w:vAlign w:val="center"/>
          </w:tcPr>
          <w:p w14:paraId="49D67AC6">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第二章第6.1款</w:t>
            </w:r>
          </w:p>
        </w:tc>
        <w:tc>
          <w:tcPr>
            <w:tcW w:w="1152" w:type="dxa"/>
            <w:vAlign w:val="center"/>
          </w:tcPr>
          <w:p w14:paraId="487D2B3B">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联合体形式</w:t>
            </w:r>
          </w:p>
        </w:tc>
        <w:tc>
          <w:tcPr>
            <w:tcW w:w="6240" w:type="dxa"/>
            <w:vAlign w:val="center"/>
          </w:tcPr>
          <w:p w14:paraId="6A86284D">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eq \o\ac(□,√)</w:instrTex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不接受</w:t>
            </w:r>
          </w:p>
          <w:p w14:paraId="7460D9EF">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□接受</w:t>
            </w:r>
          </w:p>
        </w:tc>
      </w:tr>
      <w:tr w14:paraId="03B981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1947" w:type="dxa"/>
            <w:vAlign w:val="center"/>
          </w:tcPr>
          <w:p w14:paraId="4F84F7C2">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第二章第6.2款</w:t>
            </w:r>
          </w:p>
        </w:tc>
        <w:tc>
          <w:tcPr>
            <w:tcW w:w="1152" w:type="dxa"/>
            <w:vAlign w:val="center"/>
          </w:tcPr>
          <w:p w14:paraId="40B10D51">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对联合体各方的要求</w:t>
            </w:r>
          </w:p>
        </w:tc>
        <w:tc>
          <w:tcPr>
            <w:tcW w:w="6240" w:type="dxa"/>
            <w:vAlign w:val="center"/>
          </w:tcPr>
          <w:p w14:paraId="144C5E9F">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无</w:t>
            </w:r>
          </w:p>
        </w:tc>
      </w:tr>
      <w:tr w14:paraId="30BCC9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1947" w:type="dxa"/>
            <w:vAlign w:val="center"/>
          </w:tcPr>
          <w:p w14:paraId="05F50A33">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第二章第7.1款</w:t>
            </w:r>
          </w:p>
        </w:tc>
        <w:tc>
          <w:tcPr>
            <w:tcW w:w="1152" w:type="dxa"/>
            <w:vAlign w:val="center"/>
          </w:tcPr>
          <w:p w14:paraId="34A0A3F4">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现场勘察</w:t>
            </w:r>
          </w:p>
        </w:tc>
        <w:tc>
          <w:tcPr>
            <w:tcW w:w="6240" w:type="dxa"/>
            <w:vAlign w:val="center"/>
          </w:tcPr>
          <w:p w14:paraId="0AFEF31F">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eq \o\ac(□,√)</w:instrTex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采购人不组织，但供应商在磋商前</w:t>
            </w:r>
            <w:r>
              <w:rPr>
                <w:rFonts w:hint="eastAsia" w:ascii="宋体" w:hAnsi="宋体" w:cs="宋体"/>
                <w:color w:val="auto"/>
                <w:highlight w:val="none"/>
                <w:lang w:val="en-US" w:eastAsia="zh-CN"/>
              </w:rPr>
              <w:t>可</w:t>
            </w:r>
            <w:r>
              <w:rPr>
                <w:rFonts w:hint="eastAsia" w:ascii="宋体" w:hAnsi="宋体" w:eastAsia="宋体" w:cs="宋体"/>
                <w:color w:val="auto"/>
                <w:highlight w:val="none"/>
              </w:rPr>
              <w:t>自行对实地进行勘察，了解现场情况。</w:t>
            </w:r>
          </w:p>
          <w:p w14:paraId="055BFB1E">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□采购人组织，时间：地点：联系人：</w:t>
            </w:r>
          </w:p>
        </w:tc>
      </w:tr>
      <w:tr w14:paraId="51C6B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17" w:hRule="atLeast"/>
          <w:jc w:val="center"/>
        </w:trPr>
        <w:tc>
          <w:tcPr>
            <w:tcW w:w="1947" w:type="dxa"/>
            <w:vAlign w:val="center"/>
          </w:tcPr>
          <w:p w14:paraId="02589BC9">
            <w:pPr>
              <w:kinsoku/>
              <w:wordWrap/>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第二章第9.1款</w:t>
            </w:r>
          </w:p>
        </w:tc>
        <w:tc>
          <w:tcPr>
            <w:tcW w:w="1152" w:type="dxa"/>
            <w:vAlign w:val="center"/>
          </w:tcPr>
          <w:p w14:paraId="2CC0C361">
            <w:pPr>
              <w:kinsoku/>
              <w:wordWrap/>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政府采购强制采购：1</w:t>
            </w:r>
            <w:r>
              <w:rPr>
                <w:rFonts w:hint="eastAsia" w:ascii="宋体" w:hAnsi="宋体" w:cs="宋体"/>
                <w:color w:val="auto"/>
                <w:highlight w:val="none"/>
                <w:lang w:val="en-US" w:eastAsia="zh-CN"/>
              </w:rPr>
              <w:t>.</w:t>
            </w:r>
            <w:r>
              <w:rPr>
                <w:rFonts w:hint="eastAsia" w:ascii="宋体" w:hAnsi="宋体" w:eastAsia="宋体" w:cs="宋体"/>
                <w:color w:val="auto"/>
                <w:highlight w:val="none"/>
              </w:rPr>
              <w:t>强制采购的节能产品；2</w:t>
            </w:r>
            <w:r>
              <w:rPr>
                <w:rFonts w:hint="eastAsia" w:ascii="宋体" w:hAnsi="宋体" w:cs="宋体"/>
                <w:color w:val="auto"/>
                <w:highlight w:val="none"/>
                <w:lang w:val="en-US" w:eastAsia="zh-CN"/>
              </w:rPr>
              <w:t>.</w:t>
            </w:r>
            <w:r>
              <w:rPr>
                <w:rFonts w:hint="eastAsia" w:ascii="宋体" w:hAnsi="宋体" w:eastAsia="宋体" w:cs="宋体"/>
                <w:color w:val="auto"/>
                <w:highlight w:val="none"/>
              </w:rPr>
              <w:t>其他。</w:t>
            </w:r>
          </w:p>
        </w:tc>
        <w:tc>
          <w:tcPr>
            <w:tcW w:w="6240" w:type="dxa"/>
            <w:vAlign w:val="center"/>
          </w:tcPr>
          <w:p w14:paraId="45A84072">
            <w:pPr>
              <w:kinsoku/>
              <w:wordWrap/>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eq \o\ac(□,√)</w:instrTex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否</w:t>
            </w:r>
          </w:p>
          <w:p w14:paraId="657BB238">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□是，采购《节能产品政府采购清单》(第24期) 内标记★符号的节能产品。</w:t>
            </w:r>
          </w:p>
        </w:tc>
      </w:tr>
      <w:tr w14:paraId="029D0C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38" w:hRule="atLeast"/>
          <w:jc w:val="center"/>
        </w:trPr>
        <w:tc>
          <w:tcPr>
            <w:tcW w:w="1947" w:type="dxa"/>
            <w:vAlign w:val="center"/>
          </w:tcPr>
          <w:p w14:paraId="3697E68F">
            <w:pPr>
              <w:kinsoku/>
              <w:wordWrap/>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第二章第9.2款</w:t>
            </w:r>
          </w:p>
        </w:tc>
        <w:tc>
          <w:tcPr>
            <w:tcW w:w="1152" w:type="dxa"/>
            <w:vAlign w:val="center"/>
          </w:tcPr>
          <w:p w14:paraId="7CBA90A4">
            <w:pPr>
              <w:kinsoku/>
              <w:wordWrap/>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政府采购优先采购：</w:t>
            </w:r>
          </w:p>
          <w:p w14:paraId="31D92DD6">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w:t>
            </w:r>
            <w:r>
              <w:rPr>
                <w:rFonts w:hint="eastAsia" w:ascii="宋体" w:hAnsi="宋体" w:eastAsia="宋体" w:cs="宋体"/>
                <w:color w:val="auto"/>
                <w:highlight w:val="none"/>
              </w:rPr>
              <w:t>非强制采购的节能产品；</w:t>
            </w:r>
          </w:p>
          <w:p w14:paraId="0A8F071E">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w:t>
            </w:r>
            <w:r>
              <w:rPr>
                <w:rFonts w:hint="eastAsia" w:ascii="宋体" w:hAnsi="宋体" w:eastAsia="宋体" w:cs="宋体"/>
                <w:color w:val="auto"/>
                <w:highlight w:val="none"/>
              </w:rPr>
              <w:t>环境标志产品；3</w:t>
            </w:r>
            <w:r>
              <w:rPr>
                <w:rFonts w:hint="eastAsia" w:ascii="宋体" w:hAnsi="宋体" w:cs="宋体"/>
                <w:color w:val="auto"/>
                <w:highlight w:val="none"/>
                <w:lang w:val="en-US" w:eastAsia="zh-CN"/>
              </w:rPr>
              <w:t>.</w:t>
            </w:r>
            <w:r>
              <w:rPr>
                <w:rFonts w:hint="eastAsia" w:ascii="宋体" w:hAnsi="宋体" w:eastAsia="宋体" w:cs="宋体"/>
                <w:color w:val="auto"/>
                <w:highlight w:val="none"/>
              </w:rPr>
              <w:t>两型产品；</w:t>
            </w:r>
          </w:p>
          <w:p w14:paraId="67A04061">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cs="宋体"/>
                <w:color w:val="auto"/>
                <w:highlight w:val="none"/>
                <w:lang w:val="en-US" w:eastAsia="zh-CN"/>
              </w:rPr>
              <w:t>.</w:t>
            </w:r>
            <w:r>
              <w:rPr>
                <w:rFonts w:hint="eastAsia" w:ascii="宋体" w:hAnsi="宋体" w:eastAsia="宋体" w:cs="宋体"/>
                <w:color w:val="auto"/>
                <w:kern w:val="0"/>
                <w:highlight w:val="none"/>
              </w:rPr>
              <w:t>支持</w:t>
            </w:r>
            <w:r>
              <w:rPr>
                <w:rFonts w:hint="eastAsia" w:ascii="宋体" w:hAnsi="宋体" w:eastAsia="宋体" w:cs="宋体"/>
                <w:color w:val="auto"/>
                <w:highlight w:val="none"/>
              </w:rPr>
              <w:t>中小企业发展；</w:t>
            </w:r>
          </w:p>
          <w:p w14:paraId="10BE1036">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val="en-US" w:eastAsia="zh-CN"/>
              </w:rPr>
              <w:t>.</w:t>
            </w:r>
            <w:r>
              <w:rPr>
                <w:rFonts w:hint="eastAsia" w:ascii="宋体" w:hAnsi="宋体" w:eastAsia="宋体" w:cs="宋体"/>
                <w:color w:val="auto"/>
                <w:highlight w:val="none"/>
              </w:rPr>
              <w:t>其他。</w:t>
            </w:r>
          </w:p>
        </w:tc>
        <w:tc>
          <w:tcPr>
            <w:tcW w:w="6240" w:type="dxa"/>
            <w:vAlign w:val="center"/>
          </w:tcPr>
          <w:p w14:paraId="63D4360D">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采购产品为《节能产品政府采购清单》(第24期)内非标记★符号的，分别给予技术和价格项标准总分值</w:t>
            </w:r>
            <w:r>
              <w:rPr>
                <w:rFonts w:hint="eastAsia" w:ascii="宋体" w:hAnsi="宋体" w:cs="宋体"/>
                <w:color w:val="auto"/>
                <w:highlight w:val="none"/>
                <w:lang w:eastAsia="zh-CN"/>
              </w:rPr>
              <w:t>4%—8%</w:t>
            </w:r>
            <w:r>
              <w:rPr>
                <w:rFonts w:hint="eastAsia" w:ascii="宋体" w:hAnsi="宋体" w:eastAsia="宋体" w:cs="宋体"/>
                <w:color w:val="auto"/>
                <w:highlight w:val="none"/>
              </w:rPr>
              <w:t>的加分。本项目</w:t>
            </w:r>
            <w:r>
              <w:rPr>
                <w:rFonts w:hint="eastAsia" w:ascii="宋体" w:hAnsi="宋体" w:eastAsia="宋体" w:cs="宋体"/>
                <w:color w:val="auto"/>
                <w:highlight w:val="none"/>
                <w:lang w:val="en-US" w:eastAsia="zh-CN"/>
              </w:rPr>
              <w:t>不适用</w:t>
            </w:r>
            <w:r>
              <w:rPr>
                <w:rFonts w:hint="eastAsia" w:ascii="宋体" w:hAnsi="宋体" w:eastAsia="宋体" w:cs="宋体"/>
                <w:color w:val="auto"/>
                <w:highlight w:val="none"/>
              </w:rPr>
              <w:t>。</w:t>
            </w:r>
          </w:p>
          <w:p w14:paraId="4AD54959">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采购产品为《环境标志产品政府采购清单》(第22期)内的，分别给予技术和价格项标准总分值4%-8%的加分。本项目</w:t>
            </w:r>
            <w:r>
              <w:rPr>
                <w:rFonts w:hint="eastAsia" w:ascii="宋体" w:hAnsi="宋体" w:eastAsia="宋体" w:cs="宋体"/>
                <w:color w:val="auto"/>
                <w:highlight w:val="none"/>
                <w:lang w:val="en-US" w:eastAsia="zh-CN"/>
              </w:rPr>
              <w:t>不适用</w:t>
            </w:r>
            <w:r>
              <w:rPr>
                <w:rFonts w:hint="eastAsia" w:ascii="宋体" w:hAnsi="宋体" w:eastAsia="宋体" w:cs="宋体"/>
                <w:color w:val="auto"/>
                <w:highlight w:val="none"/>
              </w:rPr>
              <w:t>。</w:t>
            </w:r>
          </w:p>
          <w:p w14:paraId="7203CBC1">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采购产品为《湖南省政府采购两型产品目录》（最新一批）或《长沙市两型产品目录》内的：</w:t>
            </w:r>
          </w:p>
          <w:p w14:paraId="08EFCAC1">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（1）分别给予技术和价格项标准总分值4%-8%的加</w:t>
            </w:r>
          </w:p>
          <w:p w14:paraId="7D9570C2">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分，本项目</w:t>
            </w:r>
            <w:r>
              <w:rPr>
                <w:rFonts w:hint="eastAsia" w:ascii="宋体" w:hAnsi="宋体" w:eastAsia="宋体" w:cs="宋体"/>
                <w:color w:val="auto"/>
                <w:highlight w:val="none"/>
                <w:lang w:val="en-US" w:eastAsia="zh-CN"/>
              </w:rPr>
              <w:t>不适用</w:t>
            </w:r>
            <w:r>
              <w:rPr>
                <w:rFonts w:hint="eastAsia" w:ascii="宋体" w:hAnsi="宋体" w:eastAsia="宋体" w:cs="宋体"/>
                <w:color w:val="auto"/>
                <w:highlight w:val="none"/>
              </w:rPr>
              <w:t>。</w:t>
            </w:r>
          </w:p>
          <w:p w14:paraId="56ED377B">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（2）对在本地设有生产基地和备品备件库、有售后服务机构和网点的两型产品，给予商务评标总分值4%-8%的加分，本项目</w:t>
            </w:r>
            <w:r>
              <w:rPr>
                <w:rFonts w:hint="eastAsia" w:ascii="宋体" w:hAnsi="宋体" w:eastAsia="宋体" w:cs="宋体"/>
                <w:color w:val="auto"/>
                <w:highlight w:val="none"/>
                <w:lang w:val="en-US" w:eastAsia="zh-CN"/>
              </w:rPr>
              <w:t>不适用</w:t>
            </w:r>
            <w:r>
              <w:rPr>
                <w:rFonts w:hint="eastAsia" w:ascii="宋体" w:hAnsi="宋体" w:eastAsia="宋体" w:cs="宋体"/>
                <w:color w:val="auto"/>
                <w:highlight w:val="none"/>
              </w:rPr>
              <w:t>。</w:t>
            </w:r>
          </w:p>
          <w:p w14:paraId="0A331160">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非专门面向中小企业采购，且符合政府采购促进中小企业发展相关规定的：</w:t>
            </w:r>
          </w:p>
          <w:p w14:paraId="605C49F6">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（1）给予小型和微型企业产品的价格给予10%的扣除，用扣除后的价格参与评审，本项目具体扣除比例为</w:t>
            </w:r>
            <w:r>
              <w:rPr>
                <w:rFonts w:hint="eastAsia" w:ascii="宋体" w:hAnsi="宋体" w:eastAsia="宋体" w:cs="宋体"/>
                <w:color w:val="auto"/>
                <w:highlight w:val="none"/>
                <w:u w:val="single"/>
              </w:rPr>
              <w:t xml:space="preserve"> 10 </w:t>
            </w:r>
            <w:r>
              <w:rPr>
                <w:rFonts w:hint="eastAsia" w:ascii="宋体" w:hAnsi="宋体" w:eastAsia="宋体" w:cs="宋体"/>
                <w:color w:val="auto"/>
                <w:highlight w:val="none"/>
              </w:rPr>
              <w:t>％。</w:t>
            </w:r>
          </w:p>
          <w:p w14:paraId="4427F247">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（2）给予联合体2%-3%的价格扣除，用扣除后的价格参与评审，本项目具体扣除比例为</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26924FFD">
            <w:pPr>
              <w:kinsoku/>
              <w:wordWrap/>
              <w:overflowPunct/>
              <w:bidi w:val="0"/>
              <w:adjustRightInd w:val="0"/>
              <w:snapToGrid w:val="0"/>
              <w:spacing w:line="360" w:lineRule="auto"/>
              <w:rPr>
                <w:rFonts w:hint="eastAsia" w:ascii="宋体" w:hAnsi="宋体" w:eastAsia="宋体" w:cs="宋体"/>
                <w:color w:val="auto"/>
                <w:highlight w:val="none"/>
              </w:rPr>
            </w:pPr>
          </w:p>
        </w:tc>
      </w:tr>
      <w:tr w14:paraId="4C2630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8" w:hRule="atLeast"/>
          <w:jc w:val="center"/>
        </w:trPr>
        <w:tc>
          <w:tcPr>
            <w:tcW w:w="1947" w:type="dxa"/>
            <w:tcBorders>
              <w:top w:val="single" w:color="auto" w:sz="4" w:space="0"/>
            </w:tcBorders>
            <w:vAlign w:val="center"/>
          </w:tcPr>
          <w:p w14:paraId="41D98BF8">
            <w:pPr>
              <w:kinsoku/>
              <w:wordWrap/>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第二章第9.6款</w:t>
            </w:r>
          </w:p>
        </w:tc>
        <w:tc>
          <w:tcPr>
            <w:tcW w:w="1152" w:type="dxa"/>
            <w:tcBorders>
              <w:top w:val="single" w:color="auto" w:sz="4" w:space="0"/>
            </w:tcBorders>
            <w:vAlign w:val="center"/>
          </w:tcPr>
          <w:p w14:paraId="6933F4B9">
            <w:pPr>
              <w:kinsoku/>
              <w:wordWrap/>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rPr>
              <w:t>政府采购支持中小企业融资</w:t>
            </w:r>
          </w:p>
        </w:tc>
        <w:tc>
          <w:tcPr>
            <w:tcW w:w="6240" w:type="dxa"/>
            <w:tcBorders>
              <w:top w:val="single" w:color="auto" w:sz="4" w:space="0"/>
            </w:tcBorders>
            <w:vAlign w:val="center"/>
          </w:tcPr>
          <w:p w14:paraId="535B8E69">
            <w:pPr>
              <w:kinsoku/>
              <w:wordWrap/>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有融资需求的，可向有关银行咨询或</w:t>
            </w:r>
            <w:r>
              <w:rPr>
                <w:rFonts w:hint="eastAsia" w:ascii="宋体" w:hAnsi="宋体" w:cs="宋体"/>
                <w:color w:val="auto"/>
                <w:highlight w:val="none"/>
                <w:lang w:eastAsia="zh-CN"/>
              </w:rPr>
              <w:t>登录</w:t>
            </w:r>
            <w:r>
              <w:rPr>
                <w:rFonts w:hint="eastAsia" w:ascii="宋体" w:hAnsi="宋体" w:eastAsia="宋体" w:cs="宋体"/>
                <w:color w:val="auto"/>
                <w:highlight w:val="none"/>
              </w:rPr>
              <w:t>中国湖南政府采购网查询。</w:t>
            </w:r>
          </w:p>
        </w:tc>
      </w:tr>
      <w:tr w14:paraId="6259A2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339" w:type="dxa"/>
            <w:gridSpan w:val="3"/>
            <w:vAlign w:val="center"/>
          </w:tcPr>
          <w:p w14:paraId="1DF97AA2">
            <w:pPr>
              <w:kinsoku/>
              <w:wordWrap/>
              <w:overflowPunct/>
              <w:bidi w:val="0"/>
              <w:adjustRightInd w:val="0"/>
              <w:snapToGrid w:val="0"/>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二、磋商文件</w:t>
            </w:r>
          </w:p>
        </w:tc>
      </w:tr>
      <w:tr w14:paraId="2B535B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2" w:hRule="atLeast"/>
          <w:jc w:val="center"/>
        </w:trPr>
        <w:tc>
          <w:tcPr>
            <w:tcW w:w="1947" w:type="dxa"/>
            <w:vAlign w:val="center"/>
          </w:tcPr>
          <w:p w14:paraId="66E0CCE7">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第二章第10.2款</w:t>
            </w:r>
          </w:p>
        </w:tc>
        <w:tc>
          <w:tcPr>
            <w:tcW w:w="1152" w:type="dxa"/>
            <w:vAlign w:val="center"/>
          </w:tcPr>
          <w:p w14:paraId="45F01305">
            <w:pPr>
              <w:kinsoku/>
              <w:wordWrap/>
              <w:overflowPunct/>
              <w:bidi w:val="0"/>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磋商文件的可能实质性变动内容</w:t>
            </w:r>
          </w:p>
        </w:tc>
        <w:tc>
          <w:tcPr>
            <w:tcW w:w="6240" w:type="dxa"/>
            <w:vAlign w:val="center"/>
          </w:tcPr>
          <w:p w14:paraId="4DACB660">
            <w:pPr>
              <w:kinsoku/>
              <w:wordWrap/>
              <w:overflowPunct/>
              <w:bidi w:val="0"/>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无</w:t>
            </w:r>
          </w:p>
        </w:tc>
      </w:tr>
      <w:tr w14:paraId="5D30B5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1947" w:type="dxa"/>
            <w:vAlign w:val="center"/>
          </w:tcPr>
          <w:p w14:paraId="02F14A42">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第二章第11.1款</w:t>
            </w:r>
          </w:p>
        </w:tc>
        <w:tc>
          <w:tcPr>
            <w:tcW w:w="1152" w:type="dxa"/>
            <w:vAlign w:val="center"/>
          </w:tcPr>
          <w:p w14:paraId="48CE81C8">
            <w:pPr>
              <w:kinsoku/>
              <w:wordWrap/>
              <w:overflowPunct/>
              <w:bidi w:val="0"/>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提供磋商文件期限</w:t>
            </w:r>
          </w:p>
        </w:tc>
        <w:tc>
          <w:tcPr>
            <w:tcW w:w="6240" w:type="dxa"/>
            <w:vAlign w:val="center"/>
          </w:tcPr>
          <w:p w14:paraId="24372E84">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 xml:space="preserve"> 2</w:t>
            </w:r>
            <w:del w:id="73" w:author="红博" w:date="2026-06-26T17:15:54Z">
              <w:r>
                <w:rPr>
                  <w:rFonts w:hint="default" w:ascii="宋体" w:hAnsi="宋体" w:cs="宋体"/>
                  <w:szCs w:val="21"/>
                  <w:lang w:val="en-US" w:eastAsia="zh-CN"/>
                </w:rPr>
                <w:delText>3</w:delText>
              </w:r>
            </w:del>
            <w:ins w:id="74" w:author="红博" w:date="2026-06-26T17:15:54Z">
              <w:r>
                <w:rPr>
                  <w:rFonts w:hint="eastAsia" w:ascii="宋体" w:hAnsi="宋体" w:cs="宋体"/>
                  <w:szCs w:val="21"/>
                  <w:lang w:val="en-US" w:eastAsia="zh-CN"/>
                </w:rPr>
                <w:t>6</w:t>
              </w:r>
            </w:ins>
            <w:r>
              <w:rPr>
                <w:rFonts w:hint="eastAsia" w:ascii="宋体" w:hAnsi="宋体" w:cs="宋体"/>
                <w:szCs w:val="21"/>
              </w:rPr>
              <w:t>日 至202</w:t>
            </w:r>
            <w:r>
              <w:rPr>
                <w:rFonts w:hint="eastAsia" w:ascii="宋体" w:hAnsi="宋体" w:cs="宋体"/>
                <w:szCs w:val="21"/>
                <w:lang w:val="en-US" w:eastAsia="zh-CN"/>
              </w:rPr>
              <w:t>6</w:t>
            </w:r>
            <w:r>
              <w:rPr>
                <w:rFonts w:hint="eastAsia" w:ascii="宋体" w:hAnsi="宋体" w:cs="宋体"/>
                <w:szCs w:val="21"/>
              </w:rPr>
              <w:t>年</w:t>
            </w:r>
            <w:del w:id="75" w:author="红博" w:date="2026-06-23T17:43:26Z">
              <w:r>
                <w:rPr>
                  <w:rFonts w:hint="default" w:ascii="宋体" w:hAnsi="宋体" w:cs="宋体"/>
                  <w:szCs w:val="21"/>
                  <w:lang w:val="en-US" w:eastAsia="zh-CN"/>
                </w:rPr>
                <w:delText>6</w:delText>
              </w:r>
            </w:del>
            <w:ins w:id="76" w:author="红博" w:date="2026-06-23T17:43:26Z">
              <w:r>
                <w:rPr>
                  <w:rFonts w:hint="eastAsia" w:ascii="宋体" w:hAnsi="宋体" w:cs="宋体"/>
                  <w:szCs w:val="21"/>
                  <w:lang w:val="en-US" w:eastAsia="zh-CN"/>
                </w:rPr>
                <w:t>7</w:t>
              </w:r>
            </w:ins>
            <w:r>
              <w:rPr>
                <w:rFonts w:hint="eastAsia" w:ascii="宋体" w:hAnsi="宋体" w:cs="宋体"/>
                <w:szCs w:val="21"/>
                <w:lang w:val="en-US" w:eastAsia="zh-CN"/>
              </w:rPr>
              <w:t xml:space="preserve"> </w:t>
            </w:r>
            <w:r>
              <w:rPr>
                <w:rFonts w:hint="eastAsia" w:ascii="宋体" w:hAnsi="宋体" w:cs="宋体"/>
                <w:szCs w:val="21"/>
              </w:rPr>
              <w:t>月</w:t>
            </w:r>
            <w:del w:id="77" w:author="红博" w:date="2026-06-26T17:15:56Z">
              <w:r>
                <w:rPr>
                  <w:rFonts w:hint="default" w:ascii="宋体" w:hAnsi="宋体" w:cs="宋体"/>
                  <w:szCs w:val="21"/>
                  <w:lang w:val="en-US" w:eastAsia="zh-CN"/>
                </w:rPr>
                <w:delText>30</w:delText>
              </w:r>
            </w:del>
            <w:ins w:id="78" w:author="红博" w:date="2026-06-26T17:15:56Z">
              <w:r>
                <w:rPr>
                  <w:rFonts w:hint="eastAsia" w:ascii="宋体" w:hAnsi="宋体" w:cs="宋体"/>
                  <w:szCs w:val="21"/>
                  <w:lang w:val="en-US" w:eastAsia="zh-CN"/>
                </w:rPr>
                <w:t>4</w:t>
              </w:r>
            </w:ins>
            <w:r>
              <w:rPr>
                <w:rFonts w:hint="eastAsia" w:ascii="宋体" w:hAnsi="宋体" w:cs="宋体"/>
                <w:szCs w:val="21"/>
                <w:lang w:val="en-US" w:eastAsia="zh-CN"/>
              </w:rPr>
              <w:t xml:space="preserve"> </w:t>
            </w:r>
            <w:r>
              <w:rPr>
                <w:rFonts w:hint="eastAsia" w:ascii="宋体" w:hAnsi="宋体" w:cs="宋体"/>
                <w:szCs w:val="21"/>
              </w:rPr>
              <w:t>日， 上午9:00时到12:00时，下午15:00 时到17:00时（北京时间，节假日除外）</w:t>
            </w:r>
          </w:p>
        </w:tc>
      </w:tr>
      <w:tr w14:paraId="00B4F9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2" w:hRule="atLeast"/>
          <w:jc w:val="center"/>
        </w:trPr>
        <w:tc>
          <w:tcPr>
            <w:tcW w:w="1947" w:type="dxa"/>
            <w:vAlign w:val="center"/>
          </w:tcPr>
          <w:p w14:paraId="5CC77F9E">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第二章第11.2款</w:t>
            </w:r>
          </w:p>
        </w:tc>
        <w:tc>
          <w:tcPr>
            <w:tcW w:w="1152" w:type="dxa"/>
            <w:vAlign w:val="center"/>
          </w:tcPr>
          <w:p w14:paraId="56334002">
            <w:pPr>
              <w:kinsoku/>
              <w:wordWrap/>
              <w:overflowPunct/>
              <w:bidi w:val="0"/>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领取磋商文件时应提供的资料</w:t>
            </w:r>
          </w:p>
        </w:tc>
        <w:tc>
          <w:tcPr>
            <w:tcW w:w="6240" w:type="dxa"/>
            <w:vAlign w:val="center"/>
          </w:tcPr>
          <w:p w14:paraId="48BF8F11">
            <w:pPr>
              <w:kinsoku/>
              <w:wordWrap/>
              <w:overflowPunct/>
              <w:bidi w:val="0"/>
              <w:adjustRightInd w:val="0"/>
              <w:snapToGrid w:val="0"/>
              <w:spacing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rPr>
              <w:t>本人身份证原件、供应商法人代表授权委托书（委托</w:t>
            </w:r>
            <w:r>
              <w:rPr>
                <w:rFonts w:hint="eastAsia" w:ascii="宋体" w:hAnsi="宋体" w:cs="宋体"/>
                <w:color w:val="auto"/>
                <w:highlight w:val="none"/>
                <w:lang w:val="en-US" w:eastAsia="zh-CN"/>
              </w:rPr>
              <w:t>领取</w:t>
            </w:r>
            <w:r>
              <w:rPr>
                <w:rFonts w:hint="eastAsia" w:ascii="宋体" w:hAnsi="宋体" w:eastAsia="宋体" w:cs="宋体"/>
                <w:color w:val="auto"/>
                <w:highlight w:val="none"/>
              </w:rPr>
              <w:t>）并附法定代表人身份证明</w:t>
            </w:r>
          </w:p>
        </w:tc>
      </w:tr>
      <w:tr w14:paraId="2EA92B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44" w:hRule="atLeast"/>
          <w:jc w:val="center"/>
        </w:trPr>
        <w:tc>
          <w:tcPr>
            <w:tcW w:w="1947" w:type="dxa"/>
            <w:vAlign w:val="center"/>
          </w:tcPr>
          <w:p w14:paraId="66F47FBA">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第二章第12.1款</w:t>
            </w:r>
          </w:p>
        </w:tc>
        <w:tc>
          <w:tcPr>
            <w:tcW w:w="1152" w:type="dxa"/>
            <w:vAlign w:val="center"/>
          </w:tcPr>
          <w:p w14:paraId="56D7AF89">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提交响应文件的截止时间</w:t>
            </w:r>
          </w:p>
        </w:tc>
        <w:tc>
          <w:tcPr>
            <w:tcW w:w="6240" w:type="dxa"/>
            <w:vAlign w:val="center"/>
          </w:tcPr>
          <w:p w14:paraId="2DDFC69C">
            <w:pPr>
              <w:kinsoku/>
              <w:wordWrap/>
              <w:overflowPunct/>
              <w:bidi w:val="0"/>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202</w:t>
            </w:r>
            <w:r>
              <w:rPr>
                <w:rFonts w:hint="eastAsia" w:ascii="宋体" w:hAnsi="宋体" w:cs="宋体"/>
                <w:color w:val="auto"/>
                <w:highlight w:val="none"/>
                <w:u w:val="single"/>
                <w:lang w:val="en-US" w:eastAsia="zh-CN"/>
              </w:rPr>
              <w:t>6</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7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u w:val="single"/>
                <w:lang w:val="en-US" w:eastAsia="zh-CN"/>
              </w:rPr>
              <w:t>1</w:t>
            </w:r>
            <w:del w:id="79" w:author="红博" w:date="2026-06-26T17:15:58Z">
              <w:r>
                <w:rPr>
                  <w:rFonts w:hint="default" w:ascii="宋体" w:hAnsi="宋体" w:cs="宋体"/>
                  <w:color w:val="auto"/>
                  <w:highlight w:val="none"/>
                  <w:u w:val="single"/>
                  <w:lang w:val="en-US" w:eastAsia="zh-CN"/>
                </w:rPr>
                <w:delText>3</w:delText>
              </w:r>
            </w:del>
            <w:ins w:id="80" w:author="红博" w:date="2026-06-26T17:15:58Z">
              <w:r>
                <w:rPr>
                  <w:rFonts w:hint="eastAsia" w:ascii="宋体" w:hAnsi="宋体" w:cs="宋体"/>
                  <w:color w:val="auto"/>
                  <w:highlight w:val="none"/>
                  <w:u w:val="single"/>
                  <w:lang w:val="en-US" w:eastAsia="zh-CN"/>
                </w:rPr>
                <w:t>5</w:t>
              </w:r>
            </w:ins>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u w:val="single"/>
              </w:rPr>
              <w:t xml:space="preserve"> 09 时 </w:t>
            </w:r>
            <w:r>
              <w:rPr>
                <w:rFonts w:hint="eastAsia" w:ascii="宋体" w:hAnsi="宋体" w:cs="宋体"/>
                <w:color w:val="auto"/>
                <w:highlight w:val="none"/>
                <w:u w:val="single"/>
                <w:lang w:val="en-US" w:eastAsia="zh-CN"/>
              </w:rPr>
              <w:t>00</w:t>
            </w:r>
            <w:r>
              <w:rPr>
                <w:rFonts w:hint="eastAsia" w:ascii="宋体" w:hAnsi="宋体" w:eastAsia="宋体" w:cs="宋体"/>
                <w:color w:val="auto"/>
                <w:highlight w:val="none"/>
                <w:u w:val="single"/>
              </w:rPr>
              <w:t xml:space="preserve"> 分</w:t>
            </w:r>
            <w:r>
              <w:rPr>
                <w:rFonts w:hint="eastAsia" w:ascii="宋体" w:hAnsi="宋体" w:eastAsia="宋体" w:cs="宋体"/>
                <w:color w:val="auto"/>
                <w:highlight w:val="none"/>
              </w:rPr>
              <w:t>（北京时间）</w:t>
            </w:r>
          </w:p>
        </w:tc>
      </w:tr>
      <w:tr w14:paraId="475912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339" w:type="dxa"/>
            <w:gridSpan w:val="3"/>
            <w:vAlign w:val="center"/>
          </w:tcPr>
          <w:p w14:paraId="4069E4F2">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b/>
                <w:bCs/>
                <w:color w:val="auto"/>
                <w:highlight w:val="none"/>
              </w:rPr>
              <w:t>三、响应文件的编写</w:t>
            </w:r>
          </w:p>
        </w:tc>
      </w:tr>
      <w:tr w14:paraId="11BA60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947" w:type="dxa"/>
            <w:vAlign w:val="center"/>
          </w:tcPr>
          <w:p w14:paraId="276E24C3">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第二章第16.4款</w:t>
            </w:r>
          </w:p>
        </w:tc>
        <w:tc>
          <w:tcPr>
            <w:tcW w:w="1152" w:type="dxa"/>
            <w:vAlign w:val="center"/>
          </w:tcPr>
          <w:p w14:paraId="46143539">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采购项目预算</w:t>
            </w:r>
          </w:p>
        </w:tc>
        <w:tc>
          <w:tcPr>
            <w:tcW w:w="6240" w:type="dxa"/>
            <w:vAlign w:val="center"/>
          </w:tcPr>
          <w:p w14:paraId="437C1F1C">
            <w:pPr>
              <w:kinsoku/>
              <w:wordWrap/>
              <w:overflowPunct/>
              <w:bidi w:val="0"/>
              <w:adjustRightInd w:val="0"/>
              <w:snapToGrid w:val="0"/>
              <w:spacing w:line="360" w:lineRule="auto"/>
              <w:outlineLvl w:val="0"/>
              <w:rPr>
                <w:rFonts w:hint="eastAsia" w:ascii="宋体" w:hAnsi="宋体" w:eastAsia="宋体" w:cs="宋体"/>
                <w:color w:val="auto"/>
                <w:highlight w:val="none"/>
              </w:rPr>
            </w:pPr>
            <w:r>
              <w:rPr>
                <w:rFonts w:hint="eastAsia" w:ascii="宋体" w:hAnsi="宋体" w:eastAsia="宋体" w:cs="宋体"/>
                <w:color w:val="auto"/>
                <w:highlight w:val="none"/>
              </w:rPr>
              <w:t>最高限价为</w:t>
            </w:r>
            <w:r>
              <w:rPr>
                <w:rFonts w:hint="eastAsia" w:ascii="宋体" w:hAnsi="宋体" w:cs="宋体"/>
                <w:color w:val="auto"/>
                <w:highlight w:val="none"/>
                <w:lang w:val="en-US" w:eastAsia="zh-CN"/>
              </w:rPr>
              <w:t>1597000</w:t>
            </w:r>
            <w:r>
              <w:rPr>
                <w:rFonts w:hint="eastAsia" w:ascii="宋体" w:hAnsi="宋体" w:cs="宋体"/>
                <w:i w:val="0"/>
                <w:iCs w:val="0"/>
                <w:caps w:val="0"/>
                <w:color w:val="auto"/>
                <w:spacing w:val="0"/>
                <w:sz w:val="21"/>
                <w:szCs w:val="21"/>
                <w:highlight w:val="none"/>
                <w:shd w:val="clear" w:fill="FFFFFF"/>
                <w:lang w:val="en-US" w:eastAsia="zh-CN"/>
              </w:rPr>
              <w:t>.00</w:t>
            </w:r>
            <w:r>
              <w:rPr>
                <w:rFonts w:hint="eastAsia" w:ascii="宋体" w:hAnsi="宋体" w:eastAsia="宋体" w:cs="宋体"/>
                <w:color w:val="auto"/>
                <w:highlight w:val="none"/>
              </w:rPr>
              <w:t>元</w:t>
            </w:r>
          </w:p>
        </w:tc>
      </w:tr>
      <w:tr w14:paraId="57FDCF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93" w:hRule="atLeast"/>
          <w:jc w:val="center"/>
        </w:trPr>
        <w:tc>
          <w:tcPr>
            <w:tcW w:w="1947" w:type="dxa"/>
            <w:vAlign w:val="center"/>
          </w:tcPr>
          <w:p w14:paraId="74863159">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第二章第19.1款</w:t>
            </w:r>
          </w:p>
        </w:tc>
        <w:tc>
          <w:tcPr>
            <w:tcW w:w="1152" w:type="dxa"/>
            <w:vAlign w:val="center"/>
          </w:tcPr>
          <w:p w14:paraId="0C96FE70">
            <w:pPr>
              <w:kinsoku/>
              <w:wordWrap/>
              <w:overflowPunct/>
              <w:bidi w:val="0"/>
              <w:adjustRightInd w:val="0"/>
              <w:snapToGrid w:val="0"/>
              <w:spacing w:line="360" w:lineRule="auto"/>
              <w:ind w:left="-533" w:leftChars="-254" w:firstLine="533" w:firstLineChars="254"/>
              <w:jc w:val="center"/>
              <w:rPr>
                <w:rFonts w:hint="eastAsia" w:ascii="宋体" w:hAnsi="宋体" w:eastAsia="宋体" w:cs="宋体"/>
                <w:color w:val="auto"/>
                <w:highlight w:val="none"/>
              </w:rPr>
            </w:pPr>
            <w:r>
              <w:rPr>
                <w:rFonts w:hint="eastAsia" w:ascii="宋体" w:hAnsi="宋体" w:eastAsia="宋体" w:cs="宋体"/>
                <w:color w:val="auto"/>
                <w:highlight w:val="none"/>
              </w:rPr>
              <w:t>磋商保证金</w:t>
            </w:r>
          </w:p>
        </w:tc>
        <w:tc>
          <w:tcPr>
            <w:tcW w:w="6240" w:type="dxa"/>
            <w:vAlign w:val="center"/>
          </w:tcPr>
          <w:p w14:paraId="397FA501">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eq \o\ac(□,√)</w:instrTex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 xml:space="preserve"> 不要求提供</w:t>
            </w:r>
          </w:p>
          <w:p w14:paraId="20CC3227">
            <w:pPr>
              <w:kinsoku/>
              <w:wordWrap/>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□要求提供</w:t>
            </w:r>
          </w:p>
          <w:p w14:paraId="0C960AD8">
            <w:pPr>
              <w:numPr>
                <w:ilvl w:val="0"/>
                <w:numId w:val="3"/>
              </w:numPr>
              <w:kinsoku/>
              <w:wordWrap/>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保证金数额：0元(人民币)</w:t>
            </w:r>
          </w:p>
          <w:p w14:paraId="7B2840AD">
            <w:pPr>
              <w:numPr>
                <w:ilvl w:val="0"/>
                <w:numId w:val="3"/>
              </w:numPr>
              <w:kinsoku/>
              <w:wordWrap/>
              <w:overflowPunct/>
              <w:bidi w:val="0"/>
              <w:adjustRightInd w:val="0"/>
              <w:snapToGrid w:val="0"/>
              <w:spacing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缴纳方式：银行转账、银行电汇或银行汇票，从供应商基本账户缴入到如下投标保证金专户。</w:t>
            </w:r>
          </w:p>
          <w:p w14:paraId="12093648">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账户名： </w:t>
            </w:r>
          </w:p>
          <w:p w14:paraId="624AC935">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开户行： </w:t>
            </w:r>
          </w:p>
          <w:p w14:paraId="0ACFE649">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账  号： </w:t>
            </w:r>
          </w:p>
          <w:p w14:paraId="484034B9">
            <w:pPr>
              <w:numPr>
                <w:ilvl w:val="0"/>
                <w:numId w:val="3"/>
              </w:numPr>
              <w:kinsoku/>
              <w:wordWrap/>
              <w:overflowPunct/>
              <w:bidi w:val="0"/>
              <w:adjustRightInd w:val="0"/>
              <w:snapToGrid w:val="0"/>
              <w:spacing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缴纳时间（北京时间）前(含)，以查询到账视为已</w:t>
            </w:r>
            <w:r>
              <w:rPr>
                <w:rFonts w:hint="eastAsia" w:ascii="宋体" w:hAnsi="宋体" w:cs="宋体"/>
                <w:color w:val="auto"/>
                <w:highlight w:val="none"/>
                <w:lang w:eastAsia="zh-CN"/>
              </w:rPr>
              <w:t>缴纳</w:t>
            </w:r>
            <w:r>
              <w:rPr>
                <w:rFonts w:hint="eastAsia" w:ascii="宋体" w:hAnsi="宋体" w:eastAsia="宋体" w:cs="宋体"/>
                <w:color w:val="auto"/>
                <w:highlight w:val="none"/>
              </w:rPr>
              <w:t>，否则视为未</w:t>
            </w:r>
            <w:r>
              <w:rPr>
                <w:rFonts w:hint="eastAsia" w:ascii="宋体" w:hAnsi="宋体" w:cs="宋体"/>
                <w:color w:val="auto"/>
                <w:highlight w:val="none"/>
                <w:lang w:eastAsia="zh-CN"/>
              </w:rPr>
              <w:t>缴纳</w:t>
            </w:r>
            <w:r>
              <w:rPr>
                <w:rFonts w:hint="eastAsia" w:ascii="宋体" w:hAnsi="宋体" w:eastAsia="宋体" w:cs="宋体"/>
                <w:color w:val="auto"/>
                <w:highlight w:val="none"/>
              </w:rPr>
              <w:t>，其响应文件将被拒绝。</w:t>
            </w:r>
          </w:p>
          <w:p w14:paraId="75E43558">
            <w:pPr>
              <w:numPr>
                <w:ilvl w:val="0"/>
                <w:numId w:val="3"/>
              </w:numPr>
              <w:kinsoku/>
              <w:wordWrap/>
              <w:overflowPunct/>
              <w:bidi w:val="0"/>
              <w:adjustRightInd w:val="0"/>
              <w:snapToGrid w:val="0"/>
              <w:spacing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付款单位名称必须与供应商名称相一致（分支机构提交无效）。</w:t>
            </w:r>
          </w:p>
          <w:p w14:paraId="5E3B6D5A">
            <w:pPr>
              <w:numPr>
                <w:ilvl w:val="0"/>
                <w:numId w:val="3"/>
              </w:numPr>
              <w:kinsoku/>
              <w:wordWrap/>
              <w:overflowPunct/>
              <w:bidi w:val="0"/>
              <w:adjustRightInd w:val="0"/>
              <w:snapToGrid w:val="0"/>
              <w:spacing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未按以上规定一次性足额缴纳保证金的响应文件无效（★）。</w:t>
            </w:r>
          </w:p>
        </w:tc>
      </w:tr>
      <w:tr w14:paraId="1D98AE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947" w:type="dxa"/>
            <w:vAlign w:val="center"/>
          </w:tcPr>
          <w:p w14:paraId="24BBB1CB">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第二章第20.1款</w:t>
            </w:r>
          </w:p>
        </w:tc>
        <w:tc>
          <w:tcPr>
            <w:tcW w:w="1152" w:type="dxa"/>
            <w:vAlign w:val="center"/>
          </w:tcPr>
          <w:p w14:paraId="20146432">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响应文件有效期</w:t>
            </w:r>
          </w:p>
        </w:tc>
        <w:tc>
          <w:tcPr>
            <w:tcW w:w="6240" w:type="dxa"/>
            <w:vAlign w:val="center"/>
          </w:tcPr>
          <w:p w14:paraId="29FF7234">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cs="宋体"/>
                <w:color w:val="auto"/>
                <w:highlight w:val="none"/>
                <w:u w:val="none"/>
                <w:lang w:val="en-US" w:eastAsia="zh-CN"/>
              </w:rPr>
              <w:t>自投标截止之日起</w:t>
            </w:r>
            <w:r>
              <w:rPr>
                <w:rFonts w:hint="eastAsia" w:ascii="宋体" w:hAnsi="宋体" w:eastAsia="宋体" w:cs="宋体"/>
                <w:color w:val="auto"/>
                <w:highlight w:val="none"/>
                <w:u w:val="none"/>
              </w:rPr>
              <w:t xml:space="preserve">  </w:t>
            </w:r>
            <w:r>
              <w:rPr>
                <w:rFonts w:hint="eastAsia" w:ascii="宋体" w:hAnsi="宋体" w:cs="宋体"/>
                <w:color w:val="auto"/>
                <w:highlight w:val="none"/>
                <w:u w:val="none"/>
                <w:lang w:val="en-US" w:eastAsia="zh-CN"/>
              </w:rPr>
              <w:t>9</w:t>
            </w:r>
            <w:r>
              <w:rPr>
                <w:rFonts w:hint="eastAsia" w:ascii="宋体" w:hAnsi="宋体" w:eastAsia="宋体" w:cs="宋体"/>
                <w:color w:val="auto"/>
                <w:highlight w:val="none"/>
                <w:u w:val="none"/>
              </w:rPr>
              <w:t>0  日（日历日）</w:t>
            </w:r>
          </w:p>
        </w:tc>
      </w:tr>
      <w:tr w14:paraId="127C75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947" w:type="dxa"/>
            <w:vAlign w:val="center"/>
          </w:tcPr>
          <w:p w14:paraId="3CC9A0FB">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第二章第21.1款</w:t>
            </w:r>
          </w:p>
        </w:tc>
        <w:tc>
          <w:tcPr>
            <w:tcW w:w="1152" w:type="dxa"/>
            <w:vAlign w:val="center"/>
          </w:tcPr>
          <w:p w14:paraId="608EFF92">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highlight w:val="none"/>
              </w:rPr>
              <w:t>响应文件份数</w:t>
            </w:r>
          </w:p>
        </w:tc>
        <w:tc>
          <w:tcPr>
            <w:tcW w:w="6240" w:type="dxa"/>
            <w:vAlign w:val="center"/>
          </w:tcPr>
          <w:p w14:paraId="6F3C8978">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正本一份，副本贰份，电子文件一份，U盘拷贝</w:t>
            </w:r>
          </w:p>
          <w:p w14:paraId="260C0C34">
            <w:pPr>
              <w:pStyle w:val="16"/>
              <w:kinsoku/>
              <w:wordWrap/>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备注：电子文件应当为其响应文件正本签章后的彩色扫描件，格式为JPG或PDF。</w:t>
            </w:r>
          </w:p>
        </w:tc>
      </w:tr>
      <w:tr w14:paraId="0EA6E5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339" w:type="dxa"/>
            <w:gridSpan w:val="3"/>
            <w:vAlign w:val="center"/>
          </w:tcPr>
          <w:p w14:paraId="32B18231">
            <w:pPr>
              <w:kinsoku/>
              <w:wordWrap/>
              <w:overflowPunct/>
              <w:bidi w:val="0"/>
              <w:adjustRightInd w:val="0"/>
              <w:snapToGrid w:val="0"/>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四、响应文件的递交</w:t>
            </w:r>
          </w:p>
        </w:tc>
      </w:tr>
      <w:tr w14:paraId="2F2376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04" w:hRule="atLeast"/>
          <w:jc w:val="center"/>
        </w:trPr>
        <w:tc>
          <w:tcPr>
            <w:tcW w:w="1947" w:type="dxa"/>
            <w:vAlign w:val="center"/>
          </w:tcPr>
          <w:p w14:paraId="2D13539B">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第二章第22.2款</w:t>
            </w:r>
          </w:p>
        </w:tc>
        <w:tc>
          <w:tcPr>
            <w:tcW w:w="1152" w:type="dxa"/>
            <w:vAlign w:val="center"/>
          </w:tcPr>
          <w:p w14:paraId="6BC08B72">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封套上应载明的信息</w:t>
            </w:r>
          </w:p>
        </w:tc>
        <w:tc>
          <w:tcPr>
            <w:tcW w:w="6240" w:type="dxa"/>
            <w:vAlign w:val="center"/>
          </w:tcPr>
          <w:p w14:paraId="21755370">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cs="宋体"/>
                <w:i w:val="0"/>
                <w:iCs w:val="0"/>
                <w:caps w:val="0"/>
                <w:color w:val="auto"/>
                <w:spacing w:val="0"/>
                <w:sz w:val="21"/>
                <w:szCs w:val="21"/>
                <w:highlight w:val="none"/>
                <w:u w:val="single"/>
                <w:shd w:val="clear" w:fill="FFFFFF"/>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cs="宋体"/>
                <w:i w:val="0"/>
                <w:iCs w:val="0"/>
                <w:caps w:val="0"/>
                <w:color w:val="auto"/>
                <w:spacing w:val="0"/>
                <w:sz w:val="21"/>
                <w:szCs w:val="21"/>
                <w:highlight w:val="none"/>
                <w:u w:val="single"/>
                <w:shd w:val="clear" w:fill="FFFFFF"/>
                <w:lang w:val="en-US" w:eastAsia="zh-CN"/>
              </w:rPr>
              <w:t xml:space="preserve"> </w:t>
            </w:r>
            <w:r>
              <w:rPr>
                <w:rFonts w:hint="eastAsia" w:ascii="宋体" w:hAnsi="宋体" w:eastAsia="宋体" w:cs="宋体"/>
                <w:color w:val="auto"/>
                <w:highlight w:val="none"/>
              </w:rPr>
              <w:t>响应文件</w:t>
            </w:r>
          </w:p>
          <w:p w14:paraId="5A4BCCAB">
            <w:pPr>
              <w:kinsoku/>
              <w:wordWrap/>
              <w:overflowPunct/>
              <w:bidi w:val="0"/>
              <w:adjustRightInd w:val="0"/>
              <w:snapToGrid w:val="0"/>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政府采购</w:t>
            </w:r>
            <w:r>
              <w:rPr>
                <w:rFonts w:hint="eastAsia" w:ascii="宋体" w:hAnsi="宋体" w:eastAsia="宋体" w:cs="宋体"/>
                <w:color w:val="auto"/>
                <w:highlight w:val="none"/>
              </w:rPr>
              <w:t>编号：</w:t>
            </w:r>
            <w:r>
              <w:rPr>
                <w:rFonts w:hint="eastAsia" w:ascii="宋体" w:hAnsi="宋体" w:cs="宋体"/>
                <w:color w:val="auto"/>
                <w:highlight w:val="none"/>
                <w:u w:val="single"/>
                <w:lang w:val="en-US" w:eastAsia="zh-CN"/>
              </w:rPr>
              <w:t xml:space="preserve">           </w:t>
            </w:r>
          </w:p>
          <w:p w14:paraId="4203B324">
            <w:pPr>
              <w:kinsoku/>
              <w:wordWrap/>
              <w:overflowPunct/>
              <w:bidi w:val="0"/>
              <w:adjustRightInd w:val="0"/>
              <w:snapToGrid w:val="0"/>
              <w:spacing w:line="360" w:lineRule="auto"/>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rPr>
              <w:t>供应商名称：</w:t>
            </w:r>
            <w:r>
              <w:rPr>
                <w:rFonts w:hint="eastAsia" w:ascii="宋体" w:hAnsi="宋体" w:cs="宋体"/>
                <w:color w:val="auto"/>
                <w:highlight w:val="none"/>
                <w:u w:val="single"/>
                <w:lang w:val="en-US" w:eastAsia="zh-CN"/>
              </w:rPr>
              <w:t xml:space="preserve">             </w:t>
            </w:r>
          </w:p>
          <w:p w14:paraId="5FED749A">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（北京时间）之前不得启封</w:t>
            </w:r>
          </w:p>
        </w:tc>
      </w:tr>
      <w:tr w14:paraId="03CEC4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1947" w:type="dxa"/>
            <w:vAlign w:val="center"/>
          </w:tcPr>
          <w:p w14:paraId="6D1CB6F6">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第二章第24.1款</w:t>
            </w:r>
          </w:p>
        </w:tc>
        <w:tc>
          <w:tcPr>
            <w:tcW w:w="1152" w:type="dxa"/>
            <w:vAlign w:val="center"/>
          </w:tcPr>
          <w:p w14:paraId="0F5D64CC">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响应文件的递交地点</w:t>
            </w:r>
          </w:p>
        </w:tc>
        <w:tc>
          <w:tcPr>
            <w:tcW w:w="6240" w:type="dxa"/>
            <w:vAlign w:val="center"/>
          </w:tcPr>
          <w:p w14:paraId="2DECDDE1">
            <w:pPr>
              <w:kinsoku/>
              <w:wordWrap/>
              <w:overflowPunct/>
              <w:bidi w:val="0"/>
              <w:adjustRightInd w:val="0"/>
              <w:snapToGrid w:val="0"/>
              <w:spacing w:line="360" w:lineRule="auto"/>
              <w:rPr>
                <w:rFonts w:hint="default" w:ascii="宋体" w:hAnsi="宋体" w:eastAsia="宋体" w:cs="宋体"/>
                <w:color w:val="auto"/>
                <w:highlight w:val="none"/>
                <w:lang w:val="en-US"/>
              </w:rPr>
            </w:pPr>
            <w:r>
              <w:rPr>
                <w:rFonts w:hint="eastAsia" w:ascii="宋体" w:hAnsi="宋体" w:eastAsia="宋体" w:cs="宋体"/>
                <w:color w:val="auto"/>
                <w:highlight w:val="none"/>
              </w:rPr>
              <w:t>长沙市雨花区</w:t>
            </w:r>
            <w:r>
              <w:rPr>
                <w:rFonts w:hint="eastAsia" w:ascii="宋体" w:hAnsi="宋体" w:cs="宋体"/>
                <w:color w:val="auto"/>
                <w:highlight w:val="none"/>
                <w:lang w:val="en-US" w:eastAsia="zh-CN"/>
              </w:rPr>
              <w:t>水电街70号湖南省水利水电施工管理局综合楼1楼湖南智联建设项目管理有限公司开标室</w:t>
            </w:r>
          </w:p>
        </w:tc>
      </w:tr>
      <w:tr w14:paraId="2DEC77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339" w:type="dxa"/>
            <w:gridSpan w:val="3"/>
            <w:vAlign w:val="center"/>
          </w:tcPr>
          <w:p w14:paraId="5251D51B">
            <w:pPr>
              <w:kinsoku/>
              <w:wordWrap/>
              <w:overflowPunct/>
              <w:bidi w:val="0"/>
              <w:adjustRightInd w:val="0"/>
              <w:snapToGrid w:val="0"/>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五、响应文件的磋商与评审</w:t>
            </w:r>
          </w:p>
        </w:tc>
      </w:tr>
      <w:tr w14:paraId="01CDDA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947" w:type="dxa"/>
            <w:vAlign w:val="center"/>
          </w:tcPr>
          <w:p w14:paraId="3CA2553D">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第二章第31.2款</w:t>
            </w:r>
          </w:p>
        </w:tc>
        <w:tc>
          <w:tcPr>
            <w:tcW w:w="1152" w:type="dxa"/>
            <w:vAlign w:val="center"/>
          </w:tcPr>
          <w:p w14:paraId="2746EA9D">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评审因素和标准</w:t>
            </w:r>
          </w:p>
        </w:tc>
        <w:tc>
          <w:tcPr>
            <w:tcW w:w="6240" w:type="dxa"/>
            <w:vAlign w:val="center"/>
          </w:tcPr>
          <w:p w14:paraId="0E48FFEB">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见附页1</w:t>
            </w:r>
          </w:p>
        </w:tc>
      </w:tr>
      <w:tr w14:paraId="31AD5E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61" w:hRule="atLeast"/>
          <w:jc w:val="center"/>
        </w:trPr>
        <w:tc>
          <w:tcPr>
            <w:tcW w:w="1947" w:type="dxa"/>
            <w:vAlign w:val="center"/>
          </w:tcPr>
          <w:p w14:paraId="40681A71">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第二章第31.3款</w:t>
            </w:r>
          </w:p>
        </w:tc>
        <w:tc>
          <w:tcPr>
            <w:tcW w:w="1152" w:type="dxa"/>
            <w:vAlign w:val="center"/>
          </w:tcPr>
          <w:p w14:paraId="73859062">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highlight w:val="none"/>
              </w:rPr>
              <w:t>最后报价</w:t>
            </w:r>
            <w:r>
              <w:rPr>
                <w:rFonts w:hint="eastAsia" w:ascii="宋体" w:hAnsi="宋体" w:eastAsia="宋体" w:cs="宋体"/>
                <w:color w:val="auto"/>
                <w:highlight w:val="none"/>
              </w:rPr>
              <w:t>调整</w:t>
            </w:r>
          </w:p>
        </w:tc>
        <w:tc>
          <w:tcPr>
            <w:tcW w:w="6240" w:type="dxa"/>
            <w:vAlign w:val="center"/>
          </w:tcPr>
          <w:p w14:paraId="21CFCF84">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rPr>
              <w:t>政府采购支持中小企业发展</w:t>
            </w:r>
            <w:r>
              <w:rPr>
                <w:rFonts w:hint="eastAsia" w:ascii="宋体" w:hAnsi="宋体" w:eastAsia="宋体" w:cs="宋体"/>
                <w:color w:val="auto"/>
                <w:highlight w:val="none"/>
              </w:rPr>
              <w:t>（货物类供应商和产品制造商应同时满足中小微企业的条件）</w:t>
            </w:r>
            <w:r>
              <w:rPr>
                <w:rFonts w:hint="eastAsia" w:ascii="宋体" w:hAnsi="宋体" w:eastAsia="宋体" w:cs="宋体"/>
                <w:color w:val="auto"/>
                <w:kern w:val="0"/>
                <w:highlight w:val="none"/>
              </w:rPr>
              <w:t>：</w:t>
            </w:r>
            <w:r>
              <w:rPr>
                <w:rFonts w:hint="eastAsia" w:ascii="宋体" w:hAnsi="宋体" w:eastAsia="宋体" w:cs="宋体"/>
                <w:color w:val="auto"/>
                <w:highlight w:val="none"/>
              </w:rPr>
              <w:t>小型或微型企业，</w:t>
            </w:r>
            <w:r>
              <w:rPr>
                <w:rFonts w:hint="eastAsia" w:ascii="宋体" w:hAnsi="宋体" w:eastAsia="宋体" w:cs="宋体"/>
                <w:color w:val="auto"/>
                <w:kern w:val="0"/>
                <w:highlight w:val="none"/>
              </w:rPr>
              <w:t>最后报价</w:t>
            </w:r>
            <w:r>
              <w:rPr>
                <w:rFonts w:hint="eastAsia" w:ascii="宋体" w:hAnsi="宋体" w:eastAsia="宋体" w:cs="宋体"/>
                <w:color w:val="auto"/>
                <w:highlight w:val="none"/>
              </w:rPr>
              <w:t>扣除比例为</w:t>
            </w:r>
            <w:r>
              <w:rPr>
                <w:rFonts w:hint="eastAsia" w:ascii="宋体" w:hAnsi="宋体" w:eastAsia="宋体" w:cs="宋体"/>
                <w:color w:val="auto"/>
                <w:highlight w:val="none"/>
                <w:u w:val="single"/>
              </w:rPr>
              <w:t xml:space="preserve"> 10 </w:t>
            </w:r>
            <w:r>
              <w:rPr>
                <w:rFonts w:hint="eastAsia" w:ascii="宋体" w:hAnsi="宋体" w:eastAsia="宋体" w:cs="宋体"/>
                <w:color w:val="auto"/>
                <w:highlight w:val="none"/>
              </w:rPr>
              <w:t>％；联合体参与磋商的，最后报价扣除比例为</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%。评审时，用扣除后的最后报价计算价格分。</w:t>
            </w:r>
          </w:p>
        </w:tc>
      </w:tr>
      <w:tr w14:paraId="500FE0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9339" w:type="dxa"/>
            <w:gridSpan w:val="3"/>
            <w:vAlign w:val="center"/>
          </w:tcPr>
          <w:p w14:paraId="4DD2C804">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b/>
                <w:bCs/>
                <w:color w:val="auto"/>
                <w:highlight w:val="none"/>
              </w:rPr>
              <w:t>六、成交结果信息公布与授予合同</w:t>
            </w:r>
          </w:p>
        </w:tc>
      </w:tr>
      <w:tr w14:paraId="27E388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947" w:type="dxa"/>
            <w:vAlign w:val="center"/>
          </w:tcPr>
          <w:p w14:paraId="776B7C31">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第二章第37.1款、</w:t>
            </w:r>
          </w:p>
        </w:tc>
        <w:tc>
          <w:tcPr>
            <w:tcW w:w="1152" w:type="dxa"/>
            <w:vAlign w:val="center"/>
          </w:tcPr>
          <w:p w14:paraId="64F93D8E">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指定的媒体</w:t>
            </w:r>
          </w:p>
        </w:tc>
        <w:tc>
          <w:tcPr>
            <w:tcW w:w="6240" w:type="dxa"/>
            <w:vAlign w:val="center"/>
          </w:tcPr>
          <w:p w14:paraId="46C3FB85">
            <w:pPr>
              <w:kinsoku/>
              <w:wordWrap/>
              <w:overflowPunct/>
              <w:bidi w:val="0"/>
              <w:adjustRightInd w:val="0"/>
              <w:snapToGrid w:val="0"/>
              <w:spacing w:line="360" w:lineRule="auto"/>
              <w:ind w:firstLine="1470" w:firstLineChars="700"/>
              <w:rPr>
                <w:rFonts w:hint="default" w:ascii="宋体" w:hAnsi="宋体" w:eastAsia="宋体" w:cs="宋体"/>
                <w:color w:val="auto"/>
                <w:highlight w:val="none"/>
                <w:u w:val="single"/>
                <w:lang w:val="en-US"/>
              </w:rPr>
            </w:pPr>
            <w:r>
              <w:rPr>
                <w:rFonts w:hint="eastAsia" w:ascii="宋体" w:hAnsi="宋体" w:eastAsia="宋体" w:cs="宋体"/>
                <w:color w:val="auto"/>
                <w:highlight w:val="none"/>
              </w:rPr>
              <w:t>湖南省</w:t>
            </w:r>
            <w:r>
              <w:rPr>
                <w:rFonts w:hint="eastAsia" w:ascii="宋体" w:hAnsi="宋体" w:cs="宋体"/>
                <w:color w:val="auto"/>
                <w:highlight w:val="none"/>
                <w:lang w:val="en-US" w:eastAsia="zh-CN"/>
              </w:rPr>
              <w:t>水利厅官网</w:t>
            </w:r>
          </w:p>
        </w:tc>
      </w:tr>
      <w:tr w14:paraId="1DFF23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4" w:hRule="atLeast"/>
          <w:jc w:val="center"/>
        </w:trPr>
        <w:tc>
          <w:tcPr>
            <w:tcW w:w="1947" w:type="dxa"/>
            <w:vAlign w:val="center"/>
          </w:tcPr>
          <w:p w14:paraId="133AC0AB">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第二章第39.3款</w:t>
            </w:r>
          </w:p>
        </w:tc>
        <w:tc>
          <w:tcPr>
            <w:tcW w:w="1152" w:type="dxa"/>
            <w:vAlign w:val="center"/>
          </w:tcPr>
          <w:p w14:paraId="52AF9770">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履约担保</w:t>
            </w:r>
          </w:p>
        </w:tc>
        <w:tc>
          <w:tcPr>
            <w:tcW w:w="6240" w:type="dxa"/>
            <w:vAlign w:val="center"/>
          </w:tcPr>
          <w:p w14:paraId="54E48EC9">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eq \o\ac(</w:instrText>
            </w:r>
            <w:r>
              <w:rPr>
                <w:rFonts w:hint="eastAsia" w:ascii="宋体" w:hAnsi="宋体" w:eastAsia="宋体" w:cs="宋体"/>
                <w:color w:val="auto"/>
                <w:position w:val="-2"/>
                <w:highlight w:val="none"/>
              </w:rPr>
              <w:instrText xml:space="preserve">□</w:instrText>
            </w:r>
            <w:r>
              <w:rPr>
                <w:rFonts w:hint="eastAsia" w:ascii="宋体" w:hAnsi="宋体" w:cs="宋体"/>
                <w:color w:val="auto"/>
                <w:position w:val="-2"/>
                <w:highlight w:val="none"/>
                <w:lang w:eastAsia="zh-CN"/>
              </w:rPr>
              <w:instrText xml:space="preserve">,</w:instrText>
            </w:r>
            <w:r>
              <w:rPr>
                <w:rFonts w:hint="eastAsia" w:ascii="宋体" w:hAnsi="宋体" w:cs="宋体"/>
                <w:color w:val="auto"/>
                <w:position w:val="0"/>
                <w:sz w:val="13"/>
                <w:highlight w:val="none"/>
                <w:lang w:eastAsia="zh-CN"/>
              </w:rPr>
              <w:instrText xml:space="preserve">√</w:instrText>
            </w:r>
            <w:r>
              <w:rPr>
                <w:rFonts w:hint="eastAsia" w:ascii="宋体" w:hAnsi="宋体" w:eastAsia="宋体" w:cs="宋体"/>
                <w:color w:val="auto"/>
                <w:highlight w:val="none"/>
              </w:rPr>
              <w:instrText xml:space="preserve">)</w:instrTex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不要求提供</w:t>
            </w:r>
          </w:p>
          <w:p w14:paraId="7EDBD937">
            <w:pPr>
              <w:kinsoku/>
              <w:wordWrap/>
              <w:overflowPunct/>
              <w:bidi w:val="0"/>
              <w:adjustRightInd w:val="0"/>
              <w:snapToGrid w:val="0"/>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eastAsia="zh-CN"/>
              </w:rPr>
              <w:t>□</w:t>
            </w:r>
            <w:r>
              <w:rPr>
                <w:rFonts w:hint="eastAsia" w:ascii="宋体" w:hAnsi="宋体" w:eastAsia="宋体" w:cs="宋体"/>
                <w:color w:val="auto"/>
                <w:highlight w:val="none"/>
              </w:rPr>
              <w:t>要求提供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金额为合同金额3%。</w:t>
            </w:r>
          </w:p>
        </w:tc>
      </w:tr>
      <w:tr w14:paraId="3B3708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339" w:type="dxa"/>
            <w:gridSpan w:val="3"/>
            <w:vAlign w:val="center"/>
          </w:tcPr>
          <w:p w14:paraId="0A54F190">
            <w:pPr>
              <w:kinsoku/>
              <w:wordWrap/>
              <w:overflowPunct/>
              <w:bidi w:val="0"/>
              <w:adjustRightInd w:val="0"/>
              <w:snapToGrid w:val="0"/>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七、其他规定</w:t>
            </w:r>
          </w:p>
        </w:tc>
      </w:tr>
      <w:tr w14:paraId="51877E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947" w:type="dxa"/>
            <w:vAlign w:val="center"/>
          </w:tcPr>
          <w:p w14:paraId="453B15E2">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第二章第41.1款</w:t>
            </w:r>
          </w:p>
        </w:tc>
        <w:tc>
          <w:tcPr>
            <w:tcW w:w="1152" w:type="dxa"/>
            <w:vAlign w:val="center"/>
          </w:tcPr>
          <w:p w14:paraId="0A9B4B31">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采购代理服务费</w:t>
            </w:r>
          </w:p>
        </w:tc>
        <w:tc>
          <w:tcPr>
            <w:tcW w:w="6240" w:type="dxa"/>
            <w:vAlign w:val="center"/>
          </w:tcPr>
          <w:p w14:paraId="491F079D">
            <w:pPr>
              <w:kinsoku/>
              <w:wordWrap/>
              <w:overflowPunct/>
              <w:bidi w:val="0"/>
              <w:adjustRightInd w:val="0"/>
              <w:snapToGrid w:val="0"/>
              <w:spacing w:line="360" w:lineRule="auto"/>
              <w:ind w:firstLine="630" w:firstLineChars="300"/>
              <w:rPr>
                <w:rFonts w:hint="eastAsia" w:ascii="宋体" w:hAnsi="宋体" w:eastAsia="宋体" w:cs="宋体"/>
                <w:color w:val="auto"/>
                <w:highlight w:val="none"/>
                <w:u w:val="single"/>
              </w:rPr>
            </w:pPr>
            <w:r>
              <w:rPr>
                <w:rFonts w:hint="eastAsia" w:ascii="宋体" w:hAnsi="宋体" w:eastAsia="宋体" w:cs="宋体"/>
                <w:color w:val="auto"/>
                <w:highlight w:val="none"/>
              </w:rPr>
              <w:t>由采购人按委托代理协议支付</w:t>
            </w:r>
          </w:p>
        </w:tc>
      </w:tr>
      <w:tr w14:paraId="74217C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41" w:hRule="atLeast"/>
          <w:jc w:val="center"/>
        </w:trPr>
        <w:tc>
          <w:tcPr>
            <w:tcW w:w="1947" w:type="dxa"/>
            <w:tcBorders>
              <w:bottom w:val="double" w:color="auto" w:sz="4" w:space="0"/>
            </w:tcBorders>
            <w:vAlign w:val="center"/>
          </w:tcPr>
          <w:p w14:paraId="4B5D4757">
            <w:pPr>
              <w:kinsoku/>
              <w:wordWrap/>
              <w:overflowPunct/>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第二章第42.1款</w:t>
            </w:r>
          </w:p>
        </w:tc>
        <w:tc>
          <w:tcPr>
            <w:tcW w:w="1152" w:type="dxa"/>
            <w:tcBorders>
              <w:bottom w:val="double" w:color="auto" w:sz="4" w:space="0"/>
            </w:tcBorders>
            <w:vAlign w:val="center"/>
          </w:tcPr>
          <w:p w14:paraId="0B742489">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其他规定</w:t>
            </w:r>
          </w:p>
        </w:tc>
        <w:tc>
          <w:tcPr>
            <w:tcW w:w="6240" w:type="dxa"/>
            <w:tcBorders>
              <w:bottom w:val="double" w:color="auto" w:sz="4" w:space="0"/>
            </w:tcBorders>
            <w:vAlign w:val="center"/>
          </w:tcPr>
          <w:p w14:paraId="366B14E5">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对列入失信被执行人、重大税收违法案件当事人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35A3B9D">
            <w:pPr>
              <w:pStyle w:val="71"/>
              <w:numPr>
                <w:ilvl w:val="0"/>
                <w:numId w:val="0"/>
              </w:numPr>
              <w:kinsoku/>
              <w:wordWrap/>
              <w:overflowPunct/>
              <w:bidi w:val="0"/>
              <w:adjustRightInd w:val="0"/>
              <w:snapToGrid w:val="0"/>
              <w:spacing w:line="360" w:lineRule="auto"/>
              <w:ind w:leftChars="0"/>
              <w:rPr>
                <w:rFonts w:hint="eastAsia" w:ascii="宋体" w:hAnsi="宋体" w:eastAsia="宋体" w:cs="宋体"/>
                <w:color w:val="auto"/>
                <w:highlight w:val="none"/>
              </w:rPr>
            </w:pPr>
            <w:r>
              <w:rPr>
                <w:rFonts w:hint="eastAsia" w:ascii="宋体" w:hAnsi="宋体" w:cs="宋体"/>
                <w:color w:val="auto"/>
                <w:highlight w:val="none"/>
                <w:lang w:val="en-US" w:eastAsia="zh-CN"/>
              </w:rPr>
              <w:t xml:space="preserve">1.1 </w:t>
            </w:r>
            <w:r>
              <w:rPr>
                <w:rFonts w:hint="eastAsia" w:ascii="宋体" w:hAnsi="宋体" w:eastAsia="宋体" w:cs="宋体"/>
                <w:color w:val="auto"/>
                <w:highlight w:val="none"/>
              </w:rPr>
              <w:t>对信用信息查询的查询渠道：</w:t>
            </w:r>
          </w:p>
          <w:p w14:paraId="63874009">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①信用中国网站：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Style w:val="35"/>
                <w:rFonts w:hint="eastAsia" w:ascii="宋体" w:hAnsi="宋体" w:eastAsia="宋体" w:cs="宋体"/>
                <w:color w:val="auto"/>
                <w:highlight w:val="none"/>
                <w:u w:val="none"/>
              </w:rPr>
              <w:t>www.creditchina.gov.cn</w:t>
            </w:r>
            <w:r>
              <w:rPr>
                <w:rStyle w:val="35"/>
                <w:rFonts w:hint="eastAsia" w:ascii="宋体" w:hAnsi="宋体" w:eastAsia="宋体" w:cs="宋体"/>
                <w:color w:val="auto"/>
                <w:highlight w:val="none"/>
                <w:u w:val="none"/>
              </w:rPr>
              <w:fldChar w:fldCharType="end"/>
            </w:r>
            <w:r>
              <w:rPr>
                <w:rFonts w:hint="eastAsia" w:ascii="宋体" w:hAnsi="宋体" w:eastAsia="宋体" w:cs="宋体"/>
                <w:color w:val="auto"/>
                <w:highlight w:val="none"/>
              </w:rPr>
              <w:t>；</w:t>
            </w:r>
          </w:p>
          <w:p w14:paraId="75CCCD14">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②中国政府采购网：www.ccgp.gov.cn。</w:t>
            </w:r>
          </w:p>
          <w:p w14:paraId="505061C7">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 xml:space="preserve">1.2 </w:t>
            </w:r>
            <w:r>
              <w:rPr>
                <w:rFonts w:hint="eastAsia" w:ascii="宋体" w:hAnsi="宋体" w:eastAsia="宋体" w:cs="宋体"/>
                <w:color w:val="auto"/>
                <w:highlight w:val="none"/>
              </w:rPr>
              <w:t>信用信息查询的截止时间：至本项目投标截止时间止。</w:t>
            </w:r>
          </w:p>
          <w:p w14:paraId="4896358B">
            <w:pPr>
              <w:kinsoku/>
              <w:wordWrap/>
              <w:overflowPunct/>
              <w:bidi w:val="0"/>
              <w:adjustRightInd w:val="0"/>
              <w:snapToGrid w:val="0"/>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 xml:space="preserve">1.3 </w:t>
            </w:r>
            <w:r>
              <w:rPr>
                <w:rFonts w:hint="eastAsia" w:ascii="宋体" w:hAnsi="宋体" w:eastAsia="宋体" w:cs="宋体"/>
                <w:color w:val="auto"/>
                <w:highlight w:val="none"/>
              </w:rPr>
              <w:t>信用信息查询记录的具体方式：采购人或采购代理机构在开标前，在规定的查询渠道进行查询。</w:t>
            </w:r>
          </w:p>
          <w:p w14:paraId="027AF94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 xml:space="preserve">1.4 </w:t>
            </w:r>
            <w:r>
              <w:rPr>
                <w:rFonts w:hint="eastAsia" w:ascii="宋体" w:hAnsi="宋体" w:eastAsia="宋体" w:cs="宋体"/>
                <w:color w:val="auto"/>
                <w:highlight w:val="none"/>
              </w:rPr>
              <w:t>信用信息查询记录证据留存的具体方式：查询记录的网上打印件。</w:t>
            </w:r>
          </w:p>
          <w:p w14:paraId="2BC73E8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b/>
                <w:bCs/>
                <w:color w:val="auto"/>
                <w:szCs w:val="21"/>
                <w:highlight w:val="none"/>
                <w:u w:val="none"/>
                <w:lang w:eastAsia="zh-CN"/>
              </w:rPr>
            </w:pPr>
            <w:r>
              <w:rPr>
                <w:rFonts w:hint="eastAsia"/>
                <w:color w:val="auto"/>
                <w:highlight w:val="none"/>
                <w:lang w:val="en-US" w:eastAsia="zh-CN"/>
              </w:rPr>
              <w:t>2、</w:t>
            </w:r>
            <w:r>
              <w:rPr>
                <w:rFonts w:hint="eastAsia" w:ascii="宋体" w:hAnsi="宋体" w:eastAsia="宋体" w:cs="Times New Roman"/>
                <w:b/>
                <w:bCs/>
                <w:color w:val="auto"/>
                <w:szCs w:val="21"/>
                <w:highlight w:val="none"/>
                <w:u w:val="none"/>
                <w:lang w:eastAsia="zh-CN"/>
              </w:rPr>
              <w:t>在</w:t>
            </w:r>
            <w:r>
              <w:rPr>
                <w:rFonts w:hint="eastAsia" w:ascii="宋体" w:hAnsi="宋体" w:eastAsia="宋体" w:cs="Times New Roman"/>
                <w:b/>
                <w:bCs/>
                <w:color w:val="auto"/>
                <w:szCs w:val="21"/>
                <w:highlight w:val="none"/>
                <w:u w:val="none"/>
                <w:lang w:val="en-US" w:eastAsia="zh-CN"/>
              </w:rPr>
              <w:t>磋商</w:t>
            </w:r>
            <w:r>
              <w:rPr>
                <w:rFonts w:hint="eastAsia" w:ascii="宋体" w:hAnsi="宋体" w:eastAsia="宋体" w:cs="Times New Roman"/>
                <w:b/>
                <w:bCs/>
                <w:color w:val="auto"/>
                <w:szCs w:val="21"/>
                <w:highlight w:val="none"/>
                <w:u w:val="none"/>
                <w:lang w:eastAsia="zh-CN"/>
              </w:rPr>
              <w:t>过程中，出现下列情形之一的，</w:t>
            </w:r>
            <w:r>
              <w:rPr>
                <w:rFonts w:hint="eastAsia" w:ascii="宋体" w:hAnsi="宋体" w:eastAsia="宋体" w:cs="Times New Roman"/>
                <w:b/>
                <w:bCs/>
                <w:color w:val="auto"/>
                <w:szCs w:val="21"/>
                <w:highlight w:val="none"/>
                <w:u w:val="none"/>
                <w:lang w:val="en-US" w:eastAsia="zh-CN"/>
              </w:rPr>
              <w:t>磋商小组</w:t>
            </w:r>
            <w:r>
              <w:rPr>
                <w:rFonts w:hint="eastAsia" w:ascii="宋体" w:hAnsi="宋体" w:eastAsia="宋体" w:cs="Times New Roman"/>
                <w:b/>
                <w:bCs/>
                <w:color w:val="auto"/>
                <w:szCs w:val="21"/>
                <w:highlight w:val="none"/>
                <w:u w:val="none"/>
                <w:lang w:eastAsia="zh-CN"/>
              </w:rPr>
              <w:t>应当启动异常低价投标（响应）审查程序：</w:t>
            </w:r>
          </w:p>
          <w:p w14:paraId="6F94A44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auto"/>
                <w:szCs w:val="21"/>
                <w:highlight w:val="none"/>
                <w:u w:val="none"/>
                <w:lang w:eastAsia="zh-CN"/>
              </w:rPr>
            </w:pPr>
            <w:r>
              <w:rPr>
                <w:rFonts w:hint="eastAsia" w:ascii="宋体" w:hAnsi="宋体" w:eastAsia="宋体" w:cs="Times New Roman"/>
                <w:color w:val="auto"/>
                <w:szCs w:val="21"/>
                <w:highlight w:val="none"/>
                <w:u w:val="none"/>
                <w:lang w:val="en-US" w:eastAsia="zh-CN"/>
              </w:rPr>
              <w:t>2.1</w:t>
            </w:r>
            <w:r>
              <w:rPr>
                <w:rFonts w:hint="eastAsia" w:ascii="宋体" w:hAnsi="宋体" w:eastAsia="宋体" w:cs="Times New Roman"/>
                <w:color w:val="auto"/>
                <w:szCs w:val="21"/>
                <w:highlight w:val="none"/>
                <w:u w:val="none"/>
                <w:lang w:eastAsia="zh-CN"/>
              </w:rPr>
              <w:t>投标（响应）报价低于全部通过符合性审查供应商投标（响应）报价平均值50%的，即投标（响应）报价&lt;全部通过符合性审查供应商投标（响应）报价平均值×50%；</w:t>
            </w:r>
          </w:p>
          <w:p w14:paraId="5F9D05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auto"/>
                <w:szCs w:val="21"/>
                <w:highlight w:val="none"/>
                <w:u w:val="none"/>
                <w:lang w:eastAsia="zh-CN"/>
              </w:rPr>
            </w:pPr>
            <w:r>
              <w:rPr>
                <w:rFonts w:hint="eastAsia" w:ascii="宋体" w:hAnsi="宋体" w:eastAsia="宋体" w:cs="Times New Roman"/>
                <w:color w:val="auto"/>
                <w:szCs w:val="21"/>
                <w:highlight w:val="none"/>
                <w:u w:val="none"/>
                <w:lang w:eastAsia="zh-CN"/>
              </w:rPr>
              <w:t>2.</w:t>
            </w:r>
            <w:r>
              <w:rPr>
                <w:rFonts w:hint="eastAsia" w:ascii="宋体" w:hAnsi="宋体" w:eastAsia="宋体" w:cs="Times New Roman"/>
                <w:color w:val="auto"/>
                <w:szCs w:val="21"/>
                <w:highlight w:val="none"/>
                <w:u w:val="none"/>
                <w:lang w:val="en-US" w:eastAsia="zh-CN"/>
              </w:rPr>
              <w:t>2</w:t>
            </w:r>
            <w:r>
              <w:rPr>
                <w:rFonts w:hint="eastAsia" w:ascii="宋体" w:hAnsi="宋体" w:eastAsia="宋体" w:cs="Times New Roman"/>
                <w:color w:val="auto"/>
                <w:szCs w:val="21"/>
                <w:highlight w:val="none"/>
                <w:u w:val="none"/>
                <w:lang w:eastAsia="zh-CN"/>
              </w:rPr>
              <w:t>投标（响应）报价低于通过符合性审查的次低报价供应商投标（响应）报价50%的，即投标（响应）报价&lt;通过符合性审查的次低报价供应商投标（响应）报价×50%；</w:t>
            </w:r>
          </w:p>
          <w:p w14:paraId="1D06C90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auto"/>
                <w:szCs w:val="21"/>
                <w:highlight w:val="none"/>
                <w:u w:val="none"/>
                <w:lang w:eastAsia="zh-CN"/>
              </w:rPr>
            </w:pPr>
            <w:r>
              <w:rPr>
                <w:rFonts w:hint="eastAsia" w:ascii="宋体" w:hAnsi="宋体" w:eastAsia="宋体" w:cs="Times New Roman"/>
                <w:color w:val="auto"/>
                <w:szCs w:val="21"/>
                <w:highlight w:val="none"/>
                <w:u w:val="none"/>
                <w:lang w:val="en-US" w:eastAsia="zh-CN"/>
              </w:rPr>
              <w:t>2.</w:t>
            </w:r>
            <w:r>
              <w:rPr>
                <w:rFonts w:hint="eastAsia" w:ascii="宋体" w:hAnsi="宋体" w:eastAsia="宋体" w:cs="Times New Roman"/>
                <w:color w:val="auto"/>
                <w:szCs w:val="21"/>
                <w:highlight w:val="none"/>
                <w:u w:val="none"/>
                <w:lang w:eastAsia="zh-CN"/>
              </w:rPr>
              <w:t>3投标（响应）报价低于采购项目最高限价45%的，即投标（响应）报价&lt;采购项目最高限价×45%；</w:t>
            </w:r>
          </w:p>
          <w:p w14:paraId="1FF4B46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auto"/>
                <w:szCs w:val="21"/>
                <w:highlight w:val="none"/>
                <w:u w:val="none"/>
                <w:lang w:eastAsia="zh-CN"/>
              </w:rPr>
            </w:pPr>
            <w:r>
              <w:rPr>
                <w:rFonts w:hint="eastAsia" w:ascii="宋体" w:hAnsi="宋体" w:eastAsia="宋体" w:cs="Times New Roman"/>
                <w:color w:val="auto"/>
                <w:szCs w:val="21"/>
                <w:highlight w:val="none"/>
                <w:u w:val="none"/>
                <w:lang w:val="en-US" w:eastAsia="zh-CN"/>
              </w:rPr>
              <w:t>2</w:t>
            </w:r>
            <w:r>
              <w:rPr>
                <w:rFonts w:hint="eastAsia" w:ascii="宋体" w:hAnsi="宋体" w:eastAsia="宋体" w:cs="Times New Roman"/>
                <w:color w:val="auto"/>
                <w:szCs w:val="21"/>
                <w:highlight w:val="none"/>
                <w:u w:val="none"/>
                <w:lang w:eastAsia="zh-CN"/>
              </w:rPr>
              <w:t>.</w:t>
            </w:r>
            <w:r>
              <w:rPr>
                <w:rFonts w:hint="eastAsia" w:ascii="宋体" w:hAnsi="宋体" w:eastAsia="宋体" w:cs="Times New Roman"/>
                <w:color w:val="auto"/>
                <w:szCs w:val="21"/>
                <w:highlight w:val="none"/>
                <w:u w:val="none"/>
                <w:lang w:val="en-US" w:eastAsia="zh-CN"/>
              </w:rPr>
              <w:t>4</w:t>
            </w:r>
            <w:bookmarkStart w:id="2" w:name="OLE_LINK1"/>
            <w:r>
              <w:rPr>
                <w:rFonts w:hint="eastAsia" w:ascii="宋体" w:hAnsi="宋体" w:eastAsia="宋体" w:cs="Times New Roman"/>
                <w:color w:val="auto"/>
                <w:szCs w:val="21"/>
                <w:highlight w:val="none"/>
                <w:u w:val="none"/>
                <w:lang w:val="en-US" w:eastAsia="zh-CN"/>
              </w:rPr>
              <w:t>磋商小组</w:t>
            </w:r>
            <w:bookmarkEnd w:id="2"/>
            <w:r>
              <w:rPr>
                <w:rFonts w:hint="eastAsia" w:ascii="宋体" w:hAnsi="宋体" w:eastAsia="宋体" w:cs="Times New Roman"/>
                <w:color w:val="auto"/>
                <w:szCs w:val="21"/>
                <w:highlight w:val="none"/>
                <w:u w:val="none"/>
                <w:lang w:eastAsia="zh-CN"/>
              </w:rPr>
              <w:t>基于专业判断，认为供应商报价过低，有可能影响产品质量或者不能诚信履约的其他情形。</w:t>
            </w:r>
          </w:p>
          <w:p w14:paraId="60332C4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auto"/>
                <w:szCs w:val="21"/>
                <w:highlight w:val="none"/>
                <w:u w:val="none"/>
                <w:lang w:val="en-US" w:eastAsia="zh-CN"/>
              </w:rPr>
            </w:pPr>
            <w:bookmarkStart w:id="3" w:name="OLE_LINK2"/>
            <w:r>
              <w:rPr>
                <w:rFonts w:hint="eastAsia" w:ascii="宋体" w:hAnsi="宋体" w:eastAsia="宋体" w:cs="Times New Roman"/>
                <w:color w:val="auto"/>
                <w:kern w:val="2"/>
                <w:sz w:val="21"/>
                <w:szCs w:val="21"/>
                <w:highlight w:val="none"/>
                <w:lang w:val="en-US" w:eastAsia="zh-CN" w:bidi="ar-SA"/>
              </w:rPr>
              <w:t>3、</w:t>
            </w:r>
            <w:r>
              <w:rPr>
                <w:rFonts w:hint="eastAsia" w:ascii="宋体" w:hAnsi="宋体" w:eastAsia="宋体" w:cs="Times New Roman"/>
                <w:color w:val="auto"/>
                <w:szCs w:val="21"/>
                <w:highlight w:val="none"/>
                <w:u w:val="none"/>
                <w:lang w:val="en-US" w:eastAsia="zh-CN"/>
              </w:rPr>
              <w:t>磋商小组</w:t>
            </w:r>
            <w:bookmarkEnd w:id="3"/>
            <w:r>
              <w:rPr>
                <w:rFonts w:hint="eastAsia" w:ascii="宋体" w:hAnsi="宋体" w:eastAsia="宋体" w:cs="Times New Roman"/>
                <w:color w:val="auto"/>
                <w:szCs w:val="21"/>
                <w:highlight w:val="none"/>
                <w:u w:val="none"/>
                <w:lang w:val="en-US" w:eastAsia="zh-CN"/>
              </w:rPr>
              <w:t>启动异常低价投标（响应）审查后，属于前述第2.1项至第2.4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2.3项情形，供应商已随投标（响应）文件一并提交相关书面说明及必要的证明材料的，在评审现场可不再重复提交。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500E356F">
            <w:pPr>
              <w:kinsoku/>
              <w:wordWrap/>
              <w:overflowPunct/>
              <w:bidi w:val="0"/>
              <w:adjustRightInd w:val="0"/>
              <w:snapToGrid w:val="0"/>
              <w:spacing w:line="360" w:lineRule="auto"/>
              <w:rPr>
                <w:rFonts w:hint="eastAsia" w:ascii="宋体" w:hAnsi="宋体" w:eastAsia="宋体" w:cs="宋体"/>
                <w:color w:val="auto"/>
                <w:highlight w:val="none"/>
              </w:rPr>
            </w:pPr>
          </w:p>
        </w:tc>
      </w:tr>
    </w:tbl>
    <w:p w14:paraId="28AF5283">
      <w:pPr>
        <w:kinsoku/>
        <w:wordWrap/>
        <w:overflowPunct/>
        <w:bidi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051DED16">
      <w:pPr>
        <w:spacing w:line="440" w:lineRule="exact"/>
        <w:jc w:val="both"/>
        <w:rPr>
          <w:rFonts w:hint="eastAsia" w:ascii="宋体" w:hAnsi="宋体" w:cs="宋体"/>
          <w:color w:val="auto"/>
          <w:highlight w:val="none"/>
          <w:lang w:val="en-US" w:eastAsia="zh-CN"/>
        </w:rPr>
      </w:pPr>
      <w:r>
        <w:rPr>
          <w:rFonts w:hint="eastAsia" w:ascii="宋体" w:hAnsi="宋体" w:eastAsia="宋体" w:cs="宋体"/>
          <w:color w:val="auto"/>
          <w:highlight w:val="none"/>
        </w:rPr>
        <w:t>附页1</w:t>
      </w:r>
      <w:r>
        <w:rPr>
          <w:rFonts w:hint="eastAsia" w:ascii="宋体" w:hAnsi="宋体" w:cs="宋体"/>
          <w:color w:val="auto"/>
          <w:highlight w:val="none"/>
          <w:lang w:val="en-US" w:eastAsia="zh-CN"/>
        </w:rPr>
        <w:t xml:space="preserve">               </w:t>
      </w:r>
    </w:p>
    <w:p w14:paraId="4E8F3D47">
      <w:pPr>
        <w:spacing w:line="440" w:lineRule="exact"/>
        <w:jc w:val="center"/>
        <w:rPr>
          <w:b/>
          <w:color w:val="auto"/>
          <w:sz w:val="28"/>
          <w:szCs w:val="28"/>
        </w:rPr>
      </w:pPr>
      <w:r>
        <w:rPr>
          <w:b/>
          <w:color w:val="auto"/>
          <w:sz w:val="28"/>
          <w:szCs w:val="28"/>
        </w:rPr>
        <w:t>评审因素和标准</w:t>
      </w:r>
    </w:p>
    <w:p w14:paraId="2BDB065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项目采用综合评分法，包括商务、技术、价格三部分，各部分分值分配如下：</w:t>
      </w:r>
    </w:p>
    <w:tbl>
      <w:tblPr>
        <w:tblStyle w:val="2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7"/>
        <w:gridCol w:w="4797"/>
        <w:gridCol w:w="3505"/>
      </w:tblGrid>
      <w:tr w14:paraId="624AB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737" w:type="dxa"/>
            <w:noWrap w:val="0"/>
            <w:vAlign w:val="center"/>
          </w:tcPr>
          <w:p w14:paraId="3ABA9855">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4797" w:type="dxa"/>
            <w:noWrap w:val="0"/>
            <w:vAlign w:val="center"/>
          </w:tcPr>
          <w:p w14:paraId="6CF7568D">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3505" w:type="dxa"/>
            <w:noWrap w:val="0"/>
            <w:vAlign w:val="center"/>
          </w:tcPr>
          <w:p w14:paraId="76A824B1">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分值</w:t>
            </w:r>
          </w:p>
        </w:tc>
      </w:tr>
      <w:tr w14:paraId="5D895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737" w:type="dxa"/>
            <w:noWrap w:val="0"/>
            <w:vAlign w:val="center"/>
          </w:tcPr>
          <w:p w14:paraId="4BD10E95">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797" w:type="dxa"/>
            <w:noWrap w:val="0"/>
            <w:vAlign w:val="center"/>
          </w:tcPr>
          <w:p w14:paraId="3F2425E6">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价格</w:t>
            </w:r>
          </w:p>
        </w:tc>
        <w:tc>
          <w:tcPr>
            <w:tcW w:w="3505" w:type="dxa"/>
            <w:noWrap w:val="0"/>
            <w:vAlign w:val="center"/>
          </w:tcPr>
          <w:p w14:paraId="66CE84B2">
            <w:pPr>
              <w:adjustRightInd w:val="0"/>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0.</w:t>
            </w:r>
            <w:r>
              <w:rPr>
                <w:rFonts w:hint="default" w:ascii="宋体" w:hAnsi="宋体" w:cs="宋体"/>
                <w:color w:val="auto"/>
                <w:szCs w:val="21"/>
                <w:highlight w:val="none"/>
                <w:lang w:val="en"/>
              </w:rPr>
              <w:t>1</w:t>
            </w:r>
          </w:p>
        </w:tc>
      </w:tr>
      <w:tr w14:paraId="2CCC5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737" w:type="dxa"/>
            <w:noWrap w:val="0"/>
            <w:vAlign w:val="center"/>
          </w:tcPr>
          <w:p w14:paraId="554499DB">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797" w:type="dxa"/>
            <w:noWrap w:val="0"/>
            <w:vAlign w:val="center"/>
          </w:tcPr>
          <w:p w14:paraId="27C6DBFC">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w:t>
            </w:r>
          </w:p>
        </w:tc>
        <w:tc>
          <w:tcPr>
            <w:tcW w:w="3505" w:type="dxa"/>
            <w:noWrap w:val="0"/>
            <w:vAlign w:val="center"/>
          </w:tcPr>
          <w:p w14:paraId="76949FE2">
            <w:pPr>
              <w:adjustRightInd w:val="0"/>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5</w:t>
            </w:r>
          </w:p>
        </w:tc>
      </w:tr>
      <w:tr w14:paraId="5227F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737" w:type="dxa"/>
            <w:noWrap w:val="0"/>
            <w:vAlign w:val="center"/>
          </w:tcPr>
          <w:p w14:paraId="57780D8B">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4797" w:type="dxa"/>
            <w:noWrap w:val="0"/>
            <w:vAlign w:val="center"/>
          </w:tcPr>
          <w:p w14:paraId="4AA8AAFD">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商务</w:t>
            </w:r>
          </w:p>
        </w:tc>
        <w:tc>
          <w:tcPr>
            <w:tcW w:w="3505" w:type="dxa"/>
            <w:noWrap w:val="0"/>
            <w:vAlign w:val="center"/>
          </w:tcPr>
          <w:p w14:paraId="2BE0F628">
            <w:pPr>
              <w:adjustRightInd w:val="0"/>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0.</w:t>
            </w:r>
            <w:r>
              <w:rPr>
                <w:rFonts w:hint="default" w:ascii="宋体" w:hAnsi="宋体" w:cs="宋体"/>
                <w:color w:val="auto"/>
                <w:szCs w:val="21"/>
                <w:highlight w:val="none"/>
                <w:lang w:val="en"/>
              </w:rPr>
              <w:t>4</w:t>
            </w:r>
          </w:p>
        </w:tc>
      </w:tr>
      <w:tr w14:paraId="6666F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5534" w:type="dxa"/>
            <w:gridSpan w:val="2"/>
            <w:noWrap w:val="0"/>
            <w:vAlign w:val="center"/>
          </w:tcPr>
          <w:p w14:paraId="726B31FE">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∑(1+2+3)</w:t>
            </w:r>
          </w:p>
        </w:tc>
        <w:tc>
          <w:tcPr>
            <w:tcW w:w="3505" w:type="dxa"/>
            <w:noWrap w:val="0"/>
            <w:vAlign w:val="center"/>
          </w:tcPr>
          <w:p w14:paraId="6143BD4F">
            <w:pPr>
              <w:adjustRightInd w:val="0"/>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r>
    </w:tbl>
    <w:p w14:paraId="1EA0F149">
      <w:pPr>
        <w:bidi w:val="0"/>
        <w:rPr>
          <w:rFonts w:hint="eastAsia"/>
        </w:rPr>
      </w:pPr>
    </w:p>
    <w:p w14:paraId="0AC8C3D9">
      <w:pPr>
        <w:bidi w:val="0"/>
        <w:rPr>
          <w:rFonts w:hint="eastAsia"/>
        </w:rPr>
      </w:pPr>
    </w:p>
    <w:p w14:paraId="4A0964DA">
      <w:pPr>
        <w:bidi w:val="0"/>
        <w:rPr>
          <w:rFonts w:hint="eastAsia"/>
        </w:rPr>
      </w:pPr>
    </w:p>
    <w:p w14:paraId="0F5E3786">
      <w:pPr>
        <w:bidi w:val="0"/>
        <w:rPr>
          <w:rFonts w:hint="eastAsia"/>
        </w:rPr>
      </w:pPr>
    </w:p>
    <w:p w14:paraId="05978BB9">
      <w:pPr>
        <w:bidi w:val="0"/>
        <w:rPr>
          <w:rFonts w:hint="eastAsia"/>
        </w:rPr>
      </w:pPr>
    </w:p>
    <w:p w14:paraId="200E3615">
      <w:pPr>
        <w:bidi w:val="0"/>
        <w:rPr>
          <w:rFonts w:hint="eastAsia"/>
        </w:rPr>
      </w:pPr>
    </w:p>
    <w:p w14:paraId="082BA161">
      <w:pPr>
        <w:bidi w:val="0"/>
        <w:rPr>
          <w:rFonts w:hint="eastAsia"/>
        </w:rPr>
      </w:pPr>
    </w:p>
    <w:p w14:paraId="42D69A4F">
      <w:pPr>
        <w:bidi w:val="0"/>
        <w:rPr>
          <w:rFonts w:hint="eastAsia"/>
        </w:rPr>
      </w:pPr>
    </w:p>
    <w:p w14:paraId="42BC802D">
      <w:pPr>
        <w:bidi w:val="0"/>
        <w:rPr>
          <w:rFonts w:hint="eastAsia"/>
        </w:rPr>
      </w:pPr>
    </w:p>
    <w:p w14:paraId="72FDAC00">
      <w:pPr>
        <w:bidi w:val="0"/>
        <w:rPr>
          <w:rFonts w:hint="eastAsia"/>
        </w:rPr>
      </w:pPr>
    </w:p>
    <w:p w14:paraId="0685243A">
      <w:pPr>
        <w:bidi w:val="0"/>
        <w:rPr>
          <w:rFonts w:hint="eastAsia"/>
        </w:rPr>
      </w:pPr>
    </w:p>
    <w:p w14:paraId="1991FC0B">
      <w:pPr>
        <w:bidi w:val="0"/>
        <w:rPr>
          <w:rFonts w:hint="eastAsia"/>
        </w:rPr>
      </w:pPr>
    </w:p>
    <w:p w14:paraId="01E07553">
      <w:pPr>
        <w:bidi w:val="0"/>
        <w:rPr>
          <w:rFonts w:hint="eastAsia"/>
        </w:rPr>
      </w:pPr>
    </w:p>
    <w:p w14:paraId="5020F227">
      <w:pPr>
        <w:bidi w:val="0"/>
        <w:rPr>
          <w:rFonts w:hint="eastAsia"/>
        </w:rPr>
      </w:pPr>
    </w:p>
    <w:p w14:paraId="031961B8">
      <w:pPr>
        <w:bidi w:val="0"/>
        <w:rPr>
          <w:rFonts w:hint="eastAsia"/>
        </w:rPr>
      </w:pPr>
    </w:p>
    <w:p w14:paraId="5806612E">
      <w:pPr>
        <w:bidi w:val="0"/>
        <w:rPr>
          <w:rFonts w:hint="eastAsia"/>
        </w:rPr>
      </w:pPr>
    </w:p>
    <w:p w14:paraId="45FE2414">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73D4D510">
      <w:pPr>
        <w:bidi w:val="0"/>
        <w:jc w:val="center"/>
        <w:rPr>
          <w:rFonts w:hint="eastAsia"/>
          <w:sz w:val="28"/>
          <w:szCs w:val="28"/>
        </w:rPr>
      </w:pPr>
      <w:r>
        <w:rPr>
          <w:rFonts w:hint="eastAsia"/>
          <w:sz w:val="28"/>
          <w:szCs w:val="28"/>
        </w:rPr>
        <w:t>评</w:t>
      </w:r>
      <w:r>
        <w:rPr>
          <w:rFonts w:hint="eastAsia"/>
          <w:sz w:val="28"/>
          <w:szCs w:val="28"/>
          <w:lang w:val="en-US" w:eastAsia="zh-CN"/>
        </w:rPr>
        <w:t>审因素</w:t>
      </w:r>
      <w:r>
        <w:rPr>
          <w:rFonts w:hint="eastAsia"/>
          <w:sz w:val="28"/>
          <w:szCs w:val="28"/>
        </w:rPr>
        <w:t>及标准</w:t>
      </w:r>
    </w:p>
    <w:tbl>
      <w:tblPr>
        <w:tblStyle w:val="29"/>
        <w:tblW w:w="9459" w:type="dxa"/>
        <w:tblInd w:w="-349"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07"/>
        <w:gridCol w:w="1131"/>
        <w:gridCol w:w="1316"/>
        <w:gridCol w:w="6505"/>
      </w:tblGrid>
      <w:tr w14:paraId="0E91F1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8" w:hRule="atLeast"/>
        </w:trPr>
        <w:tc>
          <w:tcPr>
            <w:tcW w:w="507" w:type="dxa"/>
            <w:tcBorders>
              <w:top w:val="double" w:color="auto" w:sz="4" w:space="0"/>
              <w:left w:val="double" w:color="auto" w:sz="4" w:space="0"/>
              <w:bottom w:val="single" w:color="auto" w:sz="6" w:space="0"/>
              <w:right w:val="single" w:color="auto" w:sz="4" w:space="0"/>
            </w:tcBorders>
            <w:noWrap w:val="0"/>
            <w:vAlign w:val="center"/>
          </w:tcPr>
          <w:p w14:paraId="627C3D7E">
            <w:pPr>
              <w:adjustRightInd w:val="0"/>
              <w:snapToGrid w:val="0"/>
              <w:spacing w:line="24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131" w:type="dxa"/>
            <w:tcBorders>
              <w:top w:val="double" w:color="auto" w:sz="4" w:space="0"/>
              <w:left w:val="single" w:color="auto" w:sz="4" w:space="0"/>
              <w:bottom w:val="single" w:color="auto" w:sz="6" w:space="0"/>
              <w:right w:val="single" w:color="auto" w:sz="4" w:space="0"/>
            </w:tcBorders>
            <w:noWrap w:val="0"/>
            <w:vAlign w:val="center"/>
          </w:tcPr>
          <w:p w14:paraId="2D8D4592">
            <w:pPr>
              <w:adjustRightInd w:val="0"/>
              <w:snapToGrid w:val="0"/>
              <w:spacing w:line="240" w:lineRule="auto"/>
              <w:jc w:val="center"/>
              <w:rPr>
                <w:rFonts w:ascii="宋体" w:hAnsi="宋体" w:cs="宋体"/>
                <w:b/>
                <w:color w:val="auto"/>
                <w:szCs w:val="21"/>
                <w:highlight w:val="none"/>
              </w:rPr>
            </w:pPr>
            <w:r>
              <w:rPr>
                <w:rFonts w:hint="eastAsia" w:ascii="宋体" w:hAnsi="宋体" w:cs="宋体"/>
                <w:b/>
                <w:color w:val="auto"/>
                <w:szCs w:val="21"/>
                <w:highlight w:val="none"/>
              </w:rPr>
              <w:t>评</w:t>
            </w:r>
            <w:r>
              <w:rPr>
                <w:rFonts w:hint="eastAsia" w:ascii="宋体" w:hAnsi="宋体" w:cs="宋体"/>
                <w:b/>
                <w:color w:val="auto"/>
                <w:szCs w:val="21"/>
                <w:highlight w:val="none"/>
                <w:lang w:val="en-US" w:eastAsia="zh-CN"/>
              </w:rPr>
              <w:t>审</w:t>
            </w:r>
            <w:r>
              <w:rPr>
                <w:rFonts w:hint="eastAsia" w:ascii="宋体" w:hAnsi="宋体" w:cs="宋体"/>
                <w:b/>
                <w:color w:val="auto"/>
                <w:szCs w:val="21"/>
                <w:highlight w:val="none"/>
              </w:rPr>
              <w:t>因素（权重分）</w:t>
            </w:r>
          </w:p>
        </w:tc>
        <w:tc>
          <w:tcPr>
            <w:tcW w:w="7821" w:type="dxa"/>
            <w:gridSpan w:val="2"/>
            <w:tcBorders>
              <w:top w:val="double" w:color="auto" w:sz="4" w:space="0"/>
              <w:left w:val="single" w:color="auto" w:sz="4" w:space="0"/>
              <w:bottom w:val="single" w:color="auto" w:sz="6" w:space="0"/>
              <w:right w:val="double" w:color="auto" w:sz="4" w:space="0"/>
            </w:tcBorders>
            <w:noWrap w:val="0"/>
            <w:vAlign w:val="center"/>
          </w:tcPr>
          <w:p w14:paraId="68F7681B">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评</w:t>
            </w:r>
            <w:r>
              <w:rPr>
                <w:rFonts w:hint="eastAsia" w:ascii="宋体" w:hAnsi="宋体" w:cs="宋体"/>
                <w:b/>
                <w:color w:val="auto"/>
                <w:szCs w:val="21"/>
                <w:highlight w:val="none"/>
                <w:lang w:val="en-US" w:eastAsia="zh-CN"/>
              </w:rPr>
              <w:t>审</w:t>
            </w:r>
            <w:r>
              <w:rPr>
                <w:rFonts w:hint="eastAsia" w:ascii="宋体" w:hAnsi="宋体" w:cs="宋体"/>
                <w:b/>
                <w:color w:val="auto"/>
                <w:szCs w:val="21"/>
                <w:highlight w:val="none"/>
              </w:rPr>
              <w:t>标准</w:t>
            </w:r>
          </w:p>
        </w:tc>
      </w:tr>
      <w:tr w14:paraId="6BAC82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91" w:hRule="atLeast"/>
        </w:trPr>
        <w:tc>
          <w:tcPr>
            <w:tcW w:w="507" w:type="dxa"/>
            <w:tcBorders>
              <w:right w:val="single" w:color="auto" w:sz="4" w:space="0"/>
            </w:tcBorders>
            <w:noWrap w:val="0"/>
            <w:vAlign w:val="center"/>
          </w:tcPr>
          <w:p w14:paraId="773745F3">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131" w:type="dxa"/>
            <w:tcBorders>
              <w:left w:val="single" w:color="auto" w:sz="4" w:space="0"/>
              <w:right w:val="single" w:color="auto" w:sz="4" w:space="0"/>
            </w:tcBorders>
            <w:noWrap w:val="0"/>
            <w:vAlign w:val="center"/>
          </w:tcPr>
          <w:p w14:paraId="104D7924">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价格部分（</w:t>
            </w:r>
            <w:r>
              <w:rPr>
                <w:rFonts w:hint="default" w:ascii="宋体" w:hAnsi="宋体" w:cs="宋体"/>
                <w:color w:val="auto"/>
                <w:szCs w:val="21"/>
                <w:highlight w:val="none"/>
                <w:lang w:val="en" w:eastAsia="zh-CN"/>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w:t>
            </w:r>
          </w:p>
        </w:tc>
        <w:tc>
          <w:tcPr>
            <w:tcW w:w="1316" w:type="dxa"/>
            <w:tcBorders>
              <w:left w:val="single" w:color="auto" w:sz="4" w:space="0"/>
              <w:right w:val="single" w:color="auto" w:sz="4" w:space="0"/>
            </w:tcBorders>
            <w:noWrap w:val="0"/>
            <w:vAlign w:val="center"/>
          </w:tcPr>
          <w:p w14:paraId="1F45A79D">
            <w:pPr>
              <w:adjustRightInd w:val="0"/>
              <w:snapToGrid w:val="0"/>
              <w:spacing w:line="360" w:lineRule="auto"/>
              <w:jc w:val="center"/>
              <w:rPr>
                <w:rFonts w:ascii="宋体" w:hAnsi="宋体" w:cs="宋体"/>
                <w:color w:val="auto"/>
                <w:spacing w:val="-2"/>
                <w:szCs w:val="21"/>
                <w:highlight w:val="none"/>
              </w:rPr>
            </w:pPr>
            <w:r>
              <w:rPr>
                <w:rFonts w:hint="eastAsia" w:ascii="宋体" w:hAnsi="宋体" w:cs="宋体"/>
                <w:color w:val="auto"/>
                <w:spacing w:val="-2"/>
                <w:szCs w:val="21"/>
                <w:highlight w:val="none"/>
              </w:rPr>
              <w:t>投标报价（</w:t>
            </w:r>
            <w:r>
              <w:rPr>
                <w:rFonts w:hint="default" w:ascii="宋体" w:hAnsi="宋体" w:cs="宋体"/>
                <w:color w:val="auto"/>
                <w:spacing w:val="-2"/>
                <w:szCs w:val="21"/>
                <w:highlight w:val="none"/>
                <w:lang w:val="en" w:eastAsia="zh-CN"/>
              </w:rPr>
              <w:t>1</w:t>
            </w:r>
            <w:r>
              <w:rPr>
                <w:rFonts w:hint="eastAsia" w:ascii="宋体" w:hAnsi="宋体" w:cs="宋体"/>
                <w:color w:val="auto"/>
                <w:spacing w:val="-2"/>
                <w:szCs w:val="21"/>
                <w:highlight w:val="none"/>
                <w:lang w:val="en-US" w:eastAsia="zh-CN"/>
              </w:rPr>
              <w:t>0</w:t>
            </w:r>
            <w:r>
              <w:rPr>
                <w:rFonts w:hint="eastAsia" w:ascii="宋体" w:hAnsi="宋体" w:cs="宋体"/>
                <w:color w:val="auto"/>
                <w:spacing w:val="-2"/>
                <w:szCs w:val="21"/>
                <w:highlight w:val="none"/>
              </w:rPr>
              <w:t>分）</w:t>
            </w:r>
          </w:p>
        </w:tc>
        <w:tc>
          <w:tcPr>
            <w:tcW w:w="6505" w:type="dxa"/>
            <w:tcBorders>
              <w:left w:val="single" w:color="auto" w:sz="4" w:space="0"/>
            </w:tcBorders>
            <w:noWrap w:val="0"/>
            <w:vAlign w:val="center"/>
          </w:tcPr>
          <w:p w14:paraId="1778A25D">
            <w:pPr>
              <w:numPr>
                <w:ilvl w:val="0"/>
                <w:numId w:val="4"/>
              </w:numPr>
              <w:tabs>
                <w:tab w:val="left" w:pos="7215"/>
              </w:tabs>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以经磋商小组一致认定满足竞争性磋商文件要求且投标价格经过扣除以后最低的磋商价格为磋商基准价，其价格得分计</w:t>
            </w:r>
            <w:r>
              <w:rPr>
                <w:rFonts w:hint="default" w:ascii="Times New Roman" w:hAnsi="Times New Roman" w:cs="Times New Roman"/>
                <w:color w:val="auto"/>
                <w:szCs w:val="21"/>
                <w:highlight w:val="none"/>
                <w:lang w:val="en" w:eastAsia="zh-CN"/>
              </w:rPr>
              <w:t>1</w:t>
            </w:r>
            <w:r>
              <w:rPr>
                <w:rFonts w:hint="eastAsia" w:ascii="Times New Roman" w:hAnsi="Times New Roman" w:cs="Times New Roman"/>
                <w:color w:val="auto"/>
                <w:szCs w:val="21"/>
                <w:highlight w:val="none"/>
                <w:lang w:val="en-US" w:eastAsia="zh-CN"/>
              </w:rPr>
              <w:t>0</w:t>
            </w:r>
            <w:r>
              <w:rPr>
                <w:rFonts w:hint="default" w:ascii="Times New Roman" w:hAnsi="Times New Roman" w:eastAsia="宋体" w:cs="Times New Roman"/>
                <w:color w:val="auto"/>
                <w:szCs w:val="21"/>
                <w:highlight w:val="none"/>
              </w:rPr>
              <w:t>分。其他有效供应商的价格得分统一按公式计算：磋商得分=（磋商基准价÷最后磋商价格）×</w:t>
            </w:r>
            <w:r>
              <w:rPr>
                <w:rFonts w:hint="default" w:ascii="Times New Roman" w:hAnsi="Times New Roman" w:cs="Times New Roman"/>
                <w:color w:val="auto"/>
                <w:szCs w:val="21"/>
                <w:highlight w:val="none"/>
                <w:lang w:val="en" w:eastAsia="zh-CN"/>
              </w:rPr>
              <w:t>1</w:t>
            </w:r>
            <w:r>
              <w:rPr>
                <w:rFonts w:hint="eastAsia" w:ascii="Times New Roman" w:hAnsi="Times New Roman" w:cs="Times New Roman"/>
                <w:color w:val="auto"/>
                <w:szCs w:val="21"/>
                <w:highlight w:val="none"/>
                <w:lang w:val="en-US" w:eastAsia="zh-CN"/>
              </w:rPr>
              <w:t>0</w:t>
            </w:r>
            <w:r>
              <w:rPr>
                <w:rFonts w:hint="default" w:ascii="Times New Roman" w:hAnsi="Times New Roman" w:eastAsia="宋体" w:cs="Times New Roman"/>
                <w:color w:val="auto"/>
                <w:szCs w:val="21"/>
                <w:highlight w:val="none"/>
              </w:rPr>
              <w:t>。</w:t>
            </w:r>
          </w:p>
          <w:p w14:paraId="253B3E93">
            <w:pPr>
              <w:adjustRightInd w:val="0"/>
              <w:snapToGrid w:val="0"/>
              <w:spacing w:line="360" w:lineRule="auto"/>
              <w:rPr>
                <w:rFonts w:ascii="宋体" w:hAnsi="宋体" w:cs="宋体"/>
                <w:color w:val="auto"/>
                <w:kern w:val="0"/>
                <w:szCs w:val="21"/>
                <w:highlight w:val="none"/>
              </w:rPr>
            </w:pPr>
            <w:r>
              <w:rPr>
                <w:rFonts w:hint="default" w:ascii="Times New Roman" w:hAnsi="Times New Roman" w:eastAsia="宋体" w:cs="Times New Roman"/>
                <w:color w:val="auto"/>
                <w:szCs w:val="21"/>
                <w:highlight w:val="none"/>
              </w:rPr>
              <w:t>注：磋商小组会认为供应商的报价明显低于其他通过符合性审查供应商的报价，供应商不能证明其报价合理性的，磋商小组会将其作为无效投标处理。</w:t>
            </w:r>
          </w:p>
        </w:tc>
      </w:tr>
      <w:tr w14:paraId="6EBCAE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16" w:hRule="atLeast"/>
        </w:trPr>
        <w:tc>
          <w:tcPr>
            <w:tcW w:w="507" w:type="dxa"/>
            <w:vMerge w:val="restart"/>
            <w:tcBorders>
              <w:right w:val="single" w:color="auto" w:sz="4" w:space="0"/>
            </w:tcBorders>
            <w:noWrap w:val="0"/>
            <w:vAlign w:val="center"/>
          </w:tcPr>
          <w:p w14:paraId="1689219F">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131" w:type="dxa"/>
            <w:vMerge w:val="restart"/>
            <w:tcBorders>
              <w:left w:val="single" w:color="auto" w:sz="4" w:space="0"/>
              <w:right w:val="single" w:color="auto" w:sz="4" w:space="0"/>
            </w:tcBorders>
            <w:noWrap w:val="0"/>
            <w:vAlign w:val="center"/>
          </w:tcPr>
          <w:p w14:paraId="62D8E9EC">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技术部分（</w:t>
            </w:r>
            <w:r>
              <w:rPr>
                <w:rFonts w:hint="eastAsia" w:ascii="宋体" w:hAnsi="宋体" w:cs="宋体"/>
                <w:color w:val="auto"/>
                <w:szCs w:val="21"/>
                <w:highlight w:val="none"/>
                <w:lang w:val="en-US" w:eastAsia="zh-CN"/>
              </w:rPr>
              <w:t>50</w:t>
            </w:r>
            <w:r>
              <w:rPr>
                <w:rFonts w:hint="eastAsia" w:ascii="宋体" w:hAnsi="宋体" w:cs="宋体"/>
                <w:color w:val="auto"/>
                <w:szCs w:val="21"/>
                <w:highlight w:val="none"/>
              </w:rPr>
              <w:t>分）</w:t>
            </w:r>
          </w:p>
        </w:tc>
        <w:tc>
          <w:tcPr>
            <w:tcW w:w="1316" w:type="dxa"/>
            <w:tcBorders>
              <w:left w:val="single" w:color="auto" w:sz="4" w:space="0"/>
              <w:right w:val="single" w:color="auto" w:sz="4" w:space="0"/>
            </w:tcBorders>
            <w:noWrap w:val="0"/>
            <w:vAlign w:val="center"/>
          </w:tcPr>
          <w:p w14:paraId="7AC1EADB">
            <w:pPr>
              <w:widowControl/>
              <w:spacing w:line="360" w:lineRule="auto"/>
              <w:jc w:val="center"/>
              <w:rPr>
                <w:rFonts w:hint="eastAsia" w:ascii="宋体" w:hAnsi="宋体" w:cs="宋体"/>
                <w:color w:val="auto"/>
                <w:spacing w:val="-2"/>
                <w:szCs w:val="21"/>
                <w:highlight w:val="none"/>
              </w:rPr>
            </w:pPr>
            <w:r>
              <w:rPr>
                <w:rFonts w:hint="eastAsia" w:ascii="宋体" w:hAnsi="宋体" w:cs="宋体"/>
                <w:color w:val="auto"/>
                <w:kern w:val="0"/>
                <w:szCs w:val="21"/>
                <w:highlight w:val="none"/>
                <w:lang w:val="en-US" w:eastAsia="zh-CN"/>
              </w:rPr>
              <w:t>整体服务</w:t>
            </w:r>
            <w:r>
              <w:rPr>
                <w:rFonts w:hint="eastAsia" w:ascii="宋体" w:hAnsi="宋体" w:cs="宋体"/>
                <w:color w:val="auto"/>
                <w:kern w:val="0"/>
                <w:szCs w:val="21"/>
                <w:highlight w:val="none"/>
              </w:rPr>
              <w:t>方案（</w:t>
            </w:r>
            <w:r>
              <w:rPr>
                <w:rFonts w:hint="default" w:ascii="宋体" w:hAnsi="宋体" w:cs="宋体"/>
                <w:color w:val="auto"/>
                <w:kern w:val="0"/>
                <w:szCs w:val="21"/>
                <w:highlight w:val="none"/>
                <w:lang w:val="en" w:eastAsia="zh-CN"/>
              </w:rPr>
              <w:t>3</w:t>
            </w:r>
            <w:r>
              <w:rPr>
                <w:rFonts w:hint="eastAsia" w:ascii="宋体" w:hAnsi="宋体" w:cs="宋体"/>
                <w:color w:val="auto"/>
                <w:kern w:val="0"/>
                <w:szCs w:val="21"/>
                <w:highlight w:val="none"/>
                <w:lang w:val="en-US" w:eastAsia="zh-CN"/>
              </w:rPr>
              <w:t>0分</w:t>
            </w:r>
            <w:r>
              <w:rPr>
                <w:rFonts w:hint="eastAsia" w:ascii="宋体" w:hAnsi="宋体" w:cs="宋体"/>
                <w:color w:val="auto"/>
                <w:kern w:val="0"/>
                <w:szCs w:val="21"/>
                <w:highlight w:val="none"/>
              </w:rPr>
              <w:t>）</w:t>
            </w:r>
          </w:p>
        </w:tc>
        <w:tc>
          <w:tcPr>
            <w:tcW w:w="6505" w:type="dxa"/>
            <w:tcBorders>
              <w:left w:val="single" w:color="auto" w:sz="4" w:space="0"/>
            </w:tcBorders>
            <w:noWrap w:val="0"/>
            <w:vAlign w:val="center"/>
          </w:tcPr>
          <w:p w14:paraId="61C282FD">
            <w:pPr>
              <w:widowControl/>
              <w:adjustRightInd w:val="0"/>
              <w:snapToGrid w:val="0"/>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供应商针对本项目实际情况提供整体服务方</w:t>
            </w:r>
            <w:r>
              <w:rPr>
                <w:rFonts w:hint="eastAsia" w:ascii="宋体" w:hAnsi="宋体" w:cs="宋体"/>
                <w:color w:val="auto"/>
                <w:kern w:val="0"/>
                <w:szCs w:val="21"/>
                <w:highlight w:val="none"/>
              </w:rPr>
              <w:t>案</w:t>
            </w:r>
            <w:r>
              <w:rPr>
                <w:rFonts w:hint="eastAsia" w:ascii="宋体" w:hAnsi="宋体" w:cs="宋体"/>
                <w:color w:val="auto"/>
                <w:kern w:val="0"/>
                <w:szCs w:val="21"/>
                <w:highlight w:val="none"/>
                <w:lang w:eastAsia="zh-CN"/>
              </w:rPr>
              <w:t>，包括需求分析和理解，</w:t>
            </w:r>
            <w:r>
              <w:rPr>
                <w:rFonts w:hint="eastAsia" w:ascii="宋体" w:hAnsi="宋体" w:cs="宋体"/>
                <w:color w:val="auto"/>
                <w:kern w:val="0"/>
                <w:highlight w:val="none"/>
              </w:rPr>
              <w:t>取水许可辅助审批、用水统计调查辅助审核、水资源承载能力辅助评价</w:t>
            </w:r>
            <w:r>
              <w:rPr>
                <w:rFonts w:hint="eastAsia" w:ascii="宋体" w:hAnsi="宋体" w:cs="宋体"/>
                <w:color w:val="auto"/>
                <w:kern w:val="0"/>
                <w:highlight w:val="none"/>
                <w:lang w:eastAsia="zh-CN"/>
              </w:rPr>
              <w:t>和</w:t>
            </w:r>
            <w:r>
              <w:rPr>
                <w:rFonts w:hint="eastAsia" w:ascii="宋体" w:hAnsi="宋体" w:cs="宋体"/>
                <w:color w:val="auto"/>
                <w:kern w:val="0"/>
                <w:highlight w:val="none"/>
              </w:rPr>
              <w:t>可用水量分配方案辅助落实</w:t>
            </w:r>
            <w:r>
              <w:rPr>
                <w:rFonts w:hint="eastAsia" w:ascii="宋体" w:hAnsi="宋体" w:cs="宋体"/>
                <w:color w:val="auto"/>
                <w:kern w:val="0"/>
                <w:szCs w:val="21"/>
                <w:highlight w:val="none"/>
                <w:lang w:eastAsia="zh-CN"/>
              </w:rPr>
              <w:t>应用场景详细设计等。</w:t>
            </w:r>
          </w:p>
          <w:p w14:paraId="0B5BF34E">
            <w:pPr>
              <w:pStyle w:val="16"/>
              <w:rPr>
                <w:rFonts w:hint="eastAsia"/>
              </w:rPr>
            </w:pPr>
            <w:r>
              <w:rPr>
                <w:rFonts w:hint="eastAsia" w:ascii="宋体" w:hAnsi="宋体" w:cs="宋体"/>
                <w:color w:val="auto"/>
                <w:kern w:val="0"/>
                <w:szCs w:val="21"/>
                <w:highlight w:val="none"/>
                <w:lang w:val="en-US" w:eastAsia="zh-CN"/>
              </w:rPr>
              <w:t>方案内容详细、全面、科学、分析透彻且符合项目实际情况和管理要求的，计</w:t>
            </w:r>
            <w:r>
              <w:rPr>
                <w:rFonts w:hint="default" w:ascii="宋体" w:hAnsi="宋体" w:cs="宋体"/>
                <w:color w:val="auto"/>
                <w:kern w:val="0"/>
                <w:szCs w:val="21"/>
                <w:highlight w:val="none"/>
                <w:lang w:val="en" w:eastAsia="zh-CN"/>
              </w:rPr>
              <w:t>3</w:t>
            </w:r>
            <w:r>
              <w:rPr>
                <w:rFonts w:hint="eastAsia" w:ascii="宋体" w:hAnsi="宋体" w:cs="宋体"/>
                <w:color w:val="auto"/>
                <w:kern w:val="0"/>
                <w:szCs w:val="21"/>
                <w:highlight w:val="none"/>
                <w:lang w:val="en-US" w:eastAsia="zh-CN"/>
              </w:rPr>
              <w:t>0分；有缺漏项的每项扣6分，有不合理处或欠缺处或不完整处的每处扣2分，扣完为止，未提供的不计分。</w:t>
            </w:r>
          </w:p>
        </w:tc>
      </w:tr>
      <w:tr w14:paraId="6A1469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61" w:hRule="atLeast"/>
        </w:trPr>
        <w:tc>
          <w:tcPr>
            <w:tcW w:w="507" w:type="dxa"/>
            <w:vMerge w:val="continue"/>
            <w:tcBorders>
              <w:right w:val="single" w:color="auto" w:sz="4" w:space="0"/>
            </w:tcBorders>
            <w:noWrap w:val="0"/>
            <w:vAlign w:val="center"/>
          </w:tcPr>
          <w:p w14:paraId="247A4912">
            <w:pPr>
              <w:adjustRightInd w:val="0"/>
              <w:snapToGrid w:val="0"/>
              <w:spacing w:line="360" w:lineRule="auto"/>
              <w:jc w:val="center"/>
              <w:rPr>
                <w:rFonts w:hint="eastAsia" w:ascii="宋体" w:hAnsi="宋体" w:cs="宋体"/>
                <w:color w:val="auto"/>
                <w:szCs w:val="21"/>
                <w:highlight w:val="none"/>
              </w:rPr>
            </w:pPr>
          </w:p>
        </w:tc>
        <w:tc>
          <w:tcPr>
            <w:tcW w:w="1131" w:type="dxa"/>
            <w:vMerge w:val="continue"/>
            <w:tcBorders>
              <w:left w:val="single" w:color="auto" w:sz="4" w:space="0"/>
              <w:right w:val="single" w:color="auto" w:sz="4" w:space="0"/>
            </w:tcBorders>
            <w:noWrap w:val="0"/>
            <w:vAlign w:val="center"/>
          </w:tcPr>
          <w:p w14:paraId="3C42A074">
            <w:pPr>
              <w:widowControl/>
              <w:spacing w:line="360" w:lineRule="auto"/>
              <w:jc w:val="center"/>
              <w:rPr>
                <w:rFonts w:hint="eastAsia" w:ascii="宋体" w:hAnsi="宋体" w:cs="宋体"/>
                <w:color w:val="auto"/>
                <w:szCs w:val="21"/>
                <w:highlight w:val="none"/>
              </w:rPr>
            </w:pPr>
          </w:p>
        </w:tc>
        <w:tc>
          <w:tcPr>
            <w:tcW w:w="1316" w:type="dxa"/>
            <w:tcBorders>
              <w:left w:val="single" w:color="auto" w:sz="4" w:space="0"/>
              <w:right w:val="single" w:color="auto" w:sz="4" w:space="0"/>
            </w:tcBorders>
            <w:noWrap w:val="0"/>
            <w:vAlign w:val="center"/>
          </w:tcPr>
          <w:p w14:paraId="76B963B3">
            <w:pPr>
              <w:widowControl/>
              <w:spacing w:line="360" w:lineRule="auto"/>
              <w:jc w:val="center"/>
              <w:rPr>
                <w:rFonts w:hint="eastAsia" w:ascii="宋体" w:hAnsi="宋体" w:cs="宋体"/>
                <w:color w:val="auto"/>
                <w:spacing w:val="-2"/>
                <w:szCs w:val="21"/>
                <w:highlight w:val="none"/>
              </w:rPr>
            </w:pPr>
            <w:r>
              <w:rPr>
                <w:rFonts w:hint="eastAsia" w:ascii="宋体" w:hAnsi="宋体" w:cs="宋体"/>
                <w:color w:val="auto"/>
                <w:kern w:val="0"/>
                <w:szCs w:val="21"/>
                <w:highlight w:val="none"/>
                <w:lang w:eastAsia="zh-CN"/>
              </w:rPr>
              <w:t>项目实施方案</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12分</w:t>
            </w:r>
            <w:r>
              <w:rPr>
                <w:rFonts w:hint="eastAsia" w:ascii="宋体" w:hAnsi="宋体" w:cs="宋体"/>
                <w:color w:val="auto"/>
                <w:kern w:val="0"/>
                <w:szCs w:val="21"/>
                <w:highlight w:val="none"/>
              </w:rPr>
              <w:t>）</w:t>
            </w:r>
          </w:p>
        </w:tc>
        <w:tc>
          <w:tcPr>
            <w:tcW w:w="6505" w:type="dxa"/>
            <w:tcBorders>
              <w:left w:val="single" w:color="auto" w:sz="4" w:space="0"/>
            </w:tcBorders>
            <w:noWrap w:val="0"/>
            <w:vAlign w:val="center"/>
          </w:tcPr>
          <w:p w14:paraId="4233BB6C">
            <w:pPr>
              <w:widowControl/>
              <w:adjustRightInd w:val="0"/>
              <w:snapToGrid w:val="0"/>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供应商针对本项目实际情况提供项目实施方案</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方案包括但不限于：团队组织保障、质量管理、风险管理、进度控制、试运行和验收、成果交付等内容。</w:t>
            </w:r>
          </w:p>
          <w:p w14:paraId="7E01BB9C">
            <w:pPr>
              <w:widowControl/>
              <w:adjustRightInd w:val="0"/>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方案详细、全面、科学、分析透彻且符合项目实际情况和管理要求的，计12分；有缺漏项的每项扣2分，有不合理处或欠缺处或不完整处的每处扣1分，扣完为止，未提供的不计分。</w:t>
            </w:r>
          </w:p>
        </w:tc>
      </w:tr>
      <w:tr w14:paraId="0A73F0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4" w:hRule="atLeast"/>
        </w:trPr>
        <w:tc>
          <w:tcPr>
            <w:tcW w:w="507" w:type="dxa"/>
            <w:vMerge w:val="continue"/>
            <w:tcBorders>
              <w:right w:val="single" w:color="auto" w:sz="4" w:space="0"/>
            </w:tcBorders>
            <w:noWrap w:val="0"/>
            <w:vAlign w:val="center"/>
          </w:tcPr>
          <w:p w14:paraId="282480A2">
            <w:pPr>
              <w:adjustRightInd w:val="0"/>
              <w:snapToGrid w:val="0"/>
              <w:spacing w:line="360" w:lineRule="auto"/>
              <w:jc w:val="center"/>
              <w:rPr>
                <w:rFonts w:hint="eastAsia" w:ascii="宋体" w:hAnsi="宋体" w:cs="宋体"/>
                <w:color w:val="auto"/>
                <w:szCs w:val="21"/>
                <w:highlight w:val="none"/>
              </w:rPr>
            </w:pPr>
          </w:p>
        </w:tc>
        <w:tc>
          <w:tcPr>
            <w:tcW w:w="1131" w:type="dxa"/>
            <w:vMerge w:val="continue"/>
            <w:tcBorders>
              <w:left w:val="single" w:color="auto" w:sz="4" w:space="0"/>
              <w:right w:val="single" w:color="auto" w:sz="4" w:space="0"/>
            </w:tcBorders>
            <w:noWrap w:val="0"/>
            <w:vAlign w:val="center"/>
          </w:tcPr>
          <w:p w14:paraId="0290B659">
            <w:pPr>
              <w:widowControl/>
              <w:spacing w:line="360" w:lineRule="auto"/>
              <w:jc w:val="center"/>
              <w:rPr>
                <w:rFonts w:hint="eastAsia" w:ascii="宋体" w:hAnsi="宋体" w:cs="宋体"/>
                <w:color w:val="auto"/>
                <w:szCs w:val="21"/>
                <w:highlight w:val="none"/>
              </w:rPr>
            </w:pPr>
          </w:p>
        </w:tc>
        <w:tc>
          <w:tcPr>
            <w:tcW w:w="1316" w:type="dxa"/>
            <w:tcBorders>
              <w:left w:val="single" w:color="auto" w:sz="4" w:space="0"/>
              <w:right w:val="single" w:color="auto" w:sz="4" w:space="0"/>
            </w:tcBorders>
            <w:noWrap w:val="0"/>
            <w:vAlign w:val="center"/>
          </w:tcPr>
          <w:p w14:paraId="1C113575">
            <w:pPr>
              <w:widowControl/>
              <w:spacing w:line="360" w:lineRule="auto"/>
              <w:jc w:val="center"/>
              <w:rPr>
                <w:rFonts w:hint="eastAsia" w:ascii="宋体" w:hAnsi="宋体" w:cs="宋体"/>
                <w:color w:val="auto"/>
                <w:spacing w:val="-2"/>
                <w:szCs w:val="21"/>
                <w:highlight w:val="none"/>
              </w:rPr>
            </w:pPr>
            <w:r>
              <w:rPr>
                <w:rFonts w:hint="eastAsia" w:ascii="宋体" w:hAnsi="宋体" w:cs="宋体"/>
                <w:color w:val="auto"/>
                <w:kern w:val="0"/>
                <w:szCs w:val="21"/>
                <w:highlight w:val="none"/>
                <w:lang w:val="en-US" w:eastAsia="zh-CN"/>
              </w:rPr>
              <w:t>质量保障与</w:t>
            </w:r>
            <w:del w:id="81" w:author="红博" w:date="2026-06-23T14:50:39Z">
              <w:r>
                <w:rPr>
                  <w:rFonts w:hint="default" w:ascii="宋体" w:hAnsi="宋体" w:cs="宋体"/>
                  <w:color w:val="auto"/>
                  <w:kern w:val="0"/>
                  <w:szCs w:val="21"/>
                  <w:highlight w:val="none"/>
                  <w:lang w:val="en-US" w:eastAsia="zh-CN"/>
                  <w:rPrChange w:id="82" w:author="红博" w:date="2026-06-23T14:55:31Z">
                    <w:rPr>
                      <w:rFonts w:hint="eastAsia" w:ascii="宋体" w:hAnsi="宋体" w:cs="宋体"/>
                      <w:color w:val="auto"/>
                      <w:kern w:val="0"/>
                      <w:szCs w:val="21"/>
                      <w:highlight w:val="none"/>
                      <w:lang w:val="en-US" w:eastAsia="zh-CN"/>
                    </w:rPr>
                  </w:rPrChange>
                </w:rPr>
                <w:delText>服务响应</w:delText>
              </w:r>
            </w:del>
            <w:ins w:id="83" w:author="红博" w:date="2026-06-23T14:50:45Z">
              <w:r>
                <w:rPr>
                  <w:rFonts w:hint="eastAsia" w:ascii="宋体" w:hAnsi="宋体" w:cs="宋体"/>
                  <w:color w:val="auto"/>
                  <w:kern w:val="0"/>
                  <w:szCs w:val="21"/>
                  <w:highlight w:val="none"/>
                  <w:lang w:val="en-US" w:eastAsia="zh-CN"/>
                  <w:rPrChange w:id="84" w:author="红博" w:date="2026-06-23T14:55:31Z">
                    <w:rPr>
                      <w:rFonts w:hint="eastAsia" w:ascii="宋体" w:hAnsi="宋体" w:cs="宋体"/>
                      <w:color w:val="FF0000"/>
                      <w:kern w:val="0"/>
                      <w:szCs w:val="21"/>
                      <w:highlight w:val="none"/>
                      <w:lang w:val="en-US" w:eastAsia="zh-CN"/>
                    </w:rPr>
                  </w:rPrChange>
                </w:rPr>
                <w:t>质保</w:t>
              </w:r>
            </w:ins>
            <w:ins w:id="85" w:author="红博" w:date="2026-06-23T14:50:47Z">
              <w:r>
                <w:rPr>
                  <w:rFonts w:hint="eastAsia" w:ascii="宋体" w:hAnsi="宋体" w:cs="宋体"/>
                  <w:color w:val="auto"/>
                  <w:kern w:val="0"/>
                  <w:szCs w:val="21"/>
                  <w:highlight w:val="none"/>
                  <w:lang w:val="en-US" w:eastAsia="zh-CN"/>
                  <w:rPrChange w:id="86" w:author="红博" w:date="2026-06-23T14:55:31Z">
                    <w:rPr>
                      <w:rFonts w:hint="eastAsia" w:ascii="宋体" w:hAnsi="宋体" w:cs="宋体"/>
                      <w:color w:val="FF0000"/>
                      <w:kern w:val="0"/>
                      <w:szCs w:val="21"/>
                      <w:highlight w:val="none"/>
                      <w:lang w:val="en-US" w:eastAsia="zh-CN"/>
                    </w:rPr>
                  </w:rPrChange>
                </w:rPr>
                <w:t>期</w:t>
              </w:r>
            </w:ins>
            <w:ins w:id="87" w:author="红博" w:date="2026-06-23T14:50:49Z">
              <w:r>
                <w:rPr>
                  <w:rFonts w:hint="eastAsia" w:ascii="宋体" w:hAnsi="宋体" w:cs="宋体"/>
                  <w:color w:val="auto"/>
                  <w:kern w:val="0"/>
                  <w:szCs w:val="21"/>
                  <w:highlight w:val="none"/>
                  <w:lang w:val="en-US" w:eastAsia="zh-CN"/>
                  <w:rPrChange w:id="88" w:author="红博" w:date="2026-06-23T14:55:31Z">
                    <w:rPr>
                      <w:rFonts w:hint="eastAsia" w:ascii="宋体" w:hAnsi="宋体" w:cs="宋体"/>
                      <w:color w:val="FF0000"/>
                      <w:kern w:val="0"/>
                      <w:szCs w:val="21"/>
                      <w:highlight w:val="none"/>
                      <w:lang w:val="en-US" w:eastAsia="zh-CN"/>
                    </w:rPr>
                  </w:rPrChange>
                </w:rPr>
                <w:t>服务</w:t>
              </w:r>
            </w:ins>
            <w:r>
              <w:rPr>
                <w:rFonts w:hint="eastAsia" w:ascii="宋体" w:hAnsi="宋体" w:cs="宋体"/>
                <w:color w:val="auto"/>
                <w:kern w:val="0"/>
                <w:szCs w:val="21"/>
                <w:highlight w:val="none"/>
                <w:lang w:eastAsia="zh-CN"/>
              </w:rPr>
              <w:t>方案</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8分</w:t>
            </w:r>
            <w:r>
              <w:rPr>
                <w:rFonts w:hint="eastAsia" w:ascii="宋体" w:hAnsi="宋体" w:cs="宋体"/>
                <w:color w:val="auto"/>
                <w:kern w:val="0"/>
                <w:szCs w:val="21"/>
                <w:highlight w:val="none"/>
              </w:rPr>
              <w:t>）</w:t>
            </w:r>
          </w:p>
        </w:tc>
        <w:tc>
          <w:tcPr>
            <w:tcW w:w="6505" w:type="dxa"/>
            <w:tcBorders>
              <w:left w:val="single" w:color="auto" w:sz="4" w:space="0"/>
            </w:tcBorders>
            <w:noWrap w:val="0"/>
            <w:vAlign w:val="center"/>
          </w:tcPr>
          <w:p w14:paraId="1E25E080">
            <w:pPr>
              <w:widowControl/>
              <w:adjustRightInd w:val="0"/>
              <w:snapToGrid w:val="0"/>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供应商针对本项目实际情况提供质量保障与服务响应方</w:t>
            </w:r>
            <w:r>
              <w:rPr>
                <w:rFonts w:hint="eastAsia" w:ascii="宋体" w:hAnsi="宋体" w:cs="宋体"/>
                <w:color w:val="auto"/>
                <w:kern w:val="0"/>
                <w:szCs w:val="21"/>
                <w:highlight w:val="none"/>
              </w:rPr>
              <w:t>案</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方案包括但不限于：①质量保障措施、②</w:t>
            </w:r>
            <w:del w:id="89" w:author="红博" w:date="2026-06-23T14:51:34Z">
              <w:r>
                <w:rPr>
                  <w:rFonts w:hint="default" w:ascii="宋体" w:hAnsi="宋体" w:cs="宋体"/>
                  <w:color w:val="auto"/>
                  <w:kern w:val="0"/>
                  <w:szCs w:val="21"/>
                  <w:highlight w:val="none"/>
                  <w:lang w:val="en-US" w:eastAsia="zh-CN"/>
                </w:rPr>
                <w:delText>服务响应</w:delText>
              </w:r>
            </w:del>
            <w:ins w:id="90" w:author="红博" w:date="2026-06-23T14:51:38Z">
              <w:r>
                <w:rPr>
                  <w:rFonts w:hint="eastAsia" w:ascii="宋体" w:hAnsi="宋体" w:cs="宋体"/>
                  <w:color w:val="auto"/>
                  <w:kern w:val="0"/>
                  <w:szCs w:val="21"/>
                  <w:highlight w:val="none"/>
                  <w:lang w:val="en-US" w:eastAsia="zh-CN"/>
                </w:rPr>
                <w:t>质保期</w:t>
              </w:r>
            </w:ins>
            <w:ins w:id="91" w:author="红博" w:date="2026-06-23T14:51:40Z">
              <w:r>
                <w:rPr>
                  <w:rFonts w:hint="eastAsia" w:ascii="宋体" w:hAnsi="宋体" w:cs="宋体"/>
                  <w:color w:val="auto"/>
                  <w:kern w:val="0"/>
                  <w:szCs w:val="21"/>
                  <w:highlight w:val="none"/>
                  <w:lang w:val="en-US" w:eastAsia="zh-CN"/>
                </w:rPr>
                <w:t>服务</w:t>
              </w:r>
            </w:ins>
            <w:r>
              <w:rPr>
                <w:rFonts w:hint="eastAsia" w:ascii="宋体" w:hAnsi="宋体" w:cs="宋体"/>
                <w:color w:val="auto"/>
                <w:kern w:val="0"/>
                <w:szCs w:val="21"/>
                <w:highlight w:val="none"/>
                <w:lang w:val="en-US" w:eastAsia="zh-CN"/>
              </w:rPr>
              <w:t>方案</w:t>
            </w:r>
          </w:p>
          <w:p w14:paraId="11B4D351">
            <w:r>
              <w:rPr>
                <w:rFonts w:hint="eastAsia" w:ascii="宋体" w:hAnsi="宋体" w:cs="宋体"/>
                <w:color w:val="auto"/>
                <w:kern w:val="0"/>
                <w:szCs w:val="21"/>
                <w:highlight w:val="none"/>
                <w:lang w:val="en-US" w:eastAsia="zh-CN"/>
              </w:rPr>
              <w:t>质量保障与</w:t>
            </w:r>
            <w:ins w:id="92" w:author="红博" w:date="2026-06-23T14:52:03Z">
              <w:r>
                <w:rPr>
                  <w:rFonts w:hint="eastAsia" w:ascii="宋体" w:hAnsi="宋体" w:cs="宋体"/>
                  <w:color w:val="auto"/>
                  <w:kern w:val="0"/>
                  <w:szCs w:val="21"/>
                  <w:highlight w:val="none"/>
                  <w:lang w:val="en-US" w:eastAsia="zh-CN"/>
                </w:rPr>
                <w:t>质保期服务</w:t>
              </w:r>
            </w:ins>
            <w:del w:id="93" w:author="红博" w:date="2026-06-23T14:52:03Z">
              <w:r>
                <w:rPr>
                  <w:rFonts w:hint="eastAsia" w:ascii="宋体" w:hAnsi="宋体" w:cs="宋体"/>
                  <w:color w:val="auto"/>
                  <w:kern w:val="0"/>
                  <w:szCs w:val="21"/>
                  <w:highlight w:val="none"/>
                  <w:lang w:val="en-US" w:eastAsia="zh-CN"/>
                </w:rPr>
                <w:delText>服务响应</w:delText>
              </w:r>
            </w:del>
            <w:r>
              <w:rPr>
                <w:rFonts w:hint="eastAsia" w:ascii="宋体" w:hAnsi="宋体" w:cs="宋体"/>
                <w:color w:val="auto"/>
                <w:kern w:val="0"/>
                <w:szCs w:val="21"/>
                <w:highlight w:val="none"/>
                <w:lang w:val="en-US" w:eastAsia="zh-CN"/>
              </w:rPr>
              <w:t>方</w:t>
            </w:r>
            <w:r>
              <w:rPr>
                <w:rFonts w:hint="eastAsia" w:ascii="宋体" w:hAnsi="宋体" w:cs="宋体"/>
                <w:color w:val="auto"/>
                <w:kern w:val="0"/>
                <w:szCs w:val="21"/>
                <w:highlight w:val="none"/>
              </w:rPr>
              <w:t>案</w:t>
            </w:r>
            <w:r>
              <w:rPr>
                <w:rFonts w:hint="eastAsia" w:ascii="宋体" w:hAnsi="宋体" w:cs="宋体"/>
                <w:color w:val="auto"/>
                <w:kern w:val="0"/>
                <w:szCs w:val="21"/>
                <w:highlight w:val="none"/>
                <w:lang w:val="en-US" w:eastAsia="zh-CN"/>
              </w:rPr>
              <w:t>内容详细、全面、科学、分析透彻且符合项目实际情况和管理要求的，计8分；有缺漏项的每项扣4分，有不合理处或欠缺处或不完整处的每处扣</w:t>
            </w:r>
            <w:del w:id="94" w:author="luyang" w:date="2026-06-23T12:49:24Z">
              <w:r>
                <w:rPr>
                  <w:rFonts w:hint="default" w:ascii="宋体" w:hAnsi="宋体" w:cs="宋体"/>
                  <w:color w:val="auto"/>
                  <w:kern w:val="0"/>
                  <w:szCs w:val="21"/>
                  <w:highlight w:val="none"/>
                  <w:lang w:val="en-US" w:eastAsia="zh-CN"/>
                </w:rPr>
                <w:delText>2</w:delText>
              </w:r>
            </w:del>
            <w:ins w:id="95" w:author="luyang" w:date="2026-06-23T12:49:24Z">
              <w:r>
                <w:rPr>
                  <w:rFonts w:hint="default" w:ascii="宋体" w:hAnsi="宋体" w:cs="宋体"/>
                  <w:color w:val="auto"/>
                  <w:kern w:val="0"/>
                  <w:szCs w:val="21"/>
                  <w:highlight w:val="none"/>
                  <w:lang w:val="en" w:eastAsia="zh-CN"/>
                </w:rPr>
                <w:t>1</w:t>
              </w:r>
            </w:ins>
            <w:r>
              <w:rPr>
                <w:rFonts w:hint="eastAsia" w:ascii="宋体" w:hAnsi="宋体" w:cs="宋体"/>
                <w:color w:val="auto"/>
                <w:kern w:val="0"/>
                <w:szCs w:val="21"/>
                <w:highlight w:val="none"/>
                <w:lang w:val="en-US" w:eastAsia="zh-CN"/>
              </w:rPr>
              <w:t>分，扣完为止，未提供的不计分。</w:t>
            </w:r>
          </w:p>
          <w:p w14:paraId="27BDDB78">
            <w:pPr>
              <w:widowControl/>
              <w:adjustRightInd w:val="0"/>
              <w:snapToGrid w:val="0"/>
              <w:spacing w:line="360" w:lineRule="auto"/>
              <w:jc w:val="left"/>
              <w:rPr>
                <w:rFonts w:hint="eastAsia"/>
                <w:color w:val="auto"/>
                <w:highlight w:val="none"/>
              </w:rPr>
            </w:pPr>
          </w:p>
        </w:tc>
      </w:tr>
      <w:tr w14:paraId="58B2EF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10" w:hRule="atLeast"/>
        </w:trPr>
        <w:tc>
          <w:tcPr>
            <w:tcW w:w="507" w:type="dxa"/>
            <w:vMerge w:val="restart"/>
            <w:tcBorders>
              <w:right w:val="single" w:color="auto" w:sz="4" w:space="0"/>
            </w:tcBorders>
            <w:noWrap w:val="0"/>
            <w:vAlign w:val="center"/>
          </w:tcPr>
          <w:p w14:paraId="31CC495A">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131" w:type="dxa"/>
            <w:vMerge w:val="restart"/>
            <w:tcBorders>
              <w:left w:val="single" w:color="auto" w:sz="4" w:space="0"/>
              <w:right w:val="single" w:color="auto" w:sz="4" w:space="0"/>
            </w:tcBorders>
            <w:noWrap w:val="0"/>
            <w:vAlign w:val="center"/>
          </w:tcPr>
          <w:p w14:paraId="66E22132">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商务部分（</w:t>
            </w:r>
            <w:r>
              <w:rPr>
                <w:rFonts w:hint="default" w:ascii="宋体" w:hAnsi="宋体" w:cs="宋体"/>
                <w:color w:val="auto"/>
                <w:szCs w:val="21"/>
                <w:highlight w:val="none"/>
                <w:lang w:val="en" w:eastAsia="zh-CN"/>
              </w:rPr>
              <w:t>4</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w:t>
            </w:r>
          </w:p>
        </w:tc>
        <w:tc>
          <w:tcPr>
            <w:tcW w:w="1316" w:type="dxa"/>
            <w:tcBorders>
              <w:left w:val="single" w:color="auto" w:sz="4" w:space="0"/>
            </w:tcBorders>
            <w:noWrap w:val="0"/>
            <w:vAlign w:val="center"/>
          </w:tcPr>
          <w:p w14:paraId="7FF7A572">
            <w:pPr>
              <w:widowControl/>
              <w:spacing w:line="360" w:lineRule="auto"/>
              <w:jc w:val="center"/>
              <w:rPr>
                <w:rFonts w:hint="eastAsia" w:ascii="宋体" w:hAnsi="宋体" w:cs="宋体"/>
                <w:color w:val="auto"/>
                <w:kern w:val="0"/>
                <w:szCs w:val="21"/>
                <w:highlight w:val="none"/>
                <w:lang w:val="en" w:eastAsia="zh-CN"/>
              </w:rPr>
            </w:pPr>
            <w:r>
              <w:rPr>
                <w:rFonts w:hint="eastAsia" w:ascii="宋体" w:hAnsi="宋体" w:cs="宋体"/>
                <w:color w:val="auto"/>
                <w:kern w:val="0"/>
                <w:szCs w:val="21"/>
                <w:highlight w:val="none"/>
                <w:lang w:val="en" w:eastAsia="zh-CN"/>
              </w:rPr>
              <w:t>综合实力</w:t>
            </w:r>
          </w:p>
          <w:p w14:paraId="5156DB7F">
            <w:r>
              <w:rPr>
                <w:rFonts w:hint="eastAsia" w:ascii="宋体" w:hAnsi="宋体" w:cs="宋体"/>
                <w:color w:val="auto"/>
                <w:kern w:val="0"/>
                <w:szCs w:val="21"/>
                <w:highlight w:val="none"/>
                <w:lang w:val="en" w:eastAsia="zh-CN"/>
              </w:rPr>
              <w:t>（</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lang w:val="en" w:eastAsia="zh-CN"/>
              </w:rPr>
              <w:t>）</w:t>
            </w:r>
          </w:p>
          <w:p w14:paraId="0D9601BA"/>
          <w:p w14:paraId="5686659D">
            <w:pPr>
              <w:widowControl/>
              <w:spacing w:line="360" w:lineRule="auto"/>
              <w:jc w:val="center"/>
              <w:rPr>
                <w:rFonts w:ascii="宋体" w:hAnsi="宋体" w:cs="宋体"/>
                <w:color w:val="auto"/>
                <w:highlight w:val="none"/>
              </w:rPr>
            </w:pPr>
          </w:p>
        </w:tc>
        <w:tc>
          <w:tcPr>
            <w:tcW w:w="6505" w:type="dxa"/>
            <w:tcBorders>
              <w:left w:val="single" w:color="auto" w:sz="4" w:space="0"/>
              <w:bottom w:val="single" w:color="auto" w:sz="4" w:space="0"/>
            </w:tcBorders>
            <w:noWrap w:val="0"/>
            <w:vAlign w:val="center"/>
          </w:tcPr>
          <w:p w14:paraId="53593D4A">
            <w:r>
              <w:rPr>
                <w:rFonts w:hint="eastAsia" w:ascii="宋体" w:hAnsi="宋体" w:cs="宋体"/>
                <w:color w:val="auto"/>
                <w:kern w:val="0"/>
                <w:highlight w:val="none"/>
              </w:rPr>
              <w:t>投标人具有ISO9001质量管理体系认证、ISO 20000信息技术服务管理体系证书、ISO 27001信息安全管理体系标准证书</w:t>
            </w:r>
            <w:r>
              <w:rPr>
                <w:rFonts w:hint="eastAsia" w:ascii="宋体" w:hAnsi="宋体" w:cs="宋体"/>
                <w:color w:val="auto"/>
                <w:kern w:val="0"/>
                <w:highlight w:val="none"/>
                <w:lang w:eastAsia="zh-CN"/>
              </w:rPr>
              <w:t>、</w:t>
            </w:r>
            <w:r>
              <w:rPr>
                <w:rFonts w:hint="eastAsia" w:ascii="宋体" w:hAnsi="宋体" w:cs="宋体"/>
                <w:color w:val="auto"/>
                <w:kern w:val="0"/>
                <w:highlight w:val="none"/>
              </w:rPr>
              <w:t>ITSS信息技术服务运行维护标准符合性证书</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CMMI 4级以上</w:t>
            </w:r>
            <w:r>
              <w:rPr>
                <w:rFonts w:hint="eastAsia" w:ascii="宋体" w:hAnsi="宋体" w:cs="宋体"/>
                <w:color w:val="auto"/>
                <w:kern w:val="0"/>
                <w:highlight w:val="none"/>
              </w:rPr>
              <w:t>。全部满足计</w:t>
            </w:r>
            <w:r>
              <w:rPr>
                <w:rFonts w:hint="eastAsia" w:ascii="宋体" w:hAnsi="宋体" w:cs="宋体"/>
                <w:color w:val="auto"/>
                <w:kern w:val="0"/>
                <w:highlight w:val="none"/>
                <w:lang w:eastAsia="zh-CN"/>
              </w:rPr>
              <w:t>1</w:t>
            </w:r>
            <w:r>
              <w:rPr>
                <w:rFonts w:hint="eastAsia" w:ascii="宋体" w:hAnsi="宋体" w:cs="宋体"/>
                <w:color w:val="auto"/>
                <w:kern w:val="0"/>
                <w:highlight w:val="none"/>
                <w:lang w:val="en-US" w:eastAsia="zh-CN"/>
              </w:rPr>
              <w:t>0</w:t>
            </w:r>
            <w:r>
              <w:rPr>
                <w:rFonts w:hint="eastAsia" w:ascii="宋体" w:hAnsi="宋体" w:cs="宋体"/>
                <w:color w:val="auto"/>
                <w:kern w:val="0"/>
                <w:highlight w:val="none"/>
              </w:rPr>
              <w:t>分，每少一</w:t>
            </w:r>
            <w:r>
              <w:rPr>
                <w:rFonts w:hint="eastAsia" w:ascii="宋体" w:hAnsi="宋体" w:cs="宋体"/>
                <w:color w:val="auto"/>
                <w:kern w:val="0"/>
                <w:highlight w:val="none"/>
                <w:lang w:eastAsia="zh-CN"/>
              </w:rPr>
              <w:t>项</w:t>
            </w:r>
            <w:r>
              <w:rPr>
                <w:rFonts w:hint="eastAsia" w:ascii="宋体" w:hAnsi="宋体" w:cs="宋体"/>
                <w:color w:val="auto"/>
                <w:kern w:val="0"/>
                <w:highlight w:val="none"/>
              </w:rPr>
              <w:t>扣</w:t>
            </w: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分，扣完为止。</w:t>
            </w:r>
          </w:p>
          <w:p w14:paraId="7FB5922E">
            <w:pPr>
              <w:widowControl/>
              <w:numPr>
                <w:ilvl w:val="0"/>
                <w:numId w:val="0"/>
              </w:numPr>
              <w:adjustRightInd w:val="0"/>
              <w:snapToGrid w:val="0"/>
              <w:spacing w:line="360" w:lineRule="auto"/>
              <w:jc w:val="left"/>
              <w:rPr>
                <w:rFonts w:hint="default"/>
                <w:lang w:val="en-US" w:eastAsia="zh-CN"/>
              </w:rPr>
            </w:pPr>
          </w:p>
        </w:tc>
      </w:tr>
      <w:tr w14:paraId="3C2A88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10" w:hRule="atLeast"/>
        </w:trPr>
        <w:tc>
          <w:tcPr>
            <w:tcW w:w="507" w:type="dxa"/>
            <w:vMerge w:val="continue"/>
            <w:tcBorders>
              <w:right w:val="single" w:color="auto" w:sz="4" w:space="0"/>
            </w:tcBorders>
            <w:noWrap w:val="0"/>
            <w:vAlign w:val="center"/>
          </w:tcPr>
          <w:p w14:paraId="6EA71562">
            <w:pPr>
              <w:adjustRightInd w:val="0"/>
              <w:snapToGrid w:val="0"/>
              <w:spacing w:line="360" w:lineRule="auto"/>
              <w:jc w:val="center"/>
              <w:rPr>
                <w:rFonts w:hint="eastAsia" w:ascii="宋体" w:hAnsi="宋体" w:cs="宋体"/>
                <w:color w:val="auto"/>
                <w:szCs w:val="21"/>
                <w:highlight w:val="none"/>
              </w:rPr>
            </w:pPr>
          </w:p>
        </w:tc>
        <w:tc>
          <w:tcPr>
            <w:tcW w:w="1131" w:type="dxa"/>
            <w:vMerge w:val="continue"/>
            <w:tcBorders>
              <w:left w:val="single" w:color="auto" w:sz="4" w:space="0"/>
              <w:right w:val="single" w:color="auto" w:sz="4" w:space="0"/>
            </w:tcBorders>
            <w:noWrap w:val="0"/>
            <w:vAlign w:val="center"/>
          </w:tcPr>
          <w:p w14:paraId="6E015E39">
            <w:pPr>
              <w:adjustRightInd w:val="0"/>
              <w:snapToGrid w:val="0"/>
              <w:spacing w:line="360" w:lineRule="auto"/>
              <w:jc w:val="center"/>
              <w:rPr>
                <w:rFonts w:hint="eastAsia" w:ascii="宋体" w:hAnsi="宋体" w:cs="宋体"/>
                <w:color w:val="auto"/>
                <w:szCs w:val="21"/>
                <w:highlight w:val="none"/>
              </w:rPr>
            </w:pPr>
          </w:p>
        </w:tc>
        <w:tc>
          <w:tcPr>
            <w:tcW w:w="1316" w:type="dxa"/>
            <w:tcBorders>
              <w:left w:val="single" w:color="auto" w:sz="4" w:space="0"/>
            </w:tcBorders>
            <w:noWrap w:val="0"/>
            <w:vAlign w:val="center"/>
          </w:tcPr>
          <w:p w14:paraId="3DAF4959">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项目团队</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12分</w:t>
            </w:r>
            <w:r>
              <w:rPr>
                <w:rFonts w:hint="eastAsia" w:ascii="宋体" w:hAnsi="宋体" w:cs="宋体"/>
                <w:color w:val="auto"/>
                <w:kern w:val="0"/>
                <w:szCs w:val="21"/>
                <w:highlight w:val="none"/>
              </w:rPr>
              <w:t>）</w:t>
            </w:r>
          </w:p>
        </w:tc>
        <w:tc>
          <w:tcPr>
            <w:tcW w:w="6505" w:type="dxa"/>
            <w:tcBorders>
              <w:left w:val="single" w:color="auto" w:sz="4" w:space="0"/>
              <w:bottom w:val="single" w:color="auto" w:sz="4" w:space="0"/>
            </w:tcBorders>
            <w:noWrap w:val="0"/>
            <w:vAlign w:val="center"/>
          </w:tcPr>
          <w:p w14:paraId="63DF00A5">
            <w:pPr>
              <w:widowControl/>
              <w:numPr>
                <w:ilvl w:val="0"/>
                <w:numId w:val="0"/>
              </w:numPr>
              <w:adjustRightInd w:val="0"/>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项目负责人具备</w:t>
            </w:r>
            <w:r>
              <w:rPr>
                <w:rFonts w:hint="eastAsia" w:ascii="宋体" w:hAnsi="宋体" w:cs="宋体"/>
                <w:color w:val="auto"/>
                <w:kern w:val="0"/>
                <w:szCs w:val="21"/>
                <w:highlight w:val="none"/>
                <w:lang w:val="en-US" w:eastAsia="zh-CN"/>
              </w:rPr>
              <w:t>水利类</w:t>
            </w:r>
            <w:r>
              <w:rPr>
                <w:rFonts w:hint="eastAsia" w:ascii="宋体" w:hAnsi="宋体" w:cs="宋体"/>
                <w:color w:val="auto"/>
                <w:kern w:val="0"/>
                <w:szCs w:val="21"/>
                <w:highlight w:val="none"/>
                <w:lang w:eastAsia="zh-CN"/>
              </w:rPr>
              <w:t>或信息化类</w:t>
            </w:r>
            <w:r>
              <w:rPr>
                <w:rFonts w:hint="eastAsia" w:ascii="宋体" w:hAnsi="宋体" w:cs="宋体"/>
                <w:color w:val="auto"/>
                <w:kern w:val="0"/>
                <w:szCs w:val="21"/>
                <w:highlight w:val="none"/>
              </w:rPr>
              <w:t>正高级职称的计</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分，副高职称的计</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分，中级职称</w:t>
            </w:r>
            <w:r>
              <w:rPr>
                <w:rFonts w:hint="eastAsia" w:ascii="宋体" w:hAnsi="宋体" w:cs="宋体"/>
                <w:color w:val="auto"/>
                <w:kern w:val="0"/>
                <w:szCs w:val="21"/>
                <w:highlight w:val="none"/>
                <w:lang w:eastAsia="zh-CN"/>
              </w:rPr>
              <w:t>及</w:t>
            </w:r>
            <w:r>
              <w:rPr>
                <w:rFonts w:hint="eastAsia" w:ascii="宋体" w:hAnsi="宋体" w:cs="宋体"/>
                <w:color w:val="auto"/>
                <w:kern w:val="0"/>
                <w:szCs w:val="21"/>
                <w:highlight w:val="none"/>
              </w:rPr>
              <w:t>以下不计分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本项最多计4分。</w:t>
            </w:r>
          </w:p>
          <w:p w14:paraId="39CBE27F">
            <w:pPr>
              <w:widowControl/>
              <w:numPr>
                <w:ilvl w:val="0"/>
                <w:numId w:val="0"/>
              </w:numPr>
              <w:adjustRightInd w:val="0"/>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团队（不包括项目负责人）具有水文或水资源或水利工程相关专业的，每人得1分，最多3分；具有计算机相关专业人员的，</w:t>
            </w:r>
            <w:r>
              <w:rPr>
                <w:rFonts w:hint="eastAsia" w:ascii="宋体" w:hAnsi="宋体" w:cs="宋体"/>
                <w:color w:val="auto"/>
                <w:kern w:val="0"/>
                <w:szCs w:val="21"/>
                <w:highlight w:val="none"/>
                <w:lang w:eastAsia="zh-CN"/>
              </w:rPr>
              <w:t>每</w:t>
            </w:r>
            <w:r>
              <w:rPr>
                <w:rFonts w:hint="eastAsia" w:ascii="宋体" w:hAnsi="宋体" w:cs="宋体"/>
                <w:color w:val="auto"/>
                <w:kern w:val="0"/>
                <w:szCs w:val="21"/>
                <w:highlight w:val="none"/>
                <w:lang w:val="en-US" w:eastAsia="zh-CN"/>
              </w:rPr>
              <w:t>人</w:t>
            </w:r>
            <w:r>
              <w:rPr>
                <w:rFonts w:hint="eastAsia" w:ascii="宋体" w:hAnsi="宋体" w:cs="宋体"/>
                <w:color w:val="auto"/>
                <w:kern w:val="0"/>
                <w:szCs w:val="21"/>
                <w:highlight w:val="none"/>
                <w:lang w:eastAsia="zh-CN"/>
              </w:rPr>
              <w:t>得</w:t>
            </w:r>
            <w:r>
              <w:rPr>
                <w:rFonts w:hint="eastAsia" w:ascii="宋体" w:hAnsi="宋体" w:cs="宋体"/>
                <w:color w:val="auto"/>
                <w:kern w:val="0"/>
                <w:szCs w:val="21"/>
                <w:highlight w:val="none"/>
                <w:lang w:val="en-US" w:eastAsia="zh-CN"/>
              </w:rPr>
              <w:t>1分</w:t>
            </w:r>
            <w:r>
              <w:rPr>
                <w:rFonts w:hint="eastAsia" w:ascii="宋体" w:hAnsi="宋体" w:cs="宋体"/>
                <w:color w:val="auto"/>
                <w:kern w:val="0"/>
                <w:szCs w:val="21"/>
                <w:highlight w:val="none"/>
              </w:rPr>
              <w:t>，最多</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p w14:paraId="27D6C0AE">
            <w:r>
              <w:rPr>
                <w:rFonts w:hint="eastAsia" w:ascii="宋体" w:hAnsi="宋体" w:cs="宋体"/>
                <w:color w:val="auto"/>
                <w:kern w:val="0"/>
                <w:szCs w:val="21"/>
                <w:highlight w:val="none"/>
                <w:lang w:val="en-US" w:eastAsia="zh-CN"/>
              </w:rPr>
              <w:t>注：须提供人员证书复印件和在供应商购买的近3个月（2026年</w:t>
            </w:r>
            <w:del w:id="96" w:author="红博" w:date="2026-06-23T15:47:30Z">
              <w:r>
                <w:rPr>
                  <w:rFonts w:hint="default" w:ascii="宋体" w:hAnsi="宋体" w:cs="宋体"/>
                  <w:color w:val="auto"/>
                  <w:kern w:val="0"/>
                  <w:szCs w:val="21"/>
                  <w:highlight w:val="none"/>
                  <w:lang w:val="en-US" w:eastAsia="zh-CN"/>
                </w:rPr>
                <w:delText>2</w:delText>
              </w:r>
            </w:del>
            <w:ins w:id="97" w:author="红博" w:date="2026-06-23T15:47:30Z">
              <w:r>
                <w:rPr>
                  <w:rFonts w:hint="eastAsia" w:ascii="宋体" w:hAnsi="宋体" w:cs="宋体"/>
                  <w:color w:val="auto"/>
                  <w:kern w:val="0"/>
                  <w:szCs w:val="21"/>
                  <w:highlight w:val="none"/>
                  <w:lang w:val="en-US" w:eastAsia="zh-CN"/>
                </w:rPr>
                <w:t>3</w:t>
              </w:r>
            </w:ins>
            <w:r>
              <w:rPr>
                <w:rFonts w:hint="eastAsia" w:ascii="宋体" w:hAnsi="宋体" w:cs="宋体"/>
                <w:color w:val="auto"/>
                <w:kern w:val="0"/>
                <w:szCs w:val="21"/>
                <w:highlight w:val="none"/>
                <w:lang w:val="en-US" w:eastAsia="zh-CN"/>
              </w:rPr>
              <w:t>月至今连续3个月）社保缴纳证明材料，否则不计分。</w:t>
            </w:r>
          </w:p>
          <w:p w14:paraId="6809E4A5">
            <w:pPr>
              <w:widowControl/>
              <w:numPr>
                <w:ilvl w:val="0"/>
                <w:numId w:val="0"/>
              </w:numPr>
              <w:adjustRightInd w:val="0"/>
              <w:snapToGrid w:val="0"/>
              <w:spacing w:line="360" w:lineRule="auto"/>
              <w:ind w:firstLine="0" w:firstLineChars="0"/>
              <w:jc w:val="left"/>
              <w:rPr>
                <w:rFonts w:hint="eastAsia" w:ascii="宋体" w:hAnsi="宋体" w:cs="宋体"/>
                <w:color w:val="auto"/>
                <w:kern w:val="0"/>
                <w:szCs w:val="21"/>
                <w:highlight w:val="none"/>
                <w:lang w:val="en-US" w:eastAsia="zh-CN"/>
              </w:rPr>
            </w:pPr>
          </w:p>
        </w:tc>
      </w:tr>
      <w:tr w14:paraId="2C1CF3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30" w:hRule="atLeast"/>
        </w:trPr>
        <w:tc>
          <w:tcPr>
            <w:tcW w:w="507" w:type="dxa"/>
            <w:vMerge w:val="continue"/>
            <w:tcBorders>
              <w:right w:val="single" w:color="auto" w:sz="4" w:space="0"/>
            </w:tcBorders>
            <w:noWrap w:val="0"/>
            <w:vAlign w:val="center"/>
          </w:tcPr>
          <w:p w14:paraId="689C0502">
            <w:pPr>
              <w:adjustRightInd w:val="0"/>
              <w:snapToGrid w:val="0"/>
              <w:spacing w:line="360" w:lineRule="auto"/>
              <w:jc w:val="center"/>
              <w:rPr>
                <w:rFonts w:ascii="宋体" w:hAnsi="宋体" w:cs="宋体"/>
                <w:color w:val="auto"/>
                <w:szCs w:val="21"/>
                <w:highlight w:val="none"/>
              </w:rPr>
            </w:pPr>
          </w:p>
        </w:tc>
        <w:tc>
          <w:tcPr>
            <w:tcW w:w="1131" w:type="dxa"/>
            <w:vMerge w:val="continue"/>
            <w:tcBorders>
              <w:left w:val="single" w:color="auto" w:sz="4" w:space="0"/>
              <w:right w:val="single" w:color="auto" w:sz="4" w:space="0"/>
            </w:tcBorders>
            <w:noWrap w:val="0"/>
            <w:vAlign w:val="center"/>
          </w:tcPr>
          <w:p w14:paraId="53D5776A">
            <w:pPr>
              <w:adjustRightInd w:val="0"/>
              <w:snapToGrid w:val="0"/>
              <w:spacing w:line="360" w:lineRule="auto"/>
              <w:jc w:val="center"/>
              <w:rPr>
                <w:rFonts w:ascii="宋体" w:hAnsi="宋体" w:cs="宋体"/>
                <w:color w:val="auto"/>
                <w:szCs w:val="21"/>
                <w:highlight w:val="none"/>
              </w:rPr>
            </w:pPr>
          </w:p>
        </w:tc>
        <w:tc>
          <w:tcPr>
            <w:tcW w:w="1316" w:type="dxa"/>
            <w:tcBorders>
              <w:left w:val="single" w:color="auto" w:sz="4" w:space="0"/>
            </w:tcBorders>
            <w:noWrap w:val="0"/>
            <w:vAlign w:val="center"/>
          </w:tcPr>
          <w:p w14:paraId="787DD7FA"/>
          <w:p w14:paraId="281E74F3">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业绩</w:t>
            </w:r>
          </w:p>
          <w:p w14:paraId="7AA68EF1">
            <w:pPr>
              <w:widowControl/>
              <w:spacing w:line="360" w:lineRule="auto"/>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18分</w:t>
            </w:r>
            <w:r>
              <w:rPr>
                <w:rFonts w:hint="eastAsia" w:ascii="宋体" w:hAnsi="宋体" w:cs="宋体"/>
                <w:color w:val="auto"/>
                <w:kern w:val="0"/>
                <w:szCs w:val="21"/>
                <w:highlight w:val="none"/>
              </w:rPr>
              <w:t>）</w:t>
            </w:r>
          </w:p>
        </w:tc>
        <w:tc>
          <w:tcPr>
            <w:tcW w:w="6505" w:type="dxa"/>
            <w:tcBorders>
              <w:top w:val="single" w:color="auto" w:sz="4" w:space="0"/>
              <w:left w:val="single" w:color="auto" w:sz="4" w:space="0"/>
            </w:tcBorders>
            <w:noWrap w:val="0"/>
            <w:vAlign w:val="center"/>
          </w:tcPr>
          <w:p w14:paraId="4E453758">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近五年内（20</w:t>
            </w:r>
            <w:r>
              <w:rPr>
                <w:rFonts w:hint="eastAsia" w:ascii="宋体" w:hAnsi="宋体" w:cs="宋体"/>
                <w:color w:val="auto"/>
                <w:kern w:val="0"/>
                <w:szCs w:val="21"/>
                <w:highlight w:val="none"/>
                <w:lang w:val="en-US" w:eastAsia="zh-CN"/>
              </w:rPr>
              <w:t>21</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月</w:t>
            </w:r>
            <w:del w:id="98" w:author="红博" w:date="2026-06-23T15:47:36Z">
              <w:r>
                <w:rPr>
                  <w:rFonts w:hint="default" w:ascii="宋体" w:hAnsi="宋体" w:cs="宋体"/>
                  <w:color w:val="auto"/>
                  <w:kern w:val="0"/>
                  <w:szCs w:val="21"/>
                  <w:highlight w:val="none"/>
                  <w:lang w:val="en-US"/>
                </w:rPr>
                <w:delText>1</w:delText>
              </w:r>
            </w:del>
            <w:del w:id="99" w:author="红博" w:date="2026-06-23T15:47:36Z">
              <w:r>
                <w:rPr>
                  <w:rFonts w:hint="default" w:ascii="宋体" w:hAnsi="宋体" w:cs="宋体"/>
                  <w:color w:val="auto"/>
                  <w:kern w:val="0"/>
                  <w:szCs w:val="21"/>
                  <w:highlight w:val="none"/>
                  <w:lang w:val="en-US" w:eastAsia="zh-CN"/>
                </w:rPr>
                <w:delText>4</w:delText>
              </w:r>
            </w:del>
            <w:ins w:id="100" w:author="红博" w:date="2026-06-23T15:47:36Z">
              <w:r>
                <w:rPr>
                  <w:rFonts w:hint="eastAsia" w:ascii="宋体" w:hAnsi="宋体" w:cs="宋体"/>
                  <w:color w:val="auto"/>
                  <w:kern w:val="0"/>
                  <w:szCs w:val="21"/>
                  <w:highlight w:val="none"/>
                  <w:lang w:val="en-US" w:eastAsia="zh-CN"/>
                </w:rPr>
                <w:t>23</w:t>
              </w:r>
            </w:ins>
            <w:r>
              <w:rPr>
                <w:rFonts w:hint="eastAsia" w:ascii="宋体" w:hAnsi="宋体" w:cs="宋体"/>
                <w:color w:val="auto"/>
                <w:kern w:val="0"/>
                <w:szCs w:val="21"/>
                <w:highlight w:val="none"/>
              </w:rPr>
              <w:t>日起</w:t>
            </w:r>
            <w:r>
              <w:rPr>
                <w:rFonts w:hint="eastAsia" w:ascii="宋体" w:hAnsi="宋体" w:cs="宋体"/>
                <w:color w:val="auto"/>
                <w:kern w:val="0"/>
                <w:szCs w:val="21"/>
                <w:highlight w:val="none"/>
                <w:lang w:val="en-US" w:eastAsia="zh-CN"/>
              </w:rPr>
              <w:t>至今</w:t>
            </w:r>
            <w:r>
              <w:rPr>
                <w:rFonts w:hint="eastAsia" w:ascii="宋体" w:hAnsi="宋体" w:cs="宋体"/>
                <w:color w:val="auto"/>
                <w:kern w:val="0"/>
                <w:szCs w:val="21"/>
                <w:highlight w:val="none"/>
              </w:rPr>
              <w:t>）承担过</w:t>
            </w:r>
            <w:r>
              <w:rPr>
                <w:rFonts w:hint="eastAsia" w:ascii="宋体" w:hAnsi="宋体" w:cs="宋体"/>
                <w:color w:val="auto"/>
                <w:kern w:val="0"/>
                <w:szCs w:val="21"/>
                <w:highlight w:val="none"/>
                <w:lang w:val="en-US" w:eastAsia="zh-CN"/>
              </w:rPr>
              <w:t>水资源应用场景建设类似业绩的每提供一个业绩计3分，本项最多18分。</w:t>
            </w:r>
          </w:p>
          <w:p w14:paraId="760A7341">
            <w:pPr>
              <w:widowControl/>
              <w:adjustRightInd w:val="0"/>
              <w:snapToGrid w:val="0"/>
              <w:spacing w:line="360" w:lineRule="auto"/>
              <w:jc w:val="left"/>
              <w:rPr>
                <w:rFonts w:hint="eastAsia" w:ascii="Calibri" w:hAnsi="Calibri" w:eastAsia="宋体" w:cs="Calibri"/>
                <w:kern w:val="2"/>
                <w:sz w:val="21"/>
                <w:szCs w:val="21"/>
                <w:lang w:val="en-US" w:eastAsia="zh-CN" w:bidi="ar-SA"/>
              </w:rPr>
            </w:pPr>
            <w:r>
              <w:rPr>
                <w:rFonts w:hint="eastAsia" w:ascii="宋体" w:hAnsi="宋体" w:cs="宋体"/>
                <w:color w:val="auto"/>
                <w:kern w:val="0"/>
                <w:szCs w:val="21"/>
                <w:highlight w:val="none"/>
                <w:lang w:val="en-US" w:eastAsia="zh-CN"/>
              </w:rPr>
              <w:t>注：业绩以合同（或者成交通知书）签订时间为准，须提供合同（或成交通知书）复印件并加盖供应商单位公章，否则不计分。</w:t>
            </w:r>
          </w:p>
        </w:tc>
      </w:tr>
      <w:tr w14:paraId="4E24F1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trPr>
        <w:tc>
          <w:tcPr>
            <w:tcW w:w="507" w:type="dxa"/>
            <w:tcBorders>
              <w:right w:val="single" w:color="auto" w:sz="4" w:space="0"/>
            </w:tcBorders>
            <w:noWrap w:val="0"/>
            <w:vAlign w:val="center"/>
          </w:tcPr>
          <w:p w14:paraId="26368B9C">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合计</w:t>
            </w:r>
          </w:p>
        </w:tc>
        <w:tc>
          <w:tcPr>
            <w:tcW w:w="8952" w:type="dxa"/>
            <w:gridSpan w:val="3"/>
            <w:tcBorders>
              <w:left w:val="single" w:color="auto" w:sz="4" w:space="0"/>
            </w:tcBorders>
            <w:noWrap w:val="0"/>
            <w:vAlign w:val="center"/>
          </w:tcPr>
          <w:p w14:paraId="04F74A99">
            <w:pPr>
              <w:pStyle w:val="16"/>
              <w:adjustRightInd w:val="0"/>
              <w:snapToGrid w:val="0"/>
              <w:spacing w:after="0"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100</w:t>
            </w:r>
            <w:r>
              <w:rPr>
                <w:rFonts w:hint="eastAsia" w:ascii="宋体" w:hAnsi="宋体" w:cs="宋体"/>
                <w:color w:val="auto"/>
                <w:szCs w:val="21"/>
                <w:highlight w:val="none"/>
              </w:rPr>
              <w:t>分</w:t>
            </w:r>
          </w:p>
        </w:tc>
      </w:tr>
      <w:tr w14:paraId="7368DC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9459" w:type="dxa"/>
            <w:gridSpan w:val="4"/>
            <w:noWrap w:val="0"/>
            <w:vAlign w:val="center"/>
          </w:tcPr>
          <w:p w14:paraId="0FA3575F">
            <w:pPr>
              <w:pStyle w:val="16"/>
              <w:adjustRightInd w:val="0"/>
              <w:snapToGrid w:val="0"/>
              <w:spacing w:after="0" w:line="360" w:lineRule="auto"/>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说明：内容不合理处或有欠缺处或有不完整处是指符合以下任意一项：方案内容与项目需求不一致或无关联性；涉及的技术规范标准与国家或者行业标准或者磋商文件要求不一致；方案内容与实际实施存在差异性；方案与实际项目需求不一致、工作成效无法达到预期要求、条理不清晰；内容空洞、语言表述不清，前后矛盾，存在歧义、混乱，内容不充实。</w:t>
            </w:r>
          </w:p>
        </w:tc>
      </w:tr>
    </w:tbl>
    <w:p w14:paraId="4E193904">
      <w:pPr>
        <w:pStyle w:val="41"/>
        <w:kinsoku/>
        <w:wordWrap/>
        <w:overflowPunct/>
        <w:bidi w:val="0"/>
        <w:spacing w:line="500" w:lineRule="exact"/>
        <w:rPr>
          <w:rFonts w:hint="eastAsia" w:ascii="宋体" w:hAnsi="宋体" w:eastAsia="宋体" w:cs="宋体"/>
          <w:color w:val="auto"/>
          <w:highlight w:val="none"/>
        </w:rPr>
      </w:pPr>
    </w:p>
    <w:p w14:paraId="24377180">
      <w:pP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0FA87B36">
      <w:pPr>
        <w:kinsoku/>
        <w:wordWrap/>
        <w:overflow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sz w:val="36"/>
          <w:szCs w:val="36"/>
          <w:highlight w:val="none"/>
        </w:rPr>
        <w:t>磋商须知正文</w:t>
      </w:r>
    </w:p>
    <w:p w14:paraId="172EA73D">
      <w:pPr>
        <w:shd w:val="clear" w:color="auto" w:fill="FFFFFF" w:themeFill="background1"/>
        <w:kinsoku/>
        <w:wordWrap/>
        <w:overflowPunct/>
        <w:bidi w:val="0"/>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一、说明</w:t>
      </w:r>
    </w:p>
    <w:p w14:paraId="2318047A">
      <w:pPr>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1.适用范围</w:t>
      </w:r>
    </w:p>
    <w:p w14:paraId="0F0C8861">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 本磋商文件仅适用于磋商须知前附表(以下简称</w:t>
      </w:r>
      <w:r>
        <w:rPr>
          <w:rFonts w:hint="eastAsia" w:ascii="宋体" w:hAnsi="宋体" w:eastAsia="宋体" w:cs="宋体"/>
          <w:b/>
          <w:bCs/>
          <w:color w:val="auto"/>
          <w:highlight w:val="none"/>
        </w:rPr>
        <w:t>磋商须知前附表)</w:t>
      </w:r>
      <w:r>
        <w:rPr>
          <w:rFonts w:hint="eastAsia" w:ascii="宋体" w:hAnsi="宋体" w:eastAsia="宋体" w:cs="宋体"/>
          <w:color w:val="auto"/>
          <w:highlight w:val="none"/>
        </w:rPr>
        <w:t>中所叙述的采购项目。</w:t>
      </w:r>
    </w:p>
    <w:p w14:paraId="6392C081">
      <w:pPr>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2.定义</w:t>
      </w:r>
    </w:p>
    <w:p w14:paraId="7F264EC5">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2.1 “采购人”是指依法进行采购的国家机关、事业单位、团体组织。本次采购的采购人名称、地址、电话、联系人见</w:t>
      </w:r>
      <w:r>
        <w:rPr>
          <w:rFonts w:hint="eastAsia" w:ascii="宋体" w:hAnsi="宋体" w:eastAsia="宋体" w:cs="宋体"/>
          <w:b/>
          <w:bCs/>
          <w:color w:val="auto"/>
          <w:highlight w:val="none"/>
        </w:rPr>
        <w:t>磋商须知前附表</w:t>
      </w:r>
      <w:r>
        <w:rPr>
          <w:rFonts w:hint="eastAsia" w:ascii="宋体" w:hAnsi="宋体" w:eastAsia="宋体" w:cs="宋体"/>
          <w:color w:val="auto"/>
          <w:highlight w:val="none"/>
        </w:rPr>
        <w:t>。</w:t>
      </w:r>
    </w:p>
    <w:p w14:paraId="3BC39CF5">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2.2 “采购代理机构”是指接受采购人委托，代理采购项目的集中采购机构和其他采购代理机构。本次采购的采购代理机构名称、地址、电话、联系人见</w:t>
      </w:r>
      <w:r>
        <w:rPr>
          <w:rFonts w:hint="eastAsia" w:ascii="宋体" w:hAnsi="宋体" w:eastAsia="宋体" w:cs="宋体"/>
          <w:b/>
          <w:bCs/>
          <w:color w:val="auto"/>
          <w:highlight w:val="none"/>
        </w:rPr>
        <w:t>磋商须知前附表。</w:t>
      </w:r>
    </w:p>
    <w:p w14:paraId="18149778">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kern w:val="36"/>
          <w:highlight w:val="none"/>
        </w:rPr>
      </w:pPr>
      <w:r>
        <w:rPr>
          <w:rFonts w:hint="eastAsia" w:ascii="宋体" w:hAnsi="宋体" w:eastAsia="宋体" w:cs="宋体"/>
          <w:color w:val="auto"/>
          <w:highlight w:val="none"/>
        </w:rPr>
        <w:t>2.3 “供应商”是指响应磋商文件要求、参加竞争性磋商采购的法人、其他组织或者自然人。本次采购项目</w:t>
      </w:r>
      <w:r>
        <w:rPr>
          <w:rFonts w:hint="eastAsia" w:ascii="宋体" w:hAnsi="宋体" w:eastAsia="宋体" w:cs="宋体"/>
          <w:color w:val="auto"/>
          <w:kern w:val="0"/>
          <w:highlight w:val="none"/>
        </w:rPr>
        <w:t>邀请</w:t>
      </w:r>
      <w:r>
        <w:rPr>
          <w:rFonts w:hint="eastAsia" w:ascii="宋体" w:hAnsi="宋体" w:eastAsia="宋体" w:cs="宋体"/>
          <w:color w:val="auto"/>
          <w:highlight w:val="none"/>
        </w:rPr>
        <w:t>的</w:t>
      </w:r>
      <w:r>
        <w:rPr>
          <w:rFonts w:hint="eastAsia" w:ascii="宋体" w:hAnsi="宋体" w:eastAsia="宋体" w:cs="宋体"/>
          <w:color w:val="auto"/>
          <w:kern w:val="0"/>
          <w:highlight w:val="none"/>
        </w:rPr>
        <w:t>供应商通过</w:t>
      </w:r>
      <w:r>
        <w:rPr>
          <w:rFonts w:hint="eastAsia" w:ascii="宋体" w:hAnsi="宋体" w:eastAsia="宋体" w:cs="宋体"/>
          <w:b/>
          <w:bCs/>
          <w:color w:val="auto"/>
          <w:highlight w:val="none"/>
        </w:rPr>
        <w:t>磋商须知前附表</w:t>
      </w:r>
      <w:r>
        <w:rPr>
          <w:rFonts w:hint="eastAsia" w:ascii="宋体" w:hAnsi="宋体" w:eastAsia="宋体" w:cs="宋体"/>
          <w:color w:val="auto"/>
          <w:highlight w:val="none"/>
        </w:rPr>
        <w:t>所述方式</w:t>
      </w:r>
      <w:r>
        <w:rPr>
          <w:rFonts w:hint="eastAsia" w:ascii="宋体" w:hAnsi="宋体" w:eastAsia="宋体" w:cs="宋体"/>
          <w:color w:val="auto"/>
          <w:kern w:val="0"/>
          <w:highlight w:val="none"/>
        </w:rPr>
        <w:t>，邀请符合资格条件的供应商提交响应文件（含资格证明资料），参与竞争性磋商采购活动。</w:t>
      </w:r>
    </w:p>
    <w:p w14:paraId="7A7358FA">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highlight w:val="none"/>
        </w:rPr>
        <w:t>2.4 “磋商小组”是指</w:t>
      </w:r>
      <w:r>
        <w:rPr>
          <w:rFonts w:hint="eastAsia" w:ascii="宋体" w:hAnsi="宋体" w:eastAsia="宋体" w:cs="宋体"/>
          <w:color w:val="auto"/>
          <w:kern w:val="0"/>
          <w:highlight w:val="none"/>
        </w:rPr>
        <w:t>依据财政部</w:t>
      </w:r>
      <w:r>
        <w:rPr>
          <w:rFonts w:hint="eastAsia" w:ascii="宋体" w:hAnsi="宋体" w:eastAsia="宋体" w:cs="宋体"/>
          <w:color w:val="auto"/>
          <w:kern w:val="36"/>
          <w:highlight w:val="none"/>
        </w:rPr>
        <w:t>《采购竞争性磋商采购方式管理暂行办法》有关规定组建，依法依规</w:t>
      </w:r>
      <w:r>
        <w:rPr>
          <w:rFonts w:hint="eastAsia" w:ascii="宋体" w:hAnsi="宋体" w:eastAsia="宋体" w:cs="宋体"/>
          <w:color w:val="auto"/>
          <w:kern w:val="0"/>
          <w:highlight w:val="none"/>
        </w:rPr>
        <w:t>履行其职责和义务的机构。</w:t>
      </w:r>
    </w:p>
    <w:p w14:paraId="3718D5F4">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2.5 “货物”是指各种形态和种类的物品，包括原资料、燃料、设备、产品等，详见《采购品目分类目录》(</w:t>
      </w:r>
      <w:r>
        <w:rPr>
          <w:rStyle w:val="32"/>
          <w:rFonts w:hint="eastAsia" w:ascii="宋体" w:hAnsi="宋体" w:eastAsia="宋体" w:cs="宋体"/>
          <w:color w:val="auto"/>
          <w:highlight w:val="none"/>
        </w:rPr>
        <w:t>财库</w:t>
      </w:r>
      <w:r>
        <w:rPr>
          <w:rStyle w:val="32"/>
          <w:rFonts w:hint="eastAsia" w:ascii="宋体" w:hAnsi="宋体" w:cs="宋体"/>
          <w:color w:val="auto"/>
          <w:highlight w:val="none"/>
          <w:lang w:eastAsia="zh-CN"/>
        </w:rPr>
        <w:t>〔2013〕189号</w:t>
      </w:r>
      <w:r>
        <w:rPr>
          <w:rFonts w:hint="eastAsia" w:ascii="宋体" w:hAnsi="宋体" w:eastAsia="宋体" w:cs="宋体"/>
          <w:color w:val="auto"/>
          <w:highlight w:val="none"/>
        </w:rPr>
        <w:t>)。</w:t>
      </w:r>
    </w:p>
    <w:p w14:paraId="1939DA95">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 “工程”是指建设工程，包括建筑物和构筑物的新建、改建、扩建、装修、拆除、修缮等，详见《采购品目分类目录》(</w:t>
      </w:r>
      <w:r>
        <w:rPr>
          <w:rStyle w:val="32"/>
          <w:rFonts w:hint="eastAsia" w:ascii="宋体" w:hAnsi="宋体" w:eastAsia="宋体" w:cs="宋体"/>
          <w:color w:val="auto"/>
          <w:highlight w:val="none"/>
        </w:rPr>
        <w:t>财库</w:t>
      </w:r>
      <w:r>
        <w:rPr>
          <w:rStyle w:val="32"/>
          <w:rFonts w:hint="eastAsia" w:ascii="宋体" w:hAnsi="宋体" w:cs="宋体"/>
          <w:color w:val="auto"/>
          <w:highlight w:val="none"/>
          <w:lang w:eastAsia="zh-CN"/>
        </w:rPr>
        <w:t>〔2013〕189号</w:t>
      </w:r>
      <w:r>
        <w:rPr>
          <w:rFonts w:hint="eastAsia" w:ascii="宋体" w:hAnsi="宋体" w:eastAsia="宋体" w:cs="宋体"/>
          <w:color w:val="auto"/>
          <w:highlight w:val="none"/>
        </w:rPr>
        <w:t>)。</w:t>
      </w:r>
    </w:p>
    <w:p w14:paraId="2CCF3482">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2.7 “服务”是指除货物和工程以外的其他采购对象，详见《采购品目分类目录》(</w:t>
      </w:r>
      <w:r>
        <w:rPr>
          <w:rStyle w:val="32"/>
          <w:rFonts w:hint="eastAsia" w:ascii="宋体" w:hAnsi="宋体" w:eastAsia="宋体" w:cs="宋体"/>
          <w:color w:val="auto"/>
          <w:highlight w:val="none"/>
        </w:rPr>
        <w:t>财库</w:t>
      </w:r>
      <w:r>
        <w:rPr>
          <w:rStyle w:val="32"/>
          <w:rFonts w:hint="eastAsia" w:ascii="宋体" w:hAnsi="宋体" w:cs="宋体"/>
          <w:color w:val="auto"/>
          <w:highlight w:val="none"/>
          <w:lang w:eastAsia="zh-CN"/>
        </w:rPr>
        <w:t>〔2013〕189号</w:t>
      </w:r>
      <w:r>
        <w:rPr>
          <w:rFonts w:hint="eastAsia" w:ascii="宋体" w:hAnsi="宋体" w:eastAsia="宋体" w:cs="宋体"/>
          <w:color w:val="auto"/>
          <w:highlight w:val="none"/>
        </w:rPr>
        <w:t>)。</w:t>
      </w:r>
    </w:p>
    <w:p w14:paraId="4397FCB1">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2.8</w:t>
      </w:r>
      <w:r>
        <w:rPr>
          <w:rFonts w:hint="eastAsia" w:ascii="宋体" w:hAnsi="宋体" w:eastAsia="宋体" w:cs="宋体"/>
          <w:color w:val="auto"/>
          <w:highlight w:val="none"/>
        </w:rPr>
        <w:t>“节能产品”或者“环保产品”是指财政部发布的《节能产品采购清单》或者《环境标志产品采购清单》的产品，“两型产品”是指湖南省财政厅发布的《湖南省两型产品采购目录》或《长沙市两型产品目录》的产品。</w:t>
      </w:r>
    </w:p>
    <w:p w14:paraId="72CBF327">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highlight w:val="none"/>
        </w:rPr>
        <w:t>2.9</w:t>
      </w:r>
      <w:r>
        <w:rPr>
          <w:rFonts w:hint="eastAsia" w:ascii="宋体" w:hAnsi="宋体" w:eastAsia="宋体" w:cs="宋体"/>
          <w:color w:val="auto"/>
          <w:kern w:val="0"/>
          <w:highlight w:val="none"/>
        </w:rPr>
        <w:t>“进口产品”是指通过中国海关报关验放进入中国境内且产自关境外的产品，详见《关于采购进口产品管理有关问题的通知》(财库</w:t>
      </w:r>
      <w:r>
        <w:rPr>
          <w:rFonts w:hint="eastAsia" w:ascii="宋体" w:hAnsi="宋体" w:cs="宋体"/>
          <w:color w:val="auto"/>
          <w:kern w:val="0"/>
          <w:highlight w:val="none"/>
          <w:lang w:eastAsia="zh-CN"/>
        </w:rPr>
        <w:t>〔2007〕119号</w:t>
      </w:r>
      <w:r>
        <w:rPr>
          <w:rFonts w:hint="eastAsia" w:ascii="宋体" w:hAnsi="宋体" w:eastAsia="宋体" w:cs="宋体"/>
          <w:color w:val="auto"/>
          <w:kern w:val="0"/>
          <w:highlight w:val="none"/>
        </w:rPr>
        <w:t>)。</w:t>
      </w:r>
    </w:p>
    <w:p w14:paraId="0F8B72DC">
      <w:pPr>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3.供应商的资格要求</w:t>
      </w:r>
    </w:p>
    <w:p w14:paraId="7F7E3641">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 供应商应当符合</w:t>
      </w:r>
      <w:r>
        <w:rPr>
          <w:rFonts w:hint="eastAsia" w:ascii="宋体" w:hAnsi="宋体" w:eastAsia="宋体" w:cs="宋体"/>
          <w:b/>
          <w:bCs/>
          <w:color w:val="auto"/>
          <w:highlight w:val="none"/>
        </w:rPr>
        <w:t>磋商须知前附表</w:t>
      </w:r>
      <w:r>
        <w:rPr>
          <w:rFonts w:hint="eastAsia" w:ascii="宋体" w:hAnsi="宋体" w:eastAsia="宋体" w:cs="宋体"/>
          <w:color w:val="auto"/>
          <w:highlight w:val="none"/>
        </w:rPr>
        <w:t>中规定的资格条件要求。</w:t>
      </w:r>
    </w:p>
    <w:p w14:paraId="11422C4D">
      <w:pPr>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3.2供应商为联合体形式的，除应满足本章第3.1款资格条件要求及第3.3款规定外，还应遵守以下规定：</w:t>
      </w:r>
    </w:p>
    <w:p w14:paraId="1BF31EB9">
      <w:pPr>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（1）联合体各方应按磋商文件提供的格式签订联合体协议书，明确联合体牵头人和各方权利义务(含承担工作及工作量比例)；</w:t>
      </w:r>
    </w:p>
    <w:p w14:paraId="7D9BEA8C">
      <w:pPr>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（2）联合体中有同类资质的供应商按照联合体分工承担相同工作的，应当按照资质等级较低的供应商确定资质等级；</w:t>
      </w:r>
    </w:p>
    <w:p w14:paraId="2FC06FF5">
      <w:pPr>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（3）以联合体形式参加采购活动的，联合体各方不得再单独参加或者与其他供应商另外组成联合体参加同一合同项下的采购活动。</w:t>
      </w:r>
    </w:p>
    <w:p w14:paraId="43BA5E2A">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 供应商不得存在下列情形之一：</w:t>
      </w:r>
    </w:p>
    <w:p w14:paraId="0F1A45F0">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（l）与采购人、采购代理机构存在隶属关系或者其他利害关系。</w:t>
      </w:r>
    </w:p>
    <w:p w14:paraId="415CD026">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（2）与其他供应商的法定代表人（或者负责人）为同一人，或者与其他供应商存在直接控股、管理关系。</w:t>
      </w:r>
    </w:p>
    <w:p w14:paraId="6DEF1F77">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受到刑事处罚，或者受到200万元及以上的罚款、责令停产停业、在一至三年内禁止参加采购活动、暂扣或者吊销许可证、暂扣或者吊销执照等情形之一的行政处罚，或者存在财政部门认定的其他重大违法记录。</w:t>
      </w:r>
    </w:p>
    <w:p w14:paraId="377E0730">
      <w:pPr>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4.参与磋商的费用</w:t>
      </w:r>
    </w:p>
    <w:p w14:paraId="0C5C198D">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 无论磋商的结果如何，供应商应自行承担所有与竞争性磋商采购活动有关的全部费用。</w:t>
      </w:r>
    </w:p>
    <w:p w14:paraId="4DAF7845">
      <w:pPr>
        <w:pStyle w:val="18"/>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5．授权委托</w:t>
      </w:r>
    </w:p>
    <w:p w14:paraId="506EF8E6">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5.1供应商代表为供应商法定代表人的，应具备法定代表人身份证明。供应商代表不是供应商法定代表人的，应具备法定代表人授权书，并附法定代表人身份证明。</w:t>
      </w:r>
    </w:p>
    <w:p w14:paraId="42BB9FA5">
      <w:pPr>
        <w:pStyle w:val="18"/>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6．联合体形式</w:t>
      </w:r>
    </w:p>
    <w:p w14:paraId="79C24826">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6.1除</w:t>
      </w:r>
      <w:r>
        <w:rPr>
          <w:rFonts w:hint="eastAsia" w:ascii="宋体" w:hAnsi="宋体" w:eastAsia="宋体" w:cs="宋体"/>
          <w:b/>
          <w:bCs/>
          <w:color w:val="auto"/>
          <w:highlight w:val="none"/>
        </w:rPr>
        <w:t>磋商须知前附表</w:t>
      </w:r>
      <w:r>
        <w:rPr>
          <w:rFonts w:hint="eastAsia" w:ascii="宋体" w:hAnsi="宋体" w:eastAsia="宋体" w:cs="宋体"/>
          <w:color w:val="auto"/>
          <w:highlight w:val="none"/>
        </w:rPr>
        <w:t>中另有规定，本次谈判采购不接受为联合体形式的供应商。</w:t>
      </w:r>
    </w:p>
    <w:p w14:paraId="2C8BE3C7">
      <w:pPr>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6.2供应商为联合体形式的，除应符合本章第3条规定外，还应遵守以下规定：</w:t>
      </w:r>
    </w:p>
    <w:p w14:paraId="0195B32F">
      <w:pPr>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（l）联合体各方必须签订联合体协议书，明确联合体牵头人和各方的义务、工作、合同工作量比例；</w:t>
      </w:r>
    </w:p>
    <w:p w14:paraId="1DAFAF02">
      <w:pPr>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（2）联合体各方均应当符合本章第3.1</w:t>
      </w:r>
      <w:r>
        <w:rPr>
          <w:rFonts w:hint="eastAsia" w:ascii="宋体" w:hAnsi="宋体" w:eastAsia="宋体" w:cs="宋体"/>
          <w:color w:val="auto"/>
          <w:kern w:val="0"/>
          <w:highlight w:val="none"/>
          <w:lang w:val="zh-CN"/>
        </w:rPr>
        <w:t>款</w:t>
      </w:r>
      <w:r>
        <w:rPr>
          <w:rFonts w:hint="eastAsia" w:ascii="宋体" w:hAnsi="宋体" w:eastAsia="宋体" w:cs="宋体"/>
          <w:color w:val="auto"/>
          <w:highlight w:val="none"/>
        </w:rPr>
        <w:t>规定的供应商基本资格条件；</w:t>
      </w:r>
    </w:p>
    <w:p w14:paraId="58861F78">
      <w:pPr>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（3）除</w:t>
      </w:r>
      <w:r>
        <w:rPr>
          <w:rFonts w:hint="eastAsia" w:ascii="宋体" w:hAnsi="宋体" w:eastAsia="宋体" w:cs="宋体"/>
          <w:b/>
          <w:bCs/>
          <w:color w:val="auto"/>
          <w:highlight w:val="none"/>
        </w:rPr>
        <w:t>磋商须知前附表</w:t>
      </w:r>
      <w:r>
        <w:rPr>
          <w:rFonts w:hint="eastAsia" w:ascii="宋体" w:hAnsi="宋体" w:eastAsia="宋体" w:cs="宋体"/>
          <w:color w:val="auto"/>
          <w:highlight w:val="none"/>
        </w:rPr>
        <w:t>中另有规定，联合体各方中至少有一方应当符合本章第3.1</w:t>
      </w:r>
      <w:r>
        <w:rPr>
          <w:rFonts w:hint="eastAsia" w:ascii="宋体" w:hAnsi="宋体" w:eastAsia="宋体" w:cs="宋体"/>
          <w:color w:val="auto"/>
          <w:kern w:val="0"/>
          <w:highlight w:val="none"/>
          <w:lang w:val="zh-CN"/>
        </w:rPr>
        <w:t>款</w:t>
      </w:r>
      <w:r>
        <w:rPr>
          <w:rFonts w:hint="eastAsia" w:ascii="宋体" w:hAnsi="宋体" w:eastAsia="宋体" w:cs="宋体"/>
          <w:color w:val="auto"/>
          <w:highlight w:val="none"/>
        </w:rPr>
        <w:t>规定的供应商特定资格条件；</w:t>
      </w:r>
    </w:p>
    <w:p w14:paraId="2AEA3F3D">
      <w:pPr>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kern w:val="0"/>
          <w:highlight w:val="none"/>
          <w:lang w:val="zh-CN"/>
        </w:rPr>
      </w:pPr>
      <w:r>
        <w:rPr>
          <w:rFonts w:hint="eastAsia" w:ascii="宋体" w:hAnsi="宋体" w:eastAsia="宋体" w:cs="宋体"/>
          <w:color w:val="auto"/>
          <w:highlight w:val="none"/>
        </w:rPr>
        <w:t>（4）</w:t>
      </w:r>
      <w:r>
        <w:rPr>
          <w:rFonts w:hint="eastAsia" w:ascii="宋体" w:hAnsi="宋体" w:eastAsia="宋体" w:cs="宋体"/>
          <w:color w:val="auto"/>
          <w:kern w:val="0"/>
          <w:highlight w:val="none"/>
          <w:lang w:val="zh-CN"/>
        </w:rPr>
        <w:t>联合体各方不得再单独或与其他供应商组成新的联合体参加同一项目的采购活动。</w:t>
      </w:r>
    </w:p>
    <w:p w14:paraId="2A8C0A98">
      <w:pPr>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7.现场勘察</w:t>
      </w:r>
    </w:p>
    <w:p w14:paraId="5D5C26A6">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7.1供应商应按</w:t>
      </w:r>
      <w:r>
        <w:rPr>
          <w:rFonts w:hint="eastAsia" w:ascii="宋体" w:hAnsi="宋体" w:eastAsia="宋体" w:cs="宋体"/>
          <w:b/>
          <w:bCs/>
          <w:color w:val="auto"/>
          <w:highlight w:val="none"/>
        </w:rPr>
        <w:t>磋商须知前附表</w:t>
      </w:r>
      <w:r>
        <w:rPr>
          <w:rFonts w:hint="eastAsia" w:ascii="宋体" w:hAnsi="宋体" w:eastAsia="宋体" w:cs="宋体"/>
          <w:color w:val="auto"/>
          <w:highlight w:val="none"/>
        </w:rPr>
        <w:t>中规定对采购项目现场和周围环境的现场考察。</w:t>
      </w:r>
    </w:p>
    <w:p w14:paraId="7BED028C">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7.2勘察现场的费用由供应商自己承担，勘察期间所发生的人身伤害及财产损失由供应商自己负责。</w:t>
      </w:r>
    </w:p>
    <w:p w14:paraId="683D2C5E">
      <w:pPr>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b/>
          <w:bCs/>
          <w:color w:val="auto"/>
          <w:highlight w:val="none"/>
        </w:rPr>
      </w:pPr>
      <w:r>
        <w:rPr>
          <w:rFonts w:hint="eastAsia" w:ascii="宋体" w:hAnsi="宋体" w:eastAsia="宋体" w:cs="宋体"/>
          <w:color w:val="auto"/>
          <w:highlight w:val="none"/>
        </w:rPr>
        <w:t>7.3采购人不对供应商据此而做出的推论、理解和结论负责。一旦成交，供应商不得以任何借口，提出额外补偿，或延长合同期限的要求。</w:t>
      </w:r>
    </w:p>
    <w:p w14:paraId="259AE8D5">
      <w:pPr>
        <w:shd w:val="clear" w:color="auto" w:fill="FFFFFF" w:themeFill="background1"/>
        <w:kinsoku/>
        <w:wordWrap/>
        <w:overflowPunct/>
        <w:bidi w:val="0"/>
        <w:adjustRightInd w:val="0"/>
        <w:snapToGrid w:val="0"/>
        <w:spacing w:line="50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8.采购进口产品</w:t>
      </w:r>
    </w:p>
    <w:p w14:paraId="7E6CFB98">
      <w:pPr>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highlight w:val="none"/>
        </w:rPr>
        <w:t>8.1除</w:t>
      </w:r>
      <w:r>
        <w:rPr>
          <w:rFonts w:hint="eastAsia" w:ascii="宋体" w:hAnsi="宋体" w:eastAsia="宋体" w:cs="宋体"/>
          <w:b/>
          <w:bCs/>
          <w:color w:val="auto"/>
          <w:highlight w:val="none"/>
        </w:rPr>
        <w:t>磋商文件前附表</w:t>
      </w:r>
      <w:r>
        <w:rPr>
          <w:rFonts w:hint="eastAsia" w:ascii="宋体" w:hAnsi="宋体" w:eastAsia="宋体" w:cs="宋体"/>
          <w:color w:val="auto"/>
          <w:highlight w:val="none"/>
        </w:rPr>
        <w:t>另有规定外，本项目</w:t>
      </w:r>
      <w:r>
        <w:rPr>
          <w:rFonts w:hint="eastAsia" w:ascii="宋体" w:hAnsi="宋体" w:eastAsia="宋体" w:cs="宋体"/>
          <w:color w:val="auto"/>
          <w:kern w:val="0"/>
          <w:highlight w:val="none"/>
        </w:rPr>
        <w:t>拒绝进口产品参加</w:t>
      </w:r>
      <w:r>
        <w:rPr>
          <w:rFonts w:hint="eastAsia" w:ascii="宋体" w:hAnsi="宋体" w:eastAsia="宋体" w:cs="宋体"/>
          <w:color w:val="auto"/>
          <w:highlight w:val="none"/>
        </w:rPr>
        <w:t>竞争性磋商采购活动</w:t>
      </w:r>
      <w:r>
        <w:rPr>
          <w:rFonts w:hint="eastAsia" w:ascii="宋体" w:hAnsi="宋体" w:eastAsia="宋体" w:cs="宋体"/>
          <w:color w:val="auto"/>
          <w:kern w:val="0"/>
          <w:highlight w:val="none"/>
        </w:rPr>
        <w:t>。</w:t>
      </w:r>
    </w:p>
    <w:p w14:paraId="52046530">
      <w:pPr>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8.2</w:t>
      </w:r>
      <w:r>
        <w:rPr>
          <w:rFonts w:hint="eastAsia" w:ascii="宋体" w:hAnsi="宋体" w:eastAsia="宋体" w:cs="宋体"/>
          <w:color w:val="auto"/>
          <w:highlight w:val="none"/>
        </w:rPr>
        <w:t>本章第7.1</w:t>
      </w:r>
      <w:r>
        <w:rPr>
          <w:rFonts w:hint="eastAsia" w:ascii="宋体" w:hAnsi="宋体" w:eastAsia="宋体" w:cs="宋体"/>
          <w:color w:val="auto"/>
          <w:kern w:val="0"/>
          <w:highlight w:val="none"/>
          <w:lang w:val="zh-CN"/>
        </w:rPr>
        <w:t>款</w:t>
      </w:r>
      <w:r>
        <w:rPr>
          <w:rFonts w:hint="eastAsia" w:ascii="宋体" w:hAnsi="宋体" w:eastAsia="宋体" w:cs="宋体"/>
          <w:color w:val="auto"/>
          <w:highlight w:val="none"/>
        </w:rPr>
        <w:t>规定</w:t>
      </w:r>
      <w:r>
        <w:rPr>
          <w:rFonts w:hint="eastAsia" w:ascii="宋体" w:hAnsi="宋体" w:eastAsia="宋体" w:cs="宋体"/>
          <w:color w:val="auto"/>
          <w:kern w:val="0"/>
          <w:highlight w:val="none"/>
        </w:rPr>
        <w:t>同意领取进口产品的，</w:t>
      </w:r>
      <w:r>
        <w:rPr>
          <w:rFonts w:hint="eastAsia" w:ascii="宋体" w:hAnsi="宋体" w:eastAsia="宋体" w:cs="宋体"/>
          <w:color w:val="auto"/>
          <w:highlight w:val="none"/>
        </w:rPr>
        <w:t>本项目</w:t>
      </w:r>
      <w:r>
        <w:rPr>
          <w:rFonts w:hint="eastAsia" w:ascii="宋体" w:hAnsi="宋体" w:eastAsia="宋体" w:cs="宋体"/>
          <w:color w:val="auto"/>
          <w:kern w:val="0"/>
          <w:highlight w:val="none"/>
          <w:lang w:val="zh-CN"/>
        </w:rPr>
        <w:t>采购活动</w:t>
      </w:r>
      <w:r>
        <w:rPr>
          <w:rFonts w:hint="eastAsia" w:ascii="宋体" w:hAnsi="宋体" w:eastAsia="宋体" w:cs="宋体"/>
          <w:color w:val="auto"/>
          <w:kern w:val="0"/>
          <w:highlight w:val="none"/>
        </w:rPr>
        <w:t>不限制满足</w:t>
      </w:r>
      <w:r>
        <w:rPr>
          <w:rFonts w:hint="eastAsia" w:ascii="宋体" w:hAnsi="宋体" w:eastAsia="宋体" w:cs="宋体"/>
          <w:color w:val="auto"/>
          <w:highlight w:val="none"/>
        </w:rPr>
        <w:t>磋商文件要求</w:t>
      </w:r>
      <w:r>
        <w:rPr>
          <w:rFonts w:hint="eastAsia" w:ascii="宋体" w:hAnsi="宋体" w:eastAsia="宋体" w:cs="宋体"/>
          <w:color w:val="auto"/>
          <w:kern w:val="0"/>
          <w:highlight w:val="none"/>
        </w:rPr>
        <w:t>的国内产品参与</w:t>
      </w:r>
      <w:r>
        <w:rPr>
          <w:rFonts w:hint="eastAsia" w:ascii="宋体" w:hAnsi="宋体" w:eastAsia="宋体" w:cs="宋体"/>
          <w:color w:val="auto"/>
          <w:highlight w:val="none"/>
        </w:rPr>
        <w:t>竞争性磋商</w:t>
      </w:r>
      <w:r>
        <w:rPr>
          <w:rFonts w:hint="eastAsia" w:ascii="宋体" w:hAnsi="宋体" w:eastAsia="宋体" w:cs="宋体"/>
          <w:color w:val="auto"/>
          <w:kern w:val="0"/>
          <w:highlight w:val="none"/>
        </w:rPr>
        <w:t>。</w:t>
      </w:r>
    </w:p>
    <w:p w14:paraId="0BBFF352">
      <w:pPr>
        <w:shd w:val="clear" w:color="auto" w:fill="FFFFFF" w:themeFill="background1"/>
        <w:kinsoku/>
        <w:wordWrap/>
        <w:overflowPunct/>
        <w:bidi w:val="0"/>
        <w:adjustRightInd w:val="0"/>
        <w:snapToGrid w:val="0"/>
        <w:spacing w:line="50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9. 采购政策支持</w:t>
      </w:r>
    </w:p>
    <w:p w14:paraId="62B7A806">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9.1对列入财政部、国家发展改革委发布的《节能产品采购清单》且属于应当“强制采购的节能产品”，按照规定实行强制采购。实行采购强制采购的节能产品见</w:t>
      </w:r>
      <w:r>
        <w:rPr>
          <w:rFonts w:hint="eastAsia" w:ascii="宋体" w:hAnsi="宋体" w:eastAsia="宋体" w:cs="宋体"/>
          <w:b/>
          <w:bCs/>
          <w:color w:val="auto"/>
          <w:kern w:val="0"/>
          <w:highlight w:val="none"/>
        </w:rPr>
        <w:t>磋商文件前附表。</w:t>
      </w:r>
    </w:p>
    <w:p w14:paraId="26D666B3">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9.2对列入财政部、国家发展改革委发布的《节能产品采购清单》的“非强制采购节能产品”，财政部、环境保护部发布的《环境标志产品采购清单》的“环境标志产品”，湖南省财政厅、湖南省科学技术厅、湖南省长株潭“两型社会”试验区建设管理委员会发布的《湖南省两型产品采购目录》</w:t>
      </w:r>
      <w:r>
        <w:rPr>
          <w:rFonts w:hint="eastAsia" w:ascii="宋体" w:hAnsi="宋体" w:eastAsia="宋体" w:cs="宋体"/>
          <w:color w:val="auto"/>
          <w:highlight w:val="none"/>
        </w:rPr>
        <w:t>或《长沙市两型产品目录》</w:t>
      </w:r>
      <w:r>
        <w:rPr>
          <w:rFonts w:hint="eastAsia" w:ascii="宋体" w:hAnsi="宋体" w:eastAsia="宋体" w:cs="宋体"/>
          <w:color w:val="auto"/>
          <w:kern w:val="0"/>
          <w:highlight w:val="none"/>
        </w:rPr>
        <w:t>的“两型产品”以及中小企业，实行优先采购，按照省级以上财政部门有关政策规定，</w:t>
      </w:r>
      <w:r>
        <w:rPr>
          <w:rFonts w:hint="eastAsia" w:hAnsi="宋体" w:cs="宋体"/>
          <w:color w:val="auto"/>
          <w:kern w:val="0"/>
          <w:highlight w:val="none"/>
          <w:lang w:val="en-US" w:eastAsia="zh-CN"/>
        </w:rPr>
        <w:t>在</w:t>
      </w:r>
      <w:r>
        <w:rPr>
          <w:rFonts w:hint="eastAsia" w:ascii="宋体" w:hAnsi="宋体" w:eastAsia="宋体" w:cs="宋体"/>
          <w:color w:val="auto"/>
          <w:kern w:val="0"/>
          <w:highlight w:val="none"/>
        </w:rPr>
        <w:t>评审时进行价格扣除或加分。实行采购优先采购的折扣率见</w:t>
      </w:r>
      <w:r>
        <w:rPr>
          <w:rFonts w:hint="eastAsia" w:ascii="宋体" w:hAnsi="宋体" w:eastAsia="宋体" w:cs="宋体"/>
          <w:b/>
          <w:bCs/>
          <w:color w:val="auto"/>
          <w:kern w:val="0"/>
          <w:highlight w:val="none"/>
        </w:rPr>
        <w:t>磋商文件前附表。</w:t>
      </w:r>
    </w:p>
    <w:p w14:paraId="34C9ACF3">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9.3产品同时属于“非强制采购节能产品”、“环境标志产品”及“两型产品”的，评审时只有其中一项能享受优先待遇(供应商自行选择，并在报价文件中填报相关信息及数据)；中小企业可以与同时属于“非强制采购节能产品”、“环境标志产品”及“两型产品”中的一项重复计算。</w:t>
      </w:r>
    </w:p>
    <w:p w14:paraId="4C5E402B">
      <w:pPr>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9.4同一项目中部分产品属于优先采购政策的，评审时只对该部分产品的报价实行价格扣除及加分。</w:t>
      </w:r>
    </w:p>
    <w:p w14:paraId="0E53DAD1">
      <w:pPr>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9.5符合本章第9.1</w:t>
      </w:r>
      <w:r>
        <w:rPr>
          <w:rFonts w:hint="eastAsia" w:ascii="宋体" w:hAnsi="宋体" w:eastAsia="宋体" w:cs="宋体"/>
          <w:color w:val="auto"/>
          <w:kern w:val="0"/>
          <w:highlight w:val="none"/>
          <w:lang w:val="zh-CN"/>
        </w:rPr>
        <w:t>款、</w:t>
      </w:r>
      <w:r>
        <w:rPr>
          <w:rFonts w:hint="eastAsia" w:ascii="宋体" w:hAnsi="宋体" w:eastAsia="宋体" w:cs="宋体"/>
          <w:color w:val="auto"/>
          <w:highlight w:val="none"/>
        </w:rPr>
        <w:t>第9.2</w:t>
      </w:r>
      <w:r>
        <w:rPr>
          <w:rFonts w:hint="eastAsia" w:ascii="宋体" w:hAnsi="宋体" w:eastAsia="宋体" w:cs="宋体"/>
          <w:color w:val="auto"/>
          <w:kern w:val="0"/>
          <w:highlight w:val="none"/>
          <w:lang w:val="zh-CN"/>
        </w:rPr>
        <w:t>款</w:t>
      </w:r>
      <w:r>
        <w:rPr>
          <w:rFonts w:hint="eastAsia" w:ascii="宋体" w:hAnsi="宋体" w:eastAsia="宋体" w:cs="宋体"/>
          <w:color w:val="auto"/>
          <w:highlight w:val="none"/>
        </w:rPr>
        <w:t>规定的，应提供相关证明资料。</w:t>
      </w:r>
    </w:p>
    <w:p w14:paraId="6EF6302D">
      <w:pPr>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9.6供应商有融资、担保需求的，具体办理流程可向</w:t>
      </w:r>
      <w:r>
        <w:rPr>
          <w:rFonts w:hint="eastAsia" w:ascii="宋体" w:hAnsi="宋体" w:eastAsia="宋体" w:cs="宋体"/>
          <w:b/>
          <w:bCs/>
          <w:color w:val="auto"/>
          <w:highlight w:val="none"/>
        </w:rPr>
        <w:t>磋商须知前附表</w:t>
      </w:r>
      <w:r>
        <w:rPr>
          <w:rFonts w:hint="eastAsia" w:ascii="宋体" w:hAnsi="宋体" w:eastAsia="宋体" w:cs="宋体"/>
          <w:color w:val="auto"/>
          <w:highlight w:val="none"/>
        </w:rPr>
        <w:t>所列金融机构和担保机构询问。</w:t>
      </w:r>
    </w:p>
    <w:p w14:paraId="635DFF9B">
      <w:pPr>
        <w:shd w:val="clear" w:color="auto" w:fill="FFFFFF" w:themeFill="background1"/>
        <w:kinsoku/>
        <w:wordWrap/>
        <w:overflowPunct/>
        <w:bidi w:val="0"/>
        <w:adjustRightInd w:val="0"/>
        <w:snapToGrid w:val="0"/>
        <w:spacing w:line="500" w:lineRule="exact"/>
        <w:ind w:left="902" w:hanging="902" w:hangingChars="3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二、磋商文件</w:t>
      </w:r>
    </w:p>
    <w:p w14:paraId="6D5BCDC7">
      <w:pPr>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10．磋商文件的组成</w:t>
      </w:r>
    </w:p>
    <w:p w14:paraId="42CA3D98">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10.1 磋商文件由下列文件组成：</w:t>
      </w:r>
    </w:p>
    <w:p w14:paraId="2FBA9687">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第一章磋商邀请</w:t>
      </w:r>
    </w:p>
    <w:p w14:paraId="627D1933">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第二章磋商须知</w:t>
      </w:r>
    </w:p>
    <w:p w14:paraId="7A81EDFD">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第三章采购需求</w:t>
      </w:r>
    </w:p>
    <w:p w14:paraId="72BF446B">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第四章采购合同格式</w:t>
      </w:r>
    </w:p>
    <w:p w14:paraId="533FD9D0">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第五章响应文件组成</w:t>
      </w:r>
    </w:p>
    <w:p w14:paraId="18FF999B">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highlight w:val="none"/>
        </w:rPr>
        <w:t>10.2</w:t>
      </w:r>
      <w:r>
        <w:rPr>
          <w:rFonts w:hint="eastAsia" w:ascii="宋体" w:hAnsi="宋体" w:eastAsia="宋体" w:cs="宋体"/>
          <w:color w:val="auto"/>
          <w:kern w:val="0"/>
          <w:highlight w:val="none"/>
        </w:rPr>
        <w:t>磋商小组根据与供应商磋商情况可能实质性变动的内容，包括采购需求中的技术、服务要求以及合同条款，</w:t>
      </w:r>
      <w:r>
        <w:rPr>
          <w:rFonts w:hint="eastAsia" w:ascii="宋体" w:hAnsi="宋体" w:eastAsia="宋体" w:cs="宋体"/>
          <w:color w:val="auto"/>
          <w:highlight w:val="none"/>
        </w:rPr>
        <w:t>在</w:t>
      </w:r>
      <w:r>
        <w:rPr>
          <w:rFonts w:hint="eastAsia" w:ascii="宋体" w:hAnsi="宋体" w:eastAsia="宋体" w:cs="宋体"/>
          <w:b/>
          <w:bCs/>
          <w:color w:val="auto"/>
          <w:highlight w:val="none"/>
        </w:rPr>
        <w:t>磋商须知前附表</w:t>
      </w:r>
      <w:r>
        <w:rPr>
          <w:rFonts w:hint="eastAsia" w:ascii="宋体" w:hAnsi="宋体" w:eastAsia="宋体" w:cs="宋体"/>
          <w:color w:val="auto"/>
          <w:highlight w:val="none"/>
        </w:rPr>
        <w:t>中明确。</w:t>
      </w:r>
    </w:p>
    <w:p w14:paraId="2C330A5B">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10.3供应商应仔细阅读磋商文件的全部内容，按照磋商文件要求编制响应文件。任何对磋商文件的忽略或误解不能作为响应文件存在缺陷或瑕疵的理由，其风险由供应商承担。</w:t>
      </w:r>
    </w:p>
    <w:p w14:paraId="795E63F4">
      <w:pPr>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11.磋商文件的提供期限</w:t>
      </w:r>
    </w:p>
    <w:p w14:paraId="2CAEB72D">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11.1磋商文件的提供期限自开始发出之日起不得少于五个工作日。具体提供期限见</w:t>
      </w:r>
      <w:r>
        <w:rPr>
          <w:rFonts w:hint="eastAsia" w:ascii="宋体" w:hAnsi="宋体" w:eastAsia="宋体" w:cs="宋体"/>
          <w:b/>
          <w:bCs/>
          <w:color w:val="auto"/>
          <w:highlight w:val="none"/>
        </w:rPr>
        <w:t>磋商文件前附表</w:t>
      </w:r>
      <w:r>
        <w:rPr>
          <w:rFonts w:hint="eastAsia" w:ascii="宋体" w:hAnsi="宋体" w:eastAsia="宋体" w:cs="宋体"/>
          <w:color w:val="auto"/>
          <w:highlight w:val="none"/>
        </w:rPr>
        <w:t>。</w:t>
      </w:r>
    </w:p>
    <w:p w14:paraId="3976342A">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11.2供应商应持</w:t>
      </w:r>
      <w:r>
        <w:rPr>
          <w:rFonts w:hint="eastAsia" w:ascii="宋体" w:hAnsi="宋体" w:eastAsia="宋体" w:cs="宋体"/>
          <w:b/>
          <w:bCs/>
          <w:color w:val="auto"/>
          <w:highlight w:val="none"/>
        </w:rPr>
        <w:t>磋商文件前附表</w:t>
      </w:r>
      <w:r>
        <w:rPr>
          <w:rFonts w:hint="eastAsia" w:ascii="宋体" w:hAnsi="宋体" w:eastAsia="宋体" w:cs="宋体"/>
          <w:color w:val="auto"/>
          <w:highlight w:val="none"/>
        </w:rPr>
        <w:t>规定的资料领取或领取磋商文件。</w:t>
      </w:r>
    </w:p>
    <w:p w14:paraId="31684B6F">
      <w:pPr>
        <w:pStyle w:val="18"/>
        <w:shd w:val="clear" w:color="auto" w:fill="FFFFFF" w:themeFill="background1"/>
        <w:kinsoku/>
        <w:wordWrap/>
        <w:overflowPunct/>
        <w:bidi w:val="0"/>
        <w:adjustRightInd w:val="0"/>
        <w:snapToGrid w:val="0"/>
        <w:spacing w:line="500" w:lineRule="exact"/>
        <w:rPr>
          <w:rFonts w:hint="eastAsia" w:ascii="宋体" w:hAnsi="宋体" w:eastAsia="宋体" w:cs="宋体"/>
          <w:color w:val="auto"/>
          <w:highlight w:val="none"/>
        </w:rPr>
      </w:pPr>
      <w:r>
        <w:rPr>
          <w:rFonts w:hint="eastAsia" w:ascii="宋体" w:hAnsi="宋体" w:eastAsia="宋体" w:cs="宋体"/>
          <w:b/>
          <w:bCs/>
          <w:color w:val="auto"/>
          <w:highlight w:val="none"/>
        </w:rPr>
        <w:t>12.</w:t>
      </w:r>
      <w:r>
        <w:rPr>
          <w:rFonts w:hint="eastAsia" w:ascii="宋体" w:hAnsi="宋体" w:eastAsia="宋体" w:cs="宋体"/>
          <w:b/>
          <w:bCs/>
          <w:color w:val="auto"/>
          <w:kern w:val="0"/>
          <w:highlight w:val="none"/>
        </w:rPr>
        <w:t>提交首次响应文件</w:t>
      </w:r>
      <w:r>
        <w:rPr>
          <w:rFonts w:hint="eastAsia" w:ascii="宋体" w:hAnsi="宋体" w:eastAsia="宋体" w:cs="宋体"/>
          <w:b/>
          <w:bCs/>
          <w:color w:val="auto"/>
          <w:highlight w:val="none"/>
        </w:rPr>
        <w:t>的</w:t>
      </w:r>
      <w:r>
        <w:rPr>
          <w:rFonts w:hint="eastAsia" w:ascii="宋体" w:hAnsi="宋体" w:eastAsia="宋体" w:cs="宋体"/>
          <w:b/>
          <w:bCs/>
          <w:color w:val="auto"/>
          <w:kern w:val="0"/>
          <w:highlight w:val="none"/>
        </w:rPr>
        <w:t>截止</w:t>
      </w:r>
      <w:r>
        <w:rPr>
          <w:rFonts w:hint="eastAsia" w:ascii="宋体" w:hAnsi="宋体" w:eastAsia="宋体" w:cs="宋体"/>
          <w:b/>
          <w:bCs/>
          <w:color w:val="auto"/>
          <w:highlight w:val="none"/>
        </w:rPr>
        <w:t>时间</w:t>
      </w:r>
    </w:p>
    <w:p w14:paraId="67017E96">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12.1</w:t>
      </w:r>
      <w:r>
        <w:rPr>
          <w:rFonts w:hint="eastAsia" w:ascii="宋体" w:hAnsi="宋体" w:eastAsia="宋体" w:cs="宋体"/>
          <w:color w:val="auto"/>
          <w:kern w:val="0"/>
          <w:highlight w:val="none"/>
        </w:rPr>
        <w:t>供应商提交首次响应文件截止</w:t>
      </w:r>
      <w:r>
        <w:rPr>
          <w:rFonts w:hint="eastAsia" w:ascii="宋体" w:hAnsi="宋体" w:eastAsia="宋体" w:cs="宋体"/>
          <w:color w:val="auto"/>
          <w:highlight w:val="none"/>
        </w:rPr>
        <w:t>时间见</w:t>
      </w:r>
      <w:r>
        <w:rPr>
          <w:rFonts w:hint="eastAsia" w:ascii="宋体" w:hAnsi="宋体" w:eastAsia="宋体" w:cs="宋体"/>
          <w:b/>
          <w:bCs/>
          <w:color w:val="auto"/>
          <w:highlight w:val="none"/>
        </w:rPr>
        <w:t>磋商须知前附表</w:t>
      </w:r>
      <w:r>
        <w:rPr>
          <w:rFonts w:hint="eastAsia" w:ascii="宋体" w:hAnsi="宋体" w:eastAsia="宋体" w:cs="宋体"/>
          <w:color w:val="auto"/>
          <w:highlight w:val="none"/>
        </w:rPr>
        <w:t>。</w:t>
      </w:r>
    </w:p>
    <w:p w14:paraId="4AB998EF">
      <w:pPr>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13.磋商文件的澄清</w:t>
      </w:r>
      <w:r>
        <w:rPr>
          <w:rFonts w:hint="eastAsia" w:ascii="宋体" w:hAnsi="宋体" w:eastAsia="宋体" w:cs="宋体"/>
          <w:b/>
          <w:bCs/>
          <w:color w:val="auto"/>
          <w:kern w:val="0"/>
          <w:highlight w:val="none"/>
          <w:lang w:val="zh-CN"/>
        </w:rPr>
        <w:t>或者</w:t>
      </w:r>
      <w:r>
        <w:rPr>
          <w:rFonts w:hint="eastAsia" w:ascii="宋体" w:hAnsi="宋体" w:eastAsia="宋体" w:cs="宋体"/>
          <w:b/>
          <w:bCs/>
          <w:color w:val="auto"/>
          <w:highlight w:val="none"/>
        </w:rPr>
        <w:t>修改</w:t>
      </w:r>
    </w:p>
    <w:p w14:paraId="77FDE77C">
      <w:pPr>
        <w:shd w:val="clear" w:color="auto" w:fill="FFFFFF" w:themeFill="background1"/>
        <w:kinsoku/>
        <w:wordWrap/>
        <w:overflowPunct/>
        <w:bidi w:val="0"/>
        <w:adjustRightInd w:val="0"/>
        <w:snapToGrid w:val="0"/>
        <w:spacing w:line="500" w:lineRule="exact"/>
        <w:ind w:right="-105" w:rightChars="-50" w:firstLine="420" w:firstLineChars="200"/>
        <w:rPr>
          <w:rFonts w:hint="eastAsia" w:ascii="宋体" w:hAnsi="宋体" w:eastAsia="宋体" w:cs="宋体"/>
          <w:color w:val="auto"/>
          <w:kern w:val="0"/>
          <w:highlight w:val="none"/>
        </w:rPr>
      </w:pPr>
      <w:r>
        <w:rPr>
          <w:rFonts w:hint="eastAsia" w:ascii="宋体" w:hAnsi="宋体" w:eastAsia="宋体" w:cs="宋体"/>
          <w:color w:val="auto"/>
          <w:highlight w:val="none"/>
        </w:rPr>
        <w:t>13.1在</w:t>
      </w:r>
      <w:r>
        <w:rPr>
          <w:rFonts w:hint="eastAsia" w:ascii="宋体" w:hAnsi="宋体" w:eastAsia="宋体" w:cs="宋体"/>
          <w:color w:val="auto"/>
          <w:kern w:val="0"/>
          <w:highlight w:val="none"/>
        </w:rPr>
        <w:t>提交首次响应文件截止之日前，采购人、采购代理机构可以对已发出的磋商文件进行必要的澄清或者修改。</w:t>
      </w:r>
    </w:p>
    <w:p w14:paraId="1FC93923">
      <w:pPr>
        <w:shd w:val="clear" w:color="auto" w:fill="FFFFFF" w:themeFill="background1"/>
        <w:kinsoku/>
        <w:wordWrap/>
        <w:overflowPunct/>
        <w:bidi w:val="0"/>
        <w:adjustRightInd w:val="0"/>
        <w:snapToGrid w:val="0"/>
        <w:spacing w:line="500" w:lineRule="exact"/>
        <w:ind w:right="-105" w:rightChars="-50" w:firstLine="420" w:firstLineChars="200"/>
        <w:rPr>
          <w:rFonts w:hint="eastAsia" w:ascii="宋体" w:hAnsi="宋体" w:eastAsia="宋体" w:cs="宋体"/>
          <w:color w:val="auto"/>
          <w:kern w:val="0"/>
          <w:highlight w:val="none"/>
        </w:rPr>
      </w:pPr>
      <w:r>
        <w:rPr>
          <w:rFonts w:hint="eastAsia" w:ascii="宋体" w:hAnsi="宋体" w:eastAsia="宋体" w:cs="宋体"/>
          <w:color w:val="auto"/>
          <w:highlight w:val="none"/>
        </w:rPr>
        <w:t>13.2</w:t>
      </w:r>
      <w:r>
        <w:rPr>
          <w:rFonts w:hint="eastAsia" w:ascii="宋体" w:hAnsi="宋体" w:eastAsia="宋体" w:cs="宋体"/>
          <w:color w:val="auto"/>
          <w:kern w:val="0"/>
          <w:highlight w:val="none"/>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3352BF13">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13.2</w:t>
      </w:r>
      <w:r>
        <w:rPr>
          <w:rFonts w:hint="eastAsia" w:ascii="宋体" w:hAnsi="宋体" w:eastAsia="宋体" w:cs="宋体"/>
          <w:color w:val="auto"/>
          <w:kern w:val="0"/>
          <w:highlight w:val="none"/>
        </w:rPr>
        <w:t>提交首次响应文件截止时间前对磋商文件澄清或者修改内容</w:t>
      </w:r>
      <w:r>
        <w:rPr>
          <w:rFonts w:hint="eastAsia" w:hAnsi="宋体" w:cs="宋体"/>
          <w:color w:val="auto"/>
          <w:kern w:val="0"/>
          <w:highlight w:val="none"/>
          <w:lang w:eastAsia="zh-CN"/>
        </w:rPr>
        <w:t>，作</w:t>
      </w:r>
      <w:r>
        <w:rPr>
          <w:rFonts w:hint="eastAsia" w:ascii="宋体" w:hAnsi="宋体" w:eastAsia="宋体" w:cs="宋体"/>
          <w:color w:val="auto"/>
          <w:kern w:val="0"/>
          <w:highlight w:val="none"/>
        </w:rPr>
        <w:t>为磋商文件的组成部分。</w:t>
      </w:r>
    </w:p>
    <w:p w14:paraId="1636926A">
      <w:pPr>
        <w:shd w:val="clear" w:color="auto" w:fill="FFFFFF" w:themeFill="background1"/>
        <w:kinsoku/>
        <w:wordWrap/>
        <w:overflowPunct/>
        <w:bidi w:val="0"/>
        <w:adjustRightInd w:val="0"/>
        <w:snapToGrid w:val="0"/>
        <w:spacing w:line="500" w:lineRule="exact"/>
        <w:ind w:left="902" w:hanging="902" w:hangingChars="3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三、响应文件</w:t>
      </w:r>
    </w:p>
    <w:p w14:paraId="760F0FAC">
      <w:pPr>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14.一般要求</w:t>
      </w:r>
    </w:p>
    <w:p w14:paraId="15C44722">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14.1 供应商应仔细阅读磋商文件的所有内容，按磋商文件的要求编制响应文件，并保证所提供的全部资料的真实性，以使其响应文件对磋商文件做出实质性的响应。</w:t>
      </w:r>
    </w:p>
    <w:p w14:paraId="3963A2B0">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14.2 供应商提交的响应文件及供应商与采购人或采购代理机构、磋商小组就有关磋商的所有来往函电均使用中文。供应商可以提交</w:t>
      </w:r>
      <w:r>
        <w:rPr>
          <w:rFonts w:hint="eastAsia" w:ascii="宋体" w:hAnsi="宋体" w:cs="宋体"/>
          <w:color w:val="auto"/>
          <w:highlight w:val="none"/>
          <w:lang w:eastAsia="zh-CN"/>
        </w:rPr>
        <w:t>其他语言</w:t>
      </w:r>
      <w:r>
        <w:rPr>
          <w:rFonts w:hint="eastAsia" w:ascii="宋体" w:hAnsi="宋体" w:eastAsia="宋体" w:cs="宋体"/>
          <w:color w:val="auto"/>
          <w:highlight w:val="none"/>
        </w:rPr>
        <w:t>的资料，但应附中文注释，在有差异时以中文为准。</w:t>
      </w:r>
    </w:p>
    <w:p w14:paraId="07B1074A">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14.3 计量单位应使用我国法定计量单位，未列明时应默认为我国法定计量单位。</w:t>
      </w:r>
    </w:p>
    <w:p w14:paraId="107548D1">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14.4 响应文件应采用书面形式，电报、传真、电子邮件形式的响应文件概不接受。</w:t>
      </w:r>
    </w:p>
    <w:p w14:paraId="12582CD5">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14.5 供应商应按磋商文件中提供的响应文件格式填写。</w:t>
      </w:r>
    </w:p>
    <w:p w14:paraId="33BB3D08">
      <w:pPr>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15.响应文件的组成</w:t>
      </w:r>
    </w:p>
    <w:p w14:paraId="70CBAFB5">
      <w:pPr>
        <w:kinsoku/>
        <w:wordWrap/>
        <w:overflowPunct/>
        <w:bidi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15.1响应文件包括下列内容：</w:t>
      </w:r>
    </w:p>
    <w:p w14:paraId="57AF04E4">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（1）磋商响应声明</w:t>
      </w:r>
    </w:p>
    <w:p w14:paraId="0D44F711">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（2）供应商的资格证明材料</w:t>
      </w:r>
    </w:p>
    <w:p w14:paraId="79C926EA">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（3）施工方案</w:t>
      </w:r>
    </w:p>
    <w:p w14:paraId="089171A5">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（4）技术/商务响应与偏离表</w:t>
      </w:r>
    </w:p>
    <w:p w14:paraId="65547FCB">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（5）提供享受采购政策的证明材料</w:t>
      </w:r>
    </w:p>
    <w:p w14:paraId="42335E56">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（6）报价一览表</w:t>
      </w:r>
    </w:p>
    <w:p w14:paraId="1689743B">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（7）供应商认为需要提供的</w:t>
      </w:r>
      <w:r>
        <w:rPr>
          <w:rFonts w:hint="eastAsia" w:ascii="宋体" w:hAnsi="宋体" w:cs="宋体"/>
          <w:color w:val="auto"/>
          <w:highlight w:val="none"/>
          <w:lang w:eastAsia="zh-CN"/>
        </w:rPr>
        <w:t>其他</w:t>
      </w:r>
      <w:r>
        <w:rPr>
          <w:rFonts w:hint="eastAsia" w:ascii="宋体" w:hAnsi="宋体" w:eastAsia="宋体" w:cs="宋体"/>
          <w:color w:val="auto"/>
          <w:highlight w:val="none"/>
        </w:rPr>
        <w:t>资料</w:t>
      </w:r>
    </w:p>
    <w:p w14:paraId="5990EB63">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（8）最后报价     </w:t>
      </w:r>
    </w:p>
    <w:p w14:paraId="786E943B">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15.2在磋商过程中，供应商根据</w:t>
      </w:r>
      <w:r>
        <w:rPr>
          <w:rFonts w:hint="eastAsia" w:ascii="宋体" w:hAnsi="宋体" w:eastAsia="宋体" w:cs="宋体"/>
          <w:color w:val="auto"/>
          <w:kern w:val="0"/>
          <w:highlight w:val="none"/>
        </w:rPr>
        <w:t>磋商小组</w:t>
      </w:r>
      <w:r>
        <w:rPr>
          <w:rFonts w:hint="eastAsia" w:ascii="宋体" w:hAnsi="宋体" w:eastAsia="宋体" w:cs="宋体"/>
          <w:color w:val="auto"/>
          <w:highlight w:val="none"/>
        </w:rPr>
        <w:t>书面形式要求</w:t>
      </w:r>
      <w:r>
        <w:rPr>
          <w:rFonts w:hint="eastAsia" w:ascii="宋体" w:hAnsi="宋体" w:eastAsia="宋体" w:cs="宋体"/>
          <w:color w:val="auto"/>
          <w:kern w:val="0"/>
          <w:highlight w:val="none"/>
        </w:rPr>
        <w:t>提交的</w:t>
      </w:r>
      <w:r>
        <w:rPr>
          <w:rFonts w:hint="eastAsia" w:ascii="宋体" w:hAnsi="宋体" w:eastAsia="宋体" w:cs="宋体"/>
          <w:color w:val="auto"/>
          <w:highlight w:val="none"/>
        </w:rPr>
        <w:t>最后报价(或者重</w:t>
      </w:r>
      <w:r>
        <w:rPr>
          <w:rFonts w:hint="eastAsia" w:ascii="宋体" w:hAnsi="宋体" w:eastAsia="宋体" w:cs="宋体"/>
          <w:color w:val="auto"/>
          <w:kern w:val="0"/>
          <w:highlight w:val="none"/>
        </w:rPr>
        <w:t>新提交的响应文件和</w:t>
      </w:r>
      <w:r>
        <w:rPr>
          <w:rFonts w:hint="eastAsia" w:ascii="宋体" w:hAnsi="宋体" w:eastAsia="宋体" w:cs="宋体"/>
          <w:color w:val="auto"/>
          <w:highlight w:val="none"/>
        </w:rPr>
        <w:t>最后报价)是响应文件的有效组成部分。</w:t>
      </w:r>
    </w:p>
    <w:p w14:paraId="6BA85C36">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15.3</w:t>
      </w:r>
      <w:r>
        <w:rPr>
          <w:rFonts w:hint="eastAsia" w:ascii="宋体" w:hAnsi="宋体" w:eastAsia="宋体" w:cs="宋体"/>
          <w:color w:val="auto"/>
          <w:kern w:val="0"/>
          <w:highlight w:val="none"/>
        </w:rPr>
        <w:t>磋商文件规定可能发生实质性变动的，供应商应当在</w:t>
      </w:r>
      <w:r>
        <w:rPr>
          <w:rFonts w:hint="eastAsia" w:ascii="宋体" w:hAnsi="宋体" w:eastAsia="宋体" w:cs="宋体"/>
          <w:color w:val="auto"/>
          <w:highlight w:val="none"/>
        </w:rPr>
        <w:t>《技术/商务响应与偏离表》中对应内容注明。</w:t>
      </w:r>
    </w:p>
    <w:p w14:paraId="2710739C">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15.4参照《政府采购法》第四十二条的规定，供应商无论成交与否，其响应文件不予退还。</w:t>
      </w:r>
    </w:p>
    <w:p w14:paraId="6CE9EA02">
      <w:pPr>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16.报价</w:t>
      </w:r>
    </w:p>
    <w:p w14:paraId="3DFF3182">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16.1供应商应当根据磋商文件要求和范围，以人民币报价，以元为单位，保留小数点后两位。</w:t>
      </w:r>
    </w:p>
    <w:p w14:paraId="3CBFA004">
      <w:pPr>
        <w:pStyle w:val="54"/>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16.2供应商应按第五章响应文件组成格式填写。</w:t>
      </w:r>
    </w:p>
    <w:p w14:paraId="5277E081">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16.3响应文件中标明的价格在合同执行过程中是固定不变的，不得以任何理由予以变更。以可变动价格提交的报价将被认为是非实质响应而被拒绝。</w:t>
      </w:r>
    </w:p>
    <w:p w14:paraId="0F1E1CAC">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16.4</w:t>
      </w:r>
      <w:r>
        <w:rPr>
          <w:rFonts w:hint="eastAsia" w:ascii="宋体" w:hAnsi="宋体" w:eastAsia="宋体" w:cs="宋体"/>
          <w:color w:val="auto"/>
          <w:kern w:val="0"/>
          <w:highlight w:val="none"/>
          <w:lang w:val="zh-CN"/>
        </w:rPr>
        <w:t>供应商</w:t>
      </w:r>
      <w:r>
        <w:rPr>
          <w:rFonts w:hint="eastAsia" w:ascii="宋体" w:hAnsi="宋体" w:eastAsia="宋体" w:cs="宋体"/>
          <w:color w:val="auto"/>
          <w:highlight w:val="none"/>
        </w:rPr>
        <w:t>的报价不得超过采购项目预算，采购项目预算或其计算方法见</w:t>
      </w:r>
      <w:r>
        <w:rPr>
          <w:rFonts w:hint="eastAsia" w:ascii="宋体" w:hAnsi="宋体" w:eastAsia="宋体" w:cs="宋体"/>
          <w:b/>
          <w:bCs/>
          <w:color w:val="auto"/>
          <w:highlight w:val="none"/>
        </w:rPr>
        <w:t>磋商须知前附表</w:t>
      </w:r>
      <w:r>
        <w:rPr>
          <w:rFonts w:hint="eastAsia" w:ascii="宋体" w:hAnsi="宋体" w:eastAsia="宋体" w:cs="宋体"/>
          <w:color w:val="auto"/>
          <w:highlight w:val="none"/>
        </w:rPr>
        <w:t>。</w:t>
      </w:r>
    </w:p>
    <w:p w14:paraId="7F9DB6C0">
      <w:pPr>
        <w:pStyle w:val="18"/>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17.供应商符合磋商文件规定的证明文件</w:t>
      </w:r>
    </w:p>
    <w:p w14:paraId="27F0EB4E">
      <w:pPr>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17.1供应商应提交满足本章第3.1款规定的资格条件要求的证明文件,该证明文件作为响应文件的一部分。</w:t>
      </w:r>
    </w:p>
    <w:p w14:paraId="5943C88D">
      <w:pPr>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17.2如果供应商为联合体，则应提交联合体各方资格证明文件、联合体协议。否则，在评审时将其视为无效响应。</w:t>
      </w:r>
    </w:p>
    <w:p w14:paraId="08D433C2">
      <w:pPr>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highlight w:val="none"/>
        </w:rPr>
      </w:pPr>
    </w:p>
    <w:p w14:paraId="6F5485C7">
      <w:pPr>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19.磋商保证金</w:t>
      </w:r>
    </w:p>
    <w:p w14:paraId="1FC22725">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19.1</w:t>
      </w:r>
      <w:r>
        <w:rPr>
          <w:rFonts w:hint="eastAsia" w:ascii="宋体" w:hAnsi="宋体" w:eastAsia="宋体" w:cs="宋体"/>
          <w:b/>
          <w:bCs/>
          <w:color w:val="auto"/>
          <w:highlight w:val="none"/>
        </w:rPr>
        <w:t>磋商须知前附表</w:t>
      </w:r>
      <w:r>
        <w:rPr>
          <w:rFonts w:hint="eastAsia" w:ascii="宋体" w:hAnsi="宋体" w:eastAsia="宋体" w:cs="宋体"/>
          <w:color w:val="auto"/>
          <w:highlight w:val="none"/>
        </w:rPr>
        <w:t>规定交纳磋商保证金的，应按</w:t>
      </w:r>
      <w:r>
        <w:rPr>
          <w:rFonts w:hint="eastAsia" w:ascii="宋体" w:hAnsi="宋体" w:eastAsia="宋体" w:cs="宋体"/>
          <w:b/>
          <w:bCs/>
          <w:color w:val="auto"/>
          <w:highlight w:val="none"/>
        </w:rPr>
        <w:t>磋商须知前附表</w:t>
      </w:r>
      <w:r>
        <w:rPr>
          <w:rFonts w:hint="eastAsia" w:ascii="宋体" w:hAnsi="宋体" w:eastAsia="宋体" w:cs="宋体"/>
          <w:color w:val="auto"/>
          <w:highlight w:val="none"/>
        </w:rPr>
        <w:t>规定的磋商保证金形式交纳，不得以现金方式交纳，在</w:t>
      </w:r>
      <w:r>
        <w:rPr>
          <w:rFonts w:hint="eastAsia" w:ascii="宋体" w:hAnsi="宋体" w:eastAsia="宋体" w:cs="宋体"/>
          <w:color w:val="auto"/>
          <w:kern w:val="0"/>
          <w:highlight w:val="none"/>
        </w:rPr>
        <w:t>提交首次响应文件截止时间</w:t>
      </w:r>
      <w:r>
        <w:rPr>
          <w:rFonts w:hint="eastAsia" w:ascii="宋体" w:hAnsi="宋体" w:eastAsia="宋体" w:cs="宋体"/>
          <w:color w:val="auto"/>
          <w:highlight w:val="none"/>
        </w:rPr>
        <w:t>前，向采购代理机构交纳不超过</w:t>
      </w:r>
      <w:r>
        <w:rPr>
          <w:rFonts w:hint="eastAsia" w:ascii="宋体" w:hAnsi="宋体" w:eastAsia="宋体" w:cs="宋体"/>
          <w:color w:val="auto"/>
          <w:kern w:val="0"/>
          <w:highlight w:val="none"/>
          <w:lang w:val="zh-CN"/>
        </w:rPr>
        <w:t>采购项目预算2﹪</w:t>
      </w:r>
      <w:r>
        <w:rPr>
          <w:rFonts w:hint="eastAsia" w:ascii="宋体" w:hAnsi="宋体" w:eastAsia="宋体" w:cs="宋体"/>
          <w:color w:val="auto"/>
          <w:highlight w:val="none"/>
        </w:rPr>
        <w:t>的磋商保证金(数额采用四舍五入，计算至元)。磋商保证金有效期应当与本章第20.1</w:t>
      </w:r>
      <w:r>
        <w:rPr>
          <w:rFonts w:hint="eastAsia" w:ascii="宋体" w:hAnsi="宋体" w:eastAsia="宋体" w:cs="宋体"/>
          <w:color w:val="auto"/>
          <w:kern w:val="0"/>
          <w:highlight w:val="none"/>
          <w:lang w:val="zh-CN"/>
        </w:rPr>
        <w:t>款</w:t>
      </w:r>
      <w:r>
        <w:rPr>
          <w:rFonts w:hint="eastAsia" w:ascii="宋体" w:hAnsi="宋体" w:eastAsia="宋体" w:cs="宋体"/>
          <w:color w:val="auto"/>
          <w:highlight w:val="none"/>
        </w:rPr>
        <w:t>规定的响应文件有效期一致。</w:t>
      </w:r>
    </w:p>
    <w:p w14:paraId="0B5A9C0F">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19.2</w:t>
      </w:r>
      <w:r>
        <w:rPr>
          <w:rFonts w:hint="eastAsia" w:ascii="宋体" w:hAnsi="宋体" w:eastAsia="宋体" w:cs="宋体"/>
          <w:color w:val="auto"/>
          <w:kern w:val="0"/>
          <w:highlight w:val="none"/>
          <w:lang w:val="zh-CN"/>
        </w:rPr>
        <w:t>供应商为联合体的，可以由联合体中的一方或者共同交纳磋商保证金，其交纳的磋商保证金，对联合体各方均具有约束力。</w:t>
      </w:r>
    </w:p>
    <w:p w14:paraId="0E803BBF">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19.3供应商未按照磋商文件要求提交磋商保证金的，响应无效。</w:t>
      </w:r>
    </w:p>
    <w:p w14:paraId="254C5654">
      <w:pPr>
        <w:pStyle w:val="18"/>
        <w:shd w:val="clear" w:color="auto" w:fill="FFFFFF" w:themeFill="background1"/>
        <w:tabs>
          <w:tab w:val="left" w:pos="6300"/>
        </w:tabs>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19.4采购代理机构在成交通知书发出后5个工作日内退还未成交供应商的磋商保证金；在采购合同</w:t>
      </w:r>
      <w:r>
        <w:rPr>
          <w:rFonts w:hint="eastAsia" w:hAnsi="宋体" w:cs="宋体"/>
          <w:color w:val="auto"/>
          <w:highlight w:val="none"/>
          <w:lang w:eastAsia="zh-CN"/>
        </w:rPr>
        <w:t>签订</w:t>
      </w:r>
      <w:r>
        <w:rPr>
          <w:rFonts w:hint="eastAsia" w:ascii="宋体" w:hAnsi="宋体" w:eastAsia="宋体" w:cs="宋体"/>
          <w:color w:val="auto"/>
          <w:highlight w:val="none"/>
        </w:rPr>
        <w:t>后5个工作日内退还成交供应商的磋商保证金，但因供应商自身原因导致无法及时退还的除外。</w:t>
      </w:r>
    </w:p>
    <w:p w14:paraId="05497FED">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highlight w:val="none"/>
        </w:rPr>
        <w:t xml:space="preserve">19.5 </w:t>
      </w:r>
      <w:r>
        <w:rPr>
          <w:rFonts w:hint="eastAsia" w:ascii="宋体" w:hAnsi="宋体" w:eastAsia="宋体" w:cs="宋体"/>
          <w:color w:val="auto"/>
          <w:kern w:val="0"/>
          <w:highlight w:val="none"/>
        </w:rPr>
        <w:t>有下列情形之一的，磋商保证金不予退还，并上缴本级财政国库：</w:t>
      </w:r>
    </w:p>
    <w:p w14:paraId="6300861C">
      <w:pPr>
        <w:widowControl/>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（1）供应商在提交首次响应文件截止时间后撤回响应文件的；</w:t>
      </w:r>
    </w:p>
    <w:p w14:paraId="46952A14">
      <w:pPr>
        <w:widowControl/>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（2）供应商在响应文件中提供虚假资料的；</w:t>
      </w:r>
    </w:p>
    <w:p w14:paraId="0370A9F8">
      <w:pPr>
        <w:widowControl/>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r>
        <w:rPr>
          <w:rFonts w:hint="eastAsia" w:ascii="宋体" w:hAnsi="宋体" w:eastAsia="宋体" w:cs="宋体"/>
          <w:color w:val="auto"/>
          <w:highlight w:val="none"/>
        </w:rPr>
        <w:t>确定成交结果后，无正当理由放弃成交资格的；</w:t>
      </w:r>
    </w:p>
    <w:p w14:paraId="05DBABD4">
      <w:pPr>
        <w:widowControl/>
        <w:shd w:val="clear" w:color="auto" w:fill="FFFFFF" w:themeFill="background1"/>
        <w:kinsoku/>
        <w:wordWrap/>
        <w:overflowPunct/>
        <w:bidi w:val="0"/>
        <w:adjustRightInd w:val="0"/>
        <w:snapToGrid w:val="0"/>
        <w:spacing w:line="500" w:lineRule="exact"/>
        <w:ind w:firstLine="525" w:firstLineChars="25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（4）</w:t>
      </w:r>
      <w:r>
        <w:rPr>
          <w:rFonts w:hint="eastAsia" w:ascii="宋体" w:hAnsi="宋体" w:eastAsia="宋体" w:cs="宋体"/>
          <w:color w:val="auto"/>
          <w:kern w:val="0"/>
          <w:highlight w:val="none"/>
        </w:rPr>
        <w:t xml:space="preserve"> 除因不可抗力或磋商文件认可的情形以外，成交供应商不与采购人签订合同的；</w:t>
      </w:r>
    </w:p>
    <w:p w14:paraId="5D8E437C">
      <w:pPr>
        <w:widowControl/>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（5）供应商与采购人、其他供应商或者采购代理机构恶意串通的；</w:t>
      </w:r>
    </w:p>
    <w:p w14:paraId="36B2FF18">
      <w:pPr>
        <w:widowControl/>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（6）磋商文件规定的其他情形。</w:t>
      </w:r>
    </w:p>
    <w:p w14:paraId="7C155AFC">
      <w:pPr>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20.响应文件有效期</w:t>
      </w:r>
    </w:p>
    <w:p w14:paraId="0A3B2E1E">
      <w:pPr>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20.1响应文件有效期见</w:t>
      </w:r>
      <w:r>
        <w:rPr>
          <w:rFonts w:hint="eastAsia" w:ascii="宋体" w:hAnsi="宋体" w:eastAsia="宋体" w:cs="宋体"/>
          <w:b/>
          <w:bCs/>
          <w:color w:val="auto"/>
          <w:highlight w:val="none"/>
        </w:rPr>
        <w:t>磋商须知前附表</w:t>
      </w:r>
      <w:r>
        <w:rPr>
          <w:rFonts w:hint="eastAsia" w:ascii="宋体" w:hAnsi="宋体" w:eastAsia="宋体" w:cs="宋体"/>
          <w:color w:val="auto"/>
          <w:highlight w:val="none"/>
        </w:rPr>
        <w:t>，在此期间响应文件对供应商具有法律约束力，从</w:t>
      </w:r>
      <w:r>
        <w:rPr>
          <w:rFonts w:hint="eastAsia" w:ascii="宋体" w:hAnsi="宋体" w:eastAsia="宋体" w:cs="宋体"/>
          <w:color w:val="auto"/>
          <w:kern w:val="0"/>
          <w:highlight w:val="none"/>
        </w:rPr>
        <w:t>提交首次响应文件截止时间</w:t>
      </w:r>
      <w:r>
        <w:rPr>
          <w:rFonts w:hint="eastAsia" w:ascii="宋体" w:hAnsi="宋体" w:eastAsia="宋体" w:cs="宋体"/>
          <w:color w:val="auto"/>
          <w:highlight w:val="none"/>
        </w:rPr>
        <w:t>之日起计算。响应文件有效期不足的将被视为无效响应。</w:t>
      </w:r>
    </w:p>
    <w:p w14:paraId="201EC103">
      <w:pPr>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21.响应文件的签署及规定</w:t>
      </w:r>
    </w:p>
    <w:p w14:paraId="3F849EB4">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21.1响应文件的正本和副本应装订成册，正本一份，副本份数见磋商须知前附表。正本和副本的封面上应标记“正本”或“副本”的字样，当正本和副本有差异时，以正本为准。响应文件的正本与副本应分别采用胶装方式装订成册，并编制目录，具体装订要求见供应商须知前附表规定。响应文件未按磋商文件要求装订成册的，将被视为无效投标。</w:t>
      </w:r>
    </w:p>
    <w:p w14:paraId="7F430785">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21.2 响应文件正本和副本应按磋商文件要求签章处盖单位章和由法定代表人或其委托代理人签字；任何加行、涂改、增删，应有法定代表人或其委托代理人在旁边签字。否则，将导致响应文件无效。</w:t>
      </w:r>
    </w:p>
    <w:p w14:paraId="1B771130">
      <w:pPr>
        <w:pStyle w:val="18"/>
        <w:kinsoku/>
        <w:wordWrap/>
        <w:overflowPunct/>
        <w:bidi w:val="0"/>
        <w:adjustRightInd w:val="0"/>
        <w:snapToGrid w:val="0"/>
        <w:spacing w:line="50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21.3在磋商过程中，供应商按磋商文件规定和磋商小组要求</w:t>
      </w:r>
      <w:r>
        <w:rPr>
          <w:rFonts w:hint="eastAsia" w:ascii="宋体" w:hAnsi="宋体" w:eastAsia="宋体" w:cs="宋体"/>
          <w:color w:val="auto"/>
          <w:kern w:val="0"/>
          <w:highlight w:val="none"/>
        </w:rPr>
        <w:t>提交的</w:t>
      </w:r>
      <w:r>
        <w:rPr>
          <w:rFonts w:hint="eastAsia" w:ascii="宋体" w:hAnsi="宋体" w:eastAsia="宋体" w:cs="宋体"/>
          <w:color w:val="auto"/>
          <w:highlight w:val="none"/>
        </w:rPr>
        <w:t>最后报价(或者</w:t>
      </w:r>
      <w:r>
        <w:rPr>
          <w:rFonts w:hint="eastAsia" w:ascii="宋体" w:hAnsi="宋体" w:eastAsia="宋体" w:cs="宋体"/>
          <w:bCs/>
          <w:color w:val="auto"/>
          <w:highlight w:val="none"/>
        </w:rPr>
        <w:t>重</w:t>
      </w:r>
      <w:r>
        <w:rPr>
          <w:rFonts w:hint="eastAsia" w:ascii="宋体" w:hAnsi="宋体" w:eastAsia="宋体" w:cs="宋体"/>
          <w:color w:val="auto"/>
          <w:kern w:val="0"/>
          <w:highlight w:val="none"/>
        </w:rPr>
        <w:t>新提交的响应文件和</w:t>
      </w:r>
      <w:r>
        <w:rPr>
          <w:rFonts w:hint="eastAsia" w:ascii="宋体" w:hAnsi="宋体" w:eastAsia="宋体" w:cs="宋体"/>
          <w:color w:val="auto"/>
          <w:highlight w:val="none"/>
        </w:rPr>
        <w:t>最后报价)，一式两份，可打印或用不</w:t>
      </w:r>
      <w:r>
        <w:rPr>
          <w:rFonts w:hint="eastAsia" w:hAnsi="宋体" w:cs="宋体"/>
          <w:color w:val="auto"/>
          <w:highlight w:val="none"/>
          <w:lang w:eastAsia="zh-CN"/>
        </w:rPr>
        <w:t>褪色</w:t>
      </w:r>
      <w:r>
        <w:rPr>
          <w:rFonts w:hint="eastAsia" w:ascii="宋体" w:hAnsi="宋体" w:eastAsia="宋体" w:cs="宋体"/>
          <w:color w:val="auto"/>
          <w:highlight w:val="none"/>
        </w:rPr>
        <w:t>墨水书写，但需经法定代表人或其委托代理人签字，</w:t>
      </w:r>
      <w:r>
        <w:rPr>
          <w:rFonts w:hint="eastAsia" w:ascii="宋体" w:hAnsi="宋体" w:eastAsia="宋体" w:cs="宋体"/>
          <w:color w:val="auto"/>
          <w:kern w:val="0"/>
          <w:highlight w:val="none"/>
        </w:rPr>
        <w:t>并加盖供应商单位章</w:t>
      </w:r>
      <w:r>
        <w:rPr>
          <w:rFonts w:hint="eastAsia" w:ascii="宋体" w:hAnsi="宋体" w:eastAsia="宋体" w:cs="宋体"/>
          <w:color w:val="auto"/>
          <w:highlight w:val="none"/>
        </w:rPr>
        <w:t>。</w:t>
      </w:r>
    </w:p>
    <w:p w14:paraId="52AE75CE">
      <w:pPr>
        <w:shd w:val="clear" w:color="auto" w:fill="FFFFFF" w:themeFill="background1"/>
        <w:kinsoku/>
        <w:wordWrap/>
        <w:overflowPunct/>
        <w:bidi w:val="0"/>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四、响应文件的递交</w:t>
      </w:r>
    </w:p>
    <w:p w14:paraId="54579836">
      <w:pPr>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22.响应文件的密封和标记</w:t>
      </w:r>
    </w:p>
    <w:p w14:paraId="5C905935">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22.1响应文件应密封包装，加贴封条，并在封套的封口</w:t>
      </w:r>
      <w:r>
        <w:rPr>
          <w:rFonts w:hint="eastAsia" w:hAnsi="宋体" w:cs="宋体"/>
          <w:color w:val="auto"/>
          <w:highlight w:val="none"/>
          <w:lang w:eastAsia="zh-CN"/>
        </w:rPr>
        <w:t>处加</w:t>
      </w:r>
      <w:r>
        <w:rPr>
          <w:rFonts w:hint="eastAsia" w:ascii="宋体" w:hAnsi="宋体" w:eastAsia="宋体" w:cs="宋体"/>
          <w:color w:val="auto"/>
          <w:highlight w:val="none"/>
        </w:rPr>
        <w:t>盖供应商单位章或者由法定代表人或其委托代理人签字。</w:t>
      </w:r>
    </w:p>
    <w:p w14:paraId="5D78617A">
      <w:pPr>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22.2响应文件封套上应写明的内容见</w:t>
      </w:r>
      <w:r>
        <w:rPr>
          <w:rFonts w:hint="eastAsia" w:ascii="宋体" w:hAnsi="宋体" w:eastAsia="宋体" w:cs="宋体"/>
          <w:b/>
          <w:bCs/>
          <w:color w:val="auto"/>
          <w:highlight w:val="none"/>
        </w:rPr>
        <w:t>磋商须知前附表。</w:t>
      </w:r>
    </w:p>
    <w:p w14:paraId="2AAFEDC1">
      <w:pPr>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22.3响应文件如果未按上述规定密封和加写标记，采购人或采购代理机构将拒绝接收。</w:t>
      </w:r>
    </w:p>
    <w:p w14:paraId="5AE2D398">
      <w:pPr>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23.响应文件的</w:t>
      </w:r>
      <w:r>
        <w:rPr>
          <w:rFonts w:hint="eastAsia" w:ascii="宋体" w:hAnsi="宋体" w:eastAsia="宋体" w:cs="宋体"/>
          <w:b/>
          <w:bCs/>
          <w:color w:val="auto"/>
          <w:kern w:val="0"/>
          <w:highlight w:val="none"/>
          <w:lang w:val="zh-CN"/>
        </w:rPr>
        <w:t>补充、修改或者撤回</w:t>
      </w:r>
    </w:p>
    <w:p w14:paraId="2E8CE600">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23.1</w:t>
      </w:r>
      <w:r>
        <w:rPr>
          <w:rFonts w:hint="eastAsia" w:ascii="宋体" w:hAnsi="宋体" w:eastAsia="宋体" w:cs="宋体"/>
          <w:color w:val="auto"/>
          <w:kern w:val="0"/>
          <w:highlight w:val="none"/>
        </w:rPr>
        <w:t>供应商在提交首次响应文件截止时间前，可以对所提交的首次响应文件进行补充、修改或者撤回，并书面通知采购人、采购代理机构。</w:t>
      </w:r>
      <w:r>
        <w:rPr>
          <w:rFonts w:hint="eastAsia" w:ascii="宋体" w:hAnsi="宋体" w:eastAsia="宋体" w:cs="宋体"/>
          <w:color w:val="auto"/>
          <w:highlight w:val="none"/>
        </w:rPr>
        <w:t>该通知应有供应商法定代表人或其委托代理人签字。</w:t>
      </w:r>
    </w:p>
    <w:p w14:paraId="7C838DA1">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w:t>
      </w:r>
      <w:r>
        <w:rPr>
          <w:rFonts w:hint="eastAsia" w:ascii="宋体" w:hAnsi="宋体" w:eastAsia="宋体" w:cs="宋体"/>
          <w:color w:val="auto"/>
          <w:kern w:val="0"/>
          <w:highlight w:val="none"/>
          <w:lang w:val="zh-CN"/>
        </w:rPr>
        <w:t>补充、修改的内容与响应文件不一致时，以补充、修改的内容为准。</w:t>
      </w:r>
    </w:p>
    <w:p w14:paraId="6F5B97D6">
      <w:pPr>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24.响应文件的递交与接收</w:t>
      </w:r>
    </w:p>
    <w:p w14:paraId="7C53D0FD">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24.1 供应商应在</w:t>
      </w:r>
      <w:r>
        <w:rPr>
          <w:rFonts w:hint="eastAsia" w:ascii="宋体" w:hAnsi="宋体" w:eastAsia="宋体" w:cs="宋体"/>
          <w:color w:val="auto"/>
          <w:kern w:val="0"/>
          <w:highlight w:val="none"/>
        </w:rPr>
        <w:t>提交首次响应文件截止时间</w:t>
      </w:r>
      <w:r>
        <w:rPr>
          <w:rFonts w:hint="eastAsia" w:ascii="宋体" w:hAnsi="宋体" w:eastAsia="宋体" w:cs="宋体"/>
          <w:color w:val="auto"/>
          <w:highlight w:val="none"/>
        </w:rPr>
        <w:t>前，将响应文件送达</w:t>
      </w:r>
      <w:r>
        <w:rPr>
          <w:rFonts w:hint="eastAsia" w:ascii="宋体" w:hAnsi="宋体" w:eastAsia="宋体" w:cs="宋体"/>
          <w:b/>
          <w:bCs/>
          <w:color w:val="auto"/>
          <w:highlight w:val="none"/>
        </w:rPr>
        <w:t>磋商须知前附表</w:t>
      </w:r>
      <w:r>
        <w:rPr>
          <w:rFonts w:hint="eastAsia" w:ascii="宋体" w:hAnsi="宋体" w:eastAsia="宋体" w:cs="宋体"/>
          <w:color w:val="auto"/>
          <w:highlight w:val="none"/>
        </w:rPr>
        <w:t>中指定的地点。</w:t>
      </w:r>
      <w:r>
        <w:rPr>
          <w:rFonts w:hint="eastAsia" w:ascii="宋体" w:hAnsi="宋体" w:eastAsia="宋体" w:cs="宋体"/>
          <w:color w:val="auto"/>
          <w:kern w:val="0"/>
          <w:highlight w:val="none"/>
        </w:rPr>
        <w:t>在截止时间后送达的响应文件，采购人、采购代理机构或者磋商小组应当拒收。</w:t>
      </w:r>
    </w:p>
    <w:p w14:paraId="69A0D84C">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24.2</w:t>
      </w:r>
      <w:r>
        <w:rPr>
          <w:rFonts w:hint="eastAsia" w:ascii="宋体" w:hAnsi="宋体" w:eastAsia="宋体" w:cs="宋体"/>
          <w:color w:val="auto"/>
          <w:kern w:val="0"/>
          <w:highlight w:val="none"/>
        </w:rPr>
        <w:t>在提交首次响应文件截止时间后，</w:t>
      </w:r>
      <w:r>
        <w:rPr>
          <w:rFonts w:hint="eastAsia" w:ascii="宋体" w:hAnsi="宋体" w:eastAsia="宋体" w:cs="宋体"/>
          <w:color w:val="auto"/>
          <w:highlight w:val="none"/>
        </w:rPr>
        <w:t>由供应商代表当场查验响应文件的密封状况，采购人或采购代理机构不当场拆封响应文件。</w:t>
      </w:r>
    </w:p>
    <w:p w14:paraId="18DE0593">
      <w:pPr>
        <w:shd w:val="clear" w:color="auto" w:fill="FFFFFF" w:themeFill="background1"/>
        <w:kinsoku/>
        <w:wordWrap/>
        <w:overflowPunct/>
        <w:bidi w:val="0"/>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五、响应文件的磋商与评审</w:t>
      </w:r>
    </w:p>
    <w:p w14:paraId="7814B55F">
      <w:pPr>
        <w:shd w:val="clear" w:color="auto" w:fill="FFFFFF" w:themeFill="background1"/>
        <w:tabs>
          <w:tab w:val="left" w:pos="0"/>
        </w:tabs>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25.磋商程序</w:t>
      </w:r>
    </w:p>
    <w:p w14:paraId="078DBD1A">
      <w:pPr>
        <w:widowControl/>
        <w:shd w:val="clear" w:color="auto" w:fill="FFFFFF" w:themeFill="background1"/>
        <w:kinsoku/>
        <w:wordWrap/>
        <w:overflowPunct/>
        <w:bidi w:val="0"/>
        <w:adjustRightInd w:val="0"/>
        <w:snapToGrid w:val="0"/>
        <w:spacing w:line="500" w:lineRule="exact"/>
        <w:ind w:firstLine="420"/>
        <w:jc w:val="left"/>
        <w:rPr>
          <w:rFonts w:hint="eastAsia" w:ascii="宋体" w:hAnsi="宋体" w:eastAsia="宋体" w:cs="宋体"/>
          <w:color w:val="auto"/>
          <w:highlight w:val="none"/>
        </w:rPr>
      </w:pPr>
      <w:r>
        <w:rPr>
          <w:rFonts w:hint="eastAsia" w:ascii="宋体" w:hAnsi="宋体" w:eastAsia="宋体" w:cs="宋体"/>
          <w:color w:val="auto"/>
          <w:kern w:val="0"/>
          <w:highlight w:val="none"/>
        </w:rPr>
        <w:t>25.1磋商程序：响应文件审查、磋商（包括澄清）、响应文件评审、</w:t>
      </w:r>
      <w:r>
        <w:rPr>
          <w:rFonts w:hint="eastAsia" w:ascii="宋体" w:hAnsi="宋体" w:eastAsia="宋体" w:cs="宋体"/>
          <w:color w:val="auto"/>
          <w:highlight w:val="none"/>
        </w:rPr>
        <w:t>提出成交供应商。其中，</w:t>
      </w:r>
      <w:r>
        <w:rPr>
          <w:rFonts w:hint="eastAsia" w:ascii="宋体" w:hAnsi="宋体" w:eastAsia="宋体" w:cs="宋体"/>
          <w:color w:val="auto"/>
          <w:kern w:val="0"/>
          <w:highlight w:val="none"/>
        </w:rPr>
        <w:t>磋商按</w:t>
      </w:r>
      <w:r>
        <w:rPr>
          <w:rFonts w:hint="eastAsia" w:ascii="宋体" w:hAnsi="宋体" w:eastAsia="宋体" w:cs="宋体"/>
          <w:color w:val="auto"/>
          <w:highlight w:val="none"/>
        </w:rPr>
        <w:t>本章第30.1</w:t>
      </w:r>
      <w:r>
        <w:rPr>
          <w:rFonts w:hint="eastAsia" w:ascii="宋体" w:hAnsi="宋体" w:eastAsia="宋体" w:cs="宋体"/>
          <w:color w:val="auto"/>
          <w:kern w:val="0"/>
          <w:highlight w:val="none"/>
          <w:lang w:val="zh-CN"/>
        </w:rPr>
        <w:t>款或</w:t>
      </w:r>
      <w:r>
        <w:rPr>
          <w:rFonts w:hint="eastAsia" w:ascii="宋体" w:hAnsi="宋体" w:eastAsia="宋体" w:cs="宋体"/>
          <w:color w:val="auto"/>
          <w:highlight w:val="none"/>
        </w:rPr>
        <w:t>第30.2</w:t>
      </w:r>
      <w:r>
        <w:rPr>
          <w:rFonts w:hint="eastAsia" w:ascii="宋体" w:hAnsi="宋体" w:eastAsia="宋体" w:cs="宋体"/>
          <w:color w:val="auto"/>
          <w:kern w:val="0"/>
          <w:highlight w:val="none"/>
          <w:lang w:val="zh-CN"/>
        </w:rPr>
        <w:t>款</w:t>
      </w:r>
      <w:r>
        <w:rPr>
          <w:rFonts w:hint="eastAsia" w:ascii="宋体" w:hAnsi="宋体" w:eastAsia="宋体" w:cs="宋体"/>
          <w:color w:val="auto"/>
          <w:highlight w:val="none"/>
        </w:rPr>
        <w:t>情形进行。</w:t>
      </w:r>
    </w:p>
    <w:p w14:paraId="6659E215">
      <w:pPr>
        <w:widowControl/>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kern w:val="0"/>
          <w:highlight w:val="none"/>
        </w:rPr>
        <w:t>26.响应文件审查</w:t>
      </w:r>
    </w:p>
    <w:p w14:paraId="5E34CF18">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26.1 资格性审查：根据本章第3.1项规定的供应商资格条件要求，对响应文件的资格证明等进行审查，以确定供应商是否具备磋商资格条件。</w:t>
      </w:r>
    </w:p>
    <w:p w14:paraId="34203864">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26.2符合性审查: 对响应文件(包括首次提交的响应文件、重新提交的响应文件)的有效性、完整性和响应程度进行审查，以确定是否对磋商文件的实质性要求作出响应。</w:t>
      </w:r>
    </w:p>
    <w:p w14:paraId="4FB78F29">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26.3响应文件审查结束后，磋商小组所有成员集中与单一供应商分别进行磋商，并给予所有参加磋商的供应商平等的磋商机会。供应商应派其法定代表人或委托代理人参加磋商。</w:t>
      </w:r>
    </w:p>
    <w:p w14:paraId="03F001EE">
      <w:pPr>
        <w:pStyle w:val="18"/>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27.实质性响应</w:t>
      </w:r>
    </w:p>
    <w:p w14:paraId="11FFE776">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27.1</w:t>
      </w:r>
      <w:r>
        <w:rPr>
          <w:rFonts w:hint="eastAsia" w:ascii="宋体" w:hAnsi="宋体" w:eastAsia="宋体" w:cs="宋体"/>
          <w:color w:val="auto"/>
          <w:highlight w:val="none"/>
        </w:rPr>
        <w:t>实质性响应是指响应文件(包括首次响应文件、重新提交的响应文件)与磋商文件要求的所有条款、条件和规格相符，没有偏离。偏离指不满足</w:t>
      </w:r>
      <w:r>
        <w:rPr>
          <w:rFonts w:hint="eastAsia" w:hAnsi="宋体" w:cs="宋体"/>
          <w:color w:val="auto"/>
          <w:highlight w:val="none"/>
          <w:lang w:eastAsia="zh-CN"/>
        </w:rPr>
        <w:t>，或</w:t>
      </w:r>
      <w:r>
        <w:rPr>
          <w:rFonts w:hint="eastAsia" w:ascii="宋体" w:hAnsi="宋体" w:eastAsia="宋体" w:cs="宋体"/>
          <w:color w:val="auto"/>
          <w:highlight w:val="none"/>
        </w:rPr>
        <w:t>不响应磋商文件的要求。</w:t>
      </w:r>
    </w:p>
    <w:p w14:paraId="3144EDE7">
      <w:pPr>
        <w:shd w:val="clear" w:color="auto" w:fill="FFFFFF" w:themeFill="background1"/>
        <w:tabs>
          <w:tab w:val="left" w:pos="0"/>
          <w:tab w:val="left" w:pos="7560"/>
          <w:tab w:val="left" w:pos="7740"/>
          <w:tab w:val="left" w:pos="7920"/>
        </w:tabs>
        <w:kinsoku/>
        <w:wordWrap/>
        <w:overflowPunct/>
        <w:bidi w:val="0"/>
        <w:adjustRightInd w:val="0"/>
        <w:snapToGrid w:val="0"/>
        <w:spacing w:line="500" w:lineRule="exact"/>
        <w:ind w:right="23" w:rightChars="1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27.2响应文件是否实质性响应磋商文件要求由磋商小组依据磋商文件规定认定。</w:t>
      </w:r>
      <w:r>
        <w:rPr>
          <w:rFonts w:hint="eastAsia" w:ascii="宋体" w:hAnsi="宋体" w:eastAsia="宋体" w:cs="宋体"/>
          <w:color w:val="auto"/>
          <w:kern w:val="0"/>
          <w:highlight w:val="none"/>
        </w:rPr>
        <w:t>磋商小组</w:t>
      </w:r>
      <w:r>
        <w:rPr>
          <w:rFonts w:hint="eastAsia" w:ascii="宋体" w:hAnsi="宋体" w:eastAsia="宋体" w:cs="宋体"/>
          <w:color w:val="auto"/>
          <w:highlight w:val="none"/>
        </w:rPr>
        <w:t>决定响应文件的响应性只根据响应文件本身的真实无误的内容，而不依据外部的证据。</w:t>
      </w:r>
    </w:p>
    <w:p w14:paraId="68C98746">
      <w:pPr>
        <w:pStyle w:val="18"/>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28.无效响应</w:t>
      </w:r>
    </w:p>
    <w:p w14:paraId="531F1151">
      <w:pPr>
        <w:pStyle w:val="18"/>
        <w:shd w:val="clear" w:color="auto" w:fill="FFFFFF" w:themeFill="background1"/>
        <w:kinsoku/>
        <w:wordWrap/>
        <w:overflowPunct/>
        <w:bidi w:val="0"/>
        <w:adjustRightInd w:val="0"/>
        <w:snapToGrid w:val="0"/>
        <w:spacing w:line="500" w:lineRule="exact"/>
        <w:ind w:firstLine="411" w:firstLineChars="196"/>
        <w:rPr>
          <w:rFonts w:hint="eastAsia" w:ascii="宋体" w:hAnsi="宋体" w:eastAsia="宋体" w:cs="宋体"/>
          <w:b/>
          <w:bCs/>
          <w:color w:val="auto"/>
          <w:kern w:val="0"/>
          <w:highlight w:val="none"/>
        </w:rPr>
      </w:pPr>
      <w:r>
        <w:rPr>
          <w:rFonts w:hint="eastAsia" w:ascii="宋体" w:hAnsi="宋体" w:eastAsia="宋体" w:cs="宋体"/>
          <w:color w:val="auto"/>
          <w:kern w:val="0"/>
          <w:highlight w:val="none"/>
        </w:rPr>
        <w:t>28.1</w:t>
      </w:r>
      <w:r>
        <w:rPr>
          <w:rFonts w:hint="eastAsia" w:ascii="宋体" w:hAnsi="宋体" w:eastAsia="宋体" w:cs="宋体"/>
          <w:color w:val="auto"/>
          <w:highlight w:val="none"/>
        </w:rPr>
        <w:t>磋商小组在对资格性和符合性进行审查时，有下列情况之一的，</w:t>
      </w:r>
      <w:r>
        <w:rPr>
          <w:rFonts w:hint="eastAsia" w:hAnsi="宋体" w:cs="宋体"/>
          <w:color w:val="auto"/>
          <w:highlight w:val="none"/>
          <w:lang w:eastAsia="zh-CN"/>
        </w:rPr>
        <w:t>属于</w:t>
      </w:r>
      <w:r>
        <w:rPr>
          <w:rFonts w:hint="eastAsia" w:ascii="宋体" w:hAnsi="宋体" w:eastAsia="宋体" w:cs="宋体"/>
          <w:color w:val="auto"/>
          <w:highlight w:val="none"/>
        </w:rPr>
        <w:t>无效响应，</w:t>
      </w:r>
      <w:r>
        <w:rPr>
          <w:rFonts w:hint="eastAsia" w:ascii="宋体" w:hAnsi="宋体" w:eastAsia="宋体" w:cs="宋体"/>
          <w:color w:val="auto"/>
          <w:kern w:val="0"/>
          <w:highlight w:val="none"/>
        </w:rPr>
        <w:t>磋商小组应当告知有关供应商</w:t>
      </w:r>
      <w:r>
        <w:rPr>
          <w:rFonts w:hint="eastAsia" w:ascii="宋体" w:hAnsi="宋体" w:eastAsia="宋体" w:cs="宋体"/>
          <w:color w:val="auto"/>
          <w:highlight w:val="none"/>
        </w:rPr>
        <w:t>：</w:t>
      </w:r>
    </w:p>
    <w:p w14:paraId="79F44BFA">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（1）供应商不具备本章第3.1款规定的供应商资格条件要求，或存在本章第3.3款情形的；</w:t>
      </w:r>
    </w:p>
    <w:p w14:paraId="0EBA673E">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（2）联合体不符合本章第3.2款规定的；</w:t>
      </w:r>
    </w:p>
    <w:p w14:paraId="004F1074">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（3）应交未交磋商保证金或金额不足、磋商保证金缴纳形式不符合磋商文件要求的；</w:t>
      </w:r>
    </w:p>
    <w:p w14:paraId="5671B344">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（4）响应文件未按照磋商文件要求签署、盖章的；</w:t>
      </w:r>
    </w:p>
    <w:p w14:paraId="2B0FC149">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）响应文件不满足本章第27.1款规定的实质性要求的；</w:t>
      </w:r>
    </w:p>
    <w:p w14:paraId="5C676F6B">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6</w:t>
      </w:r>
      <w:r>
        <w:rPr>
          <w:rFonts w:hint="eastAsia" w:ascii="宋体" w:hAnsi="宋体" w:eastAsia="宋体" w:cs="宋体"/>
          <w:color w:val="auto"/>
          <w:highlight w:val="none"/>
        </w:rPr>
        <w:t>）报价超过采购项目预算的；</w:t>
      </w:r>
    </w:p>
    <w:p w14:paraId="38EC769D">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7</w:t>
      </w:r>
      <w:r>
        <w:rPr>
          <w:rFonts w:hint="eastAsia" w:ascii="宋体" w:hAnsi="宋体" w:eastAsia="宋体" w:cs="宋体"/>
          <w:color w:val="auto"/>
          <w:highlight w:val="none"/>
        </w:rPr>
        <w:t>）响应文件有效期不足的；</w:t>
      </w:r>
    </w:p>
    <w:p w14:paraId="001DA8B8">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8</w:t>
      </w:r>
      <w:r>
        <w:rPr>
          <w:rFonts w:hint="eastAsia" w:ascii="宋体" w:hAnsi="宋体" w:eastAsia="宋体" w:cs="宋体"/>
          <w:color w:val="auto"/>
          <w:highlight w:val="none"/>
        </w:rPr>
        <w:t>）响应文件不符合法律、规章、规范性文件和磋商文件规定及要求的。</w:t>
      </w:r>
    </w:p>
    <w:p w14:paraId="16D61055">
      <w:pPr>
        <w:widowControl/>
        <w:shd w:val="clear" w:color="auto" w:fill="FFFFFF" w:themeFill="background1"/>
        <w:kinsoku/>
        <w:wordWrap/>
        <w:overflowPunct/>
        <w:bidi w:val="0"/>
        <w:adjustRightInd w:val="0"/>
        <w:snapToGrid w:val="0"/>
        <w:spacing w:line="500" w:lineRule="exact"/>
        <w:jc w:val="left"/>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29.澄清</w:t>
      </w:r>
    </w:p>
    <w:p w14:paraId="66F0FFFD">
      <w:pPr>
        <w:widowControl/>
        <w:shd w:val="clear" w:color="auto" w:fill="FFFFFF" w:themeFill="background1"/>
        <w:kinsoku/>
        <w:wordWrap/>
        <w:overflowPunct/>
        <w:bidi w:val="0"/>
        <w:adjustRightInd w:val="0"/>
        <w:snapToGrid w:val="0"/>
        <w:spacing w:line="500" w:lineRule="exact"/>
        <w:ind w:firstLine="42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章。供应商的澄清、说明或者更正不得超出响应文件的范围或者改变响应文件的实质性内容。</w:t>
      </w:r>
    </w:p>
    <w:p w14:paraId="51048491">
      <w:pPr>
        <w:widowControl/>
        <w:shd w:val="clear" w:color="auto" w:fill="FFFFFF" w:themeFill="background1"/>
        <w:kinsoku/>
        <w:wordWrap/>
        <w:overflowPunct/>
        <w:bidi w:val="0"/>
        <w:adjustRightInd w:val="0"/>
        <w:snapToGrid w:val="0"/>
        <w:spacing w:line="500" w:lineRule="exact"/>
        <w:ind w:firstLine="42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310CCC3A">
      <w:pPr>
        <w:widowControl/>
        <w:shd w:val="clear" w:color="auto" w:fill="FFFFFF" w:themeFill="background1"/>
        <w:kinsoku/>
        <w:wordWrap/>
        <w:overflowPunct/>
        <w:bidi w:val="0"/>
        <w:adjustRightInd w:val="0"/>
        <w:snapToGrid w:val="0"/>
        <w:spacing w:line="500" w:lineRule="exact"/>
        <w:jc w:val="left"/>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30.磋商</w:t>
      </w:r>
    </w:p>
    <w:p w14:paraId="1A1F7776">
      <w:pPr>
        <w:widowControl/>
        <w:shd w:val="clear" w:color="auto" w:fill="FFFFFF" w:themeFill="background1"/>
        <w:kinsoku/>
        <w:wordWrap/>
        <w:overflowPunct/>
        <w:bidi w:val="0"/>
        <w:adjustRightInd w:val="0"/>
        <w:snapToGrid w:val="0"/>
        <w:spacing w:line="500" w:lineRule="exact"/>
        <w:ind w:firstLine="420"/>
        <w:jc w:val="left"/>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rPr>
        <w:t>30.1</w:t>
      </w:r>
      <w:r>
        <w:rPr>
          <w:rFonts w:hint="eastAsia" w:ascii="宋体" w:hAnsi="宋体" w:eastAsia="宋体" w:cs="宋体"/>
          <w:color w:val="auto"/>
          <w:highlight w:val="none"/>
        </w:rPr>
        <w:t>本章第10.2项</w:t>
      </w:r>
      <w:r>
        <w:rPr>
          <w:rFonts w:hint="eastAsia" w:ascii="宋体" w:hAnsi="宋体" w:eastAsia="宋体" w:cs="宋体"/>
          <w:color w:val="auto"/>
          <w:kern w:val="0"/>
          <w:highlight w:val="none"/>
        </w:rPr>
        <w:t>未明确磋商文件实质性变动内容的，或者磋商文件明确了可能发生实质性变动内容，但在磋商过程中，</w:t>
      </w:r>
      <w:r>
        <w:rPr>
          <w:rFonts w:hint="eastAsia" w:ascii="宋体" w:hAnsi="宋体" w:eastAsia="宋体" w:cs="宋体"/>
          <w:color w:val="auto"/>
          <w:highlight w:val="none"/>
        </w:rPr>
        <w:t>磋商小组</w:t>
      </w:r>
      <w:r>
        <w:rPr>
          <w:rFonts w:hint="eastAsia" w:ascii="宋体" w:hAnsi="宋体" w:eastAsia="宋体" w:cs="宋体"/>
          <w:color w:val="auto"/>
          <w:kern w:val="0"/>
          <w:highlight w:val="none"/>
        </w:rPr>
        <w:t>根据磋商情况</w:t>
      </w:r>
      <w:r>
        <w:rPr>
          <w:rFonts w:hint="eastAsia" w:ascii="宋体" w:hAnsi="宋体" w:eastAsia="宋体" w:cs="宋体"/>
          <w:color w:val="auto"/>
          <w:highlight w:val="none"/>
        </w:rPr>
        <w:t>认为</w:t>
      </w:r>
      <w:r>
        <w:rPr>
          <w:rFonts w:hint="eastAsia" w:ascii="宋体" w:hAnsi="宋体" w:eastAsia="宋体" w:cs="宋体"/>
          <w:color w:val="auto"/>
          <w:kern w:val="0"/>
          <w:highlight w:val="none"/>
        </w:rPr>
        <w:t>磋商文件无需发生实质性变动的，磋商小组应当直接与响应文件审查合格的供应商就价格组织多轮磋商。</w:t>
      </w:r>
    </w:p>
    <w:p w14:paraId="0C25EC03">
      <w:pPr>
        <w:widowControl/>
        <w:shd w:val="clear" w:color="auto" w:fill="FFFFFF" w:themeFill="background1"/>
        <w:tabs>
          <w:tab w:val="left" w:pos="1080"/>
          <w:tab w:val="left" w:pos="1260"/>
        </w:tabs>
        <w:kinsoku/>
        <w:wordWrap/>
        <w:overflowPunct/>
        <w:bidi w:val="0"/>
        <w:adjustRightInd w:val="0"/>
        <w:snapToGrid w:val="0"/>
        <w:spacing w:line="500" w:lineRule="exact"/>
        <w:ind w:firstLine="42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（1）磋商结束后，磋商小组应当要求所有继续参加磋商的供应商在磋商小组规定时间内提交最后报价。</w:t>
      </w:r>
    </w:p>
    <w:p w14:paraId="678EA97D">
      <w:pPr>
        <w:widowControl/>
        <w:shd w:val="clear" w:color="auto" w:fill="FFFFFF" w:themeFill="background1"/>
        <w:kinsoku/>
        <w:wordWrap/>
        <w:overflowPunct/>
        <w:bidi w:val="0"/>
        <w:adjustRightInd w:val="0"/>
        <w:snapToGrid w:val="0"/>
        <w:spacing w:line="500" w:lineRule="exact"/>
        <w:ind w:firstLine="42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30.2</w:t>
      </w:r>
      <w:r>
        <w:rPr>
          <w:rFonts w:hint="eastAsia" w:ascii="宋体" w:hAnsi="宋体" w:eastAsia="宋体" w:cs="宋体"/>
          <w:color w:val="auto"/>
          <w:highlight w:val="none"/>
        </w:rPr>
        <w:t>本章第10.2</w:t>
      </w:r>
      <w:r>
        <w:rPr>
          <w:rFonts w:hint="eastAsia" w:ascii="宋体" w:hAnsi="宋体" w:eastAsia="宋体" w:cs="宋体"/>
          <w:color w:val="auto"/>
          <w:kern w:val="0"/>
          <w:highlight w:val="none"/>
          <w:lang w:val="zh-CN"/>
        </w:rPr>
        <w:t>款</w:t>
      </w:r>
      <w:r>
        <w:rPr>
          <w:rFonts w:hint="eastAsia" w:ascii="宋体" w:hAnsi="宋体" w:eastAsia="宋体" w:cs="宋体"/>
          <w:color w:val="auto"/>
          <w:kern w:val="0"/>
          <w:highlight w:val="none"/>
        </w:rPr>
        <w:t>明确磋商文件实质性变动内容的，</w:t>
      </w:r>
      <w:r>
        <w:rPr>
          <w:rFonts w:hint="eastAsia" w:ascii="宋体" w:hAnsi="宋体" w:eastAsia="宋体" w:cs="宋体"/>
          <w:color w:val="auto"/>
          <w:highlight w:val="none"/>
        </w:rPr>
        <w:t>磋商小组</w:t>
      </w:r>
      <w:r>
        <w:rPr>
          <w:rFonts w:hint="eastAsia" w:ascii="宋体" w:hAnsi="宋体" w:eastAsia="宋体" w:cs="宋体"/>
          <w:color w:val="auto"/>
          <w:kern w:val="0"/>
          <w:highlight w:val="none"/>
        </w:rPr>
        <w:t>可以组织多轮磋商。</w:t>
      </w:r>
      <w:r>
        <w:rPr>
          <w:rFonts w:hint="eastAsia" w:ascii="宋体" w:hAnsi="宋体" w:eastAsia="宋体" w:cs="宋体"/>
          <w:color w:val="auto"/>
          <w:highlight w:val="none"/>
        </w:rPr>
        <w:t>在每一轮磋商中，磋商小组</w:t>
      </w:r>
      <w:r>
        <w:rPr>
          <w:rFonts w:hint="eastAsia" w:ascii="宋体" w:hAnsi="宋体" w:eastAsia="宋体" w:cs="宋体"/>
          <w:color w:val="auto"/>
          <w:kern w:val="0"/>
          <w:highlight w:val="none"/>
        </w:rPr>
        <w:t>可以根据磋商文件规定和磋商情况，</w:t>
      </w:r>
      <w:r>
        <w:rPr>
          <w:rFonts w:hint="eastAsia" w:ascii="宋体" w:hAnsi="宋体" w:eastAsia="宋体" w:cs="宋体"/>
          <w:color w:val="auto"/>
          <w:highlight w:val="none"/>
        </w:rPr>
        <w:t>对磋商文件的</w:t>
      </w:r>
      <w:r>
        <w:rPr>
          <w:rFonts w:hint="eastAsia" w:ascii="宋体" w:hAnsi="宋体" w:eastAsia="宋体" w:cs="宋体"/>
          <w:color w:val="auto"/>
          <w:kern w:val="0"/>
          <w:highlight w:val="none"/>
        </w:rPr>
        <w:t>采购需求中的技术、服务要求以及合同草案条款</w:t>
      </w:r>
      <w:r>
        <w:rPr>
          <w:rFonts w:hint="eastAsia" w:ascii="宋体" w:hAnsi="宋体" w:eastAsia="宋体" w:cs="宋体"/>
          <w:color w:val="auto"/>
          <w:highlight w:val="none"/>
        </w:rPr>
        <w:t>作实质性变动(磋商文件的实质性变动内容为磋商文件的组成部分)，并以书面形式要求</w:t>
      </w:r>
      <w:r>
        <w:rPr>
          <w:rFonts w:hint="eastAsia" w:ascii="宋体" w:hAnsi="宋体" w:eastAsia="宋体" w:cs="宋体"/>
          <w:color w:val="auto"/>
          <w:kern w:val="0"/>
          <w:highlight w:val="none"/>
        </w:rPr>
        <w:t>响应文件审查合格</w:t>
      </w:r>
      <w:r>
        <w:rPr>
          <w:rFonts w:hint="eastAsia" w:ascii="宋体" w:hAnsi="宋体" w:eastAsia="宋体" w:cs="宋体"/>
          <w:color w:val="auto"/>
          <w:highlight w:val="none"/>
        </w:rPr>
        <w:t>的供应商，在规定的</w:t>
      </w:r>
      <w:r>
        <w:rPr>
          <w:rFonts w:hint="eastAsia" w:ascii="宋体" w:hAnsi="宋体" w:eastAsia="宋体" w:cs="宋体"/>
          <w:color w:val="auto"/>
          <w:kern w:val="0"/>
          <w:highlight w:val="none"/>
        </w:rPr>
        <w:t>截止时间前</w:t>
      </w:r>
      <w:r>
        <w:rPr>
          <w:rFonts w:hint="eastAsia" w:ascii="宋体" w:hAnsi="宋体" w:eastAsia="宋体" w:cs="宋体"/>
          <w:color w:val="auto"/>
          <w:highlight w:val="none"/>
        </w:rPr>
        <w:t>重</w:t>
      </w:r>
      <w:r>
        <w:rPr>
          <w:rFonts w:hint="eastAsia" w:ascii="宋体" w:hAnsi="宋体" w:eastAsia="宋体" w:cs="宋体"/>
          <w:color w:val="auto"/>
          <w:kern w:val="0"/>
          <w:highlight w:val="none"/>
        </w:rPr>
        <w:t>新提交响应文件</w:t>
      </w:r>
      <w:r>
        <w:rPr>
          <w:rFonts w:hint="eastAsia" w:ascii="宋体" w:hAnsi="宋体" w:eastAsia="宋体" w:cs="宋体"/>
          <w:color w:val="auto"/>
          <w:highlight w:val="none"/>
        </w:rPr>
        <w:t>。</w:t>
      </w:r>
      <w:r>
        <w:rPr>
          <w:rFonts w:hint="eastAsia" w:ascii="宋体" w:hAnsi="宋体" w:eastAsia="宋体" w:cs="宋体"/>
          <w:color w:val="auto"/>
          <w:kern w:val="0"/>
          <w:highlight w:val="none"/>
        </w:rPr>
        <w:t>磋商小组应当</w:t>
      </w:r>
      <w:r>
        <w:rPr>
          <w:rFonts w:hint="eastAsia" w:ascii="宋体" w:hAnsi="宋体" w:eastAsia="宋体" w:cs="宋体"/>
          <w:color w:val="auto"/>
          <w:highlight w:val="none"/>
        </w:rPr>
        <w:t>根据本章第26.2</w:t>
      </w:r>
      <w:r>
        <w:rPr>
          <w:rFonts w:hint="eastAsia" w:ascii="宋体" w:hAnsi="宋体" w:eastAsia="宋体" w:cs="宋体"/>
          <w:color w:val="auto"/>
          <w:kern w:val="0"/>
          <w:highlight w:val="none"/>
          <w:lang w:val="zh-CN"/>
        </w:rPr>
        <w:t>款</w:t>
      </w:r>
      <w:r>
        <w:rPr>
          <w:rFonts w:hint="eastAsia" w:ascii="宋体" w:hAnsi="宋体" w:eastAsia="宋体" w:cs="宋体"/>
          <w:color w:val="auto"/>
          <w:highlight w:val="none"/>
        </w:rPr>
        <w:t>规定</w:t>
      </w:r>
      <w:r>
        <w:rPr>
          <w:rFonts w:hint="eastAsia" w:ascii="宋体" w:hAnsi="宋体" w:eastAsia="宋体" w:cs="宋体"/>
          <w:color w:val="auto"/>
          <w:kern w:val="0"/>
          <w:highlight w:val="none"/>
        </w:rPr>
        <w:t>对供应商重新提交的响应文件进行审查。供应商重新提交的响应文件审查不合格的，不得进入下一轮磋商，也不得要求提交最后报价。</w:t>
      </w:r>
    </w:p>
    <w:p w14:paraId="6A5C23A5">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（1）磋商文件能够详细列明采购需求的技术、服务要求的，磋商结束后，磋商小组应当要求所有继续参加磋商的供应商在规定时间内提交最后报价。</w:t>
      </w:r>
    </w:p>
    <w:p w14:paraId="26C4E717">
      <w:pPr>
        <w:widowControl/>
        <w:shd w:val="clear" w:color="auto" w:fill="FFFFFF" w:themeFill="background1"/>
        <w:kinsoku/>
        <w:wordWrap/>
        <w:overflowPunct/>
        <w:bidi w:val="0"/>
        <w:adjustRightInd w:val="0"/>
        <w:snapToGrid w:val="0"/>
        <w:spacing w:line="500" w:lineRule="exact"/>
        <w:ind w:firstLine="42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5DF9632">
      <w:pPr>
        <w:widowControl/>
        <w:shd w:val="clear" w:color="auto" w:fill="FFFFFF" w:themeFill="background1"/>
        <w:kinsoku/>
        <w:wordWrap/>
        <w:overflowPunct/>
        <w:bidi w:val="0"/>
        <w:adjustRightInd w:val="0"/>
        <w:snapToGrid w:val="0"/>
        <w:spacing w:line="500" w:lineRule="exact"/>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30.3重</w:t>
      </w:r>
      <w:r>
        <w:rPr>
          <w:rFonts w:hint="eastAsia" w:ascii="宋体" w:hAnsi="宋体" w:eastAsia="宋体" w:cs="宋体"/>
          <w:color w:val="auto"/>
          <w:kern w:val="0"/>
          <w:highlight w:val="none"/>
        </w:rPr>
        <w:t>新提交的响应文件</w:t>
      </w:r>
      <w:r>
        <w:rPr>
          <w:rFonts w:hint="eastAsia" w:ascii="宋体" w:hAnsi="宋体" w:eastAsia="宋体" w:cs="宋体"/>
          <w:color w:val="auto"/>
          <w:highlight w:val="none"/>
        </w:rPr>
        <w:t>或者最后报价应按</w:t>
      </w:r>
      <w:r>
        <w:rPr>
          <w:rFonts w:hint="eastAsia" w:ascii="宋体" w:hAnsi="宋体" w:eastAsia="宋体" w:cs="宋体"/>
          <w:color w:val="auto"/>
          <w:kern w:val="0"/>
          <w:highlight w:val="none"/>
        </w:rPr>
        <w:t>本章第</w:t>
      </w:r>
      <w:r>
        <w:rPr>
          <w:rFonts w:hint="eastAsia" w:ascii="宋体" w:hAnsi="宋体" w:eastAsia="宋体" w:cs="宋体"/>
          <w:color w:val="auto"/>
          <w:highlight w:val="none"/>
        </w:rPr>
        <w:t>21.3</w:t>
      </w:r>
      <w:r>
        <w:rPr>
          <w:rFonts w:hint="eastAsia" w:ascii="宋体" w:hAnsi="宋体" w:eastAsia="宋体" w:cs="宋体"/>
          <w:color w:val="auto"/>
          <w:kern w:val="0"/>
          <w:highlight w:val="none"/>
          <w:lang w:val="zh-CN"/>
        </w:rPr>
        <w:t>款</w:t>
      </w:r>
      <w:r>
        <w:rPr>
          <w:rFonts w:hint="eastAsia" w:ascii="宋体" w:hAnsi="宋体" w:eastAsia="宋体" w:cs="宋体"/>
          <w:color w:val="auto"/>
          <w:highlight w:val="none"/>
        </w:rPr>
        <w:t>规定，</w:t>
      </w:r>
      <w:r>
        <w:rPr>
          <w:rFonts w:hint="eastAsia" w:ascii="宋体" w:hAnsi="宋体" w:eastAsia="宋体" w:cs="宋体"/>
          <w:color w:val="auto"/>
          <w:kern w:val="0"/>
          <w:highlight w:val="none"/>
        </w:rPr>
        <w:t>由其法定代表人或其委托代理人签字或者加盖供应商单位章，在规定时间内密封递交给磋商小组</w:t>
      </w:r>
      <w:r>
        <w:rPr>
          <w:rFonts w:hint="eastAsia" w:ascii="宋体" w:hAnsi="宋体" w:eastAsia="宋体" w:cs="宋体"/>
          <w:color w:val="auto"/>
          <w:highlight w:val="none"/>
        </w:rPr>
        <w:t>。</w:t>
      </w:r>
    </w:p>
    <w:p w14:paraId="1E80B0BF">
      <w:pPr>
        <w:widowControl/>
        <w:shd w:val="clear" w:color="auto" w:fill="FFFFFF" w:themeFill="background1"/>
        <w:kinsoku/>
        <w:wordWrap/>
        <w:overflowPunct/>
        <w:bidi w:val="0"/>
        <w:adjustRightInd w:val="0"/>
        <w:snapToGrid w:val="0"/>
        <w:spacing w:line="500" w:lineRule="exact"/>
        <w:ind w:firstLine="42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30.4</w:t>
      </w:r>
      <w:r>
        <w:rPr>
          <w:rFonts w:hint="eastAsia" w:ascii="宋体" w:hAnsi="宋体" w:eastAsia="宋体" w:cs="宋体"/>
          <w:color w:val="auto"/>
          <w:kern w:val="0"/>
          <w:highlight w:val="none"/>
          <w:lang w:val="zh-CN"/>
        </w:rPr>
        <w:t>供应商的</w:t>
      </w:r>
      <w:r>
        <w:rPr>
          <w:rFonts w:hint="eastAsia" w:ascii="宋体" w:hAnsi="宋体" w:eastAsia="宋体" w:cs="宋体"/>
          <w:color w:val="auto"/>
          <w:highlight w:val="none"/>
        </w:rPr>
        <w:t>最</w:t>
      </w:r>
      <w:r>
        <w:rPr>
          <w:rFonts w:hint="eastAsia" w:ascii="宋体" w:hAnsi="宋体" w:eastAsia="宋体" w:cs="宋体"/>
          <w:color w:val="auto"/>
          <w:kern w:val="0"/>
          <w:highlight w:val="none"/>
          <w:lang w:val="zh-CN"/>
        </w:rPr>
        <w:t>后</w:t>
      </w:r>
      <w:r>
        <w:rPr>
          <w:rFonts w:hint="eastAsia" w:ascii="宋体" w:hAnsi="宋体" w:eastAsia="宋体" w:cs="宋体"/>
          <w:color w:val="auto"/>
          <w:highlight w:val="none"/>
        </w:rPr>
        <w:t>报价及</w:t>
      </w:r>
      <w:r>
        <w:rPr>
          <w:rFonts w:hint="eastAsia" w:ascii="宋体" w:hAnsi="宋体" w:eastAsia="宋体" w:cs="宋体"/>
          <w:color w:val="auto"/>
          <w:kern w:val="0"/>
          <w:highlight w:val="none"/>
        </w:rPr>
        <w:t>采购政策规定的价格扣除情况，磋商小组应召集所有参加最后报价的供应商当场开封</w:t>
      </w:r>
      <w:r>
        <w:rPr>
          <w:rFonts w:hint="eastAsia" w:ascii="宋体" w:hAnsi="宋体" w:eastAsia="宋体" w:cs="宋体"/>
          <w:color w:val="auto"/>
          <w:highlight w:val="none"/>
        </w:rPr>
        <w:t>公布，并由供应商代表签字确认。</w:t>
      </w:r>
    </w:p>
    <w:p w14:paraId="42834188">
      <w:pPr>
        <w:widowControl/>
        <w:shd w:val="clear" w:color="auto" w:fill="FFFFFF" w:themeFill="background1"/>
        <w:kinsoku/>
        <w:wordWrap/>
        <w:overflowPunct/>
        <w:bidi w:val="0"/>
        <w:adjustRightInd w:val="0"/>
        <w:snapToGrid w:val="0"/>
        <w:spacing w:line="500" w:lineRule="exact"/>
        <w:ind w:firstLine="42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30.5提交首次响应文件的供应商，在提交最后报价之前，可以根据磋商情况退出磋商，并书面通知采购代理机构或者磋商小组。</w:t>
      </w:r>
      <w:r>
        <w:rPr>
          <w:rFonts w:hint="eastAsia" w:ascii="宋体" w:hAnsi="宋体" w:eastAsia="宋体" w:cs="宋体"/>
          <w:color w:val="auto"/>
          <w:highlight w:val="none"/>
        </w:rPr>
        <w:t>该通知由供应商法定代表人或其委托代理人签字。</w:t>
      </w:r>
      <w:r>
        <w:rPr>
          <w:rFonts w:hint="eastAsia" w:ascii="宋体" w:hAnsi="宋体" w:eastAsia="宋体" w:cs="宋体"/>
          <w:color w:val="auto"/>
          <w:kern w:val="0"/>
          <w:highlight w:val="none"/>
        </w:rPr>
        <w:t>采购代理机构按本章第</w:t>
      </w:r>
      <w:r>
        <w:rPr>
          <w:rFonts w:hint="eastAsia" w:ascii="宋体" w:hAnsi="宋体" w:eastAsia="宋体" w:cs="宋体"/>
          <w:color w:val="auto"/>
          <w:highlight w:val="none"/>
        </w:rPr>
        <w:t>19.4</w:t>
      </w:r>
      <w:r>
        <w:rPr>
          <w:rFonts w:hint="eastAsia" w:ascii="宋体" w:hAnsi="宋体" w:eastAsia="宋体" w:cs="宋体"/>
          <w:color w:val="auto"/>
          <w:kern w:val="0"/>
          <w:highlight w:val="none"/>
          <w:lang w:val="zh-CN"/>
        </w:rPr>
        <w:t>款</w:t>
      </w:r>
      <w:r>
        <w:rPr>
          <w:rFonts w:hint="eastAsia" w:ascii="宋体" w:hAnsi="宋体" w:eastAsia="宋体" w:cs="宋体"/>
          <w:color w:val="auto"/>
          <w:highlight w:val="none"/>
        </w:rPr>
        <w:t>规定</w:t>
      </w:r>
      <w:r>
        <w:rPr>
          <w:rFonts w:hint="eastAsia" w:ascii="宋体" w:hAnsi="宋体" w:eastAsia="宋体" w:cs="宋体"/>
          <w:color w:val="auto"/>
          <w:kern w:val="0"/>
          <w:highlight w:val="none"/>
        </w:rPr>
        <w:t>退还退出磋商的供应商的磋商保证金。</w:t>
      </w:r>
    </w:p>
    <w:p w14:paraId="58BFCEEB">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highlight w:val="none"/>
        </w:rPr>
        <w:t>30.6</w:t>
      </w:r>
      <w:r>
        <w:rPr>
          <w:rFonts w:hint="eastAsia" w:ascii="宋体" w:hAnsi="宋体" w:eastAsia="宋体" w:cs="宋体"/>
          <w:color w:val="auto"/>
          <w:kern w:val="0"/>
          <w:highlight w:val="none"/>
        </w:rPr>
        <w:t>提交首次响应文件的供应商，未按磋商文件规定及磋商小组要求提交最后报价(或者</w:t>
      </w:r>
      <w:r>
        <w:rPr>
          <w:rFonts w:hint="eastAsia" w:ascii="宋体" w:hAnsi="宋体" w:eastAsia="宋体" w:cs="宋体"/>
          <w:color w:val="auto"/>
          <w:highlight w:val="none"/>
        </w:rPr>
        <w:t>重</w:t>
      </w:r>
      <w:r>
        <w:rPr>
          <w:rFonts w:hint="eastAsia" w:ascii="宋体" w:hAnsi="宋体" w:eastAsia="宋体" w:cs="宋体"/>
          <w:color w:val="auto"/>
          <w:kern w:val="0"/>
          <w:highlight w:val="none"/>
        </w:rPr>
        <w:t>新提交的响应文件和最后报价)，且又未按本章第</w:t>
      </w:r>
      <w:r>
        <w:rPr>
          <w:rFonts w:hint="eastAsia" w:ascii="宋体" w:hAnsi="宋体" w:eastAsia="宋体" w:cs="宋体"/>
          <w:color w:val="auto"/>
          <w:highlight w:val="none"/>
        </w:rPr>
        <w:t>30.5</w:t>
      </w:r>
      <w:r>
        <w:rPr>
          <w:rFonts w:hint="eastAsia" w:ascii="宋体" w:hAnsi="宋体" w:eastAsia="宋体" w:cs="宋体"/>
          <w:color w:val="auto"/>
          <w:kern w:val="0"/>
          <w:highlight w:val="none"/>
          <w:lang w:val="zh-CN"/>
        </w:rPr>
        <w:t>款</w:t>
      </w:r>
      <w:r>
        <w:rPr>
          <w:rFonts w:hint="eastAsia" w:ascii="宋体" w:hAnsi="宋体" w:eastAsia="宋体" w:cs="宋体"/>
          <w:color w:val="auto"/>
          <w:highlight w:val="none"/>
        </w:rPr>
        <w:t>规定</w:t>
      </w:r>
      <w:r>
        <w:rPr>
          <w:rFonts w:hint="eastAsia" w:ascii="宋体" w:hAnsi="宋体" w:eastAsia="宋体" w:cs="宋体"/>
          <w:color w:val="auto"/>
          <w:kern w:val="0"/>
          <w:highlight w:val="none"/>
        </w:rPr>
        <w:t>退出磋商的，供应商的磋商保证金不予退还。</w:t>
      </w:r>
    </w:p>
    <w:p w14:paraId="0B94001C">
      <w:pPr>
        <w:widowControl/>
        <w:shd w:val="clear" w:color="auto" w:fill="FFFFFF" w:themeFill="background1"/>
        <w:kinsoku/>
        <w:wordWrap/>
        <w:overflowPunct/>
        <w:bidi w:val="0"/>
        <w:adjustRightInd w:val="0"/>
        <w:snapToGrid w:val="0"/>
        <w:spacing w:line="500" w:lineRule="exact"/>
        <w:jc w:val="left"/>
        <w:rPr>
          <w:rFonts w:hint="eastAsia" w:ascii="宋体" w:hAnsi="宋体" w:eastAsia="宋体" w:cs="宋体"/>
          <w:b/>
          <w:bCs/>
          <w:color w:val="auto"/>
          <w:highlight w:val="none"/>
        </w:rPr>
      </w:pPr>
      <w:r>
        <w:rPr>
          <w:rFonts w:hint="eastAsia" w:ascii="宋体" w:hAnsi="宋体" w:eastAsia="宋体" w:cs="宋体"/>
          <w:b/>
          <w:bCs/>
          <w:color w:val="auto"/>
          <w:kern w:val="0"/>
          <w:highlight w:val="none"/>
        </w:rPr>
        <w:t>31.响应文件评审</w:t>
      </w:r>
    </w:p>
    <w:p w14:paraId="4EFF54A6">
      <w:pPr>
        <w:widowControl/>
        <w:kinsoku/>
        <w:wordWrap/>
        <w:overflowPunct/>
        <w:bidi w:val="0"/>
        <w:adjustRightInd w:val="0"/>
        <w:snapToGrid w:val="0"/>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31.1经磋商确定最终采购需求和提交最后报价的供应商后，由磋商小组采用综合评分法对提交最后报价的供应商的响应文件和最后报价进行综合评价。</w:t>
      </w:r>
    </w:p>
    <w:p w14:paraId="0161CD97">
      <w:pPr>
        <w:widowControl/>
        <w:kinsoku/>
        <w:wordWrap/>
        <w:overflowPunct/>
        <w:bidi w:val="0"/>
        <w:adjustRightInd w:val="0"/>
        <w:snapToGrid w:val="0"/>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eastAsia="宋体" w:cs="宋体"/>
          <w:b/>
          <w:bCs/>
          <w:color w:val="auto"/>
          <w:highlight w:val="none"/>
        </w:rPr>
        <w:t>磋商须知前附表。</w:t>
      </w:r>
    </w:p>
    <w:p w14:paraId="46C0516F">
      <w:pPr>
        <w:widowControl/>
        <w:kinsoku/>
        <w:wordWrap/>
        <w:overflowPunct/>
        <w:bidi w:val="0"/>
        <w:adjustRightInd w:val="0"/>
        <w:snapToGrid w:val="0"/>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highlight w:val="none"/>
        </w:rPr>
        <w:t>31.3</w:t>
      </w:r>
      <w:r>
        <w:rPr>
          <w:rFonts w:hint="eastAsia" w:ascii="宋体" w:hAnsi="宋体" w:eastAsia="宋体" w:cs="宋体"/>
          <w:color w:val="auto"/>
          <w:highlight w:val="none"/>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eastAsia="宋体" w:cs="宋体"/>
          <w:b/>
          <w:bCs/>
          <w:color w:val="auto"/>
          <w:highlight w:val="none"/>
        </w:rPr>
        <w:t>磋商须知前附表</w:t>
      </w:r>
      <w:r>
        <w:rPr>
          <w:rFonts w:hint="eastAsia" w:ascii="宋体" w:hAnsi="宋体" w:eastAsia="宋体" w:cs="宋体"/>
          <w:color w:val="auto"/>
          <w:highlight w:val="none"/>
        </w:rPr>
        <w:t>。</w:t>
      </w:r>
    </w:p>
    <w:p w14:paraId="7E09BA90">
      <w:pPr>
        <w:widowControl/>
        <w:kinsoku/>
        <w:wordWrap/>
        <w:overflowPunct/>
        <w:bidi w:val="0"/>
        <w:adjustRightInd w:val="0"/>
        <w:snapToGrid w:val="0"/>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highlight w:val="none"/>
        </w:rPr>
        <w:t>31.4</w:t>
      </w:r>
      <w:r>
        <w:rPr>
          <w:rFonts w:hint="eastAsia" w:ascii="宋体" w:hAnsi="宋体" w:eastAsia="宋体" w:cs="宋体"/>
          <w:color w:val="auto"/>
          <w:kern w:val="0"/>
          <w:szCs w:val="24"/>
          <w:highlight w:val="none"/>
        </w:rPr>
        <w:t>以经评委会一致认定满足招标文件要求,且经评审后的最低投标报价(即投标折扣率最低）为评标基准价，其价格得分计</w:t>
      </w:r>
      <w:r>
        <w:rPr>
          <w:rFonts w:hint="eastAsia" w:ascii="宋体" w:hAnsi="宋体" w:cs="宋体"/>
          <w:color w:val="auto"/>
          <w:kern w:val="0"/>
          <w:szCs w:val="24"/>
          <w:highlight w:val="none"/>
          <w:lang w:val="en-US" w:eastAsia="zh-CN"/>
        </w:rPr>
        <w:t>10</w:t>
      </w:r>
      <w:r>
        <w:rPr>
          <w:rFonts w:hint="eastAsia" w:ascii="宋体" w:hAnsi="宋体" w:eastAsia="宋体" w:cs="宋体"/>
          <w:color w:val="auto"/>
          <w:kern w:val="0"/>
          <w:szCs w:val="24"/>
          <w:highlight w:val="none"/>
        </w:rPr>
        <w:t>分（保留2位小数，第3位四舍五入）。其他供应商的价格得分统一按公式计算：</w:t>
      </w:r>
    </w:p>
    <w:p w14:paraId="4A89EBC0">
      <w:pPr>
        <w:widowControl/>
        <w:kinsoku/>
        <w:wordWrap/>
        <w:overflowPunct/>
        <w:bidi w:val="0"/>
        <w:spacing w:line="500" w:lineRule="exac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报价得分＝评标基准价÷投标报价×投标报价权重</w:t>
      </w:r>
      <w:r>
        <w:rPr>
          <w:color w:val="auto"/>
          <w:kern w:val="0"/>
          <w:szCs w:val="21"/>
        </w:rPr>
        <w:t>×100</w:t>
      </w:r>
      <w:r>
        <w:rPr>
          <w:rFonts w:hint="eastAsia" w:ascii="宋体" w:hAnsi="宋体" w:eastAsia="宋体" w:cs="宋体"/>
          <w:color w:val="auto"/>
          <w:kern w:val="0"/>
          <w:szCs w:val="24"/>
          <w:highlight w:val="none"/>
        </w:rPr>
        <w:t>。</w:t>
      </w:r>
    </w:p>
    <w:p w14:paraId="378EFEB9">
      <w:pPr>
        <w:widowControl/>
        <w:kinsoku/>
        <w:wordWrap/>
        <w:overflowPunct/>
        <w:bidi w:val="0"/>
        <w:spacing w:line="500" w:lineRule="exact"/>
        <w:ind w:firstLine="420" w:firstLineChars="200"/>
        <w:rPr>
          <w:rFonts w:hint="eastAsia" w:ascii="宋体" w:hAnsi="宋体" w:eastAsia="宋体" w:cs="宋体"/>
          <w:color w:val="auto"/>
          <w:kern w:val="0"/>
          <w:szCs w:val="24"/>
          <w:highlight w:val="none"/>
        </w:rPr>
      </w:pPr>
      <w:r>
        <w:rPr>
          <w:rFonts w:hint="eastAsia" w:ascii="宋体" w:hAnsi="宋体" w:eastAsia="宋体" w:cs="宋体"/>
          <w:color w:val="auto"/>
          <w:highlight w:val="none"/>
        </w:rPr>
        <w:t>31.5涉及政府采购政策优惠对供应商分值进行调整的，按</w:t>
      </w:r>
      <w:r>
        <w:rPr>
          <w:rFonts w:hint="eastAsia" w:ascii="宋体" w:hAnsi="宋体" w:eastAsia="宋体" w:cs="宋体"/>
          <w:b/>
          <w:bCs/>
          <w:color w:val="auto"/>
          <w:highlight w:val="none"/>
        </w:rPr>
        <w:t>磋商须知前附表</w:t>
      </w:r>
      <w:r>
        <w:rPr>
          <w:rFonts w:hint="eastAsia" w:ascii="宋体" w:hAnsi="宋体" w:eastAsia="宋体" w:cs="宋体"/>
          <w:color w:val="auto"/>
          <w:highlight w:val="none"/>
        </w:rPr>
        <w:t>规定调整供应商的技术、商务、价格</w:t>
      </w:r>
      <w:r>
        <w:rPr>
          <w:rFonts w:hint="eastAsia" w:ascii="宋体" w:hAnsi="宋体" w:eastAsia="宋体" w:cs="宋体"/>
          <w:color w:val="auto"/>
          <w:kern w:val="0"/>
          <w:highlight w:val="none"/>
        </w:rPr>
        <w:t>得分或总得分</w:t>
      </w:r>
      <w:r>
        <w:rPr>
          <w:rFonts w:hint="eastAsia" w:ascii="宋体" w:hAnsi="宋体" w:eastAsia="宋体" w:cs="宋体"/>
          <w:color w:val="auto"/>
          <w:highlight w:val="none"/>
        </w:rPr>
        <w:t>。</w:t>
      </w:r>
    </w:p>
    <w:p w14:paraId="621CC7DB">
      <w:pPr>
        <w:widowControl/>
        <w:kinsoku/>
        <w:wordWrap/>
        <w:overflowPunct/>
        <w:bidi w:val="0"/>
        <w:spacing w:line="500" w:lineRule="exact"/>
        <w:ind w:firstLine="420" w:firstLineChars="200"/>
        <w:rPr>
          <w:rFonts w:hint="eastAsia" w:ascii="宋体" w:hAnsi="宋体" w:eastAsia="宋体" w:cs="宋体"/>
          <w:color w:val="auto"/>
          <w:kern w:val="0"/>
          <w:szCs w:val="24"/>
          <w:highlight w:val="none"/>
        </w:rPr>
      </w:pPr>
      <w:r>
        <w:rPr>
          <w:rFonts w:hint="eastAsia" w:ascii="宋体" w:hAnsi="宋体" w:eastAsia="宋体" w:cs="宋体"/>
          <w:color w:val="auto"/>
          <w:highlight w:val="none"/>
        </w:rPr>
        <w:t>31.6涉及多处或部分获得政府采购政策优惠的，其多处或部分享受政府采购优惠政策的计算方法见</w:t>
      </w:r>
      <w:r>
        <w:rPr>
          <w:rFonts w:hint="eastAsia" w:ascii="宋体" w:hAnsi="宋体" w:eastAsia="宋体" w:cs="宋体"/>
          <w:b/>
          <w:bCs/>
          <w:color w:val="auto"/>
          <w:highlight w:val="none"/>
        </w:rPr>
        <w:t>磋商须知前附表</w:t>
      </w:r>
      <w:r>
        <w:rPr>
          <w:rFonts w:hint="eastAsia" w:ascii="宋体" w:hAnsi="宋体" w:eastAsia="宋体" w:cs="宋体"/>
          <w:color w:val="auto"/>
          <w:highlight w:val="none"/>
        </w:rPr>
        <w:t>相关规定。</w:t>
      </w:r>
    </w:p>
    <w:p w14:paraId="26F3E8AE">
      <w:pPr>
        <w:widowControl/>
        <w:kinsoku/>
        <w:wordWrap/>
        <w:overflowPunct/>
        <w:bidi w:val="0"/>
        <w:adjustRightInd w:val="0"/>
        <w:snapToGrid w:val="0"/>
        <w:spacing w:line="5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31.7</w:t>
      </w:r>
      <w:r>
        <w:rPr>
          <w:rFonts w:hint="eastAsia" w:ascii="宋体" w:hAnsi="宋体" w:eastAsia="宋体" w:cs="宋体"/>
          <w:color w:val="auto"/>
          <w:highlight w:val="none"/>
        </w:rPr>
        <w:t>评审时，磋商小组各成员应当独立对每个供应商的响应文件进行评价、评分，并按照政府采购优惠政策对最后报价进行价格扣除和技术、商务、价格加分后，汇总各供应商的总得分。</w:t>
      </w:r>
    </w:p>
    <w:p w14:paraId="5588B75C">
      <w:pPr>
        <w:widowControl/>
        <w:shd w:val="clear" w:color="auto" w:fill="FFFFFF" w:themeFill="background1"/>
        <w:kinsoku/>
        <w:wordWrap/>
        <w:overflowPunct/>
        <w:bidi w:val="0"/>
        <w:adjustRightInd w:val="0"/>
        <w:snapToGrid w:val="0"/>
        <w:spacing w:line="50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32</w:t>
      </w:r>
      <w:r>
        <w:rPr>
          <w:rFonts w:hint="eastAsia" w:ascii="宋体" w:hAnsi="宋体" w:eastAsia="宋体" w:cs="宋体"/>
          <w:b/>
          <w:bCs/>
          <w:color w:val="auto"/>
          <w:kern w:val="0"/>
          <w:highlight w:val="none"/>
        </w:rPr>
        <w:t>.</w:t>
      </w:r>
      <w:r>
        <w:rPr>
          <w:rFonts w:hint="eastAsia" w:ascii="宋体" w:hAnsi="宋体" w:eastAsia="宋体" w:cs="宋体"/>
          <w:b/>
          <w:bCs/>
          <w:color w:val="auto"/>
          <w:highlight w:val="none"/>
        </w:rPr>
        <w:t>提出成交供应商</w:t>
      </w:r>
    </w:p>
    <w:p w14:paraId="4287224A">
      <w:pPr>
        <w:widowControl/>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highlight w:val="none"/>
        </w:rPr>
        <w:t>32.1</w:t>
      </w:r>
      <w:r>
        <w:rPr>
          <w:rFonts w:hint="eastAsia" w:ascii="宋体" w:hAnsi="宋体" w:eastAsia="宋体" w:cs="宋体"/>
          <w:color w:val="auto"/>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140C7A2E">
      <w:pPr>
        <w:widowControl/>
        <w:shd w:val="clear" w:color="auto" w:fill="FFFFFF" w:themeFill="background1"/>
        <w:kinsoku/>
        <w:wordWrap/>
        <w:overflowPunct/>
        <w:bidi w:val="0"/>
        <w:spacing w:line="500" w:lineRule="exact"/>
        <w:jc w:val="left"/>
        <w:rPr>
          <w:rFonts w:hint="eastAsia" w:ascii="宋体" w:hAnsi="宋体" w:eastAsia="宋体" w:cs="宋体"/>
          <w:color w:val="auto"/>
          <w:highlight w:val="none"/>
        </w:rPr>
      </w:pPr>
      <w:r>
        <w:rPr>
          <w:rFonts w:hint="eastAsia" w:ascii="宋体" w:hAnsi="宋体" w:eastAsia="宋体" w:cs="宋体"/>
          <w:b/>
          <w:bCs/>
          <w:color w:val="auto"/>
          <w:highlight w:val="none"/>
        </w:rPr>
        <w:t>33.确定成交供应商</w:t>
      </w:r>
    </w:p>
    <w:p w14:paraId="342A5EDB">
      <w:pPr>
        <w:widowControl/>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33.1采购代理机构应当在评审结束后2个工作日内将评审报告送采购人确认。</w:t>
      </w:r>
    </w:p>
    <w:p w14:paraId="22DE2193">
      <w:pPr>
        <w:widowControl/>
        <w:shd w:val="clear" w:color="auto" w:fill="FFFFFF" w:themeFill="background1"/>
        <w:kinsoku/>
        <w:wordWrap/>
        <w:overflowPunct/>
        <w:bidi w:val="0"/>
        <w:adjustRightInd w:val="0"/>
        <w:snapToGrid w:val="0"/>
        <w:spacing w:line="500" w:lineRule="exact"/>
        <w:ind w:firstLine="42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33.2采购人应当在收到评审报告后5个工作日内，从评审报告提出的成交候选供应商中，按照排序由高到低的原则确定成交供应商，也可以书面授权磋商小组直接确定成交供应商。</w:t>
      </w:r>
    </w:p>
    <w:p w14:paraId="246C39EB">
      <w:pPr>
        <w:pStyle w:val="18"/>
        <w:shd w:val="clear" w:color="auto" w:fill="FFFFFF" w:themeFill="background1"/>
        <w:kinsoku/>
        <w:wordWrap/>
        <w:overflowPunct/>
        <w:bidi w:val="0"/>
        <w:adjustRightInd w:val="0"/>
        <w:snapToGrid w:val="0"/>
        <w:spacing w:line="500" w:lineRule="exact"/>
        <w:ind w:left="632" w:hanging="632" w:hangingChars="300"/>
        <w:rPr>
          <w:rFonts w:hint="eastAsia" w:ascii="宋体" w:hAnsi="宋体" w:eastAsia="宋体" w:cs="宋体"/>
          <w:b/>
          <w:bCs/>
          <w:color w:val="auto"/>
          <w:highlight w:val="none"/>
        </w:rPr>
      </w:pPr>
      <w:r>
        <w:rPr>
          <w:rFonts w:hint="eastAsia" w:ascii="宋体" w:hAnsi="宋体" w:eastAsia="宋体" w:cs="宋体"/>
          <w:b/>
          <w:bCs/>
          <w:color w:val="auto"/>
          <w:highlight w:val="none"/>
        </w:rPr>
        <w:t>34.磋商终止</w:t>
      </w:r>
    </w:p>
    <w:p w14:paraId="75E27B87">
      <w:pPr>
        <w:widowControl/>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highlight w:val="none"/>
        </w:rPr>
        <w:t>34.1</w:t>
      </w:r>
      <w:r>
        <w:rPr>
          <w:rFonts w:hint="eastAsia" w:ascii="宋体" w:hAnsi="宋体" w:eastAsia="宋体" w:cs="宋体"/>
          <w:color w:val="auto"/>
          <w:kern w:val="0"/>
          <w:highlight w:val="none"/>
        </w:rPr>
        <w:t>出现下列情形之一的，采购人或者采购代理机构应当终止竞争性磋商采购活动，</w:t>
      </w:r>
      <w:r>
        <w:rPr>
          <w:rFonts w:hint="eastAsia" w:ascii="宋体" w:hAnsi="宋体" w:eastAsia="宋体" w:cs="宋体"/>
          <w:color w:val="auto"/>
          <w:highlight w:val="none"/>
        </w:rPr>
        <w:t>在本章第37.1款指定的媒体上</w:t>
      </w:r>
      <w:r>
        <w:rPr>
          <w:rFonts w:hint="eastAsia" w:ascii="宋体" w:hAnsi="宋体" w:eastAsia="宋体" w:cs="宋体"/>
          <w:color w:val="auto"/>
          <w:kern w:val="0"/>
          <w:highlight w:val="none"/>
        </w:rPr>
        <w:t>发布项目终止公告并说明原因，重新开展采购活动：</w:t>
      </w:r>
    </w:p>
    <w:p w14:paraId="1A22E371">
      <w:pPr>
        <w:widowControl/>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（1）因情况变化，不再符合规定的竞争性磋商采购方式适用情形的；</w:t>
      </w:r>
    </w:p>
    <w:p w14:paraId="646D7B1A">
      <w:pPr>
        <w:widowControl/>
        <w:shd w:val="clear" w:color="auto" w:fill="FFFFFF" w:themeFill="background1"/>
        <w:kinsoku/>
        <w:wordWrap/>
        <w:overflowPunct/>
        <w:bidi w:val="0"/>
        <w:adjustRightInd w:val="0"/>
        <w:snapToGrid w:val="0"/>
        <w:spacing w:line="500" w:lineRule="exact"/>
        <w:ind w:firstLine="42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（2）出现影响采购公正的违法、违规行为的；</w:t>
      </w:r>
    </w:p>
    <w:p w14:paraId="19D6BA7C">
      <w:pPr>
        <w:widowControl/>
        <w:shd w:val="clear" w:color="auto" w:fill="FFFFFF" w:themeFill="background1"/>
        <w:kinsoku/>
        <w:wordWrap/>
        <w:overflowPunct/>
        <w:bidi w:val="0"/>
        <w:adjustRightInd w:val="0"/>
        <w:snapToGrid w:val="0"/>
        <w:spacing w:line="500" w:lineRule="exact"/>
        <w:ind w:firstLine="420"/>
        <w:jc w:val="left"/>
        <w:rPr>
          <w:rFonts w:hint="eastAsia" w:ascii="宋体" w:hAnsi="宋体" w:eastAsia="宋体" w:cs="宋体"/>
          <w:color w:val="auto"/>
          <w:highlight w:val="none"/>
        </w:rPr>
      </w:pPr>
      <w:r>
        <w:rPr>
          <w:rFonts w:hint="eastAsia" w:ascii="宋体" w:hAnsi="宋体" w:eastAsia="宋体" w:cs="宋体"/>
          <w:color w:val="auto"/>
          <w:kern w:val="0"/>
          <w:highlight w:val="none"/>
        </w:rPr>
        <w:t>（3）</w:t>
      </w:r>
      <w:r>
        <w:rPr>
          <w:rFonts w:hint="eastAsia" w:ascii="宋体" w:hAnsi="宋体" w:eastAsia="宋体" w:cs="宋体"/>
          <w:color w:val="auto"/>
          <w:highlight w:val="none"/>
        </w:rPr>
        <w:t>除《采购竞争性磋商采购方式管理暂行办法》(财库〔2014〕214号)</w:t>
      </w:r>
      <w:r>
        <w:rPr>
          <w:rFonts w:hint="eastAsia" w:ascii="宋体" w:hAnsi="宋体" w:eastAsia="宋体" w:cs="宋体"/>
          <w:color w:val="auto"/>
          <w:kern w:val="0"/>
          <w:highlight w:val="none"/>
        </w:rPr>
        <w:t>和《财政部关于采购竞争性磋商采购方式管理暂行办法有关问题的补充通知》（财库〔2015〕124号）所列“政府领取服务项目（含政府和社会资本合作项目）、市场竞争不充分的科研项目以及需要扶持的科技成果转化项目”</w:t>
      </w:r>
      <w:r>
        <w:rPr>
          <w:rFonts w:hint="eastAsia" w:ascii="宋体" w:hAnsi="宋体" w:eastAsia="宋体" w:cs="宋体"/>
          <w:color w:val="auto"/>
          <w:highlight w:val="none"/>
        </w:rPr>
        <w:t>情形外，在采购过程中符合要求的供应商或者报价未超过采购预算的供应商不足3家的；</w:t>
      </w:r>
    </w:p>
    <w:p w14:paraId="5B7FCCC5">
      <w:pPr>
        <w:widowControl/>
        <w:shd w:val="clear" w:color="auto" w:fill="FFFFFF" w:themeFill="background1"/>
        <w:kinsoku/>
        <w:wordWrap/>
        <w:overflowPunct/>
        <w:bidi w:val="0"/>
        <w:adjustRightInd w:val="0"/>
        <w:snapToGrid w:val="0"/>
        <w:spacing w:line="500" w:lineRule="exact"/>
        <w:ind w:firstLine="420"/>
        <w:jc w:val="left"/>
        <w:rPr>
          <w:rFonts w:hint="eastAsia" w:ascii="宋体" w:hAnsi="宋体" w:eastAsia="宋体" w:cs="宋体"/>
          <w:color w:val="auto"/>
          <w:highlight w:val="none"/>
        </w:rPr>
      </w:pPr>
      <w:r>
        <w:rPr>
          <w:rFonts w:hint="eastAsia" w:ascii="宋体" w:hAnsi="宋体" w:eastAsia="宋体" w:cs="宋体"/>
          <w:color w:val="auto"/>
          <w:kern w:val="0"/>
          <w:highlight w:val="none"/>
        </w:rPr>
        <w:t>（4）因重大变故，采购任务取消的。</w:t>
      </w:r>
    </w:p>
    <w:p w14:paraId="4B8785AA">
      <w:pPr>
        <w:widowControl/>
        <w:shd w:val="clear" w:color="auto" w:fill="FFFFFF" w:themeFill="background1"/>
        <w:kinsoku/>
        <w:wordWrap/>
        <w:overflowPunct/>
        <w:bidi w:val="0"/>
        <w:adjustRightInd w:val="0"/>
        <w:snapToGrid w:val="0"/>
        <w:spacing w:line="500" w:lineRule="exact"/>
        <w:jc w:val="left"/>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35．重新评审</w:t>
      </w:r>
    </w:p>
    <w:p w14:paraId="10F9F0E9">
      <w:pPr>
        <w:widowControl/>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4CD9E994">
      <w:pPr>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36.保密及串通行为</w:t>
      </w:r>
    </w:p>
    <w:p w14:paraId="008EA986">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36.1磋商小组成员以及与评审工作有关的人员不得泄露评审情况以及评审过程中获悉的国家秘密、商业秘密。</w:t>
      </w:r>
    </w:p>
    <w:p w14:paraId="40F3671D">
      <w:pPr>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36.2</w:t>
      </w:r>
      <w:r>
        <w:rPr>
          <w:rFonts w:hint="eastAsia" w:ascii="宋体" w:hAnsi="宋体" w:eastAsia="宋体" w:cs="宋体"/>
          <w:color w:val="auto"/>
          <w:kern w:val="0"/>
          <w:highlight w:val="none"/>
        </w:rPr>
        <w:t>供应商</w:t>
      </w:r>
      <w:r>
        <w:rPr>
          <w:rFonts w:hint="eastAsia" w:ascii="宋体" w:hAnsi="宋体" w:eastAsia="宋体" w:cs="宋体"/>
          <w:color w:val="auto"/>
          <w:highlight w:val="none"/>
        </w:rPr>
        <w:t>不得与</w:t>
      </w:r>
      <w:r>
        <w:rPr>
          <w:rFonts w:hint="eastAsia" w:ascii="宋体" w:hAnsi="宋体" w:eastAsia="宋体" w:cs="宋体"/>
          <w:color w:val="auto"/>
          <w:kern w:val="0"/>
          <w:highlight w:val="none"/>
        </w:rPr>
        <w:t>采购人、采购代理机构、其他供应商恶意</w:t>
      </w:r>
      <w:r>
        <w:rPr>
          <w:rFonts w:hint="eastAsia" w:ascii="宋体" w:hAnsi="宋体" w:eastAsia="宋体" w:cs="宋体"/>
          <w:color w:val="auto"/>
          <w:highlight w:val="none"/>
        </w:rPr>
        <w:t>串通；不得向</w:t>
      </w:r>
      <w:r>
        <w:rPr>
          <w:rFonts w:hint="eastAsia" w:ascii="宋体" w:hAnsi="宋体" w:eastAsia="宋体" w:cs="宋体"/>
          <w:color w:val="auto"/>
          <w:kern w:val="0"/>
          <w:highlight w:val="none"/>
        </w:rPr>
        <w:t>采购人、采购代理机构</w:t>
      </w:r>
      <w:r>
        <w:rPr>
          <w:rFonts w:hint="eastAsia" w:ascii="宋体" w:hAnsi="宋体" w:eastAsia="宋体" w:cs="宋体"/>
          <w:color w:val="auto"/>
          <w:highlight w:val="none"/>
        </w:rPr>
        <w:t>或者磋商小组成员行贿或者提供其他不正当利益；不得提供虚假资料谋取成交；不得以任何方式干扰、影响采购工作。</w:t>
      </w:r>
    </w:p>
    <w:p w14:paraId="524850A7">
      <w:pPr>
        <w:pStyle w:val="28"/>
        <w:shd w:val="clear" w:color="auto" w:fill="FFFFFF" w:themeFill="background1"/>
        <w:kinsoku/>
        <w:wordWrap/>
        <w:overflowPunct/>
        <w:bidi w:val="0"/>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36.3</w:t>
      </w:r>
      <w:r>
        <w:rPr>
          <w:rFonts w:hint="eastAsia" w:ascii="宋体" w:hAnsi="宋体" w:eastAsia="宋体" w:cs="宋体"/>
          <w:color w:val="auto"/>
          <w:sz w:val="21"/>
          <w:szCs w:val="21"/>
          <w:highlight w:val="none"/>
          <w:lang w:val="zh-CN"/>
        </w:rPr>
        <w:t>有下列情形之一的，属于恶意串通，对供应商依照采购法第七十七条第一款的规定追究法律责任：</w:t>
      </w:r>
    </w:p>
    <w:p w14:paraId="464C77B3">
      <w:pPr>
        <w:pStyle w:val="28"/>
        <w:shd w:val="clear" w:color="auto" w:fill="FFFFFF" w:themeFill="background1"/>
        <w:kinsoku/>
        <w:wordWrap/>
        <w:overflowPunct/>
        <w:bidi w:val="0"/>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（一）供应商直接或者间接从采购人或者采购代理机构处获得其他供应商的相关情况并修改其投标文件或者响应文件；</w:t>
      </w:r>
    </w:p>
    <w:p w14:paraId="1C29E398">
      <w:pPr>
        <w:pStyle w:val="28"/>
        <w:shd w:val="clear" w:color="auto" w:fill="FFFFFF" w:themeFill="background1"/>
        <w:kinsoku/>
        <w:wordWrap/>
        <w:overflowPunct/>
        <w:bidi w:val="0"/>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（二）供应商按照采购人或者采购代理机构的授意撤换、修改投标文件或者响应文件；</w:t>
      </w:r>
    </w:p>
    <w:p w14:paraId="5936559B">
      <w:pPr>
        <w:pStyle w:val="28"/>
        <w:shd w:val="clear" w:color="auto" w:fill="FFFFFF" w:themeFill="background1"/>
        <w:kinsoku/>
        <w:wordWrap/>
        <w:overflowPunct/>
        <w:bidi w:val="0"/>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（三）供应商之间协商报价、技术方案等投标文件或者响应文件的实质性内容；</w:t>
      </w:r>
    </w:p>
    <w:p w14:paraId="1B031C29">
      <w:pPr>
        <w:pStyle w:val="28"/>
        <w:shd w:val="clear" w:color="auto" w:fill="FFFFFF" w:themeFill="background1"/>
        <w:kinsoku/>
        <w:wordWrap/>
        <w:overflowPunct/>
        <w:bidi w:val="0"/>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（四）属于同一集团、协会、商会等组织成员的供应商按照该组织要求协同参加采购活动；</w:t>
      </w:r>
    </w:p>
    <w:p w14:paraId="362C6AC3">
      <w:pPr>
        <w:pStyle w:val="28"/>
        <w:shd w:val="clear" w:color="auto" w:fill="FFFFFF" w:themeFill="background1"/>
        <w:kinsoku/>
        <w:wordWrap/>
        <w:overflowPunct/>
        <w:bidi w:val="0"/>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（五）供应商之间事先约定由某一特定供应商中标、成交；</w:t>
      </w:r>
    </w:p>
    <w:p w14:paraId="2479C775">
      <w:pPr>
        <w:pStyle w:val="28"/>
        <w:shd w:val="clear" w:color="auto" w:fill="FFFFFF" w:themeFill="background1"/>
        <w:kinsoku/>
        <w:wordWrap/>
        <w:overflowPunct/>
        <w:bidi w:val="0"/>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（六）供应商之间商定部分供应商放弃参加采购活动或者放弃中标、成交；</w:t>
      </w:r>
    </w:p>
    <w:p w14:paraId="59EFB2AD">
      <w:pPr>
        <w:pStyle w:val="28"/>
        <w:shd w:val="clear" w:color="auto" w:fill="FFFFFF" w:themeFill="background1"/>
        <w:kinsoku/>
        <w:wordWrap/>
        <w:overflowPunct/>
        <w:bidi w:val="0"/>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（七）供应商与采购人或者采购代理机构之间、供应商相互之间，为谋求特定供应商中标、成交或者排斥其他供应商的其他串通行为。</w:t>
      </w:r>
    </w:p>
    <w:p w14:paraId="2926836D">
      <w:pPr>
        <w:shd w:val="clear" w:color="auto" w:fill="FFFFFF" w:themeFill="background1"/>
        <w:kinsoku/>
        <w:wordWrap/>
        <w:overflowPunct/>
        <w:bidi w:val="0"/>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六、成交结果信息公布与授予合同</w:t>
      </w:r>
    </w:p>
    <w:p w14:paraId="2242754C">
      <w:pPr>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37.成交信息的公布</w:t>
      </w:r>
    </w:p>
    <w:p w14:paraId="28FC17FD">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37.1成交供应商确定后2个工作日内，成交结果信息将在</w:t>
      </w:r>
      <w:r>
        <w:rPr>
          <w:rFonts w:hint="eastAsia" w:ascii="宋体" w:hAnsi="宋体" w:eastAsia="宋体" w:cs="宋体"/>
          <w:b/>
          <w:bCs/>
          <w:color w:val="auto"/>
          <w:highlight w:val="none"/>
        </w:rPr>
        <w:t>磋商须知前附表</w:t>
      </w:r>
      <w:r>
        <w:rPr>
          <w:rFonts w:hint="eastAsia" w:ascii="宋体" w:hAnsi="宋体" w:eastAsia="宋体" w:cs="宋体"/>
          <w:color w:val="auto"/>
          <w:highlight w:val="none"/>
        </w:rPr>
        <w:t>指定的媒体上公布。</w:t>
      </w:r>
    </w:p>
    <w:p w14:paraId="5E957FAC">
      <w:pPr>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38.询问及质疑</w:t>
      </w:r>
    </w:p>
    <w:p w14:paraId="1EC2D794">
      <w:pPr>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38.1供应商对采购活动事项有疑问的，可以向采购人或采购代理机构提出询问。</w:t>
      </w:r>
    </w:p>
    <w:p w14:paraId="4F7802EE">
      <w:pPr>
        <w:shd w:val="clear" w:color="auto" w:fill="FFFFFF" w:themeFill="background1"/>
        <w:kinsoku/>
        <w:wordWrap/>
        <w:overflowPunct/>
        <w:bidi w:val="0"/>
        <w:adjustRightInd w:val="0"/>
        <w:snapToGrid w:val="0"/>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38.2供应商若认为磋商文件、采购过程和成交结果使自己的权益受到损害，可以按法律、行政法规及湖南省财政厅规范性文件规定向采购人或采购代理机构提出质疑。</w:t>
      </w:r>
    </w:p>
    <w:p w14:paraId="3FEA4B9C">
      <w:pPr>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39.成交通知</w:t>
      </w:r>
    </w:p>
    <w:p w14:paraId="682D1E71">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39.1成交供应商确定后，采购人或采购代理机构将以书面形式向成交供应商发出成交通知书。成交通知书对采购人和成交供应商具有同等法律效力。</w:t>
      </w:r>
    </w:p>
    <w:p w14:paraId="289BF226">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39.2 成交通知书是合同文件的组成部分。</w:t>
      </w:r>
    </w:p>
    <w:p w14:paraId="0E981591">
      <w:pPr>
        <w:shd w:val="clear" w:color="auto" w:fill="FFFFFF" w:themeFill="background1"/>
        <w:tabs>
          <w:tab w:val="left" w:pos="7560"/>
          <w:tab w:val="left" w:pos="7740"/>
          <w:tab w:val="left" w:pos="7920"/>
        </w:tabs>
        <w:kinsoku/>
        <w:wordWrap/>
        <w:overflowPunct/>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39.3 </w:t>
      </w:r>
      <w:r>
        <w:rPr>
          <w:rFonts w:hint="eastAsia" w:ascii="宋体" w:hAnsi="宋体" w:eastAsia="宋体" w:cs="宋体"/>
          <w:color w:val="auto"/>
          <w:highlight w:val="none"/>
        </w:rPr>
        <w:t>成交供应商在收到采购代理机构的成交通知书后10日内，应按照</w:t>
      </w:r>
      <w:r>
        <w:rPr>
          <w:rFonts w:hint="eastAsia" w:ascii="宋体" w:hAnsi="宋体" w:eastAsia="宋体" w:cs="宋体"/>
          <w:b/>
          <w:bCs/>
          <w:color w:val="auto"/>
          <w:highlight w:val="none"/>
        </w:rPr>
        <w:t>磋商须知前附表</w:t>
      </w:r>
      <w:r>
        <w:rPr>
          <w:rFonts w:hint="eastAsia" w:ascii="宋体" w:hAnsi="宋体" w:eastAsia="宋体" w:cs="宋体"/>
          <w:color w:val="auto"/>
          <w:highlight w:val="none"/>
        </w:rPr>
        <w:t>的规定，向采购人提交履约担保。</w:t>
      </w:r>
    </w:p>
    <w:p w14:paraId="2CD82B1B">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39.4 成交供应商</w:t>
      </w:r>
      <w:r>
        <w:rPr>
          <w:rFonts w:hint="eastAsia" w:ascii="宋体" w:hAnsi="宋体" w:eastAsia="宋体" w:cs="宋体"/>
          <w:color w:val="auto"/>
          <w:spacing w:val="4"/>
          <w:highlight w:val="none"/>
        </w:rPr>
        <w:t>没有按照本章第39.3</w:t>
      </w:r>
      <w:r>
        <w:rPr>
          <w:rFonts w:hint="eastAsia" w:ascii="宋体" w:hAnsi="宋体" w:eastAsia="宋体" w:cs="宋体"/>
          <w:color w:val="auto"/>
          <w:kern w:val="0"/>
          <w:highlight w:val="none"/>
          <w:lang w:val="zh-CN"/>
        </w:rPr>
        <w:t>款</w:t>
      </w:r>
      <w:r>
        <w:rPr>
          <w:rFonts w:hint="eastAsia" w:ascii="宋体" w:hAnsi="宋体" w:eastAsia="宋体" w:cs="宋体"/>
          <w:color w:val="auto"/>
          <w:spacing w:val="4"/>
          <w:highlight w:val="none"/>
        </w:rPr>
        <w:t>规定</w:t>
      </w:r>
      <w:r>
        <w:rPr>
          <w:rFonts w:hint="eastAsia" w:ascii="宋体" w:hAnsi="宋体" w:eastAsia="宋体" w:cs="宋体"/>
          <w:color w:val="auto"/>
          <w:highlight w:val="none"/>
        </w:rPr>
        <w:t>提交履约担保的</w:t>
      </w:r>
      <w:r>
        <w:rPr>
          <w:rFonts w:hint="eastAsia" w:ascii="宋体" w:hAnsi="宋体" w:eastAsia="宋体" w:cs="宋体"/>
          <w:color w:val="auto"/>
          <w:spacing w:val="4"/>
          <w:highlight w:val="none"/>
        </w:rPr>
        <w:t>，视为放弃</w:t>
      </w:r>
      <w:r>
        <w:rPr>
          <w:rFonts w:hint="eastAsia" w:ascii="宋体" w:hAnsi="宋体" w:eastAsia="宋体" w:cs="宋体"/>
          <w:color w:val="auto"/>
          <w:highlight w:val="none"/>
        </w:rPr>
        <w:t>成交资格</w:t>
      </w:r>
      <w:r>
        <w:rPr>
          <w:rFonts w:hint="eastAsia" w:ascii="宋体" w:hAnsi="宋体" w:eastAsia="宋体" w:cs="宋体"/>
          <w:color w:val="auto"/>
          <w:spacing w:val="4"/>
          <w:highlight w:val="none"/>
        </w:rPr>
        <w:t>，</w:t>
      </w:r>
      <w:r>
        <w:rPr>
          <w:rFonts w:hint="eastAsia" w:ascii="宋体" w:hAnsi="宋体" w:eastAsia="宋体" w:cs="宋体"/>
          <w:color w:val="auto"/>
          <w:spacing w:val="2"/>
          <w:highlight w:val="none"/>
        </w:rPr>
        <w:t>其保证金不予退还。</w:t>
      </w:r>
    </w:p>
    <w:p w14:paraId="2684BC90">
      <w:pPr>
        <w:shd w:val="clear" w:color="auto" w:fill="FFFFFF" w:themeFill="background1"/>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40.签订合同</w:t>
      </w:r>
    </w:p>
    <w:p w14:paraId="6076540B">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40.1成交供应商应当在成交通知书发出之日起30日内与采购人签订采购合同。</w:t>
      </w:r>
    </w:p>
    <w:p w14:paraId="09341C66">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40.2磋商文件、成交供应商的响应文件等均为签订采购合同的依据。</w:t>
      </w:r>
    </w:p>
    <w:p w14:paraId="0327E97C">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40.3 成交供应商应当按照合同约定履行义务。成交供应商不得向他人转让成交项目，也不得将成交项目分包后分别向他人转让。</w:t>
      </w:r>
    </w:p>
    <w:p w14:paraId="66524C0A">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40.4 成交供应商有下列情形之一的，责令限期改正，情节严重的，列入不良行为记录名单，在1至3年内禁止参加采购活动，并予以通报：</w:t>
      </w:r>
    </w:p>
    <w:p w14:paraId="1F791DCC">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（一）成交后无正当理由不与采购人签订合同的；</w:t>
      </w:r>
    </w:p>
    <w:p w14:paraId="06923927">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（二）未按照采购文件确定的事项签订采购合同，或者与采购人另行订立背离合同实质性内容的协议的；</w:t>
      </w:r>
    </w:p>
    <w:p w14:paraId="4DDC8FEF">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（三）拒绝履行合同义务的；</w:t>
      </w:r>
    </w:p>
    <w:p w14:paraId="0394FCED">
      <w:pPr>
        <w:pStyle w:val="18"/>
        <w:shd w:val="clear" w:color="auto" w:fill="FFFFFF" w:themeFill="background1"/>
        <w:kinsoku/>
        <w:wordWrap/>
        <w:overflowPunct/>
        <w:bidi w:val="0"/>
        <w:adjustRightInd w:val="0"/>
        <w:snapToGrid w:val="0"/>
        <w:spacing w:line="5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highlight w:val="none"/>
        </w:rPr>
        <w:t>（四）</w:t>
      </w:r>
      <w:r>
        <w:rPr>
          <w:rFonts w:hint="eastAsia" w:ascii="宋体" w:hAnsi="宋体" w:eastAsia="宋体" w:cs="宋体"/>
          <w:color w:val="auto"/>
          <w:kern w:val="0"/>
          <w:highlight w:val="none"/>
        </w:rPr>
        <w:t>违反法律、规章、规范性文件规定的。</w:t>
      </w:r>
    </w:p>
    <w:p w14:paraId="5F822617">
      <w:pPr>
        <w:shd w:val="clear" w:color="auto" w:fill="FFFFFF" w:themeFill="background1"/>
        <w:kinsoku/>
        <w:wordWrap/>
        <w:overflowPunct/>
        <w:bidi w:val="0"/>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七、其他规定</w:t>
      </w:r>
    </w:p>
    <w:p w14:paraId="7B716D42">
      <w:pPr>
        <w:shd w:val="clear" w:color="auto" w:fill="FFFFFF" w:themeFill="background1"/>
        <w:kinsoku/>
        <w:wordWrap/>
        <w:overflowPunct/>
        <w:bidi w:val="0"/>
        <w:adjustRightInd w:val="0"/>
        <w:snapToGrid w:val="0"/>
        <w:spacing w:line="50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41.1采购代理服务费</w:t>
      </w:r>
    </w:p>
    <w:p w14:paraId="433396AA">
      <w:pPr>
        <w:shd w:val="clear" w:color="auto" w:fill="FFFFFF" w:themeFill="background1"/>
        <w:tabs>
          <w:tab w:val="left" w:pos="420"/>
          <w:tab w:val="left" w:pos="7560"/>
          <w:tab w:val="left" w:pos="7740"/>
          <w:tab w:val="left" w:pos="7920"/>
        </w:tabs>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41.1采购代理机构应按</w:t>
      </w:r>
      <w:r>
        <w:rPr>
          <w:rFonts w:hint="eastAsia" w:ascii="宋体" w:hAnsi="宋体" w:eastAsia="宋体" w:cs="宋体"/>
          <w:b/>
          <w:bCs/>
          <w:color w:val="auto"/>
          <w:highlight w:val="none"/>
        </w:rPr>
        <w:t>磋商须知前附表</w:t>
      </w:r>
      <w:r>
        <w:rPr>
          <w:rFonts w:hint="eastAsia" w:ascii="宋体" w:hAnsi="宋体" w:eastAsia="宋体" w:cs="宋体"/>
          <w:color w:val="auto"/>
          <w:highlight w:val="none"/>
        </w:rPr>
        <w:t>规定收取采购代理服务费。</w:t>
      </w:r>
    </w:p>
    <w:p w14:paraId="698DD28B">
      <w:pPr>
        <w:shd w:val="clear" w:color="auto" w:fill="FFFFFF" w:themeFill="background1"/>
        <w:tabs>
          <w:tab w:val="left" w:pos="420"/>
          <w:tab w:val="left" w:pos="7560"/>
          <w:tab w:val="left" w:pos="7740"/>
          <w:tab w:val="left" w:pos="7920"/>
        </w:tabs>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42.其他规定</w:t>
      </w:r>
    </w:p>
    <w:p w14:paraId="083D2EE3">
      <w:pPr>
        <w:shd w:val="clear" w:color="auto" w:fill="FFFFFF" w:themeFill="background1"/>
        <w:tabs>
          <w:tab w:val="left" w:pos="420"/>
          <w:tab w:val="left" w:pos="7560"/>
          <w:tab w:val="left" w:pos="7740"/>
          <w:tab w:val="left" w:pos="7920"/>
        </w:tabs>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42.1磋商文件的其他规定见</w:t>
      </w:r>
      <w:r>
        <w:rPr>
          <w:rFonts w:hint="eastAsia" w:ascii="宋体" w:hAnsi="宋体" w:eastAsia="宋体" w:cs="宋体"/>
          <w:b/>
          <w:bCs/>
          <w:color w:val="auto"/>
          <w:highlight w:val="none"/>
        </w:rPr>
        <w:t>磋商须知前附表</w:t>
      </w:r>
      <w:r>
        <w:rPr>
          <w:rFonts w:hint="eastAsia" w:ascii="宋体" w:hAnsi="宋体" w:eastAsia="宋体" w:cs="宋体"/>
          <w:color w:val="auto"/>
          <w:highlight w:val="none"/>
        </w:rPr>
        <w:t>。</w:t>
      </w:r>
    </w:p>
    <w:p w14:paraId="0B3BA332">
      <w:pPr>
        <w:pStyle w:val="37"/>
        <w:kinsoku/>
        <w:wordWrap/>
        <w:overflowPunct/>
        <w:bidi w:val="0"/>
        <w:spacing w:line="500" w:lineRule="exact"/>
        <w:rPr>
          <w:rFonts w:hint="eastAsia" w:ascii="宋体" w:hAnsi="宋体" w:eastAsia="宋体" w:cs="宋体"/>
          <w:color w:val="auto"/>
          <w:highlight w:val="none"/>
        </w:rPr>
      </w:pPr>
    </w:p>
    <w:p w14:paraId="7B452382">
      <w:pPr>
        <w:kinsoku/>
        <w:wordWrap/>
        <w:overflowPunct/>
        <w:bidi w:val="0"/>
        <w:spacing w:line="500" w:lineRule="exac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3BA9AE3">
      <w:pPr>
        <w:pStyle w:val="7"/>
        <w:kinsoku/>
        <w:wordWrap/>
        <w:overflowPunct/>
        <w:bidi w:val="0"/>
        <w:spacing w:line="5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第三章 采购需求</w:t>
      </w:r>
    </w:p>
    <w:p w14:paraId="2D7640ED">
      <w:pPr>
        <w:pStyle w:val="8"/>
        <w:numPr>
          <w:ilvl w:val="1"/>
          <w:numId w:val="0"/>
        </w:numPr>
        <w:tabs>
          <w:tab w:val="clear" w:pos="0"/>
        </w:tabs>
        <w:adjustRightInd w:val="0"/>
        <w:snapToGrid w:val="0"/>
        <w:spacing w:before="156" w:beforeLines="50"/>
        <w:ind w:left="576" w:leftChars="0" w:hanging="576" w:firstLineChars="0"/>
        <w:jc w:val="center"/>
        <w:rPr>
          <w:rFonts w:ascii="黑体" w:hAnsi="黑体" w:eastAsia="黑体"/>
          <w:color w:val="auto"/>
          <w:sz w:val="28"/>
          <w:szCs w:val="28"/>
          <w:highlight w:val="none"/>
        </w:rPr>
      </w:pPr>
      <w:bookmarkStart w:id="4" w:name="_Toc81214899"/>
      <w:r>
        <w:rPr>
          <w:rFonts w:hint="eastAsia" w:ascii="黑体" w:hAnsi="黑体" w:eastAsia="黑体"/>
          <w:color w:val="auto"/>
          <w:sz w:val="28"/>
          <w:szCs w:val="28"/>
          <w:highlight w:val="none"/>
        </w:rPr>
        <w:t>第一节 采购清单一览表</w:t>
      </w:r>
      <w:bookmarkEnd w:id="4"/>
    </w:p>
    <w:tbl>
      <w:tblPr>
        <w:tblStyle w:val="29"/>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9"/>
        <w:gridCol w:w="1436"/>
        <w:gridCol w:w="2172"/>
        <w:gridCol w:w="1186"/>
        <w:gridCol w:w="981"/>
        <w:gridCol w:w="1133"/>
        <w:gridCol w:w="871"/>
        <w:gridCol w:w="689"/>
      </w:tblGrid>
      <w:tr w14:paraId="1D727C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446" w:hRule="atLeast"/>
        </w:trPr>
        <w:tc>
          <w:tcPr>
            <w:tcW w:w="429" w:type="dxa"/>
            <w:vMerge w:val="restart"/>
            <w:vAlign w:val="center"/>
          </w:tcPr>
          <w:p w14:paraId="01288750">
            <w:pPr>
              <w:adjustRightInd w:val="0"/>
              <w:snapToGrid w:val="0"/>
              <w:spacing w:line="360" w:lineRule="auto"/>
              <w:jc w:val="center"/>
              <w:rPr>
                <w:color w:val="auto"/>
                <w:szCs w:val="21"/>
                <w:highlight w:val="none"/>
              </w:rPr>
            </w:pPr>
            <w:r>
              <w:rPr>
                <w:rFonts w:hint="eastAsia"/>
                <w:color w:val="auto"/>
                <w:szCs w:val="21"/>
                <w:highlight w:val="none"/>
              </w:rPr>
              <w:t xml:space="preserve">包号 </w:t>
            </w:r>
          </w:p>
        </w:tc>
        <w:tc>
          <w:tcPr>
            <w:tcW w:w="1436" w:type="dxa"/>
            <w:vMerge w:val="restart"/>
            <w:vAlign w:val="center"/>
          </w:tcPr>
          <w:p w14:paraId="28381DA0">
            <w:pPr>
              <w:adjustRightInd w:val="0"/>
              <w:snapToGrid w:val="0"/>
              <w:spacing w:line="360" w:lineRule="auto"/>
              <w:jc w:val="center"/>
              <w:rPr>
                <w:color w:val="auto"/>
                <w:szCs w:val="21"/>
                <w:highlight w:val="none"/>
              </w:rPr>
            </w:pPr>
            <w:r>
              <w:rPr>
                <w:rFonts w:hint="eastAsia"/>
                <w:color w:val="auto"/>
                <w:szCs w:val="21"/>
                <w:highlight w:val="none"/>
              </w:rPr>
              <w:t>包名称</w:t>
            </w:r>
          </w:p>
        </w:tc>
        <w:tc>
          <w:tcPr>
            <w:tcW w:w="2172" w:type="dxa"/>
            <w:vMerge w:val="restart"/>
            <w:vAlign w:val="center"/>
          </w:tcPr>
          <w:p w14:paraId="67E23CAD">
            <w:pPr>
              <w:adjustRightInd w:val="0"/>
              <w:snapToGrid w:val="0"/>
              <w:spacing w:line="360" w:lineRule="auto"/>
              <w:jc w:val="center"/>
              <w:rPr>
                <w:color w:val="auto"/>
                <w:szCs w:val="21"/>
                <w:highlight w:val="none"/>
              </w:rPr>
            </w:pPr>
            <w:r>
              <w:rPr>
                <w:rFonts w:hint="eastAsia"/>
                <w:color w:val="auto"/>
                <w:szCs w:val="21"/>
                <w:highlight w:val="none"/>
              </w:rPr>
              <w:t>分项项目名称</w:t>
            </w:r>
          </w:p>
          <w:p w14:paraId="7AB89D86">
            <w:pPr>
              <w:adjustRightInd w:val="0"/>
              <w:snapToGrid w:val="0"/>
              <w:spacing w:line="360" w:lineRule="auto"/>
              <w:jc w:val="center"/>
              <w:rPr>
                <w:color w:val="auto"/>
                <w:szCs w:val="21"/>
                <w:highlight w:val="none"/>
              </w:rPr>
            </w:pPr>
            <w:r>
              <w:rPr>
                <w:rFonts w:hint="eastAsia"/>
                <w:color w:val="auto"/>
                <w:szCs w:val="21"/>
                <w:highlight w:val="none"/>
              </w:rPr>
              <w:t>（条目号/品目名称）</w:t>
            </w:r>
          </w:p>
        </w:tc>
        <w:tc>
          <w:tcPr>
            <w:tcW w:w="1186" w:type="dxa"/>
            <w:vMerge w:val="restart"/>
            <w:tcBorders>
              <w:left w:val="single" w:color="auto" w:sz="4" w:space="0"/>
            </w:tcBorders>
            <w:vAlign w:val="center"/>
          </w:tcPr>
          <w:p w14:paraId="014D17DE">
            <w:pPr>
              <w:adjustRightInd w:val="0"/>
              <w:snapToGrid w:val="0"/>
              <w:spacing w:line="360" w:lineRule="auto"/>
              <w:jc w:val="center"/>
              <w:rPr>
                <w:rFonts w:hint="eastAsia" w:eastAsia="宋体"/>
                <w:color w:val="auto"/>
                <w:szCs w:val="21"/>
                <w:highlight w:val="none"/>
              </w:rPr>
            </w:pPr>
            <w:r>
              <w:rPr>
                <w:rFonts w:hint="eastAsia" w:eastAsia="宋体"/>
                <w:color w:val="auto"/>
                <w:szCs w:val="21"/>
                <w:highlight w:val="none"/>
              </w:rPr>
              <w:t>是否执行本国产品政府采购政策功能</w:t>
            </w:r>
          </w:p>
        </w:tc>
        <w:tc>
          <w:tcPr>
            <w:tcW w:w="981" w:type="dxa"/>
            <w:vMerge w:val="restart"/>
            <w:vAlign w:val="center"/>
          </w:tcPr>
          <w:p w14:paraId="57370154">
            <w:pPr>
              <w:adjustRightInd w:val="0"/>
              <w:snapToGrid w:val="0"/>
              <w:spacing w:line="360" w:lineRule="auto"/>
              <w:jc w:val="center"/>
              <w:rPr>
                <w:color w:val="auto"/>
                <w:szCs w:val="21"/>
                <w:highlight w:val="none"/>
              </w:rPr>
            </w:pPr>
            <w:r>
              <w:rPr>
                <w:rFonts w:hint="eastAsia"/>
                <w:color w:val="auto"/>
                <w:szCs w:val="21"/>
                <w:highlight w:val="none"/>
              </w:rPr>
              <w:t>数量（</w:t>
            </w:r>
            <w:r>
              <w:rPr>
                <w:rFonts w:hint="eastAsia"/>
                <w:color w:val="auto"/>
                <w:szCs w:val="21"/>
                <w:highlight w:val="none"/>
                <w:lang w:val="en-US" w:eastAsia="zh-CN"/>
              </w:rPr>
              <w:t>项</w:t>
            </w:r>
            <w:r>
              <w:rPr>
                <w:rFonts w:hint="eastAsia"/>
                <w:color w:val="auto"/>
                <w:szCs w:val="21"/>
                <w:highlight w:val="none"/>
              </w:rPr>
              <w:t>）</w:t>
            </w:r>
          </w:p>
        </w:tc>
        <w:tc>
          <w:tcPr>
            <w:tcW w:w="2004" w:type="dxa"/>
            <w:gridSpan w:val="2"/>
            <w:vAlign w:val="center"/>
          </w:tcPr>
          <w:p w14:paraId="45AD7C87">
            <w:pPr>
              <w:adjustRightInd w:val="0"/>
              <w:snapToGrid w:val="0"/>
              <w:spacing w:line="360" w:lineRule="auto"/>
              <w:jc w:val="center"/>
              <w:rPr>
                <w:color w:val="auto"/>
                <w:szCs w:val="21"/>
                <w:highlight w:val="none"/>
              </w:rPr>
            </w:pPr>
            <w:r>
              <w:rPr>
                <w:rFonts w:hint="eastAsia"/>
                <w:color w:val="auto"/>
                <w:szCs w:val="21"/>
                <w:highlight w:val="none"/>
                <w:lang w:val="en-US" w:eastAsia="zh-CN"/>
              </w:rPr>
              <w:t>服务</w:t>
            </w:r>
            <w:r>
              <w:rPr>
                <w:rFonts w:hint="eastAsia"/>
                <w:color w:val="auto"/>
                <w:szCs w:val="21"/>
                <w:highlight w:val="none"/>
              </w:rPr>
              <w:t>要求</w:t>
            </w:r>
          </w:p>
        </w:tc>
        <w:tc>
          <w:tcPr>
            <w:tcW w:w="689" w:type="dxa"/>
            <w:vMerge w:val="restart"/>
            <w:vAlign w:val="center"/>
          </w:tcPr>
          <w:p w14:paraId="6BD6C277">
            <w:pPr>
              <w:adjustRightInd w:val="0"/>
              <w:snapToGrid w:val="0"/>
              <w:spacing w:line="360" w:lineRule="auto"/>
              <w:jc w:val="center"/>
              <w:rPr>
                <w:color w:val="auto"/>
                <w:szCs w:val="21"/>
                <w:highlight w:val="none"/>
              </w:rPr>
            </w:pPr>
            <w:r>
              <w:rPr>
                <w:rFonts w:hint="eastAsia"/>
                <w:color w:val="auto"/>
                <w:szCs w:val="21"/>
                <w:highlight w:val="none"/>
              </w:rPr>
              <w:t>备注</w:t>
            </w:r>
          </w:p>
        </w:tc>
      </w:tr>
      <w:tr w14:paraId="7DF658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429" w:type="dxa"/>
            <w:vMerge w:val="continue"/>
            <w:vAlign w:val="center"/>
          </w:tcPr>
          <w:p w14:paraId="5E813DB2">
            <w:pPr>
              <w:adjustRightInd w:val="0"/>
              <w:snapToGrid w:val="0"/>
              <w:spacing w:before="156" w:beforeLines="50" w:line="360" w:lineRule="auto"/>
              <w:jc w:val="center"/>
              <w:rPr>
                <w:color w:val="auto"/>
                <w:szCs w:val="21"/>
                <w:highlight w:val="none"/>
              </w:rPr>
            </w:pPr>
          </w:p>
        </w:tc>
        <w:tc>
          <w:tcPr>
            <w:tcW w:w="1436" w:type="dxa"/>
            <w:vMerge w:val="continue"/>
            <w:vAlign w:val="center"/>
          </w:tcPr>
          <w:p w14:paraId="188AF908">
            <w:pPr>
              <w:adjustRightInd w:val="0"/>
              <w:snapToGrid w:val="0"/>
              <w:spacing w:before="156" w:beforeLines="50" w:line="360" w:lineRule="auto"/>
              <w:jc w:val="center"/>
              <w:rPr>
                <w:color w:val="auto"/>
                <w:szCs w:val="21"/>
                <w:highlight w:val="none"/>
              </w:rPr>
            </w:pPr>
          </w:p>
        </w:tc>
        <w:tc>
          <w:tcPr>
            <w:tcW w:w="2172" w:type="dxa"/>
            <w:vMerge w:val="continue"/>
            <w:vAlign w:val="center"/>
          </w:tcPr>
          <w:p w14:paraId="4B87DD66">
            <w:pPr>
              <w:adjustRightInd w:val="0"/>
              <w:snapToGrid w:val="0"/>
              <w:spacing w:before="156" w:beforeLines="50" w:line="360" w:lineRule="auto"/>
              <w:jc w:val="center"/>
              <w:rPr>
                <w:color w:val="auto"/>
                <w:szCs w:val="21"/>
                <w:highlight w:val="none"/>
              </w:rPr>
            </w:pPr>
          </w:p>
        </w:tc>
        <w:tc>
          <w:tcPr>
            <w:tcW w:w="1186" w:type="dxa"/>
            <w:vMerge w:val="continue"/>
            <w:tcBorders>
              <w:left w:val="single" w:color="auto" w:sz="4" w:space="0"/>
            </w:tcBorders>
            <w:vAlign w:val="center"/>
          </w:tcPr>
          <w:p w14:paraId="40A73C2E">
            <w:pPr>
              <w:adjustRightInd w:val="0"/>
              <w:snapToGrid w:val="0"/>
              <w:spacing w:before="156" w:beforeLines="50" w:line="360" w:lineRule="auto"/>
              <w:jc w:val="center"/>
              <w:rPr>
                <w:color w:val="auto"/>
                <w:szCs w:val="21"/>
                <w:highlight w:val="none"/>
              </w:rPr>
            </w:pPr>
          </w:p>
        </w:tc>
        <w:tc>
          <w:tcPr>
            <w:tcW w:w="981" w:type="dxa"/>
            <w:vMerge w:val="continue"/>
            <w:vAlign w:val="center"/>
          </w:tcPr>
          <w:p w14:paraId="4F84179A">
            <w:pPr>
              <w:adjustRightInd w:val="0"/>
              <w:snapToGrid w:val="0"/>
              <w:spacing w:before="156" w:beforeLines="50" w:line="360" w:lineRule="auto"/>
              <w:jc w:val="center"/>
              <w:rPr>
                <w:color w:val="auto"/>
                <w:szCs w:val="21"/>
                <w:highlight w:val="none"/>
              </w:rPr>
            </w:pPr>
          </w:p>
        </w:tc>
        <w:tc>
          <w:tcPr>
            <w:tcW w:w="1133" w:type="dxa"/>
            <w:vAlign w:val="center"/>
          </w:tcPr>
          <w:p w14:paraId="5B3A0A07">
            <w:pPr>
              <w:adjustRightInd w:val="0"/>
              <w:snapToGrid w:val="0"/>
              <w:spacing w:before="156" w:beforeLines="50" w:line="360" w:lineRule="auto"/>
              <w:jc w:val="center"/>
              <w:rPr>
                <w:color w:val="auto"/>
                <w:szCs w:val="21"/>
                <w:highlight w:val="none"/>
              </w:rPr>
            </w:pPr>
            <w:r>
              <w:rPr>
                <w:rFonts w:hint="eastAsia"/>
                <w:color w:val="auto"/>
                <w:szCs w:val="21"/>
                <w:highlight w:val="none"/>
              </w:rPr>
              <w:t>时间</w:t>
            </w:r>
          </w:p>
        </w:tc>
        <w:tc>
          <w:tcPr>
            <w:tcW w:w="871" w:type="dxa"/>
            <w:vAlign w:val="center"/>
          </w:tcPr>
          <w:p w14:paraId="070F3E67">
            <w:pPr>
              <w:adjustRightInd w:val="0"/>
              <w:snapToGrid w:val="0"/>
              <w:spacing w:before="156" w:beforeLines="50" w:line="360" w:lineRule="auto"/>
              <w:jc w:val="center"/>
              <w:rPr>
                <w:color w:val="auto"/>
                <w:szCs w:val="21"/>
                <w:highlight w:val="none"/>
              </w:rPr>
            </w:pPr>
            <w:r>
              <w:rPr>
                <w:rFonts w:hint="eastAsia"/>
                <w:color w:val="auto"/>
                <w:szCs w:val="21"/>
                <w:highlight w:val="none"/>
              </w:rPr>
              <w:t>地点</w:t>
            </w:r>
          </w:p>
        </w:tc>
        <w:tc>
          <w:tcPr>
            <w:tcW w:w="689" w:type="dxa"/>
            <w:vMerge w:val="continue"/>
          </w:tcPr>
          <w:p w14:paraId="7FC5DBEF">
            <w:pPr>
              <w:adjustRightInd w:val="0"/>
              <w:snapToGrid w:val="0"/>
              <w:spacing w:before="156" w:beforeLines="50" w:line="360" w:lineRule="auto"/>
              <w:rPr>
                <w:color w:val="auto"/>
                <w:szCs w:val="21"/>
                <w:highlight w:val="none"/>
              </w:rPr>
            </w:pPr>
          </w:p>
        </w:tc>
      </w:tr>
      <w:tr w14:paraId="2AD3A1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vAlign w:val="center"/>
          </w:tcPr>
          <w:p w14:paraId="56D64E5E">
            <w:pPr>
              <w:adjustRightInd w:val="0"/>
              <w:snapToGrid w:val="0"/>
              <w:spacing w:before="156" w:beforeLines="50" w:line="360" w:lineRule="auto"/>
              <w:jc w:val="center"/>
              <w:rPr>
                <w:rFonts w:hint="eastAsia" w:eastAsia="宋体"/>
                <w:color w:val="auto"/>
                <w:szCs w:val="21"/>
                <w:highlight w:val="none"/>
                <w:lang w:val="en-US" w:eastAsia="zh-CN"/>
              </w:rPr>
            </w:pPr>
            <w:r>
              <w:rPr>
                <w:rFonts w:hint="eastAsia"/>
                <w:color w:val="auto"/>
                <w:szCs w:val="21"/>
                <w:highlight w:val="none"/>
                <w:lang w:val="en-US" w:eastAsia="zh-CN"/>
              </w:rPr>
              <w:t>1</w:t>
            </w:r>
          </w:p>
        </w:tc>
        <w:tc>
          <w:tcPr>
            <w:tcW w:w="1436" w:type="dxa"/>
            <w:vAlign w:val="center"/>
          </w:tcPr>
          <w:p w14:paraId="2880CFBD">
            <w:pPr>
              <w:adjustRightInd w:val="0"/>
              <w:snapToGrid w:val="0"/>
              <w:spacing w:before="156" w:beforeLines="50" w:line="360" w:lineRule="auto"/>
              <w:jc w:val="center"/>
              <w:rPr>
                <w:color w:val="auto"/>
                <w:szCs w:val="21"/>
                <w:highlight w:val="none"/>
              </w:rPr>
            </w:pPr>
            <w:r>
              <w:rPr>
                <w:rFonts w:hint="eastAsia" w:hAnsi="宋体" w:cs="宋体"/>
                <w:iCs/>
                <w:lang w:val="en-US" w:eastAsia="zh-CN"/>
              </w:rPr>
              <w:t>湖南省湘江流域取用水监测计量能力提升重点项目（省级）</w:t>
            </w:r>
          </w:p>
        </w:tc>
        <w:tc>
          <w:tcPr>
            <w:tcW w:w="2172" w:type="dxa"/>
            <w:vAlign w:val="center"/>
          </w:tcPr>
          <w:p w14:paraId="32958B3B">
            <w:pPr>
              <w:adjustRightInd w:val="0"/>
              <w:snapToGrid w:val="0"/>
              <w:spacing w:before="156" w:beforeLines="50" w:line="360" w:lineRule="auto"/>
              <w:jc w:val="center"/>
              <w:rPr>
                <w:color w:val="auto"/>
                <w:szCs w:val="21"/>
                <w:highlight w:val="none"/>
              </w:rPr>
            </w:pPr>
            <w:r>
              <w:rPr>
                <w:rFonts w:hint="eastAsia" w:hAnsi="宋体" w:cs="宋体"/>
                <w:iCs/>
                <w:lang w:val="en-US" w:eastAsia="zh-CN"/>
              </w:rPr>
              <w:t>湖南省湘江流域取用水监测计量能力提升重点项目（省级）</w:t>
            </w:r>
          </w:p>
        </w:tc>
        <w:tc>
          <w:tcPr>
            <w:tcW w:w="1186" w:type="dxa"/>
            <w:tcBorders>
              <w:left w:val="single" w:color="auto" w:sz="4" w:space="0"/>
            </w:tcBorders>
            <w:vAlign w:val="center"/>
          </w:tcPr>
          <w:p w14:paraId="1780D751">
            <w:pPr>
              <w:adjustRightInd w:val="0"/>
              <w:snapToGrid w:val="0"/>
              <w:spacing w:before="156" w:beforeLines="50" w:line="360" w:lineRule="auto"/>
              <w:jc w:val="center"/>
              <w:rPr>
                <w:rFonts w:hint="default" w:eastAsia="宋体"/>
                <w:color w:val="auto"/>
                <w:szCs w:val="21"/>
                <w:highlight w:val="none"/>
                <w:lang w:val="en-US" w:eastAsia="zh-CN"/>
              </w:rPr>
            </w:pPr>
            <w:r>
              <w:rPr>
                <w:rFonts w:hint="eastAsia"/>
                <w:color w:val="auto"/>
                <w:szCs w:val="21"/>
                <w:highlight w:val="none"/>
                <w:lang w:val="en-US" w:eastAsia="zh-CN"/>
              </w:rPr>
              <w:t>是</w:t>
            </w:r>
          </w:p>
        </w:tc>
        <w:tc>
          <w:tcPr>
            <w:tcW w:w="981" w:type="dxa"/>
            <w:vAlign w:val="center"/>
          </w:tcPr>
          <w:p w14:paraId="5496153D">
            <w:pPr>
              <w:adjustRightInd w:val="0"/>
              <w:snapToGrid w:val="0"/>
              <w:spacing w:before="156" w:beforeLines="50" w:line="360" w:lineRule="auto"/>
              <w:jc w:val="center"/>
              <w:rPr>
                <w:rFonts w:hint="eastAsia" w:eastAsia="宋体"/>
                <w:color w:val="auto"/>
                <w:szCs w:val="21"/>
                <w:highlight w:val="none"/>
                <w:lang w:val="en-US" w:eastAsia="zh-CN"/>
              </w:rPr>
            </w:pPr>
            <w:r>
              <w:rPr>
                <w:rFonts w:hint="eastAsia"/>
                <w:color w:val="auto"/>
                <w:szCs w:val="21"/>
                <w:highlight w:val="none"/>
                <w:lang w:val="en-US" w:eastAsia="zh-CN"/>
              </w:rPr>
              <w:t>1</w:t>
            </w:r>
          </w:p>
        </w:tc>
        <w:tc>
          <w:tcPr>
            <w:tcW w:w="1133" w:type="dxa"/>
            <w:vAlign w:val="center"/>
          </w:tcPr>
          <w:p w14:paraId="165A92A2">
            <w:pPr>
              <w:adjustRightInd w:val="0"/>
              <w:snapToGrid w:val="0"/>
              <w:spacing w:before="156" w:beforeLines="50" w:line="360" w:lineRule="auto"/>
              <w:jc w:val="center"/>
              <w:rPr>
                <w:rFonts w:hint="default" w:eastAsia="宋体"/>
                <w:color w:val="auto"/>
                <w:szCs w:val="21"/>
                <w:highlight w:val="none"/>
                <w:lang w:val="en-US" w:eastAsia="zh-CN"/>
              </w:rPr>
            </w:pPr>
            <w:ins w:id="101" w:author="红博" w:date="2026-06-23T17:50:15Z">
              <w:r>
                <w:rPr>
                  <w:rFonts w:hint="eastAsia" w:ascii="宋体" w:hAnsi="宋体" w:cs="宋体"/>
                  <w:szCs w:val="21"/>
                  <w:highlight w:val="none"/>
                  <w:u w:val="none"/>
                  <w:lang w:val="en-US" w:eastAsia="zh-CN"/>
                  <w:rPrChange w:id="102" w:author="红博" w:date="2026-06-23T17:50:21Z">
                    <w:rPr>
                      <w:rFonts w:hint="eastAsia" w:ascii="宋体" w:hAnsi="宋体" w:cs="宋体"/>
                      <w:szCs w:val="21"/>
                      <w:highlight w:val="none"/>
                      <w:u w:val="single"/>
                      <w:lang w:val="en-US" w:eastAsia="zh-CN"/>
                    </w:rPr>
                  </w:rPrChange>
                </w:rPr>
                <w:t>自合同生效之日起至</w:t>
              </w:r>
            </w:ins>
            <w:r>
              <w:rPr>
                <w:rStyle w:val="31"/>
                <w:rFonts w:hint="eastAsia" w:ascii="宋体" w:hAnsi="宋体" w:eastAsia="宋体" w:cs="宋体"/>
                <w:color w:val="auto"/>
                <w:kern w:val="0"/>
                <w:sz w:val="21"/>
                <w:szCs w:val="21"/>
                <w:highlight w:val="none"/>
                <w:lang w:val="en-US" w:eastAsia="zh-CN" w:bidi="ar"/>
              </w:rPr>
              <w:t>202</w:t>
            </w:r>
            <w:r>
              <w:rPr>
                <w:rStyle w:val="31"/>
                <w:rFonts w:hint="eastAsia" w:ascii="宋体" w:hAnsi="宋体" w:cs="宋体"/>
                <w:color w:val="auto"/>
                <w:kern w:val="0"/>
                <w:sz w:val="21"/>
                <w:szCs w:val="21"/>
                <w:highlight w:val="none"/>
                <w:lang w:val="en-US" w:eastAsia="zh-CN" w:bidi="ar"/>
              </w:rPr>
              <w:t>6</w:t>
            </w:r>
            <w:r>
              <w:rPr>
                <w:rStyle w:val="31"/>
                <w:rFonts w:hint="eastAsia" w:ascii="宋体" w:hAnsi="宋体" w:eastAsia="宋体" w:cs="宋体"/>
                <w:color w:val="auto"/>
                <w:kern w:val="0"/>
                <w:sz w:val="21"/>
                <w:szCs w:val="21"/>
                <w:highlight w:val="none"/>
                <w:lang w:val="en-US" w:eastAsia="zh-CN" w:bidi="ar"/>
              </w:rPr>
              <w:t>年</w:t>
            </w:r>
            <w:r>
              <w:rPr>
                <w:rStyle w:val="31"/>
                <w:rFonts w:hint="eastAsia" w:ascii="宋体" w:hAnsi="宋体" w:cs="宋体"/>
                <w:color w:val="auto"/>
                <w:kern w:val="0"/>
                <w:sz w:val="21"/>
                <w:szCs w:val="21"/>
                <w:highlight w:val="none"/>
                <w:lang w:val="en-US" w:eastAsia="zh-CN" w:bidi="ar"/>
              </w:rPr>
              <w:t>12</w:t>
            </w:r>
            <w:r>
              <w:rPr>
                <w:rStyle w:val="31"/>
                <w:rFonts w:hint="eastAsia" w:ascii="宋体" w:hAnsi="宋体" w:eastAsia="宋体" w:cs="宋体"/>
                <w:color w:val="auto"/>
                <w:kern w:val="0"/>
                <w:sz w:val="21"/>
                <w:szCs w:val="21"/>
                <w:highlight w:val="none"/>
                <w:lang w:val="en-US" w:eastAsia="zh-CN" w:bidi="ar"/>
              </w:rPr>
              <w:t>月</w:t>
            </w:r>
            <w:r>
              <w:rPr>
                <w:rStyle w:val="31"/>
                <w:rFonts w:hint="eastAsia" w:ascii="宋体" w:hAnsi="宋体" w:cs="宋体"/>
                <w:color w:val="auto"/>
                <w:kern w:val="0"/>
                <w:sz w:val="21"/>
                <w:szCs w:val="21"/>
                <w:highlight w:val="none"/>
                <w:lang w:val="en-US" w:eastAsia="zh-CN" w:bidi="ar"/>
              </w:rPr>
              <w:t>20</w:t>
            </w:r>
            <w:r>
              <w:rPr>
                <w:rStyle w:val="31"/>
                <w:rFonts w:hint="eastAsia" w:ascii="宋体" w:hAnsi="宋体" w:eastAsia="宋体" w:cs="宋体"/>
                <w:color w:val="auto"/>
                <w:kern w:val="0"/>
                <w:sz w:val="21"/>
                <w:szCs w:val="21"/>
                <w:highlight w:val="none"/>
                <w:lang w:val="en-US" w:eastAsia="zh-CN" w:bidi="ar"/>
              </w:rPr>
              <w:t>日前完成全部工作内容</w:t>
            </w:r>
          </w:p>
        </w:tc>
        <w:tc>
          <w:tcPr>
            <w:tcW w:w="871" w:type="dxa"/>
            <w:vAlign w:val="center"/>
          </w:tcPr>
          <w:p w14:paraId="56C915D7">
            <w:pPr>
              <w:adjustRightInd w:val="0"/>
              <w:snapToGrid w:val="0"/>
              <w:spacing w:before="156" w:beforeLines="50" w:line="360" w:lineRule="auto"/>
              <w:jc w:val="center"/>
              <w:rPr>
                <w:rFonts w:hint="default" w:eastAsia="宋体"/>
                <w:color w:val="auto"/>
                <w:szCs w:val="21"/>
                <w:highlight w:val="none"/>
                <w:lang w:val="en-US" w:eastAsia="zh-CN"/>
              </w:rPr>
            </w:pPr>
            <w:r>
              <w:rPr>
                <w:rFonts w:hint="eastAsia"/>
                <w:color w:val="auto"/>
                <w:szCs w:val="21"/>
                <w:highlight w:val="none"/>
                <w:lang w:val="en-US" w:eastAsia="zh-CN"/>
              </w:rPr>
              <w:t>采购人指定地点</w:t>
            </w:r>
          </w:p>
        </w:tc>
        <w:tc>
          <w:tcPr>
            <w:tcW w:w="689" w:type="dxa"/>
          </w:tcPr>
          <w:p w14:paraId="36AF69E2">
            <w:pPr>
              <w:adjustRightInd w:val="0"/>
              <w:snapToGrid w:val="0"/>
              <w:spacing w:before="156" w:beforeLines="50" w:line="360" w:lineRule="auto"/>
              <w:rPr>
                <w:color w:val="auto"/>
                <w:szCs w:val="21"/>
                <w:highlight w:val="none"/>
              </w:rPr>
            </w:pPr>
          </w:p>
        </w:tc>
      </w:tr>
    </w:tbl>
    <w:p w14:paraId="14D60F08">
      <w:pPr>
        <w:pStyle w:val="170"/>
        <w:adjustRightInd w:val="0"/>
        <w:snapToGrid w:val="0"/>
        <w:spacing w:before="156" w:beforeLines="50" w:line="360" w:lineRule="auto"/>
        <w:rPr>
          <w:rStyle w:val="31"/>
          <w:rFonts w:hint="eastAsia" w:ascii="宋体" w:hAnsi="宋体" w:eastAsia="宋体" w:cs="Times New Roman"/>
          <w:szCs w:val="21"/>
        </w:rPr>
      </w:pPr>
      <w:r>
        <w:rPr>
          <w:rStyle w:val="31"/>
          <w:rFonts w:hint="eastAsia" w:ascii="宋体" w:hAnsi="宋体" w:eastAsia="宋体" w:cs="Times New Roman"/>
          <w:szCs w:val="21"/>
        </w:rPr>
        <w:t>注：</w:t>
      </w:r>
    </w:p>
    <w:p w14:paraId="47B025B5">
      <w:pPr>
        <w:pStyle w:val="170"/>
        <w:numPr>
          <w:ilvl w:val="0"/>
          <w:numId w:val="5"/>
        </w:numPr>
        <w:adjustRightInd w:val="0"/>
        <w:snapToGrid w:val="0"/>
        <w:rPr>
          <w:rStyle w:val="31"/>
          <w:rFonts w:ascii="宋体" w:hAnsi="宋体" w:eastAsia="宋体" w:cs="Times New Roman"/>
          <w:szCs w:val="21"/>
        </w:rPr>
      </w:pPr>
      <w:r>
        <w:rPr>
          <w:rStyle w:val="31"/>
          <w:rFonts w:hint="eastAsia" w:ascii="宋体" w:hAnsi="宋体" w:eastAsia="宋体" w:cs="Times New Roman"/>
          <w:szCs w:val="21"/>
        </w:rPr>
        <w:t>“包”为最小合同单位（最小投标单位）。每“包”内容应细化到“品目”（如果分品目的）。</w:t>
      </w:r>
    </w:p>
    <w:p w14:paraId="6FE331FC">
      <w:pPr>
        <w:pStyle w:val="170"/>
        <w:numPr>
          <w:ilvl w:val="0"/>
          <w:numId w:val="5"/>
        </w:numPr>
        <w:adjustRightInd w:val="0"/>
        <w:snapToGrid w:val="0"/>
        <w:rPr>
          <w:rStyle w:val="31"/>
          <w:rFonts w:ascii="宋体" w:hAnsi="宋体" w:eastAsia="宋体" w:cs="Times New Roman"/>
          <w:szCs w:val="21"/>
        </w:rPr>
      </w:pPr>
      <w:r>
        <w:rPr>
          <w:rStyle w:val="31"/>
          <w:rFonts w:hint="eastAsia" w:ascii="宋体" w:hAnsi="宋体" w:eastAsia="宋体" w:cs="Times New Roman"/>
          <w:szCs w:val="21"/>
        </w:rPr>
        <w:t>投标人必须对一个完整、独立的包进行投标，不得仅对一个包中的部分品目投标，否则投标无效。</w:t>
      </w:r>
    </w:p>
    <w:p w14:paraId="738A0E35">
      <w:pPr>
        <w:numPr>
          <w:ilvl w:val="0"/>
          <w:numId w:val="5"/>
        </w:numPr>
        <w:ind w:left="420" w:leftChars="0" w:hanging="420" w:firstLineChars="0"/>
        <w:rPr>
          <w:rFonts w:hint="eastAsia" w:ascii="宋体" w:hAnsi="宋体" w:eastAsia="宋体" w:cs="宋体"/>
          <w:b/>
          <w:bCs/>
          <w:color w:val="auto"/>
          <w:sz w:val="21"/>
          <w:szCs w:val="21"/>
          <w:highlight w:val="none"/>
        </w:rPr>
      </w:pPr>
      <w:r>
        <w:rPr>
          <w:rStyle w:val="31"/>
          <w:rFonts w:hint="eastAsia" w:ascii="宋体" w:hAnsi="宋体" w:eastAsia="宋体" w:cs="Times New Roman"/>
          <w:szCs w:val="21"/>
        </w:rPr>
        <w:t>投标人应在投标文件《分项报价明细表》中按分项项目名称（包括条目号/品目名称）顺序逐项填写，且每个品目中的条目均需按招标文件规定报价。如有缺项、漏项，其投标无效。</w:t>
      </w:r>
      <w:r>
        <w:rPr>
          <w:rFonts w:hint="eastAsia" w:ascii="宋体" w:hAnsi="宋体" w:eastAsia="宋体" w:cs="宋体"/>
          <w:b/>
          <w:bCs/>
          <w:color w:val="auto"/>
          <w:sz w:val="21"/>
          <w:szCs w:val="21"/>
          <w:highlight w:val="none"/>
        </w:rPr>
        <w:br w:type="page"/>
      </w:r>
    </w:p>
    <w:p w14:paraId="530FAD41">
      <w:pPr>
        <w:pStyle w:val="8"/>
        <w:numPr>
          <w:ilvl w:val="1"/>
          <w:numId w:val="0"/>
        </w:numPr>
        <w:tabs>
          <w:tab w:val="clear" w:pos="0"/>
        </w:tabs>
        <w:adjustRightInd w:val="0"/>
        <w:snapToGrid w:val="0"/>
        <w:spacing w:before="156" w:beforeLines="50"/>
        <w:ind w:left="576" w:leftChars="0" w:hanging="576" w:firstLineChars="0"/>
        <w:jc w:val="center"/>
        <w:rPr>
          <w:rFonts w:ascii="黑体" w:hAnsi="黑体" w:eastAsia="黑体"/>
          <w:color w:val="auto"/>
          <w:sz w:val="28"/>
          <w:szCs w:val="28"/>
          <w:highlight w:val="none"/>
        </w:rPr>
      </w:pPr>
      <w:bookmarkStart w:id="5" w:name="_Toc81214900"/>
      <w:r>
        <w:rPr>
          <w:rFonts w:hint="eastAsia" w:ascii="黑体" w:hAnsi="黑体" w:eastAsia="黑体"/>
          <w:color w:val="auto"/>
          <w:sz w:val="28"/>
          <w:szCs w:val="28"/>
          <w:highlight w:val="none"/>
        </w:rPr>
        <w:t xml:space="preserve">第二节 </w:t>
      </w:r>
      <w:r>
        <w:rPr>
          <w:rFonts w:ascii="黑体" w:hAnsi="黑体" w:eastAsia="黑体"/>
          <w:color w:val="auto"/>
          <w:sz w:val="28"/>
          <w:szCs w:val="28"/>
          <w:highlight w:val="none"/>
        </w:rPr>
        <w:t>技术要求</w:t>
      </w:r>
      <w:bookmarkEnd w:id="5"/>
    </w:p>
    <w:p w14:paraId="66A75296">
      <w:pPr>
        <w:widowControl w:val="0"/>
        <w:kinsoku/>
        <w:wordWrap/>
        <w:overflowPunct/>
        <w:topLinePunct w:val="0"/>
        <w:autoSpaceDE/>
        <w:autoSpaceDN/>
        <w:bidi w:val="0"/>
        <w:adjustRightInd w:val="0"/>
        <w:snapToGrid w:val="0"/>
        <w:spacing w:line="600" w:lineRule="exact"/>
        <w:ind w:left="0" w:leftChars="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一、采购项目名称</w:t>
      </w:r>
    </w:p>
    <w:p w14:paraId="320B3D3C">
      <w:pPr>
        <w:widowControl w:val="0"/>
        <w:kinsoku/>
        <w:wordWrap/>
        <w:overflowPunct/>
        <w:topLinePunct w:val="0"/>
        <w:autoSpaceDE/>
        <w:autoSpaceDN/>
        <w:bidi w:val="0"/>
        <w:adjustRightInd w:val="0"/>
        <w:snapToGrid w:val="0"/>
        <w:spacing w:line="6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湖南省湘江流域取用水监测计量能力提升重点项目（省级）</w:t>
      </w:r>
    </w:p>
    <w:p w14:paraId="0CBEB828">
      <w:pPr>
        <w:widowControl w:val="0"/>
        <w:kinsoku/>
        <w:wordWrap/>
        <w:overflowPunct/>
        <w:topLinePunct w:val="0"/>
        <w:autoSpaceDE/>
        <w:autoSpaceDN/>
        <w:bidi w:val="0"/>
        <w:adjustRightInd w:val="0"/>
        <w:snapToGrid w:val="0"/>
        <w:spacing w:line="600" w:lineRule="exact"/>
        <w:ind w:left="0" w:leftChars="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二、项目概况</w:t>
      </w:r>
    </w:p>
    <w:p w14:paraId="3BE460B3">
      <w:pPr>
        <w:widowControl w:val="0"/>
        <w:kinsoku/>
        <w:wordWrap/>
        <w:overflowPunct/>
        <w:topLinePunct w:val="0"/>
        <w:autoSpaceDE/>
        <w:autoSpaceDN/>
        <w:bidi w:val="0"/>
        <w:adjustRightInd w:val="0"/>
        <w:snapToGrid w:val="0"/>
        <w:spacing w:line="600" w:lineRule="exact"/>
        <w:ind w:left="0" w:leftChars="0" w:firstLine="412"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pacing w:val="-2"/>
          <w:sz w:val="21"/>
          <w:szCs w:val="21"/>
          <w:lang w:val="en-US" w:eastAsia="zh-CN"/>
        </w:rPr>
        <w:t>为深入贯彻习近平总书记关于治水重要论述精神，全面落实水资源刚性约束制度，加快推进取用水监测计量体系建设，不断提升取用水监测计量能力，水利部办公厅于2025年</w:t>
      </w:r>
      <w:r>
        <w:rPr>
          <w:rFonts w:hint="eastAsia" w:ascii="宋体" w:hAnsi="宋体" w:eastAsia="宋体" w:cs="宋体"/>
          <w:bCs/>
          <w:color w:val="auto"/>
          <w:spacing w:val="-2"/>
          <w:sz w:val="21"/>
          <w:szCs w:val="21"/>
          <w:lang w:val="en" w:eastAsia="zh-CN"/>
        </w:rPr>
        <w:t>7</w:t>
      </w:r>
      <w:r>
        <w:rPr>
          <w:rFonts w:hint="eastAsia" w:ascii="宋体" w:hAnsi="宋体" w:eastAsia="宋体" w:cs="宋体"/>
          <w:bCs/>
          <w:color w:val="auto"/>
          <w:spacing w:val="-2"/>
          <w:sz w:val="21"/>
          <w:szCs w:val="21"/>
          <w:lang w:val="en-US" w:eastAsia="zh-CN"/>
        </w:rPr>
        <w:t>月印发了《取用水监测计量能力提升三年行动方案》。省水利厅拟组织实施</w:t>
      </w:r>
      <w:r>
        <w:rPr>
          <w:rFonts w:hint="eastAsia" w:ascii="宋体" w:hAnsi="宋体" w:eastAsia="宋体" w:cs="宋体"/>
          <w:color w:val="auto"/>
          <w:sz w:val="21"/>
          <w:szCs w:val="21"/>
          <w:highlight w:val="none"/>
          <w:lang w:eastAsia="zh-CN"/>
        </w:rPr>
        <w:t>湖南省湘江流域取用水监测计量能力提升重点项目（省级），落实强化</w:t>
      </w:r>
      <w:r>
        <w:rPr>
          <w:rFonts w:hint="eastAsia" w:ascii="宋体" w:hAnsi="宋体" w:eastAsia="宋体" w:cs="宋体"/>
          <w:color w:val="auto"/>
          <w:sz w:val="21"/>
          <w:szCs w:val="21"/>
          <w:highlight w:val="none"/>
          <w:lang w:val="en-US" w:eastAsia="zh-CN"/>
        </w:rPr>
        <w:t>取水计量数据融合应用</w:t>
      </w:r>
      <w:r>
        <w:rPr>
          <w:rFonts w:hint="eastAsia" w:ascii="宋体" w:hAnsi="宋体" w:eastAsia="宋体" w:cs="宋体"/>
          <w:color w:val="auto"/>
          <w:sz w:val="21"/>
          <w:szCs w:val="21"/>
          <w:highlight w:val="none"/>
          <w:lang w:eastAsia="zh-CN"/>
        </w:rPr>
        <w:t>相关工作要求，</w:t>
      </w:r>
      <w:r>
        <w:rPr>
          <w:rFonts w:hint="eastAsia" w:ascii="宋体" w:hAnsi="宋体" w:eastAsia="宋体" w:cs="宋体"/>
          <w:color w:val="auto"/>
          <w:sz w:val="21"/>
          <w:szCs w:val="21"/>
          <w:highlight w:val="none"/>
          <w:lang w:val="en-US" w:eastAsia="zh-CN"/>
        </w:rPr>
        <w:t>该项目</w:t>
      </w:r>
      <w:r>
        <w:rPr>
          <w:rFonts w:hint="eastAsia" w:ascii="宋体" w:hAnsi="宋体" w:eastAsia="宋体" w:cs="宋体"/>
          <w:b w:val="0"/>
          <w:bCs/>
          <w:color w:val="auto"/>
          <w:spacing w:val="-2"/>
          <w:sz w:val="21"/>
          <w:szCs w:val="21"/>
          <w:lang w:val="en-US" w:eastAsia="zh-CN"/>
        </w:rPr>
        <w:t>主要任务是</w:t>
      </w:r>
      <w:r>
        <w:rPr>
          <w:rFonts w:hint="eastAsia" w:ascii="宋体" w:hAnsi="宋体" w:eastAsia="宋体" w:cs="宋体"/>
          <w:kern w:val="2"/>
          <w:sz w:val="21"/>
          <w:szCs w:val="21"/>
          <w:lang w:val="en-US" w:eastAsia="zh-CN" w:bidi="ar-SA"/>
        </w:rPr>
        <w:t>构建</w:t>
      </w:r>
      <w:r>
        <w:rPr>
          <w:rFonts w:hint="eastAsia" w:ascii="宋体" w:hAnsi="宋体" w:eastAsia="宋体" w:cs="宋体"/>
          <w:kern w:val="2"/>
          <w:sz w:val="21"/>
          <w:szCs w:val="21"/>
          <w:lang w:val="en" w:eastAsia="zh-CN" w:bidi="ar-SA"/>
        </w:rPr>
        <w:t>取水计量数据在</w:t>
      </w:r>
      <w:r>
        <w:rPr>
          <w:rFonts w:hint="eastAsia" w:ascii="宋体" w:hAnsi="宋体" w:eastAsia="宋体" w:cs="宋体"/>
          <w:kern w:val="2"/>
          <w:sz w:val="21"/>
          <w:szCs w:val="21"/>
          <w:lang w:val="en-US" w:eastAsia="zh-CN" w:bidi="ar-SA"/>
        </w:rPr>
        <w:t>取水许可辅助审批、用水统计调查辅助审核、水资源承载能力辅助评价、可用水量分配方案辅助落实等业务的融合应用场景。</w:t>
      </w:r>
    </w:p>
    <w:p w14:paraId="550FBA1B">
      <w:pPr>
        <w:widowControl w:val="0"/>
        <w:numPr>
          <w:ilvl w:val="0"/>
          <w:numId w:val="6"/>
        </w:numPr>
        <w:kinsoku/>
        <w:wordWrap/>
        <w:overflowPunct/>
        <w:topLinePunct w:val="0"/>
        <w:autoSpaceDE/>
        <w:autoSpaceDN/>
        <w:bidi w:val="0"/>
        <w:adjustRightInd w:val="0"/>
        <w:snapToGrid w:val="0"/>
        <w:spacing w:line="600" w:lineRule="exact"/>
        <w:ind w:left="0" w:leftChars="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相关法规政策目录</w:t>
      </w:r>
    </w:p>
    <w:p w14:paraId="59B81C75">
      <w:pPr>
        <w:widowControl w:val="0"/>
        <w:kinsoku/>
        <w:wordWrap/>
        <w:overflowPunct/>
        <w:topLinePunct w:val="0"/>
        <w:autoSpaceDE/>
        <w:autoSpaceDN/>
        <w:bidi w:val="0"/>
        <w:adjustRightInd w:val="0"/>
        <w:snapToGrid w:val="0"/>
        <w:spacing w:line="600" w:lineRule="exact"/>
        <w:ind w:left="0" w:leftChars="0" w:firstLine="412" w:firstLineChars="200"/>
        <w:textAlignment w:val="auto"/>
        <w:outlineLvl w:val="9"/>
        <w:rPr>
          <w:rFonts w:hint="eastAsia" w:ascii="宋体" w:hAnsi="宋体" w:eastAsia="宋体" w:cs="宋体"/>
          <w:bCs/>
          <w:color w:val="auto"/>
          <w:spacing w:val="-2"/>
          <w:sz w:val="21"/>
          <w:szCs w:val="21"/>
          <w:lang w:val="en-US" w:eastAsia="zh-CN"/>
        </w:rPr>
      </w:pPr>
      <w:r>
        <w:rPr>
          <w:rFonts w:hint="eastAsia" w:ascii="宋体" w:hAnsi="宋体" w:eastAsia="宋体" w:cs="宋体"/>
          <w:bCs/>
          <w:color w:val="auto"/>
          <w:spacing w:val="-2"/>
          <w:sz w:val="21"/>
          <w:szCs w:val="21"/>
          <w:lang w:val="en-US" w:eastAsia="zh-CN"/>
        </w:rPr>
        <w:t>《中华人民共和国水法》</w:t>
      </w:r>
    </w:p>
    <w:p w14:paraId="2D1EAB7D">
      <w:pPr>
        <w:widowControl w:val="0"/>
        <w:kinsoku/>
        <w:wordWrap/>
        <w:overflowPunct/>
        <w:topLinePunct w:val="0"/>
        <w:autoSpaceDE/>
        <w:autoSpaceDN/>
        <w:bidi w:val="0"/>
        <w:adjustRightInd w:val="0"/>
        <w:snapToGrid w:val="0"/>
        <w:spacing w:line="600" w:lineRule="exact"/>
        <w:ind w:left="0" w:leftChars="0" w:firstLine="412" w:firstLineChars="200"/>
        <w:textAlignment w:val="auto"/>
        <w:outlineLvl w:val="9"/>
        <w:rPr>
          <w:rFonts w:hint="eastAsia" w:ascii="宋体" w:hAnsi="宋体" w:eastAsia="宋体" w:cs="宋体"/>
          <w:bCs/>
          <w:color w:val="auto"/>
          <w:spacing w:val="-2"/>
          <w:sz w:val="21"/>
          <w:szCs w:val="21"/>
          <w:lang w:val="en-US" w:eastAsia="zh-CN"/>
        </w:rPr>
      </w:pPr>
      <w:r>
        <w:rPr>
          <w:rFonts w:hint="eastAsia" w:ascii="宋体" w:hAnsi="宋体" w:eastAsia="宋体" w:cs="宋体"/>
          <w:bCs/>
          <w:color w:val="auto"/>
          <w:spacing w:val="-2"/>
          <w:sz w:val="21"/>
          <w:szCs w:val="21"/>
          <w:lang w:val="en-US" w:eastAsia="zh-CN"/>
        </w:rPr>
        <w:t>《中华人民共和国合同法》</w:t>
      </w:r>
    </w:p>
    <w:p w14:paraId="026CF934">
      <w:pPr>
        <w:widowControl w:val="0"/>
        <w:kinsoku/>
        <w:wordWrap/>
        <w:overflowPunct/>
        <w:topLinePunct w:val="0"/>
        <w:autoSpaceDE/>
        <w:autoSpaceDN/>
        <w:bidi w:val="0"/>
        <w:adjustRightInd w:val="0"/>
        <w:snapToGrid w:val="0"/>
        <w:spacing w:line="600" w:lineRule="exact"/>
        <w:ind w:left="0" w:leftChars="0" w:firstLine="412" w:firstLineChars="200"/>
        <w:textAlignment w:val="auto"/>
        <w:outlineLvl w:val="9"/>
        <w:rPr>
          <w:rFonts w:hint="eastAsia" w:ascii="宋体" w:hAnsi="宋体" w:eastAsia="宋体" w:cs="宋体"/>
          <w:bCs/>
          <w:color w:val="auto"/>
          <w:spacing w:val="-2"/>
          <w:sz w:val="21"/>
          <w:szCs w:val="21"/>
          <w:lang w:val="en-US" w:eastAsia="zh-CN"/>
        </w:rPr>
      </w:pPr>
      <w:r>
        <w:rPr>
          <w:rFonts w:hint="eastAsia" w:ascii="宋体" w:hAnsi="宋体" w:eastAsia="宋体" w:cs="宋体"/>
          <w:bCs/>
          <w:color w:val="auto"/>
          <w:spacing w:val="-2"/>
          <w:sz w:val="21"/>
          <w:szCs w:val="21"/>
          <w:lang w:val="en-US" w:eastAsia="zh-CN"/>
        </w:rPr>
        <w:t>《中华人民共和国招标投标法》</w:t>
      </w:r>
    </w:p>
    <w:p w14:paraId="517C99CE">
      <w:pPr>
        <w:widowControl w:val="0"/>
        <w:kinsoku/>
        <w:wordWrap/>
        <w:overflowPunct/>
        <w:topLinePunct w:val="0"/>
        <w:autoSpaceDE/>
        <w:autoSpaceDN/>
        <w:bidi w:val="0"/>
        <w:adjustRightInd w:val="0"/>
        <w:snapToGrid w:val="0"/>
        <w:spacing w:line="600" w:lineRule="exact"/>
        <w:ind w:left="0" w:leftChars="0" w:firstLine="412" w:firstLineChars="200"/>
        <w:textAlignment w:val="auto"/>
        <w:outlineLvl w:val="9"/>
        <w:rPr>
          <w:rFonts w:hint="eastAsia" w:ascii="宋体" w:hAnsi="宋体" w:eastAsia="宋体" w:cs="宋体"/>
          <w:bCs/>
          <w:color w:val="auto"/>
          <w:spacing w:val="-2"/>
          <w:sz w:val="21"/>
          <w:szCs w:val="21"/>
          <w:lang w:val="en-US" w:eastAsia="zh-CN"/>
        </w:rPr>
      </w:pPr>
      <w:r>
        <w:rPr>
          <w:rFonts w:hint="eastAsia" w:ascii="宋体" w:hAnsi="宋体" w:eastAsia="宋体" w:cs="宋体"/>
          <w:bCs/>
          <w:color w:val="auto"/>
          <w:spacing w:val="-2"/>
          <w:sz w:val="21"/>
          <w:szCs w:val="21"/>
          <w:lang w:val="en-US" w:eastAsia="zh-CN"/>
        </w:rPr>
        <w:t>《取水许可和水资源费征收管理条例》</w:t>
      </w:r>
    </w:p>
    <w:p w14:paraId="191A01C1">
      <w:pPr>
        <w:widowControl w:val="0"/>
        <w:kinsoku/>
        <w:wordWrap/>
        <w:overflowPunct/>
        <w:topLinePunct w:val="0"/>
        <w:autoSpaceDE/>
        <w:autoSpaceDN/>
        <w:bidi w:val="0"/>
        <w:adjustRightInd w:val="0"/>
        <w:snapToGrid w:val="0"/>
        <w:spacing w:line="600" w:lineRule="exact"/>
        <w:ind w:left="0" w:leftChars="0" w:firstLine="412" w:firstLineChars="200"/>
        <w:textAlignment w:val="auto"/>
        <w:outlineLvl w:val="9"/>
        <w:rPr>
          <w:rFonts w:hint="eastAsia" w:ascii="宋体" w:hAnsi="宋体" w:eastAsia="宋体" w:cs="宋体"/>
          <w:bCs/>
          <w:color w:val="auto"/>
          <w:spacing w:val="-2"/>
          <w:sz w:val="21"/>
          <w:szCs w:val="21"/>
          <w:lang w:val="en-US" w:eastAsia="zh-CN"/>
        </w:rPr>
      </w:pPr>
      <w:r>
        <w:rPr>
          <w:rFonts w:hint="eastAsia" w:ascii="宋体" w:hAnsi="宋体" w:eastAsia="宋体" w:cs="宋体"/>
          <w:bCs/>
          <w:color w:val="auto"/>
          <w:spacing w:val="-2"/>
          <w:sz w:val="21"/>
          <w:szCs w:val="21"/>
          <w:lang w:val="en-US" w:eastAsia="zh-CN"/>
        </w:rPr>
        <w:t>《取水许可管理办法》</w:t>
      </w:r>
    </w:p>
    <w:p w14:paraId="7CC26C48">
      <w:pPr>
        <w:widowControl w:val="0"/>
        <w:kinsoku/>
        <w:wordWrap/>
        <w:overflowPunct/>
        <w:topLinePunct w:val="0"/>
        <w:autoSpaceDE/>
        <w:autoSpaceDN/>
        <w:bidi w:val="0"/>
        <w:adjustRightInd w:val="0"/>
        <w:snapToGrid w:val="0"/>
        <w:spacing w:line="600" w:lineRule="exact"/>
        <w:ind w:left="0" w:leftChars="0" w:firstLine="412" w:firstLineChars="200"/>
        <w:textAlignment w:val="auto"/>
        <w:outlineLvl w:val="9"/>
        <w:rPr>
          <w:rFonts w:hint="eastAsia" w:ascii="宋体" w:hAnsi="宋体" w:eastAsia="宋体" w:cs="宋体"/>
          <w:bCs/>
          <w:color w:val="auto"/>
          <w:spacing w:val="-2"/>
          <w:sz w:val="21"/>
          <w:szCs w:val="21"/>
          <w:lang w:val="en-US" w:eastAsia="zh-CN"/>
        </w:rPr>
      </w:pPr>
      <w:r>
        <w:rPr>
          <w:rFonts w:hint="eastAsia" w:ascii="宋体" w:hAnsi="宋体" w:eastAsia="宋体" w:cs="宋体"/>
          <w:bCs/>
          <w:color w:val="auto"/>
          <w:spacing w:val="-2"/>
          <w:sz w:val="21"/>
          <w:szCs w:val="21"/>
          <w:lang w:val="en-US" w:eastAsia="zh-CN"/>
        </w:rPr>
        <w:t>《地下水管理条例》</w:t>
      </w:r>
    </w:p>
    <w:p w14:paraId="75B599AB">
      <w:pPr>
        <w:widowControl w:val="0"/>
        <w:kinsoku/>
        <w:wordWrap/>
        <w:overflowPunct/>
        <w:topLinePunct w:val="0"/>
        <w:autoSpaceDE/>
        <w:autoSpaceDN/>
        <w:bidi w:val="0"/>
        <w:adjustRightInd w:val="0"/>
        <w:snapToGrid w:val="0"/>
        <w:spacing w:line="600" w:lineRule="exact"/>
        <w:ind w:left="0" w:leftChars="0" w:firstLine="412" w:firstLineChars="200"/>
        <w:textAlignment w:val="auto"/>
        <w:outlineLvl w:val="9"/>
        <w:rPr>
          <w:rFonts w:hint="eastAsia" w:ascii="宋体" w:hAnsi="宋体" w:eastAsia="宋体" w:cs="宋体"/>
          <w:bCs/>
          <w:color w:val="auto"/>
          <w:spacing w:val="-2"/>
          <w:sz w:val="21"/>
          <w:szCs w:val="21"/>
          <w:lang w:val="en-US" w:eastAsia="zh-CN"/>
        </w:rPr>
      </w:pPr>
      <w:r>
        <w:rPr>
          <w:rFonts w:hint="eastAsia" w:ascii="宋体" w:hAnsi="宋体" w:eastAsia="宋体" w:cs="宋体"/>
          <w:bCs/>
          <w:color w:val="auto"/>
          <w:spacing w:val="-2"/>
          <w:sz w:val="21"/>
          <w:szCs w:val="21"/>
          <w:lang w:val="en-US" w:eastAsia="zh-CN"/>
        </w:rPr>
        <w:t>《节约用水条例》</w:t>
      </w:r>
    </w:p>
    <w:p w14:paraId="3A97E00E">
      <w:pPr>
        <w:widowControl w:val="0"/>
        <w:kinsoku/>
        <w:wordWrap/>
        <w:overflowPunct/>
        <w:topLinePunct w:val="0"/>
        <w:autoSpaceDE/>
        <w:autoSpaceDN/>
        <w:bidi w:val="0"/>
        <w:adjustRightInd w:val="0"/>
        <w:snapToGrid w:val="0"/>
        <w:spacing w:line="600" w:lineRule="exact"/>
        <w:ind w:left="0" w:leftChars="0" w:firstLine="412" w:firstLineChars="200"/>
        <w:textAlignment w:val="auto"/>
        <w:outlineLvl w:val="9"/>
        <w:rPr>
          <w:rFonts w:hint="eastAsia" w:ascii="宋体" w:hAnsi="宋体" w:eastAsia="宋体" w:cs="宋体"/>
          <w:bCs/>
          <w:color w:val="auto"/>
          <w:spacing w:val="-2"/>
          <w:sz w:val="21"/>
          <w:szCs w:val="21"/>
          <w:lang w:val="en-US" w:eastAsia="zh-CN"/>
        </w:rPr>
      </w:pPr>
      <w:r>
        <w:rPr>
          <w:rFonts w:hint="eastAsia" w:ascii="宋体" w:hAnsi="宋体" w:eastAsia="宋体" w:cs="宋体"/>
          <w:bCs/>
          <w:color w:val="auto"/>
          <w:spacing w:val="-2"/>
          <w:sz w:val="21"/>
          <w:szCs w:val="21"/>
          <w:lang w:val="en-US" w:eastAsia="zh-CN"/>
        </w:rPr>
        <w:t>《计划用水管理办法》</w:t>
      </w:r>
    </w:p>
    <w:p w14:paraId="19E5E8D3">
      <w:pPr>
        <w:widowControl w:val="0"/>
        <w:kinsoku/>
        <w:wordWrap/>
        <w:overflowPunct/>
        <w:topLinePunct w:val="0"/>
        <w:autoSpaceDE/>
        <w:autoSpaceDN/>
        <w:bidi w:val="0"/>
        <w:adjustRightInd w:val="0"/>
        <w:snapToGrid w:val="0"/>
        <w:spacing w:line="600" w:lineRule="exact"/>
        <w:ind w:left="0" w:leftChars="0" w:firstLine="412" w:firstLineChars="200"/>
        <w:textAlignment w:val="auto"/>
        <w:outlineLvl w:val="9"/>
        <w:rPr>
          <w:rFonts w:hint="eastAsia" w:ascii="宋体" w:hAnsi="宋体" w:eastAsia="宋体" w:cs="宋体"/>
          <w:bCs/>
          <w:color w:val="auto"/>
          <w:spacing w:val="-2"/>
          <w:sz w:val="21"/>
          <w:szCs w:val="21"/>
          <w:lang w:val="en-US" w:eastAsia="zh-CN"/>
        </w:rPr>
      </w:pPr>
      <w:r>
        <w:rPr>
          <w:rFonts w:hint="eastAsia" w:ascii="宋体" w:hAnsi="宋体" w:eastAsia="宋体" w:cs="宋体"/>
          <w:bCs/>
          <w:color w:val="auto"/>
          <w:spacing w:val="-2"/>
          <w:sz w:val="21"/>
          <w:szCs w:val="21"/>
          <w:lang w:val="en-US" w:eastAsia="zh-CN"/>
        </w:rPr>
        <w:t>《湖南省节约用水管理办法》</w:t>
      </w:r>
    </w:p>
    <w:p w14:paraId="2E1C36FF">
      <w:pPr>
        <w:widowControl w:val="0"/>
        <w:kinsoku/>
        <w:wordWrap/>
        <w:overflowPunct/>
        <w:topLinePunct w:val="0"/>
        <w:autoSpaceDE/>
        <w:autoSpaceDN/>
        <w:bidi w:val="0"/>
        <w:adjustRightInd w:val="0"/>
        <w:snapToGrid w:val="0"/>
        <w:spacing w:line="600" w:lineRule="exact"/>
        <w:ind w:left="0" w:leftChars="0" w:firstLine="412" w:firstLineChars="200"/>
        <w:textAlignment w:val="auto"/>
        <w:outlineLvl w:val="9"/>
        <w:rPr>
          <w:rFonts w:hint="eastAsia" w:ascii="宋体" w:hAnsi="宋体" w:eastAsia="宋体" w:cs="宋体"/>
          <w:bCs/>
          <w:color w:val="auto"/>
          <w:spacing w:val="-2"/>
          <w:sz w:val="21"/>
          <w:szCs w:val="21"/>
          <w:lang w:val="en-US" w:eastAsia="zh-CN"/>
        </w:rPr>
      </w:pPr>
      <w:r>
        <w:rPr>
          <w:rFonts w:hint="eastAsia" w:ascii="宋体" w:hAnsi="宋体" w:eastAsia="宋体" w:cs="宋体"/>
          <w:bCs/>
          <w:color w:val="auto"/>
          <w:spacing w:val="-2"/>
          <w:sz w:val="21"/>
          <w:szCs w:val="21"/>
          <w:lang w:val="en-US" w:eastAsia="zh-CN"/>
        </w:rPr>
        <w:t>《湖南省取水许可和水资源费征收管理办法》</w:t>
      </w:r>
    </w:p>
    <w:p w14:paraId="6C822643">
      <w:pPr>
        <w:widowControl w:val="0"/>
        <w:kinsoku/>
        <w:wordWrap/>
        <w:overflowPunct/>
        <w:topLinePunct w:val="0"/>
        <w:autoSpaceDE/>
        <w:autoSpaceDN/>
        <w:bidi w:val="0"/>
        <w:adjustRightInd w:val="0"/>
        <w:snapToGrid w:val="0"/>
        <w:spacing w:line="600" w:lineRule="exact"/>
        <w:ind w:left="0" w:leftChars="0" w:firstLine="422" w:firstLineChars="200"/>
        <w:textAlignment w:val="auto"/>
        <w:outlineLvl w:val="9"/>
        <w:rPr>
          <w:rFonts w:hint="eastAsia" w:ascii="宋体" w:hAnsi="宋体" w:eastAsia="宋体" w:cs="宋体"/>
          <w:b/>
          <w:bCs/>
          <w:color w:val="auto"/>
          <w:sz w:val="21"/>
          <w:szCs w:val="21"/>
          <w:highlight w:val="none"/>
          <w:lang w:val="en-US" w:eastAsia="zh-CN"/>
        </w:rPr>
      </w:pPr>
      <w:bookmarkStart w:id="6" w:name="_Toc61369119"/>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w:t>
      </w:r>
      <w:bookmarkEnd w:id="6"/>
      <w:r>
        <w:rPr>
          <w:rFonts w:hint="eastAsia" w:ascii="宋体" w:hAnsi="宋体" w:eastAsia="宋体" w:cs="宋体"/>
          <w:b/>
          <w:bCs/>
          <w:color w:val="auto"/>
          <w:sz w:val="21"/>
          <w:szCs w:val="21"/>
          <w:highlight w:val="none"/>
          <w:lang w:val="en-US" w:eastAsia="zh-CN"/>
        </w:rPr>
        <w:t>服务承包范围</w:t>
      </w:r>
    </w:p>
    <w:p w14:paraId="61AA18B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1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color w:val="auto"/>
          <w:spacing w:val="-2"/>
          <w:sz w:val="21"/>
          <w:szCs w:val="21"/>
          <w:lang w:val="en-US" w:eastAsia="zh-CN"/>
        </w:rPr>
        <w:t>本项目主要工作内容为</w:t>
      </w:r>
      <w:r>
        <w:rPr>
          <w:rFonts w:hint="eastAsia" w:ascii="宋体" w:hAnsi="宋体" w:eastAsia="宋体" w:cs="宋体"/>
          <w:kern w:val="2"/>
          <w:sz w:val="21"/>
          <w:szCs w:val="21"/>
          <w:lang w:val="en-US" w:eastAsia="zh-CN" w:bidi="ar-SA"/>
        </w:rPr>
        <w:t>构建</w:t>
      </w:r>
      <w:r>
        <w:rPr>
          <w:rFonts w:hint="eastAsia" w:ascii="宋体" w:hAnsi="宋体" w:eastAsia="宋体" w:cs="宋体"/>
          <w:kern w:val="2"/>
          <w:sz w:val="21"/>
          <w:szCs w:val="21"/>
          <w:lang w:val="en" w:eastAsia="zh-CN" w:bidi="ar-SA"/>
        </w:rPr>
        <w:t>取水计量数据在</w:t>
      </w:r>
      <w:r>
        <w:rPr>
          <w:rFonts w:hint="eastAsia" w:ascii="宋体" w:hAnsi="宋体" w:eastAsia="宋体" w:cs="宋体"/>
          <w:kern w:val="2"/>
          <w:sz w:val="21"/>
          <w:szCs w:val="21"/>
          <w:lang w:val="en-US" w:eastAsia="zh-CN" w:bidi="ar-SA"/>
        </w:rPr>
        <w:t>取水许可辅助审批、用水统计调查辅助审核、水资源承载能力辅助评价、可用水量分配方案辅助落实等业务的融合应用场景。</w:t>
      </w:r>
    </w:p>
    <w:p w14:paraId="236BB7F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12" w:firstLineChars="200"/>
        <w:textAlignment w:val="auto"/>
        <w:outlineLvl w:val="9"/>
        <w:rPr>
          <w:rFonts w:hint="eastAsia" w:ascii="宋体" w:hAnsi="宋体" w:eastAsia="宋体" w:cs="宋体"/>
          <w:b w:val="0"/>
          <w:bCs/>
          <w:color w:val="auto"/>
          <w:spacing w:val="-2"/>
          <w:sz w:val="21"/>
          <w:szCs w:val="21"/>
          <w:lang w:val="en-US" w:eastAsia="zh-CN"/>
        </w:rPr>
      </w:pPr>
      <w:r>
        <w:rPr>
          <w:rFonts w:hint="eastAsia" w:ascii="宋体" w:hAnsi="宋体" w:eastAsia="宋体" w:cs="宋体"/>
          <w:b w:val="0"/>
          <w:bCs/>
          <w:color w:val="auto"/>
          <w:spacing w:val="-2"/>
          <w:sz w:val="21"/>
          <w:szCs w:val="21"/>
          <w:lang w:val="en-US" w:eastAsia="zh-CN"/>
        </w:rPr>
        <w:t>（1）取水许可辅助审批应用场景</w:t>
      </w:r>
    </w:p>
    <w:p w14:paraId="2402241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12" w:firstLineChars="200"/>
        <w:textAlignment w:val="auto"/>
        <w:outlineLvl w:val="9"/>
        <w:rPr>
          <w:rFonts w:hint="eastAsia" w:ascii="宋体" w:hAnsi="宋体" w:eastAsia="宋体" w:cs="宋体"/>
          <w:b w:val="0"/>
          <w:bCs/>
          <w:color w:val="auto"/>
          <w:spacing w:val="-2"/>
          <w:sz w:val="21"/>
          <w:szCs w:val="21"/>
          <w:lang w:val="en-US" w:eastAsia="zh-CN"/>
        </w:rPr>
      </w:pPr>
      <w:r>
        <w:rPr>
          <w:rFonts w:hint="eastAsia" w:ascii="宋体" w:hAnsi="宋体" w:eastAsia="宋体" w:cs="宋体"/>
          <w:b w:val="0"/>
          <w:bCs/>
          <w:color w:val="auto"/>
          <w:spacing w:val="-2"/>
          <w:sz w:val="21"/>
          <w:szCs w:val="21"/>
          <w:lang w:val="en-US" w:eastAsia="zh-CN"/>
        </w:rPr>
        <w:t>基于许可证周期内的历史实际取水量曲线图、年际变化分析、计划符合度评估报告等客观连续的数据，新建项目试运行期间取水计量数据、区域计量统计数据及用水总量情况，评估取水许可的合理性，为取水许可新增、延续或变更提供数据支撑。特别是农业灌区取水许可审批方面，将灌溉取水计量数据与灌区面积、取水口、许可水量等基本信息进行关联，为审批部门决策提供数据支撑，使审批更加科学。</w:t>
      </w:r>
    </w:p>
    <w:p w14:paraId="0905A89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12" w:firstLineChars="200"/>
        <w:textAlignment w:val="auto"/>
        <w:outlineLvl w:val="9"/>
        <w:rPr>
          <w:rFonts w:hint="eastAsia" w:ascii="宋体" w:hAnsi="宋体" w:eastAsia="宋体" w:cs="宋体"/>
          <w:b w:val="0"/>
          <w:bCs/>
          <w:color w:val="auto"/>
          <w:spacing w:val="-2"/>
          <w:sz w:val="21"/>
          <w:szCs w:val="21"/>
          <w:lang w:val="en-US" w:eastAsia="zh-CN"/>
        </w:rPr>
      </w:pPr>
      <w:r>
        <w:rPr>
          <w:rFonts w:hint="eastAsia" w:ascii="宋体" w:hAnsi="宋体" w:eastAsia="宋体" w:cs="宋体"/>
          <w:b w:val="0"/>
          <w:bCs/>
          <w:color w:val="auto"/>
          <w:spacing w:val="-2"/>
          <w:sz w:val="21"/>
          <w:szCs w:val="21"/>
          <w:lang w:val="en-US" w:eastAsia="zh-CN"/>
        </w:rPr>
        <w:t>（2）用水统计调查辅助审核应用场景</w:t>
      </w:r>
    </w:p>
    <w:p w14:paraId="61EF5F6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12" w:firstLineChars="200"/>
        <w:textAlignment w:val="auto"/>
        <w:outlineLvl w:val="9"/>
        <w:rPr>
          <w:rFonts w:hint="eastAsia" w:ascii="宋体" w:hAnsi="宋体" w:eastAsia="宋体" w:cs="宋体"/>
          <w:b w:val="0"/>
          <w:bCs/>
          <w:color w:val="auto"/>
          <w:spacing w:val="-2"/>
          <w:sz w:val="21"/>
          <w:szCs w:val="21"/>
          <w:lang w:val="en-US" w:eastAsia="zh-CN"/>
        </w:rPr>
      </w:pPr>
      <w:r>
        <w:rPr>
          <w:rFonts w:hint="eastAsia" w:ascii="宋体" w:hAnsi="宋体" w:eastAsia="宋体" w:cs="宋体"/>
          <w:b w:val="0"/>
          <w:bCs/>
          <w:color w:val="auto"/>
          <w:spacing w:val="-2"/>
          <w:sz w:val="21"/>
          <w:szCs w:val="21"/>
          <w:lang w:val="en-US" w:eastAsia="zh-CN"/>
        </w:rPr>
        <w:t>调取不同类型用水主体历史及实时直报数据，根据取水计量数据、用水申报数据、水资源税缴纳数据、行业用水定额标准等多源数据，构建“计量数据+申报数据+定额标准”三维比对体系。通过智能校验规则，比对报表填报水量与多源采集数据的合理性及一致性，自动识别错报、漏报及不合理填报数据，为用水统计报表审核提供数据支撑，提升用水统计数据准确性与审核效率。</w:t>
      </w:r>
    </w:p>
    <w:p w14:paraId="2DF1CA5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12" w:firstLineChars="200"/>
        <w:textAlignment w:val="auto"/>
        <w:outlineLvl w:val="9"/>
        <w:rPr>
          <w:rFonts w:hint="eastAsia" w:ascii="宋体" w:hAnsi="宋体" w:eastAsia="宋体" w:cs="宋体"/>
          <w:b w:val="0"/>
          <w:bCs/>
          <w:color w:val="auto"/>
          <w:spacing w:val="-2"/>
          <w:sz w:val="21"/>
          <w:szCs w:val="21"/>
          <w:lang w:val="en-US" w:eastAsia="zh-CN"/>
        </w:rPr>
      </w:pPr>
      <w:r>
        <w:rPr>
          <w:rFonts w:hint="eastAsia" w:ascii="宋体" w:hAnsi="宋体" w:eastAsia="宋体" w:cs="宋体"/>
          <w:b w:val="0"/>
          <w:bCs/>
          <w:color w:val="auto"/>
          <w:spacing w:val="-2"/>
          <w:sz w:val="21"/>
          <w:szCs w:val="21"/>
          <w:lang w:val="en-US" w:eastAsia="zh-CN"/>
        </w:rPr>
        <w:t>（3）水资源承载能力辅助评价应用场景</w:t>
      </w:r>
    </w:p>
    <w:p w14:paraId="6984FA4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12" w:firstLineChars="200"/>
        <w:textAlignment w:val="auto"/>
        <w:outlineLvl w:val="9"/>
        <w:rPr>
          <w:rFonts w:hint="eastAsia" w:ascii="宋体" w:hAnsi="宋体" w:eastAsia="宋体" w:cs="宋体"/>
          <w:b w:val="0"/>
          <w:bCs/>
          <w:color w:val="auto"/>
          <w:spacing w:val="-2"/>
          <w:sz w:val="21"/>
          <w:szCs w:val="21"/>
          <w:lang w:val="en-US" w:eastAsia="zh-CN"/>
        </w:rPr>
      </w:pPr>
      <w:r>
        <w:rPr>
          <w:rFonts w:hint="eastAsia" w:ascii="宋体" w:hAnsi="宋体" w:eastAsia="宋体" w:cs="宋体"/>
          <w:b w:val="0"/>
          <w:bCs/>
          <w:color w:val="auto"/>
          <w:spacing w:val="-2"/>
          <w:sz w:val="21"/>
          <w:szCs w:val="21"/>
          <w:lang w:val="en-US" w:eastAsia="zh-CN"/>
        </w:rPr>
        <w:t>整合水资源量、水资源可利用量、用水总量控制指标、取水许可批复水量、生态环境需水等水资源开发利用控制性指标，根据流域内所有取水口计量统计数据、河湖生态流量监测数据、地下水水位数据、经济社会现状等数据成果，分析水资源开发利用规模和程度，动态评估流域、区域水量承载状况。基于计量数据反映的用水增长趋势，预判承载能力变化，为超载区域取水禁批限批、临界区域严控新增取水、不超载区域合理审批提供数据支撑，辅助制定差异化管控指标。结合水库蓄水动态及流域经济社会发展、产业布局、用水效率等相关成果，系统分析流域供水量、需水量时空分布特征，识别水资源供需缺口及短缺区域，为流域水资源统筹调配、供水工程布局优化提供数据支撑。</w:t>
      </w:r>
    </w:p>
    <w:p w14:paraId="4990C0B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12" w:firstLineChars="200"/>
        <w:textAlignment w:val="auto"/>
        <w:outlineLvl w:val="9"/>
        <w:rPr>
          <w:rFonts w:hint="eastAsia" w:ascii="宋体" w:hAnsi="宋体" w:eastAsia="宋体" w:cs="宋体"/>
          <w:b w:val="0"/>
          <w:bCs/>
          <w:color w:val="auto"/>
          <w:spacing w:val="-2"/>
          <w:sz w:val="21"/>
          <w:szCs w:val="21"/>
          <w:lang w:val="en-US" w:eastAsia="zh-CN"/>
        </w:rPr>
      </w:pPr>
      <w:r>
        <w:rPr>
          <w:rFonts w:hint="eastAsia" w:ascii="宋体" w:hAnsi="宋体" w:eastAsia="宋体" w:cs="宋体"/>
          <w:b w:val="0"/>
          <w:bCs/>
          <w:color w:val="auto"/>
          <w:spacing w:val="-2"/>
          <w:sz w:val="21"/>
          <w:szCs w:val="21"/>
          <w:lang w:val="en-US" w:eastAsia="zh-CN"/>
        </w:rPr>
        <w:t>（4）可用水量分配方案辅助落实应用场景</w:t>
      </w:r>
    </w:p>
    <w:p w14:paraId="6E88275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1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color w:val="auto"/>
          <w:spacing w:val="-2"/>
          <w:sz w:val="21"/>
          <w:szCs w:val="21"/>
          <w:lang w:val="en-US" w:eastAsia="zh-CN"/>
        </w:rPr>
        <w:t>利用地表水、地下水、外调水、非常规水等各类水源取水口的实时计量统计数据，整合可用水量管控指标、取水许可批复水量、跨区调水量等信息，建立多源数据融合监测体系，设定预警阈值，与可用水量指标比对，及时触发预警；通过算法研判用水趋势，对可能超管控指标的情况及时发布预警，为管理部门采取干预措施提供数据支撑，保障可用水量管控要求落地。</w:t>
      </w:r>
    </w:p>
    <w:p w14:paraId="0692F3F2">
      <w:pPr>
        <w:widowControl w:val="0"/>
        <w:numPr>
          <w:ilvl w:val="0"/>
          <w:numId w:val="0"/>
        </w:numPr>
        <w:kinsoku/>
        <w:wordWrap/>
        <w:overflowPunct/>
        <w:topLinePunct w:val="0"/>
        <w:autoSpaceDE/>
        <w:autoSpaceDN/>
        <w:bidi w:val="0"/>
        <w:adjustRightInd w:val="0"/>
        <w:snapToGrid w:val="0"/>
        <w:spacing w:line="60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技术服务标准和要求</w:t>
      </w:r>
    </w:p>
    <w:p w14:paraId="549B23FD">
      <w:pPr>
        <w:keepNext w:val="0"/>
        <w:keepLines w:val="0"/>
        <w:pageBreakBefore w:val="0"/>
        <w:widowControl/>
        <w:kinsoku/>
        <w:wordWrap/>
        <w:overflowPunct/>
        <w:topLinePunct w:val="0"/>
        <w:autoSpaceDE/>
        <w:autoSpaceDN/>
        <w:bidi w:val="0"/>
        <w:adjustRightInd w:val="0"/>
        <w:snapToGrid/>
        <w:spacing w:before="120" w:after="120" w:line="360" w:lineRule="auto"/>
        <w:ind w:left="0" w:leftChars="0" w:firstLine="480" w:firstLineChars="0"/>
        <w:contextualSpacing/>
        <w:textAlignment w:val="auto"/>
        <w:outlineLvl w:val="9"/>
        <w:rPr>
          <w:ins w:id="104" w:author="luyang" w:date="2026-06-23T13:53:42Z"/>
          <w:rFonts w:hint="eastAsia" w:ascii="宋体" w:hAnsi="宋体" w:eastAsia="宋体" w:cs="宋体"/>
          <w:b w:val="0"/>
          <w:bCs/>
          <w:color w:val="auto"/>
          <w:spacing w:val="-2"/>
          <w:sz w:val="21"/>
          <w:szCs w:val="21"/>
          <w:lang w:val="en-US" w:eastAsia="zh-CN"/>
        </w:rPr>
        <w:pPrChange w:id="103" w:author="luyang" w:date="2026-06-23T13:12:32Z">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12" w:firstLineChars="200"/>
            <w:textAlignment w:val="auto"/>
            <w:outlineLvl w:val="9"/>
          </w:pPr>
        </w:pPrChange>
      </w:pPr>
      <w:r>
        <w:rPr>
          <w:rFonts w:hint="eastAsia" w:ascii="宋体" w:hAnsi="宋体" w:eastAsia="宋体" w:cs="宋体"/>
          <w:b w:val="0"/>
          <w:bCs/>
          <w:color w:val="auto"/>
          <w:spacing w:val="-2"/>
          <w:sz w:val="21"/>
          <w:szCs w:val="21"/>
          <w:lang w:val="en-US" w:eastAsia="zh-CN"/>
        </w:rPr>
        <w:t>技术服务人员按照《取水许可和水资源费征收管理条例》（国务院460号令）《取水许可管理办法》（水利部令第34号）《计划用水管理办法》（水资源〔2014〕360号）《湖南省取水许可和水资源费征收管理办法》（省政府令第166号）《湖南省取水许可管理实施细则》（湘水发〔2023〕19号）《湖南省取水许可管理工作指南（试行）》（湘水办函〔2024〕160号）</w:t>
      </w:r>
      <w:del w:id="105" w:author="luyang" w:date="2026-06-23T12:55:08Z">
        <w:r>
          <w:rPr>
            <w:rFonts w:hint="eastAsia" w:ascii="宋体" w:hAnsi="宋体" w:eastAsia="宋体" w:cs="宋体"/>
            <w:b w:val="0"/>
            <w:bCs/>
            <w:color w:val="auto"/>
            <w:spacing w:val="-2"/>
            <w:sz w:val="21"/>
            <w:szCs w:val="21"/>
            <w:lang w:val="en-US" w:eastAsia="zh-CN"/>
          </w:rPr>
          <w:delText>《用水节水统计调查制度》（国统制〔2025〕144号）《用水总量汇总技术方案》</w:delText>
        </w:r>
      </w:del>
      <w:r>
        <w:rPr>
          <w:rFonts w:hint="eastAsia" w:ascii="宋体" w:hAnsi="宋体" w:eastAsia="宋体" w:cs="宋体"/>
          <w:b w:val="0"/>
          <w:bCs/>
          <w:color w:val="auto"/>
          <w:spacing w:val="-2"/>
          <w:sz w:val="21"/>
          <w:szCs w:val="21"/>
          <w:lang w:val="en-US" w:eastAsia="zh-CN"/>
        </w:rPr>
        <w:t>等法规及规程规范要求，</w:t>
      </w:r>
      <w:ins w:id="106" w:author="luyang" w:date="2026-06-23T13:03:39Z">
        <w:r>
          <w:rPr>
            <w:rFonts w:hint="eastAsia" w:ascii="宋体" w:hAnsi="宋体" w:cs="宋体"/>
            <w:b w:val="0"/>
            <w:bCs/>
            <w:color w:val="auto"/>
            <w:spacing w:val="-2"/>
            <w:sz w:val="21"/>
            <w:szCs w:val="21"/>
            <w:lang w:val="en-US" w:eastAsia="zh-CN"/>
          </w:rPr>
          <w:t>建设</w:t>
        </w:r>
      </w:ins>
      <w:ins w:id="107" w:author="luyang" w:date="2026-06-23T12:59:59Z">
        <w:r>
          <w:rPr>
            <w:rFonts w:hint="eastAsia" w:ascii="宋体" w:hAnsi="宋体" w:cs="宋体"/>
            <w:b w:val="0"/>
            <w:bCs/>
            <w:color w:val="auto"/>
            <w:spacing w:val="-2"/>
            <w:sz w:val="21"/>
            <w:szCs w:val="21"/>
            <w:lang w:val="en-US" w:eastAsia="zh-CN"/>
          </w:rPr>
          <w:t>取水</w:t>
        </w:r>
      </w:ins>
      <w:ins w:id="108" w:author="luyang" w:date="2026-06-23T13:00:01Z">
        <w:r>
          <w:rPr>
            <w:rFonts w:hint="eastAsia" w:ascii="宋体" w:hAnsi="宋体" w:cs="宋体"/>
            <w:b w:val="0"/>
            <w:bCs/>
            <w:color w:val="auto"/>
            <w:spacing w:val="-2"/>
            <w:sz w:val="21"/>
            <w:szCs w:val="21"/>
            <w:lang w:val="en-US" w:eastAsia="zh-CN"/>
          </w:rPr>
          <w:t>计量数据</w:t>
        </w:r>
      </w:ins>
      <w:ins w:id="109" w:author="luyang" w:date="2026-06-23T13:00:03Z">
        <w:r>
          <w:rPr>
            <w:rFonts w:hint="eastAsia" w:ascii="宋体" w:hAnsi="宋体" w:cs="宋体"/>
            <w:b w:val="0"/>
            <w:bCs/>
            <w:color w:val="auto"/>
            <w:spacing w:val="-2"/>
            <w:sz w:val="21"/>
            <w:szCs w:val="21"/>
            <w:lang w:val="en-US" w:eastAsia="zh-CN"/>
          </w:rPr>
          <w:t>融合</w:t>
        </w:r>
      </w:ins>
      <w:ins w:id="110" w:author="luyang" w:date="2026-06-23T13:00:05Z">
        <w:r>
          <w:rPr>
            <w:rFonts w:hint="eastAsia" w:ascii="宋体" w:hAnsi="宋体" w:cs="宋体"/>
            <w:b w:val="0"/>
            <w:bCs/>
            <w:color w:val="auto"/>
            <w:spacing w:val="-2"/>
            <w:sz w:val="21"/>
            <w:szCs w:val="21"/>
            <w:lang w:val="en-US" w:eastAsia="zh-CN"/>
          </w:rPr>
          <w:t>应用</w:t>
        </w:r>
      </w:ins>
      <w:ins w:id="111" w:author="luyang" w:date="2026-06-23T13:03:43Z">
        <w:r>
          <w:rPr>
            <w:rFonts w:hint="eastAsia" w:ascii="宋体" w:hAnsi="宋体" w:cs="宋体"/>
            <w:b w:val="0"/>
            <w:bCs/>
            <w:color w:val="auto"/>
            <w:spacing w:val="-2"/>
            <w:sz w:val="21"/>
            <w:szCs w:val="21"/>
            <w:lang w:val="en-US" w:eastAsia="zh-CN"/>
          </w:rPr>
          <w:t>场景</w:t>
        </w:r>
      </w:ins>
      <w:del w:id="112" w:author="luyang" w:date="2026-06-23T09:02:36Z">
        <w:r>
          <w:rPr>
            <w:rFonts w:hint="eastAsia" w:ascii="宋体" w:hAnsi="宋体" w:eastAsia="宋体" w:cs="宋体"/>
            <w:b w:val="0"/>
            <w:bCs/>
            <w:color w:val="auto"/>
            <w:spacing w:val="-2"/>
            <w:sz w:val="21"/>
            <w:szCs w:val="21"/>
            <w:lang w:val="en-US" w:eastAsia="zh-CN"/>
          </w:rPr>
          <w:delText>开展取水口现状调查分析及取用水量核算技术方法优化等工作</w:delText>
        </w:r>
      </w:del>
      <w:r>
        <w:rPr>
          <w:rFonts w:hint="eastAsia" w:ascii="宋体" w:hAnsi="宋体" w:eastAsia="宋体" w:cs="宋体"/>
          <w:b w:val="0"/>
          <w:bCs/>
          <w:color w:val="auto"/>
          <w:spacing w:val="-2"/>
          <w:sz w:val="21"/>
          <w:szCs w:val="21"/>
          <w:lang w:val="en-US" w:eastAsia="zh-CN"/>
        </w:rPr>
        <w:t>，推进我省强化水资源刚性约束，有效促进水资源的有序开发、高效配置和合理利用，推动全省水利高质量发展。</w:t>
      </w:r>
    </w:p>
    <w:p w14:paraId="7C1B4F75">
      <w:pPr>
        <w:keepNext w:val="0"/>
        <w:keepLines w:val="0"/>
        <w:pageBreakBefore w:val="0"/>
        <w:widowControl/>
        <w:kinsoku/>
        <w:wordWrap/>
        <w:overflowPunct/>
        <w:topLinePunct w:val="0"/>
        <w:autoSpaceDE/>
        <w:autoSpaceDN/>
        <w:bidi w:val="0"/>
        <w:adjustRightInd w:val="0"/>
        <w:snapToGrid/>
        <w:spacing w:before="120" w:after="120" w:line="360" w:lineRule="auto"/>
        <w:ind w:left="0" w:leftChars="0" w:firstLine="480" w:firstLineChars="0"/>
        <w:contextualSpacing/>
        <w:textAlignment w:val="auto"/>
        <w:outlineLvl w:val="9"/>
        <w:rPr>
          <w:ins w:id="114" w:author="luyang" w:date="2026-06-23T13:54:32Z"/>
          <w:rFonts w:hint="eastAsia" w:ascii="宋体" w:hAnsi="宋体" w:eastAsia="宋体" w:cs="宋体"/>
          <w:color w:val="auto"/>
          <w:kern w:val="1"/>
          <w:sz w:val="21"/>
          <w:szCs w:val="21"/>
          <w:highlight w:val="none"/>
          <w:lang w:eastAsia="zh-CN"/>
        </w:rPr>
        <w:pPrChange w:id="113" w:author="luyang" w:date="2026-06-23T13:12:32Z">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12" w:firstLineChars="200"/>
            <w:textAlignment w:val="auto"/>
            <w:outlineLvl w:val="9"/>
          </w:pPr>
        </w:pPrChange>
      </w:pPr>
      <w:ins w:id="115" w:author="luyang" w:date="2026-06-23T13:09:01Z">
        <w:r>
          <w:rPr>
            <w:rFonts w:hint="eastAsia" w:ascii="宋体" w:hAnsi="宋体" w:eastAsia="宋体" w:cs="宋体"/>
            <w:color w:val="auto"/>
            <w:kern w:val="2"/>
            <w:sz w:val="21"/>
            <w:szCs w:val="21"/>
            <w:highlight w:val="none"/>
            <w:lang w:val="en-US" w:eastAsia="zh-CN" w:bidi="ar-SA"/>
          </w:rPr>
          <w:t>投标人在技术服务期限内须实行项目经理负责制，并提供不少于</w:t>
        </w:r>
      </w:ins>
      <w:ins w:id="116" w:author="luyang" w:date="2026-06-23T13:09:14Z">
        <w:r>
          <w:rPr>
            <w:rFonts w:hint="eastAsia" w:ascii="宋体" w:hAnsi="宋体" w:eastAsia="宋体" w:cs="宋体"/>
            <w:color w:val="auto"/>
            <w:kern w:val="2"/>
            <w:sz w:val="21"/>
            <w:szCs w:val="21"/>
            <w:highlight w:val="none"/>
            <w:lang w:val="en-US" w:eastAsia="zh-CN" w:bidi="ar-SA"/>
          </w:rPr>
          <w:t>9</w:t>
        </w:r>
      </w:ins>
      <w:ins w:id="117" w:author="luyang" w:date="2026-06-23T13:09:01Z">
        <w:r>
          <w:rPr>
            <w:rFonts w:hint="eastAsia" w:ascii="宋体" w:hAnsi="宋体" w:eastAsia="宋体" w:cs="宋体"/>
            <w:color w:val="auto"/>
            <w:kern w:val="2"/>
            <w:sz w:val="21"/>
            <w:szCs w:val="21"/>
            <w:highlight w:val="none"/>
            <w:lang w:val="en-US" w:eastAsia="zh-CN" w:bidi="ar-SA"/>
          </w:rPr>
          <w:t>人的技术团队，切实履行</w:t>
        </w:r>
      </w:ins>
      <w:ins w:id="118" w:author="luyang" w:date="2026-06-23T13:11:27Z">
        <w:r>
          <w:rPr>
            <w:rFonts w:hint="eastAsia" w:ascii="宋体" w:hAnsi="宋体" w:eastAsia="宋体" w:cs="宋体"/>
            <w:color w:val="auto"/>
            <w:kern w:val="2"/>
            <w:sz w:val="21"/>
            <w:szCs w:val="21"/>
            <w:highlight w:val="none"/>
            <w:lang w:val="en-US" w:eastAsia="zh-CN" w:bidi="ar-SA"/>
          </w:rPr>
          <w:t>取水</w:t>
        </w:r>
      </w:ins>
      <w:ins w:id="119" w:author="luyang" w:date="2026-06-23T13:11:29Z">
        <w:r>
          <w:rPr>
            <w:rFonts w:hint="eastAsia" w:ascii="宋体" w:hAnsi="宋体" w:eastAsia="宋体" w:cs="宋体"/>
            <w:color w:val="auto"/>
            <w:kern w:val="2"/>
            <w:sz w:val="21"/>
            <w:szCs w:val="21"/>
            <w:highlight w:val="none"/>
            <w:lang w:val="en-US" w:eastAsia="zh-CN" w:bidi="ar-SA"/>
          </w:rPr>
          <w:t>计量数据</w:t>
        </w:r>
      </w:ins>
      <w:ins w:id="120" w:author="luyang" w:date="2026-06-23T13:11:33Z">
        <w:r>
          <w:rPr>
            <w:rFonts w:hint="eastAsia" w:ascii="宋体" w:hAnsi="宋体" w:eastAsia="宋体" w:cs="宋体"/>
            <w:color w:val="auto"/>
            <w:kern w:val="2"/>
            <w:sz w:val="21"/>
            <w:szCs w:val="21"/>
            <w:highlight w:val="none"/>
            <w:lang w:val="en-US" w:eastAsia="zh-CN" w:bidi="ar-SA"/>
          </w:rPr>
          <w:t>融合</w:t>
        </w:r>
      </w:ins>
      <w:ins w:id="121" w:author="luyang" w:date="2026-06-23T13:11:35Z">
        <w:r>
          <w:rPr>
            <w:rFonts w:hint="eastAsia" w:ascii="宋体" w:hAnsi="宋体" w:eastAsia="宋体" w:cs="宋体"/>
            <w:color w:val="auto"/>
            <w:kern w:val="2"/>
            <w:sz w:val="21"/>
            <w:szCs w:val="21"/>
            <w:highlight w:val="none"/>
            <w:lang w:val="en-US" w:eastAsia="zh-CN" w:bidi="ar-SA"/>
          </w:rPr>
          <w:t>应用</w:t>
        </w:r>
      </w:ins>
      <w:ins w:id="122" w:author="luyang" w:date="2026-06-23T13:11:39Z">
        <w:r>
          <w:rPr>
            <w:rFonts w:hint="eastAsia" w:ascii="宋体" w:hAnsi="宋体" w:eastAsia="宋体" w:cs="宋体"/>
            <w:color w:val="auto"/>
            <w:kern w:val="2"/>
            <w:sz w:val="21"/>
            <w:szCs w:val="21"/>
            <w:highlight w:val="none"/>
            <w:lang w:val="en-US" w:eastAsia="zh-CN" w:bidi="ar-SA"/>
          </w:rPr>
          <w:t>场景</w:t>
        </w:r>
      </w:ins>
      <w:ins w:id="123" w:author="luyang" w:date="2026-06-23T13:09:01Z">
        <w:r>
          <w:rPr>
            <w:rFonts w:hint="eastAsia" w:ascii="宋体" w:hAnsi="宋体" w:eastAsia="宋体" w:cs="宋体"/>
            <w:color w:val="auto"/>
            <w:kern w:val="2"/>
            <w:sz w:val="21"/>
            <w:szCs w:val="21"/>
            <w:highlight w:val="none"/>
            <w:lang w:val="en-US" w:eastAsia="zh-CN" w:bidi="ar-SA"/>
          </w:rPr>
          <w:t>建设服务，并接受采购人的全程监督与指正，在项目实施每个阶段如质、如量、如期的完成任务</w:t>
        </w:r>
      </w:ins>
      <w:ins w:id="124" w:author="luyang" w:date="2026-06-23T13:54:14Z">
        <w:r>
          <w:rPr>
            <w:rFonts w:hint="eastAsia" w:ascii="宋体" w:hAnsi="宋体" w:eastAsia="宋体" w:cs="宋体"/>
            <w:color w:val="auto"/>
            <w:kern w:val="2"/>
            <w:sz w:val="21"/>
            <w:szCs w:val="21"/>
            <w:highlight w:val="none"/>
            <w:lang w:val="en-US" w:eastAsia="zh-CN" w:bidi="ar-SA"/>
          </w:rPr>
          <w:t>，</w:t>
        </w:r>
      </w:ins>
      <w:ins w:id="125" w:author="luyang" w:date="2026-06-23T13:54:16Z">
        <w:r>
          <w:rPr>
            <w:rFonts w:hint="eastAsia" w:ascii="宋体" w:hAnsi="宋体" w:eastAsia="宋体" w:cs="宋体"/>
            <w:color w:val="auto"/>
            <w:kern w:val="2"/>
            <w:sz w:val="21"/>
            <w:szCs w:val="21"/>
            <w:highlight w:val="none"/>
            <w:lang w:val="en-US" w:eastAsia="zh-CN" w:bidi="ar-SA"/>
          </w:rPr>
          <w:t>并</w:t>
        </w:r>
      </w:ins>
      <w:ins w:id="126" w:author="luyang" w:date="2026-06-23T13:54:08Z">
        <w:r>
          <w:rPr>
            <w:rFonts w:hint="eastAsia" w:ascii="宋体" w:hAnsi="宋体" w:eastAsia="宋体" w:cs="宋体"/>
            <w:color w:val="auto"/>
            <w:sz w:val="21"/>
            <w:szCs w:val="21"/>
            <w:highlight w:val="none"/>
            <w:lang w:eastAsia="zh-CN"/>
          </w:rPr>
          <w:t>按要求</w:t>
        </w:r>
      </w:ins>
      <w:ins w:id="127" w:author="luyang" w:date="2026-06-23T13:54:08Z">
        <w:r>
          <w:rPr>
            <w:rFonts w:hint="eastAsia" w:ascii="宋体" w:hAnsi="宋体" w:eastAsia="宋体" w:cs="宋体"/>
            <w:color w:val="auto"/>
            <w:kern w:val="1"/>
            <w:sz w:val="21"/>
            <w:szCs w:val="21"/>
            <w:highlight w:val="none"/>
          </w:rPr>
          <w:t>交付</w:t>
        </w:r>
      </w:ins>
      <w:ins w:id="128" w:author="luyang" w:date="2026-06-23T13:54:08Z">
        <w:r>
          <w:rPr>
            <w:rFonts w:hint="eastAsia" w:ascii="宋体" w:hAnsi="宋体" w:eastAsia="宋体" w:cs="宋体"/>
            <w:color w:val="auto"/>
            <w:kern w:val="1"/>
            <w:sz w:val="21"/>
            <w:szCs w:val="21"/>
            <w:highlight w:val="none"/>
            <w:lang w:eastAsia="zh-CN"/>
          </w:rPr>
          <w:t>相关技术文档及取水计量数据融合应用建设成果。</w:t>
        </w:r>
      </w:ins>
    </w:p>
    <w:p w14:paraId="0F866142">
      <w:pPr>
        <w:keepNext w:val="0"/>
        <w:keepLines w:val="0"/>
        <w:pageBreakBefore w:val="0"/>
        <w:widowControl/>
        <w:kinsoku/>
        <w:wordWrap/>
        <w:overflowPunct/>
        <w:topLinePunct w:val="0"/>
        <w:autoSpaceDE/>
        <w:autoSpaceDN/>
        <w:bidi w:val="0"/>
        <w:adjustRightInd w:val="0"/>
        <w:snapToGrid/>
        <w:spacing w:before="120" w:after="120" w:line="360" w:lineRule="auto"/>
        <w:ind w:left="0" w:leftChars="0" w:firstLine="480" w:firstLineChars="0"/>
        <w:contextualSpacing/>
        <w:textAlignment w:val="auto"/>
        <w:outlineLvl w:val="9"/>
        <w:rPr>
          <w:rFonts w:hint="eastAsia" w:ascii="宋体" w:hAnsi="宋体" w:eastAsia="宋体" w:cs="宋体"/>
          <w:b w:val="0"/>
          <w:bCs/>
          <w:color w:val="auto"/>
          <w:spacing w:val="-2"/>
          <w:sz w:val="21"/>
          <w:szCs w:val="21"/>
          <w:lang w:val="en-US" w:eastAsia="zh-CN"/>
        </w:rPr>
        <w:pPrChange w:id="129" w:author="luyang" w:date="2026-06-23T13:12:32Z">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12" w:firstLineChars="200"/>
            <w:textAlignment w:val="auto"/>
            <w:outlineLvl w:val="9"/>
          </w:pPr>
        </w:pPrChange>
      </w:pPr>
      <w:ins w:id="130" w:author="luyang" w:date="2026-06-23T13:12:27Z">
        <w:r>
          <w:rPr>
            <w:rFonts w:hint="eastAsia" w:ascii="宋体" w:hAnsi="宋体" w:cs="宋体"/>
            <w:color w:val="auto"/>
            <w:kern w:val="1"/>
            <w:sz w:val="21"/>
            <w:szCs w:val="21"/>
            <w:highlight w:val="none"/>
            <w:lang w:val="en-US" w:eastAsia="zh-CN"/>
          </w:rPr>
          <w:t>质保期一年，</w:t>
        </w:r>
      </w:ins>
      <w:ins w:id="131" w:author="luyang" w:date="2026-06-23T13:12:27Z">
        <w:r>
          <w:rPr>
            <w:rFonts w:hint="eastAsia" w:ascii="宋体" w:hAnsi="宋体" w:eastAsia="宋体" w:cs="宋体"/>
            <w:color w:val="auto"/>
            <w:sz w:val="21"/>
            <w:szCs w:val="21"/>
            <w:highlight w:val="none"/>
          </w:rPr>
          <w:t>质保期内</w:t>
        </w:r>
      </w:ins>
      <w:ins w:id="132" w:author="luyang" w:date="2026-06-23T13:12:27Z">
        <w:r>
          <w:rPr>
            <w:rFonts w:hint="eastAsia" w:ascii="宋体" w:hAnsi="宋体" w:eastAsia="宋体" w:cs="宋体"/>
            <w:color w:val="auto"/>
            <w:sz w:val="21"/>
            <w:szCs w:val="21"/>
            <w:highlight w:val="none"/>
            <w:lang w:val="en-US" w:eastAsia="zh-CN"/>
          </w:rPr>
          <w:t>须提供至少1人的驻场服务，</w:t>
        </w:r>
      </w:ins>
      <w:ins w:id="133" w:author="luyang" w:date="2026-06-23T13:46:03Z">
        <w:r>
          <w:rPr>
            <w:rFonts w:hint="eastAsia" w:ascii="宋体" w:hAnsi="宋体" w:eastAsia="宋体" w:cs="宋体"/>
            <w:color w:val="auto"/>
            <w:sz w:val="21"/>
            <w:szCs w:val="21"/>
            <w:highlight w:val="none"/>
            <w:lang w:val="en-US" w:eastAsia="zh-CN"/>
          </w:rPr>
          <w:t>及时</w:t>
        </w:r>
      </w:ins>
      <w:ins w:id="134" w:author="luyang" w:date="2026-06-23T13:46:06Z">
        <w:r>
          <w:rPr>
            <w:rFonts w:hint="eastAsia" w:ascii="宋体" w:hAnsi="宋体" w:eastAsia="宋体" w:cs="宋体"/>
            <w:color w:val="auto"/>
            <w:sz w:val="21"/>
            <w:szCs w:val="21"/>
            <w:highlight w:val="none"/>
            <w:lang w:val="en-US" w:eastAsia="zh-CN"/>
          </w:rPr>
          <w:t>响应，</w:t>
        </w:r>
      </w:ins>
      <w:ins w:id="135" w:author="luyang" w:date="2026-06-23T13:12:27Z">
        <w:r>
          <w:rPr>
            <w:rFonts w:hint="eastAsia" w:ascii="宋体" w:hAnsi="宋体" w:eastAsia="宋体" w:cs="宋体"/>
            <w:color w:val="auto"/>
            <w:sz w:val="21"/>
            <w:szCs w:val="21"/>
            <w:highlight w:val="none"/>
          </w:rPr>
          <w:t>提供包括数据服务、问题修复</w:t>
        </w:r>
      </w:ins>
      <w:ins w:id="136" w:author="luyang" w:date="2026-06-23T13:27:06Z">
        <w:r>
          <w:rPr>
            <w:rFonts w:hint="eastAsia" w:ascii="宋体" w:hAnsi="宋体" w:eastAsia="宋体" w:cs="宋体"/>
            <w:color w:val="auto"/>
            <w:sz w:val="21"/>
            <w:szCs w:val="21"/>
            <w:highlight w:val="none"/>
          </w:rPr>
          <w:t>、技术支持</w:t>
        </w:r>
      </w:ins>
      <w:ins w:id="137" w:author="luyang" w:date="2026-06-23T13:12:27Z">
        <w:r>
          <w:rPr>
            <w:rFonts w:hint="eastAsia" w:ascii="宋体" w:hAnsi="宋体" w:eastAsia="宋体" w:cs="宋体"/>
            <w:color w:val="auto"/>
            <w:sz w:val="21"/>
            <w:szCs w:val="21"/>
            <w:highlight w:val="none"/>
          </w:rPr>
          <w:t>等</w:t>
        </w:r>
      </w:ins>
      <w:ins w:id="138" w:author="luyang" w:date="2026-06-23T13:12:27Z">
        <w:r>
          <w:rPr>
            <w:rFonts w:hint="eastAsia" w:ascii="宋体" w:hAnsi="宋体" w:eastAsia="宋体" w:cs="宋体"/>
            <w:color w:val="auto"/>
            <w:sz w:val="21"/>
            <w:szCs w:val="21"/>
            <w:highlight w:val="none"/>
            <w:lang w:val="en-US" w:eastAsia="zh-CN"/>
          </w:rPr>
          <w:t>在内的</w:t>
        </w:r>
      </w:ins>
      <w:ins w:id="139" w:author="luyang" w:date="2026-06-23T13:46:29Z">
        <w:r>
          <w:rPr>
            <w:rFonts w:hint="eastAsia" w:ascii="宋体" w:hAnsi="宋体" w:eastAsia="宋体" w:cs="宋体"/>
            <w:color w:val="auto"/>
            <w:sz w:val="21"/>
            <w:szCs w:val="21"/>
            <w:highlight w:val="none"/>
            <w:lang w:val="en-US" w:eastAsia="zh-CN"/>
          </w:rPr>
          <w:t>质保</w:t>
        </w:r>
      </w:ins>
      <w:ins w:id="140" w:author="luyang" w:date="2026-06-23T13:12:27Z">
        <w:r>
          <w:rPr>
            <w:rFonts w:hint="eastAsia" w:ascii="宋体" w:hAnsi="宋体" w:eastAsia="宋体" w:cs="宋体"/>
            <w:color w:val="auto"/>
            <w:sz w:val="21"/>
            <w:szCs w:val="21"/>
            <w:highlight w:val="none"/>
          </w:rPr>
          <w:t>服务。</w:t>
        </w:r>
      </w:ins>
    </w:p>
    <w:p w14:paraId="1AF1F43A">
      <w:pPr>
        <w:widowControl w:val="0"/>
        <w:kinsoku/>
        <w:wordWrap/>
        <w:overflowPunct/>
        <w:topLinePunct w:val="0"/>
        <w:autoSpaceDE/>
        <w:autoSpaceDN/>
        <w:bidi w:val="0"/>
        <w:adjustRightInd w:val="0"/>
        <w:snapToGrid w:val="0"/>
        <w:spacing w:line="600" w:lineRule="exact"/>
        <w:ind w:left="0" w:leftChars="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、工期及验收</w:t>
      </w:r>
    </w:p>
    <w:p w14:paraId="76700B9F">
      <w:pPr>
        <w:widowControl w:val="0"/>
        <w:kinsoku/>
        <w:wordWrap/>
        <w:overflowPunct/>
        <w:topLinePunct w:val="0"/>
        <w:autoSpaceDE/>
        <w:autoSpaceDN/>
        <w:bidi w:val="0"/>
        <w:adjustRightInd w:val="0"/>
        <w:snapToGrid w:val="0"/>
        <w:spacing w:line="600" w:lineRule="exact"/>
        <w:ind w:left="0" w:leftChars="0" w:firstLine="420" w:firstLineChars="200"/>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rPr>
        <w:t>服务期限：</w:t>
      </w:r>
      <w:r>
        <w:rPr>
          <w:rFonts w:hint="eastAsia" w:ascii="宋体" w:hAnsi="宋体" w:eastAsia="宋体" w:cs="宋体"/>
          <w:sz w:val="21"/>
          <w:szCs w:val="21"/>
        </w:rPr>
        <w:t>从合同生效之日起</w:t>
      </w:r>
      <w:r>
        <w:rPr>
          <w:rFonts w:hint="eastAsia" w:ascii="宋体" w:hAnsi="宋体" w:eastAsia="宋体" w:cs="宋体"/>
          <w:sz w:val="21"/>
          <w:szCs w:val="21"/>
          <w:lang w:val="en-US" w:eastAsia="zh-CN"/>
        </w:rPr>
        <w:t>至2026年</w:t>
      </w:r>
      <w:r>
        <w:rPr>
          <w:rFonts w:hint="eastAsia" w:ascii="宋体" w:hAnsi="宋体" w:eastAsia="宋体" w:cs="宋体"/>
          <w:sz w:val="21"/>
          <w:szCs w:val="21"/>
          <w:lang w:val="en" w:eastAsia="zh-CN"/>
        </w:rPr>
        <w:t>12</w:t>
      </w:r>
      <w:r>
        <w:rPr>
          <w:rFonts w:hint="eastAsia" w:ascii="宋体" w:hAnsi="宋体" w:eastAsia="宋体" w:cs="宋体"/>
          <w:sz w:val="21"/>
          <w:szCs w:val="21"/>
          <w:lang w:val="en-US" w:eastAsia="zh-CN"/>
        </w:rPr>
        <w:t>月</w:t>
      </w:r>
      <w:r>
        <w:rPr>
          <w:rFonts w:hint="eastAsia" w:ascii="宋体" w:hAnsi="宋体" w:eastAsia="宋体" w:cs="宋体"/>
          <w:sz w:val="21"/>
          <w:szCs w:val="21"/>
          <w:lang w:val="en" w:eastAsia="zh-CN"/>
        </w:rPr>
        <w:t>20日</w:t>
      </w:r>
      <w:r>
        <w:rPr>
          <w:rFonts w:hint="eastAsia" w:ascii="宋体" w:hAnsi="宋体" w:eastAsia="宋体" w:cs="宋体"/>
          <w:sz w:val="21"/>
          <w:szCs w:val="21"/>
          <w:lang w:val="en-US" w:eastAsia="zh-CN"/>
        </w:rPr>
        <w:t>前完成全部工作</w:t>
      </w:r>
      <w:r>
        <w:rPr>
          <w:rFonts w:hint="eastAsia" w:ascii="宋体" w:hAnsi="宋体" w:eastAsia="宋体" w:cs="宋体"/>
          <w:color w:val="auto"/>
          <w:sz w:val="21"/>
          <w:szCs w:val="21"/>
          <w:highlight w:val="none"/>
        </w:rPr>
        <w:t>。</w:t>
      </w:r>
    </w:p>
    <w:p w14:paraId="6468CEF0">
      <w:pPr>
        <w:widowControl w:val="0"/>
        <w:kinsoku/>
        <w:wordWrap/>
        <w:overflowPunct/>
        <w:topLinePunct w:val="0"/>
        <w:autoSpaceDE/>
        <w:autoSpaceDN/>
        <w:bidi w:val="0"/>
        <w:adjustRightInd w:val="0"/>
        <w:snapToGrid w:val="0"/>
        <w:spacing w:line="6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验收条件：</w:t>
      </w:r>
      <w:r>
        <w:rPr>
          <w:rFonts w:hint="eastAsia" w:ascii="宋体" w:hAnsi="宋体" w:eastAsia="宋体" w:cs="宋体"/>
          <w:color w:val="auto"/>
          <w:sz w:val="21"/>
          <w:szCs w:val="21"/>
          <w:highlight w:val="none"/>
          <w:lang w:eastAsia="zh-CN"/>
        </w:rPr>
        <w:t>供应商完成相关取水计量数据融合应用场景建设</w:t>
      </w:r>
      <w:r>
        <w:rPr>
          <w:rFonts w:hint="eastAsia" w:ascii="宋体" w:hAnsi="宋体" w:eastAsia="宋体" w:cs="宋体"/>
          <w:color w:val="auto"/>
          <w:sz w:val="21"/>
          <w:szCs w:val="21"/>
          <w:highlight w:val="none"/>
        </w:rPr>
        <w:t>。</w:t>
      </w:r>
    </w:p>
    <w:p w14:paraId="0CDFE5CC">
      <w:pPr>
        <w:widowControl w:val="0"/>
        <w:kinsoku/>
        <w:wordWrap/>
        <w:overflowPunct/>
        <w:topLinePunct w:val="0"/>
        <w:autoSpaceDE/>
        <w:autoSpaceDN/>
        <w:bidi w:val="0"/>
        <w:adjustRightInd w:val="0"/>
        <w:snapToGrid w:val="0"/>
        <w:spacing w:line="600" w:lineRule="exact"/>
        <w:ind w:left="0" w:leftChars="0"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七、其他要说明情况</w:t>
      </w:r>
    </w:p>
    <w:p w14:paraId="25573D79">
      <w:pPr>
        <w:widowControl w:val="0"/>
        <w:kinsoku/>
        <w:wordWrap/>
        <w:overflowPunct/>
        <w:topLinePunct w:val="0"/>
        <w:autoSpaceDE/>
        <w:autoSpaceDN/>
        <w:bidi w:val="0"/>
        <w:spacing w:line="600" w:lineRule="exact"/>
        <w:ind w:left="0" w:leftChars="0" w:firstLine="422" w:firstLineChars="2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如一旦中标必须严格按采购文件各项要求执行，本项目采用费用包干方式，在项目实施中出现任何遗漏，均由成交供应商免费提供，采购人不再支付任何超出费用，如不能履行视为放弃中标，并承担相应责任。</w:t>
      </w:r>
    </w:p>
    <w:p w14:paraId="70192457">
      <w:pPr>
        <w:pStyle w:val="20"/>
        <w:widowControl w:val="0"/>
        <w:kinsoku/>
        <w:wordWrap/>
        <w:overflowPunct/>
        <w:topLinePunct w:val="0"/>
        <w:autoSpaceDE/>
        <w:autoSpaceDN/>
        <w:bidi w:val="0"/>
        <w:spacing w:line="600" w:lineRule="exact"/>
        <w:ind w:left="0" w:leftChars="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color w:val="000000"/>
          <w:sz w:val="21"/>
          <w:szCs w:val="21"/>
        </w:rPr>
        <w:t>注：对于上述项目要求，供应商应在响应文件中进行回应，做出承诺及说明。</w:t>
      </w:r>
    </w:p>
    <w:p w14:paraId="64C6C02F">
      <w:pPr>
        <w:rPr>
          <w:rFonts w:hint="eastAsia" w:ascii="宋体" w:hAnsi="宋体"/>
          <w:color w:val="auto"/>
          <w:szCs w:val="21"/>
        </w:rPr>
      </w:pPr>
      <w:r>
        <w:rPr>
          <w:rFonts w:hint="eastAsia" w:ascii="宋体" w:hAnsi="宋体"/>
          <w:color w:val="auto"/>
          <w:szCs w:val="21"/>
        </w:rPr>
        <w:br w:type="page"/>
      </w:r>
    </w:p>
    <w:p w14:paraId="770D4538">
      <w:pPr>
        <w:pStyle w:val="27"/>
        <w:rPr>
          <w:rFonts w:hint="eastAsia"/>
        </w:rPr>
      </w:pPr>
    </w:p>
    <w:p w14:paraId="295040FD">
      <w:pPr>
        <w:pStyle w:val="7"/>
        <w:kinsoku/>
        <w:wordWrap/>
        <w:overflow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章 政府采购合同格式</w:t>
      </w:r>
    </w:p>
    <w:p w14:paraId="40EAA59C">
      <w:pPr>
        <w:kinsoku/>
        <w:wordWrap/>
        <w:overflowPunct/>
        <w:bidi w:val="0"/>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一、政府采购合同协议书</w:t>
      </w:r>
    </w:p>
    <w:p w14:paraId="3DE1936D">
      <w:pPr>
        <w:pStyle w:val="16"/>
        <w:kinsoku/>
        <w:wordWrap/>
        <w:overflowPunct/>
        <w:bidi w:val="0"/>
        <w:spacing w:line="500" w:lineRule="exact"/>
        <w:rPr>
          <w:rFonts w:hint="eastAsia" w:ascii="宋体" w:hAnsi="宋体" w:eastAsia="宋体" w:cs="宋体"/>
          <w:color w:val="auto"/>
          <w:highlight w:val="none"/>
        </w:rPr>
      </w:pPr>
    </w:p>
    <w:p w14:paraId="6CF4510A">
      <w:pPr>
        <w:kinsoku/>
        <w:wordWrap/>
        <w:overflowPunct/>
        <w:bidi w:val="0"/>
        <w:spacing w:line="500" w:lineRule="exact"/>
        <w:ind w:firstLine="4200" w:firstLineChars="2000"/>
        <w:rPr>
          <w:rFonts w:hint="eastAsia" w:ascii="宋体" w:hAnsi="宋体" w:eastAsia="宋体" w:cs="宋体"/>
          <w:b/>
          <w:color w:val="auto"/>
          <w:highlight w:val="none"/>
        </w:rPr>
      </w:pPr>
      <w:r>
        <w:rPr>
          <w:rFonts w:hint="eastAsia" w:ascii="宋体" w:hAnsi="宋体" w:eastAsia="宋体" w:cs="宋体"/>
          <w:color w:val="auto"/>
          <w:highlight w:val="none"/>
        </w:rPr>
        <w:t xml:space="preserve">               采购合同编号：</w:t>
      </w:r>
      <w:r>
        <w:rPr>
          <w:rFonts w:hint="eastAsia" w:ascii="宋体" w:hAnsi="宋体" w:eastAsia="宋体" w:cs="宋体"/>
          <w:color w:val="auto"/>
          <w:highlight w:val="none"/>
          <w:u w:val="single"/>
        </w:rPr>
        <w:t xml:space="preserve">                 </w:t>
      </w:r>
    </w:p>
    <w:p w14:paraId="3FB7D661">
      <w:pPr>
        <w:kinsoku/>
        <w:wordWrap/>
        <w:overflowPunct/>
        <w:bidi w:val="0"/>
        <w:adjustRightInd w:val="0"/>
        <w:snapToGrid w:val="0"/>
        <w:spacing w:before="156" w:beforeLines="50" w:line="500" w:lineRule="exact"/>
        <w:jc w:val="center"/>
        <w:rPr>
          <w:rFonts w:hint="eastAsia" w:ascii="宋体" w:hAnsi="宋体" w:eastAsia="宋体" w:cs="宋体"/>
          <w:b/>
          <w:color w:val="auto"/>
          <w:highlight w:val="none"/>
        </w:rPr>
      </w:pPr>
    </w:p>
    <w:p w14:paraId="6F7CC810">
      <w:pPr>
        <w:kinsoku/>
        <w:wordWrap/>
        <w:overflowPunct/>
        <w:bidi w:val="0"/>
        <w:adjustRightInd w:val="0"/>
        <w:snapToGrid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采购人（全称）：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（甲方）</w:t>
      </w:r>
    </w:p>
    <w:p w14:paraId="16556E91">
      <w:pPr>
        <w:kinsoku/>
        <w:wordWrap/>
        <w:overflowPunct/>
        <w:bidi w:val="0"/>
        <w:adjustRightInd w:val="0"/>
        <w:snapToGrid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供应商（全称）：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（乙方）</w:t>
      </w:r>
    </w:p>
    <w:p w14:paraId="7C7CF8A4">
      <w:pPr>
        <w:pStyle w:val="3"/>
        <w:kinsoku/>
        <w:wordWrap/>
        <w:overflowPunct/>
        <w:bidi w:val="0"/>
        <w:adjustRightInd w:val="0"/>
        <w:snapToGrid w:val="0"/>
        <w:spacing w:after="0" w:line="500" w:lineRule="exact"/>
        <w:rPr>
          <w:rFonts w:hint="eastAsia" w:ascii="宋体" w:hAnsi="宋体" w:eastAsia="宋体" w:cs="宋体"/>
          <w:color w:val="auto"/>
          <w:highlight w:val="none"/>
        </w:rPr>
      </w:pPr>
    </w:p>
    <w:p w14:paraId="14DBE4EE">
      <w:pPr>
        <w:pStyle w:val="3"/>
        <w:kinsoku/>
        <w:wordWrap/>
        <w:overflowPunct/>
        <w:bidi w:val="0"/>
        <w:adjustRightInd w:val="0"/>
        <w:snapToGrid w:val="0"/>
        <w:spacing w:after="0" w:line="500" w:lineRule="exact"/>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为了保护甲、乙双方合法权益，根据《中华人民共和国民法典》《中华人民共和国政府采购法》及其他有关法律法规、规章，双方签订本合同协议书。</w:t>
      </w:r>
    </w:p>
    <w:p w14:paraId="2F200CA7">
      <w:pPr>
        <w:kinsoku/>
        <w:wordWrap/>
        <w:overflowPunct/>
        <w:bidi w:val="0"/>
        <w:adjustRightInd w:val="0"/>
        <w:snapToGrid w:val="0"/>
        <w:spacing w:line="5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1.项目信息</w:t>
      </w:r>
    </w:p>
    <w:p w14:paraId="388EB1BA">
      <w:pPr>
        <w:pStyle w:val="3"/>
        <w:kinsoku/>
        <w:wordWrap/>
        <w:overflowPunct/>
        <w:bidi w:val="0"/>
        <w:adjustRightInd w:val="0"/>
        <w:snapToGrid w:val="0"/>
        <w:spacing w:after="0" w:line="500" w:lineRule="exact"/>
        <w:rPr>
          <w:rFonts w:hint="eastAsia" w:ascii="宋体" w:hAnsi="宋体" w:eastAsia="宋体" w:cs="宋体"/>
          <w:color w:val="auto"/>
          <w:highlight w:val="none"/>
        </w:rPr>
      </w:pPr>
      <w:r>
        <w:rPr>
          <w:rFonts w:hint="eastAsia" w:ascii="宋体" w:hAnsi="宋体" w:eastAsia="宋体" w:cs="宋体"/>
          <w:color w:val="auto"/>
          <w:highlight w:val="none"/>
        </w:rPr>
        <w:t>（1）采购项目名称：</w:t>
      </w:r>
      <w:r>
        <w:rPr>
          <w:rFonts w:hint="eastAsia" w:ascii="宋体" w:hAnsi="宋体" w:eastAsia="宋体" w:cs="宋体"/>
          <w:color w:val="auto"/>
          <w:highlight w:val="none"/>
          <w:u w:val="single"/>
        </w:rPr>
        <w:t xml:space="preserve">                                          </w:t>
      </w:r>
    </w:p>
    <w:p w14:paraId="54CFFC3F">
      <w:pPr>
        <w:pStyle w:val="3"/>
        <w:kinsoku/>
        <w:wordWrap/>
        <w:overflowPunct/>
        <w:bidi w:val="0"/>
        <w:adjustRightInd w:val="0"/>
        <w:snapToGrid w:val="0"/>
        <w:spacing w:after="0" w:line="500" w:lineRule="exact"/>
        <w:rPr>
          <w:rFonts w:hint="eastAsia" w:ascii="宋体" w:hAnsi="宋体" w:eastAsia="宋体" w:cs="宋体"/>
          <w:color w:val="auto"/>
          <w:highlight w:val="none"/>
        </w:rPr>
      </w:pPr>
      <w:r>
        <w:rPr>
          <w:rFonts w:hint="eastAsia" w:ascii="宋体" w:hAnsi="宋体" w:eastAsia="宋体" w:cs="宋体"/>
          <w:color w:val="auto"/>
          <w:highlight w:val="none"/>
        </w:rPr>
        <w:t>（2）采购计划编号：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55C3C756">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（3）项目内容：</w:t>
      </w:r>
      <w:r>
        <w:rPr>
          <w:rFonts w:hint="eastAsia" w:ascii="宋体" w:hAnsi="宋体" w:eastAsia="宋体" w:cs="宋体"/>
          <w:color w:val="auto"/>
          <w:highlight w:val="none"/>
          <w:u w:val="single"/>
        </w:rPr>
        <w:t xml:space="preserve">                             </w:t>
      </w:r>
    </w:p>
    <w:p w14:paraId="4D7C2797">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Style w:val="150"/>
          <w:rFonts w:hint="eastAsia" w:ascii="宋体" w:hAnsi="宋体" w:eastAsia="宋体" w:cs="宋体"/>
          <w:color w:val="auto"/>
          <w:highlight w:val="none"/>
        </w:rPr>
        <w:t>（4）项目负责人：</w:t>
      </w:r>
      <w:r>
        <w:rPr>
          <w:rStyle w:val="150"/>
          <w:rFonts w:hint="eastAsia" w:ascii="宋体" w:hAnsi="宋体" w:eastAsia="宋体" w:cs="宋体"/>
          <w:color w:val="auto"/>
          <w:highlight w:val="none"/>
          <w:u w:val="single" w:color="000000"/>
        </w:rPr>
        <w:t xml:space="preserve">                 </w:t>
      </w:r>
      <w:r>
        <w:rPr>
          <w:rStyle w:val="150"/>
          <w:rFonts w:hint="eastAsia" w:ascii="宋体" w:hAnsi="宋体" w:eastAsia="宋体" w:cs="宋体"/>
          <w:color w:val="auto"/>
          <w:highlight w:val="none"/>
        </w:rPr>
        <w:t xml:space="preserve"> </w:t>
      </w:r>
    </w:p>
    <w:p w14:paraId="2ADA5FB1">
      <w:pPr>
        <w:kinsoku/>
        <w:wordWrap/>
        <w:overflowPunct/>
        <w:bidi w:val="0"/>
        <w:adjustRightInd w:val="0"/>
        <w:snapToGrid w:val="0"/>
        <w:spacing w:line="500" w:lineRule="exact"/>
        <w:ind w:firstLine="413" w:firstLineChars="196"/>
        <w:rPr>
          <w:rFonts w:hint="eastAsia" w:ascii="宋体" w:hAnsi="宋体" w:eastAsia="宋体" w:cs="宋体"/>
          <w:b/>
          <w:color w:val="auto"/>
          <w:highlight w:val="none"/>
        </w:rPr>
      </w:pPr>
      <w:r>
        <w:rPr>
          <w:rFonts w:hint="eastAsia" w:ascii="宋体" w:hAnsi="宋体" w:eastAsia="宋体" w:cs="宋体"/>
          <w:b/>
          <w:color w:val="auto"/>
          <w:highlight w:val="none"/>
        </w:rPr>
        <w:t>2.合同金额</w:t>
      </w:r>
    </w:p>
    <w:p w14:paraId="4F8C5ED9">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（1）合同金额小写：</w:t>
      </w:r>
      <w:r>
        <w:rPr>
          <w:rFonts w:hint="eastAsia" w:ascii="宋体" w:hAnsi="宋体" w:eastAsia="宋体" w:cs="宋体"/>
          <w:color w:val="auto"/>
          <w:highlight w:val="none"/>
          <w:u w:val="single"/>
        </w:rPr>
        <w:t xml:space="preserve">                      </w:t>
      </w:r>
    </w:p>
    <w:p w14:paraId="448CD8A3">
      <w:pPr>
        <w:kinsoku/>
        <w:wordWrap/>
        <w:overflowPunct/>
        <w:bidi w:val="0"/>
        <w:adjustRightInd w:val="0"/>
        <w:snapToGrid w:val="0"/>
        <w:spacing w:line="500" w:lineRule="exact"/>
        <w:ind w:firstLine="1260" w:firstLineChars="600"/>
        <w:rPr>
          <w:rFonts w:hint="eastAsia" w:ascii="宋体" w:hAnsi="宋体" w:eastAsia="宋体" w:cs="宋体"/>
          <w:b/>
          <w:color w:val="auto"/>
          <w:highlight w:val="none"/>
        </w:rPr>
      </w:pPr>
      <w:r>
        <w:rPr>
          <w:rFonts w:hint="eastAsia" w:ascii="宋体" w:hAnsi="宋体" w:eastAsia="宋体" w:cs="宋体"/>
          <w:color w:val="auto"/>
          <w:highlight w:val="none"/>
        </w:rPr>
        <w:t>大写：</w:t>
      </w:r>
      <w:r>
        <w:rPr>
          <w:rFonts w:hint="eastAsia" w:ascii="宋体" w:hAnsi="宋体" w:eastAsia="宋体" w:cs="宋体"/>
          <w:color w:val="auto"/>
          <w:highlight w:val="none"/>
          <w:u w:val="single"/>
        </w:rPr>
        <w:t xml:space="preserve">                      </w:t>
      </w:r>
    </w:p>
    <w:p w14:paraId="1980FAF2">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（2）具体标的见附件。</w:t>
      </w:r>
    </w:p>
    <w:p w14:paraId="168112DB">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（3）合同价格形式：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D300C39">
      <w:pPr>
        <w:kinsoku/>
        <w:wordWrap/>
        <w:overflowPunct/>
        <w:bidi w:val="0"/>
        <w:adjustRightInd w:val="0"/>
        <w:snapToGrid w:val="0"/>
        <w:spacing w:line="500" w:lineRule="exact"/>
        <w:ind w:firstLine="422" w:firstLineChars="200"/>
        <w:rPr>
          <w:rFonts w:hint="eastAsia" w:ascii="宋体" w:hAnsi="宋体" w:eastAsia="宋体" w:cs="宋体"/>
          <w:color w:val="auto"/>
          <w:highlight w:val="none"/>
          <w:u w:val="single"/>
        </w:rPr>
      </w:pPr>
      <w:r>
        <w:rPr>
          <w:rFonts w:hint="eastAsia" w:ascii="宋体" w:hAnsi="宋体" w:eastAsia="宋体" w:cs="宋体"/>
          <w:b/>
          <w:color w:val="auto"/>
          <w:highlight w:val="none"/>
        </w:rPr>
        <w:t>3.履行合同的时间、地点及方式</w:t>
      </w:r>
      <w:r>
        <w:rPr>
          <w:rFonts w:hint="eastAsia" w:ascii="宋体" w:hAnsi="宋体" w:eastAsia="宋体" w:cs="宋体"/>
          <w:color w:val="auto"/>
          <w:highlight w:val="none"/>
          <w:u w:val="single"/>
        </w:rPr>
        <w:t xml:space="preserve"> </w:t>
      </w:r>
    </w:p>
    <w:p w14:paraId="49B1E325">
      <w:pPr>
        <w:kinsoku/>
        <w:wordWrap/>
        <w:overflowPunct/>
        <w:bidi w:val="0"/>
        <w:adjustRightInd w:val="0"/>
        <w:snapToGrid w:val="0"/>
        <w:spacing w:line="5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起始日期：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日，完成日期：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日。总日历天数：</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w:t>
      </w:r>
    </w:p>
    <w:p w14:paraId="29E40E12">
      <w:pPr>
        <w:kinsoku/>
        <w:wordWrap/>
        <w:overflowPunct/>
        <w:bidi w:val="0"/>
        <w:adjustRightInd w:val="0"/>
        <w:snapToGrid w:val="0"/>
        <w:spacing w:line="500" w:lineRule="exact"/>
        <w:ind w:firstLine="630" w:firstLineChars="300"/>
        <w:rPr>
          <w:rFonts w:hint="eastAsia" w:ascii="宋体" w:hAnsi="宋体" w:eastAsia="宋体" w:cs="宋体"/>
          <w:color w:val="auto"/>
          <w:highlight w:val="none"/>
          <w:u w:val="single"/>
        </w:rPr>
      </w:pPr>
      <w:r>
        <w:rPr>
          <w:rFonts w:hint="eastAsia" w:ascii="宋体" w:hAnsi="宋体" w:eastAsia="宋体" w:cs="宋体"/>
          <w:color w:val="auto"/>
          <w:highlight w:val="none"/>
        </w:rPr>
        <w:t>地点</w:t>
      </w:r>
      <w:r>
        <w:rPr>
          <w:rFonts w:hint="eastAsia" w:ascii="宋体" w:hAnsi="宋体" w:eastAsia="宋体" w:cs="宋体"/>
          <w:b/>
          <w:color w:val="auto"/>
          <w:highlight w:val="none"/>
        </w:rPr>
        <w:t>：</w:t>
      </w:r>
      <w:r>
        <w:rPr>
          <w:rFonts w:hint="eastAsia" w:ascii="宋体" w:hAnsi="宋体" w:eastAsia="宋体" w:cs="宋体"/>
          <w:color w:val="auto"/>
          <w:highlight w:val="none"/>
          <w:u w:val="single"/>
        </w:rPr>
        <w:t xml:space="preserve">                             </w:t>
      </w:r>
    </w:p>
    <w:p w14:paraId="311807CC">
      <w:pPr>
        <w:kinsoku/>
        <w:wordWrap/>
        <w:overflowPunct/>
        <w:bidi w:val="0"/>
        <w:adjustRightInd w:val="0"/>
        <w:snapToGrid w:val="0"/>
        <w:spacing w:line="5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方式：</w:t>
      </w:r>
      <w:r>
        <w:rPr>
          <w:rFonts w:hint="eastAsia" w:ascii="宋体" w:hAnsi="宋体" w:eastAsia="宋体" w:cs="宋体"/>
          <w:color w:val="auto"/>
          <w:highlight w:val="none"/>
          <w:u w:val="single"/>
        </w:rPr>
        <w:t xml:space="preserve">                             </w:t>
      </w:r>
    </w:p>
    <w:p w14:paraId="2C2E4303">
      <w:pPr>
        <w:kinsoku/>
        <w:wordWrap/>
        <w:overflowPunct/>
        <w:bidi w:val="0"/>
        <w:adjustRightInd w:val="0"/>
        <w:snapToGrid w:val="0"/>
        <w:spacing w:line="5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4.付款：</w:t>
      </w:r>
    </w:p>
    <w:p w14:paraId="31D1E4DD">
      <w:pPr>
        <w:kinsoku/>
        <w:wordWrap/>
        <w:overflowPunct/>
        <w:bidi w:val="0"/>
        <w:adjustRightInd w:val="0"/>
        <w:snapToGrid w:val="0"/>
        <w:spacing w:line="500" w:lineRule="exact"/>
        <w:ind w:firstLine="630" w:firstLineChars="300"/>
        <w:rPr>
          <w:rFonts w:hint="eastAsia" w:ascii="宋体" w:hAnsi="宋体" w:eastAsia="宋体" w:cs="宋体"/>
          <w:bCs/>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108D96C0">
      <w:pPr>
        <w:kinsoku/>
        <w:wordWrap/>
        <w:overflowPunct/>
        <w:bidi w:val="0"/>
        <w:adjustRightInd w:val="0"/>
        <w:snapToGrid w:val="0"/>
        <w:spacing w:line="500" w:lineRule="exact"/>
        <w:ind w:firstLine="630" w:firstLineChars="300"/>
        <w:rPr>
          <w:rFonts w:hint="eastAsia" w:ascii="宋体" w:hAnsi="宋体" w:eastAsia="宋体" w:cs="宋体"/>
          <w:color w:val="auto"/>
          <w:highlight w:val="none"/>
        </w:rPr>
      </w:pPr>
      <w:r>
        <w:rPr>
          <w:rFonts w:hint="eastAsia" w:ascii="宋体" w:hAnsi="宋体" w:eastAsia="宋体" w:cs="宋体"/>
          <w:bCs/>
          <w:color w:val="auto"/>
          <w:highlight w:val="none"/>
        </w:rPr>
        <w:t>2</w:t>
      </w:r>
      <w:r>
        <w:rPr>
          <w:rFonts w:hint="eastAsia" w:ascii="宋体" w:hAnsi="宋体" w:cs="宋体"/>
          <w:bCs/>
          <w:color w:val="auto"/>
          <w:highlight w:val="none"/>
          <w:lang w:val="en-US" w:eastAsia="zh-CN"/>
        </w:rPr>
        <w:t>.</w:t>
      </w:r>
      <w:r>
        <w:rPr>
          <w:rFonts w:hint="eastAsia" w:ascii="宋体" w:hAnsi="宋体" w:eastAsia="宋体" w:cs="宋体"/>
          <w:bCs/>
          <w:color w:val="auto"/>
          <w:highlight w:val="none"/>
        </w:rPr>
        <w:t>预付款根据采购文件的约定，在合同签订前提交合同金额3%的履约保函。</w:t>
      </w:r>
    </w:p>
    <w:p w14:paraId="7CF210F5">
      <w:pPr>
        <w:kinsoku/>
        <w:wordWrap/>
        <w:overflowPunct/>
        <w:bidi w:val="0"/>
        <w:adjustRightInd w:val="0"/>
        <w:snapToGrid w:val="0"/>
        <w:spacing w:line="5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5.解决合同纠纷方式</w:t>
      </w:r>
    </w:p>
    <w:p w14:paraId="3B53550D">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首先通过双方协商解决，协商解决不成，则通过以下途径之一解决纠纷：</w:t>
      </w:r>
    </w:p>
    <w:p w14:paraId="77D98BEE">
      <w:pPr>
        <w:kinsoku/>
        <w:wordWrap/>
        <w:overflowPunct/>
        <w:bidi w:val="0"/>
        <w:adjustRightInd w:val="0"/>
        <w:snapToGrid w:val="0"/>
        <w:spacing w:line="500" w:lineRule="exact"/>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 xml:space="preserve">□ 提请仲裁       </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向人民法院提起诉讼</w:t>
      </w:r>
    </w:p>
    <w:p w14:paraId="768EE794">
      <w:pPr>
        <w:kinsoku/>
        <w:wordWrap/>
        <w:overflowPunct/>
        <w:bidi w:val="0"/>
        <w:adjustRightInd w:val="0"/>
        <w:snapToGrid w:val="0"/>
        <w:spacing w:line="5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6.组成合同的文件</w:t>
      </w:r>
    </w:p>
    <w:p w14:paraId="047AA230">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本协议书与下列文件一起构成合同文件，如下述文件之间有任何抵触、矛盾或歧义，应按以下顺序解释：</w:t>
      </w:r>
    </w:p>
    <w:p w14:paraId="6730BB66">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（1）在采购或合同履行过程中乙方作出的承诺以及双方协商达成的变更或补充协议</w:t>
      </w:r>
    </w:p>
    <w:p w14:paraId="1162DF1C">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（2）成交通知书</w:t>
      </w:r>
    </w:p>
    <w:p w14:paraId="7F176874">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（3）响应文件</w:t>
      </w:r>
    </w:p>
    <w:p w14:paraId="454BFE61">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（4）政府采购合同格式条款及其附件</w:t>
      </w:r>
    </w:p>
    <w:p w14:paraId="3B0E42E5">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（5）专用合同条款</w:t>
      </w:r>
    </w:p>
    <w:p w14:paraId="37FA34AE">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（6）通用合同条款（如果有）</w:t>
      </w:r>
    </w:p>
    <w:p w14:paraId="7FCCACEA">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（7）标准、规范及有关技术文件，图纸，已标价工程量清单或预算书（如果有）</w:t>
      </w:r>
    </w:p>
    <w:p w14:paraId="25F2080F">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（8）其他合同文件。</w:t>
      </w:r>
    </w:p>
    <w:p w14:paraId="2BEC2150">
      <w:pPr>
        <w:kinsoku/>
        <w:wordWrap/>
        <w:overflowPunct/>
        <w:bidi w:val="0"/>
        <w:adjustRightInd w:val="0"/>
        <w:snapToGrid w:val="0"/>
        <w:spacing w:line="500" w:lineRule="exact"/>
        <w:ind w:firstLine="310" w:firstLineChars="147"/>
        <w:rPr>
          <w:rFonts w:hint="eastAsia" w:ascii="宋体" w:hAnsi="宋体" w:eastAsia="宋体" w:cs="宋体"/>
          <w:b/>
          <w:color w:val="auto"/>
          <w:highlight w:val="none"/>
        </w:rPr>
      </w:pPr>
      <w:r>
        <w:rPr>
          <w:rFonts w:hint="eastAsia" w:ascii="宋体" w:hAnsi="宋体" w:eastAsia="宋体" w:cs="宋体"/>
          <w:b/>
          <w:color w:val="auto"/>
          <w:highlight w:val="none"/>
        </w:rPr>
        <w:t>7.合同生效</w:t>
      </w:r>
    </w:p>
    <w:p w14:paraId="321DD6E4">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本合同自</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生效。</w:t>
      </w:r>
    </w:p>
    <w:p w14:paraId="5B79E725">
      <w:pPr>
        <w:kinsoku/>
        <w:wordWrap/>
        <w:overflowPunct/>
        <w:bidi w:val="0"/>
        <w:adjustRightInd w:val="0"/>
        <w:snapToGrid w:val="0"/>
        <w:spacing w:line="500" w:lineRule="exact"/>
        <w:ind w:firstLine="310" w:firstLineChars="147"/>
        <w:rPr>
          <w:rFonts w:hint="eastAsia" w:ascii="宋体" w:hAnsi="宋体" w:eastAsia="宋体" w:cs="宋体"/>
          <w:b/>
          <w:color w:val="auto"/>
          <w:highlight w:val="none"/>
        </w:rPr>
      </w:pPr>
      <w:r>
        <w:rPr>
          <w:rFonts w:hint="eastAsia" w:ascii="宋体" w:hAnsi="宋体" w:eastAsia="宋体" w:cs="宋体"/>
          <w:b/>
          <w:color w:val="auto"/>
          <w:highlight w:val="none"/>
        </w:rPr>
        <w:t>8.合同份数</w:t>
      </w:r>
    </w:p>
    <w:p w14:paraId="74D89944">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本合同一式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份，采购人执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份，供应商执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份，均具有同等法律效力。</w:t>
      </w:r>
    </w:p>
    <w:p w14:paraId="4D5D3E96">
      <w:pPr>
        <w:kinsoku/>
        <w:wordWrap/>
        <w:overflowPunct/>
        <w:bidi w:val="0"/>
        <w:adjustRightInd w:val="0"/>
        <w:snapToGrid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合同订立时间：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08A0DF39">
      <w:pPr>
        <w:kinsoku/>
        <w:wordWrap/>
        <w:overflowPunct/>
        <w:bidi w:val="0"/>
        <w:adjustRightInd w:val="0"/>
        <w:snapToGrid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合同订立地点：</w:t>
      </w:r>
      <w:r>
        <w:rPr>
          <w:rFonts w:hint="eastAsia" w:ascii="宋体" w:hAnsi="宋体" w:eastAsia="宋体" w:cs="宋体"/>
          <w:color w:val="auto"/>
          <w:highlight w:val="none"/>
          <w:u w:val="single"/>
        </w:rPr>
        <w:t xml:space="preserve">                           </w:t>
      </w:r>
    </w:p>
    <w:p w14:paraId="2072BCC4">
      <w:pPr>
        <w:kinsoku/>
        <w:wordWrap/>
        <w:overflowPunct/>
        <w:bidi w:val="0"/>
        <w:adjustRightInd w:val="0"/>
        <w:snapToGrid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甲      方：（公章）                     乙      方：（公章）</w:t>
      </w:r>
    </w:p>
    <w:p w14:paraId="6F57967C">
      <w:pPr>
        <w:kinsoku/>
        <w:wordWrap/>
        <w:overflowPunct/>
        <w:bidi w:val="0"/>
        <w:adjustRightInd w:val="0"/>
        <w:snapToGrid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法定代表人：</w:t>
      </w:r>
      <w:r>
        <w:rPr>
          <w:rFonts w:hint="eastAsia" w:ascii="宋体" w:hAnsi="宋体" w:eastAsia="宋体" w:cs="宋体"/>
          <w:color w:val="auto"/>
          <w:highlight w:val="none"/>
          <w:u w:val="single"/>
        </w:rPr>
        <w:t xml:space="preserve">                   </w:t>
      </w:r>
    </w:p>
    <w:p w14:paraId="0CF250EF">
      <w:pPr>
        <w:kinsoku/>
        <w:wordWrap/>
        <w:overflowPunct/>
        <w:bidi w:val="0"/>
        <w:adjustRightInd w:val="0"/>
        <w:snapToGrid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委托代理人：</w:t>
      </w:r>
      <w:r>
        <w:rPr>
          <w:rFonts w:hint="eastAsia" w:ascii="宋体" w:hAnsi="宋体" w:eastAsia="宋体" w:cs="宋体"/>
          <w:color w:val="auto"/>
          <w:highlight w:val="none"/>
          <w:u w:val="single"/>
        </w:rPr>
        <w:t xml:space="preserve">                   </w:t>
      </w:r>
    </w:p>
    <w:p w14:paraId="79F2DC86">
      <w:pPr>
        <w:kinsoku/>
        <w:wordWrap/>
        <w:overflowPunct/>
        <w:bidi w:val="0"/>
        <w:adjustRightInd w:val="0"/>
        <w:snapToGrid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电      话：</w:t>
      </w:r>
      <w:r>
        <w:rPr>
          <w:rFonts w:hint="eastAsia" w:ascii="宋体" w:hAnsi="宋体" w:eastAsia="宋体" w:cs="宋体"/>
          <w:color w:val="auto"/>
          <w:highlight w:val="none"/>
          <w:u w:val="single"/>
        </w:rPr>
        <w:t xml:space="preserve">                   </w:t>
      </w:r>
    </w:p>
    <w:p w14:paraId="3552EE50">
      <w:pPr>
        <w:kinsoku/>
        <w:wordWrap/>
        <w:overflowPunct/>
        <w:bidi w:val="0"/>
        <w:adjustRightInd w:val="0"/>
        <w:snapToGrid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传      真：</w:t>
      </w:r>
      <w:r>
        <w:rPr>
          <w:rFonts w:hint="eastAsia" w:ascii="宋体" w:hAnsi="宋体" w:eastAsia="宋体" w:cs="宋体"/>
          <w:color w:val="auto"/>
          <w:highlight w:val="none"/>
          <w:u w:val="single"/>
        </w:rPr>
        <w:t xml:space="preserve">                   </w:t>
      </w:r>
    </w:p>
    <w:p w14:paraId="24D718D3">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开 户 银 行：</w:t>
      </w:r>
      <w:r>
        <w:rPr>
          <w:rFonts w:hint="eastAsia" w:ascii="宋体" w:hAnsi="宋体" w:eastAsia="宋体" w:cs="宋体"/>
          <w:color w:val="auto"/>
          <w:highlight w:val="none"/>
          <w:u w:val="single"/>
        </w:rPr>
        <w:t xml:space="preserve">                   </w:t>
      </w:r>
    </w:p>
    <w:p w14:paraId="1E735BFB">
      <w:pPr>
        <w:kinsoku/>
        <w:wordWrap/>
        <w:overflowPunct/>
        <w:bidi w:val="0"/>
        <w:adjustRightInd w:val="0"/>
        <w:snapToGrid w:val="0"/>
        <w:spacing w:line="500" w:lineRule="exact"/>
        <w:jc w:val="center"/>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账</w:t>
      </w:r>
      <w:r>
        <w:rPr>
          <w:rFonts w:hint="eastAsia" w:ascii="宋体" w:hAnsi="宋体" w:eastAsia="宋体" w:cs="宋体"/>
          <w:color w:val="auto"/>
          <w:highlight w:val="none"/>
        </w:rPr>
        <w:t xml:space="preserve">       号：</w:t>
      </w:r>
      <w:r>
        <w:rPr>
          <w:rFonts w:hint="eastAsia" w:ascii="宋体" w:hAnsi="宋体" w:eastAsia="宋体" w:cs="宋体"/>
          <w:color w:val="auto"/>
          <w:highlight w:val="none"/>
          <w:u w:val="single"/>
        </w:rPr>
        <w:t xml:space="preserve">                 </w:t>
      </w:r>
    </w:p>
    <w:p w14:paraId="5A39C05C">
      <w:pPr>
        <w:tabs>
          <w:tab w:val="left" w:pos="8820"/>
          <w:tab w:val="left" w:pos="9345"/>
          <w:tab w:val="left" w:pos="9765"/>
        </w:tabs>
        <w:kinsoku/>
        <w:wordWrap/>
        <w:overflowPunct/>
        <w:bidi w:val="0"/>
        <w:adjustRightInd w:val="0"/>
        <w:snapToGrid w:val="0"/>
        <w:spacing w:before="156" w:beforeLines="50" w:line="500" w:lineRule="exact"/>
        <w:ind w:right="384" w:rightChars="183"/>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br w:type="page"/>
      </w:r>
    </w:p>
    <w:p w14:paraId="2EF21761">
      <w:pPr>
        <w:tabs>
          <w:tab w:val="left" w:pos="8820"/>
          <w:tab w:val="left" w:pos="9345"/>
          <w:tab w:val="left" w:pos="9765"/>
        </w:tabs>
        <w:kinsoku/>
        <w:wordWrap/>
        <w:overflowPunct/>
        <w:bidi w:val="0"/>
        <w:adjustRightInd w:val="0"/>
        <w:snapToGrid w:val="0"/>
        <w:spacing w:before="156" w:beforeLines="50" w:line="500" w:lineRule="exact"/>
        <w:ind w:right="384" w:rightChars="183"/>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二、政府采购合同通用条款</w:t>
      </w:r>
    </w:p>
    <w:p w14:paraId="1C236D79">
      <w:pPr>
        <w:tabs>
          <w:tab w:val="left" w:pos="8820"/>
          <w:tab w:val="left" w:pos="9345"/>
          <w:tab w:val="left" w:pos="9765"/>
        </w:tabs>
        <w:kinsoku/>
        <w:wordWrap/>
        <w:overflowPunct/>
        <w:bidi w:val="0"/>
        <w:adjustRightInd w:val="0"/>
        <w:snapToGrid w:val="0"/>
        <w:spacing w:before="156" w:beforeLines="50" w:line="500" w:lineRule="exact"/>
        <w:ind w:right="384" w:rightChars="183"/>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政府采购合同通用条款</w:t>
      </w:r>
    </w:p>
    <w:p w14:paraId="6B0613DC">
      <w:pPr>
        <w:tabs>
          <w:tab w:val="left" w:pos="8820"/>
          <w:tab w:val="left" w:pos="9345"/>
          <w:tab w:val="left" w:pos="9765"/>
        </w:tabs>
        <w:kinsoku/>
        <w:wordWrap/>
        <w:overflowPunct/>
        <w:bidi w:val="0"/>
        <w:adjustRightInd w:val="0"/>
        <w:snapToGrid w:val="0"/>
        <w:spacing w:line="500" w:lineRule="exact"/>
        <w:ind w:right="384" w:rightChars="183"/>
        <w:rPr>
          <w:rFonts w:hint="eastAsia" w:ascii="宋体" w:hAnsi="宋体" w:eastAsia="宋体" w:cs="宋体"/>
          <w:b/>
          <w:bCs/>
          <w:color w:val="auto"/>
          <w:highlight w:val="none"/>
        </w:rPr>
      </w:pPr>
      <w:r>
        <w:rPr>
          <w:rFonts w:hint="eastAsia" w:ascii="宋体" w:hAnsi="宋体" w:eastAsia="宋体" w:cs="宋体"/>
          <w:b/>
          <w:color w:val="auto"/>
          <w:highlight w:val="none"/>
        </w:rPr>
        <w:t>1.</w:t>
      </w:r>
      <w:r>
        <w:rPr>
          <w:rFonts w:hint="eastAsia" w:ascii="宋体" w:hAnsi="宋体" w:eastAsia="宋体" w:cs="宋体"/>
          <w:b/>
          <w:bCs/>
          <w:color w:val="auto"/>
          <w:highlight w:val="none"/>
        </w:rPr>
        <w:t>定义</w:t>
      </w:r>
    </w:p>
    <w:p w14:paraId="0566F5BE">
      <w:pPr>
        <w:tabs>
          <w:tab w:val="left" w:pos="570"/>
          <w:tab w:val="left" w:pos="9240"/>
          <w:tab w:val="left" w:pos="9555"/>
        </w:tabs>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1.1合同当事人</w:t>
      </w:r>
    </w:p>
    <w:p w14:paraId="1CC2D4BA">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（1）采购人(以下称甲方)是指使用财政性资金，通过政府采购程序向供应商购买货物、服务的国家机关、事业单位、团体组织。</w:t>
      </w:r>
    </w:p>
    <w:p w14:paraId="3555814D">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（2）供应商(以下称乙方)是指参加政府采购活动而取得成交资格，并向采购人提供货物、服务的法人、其他组织或者自然人。</w:t>
      </w:r>
    </w:p>
    <w:p w14:paraId="7EBD1BFF">
      <w:pPr>
        <w:tabs>
          <w:tab w:val="left" w:pos="570"/>
          <w:tab w:val="left" w:pos="9240"/>
          <w:tab w:val="left" w:pos="9555"/>
        </w:tabs>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1.2本合同下列术语应解释为：</w:t>
      </w:r>
    </w:p>
    <w:p w14:paraId="51B7B184">
      <w:pPr>
        <w:tabs>
          <w:tab w:val="left" w:pos="570"/>
          <w:tab w:val="left" w:pos="9240"/>
          <w:tab w:val="left" w:pos="9555"/>
        </w:tabs>
        <w:kinsoku/>
        <w:wordWrap/>
        <w:overflowPunct/>
        <w:bidi w:val="0"/>
        <w:adjustRightInd w:val="0"/>
        <w:snapToGrid w:val="0"/>
        <w:spacing w:line="500" w:lineRule="exact"/>
        <w:ind w:right="-92" w:rightChars="-44"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（1）“合同”系指甲乙双方签署的、政府采购合同协议书中载明的甲乙双方所达成的协议，包括所有的附件、附录和上述文件所提到的构成合同的所有文件。</w:t>
      </w:r>
    </w:p>
    <w:p w14:paraId="2179D530">
      <w:pPr>
        <w:tabs>
          <w:tab w:val="left" w:pos="570"/>
          <w:tab w:val="left" w:pos="9240"/>
          <w:tab w:val="left" w:pos="9555"/>
        </w:tabs>
        <w:kinsoku/>
        <w:wordWrap/>
        <w:overflowPunct/>
        <w:bidi w:val="0"/>
        <w:adjustRightInd w:val="0"/>
        <w:snapToGrid w:val="0"/>
        <w:spacing w:line="500" w:lineRule="exact"/>
        <w:ind w:right="-92" w:rightChars="-44"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（2）“合同价”系指根据本合同规定乙方在正确地完全履行合同义务后甲方应支付给乙方的价款。</w:t>
      </w:r>
    </w:p>
    <w:p w14:paraId="7D470AA3">
      <w:pPr>
        <w:tabs>
          <w:tab w:val="left" w:pos="570"/>
          <w:tab w:val="left" w:pos="9240"/>
          <w:tab w:val="left" w:pos="9555"/>
        </w:tabs>
        <w:kinsoku/>
        <w:wordWrap/>
        <w:overflowPunct/>
        <w:bidi w:val="0"/>
        <w:adjustRightInd w:val="0"/>
        <w:snapToGrid w:val="0"/>
        <w:spacing w:line="500" w:lineRule="exact"/>
        <w:ind w:right="-92" w:rightChars="-44"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（3）“货物”系指乙方根据本合同规定须向甲方提供的各种形态和种类的物品，包括原材料、设备、产品(包括软件)及相关的其</w:t>
      </w:r>
      <w:r>
        <w:rPr>
          <w:rFonts w:hint="eastAsia" w:ascii="宋体" w:hAnsi="宋体" w:cs="宋体"/>
          <w:color w:val="auto"/>
          <w:highlight w:val="none"/>
          <w:lang w:val="en-US" w:eastAsia="zh-CN"/>
        </w:rPr>
        <w:t>他</w:t>
      </w:r>
      <w:r>
        <w:rPr>
          <w:rFonts w:hint="eastAsia" w:ascii="宋体" w:hAnsi="宋体" w:eastAsia="宋体" w:cs="宋体"/>
          <w:color w:val="auto"/>
          <w:highlight w:val="none"/>
        </w:rPr>
        <w:t>备品备件、工具、手册及其</w:t>
      </w:r>
      <w:r>
        <w:rPr>
          <w:rFonts w:hint="eastAsia" w:ascii="宋体" w:hAnsi="宋体" w:cs="宋体"/>
          <w:color w:val="auto"/>
          <w:spacing w:val="2"/>
          <w:highlight w:val="none"/>
          <w:lang w:eastAsia="zh-CN"/>
        </w:rPr>
        <w:t>他</w:t>
      </w:r>
      <w:r>
        <w:rPr>
          <w:rFonts w:hint="eastAsia" w:ascii="宋体" w:hAnsi="宋体" w:eastAsia="宋体" w:cs="宋体"/>
          <w:color w:val="auto"/>
          <w:highlight w:val="none"/>
        </w:rPr>
        <w:t>技术资料和材料。</w:t>
      </w:r>
    </w:p>
    <w:p w14:paraId="524E47F2">
      <w:pPr>
        <w:tabs>
          <w:tab w:val="left" w:pos="570"/>
          <w:tab w:val="left" w:pos="8880"/>
          <w:tab w:val="left" w:pos="9555"/>
        </w:tabs>
        <w:kinsoku/>
        <w:wordWrap/>
        <w:overflowPunct/>
        <w:bidi w:val="0"/>
        <w:adjustRightInd w:val="0"/>
        <w:snapToGrid w:val="0"/>
        <w:spacing w:line="500" w:lineRule="exact"/>
        <w:ind w:right="-92" w:rightChars="-44"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（4）“伴随服务”系指根据本合同规定乙方承担与供货有关的辅助服务，如运输、保</w:t>
      </w:r>
      <w:r>
        <w:rPr>
          <w:rFonts w:hint="eastAsia" w:ascii="宋体" w:hAnsi="宋体" w:eastAsia="宋体" w:cs="宋体"/>
          <w:color w:val="auto"/>
          <w:spacing w:val="2"/>
          <w:highlight w:val="none"/>
        </w:rPr>
        <w:t>险以及</w:t>
      </w:r>
      <w:r>
        <w:rPr>
          <w:rFonts w:hint="eastAsia" w:ascii="宋体" w:hAnsi="宋体" w:cs="宋体"/>
          <w:color w:val="auto"/>
          <w:spacing w:val="2"/>
          <w:highlight w:val="none"/>
          <w:lang w:eastAsia="zh-CN"/>
        </w:rPr>
        <w:t>其他</w:t>
      </w:r>
      <w:r>
        <w:rPr>
          <w:rFonts w:hint="eastAsia" w:ascii="宋体" w:hAnsi="宋体" w:eastAsia="宋体" w:cs="宋体"/>
          <w:color w:val="auto"/>
          <w:spacing w:val="2"/>
          <w:highlight w:val="none"/>
        </w:rPr>
        <w:t>的伴随服务，例如安装、调试、提供技术</w:t>
      </w:r>
      <w:r>
        <w:rPr>
          <w:rFonts w:hint="eastAsia" w:ascii="宋体" w:hAnsi="宋体" w:eastAsia="宋体" w:cs="宋体"/>
          <w:color w:val="auto"/>
          <w:highlight w:val="none"/>
        </w:rPr>
        <w:t>协</w:t>
      </w:r>
      <w:r>
        <w:rPr>
          <w:rFonts w:hint="eastAsia" w:ascii="宋体" w:hAnsi="宋体" w:eastAsia="宋体" w:cs="宋体"/>
          <w:color w:val="auto"/>
          <w:spacing w:val="2"/>
          <w:highlight w:val="none"/>
        </w:rPr>
        <w:t>助、培训和合同中规定</w:t>
      </w:r>
      <w:r>
        <w:rPr>
          <w:rFonts w:hint="eastAsia" w:ascii="宋体" w:hAnsi="宋体" w:eastAsia="宋体" w:cs="宋体"/>
          <w:color w:val="auto"/>
          <w:highlight w:val="none"/>
        </w:rPr>
        <w:t>乙方应承担的其</w:t>
      </w:r>
      <w:r>
        <w:rPr>
          <w:rFonts w:hint="eastAsia" w:ascii="宋体" w:hAnsi="宋体" w:cs="宋体"/>
          <w:color w:val="auto"/>
          <w:spacing w:val="2"/>
          <w:highlight w:val="none"/>
          <w:lang w:eastAsia="zh-CN"/>
        </w:rPr>
        <w:t>他</w:t>
      </w:r>
      <w:r>
        <w:rPr>
          <w:rFonts w:hint="eastAsia" w:ascii="宋体" w:hAnsi="宋体" w:eastAsia="宋体" w:cs="宋体"/>
          <w:color w:val="auto"/>
          <w:highlight w:val="none"/>
        </w:rPr>
        <w:t>义务。</w:t>
      </w:r>
    </w:p>
    <w:p w14:paraId="2C88389F">
      <w:pPr>
        <w:tabs>
          <w:tab w:val="left" w:pos="570"/>
          <w:tab w:val="left" w:pos="9240"/>
          <w:tab w:val="left" w:pos="9555"/>
        </w:tabs>
        <w:kinsoku/>
        <w:wordWrap/>
        <w:overflowPunct/>
        <w:bidi w:val="0"/>
        <w:adjustRightInd w:val="0"/>
        <w:snapToGrid w:val="0"/>
        <w:spacing w:line="500" w:lineRule="exact"/>
        <w:ind w:right="-92" w:rightChars="-44"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（5）“合同条款”系指本合同条款。</w:t>
      </w:r>
    </w:p>
    <w:p w14:paraId="50160F51">
      <w:pPr>
        <w:tabs>
          <w:tab w:val="left" w:pos="570"/>
          <w:tab w:val="left" w:pos="9240"/>
          <w:tab w:val="left" w:pos="9555"/>
        </w:tabs>
        <w:kinsoku/>
        <w:wordWrap/>
        <w:overflowPunct/>
        <w:bidi w:val="0"/>
        <w:adjustRightInd w:val="0"/>
        <w:snapToGrid w:val="0"/>
        <w:spacing w:line="500" w:lineRule="exact"/>
        <w:ind w:right="-92" w:rightChars="-44"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（6）“项目现场”系指本合同项下货物安装、运行的现场，其名称在</w:t>
      </w:r>
      <w:r>
        <w:rPr>
          <w:rFonts w:hint="eastAsia" w:ascii="宋体" w:hAnsi="宋体" w:eastAsia="宋体" w:cs="宋体"/>
          <w:b/>
          <w:bCs/>
          <w:color w:val="auto"/>
          <w:highlight w:val="none"/>
        </w:rPr>
        <w:t>政府采购合同专用条款</w:t>
      </w:r>
      <w:r>
        <w:rPr>
          <w:rFonts w:hint="eastAsia" w:ascii="宋体" w:hAnsi="宋体" w:cs="宋体"/>
          <w:b w:val="0"/>
          <w:bCs w:val="0"/>
          <w:color w:val="auto"/>
          <w:highlight w:val="none"/>
          <w:lang w:val="en-US" w:eastAsia="zh-CN"/>
        </w:rPr>
        <w:t>中</w:t>
      </w:r>
      <w:r>
        <w:rPr>
          <w:rFonts w:hint="eastAsia" w:ascii="宋体" w:hAnsi="宋体" w:eastAsia="宋体" w:cs="宋体"/>
          <w:color w:val="auto"/>
          <w:highlight w:val="none"/>
        </w:rPr>
        <w:t>指明。</w:t>
      </w:r>
    </w:p>
    <w:p w14:paraId="2F145074">
      <w:pPr>
        <w:kinsoku/>
        <w:wordWrap/>
        <w:overflowPunct/>
        <w:autoSpaceDE w:val="0"/>
        <w:autoSpaceDN w:val="0"/>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2.合同的适用范围</w:t>
      </w:r>
    </w:p>
    <w:p w14:paraId="7E286339">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 本合同条款适用于没有被本合同其他部分的条款所取代的范围。</w:t>
      </w:r>
    </w:p>
    <w:p w14:paraId="32FCB368">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 合同内容根据谈判文件、响应文件而确定。</w:t>
      </w:r>
    </w:p>
    <w:p w14:paraId="7BA02732">
      <w:pPr>
        <w:kinsoku/>
        <w:wordWrap/>
        <w:overflowPunct/>
        <w:autoSpaceDE w:val="0"/>
        <w:autoSpaceDN w:val="0"/>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3.</w:t>
      </w:r>
      <w:r>
        <w:rPr>
          <w:rFonts w:hint="eastAsia" w:ascii="宋体" w:hAnsi="宋体" w:eastAsia="宋体" w:cs="宋体"/>
          <w:b/>
          <w:color w:val="auto"/>
          <w:highlight w:val="none"/>
        </w:rPr>
        <w:t>合同标的及金额</w:t>
      </w:r>
    </w:p>
    <w:p w14:paraId="2139C331">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 合同标的及金额应与成交结果一致，具体的货物名称、规格、型号、数量和价格见</w:t>
      </w:r>
      <w:r>
        <w:rPr>
          <w:rFonts w:hint="eastAsia" w:ascii="宋体" w:hAnsi="宋体" w:eastAsia="宋体" w:cs="宋体"/>
          <w:b/>
          <w:bCs/>
          <w:color w:val="auto"/>
          <w:highlight w:val="none"/>
        </w:rPr>
        <w:t>政府采购合同专用条款</w:t>
      </w:r>
      <w:r>
        <w:rPr>
          <w:rFonts w:hint="eastAsia" w:ascii="宋体" w:hAnsi="宋体" w:eastAsia="宋体" w:cs="宋体"/>
          <w:color w:val="auto"/>
          <w:highlight w:val="none"/>
        </w:rPr>
        <w:t>。</w:t>
      </w:r>
    </w:p>
    <w:p w14:paraId="546D296E">
      <w:pPr>
        <w:kinsoku/>
        <w:wordWrap/>
        <w:overflowPunct/>
        <w:autoSpaceDE w:val="0"/>
        <w:autoSpaceDN w:val="0"/>
        <w:bidi w:val="0"/>
        <w:adjustRightInd w:val="0"/>
        <w:snapToGrid w:val="0"/>
        <w:spacing w:line="500" w:lineRule="exact"/>
        <w:rPr>
          <w:rFonts w:hint="eastAsia" w:ascii="宋体" w:hAnsi="宋体" w:eastAsia="宋体" w:cs="宋体"/>
          <w:b/>
          <w:color w:val="auto"/>
          <w:highlight w:val="none"/>
        </w:rPr>
      </w:pPr>
      <w:r>
        <w:rPr>
          <w:rFonts w:hint="eastAsia" w:ascii="宋体" w:hAnsi="宋体" w:eastAsia="宋体" w:cs="宋体"/>
          <w:b/>
          <w:bCs/>
          <w:color w:val="auto"/>
          <w:highlight w:val="none"/>
        </w:rPr>
        <w:t>4.</w:t>
      </w:r>
      <w:r>
        <w:rPr>
          <w:rFonts w:hint="eastAsia" w:ascii="宋体" w:hAnsi="宋体" w:eastAsia="宋体" w:cs="宋体"/>
          <w:b/>
          <w:color w:val="auto"/>
          <w:highlight w:val="none"/>
        </w:rPr>
        <w:t>合同价款</w:t>
      </w:r>
    </w:p>
    <w:p w14:paraId="7C7A9DAC">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b/>
          <w:bCs/>
          <w:i/>
          <w:iCs/>
          <w:color w:val="auto"/>
          <w:highlight w:val="none"/>
        </w:rPr>
      </w:pPr>
      <w:r>
        <w:rPr>
          <w:rFonts w:hint="eastAsia" w:ascii="宋体" w:hAnsi="宋体" w:eastAsia="宋体" w:cs="宋体"/>
          <w:color w:val="auto"/>
          <w:highlight w:val="none"/>
        </w:rPr>
        <w:t>4.1 具体合同价款见本合同第3.1项。乙方为履行本合同而发生的所有费用均应包含在合同价款中，甲方不再另行支付</w:t>
      </w:r>
      <w:r>
        <w:rPr>
          <w:rFonts w:hint="eastAsia" w:ascii="宋体" w:hAnsi="宋体" w:cs="宋体"/>
          <w:color w:val="auto"/>
          <w:highlight w:val="none"/>
          <w:lang w:eastAsia="zh-CN"/>
        </w:rPr>
        <w:t>其他</w:t>
      </w:r>
      <w:r>
        <w:rPr>
          <w:rFonts w:hint="eastAsia" w:ascii="宋体" w:hAnsi="宋体" w:eastAsia="宋体" w:cs="宋体"/>
          <w:color w:val="auto"/>
          <w:highlight w:val="none"/>
        </w:rPr>
        <w:t>任何费用。</w:t>
      </w:r>
    </w:p>
    <w:p w14:paraId="597046D0">
      <w:pPr>
        <w:kinsoku/>
        <w:wordWrap/>
        <w:overflowPunct/>
        <w:autoSpaceDE w:val="0"/>
        <w:autoSpaceDN w:val="0"/>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5.履行合同的时间、地点和方式</w:t>
      </w:r>
    </w:p>
    <w:p w14:paraId="17FBC234">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 乙方应当在甲方确定的时间、指定的地点履行合同，具体的交货时间、地点和方式见</w:t>
      </w:r>
      <w:r>
        <w:rPr>
          <w:rFonts w:hint="eastAsia" w:ascii="宋体" w:hAnsi="宋体" w:eastAsia="宋体" w:cs="宋体"/>
          <w:b/>
          <w:bCs/>
          <w:color w:val="auto"/>
          <w:highlight w:val="none"/>
        </w:rPr>
        <w:t>政府采购合同专用条款</w:t>
      </w:r>
      <w:r>
        <w:rPr>
          <w:rFonts w:hint="eastAsia" w:ascii="宋体" w:hAnsi="宋体" w:eastAsia="宋体" w:cs="宋体"/>
          <w:color w:val="auto"/>
          <w:highlight w:val="none"/>
        </w:rPr>
        <w:t>。</w:t>
      </w:r>
    </w:p>
    <w:p w14:paraId="637378AD">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 乙方提供服务应当在甲方指定的地点完成服务项目。</w:t>
      </w:r>
    </w:p>
    <w:p w14:paraId="47404143">
      <w:pPr>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6.</w:t>
      </w:r>
      <w:r>
        <w:rPr>
          <w:rFonts w:hint="eastAsia" w:ascii="宋体" w:hAnsi="宋体" w:eastAsia="宋体" w:cs="宋体"/>
          <w:b/>
          <w:color w:val="auto"/>
          <w:highlight w:val="none"/>
        </w:rPr>
        <w:t>货物的验收</w:t>
      </w:r>
    </w:p>
    <w:p w14:paraId="68B9415D">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6.1 甲方在收到乙方交付的货物后应当及时组织验收。</w:t>
      </w:r>
    </w:p>
    <w:p w14:paraId="03D7DC0A">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6.2 货物的表面瑕疵，甲方应在验收时当面提出；对质量问题有异议的应在安装调试后十个工作日内提出。</w:t>
      </w:r>
    </w:p>
    <w:p w14:paraId="7AE74029">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6.3 在验收过程中发现数量不足或有质量、技术等问题，乙方应负责按照甲方的要求采取补足、更换或退货等处理措施，并承担由此发生的一切费用和损失。</w:t>
      </w:r>
    </w:p>
    <w:p w14:paraId="13A478FA">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6.4 甲方在乙方按合同规定交货或安装、调试后，无正当理由而拖延接收、验收或拒绝接收、验收的，应承担因此给乙方造成的直接损失。</w:t>
      </w:r>
    </w:p>
    <w:p w14:paraId="4DA6BB7D">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6.5 甲方对货物进行检查验收合格后，应当收取发票并在《交货验收单》上签署验收意见及加盖单位印章。</w:t>
      </w:r>
    </w:p>
    <w:p w14:paraId="5F67B8E7">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6.6 大型或者复杂的货物采购项目，甲方可以邀请国家认可的质量检测机构参加验收工作，并由其出具验收报告单。</w:t>
      </w:r>
    </w:p>
    <w:p w14:paraId="716CC873">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6.7 乙方提供的进口产品，乙方应出示中华人民共和国进出口商品检验部门出具的检验证书（采购文件另有约定的除外）。</w:t>
      </w:r>
    </w:p>
    <w:p w14:paraId="2D6878AE">
      <w:pPr>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7.货物包装要求</w:t>
      </w:r>
    </w:p>
    <w:p w14:paraId="3FD9C7D5">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231F0D13">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 每一个包装箱内应附一份详细装箱单、质量证书和保修保养证书。</w:t>
      </w:r>
    </w:p>
    <w:p w14:paraId="44C71D8B">
      <w:pPr>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8.运输和保险</w:t>
      </w:r>
    </w:p>
    <w:p w14:paraId="59BB7463">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8.1乙方负责办理将货物运抵本合同第五条规定的交货地点的一切运输事项，相关费用应包括在合同总价中。</w:t>
      </w:r>
    </w:p>
    <w:p w14:paraId="678C48C1">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8.2乙方应向保险公司投保以甲方为受益人的发运合同货物发票金额的110％运输一切险。</w:t>
      </w:r>
    </w:p>
    <w:p w14:paraId="38AF26DA">
      <w:pPr>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9.质量标准和保证</w:t>
      </w:r>
    </w:p>
    <w:p w14:paraId="671A712E">
      <w:pPr>
        <w:pStyle w:val="18"/>
        <w:kinsoku/>
        <w:wordWrap/>
        <w:overflowPunct/>
        <w:bidi w:val="0"/>
        <w:adjustRightInd w:val="0"/>
        <w:snapToGrid w:val="0"/>
        <w:spacing w:line="50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9.1 质量标准</w:t>
      </w:r>
    </w:p>
    <w:p w14:paraId="431E082F">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（1）本合同下交付的货物应符合第七章采购需求所述的标准。如果没有提及适用标准，则应符合中华人民共和国有关机构发布的最新版本的标准。</w:t>
      </w:r>
    </w:p>
    <w:p w14:paraId="350C6A8F">
      <w:pPr>
        <w:pStyle w:val="18"/>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14:paraId="0479B053">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（3）乙方所出售的货物还应符合国家有关安全、环保、卫生之规定。</w:t>
      </w:r>
    </w:p>
    <w:p w14:paraId="78F35FFC">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9.2 保证</w:t>
      </w:r>
    </w:p>
    <w:p w14:paraId="49A5ACA5">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eastAsia="宋体" w:cs="宋体"/>
          <w:b/>
          <w:bCs/>
          <w:color w:val="auto"/>
          <w:highlight w:val="none"/>
        </w:rPr>
        <w:t>政府采购合同专用条款</w:t>
      </w:r>
      <w:r>
        <w:rPr>
          <w:rFonts w:hint="eastAsia" w:ascii="宋体" w:hAnsi="宋体" w:eastAsia="宋体" w:cs="宋体"/>
          <w:color w:val="auto"/>
          <w:highlight w:val="none"/>
        </w:rPr>
        <w:t>规定或乙方承诺（两者以较长的为准）的质量保证期内，本保证保持有效。</w:t>
      </w:r>
    </w:p>
    <w:p w14:paraId="38BF7EE3">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（2）在质量保证期内所发现的缺陷，甲方应尽快以书面形式通知乙方。</w:t>
      </w:r>
    </w:p>
    <w:p w14:paraId="649033AD">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（3）乙方收到通知后应在</w:t>
      </w:r>
      <w:r>
        <w:rPr>
          <w:rFonts w:hint="eastAsia" w:ascii="宋体" w:hAnsi="宋体" w:eastAsia="宋体" w:cs="宋体"/>
          <w:b/>
          <w:bCs/>
          <w:color w:val="auto"/>
          <w:highlight w:val="none"/>
        </w:rPr>
        <w:t>政府采购合同专用条款</w:t>
      </w:r>
      <w:r>
        <w:rPr>
          <w:rFonts w:hint="eastAsia" w:ascii="宋体" w:hAnsi="宋体" w:eastAsia="宋体" w:cs="宋体"/>
          <w:color w:val="auto"/>
          <w:highlight w:val="none"/>
        </w:rPr>
        <w:t>规定的响应时间内以合理的速度免费维修或更换有缺陷的货物或部件。</w:t>
      </w:r>
    </w:p>
    <w:p w14:paraId="724F455D">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（4）在质量保证期内，如果货物的质量或规格与合同不符，或证实货物是有缺陷的，包括潜在的缺陷或使用不符合要求的材料等，甲方可以根据本合同第15.1项规定以书面形式向乙方提出补救措施或索赔。</w:t>
      </w:r>
    </w:p>
    <w:p w14:paraId="0A2FE877">
      <w:pPr>
        <w:kinsoku/>
        <w:wordWrap/>
        <w:overflowPunct/>
        <w:bidi w:val="0"/>
        <w:adjustRightInd w:val="0"/>
        <w:snapToGrid w:val="0"/>
        <w:spacing w:line="50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（5）乙方在约定的时间内未能弥补缺陷，甲方可采取必要的补救措施，但其风险和费用将由乙方承担，甲方根据合同规定对乙方行使的其他权利不受影响。</w:t>
      </w:r>
    </w:p>
    <w:p w14:paraId="299C76F0">
      <w:pPr>
        <w:kinsoku/>
        <w:wordWrap/>
        <w:overflowPunct/>
        <w:autoSpaceDE w:val="0"/>
        <w:autoSpaceDN w:val="0"/>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10.权利瑕疵担保</w:t>
      </w:r>
    </w:p>
    <w:p w14:paraId="123C1B8E">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10.1 乙方保证对其出售的货物享有合法的权利。</w:t>
      </w:r>
    </w:p>
    <w:p w14:paraId="36A15B57">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10.2 乙方保证在其出售的货物上不存在任何未曾向甲方透露的担保物权，如抵押权、质押权、留置权等。</w:t>
      </w:r>
    </w:p>
    <w:p w14:paraId="2569F4F5">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10.3 如甲方使用该货物构成上述侵权的，则由乙方承担全部责任。</w:t>
      </w:r>
    </w:p>
    <w:p w14:paraId="3BCAE193">
      <w:pPr>
        <w:kinsoku/>
        <w:wordWrap/>
        <w:overflowPunct/>
        <w:autoSpaceDE w:val="0"/>
        <w:autoSpaceDN w:val="0"/>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11.知识产权保护</w:t>
      </w:r>
    </w:p>
    <w:p w14:paraId="00583397">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11.1 乙方对其所销售的货物应当享有知识产权或经权利人合法授权，保证没有侵犯任何第三人的知识产权和商业秘密等权利。</w:t>
      </w:r>
    </w:p>
    <w:p w14:paraId="5CF15456">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甲方使用乙方提供的货物对第三人构成侵权的，应当由乙方承担全部法律责任，给甲方造成损害的，乙方应当承担赔偿责任。</w:t>
      </w:r>
    </w:p>
    <w:p w14:paraId="20022B65">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甲方委托乙方开发的产品，甲方享有知识产权，未经甲方许可不得转让任何第三人。</w:t>
      </w:r>
    </w:p>
    <w:p w14:paraId="09E2E224">
      <w:pPr>
        <w:kinsoku/>
        <w:wordWrap/>
        <w:overflowPunct/>
        <w:autoSpaceDE w:val="0"/>
        <w:autoSpaceDN w:val="0"/>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12.保密义务</w:t>
      </w:r>
    </w:p>
    <w:p w14:paraId="13B5AE99">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12.1 甲、乙双方在采购和履行合同过程中所获悉的对方属于保密的内容，甲乙双方均有保密义务。</w:t>
      </w:r>
    </w:p>
    <w:p w14:paraId="66A75AAE">
      <w:pPr>
        <w:kinsoku/>
        <w:wordWrap/>
        <w:overflowPunct/>
        <w:autoSpaceDE w:val="0"/>
        <w:autoSpaceDN w:val="0"/>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13.合同价款支付</w:t>
      </w:r>
    </w:p>
    <w:p w14:paraId="035DEF82">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13.1验收合格后，乙方出具正规发票给甲方，凭甲方开具的《政府采购合同验收报告单》办理合同价</w:t>
      </w:r>
      <w:r>
        <w:rPr>
          <w:rFonts w:hint="eastAsia" w:ascii="宋体" w:hAnsi="宋体" w:eastAsia="宋体" w:cs="宋体"/>
          <w:bCs/>
          <w:color w:val="auto"/>
          <w:highlight w:val="none"/>
        </w:rPr>
        <w:t>款</w:t>
      </w:r>
      <w:r>
        <w:rPr>
          <w:rFonts w:hint="eastAsia" w:ascii="宋体" w:hAnsi="宋体" w:eastAsia="宋体" w:cs="宋体"/>
          <w:color w:val="auto"/>
          <w:highlight w:val="none"/>
        </w:rPr>
        <w:t>结算手续。</w:t>
      </w:r>
    </w:p>
    <w:p w14:paraId="67A4BAD9">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13.2 合同价款构成中应当由财政支付的部分，甲方应当在货物验收合格后的十五个工作日内向国库管理部门申请支付，经国库管理部门审核后直接支付给乙方。</w:t>
      </w:r>
    </w:p>
    <w:p w14:paraId="75CF7FC2">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13.3 合同价款构成中应当由甲方自行支付的部分，甲方应当在货物验收合格后十五个工作</w:t>
      </w:r>
      <w:r>
        <w:rPr>
          <w:rFonts w:hint="eastAsia" w:ascii="宋体" w:hAnsi="宋体" w:cs="宋体"/>
          <w:color w:val="auto"/>
          <w:highlight w:val="none"/>
          <w:lang w:val="en-US" w:eastAsia="zh-CN"/>
        </w:rPr>
        <w:t>日</w:t>
      </w:r>
      <w:r>
        <w:rPr>
          <w:rFonts w:hint="eastAsia" w:ascii="宋体" w:hAnsi="宋体" w:eastAsia="宋体" w:cs="宋体"/>
          <w:color w:val="auto"/>
          <w:highlight w:val="none"/>
        </w:rPr>
        <w:t>内支付。</w:t>
      </w:r>
    </w:p>
    <w:p w14:paraId="7A213D52">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13.4支付合同价</w:t>
      </w:r>
      <w:r>
        <w:rPr>
          <w:rFonts w:hint="eastAsia" w:ascii="宋体" w:hAnsi="宋体" w:eastAsia="宋体" w:cs="宋体"/>
          <w:bCs/>
          <w:color w:val="auto"/>
          <w:highlight w:val="none"/>
        </w:rPr>
        <w:t>款</w:t>
      </w:r>
      <w:r>
        <w:rPr>
          <w:rFonts w:hint="eastAsia" w:ascii="宋体" w:hAnsi="宋体" w:eastAsia="宋体" w:cs="宋体"/>
          <w:color w:val="auto"/>
          <w:highlight w:val="none"/>
        </w:rPr>
        <w:t>时，一律不向乙方以外的任何第三方办理付款手续。开户行和</w:t>
      </w:r>
      <w:r>
        <w:rPr>
          <w:rFonts w:hint="eastAsia" w:ascii="宋体" w:hAnsi="宋体" w:cs="宋体"/>
          <w:color w:val="auto"/>
          <w:highlight w:val="none"/>
          <w:lang w:eastAsia="zh-CN"/>
        </w:rPr>
        <w:t>账号以</w:t>
      </w:r>
      <w:r>
        <w:rPr>
          <w:rFonts w:hint="eastAsia" w:ascii="宋体" w:hAnsi="宋体" w:eastAsia="宋体" w:cs="宋体"/>
          <w:color w:val="auto"/>
          <w:highlight w:val="none"/>
        </w:rPr>
        <w:t>签订的政府采购合同为准，如果乙方要求变更，则乙方必须提供加盖财务专用章、法人代表签字的证明文件，报经甲方审查核准，并报财政部门备案。</w:t>
      </w:r>
    </w:p>
    <w:p w14:paraId="34600D33">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13.5 合同价款支付方式和条件在政府采购合同专用条款中另有规定。</w:t>
      </w:r>
    </w:p>
    <w:p w14:paraId="2D744D72">
      <w:pPr>
        <w:kinsoku/>
        <w:wordWrap/>
        <w:overflowPunct/>
        <w:autoSpaceDE w:val="0"/>
        <w:autoSpaceDN w:val="0"/>
        <w:bidi w:val="0"/>
        <w:adjustRightInd w:val="0"/>
        <w:snapToGrid w:val="0"/>
        <w:spacing w:line="500" w:lineRule="exact"/>
        <w:rPr>
          <w:rFonts w:hint="eastAsia" w:ascii="宋体" w:hAnsi="宋体" w:eastAsia="宋体" w:cs="宋体"/>
          <w:b/>
          <w:color w:val="auto"/>
          <w:highlight w:val="none"/>
        </w:rPr>
      </w:pPr>
      <w:r>
        <w:rPr>
          <w:rFonts w:hint="eastAsia" w:ascii="宋体" w:hAnsi="宋体" w:eastAsia="宋体" w:cs="宋体"/>
          <w:b/>
          <w:bCs/>
          <w:color w:val="auto"/>
          <w:highlight w:val="none"/>
        </w:rPr>
        <w:t>14.</w:t>
      </w:r>
      <w:r>
        <w:rPr>
          <w:rFonts w:hint="eastAsia" w:ascii="宋体" w:hAnsi="宋体" w:eastAsia="宋体" w:cs="宋体"/>
          <w:b/>
          <w:color w:val="auto"/>
          <w:highlight w:val="none"/>
        </w:rPr>
        <w:t>伴随服务</w:t>
      </w:r>
    </w:p>
    <w:p w14:paraId="1906F8C8">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14.1 乙方应向甲方提交所提供货物的技术文件，包括相应的中文技术文件，如：产品目录、图纸、操作手册、使用说明、维护手册或服务指南。这些文件应包装好随同货物一起发运。</w:t>
      </w:r>
    </w:p>
    <w:p w14:paraId="0BB39E7F">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14.2 乙方还应提供下列服务：</w:t>
      </w:r>
    </w:p>
    <w:p w14:paraId="182F5DC0">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（1）货物的现场移动、安装、调试、启动监督及技术支持；</w:t>
      </w:r>
    </w:p>
    <w:p w14:paraId="48FE0199">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（2）提供货物组装和维修所需的专用工具和辅助材料；</w:t>
      </w:r>
    </w:p>
    <w:p w14:paraId="0656FD8C">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（3）在合同各方商定的一定期限内对所有的货物实施运行监督、维修，但前提条件是该服务并不能免除乙方在质量保证期内所承担的义务；</w:t>
      </w:r>
    </w:p>
    <w:p w14:paraId="795E7721">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（4）在制造商或项目现场就货物的安装、启动、运营、维护对甲方操作人员进行培训。</w:t>
      </w:r>
    </w:p>
    <w:p w14:paraId="3CC309D0">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b/>
          <w:bCs/>
          <w:color w:val="auto"/>
          <w:highlight w:val="none"/>
        </w:rPr>
        <w:t>政府采购合同专用条款</w:t>
      </w:r>
      <w:r>
        <w:rPr>
          <w:rFonts w:hint="eastAsia" w:ascii="宋体" w:hAnsi="宋体" w:eastAsia="宋体" w:cs="宋体"/>
          <w:color w:val="auto"/>
          <w:highlight w:val="none"/>
        </w:rPr>
        <w:t>与第四章采购需求规定的其他伴随服务</w:t>
      </w:r>
    </w:p>
    <w:p w14:paraId="44FF0803">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14.3 乙方提供的伴随服务的费用应包含在合同价款中，甲方不再另行支付。</w:t>
      </w:r>
    </w:p>
    <w:p w14:paraId="0AC3F10D">
      <w:pPr>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15.违约责任</w:t>
      </w:r>
    </w:p>
    <w:p w14:paraId="78AEF078">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15.1质量瑕疵的补救措施和索赔</w:t>
      </w:r>
    </w:p>
    <w:p w14:paraId="6B075416">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76C37D60">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①乙方同意退货并将货款退还给甲方，由此发生的一切费用和损失由乙方承担。</w:t>
      </w:r>
    </w:p>
    <w:p w14:paraId="70FB63D2">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②根据货物的质量状况以及甲方所遭受的损失，经过甲乙双方商定降低货物的价格。</w:t>
      </w:r>
    </w:p>
    <w:p w14:paraId="48E0CEA5">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232F8FE3">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2B21EBBE">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15.2 迟延交货的违约责任</w:t>
      </w:r>
    </w:p>
    <w:p w14:paraId="055C53AD">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30186712">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（2）除本合同</w:t>
      </w:r>
      <w:r>
        <w:rPr>
          <w:rFonts w:hint="eastAsia" w:ascii="宋体" w:hAnsi="宋体" w:eastAsia="宋体" w:cs="宋体"/>
          <w:bCs/>
          <w:color w:val="auto"/>
          <w:highlight w:val="none"/>
        </w:rPr>
        <w:t>第19条</w:t>
      </w:r>
      <w:r>
        <w:rPr>
          <w:rFonts w:hint="eastAsia" w:ascii="宋体" w:hAnsi="宋体" w:eastAsia="宋体" w:cs="宋体"/>
          <w:color w:val="auto"/>
          <w:highlight w:val="none"/>
        </w:rPr>
        <w:t>规定情况外，如果乙方没有按照合同规定的时间交货和提供服务，甲方有权从货款中扣除误期赔偿费而不影响合同项下的其他补救方法，赔偿费按每周（一周按七日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76C8D5E4">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41A70E57">
      <w:pPr>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16.合同的变更</w:t>
      </w:r>
    </w:p>
    <w:p w14:paraId="4AAF4ED4">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16.1 在合同履行过程中，甲、乙双方可就合同履行的时间、地点和方式等协商进行变更。协商一致后，双方应签订书面的补充协议。</w:t>
      </w:r>
    </w:p>
    <w:p w14:paraId="512DBAC8">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16.2 在不改变合同其他条款的前提下，甲方有权在合同价款百分之十的范围内追加与合同标的相同的货物或服务，并就此与乙方签订补充合同，乙方不得拒绝。</w:t>
      </w:r>
    </w:p>
    <w:p w14:paraId="122DD481">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16.3 除双方签署书面协议，并成为合同不可分割的一部分外，本合同条件不得有任何变更。</w:t>
      </w:r>
    </w:p>
    <w:p w14:paraId="714462C8">
      <w:pPr>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17.合同中止与终止</w:t>
      </w:r>
    </w:p>
    <w:p w14:paraId="70ACE9DB">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17.1合同的中止</w:t>
      </w:r>
    </w:p>
    <w:p w14:paraId="60F8C285">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（1）合同在履行过程中，因采购计划调整，甲方可以要求中止履行，待计划确定后继续履行；</w:t>
      </w:r>
    </w:p>
    <w:p w14:paraId="37C67318">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（2）合同履行过程中因供应商就采购过程或结果提起投诉的，甲方认为有必要或财政部门责令中止的，应当中止合同的履行。</w:t>
      </w:r>
    </w:p>
    <w:p w14:paraId="1CB14FBE">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17.2合同的终止</w:t>
      </w:r>
    </w:p>
    <w:p w14:paraId="187CEF87">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（1）合同因有效期限届满而终止；</w:t>
      </w:r>
    </w:p>
    <w:p w14:paraId="08A77F14">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（2）乙方未能依照本合同约定条件履行合同，已构成根本性违约的，甲方有权终止本合同，并追究乙方的违约责任。</w:t>
      </w:r>
    </w:p>
    <w:p w14:paraId="11562835">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（3）如果乙方丧失履约能力或被宣告破产，甲方可在任何时候以书面形式通知乙方终止合同而不给乙方补偿。</w:t>
      </w:r>
    </w:p>
    <w:p w14:paraId="34FD7A00">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（4）如果乙方在履行合同过程中有不正当竞争行为，甲方有权解除合同，并按《中华人民共和国反不正当竞争法》规定由有关部门追究其法律责任。</w:t>
      </w:r>
    </w:p>
    <w:p w14:paraId="107D6246">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（5）如果合同的履行将损害国家利益或社会公共利益，甲方有权终止合同的履行，给乙方造成损失的予以相应补偿。</w:t>
      </w:r>
    </w:p>
    <w:p w14:paraId="71A222F4">
      <w:pPr>
        <w:kinsoku/>
        <w:wordWrap/>
        <w:overflowPunct/>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18.合同转让和分包</w:t>
      </w:r>
    </w:p>
    <w:p w14:paraId="2A97F9BF">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18.1 乙方不得以任何形式将合同转包。</w:t>
      </w:r>
    </w:p>
    <w:p w14:paraId="012559C6">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18.2 乙方未在响应文件中说明，且未经甲方书面同意，乙方不得将</w:t>
      </w:r>
      <w:r>
        <w:rPr>
          <w:rFonts w:hint="eastAsia" w:ascii="宋体" w:hAnsi="宋体" w:eastAsia="宋体" w:cs="宋体"/>
          <w:bCs/>
          <w:color w:val="auto"/>
          <w:highlight w:val="none"/>
        </w:rPr>
        <w:t>合同</w:t>
      </w:r>
      <w:r>
        <w:rPr>
          <w:rFonts w:hint="eastAsia" w:ascii="宋体" w:hAnsi="宋体" w:eastAsia="宋体" w:cs="宋体"/>
          <w:color w:val="auto"/>
          <w:highlight w:val="none"/>
        </w:rPr>
        <w:t>的主体、关键性工作分包给他人。</w:t>
      </w:r>
    </w:p>
    <w:p w14:paraId="38754DC6">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18.3 根据政府采购</w:t>
      </w:r>
      <w:r>
        <w:rPr>
          <w:rFonts w:hint="eastAsia" w:ascii="宋体" w:hAnsi="宋体" w:eastAsia="宋体" w:cs="宋体"/>
          <w:bCs/>
          <w:color w:val="auto"/>
          <w:kern w:val="0"/>
          <w:highlight w:val="none"/>
        </w:rPr>
        <w:t>支持</w:t>
      </w:r>
      <w:r>
        <w:rPr>
          <w:rFonts w:hint="eastAsia" w:ascii="宋体" w:hAnsi="宋体" w:eastAsia="宋体" w:cs="宋体"/>
          <w:color w:val="auto"/>
          <w:highlight w:val="none"/>
        </w:rPr>
        <w:t>中小企业发展政策规定，经甲方同意，获得政府采购合同的大型企业可依法向中小企业分包。</w:t>
      </w:r>
    </w:p>
    <w:p w14:paraId="3C03CBC6">
      <w:pPr>
        <w:kinsoku/>
        <w:wordWrap/>
        <w:overflowPunct/>
        <w:autoSpaceDE w:val="0"/>
        <w:autoSpaceDN w:val="0"/>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19.不可抗力</w:t>
      </w:r>
    </w:p>
    <w:p w14:paraId="3E13FBA7">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19.1 不可抗力是指合同双方不可预见、不可避免、不可克服的自然灾害和社会事件。</w:t>
      </w:r>
    </w:p>
    <w:p w14:paraId="093D3921">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19.2 任何一方对由于不可抗力造成的部分或全部不能履行合同不承担违约责任。但迟延履行后发生不可抗力的，不能免除责任。</w:t>
      </w:r>
    </w:p>
    <w:p w14:paraId="448B3585">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19.3 遇有不可抗力的一方，应在三日内将事件的情况以书面形式通知另一方，并在事件发生后十日内，向另一方提交合同不能履行或部分不能履行或需要延期履行理由的报告。</w:t>
      </w:r>
    </w:p>
    <w:p w14:paraId="0DA9F9AD">
      <w:pPr>
        <w:kinsoku/>
        <w:wordWrap/>
        <w:overflowPunct/>
        <w:autoSpaceDE w:val="0"/>
        <w:autoSpaceDN w:val="0"/>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20.解决争议的方法</w:t>
      </w:r>
    </w:p>
    <w:p w14:paraId="4ADE8676">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20.1 合同各方应通过友好协商，解决在执行合同过程中所发生的或与合同有关的一切争端。如从协商开始后十日内仍不能解决，可以向财政部门提请调解。</w:t>
      </w:r>
    </w:p>
    <w:p w14:paraId="7913FE24">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20.2 调解不成可以按</w:t>
      </w:r>
      <w:r>
        <w:rPr>
          <w:rFonts w:hint="eastAsia" w:ascii="宋体" w:hAnsi="宋体" w:eastAsia="宋体" w:cs="宋体"/>
          <w:b/>
          <w:bCs/>
          <w:color w:val="auto"/>
          <w:highlight w:val="none"/>
        </w:rPr>
        <w:t>政府采购合同专用条款</w:t>
      </w:r>
      <w:r>
        <w:rPr>
          <w:rFonts w:hint="eastAsia" w:ascii="宋体" w:hAnsi="宋体" w:eastAsia="宋体" w:cs="宋体"/>
          <w:color w:val="auto"/>
          <w:highlight w:val="none"/>
        </w:rPr>
        <w:t>中规定下列方式之一提起仲裁或诉讼：</w:t>
      </w:r>
    </w:p>
    <w:p w14:paraId="6EDCE0A7">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（1）向甲方所在地仲裁机构提起仲裁；</w:t>
      </w:r>
    </w:p>
    <w:p w14:paraId="30EBBD90">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（2）向甲方所在地人民法院提起诉讼。</w:t>
      </w:r>
    </w:p>
    <w:p w14:paraId="3794D013">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20.3 如仲裁或诉讼事项不影响合同其</w:t>
      </w:r>
      <w:r>
        <w:rPr>
          <w:rFonts w:hint="eastAsia" w:ascii="宋体" w:hAnsi="宋体" w:cs="宋体"/>
          <w:color w:val="auto"/>
          <w:highlight w:val="none"/>
          <w:lang w:val="en-US" w:eastAsia="zh-CN"/>
        </w:rPr>
        <w:t>他</w:t>
      </w:r>
      <w:r>
        <w:rPr>
          <w:rFonts w:hint="eastAsia" w:ascii="宋体" w:hAnsi="宋体" w:eastAsia="宋体" w:cs="宋体"/>
          <w:color w:val="auto"/>
          <w:highlight w:val="none"/>
        </w:rPr>
        <w:t>部分的履行，则在仲裁或诉讼期间，除正在进行仲裁或诉讼的部分外，合同的其</w:t>
      </w:r>
      <w:r>
        <w:rPr>
          <w:rFonts w:hint="eastAsia" w:ascii="宋体" w:hAnsi="宋体" w:cs="宋体"/>
          <w:color w:val="auto"/>
          <w:highlight w:val="none"/>
          <w:lang w:val="en-US" w:eastAsia="zh-CN"/>
        </w:rPr>
        <w:t>他</w:t>
      </w:r>
      <w:r>
        <w:rPr>
          <w:rFonts w:hint="eastAsia" w:ascii="宋体" w:hAnsi="宋体" w:eastAsia="宋体" w:cs="宋体"/>
          <w:color w:val="auto"/>
          <w:highlight w:val="none"/>
        </w:rPr>
        <w:t>部分应继续执行。</w:t>
      </w:r>
    </w:p>
    <w:p w14:paraId="5AAA5229">
      <w:pPr>
        <w:kinsoku/>
        <w:wordWrap/>
        <w:overflowPunct/>
        <w:autoSpaceDE w:val="0"/>
        <w:autoSpaceDN w:val="0"/>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21.法律适用</w:t>
      </w:r>
    </w:p>
    <w:p w14:paraId="73A806B9">
      <w:pPr>
        <w:kinsoku/>
        <w:wordWrap/>
        <w:overflowPunct/>
        <w:autoSpaceDE w:val="0"/>
        <w:autoSpaceDN w:val="0"/>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21.1 本合同适用中华人民共和国现行法律、行政法规和规章，如合同条款与法律、行政法规和规章不一致的，按照法律、行政法规和规章修改本合同。</w:t>
      </w:r>
    </w:p>
    <w:p w14:paraId="1F6E71C4">
      <w:pPr>
        <w:kinsoku/>
        <w:wordWrap/>
        <w:overflowPunct/>
        <w:autoSpaceDE w:val="0"/>
        <w:autoSpaceDN w:val="0"/>
        <w:bidi w:val="0"/>
        <w:adjustRightInd w:val="0"/>
        <w:snapToGrid w:val="0"/>
        <w:spacing w:line="500" w:lineRule="exact"/>
        <w:rPr>
          <w:rFonts w:hint="eastAsia" w:ascii="宋体" w:hAnsi="宋体" w:eastAsia="宋体" w:cs="宋体"/>
          <w:b/>
          <w:color w:val="auto"/>
          <w:highlight w:val="none"/>
        </w:rPr>
      </w:pPr>
      <w:r>
        <w:rPr>
          <w:rFonts w:hint="eastAsia" w:ascii="宋体" w:hAnsi="宋体" w:eastAsia="宋体" w:cs="宋体"/>
          <w:b/>
          <w:bCs/>
          <w:color w:val="auto"/>
          <w:highlight w:val="none"/>
        </w:rPr>
        <w:t>22.</w:t>
      </w:r>
      <w:r>
        <w:rPr>
          <w:rFonts w:hint="eastAsia" w:ascii="宋体" w:hAnsi="宋体" w:eastAsia="宋体" w:cs="宋体"/>
          <w:b/>
          <w:color w:val="auto"/>
          <w:highlight w:val="none"/>
        </w:rPr>
        <w:t>通知</w:t>
      </w:r>
    </w:p>
    <w:p w14:paraId="3321EA32">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22.1本合同一方给另一方的通知均应采用书面形式，传真或快递送到本合同中规定的对方的地址和办理签收手续，</w:t>
      </w:r>
    </w:p>
    <w:p w14:paraId="0AF01F6E">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22.2通知以</w:t>
      </w:r>
      <w:r>
        <w:rPr>
          <w:rFonts w:hint="eastAsia" w:ascii="宋体" w:hAnsi="宋体" w:cs="宋体"/>
          <w:color w:val="auto"/>
          <w:highlight w:val="none"/>
          <w:lang w:eastAsia="zh-CN"/>
        </w:rPr>
        <w:t>送达</w:t>
      </w:r>
      <w:r>
        <w:rPr>
          <w:rFonts w:hint="eastAsia" w:ascii="宋体" w:hAnsi="宋体" w:eastAsia="宋体" w:cs="宋体"/>
          <w:color w:val="auto"/>
          <w:highlight w:val="none"/>
        </w:rPr>
        <w:t>之日或通知书中规定的生效之日起生效，两者中以较迟之日为准。</w:t>
      </w:r>
    </w:p>
    <w:p w14:paraId="4397CC31">
      <w:pPr>
        <w:kinsoku/>
        <w:wordWrap/>
        <w:overflowPunct/>
        <w:autoSpaceDE w:val="0"/>
        <w:autoSpaceDN w:val="0"/>
        <w:bidi w:val="0"/>
        <w:adjustRightInd w:val="0"/>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23.合同生效</w:t>
      </w:r>
    </w:p>
    <w:p w14:paraId="68F7559C">
      <w:pPr>
        <w:kinsoku/>
        <w:wordWrap/>
        <w:overflowPunct/>
        <w:bidi w:val="0"/>
        <w:adjustRightInd w:val="0"/>
        <w:snapToGrid w:val="0"/>
        <w:spacing w:line="50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23.1 本合同在合同各方签字盖章后生效</w:t>
      </w:r>
    </w:p>
    <w:p w14:paraId="0B771EF0">
      <w:pPr>
        <w:pStyle w:val="18"/>
        <w:kinsoku/>
        <w:wordWrap/>
        <w:overflowPunct/>
        <w:bidi w:val="0"/>
        <w:adjustRightInd w:val="0"/>
        <w:snapToGrid w:val="0"/>
        <w:spacing w:line="500" w:lineRule="exact"/>
        <w:rPr>
          <w:rFonts w:hint="eastAsia" w:ascii="宋体" w:hAnsi="宋体" w:eastAsia="宋体" w:cs="宋体"/>
          <w:b/>
          <w:color w:val="auto"/>
          <w:highlight w:val="none"/>
        </w:rPr>
      </w:pPr>
      <w:r>
        <w:rPr>
          <w:rFonts w:hint="eastAsia" w:ascii="宋体" w:hAnsi="宋体" w:eastAsia="宋体" w:cs="宋体"/>
          <w:b/>
          <w:color w:val="auto"/>
          <w:highlight w:val="none"/>
        </w:rPr>
        <w:t>24.附则</w:t>
      </w:r>
    </w:p>
    <w:p w14:paraId="6887F3C9">
      <w:pPr>
        <w:kinsoku/>
        <w:wordWrap/>
        <w:overflowPunct/>
        <w:bidi w:val="0"/>
        <w:adjustRightInd w:val="0"/>
        <w:snapToGrid w:val="0"/>
        <w:spacing w:line="50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24.1本合同未尽事宜，见</w:t>
      </w:r>
      <w:r>
        <w:rPr>
          <w:rFonts w:hint="eastAsia" w:ascii="宋体" w:hAnsi="宋体" w:eastAsia="宋体" w:cs="宋体"/>
          <w:b/>
          <w:bCs/>
          <w:color w:val="auto"/>
          <w:highlight w:val="none"/>
        </w:rPr>
        <w:t>政府采购合同专用条款</w:t>
      </w:r>
      <w:r>
        <w:rPr>
          <w:rFonts w:hint="eastAsia" w:ascii="宋体" w:hAnsi="宋体" w:eastAsia="宋体" w:cs="宋体"/>
          <w:b/>
          <w:color w:val="auto"/>
          <w:highlight w:val="none"/>
        </w:rPr>
        <w:t>。</w:t>
      </w:r>
    </w:p>
    <w:p w14:paraId="4DBD89EE">
      <w:pPr>
        <w:kinsoku/>
        <w:wordWrap/>
        <w:overflowPunct/>
        <w:bidi w:val="0"/>
        <w:adjustRightInd w:val="0"/>
        <w:snapToGrid w:val="0"/>
        <w:spacing w:line="500" w:lineRule="exact"/>
        <w:rPr>
          <w:rFonts w:hint="eastAsia" w:ascii="宋体" w:hAnsi="宋体" w:eastAsia="宋体" w:cs="宋体"/>
          <w:color w:val="auto"/>
          <w:highlight w:val="none"/>
        </w:rPr>
      </w:pPr>
    </w:p>
    <w:p w14:paraId="32556E67">
      <w:pPr>
        <w:tabs>
          <w:tab w:val="left" w:pos="8820"/>
          <w:tab w:val="left" w:pos="9345"/>
          <w:tab w:val="left" w:pos="9765"/>
        </w:tabs>
        <w:kinsoku/>
        <w:wordWrap/>
        <w:overflowPunct/>
        <w:bidi w:val="0"/>
        <w:adjustRightInd w:val="0"/>
        <w:snapToGrid w:val="0"/>
        <w:spacing w:before="156" w:beforeLines="50" w:line="500" w:lineRule="exact"/>
        <w:ind w:right="384" w:rightChars="183"/>
        <w:rPr>
          <w:rFonts w:hint="eastAsia" w:ascii="宋体" w:hAnsi="宋体" w:eastAsia="宋体" w:cs="宋体"/>
          <w:bCs/>
          <w:color w:val="auto"/>
          <w:sz w:val="30"/>
          <w:szCs w:val="30"/>
          <w:highlight w:val="none"/>
        </w:rPr>
      </w:pPr>
    </w:p>
    <w:p w14:paraId="6A507419">
      <w:pPr>
        <w:tabs>
          <w:tab w:val="left" w:pos="8820"/>
          <w:tab w:val="left" w:pos="9345"/>
          <w:tab w:val="left" w:pos="9765"/>
        </w:tabs>
        <w:kinsoku/>
        <w:wordWrap/>
        <w:overflowPunct/>
        <w:bidi w:val="0"/>
        <w:adjustRightInd w:val="0"/>
        <w:snapToGrid w:val="0"/>
        <w:spacing w:before="156" w:beforeLines="50" w:line="500" w:lineRule="exact"/>
        <w:ind w:right="384" w:rightChars="183"/>
        <w:rPr>
          <w:rFonts w:hint="eastAsia" w:ascii="宋体" w:hAnsi="宋体" w:eastAsia="宋体" w:cs="宋体"/>
          <w:bCs/>
          <w:color w:val="auto"/>
          <w:sz w:val="30"/>
          <w:szCs w:val="30"/>
          <w:highlight w:val="none"/>
        </w:rPr>
      </w:pPr>
    </w:p>
    <w:p w14:paraId="30D50242">
      <w:pPr>
        <w:keepNext/>
        <w:pageBreakBefore/>
        <w:tabs>
          <w:tab w:val="left" w:pos="8820"/>
          <w:tab w:val="left" w:pos="9345"/>
          <w:tab w:val="left" w:pos="9765"/>
        </w:tabs>
        <w:kinsoku/>
        <w:wordWrap/>
        <w:overflowPunct/>
        <w:bidi w:val="0"/>
        <w:adjustRightInd w:val="0"/>
        <w:snapToGrid w:val="0"/>
        <w:spacing w:before="156" w:beforeLines="50" w:line="500" w:lineRule="exact"/>
        <w:ind w:right="384" w:rightChars="183"/>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三、政府采购合同专用条款</w:t>
      </w:r>
    </w:p>
    <w:p w14:paraId="55830695">
      <w:pPr>
        <w:kinsoku/>
        <w:wordWrap/>
        <w:overflowPunct/>
        <w:bidi w:val="0"/>
        <w:spacing w:line="500" w:lineRule="exact"/>
        <w:jc w:val="center"/>
        <w:rPr>
          <w:rFonts w:hint="eastAsia" w:ascii="宋体" w:hAnsi="宋体" w:eastAsia="宋体" w:cs="宋体"/>
          <w:bCs/>
          <w:color w:val="auto"/>
          <w:sz w:val="32"/>
          <w:szCs w:val="32"/>
          <w:highlight w:val="none"/>
        </w:rPr>
      </w:pPr>
    </w:p>
    <w:p w14:paraId="63989904">
      <w:pPr>
        <w:pStyle w:val="16"/>
        <w:kinsoku/>
        <w:wordWrap/>
        <w:overflowPunct/>
        <w:bidi w:val="0"/>
        <w:snapToGrid w:val="0"/>
        <w:spacing w:line="500" w:lineRule="exact"/>
        <w:ind w:left="105" w:leftChars="50"/>
        <w:jc w:val="center"/>
        <w:rPr>
          <w:rFonts w:hint="eastAsia" w:ascii="宋体" w:hAnsi="宋体" w:eastAsia="宋体" w:cs="宋体"/>
          <w:bCs/>
          <w:color w:val="auto"/>
          <w:highlight w:val="none"/>
        </w:rPr>
      </w:pPr>
      <w:r>
        <w:rPr>
          <w:rFonts w:hint="eastAsia" w:ascii="宋体" w:hAnsi="宋体" w:eastAsia="宋体" w:cs="宋体"/>
          <w:b/>
          <w:bCs/>
          <w:color w:val="auto"/>
          <w:sz w:val="36"/>
          <w:szCs w:val="36"/>
          <w:highlight w:val="none"/>
        </w:rPr>
        <w:t>政府采购合同专用条款</w:t>
      </w:r>
    </w:p>
    <w:tbl>
      <w:tblPr>
        <w:tblStyle w:val="29"/>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56"/>
        <w:gridCol w:w="2880"/>
        <w:gridCol w:w="4416"/>
      </w:tblGrid>
      <w:tr w14:paraId="41AD6C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56" w:type="dxa"/>
            <w:vAlign w:val="center"/>
          </w:tcPr>
          <w:p w14:paraId="0C35075E">
            <w:pPr>
              <w:kinsoku/>
              <w:wordWrap/>
              <w:overflowPunct/>
              <w:bidi w:val="0"/>
              <w:adjustRightInd w:val="0"/>
              <w:snapToGrid w:val="0"/>
              <w:spacing w:line="500" w:lineRule="exact"/>
              <w:rPr>
                <w:rFonts w:hint="eastAsia" w:ascii="宋体" w:hAnsi="宋体" w:eastAsia="宋体" w:cs="宋体"/>
                <w:b/>
                <w:color w:val="auto"/>
                <w:sz w:val="30"/>
                <w:szCs w:val="30"/>
                <w:highlight w:val="none"/>
              </w:rPr>
            </w:pPr>
            <w:r>
              <w:rPr>
                <w:rFonts w:hint="eastAsia" w:ascii="宋体" w:hAnsi="宋体" w:eastAsia="宋体" w:cs="宋体"/>
                <w:b/>
                <w:color w:val="auto"/>
                <w:highlight w:val="none"/>
              </w:rPr>
              <w:t>条款号</w:t>
            </w:r>
          </w:p>
        </w:tc>
        <w:tc>
          <w:tcPr>
            <w:tcW w:w="2880" w:type="dxa"/>
            <w:vAlign w:val="center"/>
          </w:tcPr>
          <w:p w14:paraId="12BF88F9">
            <w:pPr>
              <w:kinsoku/>
              <w:wordWrap/>
              <w:overflowPunct/>
              <w:bidi w:val="0"/>
              <w:adjustRightInd w:val="0"/>
              <w:snapToGrid w:val="0"/>
              <w:spacing w:line="500" w:lineRule="exact"/>
              <w:rPr>
                <w:rFonts w:hint="eastAsia" w:ascii="宋体" w:hAnsi="宋体" w:eastAsia="宋体" w:cs="宋体"/>
                <w:b/>
                <w:color w:val="auto"/>
                <w:sz w:val="30"/>
                <w:szCs w:val="30"/>
                <w:highlight w:val="none"/>
              </w:rPr>
            </w:pPr>
            <w:r>
              <w:rPr>
                <w:rFonts w:hint="eastAsia" w:ascii="宋体" w:hAnsi="宋体" w:eastAsia="宋体" w:cs="宋体"/>
                <w:b/>
                <w:color w:val="auto"/>
                <w:highlight w:val="none"/>
              </w:rPr>
              <w:t>条款名称</w:t>
            </w:r>
          </w:p>
        </w:tc>
        <w:tc>
          <w:tcPr>
            <w:tcW w:w="4416" w:type="dxa"/>
            <w:vAlign w:val="center"/>
          </w:tcPr>
          <w:p w14:paraId="70DF4FE7">
            <w:pPr>
              <w:kinsoku/>
              <w:wordWrap/>
              <w:overflowPunct/>
              <w:bidi w:val="0"/>
              <w:adjustRightInd w:val="0"/>
              <w:snapToGrid w:val="0"/>
              <w:spacing w:line="500" w:lineRule="exact"/>
              <w:rPr>
                <w:rFonts w:hint="eastAsia" w:ascii="宋体" w:hAnsi="宋体" w:eastAsia="宋体" w:cs="宋体"/>
                <w:b/>
                <w:color w:val="auto"/>
                <w:sz w:val="30"/>
                <w:szCs w:val="30"/>
                <w:highlight w:val="none"/>
              </w:rPr>
            </w:pPr>
            <w:r>
              <w:rPr>
                <w:rFonts w:hint="eastAsia" w:ascii="宋体" w:hAnsi="宋体" w:eastAsia="宋体" w:cs="宋体"/>
                <w:b/>
                <w:color w:val="auto"/>
                <w:highlight w:val="none"/>
              </w:rPr>
              <w:t>编列内容规定</w:t>
            </w:r>
          </w:p>
        </w:tc>
      </w:tr>
      <w:tr w14:paraId="6A3E47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56" w:type="dxa"/>
            <w:vAlign w:val="center"/>
          </w:tcPr>
          <w:p w14:paraId="5FD63015">
            <w:pPr>
              <w:kinsoku/>
              <w:wordWrap/>
              <w:overflowPunct/>
              <w:bidi w:val="0"/>
              <w:adjustRightInd w:val="0"/>
              <w:snapToGrid w:val="0"/>
              <w:spacing w:line="500" w:lineRule="exact"/>
              <w:rPr>
                <w:rFonts w:hint="eastAsia" w:ascii="宋体" w:hAnsi="宋体" w:eastAsia="宋体" w:cs="宋体"/>
                <w:b/>
                <w:color w:val="auto"/>
                <w:sz w:val="30"/>
                <w:szCs w:val="30"/>
                <w:highlight w:val="none"/>
              </w:rPr>
            </w:pPr>
            <w:r>
              <w:rPr>
                <w:rFonts w:hint="eastAsia" w:ascii="宋体" w:hAnsi="宋体" w:eastAsia="宋体" w:cs="宋体"/>
                <w:color w:val="auto"/>
                <w:highlight w:val="none"/>
              </w:rPr>
              <w:t>第1.2（6）款</w:t>
            </w:r>
          </w:p>
        </w:tc>
        <w:tc>
          <w:tcPr>
            <w:tcW w:w="2880" w:type="dxa"/>
            <w:vAlign w:val="center"/>
          </w:tcPr>
          <w:p w14:paraId="2FD1A117">
            <w:pPr>
              <w:kinsoku/>
              <w:wordWrap/>
              <w:overflowPunct/>
              <w:bidi w:val="0"/>
              <w:adjustRightInd w:val="0"/>
              <w:snapToGrid w:val="0"/>
              <w:spacing w:line="500" w:lineRule="exact"/>
              <w:rPr>
                <w:rFonts w:hint="eastAsia" w:ascii="宋体" w:hAnsi="宋体" w:eastAsia="宋体" w:cs="宋体"/>
                <w:b/>
                <w:color w:val="auto"/>
                <w:sz w:val="30"/>
                <w:szCs w:val="30"/>
                <w:highlight w:val="none"/>
              </w:rPr>
            </w:pPr>
            <w:r>
              <w:rPr>
                <w:rFonts w:hint="eastAsia" w:ascii="宋体" w:hAnsi="宋体" w:eastAsia="宋体" w:cs="宋体"/>
                <w:color w:val="auto"/>
                <w:highlight w:val="none"/>
              </w:rPr>
              <w:t>项目现场</w:t>
            </w:r>
          </w:p>
        </w:tc>
        <w:tc>
          <w:tcPr>
            <w:tcW w:w="4416" w:type="dxa"/>
            <w:vAlign w:val="center"/>
          </w:tcPr>
          <w:p w14:paraId="7D800A1B">
            <w:pPr>
              <w:kinsoku/>
              <w:wordWrap/>
              <w:overflowPunct/>
              <w:bidi w:val="0"/>
              <w:adjustRightInd w:val="0"/>
              <w:snapToGrid w:val="0"/>
              <w:spacing w:line="500" w:lineRule="exact"/>
              <w:rPr>
                <w:rFonts w:hint="eastAsia" w:ascii="宋体" w:hAnsi="宋体" w:eastAsia="宋体" w:cs="宋体"/>
                <w:b/>
                <w:color w:val="auto"/>
                <w:sz w:val="30"/>
                <w:szCs w:val="30"/>
                <w:highlight w:val="none"/>
              </w:rPr>
            </w:pPr>
            <w:r>
              <w:rPr>
                <w:rFonts w:hint="eastAsia" w:ascii="宋体" w:hAnsi="宋体" w:eastAsia="宋体" w:cs="宋体"/>
                <w:bCs/>
                <w:color w:val="auto"/>
                <w:highlight w:val="none"/>
              </w:rPr>
              <w:t>采购人指定地点</w:t>
            </w:r>
          </w:p>
        </w:tc>
      </w:tr>
      <w:tr w14:paraId="33A138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56" w:type="dxa"/>
            <w:vAlign w:val="center"/>
          </w:tcPr>
          <w:p w14:paraId="360BB7A3">
            <w:pPr>
              <w:kinsoku/>
              <w:wordWrap/>
              <w:overflowPunct/>
              <w:bidi w:val="0"/>
              <w:adjustRightInd w:val="0"/>
              <w:snapToGrid w:val="0"/>
              <w:spacing w:line="500" w:lineRule="exact"/>
              <w:rPr>
                <w:rFonts w:hint="eastAsia" w:ascii="宋体" w:hAnsi="宋体" w:eastAsia="宋体" w:cs="宋体"/>
                <w:b/>
                <w:color w:val="auto"/>
                <w:sz w:val="30"/>
                <w:szCs w:val="30"/>
                <w:highlight w:val="none"/>
              </w:rPr>
            </w:pPr>
            <w:r>
              <w:rPr>
                <w:rFonts w:hint="eastAsia" w:ascii="宋体" w:hAnsi="宋体" w:eastAsia="宋体" w:cs="宋体"/>
                <w:color w:val="auto"/>
                <w:highlight w:val="none"/>
              </w:rPr>
              <w:t>第5.1条</w:t>
            </w:r>
          </w:p>
        </w:tc>
        <w:tc>
          <w:tcPr>
            <w:tcW w:w="2880" w:type="dxa"/>
            <w:vAlign w:val="center"/>
          </w:tcPr>
          <w:p w14:paraId="3509DD9A">
            <w:pPr>
              <w:kinsoku/>
              <w:wordWrap/>
              <w:overflowPunct/>
              <w:bidi w:val="0"/>
              <w:adjustRightInd w:val="0"/>
              <w:snapToGrid w:val="0"/>
              <w:spacing w:line="500" w:lineRule="exact"/>
              <w:rPr>
                <w:rFonts w:hint="eastAsia" w:ascii="宋体" w:hAnsi="宋体" w:eastAsia="宋体" w:cs="宋体"/>
                <w:b/>
                <w:color w:val="auto"/>
                <w:sz w:val="30"/>
                <w:szCs w:val="30"/>
                <w:highlight w:val="none"/>
              </w:rPr>
            </w:pPr>
            <w:r>
              <w:rPr>
                <w:rFonts w:hint="eastAsia" w:ascii="宋体" w:hAnsi="宋体" w:eastAsia="宋体" w:cs="宋体"/>
                <w:color w:val="auto"/>
                <w:highlight w:val="none"/>
              </w:rPr>
              <w:t>履行合同的时间、地点及方式</w:t>
            </w:r>
          </w:p>
        </w:tc>
        <w:tc>
          <w:tcPr>
            <w:tcW w:w="4416" w:type="dxa"/>
            <w:vAlign w:val="center"/>
          </w:tcPr>
          <w:p w14:paraId="735AF4F5">
            <w:pPr>
              <w:kinsoku/>
              <w:wordWrap/>
              <w:overflowPunct/>
              <w:bidi w:val="0"/>
              <w:adjustRightInd w:val="0"/>
              <w:snapToGrid w:val="0"/>
              <w:spacing w:line="500" w:lineRule="exact"/>
              <w:rPr>
                <w:rFonts w:hint="default" w:ascii="宋体" w:hAnsi="宋体" w:eastAsia="宋体" w:cs="宋体"/>
                <w:color w:val="auto"/>
                <w:highlight w:val="none"/>
                <w:lang w:val="en-US"/>
              </w:rPr>
            </w:pPr>
            <w:r>
              <w:rPr>
                <w:rFonts w:hint="eastAsia" w:ascii="宋体" w:hAnsi="宋体" w:eastAsia="宋体" w:cs="宋体"/>
                <w:color w:val="auto"/>
                <w:highlight w:val="none"/>
              </w:rPr>
              <w:t>履行合同的时间：</w:t>
            </w:r>
            <w:r>
              <w:rPr>
                <w:rStyle w:val="31"/>
                <w:rFonts w:hint="eastAsia" w:ascii="宋体" w:hAnsi="宋体" w:cs="宋体"/>
                <w:color w:val="auto"/>
                <w:kern w:val="0"/>
                <w:sz w:val="21"/>
                <w:szCs w:val="21"/>
                <w:highlight w:val="none"/>
                <w:lang w:val="en-US" w:eastAsia="zh-CN" w:bidi="ar"/>
              </w:rPr>
              <w:t>合同生效之日起至2026年12月20日前完成全部工作</w:t>
            </w:r>
          </w:p>
          <w:p w14:paraId="2896C559">
            <w:pPr>
              <w:kinsoku/>
              <w:wordWrap/>
              <w:overflowPunct/>
              <w:bidi w:val="0"/>
              <w:adjustRightInd w:val="0"/>
              <w:snapToGrid w:val="0"/>
              <w:spacing w:line="500" w:lineRule="exac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履行合同的地点：</w:t>
            </w:r>
            <w:r>
              <w:rPr>
                <w:rFonts w:hint="eastAsia" w:ascii="宋体" w:hAnsi="宋体" w:cs="宋体"/>
                <w:color w:val="auto"/>
                <w:highlight w:val="none"/>
                <w:lang w:val="en-US" w:eastAsia="zh-CN"/>
              </w:rPr>
              <w:t>采购人指定地点</w:t>
            </w:r>
          </w:p>
        </w:tc>
      </w:tr>
      <w:tr w14:paraId="3D8725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56" w:type="dxa"/>
            <w:vAlign w:val="center"/>
          </w:tcPr>
          <w:p w14:paraId="33F3528B">
            <w:pPr>
              <w:kinsoku/>
              <w:wordWrap/>
              <w:overflowPunct/>
              <w:bidi w:val="0"/>
              <w:adjustRightInd w:val="0"/>
              <w:snapToGrid w:val="0"/>
              <w:spacing w:line="500" w:lineRule="exact"/>
              <w:rPr>
                <w:rFonts w:hint="eastAsia" w:ascii="宋体" w:hAnsi="宋体" w:eastAsia="宋体" w:cs="宋体"/>
                <w:b/>
                <w:color w:val="auto"/>
                <w:sz w:val="30"/>
                <w:szCs w:val="30"/>
                <w:highlight w:val="none"/>
              </w:rPr>
            </w:pPr>
            <w:r>
              <w:rPr>
                <w:rFonts w:hint="eastAsia" w:ascii="宋体" w:hAnsi="宋体" w:eastAsia="宋体" w:cs="宋体"/>
                <w:color w:val="auto"/>
                <w:highlight w:val="none"/>
              </w:rPr>
              <w:t>第9.2(3) 款</w:t>
            </w:r>
          </w:p>
        </w:tc>
        <w:tc>
          <w:tcPr>
            <w:tcW w:w="2880" w:type="dxa"/>
            <w:vAlign w:val="center"/>
          </w:tcPr>
          <w:p w14:paraId="1C824040">
            <w:pPr>
              <w:kinsoku/>
              <w:wordWrap/>
              <w:overflowPunct/>
              <w:bidi w:val="0"/>
              <w:adjustRightInd w:val="0"/>
              <w:snapToGrid w:val="0"/>
              <w:spacing w:line="500" w:lineRule="exact"/>
              <w:rPr>
                <w:rFonts w:hint="eastAsia" w:ascii="宋体" w:hAnsi="宋体" w:eastAsia="宋体" w:cs="宋体"/>
                <w:b/>
                <w:color w:val="auto"/>
                <w:sz w:val="30"/>
                <w:szCs w:val="30"/>
                <w:highlight w:val="none"/>
              </w:rPr>
            </w:pPr>
            <w:r>
              <w:rPr>
                <w:rFonts w:hint="eastAsia" w:ascii="宋体" w:hAnsi="宋体" w:eastAsia="宋体" w:cs="宋体"/>
                <w:color w:val="auto"/>
                <w:highlight w:val="none"/>
              </w:rPr>
              <w:t>响应时间</w:t>
            </w:r>
          </w:p>
        </w:tc>
        <w:tc>
          <w:tcPr>
            <w:tcW w:w="4416" w:type="dxa"/>
            <w:vAlign w:val="center"/>
          </w:tcPr>
          <w:p w14:paraId="402F9E1A">
            <w:pPr>
              <w:kinsoku/>
              <w:wordWrap/>
              <w:overflowPunct/>
              <w:bidi w:val="0"/>
              <w:spacing w:line="500" w:lineRule="exact"/>
              <w:ind w:firstLine="12" w:firstLineChars="6"/>
              <w:jc w:val="left"/>
              <w:rPr>
                <w:rFonts w:hint="eastAsia" w:ascii="宋体" w:hAnsi="宋体" w:eastAsia="宋体" w:cs="宋体"/>
                <w:b/>
                <w:color w:val="auto"/>
                <w:sz w:val="30"/>
                <w:szCs w:val="30"/>
                <w:highlight w:val="none"/>
              </w:rPr>
            </w:pPr>
            <w:r>
              <w:rPr>
                <w:rFonts w:hint="eastAsia" w:ascii="宋体" w:hAnsi="宋体" w:eastAsia="宋体" w:cs="宋体"/>
                <w:bCs/>
                <w:color w:val="auto"/>
                <w:highlight w:val="none"/>
              </w:rPr>
              <w:t>提供7×24小时的服务受理。</w:t>
            </w:r>
          </w:p>
        </w:tc>
      </w:tr>
      <w:tr w14:paraId="15FBEA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56" w:type="dxa"/>
            <w:vAlign w:val="center"/>
          </w:tcPr>
          <w:p w14:paraId="246C2FE4">
            <w:pPr>
              <w:kinsoku/>
              <w:wordWrap/>
              <w:overflowPunct/>
              <w:bidi w:val="0"/>
              <w:adjustRightInd w:val="0"/>
              <w:snapToGrid w:val="0"/>
              <w:spacing w:line="500" w:lineRule="exact"/>
              <w:rPr>
                <w:rFonts w:hint="eastAsia" w:ascii="宋体" w:hAnsi="宋体" w:eastAsia="宋体" w:cs="宋体"/>
                <w:b/>
                <w:color w:val="auto"/>
                <w:sz w:val="30"/>
                <w:szCs w:val="30"/>
                <w:highlight w:val="none"/>
              </w:rPr>
            </w:pPr>
            <w:r>
              <w:rPr>
                <w:rFonts w:hint="eastAsia" w:ascii="宋体" w:hAnsi="宋体" w:eastAsia="宋体" w:cs="宋体"/>
                <w:color w:val="auto"/>
                <w:highlight w:val="none"/>
              </w:rPr>
              <w:t>第13.5条</w:t>
            </w:r>
          </w:p>
        </w:tc>
        <w:tc>
          <w:tcPr>
            <w:tcW w:w="2880" w:type="dxa"/>
            <w:vAlign w:val="center"/>
          </w:tcPr>
          <w:p w14:paraId="3A0A241E">
            <w:pPr>
              <w:kinsoku/>
              <w:wordWrap/>
              <w:overflowPunct/>
              <w:bidi w:val="0"/>
              <w:adjustRightInd w:val="0"/>
              <w:snapToGrid w:val="0"/>
              <w:spacing w:line="500" w:lineRule="exact"/>
              <w:rPr>
                <w:rFonts w:hint="eastAsia" w:ascii="宋体" w:hAnsi="宋体" w:eastAsia="宋体" w:cs="宋体"/>
                <w:b/>
                <w:color w:val="auto"/>
                <w:sz w:val="30"/>
                <w:szCs w:val="30"/>
                <w:highlight w:val="none"/>
              </w:rPr>
            </w:pPr>
            <w:r>
              <w:rPr>
                <w:rFonts w:hint="eastAsia" w:ascii="宋体" w:hAnsi="宋体" w:eastAsia="宋体" w:cs="宋体"/>
                <w:color w:val="auto"/>
                <w:highlight w:val="none"/>
              </w:rPr>
              <w:t>合同价款支付方式和条件</w:t>
            </w:r>
          </w:p>
        </w:tc>
        <w:tc>
          <w:tcPr>
            <w:tcW w:w="4416" w:type="dxa"/>
            <w:vAlign w:val="center"/>
          </w:tcPr>
          <w:p w14:paraId="079DAD48">
            <w:pPr>
              <w:kinsoku/>
              <w:wordWrap/>
              <w:overflowPunct/>
              <w:bidi w:val="0"/>
              <w:adjustRightInd w:val="0"/>
              <w:snapToGrid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付款单位：</w:t>
            </w:r>
            <w:r>
              <w:rPr>
                <w:rFonts w:hint="eastAsia" w:ascii="宋体" w:hAnsi="宋体" w:cs="宋体"/>
                <w:color w:val="auto"/>
                <w:highlight w:val="none"/>
                <w:lang w:val="en-US" w:eastAsia="zh-CN"/>
              </w:rPr>
              <w:t>湖南省水利厅</w:t>
            </w:r>
            <w:r>
              <w:rPr>
                <w:rFonts w:hint="eastAsia" w:ascii="宋体" w:hAnsi="宋体" w:eastAsia="宋体" w:cs="宋体"/>
                <w:color w:val="auto"/>
                <w:highlight w:val="none"/>
              </w:rPr>
              <w:t xml:space="preserve"> </w:t>
            </w:r>
          </w:p>
          <w:p w14:paraId="22540D26">
            <w:pPr>
              <w:kinsoku/>
              <w:wordWrap/>
              <w:overflowPunct/>
              <w:bidi w:val="0"/>
              <w:adjustRightInd w:val="0"/>
              <w:snapToGrid w:val="0"/>
              <w:spacing w:line="5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付款方式：</w:t>
            </w:r>
            <w:r>
              <w:rPr>
                <w:rFonts w:hint="eastAsia" w:ascii="宋体" w:hAnsi="宋体" w:eastAsia="宋体" w:cs="宋体"/>
                <w:color w:val="auto"/>
                <w:highlight w:val="none"/>
                <w:lang w:val="en-US" w:eastAsia="zh-CN"/>
              </w:rPr>
              <w:t>详见合同约定</w:t>
            </w:r>
          </w:p>
        </w:tc>
      </w:tr>
      <w:tr w14:paraId="4E6F47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56" w:type="dxa"/>
            <w:vAlign w:val="center"/>
          </w:tcPr>
          <w:p w14:paraId="28C0C014">
            <w:pPr>
              <w:kinsoku/>
              <w:wordWrap/>
              <w:overflowPunct/>
              <w:bidi w:val="0"/>
              <w:adjustRightInd w:val="0"/>
              <w:snapToGrid w:val="0"/>
              <w:spacing w:line="500" w:lineRule="exact"/>
              <w:rPr>
                <w:rFonts w:hint="eastAsia" w:ascii="宋体" w:hAnsi="宋体" w:eastAsia="宋体" w:cs="宋体"/>
                <w:b/>
                <w:color w:val="auto"/>
                <w:sz w:val="30"/>
                <w:szCs w:val="30"/>
                <w:highlight w:val="none"/>
              </w:rPr>
            </w:pPr>
            <w:r>
              <w:rPr>
                <w:rFonts w:hint="eastAsia" w:ascii="宋体" w:hAnsi="宋体" w:eastAsia="宋体" w:cs="宋体"/>
                <w:color w:val="auto"/>
                <w:highlight w:val="none"/>
              </w:rPr>
              <w:t>第14.2(6) 款</w:t>
            </w:r>
          </w:p>
        </w:tc>
        <w:tc>
          <w:tcPr>
            <w:tcW w:w="2880" w:type="dxa"/>
            <w:vAlign w:val="center"/>
          </w:tcPr>
          <w:p w14:paraId="7C957A71">
            <w:pPr>
              <w:kinsoku/>
              <w:wordWrap/>
              <w:overflowPunct/>
              <w:bidi w:val="0"/>
              <w:adjustRightInd w:val="0"/>
              <w:snapToGrid w:val="0"/>
              <w:spacing w:line="500" w:lineRule="exact"/>
              <w:rPr>
                <w:rFonts w:hint="eastAsia" w:ascii="宋体" w:hAnsi="宋体" w:eastAsia="宋体" w:cs="宋体"/>
                <w:b/>
                <w:color w:val="auto"/>
                <w:sz w:val="30"/>
                <w:szCs w:val="30"/>
                <w:highlight w:val="none"/>
              </w:rPr>
            </w:pPr>
            <w:r>
              <w:rPr>
                <w:rFonts w:hint="eastAsia" w:ascii="宋体" w:hAnsi="宋体" w:eastAsia="宋体" w:cs="宋体"/>
                <w:color w:val="auto"/>
                <w:highlight w:val="none"/>
              </w:rPr>
              <w:t>伴随服务</w:t>
            </w:r>
          </w:p>
        </w:tc>
        <w:tc>
          <w:tcPr>
            <w:tcW w:w="4416" w:type="dxa"/>
            <w:vAlign w:val="center"/>
          </w:tcPr>
          <w:p w14:paraId="415F4CE8">
            <w:pPr>
              <w:kinsoku/>
              <w:wordWrap/>
              <w:overflowPunct/>
              <w:bidi w:val="0"/>
              <w:adjustRightInd w:val="0"/>
              <w:snapToGrid w:val="0"/>
              <w:spacing w:line="500" w:lineRule="exact"/>
              <w:rPr>
                <w:rFonts w:hint="eastAsia" w:ascii="宋体" w:hAnsi="宋体" w:eastAsia="宋体" w:cs="宋体"/>
                <w:b/>
                <w:color w:val="auto"/>
                <w:sz w:val="30"/>
                <w:szCs w:val="30"/>
                <w:highlight w:val="none"/>
              </w:rPr>
            </w:pPr>
            <w:r>
              <w:rPr>
                <w:rFonts w:hint="eastAsia" w:ascii="宋体" w:hAnsi="宋体" w:eastAsia="宋体" w:cs="宋体"/>
                <w:color w:val="auto"/>
                <w:highlight w:val="none"/>
              </w:rPr>
              <w:t>详见磋商文件“第</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章采购需求”</w:t>
            </w:r>
          </w:p>
        </w:tc>
      </w:tr>
      <w:tr w14:paraId="7000C4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56" w:type="dxa"/>
            <w:vAlign w:val="center"/>
          </w:tcPr>
          <w:p w14:paraId="77FBE779">
            <w:pPr>
              <w:kinsoku/>
              <w:wordWrap/>
              <w:overflowPunct/>
              <w:bidi w:val="0"/>
              <w:adjustRightInd w:val="0"/>
              <w:snapToGrid w:val="0"/>
              <w:spacing w:line="500" w:lineRule="exact"/>
              <w:rPr>
                <w:rFonts w:hint="eastAsia" w:ascii="宋体" w:hAnsi="宋体" w:eastAsia="宋体" w:cs="宋体"/>
                <w:b/>
                <w:color w:val="auto"/>
                <w:sz w:val="30"/>
                <w:szCs w:val="30"/>
                <w:highlight w:val="none"/>
              </w:rPr>
            </w:pPr>
            <w:r>
              <w:rPr>
                <w:rFonts w:hint="eastAsia" w:ascii="宋体" w:hAnsi="宋体" w:eastAsia="宋体" w:cs="宋体"/>
                <w:color w:val="auto"/>
                <w:highlight w:val="none"/>
              </w:rPr>
              <w:t>第20.2条</w:t>
            </w:r>
          </w:p>
        </w:tc>
        <w:tc>
          <w:tcPr>
            <w:tcW w:w="2880" w:type="dxa"/>
            <w:vAlign w:val="center"/>
          </w:tcPr>
          <w:p w14:paraId="28E9CDF3">
            <w:pPr>
              <w:kinsoku/>
              <w:wordWrap/>
              <w:overflowPunct/>
              <w:bidi w:val="0"/>
              <w:adjustRightInd w:val="0"/>
              <w:snapToGrid w:val="0"/>
              <w:spacing w:line="500" w:lineRule="exact"/>
              <w:rPr>
                <w:rFonts w:hint="eastAsia" w:ascii="宋体" w:hAnsi="宋体" w:eastAsia="宋体" w:cs="宋体"/>
                <w:b/>
                <w:color w:val="auto"/>
                <w:sz w:val="30"/>
                <w:szCs w:val="30"/>
                <w:highlight w:val="none"/>
              </w:rPr>
            </w:pPr>
            <w:r>
              <w:rPr>
                <w:rFonts w:hint="eastAsia" w:ascii="宋体" w:hAnsi="宋体" w:eastAsia="宋体" w:cs="宋体"/>
                <w:color w:val="auto"/>
                <w:highlight w:val="none"/>
              </w:rPr>
              <w:t>解决争议的方式</w:t>
            </w:r>
          </w:p>
        </w:tc>
        <w:tc>
          <w:tcPr>
            <w:tcW w:w="4416" w:type="dxa"/>
            <w:vAlign w:val="center"/>
          </w:tcPr>
          <w:p w14:paraId="26977788">
            <w:pPr>
              <w:kinsoku/>
              <w:wordWrap/>
              <w:overflowPunct/>
              <w:bidi w:val="0"/>
              <w:adjustRightInd w:val="0"/>
              <w:snapToGrid w:val="0"/>
              <w:spacing w:line="500" w:lineRule="exact"/>
              <w:rPr>
                <w:rFonts w:hint="eastAsia" w:ascii="宋体" w:hAnsi="宋体" w:eastAsia="宋体" w:cs="宋体"/>
                <w:color w:val="auto"/>
                <w:highlight w:val="none"/>
              </w:rPr>
            </w:pPr>
            <w:r>
              <w:rPr>
                <w:rFonts w:hint="eastAsia" w:ascii="宋体" w:hAnsi="宋体" w:eastAsia="宋体" w:cs="宋体"/>
                <w:bCs/>
                <w:color w:val="auto"/>
                <w:highlight w:val="none"/>
              </w:rPr>
              <w:t>■</w:t>
            </w:r>
            <w:r>
              <w:rPr>
                <w:rFonts w:hint="eastAsia" w:ascii="宋体" w:hAnsi="宋体" w:eastAsia="宋体" w:cs="宋体"/>
                <w:color w:val="auto"/>
                <w:highlight w:val="none"/>
              </w:rPr>
              <w:t>诉讼</w:t>
            </w:r>
          </w:p>
          <w:p w14:paraId="6DA3AB18">
            <w:pPr>
              <w:kinsoku/>
              <w:wordWrap/>
              <w:overflowPunct/>
              <w:bidi w:val="0"/>
              <w:adjustRightInd w:val="0"/>
              <w:snapToGrid w:val="0"/>
              <w:spacing w:line="500" w:lineRule="exact"/>
              <w:rPr>
                <w:rFonts w:hint="eastAsia" w:ascii="宋体" w:hAnsi="宋体" w:eastAsia="宋体" w:cs="宋体"/>
                <w:b/>
                <w:color w:val="auto"/>
                <w:sz w:val="30"/>
                <w:szCs w:val="30"/>
                <w:highlight w:val="none"/>
              </w:rPr>
            </w:pPr>
            <w:r>
              <w:rPr>
                <w:rFonts w:hint="eastAsia" w:ascii="宋体" w:hAnsi="宋体" w:eastAsia="宋体" w:cs="宋体"/>
                <w:color w:val="auto"/>
                <w:highlight w:val="none"/>
              </w:rPr>
              <w:t>□仲裁</w:t>
            </w:r>
          </w:p>
        </w:tc>
      </w:tr>
      <w:tr w14:paraId="34EA6C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56" w:type="dxa"/>
            <w:vAlign w:val="center"/>
          </w:tcPr>
          <w:p w14:paraId="0090A241">
            <w:pPr>
              <w:kinsoku/>
              <w:wordWrap/>
              <w:overflowPunct/>
              <w:bidi w:val="0"/>
              <w:adjustRightInd w:val="0"/>
              <w:snapToGrid w:val="0"/>
              <w:spacing w:line="500" w:lineRule="exact"/>
              <w:rPr>
                <w:rFonts w:hint="eastAsia" w:ascii="宋体" w:hAnsi="宋体" w:eastAsia="宋体" w:cs="宋体"/>
                <w:b/>
                <w:color w:val="auto"/>
                <w:sz w:val="30"/>
                <w:szCs w:val="30"/>
                <w:highlight w:val="none"/>
              </w:rPr>
            </w:pPr>
            <w:r>
              <w:rPr>
                <w:rFonts w:hint="eastAsia" w:ascii="宋体" w:hAnsi="宋体" w:eastAsia="宋体" w:cs="宋体"/>
                <w:color w:val="auto"/>
                <w:highlight w:val="none"/>
              </w:rPr>
              <w:t>第24.1条</w:t>
            </w:r>
          </w:p>
        </w:tc>
        <w:tc>
          <w:tcPr>
            <w:tcW w:w="2880" w:type="dxa"/>
            <w:vAlign w:val="center"/>
          </w:tcPr>
          <w:p w14:paraId="145B0C32">
            <w:pPr>
              <w:kinsoku/>
              <w:wordWrap/>
              <w:overflowPunct/>
              <w:bidi w:val="0"/>
              <w:adjustRightInd w:val="0"/>
              <w:snapToGrid w:val="0"/>
              <w:spacing w:line="500" w:lineRule="exact"/>
              <w:rPr>
                <w:rFonts w:hint="eastAsia" w:ascii="宋体" w:hAnsi="宋体" w:eastAsia="宋体" w:cs="宋体"/>
                <w:b/>
                <w:color w:val="auto"/>
                <w:sz w:val="30"/>
                <w:szCs w:val="30"/>
                <w:highlight w:val="none"/>
              </w:rPr>
            </w:pPr>
            <w:r>
              <w:rPr>
                <w:rFonts w:hint="eastAsia" w:ascii="宋体" w:hAnsi="宋体" w:eastAsia="宋体" w:cs="宋体"/>
                <w:color w:val="auto"/>
                <w:highlight w:val="none"/>
              </w:rPr>
              <w:t>合同未尽事项</w:t>
            </w:r>
          </w:p>
        </w:tc>
        <w:tc>
          <w:tcPr>
            <w:tcW w:w="4416" w:type="dxa"/>
            <w:vAlign w:val="center"/>
          </w:tcPr>
          <w:p w14:paraId="6996AF81">
            <w:pPr>
              <w:kinsoku/>
              <w:wordWrap/>
              <w:overflowPunct/>
              <w:bidi w:val="0"/>
              <w:adjustRightInd w:val="0"/>
              <w:snapToGrid w:val="0"/>
              <w:spacing w:line="500" w:lineRule="exact"/>
              <w:rPr>
                <w:rFonts w:hint="eastAsia" w:ascii="宋体" w:hAnsi="宋体" w:eastAsia="宋体" w:cs="宋体"/>
                <w:b/>
                <w:color w:val="auto"/>
                <w:sz w:val="30"/>
                <w:szCs w:val="30"/>
                <w:highlight w:val="none"/>
              </w:rPr>
            </w:pPr>
            <w:r>
              <w:rPr>
                <w:rFonts w:hint="eastAsia" w:ascii="宋体" w:hAnsi="宋体" w:eastAsia="宋体" w:cs="宋体"/>
                <w:bCs/>
                <w:color w:val="auto"/>
                <w:highlight w:val="none"/>
              </w:rPr>
              <w:t>另行协商</w:t>
            </w:r>
          </w:p>
        </w:tc>
      </w:tr>
    </w:tbl>
    <w:p w14:paraId="665EDC5B">
      <w:pPr>
        <w:pStyle w:val="16"/>
        <w:kinsoku/>
        <w:wordWrap/>
        <w:overflowPunct/>
        <w:bidi w:val="0"/>
        <w:spacing w:line="500" w:lineRule="exact"/>
        <w:rPr>
          <w:rFonts w:hint="eastAsia" w:ascii="宋体" w:hAnsi="宋体" w:eastAsia="宋体" w:cs="宋体"/>
          <w:b/>
          <w:bCs/>
          <w:color w:val="auto"/>
          <w:highlight w:val="none"/>
          <w:lang w:val="en-US" w:eastAsia="zh-CN"/>
        </w:rPr>
      </w:pPr>
    </w:p>
    <w:p w14:paraId="41803E57">
      <w:pPr>
        <w:pStyle w:val="16"/>
        <w:kinsoku/>
        <w:wordWrap/>
        <w:overflowPunct/>
        <w:bidi w:val="0"/>
        <w:spacing w:line="500" w:lineRule="exact"/>
        <w:rPr>
          <w:rFonts w:hint="eastAsia" w:ascii="宋体" w:hAnsi="宋体" w:eastAsia="宋体" w:cs="宋体"/>
          <w:b/>
          <w:bCs/>
          <w:color w:val="auto"/>
          <w:highlight w:val="none"/>
          <w:lang w:val="en-US" w:eastAsia="zh-CN"/>
        </w:rPr>
      </w:pPr>
    </w:p>
    <w:p w14:paraId="40FD5964">
      <w:pPr>
        <w:pStyle w:val="16"/>
        <w:kinsoku/>
        <w:wordWrap/>
        <w:overflowPunct/>
        <w:bidi w:val="0"/>
        <w:spacing w:line="500" w:lineRule="exact"/>
        <w:rPr>
          <w:rFonts w:hint="eastAsia" w:ascii="宋体" w:hAnsi="宋体" w:eastAsia="宋体" w:cs="宋体"/>
          <w:b/>
          <w:bCs/>
          <w:color w:val="auto"/>
          <w:highlight w:val="none"/>
          <w:lang w:val="en-US" w:eastAsia="zh-CN"/>
        </w:rPr>
      </w:pPr>
    </w:p>
    <w:p w14:paraId="137169D2">
      <w:pPr>
        <w:pStyle w:val="16"/>
        <w:kinsoku/>
        <w:wordWrap/>
        <w:overflowPunct/>
        <w:bidi w:val="0"/>
        <w:spacing w:line="500" w:lineRule="exact"/>
        <w:ind w:firstLine="211" w:firstLineChars="1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注：本合同仅</w:t>
      </w:r>
      <w:r>
        <w:rPr>
          <w:rFonts w:hint="eastAsia" w:ascii="宋体" w:hAnsi="宋体" w:cs="宋体"/>
          <w:b/>
          <w:bCs/>
          <w:color w:val="auto"/>
          <w:highlight w:val="none"/>
          <w:lang w:val="en-US" w:eastAsia="zh-CN"/>
        </w:rPr>
        <w:t>作</w:t>
      </w:r>
      <w:r>
        <w:rPr>
          <w:rFonts w:hint="eastAsia" w:ascii="宋体" w:hAnsi="宋体" w:eastAsia="宋体" w:cs="宋体"/>
          <w:b/>
          <w:bCs/>
          <w:color w:val="auto"/>
          <w:highlight w:val="none"/>
          <w:lang w:val="en-US" w:eastAsia="zh-CN"/>
        </w:rPr>
        <w:t>参考，双方协商约定的事项以签订合同时为准。</w:t>
      </w:r>
    </w:p>
    <w:p w14:paraId="5DEF32A9">
      <w:pPr>
        <w:kinsoku/>
        <w:wordWrap/>
        <w:overflowPunct/>
        <w:bidi w:val="0"/>
        <w:spacing w:line="500" w:lineRule="exact"/>
        <w:rPr>
          <w:rFonts w:hint="eastAsia" w:ascii="宋体" w:hAnsi="宋体" w:eastAsia="宋体" w:cs="宋体"/>
          <w:color w:val="auto"/>
          <w:highlight w:val="none"/>
        </w:rPr>
      </w:pPr>
    </w:p>
    <w:p w14:paraId="4A622E0F">
      <w:pPr>
        <w:pStyle w:val="18"/>
        <w:kinsoku/>
        <w:wordWrap/>
        <w:overflowPunct/>
        <w:bidi w:val="0"/>
        <w:spacing w:line="500" w:lineRule="exact"/>
        <w:rPr>
          <w:rFonts w:hint="eastAsia" w:ascii="宋体" w:hAnsi="宋体" w:eastAsia="宋体" w:cs="宋体"/>
          <w:color w:val="auto"/>
          <w:highlight w:val="none"/>
        </w:rPr>
      </w:pPr>
    </w:p>
    <w:p w14:paraId="47FF14AD">
      <w:pPr>
        <w:kinsoku/>
        <w:wordWrap/>
        <w:overflowPunct/>
        <w:bidi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3771FDA">
      <w:pPr>
        <w:pStyle w:val="7"/>
        <w:kinsoku/>
        <w:wordWrap/>
        <w:overflow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第五章 响应文件组成</w:t>
      </w:r>
    </w:p>
    <w:p w14:paraId="6785E483">
      <w:pPr>
        <w:kinsoku/>
        <w:wordWrap/>
        <w:overflowPunct/>
        <w:bidi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供应</w:t>
      </w:r>
      <w:r>
        <w:rPr>
          <w:rFonts w:hint="eastAsia" w:ascii="宋体" w:hAnsi="宋体" w:eastAsia="宋体" w:cs="宋体"/>
          <w:color w:val="auto"/>
          <w:highlight w:val="none"/>
        </w:rPr>
        <w:t>商的响应文件应包含以下八个部分：</w:t>
      </w:r>
    </w:p>
    <w:p w14:paraId="1FBF92D7">
      <w:pPr>
        <w:kinsoku/>
        <w:wordWrap/>
        <w:overflowPunct/>
        <w:bidi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一、磋商响应声明</w:t>
      </w:r>
    </w:p>
    <w:p w14:paraId="2C8BE218">
      <w:pPr>
        <w:kinsoku/>
        <w:wordWrap/>
        <w:overflowPunct/>
        <w:autoSpaceDE w:val="0"/>
        <w:autoSpaceDN w:val="0"/>
        <w:bidi w:val="0"/>
        <w:adjustRightInd w:val="0"/>
        <w:spacing w:after="120" w:line="500" w:lineRule="exact"/>
        <w:ind w:left="420" w:left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附件1：法定代表人身份证明(法定代表人参加磋商)</w:t>
      </w:r>
    </w:p>
    <w:p w14:paraId="1368B2FA">
      <w:pPr>
        <w:kinsoku/>
        <w:wordWrap/>
        <w:overflowPunct/>
        <w:autoSpaceDE w:val="0"/>
        <w:autoSpaceDN w:val="0"/>
        <w:bidi w:val="0"/>
        <w:adjustRightInd w:val="0"/>
        <w:spacing w:after="120" w:line="500" w:lineRule="exact"/>
        <w:ind w:left="420" w:leftChars="200"/>
        <w:jc w:val="left"/>
        <w:rPr>
          <w:rFonts w:hint="eastAsia" w:ascii="宋体" w:hAnsi="宋体" w:eastAsia="宋体" w:cs="宋体"/>
          <w:color w:val="auto"/>
          <w:highlight w:val="none"/>
        </w:rPr>
      </w:pPr>
      <w:r>
        <w:rPr>
          <w:rFonts w:hint="eastAsia" w:ascii="宋体" w:hAnsi="宋体" w:eastAsia="宋体" w:cs="宋体"/>
          <w:color w:val="auto"/>
          <w:kern w:val="0"/>
          <w:highlight w:val="none"/>
        </w:rPr>
        <w:t>附件2：法定代表人授权书(委托代理人参加磋商)</w:t>
      </w:r>
    </w:p>
    <w:p w14:paraId="54FBB3F7">
      <w:pPr>
        <w:kinsoku/>
        <w:wordWrap/>
        <w:overflowPunct/>
        <w:bidi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二、供应商的资格证明材料</w:t>
      </w:r>
    </w:p>
    <w:p w14:paraId="5E4B05A7">
      <w:pPr>
        <w:kinsoku/>
        <w:wordWrap/>
        <w:overflowPunct/>
        <w:autoSpaceDE w:val="0"/>
        <w:autoSpaceDN w:val="0"/>
        <w:bidi w:val="0"/>
        <w:adjustRightInd w:val="0"/>
        <w:spacing w:after="120" w:line="500" w:lineRule="exact"/>
        <w:ind w:left="420" w:left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附件3：供应商基本情况表</w:t>
      </w:r>
    </w:p>
    <w:p w14:paraId="5ACF9EC8">
      <w:pPr>
        <w:kinsoku/>
        <w:wordWrap/>
        <w:overflowPunct/>
        <w:autoSpaceDE w:val="0"/>
        <w:autoSpaceDN w:val="0"/>
        <w:bidi w:val="0"/>
        <w:adjustRightInd w:val="0"/>
        <w:spacing w:after="120" w:line="500" w:lineRule="exact"/>
        <w:ind w:left="420" w:left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附件4：磋商文件规定的供应商的资格条件证明材料</w:t>
      </w:r>
    </w:p>
    <w:p w14:paraId="3C45C51F">
      <w:pPr>
        <w:kinsoku/>
        <w:wordWrap/>
        <w:overflowPunct/>
        <w:bidi w:val="0"/>
        <w:adjustRightInd w:val="0"/>
        <w:snapToGrid w:val="0"/>
        <w:spacing w:line="500" w:lineRule="exact"/>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val="en-US" w:eastAsia="zh-CN"/>
        </w:rPr>
        <w:t>服务</w:t>
      </w:r>
      <w:r>
        <w:rPr>
          <w:rFonts w:hint="eastAsia" w:ascii="宋体" w:hAnsi="宋体" w:eastAsia="宋体" w:cs="宋体"/>
          <w:b/>
          <w:color w:val="auto"/>
          <w:highlight w:val="none"/>
        </w:rPr>
        <w:t>方案</w:t>
      </w:r>
    </w:p>
    <w:p w14:paraId="2DC11FDF">
      <w:pPr>
        <w:kinsoku/>
        <w:wordWrap/>
        <w:overflowPunct/>
        <w:autoSpaceDE w:val="0"/>
        <w:autoSpaceDN w:val="0"/>
        <w:bidi w:val="0"/>
        <w:adjustRightInd w:val="0"/>
        <w:spacing w:after="120" w:line="500" w:lineRule="exact"/>
        <w:ind w:left="420" w:left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附件</w:t>
      </w:r>
      <w:r>
        <w:rPr>
          <w:rFonts w:hint="eastAsia" w:ascii="宋体" w:hAnsi="宋体" w:eastAsia="宋体" w:cs="宋体"/>
          <w:color w:val="auto"/>
          <w:kern w:val="0"/>
          <w:highlight w:val="none"/>
          <w:lang w:val="en-US" w:eastAsia="zh-CN"/>
        </w:rPr>
        <w:t>6</w:t>
      </w:r>
      <w:r>
        <w:rPr>
          <w:rFonts w:hint="eastAsia" w:ascii="宋体" w:hAnsi="宋体" w:eastAsia="宋体" w:cs="宋体"/>
          <w:color w:val="auto"/>
          <w:kern w:val="0"/>
          <w:highlight w:val="none"/>
        </w:rPr>
        <w:t>-1：</w:t>
      </w:r>
      <w:r>
        <w:rPr>
          <w:rFonts w:hint="eastAsia" w:ascii="宋体" w:hAnsi="宋体" w:eastAsia="宋体" w:cs="宋体"/>
          <w:color w:val="auto"/>
          <w:kern w:val="0"/>
          <w:highlight w:val="none"/>
          <w:lang w:val="en-US" w:eastAsia="zh-CN"/>
        </w:rPr>
        <w:t>服务方案</w:t>
      </w:r>
      <w:r>
        <w:rPr>
          <w:rFonts w:hint="eastAsia" w:ascii="宋体" w:hAnsi="宋体" w:eastAsia="宋体" w:cs="宋体"/>
          <w:color w:val="auto"/>
          <w:kern w:val="0"/>
          <w:highlight w:val="none"/>
        </w:rPr>
        <w:t>说明</w:t>
      </w:r>
    </w:p>
    <w:p w14:paraId="572A1082">
      <w:pPr>
        <w:kinsoku/>
        <w:wordWrap/>
        <w:overflowPunct/>
        <w:autoSpaceDE w:val="0"/>
        <w:autoSpaceDN w:val="0"/>
        <w:bidi w:val="0"/>
        <w:adjustRightInd w:val="0"/>
        <w:spacing w:after="120" w:line="500" w:lineRule="exact"/>
        <w:ind w:left="420" w:left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附件</w:t>
      </w:r>
      <w:r>
        <w:rPr>
          <w:rFonts w:hint="eastAsia" w:ascii="宋体" w:hAnsi="宋体" w:eastAsia="宋体" w:cs="宋体"/>
          <w:color w:val="auto"/>
          <w:kern w:val="0"/>
          <w:highlight w:val="none"/>
          <w:lang w:val="en-US" w:eastAsia="zh-CN"/>
        </w:rPr>
        <w:t>6</w:t>
      </w:r>
      <w:r>
        <w:rPr>
          <w:rFonts w:hint="eastAsia" w:ascii="宋体" w:hAnsi="宋体" w:eastAsia="宋体" w:cs="宋体"/>
          <w:color w:val="auto"/>
          <w:kern w:val="0"/>
          <w:highlight w:val="none"/>
        </w:rPr>
        <w:t>-2：主要人员简历表</w:t>
      </w:r>
    </w:p>
    <w:p w14:paraId="090F8423">
      <w:pPr>
        <w:kinsoku/>
        <w:wordWrap/>
        <w:overflowPunct/>
        <w:bidi w:val="0"/>
        <w:adjustRightInd w:val="0"/>
        <w:snapToGrid w:val="0"/>
        <w:spacing w:line="500" w:lineRule="exact"/>
        <w:rPr>
          <w:rFonts w:hint="eastAsia" w:ascii="宋体" w:hAnsi="宋体" w:eastAsia="宋体" w:cs="宋体"/>
          <w:color w:val="auto"/>
          <w:highlight w:val="none"/>
        </w:rPr>
      </w:pPr>
      <w:r>
        <w:rPr>
          <w:rFonts w:hint="eastAsia" w:ascii="宋体" w:hAnsi="宋体" w:eastAsia="宋体" w:cs="宋体"/>
          <w:b/>
          <w:color w:val="auto"/>
          <w:highlight w:val="none"/>
        </w:rPr>
        <w:t>四、技术/商务响应与偏离表</w:t>
      </w:r>
    </w:p>
    <w:p w14:paraId="3DE1FFA9">
      <w:pPr>
        <w:kinsoku/>
        <w:wordWrap/>
        <w:overflowPunct/>
        <w:bidi w:val="0"/>
        <w:adjustRightInd w:val="0"/>
        <w:snapToGrid w:val="0"/>
        <w:spacing w:line="500" w:lineRule="exact"/>
        <w:rPr>
          <w:rFonts w:hint="eastAsia" w:ascii="宋体" w:hAnsi="宋体" w:eastAsia="宋体" w:cs="宋体"/>
          <w:b/>
          <w:color w:val="auto"/>
          <w:highlight w:val="none"/>
        </w:rPr>
      </w:pPr>
      <w:r>
        <w:rPr>
          <w:rFonts w:hint="eastAsia" w:ascii="宋体" w:hAnsi="宋体" w:eastAsia="宋体" w:cs="宋体"/>
          <w:b/>
          <w:color w:val="auto"/>
          <w:highlight w:val="none"/>
        </w:rPr>
        <w:t>五、提供享受政府采购政策的证明材料</w:t>
      </w:r>
    </w:p>
    <w:p w14:paraId="419AED88">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：中小企业声明函</w:t>
      </w:r>
    </w:p>
    <w:p w14:paraId="103C66B7">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：残疾人福利性单位声明函</w:t>
      </w:r>
    </w:p>
    <w:p w14:paraId="66752DCD">
      <w:pPr>
        <w:pStyle w:val="37"/>
        <w:kinsoku/>
        <w:wordWrap/>
        <w:overflowPunct/>
        <w:bidi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：监狱企业证明资料</w:t>
      </w:r>
    </w:p>
    <w:p w14:paraId="0A9FBD00">
      <w:pPr>
        <w:kinsoku/>
        <w:wordWrap/>
        <w:overflowPunct/>
        <w:bidi w:val="0"/>
        <w:adjustRightInd w:val="0"/>
        <w:snapToGrid w:val="0"/>
        <w:spacing w:line="500" w:lineRule="exact"/>
        <w:rPr>
          <w:rFonts w:hint="eastAsia" w:ascii="宋体" w:hAnsi="宋体" w:eastAsia="宋体" w:cs="宋体"/>
          <w:b/>
          <w:color w:val="auto"/>
          <w:highlight w:val="none"/>
        </w:rPr>
      </w:pPr>
      <w:r>
        <w:rPr>
          <w:rFonts w:hint="eastAsia" w:ascii="宋体" w:hAnsi="宋体" w:eastAsia="宋体" w:cs="宋体"/>
          <w:b/>
          <w:color w:val="auto"/>
          <w:highlight w:val="none"/>
        </w:rPr>
        <w:t>六、报价一览表</w:t>
      </w:r>
    </w:p>
    <w:p w14:paraId="73556676">
      <w:pPr>
        <w:kinsoku/>
        <w:wordWrap/>
        <w:overflowPunct/>
        <w:autoSpaceDE w:val="0"/>
        <w:autoSpaceDN w:val="0"/>
        <w:bidi w:val="0"/>
        <w:adjustRightInd w:val="0"/>
        <w:spacing w:after="120" w:line="500" w:lineRule="exact"/>
        <w:ind w:left="420" w:left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附件1</w:t>
      </w:r>
      <w:r>
        <w:rPr>
          <w:rFonts w:hint="eastAsia" w:ascii="宋体" w:hAnsi="宋体" w:eastAsia="宋体" w:cs="宋体"/>
          <w:color w:val="auto"/>
          <w:kern w:val="0"/>
          <w:highlight w:val="none"/>
          <w:lang w:val="en-US" w:eastAsia="zh-CN"/>
        </w:rPr>
        <w:t>0</w:t>
      </w:r>
      <w:r>
        <w:rPr>
          <w:rFonts w:hint="eastAsia" w:ascii="宋体" w:hAnsi="宋体" w:eastAsia="宋体" w:cs="宋体"/>
          <w:color w:val="auto"/>
          <w:kern w:val="0"/>
          <w:highlight w:val="none"/>
        </w:rPr>
        <w:t>：报价一览表</w:t>
      </w:r>
    </w:p>
    <w:p w14:paraId="02C2A837">
      <w:pPr>
        <w:kinsoku/>
        <w:wordWrap/>
        <w:overflowPunct/>
        <w:autoSpaceDE w:val="0"/>
        <w:autoSpaceDN w:val="0"/>
        <w:bidi w:val="0"/>
        <w:adjustRightInd w:val="0"/>
        <w:spacing w:after="120" w:line="500" w:lineRule="exact"/>
        <w:ind w:left="420" w:left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附件10-1：分项报价表</w:t>
      </w:r>
    </w:p>
    <w:p w14:paraId="0C74D9F7">
      <w:pPr>
        <w:kinsoku/>
        <w:wordWrap/>
        <w:overflowPunct/>
        <w:bidi w:val="0"/>
        <w:adjustRightInd w:val="0"/>
        <w:snapToGrid w:val="0"/>
        <w:spacing w:line="500" w:lineRule="exact"/>
        <w:rPr>
          <w:rFonts w:hint="eastAsia" w:ascii="宋体" w:hAnsi="宋体" w:eastAsia="宋体" w:cs="宋体"/>
          <w:color w:val="auto"/>
          <w:highlight w:val="none"/>
        </w:rPr>
      </w:pPr>
      <w:r>
        <w:rPr>
          <w:rFonts w:hint="eastAsia" w:ascii="宋体" w:hAnsi="宋体" w:eastAsia="宋体" w:cs="宋体"/>
          <w:b/>
          <w:color w:val="auto"/>
          <w:highlight w:val="none"/>
        </w:rPr>
        <w:t>七、供应商认为需要提供的</w:t>
      </w:r>
      <w:r>
        <w:rPr>
          <w:rFonts w:hint="eastAsia" w:ascii="宋体" w:hAnsi="宋体" w:cs="宋体"/>
          <w:b/>
          <w:color w:val="auto"/>
          <w:highlight w:val="none"/>
          <w:lang w:eastAsia="zh-CN"/>
        </w:rPr>
        <w:t>其他</w:t>
      </w:r>
      <w:r>
        <w:rPr>
          <w:rFonts w:hint="eastAsia" w:ascii="宋体" w:hAnsi="宋体" w:eastAsia="宋体" w:cs="宋体"/>
          <w:b/>
          <w:color w:val="auto"/>
          <w:highlight w:val="none"/>
        </w:rPr>
        <w:t>资料</w:t>
      </w:r>
    </w:p>
    <w:p w14:paraId="14EB8093">
      <w:pPr>
        <w:kinsoku/>
        <w:wordWrap/>
        <w:overflowPunct/>
        <w:bidi w:val="0"/>
        <w:adjustRightInd w:val="0"/>
        <w:snapToGrid w:val="0"/>
        <w:spacing w:line="500" w:lineRule="exact"/>
        <w:rPr>
          <w:rFonts w:hint="eastAsia" w:ascii="宋体" w:hAnsi="宋体" w:eastAsia="宋体" w:cs="宋体"/>
          <w:b/>
          <w:color w:val="auto"/>
          <w:highlight w:val="none"/>
        </w:rPr>
      </w:pPr>
      <w:r>
        <w:rPr>
          <w:rFonts w:hint="eastAsia" w:ascii="宋体" w:hAnsi="宋体" w:eastAsia="宋体" w:cs="宋体"/>
          <w:b/>
          <w:color w:val="auto"/>
          <w:highlight w:val="none"/>
        </w:rPr>
        <w:t>八、最后报价</w:t>
      </w:r>
    </w:p>
    <w:p w14:paraId="131B5D03">
      <w:pPr>
        <w:pStyle w:val="41"/>
        <w:kinsoku/>
        <w:wordWrap/>
        <w:overflowPunct/>
        <w:bidi w:val="0"/>
        <w:spacing w:line="500" w:lineRule="exact"/>
        <w:ind w:firstLine="482" w:firstLineChars="200"/>
        <w:rPr>
          <w:rFonts w:hint="eastAsia" w:ascii="宋体" w:hAnsi="宋体" w:eastAsia="宋体" w:cs="宋体"/>
          <w:color w:val="auto"/>
          <w:kern w:val="2"/>
          <w:sz w:val="21"/>
          <w:szCs w:val="21"/>
          <w:highlight w:val="none"/>
        </w:rPr>
      </w:pPr>
      <w:r>
        <w:rPr>
          <w:rFonts w:hint="eastAsia" w:ascii="宋体" w:hAnsi="宋体" w:eastAsia="宋体" w:cs="宋体"/>
          <w:b/>
          <w:color w:val="auto"/>
          <w:highlight w:val="none"/>
        </w:rPr>
        <w:t xml:space="preserve">  </w:t>
      </w:r>
    </w:p>
    <w:p w14:paraId="3D0A10B9">
      <w:pPr>
        <w:kinsoku/>
        <w:wordWrap/>
        <w:overflowPunct/>
        <w:bidi w:val="0"/>
        <w:spacing w:line="500" w:lineRule="exact"/>
        <w:rPr>
          <w:rFonts w:hint="eastAsia" w:ascii="宋体" w:hAnsi="宋体" w:eastAsia="宋体" w:cs="宋体"/>
          <w:b/>
          <w:bCs/>
          <w:color w:val="auto"/>
          <w:highlight w:val="none"/>
        </w:rPr>
      </w:pPr>
    </w:p>
    <w:p w14:paraId="7734A7DC">
      <w:pPr>
        <w:kinsoku/>
        <w:wordWrap/>
        <w:overflowPunct/>
        <w:bidi w:val="0"/>
        <w:spacing w:line="500" w:lineRule="exact"/>
        <w:rPr>
          <w:rFonts w:hint="eastAsia" w:ascii="宋体" w:hAnsi="宋体" w:eastAsia="宋体" w:cs="宋体"/>
          <w:b/>
          <w:bCs/>
          <w:color w:val="auto"/>
          <w:highlight w:val="none"/>
        </w:rPr>
      </w:pPr>
    </w:p>
    <w:p w14:paraId="1845570A">
      <w:pPr>
        <w:pStyle w:val="37"/>
        <w:kinsoku/>
        <w:wordWrap/>
        <w:overflowPunct/>
        <w:bidi w:val="0"/>
        <w:spacing w:line="500" w:lineRule="exact"/>
        <w:rPr>
          <w:rFonts w:hint="eastAsia" w:ascii="宋体" w:hAnsi="宋体" w:eastAsia="宋体" w:cs="宋体"/>
          <w:color w:val="auto"/>
          <w:highlight w:val="none"/>
        </w:rPr>
      </w:pPr>
    </w:p>
    <w:p w14:paraId="707A0BC6">
      <w:pPr>
        <w:kinsoku/>
        <w:wordWrap/>
        <w:overflowPunct/>
        <w:bidi w:val="0"/>
        <w:spacing w:line="500" w:lineRule="exact"/>
        <w:rPr>
          <w:rFonts w:hint="eastAsia" w:ascii="宋体" w:hAnsi="宋体" w:eastAsia="宋体" w:cs="宋体"/>
          <w:b/>
          <w:bCs/>
          <w:color w:val="auto"/>
          <w:highlight w:val="none"/>
        </w:rPr>
      </w:pPr>
    </w:p>
    <w:p w14:paraId="7B714C66">
      <w:pPr>
        <w:pStyle w:val="7"/>
        <w:kinsoku/>
        <w:wordWrap/>
        <w:overflow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一、磋商响应声明</w:t>
      </w:r>
    </w:p>
    <w:p w14:paraId="5EBFDBE4">
      <w:pPr>
        <w:kinsoku/>
        <w:wordWrap/>
        <w:overflowPunct/>
        <w:bidi w:val="0"/>
        <w:adjustRightInd w:val="0"/>
        <w:snapToGrid w:val="0"/>
        <w:spacing w:line="500" w:lineRule="exact"/>
        <w:rPr>
          <w:rFonts w:hint="eastAsia" w:ascii="宋体" w:hAnsi="宋体" w:eastAsia="宋体" w:cs="宋体"/>
          <w:color w:val="auto"/>
          <w:highlight w:val="none"/>
        </w:rPr>
      </w:pPr>
    </w:p>
    <w:p w14:paraId="52B60C4F">
      <w:pPr>
        <w:kinsoku/>
        <w:wordWrap/>
        <w:overflowPunct/>
        <w:bidi w:val="0"/>
        <w:adjustRightInd w:val="0"/>
        <w:snapToGrid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(采购人或采购代理机构)：</w:t>
      </w:r>
    </w:p>
    <w:p w14:paraId="0B591C30">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w:t>
      </w:r>
      <w:r>
        <w:rPr>
          <w:rFonts w:hint="eastAsia" w:ascii="宋体" w:hAnsi="宋体" w:cs="宋体"/>
          <w:color w:val="auto"/>
          <w:highlight w:val="none"/>
          <w:lang w:eastAsia="zh-CN"/>
        </w:rPr>
        <w:t>已</w:t>
      </w:r>
      <w:r>
        <w:rPr>
          <w:rFonts w:hint="eastAsia" w:ascii="宋体" w:hAnsi="宋体" w:eastAsia="宋体" w:cs="宋体"/>
          <w:color w:val="auto"/>
          <w:highlight w:val="none"/>
        </w:rPr>
        <w:t>仔细研究了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项目名称)的竞争性磋商文件（</w:t>
      </w:r>
      <w:r>
        <w:rPr>
          <w:rFonts w:hint="eastAsia" w:ascii="宋体" w:hAnsi="宋体" w:cs="宋体"/>
          <w:color w:val="auto"/>
          <w:highlight w:val="none"/>
          <w:lang w:val="en-US" w:eastAsia="zh-CN"/>
        </w:rPr>
        <w:t>政府采购</w:t>
      </w:r>
      <w:r>
        <w:rPr>
          <w:rFonts w:hint="eastAsia" w:ascii="宋体" w:hAnsi="宋体" w:eastAsia="宋体" w:cs="宋体"/>
          <w:color w:val="auto"/>
          <w:highlight w:val="none"/>
        </w:rPr>
        <w:t>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）的全部内容，知悉参加竞争性磋商的风险，我方承诺接受磋商文件的全部条款且无任何异议。</w:t>
      </w:r>
    </w:p>
    <w:p w14:paraId="372A1E70">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一、我方同意在磋商文件中规定的提交首次响应文件截止时间起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日内(响应文件有效期)遵守本响应文件中的承诺且在此期限期满之前均具有法律约束力。</w:t>
      </w:r>
    </w:p>
    <w:p w14:paraId="6EF3AA7C">
      <w:pPr>
        <w:kinsoku/>
        <w:wordWrap/>
        <w:overflowPunct/>
        <w:bidi w:val="0"/>
        <w:adjustRightInd w:val="0"/>
        <w:snapToGrid w:val="0"/>
        <w:spacing w:line="50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二、我方提交响应文件正本一份和副本一式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份，并保证响应文件提供的数据和材料是真实、准确的。否则</w:t>
      </w:r>
      <w:r>
        <w:rPr>
          <w:rFonts w:hint="eastAsia" w:ascii="宋体" w:hAnsi="宋体" w:cs="宋体"/>
          <w:color w:val="auto"/>
          <w:highlight w:val="none"/>
          <w:lang w:eastAsia="zh-CN"/>
        </w:rPr>
        <w:t>，自</w:t>
      </w:r>
      <w:r>
        <w:rPr>
          <w:rFonts w:hint="eastAsia" w:ascii="宋体" w:hAnsi="宋体" w:eastAsia="宋体" w:cs="宋体"/>
          <w:color w:val="auto"/>
          <w:highlight w:val="none"/>
        </w:rPr>
        <w:t>愿承担《政府采购法》</w:t>
      </w:r>
      <w:r>
        <w:rPr>
          <w:rFonts w:hint="eastAsia" w:ascii="宋体" w:hAnsi="宋体" w:eastAsia="宋体" w:cs="宋体"/>
          <w:bCs/>
          <w:color w:val="auto"/>
          <w:highlight w:val="none"/>
        </w:rPr>
        <w:t>第七十七条规定的法律责任。</w:t>
      </w:r>
    </w:p>
    <w:p w14:paraId="0C922549">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三、我方愿意向贵方提供任何与本项采购有关的数据、情况和技术资料。若贵方需要，我方愿意提供我方作出的一切承诺的证明材料。</w:t>
      </w:r>
    </w:p>
    <w:p w14:paraId="57B89502">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四、我方愿意按磋商文件规定和磋商小组要求重新提交响应文件和最后报价。</w:t>
      </w:r>
    </w:p>
    <w:p w14:paraId="1DCB1AF3">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我方承诺遵守《政府采购法》、《政府采购非招标采购方式管理办法》（财政部第74号令）的有关规定，保证在获得成交资格后，按照磋商文件确定的事项签订政府采购合同，履行双方所签订的合同，并承担合同规定的责任和义务。</w:t>
      </w:r>
    </w:p>
    <w:p w14:paraId="5688F5A1">
      <w:pPr>
        <w:kinsoku/>
        <w:wordWrap/>
        <w:overflowPunct/>
        <w:bidi w:val="0"/>
        <w:adjustRightInd w:val="0"/>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我方承诺在参与竞争性磋商过程中，若出现《政府采购法》第七十七条、《政府采购法实施条例》第七十二条和《政府采购非招标采购方式管理办法》（财政部令第74号）第五十四条规定之情形，我方同意接受条款规定作出的处罚。</w:t>
      </w:r>
    </w:p>
    <w:p w14:paraId="52D25483">
      <w:pPr>
        <w:kinsoku/>
        <w:wordWrap/>
        <w:overflowPunct/>
        <w:bidi w:val="0"/>
        <w:adjustRightInd w:val="0"/>
        <w:snapToGrid w:val="0"/>
        <w:spacing w:line="500" w:lineRule="exact"/>
        <w:ind w:right="24"/>
        <w:rPr>
          <w:rFonts w:hint="eastAsia" w:ascii="宋体" w:hAnsi="宋体" w:eastAsia="宋体" w:cs="宋体"/>
          <w:bCs/>
          <w:color w:val="auto"/>
          <w:highlight w:val="none"/>
        </w:rPr>
      </w:pPr>
    </w:p>
    <w:p w14:paraId="4D6DFB23">
      <w:pPr>
        <w:kinsoku/>
        <w:wordWrap/>
        <w:overflowPunct/>
        <w:bidi w:val="0"/>
        <w:adjustRightInd w:val="0"/>
        <w:snapToGrid w:val="0"/>
        <w:spacing w:line="500" w:lineRule="exact"/>
        <w:ind w:right="24"/>
        <w:rPr>
          <w:rFonts w:hint="eastAsia" w:ascii="宋体" w:hAnsi="宋体" w:eastAsia="宋体" w:cs="宋体"/>
          <w:color w:val="auto"/>
          <w:highlight w:val="none"/>
        </w:rPr>
      </w:pPr>
      <w:r>
        <w:rPr>
          <w:rFonts w:hint="eastAsia" w:ascii="宋体" w:hAnsi="宋体" w:eastAsia="宋体" w:cs="宋体"/>
          <w:bCs/>
          <w:color w:val="auto"/>
          <w:highlight w:val="none"/>
        </w:rPr>
        <w:t>附件1：</w:t>
      </w:r>
      <w:r>
        <w:rPr>
          <w:rFonts w:hint="eastAsia" w:ascii="宋体" w:hAnsi="宋体" w:eastAsia="宋体" w:cs="宋体"/>
          <w:color w:val="auto"/>
          <w:highlight w:val="none"/>
        </w:rPr>
        <w:t>法定代表人身份证明(法定代表人参加磋商)</w:t>
      </w:r>
    </w:p>
    <w:p w14:paraId="602C5E37">
      <w:pPr>
        <w:kinsoku/>
        <w:wordWrap/>
        <w:overflowPunct/>
        <w:bidi w:val="0"/>
        <w:adjustRightInd w:val="0"/>
        <w:snapToGrid w:val="0"/>
        <w:spacing w:line="500" w:lineRule="exact"/>
        <w:ind w:right="24"/>
        <w:rPr>
          <w:rFonts w:hint="eastAsia" w:ascii="宋体" w:hAnsi="宋体" w:eastAsia="宋体" w:cs="宋体"/>
          <w:color w:val="auto"/>
          <w:highlight w:val="none"/>
        </w:rPr>
      </w:pPr>
      <w:r>
        <w:rPr>
          <w:rFonts w:hint="eastAsia" w:ascii="宋体" w:hAnsi="宋体" w:eastAsia="宋体" w:cs="宋体"/>
          <w:bCs/>
          <w:color w:val="auto"/>
          <w:highlight w:val="none"/>
        </w:rPr>
        <w:t>附件2</w:t>
      </w:r>
      <w:r>
        <w:rPr>
          <w:rFonts w:hint="eastAsia" w:ascii="宋体" w:hAnsi="宋体" w:eastAsia="宋体" w:cs="宋体"/>
          <w:color w:val="auto"/>
          <w:highlight w:val="none"/>
        </w:rPr>
        <w:t>：法定代表人授权书(委托代理人参加磋商)</w:t>
      </w:r>
    </w:p>
    <w:p w14:paraId="102BF234">
      <w:pPr>
        <w:kinsoku/>
        <w:wordWrap/>
        <w:overflowPunct/>
        <w:bidi w:val="0"/>
        <w:adjustRightInd w:val="0"/>
        <w:snapToGrid w:val="0"/>
        <w:spacing w:line="500" w:lineRule="exact"/>
        <w:rPr>
          <w:rFonts w:hint="eastAsia" w:ascii="宋体" w:hAnsi="宋体" w:eastAsia="宋体" w:cs="宋体"/>
          <w:color w:val="auto"/>
          <w:highlight w:val="none"/>
        </w:rPr>
      </w:pPr>
    </w:p>
    <w:p w14:paraId="03BBAFCD">
      <w:pPr>
        <w:kinsoku/>
        <w:wordWrap/>
        <w:overflowPunct/>
        <w:bidi w:val="0"/>
        <w:adjustRightInd w:val="0"/>
        <w:snapToGrid w:val="0"/>
        <w:spacing w:line="5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供应商名称(盖单位章)：</w:t>
      </w:r>
      <w:r>
        <w:rPr>
          <w:rFonts w:hint="eastAsia" w:ascii="宋体" w:hAnsi="宋体" w:eastAsia="宋体" w:cs="宋体"/>
          <w:color w:val="auto"/>
          <w:highlight w:val="none"/>
          <w:u w:val="single"/>
        </w:rPr>
        <w:t xml:space="preserve">                         </w:t>
      </w:r>
    </w:p>
    <w:p w14:paraId="0A80FF5E">
      <w:pPr>
        <w:kinsoku/>
        <w:wordWrap/>
        <w:overflowPunct/>
        <w:bidi w:val="0"/>
        <w:adjustRightInd w:val="0"/>
        <w:snapToGrid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 (签字)：</w:t>
      </w:r>
      <w:r>
        <w:rPr>
          <w:rFonts w:hint="eastAsia" w:ascii="宋体" w:hAnsi="宋体" w:eastAsia="宋体" w:cs="宋体"/>
          <w:color w:val="auto"/>
          <w:highlight w:val="none"/>
          <w:u w:val="single"/>
        </w:rPr>
        <w:t xml:space="preserve">              </w:t>
      </w:r>
    </w:p>
    <w:p w14:paraId="0A9306DD">
      <w:pPr>
        <w:kinsoku/>
        <w:wordWrap/>
        <w:overflowPunct/>
        <w:bidi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67CEFE31">
      <w:pPr>
        <w:kinsoku/>
        <w:wordWrap/>
        <w:overflowPunct/>
        <w:bidi w:val="0"/>
        <w:adjustRightInd w:val="0"/>
        <w:snapToGrid w:val="0"/>
        <w:spacing w:line="500" w:lineRule="exact"/>
        <w:rPr>
          <w:rFonts w:hint="eastAsia" w:ascii="宋体" w:hAnsi="宋体" w:eastAsia="宋体" w:cs="宋体"/>
          <w:bCs/>
          <w:color w:val="auto"/>
          <w:highlight w:val="none"/>
        </w:rPr>
      </w:pPr>
    </w:p>
    <w:p w14:paraId="1E13D23F">
      <w:pPr>
        <w:pStyle w:val="8"/>
        <w:numPr>
          <w:ilvl w:val="1"/>
          <w:numId w:val="0"/>
        </w:numPr>
        <w:kinsoku/>
        <w:wordWrap/>
        <w:overflowPunct/>
        <w:bidi w:val="0"/>
        <w:spacing w:line="500" w:lineRule="exact"/>
        <w:outlineLvl w:val="1"/>
        <w:rPr>
          <w:rFonts w:hint="eastAsia" w:ascii="宋体" w:hAnsi="宋体" w:eastAsia="宋体" w:cs="宋体"/>
          <w:b/>
          <w:color w:val="auto"/>
          <w:sz w:val="30"/>
          <w:szCs w:val="30"/>
          <w:highlight w:val="none"/>
        </w:rPr>
      </w:pPr>
      <w:r>
        <w:rPr>
          <w:rFonts w:hint="eastAsia" w:ascii="宋体" w:hAnsi="宋体" w:eastAsia="宋体" w:cs="宋体"/>
          <w:color w:val="auto"/>
          <w:highlight w:val="none"/>
        </w:rPr>
        <w:t>附件1：</w:t>
      </w:r>
      <w:r>
        <w:rPr>
          <w:rFonts w:hint="eastAsia" w:ascii="宋体" w:hAnsi="宋体" w:eastAsia="宋体" w:cs="宋体"/>
          <w:b/>
          <w:color w:val="auto"/>
          <w:sz w:val="30"/>
          <w:szCs w:val="30"/>
          <w:highlight w:val="none"/>
        </w:rPr>
        <w:t>法定代表人身份证明(法定代表人参加磋商)</w:t>
      </w:r>
    </w:p>
    <w:p w14:paraId="79BDA9D4">
      <w:pPr>
        <w:kinsoku/>
        <w:wordWrap/>
        <w:overflowPunct/>
        <w:bidi w:val="0"/>
        <w:snapToGrid w:val="0"/>
        <w:spacing w:line="500" w:lineRule="exact"/>
        <w:rPr>
          <w:rFonts w:hint="eastAsia" w:ascii="宋体" w:hAnsi="宋体" w:eastAsia="宋体" w:cs="宋体"/>
          <w:color w:val="auto"/>
          <w:highlight w:val="none"/>
        </w:rPr>
      </w:pPr>
    </w:p>
    <w:p w14:paraId="4A537FF2">
      <w:pPr>
        <w:kinsoku/>
        <w:wordWrap/>
        <w:overflowPunct/>
        <w:autoSpaceDE w:val="0"/>
        <w:autoSpaceDN w:val="0"/>
        <w:bidi w:val="0"/>
        <w:adjustRightInd w:val="0"/>
        <w:snapToGrid w:val="0"/>
        <w:spacing w:before="156" w:beforeLines="50" w:line="500" w:lineRule="exact"/>
        <w:jc w:val="left"/>
        <w:rPr>
          <w:rFonts w:hint="eastAsia" w:ascii="宋体" w:hAnsi="宋体" w:eastAsia="宋体" w:cs="宋体"/>
          <w:color w:val="auto"/>
          <w:kern w:val="0"/>
          <w:highlight w:val="none"/>
        </w:rPr>
      </w:pPr>
      <w:r>
        <w:rPr>
          <w:rFonts w:hint="eastAsia" w:ascii="宋体" w:hAnsi="宋体" w:eastAsia="宋体" w:cs="宋体"/>
          <w:color w:val="auto"/>
          <w:highlight w:val="none"/>
        </w:rPr>
        <w:t>供应商</w:t>
      </w:r>
      <w:r>
        <w:rPr>
          <w:rFonts w:hint="eastAsia" w:ascii="宋体" w:hAnsi="宋体" w:eastAsia="宋体" w:cs="宋体"/>
          <w:color w:val="auto"/>
          <w:kern w:val="0"/>
          <w:highlight w:val="none"/>
        </w:rPr>
        <w:t>名称：</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 xml:space="preserve"> </w:t>
      </w:r>
    </w:p>
    <w:p w14:paraId="19E87DB7">
      <w:pPr>
        <w:kinsoku/>
        <w:wordWrap/>
        <w:overflowPunct/>
        <w:autoSpaceDE w:val="0"/>
        <w:autoSpaceDN w:val="0"/>
        <w:bidi w:val="0"/>
        <w:adjustRightInd w:val="0"/>
        <w:snapToGrid w:val="0"/>
        <w:spacing w:before="156" w:beforeLines="50" w:line="5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注册号：</w:t>
      </w:r>
      <w:r>
        <w:rPr>
          <w:rFonts w:hint="eastAsia" w:ascii="宋体" w:hAnsi="宋体" w:eastAsia="宋体" w:cs="宋体"/>
          <w:color w:val="auto"/>
          <w:kern w:val="0"/>
          <w:highlight w:val="none"/>
          <w:u w:val="single"/>
        </w:rPr>
        <w:t xml:space="preserve">                  </w:t>
      </w:r>
    </w:p>
    <w:p w14:paraId="586E966A">
      <w:pPr>
        <w:kinsoku/>
        <w:wordWrap/>
        <w:overflowPunct/>
        <w:autoSpaceDE w:val="0"/>
        <w:autoSpaceDN w:val="0"/>
        <w:bidi w:val="0"/>
        <w:adjustRightInd w:val="0"/>
        <w:snapToGrid w:val="0"/>
        <w:spacing w:before="156" w:beforeLines="50" w:line="5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注册地址：</w:t>
      </w:r>
      <w:r>
        <w:rPr>
          <w:rFonts w:hint="eastAsia" w:ascii="宋体" w:hAnsi="宋体" w:eastAsia="宋体" w:cs="宋体"/>
          <w:color w:val="auto"/>
          <w:kern w:val="0"/>
          <w:highlight w:val="none"/>
          <w:u w:val="single"/>
        </w:rPr>
        <w:t xml:space="preserve">                                    </w:t>
      </w:r>
    </w:p>
    <w:p w14:paraId="78647ABF">
      <w:pPr>
        <w:kinsoku/>
        <w:wordWrap/>
        <w:overflowPunct/>
        <w:autoSpaceDE w:val="0"/>
        <w:autoSpaceDN w:val="0"/>
        <w:bidi w:val="0"/>
        <w:adjustRightInd w:val="0"/>
        <w:snapToGrid w:val="0"/>
        <w:spacing w:before="156" w:beforeLines="50" w:line="5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成立时间：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 xml:space="preserve">年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月</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 xml:space="preserve"> 日</w:t>
      </w:r>
    </w:p>
    <w:p w14:paraId="3CBEFC47">
      <w:pPr>
        <w:kinsoku/>
        <w:wordWrap/>
        <w:overflowPunct/>
        <w:autoSpaceDE w:val="0"/>
        <w:autoSpaceDN w:val="0"/>
        <w:bidi w:val="0"/>
        <w:adjustRightInd w:val="0"/>
        <w:snapToGrid w:val="0"/>
        <w:spacing w:before="156" w:beforeLines="50" w:line="500" w:lineRule="exact"/>
        <w:jc w:val="left"/>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经营期限：</w:t>
      </w:r>
      <w:r>
        <w:rPr>
          <w:rFonts w:hint="eastAsia" w:ascii="宋体" w:hAnsi="宋体" w:eastAsia="宋体" w:cs="宋体"/>
          <w:color w:val="auto"/>
          <w:kern w:val="0"/>
          <w:highlight w:val="none"/>
          <w:u w:val="single"/>
        </w:rPr>
        <w:t xml:space="preserve">                  </w:t>
      </w:r>
    </w:p>
    <w:p w14:paraId="7B99F826">
      <w:pPr>
        <w:kinsoku/>
        <w:wordWrap/>
        <w:overflowPunct/>
        <w:autoSpaceDE w:val="0"/>
        <w:autoSpaceDN w:val="0"/>
        <w:bidi w:val="0"/>
        <w:adjustRightInd w:val="0"/>
        <w:snapToGrid w:val="0"/>
        <w:spacing w:before="156" w:beforeLines="50" w:line="500" w:lineRule="exact"/>
        <w:jc w:val="left"/>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经营范围：主营：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 xml:space="preserve"> ；兼营：</w:t>
      </w:r>
      <w:r>
        <w:rPr>
          <w:rFonts w:hint="eastAsia" w:ascii="宋体" w:hAnsi="宋体" w:eastAsia="宋体" w:cs="宋体"/>
          <w:color w:val="auto"/>
          <w:kern w:val="0"/>
          <w:highlight w:val="none"/>
          <w:u w:val="single"/>
        </w:rPr>
        <w:t xml:space="preserve">              </w:t>
      </w:r>
    </w:p>
    <w:p w14:paraId="4F85E1F4">
      <w:pPr>
        <w:kinsoku/>
        <w:wordWrap/>
        <w:overflowPunct/>
        <w:autoSpaceDE w:val="0"/>
        <w:autoSpaceDN w:val="0"/>
        <w:bidi w:val="0"/>
        <w:adjustRightInd w:val="0"/>
        <w:snapToGrid w:val="0"/>
        <w:spacing w:before="156" w:beforeLines="50" w:line="5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姓名：</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 xml:space="preserve"> 性别：</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 xml:space="preserve"> 年龄：</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 xml:space="preserve"> 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highlight w:val="none"/>
        </w:rPr>
        <w:t>供应商</w:t>
      </w:r>
      <w:r>
        <w:rPr>
          <w:rFonts w:hint="eastAsia" w:ascii="宋体" w:hAnsi="宋体" w:eastAsia="宋体" w:cs="宋体"/>
          <w:color w:val="auto"/>
          <w:kern w:val="0"/>
          <w:highlight w:val="none"/>
        </w:rPr>
        <w:t>名称）的法定代表人。</w:t>
      </w:r>
    </w:p>
    <w:p w14:paraId="5B5000F7">
      <w:pPr>
        <w:kinsoku/>
        <w:wordWrap/>
        <w:overflowPunct/>
        <w:autoSpaceDE w:val="0"/>
        <w:autoSpaceDN w:val="0"/>
        <w:bidi w:val="0"/>
        <w:adjustRightInd w:val="0"/>
        <w:snapToGrid w:val="0"/>
        <w:spacing w:before="156" w:beforeLines="50" w:line="5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特此证明。</w:t>
      </w:r>
    </w:p>
    <w:p w14:paraId="4C47F7B6">
      <w:pPr>
        <w:kinsoku/>
        <w:wordWrap/>
        <w:overflowPunct/>
        <w:autoSpaceDE w:val="0"/>
        <w:autoSpaceDN w:val="0"/>
        <w:bidi w:val="0"/>
        <w:adjustRightInd w:val="0"/>
        <w:snapToGrid w:val="0"/>
        <w:spacing w:before="156" w:beforeLines="50" w:line="500" w:lineRule="exact"/>
        <w:jc w:val="left"/>
        <w:rPr>
          <w:rFonts w:hint="eastAsia" w:ascii="宋体" w:hAnsi="宋体" w:eastAsia="宋体" w:cs="宋体"/>
          <w:color w:val="auto"/>
          <w:kern w:val="0"/>
          <w:highlight w:val="none"/>
        </w:rPr>
      </w:pPr>
      <w:r>
        <w:rPr>
          <w:rFonts w:hint="eastAsia" w:ascii="宋体" w:hAnsi="宋体" w:eastAsia="宋体" w:cs="宋体"/>
          <w:color w:val="auto"/>
          <w:highlight w:val="none"/>
        </w:rPr>
        <w:t>附：法定代表人身份证复印件</w:t>
      </w:r>
    </w:p>
    <w:p w14:paraId="756574C8">
      <w:pPr>
        <w:kinsoku/>
        <w:wordWrap/>
        <w:overflowPunct/>
        <w:bidi w:val="0"/>
        <w:snapToGrid w:val="0"/>
        <w:spacing w:line="500" w:lineRule="exact"/>
        <w:rPr>
          <w:rFonts w:hint="eastAsia" w:ascii="宋体" w:hAnsi="宋体" w:eastAsia="宋体" w:cs="宋体"/>
          <w:color w:val="auto"/>
          <w:highlight w:val="none"/>
        </w:rPr>
      </w:pPr>
    </w:p>
    <w:p w14:paraId="5057B817">
      <w:pPr>
        <w:kinsoku/>
        <w:wordWrap/>
        <w:overflowPunct/>
        <w:bidi w:val="0"/>
        <w:snapToGrid w:val="0"/>
        <w:spacing w:line="500" w:lineRule="exact"/>
        <w:rPr>
          <w:rFonts w:hint="eastAsia" w:ascii="宋体" w:hAnsi="宋体" w:eastAsia="宋体" w:cs="宋体"/>
          <w:color w:val="auto"/>
          <w:highlight w:val="none"/>
        </w:rPr>
      </w:pPr>
    </w:p>
    <w:p w14:paraId="19661908">
      <w:pPr>
        <w:kinsoku/>
        <w:wordWrap/>
        <w:overflowPunct/>
        <w:bidi w:val="0"/>
        <w:snapToGrid w:val="0"/>
        <w:spacing w:line="500" w:lineRule="exact"/>
        <w:rPr>
          <w:rFonts w:hint="eastAsia" w:ascii="宋体" w:hAnsi="宋体" w:eastAsia="宋体" w:cs="宋体"/>
          <w:color w:val="auto"/>
          <w:highlight w:val="none"/>
        </w:rPr>
      </w:pPr>
    </w:p>
    <w:p w14:paraId="4F96149B">
      <w:pPr>
        <w:kinsoku/>
        <w:wordWrap/>
        <w:overflowPunct/>
        <w:bidi w:val="0"/>
        <w:snapToGrid w:val="0"/>
        <w:spacing w:line="500" w:lineRule="exact"/>
        <w:rPr>
          <w:rFonts w:hint="eastAsia" w:ascii="宋体" w:hAnsi="宋体" w:eastAsia="宋体" w:cs="宋体"/>
          <w:color w:val="auto"/>
          <w:highlight w:val="none"/>
        </w:rPr>
      </w:pPr>
    </w:p>
    <w:p w14:paraId="08FF8CD2">
      <w:pPr>
        <w:kinsoku/>
        <w:wordWrap/>
        <w:overflowPunct/>
        <w:bidi w:val="0"/>
        <w:snapToGrid w:val="0"/>
        <w:spacing w:line="500" w:lineRule="exact"/>
        <w:rPr>
          <w:rFonts w:hint="eastAsia" w:ascii="宋体" w:hAnsi="宋体" w:eastAsia="宋体" w:cs="宋体"/>
          <w:color w:val="auto"/>
          <w:highlight w:val="none"/>
        </w:rPr>
      </w:pPr>
    </w:p>
    <w:p w14:paraId="13C2683B">
      <w:pPr>
        <w:kinsoku/>
        <w:wordWrap/>
        <w:overflowPunct/>
        <w:bidi w:val="0"/>
        <w:adjustRightInd w:val="0"/>
        <w:snapToGrid w:val="0"/>
        <w:spacing w:line="500" w:lineRule="exact"/>
        <w:rPr>
          <w:rFonts w:hint="eastAsia" w:ascii="宋体" w:hAnsi="宋体" w:eastAsia="宋体" w:cs="宋体"/>
          <w:color w:val="auto"/>
          <w:highlight w:val="none"/>
        </w:rPr>
      </w:pPr>
    </w:p>
    <w:p w14:paraId="436658C5">
      <w:pPr>
        <w:kinsoku/>
        <w:wordWrap/>
        <w:overflowPunct/>
        <w:bidi w:val="0"/>
        <w:adjustRightInd w:val="0"/>
        <w:snapToGrid w:val="0"/>
        <w:spacing w:line="5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供应商名称(盖单位章)：</w:t>
      </w:r>
      <w:r>
        <w:rPr>
          <w:rFonts w:hint="eastAsia" w:ascii="宋体" w:hAnsi="宋体" w:eastAsia="宋体" w:cs="宋体"/>
          <w:color w:val="auto"/>
          <w:highlight w:val="none"/>
          <w:u w:val="single"/>
        </w:rPr>
        <w:t xml:space="preserve">                         </w:t>
      </w:r>
    </w:p>
    <w:p w14:paraId="5AB36D76">
      <w:pPr>
        <w:kinsoku/>
        <w:wordWrap/>
        <w:overflowPunct/>
        <w:bidi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6B5AC035">
      <w:pPr>
        <w:kinsoku/>
        <w:wordWrap/>
        <w:overflowPunct/>
        <w:bidi w:val="0"/>
        <w:snapToGrid w:val="0"/>
        <w:spacing w:line="500" w:lineRule="exact"/>
        <w:rPr>
          <w:rFonts w:hint="eastAsia" w:ascii="宋体" w:hAnsi="宋体" w:eastAsia="宋体" w:cs="宋体"/>
          <w:color w:val="auto"/>
          <w:highlight w:val="none"/>
        </w:rPr>
      </w:pPr>
    </w:p>
    <w:p w14:paraId="43E4E7C8">
      <w:pPr>
        <w:kinsoku/>
        <w:wordWrap/>
        <w:overflowPunct/>
        <w:bidi w:val="0"/>
        <w:snapToGrid w:val="0"/>
        <w:spacing w:line="500" w:lineRule="exact"/>
        <w:rPr>
          <w:rFonts w:hint="eastAsia" w:ascii="宋体" w:hAnsi="宋体" w:eastAsia="宋体" w:cs="宋体"/>
          <w:color w:val="auto"/>
          <w:highlight w:val="none"/>
        </w:rPr>
      </w:pPr>
    </w:p>
    <w:p w14:paraId="72A6081E">
      <w:pPr>
        <w:kinsoku/>
        <w:wordWrap/>
        <w:overflowPunct/>
        <w:bidi w:val="0"/>
        <w:snapToGrid w:val="0"/>
        <w:spacing w:line="500" w:lineRule="exact"/>
        <w:rPr>
          <w:rFonts w:hint="eastAsia" w:ascii="宋体" w:hAnsi="宋体" w:eastAsia="宋体" w:cs="宋体"/>
          <w:color w:val="auto"/>
          <w:highlight w:val="none"/>
        </w:rPr>
      </w:pPr>
    </w:p>
    <w:p w14:paraId="446CDAD3">
      <w:pPr>
        <w:kinsoku/>
        <w:wordWrap/>
        <w:overflowPunct/>
        <w:bidi w:val="0"/>
        <w:snapToGrid w:val="0"/>
        <w:spacing w:line="500" w:lineRule="exact"/>
        <w:rPr>
          <w:rFonts w:hint="eastAsia" w:ascii="宋体" w:hAnsi="宋体" w:eastAsia="宋体" w:cs="宋体"/>
          <w:color w:val="auto"/>
          <w:highlight w:val="none"/>
        </w:rPr>
      </w:pPr>
    </w:p>
    <w:p w14:paraId="0F2E39A3">
      <w:pPr>
        <w:kinsoku/>
        <w:wordWrap/>
        <w:overflowPunct/>
        <w:bidi w:val="0"/>
        <w:spacing w:line="500" w:lineRule="exact"/>
        <w:rPr>
          <w:rFonts w:hint="eastAsia" w:ascii="宋体" w:hAnsi="宋体" w:eastAsia="宋体" w:cs="宋体"/>
          <w:color w:val="auto"/>
          <w:highlight w:val="none"/>
        </w:rPr>
      </w:pPr>
      <w:r>
        <w:rPr>
          <w:rFonts w:hint="eastAsia" w:ascii="宋体" w:hAnsi="宋体" w:eastAsia="宋体" w:cs="宋体"/>
          <w:b/>
          <w:color w:val="auto"/>
          <w:kern w:val="0"/>
          <w:highlight w:val="none"/>
        </w:rPr>
        <w:br w:type="page"/>
      </w:r>
    </w:p>
    <w:p w14:paraId="48A6A960">
      <w:pPr>
        <w:pStyle w:val="8"/>
        <w:numPr>
          <w:ilvl w:val="1"/>
          <w:numId w:val="0"/>
        </w:numPr>
        <w:kinsoku/>
        <w:wordWrap/>
        <w:overflowPunct/>
        <w:bidi w:val="0"/>
        <w:spacing w:line="500" w:lineRule="exact"/>
        <w:rPr>
          <w:rFonts w:hint="eastAsia" w:ascii="宋体" w:hAnsi="宋体" w:eastAsia="宋体" w:cs="宋体"/>
          <w:b/>
          <w:color w:val="auto"/>
          <w:sz w:val="30"/>
          <w:szCs w:val="30"/>
          <w:highlight w:val="none"/>
        </w:rPr>
      </w:pPr>
      <w:r>
        <w:rPr>
          <w:rFonts w:hint="eastAsia" w:ascii="宋体" w:hAnsi="宋体" w:eastAsia="宋体" w:cs="宋体"/>
          <w:color w:val="auto"/>
          <w:highlight w:val="none"/>
        </w:rPr>
        <w:t>附件2：</w:t>
      </w:r>
      <w:r>
        <w:rPr>
          <w:rFonts w:hint="eastAsia" w:ascii="宋体" w:hAnsi="宋体" w:eastAsia="宋体" w:cs="宋体"/>
          <w:b/>
          <w:color w:val="auto"/>
          <w:sz w:val="30"/>
          <w:szCs w:val="30"/>
          <w:highlight w:val="none"/>
        </w:rPr>
        <w:t>法定代表人授权书(委托代理人参加磋商)</w:t>
      </w:r>
    </w:p>
    <w:p w14:paraId="3776E03E">
      <w:pPr>
        <w:kinsoku/>
        <w:wordWrap/>
        <w:overflowPunct/>
        <w:bidi w:val="0"/>
        <w:adjustRightInd w:val="0"/>
        <w:snapToGrid w:val="0"/>
        <w:spacing w:line="500" w:lineRule="exact"/>
        <w:jc w:val="center"/>
        <w:rPr>
          <w:rFonts w:hint="eastAsia" w:ascii="宋体" w:hAnsi="宋体" w:eastAsia="宋体" w:cs="宋体"/>
          <w:b/>
          <w:color w:val="auto"/>
          <w:highlight w:val="none"/>
        </w:rPr>
      </w:pPr>
    </w:p>
    <w:p w14:paraId="06FF5B1F">
      <w:pPr>
        <w:kinsoku/>
        <w:wordWrap/>
        <w:overflowPunct/>
        <w:autoSpaceDE w:val="0"/>
        <w:autoSpaceDN w:val="0"/>
        <w:bidi w:val="0"/>
        <w:adjustRightInd w:val="0"/>
        <w:snapToGrid w:val="0"/>
        <w:spacing w:before="156" w:beforeLines="50" w:line="5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本人</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（姓名、职务）系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 xml:space="preserve"> （</w:t>
      </w:r>
      <w:r>
        <w:rPr>
          <w:rFonts w:hint="eastAsia" w:ascii="宋体" w:hAnsi="宋体" w:eastAsia="宋体" w:cs="宋体"/>
          <w:color w:val="auto"/>
          <w:highlight w:val="none"/>
        </w:rPr>
        <w:t>供应商</w:t>
      </w:r>
      <w:r>
        <w:rPr>
          <w:rFonts w:hint="eastAsia" w:ascii="宋体" w:hAnsi="宋体" w:eastAsia="宋体" w:cs="宋体"/>
          <w:color w:val="auto"/>
          <w:kern w:val="0"/>
          <w:highlight w:val="none"/>
        </w:rPr>
        <w:t>名称）的法定代表人，现授权</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（姓名、职务）为我方代理人。代理人根据授权，以我方名义：(1)签署、澄清、补正、修改、撤回、提交</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（项目名称、委托代理编号）响应文件；(2)签署并重新提交响应文件及最后报价；(3)退出磋商；(4)签订合同和处理有关事宜；（5）询问、质疑、投诉等相关事项，其法律后果由我方承担。</w:t>
      </w:r>
    </w:p>
    <w:p w14:paraId="34608D3B">
      <w:pPr>
        <w:kinsoku/>
        <w:wordWrap/>
        <w:overflowPunct/>
        <w:autoSpaceDE w:val="0"/>
        <w:autoSpaceDN w:val="0"/>
        <w:bidi w:val="0"/>
        <w:adjustRightInd w:val="0"/>
        <w:snapToGrid w:val="0"/>
        <w:spacing w:before="156" w:beforeLines="50" w:line="5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委托期限：</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 xml:space="preserve"> 。</w:t>
      </w:r>
    </w:p>
    <w:p w14:paraId="7BE7D814">
      <w:pPr>
        <w:kinsoku/>
        <w:wordWrap/>
        <w:overflowPunct/>
        <w:bidi w:val="0"/>
        <w:spacing w:line="500" w:lineRule="exact"/>
        <w:ind w:firstLine="435"/>
        <w:rPr>
          <w:rFonts w:hint="eastAsia" w:ascii="宋体" w:hAnsi="宋体" w:eastAsia="宋体" w:cs="宋体"/>
          <w:color w:val="auto"/>
          <w:kern w:val="0"/>
          <w:highlight w:val="none"/>
        </w:rPr>
      </w:pPr>
      <w:r>
        <w:rPr>
          <w:rFonts w:hint="eastAsia" w:ascii="宋体" w:hAnsi="宋体" w:eastAsia="宋体" w:cs="宋体"/>
          <w:color w:val="auto"/>
          <w:kern w:val="0"/>
          <w:highlight w:val="none"/>
        </w:rPr>
        <w:t>代理人无转委托权。</w:t>
      </w:r>
    </w:p>
    <w:p w14:paraId="7B3AEB1B">
      <w:pPr>
        <w:kinsoku/>
        <w:wordWrap/>
        <w:overflowPunct/>
        <w:bidi w:val="0"/>
        <w:spacing w:line="50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本授权书于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日签字生效，特此声明。</w:t>
      </w:r>
    </w:p>
    <w:p w14:paraId="56FB3776">
      <w:pPr>
        <w:kinsoku/>
        <w:wordWrap/>
        <w:overflowPunct/>
        <w:bidi w:val="0"/>
        <w:adjustRightInd w:val="0"/>
        <w:snapToGrid w:val="0"/>
        <w:spacing w:before="156" w:beforeLines="50"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附：委托代理人身份证复印件及法定代表人身份证明(附件1，原件)</w:t>
      </w:r>
    </w:p>
    <w:p w14:paraId="26AE6DFB">
      <w:pPr>
        <w:kinsoku/>
        <w:wordWrap/>
        <w:overflowPunct/>
        <w:bidi w:val="0"/>
        <w:adjustRightInd w:val="0"/>
        <w:snapToGrid w:val="0"/>
        <w:spacing w:line="500" w:lineRule="exact"/>
        <w:ind w:right="420"/>
        <w:rPr>
          <w:rFonts w:hint="eastAsia" w:ascii="宋体" w:hAnsi="宋体" w:eastAsia="宋体" w:cs="宋体"/>
          <w:color w:val="auto"/>
          <w:highlight w:val="none"/>
        </w:rPr>
      </w:pPr>
    </w:p>
    <w:p w14:paraId="5ECFBE56">
      <w:pPr>
        <w:kinsoku/>
        <w:wordWrap/>
        <w:overflowPunct/>
        <w:bidi w:val="0"/>
        <w:adjustRightInd w:val="0"/>
        <w:snapToGrid w:val="0"/>
        <w:spacing w:line="5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供应商名称(盖单位章)：</w:t>
      </w:r>
      <w:r>
        <w:rPr>
          <w:rFonts w:hint="eastAsia" w:ascii="宋体" w:hAnsi="宋体" w:eastAsia="宋体" w:cs="宋体"/>
          <w:color w:val="auto"/>
          <w:highlight w:val="none"/>
          <w:u w:val="single"/>
        </w:rPr>
        <w:t xml:space="preserve">                         </w:t>
      </w:r>
    </w:p>
    <w:p w14:paraId="230D3833">
      <w:pPr>
        <w:kinsoku/>
        <w:wordWrap/>
        <w:overflowPunct/>
        <w:bidi w:val="0"/>
        <w:adjustRightInd w:val="0"/>
        <w:snapToGrid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法定代表人 (签字)：</w:t>
      </w:r>
      <w:r>
        <w:rPr>
          <w:rFonts w:hint="eastAsia" w:ascii="宋体" w:hAnsi="宋体" w:eastAsia="宋体" w:cs="宋体"/>
          <w:color w:val="auto"/>
          <w:highlight w:val="none"/>
          <w:u w:val="single"/>
        </w:rPr>
        <w:t xml:space="preserve">              </w:t>
      </w:r>
    </w:p>
    <w:p w14:paraId="4EB08199">
      <w:pPr>
        <w:kinsoku/>
        <w:wordWrap/>
        <w:overflowPunct/>
        <w:bidi w:val="0"/>
        <w:adjustRightInd w:val="0"/>
        <w:snapToGrid w:val="0"/>
        <w:spacing w:line="500" w:lineRule="exact"/>
        <w:ind w:right="420"/>
        <w:rPr>
          <w:rFonts w:hint="eastAsia" w:ascii="宋体" w:hAnsi="宋体" w:eastAsia="宋体" w:cs="宋体"/>
          <w:color w:val="auto"/>
          <w:highlight w:val="none"/>
        </w:rPr>
      </w:pPr>
      <w:r>
        <w:rPr>
          <w:rFonts w:hint="eastAsia" w:ascii="宋体" w:hAnsi="宋体" w:eastAsia="宋体" w:cs="宋体"/>
          <w:color w:val="auto"/>
          <w:highlight w:val="none"/>
        </w:rPr>
        <w:t>委托代理人（签字）：</w:t>
      </w:r>
      <w:r>
        <w:rPr>
          <w:rFonts w:hint="eastAsia" w:ascii="宋体" w:hAnsi="宋体" w:eastAsia="宋体" w:cs="宋体"/>
          <w:color w:val="auto"/>
          <w:highlight w:val="none"/>
          <w:u w:val="single"/>
        </w:rPr>
        <w:t xml:space="preserve">            </w:t>
      </w:r>
    </w:p>
    <w:p w14:paraId="3E49F41C">
      <w:pPr>
        <w:kinsoku/>
        <w:wordWrap/>
        <w:overflowPunct/>
        <w:bidi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64BA449B">
      <w:pPr>
        <w:kinsoku/>
        <w:wordWrap/>
        <w:overflowPunct/>
        <w:bidi w:val="0"/>
        <w:adjustRightInd w:val="0"/>
        <w:snapToGrid w:val="0"/>
        <w:spacing w:line="500" w:lineRule="exact"/>
        <w:ind w:right="420"/>
        <w:rPr>
          <w:rFonts w:hint="eastAsia" w:ascii="宋体" w:hAnsi="宋体" w:eastAsia="宋体" w:cs="宋体"/>
          <w:color w:val="auto"/>
          <w:highlight w:val="none"/>
        </w:rPr>
      </w:pPr>
    </w:p>
    <w:p w14:paraId="186043DE">
      <w:pPr>
        <w:kinsoku/>
        <w:wordWrap/>
        <w:overflowPunct/>
        <w:bidi w:val="0"/>
        <w:adjustRightInd w:val="0"/>
        <w:snapToGrid w:val="0"/>
        <w:spacing w:line="500" w:lineRule="exact"/>
        <w:jc w:val="center"/>
        <w:rPr>
          <w:rFonts w:hint="eastAsia" w:ascii="宋体" w:hAnsi="宋体" w:eastAsia="宋体" w:cs="宋体"/>
          <w:color w:val="auto"/>
          <w:highlight w:val="none"/>
        </w:rPr>
      </w:pPr>
      <w:r>
        <w:rPr>
          <w:rFonts w:hint="eastAsia" w:ascii="宋体" w:hAnsi="宋体" w:eastAsia="宋体" w:cs="宋体"/>
          <w:b/>
          <w:color w:val="auto"/>
          <w:highlight w:val="none"/>
        </w:rPr>
        <w:br w:type="page"/>
      </w:r>
    </w:p>
    <w:p w14:paraId="55988F92">
      <w:pPr>
        <w:pStyle w:val="7"/>
        <w:kinsoku/>
        <w:wordWrap/>
        <w:overflow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二、供应商的资格证明材料</w:t>
      </w:r>
    </w:p>
    <w:p w14:paraId="04044196">
      <w:pPr>
        <w:pStyle w:val="8"/>
        <w:numPr>
          <w:ilvl w:val="1"/>
          <w:numId w:val="0"/>
        </w:numPr>
        <w:kinsoku/>
        <w:wordWrap/>
        <w:overflowPunct/>
        <w:bidi w:val="0"/>
        <w:spacing w:before="0" w:after="0" w:line="500" w:lineRule="exact"/>
        <w:rPr>
          <w:rFonts w:hint="eastAsia" w:ascii="宋体" w:hAnsi="宋体" w:eastAsia="宋体" w:cs="宋体"/>
          <w:b/>
          <w:color w:val="auto"/>
          <w:highlight w:val="none"/>
        </w:rPr>
      </w:pPr>
      <w:r>
        <w:rPr>
          <w:rFonts w:hint="eastAsia" w:ascii="宋体" w:hAnsi="宋体" w:eastAsia="宋体" w:cs="宋体"/>
          <w:color w:val="auto"/>
          <w:highlight w:val="none"/>
        </w:rPr>
        <w:t xml:space="preserve">附件3：           </w:t>
      </w:r>
      <w:r>
        <w:rPr>
          <w:rFonts w:hint="eastAsia" w:ascii="宋体" w:hAnsi="宋体" w:eastAsia="宋体" w:cs="宋体"/>
          <w:b/>
          <w:color w:val="auto"/>
          <w:sz w:val="28"/>
          <w:szCs w:val="28"/>
          <w:highlight w:val="none"/>
        </w:rPr>
        <w:t>供应商基本情况表</w:t>
      </w:r>
    </w:p>
    <w:p w14:paraId="252FFB7D">
      <w:pPr>
        <w:kinsoku/>
        <w:wordWrap/>
        <w:overflowPunct/>
        <w:bidi w:val="0"/>
        <w:adjustRightInd w:val="0"/>
        <w:snapToGrid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供应商单位盖章</w:t>
      </w:r>
    </w:p>
    <w:tbl>
      <w:tblPr>
        <w:tblStyle w:val="29"/>
        <w:tblW w:w="993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1"/>
        <w:gridCol w:w="593"/>
        <w:gridCol w:w="399"/>
        <w:gridCol w:w="1258"/>
        <w:gridCol w:w="941"/>
        <w:gridCol w:w="644"/>
        <w:gridCol w:w="330"/>
        <w:gridCol w:w="1192"/>
        <w:gridCol w:w="1463"/>
        <w:gridCol w:w="2304"/>
        <w:gridCol w:w="15"/>
      </w:tblGrid>
      <w:tr w14:paraId="76955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782" w:type="dxa"/>
            <w:gridSpan w:val="3"/>
            <w:tcBorders>
              <w:top w:val="double" w:color="auto" w:sz="4" w:space="0"/>
              <w:left w:val="double" w:color="auto" w:sz="4" w:space="0"/>
              <w:bottom w:val="single" w:color="auto" w:sz="6" w:space="0"/>
              <w:right w:val="single" w:color="auto" w:sz="6" w:space="0"/>
            </w:tcBorders>
            <w:vAlign w:val="center"/>
          </w:tcPr>
          <w:p w14:paraId="679CC483">
            <w:pPr>
              <w:kinsoku/>
              <w:wordWrap/>
              <w:overflowPunct/>
              <w:topLine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4363" w:type="dxa"/>
            <w:gridSpan w:val="5"/>
            <w:tcBorders>
              <w:top w:val="double" w:color="auto" w:sz="4" w:space="0"/>
              <w:left w:val="single" w:color="auto" w:sz="6" w:space="0"/>
              <w:bottom w:val="single" w:color="auto" w:sz="6" w:space="0"/>
              <w:right w:val="single" w:color="auto" w:sz="6" w:space="0"/>
            </w:tcBorders>
            <w:vAlign w:val="center"/>
          </w:tcPr>
          <w:p w14:paraId="249AE12C">
            <w:pPr>
              <w:kinsoku/>
              <w:wordWrap/>
              <w:overflowPunct/>
              <w:topLinePunct/>
              <w:bidi w:val="0"/>
              <w:spacing w:line="500" w:lineRule="exact"/>
              <w:jc w:val="center"/>
              <w:rPr>
                <w:rFonts w:hint="eastAsia" w:ascii="宋体" w:hAnsi="宋体" w:eastAsia="宋体" w:cs="宋体"/>
                <w:color w:val="auto"/>
                <w:highlight w:val="none"/>
              </w:rPr>
            </w:pPr>
          </w:p>
        </w:tc>
        <w:tc>
          <w:tcPr>
            <w:tcW w:w="1462" w:type="dxa"/>
            <w:tcBorders>
              <w:top w:val="double" w:color="auto" w:sz="4" w:space="0"/>
              <w:left w:val="single" w:color="auto" w:sz="6" w:space="0"/>
              <w:bottom w:val="single" w:color="auto" w:sz="6" w:space="0"/>
              <w:right w:val="single" w:color="auto" w:sz="6" w:space="0"/>
            </w:tcBorders>
            <w:vAlign w:val="center"/>
          </w:tcPr>
          <w:p w14:paraId="6DACFDB1">
            <w:pPr>
              <w:kinsoku/>
              <w:wordWrap/>
              <w:overflowPunct/>
              <w:topLine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w:t>
            </w:r>
          </w:p>
        </w:tc>
        <w:tc>
          <w:tcPr>
            <w:tcW w:w="2318" w:type="dxa"/>
            <w:gridSpan w:val="2"/>
            <w:tcBorders>
              <w:top w:val="double" w:color="auto" w:sz="4" w:space="0"/>
              <w:left w:val="single" w:color="auto" w:sz="6" w:space="0"/>
              <w:bottom w:val="single" w:color="auto" w:sz="6" w:space="0"/>
              <w:right w:val="double" w:color="auto" w:sz="4" w:space="0"/>
            </w:tcBorders>
            <w:vAlign w:val="center"/>
          </w:tcPr>
          <w:p w14:paraId="068031B6">
            <w:pPr>
              <w:kinsoku/>
              <w:wordWrap/>
              <w:overflowPunct/>
              <w:topLinePunct/>
              <w:bidi w:val="0"/>
              <w:spacing w:line="500" w:lineRule="exact"/>
              <w:jc w:val="center"/>
              <w:rPr>
                <w:rFonts w:hint="eastAsia" w:ascii="宋体" w:hAnsi="宋体" w:eastAsia="宋体" w:cs="宋体"/>
                <w:color w:val="auto"/>
                <w:highlight w:val="none"/>
              </w:rPr>
            </w:pPr>
          </w:p>
        </w:tc>
      </w:tr>
      <w:tr w14:paraId="0A0FCD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40" w:hRule="atLeast"/>
        </w:trPr>
        <w:tc>
          <w:tcPr>
            <w:tcW w:w="1782" w:type="dxa"/>
            <w:gridSpan w:val="3"/>
            <w:tcBorders>
              <w:top w:val="single" w:color="auto" w:sz="6" w:space="0"/>
              <w:left w:val="double" w:color="auto" w:sz="4" w:space="0"/>
              <w:bottom w:val="single" w:color="auto" w:sz="6" w:space="0"/>
              <w:right w:val="single" w:color="auto" w:sz="6" w:space="0"/>
            </w:tcBorders>
            <w:vAlign w:val="center"/>
          </w:tcPr>
          <w:p w14:paraId="7F8D306E">
            <w:pPr>
              <w:kinsoku/>
              <w:wordWrap/>
              <w:overflowPunct/>
              <w:topLine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组织机构代码</w:t>
            </w:r>
          </w:p>
        </w:tc>
        <w:tc>
          <w:tcPr>
            <w:tcW w:w="4363" w:type="dxa"/>
            <w:gridSpan w:val="5"/>
            <w:tcBorders>
              <w:top w:val="single" w:color="auto" w:sz="6" w:space="0"/>
              <w:left w:val="single" w:color="auto" w:sz="6" w:space="0"/>
              <w:bottom w:val="single" w:color="auto" w:sz="6" w:space="0"/>
              <w:right w:val="single" w:color="auto" w:sz="6" w:space="0"/>
            </w:tcBorders>
            <w:vAlign w:val="center"/>
          </w:tcPr>
          <w:p w14:paraId="448CED1C">
            <w:pPr>
              <w:kinsoku/>
              <w:wordWrap/>
              <w:overflowPunct/>
              <w:topLinePunct/>
              <w:bidi w:val="0"/>
              <w:spacing w:line="500" w:lineRule="exact"/>
              <w:jc w:val="center"/>
              <w:rPr>
                <w:rFonts w:hint="eastAsia" w:ascii="宋体" w:hAnsi="宋体" w:eastAsia="宋体" w:cs="宋体"/>
                <w:color w:val="auto"/>
                <w:highlight w:val="none"/>
              </w:rPr>
            </w:pPr>
          </w:p>
        </w:tc>
        <w:tc>
          <w:tcPr>
            <w:tcW w:w="1462" w:type="dxa"/>
            <w:tcBorders>
              <w:top w:val="single" w:color="auto" w:sz="6" w:space="0"/>
              <w:left w:val="single" w:color="auto" w:sz="6" w:space="0"/>
              <w:bottom w:val="single" w:color="auto" w:sz="6" w:space="0"/>
              <w:right w:val="single" w:color="auto" w:sz="6" w:space="0"/>
            </w:tcBorders>
            <w:vAlign w:val="center"/>
          </w:tcPr>
          <w:p w14:paraId="01E627DE">
            <w:pPr>
              <w:kinsoku/>
              <w:wordWrap/>
              <w:overflowPunct/>
              <w:topLine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邮政编码</w:t>
            </w:r>
          </w:p>
        </w:tc>
        <w:tc>
          <w:tcPr>
            <w:tcW w:w="2303" w:type="dxa"/>
            <w:tcBorders>
              <w:top w:val="single" w:color="auto" w:sz="6" w:space="0"/>
              <w:left w:val="single" w:color="auto" w:sz="6" w:space="0"/>
              <w:bottom w:val="single" w:color="auto" w:sz="6" w:space="0"/>
              <w:right w:val="double" w:color="auto" w:sz="4" w:space="0"/>
            </w:tcBorders>
            <w:vAlign w:val="center"/>
          </w:tcPr>
          <w:p w14:paraId="19D132D0">
            <w:pPr>
              <w:kinsoku/>
              <w:wordWrap/>
              <w:overflowPunct/>
              <w:topLinePunct/>
              <w:bidi w:val="0"/>
              <w:spacing w:line="500" w:lineRule="exact"/>
              <w:jc w:val="center"/>
              <w:rPr>
                <w:rFonts w:hint="eastAsia" w:ascii="宋体" w:hAnsi="宋体" w:eastAsia="宋体" w:cs="宋体"/>
                <w:color w:val="auto"/>
                <w:highlight w:val="none"/>
              </w:rPr>
            </w:pPr>
          </w:p>
        </w:tc>
      </w:tr>
      <w:tr w14:paraId="3324A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37" w:hRule="atLeast"/>
        </w:trPr>
        <w:tc>
          <w:tcPr>
            <w:tcW w:w="1782" w:type="dxa"/>
            <w:gridSpan w:val="3"/>
            <w:tcBorders>
              <w:top w:val="single" w:color="auto" w:sz="6" w:space="0"/>
              <w:left w:val="double" w:color="auto" w:sz="4" w:space="0"/>
              <w:bottom w:val="single" w:color="auto" w:sz="6" w:space="0"/>
              <w:right w:val="single" w:color="auto" w:sz="6" w:space="0"/>
            </w:tcBorders>
            <w:vAlign w:val="center"/>
          </w:tcPr>
          <w:p w14:paraId="43971C44">
            <w:pPr>
              <w:kinsoku/>
              <w:wordWrap/>
              <w:overflowPunct/>
              <w:topLine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委托代理人</w:t>
            </w:r>
          </w:p>
        </w:tc>
        <w:tc>
          <w:tcPr>
            <w:tcW w:w="4363" w:type="dxa"/>
            <w:gridSpan w:val="5"/>
            <w:tcBorders>
              <w:top w:val="single" w:color="auto" w:sz="6" w:space="0"/>
              <w:left w:val="single" w:color="auto" w:sz="6" w:space="0"/>
              <w:bottom w:val="single" w:color="auto" w:sz="6" w:space="0"/>
              <w:right w:val="single" w:color="auto" w:sz="6" w:space="0"/>
            </w:tcBorders>
            <w:vAlign w:val="center"/>
          </w:tcPr>
          <w:p w14:paraId="5C887396">
            <w:pPr>
              <w:kinsoku/>
              <w:wordWrap/>
              <w:overflowPunct/>
              <w:topLinePunct/>
              <w:bidi w:val="0"/>
              <w:spacing w:line="500" w:lineRule="exact"/>
              <w:jc w:val="center"/>
              <w:rPr>
                <w:rFonts w:hint="eastAsia" w:ascii="宋体" w:hAnsi="宋体" w:eastAsia="宋体" w:cs="宋体"/>
                <w:color w:val="auto"/>
                <w:highlight w:val="none"/>
              </w:rPr>
            </w:pPr>
          </w:p>
        </w:tc>
        <w:tc>
          <w:tcPr>
            <w:tcW w:w="1462" w:type="dxa"/>
            <w:tcBorders>
              <w:top w:val="single" w:color="auto" w:sz="6" w:space="0"/>
              <w:left w:val="single" w:color="auto" w:sz="6" w:space="0"/>
              <w:bottom w:val="single" w:color="auto" w:sz="6" w:space="0"/>
              <w:right w:val="single" w:color="auto" w:sz="6" w:space="0"/>
            </w:tcBorders>
            <w:vAlign w:val="center"/>
          </w:tcPr>
          <w:p w14:paraId="2D1E046E">
            <w:pPr>
              <w:kinsoku/>
              <w:wordWrap/>
              <w:overflowPunct/>
              <w:topLine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电子邮箱</w:t>
            </w:r>
          </w:p>
        </w:tc>
        <w:tc>
          <w:tcPr>
            <w:tcW w:w="2303" w:type="dxa"/>
            <w:tcBorders>
              <w:top w:val="single" w:color="auto" w:sz="6" w:space="0"/>
              <w:left w:val="single" w:color="auto" w:sz="6" w:space="0"/>
              <w:bottom w:val="single" w:color="auto" w:sz="6" w:space="0"/>
              <w:right w:val="double" w:color="auto" w:sz="4" w:space="0"/>
            </w:tcBorders>
            <w:vAlign w:val="center"/>
          </w:tcPr>
          <w:p w14:paraId="0DB8AA51">
            <w:pPr>
              <w:kinsoku/>
              <w:wordWrap/>
              <w:overflowPunct/>
              <w:topLinePunct/>
              <w:bidi w:val="0"/>
              <w:spacing w:line="500" w:lineRule="exact"/>
              <w:jc w:val="center"/>
              <w:rPr>
                <w:rFonts w:hint="eastAsia" w:ascii="宋体" w:hAnsi="宋体" w:eastAsia="宋体" w:cs="宋体"/>
                <w:color w:val="auto"/>
                <w:highlight w:val="none"/>
              </w:rPr>
            </w:pPr>
          </w:p>
        </w:tc>
      </w:tr>
      <w:tr w14:paraId="114D4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37" w:hRule="atLeast"/>
        </w:trPr>
        <w:tc>
          <w:tcPr>
            <w:tcW w:w="1782" w:type="dxa"/>
            <w:gridSpan w:val="3"/>
            <w:tcBorders>
              <w:top w:val="single" w:color="auto" w:sz="6" w:space="0"/>
              <w:left w:val="double" w:color="auto" w:sz="4" w:space="0"/>
              <w:bottom w:val="single" w:color="auto" w:sz="6" w:space="0"/>
              <w:right w:val="single" w:color="auto" w:sz="6" w:space="0"/>
            </w:tcBorders>
            <w:vAlign w:val="center"/>
          </w:tcPr>
          <w:p w14:paraId="7324E492">
            <w:pPr>
              <w:kinsoku/>
              <w:wordWrap/>
              <w:overflowPunct/>
              <w:topLine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上年营业收入</w:t>
            </w:r>
          </w:p>
        </w:tc>
        <w:tc>
          <w:tcPr>
            <w:tcW w:w="4363" w:type="dxa"/>
            <w:gridSpan w:val="5"/>
            <w:tcBorders>
              <w:top w:val="single" w:color="auto" w:sz="6" w:space="0"/>
              <w:left w:val="single" w:color="auto" w:sz="6" w:space="0"/>
              <w:bottom w:val="single" w:color="auto" w:sz="6" w:space="0"/>
              <w:right w:val="single" w:color="auto" w:sz="6" w:space="0"/>
            </w:tcBorders>
            <w:vAlign w:val="center"/>
          </w:tcPr>
          <w:p w14:paraId="31354D4C">
            <w:pPr>
              <w:kinsoku/>
              <w:wordWrap/>
              <w:overflowPunct/>
              <w:topLinePunct/>
              <w:bidi w:val="0"/>
              <w:spacing w:line="500" w:lineRule="exact"/>
              <w:jc w:val="center"/>
              <w:rPr>
                <w:rFonts w:hint="eastAsia" w:ascii="宋体" w:hAnsi="宋体" w:eastAsia="宋体" w:cs="宋体"/>
                <w:color w:val="auto"/>
                <w:highlight w:val="none"/>
              </w:rPr>
            </w:pPr>
          </w:p>
        </w:tc>
        <w:tc>
          <w:tcPr>
            <w:tcW w:w="1462" w:type="dxa"/>
            <w:tcBorders>
              <w:top w:val="single" w:color="auto" w:sz="6" w:space="0"/>
              <w:left w:val="single" w:color="auto" w:sz="6" w:space="0"/>
              <w:bottom w:val="single" w:color="auto" w:sz="6" w:space="0"/>
              <w:right w:val="single" w:color="auto" w:sz="6" w:space="0"/>
            </w:tcBorders>
            <w:vAlign w:val="center"/>
          </w:tcPr>
          <w:p w14:paraId="2BF97CD4">
            <w:pPr>
              <w:kinsoku/>
              <w:wordWrap/>
              <w:overflowPunct/>
              <w:topLine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员工总人数</w:t>
            </w:r>
          </w:p>
        </w:tc>
        <w:tc>
          <w:tcPr>
            <w:tcW w:w="2303" w:type="dxa"/>
            <w:tcBorders>
              <w:top w:val="single" w:color="auto" w:sz="6" w:space="0"/>
              <w:left w:val="single" w:color="auto" w:sz="6" w:space="0"/>
              <w:bottom w:val="single" w:color="auto" w:sz="6" w:space="0"/>
              <w:right w:val="double" w:color="auto" w:sz="4" w:space="0"/>
            </w:tcBorders>
            <w:vAlign w:val="center"/>
          </w:tcPr>
          <w:p w14:paraId="43975FB8">
            <w:pPr>
              <w:kinsoku/>
              <w:wordWrap/>
              <w:overflowPunct/>
              <w:topLinePunct/>
              <w:bidi w:val="0"/>
              <w:spacing w:line="500" w:lineRule="exact"/>
              <w:jc w:val="center"/>
              <w:rPr>
                <w:rFonts w:hint="eastAsia" w:ascii="宋体" w:hAnsi="宋体" w:eastAsia="宋体" w:cs="宋体"/>
                <w:color w:val="auto"/>
                <w:highlight w:val="none"/>
              </w:rPr>
            </w:pPr>
          </w:p>
        </w:tc>
      </w:tr>
      <w:tr w14:paraId="65CB5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53" w:hRule="atLeast"/>
        </w:trPr>
        <w:tc>
          <w:tcPr>
            <w:tcW w:w="790" w:type="dxa"/>
            <w:vMerge w:val="restart"/>
            <w:tcBorders>
              <w:top w:val="single" w:color="auto" w:sz="6" w:space="0"/>
              <w:left w:val="double" w:color="auto" w:sz="4" w:space="0"/>
              <w:bottom w:val="single" w:color="auto" w:sz="6" w:space="0"/>
              <w:right w:val="single" w:color="auto" w:sz="6" w:space="0"/>
            </w:tcBorders>
            <w:vAlign w:val="center"/>
          </w:tcPr>
          <w:p w14:paraId="63381E00">
            <w:pPr>
              <w:kinsoku/>
              <w:wordWrap/>
              <w:overflowPunct/>
              <w:topLine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营业执照</w:t>
            </w:r>
          </w:p>
        </w:tc>
        <w:tc>
          <w:tcPr>
            <w:tcW w:w="2249" w:type="dxa"/>
            <w:gridSpan w:val="3"/>
            <w:tcBorders>
              <w:top w:val="single" w:color="auto" w:sz="6" w:space="0"/>
              <w:left w:val="single" w:color="auto" w:sz="6" w:space="0"/>
              <w:bottom w:val="single" w:color="auto" w:sz="6" w:space="0"/>
              <w:right w:val="single" w:color="auto" w:sz="6" w:space="0"/>
            </w:tcBorders>
            <w:vAlign w:val="center"/>
          </w:tcPr>
          <w:p w14:paraId="0A8A55CB">
            <w:pPr>
              <w:kinsoku/>
              <w:wordWrap/>
              <w:overflowPunct/>
              <w:topLine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注册号码</w:t>
            </w:r>
          </w:p>
        </w:tc>
        <w:tc>
          <w:tcPr>
            <w:tcW w:w="1585" w:type="dxa"/>
            <w:gridSpan w:val="2"/>
            <w:tcBorders>
              <w:top w:val="single" w:color="auto" w:sz="6" w:space="0"/>
              <w:left w:val="single" w:color="auto" w:sz="6" w:space="0"/>
              <w:bottom w:val="single" w:color="auto" w:sz="6" w:space="0"/>
              <w:right w:val="single" w:color="auto" w:sz="6" w:space="0"/>
            </w:tcBorders>
            <w:vAlign w:val="center"/>
          </w:tcPr>
          <w:p w14:paraId="11C5FAB2">
            <w:pPr>
              <w:kinsoku/>
              <w:wordWrap/>
              <w:overflowPunct/>
              <w:topLinePunct/>
              <w:bidi w:val="0"/>
              <w:spacing w:line="500" w:lineRule="exact"/>
              <w:jc w:val="center"/>
              <w:rPr>
                <w:rFonts w:hint="eastAsia" w:ascii="宋体" w:hAnsi="宋体" w:eastAsia="宋体" w:cs="宋体"/>
                <w:color w:val="auto"/>
                <w:highlight w:val="none"/>
              </w:rPr>
            </w:pPr>
          </w:p>
        </w:tc>
        <w:tc>
          <w:tcPr>
            <w:tcW w:w="1521" w:type="dxa"/>
            <w:gridSpan w:val="2"/>
            <w:tcBorders>
              <w:top w:val="single" w:color="auto" w:sz="6" w:space="0"/>
              <w:left w:val="single" w:color="auto" w:sz="6" w:space="0"/>
              <w:bottom w:val="single" w:color="auto" w:sz="6" w:space="0"/>
              <w:right w:val="single" w:color="auto" w:sz="6" w:space="0"/>
            </w:tcBorders>
            <w:vAlign w:val="center"/>
          </w:tcPr>
          <w:p w14:paraId="022209AA">
            <w:pPr>
              <w:kinsoku/>
              <w:wordWrap/>
              <w:overflowPunct/>
              <w:topLinePunct/>
              <w:bidi w:val="0"/>
              <w:spacing w:line="500" w:lineRule="exact"/>
              <w:ind w:firstLine="105" w:firstLineChars="50"/>
              <w:jc w:val="center"/>
              <w:rPr>
                <w:rFonts w:hint="eastAsia" w:ascii="宋体" w:hAnsi="宋体" w:eastAsia="宋体" w:cs="宋体"/>
                <w:color w:val="auto"/>
                <w:highlight w:val="none"/>
              </w:rPr>
            </w:pPr>
            <w:r>
              <w:rPr>
                <w:rFonts w:hint="eastAsia" w:ascii="宋体" w:hAnsi="宋体" w:eastAsia="宋体" w:cs="宋体"/>
                <w:color w:val="auto"/>
                <w:highlight w:val="none"/>
              </w:rPr>
              <w:t>注册地址</w:t>
            </w:r>
          </w:p>
        </w:tc>
        <w:tc>
          <w:tcPr>
            <w:tcW w:w="3765" w:type="dxa"/>
            <w:gridSpan w:val="2"/>
            <w:tcBorders>
              <w:top w:val="single" w:color="auto" w:sz="6" w:space="0"/>
              <w:left w:val="single" w:color="auto" w:sz="6" w:space="0"/>
              <w:bottom w:val="single" w:color="auto" w:sz="6" w:space="0"/>
              <w:right w:val="double" w:color="auto" w:sz="4" w:space="0"/>
            </w:tcBorders>
            <w:vAlign w:val="center"/>
          </w:tcPr>
          <w:p w14:paraId="3AD45C7B">
            <w:pPr>
              <w:kinsoku/>
              <w:wordWrap/>
              <w:overflowPunct/>
              <w:topLinePunct/>
              <w:bidi w:val="0"/>
              <w:spacing w:line="500" w:lineRule="exact"/>
              <w:ind w:firstLine="105" w:firstLineChars="50"/>
              <w:jc w:val="center"/>
              <w:rPr>
                <w:rFonts w:hint="eastAsia" w:ascii="宋体" w:hAnsi="宋体" w:eastAsia="宋体" w:cs="宋体"/>
                <w:color w:val="auto"/>
                <w:highlight w:val="none"/>
              </w:rPr>
            </w:pPr>
          </w:p>
        </w:tc>
      </w:tr>
      <w:tr w14:paraId="3F3B5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53" w:hRule="atLeast"/>
        </w:trPr>
        <w:tc>
          <w:tcPr>
            <w:tcW w:w="300" w:type="dxa"/>
            <w:vMerge w:val="continue"/>
            <w:tcBorders>
              <w:top w:val="single" w:color="auto" w:sz="6" w:space="0"/>
              <w:left w:val="double" w:color="auto" w:sz="4" w:space="0"/>
              <w:bottom w:val="single" w:color="auto" w:sz="6" w:space="0"/>
              <w:right w:val="single" w:color="auto" w:sz="6" w:space="0"/>
            </w:tcBorders>
            <w:vAlign w:val="center"/>
          </w:tcPr>
          <w:p w14:paraId="244EACE0">
            <w:pPr>
              <w:widowControl/>
              <w:kinsoku/>
              <w:wordWrap/>
              <w:overflowPunct/>
              <w:bidi w:val="0"/>
              <w:spacing w:line="500" w:lineRule="exact"/>
              <w:jc w:val="left"/>
              <w:rPr>
                <w:rFonts w:hint="eastAsia" w:ascii="宋体" w:hAnsi="宋体" w:eastAsia="宋体" w:cs="宋体"/>
                <w:color w:val="auto"/>
                <w:highlight w:val="none"/>
              </w:rPr>
            </w:pPr>
          </w:p>
        </w:tc>
        <w:tc>
          <w:tcPr>
            <w:tcW w:w="2249" w:type="dxa"/>
            <w:gridSpan w:val="3"/>
            <w:tcBorders>
              <w:top w:val="single" w:color="auto" w:sz="6" w:space="0"/>
              <w:left w:val="single" w:color="auto" w:sz="6" w:space="0"/>
              <w:bottom w:val="single" w:color="auto" w:sz="6" w:space="0"/>
              <w:right w:val="single" w:color="auto" w:sz="6" w:space="0"/>
            </w:tcBorders>
            <w:vAlign w:val="center"/>
          </w:tcPr>
          <w:p w14:paraId="67D1DC53">
            <w:pPr>
              <w:kinsoku/>
              <w:wordWrap/>
              <w:overflowPunct/>
              <w:topLine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发证机关</w:t>
            </w:r>
          </w:p>
        </w:tc>
        <w:tc>
          <w:tcPr>
            <w:tcW w:w="1585" w:type="dxa"/>
            <w:gridSpan w:val="2"/>
            <w:tcBorders>
              <w:top w:val="single" w:color="auto" w:sz="6" w:space="0"/>
              <w:left w:val="single" w:color="auto" w:sz="6" w:space="0"/>
              <w:bottom w:val="single" w:color="auto" w:sz="6" w:space="0"/>
              <w:right w:val="single" w:color="auto" w:sz="6" w:space="0"/>
            </w:tcBorders>
            <w:vAlign w:val="center"/>
          </w:tcPr>
          <w:p w14:paraId="5FD01299">
            <w:pPr>
              <w:kinsoku/>
              <w:wordWrap/>
              <w:overflowPunct/>
              <w:topLinePunct/>
              <w:bidi w:val="0"/>
              <w:spacing w:line="500" w:lineRule="exact"/>
              <w:jc w:val="center"/>
              <w:rPr>
                <w:rFonts w:hint="eastAsia" w:ascii="宋体" w:hAnsi="宋体" w:eastAsia="宋体" w:cs="宋体"/>
                <w:color w:val="auto"/>
                <w:highlight w:val="none"/>
              </w:rPr>
            </w:pPr>
          </w:p>
        </w:tc>
        <w:tc>
          <w:tcPr>
            <w:tcW w:w="1521" w:type="dxa"/>
            <w:gridSpan w:val="2"/>
            <w:tcBorders>
              <w:top w:val="single" w:color="auto" w:sz="6" w:space="0"/>
              <w:left w:val="single" w:color="auto" w:sz="6" w:space="0"/>
              <w:bottom w:val="single" w:color="auto" w:sz="6" w:space="0"/>
              <w:right w:val="single" w:color="auto" w:sz="6" w:space="0"/>
            </w:tcBorders>
            <w:vAlign w:val="center"/>
          </w:tcPr>
          <w:p w14:paraId="67950C8B">
            <w:pPr>
              <w:kinsoku/>
              <w:wordWrap/>
              <w:overflowPunct/>
              <w:topLinePunct/>
              <w:bidi w:val="0"/>
              <w:spacing w:line="500" w:lineRule="exact"/>
              <w:ind w:firstLine="105" w:firstLineChars="50"/>
              <w:jc w:val="center"/>
              <w:rPr>
                <w:rFonts w:hint="eastAsia" w:ascii="宋体" w:hAnsi="宋体" w:eastAsia="宋体" w:cs="宋体"/>
                <w:color w:val="auto"/>
                <w:highlight w:val="none"/>
              </w:rPr>
            </w:pPr>
            <w:r>
              <w:rPr>
                <w:rFonts w:hint="eastAsia" w:ascii="宋体" w:hAnsi="宋体" w:eastAsia="宋体" w:cs="宋体"/>
                <w:color w:val="auto"/>
                <w:highlight w:val="none"/>
              </w:rPr>
              <w:t>发证日期</w:t>
            </w:r>
          </w:p>
        </w:tc>
        <w:tc>
          <w:tcPr>
            <w:tcW w:w="3765" w:type="dxa"/>
            <w:gridSpan w:val="2"/>
            <w:tcBorders>
              <w:top w:val="single" w:color="auto" w:sz="6" w:space="0"/>
              <w:left w:val="single" w:color="auto" w:sz="6" w:space="0"/>
              <w:bottom w:val="single" w:color="auto" w:sz="6" w:space="0"/>
              <w:right w:val="double" w:color="auto" w:sz="4" w:space="0"/>
            </w:tcBorders>
            <w:vAlign w:val="center"/>
          </w:tcPr>
          <w:p w14:paraId="27B63C72">
            <w:pPr>
              <w:kinsoku/>
              <w:wordWrap/>
              <w:overflowPunct/>
              <w:topLinePunct/>
              <w:bidi w:val="0"/>
              <w:spacing w:line="500" w:lineRule="exact"/>
              <w:ind w:firstLine="105" w:firstLineChars="50"/>
              <w:jc w:val="center"/>
              <w:rPr>
                <w:rFonts w:hint="eastAsia" w:ascii="宋体" w:hAnsi="宋体" w:eastAsia="宋体" w:cs="宋体"/>
                <w:color w:val="auto"/>
                <w:highlight w:val="none"/>
              </w:rPr>
            </w:pPr>
          </w:p>
        </w:tc>
      </w:tr>
      <w:tr w14:paraId="7635E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53" w:hRule="atLeast"/>
        </w:trPr>
        <w:tc>
          <w:tcPr>
            <w:tcW w:w="300" w:type="dxa"/>
            <w:vMerge w:val="continue"/>
            <w:tcBorders>
              <w:top w:val="single" w:color="auto" w:sz="6" w:space="0"/>
              <w:left w:val="double" w:color="auto" w:sz="4" w:space="0"/>
              <w:bottom w:val="single" w:color="auto" w:sz="6" w:space="0"/>
              <w:right w:val="single" w:color="auto" w:sz="6" w:space="0"/>
            </w:tcBorders>
            <w:vAlign w:val="center"/>
          </w:tcPr>
          <w:p w14:paraId="25E49F33">
            <w:pPr>
              <w:widowControl/>
              <w:kinsoku/>
              <w:wordWrap/>
              <w:overflowPunct/>
              <w:bidi w:val="0"/>
              <w:spacing w:line="500" w:lineRule="exact"/>
              <w:jc w:val="left"/>
              <w:rPr>
                <w:rFonts w:hint="eastAsia" w:ascii="宋体" w:hAnsi="宋体" w:eastAsia="宋体" w:cs="宋体"/>
                <w:color w:val="auto"/>
                <w:highlight w:val="none"/>
              </w:rPr>
            </w:pPr>
          </w:p>
        </w:tc>
        <w:tc>
          <w:tcPr>
            <w:tcW w:w="2249" w:type="dxa"/>
            <w:gridSpan w:val="3"/>
            <w:tcBorders>
              <w:top w:val="single" w:color="auto" w:sz="6" w:space="0"/>
              <w:left w:val="single" w:color="auto" w:sz="6" w:space="0"/>
              <w:bottom w:val="single" w:color="auto" w:sz="6" w:space="0"/>
              <w:right w:val="single" w:color="auto" w:sz="6" w:space="0"/>
            </w:tcBorders>
            <w:vAlign w:val="center"/>
          </w:tcPr>
          <w:p w14:paraId="552A0DF9">
            <w:pPr>
              <w:kinsoku/>
              <w:wordWrap/>
              <w:overflowPunct/>
              <w:topLine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营业范围（主营）</w:t>
            </w:r>
          </w:p>
        </w:tc>
        <w:tc>
          <w:tcPr>
            <w:tcW w:w="6871" w:type="dxa"/>
            <w:gridSpan w:val="6"/>
            <w:tcBorders>
              <w:top w:val="single" w:color="auto" w:sz="6" w:space="0"/>
              <w:left w:val="single" w:color="auto" w:sz="6" w:space="0"/>
              <w:bottom w:val="single" w:color="auto" w:sz="6" w:space="0"/>
              <w:right w:val="double" w:color="auto" w:sz="4" w:space="0"/>
            </w:tcBorders>
            <w:vAlign w:val="center"/>
          </w:tcPr>
          <w:p w14:paraId="7D13A0C9">
            <w:pPr>
              <w:kinsoku/>
              <w:wordWrap/>
              <w:overflowPunct/>
              <w:topLinePunct/>
              <w:bidi w:val="0"/>
              <w:spacing w:line="500" w:lineRule="exact"/>
              <w:ind w:firstLine="105" w:firstLineChars="50"/>
              <w:jc w:val="center"/>
              <w:rPr>
                <w:rFonts w:hint="eastAsia" w:ascii="宋体" w:hAnsi="宋体" w:eastAsia="宋体" w:cs="宋体"/>
                <w:color w:val="auto"/>
                <w:highlight w:val="none"/>
              </w:rPr>
            </w:pPr>
          </w:p>
        </w:tc>
      </w:tr>
      <w:tr w14:paraId="269E22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53" w:hRule="atLeast"/>
        </w:trPr>
        <w:tc>
          <w:tcPr>
            <w:tcW w:w="300" w:type="dxa"/>
            <w:vMerge w:val="continue"/>
            <w:tcBorders>
              <w:top w:val="single" w:color="auto" w:sz="6" w:space="0"/>
              <w:left w:val="double" w:color="auto" w:sz="4" w:space="0"/>
              <w:bottom w:val="single" w:color="auto" w:sz="6" w:space="0"/>
              <w:right w:val="single" w:color="auto" w:sz="6" w:space="0"/>
            </w:tcBorders>
            <w:vAlign w:val="center"/>
          </w:tcPr>
          <w:p w14:paraId="03466D2A">
            <w:pPr>
              <w:widowControl/>
              <w:kinsoku/>
              <w:wordWrap/>
              <w:overflowPunct/>
              <w:bidi w:val="0"/>
              <w:spacing w:line="500" w:lineRule="exact"/>
              <w:jc w:val="left"/>
              <w:rPr>
                <w:rFonts w:hint="eastAsia" w:ascii="宋体" w:hAnsi="宋体" w:eastAsia="宋体" w:cs="宋体"/>
                <w:color w:val="auto"/>
                <w:highlight w:val="none"/>
              </w:rPr>
            </w:pPr>
          </w:p>
        </w:tc>
        <w:tc>
          <w:tcPr>
            <w:tcW w:w="2249" w:type="dxa"/>
            <w:gridSpan w:val="3"/>
            <w:tcBorders>
              <w:top w:val="single" w:color="auto" w:sz="6" w:space="0"/>
              <w:left w:val="single" w:color="auto" w:sz="6" w:space="0"/>
              <w:bottom w:val="single" w:color="auto" w:sz="6" w:space="0"/>
              <w:right w:val="single" w:color="auto" w:sz="6" w:space="0"/>
            </w:tcBorders>
            <w:vAlign w:val="center"/>
          </w:tcPr>
          <w:p w14:paraId="75A755E3">
            <w:pPr>
              <w:kinsoku/>
              <w:wordWrap/>
              <w:overflowPunct/>
              <w:topLine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营业范围（兼营）</w:t>
            </w:r>
          </w:p>
        </w:tc>
        <w:tc>
          <w:tcPr>
            <w:tcW w:w="6871" w:type="dxa"/>
            <w:gridSpan w:val="6"/>
            <w:tcBorders>
              <w:top w:val="single" w:color="auto" w:sz="6" w:space="0"/>
              <w:left w:val="single" w:color="auto" w:sz="6" w:space="0"/>
              <w:bottom w:val="single" w:color="auto" w:sz="6" w:space="0"/>
              <w:right w:val="double" w:color="auto" w:sz="4" w:space="0"/>
            </w:tcBorders>
            <w:vAlign w:val="center"/>
          </w:tcPr>
          <w:p w14:paraId="497B93C7">
            <w:pPr>
              <w:kinsoku/>
              <w:wordWrap/>
              <w:overflowPunct/>
              <w:topLinePunct/>
              <w:bidi w:val="0"/>
              <w:spacing w:line="500" w:lineRule="exact"/>
              <w:ind w:firstLine="105" w:firstLineChars="50"/>
              <w:jc w:val="center"/>
              <w:rPr>
                <w:rFonts w:hint="eastAsia" w:ascii="宋体" w:hAnsi="宋体" w:eastAsia="宋体" w:cs="宋体"/>
                <w:color w:val="auto"/>
                <w:highlight w:val="none"/>
              </w:rPr>
            </w:pPr>
          </w:p>
        </w:tc>
      </w:tr>
      <w:tr w14:paraId="73B17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cantSplit/>
          <w:trHeight w:val="687" w:hRule="atLeast"/>
        </w:trPr>
        <w:tc>
          <w:tcPr>
            <w:tcW w:w="3039" w:type="dxa"/>
            <w:gridSpan w:val="4"/>
            <w:tcBorders>
              <w:top w:val="single" w:color="auto" w:sz="6" w:space="0"/>
              <w:left w:val="double" w:color="auto" w:sz="4" w:space="0"/>
              <w:bottom w:val="single" w:color="auto" w:sz="6" w:space="0"/>
              <w:right w:val="single" w:color="auto" w:sz="6" w:space="0"/>
            </w:tcBorders>
            <w:vAlign w:val="center"/>
          </w:tcPr>
          <w:p w14:paraId="051E9E44">
            <w:pPr>
              <w:kinsoku/>
              <w:wordWrap/>
              <w:overflowPunct/>
              <w:topLine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基本账户开户行及账号</w:t>
            </w:r>
          </w:p>
        </w:tc>
        <w:tc>
          <w:tcPr>
            <w:tcW w:w="6871" w:type="dxa"/>
            <w:gridSpan w:val="6"/>
            <w:tcBorders>
              <w:top w:val="single" w:color="auto" w:sz="6" w:space="0"/>
              <w:left w:val="single" w:color="auto" w:sz="6" w:space="0"/>
              <w:bottom w:val="single" w:color="auto" w:sz="6" w:space="0"/>
              <w:right w:val="double" w:color="auto" w:sz="4" w:space="0"/>
            </w:tcBorders>
            <w:vAlign w:val="center"/>
          </w:tcPr>
          <w:p w14:paraId="7D212712">
            <w:pPr>
              <w:kinsoku/>
              <w:wordWrap/>
              <w:overflowPunct/>
              <w:topLinePunct/>
              <w:bidi w:val="0"/>
              <w:spacing w:line="500" w:lineRule="exact"/>
              <w:jc w:val="center"/>
              <w:rPr>
                <w:rFonts w:hint="eastAsia" w:ascii="宋体" w:hAnsi="宋体" w:eastAsia="宋体" w:cs="宋体"/>
                <w:color w:val="auto"/>
                <w:highlight w:val="none"/>
              </w:rPr>
            </w:pPr>
          </w:p>
        </w:tc>
      </w:tr>
      <w:tr w14:paraId="46D24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cantSplit/>
          <w:trHeight w:val="687" w:hRule="atLeast"/>
        </w:trPr>
        <w:tc>
          <w:tcPr>
            <w:tcW w:w="3039" w:type="dxa"/>
            <w:gridSpan w:val="4"/>
            <w:tcBorders>
              <w:top w:val="single" w:color="auto" w:sz="6" w:space="0"/>
              <w:left w:val="double" w:color="auto" w:sz="4" w:space="0"/>
              <w:bottom w:val="single" w:color="auto" w:sz="6" w:space="0"/>
              <w:right w:val="single" w:color="auto" w:sz="6" w:space="0"/>
            </w:tcBorders>
            <w:vAlign w:val="center"/>
          </w:tcPr>
          <w:p w14:paraId="04943650">
            <w:pPr>
              <w:kinsoku/>
              <w:wordWrap/>
              <w:overflowPunct/>
              <w:topLine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税务登记机关</w:t>
            </w:r>
          </w:p>
        </w:tc>
        <w:tc>
          <w:tcPr>
            <w:tcW w:w="6871" w:type="dxa"/>
            <w:gridSpan w:val="6"/>
            <w:tcBorders>
              <w:top w:val="single" w:color="auto" w:sz="6" w:space="0"/>
              <w:left w:val="single" w:color="auto" w:sz="6" w:space="0"/>
              <w:bottom w:val="single" w:color="auto" w:sz="6" w:space="0"/>
              <w:right w:val="double" w:color="auto" w:sz="4" w:space="0"/>
            </w:tcBorders>
            <w:vAlign w:val="center"/>
          </w:tcPr>
          <w:p w14:paraId="3AB2C69A">
            <w:pPr>
              <w:kinsoku/>
              <w:wordWrap/>
              <w:overflowPunct/>
              <w:topLinePunct/>
              <w:bidi w:val="0"/>
              <w:spacing w:line="500" w:lineRule="exact"/>
              <w:jc w:val="center"/>
              <w:rPr>
                <w:rFonts w:hint="eastAsia" w:ascii="宋体" w:hAnsi="宋体" w:eastAsia="宋体" w:cs="宋体"/>
                <w:color w:val="auto"/>
                <w:highlight w:val="none"/>
              </w:rPr>
            </w:pPr>
          </w:p>
        </w:tc>
      </w:tr>
      <w:tr w14:paraId="1EF39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cantSplit/>
          <w:trHeight w:val="633" w:hRule="atLeast"/>
        </w:trPr>
        <w:tc>
          <w:tcPr>
            <w:tcW w:w="3980" w:type="dxa"/>
            <w:gridSpan w:val="5"/>
            <w:tcBorders>
              <w:top w:val="single" w:color="auto" w:sz="6" w:space="0"/>
              <w:left w:val="double" w:color="auto" w:sz="4" w:space="0"/>
              <w:bottom w:val="single" w:color="auto" w:sz="6" w:space="0"/>
              <w:right w:val="single" w:color="auto" w:sz="6" w:space="0"/>
            </w:tcBorders>
            <w:vAlign w:val="center"/>
          </w:tcPr>
          <w:p w14:paraId="32AD7B27">
            <w:pPr>
              <w:kinsoku/>
              <w:wordWrap/>
              <w:overflowPunct/>
              <w:topLine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资质名称</w:t>
            </w:r>
          </w:p>
        </w:tc>
        <w:tc>
          <w:tcPr>
            <w:tcW w:w="974" w:type="dxa"/>
            <w:gridSpan w:val="2"/>
            <w:tcBorders>
              <w:top w:val="single" w:color="auto" w:sz="6" w:space="0"/>
              <w:left w:val="single" w:color="auto" w:sz="6" w:space="0"/>
              <w:bottom w:val="single" w:color="auto" w:sz="6" w:space="0"/>
              <w:right w:val="single" w:color="auto" w:sz="6" w:space="0"/>
            </w:tcBorders>
            <w:vAlign w:val="center"/>
          </w:tcPr>
          <w:p w14:paraId="70B4FE1B">
            <w:pPr>
              <w:kinsoku/>
              <w:wordWrap/>
              <w:overflowPunct/>
              <w:topLine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等级</w:t>
            </w:r>
          </w:p>
        </w:tc>
        <w:tc>
          <w:tcPr>
            <w:tcW w:w="1191" w:type="dxa"/>
            <w:tcBorders>
              <w:top w:val="single" w:color="auto" w:sz="6" w:space="0"/>
              <w:left w:val="single" w:color="auto" w:sz="6" w:space="0"/>
              <w:bottom w:val="single" w:color="auto" w:sz="6" w:space="0"/>
              <w:right w:val="single" w:color="auto" w:sz="6" w:space="0"/>
            </w:tcBorders>
            <w:vAlign w:val="center"/>
          </w:tcPr>
          <w:p w14:paraId="26D9CE22">
            <w:pPr>
              <w:kinsoku/>
              <w:wordWrap/>
              <w:overflowPunct/>
              <w:topLine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发证机关</w:t>
            </w:r>
          </w:p>
        </w:tc>
        <w:tc>
          <w:tcPr>
            <w:tcW w:w="3765" w:type="dxa"/>
            <w:gridSpan w:val="2"/>
            <w:tcBorders>
              <w:top w:val="single" w:color="auto" w:sz="6" w:space="0"/>
              <w:left w:val="single" w:color="auto" w:sz="6" w:space="0"/>
              <w:bottom w:val="single" w:color="auto" w:sz="6" w:space="0"/>
              <w:right w:val="double" w:color="auto" w:sz="4" w:space="0"/>
            </w:tcBorders>
            <w:vAlign w:val="center"/>
          </w:tcPr>
          <w:p w14:paraId="2BC4C629">
            <w:pPr>
              <w:kinsoku/>
              <w:wordWrap/>
              <w:overflowPunct/>
              <w:topLine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有效期</w:t>
            </w:r>
          </w:p>
        </w:tc>
      </w:tr>
      <w:tr w14:paraId="514F8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cantSplit/>
          <w:trHeight w:val="655" w:hRule="atLeast"/>
        </w:trPr>
        <w:tc>
          <w:tcPr>
            <w:tcW w:w="3980" w:type="dxa"/>
            <w:gridSpan w:val="5"/>
            <w:tcBorders>
              <w:top w:val="single" w:color="auto" w:sz="6" w:space="0"/>
              <w:left w:val="double" w:color="auto" w:sz="4" w:space="0"/>
              <w:bottom w:val="single" w:color="auto" w:sz="6" w:space="0"/>
              <w:right w:val="single" w:color="auto" w:sz="6" w:space="0"/>
            </w:tcBorders>
            <w:vAlign w:val="center"/>
          </w:tcPr>
          <w:p w14:paraId="7B931D40">
            <w:pPr>
              <w:kinsoku/>
              <w:wordWrap/>
              <w:overflowPunct/>
              <w:topLinePunct/>
              <w:bidi w:val="0"/>
              <w:spacing w:line="500" w:lineRule="exact"/>
              <w:jc w:val="center"/>
              <w:rPr>
                <w:rFonts w:hint="eastAsia" w:ascii="宋体" w:hAnsi="宋体" w:eastAsia="宋体" w:cs="宋体"/>
                <w:color w:val="auto"/>
                <w:highlight w:val="none"/>
              </w:rPr>
            </w:pPr>
          </w:p>
        </w:tc>
        <w:tc>
          <w:tcPr>
            <w:tcW w:w="974" w:type="dxa"/>
            <w:gridSpan w:val="2"/>
            <w:tcBorders>
              <w:top w:val="single" w:color="auto" w:sz="6" w:space="0"/>
              <w:left w:val="single" w:color="auto" w:sz="6" w:space="0"/>
              <w:bottom w:val="single" w:color="auto" w:sz="6" w:space="0"/>
              <w:right w:val="single" w:color="auto" w:sz="6" w:space="0"/>
            </w:tcBorders>
            <w:vAlign w:val="center"/>
          </w:tcPr>
          <w:p w14:paraId="4F954D2E">
            <w:pPr>
              <w:kinsoku/>
              <w:wordWrap/>
              <w:overflowPunct/>
              <w:topLinePunct/>
              <w:bidi w:val="0"/>
              <w:spacing w:line="500" w:lineRule="exact"/>
              <w:jc w:val="center"/>
              <w:rPr>
                <w:rFonts w:hint="eastAsia" w:ascii="宋体" w:hAnsi="宋体" w:eastAsia="宋体" w:cs="宋体"/>
                <w:color w:val="auto"/>
                <w:highlight w:val="none"/>
              </w:rPr>
            </w:pPr>
          </w:p>
        </w:tc>
        <w:tc>
          <w:tcPr>
            <w:tcW w:w="1191" w:type="dxa"/>
            <w:tcBorders>
              <w:top w:val="single" w:color="auto" w:sz="6" w:space="0"/>
              <w:left w:val="single" w:color="auto" w:sz="6" w:space="0"/>
              <w:bottom w:val="single" w:color="auto" w:sz="6" w:space="0"/>
              <w:right w:val="single" w:color="auto" w:sz="6" w:space="0"/>
            </w:tcBorders>
            <w:vAlign w:val="center"/>
          </w:tcPr>
          <w:p w14:paraId="2A633C60">
            <w:pPr>
              <w:kinsoku/>
              <w:wordWrap/>
              <w:overflowPunct/>
              <w:topLinePunct/>
              <w:bidi w:val="0"/>
              <w:spacing w:line="500" w:lineRule="exact"/>
              <w:jc w:val="center"/>
              <w:rPr>
                <w:rFonts w:hint="eastAsia" w:ascii="宋体" w:hAnsi="宋体" w:eastAsia="宋体" w:cs="宋体"/>
                <w:color w:val="auto"/>
                <w:highlight w:val="none"/>
              </w:rPr>
            </w:pPr>
          </w:p>
        </w:tc>
        <w:tc>
          <w:tcPr>
            <w:tcW w:w="3765" w:type="dxa"/>
            <w:gridSpan w:val="2"/>
            <w:tcBorders>
              <w:top w:val="single" w:color="auto" w:sz="6" w:space="0"/>
              <w:left w:val="single" w:color="auto" w:sz="6" w:space="0"/>
              <w:bottom w:val="single" w:color="auto" w:sz="6" w:space="0"/>
              <w:right w:val="double" w:color="auto" w:sz="4" w:space="0"/>
            </w:tcBorders>
            <w:vAlign w:val="center"/>
          </w:tcPr>
          <w:p w14:paraId="18399EF3">
            <w:pPr>
              <w:kinsoku/>
              <w:wordWrap/>
              <w:overflowPunct/>
              <w:topLinePunct/>
              <w:bidi w:val="0"/>
              <w:spacing w:line="500" w:lineRule="exact"/>
              <w:jc w:val="center"/>
              <w:rPr>
                <w:rFonts w:hint="eastAsia" w:ascii="宋体" w:hAnsi="宋体" w:eastAsia="宋体" w:cs="宋体"/>
                <w:color w:val="auto"/>
                <w:highlight w:val="none"/>
              </w:rPr>
            </w:pPr>
          </w:p>
        </w:tc>
      </w:tr>
      <w:tr w14:paraId="49196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cantSplit/>
          <w:trHeight w:val="655" w:hRule="atLeast"/>
        </w:trPr>
        <w:tc>
          <w:tcPr>
            <w:tcW w:w="3980" w:type="dxa"/>
            <w:gridSpan w:val="5"/>
            <w:tcBorders>
              <w:top w:val="single" w:color="auto" w:sz="6" w:space="0"/>
              <w:left w:val="double" w:color="auto" w:sz="4" w:space="0"/>
              <w:bottom w:val="single" w:color="auto" w:sz="6" w:space="0"/>
              <w:right w:val="single" w:color="auto" w:sz="6" w:space="0"/>
            </w:tcBorders>
            <w:vAlign w:val="center"/>
          </w:tcPr>
          <w:p w14:paraId="7E750001">
            <w:pPr>
              <w:kinsoku/>
              <w:wordWrap/>
              <w:overflowPunct/>
              <w:topLinePunct/>
              <w:bidi w:val="0"/>
              <w:spacing w:line="500" w:lineRule="exact"/>
              <w:jc w:val="center"/>
              <w:rPr>
                <w:rFonts w:hint="eastAsia" w:ascii="宋体" w:hAnsi="宋体" w:eastAsia="宋体" w:cs="宋体"/>
                <w:color w:val="auto"/>
                <w:highlight w:val="none"/>
              </w:rPr>
            </w:pPr>
          </w:p>
        </w:tc>
        <w:tc>
          <w:tcPr>
            <w:tcW w:w="974" w:type="dxa"/>
            <w:gridSpan w:val="2"/>
            <w:tcBorders>
              <w:top w:val="single" w:color="auto" w:sz="6" w:space="0"/>
              <w:left w:val="single" w:color="auto" w:sz="6" w:space="0"/>
              <w:bottom w:val="single" w:color="auto" w:sz="6" w:space="0"/>
              <w:right w:val="single" w:color="auto" w:sz="6" w:space="0"/>
            </w:tcBorders>
            <w:vAlign w:val="center"/>
          </w:tcPr>
          <w:p w14:paraId="327AB1EB">
            <w:pPr>
              <w:kinsoku/>
              <w:wordWrap/>
              <w:overflowPunct/>
              <w:topLinePunct/>
              <w:bidi w:val="0"/>
              <w:spacing w:line="500" w:lineRule="exact"/>
              <w:jc w:val="center"/>
              <w:rPr>
                <w:rFonts w:hint="eastAsia" w:ascii="宋体" w:hAnsi="宋体" w:eastAsia="宋体" w:cs="宋体"/>
                <w:color w:val="auto"/>
                <w:highlight w:val="none"/>
              </w:rPr>
            </w:pPr>
          </w:p>
        </w:tc>
        <w:tc>
          <w:tcPr>
            <w:tcW w:w="1191" w:type="dxa"/>
            <w:tcBorders>
              <w:top w:val="single" w:color="auto" w:sz="6" w:space="0"/>
              <w:left w:val="single" w:color="auto" w:sz="6" w:space="0"/>
              <w:bottom w:val="single" w:color="auto" w:sz="6" w:space="0"/>
              <w:right w:val="single" w:color="auto" w:sz="6" w:space="0"/>
            </w:tcBorders>
            <w:vAlign w:val="center"/>
          </w:tcPr>
          <w:p w14:paraId="39B30A07">
            <w:pPr>
              <w:kinsoku/>
              <w:wordWrap/>
              <w:overflowPunct/>
              <w:topLinePunct/>
              <w:bidi w:val="0"/>
              <w:spacing w:line="500" w:lineRule="exact"/>
              <w:jc w:val="center"/>
              <w:rPr>
                <w:rFonts w:hint="eastAsia" w:ascii="宋体" w:hAnsi="宋体" w:eastAsia="宋体" w:cs="宋体"/>
                <w:color w:val="auto"/>
                <w:highlight w:val="none"/>
              </w:rPr>
            </w:pPr>
          </w:p>
        </w:tc>
        <w:tc>
          <w:tcPr>
            <w:tcW w:w="3765" w:type="dxa"/>
            <w:gridSpan w:val="2"/>
            <w:tcBorders>
              <w:top w:val="single" w:color="auto" w:sz="6" w:space="0"/>
              <w:left w:val="single" w:color="auto" w:sz="6" w:space="0"/>
              <w:bottom w:val="single" w:color="auto" w:sz="6" w:space="0"/>
              <w:right w:val="double" w:color="auto" w:sz="4" w:space="0"/>
            </w:tcBorders>
            <w:vAlign w:val="center"/>
          </w:tcPr>
          <w:p w14:paraId="5B411B72">
            <w:pPr>
              <w:kinsoku/>
              <w:wordWrap/>
              <w:overflowPunct/>
              <w:topLinePunct/>
              <w:bidi w:val="0"/>
              <w:spacing w:line="500" w:lineRule="exact"/>
              <w:jc w:val="center"/>
              <w:rPr>
                <w:rFonts w:hint="eastAsia" w:ascii="宋体" w:hAnsi="宋体" w:eastAsia="宋体" w:cs="宋体"/>
                <w:color w:val="auto"/>
                <w:highlight w:val="none"/>
              </w:rPr>
            </w:pPr>
          </w:p>
        </w:tc>
      </w:tr>
      <w:tr w14:paraId="30452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cantSplit/>
          <w:trHeight w:val="655" w:hRule="atLeast"/>
        </w:trPr>
        <w:tc>
          <w:tcPr>
            <w:tcW w:w="3980" w:type="dxa"/>
            <w:gridSpan w:val="5"/>
            <w:tcBorders>
              <w:top w:val="single" w:color="auto" w:sz="6" w:space="0"/>
              <w:left w:val="double" w:color="auto" w:sz="4" w:space="0"/>
              <w:bottom w:val="single" w:color="auto" w:sz="6" w:space="0"/>
              <w:right w:val="single" w:color="auto" w:sz="6" w:space="0"/>
            </w:tcBorders>
            <w:vAlign w:val="center"/>
          </w:tcPr>
          <w:p w14:paraId="296A1D17">
            <w:pPr>
              <w:kinsoku/>
              <w:wordWrap/>
              <w:overflowPunct/>
              <w:topLinePunct/>
              <w:bidi w:val="0"/>
              <w:spacing w:line="500" w:lineRule="exact"/>
              <w:jc w:val="center"/>
              <w:rPr>
                <w:rFonts w:hint="eastAsia" w:ascii="宋体" w:hAnsi="宋体" w:eastAsia="宋体" w:cs="宋体"/>
                <w:color w:val="auto"/>
                <w:highlight w:val="none"/>
              </w:rPr>
            </w:pPr>
          </w:p>
        </w:tc>
        <w:tc>
          <w:tcPr>
            <w:tcW w:w="974" w:type="dxa"/>
            <w:gridSpan w:val="2"/>
            <w:tcBorders>
              <w:top w:val="single" w:color="auto" w:sz="6" w:space="0"/>
              <w:left w:val="single" w:color="auto" w:sz="6" w:space="0"/>
              <w:bottom w:val="single" w:color="auto" w:sz="6" w:space="0"/>
              <w:right w:val="single" w:color="auto" w:sz="6" w:space="0"/>
            </w:tcBorders>
            <w:vAlign w:val="center"/>
          </w:tcPr>
          <w:p w14:paraId="47D7120E">
            <w:pPr>
              <w:kinsoku/>
              <w:wordWrap/>
              <w:overflowPunct/>
              <w:topLinePunct/>
              <w:bidi w:val="0"/>
              <w:spacing w:line="500" w:lineRule="exact"/>
              <w:jc w:val="center"/>
              <w:rPr>
                <w:rFonts w:hint="eastAsia" w:ascii="宋体" w:hAnsi="宋体" w:eastAsia="宋体" w:cs="宋体"/>
                <w:color w:val="auto"/>
                <w:highlight w:val="none"/>
              </w:rPr>
            </w:pPr>
          </w:p>
        </w:tc>
        <w:tc>
          <w:tcPr>
            <w:tcW w:w="1191" w:type="dxa"/>
            <w:tcBorders>
              <w:top w:val="single" w:color="auto" w:sz="6" w:space="0"/>
              <w:left w:val="single" w:color="auto" w:sz="6" w:space="0"/>
              <w:bottom w:val="single" w:color="auto" w:sz="6" w:space="0"/>
              <w:right w:val="single" w:color="auto" w:sz="6" w:space="0"/>
            </w:tcBorders>
            <w:vAlign w:val="center"/>
          </w:tcPr>
          <w:p w14:paraId="64871B52">
            <w:pPr>
              <w:kinsoku/>
              <w:wordWrap/>
              <w:overflowPunct/>
              <w:topLinePunct/>
              <w:bidi w:val="0"/>
              <w:spacing w:line="500" w:lineRule="exact"/>
              <w:jc w:val="center"/>
              <w:rPr>
                <w:rFonts w:hint="eastAsia" w:ascii="宋体" w:hAnsi="宋体" w:eastAsia="宋体" w:cs="宋体"/>
                <w:color w:val="auto"/>
                <w:highlight w:val="none"/>
              </w:rPr>
            </w:pPr>
          </w:p>
        </w:tc>
        <w:tc>
          <w:tcPr>
            <w:tcW w:w="3765" w:type="dxa"/>
            <w:gridSpan w:val="2"/>
            <w:tcBorders>
              <w:top w:val="single" w:color="auto" w:sz="6" w:space="0"/>
              <w:left w:val="single" w:color="auto" w:sz="6" w:space="0"/>
              <w:bottom w:val="single" w:color="auto" w:sz="6" w:space="0"/>
              <w:right w:val="double" w:color="auto" w:sz="4" w:space="0"/>
            </w:tcBorders>
            <w:vAlign w:val="center"/>
          </w:tcPr>
          <w:p w14:paraId="64BD5D65">
            <w:pPr>
              <w:kinsoku/>
              <w:wordWrap/>
              <w:overflowPunct/>
              <w:topLinePunct/>
              <w:bidi w:val="0"/>
              <w:spacing w:line="500" w:lineRule="exact"/>
              <w:jc w:val="center"/>
              <w:rPr>
                <w:rFonts w:hint="eastAsia" w:ascii="宋体" w:hAnsi="宋体" w:eastAsia="宋体" w:cs="宋体"/>
                <w:color w:val="auto"/>
                <w:highlight w:val="none"/>
              </w:rPr>
            </w:pPr>
          </w:p>
        </w:tc>
      </w:tr>
      <w:tr w14:paraId="6CF8C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cantSplit/>
          <w:trHeight w:val="655" w:hRule="atLeast"/>
        </w:trPr>
        <w:tc>
          <w:tcPr>
            <w:tcW w:w="3980" w:type="dxa"/>
            <w:gridSpan w:val="5"/>
            <w:tcBorders>
              <w:top w:val="single" w:color="auto" w:sz="6" w:space="0"/>
              <w:left w:val="double" w:color="auto" w:sz="4" w:space="0"/>
              <w:bottom w:val="single" w:color="auto" w:sz="6" w:space="0"/>
              <w:right w:val="single" w:color="auto" w:sz="6" w:space="0"/>
            </w:tcBorders>
            <w:vAlign w:val="center"/>
          </w:tcPr>
          <w:p w14:paraId="49B9BE1C">
            <w:pPr>
              <w:kinsoku/>
              <w:wordWrap/>
              <w:overflowPunct/>
              <w:topLinePunct/>
              <w:bidi w:val="0"/>
              <w:spacing w:line="500" w:lineRule="exact"/>
              <w:jc w:val="center"/>
              <w:rPr>
                <w:rFonts w:hint="eastAsia" w:ascii="宋体" w:hAnsi="宋体" w:eastAsia="宋体" w:cs="宋体"/>
                <w:color w:val="auto"/>
                <w:highlight w:val="none"/>
              </w:rPr>
            </w:pPr>
          </w:p>
        </w:tc>
        <w:tc>
          <w:tcPr>
            <w:tcW w:w="974" w:type="dxa"/>
            <w:gridSpan w:val="2"/>
            <w:tcBorders>
              <w:top w:val="single" w:color="auto" w:sz="6" w:space="0"/>
              <w:left w:val="single" w:color="auto" w:sz="6" w:space="0"/>
              <w:bottom w:val="single" w:color="auto" w:sz="6" w:space="0"/>
              <w:right w:val="single" w:color="auto" w:sz="6" w:space="0"/>
            </w:tcBorders>
            <w:vAlign w:val="center"/>
          </w:tcPr>
          <w:p w14:paraId="200CA00A">
            <w:pPr>
              <w:kinsoku/>
              <w:wordWrap/>
              <w:overflowPunct/>
              <w:topLinePunct/>
              <w:bidi w:val="0"/>
              <w:spacing w:line="500" w:lineRule="exact"/>
              <w:jc w:val="center"/>
              <w:rPr>
                <w:rFonts w:hint="eastAsia" w:ascii="宋体" w:hAnsi="宋体" w:eastAsia="宋体" w:cs="宋体"/>
                <w:color w:val="auto"/>
                <w:highlight w:val="none"/>
              </w:rPr>
            </w:pPr>
          </w:p>
        </w:tc>
        <w:tc>
          <w:tcPr>
            <w:tcW w:w="1191" w:type="dxa"/>
            <w:tcBorders>
              <w:top w:val="single" w:color="auto" w:sz="6" w:space="0"/>
              <w:left w:val="single" w:color="auto" w:sz="6" w:space="0"/>
              <w:bottom w:val="single" w:color="auto" w:sz="6" w:space="0"/>
              <w:right w:val="single" w:color="auto" w:sz="6" w:space="0"/>
            </w:tcBorders>
            <w:vAlign w:val="center"/>
          </w:tcPr>
          <w:p w14:paraId="73EB162B">
            <w:pPr>
              <w:kinsoku/>
              <w:wordWrap/>
              <w:overflowPunct/>
              <w:topLinePunct/>
              <w:bidi w:val="0"/>
              <w:spacing w:line="500" w:lineRule="exact"/>
              <w:jc w:val="center"/>
              <w:rPr>
                <w:rFonts w:hint="eastAsia" w:ascii="宋体" w:hAnsi="宋体" w:eastAsia="宋体" w:cs="宋体"/>
                <w:color w:val="auto"/>
                <w:highlight w:val="none"/>
              </w:rPr>
            </w:pPr>
          </w:p>
        </w:tc>
        <w:tc>
          <w:tcPr>
            <w:tcW w:w="3765" w:type="dxa"/>
            <w:gridSpan w:val="2"/>
            <w:tcBorders>
              <w:top w:val="single" w:color="auto" w:sz="6" w:space="0"/>
              <w:left w:val="single" w:color="auto" w:sz="6" w:space="0"/>
              <w:bottom w:val="single" w:color="auto" w:sz="6" w:space="0"/>
              <w:right w:val="double" w:color="auto" w:sz="4" w:space="0"/>
            </w:tcBorders>
            <w:vAlign w:val="center"/>
          </w:tcPr>
          <w:p w14:paraId="1553452A">
            <w:pPr>
              <w:kinsoku/>
              <w:wordWrap/>
              <w:overflowPunct/>
              <w:topLinePunct/>
              <w:bidi w:val="0"/>
              <w:spacing w:line="500" w:lineRule="exact"/>
              <w:jc w:val="center"/>
              <w:rPr>
                <w:rFonts w:hint="eastAsia" w:ascii="宋体" w:hAnsi="宋体" w:eastAsia="宋体" w:cs="宋体"/>
                <w:color w:val="auto"/>
                <w:highlight w:val="none"/>
              </w:rPr>
            </w:pPr>
          </w:p>
        </w:tc>
      </w:tr>
      <w:tr w14:paraId="46FF4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861" w:hRule="atLeast"/>
        </w:trPr>
        <w:tc>
          <w:tcPr>
            <w:tcW w:w="1383" w:type="dxa"/>
            <w:gridSpan w:val="2"/>
            <w:tcBorders>
              <w:top w:val="single" w:color="auto" w:sz="6" w:space="0"/>
              <w:left w:val="double" w:color="auto" w:sz="4" w:space="0"/>
              <w:bottom w:val="double" w:color="auto" w:sz="4" w:space="0"/>
              <w:right w:val="single" w:color="auto" w:sz="6" w:space="0"/>
            </w:tcBorders>
            <w:vAlign w:val="center"/>
          </w:tcPr>
          <w:p w14:paraId="1FD6DB39">
            <w:pPr>
              <w:kinsoku/>
              <w:wordWrap/>
              <w:overflowPunct/>
              <w:topLine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8527" w:type="dxa"/>
            <w:gridSpan w:val="8"/>
            <w:tcBorders>
              <w:top w:val="single" w:color="auto" w:sz="6" w:space="0"/>
              <w:left w:val="single" w:color="auto" w:sz="6" w:space="0"/>
              <w:bottom w:val="double" w:color="auto" w:sz="4" w:space="0"/>
              <w:right w:val="double" w:color="auto" w:sz="4" w:space="0"/>
            </w:tcBorders>
            <w:vAlign w:val="center"/>
          </w:tcPr>
          <w:p w14:paraId="59C2457D">
            <w:pPr>
              <w:kinsoku/>
              <w:wordWrap/>
              <w:overflowPunct/>
              <w:topLinePunct/>
              <w:bidi w:val="0"/>
              <w:spacing w:line="5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提供营业执照</w:t>
            </w:r>
            <w:r>
              <w:rPr>
                <w:rFonts w:hint="eastAsia" w:ascii="宋体" w:hAnsi="宋体" w:cs="宋体"/>
                <w:color w:val="auto"/>
                <w:highlight w:val="none"/>
                <w:lang w:val="en-US" w:eastAsia="zh-CN"/>
              </w:rPr>
              <w:t>复印件</w:t>
            </w:r>
          </w:p>
        </w:tc>
      </w:tr>
    </w:tbl>
    <w:p w14:paraId="79CED408">
      <w:pPr>
        <w:pStyle w:val="8"/>
        <w:numPr>
          <w:ilvl w:val="1"/>
          <w:numId w:val="0"/>
        </w:numPr>
        <w:kinsoku/>
        <w:wordWrap/>
        <w:overflowPunct/>
        <w:bidi w:val="0"/>
        <w:spacing w:line="500" w:lineRule="exact"/>
        <w:rPr>
          <w:rFonts w:hint="eastAsia" w:ascii="宋体" w:hAnsi="宋体" w:eastAsia="宋体" w:cs="宋体"/>
          <w:color w:val="auto"/>
          <w:sz w:val="30"/>
          <w:szCs w:val="30"/>
          <w:highlight w:val="none"/>
        </w:rPr>
      </w:pPr>
      <w:r>
        <w:rPr>
          <w:rFonts w:hint="eastAsia" w:ascii="宋体" w:hAnsi="宋体" w:eastAsia="宋体" w:cs="宋体"/>
          <w:color w:val="auto"/>
          <w:highlight w:val="none"/>
        </w:rPr>
        <w:t>附件4：</w:t>
      </w:r>
      <w:r>
        <w:rPr>
          <w:rFonts w:hint="eastAsia" w:ascii="宋体" w:hAnsi="宋体" w:eastAsia="宋体" w:cs="宋体"/>
          <w:color w:val="auto"/>
          <w:sz w:val="30"/>
          <w:szCs w:val="30"/>
          <w:highlight w:val="none"/>
        </w:rPr>
        <w:t>磋商文件规定的基本资格条件证明资料</w:t>
      </w:r>
    </w:p>
    <w:p w14:paraId="0593F075">
      <w:pPr>
        <w:kinsoku/>
        <w:wordWrap/>
        <w:overflowPunct/>
        <w:bidi w:val="0"/>
        <w:spacing w:line="500" w:lineRule="exact"/>
        <w:rPr>
          <w:rFonts w:hint="eastAsia" w:ascii="宋体" w:hAnsi="宋体" w:eastAsia="宋体" w:cs="宋体"/>
          <w:color w:val="auto"/>
          <w:highlight w:val="none"/>
        </w:rPr>
      </w:pPr>
    </w:p>
    <w:p w14:paraId="5FFAEF67">
      <w:pPr>
        <w:kinsoku/>
        <w:wordWrap/>
        <w:overflowPunct/>
        <w:bidi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备注：</w:t>
      </w:r>
    </w:p>
    <w:p w14:paraId="62A7D542">
      <w:pPr>
        <w:kinsoku/>
        <w:wordWrap/>
        <w:overflowPunct/>
        <w:bidi w:val="0"/>
        <w:spacing w:line="500" w:lineRule="exact"/>
        <w:rPr>
          <w:rFonts w:hint="eastAsia" w:ascii="宋体" w:hAnsi="宋体" w:eastAsia="宋体" w:cs="宋体"/>
          <w:b/>
          <w:bCs/>
          <w:color w:val="auto"/>
          <w:highlight w:val="none"/>
          <w:lang w:eastAsia="zh-CN"/>
        </w:rPr>
      </w:pPr>
      <w:r>
        <w:rPr>
          <w:rFonts w:hint="eastAsia" w:ascii="宋体" w:hAnsi="宋体" w:eastAsia="宋体" w:cs="宋体"/>
          <w:color w:val="auto"/>
          <w:highlight w:val="none"/>
        </w:rPr>
        <w:t>提供第二章 磋商须知第3.1款供应商基本资格条件：法律、行政法规规定的其他条件证明资料的复印件（如有</w:t>
      </w:r>
      <w:r>
        <w:rPr>
          <w:rFonts w:hint="eastAsia" w:ascii="宋体" w:hAnsi="宋体" w:cs="宋体"/>
          <w:color w:val="auto"/>
          <w:highlight w:val="none"/>
          <w:lang w:eastAsia="zh-CN"/>
        </w:rPr>
        <w:t>）</w:t>
      </w:r>
    </w:p>
    <w:p w14:paraId="2A393571">
      <w:pPr>
        <w:kinsoku/>
        <w:wordWrap/>
        <w:overflowPunct/>
        <w:bidi w:val="0"/>
        <w:spacing w:line="500" w:lineRule="exact"/>
        <w:rPr>
          <w:rFonts w:hint="eastAsia" w:ascii="宋体" w:hAnsi="宋体" w:eastAsia="宋体" w:cs="宋体"/>
          <w:b/>
          <w:bCs/>
          <w:color w:val="auto"/>
          <w:highlight w:val="none"/>
        </w:rPr>
      </w:pPr>
    </w:p>
    <w:p w14:paraId="6AE21513">
      <w:pPr>
        <w:kinsoku/>
        <w:wordWrap/>
        <w:overflowPunct/>
        <w:bidi w:val="0"/>
        <w:spacing w:line="500" w:lineRule="exact"/>
        <w:rPr>
          <w:rFonts w:hint="eastAsia" w:ascii="宋体" w:hAnsi="宋体" w:eastAsia="宋体" w:cs="宋体"/>
          <w:bCs/>
          <w:color w:val="auto"/>
          <w:highlight w:val="none"/>
        </w:rPr>
      </w:pPr>
      <w:r>
        <w:rPr>
          <w:rFonts w:hint="eastAsia" w:ascii="宋体" w:hAnsi="宋体" w:eastAsia="宋体" w:cs="宋体"/>
          <w:bCs/>
          <w:color w:val="auto"/>
          <w:highlight w:val="none"/>
        </w:rPr>
        <w:br w:type="page"/>
      </w:r>
    </w:p>
    <w:p w14:paraId="7F61311F">
      <w:pPr>
        <w:pageBreakBefore w:val="0"/>
        <w:kinsoku/>
        <w:wordWrap/>
        <w:overflowPunct/>
        <w:bidi w:val="0"/>
        <w:adjustRightInd w:val="0"/>
        <w:snapToGrid w:val="0"/>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供应商资格声明</w:t>
      </w:r>
    </w:p>
    <w:p w14:paraId="516AA5B0">
      <w:pPr>
        <w:pageBreakBefore w:val="0"/>
        <w:widowControl/>
        <w:kinsoku/>
        <w:wordWrap/>
        <w:overflowPunct/>
        <w:bidi w:val="0"/>
        <w:adjustRightInd w:val="0"/>
        <w:snapToGrid w:val="0"/>
        <w:spacing w:beforeLines="50" w:line="36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致(采购人、采购代理机构)：</w:t>
      </w:r>
    </w:p>
    <w:p w14:paraId="3F9C1991">
      <w:pPr>
        <w:pageBreakBefore w:val="0"/>
        <w:widowControl/>
        <w:kinsoku/>
        <w:wordWrap/>
        <w:overflowPunct/>
        <w:bidi w:val="0"/>
        <w:adjustRightInd w:val="0"/>
        <w:snapToGrid w:val="0"/>
        <w:spacing w:beforeLines="50" w:line="360" w:lineRule="auto"/>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按照《中华人民共和国政府采购法》及实施条例和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rPr>
        <w:t>(项目名称)</w:t>
      </w:r>
      <w:r>
        <w:rPr>
          <w:rFonts w:hint="eastAsia" w:ascii="宋体" w:hAnsi="宋体" w:eastAsia="宋体" w:cs="宋体"/>
          <w:sz w:val="21"/>
          <w:szCs w:val="21"/>
          <w:highlight w:val="none"/>
        </w:rPr>
        <w:t>邀请</w:t>
      </w:r>
      <w:r>
        <w:rPr>
          <w:rFonts w:hint="eastAsia" w:ascii="宋体" w:hAnsi="宋体" w:eastAsia="宋体" w:cs="宋体"/>
          <w:sz w:val="21"/>
          <w:szCs w:val="21"/>
          <w:highlight w:val="none"/>
          <w:lang w:val="en-US" w:eastAsia="zh-CN"/>
        </w:rPr>
        <w:t>公告</w:t>
      </w:r>
      <w:r>
        <w:rPr>
          <w:rFonts w:hint="eastAsia" w:ascii="宋体" w:hAnsi="宋体" w:eastAsia="宋体" w:cs="宋体"/>
          <w:sz w:val="21"/>
          <w:szCs w:val="21"/>
          <w:highlight w:val="none"/>
        </w:rPr>
        <w:t>的规定，我单位郑重声明如下：</w:t>
      </w:r>
    </w:p>
    <w:p w14:paraId="5958A182">
      <w:pPr>
        <w:pageBreakBefore w:val="0"/>
        <w:widowControl/>
        <w:kinsoku/>
        <w:wordWrap/>
        <w:overflowPunct/>
        <w:bidi w:val="0"/>
        <w:adjustRightInd w:val="0"/>
        <w:snapToGrid w:val="0"/>
        <w:spacing w:beforeLines="50" w:line="360" w:lineRule="auto"/>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一、我单位是按照中华人民共和国法律规定登记注册的，注册地点为</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，全称为</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，统一社会信用代码为</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，法定代表人</w:t>
      </w:r>
      <w:r>
        <w:rPr>
          <w:rFonts w:hint="eastAsia" w:ascii="宋体" w:hAnsi="宋体" w:eastAsia="宋体" w:cs="宋体"/>
          <w:kern w:val="0"/>
          <w:sz w:val="21"/>
          <w:szCs w:val="21"/>
          <w:highlight w:val="none"/>
        </w:rPr>
        <w:t>（</w:t>
      </w:r>
      <w:r>
        <w:rPr>
          <w:rFonts w:hint="eastAsia" w:ascii="宋体" w:hAnsi="宋体" w:eastAsia="宋体" w:cs="宋体"/>
          <w:spacing w:val="-2"/>
          <w:kern w:val="0"/>
          <w:sz w:val="21"/>
          <w:szCs w:val="21"/>
          <w:highlight w:val="none"/>
        </w:rPr>
        <w:t>单</w:t>
      </w:r>
      <w:r>
        <w:rPr>
          <w:rFonts w:hint="eastAsia" w:ascii="宋体" w:hAnsi="宋体" w:eastAsia="宋体" w:cs="宋体"/>
          <w:kern w:val="0"/>
          <w:sz w:val="21"/>
          <w:szCs w:val="21"/>
          <w:highlight w:val="none"/>
        </w:rPr>
        <w:t>位</w:t>
      </w:r>
      <w:r>
        <w:rPr>
          <w:rFonts w:hint="eastAsia" w:ascii="宋体" w:hAnsi="宋体" w:eastAsia="宋体" w:cs="宋体"/>
          <w:spacing w:val="-2"/>
          <w:kern w:val="0"/>
          <w:sz w:val="21"/>
          <w:szCs w:val="21"/>
          <w:highlight w:val="none"/>
        </w:rPr>
        <w:t>负</w:t>
      </w:r>
      <w:r>
        <w:rPr>
          <w:rFonts w:hint="eastAsia" w:ascii="宋体" w:hAnsi="宋体" w:eastAsia="宋体" w:cs="宋体"/>
          <w:kern w:val="0"/>
          <w:sz w:val="21"/>
          <w:szCs w:val="21"/>
          <w:highlight w:val="none"/>
        </w:rPr>
        <w:t>责人</w:t>
      </w:r>
      <w:r>
        <w:rPr>
          <w:rFonts w:hint="eastAsia" w:ascii="宋体" w:hAnsi="宋体" w:eastAsia="宋体" w:cs="宋体"/>
          <w:spacing w:val="-2"/>
          <w:kern w:val="0"/>
          <w:sz w:val="21"/>
          <w:szCs w:val="21"/>
          <w:highlight w:val="none"/>
        </w:rPr>
        <w:t>）</w:t>
      </w:r>
      <w:r>
        <w:rPr>
          <w:rFonts w:hint="eastAsia" w:ascii="宋体" w:hAnsi="宋体" w:eastAsia="宋体" w:cs="宋体"/>
          <w:sz w:val="21"/>
          <w:szCs w:val="21"/>
          <w:highlight w:val="none"/>
        </w:rPr>
        <w:t>为</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，具有独立承担民事责任的能力。</w:t>
      </w:r>
    </w:p>
    <w:p w14:paraId="641A031F">
      <w:pPr>
        <w:pageBreakBefore w:val="0"/>
        <w:widowControl/>
        <w:kinsoku/>
        <w:wordWrap/>
        <w:overflowPunct/>
        <w:bidi w:val="0"/>
        <w:adjustRightInd w:val="0"/>
        <w:snapToGrid w:val="0"/>
        <w:spacing w:beforeLines="50"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二、我单位具有良好的商业信誉和健全的财务会计制度。</w:t>
      </w:r>
    </w:p>
    <w:p w14:paraId="1E6CEC80">
      <w:pPr>
        <w:pageBreakBefore w:val="0"/>
        <w:widowControl/>
        <w:kinsoku/>
        <w:wordWrap/>
        <w:overflowPunct/>
        <w:bidi w:val="0"/>
        <w:adjustRightInd w:val="0"/>
        <w:snapToGrid w:val="0"/>
        <w:spacing w:beforeLines="50"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三、我</w:t>
      </w:r>
      <w:r>
        <w:rPr>
          <w:rFonts w:hint="eastAsia" w:ascii="宋体" w:hAnsi="宋体" w:eastAsia="宋体" w:cs="宋体"/>
          <w:sz w:val="21"/>
          <w:szCs w:val="21"/>
          <w:highlight w:val="none"/>
        </w:rPr>
        <w:t>单位</w:t>
      </w:r>
      <w:r>
        <w:rPr>
          <w:rFonts w:hint="eastAsia" w:ascii="宋体" w:hAnsi="宋体" w:eastAsia="宋体" w:cs="宋体"/>
          <w:kern w:val="0"/>
          <w:sz w:val="21"/>
          <w:szCs w:val="21"/>
          <w:highlight w:val="none"/>
        </w:rPr>
        <w:t>依法进行纳税和社会保险申报并实际履行了义务。</w:t>
      </w:r>
    </w:p>
    <w:p w14:paraId="2F4056BF">
      <w:pPr>
        <w:pageBreakBefore w:val="0"/>
        <w:widowControl/>
        <w:kinsoku/>
        <w:wordWrap/>
        <w:overflowPunct/>
        <w:bidi w:val="0"/>
        <w:adjustRightInd w:val="0"/>
        <w:snapToGrid w:val="0"/>
        <w:spacing w:beforeLines="50" w:line="360" w:lineRule="auto"/>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w:t>
      </w:r>
      <w:r>
        <w:rPr>
          <w:rFonts w:hint="eastAsia" w:ascii="宋体" w:hAnsi="宋体" w:eastAsia="宋体" w:cs="宋体"/>
          <w:sz w:val="21"/>
          <w:szCs w:val="21"/>
          <w:highlight w:val="none"/>
        </w:rPr>
        <w:t>我单位具有履行本项目采购合同所必需的设备和专业技术能力，并具有履行合同的良好记录。</w:t>
      </w:r>
    </w:p>
    <w:p w14:paraId="77E55F37">
      <w:pPr>
        <w:pageBreakBefore w:val="0"/>
        <w:widowControl/>
        <w:kinsoku/>
        <w:wordWrap/>
        <w:overflowPunct/>
        <w:bidi w:val="0"/>
        <w:adjustRightInd w:val="0"/>
        <w:snapToGrid w:val="0"/>
        <w:spacing w:beforeLines="50"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14:paraId="6279C158">
      <w:pPr>
        <w:pageBreakBefore w:val="0"/>
        <w:widowControl/>
        <w:kinsoku/>
        <w:wordWrap/>
        <w:overflowPunct/>
        <w:bidi w:val="0"/>
        <w:adjustRightInd w:val="0"/>
        <w:snapToGrid w:val="0"/>
        <w:spacing w:beforeLines="50"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供应商在参加政府采购活动前3年内因违法经营被禁止在一定期限内参加政府采购活动，期限届满的，可以参加政府采购活动。</w:t>
      </w:r>
    </w:p>
    <w:p w14:paraId="3F733AAA">
      <w:pPr>
        <w:pageBreakBefore w:val="0"/>
        <w:widowControl/>
        <w:kinsoku/>
        <w:wordWrap/>
        <w:overflowPunct/>
        <w:bidi w:val="0"/>
        <w:adjustRightInd w:val="0"/>
        <w:snapToGrid w:val="0"/>
        <w:spacing w:beforeLines="50"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六、我单位具备法律、行政法规规定的其他条件。</w:t>
      </w:r>
    </w:p>
    <w:p w14:paraId="3625F297">
      <w:pPr>
        <w:pageBreakBefore w:val="0"/>
        <w:widowControl/>
        <w:kinsoku/>
        <w:wordWrap/>
        <w:overflowPunct/>
        <w:bidi w:val="0"/>
        <w:adjustRightInd w:val="0"/>
        <w:snapToGrid w:val="0"/>
        <w:spacing w:beforeLines="50"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七、与我单位存在“单位负责人为同一人或者存在直接控股、管理关系”的其他单位信息如下（如无，填写“无”）：</w:t>
      </w:r>
    </w:p>
    <w:p w14:paraId="649AE41B">
      <w:pPr>
        <w:pageBreakBefore w:val="0"/>
        <w:kinsoku/>
        <w:wordWrap/>
        <w:overflowPunct/>
        <w:bidi w:val="0"/>
        <w:adjustRightInd w:val="0"/>
        <w:snapToGrid w:val="0"/>
        <w:spacing w:beforeLines="50" w:line="360" w:lineRule="auto"/>
        <w:ind w:firstLine="420" w:firstLineChars="200"/>
        <w:textAlignment w:val="auto"/>
        <w:rPr>
          <w:rFonts w:hint="eastAsia" w:ascii="宋体" w:hAnsi="宋体" w:eastAsia="宋体" w:cs="宋体"/>
          <w:sz w:val="21"/>
          <w:szCs w:val="21"/>
          <w:highlight w:val="none"/>
          <w:u w:val="single"/>
          <w:lang w:val="en-US" w:eastAsia="zh-CN"/>
        </w:rPr>
      </w:pPr>
      <w:r>
        <w:rPr>
          <w:rFonts w:hint="eastAsia" w:ascii="宋体" w:hAnsi="宋体" w:cs="宋体"/>
          <w:sz w:val="21"/>
          <w:szCs w:val="21"/>
          <w:highlight w:val="none"/>
          <w:lang w:eastAsia="zh-CN"/>
        </w:rPr>
        <w:t>1.</w:t>
      </w:r>
      <w:r>
        <w:rPr>
          <w:rFonts w:hint="eastAsia" w:ascii="宋体" w:hAnsi="宋体" w:eastAsia="宋体" w:cs="宋体"/>
          <w:sz w:val="21"/>
          <w:szCs w:val="21"/>
          <w:highlight w:val="none"/>
        </w:rPr>
        <w:t>与我单位的法定代表人（单位负责人）为同一人的其他单位如下：</w:t>
      </w:r>
      <w:r>
        <w:rPr>
          <w:rFonts w:hint="eastAsia" w:ascii="宋体" w:hAnsi="宋体" w:eastAsia="宋体" w:cs="宋体"/>
          <w:sz w:val="21"/>
          <w:szCs w:val="21"/>
          <w:highlight w:val="none"/>
          <w:u w:val="single"/>
          <w:lang w:val="en-US" w:eastAsia="zh-CN"/>
        </w:rPr>
        <w:t xml:space="preserve">     </w:t>
      </w:r>
    </w:p>
    <w:p w14:paraId="6B6080EA">
      <w:pPr>
        <w:pageBreakBefore w:val="0"/>
        <w:kinsoku/>
        <w:wordWrap/>
        <w:overflowPunct/>
        <w:bidi w:val="0"/>
        <w:adjustRightInd w:val="0"/>
        <w:snapToGrid w:val="0"/>
        <w:spacing w:beforeLines="50" w:line="360" w:lineRule="auto"/>
        <w:ind w:firstLine="420" w:firstLineChars="200"/>
        <w:textAlignment w:val="auto"/>
        <w:rPr>
          <w:rFonts w:hint="default" w:ascii="宋体" w:hAnsi="宋体" w:eastAsia="宋体" w:cs="宋体"/>
          <w:sz w:val="21"/>
          <w:szCs w:val="21"/>
          <w:highlight w:val="none"/>
          <w:u w:val="single"/>
          <w:lang w:val="en-US" w:eastAsia="zh-CN"/>
        </w:rPr>
      </w:pPr>
      <w:r>
        <w:rPr>
          <w:rFonts w:hint="eastAsia" w:ascii="宋体" w:hAnsi="宋体" w:cs="宋体"/>
          <w:sz w:val="21"/>
          <w:szCs w:val="21"/>
          <w:highlight w:val="none"/>
          <w:lang w:eastAsia="zh-CN"/>
        </w:rPr>
        <w:t>2.</w:t>
      </w:r>
      <w:r>
        <w:rPr>
          <w:rFonts w:hint="eastAsia" w:ascii="宋体" w:hAnsi="宋体" w:eastAsia="宋体" w:cs="宋体"/>
          <w:sz w:val="21"/>
          <w:szCs w:val="21"/>
          <w:highlight w:val="none"/>
        </w:rPr>
        <w:t>我单位直接控股的其他单位如下：</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p>
    <w:p w14:paraId="2ED5E2D1">
      <w:pPr>
        <w:pageBreakBefore w:val="0"/>
        <w:kinsoku/>
        <w:wordWrap/>
        <w:overflowPunct/>
        <w:bidi w:val="0"/>
        <w:adjustRightInd w:val="0"/>
        <w:snapToGrid w:val="0"/>
        <w:spacing w:beforeLines="50" w:line="360" w:lineRule="auto"/>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eastAsia="zh-CN"/>
        </w:rPr>
        <w:t>3.</w:t>
      </w:r>
      <w:r>
        <w:rPr>
          <w:rFonts w:hint="eastAsia" w:ascii="宋体" w:hAnsi="宋体" w:eastAsia="宋体" w:cs="宋体"/>
          <w:sz w:val="21"/>
          <w:szCs w:val="21"/>
          <w:highlight w:val="none"/>
        </w:rPr>
        <w:t>与我单位存在管理关系的其他单位如下：</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p>
    <w:p w14:paraId="17CF2E47">
      <w:pPr>
        <w:pageBreakBefore w:val="0"/>
        <w:widowControl/>
        <w:kinsoku/>
        <w:wordWrap/>
        <w:overflowPunct/>
        <w:bidi w:val="0"/>
        <w:adjustRightInd w:val="0"/>
        <w:snapToGrid w:val="0"/>
        <w:spacing w:beforeLines="50"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八、</w:t>
      </w:r>
      <w:r>
        <w:rPr>
          <w:rFonts w:hint="eastAsia" w:ascii="宋体" w:hAnsi="宋体" w:eastAsia="宋体" w:cs="宋体"/>
          <w:sz w:val="21"/>
          <w:szCs w:val="21"/>
          <w:highlight w:val="none"/>
        </w:rPr>
        <w:t>我单位不属于为本项目提供整体设计、规范编制或者项目管理、监理、检测等服务的供应商。</w:t>
      </w:r>
    </w:p>
    <w:p w14:paraId="6E6B5F0F">
      <w:pPr>
        <w:pageBreakBefore w:val="0"/>
        <w:widowControl/>
        <w:kinsoku/>
        <w:wordWrap/>
        <w:overflowPunct/>
        <w:bidi w:val="0"/>
        <w:adjustRightInd w:val="0"/>
        <w:snapToGrid w:val="0"/>
        <w:spacing w:beforeLines="50"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九、我单位无以下不良信用记录情形：</w:t>
      </w:r>
    </w:p>
    <w:p w14:paraId="5718DA52">
      <w:pPr>
        <w:pageBreakBefore w:val="0"/>
        <w:widowControl/>
        <w:kinsoku/>
        <w:wordWrap/>
        <w:overflowPunct/>
        <w:bidi w:val="0"/>
        <w:adjustRightInd w:val="0"/>
        <w:snapToGrid w:val="0"/>
        <w:spacing w:beforeLines="50"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1.</w:t>
      </w:r>
      <w:r>
        <w:rPr>
          <w:rFonts w:hint="eastAsia" w:ascii="宋体" w:hAnsi="宋体" w:eastAsia="宋体" w:cs="宋体"/>
          <w:sz w:val="21"/>
          <w:szCs w:val="21"/>
          <w:highlight w:val="none"/>
        </w:rPr>
        <w:t>在“信用中国”网站被列入失信被执行人和重大税收违法案件当事人名单；</w:t>
      </w:r>
    </w:p>
    <w:p w14:paraId="599A585F">
      <w:pPr>
        <w:pageBreakBefore w:val="0"/>
        <w:widowControl/>
        <w:kinsoku/>
        <w:wordWrap/>
        <w:overflowPunct/>
        <w:bidi w:val="0"/>
        <w:adjustRightInd w:val="0"/>
        <w:snapToGrid w:val="0"/>
        <w:spacing w:beforeLines="50"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2.</w:t>
      </w:r>
      <w:r>
        <w:rPr>
          <w:rFonts w:hint="eastAsia" w:ascii="宋体" w:hAnsi="宋体" w:eastAsia="宋体" w:cs="宋体"/>
          <w:sz w:val="21"/>
          <w:szCs w:val="21"/>
          <w:highlight w:val="none"/>
        </w:rPr>
        <w:t>在“中国政府采购网”网站被列入政府采购严重违法失信行为记录名单；</w:t>
      </w:r>
    </w:p>
    <w:p w14:paraId="7FE49363">
      <w:pPr>
        <w:pageBreakBefore w:val="0"/>
        <w:widowControl/>
        <w:kinsoku/>
        <w:wordWrap/>
        <w:overflowPunct/>
        <w:bidi w:val="0"/>
        <w:adjustRightInd w:val="0"/>
        <w:snapToGrid w:val="0"/>
        <w:spacing w:beforeLines="50"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3.</w:t>
      </w:r>
      <w:r>
        <w:rPr>
          <w:rFonts w:hint="eastAsia" w:ascii="宋体" w:hAnsi="宋体" w:eastAsia="宋体" w:cs="宋体"/>
          <w:sz w:val="21"/>
          <w:szCs w:val="21"/>
          <w:highlight w:val="none"/>
        </w:rPr>
        <w:t>不符合</w:t>
      </w:r>
      <w:r>
        <w:rPr>
          <w:rFonts w:hint="eastAsia" w:ascii="宋体" w:hAnsi="宋体" w:eastAsia="宋体" w:cs="宋体"/>
          <w:sz w:val="21"/>
          <w:szCs w:val="21"/>
          <w:highlight w:val="none"/>
          <w:lang w:eastAsia="zh-CN"/>
        </w:rPr>
        <w:t>《中华人民共和国政府采购法》</w:t>
      </w:r>
      <w:r>
        <w:rPr>
          <w:rFonts w:hint="eastAsia" w:ascii="宋体" w:hAnsi="宋体" w:eastAsia="宋体" w:cs="宋体"/>
          <w:sz w:val="21"/>
          <w:szCs w:val="21"/>
          <w:highlight w:val="none"/>
        </w:rPr>
        <w:t>第二十二条规定的条件。</w:t>
      </w:r>
    </w:p>
    <w:p w14:paraId="3F782015">
      <w:pPr>
        <w:pageBreakBefore w:val="0"/>
        <w:widowControl/>
        <w:kinsoku/>
        <w:wordWrap/>
        <w:overflowPunct/>
        <w:bidi w:val="0"/>
        <w:adjustRightInd w:val="0"/>
        <w:snapToGrid w:val="0"/>
        <w:spacing w:beforeLines="50"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我单位保证上述声明的事项都是真实的，如有虚假，我单位愿意承担相应的法律责任，并承担因此所造成的一切损失。</w:t>
      </w:r>
    </w:p>
    <w:p w14:paraId="666302F4">
      <w:pPr>
        <w:pageBreakBefore w:val="0"/>
        <w:widowControl/>
        <w:kinsoku/>
        <w:wordWrap/>
        <w:overflowPunct/>
        <w:bidi w:val="0"/>
        <w:adjustRightInd w:val="0"/>
        <w:snapToGrid w:val="0"/>
        <w:spacing w:beforeLines="50"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注：第三条“良好的商业信誉”是指供应商经营状况良好，无本资格声明第九条情形。</w:t>
      </w:r>
    </w:p>
    <w:p w14:paraId="17984B65">
      <w:pPr>
        <w:pageBreakBefore w:val="0"/>
        <w:widowControl/>
        <w:kinsoku/>
        <w:wordWrap/>
        <w:overflowPunct/>
        <w:bidi w:val="0"/>
        <w:adjustRightInd w:val="0"/>
        <w:snapToGrid w:val="0"/>
        <w:spacing w:beforeLines="50" w:line="360" w:lineRule="auto"/>
        <w:jc w:val="left"/>
        <w:textAlignment w:val="auto"/>
        <w:rPr>
          <w:rFonts w:hint="eastAsia" w:ascii="宋体" w:hAnsi="宋体" w:eastAsia="宋体" w:cs="宋体"/>
          <w:sz w:val="21"/>
          <w:szCs w:val="21"/>
          <w:highlight w:val="none"/>
        </w:rPr>
      </w:pPr>
    </w:p>
    <w:p w14:paraId="05280C43">
      <w:pPr>
        <w:pageBreakBefore w:val="0"/>
        <w:widowControl/>
        <w:kinsoku/>
        <w:wordWrap/>
        <w:overflowPunct/>
        <w:bidi w:val="0"/>
        <w:adjustRightInd w:val="0"/>
        <w:snapToGrid w:val="0"/>
        <w:spacing w:line="36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供应商名称（盖单位章）：</w:t>
      </w:r>
    </w:p>
    <w:p w14:paraId="55479674">
      <w:pPr>
        <w:pageBreakBefore w:val="0"/>
        <w:widowControl/>
        <w:kinsoku/>
        <w:wordWrap/>
        <w:overflowPunct/>
        <w:bidi w:val="0"/>
        <w:adjustRightInd w:val="0"/>
        <w:snapToGrid w:val="0"/>
        <w:spacing w:line="360" w:lineRule="auto"/>
        <w:jc w:val="left"/>
        <w:textAlignment w:val="auto"/>
        <w:rPr>
          <w:rFonts w:hint="eastAsia" w:ascii="宋体" w:hAnsi="宋体" w:eastAsia="宋体" w:cs="宋体"/>
          <w:b/>
          <w:bCs/>
          <w:kern w:val="0"/>
          <w:sz w:val="21"/>
          <w:szCs w:val="21"/>
          <w:highlight w:val="none"/>
        </w:rPr>
      </w:pPr>
      <w:r>
        <w:rPr>
          <w:rFonts w:hint="eastAsia" w:ascii="宋体" w:hAnsi="宋体" w:eastAsia="宋体" w:cs="宋体"/>
          <w:spacing w:val="-2"/>
          <w:kern w:val="0"/>
          <w:sz w:val="21"/>
          <w:szCs w:val="21"/>
          <w:highlight w:val="none"/>
        </w:rPr>
        <w:t>法</w:t>
      </w:r>
      <w:r>
        <w:rPr>
          <w:rFonts w:hint="eastAsia" w:ascii="宋体" w:hAnsi="宋体" w:eastAsia="宋体" w:cs="宋体"/>
          <w:kern w:val="0"/>
          <w:sz w:val="21"/>
          <w:szCs w:val="21"/>
          <w:highlight w:val="none"/>
        </w:rPr>
        <w:t>定</w:t>
      </w:r>
      <w:r>
        <w:rPr>
          <w:rFonts w:hint="eastAsia" w:ascii="宋体" w:hAnsi="宋体" w:eastAsia="宋体" w:cs="宋体"/>
          <w:spacing w:val="-2"/>
          <w:kern w:val="0"/>
          <w:sz w:val="21"/>
          <w:szCs w:val="21"/>
          <w:highlight w:val="none"/>
        </w:rPr>
        <w:t>代</w:t>
      </w:r>
      <w:r>
        <w:rPr>
          <w:rFonts w:hint="eastAsia" w:ascii="宋体" w:hAnsi="宋体" w:eastAsia="宋体" w:cs="宋体"/>
          <w:kern w:val="0"/>
          <w:sz w:val="21"/>
          <w:szCs w:val="21"/>
          <w:highlight w:val="none"/>
        </w:rPr>
        <w:t>表</w:t>
      </w:r>
      <w:r>
        <w:rPr>
          <w:rFonts w:hint="eastAsia" w:ascii="宋体" w:hAnsi="宋体" w:eastAsia="宋体" w:cs="宋体"/>
          <w:spacing w:val="-2"/>
          <w:kern w:val="0"/>
          <w:sz w:val="21"/>
          <w:szCs w:val="21"/>
          <w:highlight w:val="none"/>
        </w:rPr>
        <w:t>人</w:t>
      </w:r>
      <w:r>
        <w:rPr>
          <w:rFonts w:hint="eastAsia" w:ascii="宋体" w:hAnsi="宋体" w:eastAsia="宋体" w:cs="宋体"/>
          <w:kern w:val="0"/>
          <w:sz w:val="21"/>
          <w:szCs w:val="21"/>
          <w:highlight w:val="none"/>
        </w:rPr>
        <w:t>（</w:t>
      </w:r>
      <w:r>
        <w:rPr>
          <w:rFonts w:hint="eastAsia" w:ascii="宋体" w:hAnsi="宋体" w:eastAsia="宋体" w:cs="宋体"/>
          <w:spacing w:val="-2"/>
          <w:kern w:val="0"/>
          <w:sz w:val="21"/>
          <w:szCs w:val="21"/>
          <w:highlight w:val="none"/>
        </w:rPr>
        <w:t>单</w:t>
      </w:r>
      <w:r>
        <w:rPr>
          <w:rFonts w:hint="eastAsia" w:ascii="宋体" w:hAnsi="宋体" w:eastAsia="宋体" w:cs="宋体"/>
          <w:kern w:val="0"/>
          <w:sz w:val="21"/>
          <w:szCs w:val="21"/>
          <w:highlight w:val="none"/>
        </w:rPr>
        <w:t>位</w:t>
      </w:r>
      <w:r>
        <w:rPr>
          <w:rFonts w:hint="eastAsia" w:ascii="宋体" w:hAnsi="宋体" w:eastAsia="宋体" w:cs="宋体"/>
          <w:spacing w:val="-2"/>
          <w:kern w:val="0"/>
          <w:sz w:val="21"/>
          <w:szCs w:val="21"/>
          <w:highlight w:val="none"/>
        </w:rPr>
        <w:t>负</w:t>
      </w:r>
      <w:r>
        <w:rPr>
          <w:rFonts w:hint="eastAsia" w:ascii="宋体" w:hAnsi="宋体" w:eastAsia="宋体" w:cs="宋体"/>
          <w:kern w:val="0"/>
          <w:sz w:val="21"/>
          <w:szCs w:val="21"/>
          <w:highlight w:val="none"/>
        </w:rPr>
        <w:t>责人</w:t>
      </w:r>
      <w:r>
        <w:rPr>
          <w:rFonts w:hint="eastAsia" w:ascii="宋体" w:hAnsi="宋体" w:eastAsia="宋体" w:cs="宋体"/>
          <w:spacing w:val="-2"/>
          <w:kern w:val="0"/>
          <w:sz w:val="21"/>
          <w:szCs w:val="21"/>
          <w:highlight w:val="none"/>
        </w:rPr>
        <w:t>）</w:t>
      </w:r>
      <w:r>
        <w:rPr>
          <w:rFonts w:hint="eastAsia" w:ascii="宋体" w:hAnsi="宋体" w:eastAsia="宋体" w:cs="宋体"/>
          <w:sz w:val="21"/>
          <w:szCs w:val="21"/>
          <w:highlight w:val="none"/>
        </w:rPr>
        <w:t>或委托代理人：（签字或印章）</w:t>
      </w:r>
    </w:p>
    <w:p w14:paraId="010A6458">
      <w:pPr>
        <w:pageBreakBefore w:val="0"/>
        <w:widowControl/>
        <w:kinsoku/>
        <w:wordWrap/>
        <w:overflowPunct/>
        <w:bidi w:val="0"/>
        <w:adjustRightInd w:val="0"/>
        <w:snapToGri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日期：   年   月   日</w:t>
      </w:r>
    </w:p>
    <w:p w14:paraId="704024FF">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1BAD7F28">
      <w:pPr>
        <w:pageBreakBefore w:val="0"/>
        <w:kinsoku/>
        <w:wordWrap/>
        <w:overflowPunct/>
        <w:bidi w:val="0"/>
        <w:spacing w:beforeAutospacing="0" w:after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湖南省政府采购供应商资格承诺函</w:t>
      </w:r>
    </w:p>
    <w:p w14:paraId="7315E712">
      <w:pPr>
        <w:pageBreakBefore w:val="0"/>
        <w:widowControl/>
        <w:kinsoku/>
        <w:wordWrap/>
        <w:overflowPunct/>
        <w:topLinePunct w:val="0"/>
        <w:bidi w:val="0"/>
        <w:spacing w:beforeAutospacing="0" w:afterAutospacing="0" w:line="360" w:lineRule="auto"/>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3D369D5F">
      <w:pPr>
        <w:pageBreakBefore w:val="0"/>
        <w:widowControl/>
        <w:kinsoku/>
        <w:wordWrap/>
        <w:overflowPunct/>
        <w:topLinePunct w:val="0"/>
        <w:bidi w:val="0"/>
        <w:spacing w:beforeAutospacing="0" w:afterAutospacing="0" w:line="360" w:lineRule="auto"/>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按照《政府采购促进中小企业发展管理办法》（财库〔2020〕46号），本公司企业规模为：大型□ 中型□ 小型□ 微型□</w:t>
      </w:r>
    </w:p>
    <w:p w14:paraId="555FDEED">
      <w:pPr>
        <w:pageBreakBefore w:val="0"/>
        <w:widowControl/>
        <w:kinsoku/>
        <w:wordWrap/>
        <w:overflowPunct/>
        <w:topLinePunct w:val="0"/>
        <w:bidi w:val="0"/>
        <w:spacing w:beforeAutospacing="0" w:afterAutospacing="0" w:line="360" w:lineRule="auto"/>
        <w:jc w:val="right"/>
        <w:textAlignment w:val="auto"/>
        <w:rPr>
          <w:rFonts w:hint="eastAsia" w:ascii="宋体" w:hAnsi="宋体" w:eastAsia="宋体" w:cs="宋体"/>
          <w:kern w:val="0"/>
          <w:sz w:val="21"/>
          <w:szCs w:val="21"/>
          <w:highlight w:val="none"/>
        </w:rPr>
      </w:pPr>
    </w:p>
    <w:p w14:paraId="68DA74B0">
      <w:pPr>
        <w:pageBreakBefore w:val="0"/>
        <w:widowControl/>
        <w:kinsoku/>
        <w:wordWrap/>
        <w:overflowPunct/>
        <w:topLinePunct w:val="0"/>
        <w:bidi w:val="0"/>
        <w:spacing w:beforeAutospacing="0" w:afterAutospacing="0" w:line="360" w:lineRule="auto"/>
        <w:jc w:val="righ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公司（单位）名称（盖章） </w:t>
      </w:r>
    </w:p>
    <w:p w14:paraId="79E338FF">
      <w:pPr>
        <w:pageBreakBefore w:val="0"/>
        <w:widowControl/>
        <w:kinsoku/>
        <w:wordWrap/>
        <w:overflowPunct/>
        <w:topLinePunct w:val="0"/>
        <w:bidi w:val="0"/>
        <w:spacing w:beforeAutospacing="0" w:afterAutospacing="0" w:line="360" w:lineRule="auto"/>
        <w:ind w:right="630"/>
        <w:jc w:val="righ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年    月    日</w:t>
      </w:r>
    </w:p>
    <w:p w14:paraId="1C491EF6">
      <w:pPr>
        <w:pageBreakBefore w:val="0"/>
        <w:widowControl/>
        <w:kinsoku/>
        <w:wordWrap/>
        <w:overflowPunct/>
        <w:topLinePunct w:val="0"/>
        <w:bidi w:val="0"/>
        <w:spacing w:beforeAutospacing="0" w:afterAutospacing="0" w:line="360" w:lineRule="auto"/>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机构代码</w:t>
      </w:r>
      <w:r>
        <w:rPr>
          <w:rFonts w:hint="eastAsia" w:ascii="宋体" w:hAnsi="宋体" w:eastAsia="宋体" w:cs="宋体"/>
          <w:kern w:val="0"/>
          <w:sz w:val="21"/>
          <w:szCs w:val="21"/>
          <w:highlight w:val="none"/>
          <w:lang w:eastAsia="zh-CN"/>
        </w:rPr>
        <w:t>：</w:t>
      </w:r>
    </w:p>
    <w:p w14:paraId="363BA6BF">
      <w:pPr>
        <w:pageBreakBefore w:val="0"/>
        <w:widowControl/>
        <w:kinsoku/>
        <w:wordWrap/>
        <w:overflowPunct/>
        <w:topLinePunct w:val="0"/>
        <w:bidi w:val="0"/>
        <w:spacing w:beforeAutospacing="0" w:afterAutospacing="0" w:line="360" w:lineRule="auto"/>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注册登记机构</w:t>
      </w:r>
      <w:r>
        <w:rPr>
          <w:rFonts w:hint="eastAsia" w:ascii="宋体" w:hAnsi="宋体" w:eastAsia="宋体" w:cs="宋体"/>
          <w:kern w:val="0"/>
          <w:sz w:val="21"/>
          <w:szCs w:val="21"/>
          <w:highlight w:val="none"/>
          <w:lang w:eastAsia="zh-CN"/>
        </w:rPr>
        <w:t>：</w:t>
      </w:r>
    </w:p>
    <w:p w14:paraId="458A471B">
      <w:pPr>
        <w:pageBreakBefore w:val="0"/>
        <w:widowControl/>
        <w:kinsoku/>
        <w:wordWrap/>
        <w:overflowPunct/>
        <w:topLinePunct w:val="0"/>
        <w:bidi w:val="0"/>
        <w:spacing w:beforeAutospacing="0" w:afterAutospacing="0" w:line="360" w:lineRule="auto"/>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日期</w:t>
      </w:r>
      <w:r>
        <w:rPr>
          <w:rFonts w:hint="eastAsia" w:ascii="宋体" w:hAnsi="宋体" w:eastAsia="宋体" w:cs="宋体"/>
          <w:kern w:val="0"/>
          <w:sz w:val="21"/>
          <w:szCs w:val="21"/>
          <w:highlight w:val="none"/>
          <w:lang w:eastAsia="zh-CN"/>
        </w:rPr>
        <w:t>：</w:t>
      </w:r>
    </w:p>
    <w:p w14:paraId="6AC55AF3">
      <w:pPr>
        <w:pageBreakBefore w:val="0"/>
        <w:widowControl/>
        <w:kinsoku/>
        <w:wordWrap/>
        <w:overflowPunct/>
        <w:topLinePunct w:val="0"/>
        <w:bidi w:val="0"/>
        <w:spacing w:beforeAutospacing="0" w:afterAutospacing="0" w:line="360" w:lineRule="auto"/>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有效期</w:t>
      </w:r>
      <w:r>
        <w:rPr>
          <w:rFonts w:hint="eastAsia" w:ascii="宋体" w:hAnsi="宋体" w:eastAsia="宋体" w:cs="宋体"/>
          <w:kern w:val="0"/>
          <w:sz w:val="21"/>
          <w:szCs w:val="21"/>
          <w:highlight w:val="none"/>
          <w:lang w:eastAsia="zh-CN"/>
        </w:rPr>
        <w:t>：</w:t>
      </w:r>
    </w:p>
    <w:p w14:paraId="53C6DC25">
      <w:pPr>
        <w:pageBreakBefore w:val="0"/>
        <w:widowControl/>
        <w:kinsoku/>
        <w:wordWrap/>
        <w:overflowPunct/>
        <w:topLinePunct w:val="0"/>
        <w:bidi w:val="0"/>
        <w:spacing w:beforeAutospacing="0" w:afterAutospacing="0" w:line="360" w:lineRule="auto"/>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注册资本</w:t>
      </w:r>
      <w:r>
        <w:rPr>
          <w:rFonts w:hint="eastAsia" w:ascii="宋体" w:hAnsi="宋体" w:eastAsia="宋体" w:cs="宋体"/>
          <w:kern w:val="0"/>
          <w:sz w:val="21"/>
          <w:szCs w:val="21"/>
          <w:highlight w:val="none"/>
          <w:lang w:eastAsia="zh-CN"/>
        </w:rPr>
        <w:t>：</w:t>
      </w:r>
    </w:p>
    <w:p w14:paraId="4AB6B69E">
      <w:pPr>
        <w:pageBreakBefore w:val="0"/>
        <w:widowControl/>
        <w:kinsoku/>
        <w:wordWrap/>
        <w:overflowPunct/>
        <w:topLinePunct w:val="0"/>
        <w:bidi w:val="0"/>
        <w:spacing w:beforeAutospacing="0" w:afterAutospacing="0" w:line="360" w:lineRule="auto"/>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地址</w:t>
      </w:r>
      <w:r>
        <w:rPr>
          <w:rFonts w:hint="eastAsia" w:ascii="宋体" w:hAnsi="宋体" w:eastAsia="宋体" w:cs="宋体"/>
          <w:kern w:val="0"/>
          <w:sz w:val="21"/>
          <w:szCs w:val="21"/>
          <w:highlight w:val="none"/>
          <w:lang w:eastAsia="zh-CN"/>
        </w:rPr>
        <w:t>：</w:t>
      </w:r>
    </w:p>
    <w:p w14:paraId="72847A3E">
      <w:pPr>
        <w:pageBreakBefore w:val="0"/>
        <w:widowControl/>
        <w:kinsoku/>
        <w:wordWrap/>
        <w:overflowPunct/>
        <w:topLinePunct w:val="0"/>
        <w:bidi w:val="0"/>
        <w:spacing w:beforeAutospacing="0" w:afterAutospacing="0" w:line="360" w:lineRule="auto"/>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经济行业</w:t>
      </w:r>
      <w:r>
        <w:rPr>
          <w:rFonts w:hint="eastAsia" w:ascii="宋体" w:hAnsi="宋体" w:eastAsia="宋体" w:cs="宋体"/>
          <w:kern w:val="0"/>
          <w:sz w:val="21"/>
          <w:szCs w:val="21"/>
          <w:highlight w:val="none"/>
          <w:lang w:eastAsia="zh-CN"/>
        </w:rPr>
        <w:t>：</w:t>
      </w:r>
    </w:p>
    <w:p w14:paraId="4F80E918">
      <w:pPr>
        <w:pageBreakBefore w:val="0"/>
        <w:widowControl/>
        <w:kinsoku/>
        <w:wordWrap/>
        <w:overflowPunct/>
        <w:topLinePunct w:val="0"/>
        <w:bidi w:val="0"/>
        <w:spacing w:beforeAutospacing="0" w:afterAutospacing="0" w:line="36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经济性质：</w:t>
      </w:r>
    </w:p>
    <w:p w14:paraId="53A46A5D">
      <w:pPr>
        <w:pageBreakBefore w:val="0"/>
        <w:widowControl/>
        <w:kinsoku/>
        <w:wordWrap/>
        <w:overflowPunct/>
        <w:topLinePunct w:val="0"/>
        <w:bidi w:val="0"/>
        <w:spacing w:beforeAutospacing="0" w:afterAutospacing="0" w:line="360" w:lineRule="auto"/>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法定代表人（负责人）姓名（签字）</w:t>
      </w:r>
      <w:r>
        <w:rPr>
          <w:rFonts w:hint="eastAsia" w:ascii="宋体" w:hAnsi="宋体" w:eastAsia="宋体" w:cs="宋体"/>
          <w:kern w:val="0"/>
          <w:sz w:val="21"/>
          <w:szCs w:val="21"/>
          <w:highlight w:val="none"/>
          <w:lang w:eastAsia="zh-CN"/>
        </w:rPr>
        <w:t>：</w:t>
      </w:r>
    </w:p>
    <w:p w14:paraId="6B18CC43">
      <w:pPr>
        <w:pageBreakBefore w:val="0"/>
        <w:widowControl/>
        <w:kinsoku/>
        <w:wordWrap/>
        <w:overflowPunct/>
        <w:topLinePunct w:val="0"/>
        <w:bidi w:val="0"/>
        <w:spacing w:beforeAutospacing="0" w:afterAutospacing="0" w:line="360" w:lineRule="auto"/>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身份证号</w:t>
      </w:r>
      <w:r>
        <w:rPr>
          <w:rFonts w:hint="eastAsia" w:ascii="宋体" w:hAnsi="宋体" w:eastAsia="宋体" w:cs="宋体"/>
          <w:kern w:val="0"/>
          <w:sz w:val="21"/>
          <w:szCs w:val="21"/>
          <w:highlight w:val="none"/>
          <w:lang w:eastAsia="zh-CN"/>
        </w:rPr>
        <w:t>：</w:t>
      </w:r>
    </w:p>
    <w:p w14:paraId="51DB9020">
      <w:pPr>
        <w:pageBreakBefore w:val="0"/>
        <w:widowControl/>
        <w:kinsoku/>
        <w:wordWrap/>
        <w:overflowPunct/>
        <w:topLinePunct w:val="0"/>
        <w:bidi w:val="0"/>
        <w:spacing w:beforeAutospacing="0" w:afterAutospacing="0" w:line="36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手机号： </w:t>
      </w:r>
    </w:p>
    <w:p w14:paraId="13A218B3">
      <w:pPr>
        <w:pageBreakBefore w:val="0"/>
        <w:kinsoku/>
        <w:wordWrap/>
        <w:overflowPunct/>
        <w:topLinePunct w:val="0"/>
        <w:bidi w:val="0"/>
        <w:spacing w:beforeAutospacing="0" w:afterAutospacing="0" w:line="360" w:lineRule="auto"/>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授权代表人姓名（签字）</w:t>
      </w:r>
      <w:r>
        <w:rPr>
          <w:rFonts w:hint="eastAsia" w:ascii="宋体" w:hAnsi="宋体" w:eastAsia="宋体" w:cs="宋体"/>
          <w:kern w:val="0"/>
          <w:sz w:val="21"/>
          <w:szCs w:val="21"/>
          <w:highlight w:val="none"/>
          <w:lang w:eastAsia="zh-CN"/>
        </w:rPr>
        <w:t>：</w:t>
      </w:r>
    </w:p>
    <w:p w14:paraId="5E22EB6D">
      <w:pPr>
        <w:pageBreakBefore w:val="0"/>
        <w:kinsoku/>
        <w:wordWrap/>
        <w:overflowPunct/>
        <w:topLinePunct w:val="0"/>
        <w:bidi w:val="0"/>
        <w:spacing w:beforeAutospacing="0" w:afterAutospacing="0" w:line="360" w:lineRule="auto"/>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身份证号</w:t>
      </w:r>
      <w:r>
        <w:rPr>
          <w:rFonts w:hint="eastAsia" w:ascii="宋体" w:hAnsi="宋体" w:cs="宋体"/>
          <w:kern w:val="0"/>
          <w:sz w:val="21"/>
          <w:szCs w:val="21"/>
          <w:highlight w:val="none"/>
          <w:lang w:eastAsia="zh-CN"/>
        </w:rPr>
        <w:t>：</w:t>
      </w:r>
    </w:p>
    <w:p w14:paraId="35E7800C">
      <w:pPr>
        <w:pageBreakBefore w:val="0"/>
        <w:kinsoku/>
        <w:wordWrap/>
        <w:overflowPunct/>
        <w:topLinePunct w:val="0"/>
        <w:bidi w:val="0"/>
        <w:spacing w:beforeAutospacing="0" w:afterAutospacing="0" w:line="360" w:lineRule="auto"/>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手机号：</w:t>
      </w:r>
    </w:p>
    <w:p w14:paraId="45E4795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E85D48C">
      <w:pPr>
        <w:rPr>
          <w:rFonts w:hint="eastAsia" w:ascii="宋体" w:hAnsi="宋体" w:eastAsia="宋体" w:cs="宋体"/>
          <w:color w:val="auto"/>
          <w:highlight w:val="none"/>
        </w:rPr>
      </w:pPr>
    </w:p>
    <w:p w14:paraId="14E11A6D">
      <w:pPr>
        <w:pStyle w:val="8"/>
        <w:numPr>
          <w:ilvl w:val="1"/>
          <w:numId w:val="0"/>
        </w:numPr>
        <w:kinsoku/>
        <w:wordWrap/>
        <w:overflowPunct/>
        <w:bidi w:val="0"/>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t xml:space="preserve">附件5      </w:t>
      </w:r>
      <w:r>
        <w:rPr>
          <w:rFonts w:hint="eastAsia" w:ascii="宋体" w:hAnsi="宋体" w:eastAsia="宋体" w:cs="宋体"/>
          <w:color w:val="auto"/>
          <w:sz w:val="28"/>
          <w:szCs w:val="28"/>
          <w:highlight w:val="none"/>
        </w:rPr>
        <w:t>磋商文件规定的特定资格条件证明资料</w:t>
      </w:r>
    </w:p>
    <w:p w14:paraId="07CF27D1">
      <w:pPr>
        <w:kinsoku/>
        <w:wordWrap/>
        <w:overflowPunct/>
        <w:bidi w:val="0"/>
        <w:spacing w:line="500" w:lineRule="exact"/>
        <w:rPr>
          <w:rFonts w:hint="eastAsia" w:ascii="宋体" w:hAnsi="宋体" w:eastAsia="宋体" w:cs="宋体"/>
          <w:color w:val="auto"/>
          <w:highlight w:val="none"/>
        </w:rPr>
      </w:pPr>
    </w:p>
    <w:p w14:paraId="3D3575E9">
      <w:pPr>
        <w:pStyle w:val="41"/>
        <w:kinsoku/>
        <w:wordWrap/>
        <w:overflowPunct/>
        <w:bidi w:val="0"/>
        <w:spacing w:line="500" w:lineRule="exact"/>
        <w:rPr>
          <w:rStyle w:val="150"/>
          <w:rFonts w:hint="eastAsia" w:ascii="宋体" w:hAnsi="宋体" w:eastAsia="宋体" w:cs="宋体"/>
          <w:color w:val="auto"/>
          <w:szCs w:val="21"/>
          <w:highlight w:val="none"/>
        </w:rPr>
      </w:pPr>
      <w:r>
        <w:rPr>
          <w:rStyle w:val="150"/>
          <w:rFonts w:hint="eastAsia" w:ascii="宋体" w:hAnsi="宋体" w:eastAsia="宋体" w:cs="宋体"/>
          <w:color w:val="auto"/>
          <w:szCs w:val="21"/>
          <w:highlight w:val="none"/>
        </w:rPr>
        <w:t>备注：提供“第二章 磋商须知”第3.1款供应商特定资格条件证明资料。</w:t>
      </w:r>
    </w:p>
    <w:p w14:paraId="00D601A8">
      <w:pPr>
        <w:pStyle w:val="41"/>
        <w:kinsoku/>
        <w:wordWrap/>
        <w:overflowPunct/>
        <w:bidi w:val="0"/>
        <w:spacing w:line="500" w:lineRule="exact"/>
        <w:rPr>
          <w:rFonts w:hint="eastAsia" w:ascii="宋体" w:hAnsi="宋体" w:eastAsia="宋体" w:cs="宋体"/>
          <w:color w:val="auto"/>
          <w:highlight w:val="none"/>
        </w:rPr>
      </w:pPr>
    </w:p>
    <w:p w14:paraId="6AFE1121">
      <w:pPr>
        <w:kinsoku/>
        <w:wordWrap/>
        <w:overflowPunct/>
        <w:bidi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03886DE">
      <w:pPr>
        <w:kinsoku/>
        <w:wordWrap/>
        <w:overflowPunct/>
        <w:bidi w:val="0"/>
        <w:spacing w:line="500" w:lineRule="exact"/>
        <w:rPr>
          <w:rFonts w:hint="eastAsia" w:ascii="宋体" w:hAnsi="宋体" w:eastAsia="宋体" w:cs="宋体"/>
          <w:color w:val="auto"/>
          <w:highlight w:val="none"/>
        </w:rPr>
      </w:pPr>
    </w:p>
    <w:p w14:paraId="6B7FA4AE">
      <w:pPr>
        <w:pStyle w:val="7"/>
        <w:kinsoku/>
        <w:wordWrap/>
        <w:overflowPunct/>
        <w:bidi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三、</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方案</w:t>
      </w:r>
    </w:p>
    <w:p w14:paraId="0A916308">
      <w:pPr>
        <w:kinsoku/>
        <w:wordWrap/>
        <w:overflowPunct/>
        <w:bidi w:val="0"/>
        <w:adjustRightInd w:val="0"/>
        <w:snapToGrid w:val="0"/>
        <w:spacing w:line="500" w:lineRule="exact"/>
        <w:ind w:left="-88" w:leftChars="-42" w:firstLine="210" w:firstLineChars="100"/>
        <w:rPr>
          <w:rFonts w:hint="eastAsia" w:ascii="宋体" w:hAnsi="宋体" w:eastAsia="宋体" w:cs="宋体"/>
          <w:bCs/>
          <w:color w:val="auto"/>
          <w:highlight w:val="none"/>
        </w:rPr>
      </w:pPr>
    </w:p>
    <w:p w14:paraId="152DC1B2">
      <w:pPr>
        <w:pStyle w:val="8"/>
        <w:numPr>
          <w:ilvl w:val="1"/>
          <w:numId w:val="0"/>
        </w:numPr>
        <w:kinsoku/>
        <w:wordWrap/>
        <w:overflowPunct/>
        <w:bidi w:val="0"/>
        <w:spacing w:line="5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6-1</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服务</w:t>
      </w:r>
      <w:r>
        <w:rPr>
          <w:rFonts w:hint="eastAsia" w:ascii="宋体" w:hAnsi="宋体" w:eastAsia="宋体" w:cs="宋体"/>
          <w:b/>
          <w:color w:val="auto"/>
          <w:sz w:val="28"/>
          <w:szCs w:val="28"/>
          <w:highlight w:val="none"/>
        </w:rPr>
        <w:t>方案说明</w:t>
      </w:r>
    </w:p>
    <w:p w14:paraId="7BD1B029">
      <w:pPr>
        <w:pStyle w:val="2"/>
        <w:rPr>
          <w:rFonts w:hint="eastAsia" w:ascii="宋体" w:hAnsi="宋体" w:eastAsia="宋体" w:cs="宋体"/>
          <w:color w:val="auto"/>
          <w:highlight w:val="none"/>
        </w:rPr>
      </w:pPr>
    </w:p>
    <w:p w14:paraId="12B3FA85">
      <w:pPr>
        <w:shd w:val="clear" w:color="auto" w:fill="auto"/>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szCs w:val="21"/>
          <w:highlight w:val="none"/>
        </w:rPr>
        <w:t>编制说明</w:t>
      </w:r>
      <w:r>
        <w:rPr>
          <w:rFonts w:hint="eastAsia" w:ascii="宋体" w:hAnsi="宋体" w:eastAsia="宋体" w:cs="宋体"/>
          <w:bCs/>
          <w:color w:val="auto"/>
          <w:szCs w:val="21"/>
          <w:highlight w:val="none"/>
        </w:rPr>
        <w:t>：</w:t>
      </w:r>
      <w:r>
        <w:rPr>
          <w:rFonts w:hint="eastAsia" w:ascii="宋体" w:hAnsi="宋体" w:eastAsia="宋体" w:cs="宋体"/>
          <w:b/>
          <w:color w:val="auto"/>
          <w:highlight w:val="none"/>
        </w:rPr>
        <w:t>供应商应按磋商文件第四章采购需求自行编写采购需求响应文件（其内容可包括，且不限于详细的</w:t>
      </w:r>
      <w:r>
        <w:rPr>
          <w:rFonts w:hint="eastAsia" w:ascii="宋体" w:hAnsi="宋体" w:eastAsia="宋体" w:cs="宋体"/>
          <w:b/>
          <w:color w:val="auto"/>
          <w:highlight w:val="none"/>
          <w:lang w:val="en-US" w:eastAsia="zh-CN"/>
        </w:rPr>
        <w:t>实施方案</w:t>
      </w:r>
      <w:r>
        <w:rPr>
          <w:rFonts w:hint="eastAsia" w:ascii="宋体" w:hAnsi="宋体" w:eastAsia="宋体" w:cs="宋体"/>
          <w:b/>
          <w:color w:val="auto"/>
          <w:highlight w:val="none"/>
        </w:rPr>
        <w:t>、技术服务的组织及保证措施等，格式自拟）。</w:t>
      </w:r>
    </w:p>
    <w:p w14:paraId="6F726BF7">
      <w:pPr>
        <w:adjustRightInd w:val="0"/>
        <w:snapToGrid w:val="0"/>
        <w:outlineLvl w:val="9"/>
        <w:rPr>
          <w:rFonts w:hint="eastAsia" w:ascii="宋体"/>
          <w:color w:val="auto"/>
          <w:szCs w:val="21"/>
          <w:highlight w:val="none"/>
        </w:rPr>
      </w:pPr>
    </w:p>
    <w:p w14:paraId="05768939">
      <w:pPr>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br w:type="page"/>
      </w:r>
    </w:p>
    <w:p w14:paraId="04810585">
      <w:pPr>
        <w:adjustRightInd w:val="0"/>
        <w:snapToGrid w:val="0"/>
        <w:spacing w:line="360" w:lineRule="auto"/>
        <w:outlineLvl w:val="1"/>
        <w:rPr>
          <w:rFonts w:hint="eastAsia" w:ascii="宋体" w:hAnsi="宋体" w:eastAsia="宋体" w:cs="宋体"/>
          <w:color w:val="auto"/>
          <w:sz w:val="28"/>
          <w:szCs w:val="28"/>
          <w:highlight w:val="none"/>
        </w:rPr>
      </w:pPr>
      <w:r>
        <w:rPr>
          <w:rFonts w:hint="eastAsia" w:ascii="宋体" w:hAnsi="宋体" w:eastAsia="宋体" w:cs="宋体"/>
          <w:b/>
          <w:color w:val="auto"/>
          <w:kern w:val="2"/>
          <w:sz w:val="28"/>
          <w:szCs w:val="28"/>
          <w:highlight w:val="none"/>
          <w:lang w:val="en-US" w:eastAsia="zh-CN" w:bidi="ar-SA"/>
        </w:rPr>
        <w:t>附件6-2：</w:t>
      </w:r>
      <w:r>
        <w:rPr>
          <w:rFonts w:hint="eastAsia" w:ascii="宋体" w:hAnsi="宋体" w:eastAsia="宋体" w:cs="宋体"/>
          <w:b/>
          <w:color w:val="auto"/>
          <w:sz w:val="28"/>
          <w:szCs w:val="28"/>
          <w:highlight w:val="none"/>
        </w:rPr>
        <w:t>主要人员简历表</w:t>
      </w:r>
    </w:p>
    <w:tbl>
      <w:tblPr>
        <w:tblStyle w:val="29"/>
        <w:tblW w:w="4824"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93"/>
        <w:gridCol w:w="794"/>
        <w:gridCol w:w="2537"/>
        <w:gridCol w:w="407"/>
        <w:gridCol w:w="1444"/>
        <w:gridCol w:w="556"/>
        <w:gridCol w:w="1710"/>
      </w:tblGrid>
      <w:tr w14:paraId="02BB07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1194" w:type="pct"/>
            <w:gridSpan w:val="2"/>
            <w:noWrap w:val="0"/>
            <w:vAlign w:val="center"/>
          </w:tcPr>
          <w:p w14:paraId="0115946D">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451" w:type="pct"/>
            <w:noWrap w:val="0"/>
            <w:vAlign w:val="center"/>
          </w:tcPr>
          <w:p w14:paraId="20B2448A">
            <w:pPr>
              <w:spacing w:line="276" w:lineRule="auto"/>
              <w:jc w:val="center"/>
              <w:rPr>
                <w:rFonts w:hint="eastAsia" w:ascii="宋体" w:hAnsi="宋体" w:eastAsia="宋体" w:cs="宋体"/>
                <w:color w:val="auto"/>
                <w:szCs w:val="21"/>
                <w:highlight w:val="none"/>
              </w:rPr>
            </w:pPr>
          </w:p>
        </w:tc>
        <w:tc>
          <w:tcPr>
            <w:tcW w:w="1377" w:type="pct"/>
            <w:gridSpan w:val="3"/>
            <w:noWrap w:val="0"/>
            <w:vAlign w:val="center"/>
          </w:tcPr>
          <w:p w14:paraId="3750424D">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  别</w:t>
            </w:r>
          </w:p>
        </w:tc>
        <w:tc>
          <w:tcPr>
            <w:tcW w:w="976" w:type="pct"/>
            <w:noWrap w:val="0"/>
            <w:vAlign w:val="center"/>
          </w:tcPr>
          <w:p w14:paraId="1F866ACE">
            <w:pPr>
              <w:spacing w:line="276" w:lineRule="auto"/>
              <w:jc w:val="center"/>
              <w:rPr>
                <w:rFonts w:hint="eastAsia" w:ascii="宋体" w:hAnsi="宋体" w:eastAsia="宋体" w:cs="宋体"/>
                <w:color w:val="auto"/>
                <w:szCs w:val="21"/>
                <w:highlight w:val="none"/>
              </w:rPr>
            </w:pPr>
          </w:p>
        </w:tc>
      </w:tr>
      <w:tr w14:paraId="422C94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1194" w:type="pct"/>
            <w:gridSpan w:val="2"/>
            <w:noWrap w:val="0"/>
            <w:vAlign w:val="center"/>
          </w:tcPr>
          <w:p w14:paraId="0924D711">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tc>
        <w:tc>
          <w:tcPr>
            <w:tcW w:w="1451" w:type="pct"/>
            <w:noWrap w:val="0"/>
            <w:vAlign w:val="center"/>
          </w:tcPr>
          <w:p w14:paraId="6D587FBE">
            <w:pPr>
              <w:spacing w:line="276" w:lineRule="auto"/>
              <w:jc w:val="center"/>
              <w:rPr>
                <w:rFonts w:hint="eastAsia" w:ascii="宋体" w:hAnsi="宋体" w:eastAsia="宋体" w:cs="宋体"/>
                <w:color w:val="auto"/>
                <w:szCs w:val="21"/>
                <w:highlight w:val="none"/>
              </w:rPr>
            </w:pPr>
          </w:p>
        </w:tc>
        <w:tc>
          <w:tcPr>
            <w:tcW w:w="1377" w:type="pct"/>
            <w:gridSpan w:val="3"/>
            <w:noWrap w:val="0"/>
            <w:vAlign w:val="center"/>
          </w:tcPr>
          <w:p w14:paraId="2B70D0BB">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称</w:t>
            </w:r>
          </w:p>
        </w:tc>
        <w:tc>
          <w:tcPr>
            <w:tcW w:w="976" w:type="pct"/>
            <w:noWrap w:val="0"/>
            <w:vAlign w:val="center"/>
          </w:tcPr>
          <w:p w14:paraId="16D4538D">
            <w:pPr>
              <w:spacing w:line="276" w:lineRule="auto"/>
              <w:jc w:val="center"/>
              <w:rPr>
                <w:rFonts w:hint="eastAsia" w:ascii="宋体" w:hAnsi="宋体" w:eastAsia="宋体" w:cs="宋体"/>
                <w:color w:val="auto"/>
                <w:szCs w:val="21"/>
                <w:highlight w:val="none"/>
              </w:rPr>
            </w:pPr>
          </w:p>
        </w:tc>
      </w:tr>
      <w:tr w14:paraId="06171D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1194" w:type="pct"/>
            <w:gridSpan w:val="2"/>
            <w:noWrap w:val="0"/>
            <w:vAlign w:val="center"/>
          </w:tcPr>
          <w:p w14:paraId="1E0C17B8">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毕业学校、专业</w:t>
            </w:r>
          </w:p>
        </w:tc>
        <w:tc>
          <w:tcPr>
            <w:tcW w:w="3805" w:type="pct"/>
            <w:gridSpan w:val="5"/>
            <w:noWrap w:val="0"/>
            <w:vAlign w:val="center"/>
          </w:tcPr>
          <w:p w14:paraId="134412A6">
            <w:pPr>
              <w:spacing w:line="276" w:lineRule="auto"/>
              <w:jc w:val="center"/>
              <w:rPr>
                <w:rFonts w:hint="eastAsia" w:ascii="宋体" w:hAnsi="宋体" w:eastAsia="宋体" w:cs="宋体"/>
                <w:color w:val="auto"/>
                <w:szCs w:val="21"/>
                <w:highlight w:val="none"/>
              </w:rPr>
            </w:pPr>
          </w:p>
        </w:tc>
      </w:tr>
      <w:tr w14:paraId="5194C3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1194" w:type="pct"/>
            <w:gridSpan w:val="2"/>
            <w:noWrap w:val="0"/>
            <w:vAlign w:val="center"/>
          </w:tcPr>
          <w:p w14:paraId="0E905969">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p>
        </w:tc>
        <w:tc>
          <w:tcPr>
            <w:tcW w:w="1451" w:type="pct"/>
            <w:noWrap w:val="0"/>
            <w:vAlign w:val="center"/>
          </w:tcPr>
          <w:p w14:paraId="25ED7D8F">
            <w:pPr>
              <w:spacing w:line="276" w:lineRule="auto"/>
              <w:jc w:val="center"/>
              <w:rPr>
                <w:rFonts w:hint="eastAsia" w:ascii="宋体" w:hAnsi="宋体" w:eastAsia="宋体" w:cs="宋体"/>
                <w:color w:val="auto"/>
                <w:szCs w:val="21"/>
                <w:highlight w:val="none"/>
              </w:rPr>
            </w:pPr>
          </w:p>
        </w:tc>
        <w:tc>
          <w:tcPr>
            <w:tcW w:w="1377" w:type="pct"/>
            <w:gridSpan w:val="3"/>
            <w:noWrap w:val="0"/>
            <w:vAlign w:val="center"/>
          </w:tcPr>
          <w:p w14:paraId="349CC761">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拟在本合同任职</w:t>
            </w:r>
          </w:p>
        </w:tc>
        <w:tc>
          <w:tcPr>
            <w:tcW w:w="976" w:type="pct"/>
            <w:noWrap w:val="0"/>
            <w:vAlign w:val="center"/>
          </w:tcPr>
          <w:p w14:paraId="5489DFC6">
            <w:pPr>
              <w:spacing w:line="276" w:lineRule="auto"/>
              <w:ind w:right="-105" w:rightChars="-50"/>
              <w:jc w:val="center"/>
              <w:rPr>
                <w:rFonts w:hint="eastAsia" w:ascii="宋体" w:hAnsi="宋体" w:eastAsia="宋体" w:cs="宋体"/>
                <w:color w:val="auto"/>
                <w:szCs w:val="21"/>
                <w:highlight w:val="none"/>
              </w:rPr>
            </w:pPr>
          </w:p>
        </w:tc>
      </w:tr>
      <w:tr w14:paraId="1FEB48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1194" w:type="pct"/>
            <w:gridSpan w:val="2"/>
            <w:noWrap w:val="0"/>
            <w:vAlign w:val="center"/>
          </w:tcPr>
          <w:p w14:paraId="17D7053F">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执业资格证</w:t>
            </w:r>
          </w:p>
        </w:tc>
        <w:tc>
          <w:tcPr>
            <w:tcW w:w="1451" w:type="pct"/>
            <w:noWrap w:val="0"/>
            <w:vAlign w:val="center"/>
          </w:tcPr>
          <w:p w14:paraId="45A7B2E1">
            <w:pPr>
              <w:spacing w:line="276" w:lineRule="auto"/>
              <w:jc w:val="center"/>
              <w:rPr>
                <w:rFonts w:hint="eastAsia" w:ascii="宋体" w:hAnsi="宋体" w:eastAsia="宋体" w:cs="宋体"/>
                <w:color w:val="auto"/>
                <w:szCs w:val="21"/>
                <w:highlight w:val="none"/>
              </w:rPr>
            </w:pPr>
          </w:p>
        </w:tc>
        <w:tc>
          <w:tcPr>
            <w:tcW w:w="1377" w:type="pct"/>
            <w:gridSpan w:val="3"/>
            <w:noWrap w:val="0"/>
            <w:vAlign w:val="center"/>
          </w:tcPr>
          <w:p w14:paraId="43A775BA">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执业资格证书号</w:t>
            </w:r>
          </w:p>
        </w:tc>
        <w:tc>
          <w:tcPr>
            <w:tcW w:w="976" w:type="pct"/>
            <w:noWrap w:val="0"/>
            <w:vAlign w:val="center"/>
          </w:tcPr>
          <w:p w14:paraId="205DCF21">
            <w:pPr>
              <w:spacing w:line="276" w:lineRule="auto"/>
              <w:ind w:right="-105" w:rightChars="-50"/>
              <w:jc w:val="center"/>
              <w:rPr>
                <w:rFonts w:hint="eastAsia" w:ascii="宋体" w:hAnsi="宋体" w:eastAsia="宋体" w:cs="宋体"/>
                <w:color w:val="auto"/>
                <w:szCs w:val="21"/>
                <w:highlight w:val="none"/>
              </w:rPr>
            </w:pPr>
          </w:p>
        </w:tc>
      </w:tr>
      <w:tr w14:paraId="16D748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5000" w:type="pct"/>
            <w:gridSpan w:val="7"/>
            <w:noWrap w:val="0"/>
            <w:vAlign w:val="center"/>
          </w:tcPr>
          <w:p w14:paraId="38407792">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近三年承担项目情况</w:t>
            </w:r>
          </w:p>
        </w:tc>
      </w:tr>
      <w:tr w14:paraId="3CF7C2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740" w:type="pct"/>
            <w:noWrap w:val="0"/>
            <w:vAlign w:val="center"/>
          </w:tcPr>
          <w:p w14:paraId="2350A4C3">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tc>
        <w:tc>
          <w:tcPr>
            <w:tcW w:w="2138" w:type="pct"/>
            <w:gridSpan w:val="3"/>
            <w:noWrap w:val="0"/>
            <w:vAlign w:val="center"/>
          </w:tcPr>
          <w:p w14:paraId="61057493">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类似项目名称</w:t>
            </w:r>
          </w:p>
        </w:tc>
        <w:tc>
          <w:tcPr>
            <w:tcW w:w="826" w:type="pct"/>
            <w:noWrap w:val="0"/>
            <w:vAlign w:val="center"/>
          </w:tcPr>
          <w:p w14:paraId="19E1496F">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担任职务</w:t>
            </w:r>
          </w:p>
        </w:tc>
        <w:tc>
          <w:tcPr>
            <w:tcW w:w="1294" w:type="pct"/>
            <w:gridSpan w:val="2"/>
            <w:noWrap w:val="0"/>
            <w:vAlign w:val="center"/>
          </w:tcPr>
          <w:p w14:paraId="5493B7D3">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项目单位名称及电话</w:t>
            </w:r>
          </w:p>
        </w:tc>
      </w:tr>
      <w:tr w14:paraId="3BE4C9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740" w:type="pct"/>
            <w:noWrap w:val="0"/>
            <w:vAlign w:val="center"/>
          </w:tcPr>
          <w:p w14:paraId="3F146DCC">
            <w:pPr>
              <w:spacing w:line="276" w:lineRule="auto"/>
              <w:jc w:val="center"/>
              <w:rPr>
                <w:rFonts w:hint="eastAsia" w:ascii="宋体" w:hAnsi="宋体" w:eastAsia="宋体" w:cs="宋体"/>
                <w:color w:val="auto"/>
                <w:szCs w:val="21"/>
                <w:highlight w:val="none"/>
              </w:rPr>
            </w:pPr>
          </w:p>
        </w:tc>
        <w:tc>
          <w:tcPr>
            <w:tcW w:w="2138" w:type="pct"/>
            <w:gridSpan w:val="3"/>
            <w:noWrap w:val="0"/>
            <w:vAlign w:val="center"/>
          </w:tcPr>
          <w:p w14:paraId="693DFAD8">
            <w:pPr>
              <w:spacing w:line="276" w:lineRule="auto"/>
              <w:jc w:val="center"/>
              <w:rPr>
                <w:rFonts w:hint="eastAsia" w:ascii="宋体" w:hAnsi="宋体" w:eastAsia="宋体" w:cs="宋体"/>
                <w:color w:val="auto"/>
                <w:szCs w:val="21"/>
                <w:highlight w:val="none"/>
              </w:rPr>
            </w:pPr>
          </w:p>
        </w:tc>
        <w:tc>
          <w:tcPr>
            <w:tcW w:w="826" w:type="pct"/>
            <w:noWrap w:val="0"/>
            <w:vAlign w:val="center"/>
          </w:tcPr>
          <w:p w14:paraId="5F092009">
            <w:pPr>
              <w:spacing w:line="276" w:lineRule="auto"/>
              <w:jc w:val="center"/>
              <w:rPr>
                <w:rFonts w:hint="eastAsia" w:ascii="宋体" w:hAnsi="宋体" w:eastAsia="宋体" w:cs="宋体"/>
                <w:color w:val="auto"/>
                <w:szCs w:val="21"/>
                <w:highlight w:val="none"/>
              </w:rPr>
            </w:pPr>
          </w:p>
        </w:tc>
        <w:tc>
          <w:tcPr>
            <w:tcW w:w="1294" w:type="pct"/>
            <w:gridSpan w:val="2"/>
            <w:noWrap w:val="0"/>
            <w:vAlign w:val="center"/>
          </w:tcPr>
          <w:p w14:paraId="27B767F2">
            <w:pPr>
              <w:spacing w:line="276" w:lineRule="auto"/>
              <w:jc w:val="center"/>
              <w:rPr>
                <w:rFonts w:hint="eastAsia" w:ascii="宋体" w:hAnsi="宋体" w:eastAsia="宋体" w:cs="宋体"/>
                <w:color w:val="auto"/>
                <w:szCs w:val="21"/>
                <w:highlight w:val="none"/>
              </w:rPr>
            </w:pPr>
          </w:p>
        </w:tc>
      </w:tr>
      <w:tr w14:paraId="66CB2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740" w:type="pct"/>
            <w:noWrap w:val="0"/>
            <w:vAlign w:val="center"/>
          </w:tcPr>
          <w:p w14:paraId="2577C8CC">
            <w:pPr>
              <w:spacing w:line="276" w:lineRule="auto"/>
              <w:jc w:val="center"/>
              <w:rPr>
                <w:rFonts w:hint="eastAsia" w:ascii="宋体" w:hAnsi="宋体" w:eastAsia="宋体" w:cs="宋体"/>
                <w:color w:val="auto"/>
                <w:szCs w:val="21"/>
                <w:highlight w:val="none"/>
              </w:rPr>
            </w:pPr>
          </w:p>
        </w:tc>
        <w:tc>
          <w:tcPr>
            <w:tcW w:w="2138" w:type="pct"/>
            <w:gridSpan w:val="3"/>
            <w:noWrap w:val="0"/>
            <w:vAlign w:val="center"/>
          </w:tcPr>
          <w:p w14:paraId="625890A4">
            <w:pPr>
              <w:spacing w:line="276" w:lineRule="auto"/>
              <w:jc w:val="center"/>
              <w:rPr>
                <w:rFonts w:hint="eastAsia" w:ascii="宋体" w:hAnsi="宋体" w:eastAsia="宋体" w:cs="宋体"/>
                <w:color w:val="auto"/>
                <w:szCs w:val="21"/>
                <w:highlight w:val="none"/>
              </w:rPr>
            </w:pPr>
          </w:p>
        </w:tc>
        <w:tc>
          <w:tcPr>
            <w:tcW w:w="826" w:type="pct"/>
            <w:noWrap w:val="0"/>
            <w:vAlign w:val="center"/>
          </w:tcPr>
          <w:p w14:paraId="17BDA08A">
            <w:pPr>
              <w:spacing w:line="276" w:lineRule="auto"/>
              <w:jc w:val="center"/>
              <w:rPr>
                <w:rFonts w:hint="eastAsia" w:ascii="宋体" w:hAnsi="宋体" w:eastAsia="宋体" w:cs="宋体"/>
                <w:color w:val="auto"/>
                <w:szCs w:val="21"/>
                <w:highlight w:val="none"/>
              </w:rPr>
            </w:pPr>
          </w:p>
        </w:tc>
        <w:tc>
          <w:tcPr>
            <w:tcW w:w="1294" w:type="pct"/>
            <w:gridSpan w:val="2"/>
            <w:noWrap w:val="0"/>
            <w:vAlign w:val="center"/>
          </w:tcPr>
          <w:p w14:paraId="31CDEEE2">
            <w:pPr>
              <w:spacing w:line="276" w:lineRule="auto"/>
              <w:jc w:val="center"/>
              <w:rPr>
                <w:rFonts w:hint="eastAsia" w:ascii="宋体" w:hAnsi="宋体" w:eastAsia="宋体" w:cs="宋体"/>
                <w:color w:val="auto"/>
                <w:szCs w:val="21"/>
                <w:highlight w:val="none"/>
              </w:rPr>
            </w:pPr>
          </w:p>
        </w:tc>
      </w:tr>
      <w:tr w14:paraId="16861D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740" w:type="pct"/>
            <w:noWrap w:val="0"/>
            <w:vAlign w:val="center"/>
          </w:tcPr>
          <w:p w14:paraId="1D10D209">
            <w:pPr>
              <w:spacing w:line="276" w:lineRule="auto"/>
              <w:jc w:val="center"/>
              <w:rPr>
                <w:rFonts w:hint="eastAsia" w:ascii="宋体" w:hAnsi="宋体" w:eastAsia="宋体" w:cs="宋体"/>
                <w:color w:val="auto"/>
                <w:szCs w:val="21"/>
                <w:highlight w:val="none"/>
              </w:rPr>
            </w:pPr>
          </w:p>
        </w:tc>
        <w:tc>
          <w:tcPr>
            <w:tcW w:w="2138" w:type="pct"/>
            <w:gridSpan w:val="3"/>
            <w:noWrap w:val="0"/>
            <w:vAlign w:val="center"/>
          </w:tcPr>
          <w:p w14:paraId="2D6031AA">
            <w:pPr>
              <w:spacing w:line="276" w:lineRule="auto"/>
              <w:jc w:val="center"/>
              <w:rPr>
                <w:rFonts w:hint="eastAsia" w:ascii="宋体" w:hAnsi="宋体" w:eastAsia="宋体" w:cs="宋体"/>
                <w:color w:val="auto"/>
                <w:szCs w:val="21"/>
                <w:highlight w:val="none"/>
              </w:rPr>
            </w:pPr>
          </w:p>
        </w:tc>
        <w:tc>
          <w:tcPr>
            <w:tcW w:w="826" w:type="pct"/>
            <w:noWrap w:val="0"/>
            <w:vAlign w:val="center"/>
          </w:tcPr>
          <w:p w14:paraId="32C36E2B">
            <w:pPr>
              <w:spacing w:line="276" w:lineRule="auto"/>
              <w:jc w:val="center"/>
              <w:rPr>
                <w:rFonts w:hint="eastAsia" w:ascii="宋体" w:hAnsi="宋体" w:eastAsia="宋体" w:cs="宋体"/>
                <w:color w:val="auto"/>
                <w:szCs w:val="21"/>
                <w:highlight w:val="none"/>
              </w:rPr>
            </w:pPr>
          </w:p>
        </w:tc>
        <w:tc>
          <w:tcPr>
            <w:tcW w:w="1294" w:type="pct"/>
            <w:gridSpan w:val="2"/>
            <w:noWrap w:val="0"/>
            <w:vAlign w:val="center"/>
          </w:tcPr>
          <w:p w14:paraId="2D478E27">
            <w:pPr>
              <w:spacing w:line="276" w:lineRule="auto"/>
              <w:jc w:val="center"/>
              <w:rPr>
                <w:rFonts w:hint="eastAsia" w:ascii="宋体" w:hAnsi="宋体" w:eastAsia="宋体" w:cs="宋体"/>
                <w:color w:val="auto"/>
                <w:szCs w:val="21"/>
                <w:highlight w:val="none"/>
              </w:rPr>
            </w:pPr>
          </w:p>
        </w:tc>
      </w:tr>
      <w:tr w14:paraId="450C90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740" w:type="pct"/>
            <w:noWrap w:val="0"/>
            <w:vAlign w:val="center"/>
          </w:tcPr>
          <w:p w14:paraId="72C9CC23">
            <w:pPr>
              <w:spacing w:line="276" w:lineRule="auto"/>
              <w:jc w:val="center"/>
              <w:rPr>
                <w:rFonts w:hint="eastAsia" w:ascii="宋体" w:hAnsi="宋体" w:eastAsia="宋体" w:cs="宋体"/>
                <w:color w:val="auto"/>
                <w:szCs w:val="21"/>
                <w:highlight w:val="none"/>
              </w:rPr>
            </w:pPr>
          </w:p>
        </w:tc>
        <w:tc>
          <w:tcPr>
            <w:tcW w:w="2138" w:type="pct"/>
            <w:gridSpan w:val="3"/>
            <w:noWrap w:val="0"/>
            <w:vAlign w:val="center"/>
          </w:tcPr>
          <w:p w14:paraId="7BC0AADF">
            <w:pPr>
              <w:spacing w:line="276" w:lineRule="auto"/>
              <w:jc w:val="center"/>
              <w:rPr>
                <w:rFonts w:hint="eastAsia" w:ascii="宋体" w:hAnsi="宋体" w:eastAsia="宋体" w:cs="宋体"/>
                <w:color w:val="auto"/>
                <w:szCs w:val="21"/>
                <w:highlight w:val="none"/>
              </w:rPr>
            </w:pPr>
          </w:p>
        </w:tc>
        <w:tc>
          <w:tcPr>
            <w:tcW w:w="826" w:type="pct"/>
            <w:noWrap w:val="0"/>
            <w:vAlign w:val="center"/>
          </w:tcPr>
          <w:p w14:paraId="39EBD670">
            <w:pPr>
              <w:spacing w:line="276" w:lineRule="auto"/>
              <w:jc w:val="center"/>
              <w:rPr>
                <w:rFonts w:hint="eastAsia" w:ascii="宋体" w:hAnsi="宋体" w:eastAsia="宋体" w:cs="宋体"/>
                <w:color w:val="auto"/>
                <w:szCs w:val="21"/>
                <w:highlight w:val="none"/>
              </w:rPr>
            </w:pPr>
          </w:p>
        </w:tc>
        <w:tc>
          <w:tcPr>
            <w:tcW w:w="1294" w:type="pct"/>
            <w:gridSpan w:val="2"/>
            <w:noWrap w:val="0"/>
            <w:vAlign w:val="center"/>
          </w:tcPr>
          <w:p w14:paraId="52842781">
            <w:pPr>
              <w:spacing w:line="276" w:lineRule="auto"/>
              <w:jc w:val="center"/>
              <w:rPr>
                <w:rFonts w:hint="eastAsia" w:ascii="宋体" w:hAnsi="宋体" w:eastAsia="宋体" w:cs="宋体"/>
                <w:color w:val="auto"/>
                <w:szCs w:val="21"/>
                <w:highlight w:val="none"/>
              </w:rPr>
            </w:pPr>
          </w:p>
        </w:tc>
      </w:tr>
      <w:tr w14:paraId="12693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740" w:type="pct"/>
            <w:noWrap w:val="0"/>
            <w:vAlign w:val="center"/>
          </w:tcPr>
          <w:p w14:paraId="69CE3E4C">
            <w:pPr>
              <w:spacing w:line="276" w:lineRule="auto"/>
              <w:jc w:val="center"/>
              <w:rPr>
                <w:rFonts w:hint="eastAsia" w:ascii="宋体" w:hAnsi="宋体" w:eastAsia="宋体" w:cs="宋体"/>
                <w:color w:val="auto"/>
                <w:szCs w:val="21"/>
                <w:highlight w:val="none"/>
              </w:rPr>
            </w:pPr>
          </w:p>
        </w:tc>
        <w:tc>
          <w:tcPr>
            <w:tcW w:w="2138" w:type="pct"/>
            <w:gridSpan w:val="3"/>
            <w:noWrap w:val="0"/>
            <w:vAlign w:val="center"/>
          </w:tcPr>
          <w:p w14:paraId="3EB5BD11">
            <w:pPr>
              <w:spacing w:line="276" w:lineRule="auto"/>
              <w:jc w:val="center"/>
              <w:rPr>
                <w:rFonts w:hint="eastAsia" w:ascii="宋体" w:hAnsi="宋体" w:eastAsia="宋体" w:cs="宋体"/>
                <w:color w:val="auto"/>
                <w:szCs w:val="21"/>
                <w:highlight w:val="none"/>
              </w:rPr>
            </w:pPr>
          </w:p>
        </w:tc>
        <w:tc>
          <w:tcPr>
            <w:tcW w:w="826" w:type="pct"/>
            <w:noWrap w:val="0"/>
            <w:vAlign w:val="center"/>
          </w:tcPr>
          <w:p w14:paraId="6027C3CB">
            <w:pPr>
              <w:spacing w:line="276" w:lineRule="auto"/>
              <w:jc w:val="center"/>
              <w:rPr>
                <w:rFonts w:hint="eastAsia" w:ascii="宋体" w:hAnsi="宋体" w:eastAsia="宋体" w:cs="宋体"/>
                <w:color w:val="auto"/>
                <w:szCs w:val="21"/>
                <w:highlight w:val="none"/>
              </w:rPr>
            </w:pPr>
          </w:p>
        </w:tc>
        <w:tc>
          <w:tcPr>
            <w:tcW w:w="1294" w:type="pct"/>
            <w:gridSpan w:val="2"/>
            <w:noWrap w:val="0"/>
            <w:vAlign w:val="center"/>
          </w:tcPr>
          <w:p w14:paraId="5BECFCFC">
            <w:pPr>
              <w:spacing w:line="276" w:lineRule="auto"/>
              <w:jc w:val="center"/>
              <w:rPr>
                <w:rFonts w:hint="eastAsia" w:ascii="宋体" w:hAnsi="宋体" w:eastAsia="宋体" w:cs="宋体"/>
                <w:color w:val="auto"/>
                <w:szCs w:val="21"/>
                <w:highlight w:val="none"/>
              </w:rPr>
            </w:pPr>
          </w:p>
        </w:tc>
      </w:tr>
      <w:tr w14:paraId="7922CF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740" w:type="pct"/>
            <w:noWrap w:val="0"/>
            <w:vAlign w:val="center"/>
          </w:tcPr>
          <w:p w14:paraId="78AE0112">
            <w:pPr>
              <w:spacing w:line="276" w:lineRule="auto"/>
              <w:jc w:val="center"/>
              <w:rPr>
                <w:rFonts w:hint="eastAsia" w:ascii="宋体" w:hAnsi="宋体" w:eastAsia="宋体" w:cs="宋体"/>
                <w:color w:val="auto"/>
                <w:szCs w:val="21"/>
                <w:highlight w:val="none"/>
              </w:rPr>
            </w:pPr>
          </w:p>
        </w:tc>
        <w:tc>
          <w:tcPr>
            <w:tcW w:w="2138" w:type="pct"/>
            <w:gridSpan w:val="3"/>
            <w:noWrap w:val="0"/>
            <w:vAlign w:val="center"/>
          </w:tcPr>
          <w:p w14:paraId="29B813E3">
            <w:pPr>
              <w:spacing w:line="276" w:lineRule="auto"/>
              <w:jc w:val="center"/>
              <w:rPr>
                <w:rFonts w:hint="eastAsia" w:ascii="宋体" w:hAnsi="宋体" w:eastAsia="宋体" w:cs="宋体"/>
                <w:color w:val="auto"/>
                <w:szCs w:val="21"/>
                <w:highlight w:val="none"/>
              </w:rPr>
            </w:pPr>
          </w:p>
        </w:tc>
        <w:tc>
          <w:tcPr>
            <w:tcW w:w="826" w:type="pct"/>
            <w:noWrap w:val="0"/>
            <w:vAlign w:val="center"/>
          </w:tcPr>
          <w:p w14:paraId="55C079D9">
            <w:pPr>
              <w:spacing w:line="276" w:lineRule="auto"/>
              <w:jc w:val="center"/>
              <w:rPr>
                <w:rFonts w:hint="eastAsia" w:ascii="宋体" w:hAnsi="宋体" w:eastAsia="宋体" w:cs="宋体"/>
                <w:color w:val="auto"/>
                <w:szCs w:val="21"/>
                <w:highlight w:val="none"/>
              </w:rPr>
            </w:pPr>
          </w:p>
        </w:tc>
        <w:tc>
          <w:tcPr>
            <w:tcW w:w="1294" w:type="pct"/>
            <w:gridSpan w:val="2"/>
            <w:noWrap w:val="0"/>
            <w:vAlign w:val="center"/>
          </w:tcPr>
          <w:p w14:paraId="3EFBD911">
            <w:pPr>
              <w:spacing w:line="276" w:lineRule="auto"/>
              <w:jc w:val="center"/>
              <w:rPr>
                <w:rFonts w:hint="eastAsia" w:ascii="宋体" w:hAnsi="宋体" w:eastAsia="宋体" w:cs="宋体"/>
                <w:color w:val="auto"/>
                <w:szCs w:val="21"/>
                <w:highlight w:val="none"/>
              </w:rPr>
            </w:pPr>
          </w:p>
        </w:tc>
      </w:tr>
      <w:tr w14:paraId="6486FC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740" w:type="pct"/>
            <w:noWrap w:val="0"/>
            <w:vAlign w:val="center"/>
          </w:tcPr>
          <w:p w14:paraId="0E96DDB2">
            <w:pPr>
              <w:spacing w:line="276" w:lineRule="auto"/>
              <w:jc w:val="center"/>
              <w:rPr>
                <w:rFonts w:hint="eastAsia" w:ascii="宋体" w:hAnsi="宋体" w:eastAsia="宋体" w:cs="宋体"/>
                <w:color w:val="auto"/>
                <w:szCs w:val="21"/>
                <w:highlight w:val="none"/>
              </w:rPr>
            </w:pPr>
          </w:p>
        </w:tc>
        <w:tc>
          <w:tcPr>
            <w:tcW w:w="2138" w:type="pct"/>
            <w:gridSpan w:val="3"/>
            <w:noWrap w:val="0"/>
            <w:vAlign w:val="center"/>
          </w:tcPr>
          <w:p w14:paraId="0A629AAA">
            <w:pPr>
              <w:spacing w:line="276" w:lineRule="auto"/>
              <w:jc w:val="center"/>
              <w:rPr>
                <w:rFonts w:hint="eastAsia" w:ascii="宋体" w:hAnsi="宋体" w:eastAsia="宋体" w:cs="宋体"/>
                <w:color w:val="auto"/>
                <w:szCs w:val="21"/>
                <w:highlight w:val="none"/>
              </w:rPr>
            </w:pPr>
          </w:p>
        </w:tc>
        <w:tc>
          <w:tcPr>
            <w:tcW w:w="826" w:type="pct"/>
            <w:noWrap w:val="0"/>
            <w:vAlign w:val="center"/>
          </w:tcPr>
          <w:p w14:paraId="133BD2E5">
            <w:pPr>
              <w:spacing w:line="276" w:lineRule="auto"/>
              <w:jc w:val="center"/>
              <w:rPr>
                <w:rFonts w:hint="eastAsia" w:ascii="宋体" w:hAnsi="宋体" w:eastAsia="宋体" w:cs="宋体"/>
                <w:color w:val="auto"/>
                <w:szCs w:val="21"/>
                <w:highlight w:val="none"/>
              </w:rPr>
            </w:pPr>
          </w:p>
        </w:tc>
        <w:tc>
          <w:tcPr>
            <w:tcW w:w="1294" w:type="pct"/>
            <w:gridSpan w:val="2"/>
            <w:noWrap w:val="0"/>
            <w:vAlign w:val="center"/>
          </w:tcPr>
          <w:p w14:paraId="4696C49B">
            <w:pPr>
              <w:spacing w:line="276" w:lineRule="auto"/>
              <w:jc w:val="center"/>
              <w:rPr>
                <w:rFonts w:hint="eastAsia" w:ascii="宋体" w:hAnsi="宋体" w:eastAsia="宋体" w:cs="宋体"/>
                <w:color w:val="auto"/>
                <w:szCs w:val="21"/>
                <w:highlight w:val="none"/>
              </w:rPr>
            </w:pPr>
          </w:p>
        </w:tc>
      </w:tr>
      <w:tr w14:paraId="2A6556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740" w:type="pct"/>
            <w:noWrap w:val="0"/>
            <w:vAlign w:val="center"/>
          </w:tcPr>
          <w:p w14:paraId="11540C21">
            <w:pPr>
              <w:spacing w:line="276" w:lineRule="auto"/>
              <w:jc w:val="center"/>
              <w:rPr>
                <w:rFonts w:hint="eastAsia" w:ascii="宋体" w:hAnsi="宋体" w:eastAsia="宋体" w:cs="宋体"/>
                <w:color w:val="auto"/>
                <w:szCs w:val="21"/>
                <w:highlight w:val="none"/>
              </w:rPr>
            </w:pPr>
          </w:p>
        </w:tc>
        <w:tc>
          <w:tcPr>
            <w:tcW w:w="2138" w:type="pct"/>
            <w:gridSpan w:val="3"/>
            <w:noWrap w:val="0"/>
            <w:vAlign w:val="center"/>
          </w:tcPr>
          <w:p w14:paraId="429BCCA5">
            <w:pPr>
              <w:spacing w:line="276" w:lineRule="auto"/>
              <w:jc w:val="center"/>
              <w:rPr>
                <w:rFonts w:hint="eastAsia" w:ascii="宋体" w:hAnsi="宋体" w:eastAsia="宋体" w:cs="宋体"/>
                <w:color w:val="auto"/>
                <w:szCs w:val="21"/>
                <w:highlight w:val="none"/>
              </w:rPr>
            </w:pPr>
          </w:p>
        </w:tc>
        <w:tc>
          <w:tcPr>
            <w:tcW w:w="826" w:type="pct"/>
            <w:noWrap w:val="0"/>
            <w:vAlign w:val="center"/>
          </w:tcPr>
          <w:p w14:paraId="4AD70C49">
            <w:pPr>
              <w:spacing w:line="276" w:lineRule="auto"/>
              <w:jc w:val="center"/>
              <w:rPr>
                <w:rFonts w:hint="eastAsia" w:ascii="宋体" w:hAnsi="宋体" w:eastAsia="宋体" w:cs="宋体"/>
                <w:color w:val="auto"/>
                <w:szCs w:val="21"/>
                <w:highlight w:val="none"/>
              </w:rPr>
            </w:pPr>
          </w:p>
        </w:tc>
        <w:tc>
          <w:tcPr>
            <w:tcW w:w="1294" w:type="pct"/>
            <w:gridSpan w:val="2"/>
            <w:noWrap w:val="0"/>
            <w:vAlign w:val="center"/>
          </w:tcPr>
          <w:p w14:paraId="08201760">
            <w:pPr>
              <w:spacing w:line="276" w:lineRule="auto"/>
              <w:jc w:val="center"/>
              <w:rPr>
                <w:rFonts w:hint="eastAsia" w:ascii="宋体" w:hAnsi="宋体" w:eastAsia="宋体" w:cs="宋体"/>
                <w:color w:val="auto"/>
                <w:szCs w:val="21"/>
                <w:highlight w:val="none"/>
              </w:rPr>
            </w:pPr>
          </w:p>
        </w:tc>
      </w:tr>
      <w:tr w14:paraId="3E4F1B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6" w:hRule="exact"/>
          <w:jc w:val="center"/>
        </w:trPr>
        <w:tc>
          <w:tcPr>
            <w:tcW w:w="740" w:type="pct"/>
            <w:noWrap w:val="0"/>
            <w:vAlign w:val="center"/>
          </w:tcPr>
          <w:p w14:paraId="2955AEA1">
            <w:pPr>
              <w:spacing w:line="276" w:lineRule="auto"/>
              <w:jc w:val="center"/>
              <w:rPr>
                <w:rFonts w:hint="eastAsia" w:ascii="宋体" w:hAnsi="宋体" w:eastAsia="宋体" w:cs="宋体"/>
                <w:color w:val="auto"/>
                <w:szCs w:val="21"/>
                <w:highlight w:val="none"/>
              </w:rPr>
            </w:pPr>
          </w:p>
        </w:tc>
        <w:tc>
          <w:tcPr>
            <w:tcW w:w="2138" w:type="pct"/>
            <w:gridSpan w:val="3"/>
            <w:noWrap w:val="0"/>
            <w:vAlign w:val="center"/>
          </w:tcPr>
          <w:p w14:paraId="5A853F20">
            <w:pPr>
              <w:spacing w:line="276" w:lineRule="auto"/>
              <w:jc w:val="center"/>
              <w:rPr>
                <w:rFonts w:hint="eastAsia" w:ascii="宋体" w:hAnsi="宋体" w:eastAsia="宋体" w:cs="宋体"/>
                <w:color w:val="auto"/>
                <w:szCs w:val="21"/>
                <w:highlight w:val="none"/>
              </w:rPr>
            </w:pPr>
          </w:p>
        </w:tc>
        <w:tc>
          <w:tcPr>
            <w:tcW w:w="826" w:type="pct"/>
            <w:noWrap w:val="0"/>
            <w:vAlign w:val="center"/>
          </w:tcPr>
          <w:p w14:paraId="14EE8561">
            <w:pPr>
              <w:spacing w:line="276" w:lineRule="auto"/>
              <w:jc w:val="center"/>
              <w:rPr>
                <w:rFonts w:hint="eastAsia" w:ascii="宋体" w:hAnsi="宋体" w:eastAsia="宋体" w:cs="宋体"/>
                <w:color w:val="auto"/>
                <w:szCs w:val="21"/>
                <w:highlight w:val="none"/>
              </w:rPr>
            </w:pPr>
          </w:p>
        </w:tc>
        <w:tc>
          <w:tcPr>
            <w:tcW w:w="1294" w:type="pct"/>
            <w:gridSpan w:val="2"/>
            <w:noWrap w:val="0"/>
            <w:vAlign w:val="center"/>
          </w:tcPr>
          <w:p w14:paraId="3BAB1ADE">
            <w:pPr>
              <w:spacing w:line="276" w:lineRule="auto"/>
              <w:jc w:val="center"/>
              <w:rPr>
                <w:rFonts w:hint="eastAsia" w:ascii="宋体" w:hAnsi="宋体" w:eastAsia="宋体" w:cs="宋体"/>
                <w:color w:val="auto"/>
                <w:szCs w:val="21"/>
                <w:highlight w:val="none"/>
              </w:rPr>
            </w:pPr>
          </w:p>
        </w:tc>
      </w:tr>
    </w:tbl>
    <w:p w14:paraId="074469F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说明：主要人员证书资料等按磋商文件要求提供。</w:t>
      </w:r>
    </w:p>
    <w:p w14:paraId="18270E9C">
      <w:pPr>
        <w:spacing w:line="360" w:lineRule="auto"/>
        <w:rPr>
          <w:rFonts w:hint="eastAsia" w:ascii="宋体" w:hAnsi="宋体" w:eastAsia="宋体" w:cs="宋体"/>
          <w:color w:val="auto"/>
          <w:szCs w:val="21"/>
          <w:highlight w:val="none"/>
        </w:rPr>
      </w:pPr>
    </w:p>
    <w:p w14:paraId="2FD8CDC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供应商名称（单位章）：</w:t>
      </w:r>
    </w:p>
    <w:p w14:paraId="15674B19">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szCs w:val="21"/>
          <w:highlight w:val="none"/>
          <w:u w:val="single"/>
        </w:rPr>
        <w:t xml:space="preserve">              </w:t>
      </w:r>
    </w:p>
    <w:p w14:paraId="0717DEC4">
      <w:pPr>
        <w:adjustRightInd w:val="0"/>
        <w:snapToGrid w:val="0"/>
        <w:spacing w:line="360" w:lineRule="auto"/>
        <w:ind w:right="23" w:rightChars="11"/>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p>
    <w:p w14:paraId="60E9AC82">
      <w:pPr>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23ED2E5E">
      <w:pPr>
        <w:pStyle w:val="7"/>
        <w:kinsoku/>
        <w:wordWrap/>
        <w:overflowPunct/>
        <w:bidi w:val="0"/>
        <w:spacing w:line="500" w:lineRule="exact"/>
        <w:jc w:val="center"/>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四、技术/商务响应与偏离表</w:t>
      </w:r>
    </w:p>
    <w:p w14:paraId="4815807B">
      <w:pPr>
        <w:kinsoku/>
        <w:wordWrap/>
        <w:overflowPunct/>
        <w:bidi w:val="0"/>
        <w:adjustRightInd w:val="0"/>
        <w:snapToGrid w:val="0"/>
        <w:spacing w:line="500" w:lineRule="exact"/>
        <w:ind w:left="-88" w:leftChars="-42" w:firstLine="315" w:firstLineChars="150"/>
        <w:rPr>
          <w:rFonts w:hint="eastAsia" w:ascii="宋体" w:hAnsi="宋体" w:eastAsia="宋体" w:cs="宋体"/>
          <w:color w:val="auto"/>
          <w:highlight w:val="none"/>
          <w:u w:val="single"/>
        </w:rPr>
      </w:pPr>
    </w:p>
    <w:tbl>
      <w:tblPr>
        <w:tblStyle w:val="29"/>
        <w:tblW w:w="941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28"/>
        <w:gridCol w:w="1670"/>
        <w:gridCol w:w="1930"/>
        <w:gridCol w:w="2577"/>
        <w:gridCol w:w="1503"/>
        <w:gridCol w:w="1109"/>
      </w:tblGrid>
      <w:tr w14:paraId="1F78F1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47" w:hRule="atLeast"/>
          <w:jc w:val="center"/>
        </w:trPr>
        <w:tc>
          <w:tcPr>
            <w:tcW w:w="628" w:type="dxa"/>
            <w:tcBorders>
              <w:top w:val="double" w:color="auto" w:sz="4" w:space="0"/>
              <w:left w:val="double" w:color="auto" w:sz="4" w:space="0"/>
              <w:bottom w:val="single" w:color="auto" w:sz="6" w:space="0"/>
              <w:right w:val="single" w:color="auto" w:sz="6" w:space="0"/>
            </w:tcBorders>
            <w:vAlign w:val="center"/>
          </w:tcPr>
          <w:p w14:paraId="1500E18E">
            <w:pPr>
              <w:kinsoku/>
              <w:wordWrap/>
              <w:overflowPunct/>
              <w:bidi w:val="0"/>
              <w:adjustRightInd w:val="0"/>
              <w:snapToGrid w:val="0"/>
              <w:spacing w:line="500" w:lineRule="exact"/>
              <w:ind w:left="-88" w:leftChars="-42"/>
              <w:jc w:val="center"/>
              <w:rPr>
                <w:rFonts w:hint="eastAsia" w:ascii="宋体" w:hAnsi="宋体" w:eastAsia="宋体" w:cs="宋体"/>
                <w:bCs/>
                <w:color w:val="auto"/>
                <w:highlight w:val="none"/>
              </w:rPr>
            </w:pPr>
            <w:r>
              <w:rPr>
                <w:rFonts w:hint="eastAsia" w:ascii="宋体" w:hAnsi="宋体" w:eastAsia="宋体" w:cs="宋体"/>
                <w:bCs/>
                <w:color w:val="auto"/>
                <w:highlight w:val="none"/>
              </w:rPr>
              <w:t>序号</w:t>
            </w:r>
          </w:p>
        </w:tc>
        <w:tc>
          <w:tcPr>
            <w:tcW w:w="1670" w:type="dxa"/>
            <w:tcBorders>
              <w:top w:val="double" w:color="auto" w:sz="4" w:space="0"/>
              <w:left w:val="single" w:color="auto" w:sz="6" w:space="0"/>
              <w:bottom w:val="single" w:color="auto" w:sz="6" w:space="0"/>
              <w:right w:val="single" w:color="auto" w:sz="6" w:space="0"/>
            </w:tcBorders>
            <w:vAlign w:val="center"/>
          </w:tcPr>
          <w:p w14:paraId="08DBA53A">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r>
              <w:rPr>
                <w:rFonts w:hint="eastAsia" w:ascii="宋体" w:hAnsi="宋体" w:eastAsia="宋体" w:cs="宋体"/>
                <w:color w:val="auto"/>
                <w:highlight w:val="none"/>
              </w:rPr>
              <w:t>磋商文件条目号</w:t>
            </w:r>
          </w:p>
        </w:tc>
        <w:tc>
          <w:tcPr>
            <w:tcW w:w="1930" w:type="dxa"/>
            <w:tcBorders>
              <w:top w:val="double" w:color="auto" w:sz="4" w:space="0"/>
              <w:left w:val="single" w:color="auto" w:sz="6" w:space="0"/>
              <w:bottom w:val="single" w:color="auto" w:sz="6" w:space="0"/>
              <w:right w:val="single" w:color="auto" w:sz="6" w:space="0"/>
            </w:tcBorders>
            <w:vAlign w:val="center"/>
          </w:tcPr>
          <w:p w14:paraId="5CF52AB8">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r>
              <w:rPr>
                <w:rFonts w:hint="eastAsia" w:ascii="宋体" w:hAnsi="宋体" w:eastAsia="宋体" w:cs="宋体"/>
                <w:color w:val="auto"/>
                <w:highlight w:val="none"/>
              </w:rPr>
              <w:t>采购规格/商务条款</w:t>
            </w:r>
          </w:p>
        </w:tc>
        <w:tc>
          <w:tcPr>
            <w:tcW w:w="2577" w:type="dxa"/>
            <w:tcBorders>
              <w:top w:val="double" w:color="auto" w:sz="4" w:space="0"/>
              <w:left w:val="single" w:color="auto" w:sz="6" w:space="0"/>
              <w:bottom w:val="single" w:color="auto" w:sz="6" w:space="0"/>
              <w:right w:val="single" w:color="auto" w:sz="6" w:space="0"/>
            </w:tcBorders>
            <w:vAlign w:val="center"/>
          </w:tcPr>
          <w:p w14:paraId="5C06DAA2">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r>
              <w:rPr>
                <w:rFonts w:hint="eastAsia" w:ascii="宋体" w:hAnsi="宋体" w:eastAsia="宋体" w:cs="宋体"/>
                <w:color w:val="auto"/>
                <w:highlight w:val="none"/>
              </w:rPr>
              <w:t>响应文件的规格/商务条款</w:t>
            </w:r>
          </w:p>
        </w:tc>
        <w:tc>
          <w:tcPr>
            <w:tcW w:w="1503" w:type="dxa"/>
            <w:tcBorders>
              <w:top w:val="double" w:color="auto" w:sz="4" w:space="0"/>
              <w:left w:val="single" w:color="auto" w:sz="6" w:space="0"/>
              <w:bottom w:val="single" w:color="auto" w:sz="6" w:space="0"/>
              <w:right w:val="single" w:color="auto" w:sz="6" w:space="0"/>
            </w:tcBorders>
            <w:vAlign w:val="center"/>
          </w:tcPr>
          <w:p w14:paraId="3DC5A99E">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r>
              <w:rPr>
                <w:rFonts w:hint="eastAsia" w:ascii="宋体" w:hAnsi="宋体" w:eastAsia="宋体" w:cs="宋体"/>
                <w:color w:val="auto"/>
                <w:highlight w:val="none"/>
              </w:rPr>
              <w:t>响应与偏离</w:t>
            </w:r>
          </w:p>
        </w:tc>
        <w:tc>
          <w:tcPr>
            <w:tcW w:w="1109" w:type="dxa"/>
            <w:tcBorders>
              <w:top w:val="double" w:color="auto" w:sz="4" w:space="0"/>
              <w:left w:val="single" w:color="auto" w:sz="6" w:space="0"/>
              <w:bottom w:val="single" w:color="auto" w:sz="6" w:space="0"/>
              <w:right w:val="double" w:color="auto" w:sz="4" w:space="0"/>
            </w:tcBorders>
            <w:vAlign w:val="center"/>
          </w:tcPr>
          <w:p w14:paraId="19F8E5C1">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r>
      <w:tr w14:paraId="639E24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30" w:hRule="atLeast"/>
          <w:jc w:val="center"/>
        </w:trPr>
        <w:tc>
          <w:tcPr>
            <w:tcW w:w="628" w:type="dxa"/>
            <w:tcBorders>
              <w:top w:val="single" w:color="auto" w:sz="6" w:space="0"/>
              <w:left w:val="double" w:color="auto" w:sz="4" w:space="0"/>
              <w:bottom w:val="single" w:color="auto" w:sz="6" w:space="0"/>
              <w:right w:val="single" w:color="auto" w:sz="6" w:space="0"/>
            </w:tcBorders>
          </w:tcPr>
          <w:p w14:paraId="733FB355">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1670" w:type="dxa"/>
            <w:tcBorders>
              <w:top w:val="single" w:color="auto" w:sz="6" w:space="0"/>
              <w:left w:val="single" w:color="auto" w:sz="6" w:space="0"/>
              <w:bottom w:val="single" w:color="auto" w:sz="6" w:space="0"/>
              <w:right w:val="single" w:color="auto" w:sz="6" w:space="0"/>
            </w:tcBorders>
            <w:vAlign w:val="center"/>
          </w:tcPr>
          <w:p w14:paraId="6DEC84C6">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1930" w:type="dxa"/>
            <w:tcBorders>
              <w:top w:val="single" w:color="auto" w:sz="6" w:space="0"/>
              <w:left w:val="single" w:color="auto" w:sz="6" w:space="0"/>
              <w:bottom w:val="single" w:color="auto" w:sz="6" w:space="0"/>
              <w:right w:val="single" w:color="auto" w:sz="6" w:space="0"/>
            </w:tcBorders>
            <w:vAlign w:val="center"/>
          </w:tcPr>
          <w:p w14:paraId="0F5DC3BB">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2577" w:type="dxa"/>
            <w:tcBorders>
              <w:top w:val="single" w:color="auto" w:sz="6" w:space="0"/>
              <w:left w:val="single" w:color="auto" w:sz="6" w:space="0"/>
              <w:bottom w:val="single" w:color="auto" w:sz="6" w:space="0"/>
              <w:right w:val="single" w:color="auto" w:sz="6" w:space="0"/>
            </w:tcBorders>
            <w:vAlign w:val="center"/>
          </w:tcPr>
          <w:p w14:paraId="26CDDD07">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1503" w:type="dxa"/>
            <w:tcBorders>
              <w:top w:val="single" w:color="auto" w:sz="6" w:space="0"/>
              <w:left w:val="single" w:color="auto" w:sz="6" w:space="0"/>
              <w:bottom w:val="single" w:color="auto" w:sz="6" w:space="0"/>
              <w:right w:val="single" w:color="auto" w:sz="6" w:space="0"/>
            </w:tcBorders>
            <w:vAlign w:val="center"/>
          </w:tcPr>
          <w:p w14:paraId="13BCE74B">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1109" w:type="dxa"/>
            <w:tcBorders>
              <w:top w:val="single" w:color="auto" w:sz="6" w:space="0"/>
              <w:left w:val="single" w:color="auto" w:sz="6" w:space="0"/>
              <w:bottom w:val="single" w:color="auto" w:sz="6" w:space="0"/>
              <w:right w:val="double" w:color="auto" w:sz="4" w:space="0"/>
            </w:tcBorders>
            <w:vAlign w:val="center"/>
          </w:tcPr>
          <w:p w14:paraId="7C9F11F0">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r>
      <w:tr w14:paraId="639B11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30" w:hRule="atLeast"/>
          <w:jc w:val="center"/>
        </w:trPr>
        <w:tc>
          <w:tcPr>
            <w:tcW w:w="628" w:type="dxa"/>
            <w:tcBorders>
              <w:top w:val="single" w:color="auto" w:sz="6" w:space="0"/>
              <w:left w:val="double" w:color="auto" w:sz="4" w:space="0"/>
              <w:bottom w:val="single" w:color="auto" w:sz="6" w:space="0"/>
              <w:right w:val="single" w:color="auto" w:sz="6" w:space="0"/>
            </w:tcBorders>
          </w:tcPr>
          <w:p w14:paraId="1CD27C1B">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1670" w:type="dxa"/>
            <w:tcBorders>
              <w:top w:val="single" w:color="auto" w:sz="6" w:space="0"/>
              <w:left w:val="single" w:color="auto" w:sz="6" w:space="0"/>
              <w:bottom w:val="single" w:color="auto" w:sz="6" w:space="0"/>
              <w:right w:val="single" w:color="auto" w:sz="6" w:space="0"/>
            </w:tcBorders>
            <w:vAlign w:val="center"/>
          </w:tcPr>
          <w:p w14:paraId="01043112">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1930" w:type="dxa"/>
            <w:tcBorders>
              <w:top w:val="single" w:color="auto" w:sz="6" w:space="0"/>
              <w:left w:val="single" w:color="auto" w:sz="6" w:space="0"/>
              <w:bottom w:val="single" w:color="auto" w:sz="6" w:space="0"/>
              <w:right w:val="single" w:color="auto" w:sz="6" w:space="0"/>
            </w:tcBorders>
            <w:vAlign w:val="center"/>
          </w:tcPr>
          <w:p w14:paraId="54AB83A1">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2577" w:type="dxa"/>
            <w:tcBorders>
              <w:top w:val="single" w:color="auto" w:sz="6" w:space="0"/>
              <w:left w:val="single" w:color="auto" w:sz="6" w:space="0"/>
              <w:bottom w:val="single" w:color="auto" w:sz="6" w:space="0"/>
              <w:right w:val="single" w:color="auto" w:sz="6" w:space="0"/>
            </w:tcBorders>
            <w:vAlign w:val="center"/>
          </w:tcPr>
          <w:p w14:paraId="7F421F04">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1503" w:type="dxa"/>
            <w:tcBorders>
              <w:top w:val="single" w:color="auto" w:sz="6" w:space="0"/>
              <w:left w:val="single" w:color="auto" w:sz="6" w:space="0"/>
              <w:bottom w:val="single" w:color="auto" w:sz="6" w:space="0"/>
              <w:right w:val="single" w:color="auto" w:sz="6" w:space="0"/>
            </w:tcBorders>
            <w:vAlign w:val="center"/>
          </w:tcPr>
          <w:p w14:paraId="0CB04CF9">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1109" w:type="dxa"/>
            <w:tcBorders>
              <w:top w:val="single" w:color="auto" w:sz="6" w:space="0"/>
              <w:left w:val="single" w:color="auto" w:sz="6" w:space="0"/>
              <w:bottom w:val="single" w:color="auto" w:sz="6" w:space="0"/>
              <w:right w:val="double" w:color="auto" w:sz="4" w:space="0"/>
            </w:tcBorders>
            <w:vAlign w:val="center"/>
          </w:tcPr>
          <w:p w14:paraId="76D810A4">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r>
      <w:tr w14:paraId="440440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30" w:hRule="atLeast"/>
          <w:jc w:val="center"/>
        </w:trPr>
        <w:tc>
          <w:tcPr>
            <w:tcW w:w="628" w:type="dxa"/>
            <w:tcBorders>
              <w:top w:val="single" w:color="auto" w:sz="6" w:space="0"/>
              <w:left w:val="double" w:color="auto" w:sz="4" w:space="0"/>
              <w:bottom w:val="single" w:color="auto" w:sz="6" w:space="0"/>
              <w:right w:val="single" w:color="auto" w:sz="6" w:space="0"/>
            </w:tcBorders>
          </w:tcPr>
          <w:p w14:paraId="7027241C">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1670" w:type="dxa"/>
            <w:tcBorders>
              <w:top w:val="single" w:color="auto" w:sz="6" w:space="0"/>
              <w:left w:val="single" w:color="auto" w:sz="6" w:space="0"/>
              <w:bottom w:val="single" w:color="auto" w:sz="6" w:space="0"/>
              <w:right w:val="single" w:color="auto" w:sz="6" w:space="0"/>
            </w:tcBorders>
            <w:vAlign w:val="center"/>
          </w:tcPr>
          <w:p w14:paraId="795AC2F7">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1930" w:type="dxa"/>
            <w:tcBorders>
              <w:top w:val="single" w:color="auto" w:sz="6" w:space="0"/>
              <w:left w:val="single" w:color="auto" w:sz="6" w:space="0"/>
              <w:bottom w:val="single" w:color="auto" w:sz="6" w:space="0"/>
              <w:right w:val="single" w:color="auto" w:sz="6" w:space="0"/>
            </w:tcBorders>
            <w:vAlign w:val="center"/>
          </w:tcPr>
          <w:p w14:paraId="33BE4444">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2577" w:type="dxa"/>
            <w:tcBorders>
              <w:top w:val="single" w:color="auto" w:sz="6" w:space="0"/>
              <w:left w:val="single" w:color="auto" w:sz="6" w:space="0"/>
              <w:bottom w:val="single" w:color="auto" w:sz="6" w:space="0"/>
              <w:right w:val="single" w:color="auto" w:sz="6" w:space="0"/>
            </w:tcBorders>
            <w:vAlign w:val="center"/>
          </w:tcPr>
          <w:p w14:paraId="04030D06">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1503" w:type="dxa"/>
            <w:tcBorders>
              <w:top w:val="single" w:color="auto" w:sz="6" w:space="0"/>
              <w:left w:val="single" w:color="auto" w:sz="6" w:space="0"/>
              <w:bottom w:val="single" w:color="auto" w:sz="6" w:space="0"/>
              <w:right w:val="single" w:color="auto" w:sz="6" w:space="0"/>
            </w:tcBorders>
            <w:vAlign w:val="center"/>
          </w:tcPr>
          <w:p w14:paraId="745778B4">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1109" w:type="dxa"/>
            <w:tcBorders>
              <w:top w:val="single" w:color="auto" w:sz="6" w:space="0"/>
              <w:left w:val="single" w:color="auto" w:sz="6" w:space="0"/>
              <w:bottom w:val="single" w:color="auto" w:sz="6" w:space="0"/>
              <w:right w:val="double" w:color="auto" w:sz="4" w:space="0"/>
            </w:tcBorders>
            <w:vAlign w:val="center"/>
          </w:tcPr>
          <w:p w14:paraId="08D7F616">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r>
      <w:tr w14:paraId="671086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30" w:hRule="atLeast"/>
          <w:jc w:val="center"/>
        </w:trPr>
        <w:tc>
          <w:tcPr>
            <w:tcW w:w="628" w:type="dxa"/>
            <w:tcBorders>
              <w:top w:val="single" w:color="auto" w:sz="6" w:space="0"/>
              <w:left w:val="double" w:color="auto" w:sz="4" w:space="0"/>
              <w:bottom w:val="single" w:color="auto" w:sz="6" w:space="0"/>
              <w:right w:val="single" w:color="auto" w:sz="6" w:space="0"/>
            </w:tcBorders>
          </w:tcPr>
          <w:p w14:paraId="71112E79">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1670" w:type="dxa"/>
            <w:tcBorders>
              <w:top w:val="single" w:color="auto" w:sz="6" w:space="0"/>
              <w:left w:val="single" w:color="auto" w:sz="6" w:space="0"/>
              <w:bottom w:val="single" w:color="auto" w:sz="6" w:space="0"/>
              <w:right w:val="single" w:color="auto" w:sz="6" w:space="0"/>
            </w:tcBorders>
            <w:vAlign w:val="center"/>
          </w:tcPr>
          <w:p w14:paraId="58E98EE5">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1930" w:type="dxa"/>
            <w:tcBorders>
              <w:top w:val="single" w:color="auto" w:sz="6" w:space="0"/>
              <w:left w:val="single" w:color="auto" w:sz="6" w:space="0"/>
              <w:bottom w:val="single" w:color="auto" w:sz="6" w:space="0"/>
              <w:right w:val="single" w:color="auto" w:sz="6" w:space="0"/>
            </w:tcBorders>
            <w:vAlign w:val="center"/>
          </w:tcPr>
          <w:p w14:paraId="5F0580D9">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2577" w:type="dxa"/>
            <w:tcBorders>
              <w:top w:val="single" w:color="auto" w:sz="6" w:space="0"/>
              <w:left w:val="single" w:color="auto" w:sz="6" w:space="0"/>
              <w:bottom w:val="single" w:color="auto" w:sz="6" w:space="0"/>
              <w:right w:val="single" w:color="auto" w:sz="6" w:space="0"/>
            </w:tcBorders>
            <w:vAlign w:val="center"/>
          </w:tcPr>
          <w:p w14:paraId="6C570462">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1503" w:type="dxa"/>
            <w:tcBorders>
              <w:top w:val="single" w:color="auto" w:sz="6" w:space="0"/>
              <w:left w:val="single" w:color="auto" w:sz="6" w:space="0"/>
              <w:bottom w:val="single" w:color="auto" w:sz="6" w:space="0"/>
              <w:right w:val="single" w:color="auto" w:sz="6" w:space="0"/>
            </w:tcBorders>
            <w:vAlign w:val="center"/>
          </w:tcPr>
          <w:p w14:paraId="36BF5862">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1109" w:type="dxa"/>
            <w:tcBorders>
              <w:top w:val="single" w:color="auto" w:sz="6" w:space="0"/>
              <w:left w:val="single" w:color="auto" w:sz="6" w:space="0"/>
              <w:bottom w:val="single" w:color="auto" w:sz="6" w:space="0"/>
              <w:right w:val="double" w:color="auto" w:sz="4" w:space="0"/>
            </w:tcBorders>
            <w:vAlign w:val="center"/>
          </w:tcPr>
          <w:p w14:paraId="6087BB62">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r>
      <w:tr w14:paraId="47F376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67" w:hRule="atLeast"/>
          <w:jc w:val="center"/>
        </w:trPr>
        <w:tc>
          <w:tcPr>
            <w:tcW w:w="628" w:type="dxa"/>
            <w:tcBorders>
              <w:top w:val="single" w:color="auto" w:sz="6" w:space="0"/>
              <w:left w:val="double" w:color="auto" w:sz="4" w:space="0"/>
              <w:bottom w:val="double" w:color="auto" w:sz="4" w:space="0"/>
              <w:right w:val="single" w:color="auto" w:sz="6" w:space="0"/>
            </w:tcBorders>
          </w:tcPr>
          <w:p w14:paraId="288E35F8">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1670" w:type="dxa"/>
            <w:tcBorders>
              <w:top w:val="single" w:color="auto" w:sz="6" w:space="0"/>
              <w:left w:val="single" w:color="auto" w:sz="6" w:space="0"/>
              <w:bottom w:val="double" w:color="auto" w:sz="4" w:space="0"/>
              <w:right w:val="single" w:color="auto" w:sz="6" w:space="0"/>
            </w:tcBorders>
            <w:vAlign w:val="center"/>
          </w:tcPr>
          <w:p w14:paraId="484293A2">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1930" w:type="dxa"/>
            <w:tcBorders>
              <w:top w:val="single" w:color="auto" w:sz="6" w:space="0"/>
              <w:left w:val="single" w:color="auto" w:sz="6" w:space="0"/>
              <w:bottom w:val="double" w:color="auto" w:sz="4" w:space="0"/>
              <w:right w:val="single" w:color="auto" w:sz="6" w:space="0"/>
            </w:tcBorders>
            <w:vAlign w:val="center"/>
          </w:tcPr>
          <w:p w14:paraId="37B4C39A">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2577" w:type="dxa"/>
            <w:tcBorders>
              <w:top w:val="single" w:color="auto" w:sz="6" w:space="0"/>
              <w:left w:val="single" w:color="auto" w:sz="6" w:space="0"/>
              <w:bottom w:val="double" w:color="auto" w:sz="4" w:space="0"/>
              <w:right w:val="single" w:color="auto" w:sz="6" w:space="0"/>
            </w:tcBorders>
            <w:vAlign w:val="center"/>
          </w:tcPr>
          <w:p w14:paraId="1F74F70D">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1503" w:type="dxa"/>
            <w:tcBorders>
              <w:top w:val="single" w:color="auto" w:sz="6" w:space="0"/>
              <w:left w:val="single" w:color="auto" w:sz="6" w:space="0"/>
              <w:bottom w:val="double" w:color="auto" w:sz="4" w:space="0"/>
              <w:right w:val="single" w:color="auto" w:sz="6" w:space="0"/>
            </w:tcBorders>
            <w:vAlign w:val="center"/>
          </w:tcPr>
          <w:p w14:paraId="1E96B22F">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c>
          <w:tcPr>
            <w:tcW w:w="1109" w:type="dxa"/>
            <w:tcBorders>
              <w:top w:val="single" w:color="auto" w:sz="6" w:space="0"/>
              <w:left w:val="single" w:color="auto" w:sz="6" w:space="0"/>
              <w:bottom w:val="double" w:color="auto" w:sz="4" w:space="0"/>
              <w:right w:val="double" w:color="auto" w:sz="4" w:space="0"/>
            </w:tcBorders>
            <w:vAlign w:val="center"/>
          </w:tcPr>
          <w:p w14:paraId="2B99B819">
            <w:pPr>
              <w:kinsoku/>
              <w:wordWrap/>
              <w:overflowPunct/>
              <w:bidi w:val="0"/>
              <w:adjustRightInd w:val="0"/>
              <w:snapToGrid w:val="0"/>
              <w:spacing w:line="500" w:lineRule="exact"/>
              <w:ind w:left="-88" w:leftChars="-42"/>
              <w:jc w:val="center"/>
              <w:rPr>
                <w:rFonts w:hint="eastAsia" w:ascii="宋体" w:hAnsi="宋体" w:eastAsia="宋体" w:cs="宋体"/>
                <w:color w:val="auto"/>
                <w:highlight w:val="none"/>
              </w:rPr>
            </w:pPr>
          </w:p>
        </w:tc>
      </w:tr>
    </w:tbl>
    <w:p w14:paraId="03B7DFC8">
      <w:pPr>
        <w:kinsoku/>
        <w:wordWrap/>
        <w:overflowPunct/>
        <w:bidi w:val="0"/>
        <w:adjustRightInd w:val="0"/>
        <w:snapToGrid w:val="0"/>
        <w:spacing w:line="500" w:lineRule="exact"/>
        <w:ind w:left="-88" w:leftChars="-42"/>
        <w:rPr>
          <w:rFonts w:hint="eastAsia" w:ascii="宋体" w:hAnsi="宋体" w:eastAsia="宋体" w:cs="宋体"/>
          <w:color w:val="auto"/>
          <w:highlight w:val="none"/>
        </w:rPr>
      </w:pPr>
      <w:r>
        <w:rPr>
          <w:rFonts w:hint="eastAsia" w:ascii="宋体" w:hAnsi="宋体" w:eastAsia="宋体" w:cs="宋体"/>
          <w:color w:val="auto"/>
          <w:highlight w:val="none"/>
        </w:rPr>
        <w:t>说明：1</w:t>
      </w:r>
      <w:r>
        <w:rPr>
          <w:rFonts w:hint="eastAsia" w:ascii="宋体" w:hAnsi="宋体" w:cs="宋体"/>
          <w:color w:val="auto"/>
          <w:highlight w:val="none"/>
          <w:lang w:val="en-US" w:eastAsia="zh-CN"/>
        </w:rPr>
        <w:t>.</w:t>
      </w:r>
      <w:r>
        <w:rPr>
          <w:rFonts w:hint="eastAsia" w:ascii="宋体" w:hAnsi="宋体" w:eastAsia="宋体" w:cs="宋体"/>
          <w:color w:val="auto"/>
          <w:highlight w:val="none"/>
        </w:rPr>
        <w:t>“响应与偏离”应注明“响应”或“偏离”。</w:t>
      </w:r>
    </w:p>
    <w:p w14:paraId="58C6EECE">
      <w:pPr>
        <w:kinsoku/>
        <w:wordWrap/>
        <w:overflowPunct/>
        <w:bidi w:val="0"/>
        <w:adjustRightInd w:val="0"/>
        <w:snapToGrid w:val="0"/>
        <w:spacing w:line="500" w:lineRule="exact"/>
        <w:rPr>
          <w:rFonts w:hint="eastAsia" w:ascii="宋体" w:hAnsi="宋体" w:eastAsia="宋体" w:cs="宋体"/>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2</w:t>
      </w:r>
      <w:r>
        <w:rPr>
          <w:rFonts w:hint="eastAsia" w:ascii="宋体" w:hAnsi="宋体" w:cs="宋体"/>
          <w:color w:val="auto"/>
          <w:highlight w:val="none"/>
          <w:lang w:val="en-US" w:eastAsia="zh-CN"/>
        </w:rPr>
        <w:t>.</w:t>
      </w:r>
      <w:r>
        <w:rPr>
          <w:rFonts w:hint="eastAsia" w:ascii="宋体" w:hAnsi="宋体" w:eastAsia="宋体" w:cs="宋体"/>
          <w:color w:val="auto"/>
          <w:highlight w:val="none"/>
        </w:rPr>
        <w:t>属磋商文件规定可能变动的内容在“说明”栏中注明。</w:t>
      </w:r>
    </w:p>
    <w:p w14:paraId="72D4AFFB">
      <w:pPr>
        <w:pStyle w:val="124"/>
        <w:kinsoku/>
        <w:wordWrap/>
        <w:overflowPunct/>
        <w:bidi w:val="0"/>
        <w:spacing w:line="500" w:lineRule="exact"/>
        <w:rPr>
          <w:rFonts w:hint="eastAsia" w:ascii="宋体" w:hAnsi="宋体" w:eastAsia="宋体" w:cs="宋体"/>
          <w:color w:val="auto"/>
          <w:highlight w:val="none"/>
        </w:rPr>
      </w:pPr>
    </w:p>
    <w:p w14:paraId="1E898ED3">
      <w:pPr>
        <w:kinsoku/>
        <w:wordWrap/>
        <w:overflowPunct/>
        <w:bidi w:val="0"/>
        <w:adjustRightInd w:val="0"/>
        <w:snapToGrid w:val="0"/>
        <w:spacing w:line="5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供应商名称(盖单位章)：</w:t>
      </w:r>
      <w:r>
        <w:rPr>
          <w:rFonts w:hint="eastAsia" w:ascii="宋体" w:hAnsi="宋体" w:eastAsia="宋体" w:cs="宋体"/>
          <w:color w:val="auto"/>
          <w:highlight w:val="none"/>
          <w:u w:val="single"/>
        </w:rPr>
        <w:t xml:space="preserve">                         </w:t>
      </w:r>
    </w:p>
    <w:p w14:paraId="0779C0AF">
      <w:pPr>
        <w:kinsoku/>
        <w:wordWrap/>
        <w:overflowPunct/>
        <w:bidi w:val="0"/>
        <w:adjustRightInd w:val="0"/>
        <w:snapToGrid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 (签字)：</w:t>
      </w:r>
      <w:r>
        <w:rPr>
          <w:rFonts w:hint="eastAsia" w:ascii="宋体" w:hAnsi="宋体" w:eastAsia="宋体" w:cs="宋体"/>
          <w:color w:val="auto"/>
          <w:highlight w:val="none"/>
          <w:u w:val="single"/>
        </w:rPr>
        <w:t xml:space="preserve">              </w:t>
      </w:r>
    </w:p>
    <w:p w14:paraId="29DD4BDE">
      <w:pPr>
        <w:kinsoku/>
        <w:wordWrap/>
        <w:overflowPunct/>
        <w:bidi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57549AE7">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br w:type="page"/>
      </w:r>
    </w:p>
    <w:p w14:paraId="5BD745C2">
      <w:pPr>
        <w:kinsoku/>
        <w:wordWrap/>
        <w:overflowPunct/>
        <w:bidi w:val="0"/>
        <w:spacing w:line="500" w:lineRule="exact"/>
        <w:rPr>
          <w:rFonts w:hint="eastAsia" w:ascii="宋体" w:hAnsi="宋体" w:eastAsia="宋体" w:cs="宋体"/>
          <w:color w:val="auto"/>
          <w:szCs w:val="22"/>
          <w:highlight w:val="none"/>
        </w:rPr>
      </w:pPr>
    </w:p>
    <w:p w14:paraId="19F3D74A">
      <w:pPr>
        <w:pStyle w:val="7"/>
        <w:kinsoku/>
        <w:wordWrap/>
        <w:overflowPunct/>
        <w:bidi w:val="0"/>
        <w:spacing w:line="50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五、提供享受政府采购政策的证明材料</w:t>
      </w:r>
    </w:p>
    <w:p w14:paraId="4C177DE7">
      <w:pPr>
        <w:tabs>
          <w:tab w:val="left" w:pos="3600"/>
        </w:tabs>
        <w:kinsoku/>
        <w:wordWrap/>
        <w:overflowPunct/>
        <w:bidi w:val="0"/>
        <w:adjustRightInd w:val="0"/>
        <w:snapToGrid w:val="0"/>
        <w:spacing w:line="500" w:lineRule="exact"/>
        <w:jc w:val="center"/>
        <w:rPr>
          <w:rFonts w:hint="eastAsia" w:ascii="宋体" w:hAnsi="宋体" w:eastAsia="宋体" w:cs="宋体"/>
          <w:b/>
          <w:bCs/>
          <w:color w:val="auto"/>
          <w:spacing w:val="6"/>
          <w:kern w:val="0"/>
          <w:highlight w:val="none"/>
        </w:rPr>
      </w:pPr>
    </w:p>
    <w:p w14:paraId="232D9636">
      <w:pPr>
        <w:pStyle w:val="8"/>
        <w:numPr>
          <w:ilvl w:val="1"/>
          <w:numId w:val="0"/>
        </w:numPr>
        <w:kinsoku/>
        <w:wordWrap/>
        <w:overflowPunct/>
        <w:bidi w:val="0"/>
        <w:spacing w:line="5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7</w:t>
      </w:r>
      <w:r>
        <w:rPr>
          <w:rFonts w:hint="eastAsia" w:ascii="宋体" w:hAnsi="宋体" w:eastAsia="宋体" w:cs="宋体"/>
          <w:b/>
          <w:color w:val="auto"/>
          <w:sz w:val="28"/>
          <w:szCs w:val="28"/>
          <w:highlight w:val="none"/>
        </w:rPr>
        <w:t>：中小企业声明函</w:t>
      </w:r>
    </w:p>
    <w:p w14:paraId="59C69874">
      <w:pPr>
        <w:widowControl/>
        <w:kinsoku/>
        <w:wordWrap/>
        <w:overflowPunct/>
        <w:bidi w:val="0"/>
        <w:spacing w:line="5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本公司</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郑重声明，根据《政府采购促进中小企业发展管理办法》（财库﹝2020﹞46号）的规定，本公司（联合体）参加</w:t>
      </w:r>
      <w:r>
        <w:rPr>
          <w:rFonts w:hint="eastAsia" w:ascii="宋体" w:hAnsi="宋体" w:eastAsia="宋体" w:cs="宋体"/>
          <w:color w:val="auto"/>
          <w:kern w:val="0"/>
          <w:highlight w:val="none"/>
          <w:u w:val="single"/>
        </w:rPr>
        <w:t xml:space="preserve">     （单位名称）</w:t>
      </w:r>
      <w:r>
        <w:rPr>
          <w:rFonts w:hint="eastAsia" w:ascii="宋体" w:hAnsi="宋体" w:eastAsia="宋体" w:cs="宋体"/>
          <w:color w:val="auto"/>
          <w:kern w:val="0"/>
          <w:highlight w:val="none"/>
        </w:rPr>
        <w:t>的</w:t>
      </w:r>
      <w:r>
        <w:rPr>
          <w:rFonts w:hint="eastAsia" w:ascii="宋体" w:hAnsi="宋体" w:eastAsia="宋体" w:cs="宋体"/>
          <w:color w:val="auto"/>
          <w:kern w:val="0"/>
          <w:highlight w:val="none"/>
          <w:u w:val="single"/>
        </w:rPr>
        <w:t xml:space="preserve">     （项目名称）</w:t>
      </w:r>
      <w:r>
        <w:rPr>
          <w:rFonts w:hint="eastAsia" w:ascii="宋体" w:hAnsi="宋体" w:eastAsia="宋体" w:cs="宋体"/>
          <w:color w:val="auto"/>
          <w:kern w:val="0"/>
          <w:highlight w:val="none"/>
        </w:rPr>
        <w:t>采购活动，服务全部由符合政策要求的中小企业承接。相关企业（含联合体中的中小企业、签订分包意向协议的中小企业）的具体情况如下：</w:t>
      </w:r>
    </w:p>
    <w:p w14:paraId="297C1BD9">
      <w:pPr>
        <w:widowControl/>
        <w:numPr>
          <w:ilvl w:val="0"/>
          <w:numId w:val="7"/>
        </w:numPr>
        <w:kinsoku/>
        <w:wordWrap/>
        <w:overflowPunct/>
        <w:bidi w:val="0"/>
        <w:spacing w:line="500" w:lineRule="exact"/>
        <w:ind w:firstLine="420" w:firstLineChars="200"/>
        <w:jc w:val="left"/>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u w:val="single"/>
        </w:rPr>
        <w:t>（标的名称）</w:t>
      </w:r>
      <w:r>
        <w:rPr>
          <w:rFonts w:hint="eastAsia" w:ascii="宋体" w:hAnsi="宋体" w:eastAsia="宋体" w:cs="宋体"/>
          <w:color w:val="auto"/>
          <w:kern w:val="0"/>
          <w:highlight w:val="none"/>
        </w:rPr>
        <w:t>，属于</w:t>
      </w:r>
      <w:r>
        <w:rPr>
          <w:rFonts w:hint="eastAsia" w:ascii="宋体" w:hAnsi="宋体" w:eastAsia="宋体" w:cs="宋体"/>
          <w:color w:val="auto"/>
          <w:kern w:val="0"/>
          <w:highlight w:val="none"/>
          <w:u w:val="single"/>
        </w:rPr>
        <w:t>其他未列明</w:t>
      </w:r>
      <w:r>
        <w:rPr>
          <w:rFonts w:hint="eastAsia" w:ascii="宋体" w:hAnsi="宋体" w:eastAsia="宋体" w:cs="宋体"/>
          <w:color w:val="auto"/>
          <w:kern w:val="0"/>
          <w:highlight w:val="none"/>
        </w:rPr>
        <w:t>行业，承建（承接）企业为</w:t>
      </w:r>
      <w:r>
        <w:rPr>
          <w:rFonts w:hint="eastAsia" w:ascii="宋体" w:hAnsi="宋体" w:eastAsia="宋体" w:cs="宋体"/>
          <w:color w:val="auto"/>
          <w:kern w:val="0"/>
          <w:highlight w:val="none"/>
          <w:u w:val="single"/>
        </w:rPr>
        <w:t>（企业名称）</w:t>
      </w:r>
      <w:r>
        <w:rPr>
          <w:rFonts w:hint="eastAsia" w:ascii="宋体" w:hAnsi="宋体" w:eastAsia="宋体" w:cs="宋体"/>
          <w:color w:val="auto"/>
          <w:kern w:val="0"/>
          <w:highlight w:val="none"/>
        </w:rPr>
        <w:t>，从业人员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人，营业收入为</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万元，资产总额为</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万元，属于</w:t>
      </w:r>
      <w:r>
        <w:rPr>
          <w:rFonts w:hint="eastAsia" w:ascii="宋体" w:hAnsi="宋体" w:eastAsia="宋体" w:cs="宋体"/>
          <w:color w:val="auto"/>
          <w:kern w:val="0"/>
          <w:highlight w:val="none"/>
          <w:u w:val="single"/>
        </w:rPr>
        <w:t xml:space="preserve">     （中型企业、小型企业、微型企业）；</w:t>
      </w:r>
    </w:p>
    <w:p w14:paraId="2A8C1D00">
      <w:pPr>
        <w:widowControl/>
        <w:kinsoku/>
        <w:wordWrap/>
        <w:overflowPunct/>
        <w:bidi w:val="0"/>
        <w:spacing w:line="5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以上企业，不属于大企业的分支机构，不存在控股股东为大企业的情形，也不存在与大企业的负责人为同一人的情形。</w:t>
      </w:r>
    </w:p>
    <w:p w14:paraId="3C31B18F">
      <w:pPr>
        <w:widowControl/>
        <w:kinsoku/>
        <w:wordWrap/>
        <w:overflowPunct/>
        <w:bidi w:val="0"/>
        <w:spacing w:line="5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本企业对上述声明内容的真实性负责。如有虚假，将依法承担相应责任。</w:t>
      </w:r>
    </w:p>
    <w:p w14:paraId="21C72E01">
      <w:pPr>
        <w:widowControl/>
        <w:kinsoku/>
        <w:wordWrap/>
        <w:overflowPunct/>
        <w:bidi w:val="0"/>
        <w:spacing w:line="500" w:lineRule="exact"/>
        <w:ind w:right="525"/>
        <w:jc w:val="right"/>
        <w:rPr>
          <w:rFonts w:hint="eastAsia" w:ascii="宋体" w:hAnsi="宋体" w:eastAsia="宋体" w:cs="宋体"/>
          <w:color w:val="auto"/>
          <w:kern w:val="0"/>
          <w:highlight w:val="none"/>
        </w:rPr>
      </w:pPr>
      <w:r>
        <w:rPr>
          <w:rFonts w:hint="eastAsia" w:ascii="宋体" w:hAnsi="宋体" w:eastAsia="宋体" w:cs="宋体"/>
          <w:color w:val="auto"/>
          <w:kern w:val="0"/>
          <w:highlight w:val="none"/>
        </w:rPr>
        <w:t>企业名称（盖章）：</w:t>
      </w:r>
    </w:p>
    <w:p w14:paraId="47C4643F">
      <w:pPr>
        <w:widowControl/>
        <w:kinsoku/>
        <w:wordWrap/>
        <w:overflowPunct/>
        <w:bidi w:val="0"/>
        <w:spacing w:line="500" w:lineRule="exact"/>
        <w:ind w:right="420" w:firstLine="7140" w:firstLineChars="3400"/>
        <w:rPr>
          <w:rFonts w:hint="eastAsia" w:ascii="宋体" w:hAnsi="宋体" w:eastAsia="宋体" w:cs="宋体"/>
          <w:color w:val="auto"/>
          <w:kern w:val="0"/>
          <w:highlight w:val="none"/>
        </w:rPr>
      </w:pPr>
      <w:r>
        <w:rPr>
          <w:rFonts w:hint="eastAsia" w:ascii="宋体" w:hAnsi="宋体" w:eastAsia="宋体" w:cs="宋体"/>
          <w:color w:val="auto"/>
          <w:kern w:val="0"/>
          <w:highlight w:val="none"/>
        </w:rPr>
        <w:t>日  期：</w:t>
      </w:r>
    </w:p>
    <w:p w14:paraId="4DF91B29">
      <w:pPr>
        <w:widowControl/>
        <w:kinsoku/>
        <w:wordWrap/>
        <w:overflowPunct/>
        <w:bidi w:val="0"/>
        <w:spacing w:line="500" w:lineRule="exact"/>
        <w:jc w:val="left"/>
        <w:rPr>
          <w:rFonts w:hint="eastAsia" w:ascii="宋体" w:hAnsi="宋体" w:eastAsia="宋体" w:cs="宋体"/>
          <w:color w:val="auto"/>
          <w:kern w:val="0"/>
          <w:highlight w:val="none"/>
          <w:u w:val="single"/>
        </w:rPr>
      </w:pPr>
    </w:p>
    <w:p w14:paraId="414668D3">
      <w:pPr>
        <w:widowControl/>
        <w:kinsoku/>
        <w:wordWrap/>
        <w:overflowPunct/>
        <w:bidi w:val="0"/>
        <w:adjustRightInd w:val="0"/>
        <w:snapToGrid w:val="0"/>
        <w:spacing w:line="500" w:lineRule="exact"/>
        <w:ind w:firstLine="444" w:firstLineChars="200"/>
        <w:jc w:val="left"/>
        <w:rPr>
          <w:rFonts w:hint="eastAsia" w:ascii="宋体" w:hAnsi="宋体" w:eastAsia="宋体" w:cs="宋体"/>
          <w:color w:val="auto"/>
          <w:spacing w:val="6"/>
          <w:kern w:val="0"/>
          <w:highlight w:val="none"/>
        </w:rPr>
      </w:pPr>
      <w:r>
        <w:rPr>
          <w:rFonts w:hint="eastAsia" w:ascii="宋体" w:hAnsi="宋体" w:eastAsia="宋体" w:cs="宋体"/>
          <w:color w:val="auto"/>
          <w:spacing w:val="6"/>
          <w:kern w:val="0"/>
          <w:highlight w:val="none"/>
        </w:rPr>
        <w:t>注：1、现行中小企业划分标准行业包括农、林、牧、渔业，工业，批发业，零售业，交通运输业，仓储业，邮政业，住宿业，餐饮业，信息运输业，软件和信息技术服务业，房地产开发经营，物业管理，租赁和商业服务业和其他未列明行业等十六类。</w:t>
      </w:r>
    </w:p>
    <w:p w14:paraId="44229158">
      <w:pPr>
        <w:numPr>
          <w:ilvl w:val="0"/>
          <w:numId w:val="8"/>
        </w:numPr>
        <w:kinsoku/>
        <w:wordWrap/>
        <w:overflowPunct/>
        <w:bidi w:val="0"/>
        <w:adjustRightInd w:val="0"/>
        <w:snapToGrid w:val="0"/>
        <w:spacing w:line="500" w:lineRule="exact"/>
        <w:rPr>
          <w:rFonts w:hint="eastAsia" w:ascii="宋体" w:hAnsi="宋体" w:eastAsia="宋体" w:cs="宋体"/>
          <w:color w:val="auto"/>
          <w:spacing w:val="6"/>
          <w:kern w:val="0"/>
          <w:highlight w:val="none"/>
        </w:rPr>
      </w:pPr>
      <w:r>
        <w:rPr>
          <w:rFonts w:hint="eastAsia" w:ascii="宋体" w:hAnsi="宋体" w:eastAsia="宋体" w:cs="宋体"/>
          <w:color w:val="auto"/>
          <w:spacing w:val="6"/>
          <w:kern w:val="0"/>
          <w:highlight w:val="none"/>
        </w:rPr>
        <w:t>从业人员、营业收入、资产总额填报上一年度数据，无上一年度数据的新成立企业可不填报资产总额。</w:t>
      </w:r>
    </w:p>
    <w:p w14:paraId="307E03B2">
      <w:pPr>
        <w:kinsoku/>
        <w:wordWrap/>
        <w:overflowPunct/>
        <w:bidi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23B6A27">
      <w:pPr>
        <w:pStyle w:val="8"/>
        <w:numPr>
          <w:ilvl w:val="1"/>
          <w:numId w:val="0"/>
        </w:numPr>
        <w:kinsoku/>
        <w:wordWrap/>
        <w:overflowPunct/>
        <w:bidi w:val="0"/>
        <w:spacing w:line="500" w:lineRule="exact"/>
        <w:rPr>
          <w:rFonts w:hint="eastAsia" w:ascii="宋体" w:hAnsi="宋体" w:eastAsia="宋体" w:cs="宋体"/>
          <w:b/>
          <w:color w:val="auto"/>
          <w:sz w:val="28"/>
          <w:szCs w:val="28"/>
          <w:highlight w:val="none"/>
        </w:rPr>
      </w:pPr>
      <w:bookmarkStart w:id="7" w:name="_GoBack"/>
      <w:bookmarkEnd w:id="7"/>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rPr>
        <w:t>残疾人福利性单位声明函</w:t>
      </w:r>
    </w:p>
    <w:p w14:paraId="5C8A4B49">
      <w:pPr>
        <w:kinsoku/>
        <w:wordWrap/>
        <w:overflowPunct/>
        <w:bidi w:val="0"/>
        <w:adjustRightInd w:val="0"/>
        <w:snapToGrid w:val="0"/>
        <w:spacing w:line="500" w:lineRule="exact"/>
        <w:jc w:val="center"/>
        <w:rPr>
          <w:rFonts w:hint="eastAsia" w:ascii="宋体" w:hAnsi="宋体" w:eastAsia="宋体" w:cs="宋体"/>
          <w:b/>
          <w:bCs/>
          <w:color w:val="auto"/>
          <w:spacing w:val="6"/>
          <w:sz w:val="28"/>
          <w:szCs w:val="28"/>
          <w:highlight w:val="none"/>
        </w:rPr>
      </w:pPr>
      <w:r>
        <w:rPr>
          <w:rFonts w:hint="eastAsia" w:ascii="宋体" w:hAnsi="宋体" w:eastAsia="宋体" w:cs="宋体"/>
          <w:b/>
          <w:color w:val="auto"/>
          <w:spacing w:val="6"/>
          <w:highlight w:val="none"/>
        </w:rPr>
        <w:t>(不属于残疾人福利性单位的无需填写)</w:t>
      </w:r>
    </w:p>
    <w:p w14:paraId="0CCBA36A">
      <w:pPr>
        <w:kinsoku/>
        <w:wordWrap/>
        <w:overflowPunct/>
        <w:bidi w:val="0"/>
        <w:spacing w:line="500" w:lineRule="exact"/>
        <w:rPr>
          <w:rFonts w:hint="eastAsia" w:ascii="宋体" w:hAnsi="宋体" w:eastAsia="宋体" w:cs="宋体"/>
          <w:b/>
          <w:bCs/>
          <w:color w:val="auto"/>
          <w:spacing w:val="6"/>
          <w:sz w:val="30"/>
          <w:szCs w:val="30"/>
          <w:highlight w:val="none"/>
        </w:rPr>
      </w:pPr>
    </w:p>
    <w:p w14:paraId="5DD6056D">
      <w:pPr>
        <w:kinsoku/>
        <w:wordWrap/>
        <w:overflowPunct/>
        <w:bidi w:val="0"/>
        <w:spacing w:line="500" w:lineRule="exact"/>
        <w:ind w:firstLine="44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本单位郑重声明，根据《财政部 民政部 中国残疾人联合会关于促进残疾人就业政府采购政策的通知》（财库</w:t>
      </w:r>
      <w:r>
        <w:rPr>
          <w:rFonts w:hint="eastAsia" w:ascii="宋体" w:hAnsi="宋体" w:eastAsia="宋体" w:cs="宋体"/>
          <w:color w:val="auto"/>
          <w:highlight w:val="none"/>
        </w:rPr>
        <w:t>〔2017〕141</w:t>
      </w:r>
      <w:r>
        <w:rPr>
          <w:rFonts w:hint="eastAsia" w:ascii="宋体" w:hAnsi="宋体" w:eastAsia="宋体" w:cs="宋体"/>
          <w:color w:val="auto"/>
          <w:spacing w:val="6"/>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2A84EEF">
      <w:pPr>
        <w:kinsoku/>
        <w:wordWrap/>
        <w:overflowPunct/>
        <w:bidi w:val="0"/>
        <w:spacing w:line="500" w:lineRule="exact"/>
        <w:ind w:firstLine="44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本单位对上述声明的真实性负责。如有虚假，将依法承担相应责任。</w:t>
      </w:r>
    </w:p>
    <w:p w14:paraId="3DDFA52D">
      <w:pPr>
        <w:kinsoku/>
        <w:wordWrap/>
        <w:overflowPunct/>
        <w:bidi w:val="0"/>
        <w:spacing w:line="500" w:lineRule="exact"/>
        <w:ind w:firstLine="444" w:firstLineChars="200"/>
        <w:rPr>
          <w:rFonts w:hint="eastAsia" w:ascii="宋体" w:hAnsi="宋体" w:eastAsia="宋体" w:cs="宋体"/>
          <w:color w:val="auto"/>
          <w:spacing w:val="6"/>
          <w:highlight w:val="none"/>
        </w:rPr>
      </w:pPr>
    </w:p>
    <w:p w14:paraId="65D707A7">
      <w:pPr>
        <w:kinsoku/>
        <w:wordWrap/>
        <w:overflowPunct/>
        <w:bidi w:val="0"/>
        <w:spacing w:line="500" w:lineRule="exact"/>
        <w:ind w:firstLine="444" w:firstLineChars="200"/>
        <w:rPr>
          <w:rFonts w:hint="eastAsia" w:ascii="宋体" w:hAnsi="宋体" w:eastAsia="宋体" w:cs="宋体"/>
          <w:color w:val="auto"/>
          <w:spacing w:val="6"/>
          <w:highlight w:val="none"/>
        </w:rPr>
      </w:pPr>
    </w:p>
    <w:p w14:paraId="2DBB57E9">
      <w:pPr>
        <w:tabs>
          <w:tab w:val="left" w:pos="4860"/>
        </w:tabs>
        <w:kinsoku/>
        <w:wordWrap/>
        <w:overflowPunct/>
        <w:bidi w:val="0"/>
        <w:spacing w:line="500" w:lineRule="exact"/>
        <w:ind w:right="156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企业名称（盖企业公章）：</w:t>
      </w:r>
    </w:p>
    <w:p w14:paraId="1110BA87">
      <w:pPr>
        <w:kinsoku/>
        <w:wordWrap/>
        <w:overflowPunct/>
        <w:bidi w:val="0"/>
        <w:spacing w:line="500" w:lineRule="exact"/>
        <w:rPr>
          <w:rFonts w:hint="eastAsia" w:ascii="宋体" w:hAnsi="宋体" w:eastAsia="宋体" w:cs="宋体"/>
          <w:color w:val="auto"/>
          <w:highlight w:val="none"/>
        </w:rPr>
      </w:pPr>
      <w:r>
        <w:rPr>
          <w:rFonts w:hint="eastAsia" w:ascii="宋体" w:hAnsi="宋体" w:eastAsia="宋体" w:cs="宋体"/>
          <w:color w:val="auto"/>
          <w:spacing w:val="6"/>
          <w:highlight w:val="none"/>
        </w:rPr>
        <w:t>日  期：</w:t>
      </w:r>
      <w:r>
        <w:rPr>
          <w:rFonts w:hint="eastAsia" w:ascii="宋体" w:hAnsi="宋体" w:eastAsia="宋体" w:cs="宋体"/>
          <w:color w:val="auto"/>
          <w:highlight w:val="none"/>
        </w:rPr>
        <w:br w:type="page"/>
      </w:r>
    </w:p>
    <w:p w14:paraId="1B162A8A">
      <w:pPr>
        <w:pStyle w:val="8"/>
        <w:numPr>
          <w:ilvl w:val="1"/>
          <w:numId w:val="0"/>
        </w:numPr>
        <w:kinsoku/>
        <w:wordWrap/>
        <w:overflowPunct/>
        <w:bidi w:val="0"/>
        <w:spacing w:line="5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监狱企业证明资料</w:t>
      </w:r>
    </w:p>
    <w:p w14:paraId="3D480531">
      <w:pPr>
        <w:kinsoku/>
        <w:wordWrap/>
        <w:overflowPunct/>
        <w:bidi w:val="0"/>
        <w:adjustRightInd w:val="0"/>
        <w:snapToGrid w:val="0"/>
        <w:spacing w:line="500" w:lineRule="exact"/>
        <w:jc w:val="center"/>
        <w:rPr>
          <w:rFonts w:hint="eastAsia" w:ascii="宋体" w:hAnsi="宋体" w:eastAsia="宋体" w:cs="宋体"/>
          <w:b/>
          <w:color w:val="auto"/>
          <w:spacing w:val="6"/>
          <w:highlight w:val="none"/>
        </w:rPr>
      </w:pPr>
      <w:r>
        <w:rPr>
          <w:rFonts w:hint="eastAsia" w:ascii="宋体" w:hAnsi="宋体" w:eastAsia="宋体" w:cs="宋体"/>
          <w:b/>
          <w:color w:val="auto"/>
          <w:spacing w:val="6"/>
          <w:highlight w:val="none"/>
        </w:rPr>
        <w:t>(不属于监狱企业的无需提供)</w:t>
      </w:r>
    </w:p>
    <w:p w14:paraId="2D7AC463">
      <w:pPr>
        <w:kinsoku/>
        <w:wordWrap/>
        <w:overflowPunct/>
        <w:bidi w:val="0"/>
        <w:adjustRightInd w:val="0"/>
        <w:snapToGrid w:val="0"/>
        <w:spacing w:line="500" w:lineRule="exact"/>
        <w:rPr>
          <w:rFonts w:hint="eastAsia" w:ascii="宋体" w:hAnsi="宋体" w:eastAsia="宋体" w:cs="宋体"/>
          <w:color w:val="auto"/>
          <w:highlight w:val="none"/>
        </w:rPr>
      </w:pPr>
    </w:p>
    <w:p w14:paraId="2C817F0F">
      <w:pPr>
        <w:kinsoku/>
        <w:wordWrap/>
        <w:overflowPunct/>
        <w:bidi w:val="0"/>
        <w:spacing w:line="500" w:lineRule="exact"/>
        <w:rPr>
          <w:rFonts w:hint="eastAsia" w:ascii="宋体" w:hAnsi="宋体" w:eastAsia="宋体" w:cs="宋体"/>
          <w:color w:val="auto"/>
          <w:highlight w:val="none"/>
        </w:rPr>
      </w:pPr>
      <w:r>
        <w:rPr>
          <w:rFonts w:hint="eastAsia" w:ascii="宋体" w:hAnsi="宋体" w:eastAsia="宋体" w:cs="宋体"/>
          <w:bCs/>
          <w:color w:val="auto"/>
          <w:spacing w:val="6"/>
          <w:kern w:val="0"/>
          <w:highlight w:val="none"/>
        </w:rPr>
        <w:t>备注：</w:t>
      </w:r>
      <w:r>
        <w:rPr>
          <w:rFonts w:hint="eastAsia" w:ascii="宋体" w:hAnsi="宋体" w:eastAsia="宋体" w:cs="宋体"/>
          <w:color w:val="auto"/>
          <w:highlight w:val="none"/>
        </w:rPr>
        <w:t>按</w:t>
      </w:r>
      <w:r>
        <w:rPr>
          <w:rFonts w:hint="eastAsia" w:ascii="宋体" w:hAnsi="宋体" w:eastAsia="宋体" w:cs="宋体"/>
          <w:color w:val="auto"/>
          <w:spacing w:val="6"/>
          <w:highlight w:val="none"/>
        </w:rPr>
        <w:t>《</w:t>
      </w:r>
      <w:r>
        <w:rPr>
          <w:rFonts w:hint="eastAsia" w:ascii="宋体" w:hAnsi="宋体" w:eastAsia="宋体" w:cs="宋体"/>
          <w:color w:val="auto"/>
          <w:highlight w:val="none"/>
        </w:rPr>
        <w:t>财政部 司法部关于政府采购支持监狱企业发展有关问题的通知</w:t>
      </w:r>
      <w:r>
        <w:rPr>
          <w:rFonts w:hint="eastAsia" w:ascii="宋体" w:hAnsi="宋体" w:eastAsia="宋体" w:cs="宋体"/>
          <w:color w:val="auto"/>
          <w:spacing w:val="6"/>
          <w:highlight w:val="none"/>
        </w:rPr>
        <w:t>》</w:t>
      </w:r>
      <w:r>
        <w:rPr>
          <w:rFonts w:hint="eastAsia" w:ascii="宋体" w:hAnsi="宋体" w:eastAsia="宋体" w:cs="宋体"/>
          <w:color w:val="auto"/>
          <w:highlight w:val="none"/>
        </w:rPr>
        <w:t>(财库〔2014〕68号)文件规定提供证明文件（复印件）。</w:t>
      </w:r>
    </w:p>
    <w:p w14:paraId="7C767346">
      <w:pPr>
        <w:pStyle w:val="40"/>
        <w:kinsoku/>
        <w:wordWrap/>
        <w:overflowPunct/>
        <w:bidi w:val="0"/>
        <w:spacing w:line="500" w:lineRule="exact"/>
        <w:ind w:firstLine="420"/>
        <w:rPr>
          <w:rFonts w:hint="eastAsia" w:ascii="宋体" w:hAnsi="宋体" w:eastAsia="宋体" w:cs="宋体"/>
          <w:color w:val="auto"/>
          <w:highlight w:val="none"/>
        </w:rPr>
      </w:pPr>
    </w:p>
    <w:p w14:paraId="7BFA9F9A">
      <w:pPr>
        <w:kinsoku/>
        <w:wordWrap/>
        <w:overflowPunct/>
        <w:bidi w:val="0"/>
        <w:snapToGrid w:val="0"/>
        <w:spacing w:before="50" w:line="500" w:lineRule="exact"/>
        <w:ind w:right="23"/>
        <w:jc w:val="cente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6DE9A641">
      <w:pPr>
        <w:pStyle w:val="7"/>
        <w:kinsoku/>
        <w:wordWrap/>
        <w:overflowPunct/>
        <w:bidi w:val="0"/>
        <w:spacing w:line="50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六、报价一览表</w:t>
      </w:r>
    </w:p>
    <w:p w14:paraId="35B48551">
      <w:pPr>
        <w:pStyle w:val="8"/>
        <w:numPr>
          <w:ilvl w:val="1"/>
          <w:numId w:val="0"/>
        </w:numPr>
        <w:kinsoku/>
        <w:wordWrap/>
        <w:overflowPunct/>
        <w:bidi w:val="0"/>
        <w:spacing w:line="5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附件10：报价一览表</w:t>
      </w:r>
    </w:p>
    <w:tbl>
      <w:tblPr>
        <w:tblStyle w:val="29"/>
        <w:tblW w:w="492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3075"/>
        <w:gridCol w:w="1781"/>
        <w:gridCol w:w="2429"/>
      </w:tblGrid>
      <w:tr w14:paraId="012C9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17" w:type="pct"/>
            <w:vMerge w:val="restart"/>
            <w:tcBorders>
              <w:top w:val="double" w:color="auto" w:sz="4" w:space="0"/>
              <w:left w:val="double" w:color="auto" w:sz="4" w:space="0"/>
              <w:right w:val="single" w:color="auto" w:sz="6" w:space="0"/>
            </w:tcBorders>
            <w:noWrap w:val="0"/>
            <w:vAlign w:val="center"/>
          </w:tcPr>
          <w:p w14:paraId="5E6D5F9E">
            <w:pPr>
              <w:tabs>
                <w:tab w:val="left" w:pos="403"/>
                <w:tab w:val="center" w:pos="3781"/>
              </w:tabs>
              <w:spacing w:line="276" w:lineRule="auto"/>
              <w:ind w:right="-5206" w:rightChars="-2479"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项目名称</w:t>
            </w:r>
          </w:p>
        </w:tc>
        <w:tc>
          <w:tcPr>
            <w:tcW w:w="1723" w:type="pct"/>
            <w:vMerge w:val="restart"/>
            <w:tcBorders>
              <w:top w:val="double" w:color="auto" w:sz="4" w:space="0"/>
              <w:left w:val="single" w:color="auto" w:sz="6" w:space="0"/>
              <w:right w:val="single" w:color="auto" w:sz="4" w:space="0"/>
            </w:tcBorders>
            <w:noWrap w:val="0"/>
            <w:vAlign w:val="center"/>
          </w:tcPr>
          <w:p w14:paraId="6C2B63C9">
            <w:pPr>
              <w:spacing w:line="276" w:lineRule="auto"/>
              <w:rPr>
                <w:rFonts w:hint="eastAsia" w:ascii="宋体" w:hAnsi="宋体" w:eastAsia="宋体" w:cs="宋体"/>
                <w:color w:val="auto"/>
                <w:szCs w:val="21"/>
                <w:highlight w:val="none"/>
              </w:rPr>
            </w:pPr>
          </w:p>
        </w:tc>
        <w:tc>
          <w:tcPr>
            <w:tcW w:w="998" w:type="pct"/>
            <w:tcBorders>
              <w:top w:val="double" w:color="auto" w:sz="4" w:space="0"/>
              <w:left w:val="single" w:color="auto" w:sz="4" w:space="0"/>
              <w:bottom w:val="single" w:color="auto" w:sz="4" w:space="0"/>
              <w:right w:val="single" w:color="auto" w:sz="4" w:space="0"/>
            </w:tcBorders>
            <w:noWrap w:val="0"/>
            <w:vAlign w:val="center"/>
          </w:tcPr>
          <w:p w14:paraId="5E11B5A5">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政府采购编号</w:t>
            </w:r>
          </w:p>
        </w:tc>
        <w:tc>
          <w:tcPr>
            <w:tcW w:w="1361" w:type="pct"/>
            <w:tcBorders>
              <w:top w:val="double" w:color="auto" w:sz="4" w:space="0"/>
              <w:left w:val="single" w:color="auto" w:sz="4" w:space="0"/>
              <w:bottom w:val="single" w:color="auto" w:sz="4" w:space="0"/>
              <w:right w:val="double" w:color="auto" w:sz="4" w:space="0"/>
            </w:tcBorders>
            <w:noWrap w:val="0"/>
            <w:vAlign w:val="center"/>
          </w:tcPr>
          <w:p w14:paraId="61CDA6C6">
            <w:pPr>
              <w:spacing w:line="276" w:lineRule="auto"/>
              <w:jc w:val="center"/>
              <w:rPr>
                <w:rFonts w:hint="eastAsia" w:ascii="宋体" w:hAnsi="宋体" w:eastAsia="宋体" w:cs="宋体"/>
                <w:color w:val="auto"/>
                <w:szCs w:val="21"/>
                <w:highlight w:val="none"/>
                <w:lang w:val="en-US" w:eastAsia="zh-CN"/>
              </w:rPr>
            </w:pPr>
          </w:p>
        </w:tc>
      </w:tr>
      <w:tr w14:paraId="66521E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17" w:type="pct"/>
            <w:vMerge w:val="continue"/>
            <w:tcBorders>
              <w:left w:val="double" w:color="auto" w:sz="4" w:space="0"/>
              <w:bottom w:val="single" w:color="auto" w:sz="6" w:space="0"/>
              <w:right w:val="single" w:color="auto" w:sz="6" w:space="0"/>
            </w:tcBorders>
            <w:noWrap w:val="0"/>
            <w:vAlign w:val="center"/>
          </w:tcPr>
          <w:p w14:paraId="4A768747">
            <w:pPr>
              <w:tabs>
                <w:tab w:val="left" w:pos="403"/>
                <w:tab w:val="center" w:pos="3781"/>
              </w:tabs>
              <w:spacing w:line="276" w:lineRule="auto"/>
              <w:ind w:right="-5206" w:rightChars="-2479" w:firstLine="210" w:firstLineChars="100"/>
              <w:rPr>
                <w:rFonts w:hint="eastAsia" w:ascii="宋体" w:hAnsi="宋体" w:eastAsia="宋体" w:cs="宋体"/>
                <w:color w:val="auto"/>
                <w:szCs w:val="21"/>
                <w:highlight w:val="none"/>
              </w:rPr>
            </w:pPr>
          </w:p>
        </w:tc>
        <w:tc>
          <w:tcPr>
            <w:tcW w:w="1723" w:type="pct"/>
            <w:vMerge w:val="continue"/>
            <w:tcBorders>
              <w:left w:val="single" w:color="auto" w:sz="6" w:space="0"/>
              <w:bottom w:val="single" w:color="auto" w:sz="6" w:space="0"/>
              <w:right w:val="single" w:color="auto" w:sz="4" w:space="0"/>
            </w:tcBorders>
            <w:noWrap w:val="0"/>
            <w:vAlign w:val="center"/>
          </w:tcPr>
          <w:p w14:paraId="1C11613D">
            <w:pPr>
              <w:spacing w:line="276" w:lineRule="auto"/>
              <w:jc w:val="center"/>
              <w:rPr>
                <w:rFonts w:hint="eastAsia" w:ascii="宋体" w:hAnsi="宋体" w:eastAsia="宋体" w:cs="宋体"/>
                <w:color w:val="auto"/>
                <w:szCs w:val="21"/>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center"/>
          </w:tcPr>
          <w:p w14:paraId="4DA5856D">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采购代理编号</w:t>
            </w:r>
          </w:p>
        </w:tc>
        <w:tc>
          <w:tcPr>
            <w:tcW w:w="1361" w:type="pct"/>
            <w:tcBorders>
              <w:top w:val="single" w:color="auto" w:sz="4" w:space="0"/>
              <w:left w:val="single" w:color="auto" w:sz="4" w:space="0"/>
              <w:bottom w:val="single" w:color="auto" w:sz="4" w:space="0"/>
              <w:right w:val="double" w:color="auto" w:sz="4" w:space="0"/>
            </w:tcBorders>
            <w:noWrap w:val="0"/>
            <w:vAlign w:val="center"/>
          </w:tcPr>
          <w:p w14:paraId="37C0D531">
            <w:pPr>
              <w:spacing w:line="276" w:lineRule="auto"/>
              <w:jc w:val="center"/>
              <w:rPr>
                <w:rFonts w:hint="eastAsia" w:ascii="宋体" w:hAnsi="宋体" w:eastAsia="宋体" w:cs="宋体"/>
                <w:color w:val="auto"/>
                <w:szCs w:val="21"/>
                <w:highlight w:val="none"/>
              </w:rPr>
            </w:pPr>
          </w:p>
        </w:tc>
      </w:tr>
      <w:tr w14:paraId="192B3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917" w:type="pct"/>
            <w:tcBorders>
              <w:top w:val="single" w:color="auto" w:sz="6" w:space="0"/>
              <w:left w:val="double" w:color="auto" w:sz="4" w:space="0"/>
              <w:right w:val="single" w:color="auto" w:sz="6" w:space="0"/>
            </w:tcBorders>
            <w:noWrap w:val="0"/>
            <w:vAlign w:val="center"/>
          </w:tcPr>
          <w:p w14:paraId="0AB2AAF4">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4082" w:type="pct"/>
            <w:gridSpan w:val="3"/>
            <w:tcBorders>
              <w:top w:val="single" w:color="auto" w:sz="6" w:space="0"/>
              <w:left w:val="single" w:color="auto" w:sz="6" w:space="0"/>
              <w:bottom w:val="single" w:color="auto" w:sz="6" w:space="0"/>
              <w:right w:val="double" w:color="auto" w:sz="4" w:space="0"/>
            </w:tcBorders>
            <w:noWrap w:val="0"/>
            <w:vAlign w:val="center"/>
          </w:tcPr>
          <w:p w14:paraId="04C4B99D">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元人民币整</w:t>
            </w:r>
          </w:p>
          <w:p w14:paraId="4E117065">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元人民币整</w:t>
            </w:r>
          </w:p>
        </w:tc>
      </w:tr>
      <w:tr w14:paraId="38DC4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7" w:type="pct"/>
            <w:tcBorders>
              <w:top w:val="single" w:color="auto" w:sz="6" w:space="0"/>
              <w:left w:val="double" w:color="auto" w:sz="4" w:space="0"/>
              <w:bottom w:val="single" w:color="auto" w:sz="6" w:space="0"/>
              <w:right w:val="single" w:color="auto" w:sz="6" w:space="0"/>
            </w:tcBorders>
            <w:noWrap w:val="0"/>
            <w:vAlign w:val="center"/>
          </w:tcPr>
          <w:p w14:paraId="3C92E7F8">
            <w:pPr>
              <w:spacing w:line="276"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服务期限</w:t>
            </w:r>
          </w:p>
        </w:tc>
        <w:tc>
          <w:tcPr>
            <w:tcW w:w="4082" w:type="pct"/>
            <w:gridSpan w:val="3"/>
            <w:tcBorders>
              <w:top w:val="single" w:color="auto" w:sz="6" w:space="0"/>
              <w:left w:val="single" w:color="auto" w:sz="6" w:space="0"/>
              <w:bottom w:val="single" w:color="auto" w:sz="6" w:space="0"/>
              <w:right w:val="double" w:color="auto" w:sz="4" w:space="0"/>
            </w:tcBorders>
            <w:noWrap w:val="0"/>
            <w:vAlign w:val="center"/>
          </w:tcPr>
          <w:p w14:paraId="3A7EA003">
            <w:pPr>
              <w:spacing w:line="276" w:lineRule="auto"/>
              <w:rPr>
                <w:rFonts w:hint="eastAsia" w:ascii="宋体" w:hAnsi="宋体" w:eastAsia="宋体" w:cs="宋体"/>
                <w:iCs/>
                <w:color w:val="auto"/>
                <w:szCs w:val="21"/>
                <w:highlight w:val="none"/>
              </w:rPr>
            </w:pPr>
          </w:p>
        </w:tc>
      </w:tr>
      <w:tr w14:paraId="4A722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17" w:type="pct"/>
            <w:tcBorders>
              <w:top w:val="single" w:color="auto" w:sz="6" w:space="0"/>
              <w:left w:val="double" w:color="auto" w:sz="4" w:space="0"/>
              <w:bottom w:val="single" w:color="auto" w:sz="6" w:space="0"/>
              <w:right w:val="single" w:color="auto" w:sz="6" w:space="0"/>
            </w:tcBorders>
            <w:noWrap w:val="0"/>
            <w:vAlign w:val="center"/>
          </w:tcPr>
          <w:p w14:paraId="7CE606F4">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4082" w:type="pct"/>
            <w:gridSpan w:val="3"/>
            <w:tcBorders>
              <w:top w:val="single" w:color="auto" w:sz="6" w:space="0"/>
              <w:left w:val="single" w:color="auto" w:sz="6" w:space="0"/>
              <w:bottom w:val="single" w:color="auto" w:sz="6" w:space="0"/>
              <w:right w:val="double" w:color="auto" w:sz="4" w:space="0"/>
            </w:tcBorders>
            <w:noWrap w:val="0"/>
            <w:vAlign w:val="center"/>
          </w:tcPr>
          <w:p w14:paraId="797664B6">
            <w:pPr>
              <w:spacing w:line="276" w:lineRule="auto"/>
              <w:ind w:firstLine="210" w:firstLineChars="100"/>
              <w:rPr>
                <w:rFonts w:hint="eastAsia" w:ascii="宋体" w:hAnsi="宋体" w:eastAsia="宋体" w:cs="宋体"/>
                <w:color w:val="auto"/>
                <w:szCs w:val="21"/>
                <w:highlight w:val="none"/>
              </w:rPr>
            </w:pPr>
          </w:p>
        </w:tc>
      </w:tr>
      <w:tr w14:paraId="7EB0A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17" w:type="pct"/>
            <w:tcBorders>
              <w:top w:val="single" w:color="auto" w:sz="6" w:space="0"/>
              <w:left w:val="double" w:color="auto" w:sz="4" w:space="0"/>
              <w:bottom w:val="double" w:color="auto" w:sz="4" w:space="0"/>
              <w:right w:val="single" w:color="auto" w:sz="6" w:space="0"/>
            </w:tcBorders>
            <w:noWrap w:val="0"/>
            <w:vAlign w:val="center"/>
          </w:tcPr>
          <w:p w14:paraId="7A83CB4F">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4082" w:type="pct"/>
            <w:gridSpan w:val="3"/>
            <w:tcBorders>
              <w:top w:val="single" w:color="auto" w:sz="6" w:space="0"/>
              <w:left w:val="single" w:color="auto" w:sz="6" w:space="0"/>
              <w:bottom w:val="double" w:color="auto" w:sz="4" w:space="0"/>
              <w:right w:val="double" w:color="auto" w:sz="4" w:space="0"/>
            </w:tcBorders>
            <w:noWrap w:val="0"/>
            <w:vAlign w:val="center"/>
          </w:tcPr>
          <w:p w14:paraId="163FBCEB">
            <w:pPr>
              <w:spacing w:line="276" w:lineRule="auto"/>
              <w:rPr>
                <w:rFonts w:hint="eastAsia" w:ascii="宋体" w:hAnsi="宋体" w:eastAsia="宋体" w:cs="宋体"/>
                <w:color w:val="auto"/>
                <w:szCs w:val="21"/>
                <w:highlight w:val="none"/>
              </w:rPr>
            </w:pPr>
          </w:p>
        </w:tc>
      </w:tr>
    </w:tbl>
    <w:p w14:paraId="6B2E720B">
      <w:pPr>
        <w:adjustRightInd w:val="0"/>
        <w:snapToGrid w:val="0"/>
        <w:spacing w:line="276" w:lineRule="auto"/>
        <w:ind w:right="23" w:rightChars="11"/>
        <w:rPr>
          <w:rFonts w:hint="eastAsia" w:ascii="宋体" w:hAnsi="宋体" w:eastAsia="宋体" w:cs="宋体"/>
          <w:color w:val="auto"/>
          <w:szCs w:val="21"/>
          <w:highlight w:val="none"/>
        </w:rPr>
      </w:pPr>
    </w:p>
    <w:p w14:paraId="044A0BAC">
      <w:pPr>
        <w:adjustRightInd w:val="0"/>
        <w:snapToGrid w:val="0"/>
        <w:spacing w:line="360" w:lineRule="auto"/>
        <w:ind w:right="23" w:rightChars="1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供应商（盖单位章）：</w:t>
      </w:r>
    </w:p>
    <w:p w14:paraId="377A00F0">
      <w:pPr>
        <w:adjustRightInd w:val="0"/>
        <w:snapToGrid w:val="0"/>
        <w:spacing w:line="360" w:lineRule="auto"/>
        <w:ind w:right="23" w:rightChars="1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szCs w:val="21"/>
          <w:highlight w:val="none"/>
          <w:u w:val="single"/>
        </w:rPr>
        <w:t xml:space="preserve">       </w:t>
      </w:r>
    </w:p>
    <w:p w14:paraId="0017C5AA">
      <w:pPr>
        <w:adjustRightInd w:val="0"/>
        <w:snapToGrid w:val="0"/>
        <w:spacing w:line="360" w:lineRule="auto"/>
        <w:ind w:right="23" w:rightChars="11"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927F17F">
      <w:pPr>
        <w:pStyle w:val="8"/>
        <w:numPr>
          <w:ilvl w:val="1"/>
          <w:numId w:val="0"/>
        </w:numPr>
        <w:kinsoku/>
        <w:wordWrap/>
        <w:overflowPunct/>
        <w:bidi w:val="0"/>
        <w:spacing w:line="500" w:lineRule="exact"/>
        <w:rPr>
          <w:rStyle w:val="150"/>
          <w:rFonts w:hint="eastAsia" w:ascii="宋体" w:hAnsi="宋体" w:eastAsia="宋体" w:cs="宋体"/>
          <w:b/>
          <w:color w:val="auto"/>
          <w:kern w:val="0"/>
          <w:position w:val="-3"/>
          <w:sz w:val="28"/>
          <w:szCs w:val="28"/>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28"/>
          <w:szCs w:val="28"/>
          <w:highlight w:val="none"/>
        </w:rPr>
        <w:t>附件10-1：分项报价明细表</w:t>
      </w:r>
    </w:p>
    <w:p w14:paraId="78983CC9">
      <w:pPr>
        <w:adjustRightInd w:val="0"/>
        <w:snapToGrid w:val="0"/>
        <w:spacing w:line="360" w:lineRule="auto"/>
        <w:jc w:val="center"/>
        <w:rPr>
          <w:rFonts w:hint="eastAsia" w:ascii="黑体" w:hAnsi="宋体" w:eastAsia="黑体" w:cs="微软雅黑"/>
          <w:b/>
          <w:color w:val="auto"/>
          <w:spacing w:val="-2"/>
          <w:kern w:val="0"/>
          <w:position w:val="-3"/>
          <w:sz w:val="28"/>
          <w:szCs w:val="28"/>
          <w:highlight w:val="none"/>
        </w:rPr>
      </w:pPr>
    </w:p>
    <w:p w14:paraId="28D75C94">
      <w:pPr>
        <w:adjustRightInd w:val="0"/>
        <w:snapToGrid w:val="0"/>
        <w:spacing w:line="360" w:lineRule="auto"/>
        <w:jc w:val="center"/>
        <w:rPr>
          <w:rFonts w:ascii="黑体" w:hAnsi="宋体" w:eastAsia="黑体" w:cs="微软雅黑"/>
          <w:b/>
          <w:color w:val="auto"/>
          <w:kern w:val="0"/>
          <w:position w:val="-3"/>
          <w:sz w:val="28"/>
          <w:szCs w:val="28"/>
          <w:highlight w:val="none"/>
        </w:rPr>
      </w:pPr>
      <w:r>
        <w:rPr>
          <w:rFonts w:hint="eastAsia" w:ascii="黑体" w:hAnsi="宋体" w:eastAsia="黑体" w:cs="微软雅黑"/>
          <w:b/>
          <w:color w:val="auto"/>
          <w:spacing w:val="-2"/>
          <w:kern w:val="0"/>
          <w:position w:val="-3"/>
          <w:sz w:val="28"/>
          <w:szCs w:val="28"/>
          <w:highlight w:val="none"/>
        </w:rPr>
        <w:t>分</w:t>
      </w:r>
      <w:r>
        <w:rPr>
          <w:rFonts w:hint="eastAsia" w:ascii="黑体" w:hAnsi="宋体" w:eastAsia="黑体" w:cs="微软雅黑"/>
          <w:b/>
          <w:color w:val="auto"/>
          <w:kern w:val="0"/>
          <w:position w:val="-3"/>
          <w:sz w:val="28"/>
          <w:szCs w:val="28"/>
          <w:highlight w:val="none"/>
        </w:rPr>
        <w:t>项</w:t>
      </w:r>
      <w:r>
        <w:rPr>
          <w:rFonts w:hint="eastAsia" w:ascii="黑体" w:hAnsi="宋体" w:eastAsia="黑体" w:cs="微软雅黑"/>
          <w:b/>
          <w:color w:val="auto"/>
          <w:spacing w:val="-2"/>
          <w:kern w:val="0"/>
          <w:position w:val="-3"/>
          <w:sz w:val="28"/>
          <w:szCs w:val="28"/>
          <w:highlight w:val="none"/>
        </w:rPr>
        <w:t>报</w:t>
      </w:r>
      <w:r>
        <w:rPr>
          <w:rFonts w:hint="eastAsia" w:ascii="黑体" w:hAnsi="宋体" w:eastAsia="黑体" w:cs="微软雅黑"/>
          <w:b/>
          <w:color w:val="auto"/>
          <w:kern w:val="0"/>
          <w:position w:val="-3"/>
          <w:sz w:val="28"/>
          <w:szCs w:val="28"/>
          <w:highlight w:val="none"/>
        </w:rPr>
        <w:t>价明细表</w:t>
      </w:r>
    </w:p>
    <w:p w14:paraId="2DB814FF">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lang w:val="en-US" w:eastAsia="zh-CN"/>
        </w:rPr>
        <w:t>采购代理</w:t>
      </w: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29"/>
        <w:tblW w:w="8874" w:type="dxa"/>
        <w:tblInd w:w="0" w:type="dxa"/>
        <w:tblLayout w:type="fixed"/>
        <w:tblCellMar>
          <w:top w:w="0" w:type="dxa"/>
          <w:left w:w="0" w:type="dxa"/>
          <w:bottom w:w="0" w:type="dxa"/>
          <w:right w:w="0" w:type="dxa"/>
        </w:tblCellMar>
      </w:tblPr>
      <w:tblGrid>
        <w:gridCol w:w="333"/>
        <w:gridCol w:w="1383"/>
        <w:gridCol w:w="4418"/>
        <w:gridCol w:w="910"/>
        <w:gridCol w:w="916"/>
        <w:gridCol w:w="914"/>
      </w:tblGrid>
      <w:tr w14:paraId="467993B3">
        <w:tblPrEx>
          <w:tblCellMar>
            <w:top w:w="0" w:type="dxa"/>
            <w:left w:w="0" w:type="dxa"/>
            <w:bottom w:w="0" w:type="dxa"/>
            <w:right w:w="0" w:type="dxa"/>
          </w:tblCellMar>
        </w:tblPrEx>
        <w:trPr>
          <w:trHeight w:val="415" w:hRule="exact"/>
        </w:trPr>
        <w:tc>
          <w:tcPr>
            <w:tcW w:w="1716" w:type="dxa"/>
            <w:gridSpan w:val="2"/>
            <w:vMerge w:val="restart"/>
            <w:tcBorders>
              <w:top w:val="double" w:color="auto" w:sz="4" w:space="0"/>
              <w:left w:val="double" w:color="auto" w:sz="4" w:space="0"/>
              <w:right w:val="single" w:color="auto" w:sz="6" w:space="0"/>
            </w:tcBorders>
            <w:noWrap w:val="0"/>
            <w:vAlign w:val="center"/>
          </w:tcPr>
          <w:p w14:paraId="1CEFAF4C">
            <w:pPr>
              <w:autoSpaceDE w:val="0"/>
              <w:autoSpaceDN w:val="0"/>
              <w:adjustRightInd w:val="0"/>
              <w:snapToGrid w:val="0"/>
              <w:spacing w:line="360" w:lineRule="auto"/>
              <w:ind w:right="-20"/>
              <w:jc w:val="center"/>
              <w:rPr>
                <w:rFonts w:ascii="宋体" w:hAnsi="宋体" w:cs="微软雅黑"/>
                <w:color w:val="auto"/>
                <w:kern w:val="0"/>
                <w:position w:val="-1"/>
                <w:szCs w:val="21"/>
                <w:highlight w:val="none"/>
              </w:rPr>
            </w:pPr>
            <w:r>
              <w:rPr>
                <w:rFonts w:hint="eastAsia" w:ascii="宋体" w:hAnsi="宋体" w:cs="微软雅黑"/>
                <w:color w:val="auto"/>
                <w:kern w:val="0"/>
                <w:position w:val="-1"/>
                <w:szCs w:val="21"/>
                <w:highlight w:val="none"/>
              </w:rPr>
              <w:t>标的名称</w:t>
            </w:r>
          </w:p>
        </w:tc>
        <w:tc>
          <w:tcPr>
            <w:tcW w:w="4418" w:type="dxa"/>
            <w:vMerge w:val="restart"/>
            <w:tcBorders>
              <w:top w:val="double" w:color="auto" w:sz="4" w:space="0"/>
              <w:left w:val="single" w:color="auto" w:sz="6" w:space="0"/>
              <w:right w:val="single" w:color="auto" w:sz="4" w:space="0"/>
            </w:tcBorders>
            <w:noWrap w:val="0"/>
            <w:vAlign w:val="center"/>
          </w:tcPr>
          <w:p w14:paraId="5EAC04C8">
            <w:pPr>
              <w:autoSpaceDE w:val="0"/>
              <w:autoSpaceDN w:val="0"/>
              <w:adjustRightInd w:val="0"/>
              <w:snapToGrid w:val="0"/>
              <w:spacing w:line="360" w:lineRule="auto"/>
              <w:ind w:right="-20"/>
              <w:jc w:val="center"/>
              <w:rPr>
                <w:rFonts w:ascii="宋体" w:hAnsi="宋体" w:cs="微软雅黑"/>
                <w:color w:val="auto"/>
                <w:kern w:val="0"/>
                <w:position w:val="-1"/>
                <w:szCs w:val="21"/>
                <w:highlight w:val="none"/>
              </w:rPr>
            </w:pPr>
            <w:r>
              <w:rPr>
                <w:rFonts w:hint="eastAsia" w:ascii="宋体" w:hAnsi="宋体" w:cs="微软雅黑"/>
                <w:color w:val="auto"/>
                <w:kern w:val="0"/>
                <w:position w:val="-1"/>
                <w:szCs w:val="21"/>
                <w:highlight w:val="none"/>
              </w:rPr>
              <w:t>服务内容</w:t>
            </w:r>
          </w:p>
        </w:tc>
        <w:tc>
          <w:tcPr>
            <w:tcW w:w="1826" w:type="dxa"/>
            <w:gridSpan w:val="2"/>
            <w:tcBorders>
              <w:top w:val="double" w:color="auto" w:sz="4" w:space="0"/>
              <w:left w:val="single" w:color="auto" w:sz="4" w:space="0"/>
              <w:bottom w:val="single" w:color="auto" w:sz="6" w:space="0"/>
              <w:right w:val="single" w:color="auto" w:sz="6" w:space="0"/>
            </w:tcBorders>
            <w:noWrap w:val="0"/>
            <w:vAlign w:val="center"/>
          </w:tcPr>
          <w:p w14:paraId="4AC654E0">
            <w:pPr>
              <w:autoSpaceDE w:val="0"/>
              <w:autoSpaceDN w:val="0"/>
              <w:adjustRightInd w:val="0"/>
              <w:snapToGrid w:val="0"/>
              <w:spacing w:line="360" w:lineRule="auto"/>
              <w:ind w:right="-20"/>
              <w:jc w:val="center"/>
              <w:rPr>
                <w:rFonts w:ascii="宋体" w:hAnsi="宋体" w:cs="微软雅黑"/>
                <w:color w:val="auto"/>
                <w:kern w:val="0"/>
                <w:position w:val="-1"/>
                <w:szCs w:val="21"/>
                <w:highlight w:val="none"/>
              </w:rPr>
            </w:pPr>
            <w:r>
              <w:rPr>
                <w:rFonts w:hint="eastAsia" w:ascii="宋体" w:hAnsi="宋体" w:cs="微软雅黑"/>
                <w:color w:val="auto"/>
                <w:kern w:val="0"/>
                <w:position w:val="-1"/>
                <w:szCs w:val="21"/>
                <w:highlight w:val="none"/>
              </w:rPr>
              <w:t>金额（元）</w:t>
            </w:r>
          </w:p>
        </w:tc>
        <w:tc>
          <w:tcPr>
            <w:tcW w:w="914" w:type="dxa"/>
            <w:vMerge w:val="restart"/>
            <w:tcBorders>
              <w:top w:val="double" w:color="auto" w:sz="4" w:space="0"/>
              <w:left w:val="single" w:color="auto" w:sz="6" w:space="0"/>
              <w:bottom w:val="single" w:color="auto" w:sz="6" w:space="0"/>
              <w:right w:val="double" w:color="auto" w:sz="4" w:space="0"/>
            </w:tcBorders>
            <w:noWrap w:val="0"/>
            <w:vAlign w:val="center"/>
          </w:tcPr>
          <w:p w14:paraId="3ACD59EA">
            <w:pPr>
              <w:autoSpaceDE w:val="0"/>
              <w:autoSpaceDN w:val="0"/>
              <w:adjustRightInd w:val="0"/>
              <w:snapToGrid w:val="0"/>
              <w:spacing w:line="360" w:lineRule="auto"/>
              <w:ind w:right="-20"/>
              <w:jc w:val="center"/>
              <w:rPr>
                <w:rFonts w:ascii="宋体" w:hAnsi="宋体" w:cs="微软雅黑"/>
                <w:color w:val="auto"/>
                <w:kern w:val="0"/>
                <w:position w:val="-1"/>
                <w:szCs w:val="21"/>
                <w:highlight w:val="none"/>
              </w:rPr>
            </w:pPr>
            <w:r>
              <w:rPr>
                <w:rFonts w:hint="eastAsia" w:ascii="宋体" w:hAnsi="宋体" w:cs="微软雅黑"/>
                <w:color w:val="auto"/>
                <w:kern w:val="0"/>
                <w:position w:val="-1"/>
                <w:szCs w:val="21"/>
                <w:highlight w:val="none"/>
              </w:rPr>
              <w:t>备注</w:t>
            </w:r>
          </w:p>
        </w:tc>
      </w:tr>
      <w:tr w14:paraId="47D10DB1">
        <w:tblPrEx>
          <w:tblCellMar>
            <w:top w:w="0" w:type="dxa"/>
            <w:left w:w="0" w:type="dxa"/>
            <w:bottom w:w="0" w:type="dxa"/>
            <w:right w:w="0" w:type="dxa"/>
          </w:tblCellMar>
        </w:tblPrEx>
        <w:trPr>
          <w:trHeight w:val="415" w:hRule="exact"/>
        </w:trPr>
        <w:tc>
          <w:tcPr>
            <w:tcW w:w="1716" w:type="dxa"/>
            <w:gridSpan w:val="2"/>
            <w:vMerge w:val="continue"/>
            <w:tcBorders>
              <w:left w:val="double" w:color="auto" w:sz="4" w:space="0"/>
              <w:bottom w:val="single" w:color="auto" w:sz="6" w:space="0"/>
              <w:right w:val="single" w:color="auto" w:sz="6" w:space="0"/>
            </w:tcBorders>
            <w:noWrap w:val="0"/>
            <w:vAlign w:val="top"/>
          </w:tcPr>
          <w:p w14:paraId="2E863FBD">
            <w:pPr>
              <w:autoSpaceDE w:val="0"/>
              <w:autoSpaceDN w:val="0"/>
              <w:adjustRightInd w:val="0"/>
              <w:snapToGrid w:val="0"/>
              <w:spacing w:line="360" w:lineRule="auto"/>
              <w:ind w:left="352" w:right="-20"/>
              <w:jc w:val="left"/>
              <w:rPr>
                <w:rFonts w:ascii="宋体" w:hAnsi="宋体"/>
                <w:color w:val="auto"/>
                <w:kern w:val="0"/>
                <w:szCs w:val="21"/>
                <w:highlight w:val="none"/>
              </w:rPr>
            </w:pPr>
          </w:p>
        </w:tc>
        <w:tc>
          <w:tcPr>
            <w:tcW w:w="4418" w:type="dxa"/>
            <w:vMerge w:val="continue"/>
            <w:tcBorders>
              <w:left w:val="single" w:color="auto" w:sz="6" w:space="0"/>
              <w:bottom w:val="single" w:color="auto" w:sz="6" w:space="0"/>
              <w:right w:val="single" w:color="auto" w:sz="4" w:space="0"/>
            </w:tcBorders>
            <w:noWrap w:val="0"/>
            <w:vAlign w:val="center"/>
          </w:tcPr>
          <w:p w14:paraId="1A80FA50">
            <w:pPr>
              <w:autoSpaceDE w:val="0"/>
              <w:autoSpaceDN w:val="0"/>
              <w:adjustRightInd w:val="0"/>
              <w:snapToGrid w:val="0"/>
              <w:spacing w:line="360" w:lineRule="auto"/>
              <w:ind w:right="-20"/>
              <w:jc w:val="center"/>
              <w:rPr>
                <w:rFonts w:ascii="宋体" w:hAnsi="宋体"/>
                <w:color w:val="auto"/>
                <w:kern w:val="0"/>
                <w:szCs w:val="21"/>
                <w:highlight w:val="none"/>
              </w:rPr>
            </w:pPr>
          </w:p>
        </w:tc>
        <w:tc>
          <w:tcPr>
            <w:tcW w:w="910" w:type="dxa"/>
            <w:tcBorders>
              <w:top w:val="single" w:color="auto" w:sz="6" w:space="0"/>
              <w:left w:val="single" w:color="auto" w:sz="4" w:space="0"/>
              <w:bottom w:val="single" w:color="auto" w:sz="6" w:space="0"/>
              <w:right w:val="single" w:color="auto" w:sz="4" w:space="0"/>
            </w:tcBorders>
            <w:noWrap w:val="0"/>
            <w:vAlign w:val="center"/>
          </w:tcPr>
          <w:p w14:paraId="3E2BDD53">
            <w:pPr>
              <w:autoSpaceDE w:val="0"/>
              <w:autoSpaceDN w:val="0"/>
              <w:adjustRightInd w:val="0"/>
              <w:snapToGrid w:val="0"/>
              <w:spacing w:line="360" w:lineRule="auto"/>
              <w:ind w:right="-20"/>
              <w:jc w:val="center"/>
              <w:rPr>
                <w:rFonts w:ascii="宋体" w:hAnsi="宋体"/>
                <w:color w:val="auto"/>
                <w:kern w:val="0"/>
                <w:szCs w:val="21"/>
                <w:highlight w:val="none"/>
              </w:rPr>
            </w:pPr>
            <w:r>
              <w:rPr>
                <w:rFonts w:hint="eastAsia" w:ascii="宋体" w:hAnsi="宋体" w:cs="微软雅黑"/>
                <w:color w:val="auto"/>
                <w:kern w:val="0"/>
                <w:position w:val="-1"/>
                <w:szCs w:val="21"/>
                <w:highlight w:val="none"/>
              </w:rPr>
              <w:t>单价</w:t>
            </w:r>
          </w:p>
        </w:tc>
        <w:tc>
          <w:tcPr>
            <w:tcW w:w="916" w:type="dxa"/>
            <w:tcBorders>
              <w:top w:val="single" w:color="auto" w:sz="6" w:space="0"/>
              <w:left w:val="single" w:color="auto" w:sz="4" w:space="0"/>
              <w:bottom w:val="single" w:color="auto" w:sz="6" w:space="0"/>
              <w:right w:val="single" w:color="auto" w:sz="6" w:space="0"/>
            </w:tcBorders>
            <w:noWrap w:val="0"/>
            <w:vAlign w:val="center"/>
          </w:tcPr>
          <w:p w14:paraId="2F6327DA">
            <w:pPr>
              <w:autoSpaceDE w:val="0"/>
              <w:autoSpaceDN w:val="0"/>
              <w:adjustRightInd w:val="0"/>
              <w:snapToGrid w:val="0"/>
              <w:spacing w:line="360" w:lineRule="auto"/>
              <w:ind w:left="70" w:right="-20"/>
              <w:jc w:val="center"/>
              <w:rPr>
                <w:rFonts w:ascii="宋体" w:hAnsi="宋体"/>
                <w:color w:val="auto"/>
                <w:kern w:val="0"/>
                <w:szCs w:val="21"/>
                <w:highlight w:val="none"/>
              </w:rPr>
            </w:pPr>
            <w:r>
              <w:rPr>
                <w:rFonts w:hint="eastAsia" w:ascii="宋体" w:hAnsi="宋体"/>
                <w:color w:val="auto"/>
                <w:kern w:val="0"/>
                <w:szCs w:val="21"/>
                <w:highlight w:val="none"/>
              </w:rPr>
              <w:t>小计</w:t>
            </w:r>
          </w:p>
        </w:tc>
        <w:tc>
          <w:tcPr>
            <w:tcW w:w="914" w:type="dxa"/>
            <w:vMerge w:val="continue"/>
            <w:tcBorders>
              <w:top w:val="single" w:color="auto" w:sz="6" w:space="0"/>
              <w:left w:val="single" w:color="auto" w:sz="6" w:space="0"/>
              <w:bottom w:val="single" w:color="auto" w:sz="6" w:space="0"/>
              <w:right w:val="double" w:color="auto" w:sz="4" w:space="0"/>
            </w:tcBorders>
            <w:noWrap w:val="0"/>
            <w:vAlign w:val="top"/>
          </w:tcPr>
          <w:p w14:paraId="42CF0910">
            <w:pPr>
              <w:autoSpaceDE w:val="0"/>
              <w:autoSpaceDN w:val="0"/>
              <w:adjustRightInd w:val="0"/>
              <w:snapToGrid w:val="0"/>
              <w:spacing w:line="360" w:lineRule="auto"/>
              <w:ind w:left="422" w:right="-20"/>
              <w:jc w:val="left"/>
              <w:rPr>
                <w:rFonts w:ascii="宋体" w:hAnsi="宋体"/>
                <w:color w:val="auto"/>
                <w:kern w:val="0"/>
                <w:szCs w:val="21"/>
                <w:highlight w:val="none"/>
              </w:rPr>
            </w:pPr>
          </w:p>
        </w:tc>
      </w:tr>
      <w:tr w14:paraId="588CA937">
        <w:tblPrEx>
          <w:tblCellMar>
            <w:top w:w="0" w:type="dxa"/>
            <w:left w:w="0" w:type="dxa"/>
            <w:bottom w:w="0" w:type="dxa"/>
            <w:right w:w="0" w:type="dxa"/>
          </w:tblCellMar>
        </w:tblPrEx>
        <w:trPr>
          <w:trHeight w:val="378"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13FDB331">
            <w:pPr>
              <w:jc w:val="center"/>
              <w:rPr>
                <w:rFonts w:ascii="宋体" w:hAnsi="宋体" w:cs="宋体"/>
                <w:color w:val="auto"/>
                <w:highlight w:val="none"/>
              </w:rPr>
            </w:pPr>
            <w:r>
              <w:rPr>
                <w:rFonts w:hint="eastAsia" w:ascii="宋体" w:hAnsi="宋体" w:cs="宋体"/>
                <w:color w:val="auto"/>
                <w:highlight w:val="none"/>
              </w:rPr>
              <w:t>1</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2CAB5FE4">
            <w:pPr>
              <w:autoSpaceDE w:val="0"/>
              <w:autoSpaceDN w:val="0"/>
              <w:adjustRightInd w:val="0"/>
              <w:snapToGrid w:val="0"/>
              <w:spacing w:line="360" w:lineRule="auto"/>
              <w:jc w:val="center"/>
              <w:rPr>
                <w:rFonts w:ascii="宋体" w:hAnsi="宋体"/>
                <w:color w:val="auto"/>
                <w:kern w:val="0"/>
                <w:szCs w:val="21"/>
                <w:highlight w:val="none"/>
              </w:rPr>
            </w:pPr>
          </w:p>
        </w:tc>
        <w:tc>
          <w:tcPr>
            <w:tcW w:w="4418" w:type="dxa"/>
            <w:tcBorders>
              <w:top w:val="single" w:color="auto" w:sz="6" w:space="0"/>
              <w:left w:val="single" w:color="auto" w:sz="6" w:space="0"/>
              <w:bottom w:val="single" w:color="auto" w:sz="6" w:space="0"/>
              <w:right w:val="single" w:color="auto" w:sz="4" w:space="0"/>
            </w:tcBorders>
            <w:noWrap w:val="0"/>
            <w:vAlign w:val="top"/>
          </w:tcPr>
          <w:p w14:paraId="106B1544">
            <w:pPr>
              <w:autoSpaceDE w:val="0"/>
              <w:autoSpaceDN w:val="0"/>
              <w:adjustRightInd w:val="0"/>
              <w:snapToGrid w:val="0"/>
              <w:spacing w:line="360" w:lineRule="auto"/>
              <w:jc w:val="left"/>
              <w:rPr>
                <w:rFonts w:ascii="宋体" w:hAnsi="宋体"/>
                <w:color w:val="auto"/>
                <w:kern w:val="0"/>
                <w:szCs w:val="21"/>
                <w:highlight w:val="none"/>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23636F9A">
            <w:pPr>
              <w:autoSpaceDE w:val="0"/>
              <w:autoSpaceDN w:val="0"/>
              <w:adjustRightInd w:val="0"/>
              <w:snapToGrid w:val="0"/>
              <w:spacing w:line="360" w:lineRule="auto"/>
              <w:jc w:val="left"/>
              <w:rPr>
                <w:rFonts w:ascii="宋体" w:hAnsi="宋体"/>
                <w:color w:val="auto"/>
                <w:kern w:val="0"/>
                <w:szCs w:val="21"/>
                <w:highlight w:val="none"/>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054FF774">
            <w:pPr>
              <w:autoSpaceDE w:val="0"/>
              <w:autoSpaceDN w:val="0"/>
              <w:adjustRightInd w:val="0"/>
              <w:snapToGrid w:val="0"/>
              <w:spacing w:line="360" w:lineRule="auto"/>
              <w:jc w:val="left"/>
              <w:rPr>
                <w:rFonts w:ascii="宋体" w:hAnsi="宋体"/>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05AB41A2">
            <w:pPr>
              <w:autoSpaceDE w:val="0"/>
              <w:autoSpaceDN w:val="0"/>
              <w:adjustRightInd w:val="0"/>
              <w:snapToGrid w:val="0"/>
              <w:spacing w:line="360" w:lineRule="auto"/>
              <w:jc w:val="left"/>
              <w:rPr>
                <w:rFonts w:ascii="宋体" w:hAnsi="宋体"/>
                <w:color w:val="auto"/>
                <w:kern w:val="0"/>
                <w:szCs w:val="21"/>
                <w:highlight w:val="none"/>
              </w:rPr>
            </w:pPr>
          </w:p>
        </w:tc>
      </w:tr>
      <w:tr w14:paraId="509EEEAB">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550B056C">
            <w:pPr>
              <w:jc w:val="center"/>
              <w:rPr>
                <w:rFonts w:ascii="宋体" w:hAnsi="宋体" w:cs="宋体"/>
                <w:color w:val="auto"/>
                <w:highlight w:val="none"/>
              </w:rPr>
            </w:pPr>
            <w:r>
              <w:rPr>
                <w:rFonts w:hint="eastAsia" w:ascii="宋体" w:hAnsi="宋体" w:cs="宋体"/>
                <w:color w:val="auto"/>
                <w:highlight w:val="none"/>
              </w:rPr>
              <w:t>2</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6E044694">
            <w:pPr>
              <w:autoSpaceDE w:val="0"/>
              <w:autoSpaceDN w:val="0"/>
              <w:adjustRightInd w:val="0"/>
              <w:snapToGrid w:val="0"/>
              <w:spacing w:line="360" w:lineRule="auto"/>
              <w:jc w:val="center"/>
              <w:rPr>
                <w:rFonts w:ascii="宋体" w:hAnsi="宋体"/>
                <w:color w:val="auto"/>
                <w:kern w:val="0"/>
                <w:szCs w:val="21"/>
                <w:highlight w:val="none"/>
              </w:rPr>
            </w:pPr>
          </w:p>
        </w:tc>
        <w:tc>
          <w:tcPr>
            <w:tcW w:w="4418" w:type="dxa"/>
            <w:tcBorders>
              <w:top w:val="single" w:color="auto" w:sz="6" w:space="0"/>
              <w:left w:val="single" w:color="auto" w:sz="6" w:space="0"/>
              <w:bottom w:val="single" w:color="auto" w:sz="6" w:space="0"/>
              <w:right w:val="single" w:color="auto" w:sz="4" w:space="0"/>
            </w:tcBorders>
            <w:noWrap w:val="0"/>
            <w:vAlign w:val="top"/>
          </w:tcPr>
          <w:p w14:paraId="098CC26D">
            <w:pPr>
              <w:autoSpaceDE w:val="0"/>
              <w:autoSpaceDN w:val="0"/>
              <w:adjustRightInd w:val="0"/>
              <w:snapToGrid w:val="0"/>
              <w:spacing w:line="360" w:lineRule="auto"/>
              <w:jc w:val="left"/>
              <w:rPr>
                <w:rFonts w:ascii="宋体" w:hAnsi="宋体"/>
                <w:color w:val="auto"/>
                <w:kern w:val="0"/>
                <w:szCs w:val="21"/>
                <w:highlight w:val="none"/>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31B612E6">
            <w:pPr>
              <w:autoSpaceDE w:val="0"/>
              <w:autoSpaceDN w:val="0"/>
              <w:adjustRightInd w:val="0"/>
              <w:snapToGrid w:val="0"/>
              <w:spacing w:line="360" w:lineRule="auto"/>
              <w:jc w:val="left"/>
              <w:rPr>
                <w:rFonts w:ascii="宋体" w:hAnsi="宋体"/>
                <w:color w:val="auto"/>
                <w:kern w:val="0"/>
                <w:szCs w:val="21"/>
                <w:highlight w:val="none"/>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0BBB982E">
            <w:pPr>
              <w:autoSpaceDE w:val="0"/>
              <w:autoSpaceDN w:val="0"/>
              <w:adjustRightInd w:val="0"/>
              <w:snapToGrid w:val="0"/>
              <w:spacing w:line="360" w:lineRule="auto"/>
              <w:jc w:val="left"/>
              <w:rPr>
                <w:rFonts w:ascii="宋体" w:hAnsi="宋体"/>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4F189F8B">
            <w:pPr>
              <w:autoSpaceDE w:val="0"/>
              <w:autoSpaceDN w:val="0"/>
              <w:adjustRightInd w:val="0"/>
              <w:snapToGrid w:val="0"/>
              <w:spacing w:line="360" w:lineRule="auto"/>
              <w:jc w:val="left"/>
              <w:rPr>
                <w:rFonts w:ascii="宋体" w:hAnsi="宋体"/>
                <w:color w:val="auto"/>
                <w:kern w:val="0"/>
                <w:szCs w:val="21"/>
                <w:highlight w:val="none"/>
              </w:rPr>
            </w:pPr>
          </w:p>
        </w:tc>
      </w:tr>
      <w:tr w14:paraId="7C557550">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039B6A21">
            <w:pPr>
              <w:jc w:val="center"/>
              <w:rPr>
                <w:rFonts w:ascii="宋体" w:hAnsi="宋体" w:cs="宋体"/>
                <w:color w:val="auto"/>
                <w:highlight w:val="none"/>
              </w:rPr>
            </w:pPr>
            <w:r>
              <w:rPr>
                <w:rFonts w:hint="eastAsia" w:ascii="宋体" w:hAnsi="宋体" w:cs="宋体"/>
                <w:color w:val="auto"/>
                <w:highlight w:val="none"/>
              </w:rPr>
              <w:t>3</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72635D63">
            <w:pPr>
              <w:autoSpaceDE w:val="0"/>
              <w:autoSpaceDN w:val="0"/>
              <w:adjustRightInd w:val="0"/>
              <w:snapToGrid w:val="0"/>
              <w:spacing w:line="360" w:lineRule="auto"/>
              <w:jc w:val="center"/>
              <w:rPr>
                <w:rFonts w:ascii="宋体" w:hAnsi="宋体"/>
                <w:color w:val="auto"/>
                <w:kern w:val="0"/>
                <w:szCs w:val="21"/>
                <w:highlight w:val="none"/>
              </w:rPr>
            </w:pPr>
          </w:p>
        </w:tc>
        <w:tc>
          <w:tcPr>
            <w:tcW w:w="4418" w:type="dxa"/>
            <w:tcBorders>
              <w:top w:val="single" w:color="auto" w:sz="6" w:space="0"/>
              <w:left w:val="single" w:color="auto" w:sz="6" w:space="0"/>
              <w:bottom w:val="single" w:color="auto" w:sz="6" w:space="0"/>
              <w:right w:val="single" w:color="auto" w:sz="4" w:space="0"/>
            </w:tcBorders>
            <w:noWrap w:val="0"/>
            <w:vAlign w:val="top"/>
          </w:tcPr>
          <w:p w14:paraId="0171DCC3">
            <w:pPr>
              <w:autoSpaceDE w:val="0"/>
              <w:autoSpaceDN w:val="0"/>
              <w:adjustRightInd w:val="0"/>
              <w:snapToGrid w:val="0"/>
              <w:spacing w:line="360" w:lineRule="auto"/>
              <w:jc w:val="left"/>
              <w:rPr>
                <w:rFonts w:ascii="宋体" w:hAnsi="宋体"/>
                <w:color w:val="auto"/>
                <w:kern w:val="0"/>
                <w:szCs w:val="21"/>
                <w:highlight w:val="none"/>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139F1DBF">
            <w:pPr>
              <w:autoSpaceDE w:val="0"/>
              <w:autoSpaceDN w:val="0"/>
              <w:adjustRightInd w:val="0"/>
              <w:snapToGrid w:val="0"/>
              <w:spacing w:line="360" w:lineRule="auto"/>
              <w:jc w:val="left"/>
              <w:rPr>
                <w:rFonts w:ascii="宋体" w:hAnsi="宋体"/>
                <w:color w:val="auto"/>
                <w:kern w:val="0"/>
                <w:szCs w:val="21"/>
                <w:highlight w:val="none"/>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3798246C">
            <w:pPr>
              <w:autoSpaceDE w:val="0"/>
              <w:autoSpaceDN w:val="0"/>
              <w:adjustRightInd w:val="0"/>
              <w:snapToGrid w:val="0"/>
              <w:spacing w:line="360" w:lineRule="auto"/>
              <w:jc w:val="left"/>
              <w:rPr>
                <w:rFonts w:ascii="宋体" w:hAnsi="宋体"/>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7AE47C46">
            <w:pPr>
              <w:autoSpaceDE w:val="0"/>
              <w:autoSpaceDN w:val="0"/>
              <w:adjustRightInd w:val="0"/>
              <w:snapToGrid w:val="0"/>
              <w:spacing w:line="360" w:lineRule="auto"/>
              <w:jc w:val="left"/>
              <w:rPr>
                <w:rFonts w:ascii="宋体" w:hAnsi="宋体"/>
                <w:color w:val="auto"/>
                <w:kern w:val="0"/>
                <w:szCs w:val="21"/>
                <w:highlight w:val="none"/>
              </w:rPr>
            </w:pPr>
          </w:p>
        </w:tc>
      </w:tr>
      <w:tr w14:paraId="23559945">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697A713D">
            <w:pPr>
              <w:jc w:val="center"/>
              <w:rPr>
                <w:rFonts w:ascii="宋体" w:hAnsi="宋体" w:cs="宋体"/>
                <w:color w:val="auto"/>
                <w:highlight w:val="none"/>
              </w:rPr>
            </w:pPr>
            <w:r>
              <w:rPr>
                <w:rFonts w:hint="eastAsia" w:ascii="宋体" w:hAnsi="宋体" w:cs="宋体"/>
                <w:color w:val="auto"/>
                <w:highlight w:val="none"/>
              </w:rPr>
              <w:t>4</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4318CC2A">
            <w:pPr>
              <w:autoSpaceDE w:val="0"/>
              <w:autoSpaceDN w:val="0"/>
              <w:adjustRightInd w:val="0"/>
              <w:snapToGrid w:val="0"/>
              <w:spacing w:line="360" w:lineRule="auto"/>
              <w:jc w:val="center"/>
              <w:rPr>
                <w:rFonts w:ascii="宋体" w:hAnsi="宋体"/>
                <w:color w:val="auto"/>
                <w:kern w:val="0"/>
                <w:szCs w:val="21"/>
                <w:highlight w:val="none"/>
              </w:rPr>
            </w:pPr>
          </w:p>
        </w:tc>
        <w:tc>
          <w:tcPr>
            <w:tcW w:w="4418" w:type="dxa"/>
            <w:tcBorders>
              <w:top w:val="single" w:color="auto" w:sz="6" w:space="0"/>
              <w:left w:val="single" w:color="auto" w:sz="6" w:space="0"/>
              <w:bottom w:val="single" w:color="auto" w:sz="6" w:space="0"/>
              <w:right w:val="single" w:color="auto" w:sz="4" w:space="0"/>
            </w:tcBorders>
            <w:noWrap w:val="0"/>
            <w:vAlign w:val="top"/>
          </w:tcPr>
          <w:p w14:paraId="3BCBE4DC">
            <w:pPr>
              <w:autoSpaceDE w:val="0"/>
              <w:autoSpaceDN w:val="0"/>
              <w:adjustRightInd w:val="0"/>
              <w:snapToGrid w:val="0"/>
              <w:spacing w:line="360" w:lineRule="auto"/>
              <w:jc w:val="left"/>
              <w:rPr>
                <w:rFonts w:ascii="宋体" w:hAnsi="宋体"/>
                <w:color w:val="auto"/>
                <w:kern w:val="0"/>
                <w:szCs w:val="21"/>
                <w:highlight w:val="none"/>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047054FB">
            <w:pPr>
              <w:autoSpaceDE w:val="0"/>
              <w:autoSpaceDN w:val="0"/>
              <w:adjustRightInd w:val="0"/>
              <w:snapToGrid w:val="0"/>
              <w:spacing w:line="360" w:lineRule="auto"/>
              <w:jc w:val="left"/>
              <w:rPr>
                <w:rFonts w:ascii="宋体" w:hAnsi="宋体"/>
                <w:color w:val="auto"/>
                <w:kern w:val="0"/>
                <w:szCs w:val="21"/>
                <w:highlight w:val="none"/>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655FF705">
            <w:pPr>
              <w:autoSpaceDE w:val="0"/>
              <w:autoSpaceDN w:val="0"/>
              <w:adjustRightInd w:val="0"/>
              <w:snapToGrid w:val="0"/>
              <w:spacing w:line="360" w:lineRule="auto"/>
              <w:jc w:val="left"/>
              <w:rPr>
                <w:rFonts w:ascii="宋体" w:hAnsi="宋体"/>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4A86B219">
            <w:pPr>
              <w:autoSpaceDE w:val="0"/>
              <w:autoSpaceDN w:val="0"/>
              <w:adjustRightInd w:val="0"/>
              <w:snapToGrid w:val="0"/>
              <w:spacing w:line="360" w:lineRule="auto"/>
              <w:jc w:val="left"/>
              <w:rPr>
                <w:rFonts w:ascii="宋体" w:hAnsi="宋体"/>
                <w:color w:val="auto"/>
                <w:kern w:val="0"/>
                <w:szCs w:val="21"/>
                <w:highlight w:val="none"/>
              </w:rPr>
            </w:pPr>
          </w:p>
        </w:tc>
      </w:tr>
      <w:tr w14:paraId="28645552">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4FB5E495">
            <w:pPr>
              <w:jc w:val="center"/>
              <w:rPr>
                <w:rFonts w:ascii="宋体" w:hAnsi="宋体" w:cs="宋体"/>
                <w:color w:val="auto"/>
                <w:highlight w:val="none"/>
              </w:rPr>
            </w:pPr>
            <w:r>
              <w:rPr>
                <w:rFonts w:hint="eastAsia" w:ascii="宋体" w:hAnsi="宋体" w:cs="宋体"/>
                <w:color w:val="auto"/>
                <w:highlight w:val="none"/>
              </w:rPr>
              <w:t>5</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60B5382B">
            <w:pPr>
              <w:autoSpaceDE w:val="0"/>
              <w:autoSpaceDN w:val="0"/>
              <w:adjustRightInd w:val="0"/>
              <w:snapToGrid w:val="0"/>
              <w:spacing w:line="360" w:lineRule="auto"/>
              <w:jc w:val="center"/>
              <w:rPr>
                <w:rFonts w:ascii="宋体" w:hAnsi="宋体"/>
                <w:color w:val="auto"/>
                <w:kern w:val="0"/>
                <w:szCs w:val="21"/>
                <w:highlight w:val="none"/>
              </w:rPr>
            </w:pPr>
          </w:p>
        </w:tc>
        <w:tc>
          <w:tcPr>
            <w:tcW w:w="4418" w:type="dxa"/>
            <w:tcBorders>
              <w:top w:val="single" w:color="auto" w:sz="6" w:space="0"/>
              <w:left w:val="single" w:color="auto" w:sz="6" w:space="0"/>
              <w:bottom w:val="single" w:color="auto" w:sz="6" w:space="0"/>
              <w:right w:val="single" w:color="auto" w:sz="4" w:space="0"/>
            </w:tcBorders>
            <w:noWrap w:val="0"/>
            <w:vAlign w:val="top"/>
          </w:tcPr>
          <w:p w14:paraId="61F8A826">
            <w:pPr>
              <w:autoSpaceDE w:val="0"/>
              <w:autoSpaceDN w:val="0"/>
              <w:adjustRightInd w:val="0"/>
              <w:snapToGrid w:val="0"/>
              <w:spacing w:line="360" w:lineRule="auto"/>
              <w:jc w:val="left"/>
              <w:rPr>
                <w:rFonts w:ascii="宋体" w:hAnsi="宋体"/>
                <w:color w:val="auto"/>
                <w:kern w:val="0"/>
                <w:szCs w:val="21"/>
                <w:highlight w:val="none"/>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3C778CC6">
            <w:pPr>
              <w:autoSpaceDE w:val="0"/>
              <w:autoSpaceDN w:val="0"/>
              <w:adjustRightInd w:val="0"/>
              <w:snapToGrid w:val="0"/>
              <w:spacing w:line="360" w:lineRule="auto"/>
              <w:jc w:val="left"/>
              <w:rPr>
                <w:rFonts w:ascii="宋体" w:hAnsi="宋体"/>
                <w:color w:val="auto"/>
                <w:kern w:val="0"/>
                <w:szCs w:val="21"/>
                <w:highlight w:val="none"/>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710E9E1B">
            <w:pPr>
              <w:autoSpaceDE w:val="0"/>
              <w:autoSpaceDN w:val="0"/>
              <w:adjustRightInd w:val="0"/>
              <w:snapToGrid w:val="0"/>
              <w:spacing w:line="360" w:lineRule="auto"/>
              <w:jc w:val="left"/>
              <w:rPr>
                <w:rFonts w:ascii="宋体" w:hAnsi="宋体"/>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64FD3677">
            <w:pPr>
              <w:autoSpaceDE w:val="0"/>
              <w:autoSpaceDN w:val="0"/>
              <w:adjustRightInd w:val="0"/>
              <w:snapToGrid w:val="0"/>
              <w:spacing w:line="360" w:lineRule="auto"/>
              <w:jc w:val="left"/>
              <w:rPr>
                <w:rFonts w:ascii="宋体" w:hAnsi="宋体"/>
                <w:color w:val="auto"/>
                <w:kern w:val="0"/>
                <w:szCs w:val="21"/>
                <w:highlight w:val="none"/>
              </w:rPr>
            </w:pPr>
          </w:p>
        </w:tc>
      </w:tr>
      <w:tr w14:paraId="465C3C02">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0554FB3E">
            <w:pPr>
              <w:jc w:val="center"/>
              <w:rPr>
                <w:color w:val="auto"/>
                <w:highlight w:val="none"/>
              </w:rPr>
            </w:pPr>
            <w:r>
              <w:rPr>
                <w:color w:val="auto"/>
                <w:highlight w:val="none"/>
              </w:rPr>
              <w:t>…</w:t>
            </w:r>
          </w:p>
        </w:tc>
        <w:tc>
          <w:tcPr>
            <w:tcW w:w="1383" w:type="dxa"/>
            <w:tcBorders>
              <w:top w:val="single" w:color="auto" w:sz="6" w:space="0"/>
              <w:left w:val="single" w:color="auto" w:sz="6" w:space="0"/>
              <w:bottom w:val="single" w:color="auto" w:sz="6" w:space="0"/>
              <w:right w:val="single" w:color="auto" w:sz="6" w:space="0"/>
            </w:tcBorders>
            <w:noWrap w:val="0"/>
            <w:vAlign w:val="top"/>
          </w:tcPr>
          <w:p w14:paraId="4E913136">
            <w:pPr>
              <w:autoSpaceDE w:val="0"/>
              <w:autoSpaceDN w:val="0"/>
              <w:adjustRightInd w:val="0"/>
              <w:snapToGrid w:val="0"/>
              <w:spacing w:line="360" w:lineRule="auto"/>
              <w:ind w:left="527" w:right="507"/>
              <w:jc w:val="center"/>
              <w:rPr>
                <w:rFonts w:ascii="宋体" w:hAnsi="宋体"/>
                <w:color w:val="auto"/>
                <w:kern w:val="0"/>
                <w:szCs w:val="21"/>
                <w:highlight w:val="none"/>
              </w:rPr>
            </w:pPr>
          </w:p>
        </w:tc>
        <w:tc>
          <w:tcPr>
            <w:tcW w:w="4418" w:type="dxa"/>
            <w:tcBorders>
              <w:top w:val="single" w:color="auto" w:sz="6" w:space="0"/>
              <w:left w:val="single" w:color="auto" w:sz="6" w:space="0"/>
              <w:bottom w:val="single" w:color="auto" w:sz="6" w:space="0"/>
              <w:right w:val="single" w:color="auto" w:sz="4" w:space="0"/>
            </w:tcBorders>
            <w:noWrap w:val="0"/>
            <w:vAlign w:val="top"/>
          </w:tcPr>
          <w:p w14:paraId="314E7936">
            <w:pPr>
              <w:autoSpaceDE w:val="0"/>
              <w:autoSpaceDN w:val="0"/>
              <w:adjustRightInd w:val="0"/>
              <w:snapToGrid w:val="0"/>
              <w:spacing w:line="360" w:lineRule="auto"/>
              <w:jc w:val="left"/>
              <w:rPr>
                <w:rFonts w:ascii="宋体" w:hAnsi="宋体"/>
                <w:color w:val="auto"/>
                <w:kern w:val="0"/>
                <w:szCs w:val="21"/>
                <w:highlight w:val="none"/>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4628E1E7">
            <w:pPr>
              <w:autoSpaceDE w:val="0"/>
              <w:autoSpaceDN w:val="0"/>
              <w:adjustRightInd w:val="0"/>
              <w:snapToGrid w:val="0"/>
              <w:spacing w:line="360" w:lineRule="auto"/>
              <w:jc w:val="left"/>
              <w:rPr>
                <w:rFonts w:ascii="宋体" w:hAnsi="宋体"/>
                <w:color w:val="auto"/>
                <w:kern w:val="0"/>
                <w:szCs w:val="21"/>
                <w:highlight w:val="none"/>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0207D3B9">
            <w:pPr>
              <w:autoSpaceDE w:val="0"/>
              <w:autoSpaceDN w:val="0"/>
              <w:adjustRightInd w:val="0"/>
              <w:snapToGrid w:val="0"/>
              <w:spacing w:line="360" w:lineRule="auto"/>
              <w:jc w:val="left"/>
              <w:rPr>
                <w:rFonts w:ascii="宋体" w:hAnsi="宋体"/>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53895FFF">
            <w:pPr>
              <w:autoSpaceDE w:val="0"/>
              <w:autoSpaceDN w:val="0"/>
              <w:adjustRightInd w:val="0"/>
              <w:snapToGrid w:val="0"/>
              <w:spacing w:line="360" w:lineRule="auto"/>
              <w:jc w:val="left"/>
              <w:rPr>
                <w:rFonts w:ascii="宋体" w:hAnsi="宋体"/>
                <w:color w:val="auto"/>
                <w:kern w:val="0"/>
                <w:szCs w:val="21"/>
                <w:highlight w:val="none"/>
              </w:rPr>
            </w:pPr>
          </w:p>
        </w:tc>
      </w:tr>
      <w:tr w14:paraId="3FC65E8C">
        <w:tblPrEx>
          <w:tblCellMar>
            <w:top w:w="0" w:type="dxa"/>
            <w:left w:w="0" w:type="dxa"/>
            <w:bottom w:w="0" w:type="dxa"/>
            <w:right w:w="0" w:type="dxa"/>
          </w:tblCellMar>
        </w:tblPrEx>
        <w:trPr>
          <w:trHeight w:val="415" w:hRule="exact"/>
        </w:trPr>
        <w:tc>
          <w:tcPr>
            <w:tcW w:w="7044" w:type="dxa"/>
            <w:gridSpan w:val="4"/>
            <w:tcBorders>
              <w:top w:val="single" w:color="auto" w:sz="6" w:space="0"/>
              <w:left w:val="double" w:color="auto" w:sz="4" w:space="0"/>
              <w:bottom w:val="double" w:color="auto" w:sz="4" w:space="0"/>
              <w:right w:val="single" w:color="auto" w:sz="6" w:space="0"/>
            </w:tcBorders>
            <w:noWrap w:val="0"/>
            <w:vAlign w:val="center"/>
          </w:tcPr>
          <w:p w14:paraId="7D9C9248">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微软雅黑"/>
                <w:color w:val="auto"/>
                <w:kern w:val="0"/>
                <w:position w:val="-1"/>
                <w:szCs w:val="21"/>
                <w:highlight w:val="none"/>
              </w:rPr>
              <w:t>投标报价（元）：</w:t>
            </w:r>
          </w:p>
        </w:tc>
        <w:tc>
          <w:tcPr>
            <w:tcW w:w="916" w:type="dxa"/>
            <w:tcBorders>
              <w:top w:val="single" w:color="auto" w:sz="6" w:space="0"/>
              <w:left w:val="single" w:color="auto" w:sz="6" w:space="0"/>
              <w:bottom w:val="double" w:color="auto" w:sz="4" w:space="0"/>
              <w:right w:val="single" w:color="auto" w:sz="6" w:space="0"/>
            </w:tcBorders>
            <w:noWrap w:val="0"/>
            <w:vAlign w:val="top"/>
          </w:tcPr>
          <w:p w14:paraId="52DFF8A8">
            <w:pPr>
              <w:autoSpaceDE w:val="0"/>
              <w:autoSpaceDN w:val="0"/>
              <w:adjustRightInd w:val="0"/>
              <w:snapToGrid w:val="0"/>
              <w:spacing w:line="360" w:lineRule="auto"/>
              <w:jc w:val="left"/>
              <w:rPr>
                <w:rFonts w:ascii="宋体" w:hAnsi="宋体"/>
                <w:color w:val="auto"/>
                <w:kern w:val="0"/>
                <w:szCs w:val="21"/>
                <w:highlight w:val="none"/>
              </w:rPr>
            </w:pPr>
          </w:p>
        </w:tc>
        <w:tc>
          <w:tcPr>
            <w:tcW w:w="914" w:type="dxa"/>
            <w:tcBorders>
              <w:top w:val="single" w:color="auto" w:sz="6" w:space="0"/>
              <w:left w:val="single" w:color="auto" w:sz="6" w:space="0"/>
              <w:bottom w:val="double" w:color="auto" w:sz="4" w:space="0"/>
              <w:right w:val="double" w:color="auto" w:sz="4" w:space="0"/>
            </w:tcBorders>
            <w:noWrap w:val="0"/>
            <w:vAlign w:val="top"/>
          </w:tcPr>
          <w:p w14:paraId="69423A4F">
            <w:pPr>
              <w:autoSpaceDE w:val="0"/>
              <w:autoSpaceDN w:val="0"/>
              <w:adjustRightInd w:val="0"/>
              <w:snapToGrid w:val="0"/>
              <w:spacing w:line="360" w:lineRule="auto"/>
              <w:jc w:val="left"/>
              <w:rPr>
                <w:rFonts w:ascii="宋体" w:hAnsi="宋体"/>
                <w:color w:val="auto"/>
                <w:kern w:val="0"/>
                <w:szCs w:val="21"/>
                <w:highlight w:val="none"/>
              </w:rPr>
            </w:pPr>
          </w:p>
        </w:tc>
      </w:tr>
    </w:tbl>
    <w:p w14:paraId="23AE497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注：1.</w:t>
      </w:r>
      <w:r>
        <w:rPr>
          <w:rFonts w:hint="eastAsia" w:ascii="宋体" w:hAnsi="宋体"/>
          <w:b/>
          <w:color w:val="auto"/>
          <w:szCs w:val="21"/>
          <w:highlight w:val="none"/>
        </w:rPr>
        <w:t>本表应对应</w:t>
      </w:r>
      <w:r>
        <w:rPr>
          <w:rFonts w:hint="eastAsia" w:ascii="宋体" w:hAnsi="宋体"/>
          <w:color w:val="auto"/>
          <w:szCs w:val="21"/>
          <w:highlight w:val="none"/>
        </w:rPr>
        <w:t>“</w:t>
      </w:r>
      <w:r>
        <w:rPr>
          <w:rFonts w:hint="eastAsia" w:ascii="宋体" w:hAnsi="宋体"/>
          <w:b/>
          <w:color w:val="auto"/>
          <w:szCs w:val="21"/>
          <w:highlight w:val="none"/>
          <w:lang w:val="en-US" w:eastAsia="zh-CN"/>
        </w:rPr>
        <w:t>报价</w:t>
      </w:r>
      <w:r>
        <w:rPr>
          <w:rFonts w:hint="eastAsia" w:ascii="宋体" w:hAnsi="宋体"/>
          <w:b/>
          <w:color w:val="auto"/>
          <w:szCs w:val="21"/>
          <w:highlight w:val="none"/>
        </w:rPr>
        <w:t>一览表</w:t>
      </w:r>
      <w:r>
        <w:rPr>
          <w:rFonts w:hint="eastAsia" w:ascii="宋体" w:hAnsi="宋体"/>
          <w:color w:val="auto"/>
          <w:szCs w:val="21"/>
          <w:highlight w:val="none"/>
        </w:rPr>
        <w:t>”</w:t>
      </w:r>
      <w:r>
        <w:rPr>
          <w:rFonts w:hint="eastAsia" w:ascii="宋体" w:hAnsi="宋体"/>
          <w:b/>
          <w:color w:val="auto"/>
          <w:szCs w:val="21"/>
          <w:highlight w:val="none"/>
        </w:rPr>
        <w:t>，按</w:t>
      </w:r>
      <w:r>
        <w:rPr>
          <w:rFonts w:hint="eastAsia" w:ascii="宋体" w:hAnsi="宋体"/>
          <w:b/>
          <w:color w:val="auto"/>
          <w:szCs w:val="21"/>
          <w:highlight w:val="none"/>
          <w:lang w:val="en-US" w:eastAsia="zh-CN"/>
        </w:rPr>
        <w:t>项目</w:t>
      </w:r>
      <w:r>
        <w:rPr>
          <w:rFonts w:hint="eastAsia" w:ascii="宋体" w:hAnsi="宋体"/>
          <w:b/>
          <w:color w:val="auto"/>
          <w:szCs w:val="21"/>
          <w:highlight w:val="none"/>
        </w:rPr>
        <w:t>填写</w:t>
      </w:r>
      <w:r>
        <w:rPr>
          <w:rFonts w:hint="eastAsia" w:ascii="宋体" w:hAnsi="宋体"/>
          <w:color w:val="auto"/>
          <w:szCs w:val="21"/>
          <w:highlight w:val="none"/>
        </w:rPr>
        <w:t>。投标人如果不提供分项报价明细表，其</w:t>
      </w:r>
      <w:r>
        <w:rPr>
          <w:rFonts w:hint="eastAsia" w:ascii="宋体" w:hAnsi="宋体"/>
          <w:b/>
          <w:color w:val="auto"/>
          <w:szCs w:val="21"/>
          <w:highlight w:val="none"/>
        </w:rPr>
        <w:t>投标无效</w:t>
      </w:r>
      <w:r>
        <w:rPr>
          <w:rFonts w:hint="eastAsia" w:ascii="宋体" w:hAnsi="宋体"/>
          <w:color w:val="auto"/>
          <w:szCs w:val="21"/>
          <w:highlight w:val="none"/>
        </w:rPr>
        <w:t>。</w:t>
      </w:r>
    </w:p>
    <w:p w14:paraId="03484C7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2.不得填写“免费”或“</w:t>
      </w:r>
      <w:r>
        <w:rPr>
          <w:rFonts w:hint="eastAsia" w:ascii="宋体" w:hAnsi="宋体"/>
          <w:color w:val="auto"/>
          <w:szCs w:val="21"/>
          <w:highlight w:val="none"/>
          <w:lang w:eastAsia="zh-CN"/>
        </w:rPr>
        <w:t>赠予</w:t>
      </w:r>
      <w:r>
        <w:rPr>
          <w:rFonts w:hint="eastAsia" w:ascii="宋体" w:hAnsi="宋体"/>
          <w:color w:val="auto"/>
          <w:szCs w:val="21"/>
          <w:highlight w:val="none"/>
        </w:rPr>
        <w:t>”，也不得进行“零”报价，否则</w:t>
      </w:r>
      <w:r>
        <w:rPr>
          <w:rFonts w:hint="eastAsia" w:ascii="宋体" w:hAnsi="宋体"/>
          <w:b/>
          <w:color w:val="auto"/>
          <w:szCs w:val="21"/>
          <w:highlight w:val="none"/>
        </w:rPr>
        <w:t>投标无效</w:t>
      </w:r>
      <w:r>
        <w:rPr>
          <w:rFonts w:hint="eastAsia" w:ascii="宋体" w:hAnsi="宋体"/>
          <w:color w:val="auto"/>
          <w:szCs w:val="21"/>
          <w:highlight w:val="none"/>
        </w:rPr>
        <w:t>。</w:t>
      </w:r>
    </w:p>
    <w:p w14:paraId="28AEB516">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3.如果</w:t>
      </w:r>
      <w:r>
        <w:rPr>
          <w:rFonts w:hint="eastAsia" w:ascii="宋体" w:hAnsi="宋体"/>
          <w:color w:val="auto"/>
          <w:szCs w:val="21"/>
          <w:highlight w:val="none"/>
          <w:lang w:val="en-US" w:eastAsia="zh-CN"/>
        </w:rPr>
        <w:t>报价</w:t>
      </w:r>
      <w:r>
        <w:rPr>
          <w:rFonts w:hint="eastAsia" w:ascii="宋体" w:hAnsi="宋体"/>
          <w:color w:val="auto"/>
          <w:szCs w:val="21"/>
          <w:highlight w:val="none"/>
        </w:rPr>
        <w:t>一览表内容与本表内容不一致的，以</w:t>
      </w:r>
      <w:r>
        <w:rPr>
          <w:rFonts w:hint="eastAsia" w:ascii="宋体" w:hAnsi="宋体"/>
          <w:color w:val="auto"/>
          <w:szCs w:val="21"/>
          <w:highlight w:val="none"/>
          <w:lang w:val="en-US" w:eastAsia="zh-CN"/>
        </w:rPr>
        <w:t>报价</w:t>
      </w:r>
      <w:r>
        <w:rPr>
          <w:rFonts w:hint="eastAsia" w:ascii="宋体" w:hAnsi="宋体"/>
          <w:color w:val="auto"/>
          <w:szCs w:val="21"/>
          <w:highlight w:val="none"/>
        </w:rPr>
        <w:t>一览表内容为准。</w:t>
      </w:r>
    </w:p>
    <w:p w14:paraId="5176C85F">
      <w:pPr>
        <w:adjustRightInd w:val="0"/>
        <w:snapToGrid w:val="0"/>
        <w:spacing w:line="360" w:lineRule="auto"/>
        <w:rPr>
          <w:rFonts w:ascii="宋体" w:hAnsi="宋体"/>
          <w:color w:val="auto"/>
          <w:szCs w:val="21"/>
          <w:highlight w:val="none"/>
        </w:rPr>
      </w:pPr>
    </w:p>
    <w:p w14:paraId="25E5DC88">
      <w:pPr>
        <w:adjustRightInd w:val="0"/>
        <w:snapToGrid w:val="0"/>
        <w:spacing w:line="360" w:lineRule="auto"/>
        <w:rPr>
          <w:rFonts w:ascii="宋体" w:hAnsi="宋体"/>
          <w:color w:val="auto"/>
          <w:szCs w:val="21"/>
          <w:highlight w:val="none"/>
        </w:rPr>
      </w:pPr>
      <w:r>
        <w:rPr>
          <w:rFonts w:hint="eastAsia" w:ascii="宋体"/>
          <w:color w:val="auto"/>
          <w:szCs w:val="21"/>
          <w:highlight w:val="none"/>
        </w:rPr>
        <w:t>供应商</w:t>
      </w:r>
      <w:r>
        <w:rPr>
          <w:rFonts w:hint="eastAsia" w:ascii="宋体" w:hAnsi="宋体"/>
          <w:color w:val="auto"/>
          <w:szCs w:val="21"/>
          <w:highlight w:val="none"/>
        </w:rPr>
        <w:t>（盖单位章）：</w:t>
      </w:r>
    </w:p>
    <w:p w14:paraId="6FC9D067">
      <w:pPr>
        <w:adjustRightInd w:val="0"/>
        <w:snapToGrid w:val="0"/>
        <w:spacing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14:paraId="09D42B7C">
      <w:pPr>
        <w:rPr>
          <w:rFonts w:hint="eastAsia"/>
          <w:highlight w:val="none"/>
        </w:rPr>
        <w:sectPr>
          <w:headerReference r:id="rId6" w:type="default"/>
          <w:footerReference r:id="rId7" w:type="default"/>
          <w:pgSz w:w="11906" w:h="16838"/>
          <w:pgMar w:top="1474" w:right="1474" w:bottom="1474" w:left="1588" w:header="851" w:footer="992" w:gutter="0"/>
          <w:pgNumType w:fmt="decimal" w:start="1"/>
          <w:cols w:space="720" w:num="1"/>
          <w:docGrid w:type="lines" w:linePitch="312" w:charSpace="0"/>
        </w:sect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p>
    <w:p w14:paraId="6DB71C75">
      <w:pPr>
        <w:rPr>
          <w:rFonts w:hint="eastAsia" w:ascii="宋体" w:hAnsi="宋体" w:eastAsia="宋体" w:cs="宋体"/>
          <w:b/>
          <w:color w:val="auto"/>
          <w:kern w:val="2"/>
          <w:sz w:val="32"/>
          <w:szCs w:val="32"/>
          <w:highlight w:val="none"/>
          <w:lang w:val="en-US" w:eastAsia="zh-CN" w:bidi="ar-SA"/>
        </w:rPr>
      </w:pPr>
    </w:p>
    <w:p w14:paraId="319C0EE2">
      <w:pPr>
        <w:pStyle w:val="7"/>
        <w:kinsoku/>
        <w:wordWrap/>
        <w:overflowPunct/>
        <w:bidi w:val="0"/>
        <w:spacing w:line="500" w:lineRule="exact"/>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七、供应商认为需要提供的</w:t>
      </w:r>
      <w:r>
        <w:rPr>
          <w:rFonts w:hint="eastAsia" w:ascii="宋体" w:hAnsi="宋体" w:cs="宋体"/>
          <w:b/>
          <w:color w:val="auto"/>
          <w:kern w:val="2"/>
          <w:sz w:val="32"/>
          <w:szCs w:val="32"/>
          <w:highlight w:val="none"/>
          <w:lang w:val="en-US" w:eastAsia="zh-CN" w:bidi="ar-SA"/>
        </w:rPr>
        <w:t>其他</w:t>
      </w:r>
      <w:r>
        <w:rPr>
          <w:rFonts w:hint="eastAsia" w:ascii="宋体" w:hAnsi="宋体" w:eastAsia="宋体" w:cs="宋体"/>
          <w:b/>
          <w:color w:val="auto"/>
          <w:kern w:val="2"/>
          <w:sz w:val="32"/>
          <w:szCs w:val="32"/>
          <w:highlight w:val="none"/>
          <w:lang w:val="en-US" w:eastAsia="zh-CN" w:bidi="ar-SA"/>
        </w:rPr>
        <w:t>资料</w:t>
      </w:r>
    </w:p>
    <w:p w14:paraId="01ECC5D4">
      <w:pPr>
        <w:kinsoku/>
        <w:wordWrap/>
        <w:overflowPunct/>
        <w:bidi w:val="0"/>
        <w:adjustRightInd w:val="0"/>
        <w:snapToGrid w:val="0"/>
        <w:spacing w:line="500" w:lineRule="exact"/>
        <w:ind w:firstLine="540" w:firstLineChars="150"/>
        <w:rPr>
          <w:rFonts w:hint="eastAsia" w:ascii="宋体" w:hAnsi="宋体" w:eastAsia="宋体" w:cs="宋体"/>
          <w:b/>
          <w:color w:val="auto"/>
          <w:sz w:val="36"/>
          <w:szCs w:val="36"/>
          <w:highlight w:val="none"/>
        </w:rPr>
      </w:pPr>
    </w:p>
    <w:p w14:paraId="4A81A9E0">
      <w:pPr>
        <w:numPr>
          <w:ilvl w:val="0"/>
          <w:numId w:val="0"/>
        </w:numPr>
        <w:tabs>
          <w:tab w:val="left" w:pos="3600"/>
        </w:tabs>
        <w:kinsoku/>
        <w:wordWrap/>
        <w:overflowPunct/>
        <w:bidi w:val="0"/>
        <w:adjustRightInd w:val="0"/>
        <w:snapToGrid w:val="0"/>
        <w:spacing w:line="500" w:lineRule="exact"/>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备注：</w:t>
      </w:r>
      <w:r>
        <w:rPr>
          <w:rFonts w:hint="eastAsia" w:ascii="宋体" w:hAnsi="宋体" w:eastAsia="宋体" w:cs="宋体"/>
          <w:b w:val="0"/>
          <w:bCs w:val="0"/>
          <w:color w:val="auto"/>
          <w:sz w:val="24"/>
          <w:szCs w:val="24"/>
          <w:highlight w:val="none"/>
        </w:rPr>
        <w:t>（包含评分标准</w:t>
      </w:r>
      <w:r>
        <w:rPr>
          <w:rFonts w:hint="eastAsia" w:ascii="宋体" w:hAnsi="宋体" w:eastAsia="宋体" w:cs="宋体"/>
          <w:b w:val="0"/>
          <w:bCs w:val="0"/>
          <w:color w:val="auto"/>
          <w:sz w:val="24"/>
          <w:szCs w:val="24"/>
          <w:highlight w:val="none"/>
          <w:lang w:val="en-US" w:eastAsia="zh-CN"/>
        </w:rPr>
        <w:t>及采购需求</w:t>
      </w:r>
      <w:r>
        <w:rPr>
          <w:rFonts w:hint="eastAsia" w:ascii="宋体" w:hAnsi="宋体" w:eastAsia="宋体" w:cs="宋体"/>
          <w:b w:val="0"/>
          <w:bCs w:val="0"/>
          <w:color w:val="auto"/>
          <w:sz w:val="24"/>
          <w:szCs w:val="24"/>
          <w:highlight w:val="none"/>
        </w:rPr>
        <w:t>中所需资料）</w:t>
      </w:r>
    </w:p>
    <w:p w14:paraId="7B4DA349">
      <w:pPr>
        <w:pStyle w:val="37"/>
        <w:kinsoku/>
        <w:wordWrap/>
        <w:overflowPunct/>
        <w:bidi w:val="0"/>
        <w:spacing w:line="500" w:lineRule="exact"/>
        <w:rPr>
          <w:rFonts w:hint="eastAsia" w:ascii="宋体" w:hAnsi="宋体" w:eastAsia="宋体" w:cs="宋体"/>
          <w:color w:val="auto"/>
          <w:highlight w:val="none"/>
        </w:rPr>
      </w:pPr>
    </w:p>
    <w:p w14:paraId="77EE6801">
      <w:pPr>
        <w:kinsoku/>
        <w:wordWrap/>
        <w:overflowPunct/>
        <w:bidi w:val="0"/>
        <w:spacing w:line="5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5C71FC13">
      <w:pPr>
        <w:kinsoku/>
        <w:wordWrap/>
        <w:overflowPunct/>
        <w:bidi w:val="0"/>
        <w:adjustRightInd w:val="0"/>
        <w:snapToGrid w:val="0"/>
        <w:spacing w:before="156" w:beforeLines="50" w:line="50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八、最后报价</w:t>
      </w:r>
    </w:p>
    <w:p w14:paraId="094A1B03">
      <w:pPr>
        <w:kinsoku/>
        <w:wordWrap/>
        <w:overflowPunct/>
        <w:bidi w:val="0"/>
        <w:adjustRightInd w:val="0"/>
        <w:snapToGrid w:val="0"/>
        <w:spacing w:line="500" w:lineRule="exact"/>
        <w:jc w:val="center"/>
        <w:rPr>
          <w:rFonts w:hint="eastAsia" w:ascii="宋体" w:hAnsi="宋体" w:eastAsia="宋体" w:cs="宋体"/>
          <w:color w:val="auto"/>
          <w:highlight w:val="none"/>
        </w:rPr>
      </w:pPr>
    </w:p>
    <w:p w14:paraId="03A99A7D">
      <w:pPr>
        <w:kinsoku/>
        <w:wordWrap/>
        <w:overflowPunct/>
        <w:bidi w:val="0"/>
        <w:spacing w:line="500" w:lineRule="exact"/>
        <w:rPr>
          <w:rFonts w:hint="eastAsia" w:ascii="宋体" w:hAnsi="宋体" w:eastAsia="宋体" w:cs="宋体"/>
          <w:color w:val="auto"/>
          <w:highlight w:val="none"/>
        </w:rPr>
      </w:pPr>
    </w:p>
    <w:p w14:paraId="08CA1DBD">
      <w:pPr>
        <w:kinsoku/>
        <w:wordWrap/>
        <w:overflowPunct/>
        <w:bidi w:val="0"/>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(投标时自行准备，不封装在响应文件中，现场递交)</w:t>
      </w:r>
    </w:p>
    <w:p w14:paraId="4D2360CA">
      <w:pPr>
        <w:kinsoku/>
        <w:wordWrap/>
        <w:overflowPunct/>
        <w:bidi w:val="0"/>
        <w:adjustRightInd w:val="0"/>
        <w:snapToGrid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在磋商过程中，供应商按磋商文件规定和磋商小组要求</w:t>
      </w:r>
      <w:r>
        <w:rPr>
          <w:rFonts w:hint="eastAsia" w:ascii="宋体" w:hAnsi="宋体" w:eastAsia="宋体" w:cs="宋体"/>
          <w:color w:val="auto"/>
          <w:kern w:val="0"/>
          <w:highlight w:val="none"/>
        </w:rPr>
        <w:t>提交的</w:t>
      </w:r>
      <w:r>
        <w:rPr>
          <w:rFonts w:hint="eastAsia" w:ascii="宋体" w:hAnsi="宋体" w:eastAsia="宋体" w:cs="宋体"/>
          <w:color w:val="auto"/>
          <w:highlight w:val="none"/>
        </w:rPr>
        <w:t>最后报价(或者</w:t>
      </w:r>
      <w:r>
        <w:rPr>
          <w:rFonts w:hint="eastAsia" w:ascii="宋体" w:hAnsi="宋体" w:eastAsia="宋体" w:cs="宋体"/>
          <w:bCs/>
          <w:color w:val="auto"/>
          <w:highlight w:val="none"/>
        </w:rPr>
        <w:t>重</w:t>
      </w:r>
      <w:r>
        <w:rPr>
          <w:rFonts w:hint="eastAsia" w:ascii="宋体" w:hAnsi="宋体" w:eastAsia="宋体" w:cs="宋体"/>
          <w:color w:val="auto"/>
          <w:kern w:val="0"/>
          <w:highlight w:val="none"/>
        </w:rPr>
        <w:t>新提交的响应文件和</w:t>
      </w:r>
      <w:r>
        <w:rPr>
          <w:rFonts w:hint="eastAsia" w:ascii="宋体" w:hAnsi="宋体" w:eastAsia="宋体" w:cs="宋体"/>
          <w:color w:val="auto"/>
          <w:highlight w:val="none"/>
        </w:rPr>
        <w:t>最后报价)，一式两份，可打印或用不</w:t>
      </w:r>
      <w:r>
        <w:rPr>
          <w:rFonts w:hint="eastAsia" w:ascii="宋体" w:hAnsi="宋体" w:cs="宋体"/>
          <w:color w:val="auto"/>
          <w:highlight w:val="none"/>
          <w:lang w:eastAsia="zh-CN"/>
        </w:rPr>
        <w:t>褪色</w:t>
      </w:r>
      <w:r>
        <w:rPr>
          <w:rFonts w:hint="eastAsia" w:ascii="宋体" w:hAnsi="宋体" w:eastAsia="宋体" w:cs="宋体"/>
          <w:color w:val="auto"/>
          <w:highlight w:val="none"/>
        </w:rPr>
        <w:t>墨水书写，但需经法定代表人或其委托代理人签字，</w:t>
      </w:r>
      <w:r>
        <w:rPr>
          <w:rFonts w:hint="eastAsia" w:ascii="宋体" w:hAnsi="宋体" w:eastAsia="宋体" w:cs="宋体"/>
          <w:color w:val="auto"/>
          <w:kern w:val="0"/>
          <w:highlight w:val="none"/>
        </w:rPr>
        <w:t>并加盖供应商单</w:t>
      </w:r>
      <w:r>
        <w:rPr>
          <w:rFonts w:hint="eastAsia" w:ascii="宋体" w:hAnsi="宋体" w:cs="宋体"/>
          <w:color w:val="auto"/>
          <w:kern w:val="0"/>
          <w:highlight w:val="none"/>
          <w:lang w:eastAsia="zh-CN"/>
        </w:rPr>
        <w:t>位</w:t>
      </w:r>
      <w:r>
        <w:rPr>
          <w:rFonts w:hint="eastAsia" w:ascii="宋体" w:hAnsi="宋体" w:eastAsia="宋体" w:cs="宋体"/>
          <w:color w:val="auto"/>
          <w:kern w:val="0"/>
          <w:highlight w:val="none"/>
        </w:rPr>
        <w:t>章</w:t>
      </w:r>
      <w:r>
        <w:rPr>
          <w:rFonts w:hint="eastAsia" w:ascii="宋体" w:hAnsi="宋体" w:eastAsia="宋体" w:cs="宋体"/>
          <w:color w:val="auto"/>
          <w:highlight w:val="none"/>
        </w:rPr>
        <w:t>。</w:t>
      </w:r>
    </w:p>
    <w:sectPr>
      <w:footerReference r:id="rId10" w:type="first"/>
      <w:headerReference r:id="rId8" w:type="default"/>
      <w:footerReference r:id="rId9" w:type="default"/>
      <w:pgSz w:w="11906" w:h="16840"/>
      <w:pgMar w:top="1440" w:right="1077" w:bottom="1440" w:left="1077" w:header="992" w:footer="992" w:gutter="0"/>
      <w:pgBorders>
        <w:top w:val="none" w:sz="0" w:space="0"/>
        <w:left w:val="none" w:sz="0" w:space="0"/>
        <w:bottom w:val="none" w:sz="0" w:space="0"/>
        <w:right w:val="none" w:sz="0" w:space="0"/>
      </w:pgBorders>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32CC14-9524-44FF-A562-34732DAE13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88F287B-F72D-4BAC-A046-8DEE4B0DCCDE}"/>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3" w:fontKey="{D1186D41-FD4C-4724-ACE7-FE24FAEC00E3}"/>
  </w:font>
  <w:font w:name="微软雅黑">
    <w:panose1 w:val="020B0503020204020204"/>
    <w:charset w:val="86"/>
    <w:family w:val="auto"/>
    <w:pitch w:val="default"/>
    <w:sig w:usb0="80000287" w:usb1="2ACF3C50" w:usb2="00000016" w:usb3="00000000" w:csb0="0004001F" w:csb1="00000000"/>
    <w:embedRegular r:id="rId4" w:fontKey="{58634783-874A-43C7-A99E-41A284318552}"/>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5" w:fontKey="{26262FAD-3792-43F2-8CCE-7CD11EDE5DB4}"/>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3021">
    <w:pPr>
      <w:pStyle w:val="22"/>
      <w:tabs>
        <w:tab w:val="center" w:pos="4422"/>
        <w:tab w:val="clear" w:pos="4153"/>
      </w:tabs>
    </w:pPr>
    <w:r>
      <w:rPr>
        <w:rFonts w:hint="eastAsia" w:cs="Times New Roma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6B60">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07649">
    <w:pPr>
      <w:pStyle w:val="22"/>
      <w:tabs>
        <w:tab w:val="center" w:pos="4422"/>
        <w:tab w:val="clear" w:pos="4153"/>
      </w:tabs>
    </w:pPr>
    <w:r>
      <w:rPr>
        <w:rFonts w:hint="eastAsia" w:cs="Times New Roma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4AD5B">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5415" cy="1333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5415" cy="133350"/>
                      </a:xfrm>
                      <a:prstGeom prst="rect">
                        <a:avLst/>
                      </a:prstGeom>
                      <a:noFill/>
                      <a:ln>
                        <a:noFill/>
                      </a:ln>
                    </wps:spPr>
                    <wps:txbx>
                      <w:txbxContent>
                        <w:p w14:paraId="413817ED">
                          <w:pPr>
                            <w:pStyle w:val="22"/>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5pt;width:11.45pt;mso-position-horizontal:center;mso-position-horizontal-relative:margin;mso-wrap-style:none;z-index:251659264;mso-width-relative:page;mso-height-relative:page;" filled="f" stroked="f" coordsize="21600,21600" o:gfxdata="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6+mkPzwAAAAMBAAAPAAAAAAAAAAEAIAAAACIAAABkcnMvZG93bnJl&#10;di54bWxQSwECFAAUAAAACACHTuJAMAc5Os0BAACXAwAADgAAAAAAAAABACAAAAAeAQAAZHJzL2Uy&#10;b0RvYy54bWxQSwUGAAAAAAYABgBZAQAAXQUAAAAA&#10;">
              <v:fill on="f" focussize="0,0"/>
              <v:stroke on="f"/>
              <v:imagedata o:title=""/>
              <o:lock v:ext="edit" aspectratio="f"/>
              <v:textbox inset="0mm,0mm,0mm,0mm" style="mso-fit-shape-to-text:t;">
                <w:txbxContent>
                  <w:p w14:paraId="413817ED">
                    <w:pPr>
                      <w:pStyle w:val="2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C1DE7">
    <w:pPr>
      <w:pStyle w:val="2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863F7">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5863F7">
                    <w:pPr>
                      <w:pStyle w:val="22"/>
                    </w:pPr>
                    <w:r>
                      <w:fldChar w:fldCharType="begin"/>
                    </w:r>
                    <w:r>
                      <w:instrText xml:space="preserve"> PAGE  \* MERGEFORMAT </w:instrText>
                    </w:r>
                    <w:r>
                      <w:fldChar w:fldCharType="separate"/>
                    </w:r>
                    <w:r>
                      <w:t>2</w:t>
                    </w:r>
                    <w:r>
                      <w:fldChar w:fldCharType="end"/>
                    </w:r>
                  </w:p>
                </w:txbxContent>
              </v:textbox>
            </v:shape>
          </w:pict>
        </mc:Fallback>
      </mc:AlternateContent>
    </w:r>
  </w:p>
  <w:p w14:paraId="25C414C0">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C2C77">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D2A9A">
    <w:pPr>
      <w:pStyle w:val="18"/>
      <w:rPr>
        <w:rFonts w:hint="eastAsia" w:ascii="仿宋_GB2312" w:eastAsia="仿宋_GB2312"/>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DD7E0">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3F447"/>
    <w:multiLevelType w:val="singleLevel"/>
    <w:tmpl w:val="9B73F447"/>
    <w:lvl w:ilvl="0" w:tentative="0">
      <w:start w:val="1"/>
      <w:numFmt w:val="decimal"/>
      <w:suff w:val="space"/>
      <w:lvlText w:val="%1."/>
      <w:lvlJc w:val="left"/>
    </w:lvl>
  </w:abstractNum>
  <w:abstractNum w:abstractNumId="1">
    <w:nsid w:val="D955E274"/>
    <w:multiLevelType w:val="singleLevel"/>
    <w:tmpl w:val="D955E274"/>
    <w:lvl w:ilvl="0" w:tentative="0">
      <w:start w:val="3"/>
      <w:numFmt w:val="chineseCounting"/>
      <w:suff w:val="nothing"/>
      <w:lvlText w:val="%1、"/>
      <w:lvlJc w:val="left"/>
      <w:rPr>
        <w:rFonts w:hint="eastAsia"/>
      </w:rPr>
    </w:lvl>
  </w:abstractNum>
  <w:abstractNum w:abstractNumId="2">
    <w:nsid w:val="EEB9777A"/>
    <w:multiLevelType w:val="singleLevel"/>
    <w:tmpl w:val="EEB9777A"/>
    <w:lvl w:ilvl="0" w:tentative="0">
      <w:start w:val="1"/>
      <w:numFmt w:val="decimal"/>
      <w:suff w:val="space"/>
      <w:lvlText w:val="%1."/>
      <w:lvlJc w:val="left"/>
    </w:lvl>
  </w:abstractNum>
  <w:abstractNum w:abstractNumId="3">
    <w:nsid w:val="0000003D"/>
    <w:multiLevelType w:val="multilevel"/>
    <w:tmpl w:val="0000003D"/>
    <w:lvl w:ilvl="0" w:tentative="0">
      <w:start w:val="1"/>
      <w:numFmt w:val="decimal"/>
      <w:lvlText w:val="%1"/>
      <w:lvlJc w:val="left"/>
      <w:pPr>
        <w:tabs>
          <w:tab w:val="left" w:pos="0"/>
        </w:tabs>
        <w:ind w:left="432" w:hanging="432"/>
      </w:pPr>
      <w:rPr>
        <w:rFonts w:hint="eastAsia"/>
      </w:rPr>
    </w:lvl>
    <w:lvl w:ilvl="1" w:tentative="0">
      <w:start w:val="1"/>
      <w:numFmt w:val="decimal"/>
      <w:pStyle w:val="8"/>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color w:val="auto"/>
      </w:rPr>
    </w:lvl>
    <w:lvl w:ilvl="3" w:tentative="0">
      <w:start w:val="1"/>
      <w:numFmt w:val="decimal"/>
      <w:lvlText w:val="%1.%2.%3.%4"/>
      <w:lvlJc w:val="left"/>
      <w:pPr>
        <w:tabs>
          <w:tab w:val="left" w:pos="0"/>
        </w:tabs>
        <w:ind w:left="864" w:hanging="86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4" w:tentative="0">
      <w:start w:val="1"/>
      <w:numFmt w:val="decimal"/>
      <w:lvlText w:val="%1.%2.%3.%4.%5"/>
      <w:lvlJc w:val="left"/>
      <w:pPr>
        <w:tabs>
          <w:tab w:val="left" w:pos="0"/>
        </w:tabs>
        <w:ind w:left="1008" w:hanging="1008"/>
      </w:pPr>
      <w:rPr>
        <w:rFonts w:hint="eastAsia"/>
        <w:i w:val="0"/>
        <w:iCs w:val="0"/>
        <w:caps w:val="0"/>
        <w:smallCaps w:val="0"/>
        <w:strike w:val="0"/>
        <w:dstrike w:val="0"/>
        <w:vanish w:val="0"/>
        <w:color w:val="000000"/>
        <w:spacing w:val="0"/>
        <w:kern w:val="0"/>
        <w:position w:val="0"/>
        <w:u w:val="none"/>
        <w:vertAlign w:val="baseline"/>
      </w:rPr>
    </w:lvl>
    <w:lvl w:ilvl="5" w:tentative="0">
      <w:start w:val="1"/>
      <w:numFmt w:val="decimal"/>
      <w:lvlText w:val="%1.%2.%3.%4.%5.%6"/>
      <w:lvlJc w:val="left"/>
      <w:pPr>
        <w:tabs>
          <w:tab w:val="left" w:pos="0"/>
        </w:tabs>
        <w:ind w:left="1152" w:hanging="1152"/>
      </w:pPr>
      <w:rPr>
        <w:rFonts w:hint="eastAsia"/>
      </w:rPr>
    </w:lvl>
    <w:lvl w:ilvl="6" w:tentative="0">
      <w:start w:val="1"/>
      <w:numFmt w:val="decimal"/>
      <w:lvlText w:val="%1.%2.%3.%4.%5.%6.%7"/>
      <w:lvlJc w:val="left"/>
      <w:pPr>
        <w:tabs>
          <w:tab w:val="left" w:pos="0"/>
        </w:tabs>
        <w:ind w:left="1296" w:hanging="1296"/>
      </w:pPr>
      <w:rPr>
        <w:rFonts w:hint="eastAsia"/>
      </w:rPr>
    </w:lvl>
    <w:lvl w:ilvl="7" w:tentative="0">
      <w:start w:val="1"/>
      <w:numFmt w:val="decimal"/>
      <w:lvlText w:val="%1.%2.%3.%4.%5.%6.%7.%8"/>
      <w:lvlJc w:val="left"/>
      <w:pPr>
        <w:tabs>
          <w:tab w:val="left" w:pos="0"/>
        </w:tabs>
        <w:ind w:left="1440" w:hanging="1440"/>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4">
    <w:nsid w:val="036FB57F"/>
    <w:multiLevelType w:val="singleLevel"/>
    <w:tmpl w:val="036FB57F"/>
    <w:lvl w:ilvl="0" w:tentative="0">
      <w:start w:val="1"/>
      <w:numFmt w:val="decimal"/>
      <w:suff w:val="space"/>
      <w:lvlText w:val="%1."/>
      <w:lvlJc w:val="left"/>
    </w:lvl>
  </w:abstractNum>
  <w:abstractNum w:abstractNumId="5">
    <w:nsid w:val="12D8BA61"/>
    <w:multiLevelType w:val="singleLevel"/>
    <w:tmpl w:val="12D8BA61"/>
    <w:lvl w:ilvl="0" w:tentative="0">
      <w:start w:val="3"/>
      <w:numFmt w:val="decimal"/>
      <w:suff w:val="nothing"/>
      <w:lvlText w:val="%1、"/>
      <w:lvlJc w:val="left"/>
    </w:lvl>
  </w:abstractNum>
  <w:abstractNum w:abstractNumId="6">
    <w:nsid w:val="537B5B03"/>
    <w:multiLevelType w:val="multilevel"/>
    <w:tmpl w:val="537B5B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C9958AD"/>
    <w:multiLevelType w:val="multilevel"/>
    <w:tmpl w:val="7C9958A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0"/>
  </w:num>
  <w:num w:numId="4">
    <w:abstractNumId w:val="2"/>
  </w:num>
  <w:num w:numId="5">
    <w:abstractNumId w:val="7"/>
  </w:num>
  <w:num w:numId="6">
    <w:abstractNumId w:val="1"/>
  </w:num>
  <w:num w:numId="7">
    <w:abstractNumId w:val="4"/>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yang">
    <w15:presenceInfo w15:providerId="None" w15:userId="luyang"/>
  </w15:person>
  <w15:person w15:author="红博">
    <w15:presenceInfo w15:providerId="WPS Office" w15:userId="3360600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revisionView w:markup="0"/>
  <w:trackRevisions w:val="1"/>
  <w:documentProtection w:enforcement="0"/>
  <w:defaultTabStop w:val="420"/>
  <w:doNotHyphenateCaps/>
  <w:drawingGridHorizontalSpacing w:val="105"/>
  <w:drawingGridVerticalSpacing w:val="317"/>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3ZjkyY2Y4MDc2ZDQ2MzFiYjkxOTU2ZGMzMWVjZmUifQ=="/>
  </w:docVars>
  <w:rsids>
    <w:rsidRoot w:val="4967698D"/>
    <w:rsid w:val="00001A62"/>
    <w:rsid w:val="00002A1A"/>
    <w:rsid w:val="00002BE7"/>
    <w:rsid w:val="0000426D"/>
    <w:rsid w:val="0000583B"/>
    <w:rsid w:val="0000659E"/>
    <w:rsid w:val="0000702C"/>
    <w:rsid w:val="00012779"/>
    <w:rsid w:val="000134D9"/>
    <w:rsid w:val="00013E38"/>
    <w:rsid w:val="0001582A"/>
    <w:rsid w:val="00016E50"/>
    <w:rsid w:val="0001788E"/>
    <w:rsid w:val="00020B90"/>
    <w:rsid w:val="000261C5"/>
    <w:rsid w:val="000263F4"/>
    <w:rsid w:val="000303B8"/>
    <w:rsid w:val="0003076F"/>
    <w:rsid w:val="00031E2B"/>
    <w:rsid w:val="000321E1"/>
    <w:rsid w:val="000322F8"/>
    <w:rsid w:val="00032F45"/>
    <w:rsid w:val="000350DE"/>
    <w:rsid w:val="000358B6"/>
    <w:rsid w:val="000406E8"/>
    <w:rsid w:val="0004082C"/>
    <w:rsid w:val="00040ED7"/>
    <w:rsid w:val="000437C4"/>
    <w:rsid w:val="000438F2"/>
    <w:rsid w:val="00044375"/>
    <w:rsid w:val="000447F6"/>
    <w:rsid w:val="00045347"/>
    <w:rsid w:val="00052A07"/>
    <w:rsid w:val="00053A17"/>
    <w:rsid w:val="00055849"/>
    <w:rsid w:val="00055974"/>
    <w:rsid w:val="00055A2D"/>
    <w:rsid w:val="00056FA0"/>
    <w:rsid w:val="000623DF"/>
    <w:rsid w:val="00062DBA"/>
    <w:rsid w:val="0006345B"/>
    <w:rsid w:val="00063C9A"/>
    <w:rsid w:val="000651C3"/>
    <w:rsid w:val="0007123E"/>
    <w:rsid w:val="00071C71"/>
    <w:rsid w:val="000740F9"/>
    <w:rsid w:val="000743BE"/>
    <w:rsid w:val="0007666B"/>
    <w:rsid w:val="00077AEF"/>
    <w:rsid w:val="00080768"/>
    <w:rsid w:val="000828E2"/>
    <w:rsid w:val="00085FA9"/>
    <w:rsid w:val="00086140"/>
    <w:rsid w:val="000864F9"/>
    <w:rsid w:val="0008775F"/>
    <w:rsid w:val="0008792F"/>
    <w:rsid w:val="00092C8A"/>
    <w:rsid w:val="00094637"/>
    <w:rsid w:val="00094949"/>
    <w:rsid w:val="000957D9"/>
    <w:rsid w:val="000971A7"/>
    <w:rsid w:val="000A0C2B"/>
    <w:rsid w:val="000A0EC0"/>
    <w:rsid w:val="000A19C0"/>
    <w:rsid w:val="000A2FE4"/>
    <w:rsid w:val="000A4775"/>
    <w:rsid w:val="000A5139"/>
    <w:rsid w:val="000A5FBE"/>
    <w:rsid w:val="000A61A4"/>
    <w:rsid w:val="000A6597"/>
    <w:rsid w:val="000B5BE1"/>
    <w:rsid w:val="000B7A7F"/>
    <w:rsid w:val="000C03B3"/>
    <w:rsid w:val="000C596D"/>
    <w:rsid w:val="000C60CC"/>
    <w:rsid w:val="000D10A6"/>
    <w:rsid w:val="000D371D"/>
    <w:rsid w:val="000D483D"/>
    <w:rsid w:val="000D4DE1"/>
    <w:rsid w:val="000D594B"/>
    <w:rsid w:val="000D7451"/>
    <w:rsid w:val="000E0A83"/>
    <w:rsid w:val="000E1112"/>
    <w:rsid w:val="000E2B21"/>
    <w:rsid w:val="000E4615"/>
    <w:rsid w:val="000E4AC5"/>
    <w:rsid w:val="000E5979"/>
    <w:rsid w:val="000E6AAB"/>
    <w:rsid w:val="000F1833"/>
    <w:rsid w:val="000F6FB5"/>
    <w:rsid w:val="000F791B"/>
    <w:rsid w:val="00102AB1"/>
    <w:rsid w:val="00103738"/>
    <w:rsid w:val="00104019"/>
    <w:rsid w:val="0010560D"/>
    <w:rsid w:val="00105B47"/>
    <w:rsid w:val="00105C93"/>
    <w:rsid w:val="001065DE"/>
    <w:rsid w:val="00107F43"/>
    <w:rsid w:val="00111038"/>
    <w:rsid w:val="00112342"/>
    <w:rsid w:val="001135AD"/>
    <w:rsid w:val="00113BCA"/>
    <w:rsid w:val="0011551E"/>
    <w:rsid w:val="001204BB"/>
    <w:rsid w:val="0012133D"/>
    <w:rsid w:val="001236BB"/>
    <w:rsid w:val="00124BAB"/>
    <w:rsid w:val="00126CC6"/>
    <w:rsid w:val="00131946"/>
    <w:rsid w:val="00131A64"/>
    <w:rsid w:val="0013242D"/>
    <w:rsid w:val="00132A81"/>
    <w:rsid w:val="00133A0B"/>
    <w:rsid w:val="00134185"/>
    <w:rsid w:val="00135C13"/>
    <w:rsid w:val="00137991"/>
    <w:rsid w:val="001403D6"/>
    <w:rsid w:val="001411B3"/>
    <w:rsid w:val="00141706"/>
    <w:rsid w:val="00146D0E"/>
    <w:rsid w:val="0014707F"/>
    <w:rsid w:val="00150469"/>
    <w:rsid w:val="0015196D"/>
    <w:rsid w:val="00152E28"/>
    <w:rsid w:val="00154A6E"/>
    <w:rsid w:val="00165FCF"/>
    <w:rsid w:val="00170609"/>
    <w:rsid w:val="0017078A"/>
    <w:rsid w:val="00170BED"/>
    <w:rsid w:val="0017201A"/>
    <w:rsid w:val="001731B0"/>
    <w:rsid w:val="0017567E"/>
    <w:rsid w:val="001760CA"/>
    <w:rsid w:val="00180862"/>
    <w:rsid w:val="001914F8"/>
    <w:rsid w:val="0019237B"/>
    <w:rsid w:val="00194FF4"/>
    <w:rsid w:val="00195CA0"/>
    <w:rsid w:val="00195EB6"/>
    <w:rsid w:val="001966A7"/>
    <w:rsid w:val="001976DB"/>
    <w:rsid w:val="001A11A1"/>
    <w:rsid w:val="001A13B4"/>
    <w:rsid w:val="001A2978"/>
    <w:rsid w:val="001B3A8B"/>
    <w:rsid w:val="001B5A64"/>
    <w:rsid w:val="001B5B0E"/>
    <w:rsid w:val="001C3E2D"/>
    <w:rsid w:val="001C6041"/>
    <w:rsid w:val="001C7908"/>
    <w:rsid w:val="001C7DD1"/>
    <w:rsid w:val="001C7E42"/>
    <w:rsid w:val="001C7F4C"/>
    <w:rsid w:val="001D08D0"/>
    <w:rsid w:val="001D13D0"/>
    <w:rsid w:val="001D59CF"/>
    <w:rsid w:val="001D7A94"/>
    <w:rsid w:val="001E0AC3"/>
    <w:rsid w:val="001E0C36"/>
    <w:rsid w:val="001E2573"/>
    <w:rsid w:val="001E46EA"/>
    <w:rsid w:val="001E5823"/>
    <w:rsid w:val="001E5E39"/>
    <w:rsid w:val="001E6589"/>
    <w:rsid w:val="001E65E2"/>
    <w:rsid w:val="001F0C95"/>
    <w:rsid w:val="001F1914"/>
    <w:rsid w:val="001F306D"/>
    <w:rsid w:val="001F4C6C"/>
    <w:rsid w:val="001F62BF"/>
    <w:rsid w:val="001F79C9"/>
    <w:rsid w:val="00201324"/>
    <w:rsid w:val="00201532"/>
    <w:rsid w:val="00201F32"/>
    <w:rsid w:val="00202AA2"/>
    <w:rsid w:val="00202FAA"/>
    <w:rsid w:val="00204D88"/>
    <w:rsid w:val="00205493"/>
    <w:rsid w:val="00206C64"/>
    <w:rsid w:val="00206F21"/>
    <w:rsid w:val="002112F6"/>
    <w:rsid w:val="002123A6"/>
    <w:rsid w:val="00212655"/>
    <w:rsid w:val="00212A28"/>
    <w:rsid w:val="002133AD"/>
    <w:rsid w:val="002138FF"/>
    <w:rsid w:val="00213B10"/>
    <w:rsid w:val="00214EE0"/>
    <w:rsid w:val="002169EE"/>
    <w:rsid w:val="00222030"/>
    <w:rsid w:val="002223C2"/>
    <w:rsid w:val="0022259B"/>
    <w:rsid w:val="00223978"/>
    <w:rsid w:val="002264D0"/>
    <w:rsid w:val="00226ABA"/>
    <w:rsid w:val="00227337"/>
    <w:rsid w:val="002313D9"/>
    <w:rsid w:val="00231FF4"/>
    <w:rsid w:val="00232524"/>
    <w:rsid w:val="0023278D"/>
    <w:rsid w:val="00241152"/>
    <w:rsid w:val="00241BED"/>
    <w:rsid w:val="0024234D"/>
    <w:rsid w:val="00242E82"/>
    <w:rsid w:val="002438E3"/>
    <w:rsid w:val="00243BDF"/>
    <w:rsid w:val="00244D5D"/>
    <w:rsid w:val="00245835"/>
    <w:rsid w:val="0024609A"/>
    <w:rsid w:val="00250FFF"/>
    <w:rsid w:val="00252C81"/>
    <w:rsid w:val="00252CB8"/>
    <w:rsid w:val="00253306"/>
    <w:rsid w:val="00257A94"/>
    <w:rsid w:val="00257D0B"/>
    <w:rsid w:val="00263A44"/>
    <w:rsid w:val="00263C6F"/>
    <w:rsid w:val="0026608E"/>
    <w:rsid w:val="00266155"/>
    <w:rsid w:val="00270EEC"/>
    <w:rsid w:val="00271930"/>
    <w:rsid w:val="002727AE"/>
    <w:rsid w:val="0027412F"/>
    <w:rsid w:val="00280192"/>
    <w:rsid w:val="00280946"/>
    <w:rsid w:val="00280FB0"/>
    <w:rsid w:val="00283305"/>
    <w:rsid w:val="00283C57"/>
    <w:rsid w:val="00284618"/>
    <w:rsid w:val="0028488A"/>
    <w:rsid w:val="002904F8"/>
    <w:rsid w:val="0029113A"/>
    <w:rsid w:val="002913E4"/>
    <w:rsid w:val="0029357E"/>
    <w:rsid w:val="00295FF3"/>
    <w:rsid w:val="002960E1"/>
    <w:rsid w:val="002A06A7"/>
    <w:rsid w:val="002A1CC2"/>
    <w:rsid w:val="002A51BF"/>
    <w:rsid w:val="002A5A7D"/>
    <w:rsid w:val="002A6C8A"/>
    <w:rsid w:val="002B15DC"/>
    <w:rsid w:val="002B2527"/>
    <w:rsid w:val="002B4067"/>
    <w:rsid w:val="002B4256"/>
    <w:rsid w:val="002B4AA9"/>
    <w:rsid w:val="002C045B"/>
    <w:rsid w:val="002C2A33"/>
    <w:rsid w:val="002C2D35"/>
    <w:rsid w:val="002C593B"/>
    <w:rsid w:val="002D0743"/>
    <w:rsid w:val="002D35FE"/>
    <w:rsid w:val="002D375E"/>
    <w:rsid w:val="002D4FCA"/>
    <w:rsid w:val="002D7651"/>
    <w:rsid w:val="002E07BF"/>
    <w:rsid w:val="002E1896"/>
    <w:rsid w:val="002E2130"/>
    <w:rsid w:val="002E2314"/>
    <w:rsid w:val="002E3008"/>
    <w:rsid w:val="002E302D"/>
    <w:rsid w:val="002E48B0"/>
    <w:rsid w:val="002F01C7"/>
    <w:rsid w:val="002F0D3C"/>
    <w:rsid w:val="002F1027"/>
    <w:rsid w:val="002F1675"/>
    <w:rsid w:val="002F281A"/>
    <w:rsid w:val="002F3B15"/>
    <w:rsid w:val="002F3F88"/>
    <w:rsid w:val="003011EC"/>
    <w:rsid w:val="0031029C"/>
    <w:rsid w:val="003122B7"/>
    <w:rsid w:val="00312794"/>
    <w:rsid w:val="00314C01"/>
    <w:rsid w:val="00316D05"/>
    <w:rsid w:val="0032409C"/>
    <w:rsid w:val="003261D9"/>
    <w:rsid w:val="00326551"/>
    <w:rsid w:val="00326E22"/>
    <w:rsid w:val="00327921"/>
    <w:rsid w:val="00327A99"/>
    <w:rsid w:val="003307AF"/>
    <w:rsid w:val="00331DAD"/>
    <w:rsid w:val="00332E53"/>
    <w:rsid w:val="003359BA"/>
    <w:rsid w:val="00340043"/>
    <w:rsid w:val="00341CD0"/>
    <w:rsid w:val="00342512"/>
    <w:rsid w:val="00343A60"/>
    <w:rsid w:val="00344B8F"/>
    <w:rsid w:val="00352948"/>
    <w:rsid w:val="003532B9"/>
    <w:rsid w:val="003565C4"/>
    <w:rsid w:val="0035672D"/>
    <w:rsid w:val="0035685C"/>
    <w:rsid w:val="00356CB3"/>
    <w:rsid w:val="00357039"/>
    <w:rsid w:val="003576DF"/>
    <w:rsid w:val="0036033A"/>
    <w:rsid w:val="00361126"/>
    <w:rsid w:val="0036171F"/>
    <w:rsid w:val="00361C90"/>
    <w:rsid w:val="00362206"/>
    <w:rsid w:val="00365AC0"/>
    <w:rsid w:val="0037051A"/>
    <w:rsid w:val="00375A6A"/>
    <w:rsid w:val="00376767"/>
    <w:rsid w:val="003773DF"/>
    <w:rsid w:val="00380F61"/>
    <w:rsid w:val="003826B4"/>
    <w:rsid w:val="00382713"/>
    <w:rsid w:val="00382C27"/>
    <w:rsid w:val="003832C8"/>
    <w:rsid w:val="00383E24"/>
    <w:rsid w:val="0038431B"/>
    <w:rsid w:val="00386241"/>
    <w:rsid w:val="00390156"/>
    <w:rsid w:val="00397761"/>
    <w:rsid w:val="003A0A6A"/>
    <w:rsid w:val="003A0F0C"/>
    <w:rsid w:val="003A355B"/>
    <w:rsid w:val="003A38F4"/>
    <w:rsid w:val="003A4971"/>
    <w:rsid w:val="003A5B69"/>
    <w:rsid w:val="003A63A2"/>
    <w:rsid w:val="003A7139"/>
    <w:rsid w:val="003B0C26"/>
    <w:rsid w:val="003B468D"/>
    <w:rsid w:val="003B5936"/>
    <w:rsid w:val="003B6340"/>
    <w:rsid w:val="003B76C1"/>
    <w:rsid w:val="003B7ABB"/>
    <w:rsid w:val="003C0CA2"/>
    <w:rsid w:val="003C0FDA"/>
    <w:rsid w:val="003C1027"/>
    <w:rsid w:val="003C343D"/>
    <w:rsid w:val="003C4F5C"/>
    <w:rsid w:val="003C606C"/>
    <w:rsid w:val="003D21B7"/>
    <w:rsid w:val="003D278B"/>
    <w:rsid w:val="003D2D63"/>
    <w:rsid w:val="003D4316"/>
    <w:rsid w:val="003E1341"/>
    <w:rsid w:val="003E191D"/>
    <w:rsid w:val="003E32A4"/>
    <w:rsid w:val="003E3DCA"/>
    <w:rsid w:val="003E5403"/>
    <w:rsid w:val="003E5408"/>
    <w:rsid w:val="003E59EB"/>
    <w:rsid w:val="003E6CD1"/>
    <w:rsid w:val="003E73D6"/>
    <w:rsid w:val="003E75C1"/>
    <w:rsid w:val="003F0ACE"/>
    <w:rsid w:val="003F32CC"/>
    <w:rsid w:val="003F5682"/>
    <w:rsid w:val="003F5966"/>
    <w:rsid w:val="003F59A3"/>
    <w:rsid w:val="003F76FA"/>
    <w:rsid w:val="003F796A"/>
    <w:rsid w:val="003F7ACE"/>
    <w:rsid w:val="00400422"/>
    <w:rsid w:val="00401BD9"/>
    <w:rsid w:val="00402446"/>
    <w:rsid w:val="00404234"/>
    <w:rsid w:val="00404699"/>
    <w:rsid w:val="00404D6C"/>
    <w:rsid w:val="004052A3"/>
    <w:rsid w:val="00407CDD"/>
    <w:rsid w:val="004100FB"/>
    <w:rsid w:val="0041212F"/>
    <w:rsid w:val="0041350C"/>
    <w:rsid w:val="0041548B"/>
    <w:rsid w:val="004209D4"/>
    <w:rsid w:val="00420BA0"/>
    <w:rsid w:val="004210D5"/>
    <w:rsid w:val="00421C33"/>
    <w:rsid w:val="00423ED9"/>
    <w:rsid w:val="00424612"/>
    <w:rsid w:val="00424C6A"/>
    <w:rsid w:val="00427604"/>
    <w:rsid w:val="00430E0A"/>
    <w:rsid w:val="0043122A"/>
    <w:rsid w:val="00432B4C"/>
    <w:rsid w:val="00435761"/>
    <w:rsid w:val="00437AC9"/>
    <w:rsid w:val="004412A8"/>
    <w:rsid w:val="00441398"/>
    <w:rsid w:val="00441CE7"/>
    <w:rsid w:val="0044494F"/>
    <w:rsid w:val="0044550F"/>
    <w:rsid w:val="0045054E"/>
    <w:rsid w:val="00450967"/>
    <w:rsid w:val="0045113B"/>
    <w:rsid w:val="00454488"/>
    <w:rsid w:val="00455828"/>
    <w:rsid w:val="00461413"/>
    <w:rsid w:val="00462141"/>
    <w:rsid w:val="0046316E"/>
    <w:rsid w:val="0046414F"/>
    <w:rsid w:val="00464C5E"/>
    <w:rsid w:val="00465013"/>
    <w:rsid w:val="00473787"/>
    <w:rsid w:val="00473A6E"/>
    <w:rsid w:val="00474D1F"/>
    <w:rsid w:val="0047558F"/>
    <w:rsid w:val="00475CE6"/>
    <w:rsid w:val="004778E6"/>
    <w:rsid w:val="00480928"/>
    <w:rsid w:val="00482ADB"/>
    <w:rsid w:val="004830E8"/>
    <w:rsid w:val="00484A63"/>
    <w:rsid w:val="00485BE3"/>
    <w:rsid w:val="00486B7B"/>
    <w:rsid w:val="00487209"/>
    <w:rsid w:val="004877CB"/>
    <w:rsid w:val="004918D3"/>
    <w:rsid w:val="00491F0C"/>
    <w:rsid w:val="00495917"/>
    <w:rsid w:val="00497842"/>
    <w:rsid w:val="004A1E11"/>
    <w:rsid w:val="004A2602"/>
    <w:rsid w:val="004B074E"/>
    <w:rsid w:val="004B3F52"/>
    <w:rsid w:val="004B4850"/>
    <w:rsid w:val="004B52FA"/>
    <w:rsid w:val="004B6448"/>
    <w:rsid w:val="004B673D"/>
    <w:rsid w:val="004B6B42"/>
    <w:rsid w:val="004B7B27"/>
    <w:rsid w:val="004C12F2"/>
    <w:rsid w:val="004C24A9"/>
    <w:rsid w:val="004C2DBD"/>
    <w:rsid w:val="004C3A3D"/>
    <w:rsid w:val="004D00B1"/>
    <w:rsid w:val="004D1161"/>
    <w:rsid w:val="004D1375"/>
    <w:rsid w:val="004D2CEC"/>
    <w:rsid w:val="004D7D3D"/>
    <w:rsid w:val="004E46F6"/>
    <w:rsid w:val="004E7B1F"/>
    <w:rsid w:val="004F3605"/>
    <w:rsid w:val="004F5CC4"/>
    <w:rsid w:val="004F63F1"/>
    <w:rsid w:val="004F7850"/>
    <w:rsid w:val="004F7C35"/>
    <w:rsid w:val="004F7D56"/>
    <w:rsid w:val="00500EE0"/>
    <w:rsid w:val="00505A96"/>
    <w:rsid w:val="00506D1E"/>
    <w:rsid w:val="005122A8"/>
    <w:rsid w:val="00512CEF"/>
    <w:rsid w:val="00515A02"/>
    <w:rsid w:val="00517C82"/>
    <w:rsid w:val="005203F1"/>
    <w:rsid w:val="00520FE7"/>
    <w:rsid w:val="0052140B"/>
    <w:rsid w:val="00521847"/>
    <w:rsid w:val="005244E5"/>
    <w:rsid w:val="0052637D"/>
    <w:rsid w:val="00527B3B"/>
    <w:rsid w:val="00527F92"/>
    <w:rsid w:val="005323EA"/>
    <w:rsid w:val="005331DE"/>
    <w:rsid w:val="00535B0D"/>
    <w:rsid w:val="0053751B"/>
    <w:rsid w:val="00537ADC"/>
    <w:rsid w:val="00537DB2"/>
    <w:rsid w:val="0054480F"/>
    <w:rsid w:val="005450D3"/>
    <w:rsid w:val="0054675C"/>
    <w:rsid w:val="00553213"/>
    <w:rsid w:val="005534E3"/>
    <w:rsid w:val="00556122"/>
    <w:rsid w:val="005566F5"/>
    <w:rsid w:val="00556ED7"/>
    <w:rsid w:val="00560212"/>
    <w:rsid w:val="00561099"/>
    <w:rsid w:val="005622BF"/>
    <w:rsid w:val="0056356B"/>
    <w:rsid w:val="00563B5B"/>
    <w:rsid w:val="00564628"/>
    <w:rsid w:val="00565149"/>
    <w:rsid w:val="0056712E"/>
    <w:rsid w:val="00570221"/>
    <w:rsid w:val="00570C2B"/>
    <w:rsid w:val="0057186D"/>
    <w:rsid w:val="00573767"/>
    <w:rsid w:val="00577C2C"/>
    <w:rsid w:val="00580155"/>
    <w:rsid w:val="005807F0"/>
    <w:rsid w:val="0058160A"/>
    <w:rsid w:val="0058432E"/>
    <w:rsid w:val="00586F13"/>
    <w:rsid w:val="00587292"/>
    <w:rsid w:val="00587A2C"/>
    <w:rsid w:val="00587B1C"/>
    <w:rsid w:val="00590AD6"/>
    <w:rsid w:val="00590B4F"/>
    <w:rsid w:val="00593594"/>
    <w:rsid w:val="005938B2"/>
    <w:rsid w:val="0059493A"/>
    <w:rsid w:val="005A0C2D"/>
    <w:rsid w:val="005A10F8"/>
    <w:rsid w:val="005A1B66"/>
    <w:rsid w:val="005A3504"/>
    <w:rsid w:val="005A4EFB"/>
    <w:rsid w:val="005A799B"/>
    <w:rsid w:val="005B0EA9"/>
    <w:rsid w:val="005B1095"/>
    <w:rsid w:val="005B6AAD"/>
    <w:rsid w:val="005B702A"/>
    <w:rsid w:val="005B7FF8"/>
    <w:rsid w:val="005C16AA"/>
    <w:rsid w:val="005C1C99"/>
    <w:rsid w:val="005C2E75"/>
    <w:rsid w:val="005C34EB"/>
    <w:rsid w:val="005C577B"/>
    <w:rsid w:val="005C6B55"/>
    <w:rsid w:val="005D0169"/>
    <w:rsid w:val="005D0258"/>
    <w:rsid w:val="005D0D16"/>
    <w:rsid w:val="005D1454"/>
    <w:rsid w:val="005D4066"/>
    <w:rsid w:val="005D4E39"/>
    <w:rsid w:val="005D5BED"/>
    <w:rsid w:val="005D6C13"/>
    <w:rsid w:val="005D77AD"/>
    <w:rsid w:val="005E19DD"/>
    <w:rsid w:val="005E4C6D"/>
    <w:rsid w:val="005F197F"/>
    <w:rsid w:val="005F2533"/>
    <w:rsid w:val="005F68D8"/>
    <w:rsid w:val="006025D8"/>
    <w:rsid w:val="00602EA6"/>
    <w:rsid w:val="00603664"/>
    <w:rsid w:val="00606EF7"/>
    <w:rsid w:val="0061095C"/>
    <w:rsid w:val="00615F6A"/>
    <w:rsid w:val="00617A2B"/>
    <w:rsid w:val="00617A6D"/>
    <w:rsid w:val="006207FD"/>
    <w:rsid w:val="006220AD"/>
    <w:rsid w:val="00630FB7"/>
    <w:rsid w:val="00634EA6"/>
    <w:rsid w:val="00635F7F"/>
    <w:rsid w:val="00636C7B"/>
    <w:rsid w:val="00643B77"/>
    <w:rsid w:val="00643FAC"/>
    <w:rsid w:val="00645979"/>
    <w:rsid w:val="0064652F"/>
    <w:rsid w:val="00650481"/>
    <w:rsid w:val="00651933"/>
    <w:rsid w:val="00651FF7"/>
    <w:rsid w:val="006547DC"/>
    <w:rsid w:val="006553CB"/>
    <w:rsid w:val="00655A31"/>
    <w:rsid w:val="0065694E"/>
    <w:rsid w:val="006569E3"/>
    <w:rsid w:val="00656A65"/>
    <w:rsid w:val="00657B2C"/>
    <w:rsid w:val="00663E54"/>
    <w:rsid w:val="00665017"/>
    <w:rsid w:val="006657E3"/>
    <w:rsid w:val="0067004C"/>
    <w:rsid w:val="00670078"/>
    <w:rsid w:val="006700FF"/>
    <w:rsid w:val="00671817"/>
    <w:rsid w:val="00673511"/>
    <w:rsid w:val="00673F81"/>
    <w:rsid w:val="006742A8"/>
    <w:rsid w:val="00676056"/>
    <w:rsid w:val="0067608D"/>
    <w:rsid w:val="006830AF"/>
    <w:rsid w:val="00683E89"/>
    <w:rsid w:val="00685CA8"/>
    <w:rsid w:val="006937FF"/>
    <w:rsid w:val="00694BB7"/>
    <w:rsid w:val="00696B6C"/>
    <w:rsid w:val="006A06B9"/>
    <w:rsid w:val="006A0721"/>
    <w:rsid w:val="006A0D2A"/>
    <w:rsid w:val="006A12F2"/>
    <w:rsid w:val="006A2F51"/>
    <w:rsid w:val="006A5AB2"/>
    <w:rsid w:val="006B0DF0"/>
    <w:rsid w:val="006B2B7B"/>
    <w:rsid w:val="006B2FC9"/>
    <w:rsid w:val="006B56E6"/>
    <w:rsid w:val="006B5BE5"/>
    <w:rsid w:val="006B6662"/>
    <w:rsid w:val="006B76F8"/>
    <w:rsid w:val="006C2A96"/>
    <w:rsid w:val="006C34DB"/>
    <w:rsid w:val="006C3FC6"/>
    <w:rsid w:val="006C4B3D"/>
    <w:rsid w:val="006C4E96"/>
    <w:rsid w:val="006C71DB"/>
    <w:rsid w:val="006C76B2"/>
    <w:rsid w:val="006D125A"/>
    <w:rsid w:val="006D1C2D"/>
    <w:rsid w:val="006D387C"/>
    <w:rsid w:val="006D45A6"/>
    <w:rsid w:val="006D5B48"/>
    <w:rsid w:val="006D6560"/>
    <w:rsid w:val="006D6F1B"/>
    <w:rsid w:val="006D7B79"/>
    <w:rsid w:val="006E1233"/>
    <w:rsid w:val="006E4C2F"/>
    <w:rsid w:val="006E4C45"/>
    <w:rsid w:val="006E5C17"/>
    <w:rsid w:val="006E6945"/>
    <w:rsid w:val="006E6A29"/>
    <w:rsid w:val="006E7EBB"/>
    <w:rsid w:val="006F118D"/>
    <w:rsid w:val="006F16AA"/>
    <w:rsid w:val="006F178B"/>
    <w:rsid w:val="006F226A"/>
    <w:rsid w:val="006F2D53"/>
    <w:rsid w:val="006F3AC0"/>
    <w:rsid w:val="006F6744"/>
    <w:rsid w:val="00703887"/>
    <w:rsid w:val="00704FDA"/>
    <w:rsid w:val="00707911"/>
    <w:rsid w:val="00710A7E"/>
    <w:rsid w:val="0071217E"/>
    <w:rsid w:val="00717DE7"/>
    <w:rsid w:val="0072174B"/>
    <w:rsid w:val="00721969"/>
    <w:rsid w:val="00721AD4"/>
    <w:rsid w:val="00722089"/>
    <w:rsid w:val="00722BBF"/>
    <w:rsid w:val="00723EA3"/>
    <w:rsid w:val="007258D5"/>
    <w:rsid w:val="0072595C"/>
    <w:rsid w:val="00732406"/>
    <w:rsid w:val="00734583"/>
    <w:rsid w:val="00740795"/>
    <w:rsid w:val="007426AF"/>
    <w:rsid w:val="007432ED"/>
    <w:rsid w:val="00743988"/>
    <w:rsid w:val="00743FFB"/>
    <w:rsid w:val="00746E8B"/>
    <w:rsid w:val="00753A9D"/>
    <w:rsid w:val="0075473F"/>
    <w:rsid w:val="0075669E"/>
    <w:rsid w:val="00760B33"/>
    <w:rsid w:val="007616EF"/>
    <w:rsid w:val="00761CD2"/>
    <w:rsid w:val="00763F87"/>
    <w:rsid w:val="00764576"/>
    <w:rsid w:val="00764BDC"/>
    <w:rsid w:val="00766B9F"/>
    <w:rsid w:val="007676B4"/>
    <w:rsid w:val="0077013F"/>
    <w:rsid w:val="00770222"/>
    <w:rsid w:val="00771A6E"/>
    <w:rsid w:val="00773997"/>
    <w:rsid w:val="00775A16"/>
    <w:rsid w:val="007837E7"/>
    <w:rsid w:val="007860D3"/>
    <w:rsid w:val="007869EB"/>
    <w:rsid w:val="007870AF"/>
    <w:rsid w:val="00787E4B"/>
    <w:rsid w:val="007923C7"/>
    <w:rsid w:val="007939B3"/>
    <w:rsid w:val="00793A46"/>
    <w:rsid w:val="00794B83"/>
    <w:rsid w:val="007A09B2"/>
    <w:rsid w:val="007A0A21"/>
    <w:rsid w:val="007A29AE"/>
    <w:rsid w:val="007A37D8"/>
    <w:rsid w:val="007A4AAE"/>
    <w:rsid w:val="007A59D4"/>
    <w:rsid w:val="007A5C0C"/>
    <w:rsid w:val="007A66ED"/>
    <w:rsid w:val="007A74F0"/>
    <w:rsid w:val="007B3375"/>
    <w:rsid w:val="007B56F1"/>
    <w:rsid w:val="007B719A"/>
    <w:rsid w:val="007C7071"/>
    <w:rsid w:val="007C7F3E"/>
    <w:rsid w:val="007D0C8D"/>
    <w:rsid w:val="007D6BFB"/>
    <w:rsid w:val="007D6FA6"/>
    <w:rsid w:val="007E16A7"/>
    <w:rsid w:val="007E19C9"/>
    <w:rsid w:val="007E1CFF"/>
    <w:rsid w:val="007E21EB"/>
    <w:rsid w:val="007E4757"/>
    <w:rsid w:val="007E592E"/>
    <w:rsid w:val="007E6586"/>
    <w:rsid w:val="007F0568"/>
    <w:rsid w:val="007F43BE"/>
    <w:rsid w:val="007F4546"/>
    <w:rsid w:val="007F4D92"/>
    <w:rsid w:val="007F5067"/>
    <w:rsid w:val="008002C8"/>
    <w:rsid w:val="00803C04"/>
    <w:rsid w:val="00811D2D"/>
    <w:rsid w:val="0081259F"/>
    <w:rsid w:val="008175F6"/>
    <w:rsid w:val="00820184"/>
    <w:rsid w:val="0082032F"/>
    <w:rsid w:val="00823B0E"/>
    <w:rsid w:val="00824006"/>
    <w:rsid w:val="00826992"/>
    <w:rsid w:val="00831F19"/>
    <w:rsid w:val="00833552"/>
    <w:rsid w:val="00836A56"/>
    <w:rsid w:val="00837228"/>
    <w:rsid w:val="008377CE"/>
    <w:rsid w:val="0084301B"/>
    <w:rsid w:val="00843987"/>
    <w:rsid w:val="00843B12"/>
    <w:rsid w:val="008478E5"/>
    <w:rsid w:val="00850142"/>
    <w:rsid w:val="00852204"/>
    <w:rsid w:val="00855FC1"/>
    <w:rsid w:val="0085627C"/>
    <w:rsid w:val="00860709"/>
    <w:rsid w:val="008607FB"/>
    <w:rsid w:val="00861003"/>
    <w:rsid w:val="00862DD3"/>
    <w:rsid w:val="0086321B"/>
    <w:rsid w:val="00864F12"/>
    <w:rsid w:val="00873AC7"/>
    <w:rsid w:val="00873F61"/>
    <w:rsid w:val="00876408"/>
    <w:rsid w:val="008773FC"/>
    <w:rsid w:val="00880232"/>
    <w:rsid w:val="00881230"/>
    <w:rsid w:val="00881C4C"/>
    <w:rsid w:val="00883060"/>
    <w:rsid w:val="008870CD"/>
    <w:rsid w:val="0088761C"/>
    <w:rsid w:val="008907D7"/>
    <w:rsid w:val="0089092B"/>
    <w:rsid w:val="00891419"/>
    <w:rsid w:val="008928AE"/>
    <w:rsid w:val="00892E0B"/>
    <w:rsid w:val="008937C4"/>
    <w:rsid w:val="008939C4"/>
    <w:rsid w:val="00894FFE"/>
    <w:rsid w:val="00896B8F"/>
    <w:rsid w:val="00896C1E"/>
    <w:rsid w:val="008A307F"/>
    <w:rsid w:val="008A372B"/>
    <w:rsid w:val="008A4BB9"/>
    <w:rsid w:val="008A6021"/>
    <w:rsid w:val="008A605C"/>
    <w:rsid w:val="008A66AA"/>
    <w:rsid w:val="008B0FF7"/>
    <w:rsid w:val="008B3E96"/>
    <w:rsid w:val="008B4747"/>
    <w:rsid w:val="008B6556"/>
    <w:rsid w:val="008B72FF"/>
    <w:rsid w:val="008C05FA"/>
    <w:rsid w:val="008C0E64"/>
    <w:rsid w:val="008C100E"/>
    <w:rsid w:val="008C4C7D"/>
    <w:rsid w:val="008C635E"/>
    <w:rsid w:val="008C65EC"/>
    <w:rsid w:val="008C6A0E"/>
    <w:rsid w:val="008D1D7F"/>
    <w:rsid w:val="008D32FF"/>
    <w:rsid w:val="008D3E99"/>
    <w:rsid w:val="008D5A80"/>
    <w:rsid w:val="008D5D0F"/>
    <w:rsid w:val="008D62EA"/>
    <w:rsid w:val="008D783A"/>
    <w:rsid w:val="008E0849"/>
    <w:rsid w:val="008E3105"/>
    <w:rsid w:val="008E3D73"/>
    <w:rsid w:val="008E4800"/>
    <w:rsid w:val="008E4D3D"/>
    <w:rsid w:val="008E73AD"/>
    <w:rsid w:val="008F13AE"/>
    <w:rsid w:val="008F2C22"/>
    <w:rsid w:val="008F4A00"/>
    <w:rsid w:val="008F71FE"/>
    <w:rsid w:val="008F76F0"/>
    <w:rsid w:val="00900D0E"/>
    <w:rsid w:val="0090194A"/>
    <w:rsid w:val="00905793"/>
    <w:rsid w:val="009057EF"/>
    <w:rsid w:val="00906739"/>
    <w:rsid w:val="00910E03"/>
    <w:rsid w:val="00911997"/>
    <w:rsid w:val="00915690"/>
    <w:rsid w:val="009169CD"/>
    <w:rsid w:val="00916FA8"/>
    <w:rsid w:val="00917A7C"/>
    <w:rsid w:val="009220DB"/>
    <w:rsid w:val="009221E3"/>
    <w:rsid w:val="0092264F"/>
    <w:rsid w:val="00922E71"/>
    <w:rsid w:val="00926E20"/>
    <w:rsid w:val="00930DBF"/>
    <w:rsid w:val="0093430E"/>
    <w:rsid w:val="00937AEA"/>
    <w:rsid w:val="00940B18"/>
    <w:rsid w:val="009426C5"/>
    <w:rsid w:val="009436C0"/>
    <w:rsid w:val="009446E3"/>
    <w:rsid w:val="009450BA"/>
    <w:rsid w:val="00945E37"/>
    <w:rsid w:val="00946F58"/>
    <w:rsid w:val="00951E3A"/>
    <w:rsid w:val="00952494"/>
    <w:rsid w:val="00954B43"/>
    <w:rsid w:val="009550C3"/>
    <w:rsid w:val="009553F1"/>
    <w:rsid w:val="009568C1"/>
    <w:rsid w:val="009578B8"/>
    <w:rsid w:val="00961D0C"/>
    <w:rsid w:val="00964D9E"/>
    <w:rsid w:val="0096509B"/>
    <w:rsid w:val="00965BD2"/>
    <w:rsid w:val="00965F44"/>
    <w:rsid w:val="009715A3"/>
    <w:rsid w:val="00973A59"/>
    <w:rsid w:val="0097583D"/>
    <w:rsid w:val="00976435"/>
    <w:rsid w:val="00977D71"/>
    <w:rsid w:val="00981E7F"/>
    <w:rsid w:val="00986603"/>
    <w:rsid w:val="00990CA2"/>
    <w:rsid w:val="00991856"/>
    <w:rsid w:val="009924A6"/>
    <w:rsid w:val="009924EB"/>
    <w:rsid w:val="00994618"/>
    <w:rsid w:val="009955C5"/>
    <w:rsid w:val="009958C4"/>
    <w:rsid w:val="009A1527"/>
    <w:rsid w:val="009A2AD8"/>
    <w:rsid w:val="009A6220"/>
    <w:rsid w:val="009B1F24"/>
    <w:rsid w:val="009B5234"/>
    <w:rsid w:val="009C1AFF"/>
    <w:rsid w:val="009C1FED"/>
    <w:rsid w:val="009C3A53"/>
    <w:rsid w:val="009C41B8"/>
    <w:rsid w:val="009C420F"/>
    <w:rsid w:val="009C4A3A"/>
    <w:rsid w:val="009C51A4"/>
    <w:rsid w:val="009C5C93"/>
    <w:rsid w:val="009C62E5"/>
    <w:rsid w:val="009C7347"/>
    <w:rsid w:val="009C7AA3"/>
    <w:rsid w:val="009C7DB7"/>
    <w:rsid w:val="009C7FEC"/>
    <w:rsid w:val="009D2375"/>
    <w:rsid w:val="009D2989"/>
    <w:rsid w:val="009D38FF"/>
    <w:rsid w:val="009D3BB2"/>
    <w:rsid w:val="009D6EEC"/>
    <w:rsid w:val="009E098D"/>
    <w:rsid w:val="009E379D"/>
    <w:rsid w:val="009E52FF"/>
    <w:rsid w:val="009E715D"/>
    <w:rsid w:val="009E7A80"/>
    <w:rsid w:val="009F0819"/>
    <w:rsid w:val="009F1513"/>
    <w:rsid w:val="009F3EFA"/>
    <w:rsid w:val="009F426A"/>
    <w:rsid w:val="009F50C2"/>
    <w:rsid w:val="009F636E"/>
    <w:rsid w:val="009F7714"/>
    <w:rsid w:val="009F7AD0"/>
    <w:rsid w:val="00A03525"/>
    <w:rsid w:val="00A0447F"/>
    <w:rsid w:val="00A04D53"/>
    <w:rsid w:val="00A05EEF"/>
    <w:rsid w:val="00A0697D"/>
    <w:rsid w:val="00A06D84"/>
    <w:rsid w:val="00A07150"/>
    <w:rsid w:val="00A0718C"/>
    <w:rsid w:val="00A0732B"/>
    <w:rsid w:val="00A075FD"/>
    <w:rsid w:val="00A1096C"/>
    <w:rsid w:val="00A127FA"/>
    <w:rsid w:val="00A136AD"/>
    <w:rsid w:val="00A142EE"/>
    <w:rsid w:val="00A158B1"/>
    <w:rsid w:val="00A15A33"/>
    <w:rsid w:val="00A20D03"/>
    <w:rsid w:val="00A21A44"/>
    <w:rsid w:val="00A21CFC"/>
    <w:rsid w:val="00A2256C"/>
    <w:rsid w:val="00A2401D"/>
    <w:rsid w:val="00A252A0"/>
    <w:rsid w:val="00A26598"/>
    <w:rsid w:val="00A30F63"/>
    <w:rsid w:val="00A31398"/>
    <w:rsid w:val="00A31E68"/>
    <w:rsid w:val="00A351C0"/>
    <w:rsid w:val="00A36731"/>
    <w:rsid w:val="00A36C45"/>
    <w:rsid w:val="00A405E1"/>
    <w:rsid w:val="00A40B71"/>
    <w:rsid w:val="00A40BF9"/>
    <w:rsid w:val="00A41E34"/>
    <w:rsid w:val="00A41E3A"/>
    <w:rsid w:val="00A422D2"/>
    <w:rsid w:val="00A42A0C"/>
    <w:rsid w:val="00A42DB0"/>
    <w:rsid w:val="00A46360"/>
    <w:rsid w:val="00A463CC"/>
    <w:rsid w:val="00A46AA3"/>
    <w:rsid w:val="00A503BF"/>
    <w:rsid w:val="00A51946"/>
    <w:rsid w:val="00A51B88"/>
    <w:rsid w:val="00A52D89"/>
    <w:rsid w:val="00A533BF"/>
    <w:rsid w:val="00A54C15"/>
    <w:rsid w:val="00A5527F"/>
    <w:rsid w:val="00A55F8B"/>
    <w:rsid w:val="00A56B57"/>
    <w:rsid w:val="00A56E65"/>
    <w:rsid w:val="00A57446"/>
    <w:rsid w:val="00A61A2A"/>
    <w:rsid w:val="00A64309"/>
    <w:rsid w:val="00A66405"/>
    <w:rsid w:val="00A66BB3"/>
    <w:rsid w:val="00A70400"/>
    <w:rsid w:val="00A72B12"/>
    <w:rsid w:val="00A7485E"/>
    <w:rsid w:val="00A74D6C"/>
    <w:rsid w:val="00A7651B"/>
    <w:rsid w:val="00A766D5"/>
    <w:rsid w:val="00A76E2D"/>
    <w:rsid w:val="00A80E3F"/>
    <w:rsid w:val="00A8141D"/>
    <w:rsid w:val="00A83373"/>
    <w:rsid w:val="00A839C9"/>
    <w:rsid w:val="00A87A2E"/>
    <w:rsid w:val="00A912D2"/>
    <w:rsid w:val="00A93371"/>
    <w:rsid w:val="00A94754"/>
    <w:rsid w:val="00A947E8"/>
    <w:rsid w:val="00A948C1"/>
    <w:rsid w:val="00A97C9A"/>
    <w:rsid w:val="00AA0539"/>
    <w:rsid w:val="00AA1F46"/>
    <w:rsid w:val="00AA300F"/>
    <w:rsid w:val="00AA4A88"/>
    <w:rsid w:val="00AA4B62"/>
    <w:rsid w:val="00AA515A"/>
    <w:rsid w:val="00AA780D"/>
    <w:rsid w:val="00AB2496"/>
    <w:rsid w:val="00AB4AFA"/>
    <w:rsid w:val="00AB5FEF"/>
    <w:rsid w:val="00AB78E9"/>
    <w:rsid w:val="00AB7F04"/>
    <w:rsid w:val="00AC0EF0"/>
    <w:rsid w:val="00AC2461"/>
    <w:rsid w:val="00AC33B8"/>
    <w:rsid w:val="00AC3B4B"/>
    <w:rsid w:val="00AC3D4E"/>
    <w:rsid w:val="00AC50CB"/>
    <w:rsid w:val="00AC6973"/>
    <w:rsid w:val="00AC6BC1"/>
    <w:rsid w:val="00AC7B8C"/>
    <w:rsid w:val="00AC7EF2"/>
    <w:rsid w:val="00AD0CC9"/>
    <w:rsid w:val="00AD0EAA"/>
    <w:rsid w:val="00AE0421"/>
    <w:rsid w:val="00AE07E0"/>
    <w:rsid w:val="00AE1136"/>
    <w:rsid w:val="00AE27D3"/>
    <w:rsid w:val="00AE39C8"/>
    <w:rsid w:val="00AF1F82"/>
    <w:rsid w:val="00AF4025"/>
    <w:rsid w:val="00AF4E6D"/>
    <w:rsid w:val="00AF51CF"/>
    <w:rsid w:val="00AF707B"/>
    <w:rsid w:val="00B004A8"/>
    <w:rsid w:val="00B02219"/>
    <w:rsid w:val="00B04AA5"/>
    <w:rsid w:val="00B058C9"/>
    <w:rsid w:val="00B063F4"/>
    <w:rsid w:val="00B07CCA"/>
    <w:rsid w:val="00B12081"/>
    <w:rsid w:val="00B12327"/>
    <w:rsid w:val="00B13E92"/>
    <w:rsid w:val="00B152AE"/>
    <w:rsid w:val="00B17BB1"/>
    <w:rsid w:val="00B209B6"/>
    <w:rsid w:val="00B21538"/>
    <w:rsid w:val="00B2229B"/>
    <w:rsid w:val="00B234E8"/>
    <w:rsid w:val="00B2366D"/>
    <w:rsid w:val="00B249C4"/>
    <w:rsid w:val="00B2537F"/>
    <w:rsid w:val="00B25A6E"/>
    <w:rsid w:val="00B25BD6"/>
    <w:rsid w:val="00B263D3"/>
    <w:rsid w:val="00B27117"/>
    <w:rsid w:val="00B30F71"/>
    <w:rsid w:val="00B3107B"/>
    <w:rsid w:val="00B314E7"/>
    <w:rsid w:val="00B32D02"/>
    <w:rsid w:val="00B336E4"/>
    <w:rsid w:val="00B377AB"/>
    <w:rsid w:val="00B37920"/>
    <w:rsid w:val="00B42F66"/>
    <w:rsid w:val="00B431E5"/>
    <w:rsid w:val="00B462D5"/>
    <w:rsid w:val="00B46F78"/>
    <w:rsid w:val="00B47206"/>
    <w:rsid w:val="00B555EA"/>
    <w:rsid w:val="00B55740"/>
    <w:rsid w:val="00B615E6"/>
    <w:rsid w:val="00B63670"/>
    <w:rsid w:val="00B64A25"/>
    <w:rsid w:val="00B7005B"/>
    <w:rsid w:val="00B70B79"/>
    <w:rsid w:val="00B715B9"/>
    <w:rsid w:val="00B7164E"/>
    <w:rsid w:val="00B743B9"/>
    <w:rsid w:val="00B752A4"/>
    <w:rsid w:val="00B76B23"/>
    <w:rsid w:val="00B76F33"/>
    <w:rsid w:val="00B77335"/>
    <w:rsid w:val="00B80FE0"/>
    <w:rsid w:val="00B82171"/>
    <w:rsid w:val="00B8304C"/>
    <w:rsid w:val="00B834AD"/>
    <w:rsid w:val="00B83D1B"/>
    <w:rsid w:val="00B84C05"/>
    <w:rsid w:val="00B84E14"/>
    <w:rsid w:val="00B85B49"/>
    <w:rsid w:val="00B8743C"/>
    <w:rsid w:val="00B90208"/>
    <w:rsid w:val="00B92985"/>
    <w:rsid w:val="00B93439"/>
    <w:rsid w:val="00B949B9"/>
    <w:rsid w:val="00B96CE3"/>
    <w:rsid w:val="00B973C1"/>
    <w:rsid w:val="00BA1111"/>
    <w:rsid w:val="00BA1524"/>
    <w:rsid w:val="00BA3543"/>
    <w:rsid w:val="00BA4FC4"/>
    <w:rsid w:val="00BA652F"/>
    <w:rsid w:val="00BA657E"/>
    <w:rsid w:val="00BA68F7"/>
    <w:rsid w:val="00BA6E67"/>
    <w:rsid w:val="00BA7C26"/>
    <w:rsid w:val="00BB2CD4"/>
    <w:rsid w:val="00BB5D66"/>
    <w:rsid w:val="00BC1005"/>
    <w:rsid w:val="00BC192C"/>
    <w:rsid w:val="00BC2CE8"/>
    <w:rsid w:val="00BC6248"/>
    <w:rsid w:val="00BD0323"/>
    <w:rsid w:val="00BD4A60"/>
    <w:rsid w:val="00BD5B16"/>
    <w:rsid w:val="00BE13B5"/>
    <w:rsid w:val="00BE17AB"/>
    <w:rsid w:val="00BE28CE"/>
    <w:rsid w:val="00BE4C36"/>
    <w:rsid w:val="00BE5505"/>
    <w:rsid w:val="00BE79BA"/>
    <w:rsid w:val="00BF16EB"/>
    <w:rsid w:val="00BF20AD"/>
    <w:rsid w:val="00BF4DB8"/>
    <w:rsid w:val="00BF50B3"/>
    <w:rsid w:val="00BF5453"/>
    <w:rsid w:val="00BF5A4C"/>
    <w:rsid w:val="00BF6EA0"/>
    <w:rsid w:val="00BF792B"/>
    <w:rsid w:val="00C00D63"/>
    <w:rsid w:val="00C01A86"/>
    <w:rsid w:val="00C01AC4"/>
    <w:rsid w:val="00C03E21"/>
    <w:rsid w:val="00C0505A"/>
    <w:rsid w:val="00C06840"/>
    <w:rsid w:val="00C106B2"/>
    <w:rsid w:val="00C13E62"/>
    <w:rsid w:val="00C14DBA"/>
    <w:rsid w:val="00C169FF"/>
    <w:rsid w:val="00C21753"/>
    <w:rsid w:val="00C22159"/>
    <w:rsid w:val="00C23EBA"/>
    <w:rsid w:val="00C24AD6"/>
    <w:rsid w:val="00C266AB"/>
    <w:rsid w:val="00C27631"/>
    <w:rsid w:val="00C35DC5"/>
    <w:rsid w:val="00C37A10"/>
    <w:rsid w:val="00C461E0"/>
    <w:rsid w:val="00C4631A"/>
    <w:rsid w:val="00C471E2"/>
    <w:rsid w:val="00C506AE"/>
    <w:rsid w:val="00C50FCE"/>
    <w:rsid w:val="00C53025"/>
    <w:rsid w:val="00C5454E"/>
    <w:rsid w:val="00C57725"/>
    <w:rsid w:val="00C60663"/>
    <w:rsid w:val="00C60C7B"/>
    <w:rsid w:val="00C62FDF"/>
    <w:rsid w:val="00C65E63"/>
    <w:rsid w:val="00C66766"/>
    <w:rsid w:val="00C66A88"/>
    <w:rsid w:val="00C67044"/>
    <w:rsid w:val="00C72DC2"/>
    <w:rsid w:val="00C7466B"/>
    <w:rsid w:val="00C77AB4"/>
    <w:rsid w:val="00C8024A"/>
    <w:rsid w:val="00C8065B"/>
    <w:rsid w:val="00C82F37"/>
    <w:rsid w:val="00C83B3A"/>
    <w:rsid w:val="00C84E25"/>
    <w:rsid w:val="00C8560F"/>
    <w:rsid w:val="00C858FE"/>
    <w:rsid w:val="00C8632F"/>
    <w:rsid w:val="00C864AC"/>
    <w:rsid w:val="00C87033"/>
    <w:rsid w:val="00C90110"/>
    <w:rsid w:val="00C9057E"/>
    <w:rsid w:val="00C91D8B"/>
    <w:rsid w:val="00C93877"/>
    <w:rsid w:val="00CA06D1"/>
    <w:rsid w:val="00CA23C6"/>
    <w:rsid w:val="00CA2B36"/>
    <w:rsid w:val="00CA345E"/>
    <w:rsid w:val="00CA357D"/>
    <w:rsid w:val="00CA4197"/>
    <w:rsid w:val="00CA499C"/>
    <w:rsid w:val="00CA5931"/>
    <w:rsid w:val="00CA6A14"/>
    <w:rsid w:val="00CA6C46"/>
    <w:rsid w:val="00CB0D91"/>
    <w:rsid w:val="00CB1275"/>
    <w:rsid w:val="00CB2AD0"/>
    <w:rsid w:val="00CB5ADE"/>
    <w:rsid w:val="00CB5F03"/>
    <w:rsid w:val="00CB78A4"/>
    <w:rsid w:val="00CC1E04"/>
    <w:rsid w:val="00CC44F6"/>
    <w:rsid w:val="00CC4659"/>
    <w:rsid w:val="00CC5735"/>
    <w:rsid w:val="00CD0F5B"/>
    <w:rsid w:val="00CD168A"/>
    <w:rsid w:val="00CD337F"/>
    <w:rsid w:val="00CD354F"/>
    <w:rsid w:val="00CD4413"/>
    <w:rsid w:val="00CD676F"/>
    <w:rsid w:val="00CD7FE6"/>
    <w:rsid w:val="00CE0934"/>
    <w:rsid w:val="00CE10DF"/>
    <w:rsid w:val="00CE4D0A"/>
    <w:rsid w:val="00CE53F0"/>
    <w:rsid w:val="00CE613D"/>
    <w:rsid w:val="00CE6FDD"/>
    <w:rsid w:val="00CE7ED6"/>
    <w:rsid w:val="00CF016E"/>
    <w:rsid w:val="00CF0BE2"/>
    <w:rsid w:val="00CF1527"/>
    <w:rsid w:val="00CF2BC6"/>
    <w:rsid w:val="00CF397F"/>
    <w:rsid w:val="00CF45F9"/>
    <w:rsid w:val="00CF4951"/>
    <w:rsid w:val="00CF7158"/>
    <w:rsid w:val="00CF7BD7"/>
    <w:rsid w:val="00D0155E"/>
    <w:rsid w:val="00D024BD"/>
    <w:rsid w:val="00D0343E"/>
    <w:rsid w:val="00D03685"/>
    <w:rsid w:val="00D0400A"/>
    <w:rsid w:val="00D048A1"/>
    <w:rsid w:val="00D061E1"/>
    <w:rsid w:val="00D078DE"/>
    <w:rsid w:val="00D119BF"/>
    <w:rsid w:val="00D11A44"/>
    <w:rsid w:val="00D12DFC"/>
    <w:rsid w:val="00D132FB"/>
    <w:rsid w:val="00D14873"/>
    <w:rsid w:val="00D148C3"/>
    <w:rsid w:val="00D149B8"/>
    <w:rsid w:val="00D149EF"/>
    <w:rsid w:val="00D14A81"/>
    <w:rsid w:val="00D15124"/>
    <w:rsid w:val="00D1541F"/>
    <w:rsid w:val="00D1772E"/>
    <w:rsid w:val="00D2147B"/>
    <w:rsid w:val="00D21D2D"/>
    <w:rsid w:val="00D24AF5"/>
    <w:rsid w:val="00D26FD7"/>
    <w:rsid w:val="00D3012E"/>
    <w:rsid w:val="00D335C5"/>
    <w:rsid w:val="00D35894"/>
    <w:rsid w:val="00D36560"/>
    <w:rsid w:val="00D4105A"/>
    <w:rsid w:val="00D41FBB"/>
    <w:rsid w:val="00D42446"/>
    <w:rsid w:val="00D4387D"/>
    <w:rsid w:val="00D43D0C"/>
    <w:rsid w:val="00D46C1B"/>
    <w:rsid w:val="00D47565"/>
    <w:rsid w:val="00D47986"/>
    <w:rsid w:val="00D50428"/>
    <w:rsid w:val="00D51B4B"/>
    <w:rsid w:val="00D51BE4"/>
    <w:rsid w:val="00D52DC2"/>
    <w:rsid w:val="00D53E0E"/>
    <w:rsid w:val="00D556F8"/>
    <w:rsid w:val="00D56C24"/>
    <w:rsid w:val="00D60071"/>
    <w:rsid w:val="00D6013F"/>
    <w:rsid w:val="00D61395"/>
    <w:rsid w:val="00D65080"/>
    <w:rsid w:val="00D65566"/>
    <w:rsid w:val="00D660F7"/>
    <w:rsid w:val="00D67E1A"/>
    <w:rsid w:val="00D70235"/>
    <w:rsid w:val="00D70A5A"/>
    <w:rsid w:val="00D71016"/>
    <w:rsid w:val="00D71169"/>
    <w:rsid w:val="00D71F71"/>
    <w:rsid w:val="00D721BE"/>
    <w:rsid w:val="00D72BBD"/>
    <w:rsid w:val="00D7517F"/>
    <w:rsid w:val="00D757DA"/>
    <w:rsid w:val="00D76541"/>
    <w:rsid w:val="00D77167"/>
    <w:rsid w:val="00D80191"/>
    <w:rsid w:val="00D818EC"/>
    <w:rsid w:val="00D81D15"/>
    <w:rsid w:val="00D827A4"/>
    <w:rsid w:val="00D84327"/>
    <w:rsid w:val="00D84F7F"/>
    <w:rsid w:val="00D85294"/>
    <w:rsid w:val="00D85BA7"/>
    <w:rsid w:val="00D9123A"/>
    <w:rsid w:val="00D92ED4"/>
    <w:rsid w:val="00D93EE5"/>
    <w:rsid w:val="00D93F4F"/>
    <w:rsid w:val="00D94F5F"/>
    <w:rsid w:val="00D95E97"/>
    <w:rsid w:val="00D972C7"/>
    <w:rsid w:val="00D97C58"/>
    <w:rsid w:val="00DA0288"/>
    <w:rsid w:val="00DA35D8"/>
    <w:rsid w:val="00DA7937"/>
    <w:rsid w:val="00DB2086"/>
    <w:rsid w:val="00DB2D1B"/>
    <w:rsid w:val="00DB2EEC"/>
    <w:rsid w:val="00DB4B7C"/>
    <w:rsid w:val="00DB7399"/>
    <w:rsid w:val="00DB7812"/>
    <w:rsid w:val="00DC13F9"/>
    <w:rsid w:val="00DC2654"/>
    <w:rsid w:val="00DC278D"/>
    <w:rsid w:val="00DC3A41"/>
    <w:rsid w:val="00DC4ADA"/>
    <w:rsid w:val="00DC55B8"/>
    <w:rsid w:val="00DC6759"/>
    <w:rsid w:val="00DD02C7"/>
    <w:rsid w:val="00DD044B"/>
    <w:rsid w:val="00DD3A8B"/>
    <w:rsid w:val="00DD62E5"/>
    <w:rsid w:val="00DD6E70"/>
    <w:rsid w:val="00DD7BE6"/>
    <w:rsid w:val="00DD7C03"/>
    <w:rsid w:val="00DE0FCE"/>
    <w:rsid w:val="00DE1AD9"/>
    <w:rsid w:val="00DE26C6"/>
    <w:rsid w:val="00DE2A91"/>
    <w:rsid w:val="00DE4288"/>
    <w:rsid w:val="00DE6B91"/>
    <w:rsid w:val="00DE7B93"/>
    <w:rsid w:val="00DE7F25"/>
    <w:rsid w:val="00DF12CF"/>
    <w:rsid w:val="00DF1952"/>
    <w:rsid w:val="00DF3800"/>
    <w:rsid w:val="00DF51DE"/>
    <w:rsid w:val="00DF572B"/>
    <w:rsid w:val="00DF66C5"/>
    <w:rsid w:val="00DF6CD3"/>
    <w:rsid w:val="00DF7123"/>
    <w:rsid w:val="00DF7675"/>
    <w:rsid w:val="00DF78CA"/>
    <w:rsid w:val="00E023F2"/>
    <w:rsid w:val="00E0285C"/>
    <w:rsid w:val="00E02DF2"/>
    <w:rsid w:val="00E0383E"/>
    <w:rsid w:val="00E04237"/>
    <w:rsid w:val="00E043BF"/>
    <w:rsid w:val="00E06632"/>
    <w:rsid w:val="00E06A59"/>
    <w:rsid w:val="00E078FB"/>
    <w:rsid w:val="00E10FD3"/>
    <w:rsid w:val="00E1122F"/>
    <w:rsid w:val="00E11CF1"/>
    <w:rsid w:val="00E1203F"/>
    <w:rsid w:val="00E12728"/>
    <w:rsid w:val="00E13262"/>
    <w:rsid w:val="00E15AC2"/>
    <w:rsid w:val="00E1654D"/>
    <w:rsid w:val="00E17C31"/>
    <w:rsid w:val="00E2195C"/>
    <w:rsid w:val="00E22D83"/>
    <w:rsid w:val="00E238B1"/>
    <w:rsid w:val="00E2402D"/>
    <w:rsid w:val="00E24C69"/>
    <w:rsid w:val="00E25D8D"/>
    <w:rsid w:val="00E30F37"/>
    <w:rsid w:val="00E33915"/>
    <w:rsid w:val="00E354DD"/>
    <w:rsid w:val="00E40940"/>
    <w:rsid w:val="00E40C22"/>
    <w:rsid w:val="00E41DAC"/>
    <w:rsid w:val="00E43544"/>
    <w:rsid w:val="00E46D87"/>
    <w:rsid w:val="00E47EE3"/>
    <w:rsid w:val="00E50E10"/>
    <w:rsid w:val="00E520E5"/>
    <w:rsid w:val="00E52FC8"/>
    <w:rsid w:val="00E55425"/>
    <w:rsid w:val="00E5545B"/>
    <w:rsid w:val="00E55ABE"/>
    <w:rsid w:val="00E57A3A"/>
    <w:rsid w:val="00E601B3"/>
    <w:rsid w:val="00E60614"/>
    <w:rsid w:val="00E60C6A"/>
    <w:rsid w:val="00E61079"/>
    <w:rsid w:val="00E6559F"/>
    <w:rsid w:val="00E65D09"/>
    <w:rsid w:val="00E668F4"/>
    <w:rsid w:val="00E676CB"/>
    <w:rsid w:val="00E71970"/>
    <w:rsid w:val="00E71AC0"/>
    <w:rsid w:val="00E722E7"/>
    <w:rsid w:val="00E73024"/>
    <w:rsid w:val="00E742E5"/>
    <w:rsid w:val="00E80129"/>
    <w:rsid w:val="00E8571F"/>
    <w:rsid w:val="00E85E2A"/>
    <w:rsid w:val="00E86619"/>
    <w:rsid w:val="00E868A1"/>
    <w:rsid w:val="00E87B90"/>
    <w:rsid w:val="00E9010D"/>
    <w:rsid w:val="00E90EB2"/>
    <w:rsid w:val="00E91992"/>
    <w:rsid w:val="00E91A35"/>
    <w:rsid w:val="00E923BE"/>
    <w:rsid w:val="00EA026E"/>
    <w:rsid w:val="00EA088B"/>
    <w:rsid w:val="00EA0A35"/>
    <w:rsid w:val="00EA1400"/>
    <w:rsid w:val="00EA225E"/>
    <w:rsid w:val="00EA58C4"/>
    <w:rsid w:val="00EA64E1"/>
    <w:rsid w:val="00EA6A76"/>
    <w:rsid w:val="00EA6BE4"/>
    <w:rsid w:val="00EB0FD8"/>
    <w:rsid w:val="00EB1A89"/>
    <w:rsid w:val="00EB3C0B"/>
    <w:rsid w:val="00EB41EE"/>
    <w:rsid w:val="00EB6AEB"/>
    <w:rsid w:val="00EB6D56"/>
    <w:rsid w:val="00EB7422"/>
    <w:rsid w:val="00EC0E26"/>
    <w:rsid w:val="00EC29FA"/>
    <w:rsid w:val="00EC2B46"/>
    <w:rsid w:val="00EC2C87"/>
    <w:rsid w:val="00EC2FE7"/>
    <w:rsid w:val="00EC5F72"/>
    <w:rsid w:val="00EC64ED"/>
    <w:rsid w:val="00EC7F02"/>
    <w:rsid w:val="00ED026D"/>
    <w:rsid w:val="00ED2C35"/>
    <w:rsid w:val="00ED40E6"/>
    <w:rsid w:val="00ED43A7"/>
    <w:rsid w:val="00ED50F0"/>
    <w:rsid w:val="00ED7CF1"/>
    <w:rsid w:val="00EE0619"/>
    <w:rsid w:val="00EE1559"/>
    <w:rsid w:val="00EE787B"/>
    <w:rsid w:val="00EF03B0"/>
    <w:rsid w:val="00EF2E1D"/>
    <w:rsid w:val="00EF2F11"/>
    <w:rsid w:val="00EF3535"/>
    <w:rsid w:val="00EF7D11"/>
    <w:rsid w:val="00F00A39"/>
    <w:rsid w:val="00F00F70"/>
    <w:rsid w:val="00F02669"/>
    <w:rsid w:val="00F05BAE"/>
    <w:rsid w:val="00F06B47"/>
    <w:rsid w:val="00F06C03"/>
    <w:rsid w:val="00F076AE"/>
    <w:rsid w:val="00F10559"/>
    <w:rsid w:val="00F11C27"/>
    <w:rsid w:val="00F12D74"/>
    <w:rsid w:val="00F15964"/>
    <w:rsid w:val="00F175A3"/>
    <w:rsid w:val="00F176FD"/>
    <w:rsid w:val="00F21ADC"/>
    <w:rsid w:val="00F222B7"/>
    <w:rsid w:val="00F23D09"/>
    <w:rsid w:val="00F241C0"/>
    <w:rsid w:val="00F26BC6"/>
    <w:rsid w:val="00F2721D"/>
    <w:rsid w:val="00F3119B"/>
    <w:rsid w:val="00F32A32"/>
    <w:rsid w:val="00F33F46"/>
    <w:rsid w:val="00F34CE8"/>
    <w:rsid w:val="00F3624B"/>
    <w:rsid w:val="00F372DF"/>
    <w:rsid w:val="00F37D5E"/>
    <w:rsid w:val="00F40ADB"/>
    <w:rsid w:val="00F40C8D"/>
    <w:rsid w:val="00F413F2"/>
    <w:rsid w:val="00F41941"/>
    <w:rsid w:val="00F425BB"/>
    <w:rsid w:val="00F426A6"/>
    <w:rsid w:val="00F4301B"/>
    <w:rsid w:val="00F43E8B"/>
    <w:rsid w:val="00F44D15"/>
    <w:rsid w:val="00F45138"/>
    <w:rsid w:val="00F46EB9"/>
    <w:rsid w:val="00F51363"/>
    <w:rsid w:val="00F52064"/>
    <w:rsid w:val="00F521FC"/>
    <w:rsid w:val="00F526E3"/>
    <w:rsid w:val="00F545D6"/>
    <w:rsid w:val="00F547A7"/>
    <w:rsid w:val="00F566DE"/>
    <w:rsid w:val="00F61133"/>
    <w:rsid w:val="00F64141"/>
    <w:rsid w:val="00F64A58"/>
    <w:rsid w:val="00F65B5B"/>
    <w:rsid w:val="00F706B0"/>
    <w:rsid w:val="00F70763"/>
    <w:rsid w:val="00F71DB4"/>
    <w:rsid w:val="00F7393A"/>
    <w:rsid w:val="00F73F9D"/>
    <w:rsid w:val="00F75AF2"/>
    <w:rsid w:val="00F7756C"/>
    <w:rsid w:val="00F8070C"/>
    <w:rsid w:val="00F8221C"/>
    <w:rsid w:val="00F82BCA"/>
    <w:rsid w:val="00F845F5"/>
    <w:rsid w:val="00F870C1"/>
    <w:rsid w:val="00F90E65"/>
    <w:rsid w:val="00F96EBF"/>
    <w:rsid w:val="00FA1AAE"/>
    <w:rsid w:val="00FA2171"/>
    <w:rsid w:val="00FA330C"/>
    <w:rsid w:val="00FA4DF7"/>
    <w:rsid w:val="00FA4F76"/>
    <w:rsid w:val="00FA7C48"/>
    <w:rsid w:val="00FB0255"/>
    <w:rsid w:val="00FB3CBC"/>
    <w:rsid w:val="00FB4539"/>
    <w:rsid w:val="00FB549A"/>
    <w:rsid w:val="00FB6327"/>
    <w:rsid w:val="00FB7ABB"/>
    <w:rsid w:val="00FC0CA8"/>
    <w:rsid w:val="00FC1FF3"/>
    <w:rsid w:val="00FC372C"/>
    <w:rsid w:val="00FC3CAF"/>
    <w:rsid w:val="00FC4BC3"/>
    <w:rsid w:val="00FC585E"/>
    <w:rsid w:val="00FC5866"/>
    <w:rsid w:val="00FC685D"/>
    <w:rsid w:val="00FC70D6"/>
    <w:rsid w:val="00FC7F44"/>
    <w:rsid w:val="00FD1ADA"/>
    <w:rsid w:val="00FD3BF2"/>
    <w:rsid w:val="00FD40BE"/>
    <w:rsid w:val="00FD4888"/>
    <w:rsid w:val="00FD4F8C"/>
    <w:rsid w:val="00FD4FEE"/>
    <w:rsid w:val="00FD5499"/>
    <w:rsid w:val="00FD5A88"/>
    <w:rsid w:val="00FD78E9"/>
    <w:rsid w:val="00FD7AE5"/>
    <w:rsid w:val="00FE0BCB"/>
    <w:rsid w:val="00FE169D"/>
    <w:rsid w:val="00FE20BB"/>
    <w:rsid w:val="00FE20D1"/>
    <w:rsid w:val="00FE2165"/>
    <w:rsid w:val="00FE25BD"/>
    <w:rsid w:val="00FE3871"/>
    <w:rsid w:val="00FE5AB1"/>
    <w:rsid w:val="00FE5D0C"/>
    <w:rsid w:val="00FE6F45"/>
    <w:rsid w:val="00FF2541"/>
    <w:rsid w:val="00FF2661"/>
    <w:rsid w:val="00FF334A"/>
    <w:rsid w:val="00FF38B4"/>
    <w:rsid w:val="00FF5633"/>
    <w:rsid w:val="00FF6A0F"/>
    <w:rsid w:val="00FF70C1"/>
    <w:rsid w:val="01260B21"/>
    <w:rsid w:val="01307CE7"/>
    <w:rsid w:val="013E2686"/>
    <w:rsid w:val="013F6DBA"/>
    <w:rsid w:val="014E3E3A"/>
    <w:rsid w:val="015E2618"/>
    <w:rsid w:val="01AA1101"/>
    <w:rsid w:val="01E151A2"/>
    <w:rsid w:val="01E50D53"/>
    <w:rsid w:val="01FA24EA"/>
    <w:rsid w:val="02092C94"/>
    <w:rsid w:val="02504BD9"/>
    <w:rsid w:val="027054E5"/>
    <w:rsid w:val="02C17C8F"/>
    <w:rsid w:val="02E56546"/>
    <w:rsid w:val="02E70547"/>
    <w:rsid w:val="032A5000"/>
    <w:rsid w:val="03776092"/>
    <w:rsid w:val="038478FA"/>
    <w:rsid w:val="0385634A"/>
    <w:rsid w:val="038F001B"/>
    <w:rsid w:val="03AB15E5"/>
    <w:rsid w:val="03B976C1"/>
    <w:rsid w:val="03D07BC5"/>
    <w:rsid w:val="041F31E6"/>
    <w:rsid w:val="049B5B94"/>
    <w:rsid w:val="04C5228B"/>
    <w:rsid w:val="04EA04DC"/>
    <w:rsid w:val="04F51507"/>
    <w:rsid w:val="05CF5FA2"/>
    <w:rsid w:val="05DC29A4"/>
    <w:rsid w:val="05E538C6"/>
    <w:rsid w:val="05F863C1"/>
    <w:rsid w:val="06097DA1"/>
    <w:rsid w:val="061A5470"/>
    <w:rsid w:val="061E5A15"/>
    <w:rsid w:val="062A142B"/>
    <w:rsid w:val="06967F99"/>
    <w:rsid w:val="06A27C12"/>
    <w:rsid w:val="06B949C8"/>
    <w:rsid w:val="06CF3C6B"/>
    <w:rsid w:val="074B5224"/>
    <w:rsid w:val="07502DC9"/>
    <w:rsid w:val="077A574A"/>
    <w:rsid w:val="07D50721"/>
    <w:rsid w:val="07D54CF1"/>
    <w:rsid w:val="07EE7423"/>
    <w:rsid w:val="07F71C15"/>
    <w:rsid w:val="08051BB3"/>
    <w:rsid w:val="083B37AB"/>
    <w:rsid w:val="08691196"/>
    <w:rsid w:val="08AB454C"/>
    <w:rsid w:val="08AE00F1"/>
    <w:rsid w:val="09385C0D"/>
    <w:rsid w:val="093D573D"/>
    <w:rsid w:val="09451F87"/>
    <w:rsid w:val="094B76E4"/>
    <w:rsid w:val="095F13EB"/>
    <w:rsid w:val="09750C0F"/>
    <w:rsid w:val="098F3D03"/>
    <w:rsid w:val="09BE4364"/>
    <w:rsid w:val="0A477217"/>
    <w:rsid w:val="0A6826F7"/>
    <w:rsid w:val="0A6D3A83"/>
    <w:rsid w:val="0A8B459C"/>
    <w:rsid w:val="0AAD2002"/>
    <w:rsid w:val="0AB31AC7"/>
    <w:rsid w:val="0AE637C7"/>
    <w:rsid w:val="0B266355"/>
    <w:rsid w:val="0B470389"/>
    <w:rsid w:val="0B704FAE"/>
    <w:rsid w:val="0B91219D"/>
    <w:rsid w:val="0BA56877"/>
    <w:rsid w:val="0BBB7B83"/>
    <w:rsid w:val="0BBE13BD"/>
    <w:rsid w:val="0BD72228"/>
    <w:rsid w:val="0BFC5D42"/>
    <w:rsid w:val="0C5256A3"/>
    <w:rsid w:val="0C893AE9"/>
    <w:rsid w:val="0CB60EC4"/>
    <w:rsid w:val="0CCC2E72"/>
    <w:rsid w:val="0CD468DD"/>
    <w:rsid w:val="0CF87B8D"/>
    <w:rsid w:val="0CFB142B"/>
    <w:rsid w:val="0D0A0B73"/>
    <w:rsid w:val="0D5B740E"/>
    <w:rsid w:val="0DBB71E0"/>
    <w:rsid w:val="0E016F15"/>
    <w:rsid w:val="0E022A6F"/>
    <w:rsid w:val="0E0802A4"/>
    <w:rsid w:val="0E1B5E0F"/>
    <w:rsid w:val="0E59579A"/>
    <w:rsid w:val="0E596270"/>
    <w:rsid w:val="0EBF2E59"/>
    <w:rsid w:val="0EC678AC"/>
    <w:rsid w:val="0EE4004E"/>
    <w:rsid w:val="0F032D68"/>
    <w:rsid w:val="0F545568"/>
    <w:rsid w:val="0F661726"/>
    <w:rsid w:val="0F742064"/>
    <w:rsid w:val="0F85294A"/>
    <w:rsid w:val="0F8748CB"/>
    <w:rsid w:val="0FD267F6"/>
    <w:rsid w:val="0FD33F81"/>
    <w:rsid w:val="101747F4"/>
    <w:rsid w:val="107201E5"/>
    <w:rsid w:val="10AE464F"/>
    <w:rsid w:val="10CB2D6B"/>
    <w:rsid w:val="10DD5A17"/>
    <w:rsid w:val="11074842"/>
    <w:rsid w:val="110805BA"/>
    <w:rsid w:val="11131200"/>
    <w:rsid w:val="11164A85"/>
    <w:rsid w:val="118063A3"/>
    <w:rsid w:val="11D34725"/>
    <w:rsid w:val="11EA1E97"/>
    <w:rsid w:val="11F954F0"/>
    <w:rsid w:val="12130FC5"/>
    <w:rsid w:val="12162B58"/>
    <w:rsid w:val="12B14F4D"/>
    <w:rsid w:val="12C70965"/>
    <w:rsid w:val="12EE7E64"/>
    <w:rsid w:val="13094C77"/>
    <w:rsid w:val="13555B1E"/>
    <w:rsid w:val="13765EFE"/>
    <w:rsid w:val="137A01AF"/>
    <w:rsid w:val="1387724A"/>
    <w:rsid w:val="1391058B"/>
    <w:rsid w:val="13A75BE4"/>
    <w:rsid w:val="13CE7899"/>
    <w:rsid w:val="13D604FC"/>
    <w:rsid w:val="14150083"/>
    <w:rsid w:val="141926C5"/>
    <w:rsid w:val="1423231A"/>
    <w:rsid w:val="1450525D"/>
    <w:rsid w:val="14997F38"/>
    <w:rsid w:val="14B27D6F"/>
    <w:rsid w:val="14C04EB6"/>
    <w:rsid w:val="14CF47E2"/>
    <w:rsid w:val="14F47872"/>
    <w:rsid w:val="1500363F"/>
    <w:rsid w:val="15030A9F"/>
    <w:rsid w:val="150E35A5"/>
    <w:rsid w:val="153B3FDB"/>
    <w:rsid w:val="154B11F8"/>
    <w:rsid w:val="156E30E2"/>
    <w:rsid w:val="159049F6"/>
    <w:rsid w:val="15A46D0F"/>
    <w:rsid w:val="15C01464"/>
    <w:rsid w:val="15C076B6"/>
    <w:rsid w:val="15D05B4B"/>
    <w:rsid w:val="160F7DAB"/>
    <w:rsid w:val="165F6ECF"/>
    <w:rsid w:val="17092AB3"/>
    <w:rsid w:val="17232E79"/>
    <w:rsid w:val="17502E47"/>
    <w:rsid w:val="17B32077"/>
    <w:rsid w:val="17DD1A83"/>
    <w:rsid w:val="180F300C"/>
    <w:rsid w:val="183B27F3"/>
    <w:rsid w:val="185F5E8C"/>
    <w:rsid w:val="18860743"/>
    <w:rsid w:val="188D0F21"/>
    <w:rsid w:val="192E3DCE"/>
    <w:rsid w:val="197917AB"/>
    <w:rsid w:val="1994473B"/>
    <w:rsid w:val="19A32416"/>
    <w:rsid w:val="19AA5C8B"/>
    <w:rsid w:val="19B923D5"/>
    <w:rsid w:val="19DF50DE"/>
    <w:rsid w:val="19F33BB6"/>
    <w:rsid w:val="1A072992"/>
    <w:rsid w:val="1A181A21"/>
    <w:rsid w:val="1A4911C2"/>
    <w:rsid w:val="1A6E450B"/>
    <w:rsid w:val="1A8C2C17"/>
    <w:rsid w:val="1AF5570C"/>
    <w:rsid w:val="1B1B391C"/>
    <w:rsid w:val="1B336B2A"/>
    <w:rsid w:val="1B426A8E"/>
    <w:rsid w:val="1B4A4141"/>
    <w:rsid w:val="1B6B1E72"/>
    <w:rsid w:val="1BC7610C"/>
    <w:rsid w:val="1BCB0A96"/>
    <w:rsid w:val="1BE74DED"/>
    <w:rsid w:val="1C104B48"/>
    <w:rsid w:val="1C1659D1"/>
    <w:rsid w:val="1C2A5D1F"/>
    <w:rsid w:val="1C3D3F38"/>
    <w:rsid w:val="1C4573AB"/>
    <w:rsid w:val="1CCE4466"/>
    <w:rsid w:val="1CE666BF"/>
    <w:rsid w:val="1CFE29C1"/>
    <w:rsid w:val="1D117E3A"/>
    <w:rsid w:val="1D196D25"/>
    <w:rsid w:val="1D491A22"/>
    <w:rsid w:val="1DBA3621"/>
    <w:rsid w:val="1DBC211C"/>
    <w:rsid w:val="1E0C03D1"/>
    <w:rsid w:val="1E29229C"/>
    <w:rsid w:val="1E3824DF"/>
    <w:rsid w:val="1E4E229E"/>
    <w:rsid w:val="1E5E1185"/>
    <w:rsid w:val="1E7B2B95"/>
    <w:rsid w:val="1E7F255C"/>
    <w:rsid w:val="1E875215"/>
    <w:rsid w:val="1E8C458B"/>
    <w:rsid w:val="1EE44415"/>
    <w:rsid w:val="1EF42220"/>
    <w:rsid w:val="1F1545CE"/>
    <w:rsid w:val="1F2A1519"/>
    <w:rsid w:val="1F852C37"/>
    <w:rsid w:val="1FA93D96"/>
    <w:rsid w:val="1FDD6501"/>
    <w:rsid w:val="1FFF1C17"/>
    <w:rsid w:val="201A6D12"/>
    <w:rsid w:val="20272CF5"/>
    <w:rsid w:val="202F6674"/>
    <w:rsid w:val="20651585"/>
    <w:rsid w:val="20845701"/>
    <w:rsid w:val="20CF72A3"/>
    <w:rsid w:val="20E54A6E"/>
    <w:rsid w:val="21076690"/>
    <w:rsid w:val="211F2736"/>
    <w:rsid w:val="213115E6"/>
    <w:rsid w:val="21343A9A"/>
    <w:rsid w:val="21381C5E"/>
    <w:rsid w:val="21AD6D40"/>
    <w:rsid w:val="21B562C1"/>
    <w:rsid w:val="21EA25D8"/>
    <w:rsid w:val="22251C03"/>
    <w:rsid w:val="226F7EF7"/>
    <w:rsid w:val="22883309"/>
    <w:rsid w:val="22AB2711"/>
    <w:rsid w:val="22F8223D"/>
    <w:rsid w:val="232B0864"/>
    <w:rsid w:val="23411E36"/>
    <w:rsid w:val="2355143D"/>
    <w:rsid w:val="23580F2E"/>
    <w:rsid w:val="2358363B"/>
    <w:rsid w:val="23623B5A"/>
    <w:rsid w:val="236B3896"/>
    <w:rsid w:val="23D85A19"/>
    <w:rsid w:val="23F002F8"/>
    <w:rsid w:val="23F1726E"/>
    <w:rsid w:val="23F4691F"/>
    <w:rsid w:val="243A6885"/>
    <w:rsid w:val="249F17D3"/>
    <w:rsid w:val="24A747FA"/>
    <w:rsid w:val="251808D3"/>
    <w:rsid w:val="26104E7D"/>
    <w:rsid w:val="2650413E"/>
    <w:rsid w:val="268256FF"/>
    <w:rsid w:val="26AA3B18"/>
    <w:rsid w:val="26C012C4"/>
    <w:rsid w:val="26EF0E9E"/>
    <w:rsid w:val="27381FC1"/>
    <w:rsid w:val="27535413"/>
    <w:rsid w:val="27694C78"/>
    <w:rsid w:val="27F967E2"/>
    <w:rsid w:val="28246CCB"/>
    <w:rsid w:val="28B24BB7"/>
    <w:rsid w:val="28D30996"/>
    <w:rsid w:val="28D82019"/>
    <w:rsid w:val="28F7562B"/>
    <w:rsid w:val="290556B4"/>
    <w:rsid w:val="294E3A1B"/>
    <w:rsid w:val="29903BEE"/>
    <w:rsid w:val="29A34D65"/>
    <w:rsid w:val="29C04EE3"/>
    <w:rsid w:val="29CD4C57"/>
    <w:rsid w:val="2A385461"/>
    <w:rsid w:val="2A513E95"/>
    <w:rsid w:val="2A6401B8"/>
    <w:rsid w:val="2A654E9B"/>
    <w:rsid w:val="2A8B3997"/>
    <w:rsid w:val="2ADF3C38"/>
    <w:rsid w:val="2B011EAB"/>
    <w:rsid w:val="2B3F744B"/>
    <w:rsid w:val="2B4D6E9E"/>
    <w:rsid w:val="2B504399"/>
    <w:rsid w:val="2B5C7F1B"/>
    <w:rsid w:val="2B78201D"/>
    <w:rsid w:val="2BC43604"/>
    <w:rsid w:val="2BCB2F1A"/>
    <w:rsid w:val="2BF33641"/>
    <w:rsid w:val="2C097515"/>
    <w:rsid w:val="2C365CCA"/>
    <w:rsid w:val="2C3F0EDD"/>
    <w:rsid w:val="2C4332A6"/>
    <w:rsid w:val="2C485246"/>
    <w:rsid w:val="2C901738"/>
    <w:rsid w:val="2CBD444D"/>
    <w:rsid w:val="2CC969F8"/>
    <w:rsid w:val="2CCF7BE7"/>
    <w:rsid w:val="2D3C4326"/>
    <w:rsid w:val="2D470DD2"/>
    <w:rsid w:val="2D5B3AF4"/>
    <w:rsid w:val="2DDB6B7D"/>
    <w:rsid w:val="2DED4CB9"/>
    <w:rsid w:val="2DF9330D"/>
    <w:rsid w:val="2E1343CF"/>
    <w:rsid w:val="2E2C5890"/>
    <w:rsid w:val="2E3A7BAD"/>
    <w:rsid w:val="2E8F72A5"/>
    <w:rsid w:val="2E964C83"/>
    <w:rsid w:val="2EA34366"/>
    <w:rsid w:val="2EC21951"/>
    <w:rsid w:val="2EE23DA1"/>
    <w:rsid w:val="2EE47B19"/>
    <w:rsid w:val="2EEB0B3A"/>
    <w:rsid w:val="2F107A22"/>
    <w:rsid w:val="2F4224DA"/>
    <w:rsid w:val="2F884949"/>
    <w:rsid w:val="2FA7156F"/>
    <w:rsid w:val="2FBF6B3D"/>
    <w:rsid w:val="2FC17E5A"/>
    <w:rsid w:val="2FD47B8E"/>
    <w:rsid w:val="305D5DD5"/>
    <w:rsid w:val="305E3F93"/>
    <w:rsid w:val="306453B6"/>
    <w:rsid w:val="30786282"/>
    <w:rsid w:val="30815DD2"/>
    <w:rsid w:val="30AE5544"/>
    <w:rsid w:val="30C6397A"/>
    <w:rsid w:val="30C65728"/>
    <w:rsid w:val="310D6BA3"/>
    <w:rsid w:val="31124E12"/>
    <w:rsid w:val="31262F4A"/>
    <w:rsid w:val="312B5ED3"/>
    <w:rsid w:val="313F6B07"/>
    <w:rsid w:val="31A36F08"/>
    <w:rsid w:val="31B84006"/>
    <w:rsid w:val="31D67BED"/>
    <w:rsid w:val="32212F0D"/>
    <w:rsid w:val="322B530D"/>
    <w:rsid w:val="32340DB8"/>
    <w:rsid w:val="323868A2"/>
    <w:rsid w:val="324812FE"/>
    <w:rsid w:val="32E20814"/>
    <w:rsid w:val="32F97DCB"/>
    <w:rsid w:val="3310712F"/>
    <w:rsid w:val="331309CD"/>
    <w:rsid w:val="332326A6"/>
    <w:rsid w:val="3328082D"/>
    <w:rsid w:val="33412F5E"/>
    <w:rsid w:val="33524ECE"/>
    <w:rsid w:val="33736EE5"/>
    <w:rsid w:val="33A100AA"/>
    <w:rsid w:val="33BA2CE6"/>
    <w:rsid w:val="34313801"/>
    <w:rsid w:val="343200A1"/>
    <w:rsid w:val="346040E6"/>
    <w:rsid w:val="347626B3"/>
    <w:rsid w:val="349A6FA6"/>
    <w:rsid w:val="34F03125"/>
    <w:rsid w:val="34F270BE"/>
    <w:rsid w:val="356419B4"/>
    <w:rsid w:val="35B1007D"/>
    <w:rsid w:val="36363350"/>
    <w:rsid w:val="36C24BE4"/>
    <w:rsid w:val="36FE6E8E"/>
    <w:rsid w:val="370276D6"/>
    <w:rsid w:val="370451FC"/>
    <w:rsid w:val="371A65D2"/>
    <w:rsid w:val="371B7D2E"/>
    <w:rsid w:val="374171DF"/>
    <w:rsid w:val="376F1039"/>
    <w:rsid w:val="37B255FC"/>
    <w:rsid w:val="37D72BE7"/>
    <w:rsid w:val="37D84936"/>
    <w:rsid w:val="37F94061"/>
    <w:rsid w:val="3810197F"/>
    <w:rsid w:val="383C0759"/>
    <w:rsid w:val="385C2B39"/>
    <w:rsid w:val="38745881"/>
    <w:rsid w:val="38AA0783"/>
    <w:rsid w:val="38BC500B"/>
    <w:rsid w:val="38E74E71"/>
    <w:rsid w:val="39094D4C"/>
    <w:rsid w:val="39096FBE"/>
    <w:rsid w:val="39955083"/>
    <w:rsid w:val="39AD517E"/>
    <w:rsid w:val="3A37744D"/>
    <w:rsid w:val="3A7539A1"/>
    <w:rsid w:val="3A930D97"/>
    <w:rsid w:val="3AAC73A7"/>
    <w:rsid w:val="3AB55AE3"/>
    <w:rsid w:val="3ACA0917"/>
    <w:rsid w:val="3B3D2A8B"/>
    <w:rsid w:val="3B4902FB"/>
    <w:rsid w:val="3B4B7A02"/>
    <w:rsid w:val="3B727FC4"/>
    <w:rsid w:val="3BD57167"/>
    <w:rsid w:val="3BE455FD"/>
    <w:rsid w:val="3BF862D4"/>
    <w:rsid w:val="3C4F1CA1"/>
    <w:rsid w:val="3C6B3628"/>
    <w:rsid w:val="3C964B49"/>
    <w:rsid w:val="3D2D0B07"/>
    <w:rsid w:val="3D2E4D81"/>
    <w:rsid w:val="3D3A3646"/>
    <w:rsid w:val="3D997630"/>
    <w:rsid w:val="3E0E2F24"/>
    <w:rsid w:val="3E2F50EA"/>
    <w:rsid w:val="3E854E75"/>
    <w:rsid w:val="3EB01F38"/>
    <w:rsid w:val="3ECE5700"/>
    <w:rsid w:val="3EDD51E1"/>
    <w:rsid w:val="3EF115E1"/>
    <w:rsid w:val="3F21503B"/>
    <w:rsid w:val="3F5F01EC"/>
    <w:rsid w:val="3F9B2476"/>
    <w:rsid w:val="3FEEBDDA"/>
    <w:rsid w:val="3FF22B11"/>
    <w:rsid w:val="3FFAF8B3"/>
    <w:rsid w:val="40070B66"/>
    <w:rsid w:val="404C5AB1"/>
    <w:rsid w:val="406C1204"/>
    <w:rsid w:val="406F36DC"/>
    <w:rsid w:val="40B62298"/>
    <w:rsid w:val="40FC2327"/>
    <w:rsid w:val="413E6707"/>
    <w:rsid w:val="41485AB3"/>
    <w:rsid w:val="41967399"/>
    <w:rsid w:val="41AC096A"/>
    <w:rsid w:val="41CB5BBA"/>
    <w:rsid w:val="41DD13BD"/>
    <w:rsid w:val="41E719A3"/>
    <w:rsid w:val="422F6EA6"/>
    <w:rsid w:val="426E4396"/>
    <w:rsid w:val="42846347"/>
    <w:rsid w:val="42D566A4"/>
    <w:rsid w:val="42D628F8"/>
    <w:rsid w:val="42E40B84"/>
    <w:rsid w:val="42E934F8"/>
    <w:rsid w:val="432A7D99"/>
    <w:rsid w:val="43384C95"/>
    <w:rsid w:val="436C4AB4"/>
    <w:rsid w:val="437C55D6"/>
    <w:rsid w:val="43B908F6"/>
    <w:rsid w:val="43C33D49"/>
    <w:rsid w:val="44172414"/>
    <w:rsid w:val="44252454"/>
    <w:rsid w:val="443E3D0E"/>
    <w:rsid w:val="444E0404"/>
    <w:rsid w:val="444E3F5B"/>
    <w:rsid w:val="445A7ADE"/>
    <w:rsid w:val="448C2F90"/>
    <w:rsid w:val="44A906A7"/>
    <w:rsid w:val="44E41DBD"/>
    <w:rsid w:val="44FD094D"/>
    <w:rsid w:val="451505D5"/>
    <w:rsid w:val="452F4FBA"/>
    <w:rsid w:val="453E7B2C"/>
    <w:rsid w:val="454B3FF6"/>
    <w:rsid w:val="454D2D3B"/>
    <w:rsid w:val="45CB439E"/>
    <w:rsid w:val="46092EF5"/>
    <w:rsid w:val="46265F2F"/>
    <w:rsid w:val="462A05B7"/>
    <w:rsid w:val="4660559E"/>
    <w:rsid w:val="467A7345"/>
    <w:rsid w:val="469B0C1D"/>
    <w:rsid w:val="46BF5AEA"/>
    <w:rsid w:val="471D5401"/>
    <w:rsid w:val="47236211"/>
    <w:rsid w:val="482D63C3"/>
    <w:rsid w:val="482E032B"/>
    <w:rsid w:val="483B2A7C"/>
    <w:rsid w:val="488E161A"/>
    <w:rsid w:val="48931F3C"/>
    <w:rsid w:val="48B9571B"/>
    <w:rsid w:val="48C74591"/>
    <w:rsid w:val="48E768B2"/>
    <w:rsid w:val="49374FBE"/>
    <w:rsid w:val="49403860"/>
    <w:rsid w:val="49423962"/>
    <w:rsid w:val="49472359"/>
    <w:rsid w:val="49487029"/>
    <w:rsid w:val="4967698D"/>
    <w:rsid w:val="498B6AA0"/>
    <w:rsid w:val="4993038A"/>
    <w:rsid w:val="49EE2F2A"/>
    <w:rsid w:val="4A850944"/>
    <w:rsid w:val="4AAA141E"/>
    <w:rsid w:val="4B052E99"/>
    <w:rsid w:val="4B287FB7"/>
    <w:rsid w:val="4B38501D"/>
    <w:rsid w:val="4B834E50"/>
    <w:rsid w:val="4B941DC7"/>
    <w:rsid w:val="4B9A46A6"/>
    <w:rsid w:val="4B9C24E1"/>
    <w:rsid w:val="4BA10E14"/>
    <w:rsid w:val="4BA80178"/>
    <w:rsid w:val="4C313A81"/>
    <w:rsid w:val="4C5B236A"/>
    <w:rsid w:val="4C7455DA"/>
    <w:rsid w:val="4CB9412E"/>
    <w:rsid w:val="4D1476D3"/>
    <w:rsid w:val="4D3033E2"/>
    <w:rsid w:val="4D791B4C"/>
    <w:rsid w:val="4D9E721C"/>
    <w:rsid w:val="4DA370C6"/>
    <w:rsid w:val="4DCB01B8"/>
    <w:rsid w:val="4E0518FB"/>
    <w:rsid w:val="4E1934B4"/>
    <w:rsid w:val="4E582D98"/>
    <w:rsid w:val="4E846253"/>
    <w:rsid w:val="4EDD27C5"/>
    <w:rsid w:val="4F697E9B"/>
    <w:rsid w:val="4FC37066"/>
    <w:rsid w:val="4FE14605"/>
    <w:rsid w:val="5008134F"/>
    <w:rsid w:val="501D3A6F"/>
    <w:rsid w:val="501E2AF4"/>
    <w:rsid w:val="50692A01"/>
    <w:rsid w:val="5079410E"/>
    <w:rsid w:val="50836D3A"/>
    <w:rsid w:val="50BD049E"/>
    <w:rsid w:val="50CD2087"/>
    <w:rsid w:val="50D77086"/>
    <w:rsid w:val="50E517A3"/>
    <w:rsid w:val="50F03333"/>
    <w:rsid w:val="50F859A6"/>
    <w:rsid w:val="515249F5"/>
    <w:rsid w:val="51A67C16"/>
    <w:rsid w:val="51C56885"/>
    <w:rsid w:val="51C67CA8"/>
    <w:rsid w:val="51D665F4"/>
    <w:rsid w:val="51D830B6"/>
    <w:rsid w:val="51DC0D9F"/>
    <w:rsid w:val="52264C08"/>
    <w:rsid w:val="522A41E2"/>
    <w:rsid w:val="523C6936"/>
    <w:rsid w:val="52462715"/>
    <w:rsid w:val="52493ACD"/>
    <w:rsid w:val="52733B5F"/>
    <w:rsid w:val="52852394"/>
    <w:rsid w:val="52B64FC5"/>
    <w:rsid w:val="52C72C4E"/>
    <w:rsid w:val="5361128F"/>
    <w:rsid w:val="54895E40"/>
    <w:rsid w:val="54C06B56"/>
    <w:rsid w:val="54CA1C75"/>
    <w:rsid w:val="55592760"/>
    <w:rsid w:val="556C6E31"/>
    <w:rsid w:val="55780E38"/>
    <w:rsid w:val="557B612F"/>
    <w:rsid w:val="55B80AD1"/>
    <w:rsid w:val="55D3447F"/>
    <w:rsid w:val="55D61BF2"/>
    <w:rsid w:val="56134F75"/>
    <w:rsid w:val="56A66BDC"/>
    <w:rsid w:val="5707508C"/>
    <w:rsid w:val="57194F71"/>
    <w:rsid w:val="575F5238"/>
    <w:rsid w:val="57810556"/>
    <w:rsid w:val="57853794"/>
    <w:rsid w:val="57BE4AFC"/>
    <w:rsid w:val="57EE3437"/>
    <w:rsid w:val="58095175"/>
    <w:rsid w:val="585B7D9E"/>
    <w:rsid w:val="58A3717F"/>
    <w:rsid w:val="58ED5B6B"/>
    <w:rsid w:val="59265BD4"/>
    <w:rsid w:val="59351F3A"/>
    <w:rsid w:val="59677C7F"/>
    <w:rsid w:val="59D023C1"/>
    <w:rsid w:val="59E7506A"/>
    <w:rsid w:val="5A4147FB"/>
    <w:rsid w:val="5A551748"/>
    <w:rsid w:val="5AA974C0"/>
    <w:rsid w:val="5AC7171B"/>
    <w:rsid w:val="5AD02A58"/>
    <w:rsid w:val="5AD85ED5"/>
    <w:rsid w:val="5B12558C"/>
    <w:rsid w:val="5B4B48F9"/>
    <w:rsid w:val="5B7ADF8C"/>
    <w:rsid w:val="5B7D7A71"/>
    <w:rsid w:val="5BAB284F"/>
    <w:rsid w:val="5BB12CF5"/>
    <w:rsid w:val="5C0974B1"/>
    <w:rsid w:val="5C132C67"/>
    <w:rsid w:val="5C9E759C"/>
    <w:rsid w:val="5D30024A"/>
    <w:rsid w:val="5D314138"/>
    <w:rsid w:val="5D45288A"/>
    <w:rsid w:val="5DA2346C"/>
    <w:rsid w:val="5DB12438"/>
    <w:rsid w:val="5DBC48F0"/>
    <w:rsid w:val="5E1D107C"/>
    <w:rsid w:val="5E53364A"/>
    <w:rsid w:val="5E7614B6"/>
    <w:rsid w:val="5E856373"/>
    <w:rsid w:val="5EA34696"/>
    <w:rsid w:val="5EB32578"/>
    <w:rsid w:val="5EBC4E6C"/>
    <w:rsid w:val="5EBF6F89"/>
    <w:rsid w:val="5EFB40A6"/>
    <w:rsid w:val="5F08549C"/>
    <w:rsid w:val="5F3D09FC"/>
    <w:rsid w:val="5F4E2C09"/>
    <w:rsid w:val="5F750196"/>
    <w:rsid w:val="5FA2265B"/>
    <w:rsid w:val="5FD62369"/>
    <w:rsid w:val="5FFD74D2"/>
    <w:rsid w:val="60337D65"/>
    <w:rsid w:val="608202F2"/>
    <w:rsid w:val="60AC408B"/>
    <w:rsid w:val="60D1764E"/>
    <w:rsid w:val="60F01C18"/>
    <w:rsid w:val="60F52586"/>
    <w:rsid w:val="61032132"/>
    <w:rsid w:val="6119124E"/>
    <w:rsid w:val="615635F1"/>
    <w:rsid w:val="6186668A"/>
    <w:rsid w:val="61B60C3E"/>
    <w:rsid w:val="61BA0E3F"/>
    <w:rsid w:val="61BA2425"/>
    <w:rsid w:val="61E52855"/>
    <w:rsid w:val="61EF2FBD"/>
    <w:rsid w:val="61F01D56"/>
    <w:rsid w:val="62045801"/>
    <w:rsid w:val="620B2BC5"/>
    <w:rsid w:val="62337AD4"/>
    <w:rsid w:val="623E2221"/>
    <w:rsid w:val="624464AF"/>
    <w:rsid w:val="62526A02"/>
    <w:rsid w:val="62A20968"/>
    <w:rsid w:val="62D72985"/>
    <w:rsid w:val="62E46295"/>
    <w:rsid w:val="63501154"/>
    <w:rsid w:val="63F4622D"/>
    <w:rsid w:val="641066DF"/>
    <w:rsid w:val="6427068B"/>
    <w:rsid w:val="6438351B"/>
    <w:rsid w:val="644C1764"/>
    <w:rsid w:val="645038D5"/>
    <w:rsid w:val="64716B67"/>
    <w:rsid w:val="64D63485"/>
    <w:rsid w:val="650366F9"/>
    <w:rsid w:val="652D3326"/>
    <w:rsid w:val="654E74BF"/>
    <w:rsid w:val="655B31F3"/>
    <w:rsid w:val="65987674"/>
    <w:rsid w:val="65A879C3"/>
    <w:rsid w:val="65AA7C2F"/>
    <w:rsid w:val="65CB08F1"/>
    <w:rsid w:val="65D8322D"/>
    <w:rsid w:val="65EA0A73"/>
    <w:rsid w:val="665C5559"/>
    <w:rsid w:val="667C005C"/>
    <w:rsid w:val="669304BD"/>
    <w:rsid w:val="66CF34A7"/>
    <w:rsid w:val="67154125"/>
    <w:rsid w:val="671E1113"/>
    <w:rsid w:val="67276C19"/>
    <w:rsid w:val="67515974"/>
    <w:rsid w:val="67634B1C"/>
    <w:rsid w:val="67923C47"/>
    <w:rsid w:val="67987117"/>
    <w:rsid w:val="67B101D9"/>
    <w:rsid w:val="682A65AB"/>
    <w:rsid w:val="6858468E"/>
    <w:rsid w:val="687A690F"/>
    <w:rsid w:val="689F24E0"/>
    <w:rsid w:val="68BF0D9A"/>
    <w:rsid w:val="68D063DE"/>
    <w:rsid w:val="690E7CED"/>
    <w:rsid w:val="691065C6"/>
    <w:rsid w:val="694E5E1B"/>
    <w:rsid w:val="695F5B27"/>
    <w:rsid w:val="696619AC"/>
    <w:rsid w:val="69674897"/>
    <w:rsid w:val="6995053F"/>
    <w:rsid w:val="69BA6471"/>
    <w:rsid w:val="69BB3906"/>
    <w:rsid w:val="69D8584C"/>
    <w:rsid w:val="69FE6CB7"/>
    <w:rsid w:val="6A19363F"/>
    <w:rsid w:val="6A294E47"/>
    <w:rsid w:val="6A41016A"/>
    <w:rsid w:val="6A5970DD"/>
    <w:rsid w:val="6A5B03CA"/>
    <w:rsid w:val="6A6D1584"/>
    <w:rsid w:val="6AAB1CCD"/>
    <w:rsid w:val="6AE66B18"/>
    <w:rsid w:val="6AF479C3"/>
    <w:rsid w:val="6B1E7934"/>
    <w:rsid w:val="6BC846BD"/>
    <w:rsid w:val="6C2251AD"/>
    <w:rsid w:val="6C2A1A18"/>
    <w:rsid w:val="6C334363"/>
    <w:rsid w:val="6CDA296E"/>
    <w:rsid w:val="6CE1330F"/>
    <w:rsid w:val="6D144DC4"/>
    <w:rsid w:val="6D2E05BE"/>
    <w:rsid w:val="6D600D2C"/>
    <w:rsid w:val="6D635077"/>
    <w:rsid w:val="6DAE0EB2"/>
    <w:rsid w:val="6DD32ABA"/>
    <w:rsid w:val="6DE869FC"/>
    <w:rsid w:val="6E0313AF"/>
    <w:rsid w:val="6E1F37B5"/>
    <w:rsid w:val="6E446103"/>
    <w:rsid w:val="6E5F44EB"/>
    <w:rsid w:val="6E7F73CD"/>
    <w:rsid w:val="6E8526C3"/>
    <w:rsid w:val="6EE06F34"/>
    <w:rsid w:val="6EF015E7"/>
    <w:rsid w:val="6F8172B1"/>
    <w:rsid w:val="6FC46FA9"/>
    <w:rsid w:val="6FF76D6D"/>
    <w:rsid w:val="700D1D73"/>
    <w:rsid w:val="70220A94"/>
    <w:rsid w:val="70376568"/>
    <w:rsid w:val="705248E4"/>
    <w:rsid w:val="70576B42"/>
    <w:rsid w:val="705939D2"/>
    <w:rsid w:val="70876143"/>
    <w:rsid w:val="708D3F77"/>
    <w:rsid w:val="70A969BC"/>
    <w:rsid w:val="70AE62DA"/>
    <w:rsid w:val="70CB0866"/>
    <w:rsid w:val="7138322F"/>
    <w:rsid w:val="714A23A9"/>
    <w:rsid w:val="71557E27"/>
    <w:rsid w:val="718A4090"/>
    <w:rsid w:val="71970440"/>
    <w:rsid w:val="71A768D5"/>
    <w:rsid w:val="71F14869"/>
    <w:rsid w:val="720956E2"/>
    <w:rsid w:val="722D49B0"/>
    <w:rsid w:val="722F68CA"/>
    <w:rsid w:val="7292605A"/>
    <w:rsid w:val="732D2E0A"/>
    <w:rsid w:val="736A5E0C"/>
    <w:rsid w:val="741B608B"/>
    <w:rsid w:val="74292FE9"/>
    <w:rsid w:val="74365888"/>
    <w:rsid w:val="748F1CC1"/>
    <w:rsid w:val="74A36ECC"/>
    <w:rsid w:val="75144B9F"/>
    <w:rsid w:val="7534185F"/>
    <w:rsid w:val="75DB5542"/>
    <w:rsid w:val="75F0055D"/>
    <w:rsid w:val="763E70DC"/>
    <w:rsid w:val="764D731F"/>
    <w:rsid w:val="765C7562"/>
    <w:rsid w:val="7678432B"/>
    <w:rsid w:val="767F128B"/>
    <w:rsid w:val="76945321"/>
    <w:rsid w:val="76960CC6"/>
    <w:rsid w:val="76AA3F45"/>
    <w:rsid w:val="76B7763A"/>
    <w:rsid w:val="76C148C1"/>
    <w:rsid w:val="76E37950"/>
    <w:rsid w:val="76E75C21"/>
    <w:rsid w:val="77716BAC"/>
    <w:rsid w:val="77A64F39"/>
    <w:rsid w:val="77B4124F"/>
    <w:rsid w:val="77F4039A"/>
    <w:rsid w:val="780B56E4"/>
    <w:rsid w:val="781D1F3F"/>
    <w:rsid w:val="78777533"/>
    <w:rsid w:val="789E3E62"/>
    <w:rsid w:val="78AE679B"/>
    <w:rsid w:val="78C95A8F"/>
    <w:rsid w:val="78F01ACF"/>
    <w:rsid w:val="78FB11BB"/>
    <w:rsid w:val="790C4866"/>
    <w:rsid w:val="79417366"/>
    <w:rsid w:val="794669D3"/>
    <w:rsid w:val="79537342"/>
    <w:rsid w:val="797D7F1B"/>
    <w:rsid w:val="79924317"/>
    <w:rsid w:val="79BA0BA5"/>
    <w:rsid w:val="79D61CE5"/>
    <w:rsid w:val="79DA2E14"/>
    <w:rsid w:val="7A194C28"/>
    <w:rsid w:val="7A4C3771"/>
    <w:rsid w:val="7A784F17"/>
    <w:rsid w:val="7AC85A06"/>
    <w:rsid w:val="7AE00945"/>
    <w:rsid w:val="7B073409"/>
    <w:rsid w:val="7B5047FF"/>
    <w:rsid w:val="7B636FD2"/>
    <w:rsid w:val="7BA5087D"/>
    <w:rsid w:val="7C1403C3"/>
    <w:rsid w:val="7C227F91"/>
    <w:rsid w:val="7C5C650E"/>
    <w:rsid w:val="7C912742"/>
    <w:rsid w:val="7CB1685A"/>
    <w:rsid w:val="7D275A9C"/>
    <w:rsid w:val="7D2D267B"/>
    <w:rsid w:val="7D2F37A5"/>
    <w:rsid w:val="7D603737"/>
    <w:rsid w:val="7D6C452F"/>
    <w:rsid w:val="7D7B73E2"/>
    <w:rsid w:val="7D7F35B4"/>
    <w:rsid w:val="7D8201F6"/>
    <w:rsid w:val="7D860DE9"/>
    <w:rsid w:val="7DB72C8B"/>
    <w:rsid w:val="7DD00F61"/>
    <w:rsid w:val="7DF911DF"/>
    <w:rsid w:val="7DFF08D5"/>
    <w:rsid w:val="7E2E7A36"/>
    <w:rsid w:val="7E863099"/>
    <w:rsid w:val="7EA63A70"/>
    <w:rsid w:val="7EB10D93"/>
    <w:rsid w:val="7F2257ED"/>
    <w:rsid w:val="7F2C666B"/>
    <w:rsid w:val="7F4A08A0"/>
    <w:rsid w:val="7F6061F5"/>
    <w:rsid w:val="7F6C6A68"/>
    <w:rsid w:val="7F9616B7"/>
    <w:rsid w:val="7F9D3734"/>
    <w:rsid w:val="7FA10933"/>
    <w:rsid w:val="7FC84802"/>
    <w:rsid w:val="7FDB87B7"/>
    <w:rsid w:val="86EBA336"/>
    <w:rsid w:val="ACB7EC97"/>
    <w:rsid w:val="BFF78B2B"/>
    <w:rsid w:val="E8FAD7D0"/>
    <w:rsid w:val="EEED2CAA"/>
    <w:rsid w:val="F3CFBEFC"/>
    <w:rsid w:val="F7EFDFD5"/>
    <w:rsid w:val="FD5F029A"/>
    <w:rsid w:val="FDEF3F1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qFormat="1" w:unhideWhenUsed="0" w:uiPriority="0" w:semiHidden="0"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qFormat="1" w:unhideWhenUsed="0" w:uiPriority="99" w:semiHidden="0"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qFormat="1" w:unhideWhenUsed="0" w:uiPriority="99" w:semiHidden="0" w:name="Body Text First Indent"/>
    <w:lsdException w:qFormat="1"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0" w:semiHidden="0" w:name="Body Text Indent 3" w:locked="1"/>
    <w:lsdException w:uiPriority="99" w:name="Block Text" w:locked="1"/>
    <w:lsdException w:qFormat="1" w:uiPriority="99" w:semiHidden="0" w:name="Hyperlink" w:locked="1"/>
    <w:lsdException w:uiPriority="99" w:name="FollowedHyperlink" w:locked="1"/>
    <w:lsdException w:qFormat="1" w:unhideWhenUsed="0" w:uiPriority="99" w:semiHidden="0" w:name="Strong"/>
    <w:lsdException w:qFormat="1" w:unhideWhenUsed="0" w:uiPriority="0" w:semiHidden="0" w:name="Emphasis"/>
    <w:lsdException w:qFormat="1" w:unhideWhenUsed="0" w:uiPriority="0"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7">
    <w:name w:val="heading 1"/>
    <w:basedOn w:val="1"/>
    <w:next w:val="1"/>
    <w:link w:val="72"/>
    <w:qFormat/>
    <w:uiPriority w:val="9"/>
    <w:pPr>
      <w:keepNext/>
      <w:keepLines/>
      <w:spacing w:line="576" w:lineRule="auto"/>
      <w:outlineLvl w:val="0"/>
    </w:pPr>
    <w:rPr>
      <w:b/>
      <w:kern w:val="44"/>
      <w:sz w:val="44"/>
    </w:rPr>
  </w:style>
  <w:style w:type="paragraph" w:styleId="8">
    <w:name w:val="heading 2"/>
    <w:basedOn w:val="1"/>
    <w:next w:val="1"/>
    <w:qFormat/>
    <w:uiPriority w:val="0"/>
    <w:pPr>
      <w:keepNext/>
      <w:numPr>
        <w:ilvl w:val="1"/>
        <w:numId w:val="1"/>
      </w:numPr>
      <w:spacing w:before="240" w:after="240"/>
      <w:outlineLvl w:val="1"/>
    </w:pPr>
    <w:rPr>
      <w:rFonts w:ascii="Arial" w:hAnsi="Arial" w:eastAsia="黑体" w:cs="Times New Roman"/>
      <w:sz w:val="24"/>
      <w:szCs w:val="24"/>
    </w:rPr>
  </w:style>
  <w:style w:type="paragraph" w:styleId="9">
    <w:name w:val="heading 3"/>
    <w:basedOn w:val="1"/>
    <w:next w:val="1"/>
    <w:qFormat/>
    <w:uiPriority w:val="0"/>
    <w:pPr>
      <w:keepNext/>
      <w:keepLines/>
      <w:spacing w:before="260" w:after="260" w:line="416" w:lineRule="auto"/>
      <w:outlineLvl w:val="2"/>
    </w:pPr>
    <w:rPr>
      <w:b/>
      <w:bCs/>
      <w:sz w:val="32"/>
      <w:szCs w:val="32"/>
    </w:rPr>
  </w:style>
  <w:style w:type="paragraph" w:styleId="10">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11">
    <w:name w:val="heading 5"/>
    <w:basedOn w:val="1"/>
    <w:next w:val="1"/>
    <w:link w:val="159"/>
    <w:qFormat/>
    <w:uiPriority w:val="9"/>
    <w:pPr>
      <w:keepNext/>
      <w:keepLines/>
      <w:spacing w:line="360" w:lineRule="auto"/>
      <w:outlineLvl w:val="4"/>
    </w:pPr>
    <w:rPr>
      <w:rFonts w:ascii="宋体" w:hAnsiTheme="minorHAnsi" w:cstheme="minorBidi"/>
      <w:b/>
      <w:bCs/>
      <w:sz w:val="24"/>
      <w:szCs w:val="28"/>
    </w:rPr>
  </w:style>
  <w:style w:type="paragraph" w:styleId="12">
    <w:name w:val="heading 6"/>
    <w:basedOn w:val="1"/>
    <w:next w:val="1"/>
    <w:link w:val="160"/>
    <w:qFormat/>
    <w:uiPriority w:val="9"/>
    <w:pPr>
      <w:keepNext/>
      <w:keepLines/>
      <w:spacing w:line="360" w:lineRule="auto"/>
      <w:outlineLvl w:val="5"/>
    </w:pPr>
    <w:rPr>
      <w:rFonts w:ascii="宋体" w:hAnsiTheme="majorHAnsi" w:cstheme="majorBidi"/>
      <w:b/>
      <w:bCs/>
      <w:sz w:val="24"/>
      <w:szCs w:val="24"/>
    </w:rPr>
  </w:style>
  <w:style w:type="paragraph" w:styleId="13">
    <w:name w:val="heading 7"/>
    <w:basedOn w:val="1"/>
    <w:next w:val="1"/>
    <w:link w:val="161"/>
    <w:qFormat/>
    <w:uiPriority w:val="9"/>
    <w:pPr>
      <w:keepNext/>
      <w:keepLines/>
      <w:spacing w:line="360" w:lineRule="auto"/>
      <w:outlineLvl w:val="6"/>
    </w:pPr>
    <w:rPr>
      <w:rFonts w:ascii="宋体" w:hAnsiTheme="minorHAnsi" w:cstheme="minorBidi"/>
      <w:b/>
      <w:bCs/>
      <w:sz w:val="24"/>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unhideWhenUsed/>
    <w:qFormat/>
    <w:locked/>
    <w:uiPriority w:val="99"/>
    <w:pPr>
      <w:autoSpaceDE w:val="0"/>
      <w:autoSpaceDN w:val="0"/>
      <w:adjustRightInd w:val="0"/>
      <w:jc w:val="left"/>
    </w:pPr>
    <w:rPr>
      <w:kern w:val="0"/>
    </w:rPr>
  </w:style>
  <w:style w:type="paragraph" w:styleId="3">
    <w:name w:val="Body Text Indent"/>
    <w:basedOn w:val="1"/>
    <w:next w:val="4"/>
    <w:link w:val="49"/>
    <w:qFormat/>
    <w:uiPriority w:val="99"/>
    <w:pPr>
      <w:spacing w:after="120"/>
      <w:ind w:left="420" w:leftChars="200"/>
    </w:pPr>
  </w:style>
  <w:style w:type="paragraph" w:styleId="4">
    <w:name w:val="annotation subject"/>
    <w:basedOn w:val="5"/>
    <w:next w:val="1"/>
    <w:link w:val="58"/>
    <w:semiHidden/>
    <w:qFormat/>
    <w:uiPriority w:val="99"/>
    <w:rPr>
      <w:b/>
      <w:bCs/>
    </w:rPr>
  </w:style>
  <w:style w:type="paragraph" w:styleId="5">
    <w:name w:val="annotation text"/>
    <w:basedOn w:val="1"/>
    <w:link w:val="57"/>
    <w:semiHidden/>
    <w:qFormat/>
    <w:uiPriority w:val="99"/>
    <w:pPr>
      <w:jc w:val="left"/>
    </w:pPr>
  </w:style>
  <w:style w:type="paragraph" w:customStyle="1" w:styleId="6">
    <w:name w:val="正文1"/>
    <w:basedOn w:val="1"/>
    <w:qFormat/>
    <w:uiPriority w:val="0"/>
    <w:pPr>
      <w:spacing w:line="360" w:lineRule="auto"/>
      <w:ind w:firstLine="480" w:firstLineChars="200"/>
    </w:pPr>
    <w:rPr>
      <w:sz w:val="24"/>
    </w:rPr>
  </w:style>
  <w:style w:type="paragraph" w:styleId="14">
    <w:name w:val="Normal Indent"/>
    <w:basedOn w:val="1"/>
    <w:qFormat/>
    <w:locked/>
    <w:uiPriority w:val="0"/>
    <w:pPr>
      <w:widowControl/>
      <w:ind w:firstLine="420"/>
      <w:jc w:val="left"/>
    </w:pPr>
    <w:rPr>
      <w:rFonts w:ascii="Times New Roman" w:hAnsi="Times New Roman" w:cs="Times New Roman"/>
      <w:kern w:val="0"/>
      <w:sz w:val="20"/>
      <w:szCs w:val="20"/>
    </w:rPr>
  </w:style>
  <w:style w:type="paragraph" w:styleId="15">
    <w:name w:val="Document Map"/>
    <w:basedOn w:val="1"/>
    <w:semiHidden/>
    <w:qFormat/>
    <w:locked/>
    <w:uiPriority w:val="0"/>
    <w:pPr>
      <w:shd w:val="clear" w:color="auto" w:fill="000080"/>
    </w:pPr>
    <w:rPr>
      <w:kern w:val="0"/>
      <w:sz w:val="20"/>
    </w:rPr>
  </w:style>
  <w:style w:type="paragraph" w:styleId="16">
    <w:name w:val="Body Text"/>
    <w:basedOn w:val="1"/>
    <w:next w:val="17"/>
    <w:link w:val="47"/>
    <w:qFormat/>
    <w:uiPriority w:val="99"/>
    <w:pPr>
      <w:spacing w:after="120"/>
    </w:pPr>
  </w:style>
  <w:style w:type="paragraph" w:styleId="17">
    <w:name w:val="Body Text First Indent"/>
    <w:basedOn w:val="16"/>
    <w:link w:val="48"/>
    <w:qFormat/>
    <w:uiPriority w:val="99"/>
    <w:pPr>
      <w:ind w:firstLine="420" w:firstLineChars="100"/>
    </w:pPr>
  </w:style>
  <w:style w:type="paragraph" w:styleId="18">
    <w:name w:val="Plain Text"/>
    <w:basedOn w:val="1"/>
    <w:link w:val="50"/>
    <w:qFormat/>
    <w:uiPriority w:val="0"/>
    <w:rPr>
      <w:rFonts w:ascii="宋体" w:hAnsi="Courier New" w:cs="宋体"/>
    </w:rPr>
  </w:style>
  <w:style w:type="paragraph" w:styleId="19">
    <w:name w:val="Date"/>
    <w:basedOn w:val="1"/>
    <w:next w:val="1"/>
    <w:link w:val="51"/>
    <w:qFormat/>
    <w:uiPriority w:val="0"/>
    <w:rPr>
      <w:sz w:val="24"/>
      <w:szCs w:val="24"/>
    </w:rPr>
  </w:style>
  <w:style w:type="paragraph" w:styleId="20">
    <w:name w:val="Body Text Indent 2"/>
    <w:basedOn w:val="1"/>
    <w:qFormat/>
    <w:locked/>
    <w:uiPriority w:val="0"/>
    <w:pPr>
      <w:spacing w:after="120" w:line="480" w:lineRule="auto"/>
      <w:ind w:left="420" w:leftChars="200"/>
    </w:pPr>
  </w:style>
  <w:style w:type="paragraph" w:styleId="21">
    <w:name w:val="Balloon Text"/>
    <w:basedOn w:val="1"/>
    <w:link w:val="59"/>
    <w:semiHidden/>
    <w:qFormat/>
    <w:uiPriority w:val="99"/>
    <w:rPr>
      <w:sz w:val="18"/>
      <w:szCs w:val="18"/>
    </w:rPr>
  </w:style>
  <w:style w:type="paragraph" w:styleId="22">
    <w:name w:val="footer"/>
    <w:basedOn w:val="1"/>
    <w:link w:val="52"/>
    <w:qFormat/>
    <w:uiPriority w:val="99"/>
    <w:pPr>
      <w:tabs>
        <w:tab w:val="center" w:pos="4153"/>
        <w:tab w:val="right" w:pos="8306"/>
      </w:tabs>
      <w:snapToGrid w:val="0"/>
      <w:jc w:val="left"/>
    </w:pPr>
    <w:rPr>
      <w:sz w:val="18"/>
      <w:szCs w:val="18"/>
    </w:rPr>
  </w:style>
  <w:style w:type="paragraph" w:styleId="23">
    <w:name w:val="header"/>
    <w:basedOn w:val="1"/>
    <w:next w:val="18"/>
    <w:link w:val="53"/>
    <w:qFormat/>
    <w:uiPriority w:val="99"/>
    <w:pPr>
      <w:pBdr>
        <w:bottom w:val="single" w:color="auto" w:sz="6" w:space="1"/>
      </w:pBdr>
      <w:tabs>
        <w:tab w:val="center" w:pos="4153"/>
        <w:tab w:val="right" w:pos="8306"/>
      </w:tabs>
      <w:snapToGrid w:val="0"/>
      <w:jc w:val="center"/>
    </w:pPr>
    <w:rPr>
      <w:sz w:val="18"/>
      <w:szCs w:val="18"/>
    </w:rPr>
  </w:style>
  <w:style w:type="paragraph" w:styleId="24">
    <w:name w:val="Body Text Indent 3"/>
    <w:basedOn w:val="1"/>
    <w:next w:val="25"/>
    <w:qFormat/>
    <w:locked/>
    <w:uiPriority w:val="0"/>
    <w:pPr>
      <w:ind w:firstLine="570"/>
    </w:pPr>
    <w:rPr>
      <w:rFonts w:eastAsia="仿宋_GB2312"/>
      <w:sz w:val="32"/>
    </w:rPr>
  </w:style>
  <w:style w:type="paragraph" w:customStyle="1" w:styleId="25">
    <w:name w:val="Style23"/>
    <w:basedOn w:val="1"/>
    <w:next w:val="1"/>
    <w:unhideWhenUsed/>
    <w:qFormat/>
    <w:uiPriority w:val="0"/>
    <w:rPr>
      <w:rFonts w:ascii="Calibri" w:hAnsi="Calibri" w:eastAsia="微软雅黑"/>
    </w:rPr>
  </w:style>
  <w:style w:type="paragraph" w:styleId="26">
    <w:name w:val="index 7"/>
    <w:basedOn w:val="1"/>
    <w:next w:val="1"/>
    <w:qFormat/>
    <w:locked/>
    <w:uiPriority w:val="0"/>
    <w:pPr>
      <w:ind w:left="2520"/>
    </w:pPr>
  </w:style>
  <w:style w:type="paragraph" w:styleId="27">
    <w:name w:val="table of figures"/>
    <w:basedOn w:val="1"/>
    <w:next w:val="1"/>
    <w:qFormat/>
    <w:locked/>
    <w:uiPriority w:val="99"/>
    <w:pPr>
      <w:spacing w:line="360" w:lineRule="auto"/>
      <w:ind w:left="200" w:leftChars="200" w:hanging="200" w:hangingChars="200"/>
    </w:pPr>
    <w:rPr>
      <w:rFonts w:ascii="宋体"/>
      <w:kern w:val="0"/>
      <w:sz w:val="34"/>
      <w:szCs w:val="20"/>
    </w:rPr>
  </w:style>
  <w:style w:type="paragraph" w:styleId="2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30">
    <w:name w:val="Table Grid"/>
    <w:basedOn w:val="29"/>
    <w:qFormat/>
    <w:uiPriority w:val="0"/>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99"/>
    <w:rPr>
      <w:b/>
      <w:bCs/>
    </w:rPr>
  </w:style>
  <w:style w:type="character" w:styleId="33">
    <w:name w:val="page number"/>
    <w:basedOn w:val="31"/>
    <w:qFormat/>
    <w:uiPriority w:val="99"/>
  </w:style>
  <w:style w:type="character" w:styleId="34">
    <w:name w:val="Emphasis"/>
    <w:qFormat/>
    <w:uiPriority w:val="0"/>
    <w:rPr>
      <w:rFonts w:ascii="Times New Roman" w:hAnsi="Times New Roman" w:eastAsia="宋体"/>
    </w:rPr>
  </w:style>
  <w:style w:type="character" w:styleId="35">
    <w:name w:val="Hyperlink"/>
    <w:unhideWhenUsed/>
    <w:qFormat/>
    <w:locked/>
    <w:uiPriority w:val="99"/>
    <w:rPr>
      <w:color w:val="0000FF"/>
      <w:u w:val="single"/>
    </w:rPr>
  </w:style>
  <w:style w:type="character" w:styleId="36">
    <w:name w:val="annotation reference"/>
    <w:semiHidden/>
    <w:qFormat/>
    <w:uiPriority w:val="99"/>
    <w:rPr>
      <w:sz w:val="21"/>
      <w:szCs w:val="21"/>
    </w:rPr>
  </w:style>
  <w:style w:type="paragraph" w:customStyle="1" w:styleId="37">
    <w:name w:val="列出段落1"/>
    <w:basedOn w:val="38"/>
    <w:qFormat/>
    <w:uiPriority w:val="34"/>
    <w:pPr>
      <w:ind w:firstLine="420" w:firstLineChars="200"/>
    </w:pPr>
    <w:rPr>
      <w:szCs w:val="22"/>
    </w:rPr>
  </w:style>
  <w:style w:type="paragraph" w:customStyle="1" w:styleId="3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首行缩进1"/>
    <w:basedOn w:val="1"/>
    <w:qFormat/>
    <w:uiPriority w:val="0"/>
    <w:pPr>
      <w:spacing w:after="120"/>
      <w:ind w:firstLine="420" w:firstLineChars="100"/>
    </w:pPr>
    <w:rPr>
      <w:rFonts w:ascii="Times New Roman" w:hAnsi="Times New Roman"/>
    </w:rPr>
  </w:style>
  <w:style w:type="paragraph" w:customStyle="1" w:styleId="40">
    <w:name w:val="首行缩进"/>
    <w:basedOn w:val="1"/>
    <w:next w:val="1"/>
    <w:qFormat/>
    <w:uiPriority w:val="0"/>
    <w:pPr>
      <w:ind w:firstLine="480" w:firstLineChars="200"/>
    </w:pPr>
    <w:rPr>
      <w:lang w:val="zh-CN"/>
    </w:rPr>
  </w:style>
  <w:style w:type="paragraph" w:customStyle="1" w:styleId="41">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正文文本_0"/>
    <w:basedOn w:val="43"/>
    <w:next w:val="43"/>
    <w:qFormat/>
    <w:uiPriority w:val="0"/>
    <w:pPr>
      <w:spacing w:after="120"/>
    </w:pPr>
  </w:style>
  <w:style w:type="paragraph" w:customStyle="1" w:styleId="43">
    <w:name w:val="正文_0_0"/>
    <w:next w:val="2"/>
    <w:qFormat/>
    <w:uiPriority w:val="0"/>
    <w:pPr>
      <w:widowControl w:val="0"/>
      <w:jc w:val="both"/>
    </w:pPr>
    <w:rPr>
      <w:rFonts w:ascii="Calibri" w:hAnsi="Calibri" w:eastAsia="宋体" w:cs="Times New Roman"/>
      <w:kern w:val="2"/>
      <w:sz w:val="24"/>
      <w:szCs w:val="22"/>
      <w:lang w:val="en-US" w:eastAsia="zh-CN" w:bidi="ar-SA"/>
    </w:rPr>
  </w:style>
  <w:style w:type="paragraph" w:customStyle="1" w:styleId="44">
    <w:name w:val="目录 81"/>
    <w:basedOn w:val="1"/>
    <w:next w:val="1"/>
    <w:qFormat/>
    <w:uiPriority w:val="0"/>
    <w:pPr>
      <w:ind w:left="2940"/>
    </w:pPr>
    <w:rPr>
      <w:rFonts w:ascii="Times New Roman" w:hAnsi="Times New Roman" w:cs="Times New Roman"/>
      <w:szCs w:val="24"/>
    </w:rPr>
  </w:style>
  <w:style w:type="paragraph" w:customStyle="1" w:styleId="45">
    <w:name w:val="font5"/>
    <w:basedOn w:val="1"/>
    <w:qFormat/>
    <w:uiPriority w:val="0"/>
    <w:pPr>
      <w:widowControl/>
      <w:spacing w:before="100" w:beforeAutospacing="1" w:after="100" w:afterAutospacing="1"/>
      <w:jc w:val="left"/>
    </w:pPr>
    <w:rPr>
      <w:rFonts w:ascii="宋体" w:hAnsi="Times New Roman" w:cs="Times New Roman"/>
      <w:kern w:val="0"/>
      <w:sz w:val="18"/>
      <w:szCs w:val="18"/>
    </w:rPr>
  </w:style>
  <w:style w:type="paragraph" w:styleId="46">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47">
    <w:name w:val="正文文本 Char"/>
    <w:link w:val="16"/>
    <w:semiHidden/>
    <w:qFormat/>
    <w:locked/>
    <w:uiPriority w:val="99"/>
    <w:rPr>
      <w:sz w:val="21"/>
      <w:szCs w:val="21"/>
    </w:rPr>
  </w:style>
  <w:style w:type="character" w:customStyle="1" w:styleId="48">
    <w:name w:val="正文首行缩进 Char"/>
    <w:basedOn w:val="47"/>
    <w:link w:val="17"/>
    <w:semiHidden/>
    <w:qFormat/>
    <w:locked/>
    <w:uiPriority w:val="99"/>
    <w:rPr>
      <w:sz w:val="21"/>
      <w:szCs w:val="21"/>
    </w:rPr>
  </w:style>
  <w:style w:type="character" w:customStyle="1" w:styleId="49">
    <w:name w:val="正文文本缩进 Char"/>
    <w:link w:val="3"/>
    <w:semiHidden/>
    <w:qFormat/>
    <w:locked/>
    <w:uiPriority w:val="99"/>
    <w:rPr>
      <w:sz w:val="21"/>
      <w:szCs w:val="21"/>
    </w:rPr>
  </w:style>
  <w:style w:type="character" w:customStyle="1" w:styleId="50">
    <w:name w:val="纯文本 Char"/>
    <w:link w:val="18"/>
    <w:qFormat/>
    <w:locked/>
    <w:uiPriority w:val="99"/>
    <w:rPr>
      <w:rFonts w:ascii="宋体" w:hAnsi="Courier New" w:cs="宋体"/>
      <w:sz w:val="21"/>
      <w:szCs w:val="21"/>
    </w:rPr>
  </w:style>
  <w:style w:type="character" w:customStyle="1" w:styleId="51">
    <w:name w:val="日期 Char"/>
    <w:link w:val="19"/>
    <w:semiHidden/>
    <w:qFormat/>
    <w:locked/>
    <w:uiPriority w:val="99"/>
    <w:rPr>
      <w:sz w:val="21"/>
      <w:szCs w:val="21"/>
    </w:rPr>
  </w:style>
  <w:style w:type="character" w:customStyle="1" w:styleId="52">
    <w:name w:val="页脚 Char"/>
    <w:link w:val="22"/>
    <w:qFormat/>
    <w:locked/>
    <w:uiPriority w:val="99"/>
    <w:rPr>
      <w:sz w:val="18"/>
      <w:szCs w:val="18"/>
    </w:rPr>
  </w:style>
  <w:style w:type="character" w:customStyle="1" w:styleId="53">
    <w:name w:val="页眉 Char"/>
    <w:link w:val="23"/>
    <w:qFormat/>
    <w:locked/>
    <w:uiPriority w:val="99"/>
    <w:rPr>
      <w:sz w:val="18"/>
      <w:szCs w:val="18"/>
    </w:rPr>
  </w:style>
  <w:style w:type="paragraph" w:customStyle="1" w:styleId="54">
    <w:name w:val="p0"/>
    <w:basedOn w:val="1"/>
    <w:qFormat/>
    <w:uiPriority w:val="99"/>
    <w:pPr>
      <w:widowControl/>
    </w:pPr>
    <w:rPr>
      <w:kern w:val="0"/>
    </w:rPr>
  </w:style>
  <w:style w:type="paragraph" w:customStyle="1" w:styleId="55">
    <w:name w:val="正文缩进(楷体)"/>
    <w:basedOn w:val="1"/>
    <w:qFormat/>
    <w:uiPriority w:val="99"/>
    <w:pPr>
      <w:widowControl/>
      <w:spacing w:line="420" w:lineRule="exact"/>
      <w:ind w:firstLine="200" w:firstLineChars="200"/>
      <w:jc w:val="left"/>
    </w:pPr>
    <w:rPr>
      <w:rFonts w:ascii="宋体" w:hAnsi="宋体" w:eastAsia="楷体_GB2312" w:cs="宋体"/>
      <w:kern w:val="0"/>
      <w:sz w:val="24"/>
      <w:szCs w:val="24"/>
    </w:rPr>
  </w:style>
  <w:style w:type="character" w:customStyle="1" w:styleId="56">
    <w:name w:val="纯文本 Char2"/>
    <w:qFormat/>
    <w:locked/>
    <w:uiPriority w:val="99"/>
    <w:rPr>
      <w:rFonts w:ascii="宋体" w:hAnsi="Courier New" w:eastAsia="宋体" w:cs="宋体"/>
      <w:kern w:val="2"/>
      <w:sz w:val="21"/>
      <w:szCs w:val="21"/>
      <w:lang w:val="en-US" w:eastAsia="zh-CN"/>
    </w:rPr>
  </w:style>
  <w:style w:type="character" w:customStyle="1" w:styleId="57">
    <w:name w:val="批注文字 Char"/>
    <w:link w:val="5"/>
    <w:semiHidden/>
    <w:qFormat/>
    <w:locked/>
    <w:uiPriority w:val="99"/>
    <w:rPr>
      <w:sz w:val="21"/>
      <w:szCs w:val="21"/>
    </w:rPr>
  </w:style>
  <w:style w:type="character" w:customStyle="1" w:styleId="58">
    <w:name w:val="批注主题 Char"/>
    <w:link w:val="4"/>
    <w:semiHidden/>
    <w:qFormat/>
    <w:locked/>
    <w:uiPriority w:val="99"/>
    <w:rPr>
      <w:b/>
      <w:bCs/>
      <w:sz w:val="21"/>
      <w:szCs w:val="21"/>
    </w:rPr>
  </w:style>
  <w:style w:type="character" w:customStyle="1" w:styleId="59">
    <w:name w:val="批注框文本 Char"/>
    <w:link w:val="21"/>
    <w:semiHidden/>
    <w:qFormat/>
    <w:locked/>
    <w:uiPriority w:val="99"/>
    <w:rPr>
      <w:sz w:val="2"/>
      <w:szCs w:val="2"/>
    </w:rPr>
  </w:style>
  <w:style w:type="paragraph" w:customStyle="1" w:styleId="60">
    <w:name w:val="_Style 1"/>
    <w:basedOn w:val="1"/>
    <w:qFormat/>
    <w:uiPriority w:val="34"/>
    <w:pPr>
      <w:ind w:firstLine="420" w:firstLineChars="200"/>
    </w:pPr>
    <w:rPr>
      <w:szCs w:val="22"/>
    </w:rPr>
  </w:style>
  <w:style w:type="character" w:customStyle="1" w:styleId="61">
    <w:name w:val="apple-converted-space"/>
    <w:basedOn w:val="31"/>
    <w:qFormat/>
    <w:uiPriority w:val="0"/>
  </w:style>
  <w:style w:type="character" w:customStyle="1" w:styleId="62">
    <w:name w:val="title_1"/>
    <w:qFormat/>
    <w:uiPriority w:val="0"/>
    <w:rPr>
      <w:b/>
      <w:sz w:val="30"/>
      <w:szCs w:val="30"/>
    </w:rPr>
  </w:style>
  <w:style w:type="character" w:customStyle="1" w:styleId="63">
    <w:name w:val="content_1"/>
    <w:qFormat/>
    <w:uiPriority w:val="0"/>
    <w:rPr>
      <w:sz w:val="19"/>
      <w:szCs w:val="19"/>
    </w:rPr>
  </w:style>
  <w:style w:type="character" w:customStyle="1" w:styleId="64">
    <w:name w:val="content"/>
    <w:qFormat/>
    <w:uiPriority w:val="0"/>
    <w:rPr>
      <w:sz w:val="19"/>
      <w:szCs w:val="19"/>
    </w:rPr>
  </w:style>
  <w:style w:type="character" w:customStyle="1" w:styleId="65">
    <w:name w:val="content_2"/>
    <w:qFormat/>
    <w:uiPriority w:val="0"/>
    <w:rPr>
      <w:sz w:val="19"/>
      <w:szCs w:val="19"/>
    </w:rPr>
  </w:style>
  <w:style w:type="character" w:customStyle="1" w:styleId="66">
    <w:name w:val="title_2"/>
    <w:qFormat/>
    <w:uiPriority w:val="0"/>
    <w:rPr>
      <w:b/>
      <w:sz w:val="19"/>
      <w:szCs w:val="19"/>
    </w:rPr>
  </w:style>
  <w:style w:type="paragraph" w:customStyle="1" w:styleId="67">
    <w:name w:val="列出段落2"/>
    <w:basedOn w:val="1"/>
    <w:qFormat/>
    <w:uiPriority w:val="0"/>
    <w:pPr>
      <w:ind w:firstLine="420" w:firstLineChars="200"/>
    </w:pPr>
    <w:rPr>
      <w:rFonts w:cs="Times New Roman"/>
      <w:szCs w:val="22"/>
    </w:rPr>
  </w:style>
  <w:style w:type="character" w:customStyle="1" w:styleId="68">
    <w:name w:val="日期 Char1"/>
    <w:qFormat/>
    <w:uiPriority w:val="0"/>
    <w:rPr>
      <w:rFonts w:ascii="Calibri" w:hAnsi="Calibri" w:eastAsia="宋体" w:cs="Times New Roman"/>
      <w:kern w:val="2"/>
      <w:sz w:val="24"/>
      <w:lang w:val="en-US" w:eastAsia="zh-CN" w:bidi="ar-SA"/>
    </w:rPr>
  </w:style>
  <w:style w:type="paragraph" w:customStyle="1" w:styleId="69">
    <w:name w:val="列出段落3"/>
    <w:basedOn w:val="1"/>
    <w:qFormat/>
    <w:uiPriority w:val="0"/>
    <w:pPr>
      <w:ind w:firstLine="420" w:firstLineChars="200"/>
    </w:pPr>
    <w:rPr>
      <w:rFonts w:cs="Times New Roman"/>
      <w:szCs w:val="22"/>
    </w:rPr>
  </w:style>
  <w:style w:type="paragraph" w:customStyle="1" w:styleId="70">
    <w:name w:val="列出段落4"/>
    <w:basedOn w:val="1"/>
    <w:qFormat/>
    <w:uiPriority w:val="0"/>
    <w:pPr>
      <w:ind w:firstLine="420" w:firstLineChars="200"/>
    </w:pPr>
    <w:rPr>
      <w:rFonts w:cs="Times New Roman"/>
      <w:szCs w:val="22"/>
    </w:rPr>
  </w:style>
  <w:style w:type="paragraph" w:styleId="71">
    <w:name w:val="List Paragraph"/>
    <w:basedOn w:val="1"/>
    <w:link w:val="158"/>
    <w:unhideWhenUsed/>
    <w:qFormat/>
    <w:uiPriority w:val="34"/>
    <w:pPr>
      <w:ind w:firstLine="420" w:firstLineChars="200"/>
    </w:pPr>
  </w:style>
  <w:style w:type="character" w:customStyle="1" w:styleId="72">
    <w:name w:val="标题 1 Char"/>
    <w:link w:val="7"/>
    <w:qFormat/>
    <w:uiPriority w:val="0"/>
    <w:rPr>
      <w:rFonts w:ascii="Calibri" w:hAnsi="Calibri" w:eastAsia="宋体" w:cs="Calibri"/>
      <w:b/>
      <w:kern w:val="44"/>
      <w:sz w:val="44"/>
      <w:szCs w:val="21"/>
    </w:rPr>
  </w:style>
  <w:style w:type="table" w:customStyle="1" w:styleId="73">
    <w:name w:val="网格型1"/>
    <w:basedOn w:val="2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4">
    <w:name w:val="纯文本 Char1"/>
    <w:qFormat/>
    <w:locked/>
    <w:uiPriority w:val="0"/>
    <w:rPr>
      <w:rFonts w:ascii="宋体" w:hAnsi="Courier New" w:eastAsia="宋体" w:cs="Courier New"/>
      <w:szCs w:val="21"/>
    </w:rPr>
  </w:style>
  <w:style w:type="table" w:customStyle="1" w:styleId="75">
    <w:name w:val="网格型2"/>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6">
    <w:name w:val="Normal_0_0_0"/>
    <w:qFormat/>
    <w:uiPriority w:val="0"/>
    <w:rPr>
      <w:rFonts w:ascii="Times New Roman" w:hAnsi="Times New Roman" w:eastAsia="Times New Roman" w:cs="Times New Roman"/>
      <w:sz w:val="24"/>
      <w:szCs w:val="24"/>
      <w:lang w:val="en-US" w:eastAsia="zh-CN" w:bidi="ar-SA"/>
    </w:rPr>
  </w:style>
  <w:style w:type="table" w:customStyle="1" w:styleId="77">
    <w:name w:val="网格型3"/>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8">
    <w:name w:val="正文_48"/>
    <w:next w:val="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正文首行缩进 2_47"/>
    <w:basedOn w:val="80"/>
    <w:unhideWhenUsed/>
    <w:qFormat/>
    <w:uiPriority w:val="99"/>
    <w:pPr>
      <w:autoSpaceDE w:val="0"/>
      <w:autoSpaceDN w:val="0"/>
      <w:adjustRightInd w:val="0"/>
      <w:ind w:firstLine="420"/>
      <w:jc w:val="left"/>
    </w:pPr>
    <w:rPr>
      <w:rFonts w:ascii="Calibri" w:hAnsi="Calibri"/>
    </w:rPr>
  </w:style>
  <w:style w:type="paragraph" w:customStyle="1" w:styleId="80">
    <w:name w:val="正文文本缩进_48"/>
    <w:basedOn w:val="78"/>
    <w:qFormat/>
    <w:uiPriority w:val="0"/>
    <w:pPr>
      <w:spacing w:after="120"/>
      <w:ind w:left="420" w:leftChars="200"/>
    </w:pPr>
    <w:rPr>
      <w:kern w:val="0"/>
      <w:sz w:val="20"/>
    </w:rPr>
  </w:style>
  <w:style w:type="paragraph" w:customStyle="1" w:styleId="81">
    <w:name w:val="正文_0_3"/>
    <w:qFormat/>
    <w:uiPriority w:val="0"/>
    <w:pPr>
      <w:widowControl w:val="0"/>
      <w:jc w:val="both"/>
    </w:pPr>
    <w:rPr>
      <w:rFonts w:ascii="Calibri" w:hAnsi="Calibri" w:eastAsia="宋体" w:cs="Times New Roman"/>
      <w:kern w:val="2"/>
      <w:sz w:val="24"/>
      <w:szCs w:val="22"/>
      <w:lang w:val="en-US" w:eastAsia="zh-CN" w:bidi="ar-SA"/>
    </w:rPr>
  </w:style>
  <w:style w:type="paragraph" w:customStyle="1" w:styleId="82">
    <w:name w:val="正文_0_4"/>
    <w:qFormat/>
    <w:uiPriority w:val="0"/>
    <w:pPr>
      <w:widowControl w:val="0"/>
      <w:jc w:val="both"/>
    </w:pPr>
    <w:rPr>
      <w:rFonts w:ascii="Calibri" w:hAnsi="Calibri" w:eastAsia="宋体" w:cs="Times New Roman"/>
      <w:kern w:val="2"/>
      <w:sz w:val="24"/>
      <w:szCs w:val="22"/>
      <w:lang w:val="en-US" w:eastAsia="zh-CN" w:bidi="ar-SA"/>
    </w:rPr>
  </w:style>
  <w:style w:type="paragraph" w:customStyle="1" w:styleId="83">
    <w:name w:val="正文_0_5"/>
    <w:qFormat/>
    <w:uiPriority w:val="0"/>
    <w:pPr>
      <w:widowControl w:val="0"/>
      <w:jc w:val="both"/>
    </w:pPr>
    <w:rPr>
      <w:rFonts w:ascii="Calibri" w:hAnsi="Calibri" w:eastAsia="宋体" w:cs="Times New Roman"/>
      <w:kern w:val="2"/>
      <w:sz w:val="24"/>
      <w:szCs w:val="22"/>
      <w:lang w:val="en-US" w:eastAsia="zh-CN" w:bidi="ar-SA"/>
    </w:rPr>
  </w:style>
  <w:style w:type="paragraph" w:customStyle="1" w:styleId="84">
    <w:name w:val="正文_0_3_1"/>
    <w:basedOn w:val="1"/>
    <w:qFormat/>
    <w:uiPriority w:val="0"/>
    <w:rPr>
      <w:rFonts w:cs="Times New Roman"/>
      <w:szCs w:val="22"/>
    </w:rPr>
  </w:style>
  <w:style w:type="paragraph" w:customStyle="1" w:styleId="85">
    <w:name w:val="正文_0_3_2"/>
    <w:basedOn w:val="1"/>
    <w:qFormat/>
    <w:uiPriority w:val="0"/>
    <w:rPr>
      <w:rFonts w:cs="Times New Roman"/>
      <w:szCs w:val="22"/>
    </w:rPr>
  </w:style>
  <w:style w:type="paragraph" w:customStyle="1" w:styleId="86">
    <w:name w:val="正文_0_3_3"/>
    <w:basedOn w:val="1"/>
    <w:qFormat/>
    <w:uiPriority w:val="0"/>
    <w:rPr>
      <w:rFonts w:cs="Times New Roman"/>
      <w:szCs w:val="22"/>
    </w:rPr>
  </w:style>
  <w:style w:type="paragraph" w:customStyle="1" w:styleId="87">
    <w:name w:val="Body text|1"/>
    <w:basedOn w:val="1"/>
    <w:qFormat/>
    <w:uiPriority w:val="0"/>
    <w:pPr>
      <w:spacing w:line="456" w:lineRule="auto"/>
    </w:pPr>
    <w:rPr>
      <w:rFonts w:ascii="宋体" w:hAnsi="宋体" w:cs="宋体"/>
      <w:sz w:val="20"/>
      <w:szCs w:val="20"/>
      <w:lang w:val="zh-TW" w:eastAsia="zh-TW" w:bidi="zh-TW"/>
    </w:rPr>
  </w:style>
  <w:style w:type="character" w:customStyle="1" w:styleId="88">
    <w:name w:val="font11"/>
    <w:basedOn w:val="31"/>
    <w:qFormat/>
    <w:uiPriority w:val="0"/>
    <w:rPr>
      <w:rFonts w:hint="eastAsia" w:ascii="宋体" w:hAnsi="宋体" w:eastAsia="宋体" w:cs="宋体"/>
      <w:color w:val="000000"/>
      <w:sz w:val="22"/>
      <w:szCs w:val="22"/>
      <w:u w:val="none"/>
    </w:rPr>
  </w:style>
  <w:style w:type="character" w:customStyle="1" w:styleId="89">
    <w:name w:val="font01"/>
    <w:basedOn w:val="31"/>
    <w:qFormat/>
    <w:uiPriority w:val="0"/>
    <w:rPr>
      <w:rFonts w:hint="default" w:ascii="Calibri" w:hAnsi="Calibri" w:cs="Calibri"/>
      <w:color w:val="000000"/>
      <w:sz w:val="22"/>
      <w:szCs w:val="22"/>
      <w:u w:val="none"/>
    </w:rPr>
  </w:style>
  <w:style w:type="paragraph" w:customStyle="1" w:styleId="90">
    <w:name w:val="正文_10"/>
    <w:next w:val="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正文首行缩进 2_5"/>
    <w:basedOn w:val="92"/>
    <w:unhideWhenUsed/>
    <w:qFormat/>
    <w:uiPriority w:val="99"/>
    <w:pPr>
      <w:autoSpaceDE w:val="0"/>
      <w:autoSpaceDN w:val="0"/>
      <w:adjustRightInd w:val="0"/>
      <w:ind w:firstLine="420"/>
      <w:jc w:val="left"/>
    </w:pPr>
    <w:rPr>
      <w:rFonts w:ascii="Calibri" w:hAnsi="Calibri"/>
    </w:rPr>
  </w:style>
  <w:style w:type="paragraph" w:customStyle="1" w:styleId="92">
    <w:name w:val="正文文本缩进_6"/>
    <w:basedOn w:val="93"/>
    <w:next w:val="94"/>
    <w:qFormat/>
    <w:uiPriority w:val="0"/>
    <w:pPr>
      <w:spacing w:after="120"/>
      <w:ind w:left="420" w:leftChars="200"/>
    </w:pPr>
    <w:rPr>
      <w:kern w:val="0"/>
      <w:sz w:val="20"/>
    </w:rPr>
  </w:style>
  <w:style w:type="paragraph" w:customStyle="1" w:styleId="93">
    <w:name w:val="正文_6"/>
    <w:next w:val="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批注主题_6"/>
    <w:basedOn w:val="95"/>
    <w:next w:val="90"/>
    <w:qFormat/>
    <w:uiPriority w:val="0"/>
    <w:rPr>
      <w:b/>
      <w:bCs/>
    </w:rPr>
  </w:style>
  <w:style w:type="paragraph" w:customStyle="1" w:styleId="95">
    <w:name w:val="批注文字_6"/>
    <w:basedOn w:val="90"/>
    <w:semiHidden/>
    <w:qFormat/>
    <w:uiPriority w:val="0"/>
    <w:pPr>
      <w:jc w:val="left"/>
    </w:pPr>
  </w:style>
  <w:style w:type="paragraph" w:customStyle="1" w:styleId="96">
    <w:name w:val="列出段落1_0"/>
    <w:basedOn w:val="97"/>
    <w:qFormat/>
    <w:uiPriority w:val="0"/>
    <w:pPr>
      <w:ind w:firstLine="420" w:firstLineChars="200"/>
    </w:pPr>
    <w:rPr>
      <w:rFonts w:ascii="Calibri" w:hAnsi="Calibri" w:cs="宋体"/>
      <w:sz w:val="24"/>
    </w:rPr>
  </w:style>
  <w:style w:type="paragraph" w:customStyle="1" w:styleId="97">
    <w:name w:val="正文_12"/>
    <w:next w:val="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首行缩进 2_11"/>
    <w:basedOn w:val="99"/>
    <w:unhideWhenUsed/>
    <w:qFormat/>
    <w:uiPriority w:val="99"/>
    <w:pPr>
      <w:autoSpaceDE w:val="0"/>
      <w:autoSpaceDN w:val="0"/>
      <w:adjustRightInd w:val="0"/>
      <w:ind w:firstLine="420"/>
      <w:jc w:val="left"/>
    </w:pPr>
    <w:rPr>
      <w:rFonts w:ascii="Calibri" w:hAnsi="Calibri"/>
    </w:rPr>
  </w:style>
  <w:style w:type="paragraph" w:customStyle="1" w:styleId="99">
    <w:name w:val="正文文本缩进_12"/>
    <w:basedOn w:val="97"/>
    <w:qFormat/>
    <w:uiPriority w:val="0"/>
    <w:pPr>
      <w:spacing w:after="120"/>
      <w:ind w:left="420" w:leftChars="200"/>
    </w:pPr>
    <w:rPr>
      <w:kern w:val="0"/>
      <w:sz w:val="20"/>
    </w:rPr>
  </w:style>
  <w:style w:type="paragraph" w:customStyle="1" w:styleId="100">
    <w:name w:val="正文_11"/>
    <w:next w:val="1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正文首行缩进 2_10"/>
    <w:basedOn w:val="102"/>
    <w:unhideWhenUsed/>
    <w:qFormat/>
    <w:uiPriority w:val="99"/>
    <w:pPr>
      <w:autoSpaceDE w:val="0"/>
      <w:autoSpaceDN w:val="0"/>
      <w:adjustRightInd w:val="0"/>
      <w:ind w:firstLine="420"/>
      <w:jc w:val="left"/>
    </w:pPr>
    <w:rPr>
      <w:rFonts w:ascii="Calibri" w:hAnsi="Calibri"/>
    </w:rPr>
  </w:style>
  <w:style w:type="paragraph" w:customStyle="1" w:styleId="102">
    <w:name w:val="正文文本缩进_11"/>
    <w:basedOn w:val="100"/>
    <w:qFormat/>
    <w:uiPriority w:val="0"/>
    <w:pPr>
      <w:spacing w:after="120"/>
      <w:ind w:left="420" w:leftChars="200"/>
    </w:pPr>
    <w:rPr>
      <w:kern w:val="0"/>
      <w:sz w:val="20"/>
    </w:rPr>
  </w:style>
  <w:style w:type="paragraph" w:customStyle="1" w:styleId="103">
    <w:name w:val="列出段落1_2_0"/>
    <w:basedOn w:val="104"/>
    <w:qFormat/>
    <w:uiPriority w:val="0"/>
    <w:pPr>
      <w:ind w:firstLine="420" w:firstLineChars="200"/>
    </w:pPr>
    <w:rPr>
      <w:rFonts w:cs="宋体"/>
      <w:sz w:val="24"/>
    </w:rPr>
  </w:style>
  <w:style w:type="paragraph" w:customStyle="1" w:styleId="104">
    <w:name w:val="正文_1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正文_50"/>
    <w:next w:val="1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正文首行缩进 2_43"/>
    <w:basedOn w:val="107"/>
    <w:qFormat/>
    <w:uiPriority w:val="99"/>
    <w:pPr>
      <w:autoSpaceDE w:val="0"/>
      <w:autoSpaceDN w:val="0"/>
      <w:adjustRightInd w:val="0"/>
      <w:jc w:val="left"/>
    </w:pPr>
  </w:style>
  <w:style w:type="paragraph" w:customStyle="1" w:styleId="107">
    <w:name w:val="正文文本缩进_44"/>
    <w:basedOn w:val="105"/>
    <w:next w:val="108"/>
    <w:qFormat/>
    <w:uiPriority w:val="0"/>
    <w:pPr>
      <w:spacing w:after="120"/>
      <w:ind w:left="420" w:leftChars="200"/>
    </w:pPr>
  </w:style>
  <w:style w:type="paragraph" w:customStyle="1" w:styleId="108">
    <w:name w:val="批注主题_44"/>
    <w:basedOn w:val="109"/>
    <w:next w:val="105"/>
    <w:qFormat/>
    <w:uiPriority w:val="0"/>
    <w:rPr>
      <w:b/>
      <w:bCs/>
    </w:rPr>
  </w:style>
  <w:style w:type="paragraph" w:customStyle="1" w:styleId="109">
    <w:name w:val="批注文字_44"/>
    <w:basedOn w:val="105"/>
    <w:semiHidden/>
    <w:qFormat/>
    <w:uiPriority w:val="0"/>
    <w:pPr>
      <w:jc w:val="left"/>
    </w:pPr>
  </w:style>
  <w:style w:type="paragraph" w:customStyle="1" w:styleId="110">
    <w:name w:val="正文_47"/>
    <w:next w:val="1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正文首行缩进 2_46"/>
    <w:basedOn w:val="112"/>
    <w:unhideWhenUsed/>
    <w:qFormat/>
    <w:uiPriority w:val="99"/>
    <w:pPr>
      <w:autoSpaceDE w:val="0"/>
      <w:autoSpaceDN w:val="0"/>
      <w:adjustRightInd w:val="0"/>
      <w:ind w:firstLine="420"/>
      <w:jc w:val="left"/>
    </w:pPr>
    <w:rPr>
      <w:rFonts w:ascii="Calibri" w:hAnsi="Calibri"/>
    </w:rPr>
  </w:style>
  <w:style w:type="paragraph" w:customStyle="1" w:styleId="112">
    <w:name w:val="正文文本缩进_47"/>
    <w:basedOn w:val="110"/>
    <w:qFormat/>
    <w:uiPriority w:val="0"/>
    <w:pPr>
      <w:spacing w:after="120"/>
      <w:ind w:left="420" w:leftChars="200"/>
    </w:pPr>
    <w:rPr>
      <w:kern w:val="0"/>
      <w:sz w:val="20"/>
    </w:rPr>
  </w:style>
  <w:style w:type="paragraph" w:customStyle="1" w:styleId="113">
    <w:name w:val="正文_14"/>
    <w:next w:val="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正文首行缩进 2_13"/>
    <w:basedOn w:val="115"/>
    <w:unhideWhenUsed/>
    <w:qFormat/>
    <w:uiPriority w:val="99"/>
    <w:pPr>
      <w:autoSpaceDE w:val="0"/>
      <w:autoSpaceDN w:val="0"/>
      <w:adjustRightInd w:val="0"/>
      <w:ind w:firstLine="420"/>
      <w:jc w:val="left"/>
    </w:pPr>
    <w:rPr>
      <w:rFonts w:ascii="Calibri" w:hAnsi="Calibri"/>
    </w:rPr>
  </w:style>
  <w:style w:type="paragraph" w:customStyle="1" w:styleId="115">
    <w:name w:val="正文文本缩进_14"/>
    <w:basedOn w:val="113"/>
    <w:qFormat/>
    <w:uiPriority w:val="0"/>
    <w:pPr>
      <w:spacing w:after="120"/>
      <w:ind w:left="420" w:leftChars="200"/>
    </w:pPr>
    <w:rPr>
      <w:kern w:val="0"/>
      <w:sz w:val="20"/>
    </w:rPr>
  </w:style>
  <w:style w:type="paragraph" w:customStyle="1" w:styleId="116">
    <w:name w:val="正文_18"/>
    <w:next w:val="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首行缩进 2_17"/>
    <w:basedOn w:val="118"/>
    <w:unhideWhenUsed/>
    <w:qFormat/>
    <w:uiPriority w:val="99"/>
    <w:pPr>
      <w:autoSpaceDE w:val="0"/>
      <w:autoSpaceDN w:val="0"/>
      <w:adjustRightInd w:val="0"/>
      <w:ind w:firstLine="420"/>
      <w:jc w:val="left"/>
    </w:pPr>
    <w:rPr>
      <w:rFonts w:ascii="Calibri" w:hAnsi="Calibri"/>
    </w:rPr>
  </w:style>
  <w:style w:type="paragraph" w:customStyle="1" w:styleId="118">
    <w:name w:val="正文文本缩进_18"/>
    <w:basedOn w:val="116"/>
    <w:qFormat/>
    <w:uiPriority w:val="0"/>
    <w:pPr>
      <w:spacing w:after="120"/>
      <w:ind w:left="420" w:leftChars="200"/>
    </w:pPr>
    <w:rPr>
      <w:kern w:val="0"/>
      <w:sz w:val="20"/>
    </w:rPr>
  </w:style>
  <w:style w:type="paragraph" w:customStyle="1" w:styleId="119">
    <w:name w:val="正文_19"/>
    <w:next w:val="1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正文首行缩进 2_18"/>
    <w:basedOn w:val="121"/>
    <w:unhideWhenUsed/>
    <w:qFormat/>
    <w:uiPriority w:val="99"/>
    <w:pPr>
      <w:autoSpaceDE w:val="0"/>
      <w:autoSpaceDN w:val="0"/>
      <w:adjustRightInd w:val="0"/>
      <w:ind w:firstLine="420"/>
      <w:jc w:val="left"/>
    </w:pPr>
    <w:rPr>
      <w:rFonts w:ascii="Calibri" w:hAnsi="Calibri"/>
    </w:rPr>
  </w:style>
  <w:style w:type="paragraph" w:customStyle="1" w:styleId="121">
    <w:name w:val="正文文本缩进_19"/>
    <w:basedOn w:val="119"/>
    <w:qFormat/>
    <w:uiPriority w:val="0"/>
    <w:pPr>
      <w:spacing w:after="120"/>
      <w:ind w:left="420" w:leftChars="200"/>
    </w:pPr>
    <w:rPr>
      <w:kern w:val="0"/>
      <w:sz w:val="20"/>
    </w:rPr>
  </w:style>
  <w:style w:type="paragraph" w:customStyle="1" w:styleId="122">
    <w:name w:val="正文_21"/>
    <w:next w:val="1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首行缩进 2_20"/>
    <w:basedOn w:val="124"/>
    <w:unhideWhenUsed/>
    <w:qFormat/>
    <w:uiPriority w:val="99"/>
    <w:pPr>
      <w:autoSpaceDE w:val="0"/>
      <w:autoSpaceDN w:val="0"/>
      <w:adjustRightInd w:val="0"/>
      <w:ind w:firstLine="420"/>
      <w:jc w:val="left"/>
    </w:pPr>
    <w:rPr>
      <w:rFonts w:ascii="Calibri" w:hAnsi="Calibri"/>
    </w:rPr>
  </w:style>
  <w:style w:type="paragraph" w:customStyle="1" w:styleId="124">
    <w:name w:val="正文文本缩进_21"/>
    <w:basedOn w:val="122"/>
    <w:qFormat/>
    <w:uiPriority w:val="0"/>
    <w:pPr>
      <w:spacing w:after="120"/>
      <w:ind w:left="420" w:leftChars="200"/>
    </w:pPr>
    <w:rPr>
      <w:kern w:val="0"/>
      <w:sz w:val="20"/>
    </w:rPr>
  </w:style>
  <w:style w:type="paragraph" w:customStyle="1" w:styleId="125">
    <w:name w:val="正文_22"/>
    <w:next w:val="1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正文首行缩进 2_21"/>
    <w:basedOn w:val="127"/>
    <w:unhideWhenUsed/>
    <w:qFormat/>
    <w:uiPriority w:val="99"/>
    <w:pPr>
      <w:autoSpaceDE w:val="0"/>
      <w:autoSpaceDN w:val="0"/>
      <w:adjustRightInd w:val="0"/>
      <w:ind w:firstLine="420"/>
      <w:jc w:val="left"/>
    </w:pPr>
    <w:rPr>
      <w:rFonts w:ascii="Calibri" w:hAnsi="Calibri"/>
    </w:rPr>
  </w:style>
  <w:style w:type="paragraph" w:customStyle="1" w:styleId="127">
    <w:name w:val="正文文本缩进_22"/>
    <w:basedOn w:val="125"/>
    <w:qFormat/>
    <w:uiPriority w:val="0"/>
    <w:pPr>
      <w:spacing w:after="120"/>
      <w:ind w:left="420" w:leftChars="200"/>
    </w:pPr>
    <w:rPr>
      <w:kern w:val="0"/>
      <w:sz w:val="20"/>
    </w:rPr>
  </w:style>
  <w:style w:type="paragraph" w:customStyle="1" w:styleId="128">
    <w:name w:val="正文_23"/>
    <w:next w:val="1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正文首行缩进 2_22"/>
    <w:basedOn w:val="130"/>
    <w:unhideWhenUsed/>
    <w:qFormat/>
    <w:uiPriority w:val="99"/>
    <w:pPr>
      <w:autoSpaceDE w:val="0"/>
      <w:autoSpaceDN w:val="0"/>
      <w:adjustRightInd w:val="0"/>
      <w:ind w:firstLine="420"/>
      <w:jc w:val="left"/>
    </w:pPr>
    <w:rPr>
      <w:rFonts w:ascii="Calibri" w:hAnsi="Calibri"/>
    </w:rPr>
  </w:style>
  <w:style w:type="paragraph" w:customStyle="1" w:styleId="130">
    <w:name w:val="正文文本缩进_23"/>
    <w:basedOn w:val="128"/>
    <w:qFormat/>
    <w:uiPriority w:val="0"/>
    <w:pPr>
      <w:spacing w:after="120"/>
      <w:ind w:left="420" w:leftChars="200"/>
    </w:pPr>
    <w:rPr>
      <w:kern w:val="0"/>
      <w:sz w:val="20"/>
    </w:rPr>
  </w:style>
  <w:style w:type="paragraph" w:customStyle="1" w:styleId="131">
    <w:name w:val="正文_24"/>
    <w:next w:val="1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首行缩进 2_23"/>
    <w:basedOn w:val="133"/>
    <w:unhideWhenUsed/>
    <w:qFormat/>
    <w:uiPriority w:val="99"/>
    <w:pPr>
      <w:autoSpaceDE w:val="0"/>
      <w:autoSpaceDN w:val="0"/>
      <w:adjustRightInd w:val="0"/>
      <w:ind w:firstLine="420"/>
      <w:jc w:val="left"/>
    </w:pPr>
    <w:rPr>
      <w:rFonts w:ascii="Calibri" w:hAnsi="Calibri"/>
    </w:rPr>
  </w:style>
  <w:style w:type="paragraph" w:customStyle="1" w:styleId="133">
    <w:name w:val="正文文本缩进_24"/>
    <w:basedOn w:val="131"/>
    <w:qFormat/>
    <w:uiPriority w:val="0"/>
    <w:pPr>
      <w:spacing w:after="120"/>
      <w:ind w:left="420" w:leftChars="200"/>
    </w:pPr>
    <w:rPr>
      <w:kern w:val="0"/>
      <w:sz w:val="20"/>
    </w:rPr>
  </w:style>
  <w:style w:type="paragraph" w:customStyle="1" w:styleId="134">
    <w:name w:val="正文_25"/>
    <w:next w:val="1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正文首行缩进 2_24"/>
    <w:basedOn w:val="136"/>
    <w:unhideWhenUsed/>
    <w:qFormat/>
    <w:uiPriority w:val="99"/>
    <w:pPr>
      <w:autoSpaceDE w:val="0"/>
      <w:autoSpaceDN w:val="0"/>
      <w:adjustRightInd w:val="0"/>
      <w:ind w:firstLine="420"/>
      <w:jc w:val="left"/>
    </w:pPr>
    <w:rPr>
      <w:rFonts w:ascii="Calibri" w:hAnsi="Calibri"/>
    </w:rPr>
  </w:style>
  <w:style w:type="paragraph" w:customStyle="1" w:styleId="136">
    <w:name w:val="正文文本缩进_25"/>
    <w:basedOn w:val="134"/>
    <w:qFormat/>
    <w:uiPriority w:val="0"/>
    <w:pPr>
      <w:spacing w:after="120"/>
      <w:ind w:left="420" w:leftChars="200"/>
    </w:pPr>
    <w:rPr>
      <w:kern w:val="0"/>
      <w:sz w:val="20"/>
    </w:rPr>
  </w:style>
  <w:style w:type="paragraph" w:customStyle="1" w:styleId="137">
    <w:name w:val="正文_26"/>
    <w:next w:val="1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首行缩进 2_25"/>
    <w:basedOn w:val="139"/>
    <w:unhideWhenUsed/>
    <w:qFormat/>
    <w:uiPriority w:val="99"/>
    <w:pPr>
      <w:autoSpaceDE w:val="0"/>
      <w:autoSpaceDN w:val="0"/>
      <w:adjustRightInd w:val="0"/>
      <w:ind w:firstLine="420"/>
      <w:jc w:val="left"/>
    </w:pPr>
    <w:rPr>
      <w:rFonts w:ascii="Calibri" w:hAnsi="Calibri"/>
    </w:rPr>
  </w:style>
  <w:style w:type="paragraph" w:customStyle="1" w:styleId="139">
    <w:name w:val="正文文本缩进_26"/>
    <w:basedOn w:val="137"/>
    <w:qFormat/>
    <w:uiPriority w:val="0"/>
    <w:pPr>
      <w:spacing w:after="120"/>
      <w:ind w:left="420" w:leftChars="200"/>
    </w:pPr>
    <w:rPr>
      <w:kern w:val="0"/>
      <w:sz w:val="20"/>
    </w:rPr>
  </w:style>
  <w:style w:type="paragraph" w:customStyle="1" w:styleId="140">
    <w:name w:val="正文_27"/>
    <w:next w:val="1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正文首行缩进 2_26"/>
    <w:basedOn w:val="142"/>
    <w:unhideWhenUsed/>
    <w:qFormat/>
    <w:uiPriority w:val="99"/>
    <w:pPr>
      <w:autoSpaceDE w:val="0"/>
      <w:autoSpaceDN w:val="0"/>
      <w:adjustRightInd w:val="0"/>
      <w:ind w:firstLine="420"/>
      <w:jc w:val="left"/>
    </w:pPr>
    <w:rPr>
      <w:rFonts w:ascii="Calibri" w:hAnsi="Calibri"/>
    </w:rPr>
  </w:style>
  <w:style w:type="paragraph" w:customStyle="1" w:styleId="142">
    <w:name w:val="正文文本缩进_27"/>
    <w:basedOn w:val="140"/>
    <w:qFormat/>
    <w:uiPriority w:val="0"/>
    <w:pPr>
      <w:spacing w:after="120"/>
      <w:ind w:left="420" w:leftChars="200"/>
    </w:pPr>
    <w:rPr>
      <w:kern w:val="0"/>
      <w:sz w:val="20"/>
    </w:rPr>
  </w:style>
  <w:style w:type="paragraph" w:customStyle="1" w:styleId="143">
    <w:name w:val="正文_28"/>
    <w:next w:val="1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正文首行缩进 2_27"/>
    <w:basedOn w:val="145"/>
    <w:unhideWhenUsed/>
    <w:qFormat/>
    <w:uiPriority w:val="99"/>
    <w:pPr>
      <w:autoSpaceDE w:val="0"/>
      <w:autoSpaceDN w:val="0"/>
      <w:adjustRightInd w:val="0"/>
      <w:ind w:firstLine="420"/>
      <w:jc w:val="left"/>
    </w:pPr>
    <w:rPr>
      <w:rFonts w:ascii="Calibri" w:hAnsi="Calibri"/>
    </w:rPr>
  </w:style>
  <w:style w:type="paragraph" w:customStyle="1" w:styleId="145">
    <w:name w:val="正文文本缩进_28"/>
    <w:basedOn w:val="143"/>
    <w:qFormat/>
    <w:uiPriority w:val="0"/>
    <w:pPr>
      <w:spacing w:after="120"/>
      <w:ind w:left="420" w:leftChars="200"/>
    </w:pPr>
    <w:rPr>
      <w:kern w:val="0"/>
      <w:sz w:val="20"/>
    </w:rPr>
  </w:style>
  <w:style w:type="paragraph" w:customStyle="1" w:styleId="146">
    <w:name w:val="列出段落1_2"/>
    <w:basedOn w:val="113"/>
    <w:qFormat/>
    <w:uiPriority w:val="0"/>
    <w:pPr>
      <w:ind w:firstLine="420" w:firstLineChars="200"/>
    </w:pPr>
    <w:rPr>
      <w:rFonts w:ascii="Calibri" w:hAnsi="Calibri" w:cs="宋体"/>
      <w:sz w:val="24"/>
    </w:rPr>
  </w:style>
  <w:style w:type="paragraph" w:customStyle="1" w:styleId="147">
    <w:name w:val="正文_11_49"/>
    <w:qFormat/>
    <w:uiPriority w:val="0"/>
    <w:pPr>
      <w:widowControl w:val="0"/>
      <w:jc w:val="both"/>
    </w:pPr>
    <w:rPr>
      <w:rFonts w:ascii="Times New Roman" w:hAnsi="Times New Roman" w:eastAsia="宋体" w:cs="Times New Roman"/>
      <w:kern w:val="2"/>
      <w:sz w:val="24"/>
      <w:szCs w:val="22"/>
      <w:lang w:val="en-US" w:eastAsia="zh-CN" w:bidi="ar-SA"/>
    </w:rPr>
  </w:style>
  <w:style w:type="paragraph" w:customStyle="1" w:styleId="148">
    <w:name w:val="Null"/>
    <w:qFormat/>
    <w:uiPriority w:val="0"/>
    <w:pPr>
      <w:jc w:val="both"/>
      <w:textAlignment w:val="baseline"/>
    </w:pPr>
    <w:rPr>
      <w:rFonts w:ascii="Calibri" w:hAnsi="Calibri" w:eastAsia="宋体" w:cs="Times New Roman"/>
      <w:kern w:val="2"/>
      <w:sz w:val="21"/>
      <w:szCs w:val="24"/>
      <w:lang w:val="en-US" w:eastAsia="zh-CN" w:bidi="ar-SA"/>
    </w:rPr>
  </w:style>
  <w:style w:type="paragraph" w:customStyle="1" w:styleId="149">
    <w:name w:val="正文_11_0_0"/>
    <w:qFormat/>
    <w:uiPriority w:val="0"/>
    <w:pPr>
      <w:widowControl w:val="0"/>
      <w:jc w:val="both"/>
    </w:pPr>
    <w:rPr>
      <w:rFonts w:ascii="Calibri" w:hAnsi="Calibri" w:eastAsia="宋体" w:cs="Times New Roman"/>
      <w:kern w:val="2"/>
      <w:sz w:val="24"/>
      <w:szCs w:val="22"/>
      <w:lang w:val="en-US" w:eastAsia="zh-CN" w:bidi="ar-SA"/>
    </w:rPr>
  </w:style>
  <w:style w:type="character" w:customStyle="1" w:styleId="150">
    <w:name w:val="NormalCharacter"/>
    <w:semiHidden/>
    <w:qFormat/>
    <w:uiPriority w:val="0"/>
  </w:style>
  <w:style w:type="paragraph" w:customStyle="1" w:styleId="151">
    <w:name w:val="Normal_5_9_0"/>
    <w:qFormat/>
    <w:uiPriority w:val="0"/>
    <w:pPr>
      <w:widowControl w:val="0"/>
      <w:jc w:val="both"/>
    </w:pPr>
    <w:rPr>
      <w:rFonts w:ascii="Times New Roman" w:hAnsi="Times New Roman" w:eastAsia="宋体" w:cs="Times New Roman"/>
      <w:szCs w:val="24"/>
      <w:lang w:val="en-US" w:eastAsia="zh-CN" w:bidi="ar-SA"/>
    </w:rPr>
  </w:style>
  <w:style w:type="paragraph" w:customStyle="1" w:styleId="152">
    <w:name w:val="Normal_5_9_2"/>
    <w:qFormat/>
    <w:uiPriority w:val="0"/>
    <w:pPr>
      <w:widowControl w:val="0"/>
      <w:jc w:val="both"/>
    </w:pPr>
    <w:rPr>
      <w:rFonts w:ascii="Times New Roman" w:hAnsi="Times New Roman" w:eastAsia="宋体" w:cs="Times New Roman"/>
      <w:szCs w:val="24"/>
      <w:lang w:val="en-US" w:eastAsia="zh-CN" w:bidi="ar-SA"/>
    </w:rPr>
  </w:style>
  <w:style w:type="paragraph" w:customStyle="1" w:styleId="153">
    <w:name w:val="正文_1"/>
    <w:next w:val="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HTML 预先格式化"/>
    <w:qFormat/>
    <w:uiPriority w:val="0"/>
    <w:pPr>
      <w:widowControl w:val="0"/>
      <w:jc w:val="both"/>
    </w:pPr>
    <w:rPr>
      <w:rFonts w:ascii="Times New Roman" w:hAnsi="Courier New" w:eastAsia="宋体" w:cs="Times New Roman"/>
      <w:kern w:val="2"/>
      <w:sz w:val="21"/>
      <w:szCs w:val="24"/>
      <w:lang w:val="en-US" w:eastAsia="zh-CN" w:bidi="ar-SA"/>
    </w:rPr>
  </w:style>
  <w:style w:type="character" w:customStyle="1" w:styleId="155">
    <w:name w:val="font31"/>
    <w:basedOn w:val="31"/>
    <w:qFormat/>
    <w:uiPriority w:val="0"/>
    <w:rPr>
      <w:rFonts w:hint="eastAsia" w:ascii="仿宋" w:hAnsi="仿宋" w:eastAsia="仿宋" w:cs="仿宋"/>
      <w:color w:val="000000"/>
      <w:sz w:val="20"/>
      <w:szCs w:val="20"/>
      <w:u w:val="none"/>
      <w:vertAlign w:val="superscript"/>
    </w:rPr>
  </w:style>
  <w:style w:type="paragraph" w:customStyle="1" w:styleId="156">
    <w:name w:val="正文_65"/>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7">
    <w:name w:val="10"/>
    <w:qFormat/>
    <w:uiPriority w:val="0"/>
    <w:rPr>
      <w:rFonts w:hint="default" w:ascii="Times New Roman" w:hAnsi="Times New Roman" w:cs="Times New Roman"/>
    </w:rPr>
  </w:style>
  <w:style w:type="character" w:customStyle="1" w:styleId="158">
    <w:name w:val="列出段落 Char"/>
    <w:link w:val="71"/>
    <w:qFormat/>
    <w:uiPriority w:val="34"/>
    <w:rPr>
      <w:rFonts w:ascii="Calibri" w:hAnsi="Calibri" w:cs="Calibri"/>
      <w:kern w:val="2"/>
      <w:sz w:val="21"/>
      <w:szCs w:val="21"/>
    </w:rPr>
  </w:style>
  <w:style w:type="character" w:customStyle="1" w:styleId="159">
    <w:name w:val="标题 5 Char"/>
    <w:basedOn w:val="31"/>
    <w:link w:val="11"/>
    <w:qFormat/>
    <w:uiPriority w:val="9"/>
    <w:rPr>
      <w:rFonts w:ascii="宋体" w:hAnsiTheme="minorHAnsi" w:cstheme="minorBidi"/>
      <w:b/>
      <w:bCs/>
      <w:kern w:val="2"/>
      <w:sz w:val="24"/>
      <w:szCs w:val="28"/>
    </w:rPr>
  </w:style>
  <w:style w:type="character" w:customStyle="1" w:styleId="160">
    <w:name w:val="标题 6 Char"/>
    <w:basedOn w:val="31"/>
    <w:link w:val="12"/>
    <w:qFormat/>
    <w:uiPriority w:val="9"/>
    <w:rPr>
      <w:rFonts w:ascii="宋体" w:hAnsiTheme="majorHAnsi" w:cstheme="majorBidi"/>
      <w:b/>
      <w:bCs/>
      <w:kern w:val="2"/>
      <w:sz w:val="24"/>
      <w:szCs w:val="24"/>
    </w:rPr>
  </w:style>
  <w:style w:type="character" w:customStyle="1" w:styleId="161">
    <w:name w:val="标题 7 Char"/>
    <w:basedOn w:val="31"/>
    <w:link w:val="13"/>
    <w:qFormat/>
    <w:uiPriority w:val="9"/>
    <w:rPr>
      <w:rFonts w:ascii="宋体" w:hAnsiTheme="minorHAnsi" w:cstheme="minorBidi"/>
      <w:b/>
      <w:bCs/>
      <w:kern w:val="2"/>
      <w:sz w:val="24"/>
      <w:szCs w:val="24"/>
    </w:rPr>
  </w:style>
  <w:style w:type="character" w:customStyle="1" w:styleId="162">
    <w:name w:val="hik-正文 Char"/>
    <w:link w:val="163"/>
    <w:qFormat/>
    <w:uiPriority w:val="0"/>
    <w:rPr>
      <w:rFonts w:ascii="仿宋_GB2312" w:hAnsi="仿宋" w:eastAsia="仿宋_GB2312" w:cs="宋体"/>
      <w:snapToGrid w:val="0"/>
      <w:kern w:val="24"/>
      <w:sz w:val="24"/>
      <w:szCs w:val="24"/>
    </w:rPr>
  </w:style>
  <w:style w:type="paragraph" w:customStyle="1" w:styleId="163">
    <w:name w:val="hik-正文"/>
    <w:basedOn w:val="1"/>
    <w:link w:val="162"/>
    <w:qFormat/>
    <w:uiPriority w:val="0"/>
    <w:pPr>
      <w:spacing w:line="360" w:lineRule="auto"/>
      <w:ind w:right="210" w:firstLine="425"/>
      <w:jc w:val="left"/>
    </w:pPr>
    <w:rPr>
      <w:rFonts w:ascii="仿宋_GB2312" w:hAnsi="仿宋" w:eastAsia="仿宋_GB2312" w:cs="宋体"/>
      <w:snapToGrid w:val="0"/>
      <w:kern w:val="24"/>
      <w:sz w:val="24"/>
      <w:szCs w:val="24"/>
    </w:rPr>
  </w:style>
  <w:style w:type="paragraph" w:customStyle="1" w:styleId="164">
    <w:name w:val="Table Text"/>
    <w:basedOn w:val="1"/>
    <w:semiHidden/>
    <w:qFormat/>
    <w:uiPriority w:val="0"/>
    <w:rPr>
      <w:rFonts w:ascii="宋体" w:hAnsi="宋体" w:cs="宋体"/>
      <w:sz w:val="19"/>
      <w:szCs w:val="19"/>
    </w:rPr>
  </w:style>
  <w:style w:type="table" w:customStyle="1" w:styleId="165">
    <w:name w:val="Table Normal"/>
    <w:semiHidden/>
    <w:unhideWhenUsed/>
    <w:qFormat/>
    <w:uiPriority w:val="0"/>
    <w:tblPr>
      <w:tblCellMar>
        <w:top w:w="0" w:type="dxa"/>
        <w:left w:w="0" w:type="dxa"/>
        <w:bottom w:w="0" w:type="dxa"/>
        <w:right w:w="0" w:type="dxa"/>
      </w:tblCellMar>
    </w:tblPr>
  </w:style>
  <w:style w:type="paragraph" w:customStyle="1" w:styleId="166">
    <w:name w:val="正  文"/>
    <w:basedOn w:val="1"/>
    <w:next w:val="1"/>
    <w:qFormat/>
    <w:uiPriority w:val="0"/>
    <w:pPr>
      <w:spacing w:line="360" w:lineRule="auto"/>
      <w:ind w:firstLine="560" w:firstLineChars="200"/>
    </w:pPr>
    <w:rPr>
      <w:rFonts w:ascii="仿宋_GB2312" w:hAnsi="仿宋_GB2312" w:cs="仿宋_GB2312"/>
      <w:sz w:val="28"/>
      <w:szCs w:val="28"/>
    </w:rPr>
  </w:style>
  <w:style w:type="paragraph" w:customStyle="1" w:styleId="167">
    <w:name w:val="正文文本7"/>
    <w:basedOn w:val="1"/>
    <w:qFormat/>
    <w:uiPriority w:val="0"/>
    <w:pPr>
      <w:shd w:val="clear" w:color="auto" w:fill="FFFFFF"/>
      <w:spacing w:before="780" w:line="466" w:lineRule="exact"/>
      <w:ind w:hanging="960" w:firstLineChars="0"/>
      <w:jc w:val="right"/>
    </w:pPr>
    <w:rPr>
      <w:rFonts w:ascii="宋体" w:hAnsi="宋体" w:cs="宋体"/>
      <w:color w:val="000000"/>
      <w:kern w:val="0"/>
      <w:sz w:val="23"/>
      <w:szCs w:val="23"/>
      <w:lang w:val="zh-CN"/>
    </w:rPr>
  </w:style>
  <w:style w:type="paragraph" w:customStyle="1" w:styleId="168">
    <w:name w:val="表格"/>
    <w:basedOn w:val="1"/>
    <w:qFormat/>
    <w:uiPriority w:val="0"/>
    <w:pPr>
      <w:adjustRightInd w:val="0"/>
      <w:snapToGrid w:val="0"/>
      <w:ind w:firstLine="0" w:firstLineChars="0"/>
      <w:jc w:val="center"/>
    </w:pPr>
    <w:rPr>
      <w:color w:val="000000"/>
      <w:sz w:val="21"/>
      <w:szCs w:val="21"/>
    </w:rPr>
  </w:style>
  <w:style w:type="paragraph" w:customStyle="1" w:styleId="169">
    <w:name w:val="Normal_1"/>
    <w:qFormat/>
    <w:uiPriority w:val="0"/>
    <w:rPr>
      <w:rFonts w:ascii="Calibri" w:hAnsi="Calibri" w:eastAsia="宋体" w:cs="Times New Roman"/>
      <w:sz w:val="24"/>
      <w:szCs w:val="24"/>
    </w:rPr>
  </w:style>
  <w:style w:type="paragraph" w:customStyle="1" w:styleId="17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表"/>
    <w:basedOn w:val="1"/>
    <w:qFormat/>
    <w:uiPriority w:val="0"/>
    <w:pPr>
      <w:adjustRightInd w:val="0"/>
      <w:snapToGrid w:val="0"/>
      <w:spacing w:line="360" w:lineRule="auto"/>
      <w:jc w:val="center"/>
    </w:pPr>
    <w:rPr>
      <w:kern w:val="0"/>
      <w:szCs w:val="20"/>
    </w:rPr>
  </w:style>
  <w:style w:type="paragraph" w:customStyle="1" w:styleId="172">
    <w:name w:val="Heading1"/>
    <w:next w:val="1"/>
    <w:qFormat/>
    <w:uiPriority w:val="0"/>
    <w:pPr>
      <w:keepNext/>
      <w:widowControl w:val="0"/>
      <w:jc w:val="center"/>
      <w:textAlignment w:val="baseline"/>
    </w:pPr>
    <w:rPr>
      <w:rFonts w:ascii="Times New Roman" w:hAnsi="Times New Roman" w:eastAsia="宋体" w:cs="Times New Roman"/>
      <w:b/>
      <w:bCs/>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65</Pages>
  <Words>5727</Words>
  <Characters>6242</Characters>
  <Lines>254</Lines>
  <Paragraphs>71</Paragraphs>
  <TotalTime>2</TotalTime>
  <ScaleCrop>false</ScaleCrop>
  <LinksUpToDate>false</LinksUpToDate>
  <CharactersWithSpaces>6500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2023-07-03T22:17:00Z</dcterms:created>
  <dc:creator>hp</dc:creator>
  <cp:lastModifiedBy>红博</cp:lastModifiedBy>
  <cp:lastPrinted>2026-05-08T17:44:00Z</cp:lastPrinted>
  <dcterms:modified xsi:type="dcterms:W3CDTF">2026-06-26T09:19:19Z</dcterms:modified>
  <dc:title>芙蓉区政府采购</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5908C220452A40849A123C0ACD733F00_13</vt:lpwstr>
  </property>
  <property fmtid="{D5CDD505-2E9C-101B-9397-08002B2CF9AE}" pid="4" name="KSOTemplateDocerSaveRecord">
    <vt:lpwstr>eyJoZGlkIjoiZWUwZDA1MWQ5MTJjOWU2YjBhMzBmOGE3M2FiOTk4ZjAiLCJ1c2VySWQiOiIzNzEzMjIwMzMifQ==</vt:lpwstr>
  </property>
</Properties>
</file>