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A11A2">
      <w:pPr>
        <w:rPr>
          <w:rFonts w:ascii="仿宋_GB2312" w:eastAsia="仿宋_GB2312"/>
          <w:b/>
          <w:sz w:val="32"/>
          <w:szCs w:val="32"/>
        </w:rPr>
      </w:pPr>
    </w:p>
    <w:p w14:paraId="4B92D260">
      <w:pPr>
        <w:rPr>
          <w:rFonts w:ascii="宋体" w:hAnsi="宋体" w:cs="宋体"/>
          <w:sz w:val="32"/>
          <w:szCs w:val="32"/>
        </w:rPr>
      </w:pPr>
    </w:p>
    <w:p w14:paraId="607F277A">
      <w:pPr>
        <w:pStyle w:val="23"/>
        <w:jc w:val="center"/>
        <w:rPr>
          <w:rFonts w:hAnsi="宋体" w:cs="宋体"/>
          <w:b/>
          <w:bCs/>
          <w:sz w:val="84"/>
          <w:szCs w:val="84"/>
        </w:rPr>
      </w:pPr>
      <w:r>
        <w:rPr>
          <w:rFonts w:hint="eastAsia" w:hAnsi="宋体" w:cs="宋体"/>
          <w:b/>
          <w:sz w:val="84"/>
          <w:szCs w:val="84"/>
        </w:rPr>
        <w:t>政府采购</w:t>
      </w:r>
    </w:p>
    <w:p w14:paraId="1EDDAD83">
      <w:pPr>
        <w:pStyle w:val="23"/>
        <w:adjustRightInd w:val="0"/>
        <w:snapToGrid w:val="0"/>
        <w:spacing w:before="156" w:beforeLines="50" w:line="360" w:lineRule="auto"/>
        <w:ind w:left="846" w:leftChars="403" w:firstLine="1256" w:firstLineChars="149"/>
        <w:rPr>
          <w:rFonts w:hAnsi="宋体" w:cs="宋体"/>
          <w:b/>
          <w:sz w:val="32"/>
          <w:szCs w:val="32"/>
        </w:rPr>
      </w:pPr>
      <w:r>
        <w:rPr>
          <w:rFonts w:hint="eastAsia" w:hAnsi="宋体" w:cs="宋体"/>
          <w:b/>
          <w:sz w:val="84"/>
          <w:szCs w:val="84"/>
        </w:rPr>
        <w:t>竞争性磋商文件</w:t>
      </w:r>
    </w:p>
    <w:p w14:paraId="2D0698D7">
      <w:pPr>
        <w:pStyle w:val="23"/>
        <w:adjustRightInd w:val="0"/>
        <w:snapToGrid w:val="0"/>
        <w:spacing w:before="156" w:beforeLines="50" w:line="360" w:lineRule="auto"/>
        <w:ind w:left="846" w:leftChars="403" w:firstLine="157" w:firstLineChars="49"/>
        <w:rPr>
          <w:rFonts w:hAnsi="宋体" w:cs="宋体"/>
          <w:b/>
          <w:sz w:val="32"/>
          <w:szCs w:val="32"/>
        </w:rPr>
      </w:pPr>
    </w:p>
    <w:p w14:paraId="64C9AD9B">
      <w:pPr>
        <w:pStyle w:val="23"/>
        <w:adjustRightInd w:val="0"/>
        <w:snapToGrid w:val="0"/>
        <w:spacing w:before="156" w:beforeLines="50" w:line="360" w:lineRule="auto"/>
        <w:ind w:left="846" w:leftChars="403" w:firstLine="157" w:firstLineChars="49"/>
        <w:rPr>
          <w:rFonts w:hAnsi="宋体" w:cs="宋体"/>
          <w:b/>
          <w:sz w:val="32"/>
          <w:szCs w:val="32"/>
        </w:rPr>
      </w:pPr>
    </w:p>
    <w:p w14:paraId="4B52771B">
      <w:pPr>
        <w:pStyle w:val="23"/>
        <w:adjustRightInd w:val="0"/>
        <w:snapToGrid w:val="0"/>
        <w:spacing w:line="360" w:lineRule="auto"/>
        <w:ind w:left="3517" w:leftChars="608" w:hanging="2240" w:hangingChars="700"/>
        <w:rPr>
          <w:rFonts w:hint="default" w:hAnsi="宋体" w:eastAsia="宋体" w:cs="宋体"/>
          <w:sz w:val="32"/>
          <w:szCs w:val="32"/>
          <w:u w:val="single"/>
          <w:lang w:eastAsia="zh-CN"/>
        </w:rPr>
      </w:pPr>
      <w:r>
        <w:rPr>
          <w:rFonts w:hint="eastAsia" w:hAnsi="宋体" w:cs="宋体"/>
          <w:sz w:val="32"/>
          <w:szCs w:val="32"/>
        </w:rPr>
        <w:t>采购项目名称：</w:t>
      </w:r>
      <w:r>
        <w:rPr>
          <w:rFonts w:hint="eastAsia" w:ascii="宋体" w:hAnsi="宋体" w:eastAsia="宋体" w:cs="宋体"/>
          <w:color w:val="000000"/>
          <w:sz w:val="32"/>
          <w:szCs w:val="32"/>
          <w:lang w:val="en-US" w:eastAsia="zh-CN"/>
        </w:rPr>
        <w:t>智慧教学网络云平台服务</w:t>
      </w:r>
    </w:p>
    <w:p w14:paraId="232922B3">
      <w:pPr>
        <w:pStyle w:val="23"/>
        <w:adjustRightInd w:val="0"/>
        <w:snapToGrid w:val="0"/>
        <w:spacing w:line="360" w:lineRule="auto"/>
        <w:ind w:left="846" w:leftChars="403" w:firstLine="476" w:firstLineChars="149"/>
        <w:rPr>
          <w:rFonts w:hint="eastAsia" w:ascii="宋体" w:hAnsi="宋体" w:eastAsia="宋体" w:cs="宋体"/>
          <w:color w:val="000000"/>
          <w:sz w:val="32"/>
          <w:szCs w:val="32"/>
          <w:lang w:eastAsia="zh-CN"/>
        </w:rPr>
      </w:pPr>
      <w:r>
        <w:rPr>
          <w:rFonts w:hint="eastAsia" w:hAnsi="宋体" w:cs="宋体"/>
          <w:sz w:val="32"/>
          <w:szCs w:val="32"/>
        </w:rPr>
        <w:t>采   购   人：</w:t>
      </w:r>
      <w:r>
        <w:rPr>
          <w:rFonts w:hint="eastAsia" w:ascii="宋体" w:hAnsi="宋体" w:eastAsia="宋体" w:cs="宋体"/>
          <w:color w:val="000000"/>
          <w:sz w:val="32"/>
          <w:szCs w:val="32"/>
          <w:lang w:eastAsia="zh-CN"/>
        </w:rPr>
        <w:t>湖南工程职业技术学院</w:t>
      </w:r>
    </w:p>
    <w:p w14:paraId="7A2B3307">
      <w:pPr>
        <w:pStyle w:val="23"/>
        <w:adjustRightInd w:val="0"/>
        <w:snapToGrid w:val="0"/>
        <w:spacing w:line="360" w:lineRule="auto"/>
        <w:ind w:firstLine="1280" w:firstLineChars="400"/>
        <w:rPr>
          <w:rFonts w:hint="eastAsia" w:hAnsi="宋体" w:cs="宋体"/>
          <w:sz w:val="32"/>
          <w:szCs w:val="32"/>
          <w:lang w:val="en-US" w:eastAsia="zh-CN"/>
        </w:rPr>
      </w:pPr>
      <w:r>
        <w:rPr>
          <w:rFonts w:hint="eastAsia" w:hAnsi="宋体" w:cs="宋体"/>
          <w:sz w:val="32"/>
          <w:szCs w:val="32"/>
          <w:lang w:val="en-US" w:eastAsia="zh-CN"/>
        </w:rPr>
        <w:t>政府采购编号：(2026)430000000458-1</w:t>
      </w:r>
    </w:p>
    <w:p w14:paraId="4207A181">
      <w:pPr>
        <w:pStyle w:val="23"/>
        <w:adjustRightInd w:val="0"/>
        <w:snapToGrid w:val="0"/>
        <w:spacing w:line="360" w:lineRule="auto"/>
        <w:ind w:firstLine="1280" w:firstLineChars="400"/>
        <w:rPr>
          <w:rFonts w:hint="eastAsia" w:ascii="宋体" w:hAnsi="宋体" w:eastAsia="宋体" w:cs="宋体"/>
          <w:sz w:val="32"/>
          <w:szCs w:val="32"/>
          <w:lang w:val="en-US" w:eastAsia="zh-CN"/>
        </w:rPr>
      </w:pPr>
      <w:r>
        <w:rPr>
          <w:rFonts w:hint="eastAsia" w:ascii="宋体" w:hAnsi="宋体" w:eastAsia="宋体" w:cs="宋体"/>
          <w:sz w:val="32"/>
          <w:szCs w:val="32"/>
        </w:rPr>
        <w:t>采购代理编号</w:t>
      </w:r>
      <w:r>
        <w:rPr>
          <w:rFonts w:hint="eastAsia" w:ascii="宋体" w:hAnsi="宋体" w:eastAsia="宋体" w:cs="宋体"/>
          <w:sz w:val="32"/>
          <w:szCs w:val="32"/>
          <w:lang w:val="en-US" w:eastAsia="zh-CN"/>
        </w:rPr>
        <w:t>：HNCSZB-2026-CG-064</w:t>
      </w:r>
    </w:p>
    <w:p w14:paraId="23732788">
      <w:pPr>
        <w:pStyle w:val="23"/>
        <w:adjustRightInd w:val="0"/>
        <w:snapToGrid w:val="0"/>
        <w:spacing w:line="360" w:lineRule="auto"/>
        <w:ind w:firstLine="1280" w:firstLineChars="400"/>
        <w:rPr>
          <w:rFonts w:hAnsi="宋体" w:cs="宋体"/>
          <w:sz w:val="32"/>
          <w:szCs w:val="32"/>
          <w:u w:val="single"/>
        </w:rPr>
      </w:pPr>
      <w:r>
        <w:rPr>
          <w:rFonts w:hint="eastAsia" w:hAnsi="宋体" w:cs="宋体"/>
          <w:sz w:val="32"/>
          <w:szCs w:val="32"/>
        </w:rPr>
        <w:t>采购代理机构:</w:t>
      </w:r>
      <w:r>
        <w:rPr>
          <w:rFonts w:hint="eastAsia" w:ascii="宋体" w:hAnsi="宋体" w:eastAsia="宋体" w:cs="宋体"/>
          <w:color w:val="000000"/>
          <w:sz w:val="32"/>
          <w:szCs w:val="32"/>
          <w:lang w:eastAsia="zh-CN"/>
        </w:rPr>
        <w:t>湖南</w:t>
      </w:r>
      <w:r>
        <w:rPr>
          <w:rFonts w:hint="eastAsia" w:ascii="宋体" w:hAnsi="宋体" w:eastAsia="宋体" w:cs="宋体"/>
          <w:color w:val="000000"/>
          <w:sz w:val="32"/>
          <w:szCs w:val="32"/>
          <w:lang w:val="en-US" w:eastAsia="zh-CN"/>
        </w:rPr>
        <w:t>长顺项目管理</w:t>
      </w:r>
      <w:r>
        <w:rPr>
          <w:rFonts w:hint="eastAsia" w:ascii="宋体" w:hAnsi="宋体" w:eastAsia="宋体" w:cs="宋体"/>
          <w:color w:val="000000"/>
          <w:sz w:val="32"/>
          <w:szCs w:val="32"/>
          <w:lang w:eastAsia="zh-CN"/>
        </w:rPr>
        <w:t>有限</w:t>
      </w:r>
      <w:r>
        <w:rPr>
          <w:rFonts w:hint="eastAsia" w:hAnsi="宋体" w:cs="宋体"/>
          <w:sz w:val="32"/>
          <w:szCs w:val="32"/>
        </w:rPr>
        <w:t>公司</w:t>
      </w:r>
    </w:p>
    <w:p w14:paraId="0408AB60">
      <w:pPr>
        <w:pStyle w:val="23"/>
        <w:adjustRightInd w:val="0"/>
        <w:snapToGrid w:val="0"/>
        <w:spacing w:before="156" w:beforeLines="50" w:line="360" w:lineRule="auto"/>
        <w:ind w:firstLine="948" w:firstLineChars="295"/>
        <w:rPr>
          <w:rFonts w:hAnsi="宋体" w:cs="宋体"/>
          <w:b/>
          <w:sz w:val="32"/>
          <w:szCs w:val="32"/>
        </w:rPr>
      </w:pPr>
    </w:p>
    <w:p w14:paraId="1EC6B127">
      <w:pPr>
        <w:pStyle w:val="23"/>
        <w:adjustRightInd w:val="0"/>
        <w:snapToGrid w:val="0"/>
        <w:spacing w:before="156" w:beforeLines="50" w:line="360" w:lineRule="auto"/>
        <w:ind w:firstLine="948" w:firstLineChars="295"/>
        <w:rPr>
          <w:rFonts w:hAnsi="宋体" w:cs="宋体"/>
          <w:b/>
          <w:sz w:val="32"/>
          <w:szCs w:val="32"/>
        </w:rPr>
      </w:pPr>
    </w:p>
    <w:p w14:paraId="7499E344">
      <w:pPr>
        <w:pStyle w:val="23"/>
        <w:adjustRightInd w:val="0"/>
        <w:snapToGrid w:val="0"/>
        <w:spacing w:line="360" w:lineRule="auto"/>
        <w:rPr>
          <w:rFonts w:hAnsi="宋体" w:cs="宋体"/>
          <w:b/>
          <w:sz w:val="32"/>
        </w:rPr>
      </w:pPr>
    </w:p>
    <w:p w14:paraId="0F0EEBD2">
      <w:pPr>
        <w:pStyle w:val="23"/>
        <w:adjustRightInd w:val="0"/>
        <w:snapToGrid w:val="0"/>
        <w:spacing w:line="360" w:lineRule="auto"/>
        <w:rPr>
          <w:rFonts w:hAnsi="宋体" w:cs="宋体"/>
          <w:b/>
          <w:sz w:val="32"/>
        </w:rPr>
      </w:pPr>
    </w:p>
    <w:p w14:paraId="11033626">
      <w:pPr>
        <w:pStyle w:val="23"/>
        <w:adjustRightInd w:val="0"/>
        <w:snapToGrid w:val="0"/>
        <w:spacing w:line="360" w:lineRule="auto"/>
        <w:jc w:val="center"/>
        <w:rPr>
          <w:rFonts w:hAnsi="宋体" w:cs="宋体"/>
          <w:spacing w:val="160"/>
          <w:sz w:val="36"/>
          <w:szCs w:val="36"/>
        </w:rPr>
      </w:pPr>
      <w:r>
        <w:rPr>
          <w:rFonts w:hint="eastAsia" w:hAnsi="宋体" w:cs="宋体"/>
          <w:b/>
          <w:sz w:val="36"/>
          <w:szCs w:val="36"/>
        </w:rPr>
        <w:t>二〇二</w:t>
      </w:r>
      <w:r>
        <w:rPr>
          <w:rFonts w:hint="eastAsia" w:hAnsi="宋体" w:cs="宋体"/>
          <w:b/>
          <w:sz w:val="36"/>
          <w:szCs w:val="36"/>
          <w:lang w:val="en-US" w:eastAsia="zh-CN"/>
        </w:rPr>
        <w:t>六</w:t>
      </w:r>
      <w:r>
        <w:rPr>
          <w:rFonts w:hint="eastAsia" w:hAnsi="宋体" w:cs="宋体"/>
          <w:b/>
          <w:sz w:val="36"/>
          <w:szCs w:val="36"/>
        </w:rPr>
        <w:t>年</w:t>
      </w:r>
      <w:r>
        <w:rPr>
          <w:rFonts w:hint="eastAsia" w:hAnsi="宋体" w:cs="宋体"/>
          <w:b/>
          <w:sz w:val="36"/>
          <w:szCs w:val="36"/>
          <w:lang w:val="en-US" w:eastAsia="zh-CN"/>
        </w:rPr>
        <w:t>七</w:t>
      </w:r>
      <w:r>
        <w:rPr>
          <w:rFonts w:hint="eastAsia" w:hAnsi="宋体" w:cs="宋体"/>
          <w:b/>
          <w:sz w:val="36"/>
          <w:szCs w:val="36"/>
        </w:rPr>
        <w:t>月</w:t>
      </w:r>
    </w:p>
    <w:p w14:paraId="22EFD7D6">
      <w:pPr>
        <w:pStyle w:val="23"/>
        <w:adjustRightInd w:val="0"/>
        <w:snapToGrid w:val="0"/>
        <w:spacing w:line="360" w:lineRule="auto"/>
        <w:jc w:val="center"/>
        <w:rPr>
          <w:rFonts w:hint="eastAsia" w:hAnsi="宋体" w:cs="宋体"/>
          <w:spacing w:val="160"/>
          <w:sz w:val="36"/>
          <w:szCs w:val="36"/>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43D8BCC4">
      <w:pPr>
        <w:pStyle w:val="23"/>
        <w:adjustRightInd w:val="0"/>
        <w:snapToGrid w:val="0"/>
        <w:spacing w:line="360" w:lineRule="auto"/>
        <w:jc w:val="center"/>
        <w:rPr>
          <w:rFonts w:hAnsi="宋体" w:cs="宋体"/>
          <w:spacing w:val="160"/>
          <w:sz w:val="36"/>
          <w:szCs w:val="36"/>
        </w:rPr>
      </w:pPr>
      <w:r>
        <w:rPr>
          <w:rFonts w:hint="eastAsia" w:hAnsi="宋体" w:cs="宋体"/>
          <w:spacing w:val="160"/>
          <w:sz w:val="36"/>
          <w:szCs w:val="36"/>
        </w:rPr>
        <w:t>目录</w:t>
      </w:r>
    </w:p>
    <w:p w14:paraId="01DD3FB3">
      <w:pPr>
        <w:pStyle w:val="23"/>
        <w:adjustRightInd w:val="0"/>
        <w:snapToGrid w:val="0"/>
        <w:spacing w:line="360" w:lineRule="auto"/>
        <w:rPr>
          <w:rFonts w:hAnsi="宋体" w:cs="宋体"/>
          <w:b/>
          <w:sz w:val="24"/>
          <w:szCs w:val="24"/>
        </w:rPr>
      </w:pPr>
    </w:p>
    <w:p w14:paraId="6618F125">
      <w:pPr>
        <w:pStyle w:val="23"/>
        <w:adjustRightInd w:val="0"/>
        <w:snapToGrid w:val="0"/>
        <w:spacing w:line="360" w:lineRule="auto"/>
        <w:rPr>
          <w:rFonts w:hAnsi="宋体" w:cs="宋体"/>
          <w:b/>
          <w:sz w:val="24"/>
          <w:szCs w:val="24"/>
        </w:rPr>
      </w:pPr>
      <w:r>
        <w:rPr>
          <w:rFonts w:hint="eastAsia" w:hAnsi="宋体" w:cs="宋体"/>
          <w:b/>
          <w:sz w:val="24"/>
          <w:szCs w:val="24"/>
        </w:rPr>
        <w:t>第一章  磋商邀请</w:t>
      </w:r>
    </w:p>
    <w:p w14:paraId="2AE46A37">
      <w:pPr>
        <w:pStyle w:val="23"/>
        <w:adjustRightInd w:val="0"/>
        <w:snapToGrid w:val="0"/>
        <w:spacing w:line="360" w:lineRule="auto"/>
        <w:rPr>
          <w:rFonts w:hAnsi="宋体" w:cs="宋体"/>
          <w:b/>
          <w:sz w:val="24"/>
          <w:szCs w:val="24"/>
        </w:rPr>
      </w:pPr>
      <w:r>
        <w:rPr>
          <w:rFonts w:hint="eastAsia" w:hAnsi="宋体" w:cs="宋体"/>
          <w:b/>
          <w:sz w:val="24"/>
          <w:szCs w:val="24"/>
        </w:rPr>
        <w:t>第二章  磋商须知</w:t>
      </w:r>
    </w:p>
    <w:p w14:paraId="36B1DBDA">
      <w:pPr>
        <w:tabs>
          <w:tab w:val="left" w:pos="1440"/>
        </w:tabs>
        <w:adjustRightInd w:val="0"/>
        <w:snapToGrid w:val="0"/>
        <w:spacing w:line="360" w:lineRule="auto"/>
        <w:ind w:firstLine="420" w:firstLineChars="200"/>
        <w:rPr>
          <w:rFonts w:ascii="宋体" w:hAnsi="宋体" w:cs="宋体"/>
          <w:szCs w:val="21"/>
        </w:rPr>
      </w:pPr>
      <w:r>
        <w:rPr>
          <w:rFonts w:hint="eastAsia" w:ascii="宋体" w:hAnsi="宋体" w:cs="宋体"/>
          <w:szCs w:val="21"/>
        </w:rPr>
        <w:t>磋商须知前附表</w:t>
      </w:r>
    </w:p>
    <w:p w14:paraId="04E66B36">
      <w:pPr>
        <w:tabs>
          <w:tab w:val="left" w:pos="1440"/>
        </w:tabs>
        <w:adjustRightInd w:val="0"/>
        <w:snapToGrid w:val="0"/>
        <w:spacing w:line="360" w:lineRule="auto"/>
        <w:ind w:firstLine="420" w:firstLineChars="200"/>
        <w:rPr>
          <w:rFonts w:ascii="宋体" w:hAnsi="宋体" w:cs="宋体"/>
          <w:szCs w:val="21"/>
        </w:rPr>
      </w:pPr>
      <w:r>
        <w:rPr>
          <w:rFonts w:hint="eastAsia" w:ascii="宋体" w:hAnsi="宋体" w:cs="宋体"/>
          <w:szCs w:val="21"/>
        </w:rPr>
        <w:t>磋商须知正文</w:t>
      </w:r>
    </w:p>
    <w:p w14:paraId="6EAF26E6">
      <w:pPr>
        <w:tabs>
          <w:tab w:val="left" w:pos="1440"/>
        </w:tabs>
        <w:adjustRightInd w:val="0"/>
        <w:snapToGrid w:val="0"/>
        <w:spacing w:line="360" w:lineRule="auto"/>
        <w:ind w:firstLine="630" w:firstLineChars="300"/>
        <w:rPr>
          <w:rFonts w:ascii="宋体" w:hAnsi="宋体" w:cs="宋体"/>
          <w:szCs w:val="21"/>
        </w:rPr>
      </w:pPr>
      <w:r>
        <w:rPr>
          <w:rFonts w:hint="eastAsia" w:ascii="宋体" w:hAnsi="宋体" w:cs="宋体"/>
          <w:szCs w:val="21"/>
        </w:rPr>
        <w:t>一、说明</w:t>
      </w:r>
    </w:p>
    <w:p w14:paraId="1F9AA51D">
      <w:pPr>
        <w:tabs>
          <w:tab w:val="left" w:pos="1440"/>
        </w:tabs>
        <w:adjustRightInd w:val="0"/>
        <w:snapToGrid w:val="0"/>
        <w:spacing w:line="360" w:lineRule="auto"/>
        <w:ind w:firstLine="630" w:firstLineChars="300"/>
        <w:rPr>
          <w:rFonts w:ascii="宋体" w:hAnsi="宋体" w:cs="宋体"/>
          <w:szCs w:val="21"/>
        </w:rPr>
      </w:pPr>
      <w:r>
        <w:rPr>
          <w:rFonts w:hint="eastAsia" w:ascii="宋体" w:hAnsi="宋体" w:cs="宋体"/>
          <w:szCs w:val="21"/>
        </w:rPr>
        <w:t>二、</w:t>
      </w:r>
      <w:r>
        <w:rPr>
          <w:rFonts w:hint="eastAsia" w:ascii="宋体" w:hAnsi="宋体" w:cs="宋体"/>
          <w:bCs/>
          <w:szCs w:val="21"/>
        </w:rPr>
        <w:t>磋商</w:t>
      </w:r>
      <w:r>
        <w:rPr>
          <w:rFonts w:hint="eastAsia" w:ascii="宋体" w:hAnsi="宋体" w:cs="宋体"/>
          <w:szCs w:val="21"/>
        </w:rPr>
        <w:t>文件</w:t>
      </w:r>
    </w:p>
    <w:p w14:paraId="45E8E6D3">
      <w:pPr>
        <w:adjustRightInd w:val="0"/>
        <w:snapToGrid w:val="0"/>
        <w:spacing w:line="360" w:lineRule="auto"/>
        <w:ind w:firstLine="630" w:firstLineChars="300"/>
        <w:rPr>
          <w:rFonts w:ascii="宋体" w:hAnsi="宋体" w:cs="宋体"/>
          <w:szCs w:val="21"/>
        </w:rPr>
      </w:pPr>
      <w:r>
        <w:rPr>
          <w:rFonts w:hint="eastAsia" w:ascii="宋体" w:hAnsi="宋体" w:cs="宋体"/>
          <w:szCs w:val="21"/>
        </w:rPr>
        <w:t>三、响应文件</w:t>
      </w:r>
    </w:p>
    <w:p w14:paraId="786944C8">
      <w:pPr>
        <w:adjustRightInd w:val="0"/>
        <w:snapToGrid w:val="0"/>
        <w:spacing w:line="360" w:lineRule="auto"/>
        <w:ind w:firstLine="630" w:firstLineChars="300"/>
        <w:rPr>
          <w:rFonts w:ascii="宋体" w:hAnsi="宋体" w:cs="宋体"/>
          <w:szCs w:val="21"/>
        </w:rPr>
      </w:pPr>
      <w:r>
        <w:rPr>
          <w:rFonts w:hint="eastAsia" w:ascii="宋体" w:hAnsi="宋体" w:cs="宋体"/>
          <w:szCs w:val="21"/>
        </w:rPr>
        <w:t>四、响应文件的递交</w:t>
      </w:r>
    </w:p>
    <w:p w14:paraId="6311C811">
      <w:pPr>
        <w:adjustRightInd w:val="0"/>
        <w:snapToGrid w:val="0"/>
        <w:spacing w:line="360" w:lineRule="auto"/>
        <w:ind w:firstLine="630" w:firstLineChars="300"/>
        <w:rPr>
          <w:rFonts w:ascii="宋体" w:hAnsi="宋体" w:cs="宋体"/>
          <w:bCs/>
          <w:szCs w:val="21"/>
        </w:rPr>
      </w:pPr>
      <w:r>
        <w:rPr>
          <w:rFonts w:hint="eastAsia" w:ascii="宋体" w:hAnsi="宋体" w:cs="宋体"/>
          <w:bCs/>
          <w:szCs w:val="21"/>
        </w:rPr>
        <w:t>五、</w:t>
      </w:r>
      <w:r>
        <w:rPr>
          <w:rFonts w:hint="eastAsia" w:ascii="宋体" w:hAnsi="宋体" w:cs="宋体"/>
          <w:szCs w:val="21"/>
        </w:rPr>
        <w:t>响应文件</w:t>
      </w:r>
      <w:r>
        <w:rPr>
          <w:rFonts w:hint="eastAsia" w:ascii="宋体" w:hAnsi="宋体" w:cs="宋体"/>
          <w:bCs/>
          <w:szCs w:val="21"/>
        </w:rPr>
        <w:t>的</w:t>
      </w:r>
      <w:r>
        <w:rPr>
          <w:rFonts w:hint="eastAsia" w:ascii="宋体" w:hAnsi="宋体" w:cs="宋体"/>
          <w:szCs w:val="21"/>
        </w:rPr>
        <w:t>磋商与评审</w:t>
      </w:r>
    </w:p>
    <w:p w14:paraId="5A95680C">
      <w:pPr>
        <w:adjustRightInd w:val="0"/>
        <w:snapToGrid w:val="0"/>
        <w:spacing w:line="360" w:lineRule="auto"/>
        <w:ind w:firstLine="630" w:firstLineChars="300"/>
        <w:rPr>
          <w:rFonts w:ascii="宋体" w:hAnsi="宋体" w:cs="宋体"/>
          <w:szCs w:val="21"/>
        </w:rPr>
      </w:pPr>
      <w:r>
        <w:rPr>
          <w:rFonts w:hint="eastAsia" w:ascii="宋体" w:hAnsi="宋体" w:cs="宋体"/>
          <w:szCs w:val="21"/>
        </w:rPr>
        <w:t>六、成交结果信息公布与授予合同</w:t>
      </w:r>
    </w:p>
    <w:p w14:paraId="3803EF56">
      <w:pPr>
        <w:adjustRightInd w:val="0"/>
        <w:snapToGrid w:val="0"/>
        <w:spacing w:line="360" w:lineRule="auto"/>
        <w:ind w:firstLine="630" w:firstLineChars="300"/>
        <w:jc w:val="left"/>
        <w:rPr>
          <w:rFonts w:ascii="宋体" w:hAnsi="宋体" w:cs="宋体"/>
          <w:szCs w:val="21"/>
        </w:rPr>
      </w:pPr>
      <w:r>
        <w:rPr>
          <w:rFonts w:hint="eastAsia" w:ascii="宋体" w:hAnsi="宋体" w:cs="宋体"/>
          <w:szCs w:val="21"/>
        </w:rPr>
        <w:t>七、其它规定</w:t>
      </w:r>
    </w:p>
    <w:p w14:paraId="432BF134">
      <w:pPr>
        <w:adjustRightInd w:val="0"/>
        <w:snapToGrid w:val="0"/>
        <w:spacing w:line="360" w:lineRule="auto"/>
        <w:rPr>
          <w:rFonts w:ascii="宋体" w:hAnsi="宋体" w:cs="宋体"/>
          <w:b/>
          <w:sz w:val="24"/>
        </w:rPr>
      </w:pPr>
      <w:r>
        <w:rPr>
          <w:rFonts w:hint="eastAsia" w:ascii="宋体" w:hAnsi="宋体" w:cs="宋体"/>
          <w:b/>
          <w:sz w:val="24"/>
        </w:rPr>
        <w:t>第三章  合同格式</w:t>
      </w:r>
    </w:p>
    <w:p w14:paraId="37F668CA">
      <w:pPr>
        <w:adjustRightInd w:val="0"/>
        <w:snapToGrid w:val="0"/>
        <w:spacing w:line="360" w:lineRule="auto"/>
        <w:rPr>
          <w:rFonts w:ascii="宋体" w:hAnsi="宋体" w:cs="宋体"/>
          <w:b/>
          <w:sz w:val="24"/>
        </w:rPr>
      </w:pPr>
      <w:r>
        <w:rPr>
          <w:rFonts w:hint="eastAsia" w:ascii="宋体" w:hAnsi="宋体" w:cs="宋体"/>
          <w:b/>
          <w:sz w:val="24"/>
        </w:rPr>
        <w:t>第四章  采购需求</w:t>
      </w:r>
    </w:p>
    <w:p w14:paraId="2AA4F2BD">
      <w:pPr>
        <w:pStyle w:val="23"/>
        <w:adjustRightInd w:val="0"/>
        <w:snapToGrid w:val="0"/>
        <w:spacing w:line="360" w:lineRule="auto"/>
        <w:rPr>
          <w:rFonts w:hAnsi="宋体" w:cs="宋体"/>
          <w:b/>
          <w:sz w:val="24"/>
          <w:szCs w:val="24"/>
        </w:rPr>
      </w:pPr>
      <w:r>
        <w:rPr>
          <w:rFonts w:hint="eastAsia" w:hAnsi="宋体" w:cs="宋体"/>
          <w:b/>
          <w:sz w:val="24"/>
          <w:szCs w:val="24"/>
        </w:rPr>
        <w:t xml:space="preserve">第五章  </w:t>
      </w:r>
      <w:r>
        <w:rPr>
          <w:rFonts w:hint="eastAsia" w:hAnsi="宋体" w:cs="宋体"/>
          <w:b/>
          <w:sz w:val="24"/>
        </w:rPr>
        <w:t>响应文件组成</w:t>
      </w:r>
    </w:p>
    <w:p w14:paraId="29C7C10F">
      <w:pPr>
        <w:spacing w:line="360" w:lineRule="exact"/>
        <w:rPr>
          <w:rFonts w:ascii="宋体" w:hAnsi="宋体" w:cs="宋体"/>
          <w:b/>
          <w:sz w:val="24"/>
        </w:rPr>
      </w:pPr>
    </w:p>
    <w:p w14:paraId="71A9D2F5">
      <w:pPr>
        <w:spacing w:line="360" w:lineRule="exact"/>
        <w:rPr>
          <w:rFonts w:ascii="宋体" w:hAnsi="宋体" w:cs="宋体"/>
          <w:b/>
          <w:sz w:val="24"/>
        </w:rPr>
      </w:pPr>
    </w:p>
    <w:p w14:paraId="548191FD">
      <w:pPr>
        <w:spacing w:line="360" w:lineRule="exact"/>
        <w:rPr>
          <w:rFonts w:ascii="宋体" w:hAnsi="宋体" w:cs="宋体"/>
          <w:b/>
          <w:sz w:val="24"/>
        </w:rPr>
      </w:pPr>
    </w:p>
    <w:p w14:paraId="11ABE836">
      <w:pPr>
        <w:spacing w:line="360" w:lineRule="exact"/>
        <w:rPr>
          <w:rFonts w:ascii="宋体" w:hAnsi="宋体" w:cs="宋体"/>
          <w:b/>
          <w:sz w:val="24"/>
        </w:rPr>
      </w:pPr>
    </w:p>
    <w:p w14:paraId="7CA6AEAD">
      <w:pPr>
        <w:spacing w:line="360" w:lineRule="exact"/>
        <w:rPr>
          <w:rFonts w:ascii="宋体" w:hAnsi="宋体" w:cs="宋体"/>
          <w:b/>
          <w:sz w:val="24"/>
        </w:rPr>
      </w:pPr>
    </w:p>
    <w:p w14:paraId="29F68F60">
      <w:pPr>
        <w:jc w:val="center"/>
        <w:rPr>
          <w:rFonts w:ascii="宋体" w:hAnsi="宋体" w:cs="宋体"/>
          <w:sz w:val="32"/>
          <w:szCs w:val="32"/>
        </w:rPr>
      </w:pPr>
    </w:p>
    <w:p w14:paraId="3D021AC8">
      <w:pPr>
        <w:jc w:val="center"/>
        <w:rPr>
          <w:rFonts w:ascii="宋体" w:hAnsi="宋体" w:cs="宋体"/>
          <w:sz w:val="32"/>
          <w:szCs w:val="32"/>
        </w:rPr>
      </w:pPr>
    </w:p>
    <w:p w14:paraId="61C55163">
      <w:pPr>
        <w:jc w:val="center"/>
        <w:rPr>
          <w:rFonts w:ascii="宋体" w:hAnsi="宋体" w:cs="宋体"/>
          <w:sz w:val="32"/>
          <w:szCs w:val="32"/>
        </w:rPr>
      </w:pPr>
    </w:p>
    <w:p w14:paraId="1727DA67">
      <w:pPr>
        <w:jc w:val="center"/>
        <w:rPr>
          <w:rFonts w:ascii="宋体" w:hAnsi="宋体" w:cs="宋体"/>
          <w:sz w:val="32"/>
          <w:szCs w:val="32"/>
        </w:rPr>
      </w:pPr>
    </w:p>
    <w:p w14:paraId="1D5DA410">
      <w:pPr>
        <w:jc w:val="center"/>
        <w:rPr>
          <w:rFonts w:ascii="宋体" w:hAnsi="宋体" w:cs="宋体"/>
          <w:sz w:val="32"/>
          <w:szCs w:val="32"/>
        </w:rPr>
      </w:pPr>
    </w:p>
    <w:p w14:paraId="67A935FE">
      <w:pPr>
        <w:jc w:val="center"/>
        <w:rPr>
          <w:rFonts w:ascii="宋体" w:hAnsi="宋体" w:cs="宋体"/>
          <w:sz w:val="32"/>
          <w:szCs w:val="32"/>
        </w:rPr>
      </w:pPr>
    </w:p>
    <w:p w14:paraId="68728F89">
      <w:pPr>
        <w:rPr>
          <w:rFonts w:ascii="宋体" w:hAnsi="宋体" w:cs="宋体"/>
          <w:sz w:val="32"/>
          <w:szCs w:val="32"/>
        </w:rPr>
      </w:pPr>
    </w:p>
    <w:p w14:paraId="148B1039">
      <w:pPr>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第一章  磋商邀请</w:t>
      </w:r>
    </w:p>
    <w:p w14:paraId="0BEEE2FB">
      <w:pPr>
        <w:widowControl/>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lang w:val="en-US" w:eastAsia="zh-CN"/>
        </w:rPr>
        <w:t>智慧教学网络云平台服务</w:t>
      </w:r>
      <w:r>
        <w:rPr>
          <w:rFonts w:hint="eastAsia" w:ascii="宋体" w:hAnsi="宋体" w:cs="宋体"/>
          <w:color w:val="auto"/>
          <w:szCs w:val="21"/>
          <w:highlight w:val="none"/>
        </w:rPr>
        <w:t>进行竞争性磋商采购，现采用发布公告方式，邀请符合资格条件的供应商参与竞争性磋商采购活动。</w:t>
      </w:r>
    </w:p>
    <w:p w14:paraId="46B11CF2">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一、采购项目基本信息</w:t>
      </w:r>
    </w:p>
    <w:p w14:paraId="696C5CDB">
      <w:pPr>
        <w:spacing w:line="360" w:lineRule="auto"/>
        <w:ind w:firstLine="424" w:firstLineChars="202"/>
        <w:rPr>
          <w:rFonts w:hint="eastAsia" w:ascii="宋体" w:hAnsi="宋体" w:eastAsia="宋体" w:cs="宋体"/>
          <w:szCs w:val="21"/>
          <w:lang w:eastAsia="zh-CN"/>
        </w:rPr>
      </w:pPr>
      <w:r>
        <w:rPr>
          <w:rFonts w:hint="eastAsia" w:ascii="宋体" w:hAnsi="宋体" w:eastAsia="宋体" w:cs="宋体"/>
          <w:szCs w:val="21"/>
        </w:rPr>
        <w:t>1、采购项目名称：</w:t>
      </w:r>
      <w:r>
        <w:rPr>
          <w:rFonts w:hint="eastAsia" w:ascii="宋体" w:hAnsi="宋体" w:eastAsia="宋体" w:cs="宋体"/>
          <w:szCs w:val="21"/>
          <w:lang w:val="en-US" w:eastAsia="zh-CN"/>
        </w:rPr>
        <w:t>智慧教学网络云平台服务</w:t>
      </w:r>
    </w:p>
    <w:p w14:paraId="2558C287">
      <w:pPr>
        <w:spacing w:line="360" w:lineRule="auto"/>
        <w:ind w:firstLine="424" w:firstLineChars="202"/>
        <w:rPr>
          <w:rFonts w:hint="eastAsia" w:ascii="宋体" w:hAnsi="宋体" w:eastAsia="宋体" w:cs="宋体"/>
          <w:szCs w:val="21"/>
          <w:highlight w:val="none"/>
        </w:rPr>
      </w:pPr>
      <w:r>
        <w:rPr>
          <w:rFonts w:hint="eastAsia" w:ascii="宋体" w:hAnsi="宋体" w:eastAsia="宋体" w:cs="宋体"/>
          <w:szCs w:val="21"/>
        </w:rPr>
        <w:t>2、政府采购计划编号：(2026)430000000458-1</w:t>
      </w:r>
    </w:p>
    <w:p w14:paraId="6D055481">
      <w:pPr>
        <w:spacing w:line="360" w:lineRule="auto"/>
        <w:ind w:firstLine="424" w:firstLineChars="202"/>
        <w:rPr>
          <w:rFonts w:hint="eastAsia" w:ascii="宋体" w:hAnsi="宋体" w:eastAsia="宋体" w:cs="宋体"/>
          <w:szCs w:val="21"/>
          <w:lang w:eastAsia="zh-CN"/>
        </w:rPr>
      </w:pPr>
      <w:r>
        <w:rPr>
          <w:rFonts w:hint="eastAsia" w:ascii="宋体" w:hAnsi="宋体" w:eastAsia="宋体" w:cs="宋体"/>
          <w:szCs w:val="21"/>
        </w:rPr>
        <w:t>3、委托代理编号：HNCSZB-2026-CG-064</w:t>
      </w:r>
    </w:p>
    <w:p w14:paraId="542992C1">
      <w:pPr>
        <w:spacing w:line="360" w:lineRule="auto"/>
        <w:ind w:firstLine="424" w:firstLineChars="202"/>
        <w:rPr>
          <w:rFonts w:hint="eastAsia" w:ascii="宋体" w:hAnsi="宋体" w:eastAsia="宋体" w:cs="宋体"/>
          <w:szCs w:val="21"/>
        </w:rPr>
      </w:pPr>
      <w:r>
        <w:rPr>
          <w:rFonts w:hint="eastAsia" w:ascii="宋体" w:hAnsi="宋体" w:eastAsia="宋体" w:cs="宋体"/>
          <w:szCs w:val="21"/>
          <w:lang w:val="en-US" w:eastAsia="zh-CN"/>
        </w:rPr>
        <w:t>4、本项目对应的中小企业划分标准所属行业：</w:t>
      </w:r>
      <w:r>
        <w:rPr>
          <w:rFonts w:hint="eastAsia" w:ascii="宋体" w:hAnsi="宋体" w:eastAsia="宋体" w:cs="宋体"/>
          <w:szCs w:val="21"/>
          <w:lang w:val="zh-CN" w:eastAsia="zh-CN"/>
        </w:rPr>
        <w:t>软件和信息技术服务业</w:t>
      </w:r>
    </w:p>
    <w:p w14:paraId="3CC10B5E">
      <w:pPr>
        <w:spacing w:line="360" w:lineRule="auto"/>
        <w:ind w:firstLine="424" w:firstLineChars="202"/>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、采购项目预算：</w:t>
      </w:r>
      <w:r>
        <w:rPr>
          <w:rFonts w:hint="eastAsia" w:ascii="宋体" w:hAnsi="宋体" w:cs="宋体"/>
          <w:szCs w:val="21"/>
          <w:lang w:val="en-US" w:eastAsia="zh-CN"/>
        </w:rPr>
        <w:t>893333</w:t>
      </w:r>
      <w:r>
        <w:rPr>
          <w:rFonts w:hint="eastAsia" w:ascii="宋体" w:hAnsi="宋体" w:eastAsia="宋体" w:cs="宋体"/>
          <w:szCs w:val="21"/>
          <w:lang w:eastAsia="zh-CN"/>
        </w:rPr>
        <w:t>.00</w:t>
      </w:r>
      <w:r>
        <w:rPr>
          <w:rFonts w:hint="eastAsia" w:ascii="宋体" w:hAnsi="宋体" w:eastAsia="宋体" w:cs="宋体"/>
          <w:szCs w:val="21"/>
        </w:rPr>
        <w:t>元</w:t>
      </w:r>
    </w:p>
    <w:p w14:paraId="4A6F7178">
      <w:pPr>
        <w:spacing w:line="360" w:lineRule="auto"/>
        <w:ind w:firstLine="842" w:firstLineChars="401"/>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支持预付款，预付比例：</w:t>
      </w:r>
      <w:r>
        <w:rPr>
          <w:rFonts w:hint="eastAsia" w:ascii="宋体" w:hAnsi="宋体" w:eastAsia="宋体" w:cs="宋体"/>
          <w:szCs w:val="21"/>
          <w:lang w:val="en-US" w:eastAsia="zh-CN"/>
        </w:rPr>
        <w:t>40</w:t>
      </w:r>
      <w:r>
        <w:rPr>
          <w:rFonts w:hint="eastAsia" w:ascii="宋体" w:hAnsi="宋体" w:eastAsia="宋体" w:cs="宋体"/>
          <w:szCs w:val="21"/>
        </w:rPr>
        <w:t>%</w:t>
      </w:r>
    </w:p>
    <w:p w14:paraId="2B8F0EE0">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6、评标方法：□最低价法 ☑综合评分法</w:t>
      </w:r>
    </w:p>
    <w:p w14:paraId="3958FD89">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7、合同定价方式：</w:t>
      </w: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固定总价</w:t>
      </w:r>
      <w:r>
        <w:rPr>
          <w:rFonts w:hint="eastAsia" w:ascii="宋体" w:hAnsi="宋体" w:eastAsia="宋体" w:cs="宋体"/>
          <w:szCs w:val="21"/>
        </w:rPr>
        <w:t> </w:t>
      </w: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固定单价</w:t>
      </w:r>
      <w:r>
        <w:rPr>
          <w:rFonts w:hint="eastAsia" w:ascii="宋体" w:hAnsi="宋体" w:eastAsia="宋体" w:cs="宋体"/>
          <w:szCs w:val="21"/>
        </w:rPr>
        <w:t> </w:t>
      </w:r>
      <w:r>
        <w:rPr>
          <w:rFonts w:hint="eastAsia" w:ascii="宋体" w:hAnsi="宋体" w:eastAsia="宋体" w:cs="宋体"/>
          <w:color w:val="000000"/>
          <w:szCs w:val="21"/>
        </w:rPr>
        <w:t>□</w:t>
      </w:r>
      <w:r>
        <w:rPr>
          <w:rFonts w:hint="eastAsia" w:ascii="宋体" w:hAnsi="宋体" w:eastAsia="宋体" w:cs="宋体"/>
          <w:szCs w:val="21"/>
        </w:rPr>
        <w:t>成本补偿 </w:t>
      </w:r>
      <w:r>
        <w:rPr>
          <w:rFonts w:hint="eastAsia" w:ascii="宋体" w:hAnsi="宋体" w:eastAsia="宋体" w:cs="宋体"/>
          <w:color w:val="000000"/>
          <w:szCs w:val="21"/>
        </w:rPr>
        <w:t>□</w:t>
      </w:r>
      <w:r>
        <w:rPr>
          <w:rFonts w:hint="eastAsia" w:ascii="宋体" w:hAnsi="宋体" w:eastAsia="宋体" w:cs="宋体"/>
          <w:szCs w:val="21"/>
        </w:rPr>
        <w:t>绩效激励</w:t>
      </w:r>
    </w:p>
    <w:p w14:paraId="4F128DF2">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8、合同履行期限：</w:t>
      </w:r>
      <w:r>
        <w:rPr>
          <w:rFonts w:hint="eastAsia" w:ascii="宋体" w:hAnsi="宋体" w:eastAsia="宋体" w:cs="宋体"/>
          <w:szCs w:val="21"/>
          <w:highlight w:val="none"/>
        </w:rPr>
        <w:t>详见采购需求</w:t>
      </w:r>
    </w:p>
    <w:p w14:paraId="0CA7DF67">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9、本项目分阶段要求投标人提供以下保证：</w:t>
      </w:r>
    </w:p>
    <w:p w14:paraId="127E5CD4">
      <w:pPr>
        <w:spacing w:line="360" w:lineRule="auto"/>
        <w:ind w:firstLine="840" w:firstLineChars="400"/>
        <w:rPr>
          <w:rFonts w:hint="eastAsia"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投标保证金：采购项目预算的</w:t>
      </w:r>
      <w:r>
        <w:rPr>
          <w:rFonts w:hint="eastAsia" w:ascii="宋体" w:hAnsi="宋体" w:eastAsia="宋体" w:cs="宋体"/>
          <w:szCs w:val="21"/>
          <w:u w:val="single"/>
        </w:rPr>
        <w:t>  </w:t>
      </w:r>
      <w:r>
        <w:rPr>
          <w:rFonts w:hint="eastAsia" w:ascii="宋体" w:hAnsi="宋体" w:eastAsia="宋体" w:cs="宋体"/>
          <w:szCs w:val="21"/>
        </w:rPr>
        <w:t>%；</w:t>
      </w:r>
    </w:p>
    <w:p w14:paraId="160F9D8F">
      <w:pPr>
        <w:spacing w:line="360" w:lineRule="auto"/>
        <w:ind w:firstLine="840" w:firstLineChars="400"/>
        <w:rPr>
          <w:rFonts w:hint="eastAsia" w:ascii="宋体" w:hAnsi="宋体" w:eastAsia="宋体" w:cs="宋体"/>
          <w:szCs w:val="21"/>
          <w:highlight w:val="none"/>
        </w:rPr>
      </w:pPr>
      <w:r>
        <w:rPr>
          <w:rFonts w:hint="eastAsia" w:ascii="宋体" w:hAnsi="宋体" w:cs="宋体"/>
          <w:color w:val="000000"/>
          <w:szCs w:val="21"/>
          <w:highlight w:val="none"/>
          <w:lang w:eastAsia="zh-CN"/>
        </w:rPr>
        <w:t>☑</w:t>
      </w:r>
      <w:r>
        <w:rPr>
          <w:rFonts w:hint="eastAsia" w:ascii="宋体" w:hAnsi="宋体" w:eastAsia="宋体" w:cs="宋体"/>
          <w:szCs w:val="21"/>
          <w:highlight w:val="none"/>
        </w:rPr>
        <w:t>履约保证金：中标金额的</w:t>
      </w:r>
      <w:r>
        <w:rPr>
          <w:rFonts w:hint="eastAsia" w:ascii="宋体" w:hAnsi="宋体" w:eastAsia="宋体" w:cs="宋体"/>
          <w:szCs w:val="21"/>
          <w:highlight w:val="none"/>
          <w:u w:val="single"/>
        </w:rPr>
        <w:t> </w:t>
      </w:r>
      <w:r>
        <w:rPr>
          <w:rFonts w:hint="eastAsia" w:ascii="宋体" w:hAnsi="宋体" w:cs="宋体"/>
          <w:szCs w:val="21"/>
          <w:highlight w:val="none"/>
          <w:u w:val="single"/>
          <w:lang w:val="en-US" w:eastAsia="zh-CN"/>
        </w:rPr>
        <w:t>5</w:t>
      </w:r>
      <w:r>
        <w:rPr>
          <w:rFonts w:hint="eastAsia" w:ascii="宋体" w:hAnsi="宋体" w:eastAsia="宋体" w:cs="宋体"/>
          <w:szCs w:val="21"/>
          <w:highlight w:val="none"/>
          <w:u w:val="single"/>
        </w:rPr>
        <w:t> </w:t>
      </w:r>
      <w:r>
        <w:rPr>
          <w:rFonts w:hint="eastAsia" w:ascii="宋体" w:hAnsi="宋体" w:eastAsia="宋体" w:cs="宋体"/>
          <w:szCs w:val="21"/>
          <w:highlight w:val="none"/>
        </w:rPr>
        <w:t>%；</w:t>
      </w:r>
    </w:p>
    <w:p w14:paraId="1C617377">
      <w:pPr>
        <w:spacing w:line="360" w:lineRule="auto"/>
        <w:ind w:firstLine="840" w:firstLineChars="400"/>
        <w:rPr>
          <w:rFonts w:hint="eastAsia"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质量保证金：合同金额的%；</w:t>
      </w:r>
    </w:p>
    <w:p w14:paraId="4AD804A4">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二、采购人的采购需求</w:t>
      </w:r>
    </w:p>
    <w:tbl>
      <w:tblPr>
        <w:tblStyle w:val="44"/>
        <w:tblW w:w="573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1613"/>
        <w:gridCol w:w="1576"/>
        <w:gridCol w:w="2043"/>
        <w:gridCol w:w="966"/>
        <w:gridCol w:w="1607"/>
        <w:gridCol w:w="1142"/>
        <w:gridCol w:w="1277"/>
      </w:tblGrid>
      <w:tr w14:paraId="780E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tblCellSpacing w:w="0" w:type="dxa"/>
          <w:jc w:val="center"/>
        </w:trPr>
        <w:tc>
          <w:tcPr>
            <w:tcW w:w="438" w:type="pct"/>
            <w:shd w:val="clear" w:color="auto" w:fill="auto"/>
            <w:noWrap/>
            <w:vAlign w:val="center"/>
          </w:tcPr>
          <w:p w14:paraId="2FF1FDFC">
            <w:pPr>
              <w:spacing w:line="360" w:lineRule="auto"/>
              <w:jc w:val="center"/>
              <w:rPr>
                <w:rFonts w:hint="eastAsia" w:ascii="宋体" w:hAnsi="宋体" w:eastAsia="宋体" w:cs="宋体"/>
                <w:szCs w:val="21"/>
              </w:rPr>
            </w:pPr>
            <w:r>
              <w:rPr>
                <w:rFonts w:hint="eastAsia" w:ascii="宋体" w:hAnsi="宋体" w:eastAsia="宋体" w:cs="宋体"/>
                <w:szCs w:val="21"/>
              </w:rPr>
              <w:t>包名称</w:t>
            </w:r>
          </w:p>
        </w:tc>
        <w:tc>
          <w:tcPr>
            <w:tcW w:w="719" w:type="pct"/>
            <w:shd w:val="clear" w:color="auto" w:fill="auto"/>
            <w:noWrap/>
            <w:vAlign w:val="center"/>
          </w:tcPr>
          <w:p w14:paraId="588CF5A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最高限价（元）</w:t>
            </w:r>
          </w:p>
        </w:tc>
        <w:tc>
          <w:tcPr>
            <w:tcW w:w="702" w:type="pct"/>
            <w:shd w:val="clear" w:color="auto" w:fill="auto"/>
            <w:noWrap/>
            <w:vAlign w:val="center"/>
          </w:tcPr>
          <w:p w14:paraId="5FDF518C">
            <w:pPr>
              <w:spacing w:line="360" w:lineRule="auto"/>
              <w:jc w:val="center"/>
              <w:rPr>
                <w:rFonts w:hint="eastAsia" w:ascii="宋体" w:hAnsi="宋体" w:eastAsia="宋体" w:cs="宋体"/>
                <w:szCs w:val="21"/>
              </w:rPr>
            </w:pPr>
            <w:r>
              <w:rPr>
                <w:rFonts w:hint="eastAsia" w:ascii="宋体" w:hAnsi="宋体" w:eastAsia="宋体" w:cs="宋体"/>
                <w:szCs w:val="21"/>
              </w:rPr>
              <w:t>标的名称</w:t>
            </w:r>
          </w:p>
        </w:tc>
        <w:tc>
          <w:tcPr>
            <w:tcW w:w="911" w:type="pct"/>
            <w:shd w:val="clear" w:color="auto" w:fill="auto"/>
            <w:noWrap/>
            <w:vAlign w:val="center"/>
          </w:tcPr>
          <w:p w14:paraId="1A9213D7">
            <w:pPr>
              <w:spacing w:line="360" w:lineRule="auto"/>
              <w:jc w:val="center"/>
              <w:rPr>
                <w:rFonts w:hint="eastAsia" w:ascii="宋体" w:hAnsi="宋体" w:eastAsia="宋体" w:cs="宋体"/>
                <w:szCs w:val="21"/>
              </w:rPr>
            </w:pPr>
            <w:r>
              <w:rPr>
                <w:rFonts w:hint="eastAsia" w:ascii="宋体" w:hAnsi="宋体" w:eastAsia="宋体" w:cs="宋体"/>
                <w:szCs w:val="21"/>
              </w:rPr>
              <w:t>简要技术要求</w:t>
            </w:r>
          </w:p>
        </w:tc>
        <w:tc>
          <w:tcPr>
            <w:tcW w:w="431" w:type="pct"/>
            <w:shd w:val="clear" w:color="auto" w:fill="auto"/>
            <w:noWrap/>
            <w:vAlign w:val="center"/>
          </w:tcPr>
          <w:p w14:paraId="422B8616">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16" w:type="pct"/>
            <w:shd w:val="clear" w:color="auto" w:fill="auto"/>
            <w:noWrap/>
            <w:vAlign w:val="center"/>
          </w:tcPr>
          <w:p w14:paraId="639DB1F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标的预算（元）</w:t>
            </w:r>
          </w:p>
        </w:tc>
        <w:tc>
          <w:tcPr>
            <w:tcW w:w="509" w:type="pct"/>
            <w:shd w:val="clear" w:color="auto" w:fill="auto"/>
            <w:noWrap/>
            <w:vAlign w:val="center"/>
          </w:tcPr>
          <w:p w14:paraId="73B55336">
            <w:pPr>
              <w:spacing w:line="360" w:lineRule="auto"/>
              <w:jc w:val="center"/>
              <w:rPr>
                <w:rFonts w:hint="eastAsia" w:ascii="宋体" w:hAnsi="宋体" w:eastAsia="宋体" w:cs="宋体"/>
                <w:szCs w:val="21"/>
              </w:rPr>
            </w:pPr>
            <w:r>
              <w:rPr>
                <w:rFonts w:hint="eastAsia" w:ascii="宋体" w:hAnsi="宋体" w:eastAsia="宋体" w:cs="宋体"/>
                <w:szCs w:val="21"/>
              </w:rPr>
              <w:t>节能产品</w:t>
            </w:r>
          </w:p>
        </w:tc>
        <w:tc>
          <w:tcPr>
            <w:tcW w:w="569" w:type="pct"/>
            <w:shd w:val="clear" w:color="auto" w:fill="auto"/>
            <w:noWrap/>
            <w:vAlign w:val="center"/>
          </w:tcPr>
          <w:p w14:paraId="6F237EC5">
            <w:pPr>
              <w:spacing w:line="360" w:lineRule="auto"/>
              <w:jc w:val="center"/>
              <w:rPr>
                <w:rFonts w:hint="eastAsia" w:ascii="宋体" w:hAnsi="宋体" w:eastAsia="宋体" w:cs="宋体"/>
                <w:szCs w:val="21"/>
              </w:rPr>
            </w:pPr>
            <w:r>
              <w:rPr>
                <w:rFonts w:hint="eastAsia" w:ascii="宋体" w:hAnsi="宋体" w:eastAsia="宋体" w:cs="宋体"/>
                <w:szCs w:val="21"/>
              </w:rPr>
              <w:t>进口产品</w:t>
            </w:r>
          </w:p>
        </w:tc>
      </w:tr>
      <w:tr w14:paraId="6B95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tblCellSpacing w:w="0" w:type="dxa"/>
          <w:jc w:val="center"/>
        </w:trPr>
        <w:tc>
          <w:tcPr>
            <w:tcW w:w="438" w:type="pct"/>
            <w:shd w:val="clear" w:color="auto" w:fill="auto"/>
            <w:vAlign w:val="center"/>
          </w:tcPr>
          <w:p w14:paraId="64A83B6D">
            <w:pPr>
              <w:spacing w:line="360" w:lineRule="auto"/>
              <w:jc w:val="center"/>
              <w:rPr>
                <w:rFonts w:hint="eastAsia" w:ascii="宋体" w:hAnsi="宋体" w:eastAsia="宋体" w:cs="宋体"/>
                <w:szCs w:val="21"/>
              </w:rPr>
            </w:pPr>
            <w:r>
              <w:rPr>
                <w:rFonts w:hint="eastAsia" w:ascii="宋体" w:hAnsi="宋体" w:eastAsia="宋体" w:cs="宋体"/>
                <w:szCs w:val="21"/>
              </w:rPr>
              <w:t>包1</w:t>
            </w:r>
          </w:p>
        </w:tc>
        <w:tc>
          <w:tcPr>
            <w:tcW w:w="719" w:type="pct"/>
            <w:shd w:val="clear" w:color="auto" w:fill="auto"/>
            <w:vAlign w:val="center"/>
          </w:tcPr>
          <w:p w14:paraId="23FFEC42">
            <w:pPr>
              <w:spacing w:line="360" w:lineRule="auto"/>
              <w:jc w:val="center"/>
              <w:rPr>
                <w:rFonts w:hint="eastAsia" w:ascii="宋体" w:hAnsi="宋体" w:eastAsia="宋体" w:cs="宋体"/>
                <w:szCs w:val="21"/>
                <w:highlight w:val="none"/>
                <w:lang w:eastAsia="zh-CN"/>
              </w:rPr>
            </w:pPr>
            <w:r>
              <w:rPr>
                <w:rFonts w:hint="eastAsia" w:ascii="宋体" w:hAnsi="宋体" w:cs="宋体"/>
                <w:szCs w:val="21"/>
                <w:lang w:val="en-US" w:eastAsia="zh-CN"/>
              </w:rPr>
              <w:t>893333</w:t>
            </w:r>
            <w:r>
              <w:rPr>
                <w:rFonts w:hint="eastAsia" w:ascii="宋体" w:hAnsi="宋体" w:eastAsia="宋体" w:cs="宋体"/>
                <w:szCs w:val="21"/>
                <w:highlight w:val="none"/>
                <w:lang w:eastAsia="zh-CN"/>
              </w:rPr>
              <w:t>.00</w:t>
            </w:r>
          </w:p>
        </w:tc>
        <w:tc>
          <w:tcPr>
            <w:tcW w:w="702" w:type="pct"/>
            <w:shd w:val="clear" w:color="auto" w:fill="auto"/>
            <w:vAlign w:val="center"/>
          </w:tcPr>
          <w:p w14:paraId="04C9FC18">
            <w:pPr>
              <w:spacing w:line="36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智慧教学网络云平台服务</w:t>
            </w:r>
          </w:p>
        </w:tc>
        <w:tc>
          <w:tcPr>
            <w:tcW w:w="911" w:type="pct"/>
            <w:shd w:val="clear" w:color="auto" w:fill="auto"/>
            <w:vAlign w:val="center"/>
          </w:tcPr>
          <w:p w14:paraId="5A3C1DD1">
            <w:pPr>
              <w:spacing w:line="360" w:lineRule="auto"/>
              <w:jc w:val="center"/>
              <w:rPr>
                <w:rFonts w:hint="eastAsia" w:ascii="宋体" w:hAnsi="宋体" w:eastAsia="宋体" w:cs="宋体"/>
                <w:szCs w:val="21"/>
              </w:rPr>
            </w:pPr>
            <w:r>
              <w:rPr>
                <w:rFonts w:hint="eastAsia" w:ascii="宋体" w:hAnsi="宋体" w:eastAsia="宋体" w:cs="宋体"/>
                <w:szCs w:val="21"/>
              </w:rPr>
              <w:t>详见磋商文件第四章“采购需求”</w:t>
            </w:r>
          </w:p>
        </w:tc>
        <w:tc>
          <w:tcPr>
            <w:tcW w:w="431" w:type="pct"/>
            <w:shd w:val="clear" w:color="auto" w:fill="auto"/>
            <w:vAlign w:val="center"/>
          </w:tcPr>
          <w:p w14:paraId="1851320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项</w:t>
            </w:r>
          </w:p>
        </w:tc>
        <w:tc>
          <w:tcPr>
            <w:tcW w:w="716" w:type="pct"/>
            <w:shd w:val="clear" w:color="auto" w:fill="auto"/>
            <w:vAlign w:val="center"/>
          </w:tcPr>
          <w:p w14:paraId="7565820E">
            <w:pPr>
              <w:spacing w:line="360" w:lineRule="auto"/>
              <w:jc w:val="center"/>
              <w:rPr>
                <w:rFonts w:hint="eastAsia" w:ascii="宋体" w:hAnsi="宋体" w:eastAsia="宋体" w:cs="宋体"/>
                <w:szCs w:val="21"/>
                <w:highlight w:val="none"/>
                <w:lang w:eastAsia="zh-CN"/>
              </w:rPr>
            </w:pPr>
            <w:r>
              <w:rPr>
                <w:rFonts w:hint="eastAsia" w:ascii="宋体" w:hAnsi="宋体" w:cs="宋体"/>
                <w:szCs w:val="21"/>
                <w:lang w:val="en-US" w:eastAsia="zh-CN"/>
              </w:rPr>
              <w:t>893333</w:t>
            </w:r>
            <w:r>
              <w:rPr>
                <w:rFonts w:hint="eastAsia" w:ascii="宋体" w:hAnsi="宋体" w:eastAsia="宋体" w:cs="宋体"/>
                <w:szCs w:val="21"/>
                <w:highlight w:val="none"/>
                <w:lang w:eastAsia="zh-CN"/>
              </w:rPr>
              <w:t>.00</w:t>
            </w:r>
          </w:p>
        </w:tc>
        <w:tc>
          <w:tcPr>
            <w:tcW w:w="509" w:type="pct"/>
            <w:shd w:val="clear" w:color="auto" w:fill="auto"/>
            <w:vAlign w:val="center"/>
          </w:tcPr>
          <w:p w14:paraId="6FE7C9C5">
            <w:pPr>
              <w:spacing w:line="360" w:lineRule="auto"/>
              <w:jc w:val="center"/>
              <w:rPr>
                <w:rFonts w:hint="eastAsia" w:ascii="宋体" w:hAnsi="宋体" w:eastAsia="宋体" w:cs="宋体"/>
                <w:szCs w:val="21"/>
              </w:rPr>
            </w:pPr>
            <w:r>
              <w:rPr>
                <w:rFonts w:hint="eastAsia" w:ascii="宋体" w:hAnsi="宋体" w:eastAsia="宋体" w:cs="宋体"/>
                <w:color w:val="000000"/>
                <w:szCs w:val="21"/>
              </w:rPr>
              <w:t>□</w:t>
            </w:r>
          </w:p>
        </w:tc>
        <w:tc>
          <w:tcPr>
            <w:tcW w:w="569" w:type="pct"/>
            <w:shd w:val="clear" w:color="auto" w:fill="auto"/>
            <w:vAlign w:val="center"/>
          </w:tcPr>
          <w:p w14:paraId="011287B6">
            <w:pPr>
              <w:spacing w:line="360" w:lineRule="auto"/>
              <w:jc w:val="center"/>
              <w:rPr>
                <w:rFonts w:hint="eastAsia" w:ascii="宋体" w:hAnsi="宋体" w:eastAsia="宋体" w:cs="宋体"/>
                <w:szCs w:val="21"/>
              </w:rPr>
            </w:pPr>
            <w:r>
              <w:rPr>
                <w:rFonts w:hint="eastAsia" w:ascii="宋体" w:hAnsi="宋体" w:eastAsia="宋体" w:cs="宋体"/>
                <w:color w:val="000000"/>
                <w:szCs w:val="21"/>
              </w:rPr>
              <w:t>□</w:t>
            </w:r>
          </w:p>
        </w:tc>
      </w:tr>
    </w:tbl>
    <w:p w14:paraId="4FB34E2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w:t>
      </w:r>
    </w:p>
    <w:p w14:paraId="13E5D11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1.节能产品实行强制采购的，需提供国家认证机构出具的、处于有效期内的节能产品证书。</w:t>
      </w:r>
    </w:p>
    <w:p w14:paraId="6ACE662A">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2.同意购买进口产品的，不限制满足采购需求的国内产品参与投标。</w:t>
      </w:r>
    </w:p>
    <w:p w14:paraId="7AA40115">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三、采购项目需落实的政府采购政策</w:t>
      </w:r>
    </w:p>
    <w:p w14:paraId="24EFD81C">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1、优先采购：节能产品、环境标志产品享受加分或价格折扣。</w:t>
      </w:r>
    </w:p>
    <w:p w14:paraId="0F76ED1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2、支持中小企业：中小企业享受预留采购份额或价格折扣。</w:t>
      </w:r>
    </w:p>
    <w:p w14:paraId="556CAC90">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四、投标人的资格要求</w:t>
      </w:r>
    </w:p>
    <w:p w14:paraId="0754C1B4">
      <w:pPr>
        <w:widowControl w:val="0"/>
        <w:adjustRightInd w:val="0"/>
        <w:snapToGrid w:val="0"/>
        <w:spacing w:after="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Cs w:val="21"/>
        </w:rPr>
        <w:t>1、投标人的基本资格条件：投标人必须是在中华人民共和国境内注册登记的法人、其他组织或者自然人，且应当符合《政府采购法》第二十二条第一款的规定。</w:t>
      </w:r>
    </w:p>
    <w:p w14:paraId="25B89B41">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2、落实政府采购政策需满足的资格要求：</w:t>
      </w:r>
    </w:p>
    <w:p w14:paraId="59D94B04">
      <w:pPr>
        <w:spacing w:line="360" w:lineRule="auto"/>
        <w:ind w:firstLine="840" w:firstLineChars="400"/>
        <w:rPr>
          <w:rFonts w:hint="eastAsia" w:ascii="宋体" w:hAnsi="宋体" w:eastAsia="宋体" w:cs="宋体"/>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专门面向： </w:t>
      </w: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中小企业 </w:t>
      </w:r>
      <w:r>
        <w:rPr>
          <w:rFonts w:hint="eastAsia" w:ascii="宋体" w:hAnsi="宋体" w:eastAsia="宋体" w:cs="宋体"/>
          <w:color w:val="000000"/>
          <w:szCs w:val="21"/>
          <w:highlight w:val="none"/>
        </w:rPr>
        <w:t>□</w:t>
      </w:r>
      <w:r>
        <w:rPr>
          <w:rFonts w:hint="eastAsia" w:ascii="宋体" w:hAnsi="宋体" w:eastAsia="宋体" w:cs="宋体"/>
          <w:szCs w:val="21"/>
          <w:highlight w:val="none"/>
        </w:rPr>
        <w:t>小微企业 </w:t>
      </w:r>
      <w:r>
        <w:rPr>
          <w:rFonts w:hint="eastAsia" w:ascii="宋体" w:hAnsi="宋体" w:eastAsia="宋体" w:cs="宋体"/>
          <w:color w:val="000000"/>
          <w:szCs w:val="21"/>
          <w:highlight w:val="none"/>
        </w:rPr>
        <w:t>□</w:t>
      </w:r>
      <w:r>
        <w:rPr>
          <w:rFonts w:hint="eastAsia" w:ascii="宋体" w:hAnsi="宋体" w:eastAsia="宋体" w:cs="宋体"/>
          <w:szCs w:val="21"/>
          <w:highlight w:val="none"/>
        </w:rPr>
        <w:t>监狱企业 </w:t>
      </w: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福利性单位</w:t>
      </w:r>
    </w:p>
    <w:p w14:paraId="1F61F28C">
      <w:pPr>
        <w:spacing w:line="360" w:lineRule="auto"/>
        <w:ind w:firstLine="840" w:firstLineChars="400"/>
        <w:rPr>
          <w:rFonts w:hint="eastAsia" w:ascii="宋体" w:hAnsi="宋体" w:eastAsia="宋体" w:cs="宋体"/>
          <w:szCs w:val="21"/>
        </w:rPr>
      </w:pPr>
      <w:r>
        <w:rPr>
          <w:rFonts w:hint="eastAsia" w:ascii="宋体" w:hAnsi="宋体" w:eastAsia="宋体" w:cs="宋体"/>
          <w:color w:val="000000"/>
          <w:szCs w:val="21"/>
        </w:rPr>
        <w:t>□</w:t>
      </w:r>
      <w:r>
        <w:rPr>
          <w:rFonts w:hint="eastAsia" w:ascii="宋体" w:hAnsi="宋体" w:eastAsia="宋体" w:cs="宋体"/>
          <w:szCs w:val="21"/>
        </w:rPr>
        <w:t>强制分包：大型企业应将采购份额的</w:t>
      </w:r>
      <w:r>
        <w:rPr>
          <w:rFonts w:hint="eastAsia" w:ascii="宋体" w:hAnsi="宋体" w:eastAsia="宋体" w:cs="宋体"/>
          <w:szCs w:val="21"/>
          <w:u w:val="single"/>
        </w:rPr>
        <w:t>  </w:t>
      </w:r>
      <w:r>
        <w:rPr>
          <w:rFonts w:hint="eastAsia" w:ascii="宋体" w:hAnsi="宋体" w:eastAsia="宋体" w:cs="宋体"/>
          <w:szCs w:val="21"/>
        </w:rPr>
        <w:t>%分包给中小企业。</w:t>
      </w:r>
    </w:p>
    <w:p w14:paraId="666E05E3">
      <w:pPr>
        <w:spacing w:line="360" w:lineRule="auto"/>
        <w:ind w:firstLine="424" w:firstLineChars="202"/>
        <w:rPr>
          <w:rFonts w:hint="eastAsia" w:ascii="宋体" w:hAnsi="宋体" w:eastAsia="宋体" w:cs="宋体"/>
          <w:szCs w:val="21"/>
          <w:lang w:val="en-US" w:eastAsia="zh-CN"/>
        </w:rPr>
      </w:pPr>
      <w:r>
        <w:rPr>
          <w:rFonts w:hint="eastAsia" w:ascii="宋体" w:hAnsi="宋体" w:eastAsia="宋体" w:cs="宋体"/>
          <w:szCs w:val="21"/>
        </w:rPr>
        <w:t>3、供应商特定资格条件：</w:t>
      </w:r>
      <w:r>
        <w:rPr>
          <w:rFonts w:hint="eastAsia" w:ascii="宋体" w:hAnsi="宋体" w:eastAsia="宋体" w:cs="宋体"/>
          <w:color w:val="FF0000"/>
          <w:szCs w:val="21"/>
          <w:highlight w:val="none"/>
          <w:lang w:val="en-US" w:eastAsia="zh-CN"/>
        </w:rPr>
        <w:t>无</w:t>
      </w:r>
    </w:p>
    <w:p w14:paraId="24BA1D2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4、单位负责人为同一人或者存在直接控股、管理关系的不同投标人，不得参加同一合同项下的政府采购活动。</w:t>
      </w:r>
    </w:p>
    <w:p w14:paraId="1C216C61">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5、为本采购项目提供整体设计、规范编制或者项目管理、监理、检测等服务的，不得再参加此项目的其他采购活动。</w:t>
      </w:r>
    </w:p>
    <w:p w14:paraId="098EAF06">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6、列入失信被执行人、重大税收违法失信主体名单、政府采购严重违法失信行为记录名单的，拒绝其参与政府采购活动。</w:t>
      </w:r>
    </w:p>
    <w:p w14:paraId="37B7B88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7、联合体投标。本次招标</w:t>
      </w:r>
      <w:r>
        <w:rPr>
          <w:rFonts w:hint="eastAsia" w:ascii="宋体" w:hAnsi="宋体" w:eastAsia="宋体" w:cs="宋体"/>
          <w:b/>
          <w:bCs/>
          <w:szCs w:val="21"/>
          <w:highlight w:val="none"/>
          <w:u w:val="single"/>
        </w:rPr>
        <w:t>不接受</w:t>
      </w:r>
      <w:r>
        <w:rPr>
          <w:rFonts w:hint="eastAsia" w:ascii="宋体" w:hAnsi="宋体" w:eastAsia="宋体" w:cs="宋体"/>
          <w:szCs w:val="21"/>
        </w:rPr>
        <w:t>联合体投标。</w:t>
      </w:r>
    </w:p>
    <w:p w14:paraId="5886712D">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五、获取招标文件的时间、期限、地点及方式</w:t>
      </w:r>
    </w:p>
    <w:p w14:paraId="7D0577AF">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有意参加投标者</w:t>
      </w:r>
      <w:r>
        <w:rPr>
          <w:rFonts w:hint="eastAsia" w:ascii="宋体" w:hAnsi="宋体" w:eastAsia="宋体" w:cs="宋体"/>
          <w:szCs w:val="21"/>
          <w:highlight w:val="none"/>
        </w:rPr>
        <w:t>，于</w:t>
      </w:r>
      <w:r>
        <w:rPr>
          <w:rFonts w:hint="eastAsia" w:ascii="宋体" w:hAnsi="宋体" w:eastAsia="宋体" w:cs="宋体"/>
          <w:color w:val="0000FF"/>
          <w:szCs w:val="21"/>
          <w:highlight w:val="none"/>
        </w:rPr>
        <w:t>202</w:t>
      </w:r>
      <w:r>
        <w:rPr>
          <w:rFonts w:hint="eastAsia" w:ascii="宋体" w:hAnsi="宋体" w:eastAsia="宋体" w:cs="宋体"/>
          <w:color w:val="0000FF"/>
          <w:szCs w:val="21"/>
          <w:highlight w:val="none"/>
          <w:lang w:val="en-US" w:eastAsia="zh-CN"/>
        </w:rPr>
        <w:t>6</w:t>
      </w:r>
      <w:r>
        <w:rPr>
          <w:rFonts w:hint="eastAsia" w:ascii="宋体" w:hAnsi="宋体" w:eastAsia="宋体" w:cs="宋体"/>
          <w:color w:val="0000FF"/>
          <w:szCs w:val="21"/>
          <w:highlight w:val="none"/>
        </w:rPr>
        <w:t>年</w:t>
      </w:r>
      <w:r>
        <w:rPr>
          <w:rFonts w:hint="eastAsia" w:ascii="宋体" w:hAnsi="宋体" w:eastAsia="宋体" w:cs="宋体"/>
          <w:color w:val="0000FF"/>
          <w:szCs w:val="21"/>
          <w:highlight w:val="none"/>
          <w:lang w:val="en-US" w:eastAsia="zh-CN"/>
        </w:rPr>
        <w:t>7</w:t>
      </w:r>
      <w:r>
        <w:rPr>
          <w:rFonts w:hint="eastAsia" w:ascii="宋体" w:hAnsi="宋体" w:eastAsia="宋体" w:cs="宋体"/>
          <w:color w:val="0000FF"/>
          <w:szCs w:val="21"/>
          <w:highlight w:val="none"/>
        </w:rPr>
        <w:t>月</w:t>
      </w:r>
      <w:r>
        <w:rPr>
          <w:rFonts w:hint="eastAsia" w:ascii="宋体" w:hAnsi="宋体" w:cs="宋体"/>
          <w:color w:val="0000FF"/>
          <w:szCs w:val="21"/>
          <w:highlight w:val="none"/>
          <w:lang w:val="en-US" w:eastAsia="zh-CN"/>
        </w:rPr>
        <w:t>22</w:t>
      </w:r>
      <w:r>
        <w:rPr>
          <w:rFonts w:hint="eastAsia" w:ascii="宋体" w:hAnsi="宋体" w:eastAsia="宋体" w:cs="宋体"/>
          <w:color w:val="0000FF"/>
          <w:szCs w:val="21"/>
          <w:highlight w:val="none"/>
        </w:rPr>
        <w:t xml:space="preserve">日 </w:t>
      </w:r>
      <w:r>
        <w:rPr>
          <w:rFonts w:hint="eastAsia" w:ascii="宋体" w:hAnsi="宋体" w:eastAsia="宋体" w:cs="宋体"/>
          <w:szCs w:val="21"/>
          <w:highlight w:val="none"/>
        </w:rPr>
        <w:t>至</w:t>
      </w:r>
      <w:r>
        <w:rPr>
          <w:rFonts w:hint="eastAsia" w:ascii="宋体" w:hAnsi="宋体" w:eastAsia="宋体" w:cs="宋体"/>
          <w:color w:val="0000FF"/>
          <w:szCs w:val="21"/>
          <w:highlight w:val="none"/>
        </w:rPr>
        <w:t>2025年</w:t>
      </w:r>
      <w:r>
        <w:rPr>
          <w:rFonts w:hint="eastAsia" w:ascii="宋体" w:hAnsi="宋体" w:eastAsia="宋体" w:cs="宋体"/>
          <w:color w:val="0000FF"/>
          <w:szCs w:val="21"/>
          <w:highlight w:val="none"/>
          <w:lang w:val="en-US" w:eastAsia="zh-CN"/>
        </w:rPr>
        <w:t>7</w:t>
      </w:r>
      <w:r>
        <w:rPr>
          <w:rFonts w:hint="eastAsia" w:ascii="宋体" w:hAnsi="宋体" w:eastAsia="宋体" w:cs="宋体"/>
          <w:color w:val="0000FF"/>
          <w:szCs w:val="21"/>
          <w:highlight w:val="none"/>
        </w:rPr>
        <w:t>月</w:t>
      </w:r>
      <w:r>
        <w:rPr>
          <w:rFonts w:hint="eastAsia" w:ascii="宋体" w:hAnsi="宋体" w:cs="宋体"/>
          <w:color w:val="0000FF"/>
          <w:szCs w:val="21"/>
          <w:highlight w:val="none"/>
          <w:lang w:val="en-US" w:eastAsia="zh-CN"/>
        </w:rPr>
        <w:t>29</w:t>
      </w:r>
      <w:r>
        <w:rPr>
          <w:rFonts w:hint="eastAsia" w:ascii="宋体" w:hAnsi="宋体" w:eastAsia="宋体" w:cs="宋体"/>
          <w:color w:val="0000FF"/>
          <w:szCs w:val="21"/>
          <w:highlight w:val="none"/>
        </w:rPr>
        <w:t>日</w:t>
      </w:r>
      <w:r>
        <w:rPr>
          <w:rFonts w:hint="eastAsia" w:ascii="宋体" w:hAnsi="宋体" w:eastAsia="宋体" w:cs="宋体"/>
          <w:szCs w:val="21"/>
          <w:highlight w:val="none"/>
        </w:rPr>
        <w:t>，上</w:t>
      </w:r>
      <w:r>
        <w:rPr>
          <w:rFonts w:hint="eastAsia" w:ascii="宋体" w:hAnsi="宋体" w:eastAsia="宋体" w:cs="宋体"/>
          <w:szCs w:val="21"/>
        </w:rPr>
        <w:t>午</w:t>
      </w:r>
      <w:r>
        <w:rPr>
          <w:rFonts w:hint="eastAsia" w:ascii="宋体" w:hAnsi="宋体" w:cs="宋体"/>
          <w:szCs w:val="21"/>
          <w:lang w:val="en-US" w:eastAsia="zh-CN"/>
        </w:rPr>
        <w:t>8</w:t>
      </w:r>
      <w:r>
        <w:rPr>
          <w:rFonts w:hint="eastAsia" w:ascii="宋体" w:hAnsi="宋体" w:eastAsia="宋体" w:cs="宋体"/>
          <w:szCs w:val="21"/>
        </w:rPr>
        <w:t>:00～12:00，下午</w:t>
      </w:r>
      <w:r>
        <w:rPr>
          <w:rFonts w:hint="eastAsia" w:ascii="宋体" w:hAnsi="宋体" w:eastAsia="宋体" w:cs="宋体"/>
          <w:szCs w:val="21"/>
          <w:lang w:val="en-US" w:eastAsia="zh-CN"/>
        </w:rPr>
        <w:t>14</w:t>
      </w:r>
      <w:r>
        <w:rPr>
          <w:rFonts w:hint="eastAsia" w:ascii="宋体" w:hAnsi="宋体" w:eastAsia="宋体" w:cs="宋体"/>
          <w:szCs w:val="21"/>
        </w:rPr>
        <w:t>:00～</w:t>
      </w:r>
      <w:r>
        <w:rPr>
          <w:rFonts w:hint="eastAsia" w:ascii="宋体" w:hAnsi="宋体" w:eastAsia="宋体" w:cs="宋体"/>
          <w:szCs w:val="21"/>
          <w:lang w:val="en-US" w:eastAsia="zh-CN"/>
        </w:rPr>
        <w:t>17</w:t>
      </w:r>
      <w:r>
        <w:rPr>
          <w:rFonts w:hint="eastAsia" w:ascii="宋体" w:hAnsi="宋体" w:eastAsia="宋体" w:cs="宋体"/>
          <w:szCs w:val="21"/>
        </w:rPr>
        <w:t>:00，</w:t>
      </w:r>
      <w:r>
        <w:rPr>
          <w:rFonts w:hint="eastAsia" w:ascii="宋体" w:hAnsi="宋体" w:cs="宋体"/>
          <w:b w:val="0"/>
          <w:bCs w:val="0"/>
          <w:color w:val="auto"/>
          <w:kern w:val="0"/>
          <w:szCs w:val="21"/>
          <w:highlight w:val="none"/>
          <w:lang w:bidi="ar"/>
        </w:rPr>
        <w:t>双休日及节假日除外</w:t>
      </w:r>
      <w:r>
        <w:rPr>
          <w:rFonts w:hint="eastAsia" w:ascii="宋体" w:hAnsi="宋体" w:eastAsia="宋体" w:cs="宋体"/>
          <w:szCs w:val="21"/>
        </w:rPr>
        <w:t>，持</w:t>
      </w:r>
      <w:r>
        <w:rPr>
          <w:rFonts w:hint="eastAsia" w:ascii="宋体" w:hAnsi="宋体" w:cs="宋体"/>
          <w:b w:val="0"/>
          <w:bCs w:val="0"/>
          <w:color w:val="auto"/>
          <w:highlight w:val="none"/>
        </w:rPr>
        <w:t>营业执照</w:t>
      </w:r>
      <w:r>
        <w:rPr>
          <w:rFonts w:hint="eastAsia" w:ascii="宋体" w:hAnsi="宋体" w:cs="宋体"/>
          <w:b w:val="0"/>
          <w:bCs w:val="0"/>
          <w:color w:val="auto"/>
          <w:highlight w:val="none"/>
          <w:lang w:val="en-US" w:eastAsia="zh-CN"/>
        </w:rPr>
        <w:t>复印件</w:t>
      </w:r>
      <w:r>
        <w:rPr>
          <w:rFonts w:hint="eastAsia" w:ascii="宋体" w:hAnsi="宋体" w:cs="宋体"/>
          <w:b w:val="0"/>
          <w:bCs w:val="0"/>
          <w:color w:val="auto"/>
          <w:highlight w:val="none"/>
          <w:lang w:eastAsia="zh-CN"/>
        </w:rPr>
        <w:t>、</w:t>
      </w:r>
      <w:r>
        <w:rPr>
          <w:rFonts w:hint="eastAsia" w:ascii="宋体" w:hAnsi="宋体" w:eastAsia="宋体" w:cs="宋体"/>
          <w:szCs w:val="21"/>
        </w:rPr>
        <w:t>本人身份证原件、法定代表人身份证明原件或授权委托书原件（附法定代表人身份证明原件</w:t>
      </w:r>
      <w:r>
        <w:rPr>
          <w:rFonts w:hint="eastAsia" w:ascii="宋体" w:hAnsi="宋体" w:eastAsia="宋体" w:cs="宋体"/>
          <w:szCs w:val="21"/>
          <w:lang w:eastAsia="zh-CN"/>
        </w:rPr>
        <w:t>）</w:t>
      </w:r>
      <w:r>
        <w:rPr>
          <w:rFonts w:hint="eastAsia" w:ascii="宋体" w:hAnsi="宋体" w:eastAsia="宋体" w:cs="宋体"/>
          <w:szCs w:val="21"/>
        </w:rPr>
        <w:t>到湖南</w:t>
      </w:r>
      <w:r>
        <w:rPr>
          <w:rFonts w:hint="eastAsia" w:ascii="宋体" w:hAnsi="宋体" w:eastAsia="宋体" w:cs="宋体"/>
          <w:szCs w:val="21"/>
          <w:lang w:val="en-US" w:eastAsia="zh-CN"/>
        </w:rPr>
        <w:t>长顺项目管理</w:t>
      </w:r>
      <w:r>
        <w:rPr>
          <w:rFonts w:hint="eastAsia" w:ascii="宋体" w:hAnsi="宋体" w:eastAsia="宋体" w:cs="宋体"/>
          <w:szCs w:val="21"/>
        </w:rPr>
        <w:t>有限公司（湖南省长沙市</w:t>
      </w:r>
      <w:r>
        <w:rPr>
          <w:rFonts w:hint="eastAsia" w:ascii="宋体" w:hAnsi="宋体" w:eastAsia="宋体" w:cs="宋体"/>
          <w:szCs w:val="21"/>
          <w:lang w:val="en-US" w:eastAsia="zh-CN"/>
        </w:rPr>
        <w:t>雨花区新兴路268号8栋3楼315室</w:t>
      </w:r>
      <w:r>
        <w:rPr>
          <w:rFonts w:hint="eastAsia" w:ascii="宋体" w:hAnsi="宋体" w:eastAsia="宋体" w:cs="宋体"/>
          <w:szCs w:val="21"/>
        </w:rPr>
        <w:t>）获取</w:t>
      </w:r>
      <w:r>
        <w:rPr>
          <w:rFonts w:hint="eastAsia" w:ascii="宋体" w:hAnsi="宋体" w:eastAsia="宋体" w:cs="宋体"/>
          <w:szCs w:val="21"/>
          <w:lang w:val="en-US" w:eastAsia="zh-CN"/>
        </w:rPr>
        <w:t>磋商</w:t>
      </w:r>
      <w:r>
        <w:rPr>
          <w:rFonts w:hint="eastAsia" w:ascii="宋体" w:hAnsi="宋体" w:eastAsia="宋体" w:cs="宋体"/>
          <w:szCs w:val="21"/>
        </w:rPr>
        <w:t>文件。</w:t>
      </w:r>
      <w:bookmarkStart w:id="41" w:name="_GoBack"/>
      <w:bookmarkEnd w:id="41"/>
    </w:p>
    <w:p w14:paraId="69BC4ED6">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六、投标截止时间、开标时间及地点</w:t>
      </w:r>
    </w:p>
    <w:p w14:paraId="3469231F">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lang w:bidi="ar"/>
        </w:rPr>
      </w:pPr>
      <w:r>
        <w:rPr>
          <w:rFonts w:hint="eastAsia" w:ascii="宋体" w:hAnsi="宋体" w:cs="宋体"/>
          <w:b w:val="0"/>
          <w:bCs w:val="0"/>
          <w:color w:val="auto"/>
          <w:kern w:val="0"/>
          <w:szCs w:val="21"/>
          <w:highlight w:val="none"/>
          <w:lang w:bidi="ar"/>
        </w:rPr>
        <w:t>1、首次响应文件的提交截止时间：</w:t>
      </w:r>
      <w:r>
        <w:rPr>
          <w:rFonts w:hint="eastAsia" w:ascii="宋体" w:hAnsi="宋体" w:cs="宋体"/>
          <w:b w:val="0"/>
          <w:bCs w:val="0"/>
          <w:color w:val="auto"/>
          <w:kern w:val="0"/>
          <w:szCs w:val="21"/>
          <w:highlight w:val="none"/>
          <w:lang w:eastAsia="zh-CN" w:bidi="ar"/>
        </w:rPr>
        <w:t>202</w:t>
      </w:r>
      <w:r>
        <w:rPr>
          <w:rFonts w:hint="eastAsia" w:ascii="宋体" w:hAnsi="宋体" w:cs="宋体"/>
          <w:b w:val="0"/>
          <w:bCs w:val="0"/>
          <w:color w:val="auto"/>
          <w:kern w:val="0"/>
          <w:szCs w:val="21"/>
          <w:highlight w:val="none"/>
          <w:lang w:val="en-US" w:eastAsia="zh-CN" w:bidi="ar"/>
        </w:rPr>
        <w:t>6</w:t>
      </w:r>
      <w:r>
        <w:rPr>
          <w:rFonts w:hint="eastAsia" w:ascii="宋体" w:hAnsi="宋体" w:cs="宋体"/>
          <w:b w:val="0"/>
          <w:bCs w:val="0"/>
          <w:color w:val="auto"/>
          <w:kern w:val="0"/>
          <w:szCs w:val="21"/>
          <w:highlight w:val="none"/>
          <w:lang w:bidi="ar"/>
        </w:rPr>
        <w:t>年</w:t>
      </w:r>
      <w:r>
        <w:rPr>
          <w:rFonts w:hint="eastAsia" w:ascii="宋体" w:hAnsi="宋体" w:cs="宋体"/>
          <w:b w:val="0"/>
          <w:bCs w:val="0"/>
          <w:color w:val="auto"/>
          <w:kern w:val="0"/>
          <w:szCs w:val="21"/>
          <w:highlight w:val="none"/>
          <w:u w:val="single"/>
          <w:lang w:val="en-US" w:eastAsia="zh-CN" w:bidi="ar"/>
        </w:rPr>
        <w:t xml:space="preserve"> 8 </w:t>
      </w:r>
      <w:r>
        <w:rPr>
          <w:rFonts w:hint="eastAsia" w:ascii="宋体" w:hAnsi="宋体" w:cs="宋体"/>
          <w:b w:val="0"/>
          <w:bCs w:val="0"/>
          <w:color w:val="auto"/>
          <w:kern w:val="0"/>
          <w:szCs w:val="21"/>
          <w:highlight w:val="none"/>
          <w:lang w:bidi="ar"/>
        </w:rPr>
        <w:t>月</w:t>
      </w:r>
      <w:r>
        <w:rPr>
          <w:rFonts w:hint="eastAsia" w:ascii="宋体" w:hAnsi="宋体" w:cs="宋体"/>
          <w:b w:val="0"/>
          <w:bCs w:val="0"/>
          <w:color w:val="auto"/>
          <w:kern w:val="0"/>
          <w:szCs w:val="21"/>
          <w:highlight w:val="none"/>
          <w:u w:val="single"/>
          <w:lang w:val="en-US" w:eastAsia="zh-CN" w:bidi="ar"/>
        </w:rPr>
        <w:t xml:space="preserve"> 4 </w:t>
      </w:r>
      <w:r>
        <w:rPr>
          <w:rFonts w:hint="eastAsia" w:ascii="宋体" w:hAnsi="宋体" w:cs="宋体"/>
          <w:b w:val="0"/>
          <w:bCs w:val="0"/>
          <w:color w:val="auto"/>
          <w:kern w:val="0"/>
          <w:szCs w:val="21"/>
          <w:highlight w:val="none"/>
          <w:lang w:bidi="ar"/>
        </w:rPr>
        <w:t>日</w:t>
      </w:r>
      <w:r>
        <w:rPr>
          <w:rFonts w:hint="eastAsia" w:ascii="宋体" w:hAnsi="宋体" w:cs="宋体"/>
          <w:b w:val="0"/>
          <w:bCs w:val="0"/>
          <w:color w:val="auto"/>
          <w:kern w:val="0"/>
          <w:szCs w:val="21"/>
          <w:highlight w:val="none"/>
          <w:lang w:val="en-US" w:eastAsia="zh-CN" w:bidi="ar"/>
        </w:rPr>
        <w:t>上午9</w:t>
      </w:r>
      <w:r>
        <w:rPr>
          <w:rFonts w:hint="eastAsia" w:ascii="宋体" w:hAnsi="宋体" w:cs="宋体"/>
          <w:b w:val="0"/>
          <w:bCs w:val="0"/>
          <w:color w:val="auto"/>
          <w:kern w:val="0"/>
          <w:szCs w:val="21"/>
          <w:highlight w:val="none"/>
          <w:lang w:bidi="ar"/>
        </w:rPr>
        <w:t>时</w:t>
      </w:r>
      <w:r>
        <w:rPr>
          <w:rFonts w:hint="eastAsia" w:ascii="宋体" w:hAnsi="宋体" w:cs="宋体"/>
          <w:b w:val="0"/>
          <w:bCs w:val="0"/>
          <w:color w:val="auto"/>
          <w:kern w:val="0"/>
          <w:szCs w:val="21"/>
          <w:highlight w:val="none"/>
          <w:lang w:val="en-US" w:eastAsia="zh-CN" w:bidi="ar"/>
        </w:rPr>
        <w:t>30</w:t>
      </w:r>
      <w:r>
        <w:rPr>
          <w:rFonts w:hint="eastAsia" w:ascii="宋体" w:hAnsi="宋体" w:cs="宋体"/>
          <w:b w:val="0"/>
          <w:bCs w:val="0"/>
          <w:color w:val="auto"/>
          <w:kern w:val="0"/>
          <w:szCs w:val="21"/>
          <w:highlight w:val="none"/>
          <w:lang w:bidi="ar"/>
        </w:rPr>
        <w:t>分（北京时间）</w:t>
      </w:r>
    </w:p>
    <w:p w14:paraId="451C8317">
      <w:pPr>
        <w:widowControl/>
        <w:adjustRightInd w:val="0"/>
        <w:snapToGrid w:val="0"/>
        <w:spacing w:line="360" w:lineRule="auto"/>
        <w:ind w:firstLine="420" w:firstLineChars="200"/>
        <w:jc w:val="left"/>
        <w:rPr>
          <w:rFonts w:hint="eastAsia" w:ascii="宋体" w:hAnsi="宋体" w:cs="宋体"/>
          <w:b w:val="0"/>
          <w:bCs w:val="0"/>
          <w:color w:val="auto"/>
          <w:kern w:val="0"/>
          <w:szCs w:val="21"/>
          <w:highlight w:val="none"/>
          <w:lang w:bidi="ar"/>
        </w:rPr>
      </w:pPr>
      <w:r>
        <w:rPr>
          <w:rFonts w:hint="eastAsia" w:ascii="宋体" w:hAnsi="宋体" w:cs="宋体"/>
          <w:b w:val="0"/>
          <w:bCs w:val="0"/>
          <w:color w:val="auto"/>
          <w:kern w:val="0"/>
          <w:szCs w:val="21"/>
          <w:highlight w:val="none"/>
          <w:lang w:bidi="ar"/>
        </w:rPr>
        <w:t>2、首次响应文件的开启时间：</w:t>
      </w:r>
      <w:r>
        <w:rPr>
          <w:rFonts w:hint="eastAsia" w:ascii="宋体" w:hAnsi="宋体" w:cs="宋体"/>
          <w:b w:val="0"/>
          <w:bCs w:val="0"/>
          <w:color w:val="auto"/>
          <w:kern w:val="0"/>
          <w:szCs w:val="21"/>
          <w:highlight w:val="none"/>
          <w:lang w:eastAsia="zh-CN" w:bidi="ar"/>
        </w:rPr>
        <w:t>202</w:t>
      </w:r>
      <w:r>
        <w:rPr>
          <w:rFonts w:hint="eastAsia" w:ascii="宋体" w:hAnsi="宋体" w:cs="宋体"/>
          <w:b w:val="0"/>
          <w:bCs w:val="0"/>
          <w:color w:val="auto"/>
          <w:kern w:val="0"/>
          <w:szCs w:val="21"/>
          <w:highlight w:val="none"/>
          <w:lang w:val="en-US" w:eastAsia="zh-CN" w:bidi="ar"/>
        </w:rPr>
        <w:t>6</w:t>
      </w:r>
      <w:r>
        <w:rPr>
          <w:rFonts w:hint="eastAsia" w:ascii="宋体" w:hAnsi="宋体" w:cs="宋体"/>
          <w:b w:val="0"/>
          <w:bCs w:val="0"/>
          <w:color w:val="auto"/>
          <w:kern w:val="0"/>
          <w:szCs w:val="21"/>
          <w:highlight w:val="none"/>
          <w:lang w:bidi="ar"/>
        </w:rPr>
        <w:t>年</w:t>
      </w:r>
      <w:r>
        <w:rPr>
          <w:rFonts w:hint="eastAsia" w:ascii="宋体" w:hAnsi="宋体" w:cs="宋体"/>
          <w:b w:val="0"/>
          <w:bCs w:val="0"/>
          <w:color w:val="auto"/>
          <w:kern w:val="0"/>
          <w:szCs w:val="21"/>
          <w:highlight w:val="none"/>
          <w:u w:val="single"/>
          <w:lang w:val="en-US" w:eastAsia="zh-CN" w:bidi="ar"/>
        </w:rPr>
        <w:t xml:space="preserve"> 8 </w:t>
      </w:r>
      <w:r>
        <w:rPr>
          <w:rFonts w:hint="eastAsia" w:ascii="宋体" w:hAnsi="宋体" w:cs="宋体"/>
          <w:b w:val="0"/>
          <w:bCs w:val="0"/>
          <w:color w:val="auto"/>
          <w:kern w:val="0"/>
          <w:szCs w:val="21"/>
          <w:highlight w:val="none"/>
          <w:lang w:bidi="ar"/>
        </w:rPr>
        <w:t>月</w:t>
      </w:r>
      <w:r>
        <w:rPr>
          <w:rFonts w:hint="eastAsia" w:ascii="宋体" w:hAnsi="宋体" w:cs="宋体"/>
          <w:b w:val="0"/>
          <w:bCs w:val="0"/>
          <w:color w:val="auto"/>
          <w:kern w:val="0"/>
          <w:szCs w:val="21"/>
          <w:highlight w:val="none"/>
          <w:u w:val="single"/>
          <w:lang w:val="en-US" w:eastAsia="zh-CN" w:bidi="ar"/>
        </w:rPr>
        <w:t xml:space="preserve"> 4 </w:t>
      </w:r>
      <w:r>
        <w:rPr>
          <w:rFonts w:hint="eastAsia" w:ascii="宋体" w:hAnsi="宋体" w:cs="宋体"/>
          <w:b w:val="0"/>
          <w:bCs w:val="0"/>
          <w:color w:val="auto"/>
          <w:kern w:val="0"/>
          <w:szCs w:val="21"/>
          <w:highlight w:val="none"/>
          <w:lang w:bidi="ar"/>
        </w:rPr>
        <w:t>日</w:t>
      </w:r>
      <w:r>
        <w:rPr>
          <w:rFonts w:hint="eastAsia" w:ascii="宋体" w:hAnsi="宋体" w:cs="宋体"/>
          <w:b w:val="0"/>
          <w:bCs w:val="0"/>
          <w:color w:val="auto"/>
          <w:kern w:val="0"/>
          <w:szCs w:val="21"/>
          <w:highlight w:val="none"/>
          <w:lang w:val="en-US" w:eastAsia="zh-CN" w:bidi="ar"/>
        </w:rPr>
        <w:t>上午9</w:t>
      </w:r>
      <w:r>
        <w:rPr>
          <w:rFonts w:hint="eastAsia" w:ascii="宋体" w:hAnsi="宋体" w:cs="宋体"/>
          <w:b w:val="0"/>
          <w:bCs w:val="0"/>
          <w:color w:val="auto"/>
          <w:kern w:val="0"/>
          <w:szCs w:val="21"/>
          <w:highlight w:val="none"/>
          <w:lang w:bidi="ar"/>
        </w:rPr>
        <w:t>时</w:t>
      </w:r>
      <w:r>
        <w:rPr>
          <w:rFonts w:hint="eastAsia" w:ascii="宋体" w:hAnsi="宋体" w:cs="宋体"/>
          <w:b w:val="0"/>
          <w:bCs w:val="0"/>
          <w:color w:val="auto"/>
          <w:kern w:val="0"/>
          <w:szCs w:val="21"/>
          <w:highlight w:val="none"/>
          <w:lang w:val="en-US" w:eastAsia="zh-CN" w:bidi="ar"/>
        </w:rPr>
        <w:t>30</w:t>
      </w:r>
      <w:r>
        <w:rPr>
          <w:rFonts w:hint="eastAsia" w:ascii="宋体" w:hAnsi="宋体" w:cs="宋体"/>
          <w:b w:val="0"/>
          <w:bCs w:val="0"/>
          <w:color w:val="auto"/>
          <w:kern w:val="0"/>
          <w:szCs w:val="21"/>
          <w:highlight w:val="none"/>
          <w:lang w:bidi="ar"/>
        </w:rPr>
        <w:t>分（北京时间）</w:t>
      </w:r>
    </w:p>
    <w:p w14:paraId="1900EA08">
      <w:pPr>
        <w:spacing w:line="360" w:lineRule="auto"/>
        <w:ind w:firstLine="424" w:firstLineChars="202"/>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cs="宋体"/>
          <w:b w:val="0"/>
          <w:bCs w:val="0"/>
          <w:color w:val="auto"/>
          <w:kern w:val="0"/>
          <w:szCs w:val="21"/>
          <w:highlight w:val="none"/>
          <w:lang w:bidi="ar"/>
        </w:rPr>
        <w:t>、首次响应文件的开启地点</w:t>
      </w:r>
      <w:r>
        <w:rPr>
          <w:rFonts w:hint="eastAsia" w:ascii="宋体" w:hAnsi="宋体" w:cs="宋体"/>
          <w:b w:val="0"/>
          <w:bCs w:val="0"/>
          <w:color w:val="auto"/>
          <w:kern w:val="0"/>
          <w:szCs w:val="21"/>
          <w:highlight w:val="none"/>
          <w:lang w:eastAsia="zh-CN" w:bidi="ar"/>
        </w:rPr>
        <w:t>：</w:t>
      </w:r>
      <w:r>
        <w:rPr>
          <w:rFonts w:hint="eastAsia" w:ascii="宋体" w:hAnsi="宋体" w:eastAsia="宋体" w:cs="宋体"/>
          <w:szCs w:val="21"/>
        </w:rPr>
        <w:t>湖南</w:t>
      </w:r>
      <w:r>
        <w:rPr>
          <w:rFonts w:hint="eastAsia" w:ascii="宋体" w:hAnsi="宋体" w:eastAsia="宋体" w:cs="宋体"/>
          <w:szCs w:val="21"/>
          <w:lang w:val="en-US" w:eastAsia="zh-CN"/>
        </w:rPr>
        <w:t>长顺项目管理</w:t>
      </w:r>
      <w:r>
        <w:rPr>
          <w:rFonts w:hint="eastAsia" w:ascii="宋体" w:hAnsi="宋体" w:eastAsia="宋体" w:cs="宋体"/>
          <w:szCs w:val="21"/>
        </w:rPr>
        <w:t>有限公司（湖南省长沙市</w:t>
      </w:r>
      <w:r>
        <w:rPr>
          <w:rFonts w:hint="eastAsia" w:ascii="宋体" w:hAnsi="宋体" w:eastAsia="宋体" w:cs="宋体"/>
          <w:szCs w:val="21"/>
          <w:lang w:val="en-US" w:eastAsia="zh-CN"/>
        </w:rPr>
        <w:t>雨花区新兴路268号8栋2楼205会议室</w:t>
      </w:r>
      <w:r>
        <w:rPr>
          <w:rFonts w:hint="eastAsia" w:ascii="宋体" w:hAnsi="宋体" w:eastAsia="宋体" w:cs="宋体"/>
          <w:szCs w:val="21"/>
        </w:rPr>
        <w:t>）</w:t>
      </w:r>
    </w:p>
    <w:p w14:paraId="049B963F">
      <w:pPr>
        <w:spacing w:line="360" w:lineRule="auto"/>
        <w:ind w:firstLine="424" w:firstLineChars="202"/>
        <w:rPr>
          <w:rFonts w:hint="eastAsia" w:ascii="宋体" w:hAnsi="宋体" w:eastAsia="宋体" w:cs="宋体"/>
          <w:b/>
          <w:bCs/>
          <w:szCs w:val="21"/>
        </w:rPr>
      </w:pPr>
      <w:r>
        <w:rPr>
          <w:rFonts w:hint="eastAsia" w:ascii="宋体" w:hAnsi="宋体" w:eastAsia="宋体" w:cs="宋体"/>
          <w:szCs w:val="21"/>
        </w:rPr>
        <w:t>4、</w:t>
      </w:r>
      <w:r>
        <w:rPr>
          <w:rFonts w:hint="eastAsia" w:ascii="宋体" w:hAnsi="宋体" w:cs="宋体"/>
          <w:color w:val="auto"/>
          <w:szCs w:val="21"/>
          <w:highlight w:val="none"/>
        </w:rPr>
        <w:t>逾期送达或者不按文件要求密封或者不按磋商文件的要求提供磋商保证金的响应文件，采购人或采购代理机构将拒绝接收。</w:t>
      </w:r>
    </w:p>
    <w:p w14:paraId="528D8293">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七、公告期限</w:t>
      </w:r>
    </w:p>
    <w:p w14:paraId="22CBDAEF">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1、本招标公告在中国湖南政府采购网（www.ccgp-hunan.gov.cn）发布。公告期限从本招标公告发布之日起5个工作日。</w:t>
      </w:r>
    </w:p>
    <w:p w14:paraId="0088172B">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2、在其他媒体发布的招标公告，公告内容以本招标公告指定媒体发布的公告为准；公告期限自本招标公告指定媒体最先发布公告之日起算。</w:t>
      </w:r>
    </w:p>
    <w:p w14:paraId="2478A7F0">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八、询问及质疑</w:t>
      </w:r>
    </w:p>
    <w:p w14:paraId="17DB371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1、投标人对政府采购活动事项如有疑问的，可以向采购人、采购代理机构提出询问。采购人、采购代理机构将在3个工作日内作出答复。</w:t>
      </w:r>
    </w:p>
    <w:p w14:paraId="309644BB">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w:t>
      </w:r>
      <w:r>
        <w:rPr>
          <w:rFonts w:hint="eastAsia" w:ascii="宋体" w:hAnsi="宋体" w:eastAsia="宋体" w:cs="宋体"/>
          <w:szCs w:val="21"/>
          <w:lang w:val="en-US" w:eastAsia="zh-CN"/>
        </w:rPr>
        <w:t>规定</w:t>
      </w:r>
      <w:r>
        <w:rPr>
          <w:rFonts w:hint="eastAsia" w:ascii="宋体" w:hAnsi="宋体" w:eastAsia="宋体" w:cs="宋体"/>
          <w:szCs w:val="21"/>
        </w:rPr>
        <w:t>，以纸质书面形式向采购人、采购代理机构提出质疑。</w:t>
      </w:r>
    </w:p>
    <w:p w14:paraId="460C0DDD">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九、投标说明</w:t>
      </w:r>
    </w:p>
    <w:p w14:paraId="4E57C7F1">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1、本公告选项：</w:t>
      </w:r>
      <w:r>
        <w:rPr>
          <w:rFonts w:hint="eastAsia" w:ascii="宋体" w:hAnsi="宋体" w:eastAsia="宋体" w:cs="宋体"/>
          <w:color w:val="000000"/>
          <w:szCs w:val="21"/>
        </w:rPr>
        <w:t>☑</w:t>
      </w:r>
      <w:r>
        <w:rPr>
          <w:rFonts w:hint="eastAsia" w:ascii="宋体" w:hAnsi="宋体" w:eastAsia="宋体" w:cs="宋体"/>
          <w:szCs w:val="21"/>
        </w:rPr>
        <w:t>表示选择，</w:t>
      </w:r>
      <w:r>
        <w:rPr>
          <w:rFonts w:hint="eastAsia" w:ascii="宋体" w:hAnsi="宋体" w:eastAsia="宋体" w:cs="宋体"/>
          <w:color w:val="000000"/>
          <w:szCs w:val="21"/>
        </w:rPr>
        <w:t>□</w:t>
      </w:r>
      <w:r>
        <w:rPr>
          <w:rFonts w:hint="eastAsia" w:ascii="宋体" w:hAnsi="宋体" w:eastAsia="宋体" w:cs="宋体"/>
          <w:szCs w:val="21"/>
        </w:rPr>
        <w:t>表示未选择。</w:t>
      </w:r>
    </w:p>
    <w:p w14:paraId="324C86C6">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2、投标人参与政府采购活动，无需向采购人、代理机构、交易平台缴纳任何费用。</w:t>
      </w:r>
    </w:p>
    <w:p w14:paraId="686D81AB">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十、采购项目联系人姓名和电话</w:t>
      </w:r>
    </w:p>
    <w:p w14:paraId="5F1149AD">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1、联系人姓名：</w:t>
      </w:r>
      <w:r>
        <w:rPr>
          <w:rFonts w:hint="eastAsia" w:ascii="宋体" w:hAnsi="宋体" w:eastAsia="宋体" w:cs="宋体"/>
          <w:szCs w:val="21"/>
          <w:lang w:val="en-US" w:eastAsia="zh-CN"/>
        </w:rPr>
        <w:t>胡</w:t>
      </w:r>
      <w:r>
        <w:rPr>
          <w:rFonts w:hint="eastAsia" w:ascii="宋体" w:hAnsi="宋体" w:eastAsia="宋体" w:cs="宋体"/>
          <w:szCs w:val="21"/>
        </w:rPr>
        <w:t>老师</w:t>
      </w:r>
    </w:p>
    <w:p w14:paraId="27936912">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2、电话：0731-84098356</w:t>
      </w:r>
    </w:p>
    <w:p w14:paraId="18EE0C2E">
      <w:pPr>
        <w:spacing w:line="360" w:lineRule="auto"/>
        <w:ind w:firstLine="426" w:firstLineChars="202"/>
        <w:rPr>
          <w:rFonts w:hint="eastAsia" w:ascii="宋体" w:hAnsi="宋体" w:eastAsia="宋体" w:cs="宋体"/>
          <w:b/>
          <w:bCs/>
          <w:szCs w:val="21"/>
        </w:rPr>
      </w:pPr>
      <w:r>
        <w:rPr>
          <w:rFonts w:hint="eastAsia" w:ascii="宋体" w:hAnsi="宋体" w:eastAsia="宋体" w:cs="宋体"/>
          <w:b/>
          <w:bCs/>
          <w:szCs w:val="21"/>
        </w:rPr>
        <w:t>十一、采购人、采购代理机构的名称、地址和联系方法</w:t>
      </w:r>
    </w:p>
    <w:p w14:paraId="60758769">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1、采购人信息</w:t>
      </w:r>
    </w:p>
    <w:p w14:paraId="0092C6A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（1）名 称：湖南工程职业技术学院</w:t>
      </w:r>
    </w:p>
    <w:p w14:paraId="71471D11">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（2）地 址：湖南省长沙市长沙县万家丽北路水渡河100号</w:t>
      </w:r>
    </w:p>
    <w:p w14:paraId="4AB2BF94">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（3）联系人：郭老师、胡老师</w:t>
      </w:r>
    </w:p>
    <w:p w14:paraId="39CEF3E6">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（4）电 话：0731-84098356</w:t>
      </w:r>
    </w:p>
    <w:p w14:paraId="09309617">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2、采购代理机构信息</w:t>
      </w:r>
    </w:p>
    <w:p w14:paraId="72B4C52D">
      <w:pPr>
        <w:spacing w:line="360" w:lineRule="auto"/>
        <w:ind w:firstLine="424" w:firstLineChars="202"/>
        <w:rPr>
          <w:rFonts w:hint="eastAsia" w:ascii="宋体" w:hAnsi="宋体" w:eastAsia="宋体" w:cs="宋体"/>
          <w:szCs w:val="21"/>
          <w:lang w:eastAsia="zh-CN"/>
        </w:rPr>
      </w:pPr>
      <w:r>
        <w:rPr>
          <w:rFonts w:hint="eastAsia" w:ascii="宋体" w:hAnsi="宋体" w:eastAsia="宋体" w:cs="宋体"/>
          <w:szCs w:val="21"/>
        </w:rPr>
        <w:t>（1）名 称：湖南</w:t>
      </w:r>
      <w:r>
        <w:rPr>
          <w:rFonts w:hint="eastAsia" w:ascii="宋体" w:hAnsi="宋体" w:eastAsia="宋体" w:cs="宋体"/>
          <w:szCs w:val="21"/>
          <w:lang w:val="en-US" w:eastAsia="zh-CN"/>
        </w:rPr>
        <w:t>长顺项目管理</w:t>
      </w:r>
      <w:r>
        <w:rPr>
          <w:rFonts w:hint="eastAsia" w:ascii="宋体" w:hAnsi="宋体" w:eastAsia="宋体" w:cs="宋体"/>
          <w:szCs w:val="21"/>
        </w:rPr>
        <w:t>有限公司</w:t>
      </w:r>
    </w:p>
    <w:p w14:paraId="102F72C5">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（2）地 址：湖南省长沙市</w:t>
      </w:r>
      <w:r>
        <w:rPr>
          <w:rFonts w:hint="eastAsia" w:ascii="宋体" w:hAnsi="宋体" w:eastAsia="宋体" w:cs="宋体"/>
          <w:szCs w:val="21"/>
          <w:lang w:val="en-US" w:eastAsia="zh-CN"/>
        </w:rPr>
        <w:t>雨花区新兴路268号8栋</w:t>
      </w:r>
    </w:p>
    <w:p w14:paraId="73706D0E">
      <w:pPr>
        <w:spacing w:line="360" w:lineRule="auto"/>
        <w:ind w:firstLine="424" w:firstLineChars="202"/>
        <w:rPr>
          <w:rFonts w:hint="default" w:ascii="宋体" w:hAnsi="宋体" w:eastAsia="宋体" w:cs="宋体"/>
          <w:szCs w:val="21"/>
          <w:lang w:val="en-US"/>
        </w:rPr>
      </w:pPr>
      <w:r>
        <w:rPr>
          <w:rFonts w:hint="eastAsia" w:ascii="宋体" w:hAnsi="宋体" w:eastAsia="宋体" w:cs="宋体"/>
          <w:szCs w:val="21"/>
        </w:rPr>
        <w:t>（3）联系人：</w:t>
      </w:r>
      <w:r>
        <w:rPr>
          <w:rFonts w:hint="eastAsia" w:ascii="宋体" w:hAnsi="宋体" w:eastAsia="宋体" w:cs="宋体"/>
          <w:szCs w:val="21"/>
          <w:lang w:val="en-US" w:eastAsia="zh-CN"/>
        </w:rPr>
        <w:t>王探春、王晶、易丽丽、刘波</w:t>
      </w:r>
    </w:p>
    <w:p w14:paraId="3B86C974">
      <w:pPr>
        <w:spacing w:line="360" w:lineRule="auto"/>
        <w:ind w:firstLine="424" w:firstLineChars="202"/>
        <w:rPr>
          <w:rFonts w:hint="default" w:ascii="宋体" w:hAnsi="宋体" w:eastAsia="宋体" w:cs="宋体"/>
          <w:szCs w:val="21"/>
          <w:lang w:val="en-US" w:eastAsia="zh-CN"/>
        </w:rPr>
      </w:pPr>
      <w:r>
        <w:rPr>
          <w:rFonts w:hint="eastAsia" w:ascii="宋体" w:hAnsi="宋体" w:eastAsia="宋体" w:cs="宋体"/>
          <w:szCs w:val="21"/>
        </w:rPr>
        <w:t>（4）邮 编：4100</w:t>
      </w:r>
      <w:r>
        <w:rPr>
          <w:rFonts w:hint="eastAsia" w:ascii="宋体" w:hAnsi="宋体" w:eastAsia="宋体" w:cs="宋体"/>
          <w:szCs w:val="21"/>
          <w:lang w:val="en-US" w:eastAsia="zh-CN"/>
        </w:rPr>
        <w:t>14</w:t>
      </w:r>
    </w:p>
    <w:p w14:paraId="7816C82F">
      <w:pPr>
        <w:spacing w:line="360" w:lineRule="auto"/>
        <w:ind w:firstLine="424" w:firstLineChars="202"/>
        <w:rPr>
          <w:rFonts w:hint="default" w:ascii="宋体" w:hAnsi="宋体" w:eastAsia="宋体" w:cs="宋体"/>
          <w:szCs w:val="21"/>
          <w:lang w:val="en-US" w:eastAsia="zh-CN"/>
        </w:rPr>
      </w:pPr>
      <w:r>
        <w:rPr>
          <w:rFonts w:hint="eastAsia" w:ascii="宋体" w:hAnsi="宋体" w:eastAsia="宋体" w:cs="宋体"/>
          <w:szCs w:val="21"/>
        </w:rPr>
        <w:t>（5）电 话：0731-</w:t>
      </w:r>
      <w:r>
        <w:rPr>
          <w:rFonts w:hint="eastAsia" w:ascii="宋体" w:hAnsi="宋体" w:eastAsia="宋体" w:cs="宋体"/>
          <w:szCs w:val="21"/>
          <w:lang w:val="en-US" w:eastAsia="zh-CN"/>
        </w:rPr>
        <w:t>85770482、18673186430</w:t>
      </w:r>
    </w:p>
    <w:p w14:paraId="6CA41039">
      <w:pPr>
        <w:spacing w:line="360" w:lineRule="auto"/>
        <w:ind w:firstLine="424" w:firstLineChars="202"/>
        <w:rPr>
          <w:rFonts w:hint="eastAsia" w:ascii="宋体" w:hAnsi="宋体" w:eastAsia="宋体" w:cs="宋体"/>
          <w:szCs w:val="21"/>
          <w:lang w:val="en-US" w:eastAsia="zh-CN"/>
        </w:rPr>
      </w:pPr>
      <w:r>
        <w:rPr>
          <w:rFonts w:hint="eastAsia" w:ascii="宋体" w:hAnsi="宋体" w:eastAsia="宋体" w:cs="宋体"/>
          <w:szCs w:val="21"/>
        </w:rPr>
        <w:t>（6）电子邮箱：</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"mailto:512230174@qq.com" </w:instrText>
      </w:r>
      <w:r>
        <w:rPr>
          <w:rFonts w:hint="eastAsia" w:ascii="宋体" w:hAnsi="宋体" w:eastAsia="宋体" w:cs="宋体"/>
          <w:szCs w:val="21"/>
          <w:lang w:val="en-US" w:eastAsia="zh-CN"/>
        </w:rPr>
        <w:fldChar w:fldCharType="separate"/>
      </w:r>
      <w:r>
        <w:rPr>
          <w:rStyle w:val="55"/>
          <w:rFonts w:hint="eastAsia" w:ascii="宋体" w:hAnsi="宋体" w:eastAsia="宋体" w:cs="宋体"/>
          <w:szCs w:val="21"/>
          <w:lang w:val="en-US" w:eastAsia="zh-CN"/>
        </w:rPr>
        <w:t>512230174@qq.com</w:t>
      </w:r>
      <w:r>
        <w:rPr>
          <w:rFonts w:hint="eastAsia" w:ascii="宋体" w:hAnsi="宋体" w:eastAsia="宋体" w:cs="宋体"/>
          <w:szCs w:val="21"/>
          <w:lang w:val="en-US" w:eastAsia="zh-CN"/>
        </w:rPr>
        <w:fldChar w:fldCharType="end"/>
      </w:r>
    </w:p>
    <w:p w14:paraId="08ADE0E1">
      <w:pPr>
        <w:bidi w:val="0"/>
        <w:rPr>
          <w:rFonts w:hint="eastAsia"/>
        </w:rPr>
      </w:pPr>
    </w:p>
    <w:p w14:paraId="0FEDF9C4">
      <w:pPr>
        <w:pStyle w:val="17"/>
        <w:rPr>
          <w:rFonts w:hint="eastAsia"/>
        </w:rPr>
      </w:pPr>
    </w:p>
    <w:p w14:paraId="6FCD9F4B">
      <w:pPr>
        <w:rPr>
          <w:rFonts w:hint="eastAsia"/>
        </w:rPr>
      </w:pPr>
    </w:p>
    <w:p w14:paraId="151AE748">
      <w:pPr>
        <w:pStyle w:val="43"/>
        <w:rPr>
          <w:rFonts w:hint="eastAsia"/>
        </w:rPr>
      </w:pPr>
    </w:p>
    <w:p w14:paraId="3CE5ACF8">
      <w:pPr>
        <w:pStyle w:val="23"/>
        <w:jc w:val="center"/>
        <w:outlineLvl w:val="0"/>
        <w:rPr>
          <w:rFonts w:hAnsi="宋体" w:cs="宋体"/>
          <w:b/>
          <w:sz w:val="32"/>
          <w:szCs w:val="32"/>
        </w:rPr>
      </w:pPr>
      <w:r>
        <w:rPr>
          <w:rFonts w:hint="eastAsia" w:hAnsi="宋体" w:cs="宋体"/>
          <w:b/>
          <w:sz w:val="32"/>
          <w:szCs w:val="32"/>
        </w:rPr>
        <w:t>第二章 磋商须知</w:t>
      </w:r>
    </w:p>
    <w:p w14:paraId="3F22D19F">
      <w:pPr>
        <w:pStyle w:val="23"/>
        <w:ind w:firstLine="482" w:firstLineChars="200"/>
        <w:outlineLvl w:val="1"/>
        <w:rPr>
          <w:rFonts w:hAnsi="宋体" w:cs="宋体"/>
          <w:b/>
          <w:sz w:val="24"/>
          <w:szCs w:val="24"/>
        </w:rPr>
      </w:pPr>
      <w:r>
        <w:rPr>
          <w:rFonts w:hint="eastAsia" w:hAnsi="宋体" w:cs="宋体"/>
          <w:b/>
          <w:sz w:val="24"/>
          <w:szCs w:val="24"/>
        </w:rPr>
        <w:t>磋商须知前附表</w:t>
      </w:r>
    </w:p>
    <w:p w14:paraId="2231121F">
      <w:pPr>
        <w:pStyle w:val="23"/>
        <w:ind w:firstLine="420" w:firstLineChars="200"/>
        <w:rPr>
          <w:rFonts w:hAnsi="宋体" w:cs="宋体"/>
        </w:rPr>
      </w:pPr>
      <w:r>
        <w:rPr>
          <w:rFonts w:hint="eastAsia" w:hAnsi="宋体" w:cs="宋体"/>
        </w:rPr>
        <w:t>注： 请在方框□内划√选择，在“条款号”内限选一项。（本项目采用的条款用“■”标示）</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1841"/>
        <w:gridCol w:w="5867"/>
      </w:tblGrid>
      <w:tr w14:paraId="15639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0" w:hRule="atLeast"/>
          <w:tblHeader/>
          <w:jc w:val="center"/>
        </w:trPr>
        <w:tc>
          <w:tcPr>
            <w:tcW w:w="1682" w:type="dxa"/>
            <w:noWrap w:val="0"/>
            <w:vAlign w:val="center"/>
          </w:tcPr>
          <w:p w14:paraId="60743773">
            <w:pPr>
              <w:adjustRightInd w:val="0"/>
              <w:snapToGrid w:val="0"/>
              <w:spacing w:line="360" w:lineRule="auto"/>
              <w:jc w:val="center"/>
              <w:rPr>
                <w:rFonts w:ascii="宋体" w:hAnsi="宋体" w:cs="宋体"/>
                <w:b/>
                <w:szCs w:val="21"/>
              </w:rPr>
            </w:pPr>
            <w:r>
              <w:rPr>
                <w:rFonts w:hint="eastAsia" w:ascii="宋体" w:hAnsi="宋体" w:cs="宋体"/>
                <w:b/>
                <w:szCs w:val="21"/>
              </w:rPr>
              <w:t>条款号</w:t>
            </w:r>
          </w:p>
        </w:tc>
        <w:tc>
          <w:tcPr>
            <w:tcW w:w="1841" w:type="dxa"/>
            <w:noWrap w:val="0"/>
            <w:vAlign w:val="center"/>
          </w:tcPr>
          <w:p w14:paraId="7F9EE40B">
            <w:pPr>
              <w:adjustRightInd w:val="0"/>
              <w:snapToGrid w:val="0"/>
              <w:spacing w:line="360" w:lineRule="auto"/>
              <w:jc w:val="center"/>
              <w:rPr>
                <w:rFonts w:ascii="宋体" w:hAnsi="宋体" w:cs="宋体"/>
                <w:b/>
                <w:szCs w:val="21"/>
              </w:rPr>
            </w:pPr>
            <w:r>
              <w:rPr>
                <w:rFonts w:hint="eastAsia" w:ascii="宋体" w:hAnsi="宋体" w:cs="宋体"/>
                <w:b/>
                <w:szCs w:val="21"/>
              </w:rPr>
              <w:t>条款名称</w:t>
            </w:r>
          </w:p>
        </w:tc>
        <w:tc>
          <w:tcPr>
            <w:tcW w:w="5867" w:type="dxa"/>
            <w:noWrap w:val="0"/>
            <w:vAlign w:val="center"/>
          </w:tcPr>
          <w:p w14:paraId="21F4897B">
            <w:pPr>
              <w:adjustRightInd w:val="0"/>
              <w:snapToGrid w:val="0"/>
              <w:spacing w:line="360" w:lineRule="auto"/>
              <w:jc w:val="center"/>
              <w:rPr>
                <w:rFonts w:ascii="宋体" w:hAnsi="宋体" w:cs="宋体"/>
                <w:b/>
                <w:szCs w:val="21"/>
              </w:rPr>
            </w:pPr>
            <w:r>
              <w:rPr>
                <w:rFonts w:hint="eastAsia" w:ascii="宋体" w:hAnsi="宋体" w:cs="宋体"/>
                <w:b/>
                <w:szCs w:val="21"/>
              </w:rPr>
              <w:t>编列内容规定</w:t>
            </w:r>
          </w:p>
        </w:tc>
      </w:tr>
      <w:tr w14:paraId="364BF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390" w:type="dxa"/>
            <w:gridSpan w:val="3"/>
            <w:noWrap w:val="0"/>
            <w:vAlign w:val="center"/>
          </w:tcPr>
          <w:p w14:paraId="364E2FB5">
            <w:pPr>
              <w:adjustRightInd w:val="0"/>
              <w:snapToGrid w:val="0"/>
              <w:spacing w:line="360" w:lineRule="auto"/>
              <w:rPr>
                <w:rFonts w:ascii="宋体" w:hAnsi="宋体" w:cs="宋体"/>
                <w:szCs w:val="21"/>
              </w:rPr>
            </w:pPr>
            <w:r>
              <w:rPr>
                <w:rFonts w:hint="eastAsia" w:ascii="宋体" w:hAnsi="宋体" w:cs="宋体"/>
                <w:b/>
                <w:szCs w:val="21"/>
              </w:rPr>
              <w:t>一、说明</w:t>
            </w:r>
          </w:p>
        </w:tc>
      </w:tr>
      <w:tr w14:paraId="6D468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82" w:type="dxa"/>
            <w:noWrap w:val="0"/>
            <w:vAlign w:val="center"/>
          </w:tcPr>
          <w:p w14:paraId="4B6F5752">
            <w:pPr>
              <w:adjustRightInd w:val="0"/>
              <w:snapToGrid w:val="0"/>
              <w:spacing w:line="360" w:lineRule="auto"/>
              <w:jc w:val="center"/>
              <w:rPr>
                <w:rFonts w:ascii="宋体" w:hAnsi="宋体" w:cs="宋体"/>
                <w:szCs w:val="21"/>
              </w:rPr>
            </w:pPr>
            <w:r>
              <w:rPr>
                <w:rFonts w:hint="eastAsia" w:ascii="宋体" w:hAnsi="宋体" w:cs="宋体"/>
                <w:szCs w:val="21"/>
              </w:rPr>
              <w:t>第二章第1.1款</w:t>
            </w:r>
          </w:p>
        </w:tc>
        <w:tc>
          <w:tcPr>
            <w:tcW w:w="1841" w:type="dxa"/>
            <w:noWrap w:val="0"/>
            <w:vAlign w:val="center"/>
          </w:tcPr>
          <w:p w14:paraId="6C83B77A">
            <w:pPr>
              <w:adjustRightInd w:val="0"/>
              <w:snapToGrid w:val="0"/>
              <w:spacing w:line="360" w:lineRule="auto"/>
              <w:rPr>
                <w:rFonts w:ascii="宋体" w:hAnsi="宋体" w:cs="宋体"/>
                <w:szCs w:val="21"/>
              </w:rPr>
            </w:pPr>
            <w:r>
              <w:rPr>
                <w:rFonts w:hint="eastAsia" w:ascii="宋体" w:hAnsi="宋体" w:cs="宋体"/>
                <w:szCs w:val="21"/>
              </w:rPr>
              <w:t>采购项目</w:t>
            </w:r>
          </w:p>
        </w:tc>
        <w:tc>
          <w:tcPr>
            <w:tcW w:w="5867" w:type="dxa"/>
            <w:noWrap w:val="0"/>
            <w:vAlign w:val="center"/>
          </w:tcPr>
          <w:p w14:paraId="155EC0AB">
            <w:pPr>
              <w:adjustRightInd w:val="0"/>
              <w:snapToGrid w:val="0"/>
              <w:spacing w:line="360" w:lineRule="auto"/>
              <w:jc w:val="left"/>
              <w:rPr>
                <w:rFonts w:hint="default" w:ascii="宋体" w:hAnsi="宋体" w:eastAsia="宋体" w:cs="宋体"/>
                <w:szCs w:val="21"/>
                <w:lang w:eastAsia="zh-CN"/>
              </w:rPr>
            </w:pPr>
            <w:r>
              <w:rPr>
                <w:rFonts w:hint="eastAsia" w:ascii="宋体" w:hAnsi="宋体" w:eastAsia="宋体" w:cs="宋体"/>
                <w:color w:val="000000"/>
                <w:szCs w:val="21"/>
                <w:lang w:val="en-US" w:eastAsia="zh-CN"/>
              </w:rPr>
              <w:t>智慧教学网络云平台服务</w:t>
            </w:r>
          </w:p>
        </w:tc>
      </w:tr>
      <w:tr w14:paraId="61245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0" w:hRule="atLeast"/>
          <w:jc w:val="center"/>
        </w:trPr>
        <w:tc>
          <w:tcPr>
            <w:tcW w:w="1682" w:type="dxa"/>
            <w:noWrap w:val="0"/>
            <w:vAlign w:val="center"/>
          </w:tcPr>
          <w:p w14:paraId="55A3AB2B">
            <w:pPr>
              <w:adjustRightInd w:val="0"/>
              <w:snapToGrid w:val="0"/>
              <w:spacing w:line="360" w:lineRule="auto"/>
              <w:jc w:val="center"/>
              <w:rPr>
                <w:rFonts w:ascii="宋体" w:hAnsi="宋体" w:cs="宋体"/>
                <w:szCs w:val="21"/>
              </w:rPr>
            </w:pPr>
            <w:r>
              <w:rPr>
                <w:rFonts w:hint="eastAsia" w:ascii="宋体" w:hAnsi="宋体" w:cs="宋体"/>
                <w:szCs w:val="21"/>
              </w:rPr>
              <w:t>第二章第2.1款</w:t>
            </w:r>
          </w:p>
        </w:tc>
        <w:tc>
          <w:tcPr>
            <w:tcW w:w="1841" w:type="dxa"/>
            <w:noWrap w:val="0"/>
            <w:vAlign w:val="center"/>
          </w:tcPr>
          <w:p w14:paraId="527DB11A">
            <w:pPr>
              <w:adjustRightInd w:val="0"/>
              <w:snapToGrid w:val="0"/>
              <w:spacing w:line="360" w:lineRule="auto"/>
              <w:rPr>
                <w:rFonts w:ascii="宋体" w:hAnsi="宋体" w:cs="宋体"/>
                <w:szCs w:val="21"/>
              </w:rPr>
            </w:pPr>
            <w:r>
              <w:rPr>
                <w:rFonts w:hint="eastAsia" w:ascii="宋体" w:hAnsi="宋体" w:cs="宋体"/>
                <w:szCs w:val="21"/>
              </w:rPr>
              <w:t>采购人</w:t>
            </w:r>
          </w:p>
        </w:tc>
        <w:tc>
          <w:tcPr>
            <w:tcW w:w="5867" w:type="dxa"/>
            <w:noWrap w:val="0"/>
            <w:vAlign w:val="center"/>
          </w:tcPr>
          <w:p w14:paraId="24CABAA7">
            <w:pPr>
              <w:spacing w:line="360" w:lineRule="auto"/>
              <w:rPr>
                <w:rFonts w:hint="eastAsia" w:ascii="宋体" w:hAnsi="宋体" w:eastAsia="宋体" w:cs="宋体"/>
                <w:szCs w:val="21"/>
              </w:rPr>
            </w:pPr>
            <w:r>
              <w:rPr>
                <w:rFonts w:hint="eastAsia" w:hAnsi="宋体" w:cs="宋体"/>
                <w:shd w:val="clear" w:color="auto" w:fill="FFFFFF"/>
              </w:rPr>
              <w:t>采购人：</w:t>
            </w:r>
            <w:r>
              <w:rPr>
                <w:rFonts w:hint="eastAsia" w:ascii="宋体" w:hAnsi="宋体" w:eastAsia="宋体" w:cs="宋体"/>
                <w:szCs w:val="21"/>
              </w:rPr>
              <w:t>湖南工程职业技术学院</w:t>
            </w:r>
          </w:p>
          <w:p w14:paraId="1717ECCB">
            <w:pPr>
              <w:spacing w:line="360" w:lineRule="auto"/>
              <w:rPr>
                <w:rFonts w:hint="eastAsia" w:hAnsi="宋体" w:eastAsia="宋体" w:cs="宋体"/>
                <w:shd w:val="clear" w:color="auto" w:fill="FFFFFF"/>
                <w:lang w:eastAsia="zh-CN"/>
              </w:rPr>
            </w:pPr>
            <w:r>
              <w:rPr>
                <w:rFonts w:hint="eastAsia" w:hAnsi="宋体" w:cs="宋体"/>
                <w:shd w:val="clear" w:color="auto" w:fill="FFFFFF"/>
              </w:rPr>
              <w:t>地址：</w:t>
            </w:r>
            <w:r>
              <w:rPr>
                <w:rFonts w:hint="eastAsia" w:ascii="宋体" w:hAnsi="宋体" w:eastAsia="宋体" w:cs="宋体"/>
                <w:szCs w:val="21"/>
              </w:rPr>
              <w:t>湖南省长沙市长沙县万家丽北路水渡河100号</w:t>
            </w:r>
          </w:p>
          <w:p w14:paraId="58A5754A">
            <w:pPr>
              <w:pStyle w:val="23"/>
              <w:spacing w:line="400" w:lineRule="exact"/>
              <w:ind w:left="1155" w:hanging="1155" w:hangingChars="550"/>
              <w:jc w:val="left"/>
              <w:rPr>
                <w:rFonts w:hint="eastAsia" w:hAnsi="宋体" w:cs="宋体"/>
                <w:shd w:val="clear" w:color="auto" w:fill="FFFFFF"/>
              </w:rPr>
            </w:pPr>
            <w:r>
              <w:rPr>
                <w:rFonts w:hint="eastAsia" w:hAnsi="宋体" w:cs="宋体"/>
                <w:shd w:val="clear" w:color="auto" w:fill="FFFFFF"/>
              </w:rPr>
              <w:t>电话：</w:t>
            </w:r>
            <w:r>
              <w:rPr>
                <w:rFonts w:hint="eastAsia" w:ascii="宋体" w:hAnsi="宋体" w:eastAsia="宋体" w:cs="宋体"/>
                <w:szCs w:val="21"/>
              </w:rPr>
              <w:t>0731-84098356</w:t>
            </w:r>
          </w:p>
          <w:p w14:paraId="75234A3E">
            <w:pPr>
              <w:pStyle w:val="23"/>
              <w:spacing w:line="400" w:lineRule="exact"/>
              <w:ind w:left="1155" w:hanging="1155" w:hangingChars="550"/>
              <w:jc w:val="left"/>
              <w:rPr>
                <w:rFonts w:hint="eastAsia" w:hAnsi="宋体" w:eastAsia="宋体" w:cs="宋体"/>
                <w:shd w:val="clear" w:color="auto" w:fill="FFFFFF"/>
                <w:lang w:eastAsia="zh-CN"/>
              </w:rPr>
            </w:pPr>
            <w:r>
              <w:rPr>
                <w:rFonts w:hint="eastAsia" w:hAnsi="宋体" w:cs="宋体"/>
                <w:shd w:val="clear" w:color="auto" w:fill="FFFFFF"/>
              </w:rPr>
              <w:t>联系人：</w:t>
            </w:r>
            <w:r>
              <w:rPr>
                <w:rFonts w:hint="eastAsia" w:ascii="宋体" w:hAnsi="宋体" w:eastAsia="宋体" w:cs="宋体"/>
                <w:szCs w:val="21"/>
              </w:rPr>
              <w:t>郭老师、胡老师</w:t>
            </w:r>
          </w:p>
        </w:tc>
      </w:tr>
      <w:tr w14:paraId="1E137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3D07A446">
            <w:pPr>
              <w:adjustRightInd w:val="0"/>
              <w:snapToGrid w:val="0"/>
              <w:spacing w:line="360" w:lineRule="auto"/>
              <w:jc w:val="center"/>
              <w:rPr>
                <w:rFonts w:ascii="宋体" w:hAnsi="宋体" w:cs="宋体"/>
                <w:szCs w:val="21"/>
              </w:rPr>
            </w:pPr>
            <w:r>
              <w:rPr>
                <w:rFonts w:hint="eastAsia" w:ascii="宋体" w:hAnsi="宋体" w:cs="宋体"/>
                <w:szCs w:val="21"/>
              </w:rPr>
              <w:t>第二章第2.2款</w:t>
            </w:r>
          </w:p>
        </w:tc>
        <w:tc>
          <w:tcPr>
            <w:tcW w:w="1841" w:type="dxa"/>
            <w:noWrap w:val="0"/>
            <w:vAlign w:val="center"/>
          </w:tcPr>
          <w:p w14:paraId="05211E91">
            <w:pPr>
              <w:adjustRightInd w:val="0"/>
              <w:snapToGrid w:val="0"/>
              <w:spacing w:line="360" w:lineRule="auto"/>
              <w:jc w:val="left"/>
              <w:rPr>
                <w:rFonts w:ascii="宋体" w:hAnsi="宋体" w:cs="宋体"/>
                <w:szCs w:val="21"/>
              </w:rPr>
            </w:pPr>
            <w:r>
              <w:rPr>
                <w:rFonts w:hint="eastAsia" w:ascii="宋体" w:hAnsi="宋体" w:cs="宋体"/>
                <w:szCs w:val="21"/>
              </w:rPr>
              <w:t>采购代理机构</w:t>
            </w:r>
          </w:p>
        </w:tc>
        <w:tc>
          <w:tcPr>
            <w:tcW w:w="5867" w:type="dxa"/>
            <w:noWrap w:val="0"/>
            <w:vAlign w:val="center"/>
          </w:tcPr>
          <w:p w14:paraId="7CC541FE">
            <w:pPr>
              <w:pStyle w:val="23"/>
              <w:spacing w:line="400" w:lineRule="exact"/>
              <w:ind w:left="1155" w:hanging="1155" w:hangingChars="550"/>
              <w:jc w:val="left"/>
              <w:rPr>
                <w:rFonts w:hint="eastAsia" w:hAnsi="宋体" w:cs="宋体"/>
                <w:shd w:val="clear" w:color="auto" w:fill="FFFFFF"/>
              </w:rPr>
            </w:pPr>
            <w:r>
              <w:rPr>
                <w:rFonts w:hint="eastAsia" w:hAnsi="宋体" w:cs="宋体"/>
                <w:shd w:val="clear" w:color="auto" w:fill="FFFFFF"/>
              </w:rPr>
              <w:t>采购代理机构名称：</w:t>
            </w:r>
            <w:r>
              <w:rPr>
                <w:rFonts w:hint="eastAsia" w:ascii="宋体" w:hAnsi="宋体" w:eastAsia="宋体" w:cs="宋体"/>
                <w:szCs w:val="21"/>
              </w:rPr>
              <w:t>湖南</w:t>
            </w:r>
            <w:r>
              <w:rPr>
                <w:rFonts w:hint="eastAsia" w:ascii="宋体" w:hAnsi="宋体" w:eastAsia="宋体" w:cs="宋体"/>
                <w:szCs w:val="21"/>
                <w:lang w:val="en-US" w:eastAsia="zh-CN"/>
              </w:rPr>
              <w:t>长顺项目管理</w:t>
            </w:r>
            <w:r>
              <w:rPr>
                <w:rFonts w:hint="eastAsia" w:ascii="宋体" w:hAnsi="宋体" w:eastAsia="宋体" w:cs="宋体"/>
                <w:szCs w:val="21"/>
              </w:rPr>
              <w:t>有限公司</w:t>
            </w:r>
          </w:p>
          <w:p w14:paraId="39E94FA2">
            <w:pPr>
              <w:pStyle w:val="23"/>
              <w:spacing w:line="400" w:lineRule="exact"/>
              <w:ind w:left="15" w:hanging="14" w:hangingChars="7"/>
              <w:jc w:val="left"/>
              <w:rPr>
                <w:rFonts w:hint="eastAsia" w:hAnsi="宋体" w:eastAsia="宋体" w:cs="宋体"/>
                <w:shd w:val="clear" w:color="auto" w:fill="FFFFFF"/>
                <w:lang w:eastAsia="zh-CN"/>
              </w:rPr>
            </w:pPr>
            <w:r>
              <w:rPr>
                <w:rFonts w:hint="eastAsia" w:hAnsi="宋体" w:cs="宋体"/>
                <w:shd w:val="clear" w:color="auto" w:fill="FFFFFF"/>
              </w:rPr>
              <w:t>地址：</w:t>
            </w:r>
            <w:r>
              <w:rPr>
                <w:rFonts w:hint="eastAsia" w:ascii="宋体" w:hAnsi="宋体" w:eastAsia="宋体" w:cs="宋体"/>
                <w:szCs w:val="21"/>
              </w:rPr>
              <w:t>湖南省长沙市</w:t>
            </w:r>
            <w:r>
              <w:rPr>
                <w:rFonts w:hint="eastAsia" w:ascii="宋体" w:hAnsi="宋体" w:eastAsia="宋体" w:cs="宋体"/>
                <w:szCs w:val="21"/>
                <w:lang w:val="en-US" w:eastAsia="zh-CN"/>
              </w:rPr>
              <w:t>雨花区新兴路268号8栋</w:t>
            </w:r>
          </w:p>
          <w:p w14:paraId="4A613F69">
            <w:pPr>
              <w:spacing w:line="360" w:lineRule="auto"/>
              <w:rPr>
                <w:rFonts w:hAnsi="宋体" w:cs="宋体"/>
                <w:shd w:val="clear" w:color="auto" w:fill="FFFFFF"/>
              </w:rPr>
            </w:pPr>
            <w:r>
              <w:rPr>
                <w:rFonts w:hint="eastAsia" w:hAnsi="宋体" w:cs="宋体"/>
                <w:shd w:val="clear" w:color="auto" w:fill="FFFFFF"/>
              </w:rPr>
              <w:t>联系人：</w:t>
            </w:r>
            <w:r>
              <w:rPr>
                <w:rFonts w:hint="eastAsia" w:ascii="宋体" w:hAnsi="宋体" w:eastAsia="宋体" w:cs="宋体"/>
                <w:szCs w:val="21"/>
                <w:lang w:val="en-US" w:eastAsia="zh-CN"/>
              </w:rPr>
              <w:t>王探春、王晶、易丽丽、刘波</w:t>
            </w:r>
          </w:p>
          <w:p w14:paraId="6CF1B098">
            <w:pPr>
              <w:spacing w:line="360" w:lineRule="auto"/>
              <w:rPr>
                <w:rFonts w:hint="eastAsia" w:hAnsi="宋体" w:cs="宋体"/>
                <w:shd w:val="clear" w:color="auto" w:fill="FFFFFF"/>
              </w:rPr>
            </w:pPr>
            <w:r>
              <w:rPr>
                <w:rFonts w:hint="eastAsia" w:hAnsi="宋体" w:cs="宋体"/>
                <w:shd w:val="clear" w:color="auto" w:fill="FFFFFF"/>
              </w:rPr>
              <w:t>电话：</w:t>
            </w:r>
            <w:r>
              <w:rPr>
                <w:rFonts w:hint="eastAsia" w:ascii="宋体" w:hAnsi="宋体" w:eastAsia="宋体" w:cs="宋体"/>
                <w:szCs w:val="21"/>
              </w:rPr>
              <w:t>0731-</w:t>
            </w:r>
            <w:r>
              <w:rPr>
                <w:rFonts w:hint="eastAsia" w:ascii="宋体" w:hAnsi="宋体" w:eastAsia="宋体" w:cs="宋体"/>
                <w:szCs w:val="21"/>
                <w:lang w:val="en-US" w:eastAsia="zh-CN"/>
              </w:rPr>
              <w:t>85770482、18673186430</w:t>
            </w:r>
            <w:r>
              <w:rPr>
                <w:rFonts w:hint="eastAsia" w:hAnsi="宋体" w:cs="宋体"/>
                <w:shd w:val="clear" w:color="auto" w:fill="FFFFFF"/>
              </w:rPr>
              <w:t xml:space="preserve"> </w:t>
            </w:r>
          </w:p>
        </w:tc>
      </w:tr>
      <w:tr w14:paraId="52CF6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1682" w:type="dxa"/>
            <w:noWrap w:val="0"/>
            <w:vAlign w:val="center"/>
          </w:tcPr>
          <w:p w14:paraId="1F26D370">
            <w:pPr>
              <w:adjustRightInd w:val="0"/>
              <w:snapToGrid w:val="0"/>
              <w:spacing w:line="360" w:lineRule="auto"/>
              <w:jc w:val="center"/>
              <w:rPr>
                <w:rFonts w:ascii="宋体" w:hAnsi="宋体" w:cs="宋体"/>
                <w:szCs w:val="21"/>
              </w:rPr>
            </w:pPr>
            <w:r>
              <w:rPr>
                <w:rFonts w:hint="eastAsia" w:ascii="宋体" w:hAnsi="宋体" w:cs="宋体"/>
                <w:szCs w:val="21"/>
              </w:rPr>
              <w:t>第二章第2.3款</w:t>
            </w:r>
          </w:p>
        </w:tc>
        <w:tc>
          <w:tcPr>
            <w:tcW w:w="1841" w:type="dxa"/>
            <w:noWrap w:val="0"/>
            <w:vAlign w:val="center"/>
          </w:tcPr>
          <w:p w14:paraId="536863D1">
            <w:pPr>
              <w:adjustRightInd w:val="0"/>
              <w:snapToGrid w:val="0"/>
              <w:spacing w:line="360" w:lineRule="auto"/>
              <w:rPr>
                <w:rFonts w:ascii="宋体" w:hAnsi="宋体" w:cs="宋体"/>
                <w:bCs/>
                <w:szCs w:val="21"/>
              </w:rPr>
            </w:pPr>
            <w:r>
              <w:rPr>
                <w:rFonts w:hint="eastAsia" w:ascii="宋体" w:hAnsi="宋体" w:cs="宋体"/>
                <w:kern w:val="0"/>
                <w:szCs w:val="21"/>
              </w:rPr>
              <w:t>供应商的</w:t>
            </w:r>
            <w:r>
              <w:rPr>
                <w:rFonts w:hint="eastAsia" w:ascii="宋体" w:hAnsi="宋体" w:cs="宋体"/>
                <w:szCs w:val="21"/>
              </w:rPr>
              <w:t>邀请方式</w:t>
            </w:r>
          </w:p>
        </w:tc>
        <w:tc>
          <w:tcPr>
            <w:tcW w:w="5867" w:type="dxa"/>
            <w:noWrap w:val="0"/>
            <w:vAlign w:val="center"/>
          </w:tcPr>
          <w:p w14:paraId="4528C0C6">
            <w:pPr>
              <w:adjustRightInd w:val="0"/>
              <w:snapToGrid w:val="0"/>
              <w:spacing w:line="400" w:lineRule="exact"/>
              <w:jc w:val="left"/>
              <w:rPr>
                <w:rFonts w:hint="eastAsia" w:ascii="宋体" w:hAnsi="宋体" w:eastAsia="宋体" w:cs="宋体"/>
                <w:color w:val="000000"/>
                <w:szCs w:val="21"/>
              </w:rPr>
            </w:pPr>
            <w:r>
              <w:rPr>
                <w:rFonts w:hint="eastAsia" w:ascii="宋体" w:hAnsi="宋体" w:eastAsia="宋体" w:cs="宋体"/>
                <w:color w:val="000000"/>
                <w:szCs w:val="21"/>
              </w:rPr>
              <w:t>☑发布公告</w:t>
            </w:r>
          </w:p>
          <w:p w14:paraId="5EBBC429">
            <w:pPr>
              <w:adjustRightInd w:val="0"/>
              <w:snapToGrid w:val="0"/>
              <w:spacing w:line="400" w:lineRule="exact"/>
              <w:jc w:val="left"/>
              <w:rPr>
                <w:rFonts w:hint="eastAsia" w:ascii="宋体" w:hAnsi="宋体" w:eastAsia="宋体" w:cs="宋体"/>
                <w:color w:val="000000"/>
                <w:szCs w:val="21"/>
              </w:rPr>
            </w:pPr>
            <w:r>
              <w:rPr>
                <w:rFonts w:hint="eastAsia" w:ascii="宋体" w:hAnsi="宋体" w:eastAsia="宋体" w:cs="宋体"/>
                <w:color w:val="000000"/>
                <w:szCs w:val="21"/>
              </w:rPr>
              <w:t>□从省级以上财政部门建立的供应商库中随机抽取</w:t>
            </w:r>
          </w:p>
          <w:p w14:paraId="20C98E5F">
            <w:pPr>
              <w:adjustRightInd w:val="0"/>
              <w:snapToGrid w:val="0"/>
              <w:spacing w:line="360" w:lineRule="auto"/>
              <w:rPr>
                <w:rFonts w:ascii="宋体" w:hAnsi="宋体" w:cs="宋体"/>
                <w:szCs w:val="21"/>
              </w:rPr>
            </w:pPr>
            <w:r>
              <w:rPr>
                <w:rFonts w:hint="eastAsia" w:ascii="宋体" w:hAnsi="宋体" w:eastAsia="宋体" w:cs="宋体"/>
                <w:color w:val="000000"/>
                <w:szCs w:val="21"/>
              </w:rPr>
              <w:t>□采购人和评审专家分别书面推荐的方式</w:t>
            </w:r>
          </w:p>
        </w:tc>
      </w:tr>
      <w:tr w14:paraId="5263D9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682" w:type="dxa"/>
            <w:noWrap w:val="0"/>
            <w:vAlign w:val="center"/>
          </w:tcPr>
          <w:p w14:paraId="5CD145BA">
            <w:pPr>
              <w:adjustRightInd w:val="0"/>
              <w:snapToGrid w:val="0"/>
              <w:spacing w:line="360" w:lineRule="auto"/>
              <w:jc w:val="center"/>
              <w:rPr>
                <w:rFonts w:ascii="宋体" w:hAnsi="宋体" w:cs="宋体"/>
                <w:szCs w:val="21"/>
              </w:rPr>
            </w:pPr>
            <w:r>
              <w:rPr>
                <w:rFonts w:hint="eastAsia" w:ascii="宋体" w:hAnsi="宋体" w:cs="宋体"/>
                <w:szCs w:val="21"/>
              </w:rPr>
              <w:t>第二章第3.1款</w:t>
            </w:r>
          </w:p>
          <w:p w14:paraId="31214BB3">
            <w:pPr>
              <w:adjustRightInd w:val="0"/>
              <w:snapToGrid w:val="0"/>
              <w:spacing w:line="360" w:lineRule="auto"/>
              <w:jc w:val="center"/>
              <w:rPr>
                <w:rFonts w:ascii="宋体" w:hAnsi="宋体" w:cs="宋体"/>
                <w:szCs w:val="21"/>
              </w:rPr>
            </w:pPr>
          </w:p>
        </w:tc>
        <w:tc>
          <w:tcPr>
            <w:tcW w:w="1841" w:type="dxa"/>
            <w:noWrap w:val="0"/>
            <w:vAlign w:val="center"/>
          </w:tcPr>
          <w:p w14:paraId="6D4C9EA0">
            <w:pPr>
              <w:adjustRightInd w:val="0"/>
              <w:snapToGrid w:val="0"/>
              <w:spacing w:line="360" w:lineRule="auto"/>
              <w:rPr>
                <w:rFonts w:ascii="宋体" w:hAnsi="宋体" w:cs="宋体"/>
                <w:szCs w:val="21"/>
              </w:rPr>
            </w:pPr>
            <w:r>
              <w:rPr>
                <w:rFonts w:hint="eastAsia" w:ascii="宋体" w:hAnsi="宋体" w:cs="宋体"/>
                <w:bCs/>
                <w:szCs w:val="21"/>
              </w:rPr>
              <w:t>供应商</w:t>
            </w:r>
            <w:r>
              <w:rPr>
                <w:rFonts w:hint="eastAsia" w:ascii="宋体" w:hAnsi="宋体" w:cs="宋体"/>
                <w:szCs w:val="21"/>
              </w:rPr>
              <w:t>资格条件</w:t>
            </w:r>
          </w:p>
          <w:p w14:paraId="3387F64E">
            <w:pPr>
              <w:adjustRightInd w:val="0"/>
              <w:snapToGrid w:val="0"/>
              <w:spacing w:line="360" w:lineRule="auto"/>
              <w:rPr>
                <w:rFonts w:ascii="宋体" w:hAnsi="宋体" w:cs="宋体"/>
                <w:kern w:val="0"/>
                <w:szCs w:val="21"/>
              </w:rPr>
            </w:pPr>
          </w:p>
        </w:tc>
        <w:tc>
          <w:tcPr>
            <w:tcW w:w="5867" w:type="dxa"/>
            <w:noWrap w:val="0"/>
            <w:vAlign w:val="center"/>
          </w:tcPr>
          <w:p w14:paraId="3374273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4D94777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7A00656">
            <w:pPr>
              <w:keepNext w:val="0"/>
              <w:keepLines w:val="0"/>
              <w:pageBreakBefore w:val="0"/>
              <w:widowControl w:val="0"/>
              <w:kinsoku/>
              <w:wordWrap/>
              <w:overflowPunct/>
              <w:topLinePunct w:val="0"/>
              <w:autoSpaceDE/>
              <w:autoSpaceDN/>
              <w:bidi w:val="0"/>
              <w:adjustRightInd w:val="0"/>
              <w:snapToGrid w:val="0"/>
              <w:spacing w:line="288"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□专门面向：□中小企业□小微企业 □监狱企业 □福利性单位 </w:t>
            </w:r>
          </w:p>
          <w:p w14:paraId="43406AA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无</w:t>
            </w:r>
          </w:p>
          <w:p w14:paraId="5E7EED46">
            <w:pPr>
              <w:keepNext w:val="0"/>
              <w:keepLines w:val="0"/>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根据湘财购[2022]17号文件相关规定，符合法定条件的供应商凭《供应商资格声明》、《湖南省政府采购供应商资格承诺函》（格式见附件</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）参与政府采购活动，无需提供财务状况、缴纳税收和社会保障资金等资格证明材料。</w:t>
            </w:r>
          </w:p>
          <w:p w14:paraId="656C915A">
            <w:pPr>
              <w:spacing w:line="360" w:lineRule="auto"/>
              <w:ind w:firstLine="424" w:firstLineChars="202"/>
              <w:rPr>
                <w:rFonts w:ascii="宋体" w:hAnsi="宋体" w:cs="宋体"/>
                <w:szCs w:val="21"/>
              </w:rPr>
            </w:pPr>
            <w:r>
              <w:rPr>
                <w:rFonts w:hint="eastAsia" w:ascii="宋体" w:hAnsi="宋体" w:eastAsia="宋体" w:cs="宋体"/>
                <w:color w:val="auto"/>
                <w:szCs w:val="21"/>
                <w:highlight w:val="none"/>
              </w:rPr>
              <w:t>具体详见本磋商文件第一章“供应商的资格要求”。</w:t>
            </w:r>
          </w:p>
        </w:tc>
      </w:tr>
      <w:tr w14:paraId="658AFC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82" w:type="dxa"/>
            <w:noWrap w:val="0"/>
            <w:vAlign w:val="center"/>
          </w:tcPr>
          <w:p w14:paraId="7D042D0A">
            <w:pPr>
              <w:adjustRightInd w:val="0"/>
              <w:snapToGrid w:val="0"/>
              <w:spacing w:line="360" w:lineRule="auto"/>
              <w:jc w:val="center"/>
              <w:rPr>
                <w:rFonts w:ascii="宋体" w:hAnsi="宋体" w:cs="宋体"/>
                <w:szCs w:val="21"/>
              </w:rPr>
            </w:pPr>
            <w:r>
              <w:rPr>
                <w:rFonts w:hint="eastAsia" w:ascii="宋体" w:hAnsi="宋体" w:cs="宋体"/>
                <w:szCs w:val="21"/>
              </w:rPr>
              <w:t>第二章第6.1款</w:t>
            </w:r>
          </w:p>
        </w:tc>
        <w:tc>
          <w:tcPr>
            <w:tcW w:w="1841" w:type="dxa"/>
            <w:noWrap w:val="0"/>
            <w:vAlign w:val="center"/>
          </w:tcPr>
          <w:p w14:paraId="288B1CC2">
            <w:pPr>
              <w:adjustRightInd w:val="0"/>
              <w:snapToGrid w:val="0"/>
              <w:spacing w:line="360" w:lineRule="auto"/>
              <w:rPr>
                <w:rFonts w:ascii="宋体" w:hAnsi="宋体" w:cs="宋体"/>
                <w:szCs w:val="21"/>
              </w:rPr>
            </w:pPr>
            <w:r>
              <w:rPr>
                <w:rFonts w:hint="eastAsia" w:ascii="宋体" w:hAnsi="宋体" w:cs="宋体"/>
                <w:szCs w:val="21"/>
              </w:rPr>
              <w:t>联合体形式</w:t>
            </w:r>
          </w:p>
        </w:tc>
        <w:tc>
          <w:tcPr>
            <w:tcW w:w="5867" w:type="dxa"/>
            <w:noWrap w:val="0"/>
            <w:vAlign w:val="center"/>
          </w:tcPr>
          <w:p w14:paraId="44D48A90">
            <w:pPr>
              <w:adjustRightInd w:val="0"/>
              <w:snapToGrid w:val="0"/>
              <w:spacing w:line="360" w:lineRule="auto"/>
              <w:rPr>
                <w:rFonts w:ascii="宋体" w:hAnsi="宋体" w:cs="宋体"/>
                <w:szCs w:val="21"/>
              </w:rPr>
            </w:pPr>
            <w:r>
              <w:rPr>
                <w:rFonts w:hint="eastAsia" w:ascii="宋体" w:hAnsi="宋体" w:cs="宋体"/>
                <w:szCs w:val="21"/>
              </w:rPr>
              <w:t>■ 不接受</w:t>
            </w:r>
          </w:p>
          <w:p w14:paraId="2E094183">
            <w:pPr>
              <w:adjustRightInd w:val="0"/>
              <w:snapToGrid w:val="0"/>
              <w:spacing w:line="360" w:lineRule="auto"/>
              <w:rPr>
                <w:rFonts w:ascii="宋体" w:hAnsi="宋体" w:cs="宋体"/>
                <w:szCs w:val="21"/>
              </w:rPr>
            </w:pPr>
            <w:r>
              <w:rPr>
                <w:rFonts w:hint="eastAsia" w:ascii="宋体" w:hAnsi="宋体" w:cs="宋体"/>
                <w:szCs w:val="21"/>
              </w:rPr>
              <w:t>□ 接受</w:t>
            </w:r>
          </w:p>
        </w:tc>
      </w:tr>
      <w:tr w14:paraId="41FA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82" w:type="dxa"/>
            <w:noWrap w:val="0"/>
            <w:vAlign w:val="center"/>
          </w:tcPr>
          <w:p w14:paraId="0CC7CF86">
            <w:pPr>
              <w:adjustRightInd w:val="0"/>
              <w:snapToGrid w:val="0"/>
              <w:spacing w:line="360" w:lineRule="auto"/>
              <w:jc w:val="center"/>
              <w:rPr>
                <w:rFonts w:ascii="宋体" w:hAnsi="宋体" w:cs="宋体"/>
                <w:szCs w:val="21"/>
              </w:rPr>
            </w:pPr>
            <w:r>
              <w:rPr>
                <w:rFonts w:hint="eastAsia" w:ascii="宋体" w:hAnsi="宋体" w:cs="宋体"/>
                <w:szCs w:val="21"/>
              </w:rPr>
              <w:t>第二章第6.2款</w:t>
            </w:r>
          </w:p>
        </w:tc>
        <w:tc>
          <w:tcPr>
            <w:tcW w:w="1841" w:type="dxa"/>
            <w:noWrap w:val="0"/>
            <w:vAlign w:val="center"/>
          </w:tcPr>
          <w:p w14:paraId="035C0659">
            <w:pPr>
              <w:adjustRightInd w:val="0"/>
              <w:snapToGrid w:val="0"/>
              <w:spacing w:line="360" w:lineRule="auto"/>
              <w:rPr>
                <w:rFonts w:ascii="宋体" w:hAnsi="宋体" w:cs="宋体"/>
                <w:szCs w:val="21"/>
              </w:rPr>
            </w:pPr>
            <w:r>
              <w:rPr>
                <w:rFonts w:hint="eastAsia" w:ascii="宋体" w:hAnsi="宋体" w:cs="宋体"/>
                <w:szCs w:val="21"/>
              </w:rPr>
              <w:t>对联合体各方的要求</w:t>
            </w:r>
          </w:p>
        </w:tc>
        <w:tc>
          <w:tcPr>
            <w:tcW w:w="5867" w:type="dxa"/>
            <w:noWrap w:val="0"/>
            <w:vAlign w:val="center"/>
          </w:tcPr>
          <w:p w14:paraId="6741611A">
            <w:pPr>
              <w:adjustRightInd w:val="0"/>
              <w:snapToGrid w:val="0"/>
              <w:spacing w:line="360" w:lineRule="auto"/>
              <w:rPr>
                <w:rFonts w:ascii="宋体" w:hAnsi="宋体" w:cs="宋体"/>
                <w:szCs w:val="21"/>
              </w:rPr>
            </w:pPr>
            <w:r>
              <w:rPr>
                <w:rFonts w:hint="eastAsia" w:ascii="宋体" w:hAnsi="宋体"/>
                <w:szCs w:val="21"/>
              </w:rPr>
              <w:t>不接受联合体投标</w:t>
            </w:r>
          </w:p>
        </w:tc>
      </w:tr>
      <w:tr w14:paraId="77D02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682" w:type="dxa"/>
            <w:noWrap w:val="0"/>
            <w:vAlign w:val="center"/>
          </w:tcPr>
          <w:p w14:paraId="67A71E7C">
            <w:pPr>
              <w:adjustRightInd w:val="0"/>
              <w:snapToGrid w:val="0"/>
              <w:spacing w:line="360" w:lineRule="auto"/>
              <w:jc w:val="center"/>
              <w:rPr>
                <w:rFonts w:ascii="宋体" w:hAnsi="宋体" w:cs="宋体"/>
                <w:szCs w:val="21"/>
              </w:rPr>
            </w:pPr>
            <w:r>
              <w:rPr>
                <w:rFonts w:hint="eastAsia" w:ascii="宋体" w:hAnsi="宋体" w:cs="宋体"/>
                <w:szCs w:val="21"/>
              </w:rPr>
              <w:t>第二章第7.1款</w:t>
            </w:r>
          </w:p>
        </w:tc>
        <w:tc>
          <w:tcPr>
            <w:tcW w:w="1841" w:type="dxa"/>
            <w:noWrap w:val="0"/>
            <w:vAlign w:val="center"/>
          </w:tcPr>
          <w:p w14:paraId="45BE3733">
            <w:pPr>
              <w:adjustRightInd w:val="0"/>
              <w:snapToGrid w:val="0"/>
              <w:spacing w:line="360" w:lineRule="auto"/>
              <w:rPr>
                <w:rFonts w:ascii="宋体" w:hAnsi="宋体" w:cs="宋体"/>
                <w:szCs w:val="21"/>
              </w:rPr>
            </w:pPr>
            <w:r>
              <w:rPr>
                <w:rFonts w:hint="eastAsia" w:ascii="宋体" w:hAnsi="宋体" w:cs="宋体"/>
                <w:szCs w:val="21"/>
              </w:rPr>
              <w:t>现场勘察</w:t>
            </w:r>
          </w:p>
        </w:tc>
        <w:tc>
          <w:tcPr>
            <w:tcW w:w="5867" w:type="dxa"/>
            <w:noWrap w:val="0"/>
            <w:vAlign w:val="center"/>
          </w:tcPr>
          <w:p w14:paraId="06F715DE">
            <w:pPr>
              <w:adjustRightInd w:val="0"/>
              <w:snapToGrid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 采购人不统一组织，供应商自行踏勘。</w:t>
            </w:r>
          </w:p>
          <w:p w14:paraId="423BF60C">
            <w:pPr>
              <w:adjustRightInd w:val="0"/>
              <w:snapToGrid w:val="0"/>
              <w:spacing w:line="320" w:lineRule="exact"/>
              <w:rPr>
                <w:rFonts w:hint="eastAsia" w:eastAsia="宋体"/>
                <w:lang w:eastAsia="zh-CN"/>
              </w:rPr>
            </w:pPr>
            <w:r>
              <w:rPr>
                <w:rFonts w:hint="eastAsia" w:ascii="宋体" w:hAnsi="宋体" w:eastAsia="宋体" w:cs="宋体"/>
                <w:szCs w:val="21"/>
                <w:highlight w:val="none"/>
              </w:rPr>
              <w:t>□ 采购人组织，时间：</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、地点：</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  </w:t>
            </w:r>
          </w:p>
        </w:tc>
      </w:tr>
      <w:tr w14:paraId="2204D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682" w:type="dxa"/>
            <w:noWrap w:val="0"/>
            <w:vAlign w:val="center"/>
          </w:tcPr>
          <w:p w14:paraId="488ABC4B">
            <w:pPr>
              <w:rPr>
                <w:rFonts w:ascii="宋体" w:hAnsi="宋体" w:cs="宋体"/>
                <w:szCs w:val="21"/>
              </w:rPr>
            </w:pPr>
            <w:r>
              <w:rPr>
                <w:rFonts w:hint="eastAsia" w:ascii="宋体" w:hAnsi="宋体" w:cs="宋体"/>
                <w:szCs w:val="21"/>
              </w:rPr>
              <w:t>第二章第8.1款</w:t>
            </w:r>
          </w:p>
        </w:tc>
        <w:tc>
          <w:tcPr>
            <w:tcW w:w="1841" w:type="dxa"/>
            <w:noWrap w:val="0"/>
            <w:vAlign w:val="center"/>
          </w:tcPr>
          <w:p w14:paraId="0A85F41C">
            <w:pPr>
              <w:rPr>
                <w:rFonts w:ascii="宋体" w:hAnsi="宋体" w:cs="宋体"/>
                <w:szCs w:val="21"/>
              </w:rPr>
            </w:pPr>
            <w:r>
              <w:rPr>
                <w:rFonts w:hint="eastAsia" w:ascii="宋体" w:hAnsi="宋体" w:cs="宋体"/>
                <w:szCs w:val="21"/>
              </w:rPr>
              <w:t>采购进口产品</w:t>
            </w:r>
          </w:p>
        </w:tc>
        <w:tc>
          <w:tcPr>
            <w:tcW w:w="5867" w:type="dxa"/>
            <w:noWrap w:val="0"/>
            <w:vAlign w:val="center"/>
          </w:tcPr>
          <w:p w14:paraId="1C0EAED3">
            <w:pPr>
              <w:rPr>
                <w:rFonts w:ascii="宋体" w:hAnsi="宋体" w:cs="宋体"/>
                <w:szCs w:val="21"/>
              </w:rPr>
            </w:pPr>
            <w:r>
              <w:rPr>
                <w:rFonts w:hint="eastAsia" w:ascii="宋体" w:hAnsi="宋体" w:cs="宋体"/>
                <w:szCs w:val="21"/>
              </w:rPr>
              <w:t>■ 本采购项目拒绝进口产品参加投标</w:t>
            </w:r>
          </w:p>
          <w:p w14:paraId="27DC6BA1">
            <w:pPr>
              <w:rPr>
                <w:rFonts w:ascii="宋体" w:hAnsi="宋体" w:cs="宋体"/>
                <w:szCs w:val="21"/>
              </w:rPr>
            </w:pPr>
            <w:r>
              <w:rPr>
                <w:rFonts w:hint="eastAsia" w:ascii="宋体" w:hAnsi="宋体" w:cs="宋体"/>
                <w:szCs w:val="21"/>
              </w:rPr>
              <w:t>□ 本采购项目已经财政部门审核同意购买进口产品</w:t>
            </w:r>
          </w:p>
        </w:tc>
      </w:tr>
      <w:tr w14:paraId="47CAF9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682" w:type="dxa"/>
            <w:noWrap w:val="0"/>
            <w:vAlign w:val="center"/>
          </w:tcPr>
          <w:p w14:paraId="413AFEB6">
            <w:pPr>
              <w:rPr>
                <w:rFonts w:ascii="宋体" w:hAnsi="宋体" w:cs="宋体"/>
                <w:szCs w:val="21"/>
              </w:rPr>
            </w:pPr>
            <w:r>
              <w:rPr>
                <w:rFonts w:hint="eastAsia" w:ascii="宋体" w:hAnsi="宋体" w:cs="宋体"/>
                <w:szCs w:val="21"/>
              </w:rPr>
              <w:t>第二章第9.1款</w:t>
            </w:r>
          </w:p>
        </w:tc>
        <w:tc>
          <w:tcPr>
            <w:tcW w:w="1841" w:type="dxa"/>
            <w:noWrap w:val="0"/>
            <w:vAlign w:val="center"/>
          </w:tcPr>
          <w:p w14:paraId="5F630717">
            <w:pPr>
              <w:rPr>
                <w:rFonts w:ascii="宋体" w:hAnsi="宋体" w:cs="宋体"/>
                <w:szCs w:val="21"/>
              </w:rPr>
            </w:pPr>
            <w:r>
              <w:rPr>
                <w:rFonts w:hint="eastAsia" w:ascii="宋体" w:hAnsi="宋体" w:cs="宋体"/>
                <w:szCs w:val="21"/>
              </w:rPr>
              <w:t>政府采购优先采购：</w:t>
            </w:r>
          </w:p>
          <w:p w14:paraId="3BB63CE1">
            <w:pPr>
              <w:adjustRightInd w:val="0"/>
              <w:snapToGrid w:val="0"/>
              <w:spacing w:line="360" w:lineRule="auto"/>
              <w:rPr>
                <w:rFonts w:ascii="宋体" w:hAnsi="宋体" w:cs="宋体"/>
                <w:szCs w:val="21"/>
              </w:rPr>
            </w:pPr>
            <w:r>
              <w:rPr>
                <w:rFonts w:hint="eastAsia" w:ascii="宋体" w:hAnsi="宋体" w:cs="宋体"/>
                <w:szCs w:val="21"/>
              </w:rPr>
              <w:t>1、支持小微企业发展；</w:t>
            </w:r>
          </w:p>
          <w:p w14:paraId="0B9AAE7C">
            <w:pPr>
              <w:adjustRightInd w:val="0"/>
              <w:snapToGrid w:val="0"/>
              <w:spacing w:line="360" w:lineRule="auto"/>
              <w:rPr>
                <w:rFonts w:ascii="宋体" w:hAnsi="宋体" w:cs="宋体"/>
                <w:szCs w:val="21"/>
              </w:rPr>
            </w:pPr>
            <w:r>
              <w:rPr>
                <w:rFonts w:hint="eastAsia" w:ascii="宋体" w:hAnsi="宋体" w:cs="宋体"/>
                <w:szCs w:val="21"/>
              </w:rPr>
              <w:t>2、其它。</w:t>
            </w:r>
          </w:p>
        </w:tc>
        <w:tc>
          <w:tcPr>
            <w:tcW w:w="5867" w:type="dxa"/>
            <w:noWrap w:val="0"/>
            <w:vAlign w:val="center"/>
          </w:tcPr>
          <w:p w14:paraId="3A48D8FA">
            <w:pPr>
              <w:adjustRightInd w:val="0"/>
              <w:snapToGrid w:val="0"/>
              <w:spacing w:line="320" w:lineRule="exact"/>
              <w:rPr>
                <w:rFonts w:ascii="宋体" w:hAnsi="宋体"/>
                <w:szCs w:val="21"/>
                <w:highlight w:val="none"/>
              </w:rPr>
            </w:pPr>
            <w:r>
              <w:rPr>
                <w:rFonts w:hint="eastAsia" w:ascii="宋体" w:hAnsi="宋体"/>
                <w:szCs w:val="21"/>
              </w:rPr>
              <w:t>1、采购产品为财政部 发展改革委发布的《节能产品政府采购品目清单》内标记★符号的，分别给予技术和价格项标准总分值4%-8%的加分。本项目具体加分比例分别为 ：</w:t>
            </w:r>
            <w:r>
              <w:rPr>
                <w:rFonts w:hint="eastAsia" w:ascii="宋体" w:hAnsi="宋体"/>
                <w:szCs w:val="21"/>
                <w:highlight w:val="none"/>
              </w:rPr>
              <w:t xml:space="preserve">技术 </w:t>
            </w:r>
            <w:r>
              <w:rPr>
                <w:rFonts w:hint="eastAsia" w:ascii="宋体" w:hAnsi="宋体"/>
                <w:szCs w:val="21"/>
                <w:highlight w:val="none"/>
                <w:u w:val="single"/>
                <w:lang w:val="en-US" w:eastAsia="zh-CN"/>
              </w:rPr>
              <w:t>/</w:t>
            </w:r>
            <w:r>
              <w:rPr>
                <w:rFonts w:hint="eastAsia" w:ascii="宋体" w:hAnsi="宋体"/>
                <w:szCs w:val="21"/>
                <w:highlight w:val="none"/>
              </w:rPr>
              <w:t xml:space="preserve"> %、价格</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6970A4A3">
            <w:pPr>
              <w:adjustRightInd w:val="0"/>
              <w:snapToGrid w:val="0"/>
              <w:spacing w:line="320" w:lineRule="exact"/>
              <w:rPr>
                <w:rFonts w:ascii="宋体" w:hAnsi="宋体"/>
                <w:szCs w:val="21"/>
              </w:rPr>
            </w:pPr>
            <w:r>
              <w:rPr>
                <w:rFonts w:hint="eastAsia" w:ascii="宋体" w:hAnsi="宋体"/>
                <w:szCs w:val="21"/>
              </w:rPr>
              <w:t>2、采购产品为财政部 发展改革委发布的《环境标志产品政府采购品目清单》内的，分别给予技术和价格项标准总分值4%-8%的加分。本项目具体加分比例分别为 ：技术</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%、价格</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33817088">
            <w:pPr>
              <w:adjustRightInd w:val="0"/>
              <w:snapToGrid w:val="0"/>
              <w:spacing w:line="32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、非专门面向中小企业采购，且符合政府采购促进中小企业发展相关规定的（监狱企业、残疾人福利企业视同小微企业）：</w:t>
            </w:r>
          </w:p>
          <w:p w14:paraId="54A2DF76">
            <w:pPr>
              <w:adjustRightInd w:val="0"/>
              <w:snapToGrid w:val="0"/>
              <w:spacing w:line="320" w:lineRule="exact"/>
              <w:rPr>
                <w:rFonts w:ascii="宋体" w:hAnsi="宋体"/>
                <w:szCs w:val="21"/>
                <w:highlight w:val="none"/>
              </w:rPr>
            </w:pPr>
            <w:r>
              <w:rPr>
                <w:rFonts w:hint="eastAsia" w:ascii="宋体" w:hAnsi="宋体"/>
                <w:szCs w:val="21"/>
                <w:highlight w:val="none"/>
              </w:rPr>
              <w:t xml:space="preserve">（1）给予小型和微型企业产品的价格给予10%-20%的扣除，用扣除后的价格参与评审，本项目具体扣除比例为 </w:t>
            </w:r>
            <w:r>
              <w:rPr>
                <w:rFonts w:hint="eastAsia" w:ascii="宋体" w:hAnsi="宋体"/>
                <w:szCs w:val="21"/>
                <w:highlight w:val="none"/>
                <w:u w:val="single"/>
              </w:rPr>
              <w:t>10</w:t>
            </w:r>
            <w:r>
              <w:rPr>
                <w:rFonts w:hint="eastAsia" w:ascii="宋体" w:hAnsi="宋体"/>
                <w:szCs w:val="21"/>
                <w:highlight w:val="none"/>
              </w:rPr>
              <w:t>％。</w:t>
            </w:r>
          </w:p>
          <w:p w14:paraId="2060FD9B">
            <w:pPr>
              <w:adjustRightInd w:val="0"/>
              <w:snapToGrid w:val="0"/>
              <w:spacing w:line="320" w:lineRule="exact"/>
              <w:rPr>
                <w:rFonts w:ascii="宋体" w:hAnsi="宋体"/>
                <w:szCs w:val="21"/>
              </w:rPr>
            </w:pPr>
            <w:r>
              <w:rPr>
                <w:rFonts w:hint="eastAsia" w:ascii="宋体" w:hAnsi="宋体"/>
                <w:szCs w:val="21"/>
              </w:rPr>
              <w:t>（2）给予联合体2%-3%的价格扣除，用扣除后的价格参与评审，本项目具体扣除比例为</w:t>
            </w:r>
            <w:r>
              <w:rPr>
                <w:rFonts w:hint="eastAsia" w:ascii="宋体" w:hAnsi="宋体"/>
                <w:szCs w:val="21"/>
                <w:u w:val="single"/>
              </w:rPr>
              <w:t xml:space="preserve">  / </w:t>
            </w:r>
            <w:r>
              <w:rPr>
                <w:rFonts w:hint="eastAsia" w:ascii="宋体" w:hAnsi="宋体"/>
                <w:szCs w:val="21"/>
              </w:rPr>
              <w:t>％。</w:t>
            </w:r>
          </w:p>
          <w:p w14:paraId="50108B25">
            <w:pPr>
              <w:adjustRightInd w:val="0"/>
              <w:snapToGrid w:val="0"/>
              <w:spacing w:line="320" w:lineRule="exact"/>
              <w:rPr>
                <w:rFonts w:ascii="宋体" w:hAnsi="宋体"/>
                <w:b/>
                <w:szCs w:val="21"/>
              </w:rPr>
            </w:pP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w:t>
            </w:r>
            <w:r>
              <w:rPr>
                <w:rFonts w:ascii="宋体" w:hAnsi="宋体"/>
                <w:b/>
                <w:szCs w:val="21"/>
              </w:rPr>
              <w:t>支持监狱企业</w:t>
            </w:r>
            <w:r>
              <w:rPr>
                <w:rFonts w:hint="eastAsia" w:ascii="宋体" w:hAnsi="宋体"/>
                <w:b/>
                <w:szCs w:val="21"/>
              </w:rPr>
              <w:t>：</w:t>
            </w:r>
          </w:p>
          <w:p w14:paraId="2531456D">
            <w:pPr>
              <w:adjustRightInd w:val="0"/>
              <w:snapToGrid w:val="0"/>
              <w:spacing w:line="320" w:lineRule="exact"/>
              <w:rPr>
                <w:rFonts w:ascii="宋体" w:hAnsi="宋体"/>
                <w:szCs w:val="21"/>
              </w:rPr>
            </w:pPr>
            <w:r>
              <w:rPr>
                <w:rFonts w:hint="eastAsia" w:ascii="宋体" w:hAnsi="宋体"/>
                <w:szCs w:val="21"/>
              </w:rPr>
              <w:t>①、</w:t>
            </w:r>
            <w:r>
              <w:rPr>
                <w:rFonts w:ascii="宋体" w:hAnsi="宋体"/>
                <w:szCs w:val="21"/>
              </w:rPr>
              <w:t>监狱企业视同小型、微型企业</w:t>
            </w:r>
            <w:r>
              <w:rPr>
                <w:rFonts w:hint="eastAsia" w:ascii="宋体" w:hAnsi="宋体"/>
                <w:szCs w:val="21"/>
              </w:rPr>
              <w:t>；</w:t>
            </w:r>
          </w:p>
          <w:p w14:paraId="3B5CC15E">
            <w:pPr>
              <w:keepNext w:val="0"/>
              <w:keepLines w:val="0"/>
              <w:pageBreakBefore w:val="0"/>
              <w:widowControl w:val="0"/>
              <w:kinsoku/>
              <w:wordWrap/>
              <w:overflowPunct/>
              <w:topLinePunct w:val="0"/>
              <w:autoSpaceDE/>
              <w:autoSpaceDN/>
              <w:bidi w:val="0"/>
              <w:adjustRightInd w:val="0"/>
              <w:snapToGrid w:val="0"/>
              <w:spacing w:before="156" w:beforeLines="50" w:line="400" w:lineRule="exact"/>
              <w:textAlignment w:val="auto"/>
              <w:rPr>
                <w:rFonts w:ascii="宋体" w:hAnsi="宋体"/>
                <w:szCs w:val="21"/>
              </w:rPr>
            </w:pPr>
            <w:r>
              <w:rPr>
                <w:rFonts w:hint="eastAsia" w:ascii="宋体" w:hAnsi="宋体"/>
                <w:szCs w:val="21"/>
              </w:rPr>
              <w:t>②、</w:t>
            </w:r>
            <w:r>
              <w:rPr>
                <w:rFonts w:ascii="宋体" w:hAnsi="宋体"/>
                <w:szCs w:val="21"/>
              </w:rPr>
              <w:t>监狱企业参加政府采购活动时，应当提供由省级以上监狱管理局、戒毒管理局(含新疆生产建设兵团)出具的属于监狱企业的证明文件。</w:t>
            </w:r>
          </w:p>
          <w:p w14:paraId="266544E2">
            <w:pPr>
              <w:keepNext w:val="0"/>
              <w:keepLines w:val="0"/>
              <w:pageBreakBefore w:val="0"/>
              <w:widowControl w:val="0"/>
              <w:kinsoku/>
              <w:wordWrap/>
              <w:overflowPunct/>
              <w:topLinePunct w:val="0"/>
              <w:autoSpaceDE/>
              <w:autoSpaceDN/>
              <w:bidi w:val="0"/>
              <w:spacing w:line="400" w:lineRule="exact"/>
              <w:textAlignment w:val="auto"/>
            </w:pPr>
            <w:r>
              <w:rPr>
                <w:rFonts w:hint="eastAsia"/>
              </w:rPr>
              <w:t>本项目采购标的对应的中小企业划分标准所属行业：（勾选）</w:t>
            </w:r>
          </w:p>
          <w:p w14:paraId="4744EF3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hAnsi="宋体"/>
                <w:highlight w:val="white"/>
              </w:rPr>
              <w:t>（一）农、林、牧、渔业</w:t>
            </w:r>
          </w:p>
          <w:p w14:paraId="01CC87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（二）工业</w:t>
            </w:r>
          </w:p>
          <w:p w14:paraId="70C714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b/>
                <w:bCs/>
              </w:rPr>
            </w:pPr>
            <w:r>
              <w:rPr>
                <w:rFonts w:hint="eastAsia" w:ascii="宋体" w:hAnsi="宋体" w:cs="宋体"/>
                <w:szCs w:val="21"/>
                <w:highlight w:val="white"/>
              </w:rPr>
              <w:t>□</w:t>
            </w:r>
            <w:r>
              <w:rPr>
                <w:rFonts w:hint="eastAsia" w:hAnsi="宋体"/>
                <w:highlight w:val="white"/>
              </w:rPr>
              <w:t>（三）建筑业</w:t>
            </w:r>
          </w:p>
          <w:p w14:paraId="03A6DFB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（四）批发业</w:t>
            </w:r>
          </w:p>
          <w:p w14:paraId="4B579C8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（五）零售业</w:t>
            </w:r>
          </w:p>
          <w:p w14:paraId="020EC26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（六）交通运输业</w:t>
            </w:r>
          </w:p>
          <w:p w14:paraId="6CB4A3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（七）仓储业</w:t>
            </w:r>
          </w:p>
          <w:p w14:paraId="6699507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（八）邮政业</w:t>
            </w:r>
          </w:p>
          <w:p w14:paraId="348A494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（九）住宿业</w:t>
            </w:r>
          </w:p>
          <w:p w14:paraId="3D9E41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（十）餐饮业</w:t>
            </w:r>
          </w:p>
          <w:p w14:paraId="7F98583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（十一）信息传输业</w:t>
            </w:r>
          </w:p>
          <w:p w14:paraId="60154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highlight w:val="white"/>
              </w:rPr>
            </w:pPr>
            <w:r>
              <w:rPr>
                <w:rFonts w:hint="eastAsia" w:ascii="宋体" w:hAnsi="宋体" w:eastAsia="宋体" w:cs="宋体"/>
                <w:szCs w:val="21"/>
                <w:highlight w:val="white"/>
                <w:lang w:eastAsia="zh-CN"/>
              </w:rPr>
              <w:t>☑</w:t>
            </w:r>
            <w:r>
              <w:rPr>
                <w:rFonts w:hint="eastAsia" w:ascii="宋体" w:hAnsi="宋体" w:eastAsia="宋体" w:cs="宋体"/>
                <w:szCs w:val="21"/>
                <w:highlight w:val="white"/>
              </w:rPr>
              <w:t>（十二）软件和信息技术服务业</w:t>
            </w:r>
          </w:p>
          <w:p w14:paraId="37409DE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（十三）房地产开发经营</w:t>
            </w:r>
          </w:p>
          <w:p w14:paraId="653A7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rPr>
            </w:pPr>
            <w:r>
              <w:rPr>
                <w:rFonts w:hint="eastAsia" w:ascii="宋体" w:hAnsi="宋体" w:cs="宋体"/>
                <w:szCs w:val="21"/>
                <w:highlight w:val="white"/>
              </w:rPr>
              <w:t>□</w:t>
            </w:r>
            <w:r>
              <w:rPr>
                <w:rFonts w:hint="eastAsia" w:hAnsi="宋体"/>
                <w:highlight w:val="white"/>
              </w:rPr>
              <w:t>（十四）物业管理</w:t>
            </w:r>
          </w:p>
          <w:p w14:paraId="134C218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Ansi="宋体"/>
                <w:highlight w:val="none"/>
              </w:rPr>
            </w:pPr>
            <w:r>
              <w:rPr>
                <w:rFonts w:hint="eastAsia" w:ascii="宋体" w:hAnsi="宋体" w:cs="宋体"/>
                <w:szCs w:val="21"/>
                <w:highlight w:val="none"/>
                <w:lang w:eastAsia="zh-CN"/>
              </w:rPr>
              <w:t>□</w:t>
            </w:r>
            <w:r>
              <w:rPr>
                <w:rFonts w:hint="eastAsia" w:hAnsi="宋体"/>
                <w:highlight w:val="none"/>
              </w:rPr>
              <w:t>（十五）租赁和商务服务业</w:t>
            </w:r>
          </w:p>
          <w:p w14:paraId="09233339">
            <w:pPr>
              <w:keepNext w:val="0"/>
              <w:keepLines w:val="0"/>
              <w:pageBreakBefore w:val="0"/>
              <w:widowControl w:val="0"/>
              <w:kinsoku/>
              <w:wordWrap/>
              <w:overflowPunct/>
              <w:topLinePunct w:val="0"/>
              <w:autoSpaceDE/>
              <w:autoSpaceDN/>
              <w:bidi w:val="0"/>
              <w:adjustRightInd w:val="0"/>
              <w:snapToGrid w:val="0"/>
              <w:spacing w:before="156" w:beforeLines="50" w:line="400" w:lineRule="exact"/>
              <w:textAlignment w:val="auto"/>
              <w:rPr>
                <w:rFonts w:hint="eastAsia" w:ascii="宋体" w:hAnsi="宋体"/>
                <w:szCs w:val="21"/>
                <w:lang w:val="en-US" w:eastAsia="zh-CN"/>
              </w:rPr>
            </w:pPr>
            <w:r>
              <w:rPr>
                <w:rFonts w:hint="eastAsia" w:ascii="宋体" w:hAnsi="宋体" w:cs="宋体"/>
                <w:szCs w:val="21"/>
                <w:highlight w:val="none"/>
                <w:lang w:eastAsia="zh-CN"/>
              </w:rPr>
              <w:t>□</w:t>
            </w:r>
            <w:r>
              <w:rPr>
                <w:rFonts w:hint="eastAsia" w:hAnsi="宋体"/>
                <w:highlight w:val="none"/>
              </w:rPr>
              <w:t>（十六）其他未列明行业</w:t>
            </w:r>
          </w:p>
        </w:tc>
      </w:tr>
      <w:tr w14:paraId="4F48D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1682" w:type="dxa"/>
            <w:vMerge w:val="restart"/>
            <w:tcBorders>
              <w:top w:val="single" w:color="auto" w:sz="4" w:space="0"/>
            </w:tcBorders>
            <w:noWrap w:val="0"/>
            <w:vAlign w:val="center"/>
          </w:tcPr>
          <w:p w14:paraId="2FD429C5">
            <w:pPr>
              <w:rPr>
                <w:rFonts w:ascii="宋体" w:hAnsi="宋体" w:cs="宋体"/>
                <w:szCs w:val="21"/>
              </w:rPr>
            </w:pPr>
            <w:r>
              <w:rPr>
                <w:rFonts w:hint="eastAsia" w:ascii="宋体" w:hAnsi="宋体" w:cs="宋体"/>
                <w:szCs w:val="21"/>
              </w:rPr>
              <w:t>第二章第9.3款</w:t>
            </w:r>
          </w:p>
        </w:tc>
        <w:tc>
          <w:tcPr>
            <w:tcW w:w="1841" w:type="dxa"/>
            <w:tcBorders>
              <w:top w:val="single" w:color="auto" w:sz="4" w:space="0"/>
              <w:bottom w:val="single" w:color="auto" w:sz="4" w:space="0"/>
            </w:tcBorders>
            <w:noWrap w:val="0"/>
            <w:vAlign w:val="center"/>
          </w:tcPr>
          <w:p w14:paraId="74778CBB">
            <w:pPr>
              <w:rPr>
                <w:rFonts w:ascii="宋体" w:hAnsi="宋体" w:cs="宋体"/>
                <w:szCs w:val="21"/>
              </w:rPr>
            </w:pPr>
            <w:r>
              <w:rPr>
                <w:rFonts w:hint="eastAsia" w:ascii="宋体" w:hAnsi="宋体" w:cs="宋体"/>
                <w:bCs/>
                <w:kern w:val="0"/>
                <w:szCs w:val="21"/>
              </w:rPr>
              <w:t>政府采</w:t>
            </w:r>
            <w:r>
              <w:rPr>
                <w:rFonts w:hint="eastAsia" w:ascii="宋体" w:hAnsi="宋体" w:cs="宋体"/>
                <w:szCs w:val="21"/>
              </w:rPr>
              <w:t>购支持小微企业融资</w:t>
            </w:r>
          </w:p>
        </w:tc>
        <w:tc>
          <w:tcPr>
            <w:tcW w:w="5867" w:type="dxa"/>
            <w:tcBorders>
              <w:top w:val="single" w:color="auto" w:sz="4" w:space="0"/>
              <w:bottom w:val="single" w:color="auto" w:sz="4" w:space="0"/>
            </w:tcBorders>
            <w:noWrap w:val="0"/>
            <w:vAlign w:val="top"/>
          </w:tcPr>
          <w:p w14:paraId="680AD041">
            <w:pPr>
              <w:adjustRightInd w:val="0"/>
              <w:snapToGrid w:val="0"/>
              <w:spacing w:line="360" w:lineRule="auto"/>
              <w:rPr>
                <w:rFonts w:ascii="宋体" w:hAnsi="宋体" w:cs="宋体"/>
                <w:szCs w:val="21"/>
              </w:rPr>
            </w:pPr>
            <w:r>
              <w:rPr>
                <w:rFonts w:hint="eastAsia" w:ascii="宋体" w:hAnsi="宋体" w:cs="宋体"/>
                <w:szCs w:val="21"/>
              </w:rPr>
              <w:t>有融资需求的，可向本附表附页1所列银行咨询或登陆中国湖南政府采购网查询。</w:t>
            </w:r>
          </w:p>
        </w:tc>
      </w:tr>
      <w:tr w14:paraId="74367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82" w:type="dxa"/>
            <w:vMerge w:val="continue"/>
            <w:noWrap w:val="0"/>
            <w:vAlign w:val="center"/>
          </w:tcPr>
          <w:p w14:paraId="2C137C0C">
            <w:pPr>
              <w:rPr>
                <w:rFonts w:ascii="宋体" w:hAnsi="宋体" w:cs="宋体"/>
                <w:szCs w:val="21"/>
              </w:rPr>
            </w:pPr>
          </w:p>
        </w:tc>
        <w:tc>
          <w:tcPr>
            <w:tcW w:w="1841" w:type="dxa"/>
            <w:noWrap w:val="0"/>
            <w:vAlign w:val="center"/>
          </w:tcPr>
          <w:p w14:paraId="60F9F3C7">
            <w:pPr>
              <w:rPr>
                <w:rFonts w:ascii="宋体" w:hAnsi="宋体" w:cs="宋体"/>
                <w:szCs w:val="21"/>
              </w:rPr>
            </w:pPr>
            <w:r>
              <w:rPr>
                <w:rFonts w:hint="eastAsia" w:ascii="宋体" w:hAnsi="宋体" w:cs="宋体"/>
                <w:bCs/>
                <w:kern w:val="0"/>
                <w:szCs w:val="21"/>
              </w:rPr>
              <w:t>政府采购信用担保</w:t>
            </w:r>
          </w:p>
        </w:tc>
        <w:tc>
          <w:tcPr>
            <w:tcW w:w="5867" w:type="dxa"/>
            <w:noWrap w:val="0"/>
            <w:vAlign w:val="center"/>
          </w:tcPr>
          <w:p w14:paraId="34E747F1">
            <w:pPr>
              <w:rPr>
                <w:rFonts w:ascii="宋体" w:hAnsi="宋体" w:cs="宋体"/>
                <w:szCs w:val="21"/>
              </w:rPr>
            </w:pPr>
            <w:r>
              <w:rPr>
                <w:rFonts w:hint="eastAsia" w:ascii="宋体" w:hAnsi="宋体" w:cs="宋体"/>
                <w:szCs w:val="21"/>
              </w:rPr>
              <w:t>有履约担保或融资担保需求的，可向本附表附页2所列担保机构咨询或登陆中国湖南政府采购网查询，格式见附页3。</w:t>
            </w:r>
          </w:p>
        </w:tc>
      </w:tr>
      <w:tr w14:paraId="4830D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9390" w:type="dxa"/>
            <w:gridSpan w:val="3"/>
            <w:noWrap w:val="0"/>
            <w:vAlign w:val="center"/>
          </w:tcPr>
          <w:p w14:paraId="6E5713AB">
            <w:pPr>
              <w:adjustRightInd w:val="0"/>
              <w:snapToGrid w:val="0"/>
              <w:spacing w:line="360" w:lineRule="auto"/>
              <w:rPr>
                <w:rFonts w:ascii="宋体" w:hAnsi="宋体" w:cs="宋体"/>
                <w:b/>
                <w:szCs w:val="21"/>
              </w:rPr>
            </w:pPr>
            <w:r>
              <w:rPr>
                <w:rFonts w:hint="eastAsia" w:ascii="宋体" w:hAnsi="宋体" w:cs="宋体"/>
                <w:b/>
                <w:szCs w:val="21"/>
              </w:rPr>
              <w:t>二、磋商文件</w:t>
            </w:r>
          </w:p>
        </w:tc>
      </w:tr>
      <w:tr w14:paraId="26DB2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682" w:type="dxa"/>
            <w:noWrap w:val="0"/>
            <w:vAlign w:val="center"/>
          </w:tcPr>
          <w:p w14:paraId="7A9347B0">
            <w:pPr>
              <w:adjustRightInd w:val="0"/>
              <w:snapToGrid w:val="0"/>
              <w:spacing w:line="360" w:lineRule="auto"/>
              <w:jc w:val="center"/>
              <w:rPr>
                <w:rFonts w:ascii="宋体" w:hAnsi="宋体" w:cs="宋体"/>
                <w:szCs w:val="21"/>
              </w:rPr>
            </w:pPr>
            <w:r>
              <w:rPr>
                <w:rFonts w:hint="eastAsia" w:ascii="宋体" w:hAnsi="宋体" w:cs="宋体"/>
                <w:szCs w:val="21"/>
              </w:rPr>
              <w:t>第二章第10.2款</w:t>
            </w:r>
          </w:p>
        </w:tc>
        <w:tc>
          <w:tcPr>
            <w:tcW w:w="1841" w:type="dxa"/>
            <w:noWrap w:val="0"/>
            <w:vAlign w:val="center"/>
          </w:tcPr>
          <w:p w14:paraId="1609EDAE">
            <w:pPr>
              <w:adjustRightInd w:val="0"/>
              <w:snapToGrid w:val="0"/>
              <w:spacing w:line="360" w:lineRule="auto"/>
              <w:jc w:val="left"/>
              <w:rPr>
                <w:rFonts w:ascii="宋体" w:hAnsi="宋体" w:cs="宋体"/>
                <w:szCs w:val="21"/>
              </w:rPr>
            </w:pPr>
            <w:r>
              <w:rPr>
                <w:rFonts w:hint="eastAsia" w:ascii="宋体" w:hAnsi="宋体" w:cs="宋体"/>
                <w:szCs w:val="21"/>
              </w:rPr>
              <w:t>磋商文件的可能实质性变动内容</w:t>
            </w:r>
          </w:p>
        </w:tc>
        <w:tc>
          <w:tcPr>
            <w:tcW w:w="5867" w:type="dxa"/>
            <w:noWrap w:val="0"/>
            <w:vAlign w:val="center"/>
          </w:tcPr>
          <w:p w14:paraId="26B422FA">
            <w:pPr>
              <w:adjustRightInd w:val="0"/>
              <w:snapToGrid w:val="0"/>
              <w:spacing w:line="360" w:lineRule="auto"/>
              <w:jc w:val="left"/>
              <w:rPr>
                <w:rFonts w:ascii="宋体" w:hAnsi="宋体" w:cs="宋体"/>
                <w:szCs w:val="21"/>
              </w:rPr>
            </w:pPr>
            <w:r>
              <w:rPr>
                <w:rFonts w:hint="eastAsia" w:ascii="宋体" w:hAnsi="宋体"/>
                <w:szCs w:val="21"/>
              </w:rPr>
              <w:t>商务条款、技术条款、合同条款可能变动，具体以现场磋商情况为准。</w:t>
            </w:r>
          </w:p>
        </w:tc>
      </w:tr>
      <w:tr w14:paraId="5AB2C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682" w:type="dxa"/>
            <w:noWrap w:val="0"/>
            <w:vAlign w:val="center"/>
          </w:tcPr>
          <w:p w14:paraId="375B73EA">
            <w:pPr>
              <w:adjustRightInd w:val="0"/>
              <w:snapToGrid w:val="0"/>
              <w:spacing w:line="360" w:lineRule="auto"/>
              <w:jc w:val="center"/>
              <w:rPr>
                <w:rFonts w:ascii="宋体" w:hAnsi="宋体" w:cs="宋体"/>
                <w:szCs w:val="21"/>
              </w:rPr>
            </w:pPr>
            <w:r>
              <w:rPr>
                <w:rFonts w:hint="eastAsia" w:ascii="宋体" w:hAnsi="宋体" w:cs="宋体"/>
                <w:szCs w:val="21"/>
              </w:rPr>
              <w:t>第二章第11.1款</w:t>
            </w:r>
          </w:p>
        </w:tc>
        <w:tc>
          <w:tcPr>
            <w:tcW w:w="1841" w:type="dxa"/>
            <w:noWrap w:val="0"/>
            <w:vAlign w:val="center"/>
          </w:tcPr>
          <w:p w14:paraId="6EA2EB5A">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提供磋商文件期限</w:t>
            </w:r>
          </w:p>
        </w:tc>
        <w:tc>
          <w:tcPr>
            <w:tcW w:w="5867" w:type="dxa"/>
            <w:noWrap w:val="0"/>
            <w:vAlign w:val="center"/>
          </w:tcPr>
          <w:p w14:paraId="33430CB0">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u w:val="none"/>
                <w:lang w:val="en-US" w:eastAsia="zh-CN"/>
              </w:rPr>
              <w:t>详见</w:t>
            </w:r>
            <w:r>
              <w:rPr>
                <w:rFonts w:hint="eastAsia" w:ascii="宋体" w:hAnsi="宋体" w:cs="宋体"/>
                <w:color w:val="auto"/>
                <w:szCs w:val="21"/>
                <w:highlight w:val="none"/>
                <w:u w:val="none"/>
                <w:lang w:eastAsia="zh-CN"/>
              </w:rPr>
              <w:t>第一章磋商邀请。</w:t>
            </w:r>
          </w:p>
        </w:tc>
      </w:tr>
      <w:tr w14:paraId="75C60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682" w:type="dxa"/>
            <w:noWrap w:val="0"/>
            <w:vAlign w:val="center"/>
          </w:tcPr>
          <w:p w14:paraId="1D70A0BC">
            <w:pPr>
              <w:adjustRightInd w:val="0"/>
              <w:snapToGrid w:val="0"/>
              <w:spacing w:line="360" w:lineRule="auto"/>
              <w:jc w:val="center"/>
              <w:rPr>
                <w:rFonts w:ascii="宋体" w:hAnsi="宋体" w:cs="宋体"/>
                <w:szCs w:val="21"/>
              </w:rPr>
            </w:pPr>
            <w:r>
              <w:rPr>
                <w:rFonts w:hint="eastAsia" w:ascii="宋体" w:hAnsi="宋体" w:cs="宋体"/>
                <w:szCs w:val="21"/>
              </w:rPr>
              <w:t>第二章第11.2款</w:t>
            </w:r>
          </w:p>
        </w:tc>
        <w:tc>
          <w:tcPr>
            <w:tcW w:w="1841" w:type="dxa"/>
            <w:noWrap w:val="0"/>
            <w:vAlign w:val="center"/>
          </w:tcPr>
          <w:p w14:paraId="694D54BC">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领取或购买磋商文件时应提供的资料</w:t>
            </w:r>
          </w:p>
        </w:tc>
        <w:tc>
          <w:tcPr>
            <w:tcW w:w="5867" w:type="dxa"/>
            <w:noWrap w:val="0"/>
            <w:vAlign w:val="center"/>
          </w:tcPr>
          <w:p w14:paraId="46256A01">
            <w:pPr>
              <w:spacing w:line="360" w:lineRule="auto"/>
              <w:rPr>
                <w:rFonts w:ascii="宋体" w:hAnsi="宋体" w:cs="宋体"/>
                <w:color w:val="auto"/>
                <w:szCs w:val="21"/>
                <w:u w:val="single"/>
              </w:rPr>
            </w:pPr>
            <w:r>
              <w:rPr>
                <w:rFonts w:hint="eastAsia" w:ascii="宋体" w:hAnsi="宋体" w:cs="宋体"/>
                <w:color w:val="auto"/>
                <w:szCs w:val="21"/>
                <w:highlight w:val="none"/>
                <w:u w:val="none"/>
                <w:lang w:val="en-US" w:eastAsia="zh-CN"/>
              </w:rPr>
              <w:t>详见</w:t>
            </w:r>
            <w:r>
              <w:rPr>
                <w:rFonts w:hint="eastAsia" w:ascii="宋体" w:hAnsi="宋体" w:cs="宋体"/>
                <w:color w:val="auto"/>
                <w:szCs w:val="21"/>
                <w:highlight w:val="none"/>
                <w:u w:val="none"/>
                <w:lang w:eastAsia="zh-CN"/>
              </w:rPr>
              <w:t>第一章磋商邀请。</w:t>
            </w:r>
          </w:p>
        </w:tc>
      </w:tr>
      <w:tr w14:paraId="7B34A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682" w:type="dxa"/>
            <w:noWrap w:val="0"/>
            <w:vAlign w:val="center"/>
          </w:tcPr>
          <w:p w14:paraId="7B464E00">
            <w:pPr>
              <w:adjustRightInd w:val="0"/>
              <w:snapToGrid w:val="0"/>
              <w:spacing w:line="360" w:lineRule="auto"/>
              <w:jc w:val="center"/>
              <w:rPr>
                <w:rFonts w:ascii="宋体" w:hAnsi="宋体" w:cs="宋体"/>
                <w:szCs w:val="21"/>
              </w:rPr>
            </w:pPr>
            <w:r>
              <w:rPr>
                <w:rFonts w:hint="eastAsia" w:ascii="宋体" w:hAnsi="宋体" w:cs="宋体"/>
                <w:szCs w:val="21"/>
              </w:rPr>
              <w:t>第二章第12.1款</w:t>
            </w:r>
          </w:p>
        </w:tc>
        <w:tc>
          <w:tcPr>
            <w:tcW w:w="1841" w:type="dxa"/>
            <w:noWrap w:val="0"/>
            <w:vAlign w:val="center"/>
          </w:tcPr>
          <w:p w14:paraId="706151EC">
            <w:pPr>
              <w:adjustRightInd w:val="0"/>
              <w:snapToGrid w:val="0"/>
              <w:spacing w:line="360" w:lineRule="auto"/>
              <w:rPr>
                <w:rFonts w:ascii="宋体" w:hAnsi="宋体" w:cs="宋体"/>
                <w:color w:val="auto"/>
                <w:szCs w:val="21"/>
              </w:rPr>
            </w:pPr>
            <w:r>
              <w:rPr>
                <w:rFonts w:hint="eastAsia" w:ascii="宋体" w:hAnsi="宋体" w:cs="宋体"/>
                <w:color w:val="auto"/>
                <w:szCs w:val="21"/>
              </w:rPr>
              <w:t>提交首次响应文件的截止时间</w:t>
            </w:r>
          </w:p>
        </w:tc>
        <w:tc>
          <w:tcPr>
            <w:tcW w:w="5867" w:type="dxa"/>
            <w:noWrap w:val="0"/>
            <w:vAlign w:val="center"/>
          </w:tcPr>
          <w:p w14:paraId="5304CDF5">
            <w:pPr>
              <w:adjustRightInd w:val="0"/>
              <w:snapToGrid w:val="0"/>
              <w:spacing w:line="360" w:lineRule="auto"/>
              <w:jc w:val="left"/>
              <w:rPr>
                <w:rFonts w:ascii="宋体" w:hAnsi="宋体" w:cs="宋体"/>
                <w:color w:val="auto"/>
                <w:szCs w:val="21"/>
              </w:rPr>
            </w:pPr>
            <w:r>
              <w:rPr>
                <w:rFonts w:hint="eastAsia" w:ascii="宋体" w:hAnsi="宋体" w:cs="宋体"/>
                <w:color w:val="auto"/>
                <w:szCs w:val="21"/>
                <w:highlight w:val="none"/>
                <w:u w:val="none"/>
                <w:lang w:val="en-US" w:eastAsia="zh-CN"/>
              </w:rPr>
              <w:t>详见</w:t>
            </w:r>
            <w:r>
              <w:rPr>
                <w:rFonts w:hint="eastAsia" w:ascii="宋体" w:hAnsi="宋体" w:cs="宋体"/>
                <w:color w:val="auto"/>
                <w:szCs w:val="21"/>
                <w:highlight w:val="none"/>
                <w:u w:val="none"/>
                <w:lang w:eastAsia="zh-CN"/>
              </w:rPr>
              <w:t>第一章磋商邀请。</w:t>
            </w:r>
          </w:p>
        </w:tc>
      </w:tr>
      <w:tr w14:paraId="55D6C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390" w:type="dxa"/>
            <w:gridSpan w:val="3"/>
            <w:noWrap w:val="0"/>
            <w:vAlign w:val="center"/>
          </w:tcPr>
          <w:p w14:paraId="17670591">
            <w:pPr>
              <w:adjustRightInd w:val="0"/>
              <w:snapToGrid w:val="0"/>
              <w:spacing w:line="360" w:lineRule="auto"/>
              <w:rPr>
                <w:rFonts w:ascii="宋体" w:hAnsi="宋体" w:cs="宋体"/>
                <w:color w:val="auto"/>
                <w:szCs w:val="21"/>
              </w:rPr>
            </w:pPr>
            <w:r>
              <w:rPr>
                <w:rFonts w:hint="eastAsia" w:ascii="宋体" w:hAnsi="宋体" w:cs="宋体"/>
                <w:b/>
                <w:color w:val="auto"/>
                <w:szCs w:val="21"/>
              </w:rPr>
              <w:t>三、响应文件的编写</w:t>
            </w:r>
          </w:p>
        </w:tc>
      </w:tr>
      <w:tr w14:paraId="6B3A29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1682" w:type="dxa"/>
            <w:noWrap w:val="0"/>
            <w:vAlign w:val="center"/>
          </w:tcPr>
          <w:p w14:paraId="0D425DF5">
            <w:pPr>
              <w:adjustRightInd w:val="0"/>
              <w:snapToGrid w:val="0"/>
              <w:spacing w:line="360" w:lineRule="auto"/>
              <w:jc w:val="center"/>
              <w:rPr>
                <w:rFonts w:ascii="宋体" w:hAnsi="宋体" w:cs="宋体"/>
                <w:szCs w:val="21"/>
              </w:rPr>
            </w:pPr>
            <w:r>
              <w:rPr>
                <w:rFonts w:hint="eastAsia" w:ascii="宋体" w:hAnsi="宋体" w:cs="宋体"/>
                <w:szCs w:val="21"/>
              </w:rPr>
              <w:t>第二章第16.1款</w:t>
            </w:r>
          </w:p>
        </w:tc>
        <w:tc>
          <w:tcPr>
            <w:tcW w:w="1841" w:type="dxa"/>
            <w:noWrap w:val="0"/>
            <w:vAlign w:val="center"/>
          </w:tcPr>
          <w:p w14:paraId="1A986B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采购项目预算</w:t>
            </w:r>
          </w:p>
        </w:tc>
        <w:tc>
          <w:tcPr>
            <w:tcW w:w="5867" w:type="dxa"/>
            <w:noWrap w:val="0"/>
            <w:vAlign w:val="center"/>
          </w:tcPr>
          <w:p w14:paraId="6597C9B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r>
              <w:rPr>
                <w:rFonts w:hint="eastAsia" w:ascii="宋体" w:hAnsi="宋体" w:cs="宋体"/>
                <w:szCs w:val="21"/>
                <w:lang w:val="en-US" w:eastAsia="zh-CN"/>
              </w:rPr>
              <w:t>893333</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元，最高限价：</w:t>
            </w:r>
            <w:r>
              <w:rPr>
                <w:rFonts w:hint="eastAsia" w:ascii="宋体" w:hAnsi="宋体" w:cs="宋体"/>
                <w:szCs w:val="21"/>
                <w:lang w:val="en-US" w:eastAsia="zh-CN"/>
              </w:rPr>
              <w:t>893333</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元。</w:t>
            </w:r>
          </w:p>
        </w:tc>
      </w:tr>
      <w:tr w14:paraId="2BE10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1682" w:type="dxa"/>
            <w:noWrap w:val="0"/>
            <w:vAlign w:val="center"/>
          </w:tcPr>
          <w:p w14:paraId="1B08B6D2">
            <w:pPr>
              <w:adjustRightInd w:val="0"/>
              <w:snapToGrid w:val="0"/>
              <w:spacing w:line="360" w:lineRule="auto"/>
              <w:jc w:val="center"/>
              <w:rPr>
                <w:rFonts w:ascii="宋体" w:hAnsi="宋体" w:cs="宋体"/>
                <w:szCs w:val="21"/>
              </w:rPr>
            </w:pPr>
            <w:r>
              <w:rPr>
                <w:rFonts w:hint="eastAsia" w:ascii="宋体" w:hAnsi="宋体" w:cs="宋体"/>
                <w:szCs w:val="21"/>
              </w:rPr>
              <w:t>第二章第17.3款</w:t>
            </w:r>
          </w:p>
        </w:tc>
        <w:tc>
          <w:tcPr>
            <w:tcW w:w="1841" w:type="dxa"/>
            <w:noWrap w:val="0"/>
            <w:vAlign w:val="center"/>
          </w:tcPr>
          <w:p w14:paraId="3BE0EF97">
            <w:pPr>
              <w:adjustRightInd w:val="0"/>
              <w:snapToGrid w:val="0"/>
              <w:spacing w:line="360" w:lineRule="auto"/>
              <w:rPr>
                <w:rFonts w:ascii="宋体" w:hAnsi="宋体" w:cs="宋体"/>
                <w:szCs w:val="21"/>
              </w:rPr>
            </w:pPr>
            <w:r>
              <w:rPr>
                <w:rFonts w:hint="eastAsia" w:ascii="宋体" w:hAnsi="宋体" w:cs="宋体"/>
              </w:rPr>
              <w:t>非制造商的证明文件</w:t>
            </w:r>
          </w:p>
        </w:tc>
        <w:tc>
          <w:tcPr>
            <w:tcW w:w="5867" w:type="dxa"/>
            <w:noWrap w:val="0"/>
            <w:vAlign w:val="center"/>
          </w:tcPr>
          <w:p w14:paraId="28F2800D">
            <w:pPr>
              <w:keepNext w:val="0"/>
              <w:keepLines w:val="0"/>
              <w:pageBreakBefore w:val="0"/>
              <w:widowControl w:val="0"/>
              <w:kinsoku/>
              <w:wordWrap/>
              <w:overflowPunct/>
              <w:topLinePunct w:val="0"/>
              <w:autoSpaceDE/>
              <w:autoSpaceDN/>
              <w:bidi w:val="0"/>
              <w:adjustRightInd w:val="0"/>
              <w:snapToGrid w:val="0"/>
              <w:spacing w:before="156" w:beforeLines="50" w:line="320" w:lineRule="exact"/>
              <w:textAlignment w:val="auto"/>
              <w:rPr>
                <w:rFonts w:ascii="宋体" w:hAnsi="宋体" w:cs="宋体"/>
                <w:szCs w:val="21"/>
              </w:rPr>
            </w:pPr>
            <w:r>
              <w:rPr>
                <w:rFonts w:hint="eastAsia" w:ascii="宋体" w:hAnsi="宋体" w:cs="宋体"/>
                <w:szCs w:val="21"/>
              </w:rPr>
              <w:t>■ 不要求提供</w:t>
            </w:r>
          </w:p>
          <w:p w14:paraId="47F1E3A9">
            <w:pPr>
              <w:keepNext w:val="0"/>
              <w:keepLines w:val="0"/>
              <w:pageBreakBefore w:val="0"/>
              <w:widowControl w:val="0"/>
              <w:kinsoku/>
              <w:wordWrap/>
              <w:overflowPunct/>
              <w:topLinePunct w:val="0"/>
              <w:autoSpaceDE/>
              <w:autoSpaceDN/>
              <w:bidi w:val="0"/>
              <w:adjustRightInd w:val="0"/>
              <w:snapToGrid w:val="0"/>
              <w:spacing w:before="156" w:beforeLines="50" w:line="320" w:lineRule="exact"/>
              <w:textAlignment w:val="auto"/>
              <w:rPr>
                <w:rFonts w:ascii="宋体" w:hAnsi="宋体" w:cs="宋体"/>
                <w:szCs w:val="21"/>
              </w:rPr>
            </w:pPr>
            <w:r>
              <w:rPr>
                <w:rFonts w:hint="eastAsia" w:ascii="宋体" w:hAnsi="宋体" w:cs="宋体"/>
                <w:szCs w:val="21"/>
              </w:rPr>
              <w:t>□ 要求提供：（证明文件复印件须加盖供应商单位公章，否则视为无效响应。）</w:t>
            </w:r>
          </w:p>
          <w:p w14:paraId="3020C113">
            <w:pPr>
              <w:keepNext w:val="0"/>
              <w:keepLines w:val="0"/>
              <w:pageBreakBefore w:val="0"/>
              <w:widowControl w:val="0"/>
              <w:kinsoku/>
              <w:wordWrap/>
              <w:overflowPunct/>
              <w:topLinePunct w:val="0"/>
              <w:autoSpaceDE/>
              <w:autoSpaceDN/>
              <w:bidi w:val="0"/>
              <w:adjustRightInd w:val="0"/>
              <w:snapToGrid w:val="0"/>
              <w:spacing w:before="156" w:beforeLines="50" w:line="320" w:lineRule="exact"/>
              <w:textAlignment w:val="auto"/>
              <w:rPr>
                <w:rFonts w:ascii="宋体" w:hAnsi="宋体" w:cs="宋体"/>
                <w:szCs w:val="21"/>
              </w:rPr>
            </w:pPr>
            <w:r>
              <w:rPr>
                <w:rFonts w:hint="eastAsia" w:ascii="宋体" w:hAnsi="宋体" w:cs="宋体"/>
                <w:szCs w:val="21"/>
              </w:rPr>
              <w:t>经销、或代理投标货物、或为投标货物提供售后服务的证明文件。</w:t>
            </w:r>
          </w:p>
        </w:tc>
      </w:tr>
      <w:tr w14:paraId="5EE9A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jc w:val="center"/>
        </w:trPr>
        <w:tc>
          <w:tcPr>
            <w:tcW w:w="1682" w:type="dxa"/>
            <w:noWrap w:val="0"/>
            <w:vAlign w:val="center"/>
          </w:tcPr>
          <w:p w14:paraId="386233A9">
            <w:pPr>
              <w:adjustRightInd w:val="0"/>
              <w:snapToGrid w:val="0"/>
              <w:spacing w:line="360" w:lineRule="auto"/>
              <w:jc w:val="center"/>
              <w:rPr>
                <w:rFonts w:ascii="宋体" w:hAnsi="宋体" w:cs="宋体"/>
                <w:szCs w:val="21"/>
              </w:rPr>
            </w:pPr>
            <w:r>
              <w:rPr>
                <w:rFonts w:hint="eastAsia" w:ascii="宋体" w:hAnsi="宋体" w:cs="宋体"/>
                <w:szCs w:val="21"/>
              </w:rPr>
              <w:t>第二章第18.1款</w:t>
            </w:r>
          </w:p>
        </w:tc>
        <w:tc>
          <w:tcPr>
            <w:tcW w:w="1841" w:type="dxa"/>
            <w:noWrap w:val="0"/>
            <w:vAlign w:val="center"/>
          </w:tcPr>
          <w:p w14:paraId="078D85A2">
            <w:pPr>
              <w:adjustRightInd w:val="0"/>
              <w:snapToGrid w:val="0"/>
              <w:spacing w:line="360" w:lineRule="auto"/>
              <w:rPr>
                <w:rFonts w:ascii="宋体" w:hAnsi="宋体" w:cs="宋体"/>
              </w:rPr>
            </w:pPr>
            <w:r>
              <w:rPr>
                <w:rFonts w:hint="eastAsia" w:ascii="宋体" w:hAnsi="宋体" w:cs="宋体"/>
                <w:szCs w:val="21"/>
              </w:rPr>
              <w:t>样品提供及样品提交的时间、地点</w:t>
            </w:r>
          </w:p>
        </w:tc>
        <w:tc>
          <w:tcPr>
            <w:tcW w:w="5867" w:type="dxa"/>
            <w:noWrap w:val="0"/>
            <w:vAlign w:val="center"/>
          </w:tcPr>
          <w:p w14:paraId="02D6B3D5">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ascii="宋体" w:hAnsi="宋体" w:cs="宋体"/>
                <w:szCs w:val="21"/>
              </w:rPr>
            </w:pPr>
            <w:r>
              <w:rPr>
                <w:rFonts w:hint="eastAsia" w:ascii="宋体" w:hAnsi="宋体" w:cs="宋体"/>
                <w:szCs w:val="21"/>
              </w:rPr>
              <w:t>■ 不要求提供</w:t>
            </w:r>
          </w:p>
          <w:p w14:paraId="2BE270E0">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ascii="宋体" w:hAnsi="宋体" w:cs="宋体"/>
                <w:szCs w:val="21"/>
              </w:rPr>
            </w:pPr>
            <w:r>
              <w:rPr>
                <w:rFonts w:hint="eastAsia" w:ascii="宋体" w:hAnsi="宋体" w:cs="宋体"/>
                <w:szCs w:val="21"/>
              </w:rPr>
              <w:t>□ 要求提供，提交的样品:</w:t>
            </w:r>
            <w:r>
              <w:rPr>
                <w:rFonts w:hint="eastAsia" w:ascii="宋体" w:hAnsi="宋体" w:cs="宋体"/>
                <w:szCs w:val="21"/>
                <w:u w:val="single"/>
              </w:rPr>
              <w:t xml:space="preserve">       </w:t>
            </w:r>
            <w:r>
              <w:rPr>
                <w:rFonts w:hint="eastAsia" w:ascii="宋体" w:hAnsi="宋体" w:cs="宋体"/>
                <w:szCs w:val="21"/>
              </w:rPr>
              <w:t>,提交的时间：</w:t>
            </w:r>
            <w:r>
              <w:rPr>
                <w:rFonts w:hint="eastAsia" w:ascii="宋体" w:hAnsi="宋体" w:cs="宋体"/>
                <w:szCs w:val="21"/>
                <w:u w:val="single"/>
              </w:rPr>
              <w:t xml:space="preserve">           </w:t>
            </w:r>
            <w:r>
              <w:rPr>
                <w:rFonts w:hint="eastAsia" w:ascii="宋体" w:hAnsi="宋体" w:cs="宋体"/>
                <w:szCs w:val="21"/>
              </w:rPr>
              <w:t xml:space="preserve"> 、地点:</w:t>
            </w:r>
            <w:r>
              <w:rPr>
                <w:rFonts w:hint="eastAsia" w:ascii="宋体" w:hAnsi="宋体" w:cs="宋体"/>
                <w:szCs w:val="21"/>
                <w:u w:val="single"/>
              </w:rPr>
              <w:t xml:space="preserve">               </w:t>
            </w:r>
            <w:r>
              <w:rPr>
                <w:rFonts w:hint="eastAsia" w:ascii="宋体" w:hAnsi="宋体" w:cs="宋体"/>
                <w:szCs w:val="21"/>
              </w:rPr>
              <w:t xml:space="preserve"> 。</w:t>
            </w:r>
          </w:p>
        </w:tc>
      </w:tr>
      <w:tr w14:paraId="28DB54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682" w:type="dxa"/>
            <w:noWrap w:val="0"/>
            <w:vAlign w:val="center"/>
          </w:tcPr>
          <w:p w14:paraId="2F57F96D">
            <w:pPr>
              <w:adjustRightInd w:val="0"/>
              <w:snapToGrid w:val="0"/>
              <w:spacing w:line="360" w:lineRule="auto"/>
              <w:jc w:val="center"/>
              <w:rPr>
                <w:rFonts w:ascii="宋体" w:hAnsi="宋体" w:cs="宋体"/>
                <w:szCs w:val="21"/>
              </w:rPr>
            </w:pPr>
            <w:r>
              <w:rPr>
                <w:rFonts w:hint="eastAsia" w:ascii="宋体" w:hAnsi="宋体" w:cs="宋体"/>
                <w:szCs w:val="21"/>
              </w:rPr>
              <w:t>第二章第19.1款</w:t>
            </w:r>
          </w:p>
        </w:tc>
        <w:tc>
          <w:tcPr>
            <w:tcW w:w="1841" w:type="dxa"/>
            <w:noWrap w:val="0"/>
            <w:vAlign w:val="center"/>
          </w:tcPr>
          <w:p w14:paraId="3A484FE8">
            <w:pPr>
              <w:adjustRightInd w:val="0"/>
              <w:snapToGrid w:val="0"/>
              <w:spacing w:line="360" w:lineRule="auto"/>
              <w:ind w:left="-533" w:leftChars="-254" w:firstLine="533" w:firstLineChars="254"/>
              <w:rPr>
                <w:rFonts w:ascii="宋体" w:hAnsi="宋体" w:cs="宋体"/>
                <w:szCs w:val="21"/>
              </w:rPr>
            </w:pPr>
            <w:r>
              <w:rPr>
                <w:rFonts w:hint="eastAsia" w:ascii="宋体" w:hAnsi="宋体" w:cs="宋体"/>
                <w:szCs w:val="21"/>
              </w:rPr>
              <w:t>磋商保证金</w:t>
            </w:r>
          </w:p>
        </w:tc>
        <w:tc>
          <w:tcPr>
            <w:tcW w:w="5867" w:type="dxa"/>
            <w:noWrap w:val="0"/>
            <w:vAlign w:val="center"/>
          </w:tcPr>
          <w:p w14:paraId="5A8833F9">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 不要求提供</w:t>
            </w:r>
          </w:p>
          <w:p w14:paraId="5E91F8C4">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要求提供</w:t>
            </w:r>
          </w:p>
          <w:p w14:paraId="19EDD339">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1.保证金数额：/元(人民币)</w:t>
            </w:r>
          </w:p>
          <w:p w14:paraId="5E5AAC75">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2.缴纳方式：数额为：/元，磋商保证金形式：以支票、汇票、本票等形式缴入如下账户，查询已经到账，视为已缴纳。</w:t>
            </w:r>
          </w:p>
          <w:p w14:paraId="3C570C4A">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账户名：</w:t>
            </w:r>
          </w:p>
          <w:p w14:paraId="74712D42">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开户行：</w:t>
            </w:r>
          </w:p>
          <w:p w14:paraId="04433A86">
            <w:pPr>
              <w:keepNext w:val="0"/>
              <w:keepLines w:val="0"/>
              <w:pageBreakBefore w:val="0"/>
              <w:widowControl w:val="0"/>
              <w:kinsoku/>
              <w:wordWrap/>
              <w:overflowPunct/>
              <w:topLinePunct w:val="0"/>
              <w:autoSpaceDE/>
              <w:autoSpaceDN/>
              <w:bidi w:val="0"/>
              <w:adjustRightInd w:val="0"/>
              <w:snapToGrid w:val="0"/>
              <w:spacing w:before="156" w:beforeLines="50" w:line="340" w:lineRule="exact"/>
              <w:textAlignment w:val="auto"/>
              <w:rPr>
                <w:rFonts w:hint="eastAsia" w:ascii="宋体" w:hAnsi="宋体" w:eastAsia="宋体" w:cs="宋体"/>
                <w:szCs w:val="21"/>
              </w:rPr>
            </w:pPr>
            <w:r>
              <w:rPr>
                <w:rFonts w:hint="eastAsia" w:ascii="宋体" w:hAnsi="宋体" w:eastAsia="宋体" w:cs="宋体"/>
                <w:szCs w:val="21"/>
              </w:rPr>
              <w:t>账  号：</w:t>
            </w:r>
          </w:p>
        </w:tc>
      </w:tr>
      <w:tr w14:paraId="0E289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62EDC7B1">
            <w:pPr>
              <w:adjustRightInd w:val="0"/>
              <w:snapToGrid w:val="0"/>
              <w:spacing w:line="360" w:lineRule="auto"/>
              <w:jc w:val="center"/>
              <w:rPr>
                <w:rFonts w:ascii="宋体" w:hAnsi="宋体" w:cs="宋体"/>
                <w:szCs w:val="21"/>
              </w:rPr>
            </w:pPr>
            <w:r>
              <w:rPr>
                <w:rFonts w:hint="eastAsia" w:ascii="宋体" w:hAnsi="宋体" w:cs="宋体"/>
                <w:szCs w:val="21"/>
              </w:rPr>
              <w:t>第二章第20.1款</w:t>
            </w:r>
          </w:p>
        </w:tc>
        <w:tc>
          <w:tcPr>
            <w:tcW w:w="1841" w:type="dxa"/>
            <w:noWrap w:val="0"/>
            <w:vAlign w:val="center"/>
          </w:tcPr>
          <w:p w14:paraId="0970B4DB">
            <w:pPr>
              <w:adjustRightInd w:val="0"/>
              <w:snapToGrid w:val="0"/>
              <w:spacing w:line="360" w:lineRule="auto"/>
              <w:rPr>
                <w:rFonts w:ascii="宋体" w:hAnsi="宋体" w:cs="宋体"/>
                <w:bCs/>
                <w:szCs w:val="21"/>
              </w:rPr>
            </w:pPr>
            <w:r>
              <w:rPr>
                <w:rFonts w:hint="eastAsia" w:ascii="宋体" w:hAnsi="宋体" w:cs="宋体"/>
                <w:bCs/>
                <w:szCs w:val="21"/>
              </w:rPr>
              <w:t>响应文件有效期</w:t>
            </w:r>
          </w:p>
        </w:tc>
        <w:tc>
          <w:tcPr>
            <w:tcW w:w="5867" w:type="dxa"/>
            <w:noWrap w:val="0"/>
            <w:vAlign w:val="center"/>
          </w:tcPr>
          <w:p w14:paraId="069A4097">
            <w:pPr>
              <w:adjustRightInd w:val="0"/>
              <w:snapToGrid w:val="0"/>
              <w:spacing w:line="360" w:lineRule="auto"/>
              <w:rPr>
                <w:rFonts w:ascii="宋体" w:hAnsi="宋体" w:cs="宋体"/>
                <w:bCs/>
                <w:szCs w:val="21"/>
              </w:rPr>
            </w:pPr>
            <w:r>
              <w:rPr>
                <w:rFonts w:hint="eastAsia" w:ascii="宋体" w:hAnsi="宋体" w:cs="宋体"/>
                <w:szCs w:val="21"/>
                <w:u w:val="single"/>
              </w:rPr>
              <w:t xml:space="preserve"> 90 </w:t>
            </w:r>
            <w:r>
              <w:rPr>
                <w:rFonts w:hint="eastAsia" w:ascii="宋体" w:hAnsi="宋体" w:cs="宋体"/>
                <w:szCs w:val="21"/>
              </w:rPr>
              <w:t>日（日历日）</w:t>
            </w:r>
          </w:p>
        </w:tc>
      </w:tr>
      <w:tr w14:paraId="2BB74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0FB59B60">
            <w:pPr>
              <w:adjustRightInd w:val="0"/>
              <w:snapToGrid w:val="0"/>
              <w:spacing w:line="360" w:lineRule="auto"/>
              <w:jc w:val="center"/>
              <w:rPr>
                <w:rFonts w:ascii="宋体" w:hAnsi="宋体" w:cs="宋体"/>
                <w:szCs w:val="21"/>
              </w:rPr>
            </w:pPr>
            <w:r>
              <w:rPr>
                <w:rFonts w:hint="eastAsia" w:ascii="宋体" w:hAnsi="宋体" w:cs="宋体"/>
                <w:szCs w:val="21"/>
              </w:rPr>
              <w:t>第二章第21.1款</w:t>
            </w:r>
          </w:p>
        </w:tc>
        <w:tc>
          <w:tcPr>
            <w:tcW w:w="1841" w:type="dxa"/>
            <w:noWrap w:val="0"/>
            <w:vAlign w:val="center"/>
          </w:tcPr>
          <w:p w14:paraId="7085A845">
            <w:pPr>
              <w:adjustRightInd w:val="0"/>
              <w:snapToGrid w:val="0"/>
              <w:spacing w:line="360" w:lineRule="auto"/>
              <w:rPr>
                <w:rFonts w:ascii="宋体" w:hAnsi="宋体" w:cs="宋体"/>
                <w:szCs w:val="21"/>
              </w:rPr>
            </w:pPr>
            <w:r>
              <w:rPr>
                <w:rFonts w:hint="eastAsia" w:ascii="宋体" w:hAnsi="宋体" w:cs="宋体"/>
                <w:bCs/>
                <w:szCs w:val="21"/>
              </w:rPr>
              <w:t>响应</w:t>
            </w:r>
            <w:r>
              <w:rPr>
                <w:rFonts w:hint="eastAsia" w:ascii="宋体" w:hAnsi="宋体" w:cs="宋体"/>
                <w:szCs w:val="21"/>
              </w:rPr>
              <w:t>文件副本份数</w:t>
            </w:r>
          </w:p>
        </w:tc>
        <w:tc>
          <w:tcPr>
            <w:tcW w:w="5867" w:type="dxa"/>
            <w:noWrap w:val="0"/>
            <w:vAlign w:val="center"/>
          </w:tcPr>
          <w:p w14:paraId="12794956">
            <w:pPr>
              <w:adjustRightInd w:val="0"/>
              <w:snapToGrid w:val="0"/>
              <w:spacing w:line="360" w:lineRule="auto"/>
              <w:ind w:firstLine="210" w:firstLineChars="100"/>
              <w:rPr>
                <w:rFonts w:hint="default" w:ascii="宋体" w:hAnsi="宋体" w:eastAsia="宋体" w:cs="宋体"/>
                <w:szCs w:val="21"/>
                <w:u w:val="single"/>
                <w:lang w:val="en-US" w:eastAsia="zh-CN"/>
              </w:rPr>
            </w:pPr>
            <w:r>
              <w:rPr>
                <w:rFonts w:hint="default" w:ascii="宋体" w:hAnsi="宋体" w:eastAsia="宋体" w:cs="宋体"/>
                <w:szCs w:val="21"/>
                <w:u w:val="single"/>
                <w:lang w:val="en-US" w:eastAsia="zh-CN"/>
              </w:rPr>
              <w:t>正本一份、副本二份，电子文档（电子档为正本签字盖章后的PDF扫描件；U盘）一份</w:t>
            </w:r>
          </w:p>
        </w:tc>
      </w:tr>
      <w:tr w14:paraId="41B84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9390" w:type="dxa"/>
            <w:gridSpan w:val="3"/>
            <w:noWrap w:val="0"/>
            <w:vAlign w:val="center"/>
          </w:tcPr>
          <w:p w14:paraId="75F4F51B">
            <w:pPr>
              <w:adjustRightInd w:val="0"/>
              <w:snapToGrid w:val="0"/>
              <w:spacing w:line="360" w:lineRule="auto"/>
              <w:rPr>
                <w:rFonts w:ascii="宋体" w:hAnsi="宋体" w:cs="宋体"/>
                <w:b/>
                <w:bCs/>
                <w:szCs w:val="21"/>
              </w:rPr>
            </w:pPr>
            <w:r>
              <w:rPr>
                <w:rFonts w:hint="eastAsia" w:ascii="宋体" w:hAnsi="宋体" w:cs="宋体"/>
                <w:b/>
                <w:szCs w:val="21"/>
              </w:rPr>
              <w:t>四、响应文件的递交</w:t>
            </w:r>
          </w:p>
        </w:tc>
      </w:tr>
      <w:tr w14:paraId="1C528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1682" w:type="dxa"/>
            <w:noWrap w:val="0"/>
            <w:vAlign w:val="center"/>
          </w:tcPr>
          <w:p w14:paraId="62B1DAD0">
            <w:pPr>
              <w:adjustRightInd w:val="0"/>
              <w:snapToGrid w:val="0"/>
              <w:spacing w:line="360" w:lineRule="auto"/>
              <w:jc w:val="center"/>
              <w:rPr>
                <w:rFonts w:ascii="宋体" w:hAnsi="宋体" w:cs="宋体"/>
                <w:szCs w:val="21"/>
              </w:rPr>
            </w:pPr>
            <w:r>
              <w:rPr>
                <w:rFonts w:hint="eastAsia" w:ascii="宋体" w:hAnsi="宋体" w:cs="宋体"/>
                <w:szCs w:val="21"/>
              </w:rPr>
              <w:t>第二章第22.2款</w:t>
            </w:r>
          </w:p>
        </w:tc>
        <w:tc>
          <w:tcPr>
            <w:tcW w:w="1841" w:type="dxa"/>
            <w:noWrap w:val="0"/>
            <w:vAlign w:val="center"/>
          </w:tcPr>
          <w:p w14:paraId="4C1CD41C">
            <w:pPr>
              <w:adjustRightInd w:val="0"/>
              <w:snapToGrid w:val="0"/>
              <w:spacing w:line="360" w:lineRule="auto"/>
              <w:rPr>
                <w:rFonts w:ascii="宋体" w:hAnsi="宋体" w:cs="宋体"/>
                <w:szCs w:val="21"/>
              </w:rPr>
            </w:pPr>
            <w:r>
              <w:rPr>
                <w:rFonts w:hint="eastAsia" w:ascii="宋体" w:hAnsi="宋体" w:cs="宋体"/>
                <w:szCs w:val="21"/>
              </w:rPr>
              <w:t>封套上应载明的信息</w:t>
            </w:r>
          </w:p>
        </w:tc>
        <w:tc>
          <w:tcPr>
            <w:tcW w:w="5867" w:type="dxa"/>
            <w:noWrap w:val="0"/>
            <w:vAlign w:val="center"/>
          </w:tcPr>
          <w:p w14:paraId="2DCB371B">
            <w:pPr>
              <w:adjustRightInd w:val="0"/>
              <w:snapToGrid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采购项目响应文件</w:t>
            </w:r>
          </w:p>
          <w:p w14:paraId="15888228">
            <w:pPr>
              <w:adjustRightInd w:val="0"/>
              <w:snapToGrid w:val="0"/>
              <w:spacing w:line="360" w:lineRule="auto"/>
              <w:rPr>
                <w:rFonts w:hint="eastAsia" w:ascii="宋体" w:hAnsi="宋体" w:cs="宋体"/>
                <w:szCs w:val="21"/>
              </w:rPr>
            </w:pPr>
            <w:r>
              <w:rPr>
                <w:rFonts w:hint="eastAsia" w:ascii="宋体" w:hAnsi="宋体" w:cs="宋体"/>
                <w:szCs w:val="21"/>
              </w:rPr>
              <w:t>政府采购编号：</w:t>
            </w:r>
          </w:p>
          <w:p w14:paraId="78F79E16">
            <w:pPr>
              <w:adjustRightInd w:val="0"/>
              <w:snapToGrid w:val="0"/>
              <w:spacing w:line="360" w:lineRule="auto"/>
              <w:rPr>
                <w:rFonts w:hint="eastAsia" w:ascii="宋体" w:hAnsi="宋体" w:cs="宋体"/>
                <w:szCs w:val="21"/>
              </w:rPr>
            </w:pPr>
            <w:r>
              <w:rPr>
                <w:rFonts w:hint="eastAsia" w:ascii="宋体" w:hAnsi="宋体" w:cs="宋体"/>
                <w:szCs w:val="21"/>
              </w:rPr>
              <w:t>供应商名称：</w:t>
            </w:r>
          </w:p>
          <w:p w14:paraId="0AAE22DD">
            <w:pPr>
              <w:adjustRightInd w:val="0"/>
              <w:snapToGrid w:val="0"/>
              <w:spacing w:line="360" w:lineRule="auto"/>
              <w:rPr>
                <w:rFonts w:ascii="宋体" w:hAnsi="宋体" w:cs="宋体"/>
                <w:szCs w:val="21"/>
              </w:rPr>
            </w:pPr>
            <w:r>
              <w:rPr>
                <w:rFonts w:hint="eastAsia" w:ascii="宋体" w:hAnsi="宋体" w:cs="宋体"/>
                <w:szCs w:val="21"/>
              </w:rPr>
              <w:t>在</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分之前不得启封</w:t>
            </w:r>
          </w:p>
        </w:tc>
      </w:tr>
      <w:tr w14:paraId="3F581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168D87B6">
            <w:pPr>
              <w:adjustRightInd w:val="0"/>
              <w:snapToGrid w:val="0"/>
              <w:spacing w:line="360" w:lineRule="auto"/>
              <w:jc w:val="center"/>
              <w:rPr>
                <w:rFonts w:ascii="宋体" w:hAnsi="宋体" w:cs="宋体"/>
                <w:szCs w:val="21"/>
              </w:rPr>
            </w:pPr>
            <w:r>
              <w:rPr>
                <w:rFonts w:hint="eastAsia" w:ascii="宋体" w:hAnsi="宋体" w:cs="宋体"/>
                <w:szCs w:val="21"/>
              </w:rPr>
              <w:t>第二章第24.1款</w:t>
            </w:r>
          </w:p>
        </w:tc>
        <w:tc>
          <w:tcPr>
            <w:tcW w:w="1841" w:type="dxa"/>
            <w:noWrap w:val="0"/>
            <w:vAlign w:val="center"/>
          </w:tcPr>
          <w:p w14:paraId="49144D9C">
            <w:pPr>
              <w:adjustRightInd w:val="0"/>
              <w:snapToGrid w:val="0"/>
              <w:spacing w:line="360" w:lineRule="auto"/>
              <w:rPr>
                <w:rFonts w:ascii="宋体" w:hAnsi="宋体" w:cs="宋体"/>
                <w:szCs w:val="21"/>
              </w:rPr>
            </w:pPr>
            <w:r>
              <w:rPr>
                <w:rFonts w:hint="eastAsia" w:ascii="宋体" w:hAnsi="宋体" w:cs="宋体"/>
                <w:szCs w:val="21"/>
              </w:rPr>
              <w:t>响应文件的递交地点</w:t>
            </w:r>
          </w:p>
        </w:tc>
        <w:tc>
          <w:tcPr>
            <w:tcW w:w="5867" w:type="dxa"/>
            <w:noWrap w:val="0"/>
            <w:vAlign w:val="center"/>
          </w:tcPr>
          <w:p w14:paraId="34461DD8">
            <w:pPr>
              <w:adjustRightInd w:val="0"/>
              <w:snapToGrid w:val="0"/>
              <w:spacing w:line="360" w:lineRule="auto"/>
              <w:rPr>
                <w:rFonts w:ascii="宋体" w:hAnsi="宋体" w:cs="宋体"/>
                <w:bCs/>
                <w:szCs w:val="21"/>
              </w:rPr>
            </w:pPr>
            <w:r>
              <w:rPr>
                <w:rFonts w:hint="eastAsia" w:ascii="宋体" w:hAnsi="宋体" w:cs="宋体"/>
                <w:color w:val="auto"/>
                <w:szCs w:val="21"/>
                <w:highlight w:val="none"/>
                <w:u w:val="none"/>
                <w:lang w:val="en-US" w:eastAsia="zh-CN"/>
              </w:rPr>
              <w:t>详见</w:t>
            </w:r>
            <w:r>
              <w:rPr>
                <w:rFonts w:hint="eastAsia" w:ascii="宋体" w:hAnsi="宋体" w:cs="宋体"/>
                <w:color w:val="auto"/>
                <w:szCs w:val="21"/>
                <w:highlight w:val="none"/>
                <w:u w:val="none"/>
                <w:lang w:eastAsia="zh-CN"/>
              </w:rPr>
              <w:t>第一章磋商邀请。</w:t>
            </w:r>
          </w:p>
        </w:tc>
      </w:tr>
      <w:tr w14:paraId="46F5E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9390" w:type="dxa"/>
            <w:gridSpan w:val="3"/>
            <w:noWrap w:val="0"/>
            <w:vAlign w:val="center"/>
          </w:tcPr>
          <w:p w14:paraId="77660C5F">
            <w:pPr>
              <w:adjustRightInd w:val="0"/>
              <w:snapToGrid w:val="0"/>
              <w:spacing w:line="360" w:lineRule="auto"/>
              <w:rPr>
                <w:rFonts w:ascii="宋体" w:hAnsi="宋体" w:cs="宋体"/>
                <w:b/>
                <w:bCs/>
                <w:szCs w:val="21"/>
              </w:rPr>
            </w:pPr>
            <w:r>
              <w:rPr>
                <w:rFonts w:hint="eastAsia" w:ascii="宋体" w:hAnsi="宋体" w:cs="宋体"/>
                <w:b/>
                <w:bCs/>
                <w:szCs w:val="21"/>
              </w:rPr>
              <w:t>五、响应文件的磋商与评审</w:t>
            </w:r>
          </w:p>
        </w:tc>
      </w:tr>
      <w:tr w14:paraId="44BA5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7088AA37">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第二章第27.1款</w:t>
            </w:r>
          </w:p>
        </w:tc>
        <w:tc>
          <w:tcPr>
            <w:tcW w:w="1841" w:type="dxa"/>
            <w:noWrap w:val="0"/>
            <w:vAlign w:val="center"/>
          </w:tcPr>
          <w:p w14:paraId="11789179">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非实质性偏离的范围和幅度</w:t>
            </w:r>
          </w:p>
        </w:tc>
        <w:tc>
          <w:tcPr>
            <w:tcW w:w="5867" w:type="dxa"/>
            <w:noWrap w:val="0"/>
            <w:vAlign w:val="center"/>
          </w:tcPr>
          <w:p w14:paraId="14946A63">
            <w:pPr>
              <w:adjustRightInd w:val="0"/>
              <w:snapToGrid w:val="0"/>
              <w:spacing w:line="360" w:lineRule="auto"/>
              <w:jc w:val="both"/>
              <w:rPr>
                <w:rFonts w:hint="eastAsia" w:ascii="宋体" w:hAnsi="宋体" w:eastAsia="宋体" w:cs="宋体"/>
                <w:szCs w:val="21"/>
              </w:rPr>
            </w:pPr>
            <w:r>
              <w:rPr>
                <w:rFonts w:hint="eastAsia" w:ascii="宋体" w:hAnsi="宋体" w:eastAsia="宋体" w:cs="宋体"/>
                <w:szCs w:val="21"/>
              </w:rPr>
              <w:t>招标文件第四章【采购需求】中条款偏离项数之和≥1</w:t>
            </w:r>
            <w:r>
              <w:rPr>
                <w:rFonts w:hint="eastAsia" w:ascii="宋体" w:hAnsi="宋体" w:cs="宋体"/>
                <w:szCs w:val="21"/>
                <w:lang w:val="en-US" w:eastAsia="zh-CN"/>
              </w:rPr>
              <w:t>1</w:t>
            </w:r>
            <w:r>
              <w:rPr>
                <w:rFonts w:hint="eastAsia" w:ascii="宋体" w:hAnsi="宋体" w:eastAsia="宋体" w:cs="宋体"/>
                <w:szCs w:val="21"/>
              </w:rPr>
              <w:t>项将导致无效投标。</w:t>
            </w:r>
          </w:p>
        </w:tc>
      </w:tr>
      <w:tr w14:paraId="42F16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580F7200">
            <w:pPr>
              <w:adjustRightInd w:val="0"/>
              <w:snapToGrid w:val="0"/>
              <w:spacing w:line="360" w:lineRule="auto"/>
              <w:jc w:val="center"/>
              <w:rPr>
                <w:rFonts w:ascii="宋体" w:hAnsi="宋体" w:cs="宋体"/>
                <w:szCs w:val="21"/>
              </w:rPr>
            </w:pPr>
            <w:r>
              <w:rPr>
                <w:rFonts w:hint="eastAsia" w:ascii="宋体" w:hAnsi="宋体" w:cs="宋体"/>
                <w:szCs w:val="21"/>
              </w:rPr>
              <w:t>第二章第31.2款</w:t>
            </w:r>
          </w:p>
        </w:tc>
        <w:tc>
          <w:tcPr>
            <w:tcW w:w="1841" w:type="dxa"/>
            <w:noWrap w:val="0"/>
            <w:vAlign w:val="center"/>
          </w:tcPr>
          <w:p w14:paraId="161B0927">
            <w:pPr>
              <w:adjustRightInd w:val="0"/>
              <w:snapToGrid w:val="0"/>
              <w:spacing w:line="360" w:lineRule="auto"/>
              <w:rPr>
                <w:rFonts w:ascii="宋体" w:hAnsi="宋体" w:cs="宋体"/>
                <w:szCs w:val="21"/>
              </w:rPr>
            </w:pPr>
            <w:r>
              <w:rPr>
                <w:rFonts w:hint="eastAsia" w:ascii="宋体" w:hAnsi="宋体" w:cs="宋体"/>
                <w:szCs w:val="21"/>
              </w:rPr>
              <w:t>评审因素和标准</w:t>
            </w:r>
          </w:p>
        </w:tc>
        <w:tc>
          <w:tcPr>
            <w:tcW w:w="5867" w:type="dxa"/>
            <w:noWrap w:val="0"/>
            <w:vAlign w:val="center"/>
          </w:tcPr>
          <w:p w14:paraId="05535C43">
            <w:pPr>
              <w:rPr>
                <w:rFonts w:ascii="宋体" w:hAnsi="宋体" w:cs="宋体"/>
                <w:b w:val="0"/>
                <w:bCs/>
                <w:szCs w:val="21"/>
              </w:rPr>
            </w:pPr>
            <w:r>
              <w:rPr>
                <w:rFonts w:hint="eastAsia" w:ascii="宋体" w:hAnsi="宋体" w:cs="宋体"/>
                <w:b w:val="0"/>
                <w:bCs/>
                <w:szCs w:val="21"/>
              </w:rPr>
              <w:t>见</w:t>
            </w:r>
            <w:r>
              <w:rPr>
                <w:rFonts w:hint="eastAsia" w:ascii="宋体" w:hAnsi="宋体" w:eastAsia="宋体" w:cs="宋体"/>
                <w:b w:val="0"/>
                <w:bCs/>
                <w:szCs w:val="21"/>
              </w:rPr>
              <w:t>附页4</w:t>
            </w:r>
          </w:p>
        </w:tc>
      </w:tr>
      <w:tr w14:paraId="38A00F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390" w:type="dxa"/>
            <w:gridSpan w:val="3"/>
            <w:noWrap w:val="0"/>
            <w:vAlign w:val="center"/>
          </w:tcPr>
          <w:p w14:paraId="7581DA25">
            <w:pPr>
              <w:adjustRightInd w:val="0"/>
              <w:snapToGrid w:val="0"/>
              <w:spacing w:line="360" w:lineRule="auto"/>
              <w:rPr>
                <w:rFonts w:ascii="宋体" w:hAnsi="宋体" w:cs="宋体"/>
                <w:szCs w:val="21"/>
              </w:rPr>
            </w:pPr>
            <w:r>
              <w:rPr>
                <w:rFonts w:hint="eastAsia" w:ascii="宋体" w:hAnsi="宋体" w:cs="宋体"/>
                <w:b/>
                <w:szCs w:val="21"/>
              </w:rPr>
              <w:t>六、成交结果信息公布与授予合同</w:t>
            </w:r>
          </w:p>
        </w:tc>
      </w:tr>
      <w:tr w14:paraId="15237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483690C3">
            <w:pPr>
              <w:adjustRightInd w:val="0"/>
              <w:snapToGrid w:val="0"/>
              <w:spacing w:line="360" w:lineRule="auto"/>
              <w:jc w:val="center"/>
              <w:rPr>
                <w:rFonts w:ascii="宋体" w:hAnsi="宋体" w:cs="宋体"/>
                <w:szCs w:val="21"/>
              </w:rPr>
            </w:pPr>
            <w:r>
              <w:rPr>
                <w:rFonts w:hint="eastAsia" w:ascii="宋体" w:hAnsi="宋体" w:cs="宋体"/>
                <w:szCs w:val="21"/>
              </w:rPr>
              <w:t>第二章第37.1款、</w:t>
            </w:r>
          </w:p>
        </w:tc>
        <w:tc>
          <w:tcPr>
            <w:tcW w:w="1841" w:type="dxa"/>
            <w:noWrap w:val="0"/>
            <w:vAlign w:val="center"/>
          </w:tcPr>
          <w:p w14:paraId="30950A27">
            <w:pPr>
              <w:adjustRightInd w:val="0"/>
              <w:snapToGrid w:val="0"/>
              <w:spacing w:line="360" w:lineRule="auto"/>
              <w:rPr>
                <w:rFonts w:ascii="宋体" w:hAnsi="宋体" w:cs="宋体"/>
                <w:szCs w:val="21"/>
              </w:rPr>
            </w:pPr>
            <w:r>
              <w:rPr>
                <w:rFonts w:hint="eastAsia" w:ascii="宋体" w:hAnsi="宋体" w:cs="宋体"/>
                <w:szCs w:val="21"/>
              </w:rPr>
              <w:t>指定的媒体</w:t>
            </w:r>
          </w:p>
        </w:tc>
        <w:tc>
          <w:tcPr>
            <w:tcW w:w="5867" w:type="dxa"/>
            <w:noWrap w:val="0"/>
            <w:vAlign w:val="center"/>
          </w:tcPr>
          <w:p w14:paraId="6327DEA8">
            <w:pPr>
              <w:adjustRightInd w:val="0"/>
              <w:snapToGrid w:val="0"/>
              <w:spacing w:line="360" w:lineRule="auto"/>
              <w:rPr>
                <w:rFonts w:ascii="宋体" w:hAnsi="宋体" w:cs="宋体"/>
                <w:szCs w:val="21"/>
                <w:u w:val="single"/>
              </w:rPr>
            </w:pPr>
            <w:r>
              <w:rPr>
                <w:rFonts w:hint="eastAsia" w:ascii="宋体" w:hAnsi="宋体"/>
                <w:szCs w:val="21"/>
              </w:rPr>
              <w:t>在</w:t>
            </w:r>
            <w:r>
              <w:rPr>
                <w:rFonts w:hint="eastAsia" w:ascii="宋体" w:hAnsi="宋体"/>
                <w:szCs w:val="21"/>
                <w:lang w:val="en-US" w:eastAsia="zh-CN"/>
              </w:rPr>
              <w:t>中国湖南省政府采购网</w:t>
            </w:r>
            <w:r>
              <w:rPr>
                <w:rFonts w:hint="eastAsia" w:ascii="宋体" w:hAnsi="宋体"/>
                <w:szCs w:val="21"/>
              </w:rPr>
              <w:t>上发布</w:t>
            </w:r>
          </w:p>
        </w:tc>
      </w:tr>
      <w:tr w14:paraId="197197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1CBB089D">
            <w:pPr>
              <w:adjustRightInd w:val="0"/>
              <w:snapToGrid w:val="0"/>
              <w:spacing w:line="360" w:lineRule="auto"/>
              <w:jc w:val="center"/>
              <w:rPr>
                <w:rFonts w:ascii="宋体" w:hAnsi="宋体" w:cs="宋体"/>
                <w:szCs w:val="21"/>
              </w:rPr>
            </w:pPr>
            <w:r>
              <w:rPr>
                <w:rFonts w:hint="eastAsia" w:ascii="宋体" w:hAnsi="宋体" w:cs="宋体"/>
                <w:szCs w:val="21"/>
              </w:rPr>
              <w:t>第二章第39.3款</w:t>
            </w:r>
          </w:p>
        </w:tc>
        <w:tc>
          <w:tcPr>
            <w:tcW w:w="1841" w:type="dxa"/>
            <w:noWrap w:val="0"/>
            <w:vAlign w:val="center"/>
          </w:tcPr>
          <w:p w14:paraId="26558C0B">
            <w:pPr>
              <w:adjustRightInd w:val="0"/>
              <w:snapToGrid w:val="0"/>
              <w:spacing w:line="360" w:lineRule="auto"/>
              <w:rPr>
                <w:rFonts w:ascii="宋体" w:hAnsi="宋体" w:cs="宋体"/>
                <w:color w:val="auto"/>
                <w:szCs w:val="21"/>
              </w:rPr>
            </w:pPr>
            <w:r>
              <w:rPr>
                <w:rFonts w:hint="eastAsia" w:ascii="宋体" w:hAnsi="宋体" w:cs="宋体"/>
                <w:color w:val="auto"/>
                <w:szCs w:val="21"/>
              </w:rPr>
              <w:t>履约担保</w:t>
            </w:r>
          </w:p>
        </w:tc>
        <w:tc>
          <w:tcPr>
            <w:tcW w:w="5867" w:type="dxa"/>
            <w:noWrap w:val="0"/>
            <w:vAlign w:val="center"/>
          </w:tcPr>
          <w:p w14:paraId="699D0AC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不要求提供</w:t>
            </w:r>
          </w:p>
          <w:p w14:paraId="305E8B7A">
            <w:pPr>
              <w:keepNext w:val="0"/>
              <w:keepLines w:val="0"/>
              <w:pageBreakBefore w:val="0"/>
              <w:kinsoku/>
              <w:wordWrap/>
              <w:overflowPunct/>
              <w:topLinePunct w:val="0"/>
              <w:autoSpaceDE/>
              <w:autoSpaceDN/>
              <w:bidi w:val="0"/>
              <w:adjustRightInd w:val="0"/>
              <w:snapToGrid w:val="0"/>
              <w:spacing w:before="50"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要求提供</w:t>
            </w:r>
          </w:p>
          <w:p w14:paraId="0C16E342">
            <w:pPr>
              <w:adjustRightInd w:val="0"/>
              <w:snapToGrid w:val="0"/>
              <w:spacing w:line="360" w:lineRule="auto"/>
              <w:rPr>
                <w:rFonts w:ascii="宋体" w:hAnsi="宋体" w:cs="宋体"/>
                <w:color w:val="auto"/>
                <w:szCs w:val="21"/>
              </w:rPr>
            </w:pPr>
            <w:r>
              <w:rPr>
                <w:rFonts w:hint="eastAsia" w:ascii="宋体" w:hAnsi="宋体"/>
                <w:color w:val="auto"/>
                <w:szCs w:val="21"/>
                <w:highlight w:val="none"/>
              </w:rPr>
              <w:t>履约担保的金额为：</w:t>
            </w:r>
            <w:r>
              <w:rPr>
                <w:rFonts w:hint="eastAsia" w:ascii="宋体" w:hAnsi="宋体" w:eastAsia="宋体" w:cs="Times New Roman"/>
                <w:color w:val="auto"/>
                <w:szCs w:val="21"/>
                <w:highlight w:val="none"/>
              </w:rPr>
              <w:t>中标后需向采购人缴纳合同金额</w:t>
            </w:r>
            <w:bookmarkStart w:id="0" w:name="EB6b29c12a70ca473fa9f1ef98e4ffe4ef"/>
            <w:r>
              <w:rPr>
                <w:rFonts w:hint="eastAsia" w:ascii="宋体" w:hAnsi="宋体" w:eastAsia="宋体" w:cs="Times New Roman"/>
                <w:color w:val="auto"/>
                <w:szCs w:val="21"/>
                <w:highlight w:val="none"/>
                <w:lang w:val="en-US" w:eastAsia="zh-CN"/>
              </w:rPr>
              <w:t xml:space="preserve">5 </w:t>
            </w:r>
            <w:r>
              <w:rPr>
                <w:rFonts w:hint="eastAsia" w:ascii="宋体" w:hAnsi="宋体" w:eastAsia="宋体" w:cs="Times New Roman"/>
                <w:color w:val="auto"/>
                <w:szCs w:val="21"/>
                <w:highlight w:val="none"/>
              </w:rPr>
              <w:t>%</w:t>
            </w:r>
            <w:bookmarkEnd w:id="0"/>
            <w:r>
              <w:rPr>
                <w:rFonts w:hint="eastAsia" w:ascii="宋体" w:hAnsi="宋体" w:eastAsia="宋体" w:cs="Times New Roman"/>
                <w:color w:val="auto"/>
                <w:szCs w:val="21"/>
                <w:highlight w:val="none"/>
              </w:rPr>
              <w:t>履约担保金，履约保证金退还方式、时间、条件和不予退还情形详见第</w:t>
            </w:r>
            <w:r>
              <w:rPr>
                <w:rFonts w:hint="eastAsia" w:ascii="宋体" w:hAnsi="宋体" w:eastAsia="宋体" w:cs="Times New Roman"/>
                <w:color w:val="auto"/>
                <w:szCs w:val="21"/>
                <w:highlight w:val="none"/>
                <w:lang w:val="en-US" w:eastAsia="zh-CN"/>
              </w:rPr>
              <w:t>四</w:t>
            </w:r>
            <w:r>
              <w:rPr>
                <w:rFonts w:hint="eastAsia" w:ascii="宋体" w:hAnsi="宋体" w:eastAsia="宋体" w:cs="Times New Roman"/>
                <w:color w:val="auto"/>
                <w:szCs w:val="21"/>
                <w:highlight w:val="none"/>
              </w:rPr>
              <w:t>章采购需求。</w:t>
            </w:r>
          </w:p>
        </w:tc>
      </w:tr>
      <w:tr w14:paraId="64FCBF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390" w:type="dxa"/>
            <w:gridSpan w:val="3"/>
            <w:noWrap w:val="0"/>
            <w:vAlign w:val="center"/>
          </w:tcPr>
          <w:p w14:paraId="60FD0FF1">
            <w:pPr>
              <w:adjustRightInd w:val="0"/>
              <w:snapToGrid w:val="0"/>
              <w:spacing w:line="360" w:lineRule="auto"/>
              <w:rPr>
                <w:rFonts w:ascii="宋体" w:hAnsi="宋体" w:cs="宋体"/>
                <w:b/>
                <w:szCs w:val="21"/>
              </w:rPr>
            </w:pPr>
            <w:r>
              <w:rPr>
                <w:rFonts w:hint="eastAsia" w:ascii="宋体" w:hAnsi="宋体" w:cs="宋体"/>
                <w:b/>
                <w:szCs w:val="21"/>
              </w:rPr>
              <w:t>七、其它规定</w:t>
            </w:r>
          </w:p>
        </w:tc>
      </w:tr>
      <w:tr w14:paraId="1AE86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682" w:type="dxa"/>
            <w:noWrap w:val="0"/>
            <w:vAlign w:val="center"/>
          </w:tcPr>
          <w:p w14:paraId="73B3C088">
            <w:pPr>
              <w:adjustRightInd w:val="0"/>
              <w:snapToGrid w:val="0"/>
              <w:spacing w:line="360" w:lineRule="auto"/>
              <w:jc w:val="center"/>
              <w:rPr>
                <w:rFonts w:ascii="宋体" w:hAnsi="宋体" w:cs="宋体"/>
                <w:szCs w:val="21"/>
              </w:rPr>
            </w:pPr>
            <w:r>
              <w:rPr>
                <w:rFonts w:hint="eastAsia" w:ascii="宋体" w:hAnsi="宋体" w:cs="宋体"/>
                <w:szCs w:val="21"/>
              </w:rPr>
              <w:t>第二章第41.1款</w:t>
            </w:r>
          </w:p>
        </w:tc>
        <w:tc>
          <w:tcPr>
            <w:tcW w:w="1841" w:type="dxa"/>
            <w:noWrap w:val="0"/>
            <w:vAlign w:val="center"/>
          </w:tcPr>
          <w:p w14:paraId="14B2D2AC">
            <w:pPr>
              <w:adjustRightInd w:val="0"/>
              <w:snapToGrid w:val="0"/>
              <w:spacing w:line="360" w:lineRule="auto"/>
              <w:rPr>
                <w:rFonts w:ascii="宋体" w:hAnsi="宋体" w:cs="宋体"/>
                <w:szCs w:val="21"/>
              </w:rPr>
            </w:pPr>
            <w:r>
              <w:rPr>
                <w:rFonts w:hint="eastAsia" w:ascii="宋体" w:hAnsi="宋体" w:cs="宋体"/>
                <w:szCs w:val="21"/>
              </w:rPr>
              <w:t>采购代理服务费</w:t>
            </w:r>
          </w:p>
        </w:tc>
        <w:tc>
          <w:tcPr>
            <w:tcW w:w="5867" w:type="dxa"/>
            <w:noWrap w:val="0"/>
            <w:vAlign w:val="center"/>
          </w:tcPr>
          <w:p w14:paraId="1E9FDA4D">
            <w:pPr>
              <w:adjustRightInd w:val="0"/>
              <w:snapToGrid w:val="0"/>
              <w:spacing w:line="360" w:lineRule="auto"/>
              <w:jc w:val="left"/>
              <w:rPr>
                <w:rFonts w:ascii="宋体" w:hAnsi="宋体" w:cs="宋体"/>
                <w:szCs w:val="21"/>
                <w:u w:val="single"/>
              </w:rPr>
            </w:pPr>
            <w:r>
              <w:rPr>
                <w:rFonts w:hint="eastAsia" w:ascii="宋体" w:hAnsi="宋体" w:cs="宋体"/>
                <w:szCs w:val="21"/>
                <w:lang w:val="en-US" w:eastAsia="zh-CN"/>
              </w:rPr>
              <w:t>本项目由采购代理机构向</w:t>
            </w:r>
            <w:r>
              <w:rPr>
                <w:rFonts w:hint="eastAsia" w:ascii="宋体" w:hAnsi="宋体" w:cs="宋体"/>
                <w:szCs w:val="21"/>
              </w:rPr>
              <w:t>采购人收取代理服务费</w:t>
            </w:r>
            <w:r>
              <w:rPr>
                <w:rFonts w:hint="eastAsia" w:ascii="宋体" w:hAnsi="宋体" w:cs="宋体"/>
                <w:szCs w:val="21"/>
                <w:lang w:val="en-US" w:eastAsia="zh-CN"/>
              </w:rPr>
              <w:t>不超过8039</w:t>
            </w:r>
            <w:r>
              <w:rPr>
                <w:rFonts w:hint="eastAsia" w:ascii="宋体" w:hAnsi="宋体" w:cs="宋体"/>
                <w:szCs w:val="21"/>
              </w:rPr>
              <w:t>元。</w:t>
            </w:r>
          </w:p>
        </w:tc>
      </w:tr>
      <w:tr w14:paraId="4B7D2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82" w:type="dxa"/>
            <w:noWrap w:val="0"/>
            <w:vAlign w:val="center"/>
          </w:tcPr>
          <w:p w14:paraId="0F2AE644">
            <w:pPr>
              <w:adjustRightInd w:val="0"/>
              <w:snapToGrid w:val="0"/>
              <w:spacing w:line="360" w:lineRule="auto"/>
              <w:jc w:val="center"/>
              <w:rPr>
                <w:rFonts w:ascii="宋体" w:hAnsi="宋体" w:cs="宋体"/>
                <w:szCs w:val="21"/>
              </w:rPr>
            </w:pPr>
            <w:r>
              <w:rPr>
                <w:rFonts w:hint="eastAsia" w:ascii="宋体" w:hAnsi="宋体" w:cs="宋体"/>
                <w:szCs w:val="21"/>
              </w:rPr>
              <w:t>第二章第42.1款</w:t>
            </w:r>
          </w:p>
        </w:tc>
        <w:tc>
          <w:tcPr>
            <w:tcW w:w="1841" w:type="dxa"/>
            <w:noWrap w:val="0"/>
            <w:vAlign w:val="center"/>
          </w:tcPr>
          <w:p w14:paraId="11EB8A05">
            <w:pPr>
              <w:adjustRightInd w:val="0"/>
              <w:snapToGrid w:val="0"/>
              <w:spacing w:line="360" w:lineRule="auto"/>
              <w:rPr>
                <w:rFonts w:ascii="宋体" w:hAnsi="宋体" w:cs="宋体"/>
                <w:szCs w:val="21"/>
              </w:rPr>
            </w:pPr>
            <w:r>
              <w:rPr>
                <w:rFonts w:hint="eastAsia" w:ascii="宋体" w:hAnsi="宋体" w:cs="宋体"/>
                <w:szCs w:val="21"/>
              </w:rPr>
              <w:t>其它规定</w:t>
            </w:r>
          </w:p>
        </w:tc>
        <w:tc>
          <w:tcPr>
            <w:tcW w:w="5867" w:type="dxa"/>
            <w:noWrap w:val="0"/>
            <w:vAlign w:val="center"/>
          </w:tcPr>
          <w:p w14:paraId="72318243">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624FA5">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1.信用信息查询的查询渠道：“信用中国”网站（www.creditchina.gov.cn）、中国政府采购网（www.ccgp.gov.cn）。</w:t>
            </w:r>
          </w:p>
          <w:p w14:paraId="2E054B64">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2.信用信息查询的截止时点：至本项目投标截止时间止。</w:t>
            </w:r>
          </w:p>
          <w:p w14:paraId="41BEBC0C">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3.信用信息查询记录的具体方式：采购人或采购代理机构在开标后在规定的查询渠道进行查询。</w:t>
            </w:r>
          </w:p>
          <w:p w14:paraId="51D84684">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4.信用信息查询记录证据留存的具体方式：查询记录的网上打印件。</w:t>
            </w:r>
          </w:p>
          <w:p w14:paraId="4BA58466">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5.信用信息的使用规则：查询后交由评标委员会评定。</w:t>
            </w:r>
          </w:p>
        </w:tc>
      </w:tr>
    </w:tbl>
    <w:p w14:paraId="497D35AB">
      <w:pPr>
        <w:adjustRightInd w:val="0"/>
        <w:snapToGrid w:val="0"/>
        <w:spacing w:line="360" w:lineRule="auto"/>
        <w:outlineLvl w:val="2"/>
        <w:rPr>
          <w:rFonts w:ascii="宋体" w:hAnsi="宋体" w:cs="宋体"/>
          <w:b/>
          <w:bCs/>
          <w:sz w:val="24"/>
          <w:szCs w:val="24"/>
        </w:rPr>
      </w:pPr>
      <w:r>
        <w:rPr>
          <w:rFonts w:hint="eastAsia" w:ascii="宋体" w:hAnsi="宋体" w:cs="宋体"/>
          <w:b/>
          <w:bCs/>
          <w:szCs w:val="21"/>
        </w:rPr>
        <w:br w:type="page"/>
      </w:r>
      <w:r>
        <w:rPr>
          <w:rFonts w:hint="eastAsia" w:ascii="宋体" w:hAnsi="宋体" w:cs="宋体"/>
          <w:b/>
          <w:bCs/>
          <w:sz w:val="24"/>
          <w:szCs w:val="24"/>
        </w:rPr>
        <w:t>附页1</w:t>
      </w:r>
      <w:r>
        <w:rPr>
          <w:rFonts w:hint="eastAsia" w:ascii="宋体" w:hAnsi="宋体" w:cs="宋体"/>
          <w:b/>
          <w:bCs/>
          <w:kern w:val="0"/>
          <w:sz w:val="24"/>
          <w:szCs w:val="24"/>
        </w:rPr>
        <w:t>湖南省政府采购支持小微企业融资合作银行及联系人名单</w:t>
      </w: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17"/>
        <w:gridCol w:w="1128"/>
        <w:gridCol w:w="3015"/>
        <w:gridCol w:w="2620"/>
      </w:tblGrid>
      <w:tr w14:paraId="6D26A2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2817" w:type="dxa"/>
            <w:noWrap w:val="0"/>
            <w:vAlign w:val="center"/>
          </w:tcPr>
          <w:p w14:paraId="5E99D0FA">
            <w:pPr>
              <w:adjustRightInd w:val="0"/>
              <w:snapToGrid w:val="0"/>
              <w:spacing w:before="156" w:beforeLines="50" w:line="360" w:lineRule="auto"/>
              <w:jc w:val="center"/>
              <w:rPr>
                <w:rFonts w:ascii="宋体" w:hAnsi="宋体" w:cs="宋体"/>
                <w:b/>
                <w:szCs w:val="21"/>
              </w:rPr>
            </w:pPr>
            <w:r>
              <w:rPr>
                <w:rFonts w:hint="eastAsia" w:ascii="宋体" w:hAnsi="宋体" w:cs="宋体"/>
                <w:b/>
                <w:bCs/>
                <w:kern w:val="0"/>
                <w:szCs w:val="21"/>
              </w:rPr>
              <w:t>银行名称</w:t>
            </w:r>
          </w:p>
        </w:tc>
        <w:tc>
          <w:tcPr>
            <w:tcW w:w="1128" w:type="dxa"/>
            <w:noWrap w:val="0"/>
            <w:vAlign w:val="center"/>
          </w:tcPr>
          <w:p w14:paraId="2AC2DC21">
            <w:pPr>
              <w:adjustRightInd w:val="0"/>
              <w:snapToGrid w:val="0"/>
              <w:spacing w:before="156" w:beforeLines="50" w:line="360" w:lineRule="auto"/>
              <w:jc w:val="center"/>
              <w:rPr>
                <w:rFonts w:ascii="宋体" w:hAnsi="宋体" w:cs="宋体"/>
                <w:b/>
                <w:szCs w:val="21"/>
              </w:rPr>
            </w:pPr>
            <w:r>
              <w:rPr>
                <w:rFonts w:hint="eastAsia" w:ascii="宋体" w:hAnsi="宋体" w:cs="宋体"/>
                <w:b/>
                <w:bCs/>
                <w:kern w:val="0"/>
                <w:szCs w:val="21"/>
              </w:rPr>
              <w:t>联系人</w:t>
            </w:r>
          </w:p>
        </w:tc>
        <w:tc>
          <w:tcPr>
            <w:tcW w:w="3015" w:type="dxa"/>
            <w:noWrap w:val="0"/>
            <w:vAlign w:val="center"/>
          </w:tcPr>
          <w:p w14:paraId="51E8AB98">
            <w:pPr>
              <w:adjustRightInd w:val="0"/>
              <w:snapToGrid w:val="0"/>
              <w:spacing w:before="156" w:beforeLines="50" w:line="360" w:lineRule="auto"/>
              <w:jc w:val="center"/>
              <w:rPr>
                <w:rFonts w:ascii="宋体" w:hAnsi="宋体" w:cs="宋体"/>
                <w:b/>
                <w:szCs w:val="21"/>
              </w:rPr>
            </w:pPr>
            <w:r>
              <w:rPr>
                <w:rFonts w:hint="eastAsia" w:ascii="宋体" w:hAnsi="宋体" w:cs="宋体"/>
                <w:b/>
                <w:bCs/>
                <w:kern w:val="0"/>
                <w:szCs w:val="21"/>
              </w:rPr>
              <w:t>职   务</w:t>
            </w:r>
          </w:p>
        </w:tc>
        <w:tc>
          <w:tcPr>
            <w:tcW w:w="2620" w:type="dxa"/>
            <w:noWrap w:val="0"/>
            <w:vAlign w:val="center"/>
          </w:tcPr>
          <w:p w14:paraId="3173B9A6">
            <w:pPr>
              <w:adjustRightInd w:val="0"/>
              <w:snapToGrid w:val="0"/>
              <w:spacing w:before="156" w:beforeLines="50" w:line="360" w:lineRule="auto"/>
              <w:jc w:val="center"/>
              <w:rPr>
                <w:rFonts w:ascii="宋体" w:hAnsi="宋体" w:cs="宋体"/>
                <w:b/>
                <w:szCs w:val="21"/>
              </w:rPr>
            </w:pPr>
            <w:r>
              <w:rPr>
                <w:rFonts w:hint="eastAsia" w:ascii="宋体" w:hAnsi="宋体" w:cs="宋体"/>
                <w:b/>
                <w:bCs/>
                <w:kern w:val="0"/>
                <w:szCs w:val="21"/>
              </w:rPr>
              <w:t>联系电话</w:t>
            </w:r>
          </w:p>
        </w:tc>
      </w:tr>
      <w:tr w14:paraId="5BA51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604FCA0D">
            <w:pPr>
              <w:adjustRightInd w:val="0"/>
              <w:snapToGrid w:val="0"/>
              <w:spacing w:before="156" w:beforeLines="50" w:line="360" w:lineRule="auto"/>
              <w:rPr>
                <w:rFonts w:ascii="宋体" w:hAnsi="宋体" w:cs="宋体"/>
                <w:szCs w:val="21"/>
              </w:rPr>
            </w:pPr>
            <w:r>
              <w:rPr>
                <w:rFonts w:hint="eastAsia" w:ascii="宋体" w:hAnsi="宋体" w:cs="宋体"/>
                <w:kern w:val="0"/>
                <w:szCs w:val="21"/>
              </w:rPr>
              <w:t>交通银行湖南省分行</w:t>
            </w:r>
          </w:p>
        </w:tc>
        <w:tc>
          <w:tcPr>
            <w:tcW w:w="1128" w:type="dxa"/>
            <w:noWrap w:val="0"/>
            <w:vAlign w:val="center"/>
          </w:tcPr>
          <w:p w14:paraId="3F92259D">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刘  波</w:t>
            </w:r>
          </w:p>
        </w:tc>
        <w:tc>
          <w:tcPr>
            <w:tcW w:w="3015" w:type="dxa"/>
            <w:noWrap w:val="0"/>
            <w:vAlign w:val="center"/>
          </w:tcPr>
          <w:p w14:paraId="51F08B82">
            <w:pPr>
              <w:adjustRightInd w:val="0"/>
              <w:snapToGrid w:val="0"/>
              <w:spacing w:before="156" w:beforeLines="50" w:line="360" w:lineRule="auto"/>
              <w:rPr>
                <w:rFonts w:ascii="宋体" w:hAnsi="宋体" w:cs="宋体"/>
                <w:szCs w:val="21"/>
              </w:rPr>
            </w:pPr>
            <w:r>
              <w:rPr>
                <w:rFonts w:hint="eastAsia" w:ascii="宋体" w:hAnsi="宋体" w:cs="宋体"/>
                <w:kern w:val="0"/>
                <w:szCs w:val="21"/>
              </w:rPr>
              <w:t>名城支行客户经理</w:t>
            </w:r>
          </w:p>
        </w:tc>
        <w:tc>
          <w:tcPr>
            <w:tcW w:w="2620" w:type="dxa"/>
            <w:noWrap w:val="0"/>
            <w:vAlign w:val="center"/>
          </w:tcPr>
          <w:p w14:paraId="67EA2030">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13874998873</w:t>
            </w:r>
          </w:p>
        </w:tc>
      </w:tr>
      <w:tr w14:paraId="5B06D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35D61F6C">
            <w:pPr>
              <w:adjustRightInd w:val="0"/>
              <w:snapToGrid w:val="0"/>
              <w:spacing w:before="156" w:beforeLines="50" w:line="360" w:lineRule="auto"/>
              <w:rPr>
                <w:rFonts w:ascii="宋体" w:hAnsi="宋体" w:cs="宋体"/>
                <w:szCs w:val="21"/>
              </w:rPr>
            </w:pPr>
            <w:r>
              <w:rPr>
                <w:rFonts w:hint="eastAsia" w:ascii="宋体" w:hAnsi="宋体" w:cs="宋体"/>
                <w:kern w:val="0"/>
                <w:szCs w:val="21"/>
              </w:rPr>
              <w:t>交通银行湖南省分行</w:t>
            </w:r>
          </w:p>
        </w:tc>
        <w:tc>
          <w:tcPr>
            <w:tcW w:w="1128" w:type="dxa"/>
            <w:noWrap w:val="0"/>
            <w:vAlign w:val="center"/>
          </w:tcPr>
          <w:p w14:paraId="46AEEB84">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肖勇光</w:t>
            </w:r>
          </w:p>
        </w:tc>
        <w:tc>
          <w:tcPr>
            <w:tcW w:w="3015" w:type="dxa"/>
            <w:noWrap w:val="0"/>
            <w:vAlign w:val="center"/>
          </w:tcPr>
          <w:p w14:paraId="36BBCF6E">
            <w:pPr>
              <w:adjustRightInd w:val="0"/>
              <w:snapToGrid w:val="0"/>
              <w:spacing w:before="156" w:beforeLines="50" w:line="360" w:lineRule="auto"/>
              <w:rPr>
                <w:rFonts w:ascii="宋体" w:hAnsi="宋体" w:cs="宋体"/>
                <w:szCs w:val="21"/>
              </w:rPr>
            </w:pPr>
            <w:r>
              <w:rPr>
                <w:rFonts w:hint="eastAsia" w:ascii="宋体" w:hAnsi="宋体" w:cs="宋体"/>
                <w:kern w:val="0"/>
                <w:szCs w:val="21"/>
              </w:rPr>
              <w:t>分行高级经理</w:t>
            </w:r>
          </w:p>
        </w:tc>
        <w:tc>
          <w:tcPr>
            <w:tcW w:w="2620" w:type="dxa"/>
            <w:noWrap w:val="0"/>
            <w:vAlign w:val="center"/>
          </w:tcPr>
          <w:p w14:paraId="3D3B6827">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13755192647</w:t>
            </w:r>
          </w:p>
        </w:tc>
      </w:tr>
      <w:tr w14:paraId="5834B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2A694C12">
            <w:pPr>
              <w:adjustRightInd w:val="0"/>
              <w:snapToGrid w:val="0"/>
              <w:spacing w:before="156" w:beforeLines="50" w:line="360" w:lineRule="auto"/>
              <w:rPr>
                <w:rFonts w:ascii="宋体" w:hAnsi="宋体" w:cs="宋体"/>
                <w:szCs w:val="21"/>
              </w:rPr>
            </w:pPr>
            <w:r>
              <w:rPr>
                <w:rFonts w:hint="eastAsia" w:ascii="宋体" w:hAnsi="宋体" w:cs="宋体"/>
                <w:kern w:val="0"/>
                <w:szCs w:val="21"/>
              </w:rPr>
              <w:t>中国民生银行长沙分行</w:t>
            </w:r>
          </w:p>
        </w:tc>
        <w:tc>
          <w:tcPr>
            <w:tcW w:w="1128" w:type="dxa"/>
            <w:noWrap w:val="0"/>
            <w:vAlign w:val="center"/>
          </w:tcPr>
          <w:p w14:paraId="1CE1648E">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黄飞燕</w:t>
            </w:r>
          </w:p>
        </w:tc>
        <w:tc>
          <w:tcPr>
            <w:tcW w:w="3015" w:type="dxa"/>
            <w:noWrap w:val="0"/>
            <w:vAlign w:val="center"/>
          </w:tcPr>
          <w:p w14:paraId="7419853E">
            <w:pPr>
              <w:adjustRightInd w:val="0"/>
              <w:snapToGrid w:val="0"/>
              <w:spacing w:before="156" w:beforeLines="50" w:line="360" w:lineRule="auto"/>
              <w:rPr>
                <w:rFonts w:ascii="宋体" w:hAnsi="宋体" w:cs="宋体"/>
                <w:szCs w:val="21"/>
              </w:rPr>
            </w:pPr>
            <w:r>
              <w:rPr>
                <w:rFonts w:hint="eastAsia" w:ascii="宋体" w:hAnsi="宋体" w:cs="宋体"/>
                <w:kern w:val="0"/>
                <w:szCs w:val="21"/>
              </w:rPr>
              <w:t>营业部总经理</w:t>
            </w:r>
          </w:p>
        </w:tc>
        <w:tc>
          <w:tcPr>
            <w:tcW w:w="2620" w:type="dxa"/>
            <w:noWrap w:val="0"/>
            <w:vAlign w:val="center"/>
          </w:tcPr>
          <w:p w14:paraId="29E3E47B">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13308463468</w:t>
            </w:r>
          </w:p>
        </w:tc>
      </w:tr>
      <w:tr w14:paraId="71263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18975B85">
            <w:pPr>
              <w:adjustRightInd w:val="0"/>
              <w:snapToGrid w:val="0"/>
              <w:spacing w:before="156" w:beforeLines="50" w:line="360" w:lineRule="auto"/>
              <w:rPr>
                <w:rFonts w:ascii="宋体" w:hAnsi="宋体" w:cs="宋体"/>
                <w:szCs w:val="21"/>
              </w:rPr>
            </w:pPr>
            <w:r>
              <w:rPr>
                <w:rFonts w:hint="eastAsia" w:ascii="宋体" w:hAnsi="宋体" w:cs="宋体"/>
                <w:kern w:val="0"/>
                <w:szCs w:val="21"/>
              </w:rPr>
              <w:t>中国民生银行长沙分行</w:t>
            </w:r>
          </w:p>
        </w:tc>
        <w:tc>
          <w:tcPr>
            <w:tcW w:w="1128" w:type="dxa"/>
            <w:noWrap w:val="0"/>
            <w:vAlign w:val="center"/>
          </w:tcPr>
          <w:p w14:paraId="7EF63144">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蒋寒奇</w:t>
            </w:r>
          </w:p>
        </w:tc>
        <w:tc>
          <w:tcPr>
            <w:tcW w:w="3015" w:type="dxa"/>
            <w:noWrap w:val="0"/>
            <w:vAlign w:val="center"/>
          </w:tcPr>
          <w:p w14:paraId="3F81CE20">
            <w:pPr>
              <w:adjustRightInd w:val="0"/>
              <w:snapToGrid w:val="0"/>
              <w:spacing w:before="156" w:beforeLines="50" w:line="360" w:lineRule="auto"/>
              <w:rPr>
                <w:rFonts w:ascii="宋体" w:hAnsi="宋体" w:cs="宋体"/>
                <w:szCs w:val="21"/>
              </w:rPr>
            </w:pPr>
            <w:r>
              <w:rPr>
                <w:rFonts w:hint="eastAsia" w:ascii="宋体" w:hAnsi="宋体" w:cs="宋体"/>
                <w:kern w:val="0"/>
                <w:szCs w:val="21"/>
              </w:rPr>
              <w:t>营业部小微企业客户经理</w:t>
            </w:r>
          </w:p>
        </w:tc>
        <w:tc>
          <w:tcPr>
            <w:tcW w:w="2620" w:type="dxa"/>
            <w:noWrap w:val="0"/>
            <w:vAlign w:val="center"/>
          </w:tcPr>
          <w:p w14:paraId="6AC5674A">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13548982975</w:t>
            </w:r>
          </w:p>
        </w:tc>
      </w:tr>
      <w:tr w14:paraId="7883A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4D7BC433">
            <w:pPr>
              <w:adjustRightInd w:val="0"/>
              <w:snapToGrid w:val="0"/>
              <w:spacing w:before="156" w:beforeLines="50" w:line="360" w:lineRule="auto"/>
              <w:rPr>
                <w:rFonts w:ascii="宋体" w:hAnsi="宋体" w:cs="宋体"/>
                <w:szCs w:val="21"/>
              </w:rPr>
            </w:pPr>
            <w:r>
              <w:rPr>
                <w:rFonts w:hint="eastAsia" w:ascii="宋体" w:hAnsi="宋体" w:cs="宋体"/>
                <w:kern w:val="0"/>
                <w:szCs w:val="21"/>
              </w:rPr>
              <w:t>兴业银行长沙分行</w:t>
            </w:r>
          </w:p>
        </w:tc>
        <w:tc>
          <w:tcPr>
            <w:tcW w:w="1128" w:type="dxa"/>
            <w:noWrap w:val="0"/>
            <w:vAlign w:val="center"/>
          </w:tcPr>
          <w:p w14:paraId="27414433">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刘栅延</w:t>
            </w:r>
          </w:p>
        </w:tc>
        <w:tc>
          <w:tcPr>
            <w:tcW w:w="3015" w:type="dxa"/>
            <w:noWrap w:val="0"/>
            <w:vAlign w:val="center"/>
          </w:tcPr>
          <w:p w14:paraId="5F334A01">
            <w:pPr>
              <w:adjustRightInd w:val="0"/>
              <w:snapToGrid w:val="0"/>
              <w:spacing w:before="156" w:beforeLines="50" w:line="360" w:lineRule="auto"/>
              <w:rPr>
                <w:rFonts w:ascii="宋体" w:hAnsi="宋体" w:cs="宋体"/>
                <w:szCs w:val="21"/>
              </w:rPr>
            </w:pPr>
            <w:r>
              <w:rPr>
                <w:rFonts w:hint="eastAsia" w:ascii="宋体" w:hAnsi="宋体" w:cs="宋体"/>
                <w:kern w:val="0"/>
                <w:szCs w:val="21"/>
              </w:rPr>
              <w:t>支行行长</w:t>
            </w:r>
          </w:p>
        </w:tc>
        <w:tc>
          <w:tcPr>
            <w:tcW w:w="2620" w:type="dxa"/>
            <w:noWrap w:val="0"/>
            <w:vAlign w:val="center"/>
          </w:tcPr>
          <w:p w14:paraId="58FA6713">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13337316405</w:t>
            </w:r>
          </w:p>
        </w:tc>
      </w:tr>
      <w:tr w14:paraId="02E4B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387F4CE1">
            <w:pPr>
              <w:adjustRightInd w:val="0"/>
              <w:snapToGrid w:val="0"/>
              <w:spacing w:before="156" w:beforeLines="50" w:line="360" w:lineRule="auto"/>
              <w:rPr>
                <w:rFonts w:ascii="宋体" w:hAnsi="宋体" w:cs="宋体"/>
                <w:szCs w:val="21"/>
              </w:rPr>
            </w:pPr>
            <w:r>
              <w:rPr>
                <w:rFonts w:hint="eastAsia" w:ascii="宋体" w:hAnsi="宋体" w:cs="宋体"/>
                <w:kern w:val="0"/>
                <w:szCs w:val="21"/>
              </w:rPr>
              <w:t>兴业银行长沙分行</w:t>
            </w:r>
          </w:p>
        </w:tc>
        <w:tc>
          <w:tcPr>
            <w:tcW w:w="1128" w:type="dxa"/>
            <w:noWrap w:val="0"/>
            <w:vAlign w:val="center"/>
          </w:tcPr>
          <w:p w14:paraId="5FFA52DF">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蒋修远</w:t>
            </w:r>
          </w:p>
        </w:tc>
        <w:tc>
          <w:tcPr>
            <w:tcW w:w="3015" w:type="dxa"/>
            <w:noWrap w:val="0"/>
            <w:vAlign w:val="center"/>
          </w:tcPr>
          <w:p w14:paraId="405F0B9B">
            <w:pPr>
              <w:adjustRightInd w:val="0"/>
              <w:snapToGrid w:val="0"/>
              <w:spacing w:before="156" w:beforeLines="50" w:line="360" w:lineRule="auto"/>
              <w:rPr>
                <w:rFonts w:ascii="宋体" w:hAnsi="宋体" w:cs="宋体"/>
                <w:szCs w:val="21"/>
              </w:rPr>
            </w:pPr>
            <w:r>
              <w:rPr>
                <w:rFonts w:hint="eastAsia" w:ascii="宋体" w:hAnsi="宋体" w:cs="宋体"/>
                <w:kern w:val="0"/>
                <w:szCs w:val="21"/>
              </w:rPr>
              <w:t>支行客户经理</w:t>
            </w:r>
          </w:p>
        </w:tc>
        <w:tc>
          <w:tcPr>
            <w:tcW w:w="2620" w:type="dxa"/>
            <w:noWrap w:val="0"/>
            <w:vAlign w:val="center"/>
          </w:tcPr>
          <w:p w14:paraId="02449AC0">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18607310422</w:t>
            </w:r>
          </w:p>
        </w:tc>
      </w:tr>
      <w:tr w14:paraId="2B863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27E85FD6">
            <w:pPr>
              <w:adjustRightInd w:val="0"/>
              <w:snapToGrid w:val="0"/>
              <w:spacing w:before="156" w:beforeLines="50" w:line="360" w:lineRule="auto"/>
              <w:rPr>
                <w:rFonts w:ascii="宋体" w:hAnsi="宋体" w:cs="宋体"/>
                <w:szCs w:val="21"/>
              </w:rPr>
            </w:pPr>
            <w:r>
              <w:rPr>
                <w:rFonts w:hint="eastAsia" w:ascii="宋体" w:hAnsi="宋体" w:cs="宋体"/>
                <w:kern w:val="0"/>
                <w:szCs w:val="21"/>
              </w:rPr>
              <w:t>中国光大银行长沙分行</w:t>
            </w:r>
          </w:p>
        </w:tc>
        <w:tc>
          <w:tcPr>
            <w:tcW w:w="1128" w:type="dxa"/>
            <w:noWrap w:val="0"/>
            <w:vAlign w:val="center"/>
          </w:tcPr>
          <w:p w14:paraId="2996C709">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邓永胜</w:t>
            </w:r>
          </w:p>
        </w:tc>
        <w:tc>
          <w:tcPr>
            <w:tcW w:w="3015" w:type="dxa"/>
            <w:noWrap w:val="0"/>
            <w:vAlign w:val="center"/>
          </w:tcPr>
          <w:p w14:paraId="22E40342">
            <w:pPr>
              <w:adjustRightInd w:val="0"/>
              <w:snapToGrid w:val="0"/>
              <w:spacing w:before="156" w:beforeLines="50" w:line="360" w:lineRule="auto"/>
              <w:rPr>
                <w:rFonts w:ascii="宋体" w:hAnsi="宋体" w:cs="宋体"/>
                <w:szCs w:val="21"/>
              </w:rPr>
            </w:pPr>
            <w:r>
              <w:rPr>
                <w:rFonts w:hint="eastAsia" w:ascii="宋体" w:hAnsi="宋体" w:cs="宋体"/>
                <w:kern w:val="0"/>
                <w:szCs w:val="21"/>
              </w:rPr>
              <w:t>岳麓支行副行长</w:t>
            </w:r>
          </w:p>
        </w:tc>
        <w:tc>
          <w:tcPr>
            <w:tcW w:w="2620" w:type="dxa"/>
            <w:noWrap w:val="0"/>
            <w:vAlign w:val="center"/>
          </w:tcPr>
          <w:p w14:paraId="2CCBA8BF">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13617319650</w:t>
            </w:r>
          </w:p>
        </w:tc>
      </w:tr>
      <w:tr w14:paraId="61030F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817" w:type="dxa"/>
            <w:noWrap w:val="0"/>
            <w:vAlign w:val="center"/>
          </w:tcPr>
          <w:p w14:paraId="081FBB30">
            <w:pPr>
              <w:adjustRightInd w:val="0"/>
              <w:snapToGrid w:val="0"/>
              <w:spacing w:before="156" w:beforeLines="50" w:line="360" w:lineRule="auto"/>
              <w:rPr>
                <w:rFonts w:ascii="宋体" w:hAnsi="宋体" w:cs="宋体"/>
                <w:szCs w:val="21"/>
              </w:rPr>
            </w:pPr>
            <w:r>
              <w:rPr>
                <w:rFonts w:hint="eastAsia" w:ascii="宋体" w:hAnsi="宋体" w:cs="宋体"/>
                <w:kern w:val="0"/>
                <w:szCs w:val="21"/>
              </w:rPr>
              <w:t>中信银行长沙分行</w:t>
            </w:r>
          </w:p>
        </w:tc>
        <w:tc>
          <w:tcPr>
            <w:tcW w:w="1128" w:type="dxa"/>
            <w:noWrap w:val="0"/>
            <w:vAlign w:val="center"/>
          </w:tcPr>
          <w:p w14:paraId="532EA0A9">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蔡学军</w:t>
            </w:r>
          </w:p>
        </w:tc>
        <w:tc>
          <w:tcPr>
            <w:tcW w:w="3015" w:type="dxa"/>
            <w:noWrap w:val="0"/>
            <w:vAlign w:val="center"/>
          </w:tcPr>
          <w:p w14:paraId="3101DF09">
            <w:pPr>
              <w:adjustRightInd w:val="0"/>
              <w:snapToGrid w:val="0"/>
              <w:spacing w:before="156" w:beforeLines="50" w:line="360" w:lineRule="auto"/>
              <w:rPr>
                <w:rFonts w:ascii="宋体" w:hAnsi="宋体" w:cs="宋体"/>
                <w:szCs w:val="21"/>
              </w:rPr>
            </w:pPr>
            <w:r>
              <w:rPr>
                <w:rFonts w:hint="eastAsia" w:ascii="宋体" w:hAnsi="宋体" w:cs="宋体"/>
                <w:kern w:val="0"/>
                <w:szCs w:val="21"/>
              </w:rPr>
              <w:t>公司银行部负责人</w:t>
            </w:r>
          </w:p>
        </w:tc>
        <w:tc>
          <w:tcPr>
            <w:tcW w:w="2620" w:type="dxa"/>
            <w:noWrap w:val="0"/>
            <w:vAlign w:val="center"/>
          </w:tcPr>
          <w:p w14:paraId="5E1AEDDE">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13055167195</w:t>
            </w:r>
          </w:p>
        </w:tc>
      </w:tr>
      <w:tr w14:paraId="1E078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2817" w:type="dxa"/>
            <w:noWrap w:val="0"/>
            <w:vAlign w:val="center"/>
          </w:tcPr>
          <w:p w14:paraId="08209697">
            <w:pPr>
              <w:adjustRightInd w:val="0"/>
              <w:snapToGrid w:val="0"/>
              <w:spacing w:before="156" w:beforeLines="50" w:line="360" w:lineRule="auto"/>
              <w:rPr>
                <w:rFonts w:ascii="宋体" w:hAnsi="宋体" w:cs="宋体"/>
                <w:szCs w:val="21"/>
              </w:rPr>
            </w:pPr>
            <w:r>
              <w:rPr>
                <w:rFonts w:hint="eastAsia" w:ascii="宋体" w:hAnsi="宋体" w:cs="宋体"/>
                <w:kern w:val="0"/>
                <w:szCs w:val="21"/>
              </w:rPr>
              <w:t>中信银行长沙分行</w:t>
            </w:r>
          </w:p>
        </w:tc>
        <w:tc>
          <w:tcPr>
            <w:tcW w:w="1128" w:type="dxa"/>
            <w:noWrap w:val="0"/>
            <w:vAlign w:val="center"/>
          </w:tcPr>
          <w:p w14:paraId="65E501F1">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宋学农</w:t>
            </w:r>
          </w:p>
        </w:tc>
        <w:tc>
          <w:tcPr>
            <w:tcW w:w="3015" w:type="dxa"/>
            <w:noWrap w:val="0"/>
            <w:vAlign w:val="center"/>
          </w:tcPr>
          <w:p w14:paraId="6073C188">
            <w:pPr>
              <w:adjustRightInd w:val="0"/>
              <w:snapToGrid w:val="0"/>
              <w:spacing w:before="156" w:beforeLines="50" w:line="360" w:lineRule="auto"/>
              <w:rPr>
                <w:rFonts w:ascii="宋体" w:hAnsi="宋体" w:cs="宋体"/>
                <w:szCs w:val="21"/>
              </w:rPr>
            </w:pPr>
            <w:r>
              <w:rPr>
                <w:rFonts w:hint="eastAsia" w:ascii="宋体" w:hAnsi="宋体" w:cs="宋体"/>
                <w:kern w:val="0"/>
                <w:szCs w:val="21"/>
              </w:rPr>
              <w:t>银行部综合管理部副总经理</w:t>
            </w:r>
          </w:p>
        </w:tc>
        <w:tc>
          <w:tcPr>
            <w:tcW w:w="2620" w:type="dxa"/>
            <w:noWrap w:val="0"/>
            <w:vAlign w:val="center"/>
          </w:tcPr>
          <w:p w14:paraId="1C589CD9">
            <w:pPr>
              <w:adjustRightInd w:val="0"/>
              <w:snapToGrid w:val="0"/>
              <w:spacing w:before="156" w:beforeLines="50" w:line="360" w:lineRule="auto"/>
              <w:jc w:val="center"/>
              <w:rPr>
                <w:rFonts w:ascii="宋体" w:hAnsi="宋体" w:cs="宋体"/>
                <w:szCs w:val="21"/>
              </w:rPr>
            </w:pPr>
            <w:r>
              <w:rPr>
                <w:rFonts w:hint="eastAsia" w:ascii="宋体" w:hAnsi="宋体" w:cs="宋体"/>
                <w:kern w:val="0"/>
                <w:szCs w:val="21"/>
              </w:rPr>
              <w:t>0731-845822141</w:t>
            </w:r>
          </w:p>
        </w:tc>
      </w:tr>
    </w:tbl>
    <w:p w14:paraId="2EFE4B00">
      <w:pPr>
        <w:adjustRightInd w:val="0"/>
        <w:snapToGrid w:val="0"/>
        <w:spacing w:line="360" w:lineRule="auto"/>
        <w:rPr>
          <w:rFonts w:ascii="宋体" w:hAnsi="宋体" w:cs="宋体"/>
          <w:b/>
          <w:bCs/>
          <w:szCs w:val="21"/>
        </w:rPr>
      </w:pPr>
    </w:p>
    <w:p w14:paraId="3B06513F">
      <w:pPr>
        <w:adjustRightInd w:val="0"/>
        <w:snapToGrid w:val="0"/>
        <w:spacing w:line="360" w:lineRule="auto"/>
        <w:rPr>
          <w:rFonts w:ascii="宋体" w:hAnsi="宋体" w:cs="宋体"/>
          <w:b/>
          <w:bCs/>
          <w:szCs w:val="21"/>
        </w:rPr>
      </w:pPr>
    </w:p>
    <w:p w14:paraId="76B53941">
      <w:pPr>
        <w:adjustRightInd w:val="0"/>
        <w:snapToGrid w:val="0"/>
        <w:spacing w:line="360" w:lineRule="auto"/>
        <w:outlineLvl w:val="2"/>
        <w:rPr>
          <w:rFonts w:ascii="宋体" w:hAnsi="宋体" w:cs="宋体"/>
          <w:b/>
          <w:bCs/>
          <w:sz w:val="24"/>
          <w:szCs w:val="24"/>
        </w:rPr>
      </w:pPr>
      <w:r>
        <w:rPr>
          <w:rFonts w:hint="eastAsia" w:ascii="宋体" w:hAnsi="宋体" w:cs="宋体"/>
          <w:b/>
          <w:bCs/>
          <w:sz w:val="24"/>
          <w:szCs w:val="24"/>
        </w:rPr>
        <w:t>附页2</w:t>
      </w:r>
      <w:r>
        <w:rPr>
          <w:rFonts w:hint="eastAsia" w:ascii="宋体" w:hAnsi="宋体" w:cs="宋体"/>
          <w:b/>
          <w:bCs/>
          <w:kern w:val="0"/>
          <w:sz w:val="24"/>
          <w:szCs w:val="24"/>
        </w:rPr>
        <w:t>湖南省政府采购信用担保试点工作的</w:t>
      </w:r>
      <w:r>
        <w:rPr>
          <w:rFonts w:hint="eastAsia" w:ascii="宋体" w:hAnsi="宋体" w:cs="宋体"/>
          <w:b/>
          <w:sz w:val="24"/>
          <w:szCs w:val="24"/>
        </w:rPr>
        <w:t>信用担保机构名单</w:t>
      </w: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17"/>
        <w:gridCol w:w="1129"/>
        <w:gridCol w:w="3954"/>
      </w:tblGrid>
      <w:tr w14:paraId="3897C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4517" w:type="dxa"/>
            <w:noWrap w:val="0"/>
            <w:vAlign w:val="center"/>
          </w:tcPr>
          <w:p w14:paraId="4610B98E">
            <w:pPr>
              <w:adjustRightInd w:val="0"/>
              <w:snapToGrid w:val="0"/>
              <w:spacing w:line="240" w:lineRule="exact"/>
              <w:jc w:val="center"/>
              <w:rPr>
                <w:rFonts w:ascii="宋体" w:hAnsi="宋体" w:cs="宋体"/>
                <w:b/>
                <w:bCs/>
                <w:kern w:val="0"/>
                <w:szCs w:val="21"/>
              </w:rPr>
            </w:pPr>
            <w:r>
              <w:rPr>
                <w:rFonts w:hint="eastAsia" w:ascii="宋体" w:hAnsi="宋体" w:cs="宋体"/>
                <w:b/>
                <w:szCs w:val="21"/>
              </w:rPr>
              <w:t>信用担保机构</w:t>
            </w:r>
          </w:p>
        </w:tc>
        <w:tc>
          <w:tcPr>
            <w:tcW w:w="1129" w:type="dxa"/>
            <w:noWrap w:val="0"/>
            <w:vAlign w:val="center"/>
          </w:tcPr>
          <w:p w14:paraId="77B5F5A3">
            <w:pPr>
              <w:adjustRightInd w:val="0"/>
              <w:snapToGrid w:val="0"/>
              <w:spacing w:line="240" w:lineRule="exact"/>
              <w:jc w:val="center"/>
              <w:rPr>
                <w:rFonts w:ascii="宋体" w:hAnsi="宋体" w:cs="宋体"/>
                <w:b/>
                <w:bCs/>
                <w:kern w:val="0"/>
                <w:szCs w:val="21"/>
              </w:rPr>
            </w:pPr>
            <w:r>
              <w:rPr>
                <w:rFonts w:hint="eastAsia" w:ascii="宋体" w:hAnsi="宋体" w:cs="宋体"/>
                <w:b/>
                <w:szCs w:val="21"/>
              </w:rPr>
              <w:t>联系人</w:t>
            </w:r>
          </w:p>
        </w:tc>
        <w:tc>
          <w:tcPr>
            <w:tcW w:w="3954" w:type="dxa"/>
            <w:noWrap w:val="0"/>
            <w:vAlign w:val="center"/>
          </w:tcPr>
          <w:p w14:paraId="59CEFCBB">
            <w:pPr>
              <w:adjustRightInd w:val="0"/>
              <w:snapToGrid w:val="0"/>
              <w:spacing w:line="240" w:lineRule="exact"/>
              <w:jc w:val="center"/>
              <w:rPr>
                <w:rFonts w:ascii="宋体" w:hAnsi="宋体" w:cs="宋体"/>
                <w:b/>
                <w:bCs/>
                <w:kern w:val="0"/>
                <w:szCs w:val="21"/>
              </w:rPr>
            </w:pPr>
            <w:r>
              <w:rPr>
                <w:rFonts w:hint="eastAsia" w:ascii="宋体" w:hAnsi="宋体" w:cs="宋体"/>
                <w:b/>
                <w:szCs w:val="21"/>
              </w:rPr>
              <w:t>联系电话</w:t>
            </w:r>
          </w:p>
        </w:tc>
      </w:tr>
      <w:tr w14:paraId="7A735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4517" w:type="dxa"/>
            <w:noWrap w:val="0"/>
            <w:vAlign w:val="center"/>
          </w:tcPr>
          <w:p w14:paraId="27CBDB0A">
            <w:pPr>
              <w:adjustRightInd w:val="0"/>
              <w:snapToGrid w:val="0"/>
              <w:spacing w:line="360" w:lineRule="auto"/>
              <w:jc w:val="left"/>
              <w:rPr>
                <w:rFonts w:ascii="宋体" w:hAnsi="宋体" w:cs="宋体"/>
                <w:bCs/>
                <w:kern w:val="0"/>
                <w:szCs w:val="21"/>
              </w:rPr>
            </w:pPr>
            <w:r>
              <w:rPr>
                <w:rFonts w:hint="eastAsia" w:ascii="宋体" w:hAnsi="宋体" w:cs="宋体"/>
                <w:szCs w:val="21"/>
              </w:rPr>
              <w:t>中国投资担保公司</w:t>
            </w:r>
          </w:p>
        </w:tc>
        <w:tc>
          <w:tcPr>
            <w:tcW w:w="1129" w:type="dxa"/>
            <w:noWrap w:val="0"/>
            <w:vAlign w:val="center"/>
          </w:tcPr>
          <w:p w14:paraId="2F78F376">
            <w:pPr>
              <w:adjustRightInd w:val="0"/>
              <w:snapToGrid w:val="0"/>
              <w:spacing w:line="360" w:lineRule="auto"/>
              <w:jc w:val="center"/>
              <w:rPr>
                <w:rFonts w:ascii="宋体" w:hAnsi="宋体" w:cs="宋体"/>
                <w:bCs/>
                <w:kern w:val="0"/>
                <w:szCs w:val="21"/>
              </w:rPr>
            </w:pPr>
            <w:r>
              <w:rPr>
                <w:rFonts w:hint="eastAsia" w:ascii="宋体" w:hAnsi="宋体" w:cs="宋体"/>
                <w:szCs w:val="21"/>
              </w:rPr>
              <w:t>何  嘉</w:t>
            </w:r>
          </w:p>
        </w:tc>
        <w:tc>
          <w:tcPr>
            <w:tcW w:w="3954" w:type="dxa"/>
            <w:noWrap w:val="0"/>
            <w:vAlign w:val="center"/>
          </w:tcPr>
          <w:p w14:paraId="053906C1">
            <w:pPr>
              <w:adjustRightInd w:val="0"/>
              <w:snapToGrid w:val="0"/>
              <w:spacing w:line="360" w:lineRule="auto"/>
              <w:jc w:val="left"/>
              <w:rPr>
                <w:rFonts w:ascii="宋体" w:hAnsi="宋体" w:cs="宋体"/>
                <w:bCs/>
                <w:kern w:val="0"/>
                <w:szCs w:val="21"/>
              </w:rPr>
            </w:pPr>
            <w:r>
              <w:rPr>
                <w:rFonts w:hint="eastAsia" w:ascii="宋体" w:hAnsi="宋体" w:cs="宋体"/>
                <w:szCs w:val="21"/>
              </w:rPr>
              <w:t>010-88822659/13718642233</w:t>
            </w:r>
          </w:p>
        </w:tc>
      </w:tr>
      <w:tr w14:paraId="7AC0E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4517" w:type="dxa"/>
            <w:noWrap w:val="0"/>
            <w:vAlign w:val="center"/>
          </w:tcPr>
          <w:p w14:paraId="5C417A81">
            <w:pPr>
              <w:adjustRightInd w:val="0"/>
              <w:snapToGrid w:val="0"/>
              <w:spacing w:line="360" w:lineRule="auto"/>
              <w:jc w:val="left"/>
              <w:rPr>
                <w:rFonts w:ascii="宋体" w:hAnsi="宋体" w:cs="宋体"/>
                <w:bCs/>
                <w:kern w:val="0"/>
                <w:szCs w:val="21"/>
              </w:rPr>
            </w:pPr>
            <w:r>
              <w:rPr>
                <w:rFonts w:hint="eastAsia" w:ascii="宋体" w:hAnsi="宋体" w:cs="宋体"/>
                <w:szCs w:val="21"/>
              </w:rPr>
              <w:t>湖南省小微企业信用担保有限责任公司</w:t>
            </w:r>
          </w:p>
        </w:tc>
        <w:tc>
          <w:tcPr>
            <w:tcW w:w="1129" w:type="dxa"/>
            <w:noWrap w:val="0"/>
            <w:vAlign w:val="center"/>
          </w:tcPr>
          <w:p w14:paraId="53CA4A8F">
            <w:pPr>
              <w:adjustRightInd w:val="0"/>
              <w:snapToGrid w:val="0"/>
              <w:spacing w:line="360" w:lineRule="auto"/>
              <w:jc w:val="center"/>
              <w:rPr>
                <w:rFonts w:ascii="宋体" w:hAnsi="宋体" w:cs="宋体"/>
                <w:bCs/>
                <w:kern w:val="0"/>
                <w:szCs w:val="21"/>
              </w:rPr>
            </w:pPr>
            <w:r>
              <w:rPr>
                <w:rFonts w:hint="eastAsia" w:ascii="宋体" w:hAnsi="宋体" w:cs="宋体"/>
                <w:szCs w:val="21"/>
              </w:rPr>
              <w:t>蔡建雄</w:t>
            </w:r>
          </w:p>
        </w:tc>
        <w:tc>
          <w:tcPr>
            <w:tcW w:w="3954" w:type="dxa"/>
            <w:noWrap w:val="0"/>
            <w:vAlign w:val="center"/>
          </w:tcPr>
          <w:p w14:paraId="17D7B1BA">
            <w:pPr>
              <w:adjustRightInd w:val="0"/>
              <w:snapToGrid w:val="0"/>
              <w:spacing w:line="360" w:lineRule="auto"/>
              <w:jc w:val="left"/>
              <w:rPr>
                <w:rFonts w:ascii="宋体" w:hAnsi="宋体" w:cs="宋体"/>
                <w:bCs/>
                <w:kern w:val="0"/>
                <w:szCs w:val="21"/>
              </w:rPr>
            </w:pPr>
            <w:r>
              <w:rPr>
                <w:rFonts w:hint="eastAsia" w:ascii="宋体" w:hAnsi="宋体" w:cs="宋体"/>
                <w:szCs w:val="21"/>
              </w:rPr>
              <w:t>0731-84172390-201/15573193555</w:t>
            </w:r>
          </w:p>
        </w:tc>
      </w:tr>
      <w:tr w14:paraId="20621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8" w:hRule="atLeast"/>
        </w:trPr>
        <w:tc>
          <w:tcPr>
            <w:tcW w:w="4517" w:type="dxa"/>
            <w:noWrap w:val="0"/>
            <w:vAlign w:val="center"/>
          </w:tcPr>
          <w:p w14:paraId="2348668F">
            <w:pPr>
              <w:adjustRightInd w:val="0"/>
              <w:snapToGrid w:val="0"/>
              <w:spacing w:line="360" w:lineRule="auto"/>
              <w:rPr>
                <w:rFonts w:ascii="宋体" w:hAnsi="宋体" w:cs="宋体"/>
                <w:szCs w:val="21"/>
              </w:rPr>
            </w:pPr>
            <w:r>
              <w:rPr>
                <w:rFonts w:hint="eastAsia" w:ascii="宋体" w:hAnsi="宋体" w:cs="宋体"/>
                <w:szCs w:val="21"/>
              </w:rPr>
              <w:t>湖南农业信用担保有限公司</w:t>
            </w:r>
          </w:p>
        </w:tc>
        <w:tc>
          <w:tcPr>
            <w:tcW w:w="1129" w:type="dxa"/>
            <w:noWrap w:val="0"/>
            <w:vAlign w:val="center"/>
          </w:tcPr>
          <w:p w14:paraId="35119C26">
            <w:pPr>
              <w:adjustRightInd w:val="0"/>
              <w:snapToGrid w:val="0"/>
              <w:spacing w:line="360" w:lineRule="auto"/>
              <w:jc w:val="center"/>
              <w:rPr>
                <w:rFonts w:ascii="宋体" w:hAnsi="宋体" w:cs="宋体"/>
                <w:szCs w:val="21"/>
              </w:rPr>
            </w:pPr>
            <w:r>
              <w:rPr>
                <w:rFonts w:hint="eastAsia" w:ascii="宋体" w:hAnsi="宋体" w:cs="宋体"/>
                <w:szCs w:val="21"/>
              </w:rPr>
              <w:t>彭  球</w:t>
            </w:r>
          </w:p>
          <w:p w14:paraId="6835148B">
            <w:pPr>
              <w:adjustRightInd w:val="0"/>
              <w:snapToGrid w:val="0"/>
              <w:spacing w:line="360" w:lineRule="auto"/>
              <w:jc w:val="center"/>
              <w:rPr>
                <w:rFonts w:ascii="宋体" w:hAnsi="宋体" w:cs="宋体"/>
                <w:bCs/>
                <w:kern w:val="0"/>
                <w:szCs w:val="21"/>
              </w:rPr>
            </w:pPr>
            <w:r>
              <w:rPr>
                <w:rFonts w:hint="eastAsia" w:ascii="宋体" w:hAnsi="宋体" w:cs="宋体"/>
                <w:szCs w:val="21"/>
              </w:rPr>
              <w:t>邓霞英</w:t>
            </w:r>
          </w:p>
        </w:tc>
        <w:tc>
          <w:tcPr>
            <w:tcW w:w="3954" w:type="dxa"/>
            <w:noWrap w:val="0"/>
            <w:vAlign w:val="center"/>
          </w:tcPr>
          <w:p w14:paraId="6DA456D5">
            <w:pPr>
              <w:adjustRightInd w:val="0"/>
              <w:snapToGrid w:val="0"/>
              <w:spacing w:line="360" w:lineRule="auto"/>
              <w:jc w:val="left"/>
              <w:rPr>
                <w:rFonts w:ascii="宋体" w:hAnsi="宋体" w:cs="宋体"/>
                <w:bCs/>
                <w:kern w:val="0"/>
                <w:szCs w:val="21"/>
              </w:rPr>
            </w:pPr>
            <w:r>
              <w:rPr>
                <w:rFonts w:hint="eastAsia" w:ascii="宋体" w:hAnsi="宋体" w:cs="宋体"/>
                <w:szCs w:val="21"/>
              </w:rPr>
              <w:t>0731-89761702/13875980906 0731-89761706/13574125851</w:t>
            </w:r>
          </w:p>
        </w:tc>
      </w:tr>
    </w:tbl>
    <w:p w14:paraId="495DB21E">
      <w:pPr>
        <w:adjustRightInd w:val="0"/>
        <w:snapToGrid w:val="0"/>
        <w:spacing w:line="360" w:lineRule="auto"/>
        <w:rPr>
          <w:rFonts w:ascii="宋体" w:hAnsi="宋体" w:cs="宋体"/>
          <w:b/>
          <w:szCs w:val="21"/>
        </w:rPr>
        <w:sectPr>
          <w:footerReference r:id="rId5" w:type="default"/>
          <w:pgSz w:w="11906" w:h="16838"/>
          <w:pgMar w:top="1440" w:right="1080" w:bottom="1440" w:left="1080" w:header="851" w:footer="992" w:gutter="0"/>
          <w:pgNumType w:start="1"/>
          <w:cols w:space="720" w:num="1"/>
          <w:docGrid w:type="lines" w:linePitch="312" w:charSpace="0"/>
        </w:sectPr>
      </w:pPr>
    </w:p>
    <w:p w14:paraId="3A947644">
      <w:pPr>
        <w:adjustRightInd w:val="0"/>
        <w:snapToGrid w:val="0"/>
        <w:spacing w:line="360" w:lineRule="auto"/>
        <w:outlineLvl w:val="2"/>
        <w:rPr>
          <w:rFonts w:ascii="宋体" w:hAnsi="宋体" w:cs="宋体"/>
          <w:b/>
          <w:kern w:val="0"/>
          <w:sz w:val="24"/>
          <w:szCs w:val="24"/>
        </w:rPr>
      </w:pPr>
      <w:r>
        <w:rPr>
          <w:rFonts w:hint="eastAsia" w:ascii="宋体" w:hAnsi="宋体" w:cs="宋体"/>
          <w:b/>
          <w:bCs/>
          <w:sz w:val="24"/>
          <w:szCs w:val="24"/>
        </w:rPr>
        <w:t>附页3</w:t>
      </w:r>
      <w:r>
        <w:rPr>
          <w:rFonts w:hint="eastAsia" w:ascii="宋体" w:hAnsi="宋体" w:cs="宋体"/>
          <w:b/>
          <w:kern w:val="0"/>
          <w:sz w:val="24"/>
          <w:szCs w:val="24"/>
        </w:rPr>
        <w:t>政府采购履约担保函</w:t>
      </w:r>
    </w:p>
    <w:p w14:paraId="6DC25F59">
      <w:pPr>
        <w:adjustRightInd w:val="0"/>
        <w:snapToGrid w:val="0"/>
        <w:spacing w:line="360" w:lineRule="auto"/>
        <w:ind w:firstLine="6510" w:firstLineChars="3100"/>
        <w:rPr>
          <w:rFonts w:ascii="宋体" w:hAnsi="宋体" w:cs="宋体"/>
          <w:b/>
          <w:kern w:val="0"/>
          <w:szCs w:val="21"/>
        </w:rPr>
      </w:pPr>
      <w:r>
        <w:rPr>
          <w:rFonts w:hint="eastAsia" w:ascii="宋体" w:hAnsi="宋体" w:cs="宋体"/>
          <w:kern w:val="0"/>
          <w:szCs w:val="21"/>
        </w:rPr>
        <w:t>编号：</w:t>
      </w:r>
      <w:r>
        <w:rPr>
          <w:rFonts w:hint="eastAsia" w:ascii="宋体" w:hAnsi="宋体" w:cs="宋体"/>
          <w:kern w:val="0"/>
          <w:szCs w:val="21"/>
          <w:u w:val="single"/>
        </w:rPr>
        <w:t xml:space="preserve">              </w:t>
      </w:r>
    </w:p>
    <w:p w14:paraId="5DD23AE8">
      <w:pPr>
        <w:adjustRightInd w:val="0"/>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（采购人）： </w:t>
      </w:r>
    </w:p>
    <w:p w14:paraId="2E99EB4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鉴于你方与</w:t>
      </w:r>
      <w:r>
        <w:rPr>
          <w:rFonts w:hint="eastAsia" w:ascii="宋体" w:hAnsi="宋体" w:cs="宋体"/>
          <w:kern w:val="0"/>
          <w:szCs w:val="21"/>
          <w:u w:val="single"/>
        </w:rPr>
        <w:t xml:space="preserve">                   </w:t>
      </w:r>
      <w:r>
        <w:rPr>
          <w:rFonts w:hint="eastAsia" w:ascii="宋体" w:hAnsi="宋体" w:cs="宋体"/>
          <w:kern w:val="0"/>
          <w:szCs w:val="21"/>
        </w:rPr>
        <w:t>（以下简称供应商）于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日签定编号为</w:t>
      </w:r>
      <w:r>
        <w:rPr>
          <w:rFonts w:hint="eastAsia" w:ascii="宋体" w:hAnsi="宋体" w:cs="宋体"/>
          <w:kern w:val="0"/>
          <w:szCs w:val="21"/>
          <w:u w:val="single"/>
        </w:rPr>
        <w:t xml:space="preserve">           </w:t>
      </w:r>
      <w:r>
        <w:rPr>
          <w:rFonts w:hint="eastAsia" w:ascii="宋体" w:hAnsi="宋体" w:cs="宋体"/>
          <w:kern w:val="0"/>
          <w:szCs w:val="21"/>
        </w:rPr>
        <w:t>的《</w:t>
      </w:r>
      <w:r>
        <w:rPr>
          <w:rFonts w:hint="eastAsia" w:ascii="宋体" w:hAnsi="宋体" w:cs="宋体"/>
          <w:kern w:val="0"/>
          <w:szCs w:val="21"/>
          <w:u w:val="single"/>
        </w:rPr>
        <w:t xml:space="preserve">            </w:t>
      </w:r>
      <w:r>
        <w:rPr>
          <w:rFonts w:hint="eastAsia" w:ascii="宋体" w:hAnsi="宋体" w:cs="宋体"/>
          <w:kern w:val="0"/>
          <w:szCs w:val="21"/>
        </w:rPr>
        <w:t>政府采购合同》（以下简称主合同），且依据该合同的约定，供应商应在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日前向你方交纳履约保证金，且可以履约担保函的形式交纳履约保证金。应供应商的申请，我方以保证的方式向你方提供如下履约保证金担保：</w:t>
      </w:r>
    </w:p>
    <w:p w14:paraId="7F8BEEF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一、保证责任的情形及保证金额</w:t>
      </w:r>
    </w:p>
    <w:p w14:paraId="54391BC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（一）在供应商出现下列情形之一时，我方承担保证责任：</w:t>
      </w:r>
    </w:p>
    <w:p w14:paraId="0546ED5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1．将中标项目转让给他人，或者在投标文件中未说明，且未经采购人同意，将中标项目分包给他人的；</w:t>
      </w:r>
    </w:p>
    <w:p w14:paraId="4EE1504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2．主合同约定的应当缴纳履约保证金的情形: </w:t>
      </w:r>
    </w:p>
    <w:p w14:paraId="4BC29890">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41A3B9D3">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（2）</w:t>
      </w:r>
      <w:r>
        <w:rPr>
          <w:rFonts w:hint="eastAsia" w:ascii="宋体" w:hAnsi="宋体" w:cs="宋体"/>
          <w:kern w:val="0"/>
          <w:szCs w:val="21"/>
          <w:u w:val="single"/>
        </w:rPr>
        <w:t xml:space="preserve">                                                  </w:t>
      </w:r>
      <w:r>
        <w:rPr>
          <w:rFonts w:hint="eastAsia" w:ascii="宋体" w:hAnsi="宋体" w:cs="宋体"/>
          <w:kern w:val="0"/>
          <w:szCs w:val="21"/>
        </w:rPr>
        <w:t>。</w:t>
      </w:r>
    </w:p>
    <w:p w14:paraId="1FD39FF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（二）我方的保证范围是主合同约定的合同价款总额的</w:t>
      </w:r>
      <w:r>
        <w:rPr>
          <w:rFonts w:hint="eastAsia" w:ascii="宋体" w:hAnsi="宋体" w:cs="宋体"/>
          <w:kern w:val="0"/>
          <w:szCs w:val="21"/>
          <w:u w:val="single"/>
        </w:rPr>
        <w:t xml:space="preserve">   </w:t>
      </w:r>
      <w:r>
        <w:rPr>
          <w:rFonts w:hint="eastAsia" w:ascii="宋体" w:hAnsi="宋体" w:cs="宋体"/>
          <w:kern w:val="0"/>
          <w:szCs w:val="21"/>
        </w:rPr>
        <w:t>%数额为</w:t>
      </w:r>
      <w:r>
        <w:rPr>
          <w:rFonts w:hint="eastAsia" w:ascii="宋体" w:hAnsi="宋体" w:cs="宋体"/>
          <w:kern w:val="0"/>
          <w:szCs w:val="21"/>
          <w:u w:val="single"/>
        </w:rPr>
        <w:t xml:space="preserve">      </w:t>
      </w:r>
      <w:r>
        <w:rPr>
          <w:rFonts w:hint="eastAsia" w:ascii="宋体" w:hAnsi="宋体" w:cs="宋体"/>
          <w:kern w:val="0"/>
          <w:szCs w:val="21"/>
        </w:rPr>
        <w:t>元（大写</w:t>
      </w:r>
      <w:r>
        <w:rPr>
          <w:rFonts w:hint="eastAsia" w:ascii="宋体" w:hAnsi="宋体" w:cs="宋体"/>
          <w:kern w:val="0"/>
          <w:szCs w:val="21"/>
          <w:u w:val="single"/>
        </w:rPr>
        <w:t xml:space="preserve">                  </w:t>
      </w:r>
      <w:r>
        <w:rPr>
          <w:rFonts w:hint="eastAsia" w:ascii="宋体" w:hAnsi="宋体" w:cs="宋体"/>
          <w:kern w:val="0"/>
          <w:szCs w:val="21"/>
        </w:rPr>
        <w:t>），币种为</w:t>
      </w:r>
      <w:r>
        <w:rPr>
          <w:rFonts w:hint="eastAsia" w:ascii="宋体" w:hAnsi="宋体" w:cs="宋体"/>
          <w:kern w:val="0"/>
          <w:szCs w:val="21"/>
          <w:u w:val="single"/>
        </w:rPr>
        <w:t xml:space="preserve">        </w:t>
      </w:r>
      <w:r>
        <w:rPr>
          <w:rFonts w:hint="eastAsia" w:ascii="宋体" w:hAnsi="宋体" w:cs="宋体"/>
          <w:kern w:val="0"/>
          <w:szCs w:val="21"/>
        </w:rPr>
        <w:t>。（即主合同履约保证金金额）</w:t>
      </w:r>
    </w:p>
    <w:p w14:paraId="5370CB09">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二、保证的方式及保证期间 </w:t>
      </w:r>
    </w:p>
    <w:p w14:paraId="62C659C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我方保证的方式为：连带责任保证。 </w:t>
      </w:r>
    </w:p>
    <w:p w14:paraId="5545D26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w:t>
      </w:r>
      <w:r>
        <w:rPr>
          <w:rFonts w:hint="eastAsia" w:ascii="宋体" w:hAnsi="宋体" w:cs="宋体"/>
          <w:kern w:val="0"/>
          <w:szCs w:val="21"/>
          <w:u w:val="single"/>
        </w:rPr>
        <w:t xml:space="preserve">    </w:t>
      </w:r>
      <w:r>
        <w:rPr>
          <w:rFonts w:hint="eastAsia" w:ascii="宋体" w:hAnsi="宋体" w:cs="宋体"/>
          <w:kern w:val="0"/>
          <w:szCs w:val="21"/>
        </w:rPr>
        <w:t>日内。</w:t>
      </w:r>
    </w:p>
    <w:p w14:paraId="3CD9FCF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7D3DC599">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三、承担保证责任的程序</w:t>
      </w:r>
    </w:p>
    <w:p w14:paraId="0B6FF3F6">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56CD8DA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如果你方与供应商因货物质量问题产生争议，你方还需同时提供</w:t>
      </w:r>
      <w:r>
        <w:rPr>
          <w:rFonts w:hint="eastAsia" w:ascii="宋体" w:hAnsi="宋体" w:cs="宋体"/>
          <w:kern w:val="0"/>
          <w:szCs w:val="21"/>
          <w:u w:val="single"/>
        </w:rPr>
        <w:t xml:space="preserve">        </w:t>
      </w:r>
      <w:r>
        <w:rPr>
          <w:rFonts w:hint="eastAsia" w:ascii="宋体" w:hAnsi="宋体" w:cs="宋体"/>
          <w:kern w:val="0"/>
          <w:szCs w:val="21"/>
        </w:rPr>
        <w:t>部门出具的质量检测报告，或经诉讼（仲裁）程序裁决后的裁决书、调解书，本保证人即按照检测结果或裁决书、调解书决定是否承担保证责任。</w:t>
      </w:r>
    </w:p>
    <w:p w14:paraId="15E38B4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2．我方收到你方的书面索赔通知及相应证明材料，在</w:t>
      </w:r>
      <w:r>
        <w:rPr>
          <w:rFonts w:hint="eastAsia" w:ascii="宋体" w:hAnsi="宋体" w:cs="宋体"/>
          <w:kern w:val="0"/>
          <w:szCs w:val="21"/>
          <w:u w:val="single"/>
        </w:rPr>
        <w:t xml:space="preserve">    </w:t>
      </w:r>
      <w:r>
        <w:rPr>
          <w:rFonts w:hint="eastAsia" w:ascii="宋体" w:hAnsi="宋体" w:cs="宋体"/>
          <w:kern w:val="0"/>
          <w:szCs w:val="21"/>
        </w:rPr>
        <w:t>工作日内进行核定后按照本保函的承诺承担保证责任。</w:t>
      </w:r>
    </w:p>
    <w:p w14:paraId="3D78B9E8">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四、保证责任的终止</w:t>
      </w:r>
    </w:p>
    <w:p w14:paraId="6E1BBBE2">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ADD1E1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52F484B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3．按照法律法规的规定或出现应终止我方保证责任的其它情形的，我方在本保函项下的保证责任亦终止。</w:t>
      </w:r>
    </w:p>
    <w:p w14:paraId="72ACD88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598C4B2">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五、免责条款</w:t>
      </w:r>
    </w:p>
    <w:p w14:paraId="7483D29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16B35078">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3F9A2F2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3．因不可抗力造成供应商不能履行供货义务的，我方不承担保证责任。</w:t>
      </w:r>
    </w:p>
    <w:p w14:paraId="6EC86A66">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六、争议的解决</w:t>
      </w:r>
    </w:p>
    <w:p w14:paraId="2A0B56CA">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w:t>
      </w:r>
      <w:r>
        <w:rPr>
          <w:rFonts w:hint="eastAsia" w:ascii="宋体" w:hAnsi="宋体" w:cs="宋体"/>
          <w:kern w:val="0"/>
          <w:szCs w:val="21"/>
          <w:u w:val="single"/>
        </w:rPr>
        <w:t xml:space="preserve">          </w:t>
      </w:r>
      <w:r>
        <w:rPr>
          <w:rFonts w:hint="eastAsia" w:ascii="宋体" w:hAnsi="宋体" w:cs="宋体"/>
          <w:kern w:val="0"/>
          <w:szCs w:val="21"/>
        </w:rPr>
        <w:t>法院。</w:t>
      </w:r>
    </w:p>
    <w:p w14:paraId="07AD02A5">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七、保函的生效 </w:t>
      </w:r>
    </w:p>
    <w:p w14:paraId="446EBDE1">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本保函自我方加盖公章之日起生效。 </w:t>
      </w:r>
    </w:p>
    <w:p w14:paraId="4FE5F2B5">
      <w:pPr>
        <w:tabs>
          <w:tab w:val="left" w:pos="2850"/>
        </w:tabs>
        <w:adjustRightInd w:val="0"/>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 xml:space="preserve">          保证人：（公章） </w:t>
      </w:r>
    </w:p>
    <w:p w14:paraId="7B59E9A8">
      <w:pPr>
        <w:adjustRightInd w:val="0"/>
        <w:snapToGrid w:val="0"/>
        <w:spacing w:line="360" w:lineRule="auto"/>
        <w:rPr>
          <w:rFonts w:ascii="宋体" w:hAnsi="宋体" w:cs="宋体"/>
          <w:kern w:val="0"/>
          <w:szCs w:val="21"/>
        </w:rPr>
        <w:sectPr>
          <w:headerReference r:id="rId6" w:type="default"/>
          <w:footerReference r:id="rId7" w:type="default"/>
          <w:pgSz w:w="11906" w:h="16838"/>
          <w:pgMar w:top="1440" w:right="1531" w:bottom="1440" w:left="1531" w:header="851" w:footer="992" w:gutter="0"/>
          <w:cols w:space="720" w:num="1"/>
          <w:docGrid w:type="lines" w:linePitch="312" w:charSpace="0"/>
        </w:sect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 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4723A15E">
      <w:pPr>
        <w:outlineLvl w:val="2"/>
        <w:rPr>
          <w:rFonts w:hint="eastAsia" w:ascii="宋体" w:hAnsi="宋体" w:cs="宋体"/>
          <w:b/>
          <w:sz w:val="28"/>
          <w:szCs w:val="28"/>
        </w:rPr>
      </w:pPr>
      <w:r>
        <w:rPr>
          <w:rFonts w:hint="eastAsia" w:ascii="宋体" w:hAnsi="宋体" w:cs="宋体"/>
          <w:b/>
          <w:bCs/>
          <w:sz w:val="28"/>
          <w:szCs w:val="28"/>
        </w:rPr>
        <w:t>附页4</w:t>
      </w:r>
      <w:r>
        <w:rPr>
          <w:rFonts w:hint="eastAsia" w:ascii="宋体" w:hAnsi="宋体" w:cs="宋体"/>
          <w:b/>
          <w:sz w:val="28"/>
          <w:szCs w:val="28"/>
        </w:rPr>
        <w:t>评审因素和标准</w:t>
      </w:r>
    </w:p>
    <w:tbl>
      <w:tblPr>
        <w:tblStyle w:val="4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77"/>
        <w:gridCol w:w="984"/>
        <w:gridCol w:w="6785"/>
      </w:tblGrid>
      <w:tr w14:paraId="499C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81" w:type="dxa"/>
            <w:gridSpan w:val="4"/>
            <w:noWrap w:val="0"/>
            <w:vAlign w:val="center"/>
          </w:tcPr>
          <w:p w14:paraId="1D66130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评审因素及权值</w:t>
            </w:r>
          </w:p>
        </w:tc>
      </w:tr>
      <w:tr w14:paraId="7A8A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96" w:type="dxa"/>
            <w:gridSpan w:val="3"/>
            <w:noWrap w:val="0"/>
            <w:vAlign w:val="center"/>
          </w:tcPr>
          <w:p w14:paraId="37145FB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价格部分</w:t>
            </w:r>
          </w:p>
        </w:tc>
        <w:tc>
          <w:tcPr>
            <w:tcW w:w="6785" w:type="dxa"/>
            <w:noWrap w:val="0"/>
            <w:vAlign w:val="center"/>
          </w:tcPr>
          <w:p w14:paraId="6225BF6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30分</w:t>
            </w:r>
          </w:p>
        </w:tc>
      </w:tr>
      <w:tr w14:paraId="60DB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96" w:type="dxa"/>
            <w:gridSpan w:val="3"/>
            <w:noWrap w:val="0"/>
            <w:vAlign w:val="center"/>
          </w:tcPr>
          <w:p w14:paraId="2F08899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技术部分</w:t>
            </w:r>
          </w:p>
        </w:tc>
        <w:tc>
          <w:tcPr>
            <w:tcW w:w="6785" w:type="dxa"/>
            <w:noWrap w:val="0"/>
            <w:vAlign w:val="center"/>
          </w:tcPr>
          <w:p w14:paraId="7E9C63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45分</w:t>
            </w:r>
          </w:p>
        </w:tc>
      </w:tr>
      <w:tr w14:paraId="6118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96" w:type="dxa"/>
            <w:gridSpan w:val="3"/>
            <w:noWrap w:val="0"/>
            <w:vAlign w:val="center"/>
          </w:tcPr>
          <w:p w14:paraId="10FFF35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商务部分</w:t>
            </w:r>
          </w:p>
        </w:tc>
        <w:tc>
          <w:tcPr>
            <w:tcW w:w="6785" w:type="dxa"/>
            <w:noWrap w:val="0"/>
            <w:vAlign w:val="center"/>
          </w:tcPr>
          <w:p w14:paraId="327B72F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25分</w:t>
            </w:r>
          </w:p>
        </w:tc>
      </w:tr>
      <w:tr w14:paraId="7F8A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81" w:type="dxa"/>
            <w:gridSpan w:val="4"/>
            <w:noWrap w:val="0"/>
            <w:vAlign w:val="center"/>
          </w:tcPr>
          <w:p w14:paraId="058D55D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综合评分表</w:t>
            </w:r>
          </w:p>
        </w:tc>
      </w:tr>
      <w:tr w14:paraId="391D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noWrap w:val="0"/>
            <w:vAlign w:val="center"/>
          </w:tcPr>
          <w:p w14:paraId="3C8AD26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661" w:type="dxa"/>
            <w:gridSpan w:val="2"/>
            <w:noWrap w:val="0"/>
            <w:vAlign w:val="center"/>
          </w:tcPr>
          <w:p w14:paraId="207902C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评审因素</w:t>
            </w:r>
          </w:p>
        </w:tc>
        <w:tc>
          <w:tcPr>
            <w:tcW w:w="6785" w:type="dxa"/>
            <w:noWrap w:val="0"/>
            <w:vAlign w:val="center"/>
          </w:tcPr>
          <w:p w14:paraId="3DDE484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r>
      <w:tr w14:paraId="5207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35" w:type="dxa"/>
            <w:noWrap w:val="0"/>
            <w:vAlign w:val="center"/>
          </w:tcPr>
          <w:p w14:paraId="7A1934F3">
            <w:pPr>
              <w:keepNext w:val="0"/>
              <w:keepLines w:val="0"/>
              <w:pageBreakBefore w:val="0"/>
              <w:kinsoku/>
              <w:wordWrap/>
              <w:overflowPunct/>
              <w:topLinePunct w:val="0"/>
              <w:autoSpaceDE/>
              <w:autoSpaceDN/>
              <w:bidi w:val="0"/>
              <w:spacing w:line="300" w:lineRule="exact"/>
              <w:ind w:left="619" w:leftChars="-17" w:hanging="655" w:hangingChars="312"/>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661" w:type="dxa"/>
            <w:gridSpan w:val="2"/>
            <w:noWrap w:val="0"/>
            <w:vAlign w:val="center"/>
          </w:tcPr>
          <w:p w14:paraId="6F60E653">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投标报价（</w:t>
            </w:r>
            <w:r>
              <w:rPr>
                <w:rFonts w:hint="eastAsia" w:ascii="宋体" w:hAnsi="宋体" w:cs="宋体"/>
                <w:sz w:val="21"/>
                <w:szCs w:val="21"/>
                <w:lang w:val="en-US" w:eastAsia="zh-CN"/>
              </w:rPr>
              <w:t>3</w:t>
            </w:r>
            <w:r>
              <w:rPr>
                <w:rFonts w:hint="eastAsia" w:ascii="宋体" w:hAnsi="宋体" w:eastAsia="宋体" w:cs="宋体"/>
                <w:sz w:val="21"/>
                <w:szCs w:val="21"/>
              </w:rPr>
              <w:t>0 分）</w:t>
            </w:r>
          </w:p>
        </w:tc>
        <w:tc>
          <w:tcPr>
            <w:tcW w:w="6785" w:type="dxa"/>
            <w:noWrap w:val="0"/>
            <w:vAlign w:val="center"/>
          </w:tcPr>
          <w:p w14:paraId="79E5CA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满足磋商文件要求且最后报价最低的供应商的价格为磋商基准价，其价格分为满分。其他供应商的价格分统一按照下列公式计算：</w:t>
            </w:r>
          </w:p>
          <w:p w14:paraId="341859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磋商报价得分=（磋商基准价/最后磋商报价）×30；</w:t>
            </w:r>
          </w:p>
          <w:p w14:paraId="6945B5ED">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2.注：政府采购评审中出现下列情形之一的，评审委员会应当启动异常低价投标（响应）审查程序：</w:t>
            </w:r>
          </w:p>
          <w:p w14:paraId="62065375">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①.投标（响应）报价低于全部通过符合性审查供应商投标（响应）报价平均值65%的，即投标（响应）报价＜全部通过符合性审查供应商投标（响应）报价平均值×65%；</w:t>
            </w:r>
          </w:p>
          <w:p w14:paraId="482E8BBB">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②.投标（响应）报价低于通过符合性审查的次低报价供应商投标（响应）报价65%的，即投标（响应）报价＜通过符合性审查的次低报价供应商投标（响应）报价×65%；</w:t>
            </w:r>
          </w:p>
          <w:p w14:paraId="6E7B278F">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③.投标（响应）报价低于采购项目最高限价65%的，即投标（响应）报价＜采购项目最高限价×65%；</w:t>
            </w:r>
          </w:p>
          <w:p w14:paraId="03F42D9A">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④.评审委员会基于专业判断，认为供应商报价过低，有可能影响产品质量或者不能诚信履约的其他情形。</w:t>
            </w:r>
          </w:p>
          <w:p w14:paraId="11A1DC57">
            <w:pPr>
              <w:pStyle w:val="221"/>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相关法律法规对供应商报价有规定的，从其规定。</w:t>
            </w:r>
          </w:p>
          <w:p w14:paraId="1FD0C7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评审委员会启动异常低价投标（响应）审查后，属于前述第1项至第4项情形的，应当要求相关供应商在评审现场合理的时间内对</w:t>
            </w:r>
            <w:r>
              <w:rPr>
                <w:rFonts w:hint="eastAsia" w:ascii="宋体" w:hAnsi="宋体"/>
              </w:rPr>
              <w:t>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073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restart"/>
            <w:noWrap w:val="0"/>
            <w:vAlign w:val="center"/>
          </w:tcPr>
          <w:p w14:paraId="0C694F67">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77" w:type="dxa"/>
            <w:vMerge w:val="restart"/>
            <w:noWrap w:val="0"/>
            <w:vAlign w:val="center"/>
          </w:tcPr>
          <w:p w14:paraId="567BA789">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w:t>
            </w:r>
            <w:r>
              <w:rPr>
                <w:rFonts w:hint="eastAsia" w:ascii="宋体" w:hAnsi="宋体" w:eastAsia="宋体" w:cs="宋体"/>
                <w:sz w:val="21"/>
                <w:szCs w:val="21"/>
                <w:lang w:val="en-US" w:eastAsia="zh-CN"/>
              </w:rPr>
              <w:t>术</w:t>
            </w:r>
            <w:r>
              <w:rPr>
                <w:rFonts w:hint="eastAsia" w:ascii="宋体" w:hAnsi="宋体" w:eastAsia="宋体" w:cs="宋体"/>
                <w:sz w:val="21"/>
                <w:szCs w:val="21"/>
              </w:rPr>
              <w:t>（</w:t>
            </w:r>
            <w:r>
              <w:rPr>
                <w:rFonts w:hint="eastAsia" w:ascii="宋体" w:hAnsi="宋体" w:cs="宋体"/>
                <w:sz w:val="21"/>
                <w:szCs w:val="21"/>
                <w:lang w:val="en-US" w:eastAsia="zh-CN"/>
              </w:rPr>
              <w:t>45</w:t>
            </w:r>
            <w:r>
              <w:rPr>
                <w:rFonts w:hint="eastAsia" w:ascii="宋体" w:hAnsi="宋体" w:eastAsia="宋体" w:cs="宋体"/>
                <w:sz w:val="21"/>
                <w:szCs w:val="21"/>
              </w:rPr>
              <w:t xml:space="preserve"> 分）</w:t>
            </w:r>
          </w:p>
        </w:tc>
        <w:tc>
          <w:tcPr>
            <w:tcW w:w="984" w:type="dxa"/>
            <w:noWrap w:val="0"/>
            <w:vAlign w:val="center"/>
          </w:tcPr>
          <w:p w14:paraId="5F78FAA8">
            <w:pPr>
              <w:keepNext/>
              <w:keepLines/>
              <w:pageBreakBefore w:val="0"/>
              <w:widowControl w:val="0"/>
              <w:suppressLineNumbers w:val="0"/>
              <w:kinsoku/>
              <w:wordWrap/>
              <w:overflowPunct/>
              <w:topLinePunct w:val="0"/>
              <w:bidi w:val="0"/>
              <w:spacing w:before="0" w:beforeAutospacing="0" w:after="0" w:afterAutospacing="0" w:line="300" w:lineRule="exact"/>
              <w:ind w:left="0" w:right="0"/>
              <w:jc w:val="center"/>
              <w:textAlignment w:val="auto"/>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技术参数响应情况</w:t>
            </w:r>
          </w:p>
          <w:p w14:paraId="7E6C6034">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10</w:t>
            </w:r>
            <w:r>
              <w:rPr>
                <w:rFonts w:hint="eastAsia" w:ascii="宋体" w:hAnsi="宋体" w:eastAsia="宋体" w:cs="宋体"/>
                <w:b w:val="0"/>
                <w:bCs w:val="0"/>
                <w:color w:val="auto"/>
                <w:kern w:val="2"/>
                <w:sz w:val="21"/>
                <w:szCs w:val="21"/>
                <w:highlight w:val="none"/>
                <w:lang w:val="en-US" w:eastAsia="zh-CN" w:bidi="ar-SA"/>
              </w:rPr>
              <w:t>分）</w:t>
            </w:r>
          </w:p>
        </w:tc>
        <w:tc>
          <w:tcPr>
            <w:tcW w:w="6785" w:type="dxa"/>
            <w:shd w:val="clear" w:color="auto" w:fill="auto"/>
            <w:noWrap w:val="0"/>
            <w:vAlign w:val="center"/>
          </w:tcPr>
          <w:p w14:paraId="7B4FCCE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完全响应即满足</w:t>
            </w:r>
            <w:r>
              <w:rPr>
                <w:rFonts w:hint="eastAsia" w:ascii="宋体" w:hAnsi="宋体" w:cs="宋体"/>
                <w:color w:val="auto"/>
                <w:sz w:val="21"/>
                <w:szCs w:val="21"/>
                <w:highlight w:val="none"/>
                <w:lang w:val="en-US" w:eastAsia="zh-CN" w:bidi="ar-SA"/>
              </w:rPr>
              <w:t>磋商</w:t>
            </w:r>
            <w:r>
              <w:rPr>
                <w:rFonts w:hint="eastAsia" w:ascii="宋体" w:hAnsi="宋体" w:eastAsia="宋体" w:cs="宋体"/>
                <w:color w:val="auto"/>
                <w:sz w:val="21"/>
                <w:szCs w:val="21"/>
                <w:highlight w:val="none"/>
                <w:lang w:val="en-US" w:eastAsia="zh-CN" w:bidi="ar-SA"/>
              </w:rPr>
              <w:t>文件所有的技术指标、参数要求的计</w:t>
            </w:r>
            <w:r>
              <w:rPr>
                <w:rFonts w:hint="eastAsia" w:ascii="宋体" w:hAnsi="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zh-CN" w:bidi="ar-SA"/>
              </w:rPr>
              <w:t>分；</w:t>
            </w:r>
          </w:p>
          <w:p w14:paraId="73DC562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right="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技术参数（含“</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”号条款）有一项负偏离扣</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分，扣完为止；</w:t>
            </w:r>
            <w:r>
              <w:rPr>
                <w:rFonts w:hint="eastAsia" w:ascii="宋体" w:hAnsi="宋体" w:cs="宋体"/>
                <w:color w:val="auto"/>
                <w:sz w:val="21"/>
                <w:szCs w:val="21"/>
                <w:highlight w:val="none"/>
                <w:lang w:val="en-US" w:eastAsia="zh-CN" w:bidi="ar-SA"/>
              </w:rPr>
              <w:t>偏离项数之和</w:t>
            </w: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11</w:t>
            </w:r>
            <w:r>
              <w:rPr>
                <w:rFonts w:hint="eastAsia" w:ascii="宋体" w:hAnsi="宋体" w:eastAsia="宋体" w:cs="宋体"/>
                <w:color w:val="auto"/>
                <w:sz w:val="21"/>
                <w:szCs w:val="21"/>
                <w:highlight w:val="none"/>
                <w:lang w:val="en-US" w:eastAsia="zh-CN" w:bidi="ar-SA"/>
              </w:rPr>
              <w:t>项，视为无效投标；</w:t>
            </w:r>
            <w:r>
              <w:rPr>
                <w:rFonts w:hint="eastAsia" w:ascii="宋体" w:hAnsi="宋体" w:cs="宋体"/>
                <w:color w:val="auto"/>
                <w:sz w:val="21"/>
                <w:szCs w:val="21"/>
                <w:highlight w:val="none"/>
                <w:lang w:val="en-US" w:eastAsia="zh-CN" w:bidi="ar-SA"/>
              </w:rPr>
              <w:t xml:space="preserve"> </w:t>
            </w:r>
          </w:p>
          <w:p w14:paraId="790C0A2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exact"/>
              <w:ind w:left="0" w:leftChars="0" w:right="0" w:rightChars="0"/>
              <w:jc w:val="both"/>
              <w:textAlignment w:val="auto"/>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负偏离是指技术参数不满足、或配置不详、或技术参数不清。投标人须提供“技术/商务响应与偏离表”，无此表不计分。“技术/商务响应与偏离表”必须在引用本磋商文件的基础上，进行逐条逐项答复、说明和解释，对有具体参数要求的指标，投标人必须提供所投产品的具体参数值。</w:t>
            </w:r>
          </w:p>
        </w:tc>
      </w:tr>
      <w:tr w14:paraId="2344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 w:type="dxa"/>
            <w:vMerge w:val="continue"/>
            <w:noWrap w:val="0"/>
            <w:vAlign w:val="center"/>
          </w:tcPr>
          <w:p w14:paraId="58982BDA">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5205E9EB">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7F799B53">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Times"/>
                <w:szCs w:val="21"/>
                <w:lang w:val="en-US" w:eastAsia="zh-CN"/>
              </w:rPr>
              <w:t>技术参数证明材料（6分）</w:t>
            </w:r>
          </w:p>
        </w:tc>
        <w:tc>
          <w:tcPr>
            <w:tcW w:w="6785" w:type="dxa"/>
            <w:shd w:val="clear" w:color="auto" w:fill="auto"/>
            <w:noWrap w:val="0"/>
            <w:vAlign w:val="center"/>
          </w:tcPr>
          <w:p w14:paraId="5DE29AD9">
            <w:pPr>
              <w:pageBreakBefore w:val="0"/>
              <w:kinsoku/>
              <w:wordWrap/>
              <w:overflowPunct/>
              <w:topLinePunct w:val="0"/>
              <w:bidi w:val="0"/>
              <w:spacing w:line="300" w:lineRule="exact"/>
              <w:textAlignment w:val="auto"/>
              <w:rPr>
                <w:rFonts w:hint="eastAsia" w:eastAsiaTheme="minorEastAsia"/>
                <w:lang w:eastAsia="zh-CN"/>
              </w:rPr>
            </w:pPr>
            <w:r>
              <w:rPr>
                <w:rFonts w:hint="eastAsia" w:ascii="宋体" w:hAnsi="宋体"/>
                <w:kern w:val="2"/>
                <w:sz w:val="21"/>
                <w:szCs w:val="21"/>
                <w:lang w:eastAsia="zh-CN"/>
              </w:rPr>
              <w:t>技术参数表中标注▲的产品功能，</w:t>
            </w:r>
            <w:r>
              <w:rPr>
                <w:rFonts w:hint="eastAsia" w:ascii="宋体" w:hAnsi="宋体"/>
                <w:kern w:val="2"/>
                <w:sz w:val="21"/>
                <w:szCs w:val="21"/>
                <w:lang w:val="en-US" w:eastAsia="zh-CN"/>
              </w:rPr>
              <w:t>需提供平台功能截图证明；每提供1个完全符合要求得1分，最高得6分，不提供证明材料不得分。</w:t>
            </w:r>
          </w:p>
          <w:p w14:paraId="644B415B">
            <w:pPr>
              <w:pStyle w:val="43"/>
              <w:pageBreakBefore w:val="0"/>
              <w:kinsoku/>
              <w:wordWrap/>
              <w:overflowPunct/>
              <w:topLinePunct w:val="0"/>
              <w:bidi w:val="0"/>
              <w:spacing w:line="300" w:lineRule="exact"/>
              <w:ind w:left="0" w:leftChars="0" w:firstLine="0" w:firstLineChars="0"/>
              <w:textAlignment w:val="auto"/>
              <w:rPr>
                <w:rFonts w:hint="eastAsia" w:ascii="宋体" w:hAnsi="宋体" w:eastAsia="宋体" w:cs="宋体"/>
                <w:b/>
                <w:bCs/>
                <w:color w:val="auto"/>
                <w:sz w:val="21"/>
                <w:szCs w:val="21"/>
                <w:highlight w:val="none"/>
                <w:lang w:val="en-US" w:eastAsia="zh-CN" w:bidi="ar-SA"/>
              </w:rPr>
            </w:pPr>
            <w:r>
              <w:rPr>
                <w:rFonts w:hint="eastAsia" w:ascii="宋体" w:hAnsi="宋体"/>
                <w:kern w:val="2"/>
                <w:sz w:val="21"/>
                <w:szCs w:val="21"/>
                <w:lang w:val="en-US" w:eastAsia="zh-CN"/>
              </w:rPr>
              <w:t>注：供应商提供的平台功能截图需包含浏览器地址栏，否则不予计分。</w:t>
            </w:r>
          </w:p>
        </w:tc>
      </w:tr>
      <w:tr w14:paraId="2C98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14:paraId="465EBC41">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41D55235">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3821AC7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cs="Times"/>
                <w:szCs w:val="21"/>
                <w:lang w:val="en-US" w:eastAsia="zh-CN"/>
              </w:rPr>
            </w:pPr>
            <w:r>
              <w:rPr>
                <w:rFonts w:hint="eastAsia" w:ascii="宋体" w:hAnsi="宋体" w:cs="Times"/>
                <w:szCs w:val="21"/>
                <w:lang w:val="en-US" w:eastAsia="zh-CN"/>
              </w:rPr>
              <w:t>现场演示</w:t>
            </w:r>
          </w:p>
          <w:p w14:paraId="03D8A7CA">
            <w:pPr>
              <w:keepNext w:val="0"/>
              <w:keepLines w:val="0"/>
              <w:pageBreakBefore w:val="0"/>
              <w:widowControl w:val="0"/>
              <w:kinsoku/>
              <w:wordWrap/>
              <w:overflowPunct/>
              <w:topLinePunct w:val="0"/>
              <w:bidi w:val="0"/>
              <w:adjustRightInd/>
              <w:snapToGrid/>
              <w:spacing w:line="300" w:lineRule="exact"/>
              <w:textAlignment w:val="auto"/>
              <w:rPr>
                <w:rFonts w:hint="default" w:ascii="宋体" w:hAnsi="宋体" w:eastAsia="宋体" w:cs="宋体"/>
                <w:sz w:val="21"/>
                <w:szCs w:val="21"/>
                <w:highlight w:val="none"/>
                <w:lang w:val="en-US" w:eastAsia="zh-CN"/>
              </w:rPr>
            </w:pPr>
            <w:r>
              <w:rPr>
                <w:rFonts w:hint="eastAsia" w:ascii="宋体" w:hAnsi="宋体" w:cs="Times"/>
                <w:szCs w:val="21"/>
                <w:lang w:val="en-US" w:eastAsia="zh-CN"/>
              </w:rPr>
              <w:t>（18分）</w:t>
            </w:r>
          </w:p>
        </w:tc>
        <w:tc>
          <w:tcPr>
            <w:tcW w:w="6785" w:type="dxa"/>
            <w:noWrap w:val="0"/>
            <w:vAlign w:val="center"/>
          </w:tcPr>
          <w:p w14:paraId="3E9740EC">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spacing w:val="6"/>
                <w:szCs w:val="21"/>
              </w:rPr>
            </w:pPr>
            <w:r>
              <w:rPr>
                <w:rFonts w:hint="eastAsia"/>
                <w:szCs w:val="21"/>
                <w:lang w:val="en-US" w:eastAsia="zh-CN"/>
              </w:rPr>
              <w:t>供应商所投产</w:t>
            </w:r>
            <w:r>
              <w:rPr>
                <w:rFonts w:hint="eastAsia" w:ascii="宋体" w:hAnsi="宋体" w:eastAsia="宋体" w:cs="宋体"/>
                <w:szCs w:val="21"/>
                <w:lang w:val="en-US" w:eastAsia="zh-CN"/>
              </w:rPr>
              <w:t>品</w:t>
            </w:r>
            <w:r>
              <w:rPr>
                <w:rFonts w:hint="eastAsia" w:ascii="宋体" w:hAnsi="宋体" w:eastAsia="宋体" w:cs="宋体"/>
                <w:szCs w:val="21"/>
              </w:rPr>
              <w:t>可从国家资源库项目的公共运行平台导入国家已经</w:t>
            </w:r>
            <w:r>
              <w:rPr>
                <w:rFonts w:hint="eastAsia" w:ascii="宋体" w:hAnsi="宋体" w:eastAsia="宋体" w:cs="宋体"/>
                <w:szCs w:val="21"/>
                <w:lang w:val="en-US" w:eastAsia="zh-CN"/>
              </w:rPr>
              <w:t>立项并验收通过的</w:t>
            </w:r>
            <w:r>
              <w:rPr>
                <w:rFonts w:hint="eastAsia" w:ascii="宋体" w:hAnsi="宋体" w:eastAsia="宋体" w:cs="宋体"/>
                <w:szCs w:val="21"/>
              </w:rPr>
              <w:t>，</w:t>
            </w:r>
            <w:r>
              <w:rPr>
                <w:rFonts w:hint="eastAsia" w:ascii="宋体" w:hAnsi="宋体"/>
                <w:szCs w:val="21"/>
              </w:rPr>
              <w:t>与我校专业设置方向相同或相近专业的</w:t>
            </w:r>
            <w:r>
              <w:rPr>
                <w:rFonts w:hint="eastAsia" w:ascii="宋体" w:hAnsi="宋体"/>
                <w:szCs w:val="21"/>
                <w:u w:val="single"/>
              </w:rPr>
              <w:t>工程造价、工程测量技术、测绘地理信息技术、建筑工程技术、</w:t>
            </w:r>
            <w:r>
              <w:rPr>
                <w:rFonts w:hint="eastAsia" w:ascii="宋体" w:hAnsi="宋体"/>
                <w:szCs w:val="21"/>
                <w:u w:val="single"/>
                <w:lang w:val="en-US" w:eastAsia="zh-CN"/>
              </w:rPr>
              <w:t>道路桥梁工程技术、</w:t>
            </w:r>
            <w:r>
              <w:rPr>
                <w:rFonts w:hint="eastAsia" w:ascii="宋体" w:hAnsi="宋体"/>
                <w:szCs w:val="21"/>
                <w:u w:val="single"/>
              </w:rPr>
              <w:t>建筑装饰工程技术、地下与隧道工程技术、计算机应用技术、软件技术、大数据技术与应用、电子信息工程、物流管理、市场营销、国际贸易、旅游管理、酒店管理、会计、建筑室内设计等</w:t>
            </w:r>
            <w:r>
              <w:rPr>
                <w:rFonts w:hint="eastAsia" w:ascii="宋体" w:hAnsi="宋体" w:eastAsia="宋体" w:cs="宋体"/>
                <w:szCs w:val="21"/>
              </w:rPr>
              <w:t>专业国家资源库中的示范课程。投标人自带设备, 现场</w:t>
            </w:r>
            <w:r>
              <w:rPr>
                <w:rFonts w:hint="eastAsia" w:ascii="宋体" w:hAnsi="宋体" w:eastAsia="宋体" w:cs="宋体"/>
                <w:szCs w:val="21"/>
                <w:lang w:val="en-US" w:eastAsia="zh-CN"/>
              </w:rPr>
              <w:t>演示</w:t>
            </w:r>
            <w:r>
              <w:rPr>
                <w:rFonts w:hint="eastAsia" w:ascii="宋体" w:hAnsi="宋体" w:eastAsia="宋体" w:cs="宋体"/>
                <w:szCs w:val="21"/>
              </w:rPr>
              <w:t>功能</w:t>
            </w:r>
            <w:r>
              <w:rPr>
                <w:rFonts w:hint="eastAsia" w:ascii="宋体" w:hAnsi="宋体" w:eastAsia="宋体" w:cs="宋体"/>
                <w:szCs w:val="21"/>
                <w:lang w:eastAsia="zh-CN"/>
              </w:rPr>
              <w:t>，</w:t>
            </w:r>
            <w:r>
              <w:rPr>
                <w:rFonts w:hint="eastAsia" w:ascii="宋体" w:hAnsi="宋体" w:eastAsia="宋体" w:cs="宋体"/>
                <w:szCs w:val="21"/>
                <w:lang w:val="en-US" w:eastAsia="zh-CN"/>
              </w:rPr>
              <w:t>评</w:t>
            </w:r>
            <w:r>
              <w:rPr>
                <w:rFonts w:hint="eastAsia" w:ascii="宋体" w:hAnsi="宋体" w:eastAsia="宋体" w:cs="宋体"/>
                <w:spacing w:val="6"/>
                <w:szCs w:val="21"/>
              </w:rPr>
              <w:t>委根据演示效果打分，</w:t>
            </w:r>
            <w:r>
              <w:rPr>
                <w:rFonts w:hint="eastAsia" w:ascii="宋体" w:hAnsi="宋体" w:eastAsia="宋体" w:cs="宋体"/>
                <w:spacing w:val="6"/>
                <w:szCs w:val="21"/>
                <w:lang w:val="en-US" w:eastAsia="zh-CN"/>
              </w:rPr>
              <w:t>每演示成功一个专业得1分，最多18分，</w:t>
            </w:r>
            <w:r>
              <w:rPr>
                <w:rFonts w:hint="eastAsia" w:ascii="宋体" w:hAnsi="宋体" w:eastAsia="宋体" w:cs="宋体"/>
                <w:spacing w:val="6"/>
                <w:szCs w:val="21"/>
              </w:rPr>
              <w:t>不演示不得分。</w:t>
            </w:r>
          </w:p>
          <w:p w14:paraId="6BAB7DA4">
            <w:pPr>
              <w:keepNext w:val="0"/>
              <w:keepLines w:val="0"/>
              <w:pageBreakBefore w:val="0"/>
              <w:widowControl w:val="0"/>
              <w:kinsoku/>
              <w:wordWrap/>
              <w:overflowPunct/>
              <w:topLinePunct w:val="0"/>
              <w:autoSpaceDE w:val="0"/>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b/>
                <w:bCs/>
                <w:color w:val="auto"/>
                <w:szCs w:val="21"/>
                <w:highlight w:val="none"/>
                <w:lang w:val="en-US" w:eastAsia="zh-CN" w:bidi="ar"/>
              </w:rPr>
              <w:t>注：</w:t>
            </w:r>
            <w:r>
              <w:rPr>
                <w:rFonts w:hint="eastAsia" w:ascii="宋体" w:hAnsi="宋体" w:eastAsia="宋体" w:cs="宋体"/>
                <w:sz w:val="21"/>
                <w:szCs w:val="21"/>
              </w:rPr>
              <w:t>在提交响应文件截止时间前和响应文件一起密封提交，未密封或逾期递交的演示文件将被拒绝接收。</w:t>
            </w:r>
          </w:p>
          <w:p w14:paraId="02EF73FF">
            <w:pPr>
              <w:keepNext w:val="0"/>
              <w:keepLines w:val="0"/>
              <w:pageBreakBefore w:val="0"/>
              <w:widowControl w:val="0"/>
              <w:kinsoku/>
              <w:wordWrap/>
              <w:overflowPunct/>
              <w:topLinePunct w:val="0"/>
              <w:autoSpaceDE w:val="0"/>
              <w:bidi w:val="0"/>
              <w:adjustRightInd/>
              <w:snapToGrid/>
              <w:spacing w:line="300" w:lineRule="exact"/>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相关要求：</w:t>
            </w:r>
          </w:p>
          <w:p w14:paraId="44387953">
            <w:pPr>
              <w:keepNext w:val="0"/>
              <w:keepLines w:val="0"/>
              <w:pageBreakBefore w:val="0"/>
              <w:widowControl w:val="0"/>
              <w:kinsoku/>
              <w:wordWrap/>
              <w:overflowPunct/>
              <w:topLinePunct w:val="0"/>
              <w:autoSpaceDE w:val="0"/>
              <w:bidi w:val="0"/>
              <w:adjustRightInd/>
              <w:snapToGrid/>
              <w:spacing w:line="300" w:lineRule="exact"/>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1.视频文件格式采用MP4。</w:t>
            </w:r>
          </w:p>
          <w:p w14:paraId="172461F0">
            <w:pPr>
              <w:keepNext w:val="0"/>
              <w:keepLines w:val="0"/>
              <w:pageBreakBefore w:val="0"/>
              <w:widowControl w:val="0"/>
              <w:kinsoku/>
              <w:wordWrap/>
              <w:overflowPunct/>
              <w:topLinePunct w:val="0"/>
              <w:autoSpaceDE w:val="0"/>
              <w:bidi w:val="0"/>
              <w:adjustRightInd/>
              <w:snapToGrid/>
              <w:spacing w:line="300" w:lineRule="exact"/>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2.演示时长不超过</w:t>
            </w:r>
            <w:r>
              <w:rPr>
                <w:rFonts w:hint="eastAsia" w:ascii="宋体" w:hAnsi="宋体" w:cs="宋体"/>
                <w:b/>
                <w:bCs/>
                <w:color w:val="auto"/>
                <w:szCs w:val="21"/>
                <w:highlight w:val="none"/>
                <w:lang w:val="en-US" w:eastAsia="zh-CN" w:bidi="ar"/>
              </w:rPr>
              <w:t>2</w:t>
            </w:r>
            <w:r>
              <w:rPr>
                <w:rFonts w:hint="eastAsia" w:ascii="宋体" w:hAnsi="宋体" w:eastAsia="宋体" w:cs="宋体"/>
                <w:b/>
                <w:bCs/>
                <w:color w:val="auto"/>
                <w:szCs w:val="21"/>
                <w:highlight w:val="none"/>
                <w:lang w:val="en-US" w:eastAsia="zh-CN" w:bidi="ar"/>
              </w:rPr>
              <w:t>0分钟。</w:t>
            </w:r>
          </w:p>
          <w:p w14:paraId="4A373D26">
            <w:pPr>
              <w:pStyle w:val="43"/>
              <w:keepNext w:val="0"/>
              <w:keepLines w:val="0"/>
              <w:pageBreakBefore w:val="0"/>
              <w:widowControl w:val="0"/>
              <w:kinsoku/>
              <w:wordWrap/>
              <w:overflowPunct/>
              <w:topLinePunct w:val="0"/>
              <w:bidi w:val="0"/>
              <w:adjustRightInd/>
              <w:snapToGrid/>
              <w:spacing w:line="300" w:lineRule="exact"/>
              <w:ind w:left="0" w:leftChars="0" w:firstLine="0" w:firstLineChars="0"/>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sz w:val="21"/>
                <w:szCs w:val="21"/>
              </w:rPr>
              <w:t>请供应商递交前自行检查测试，确保演示视频文件可正常播放。为避免因文件格式、播放软件等原因造成演示资料不能正常播放，投标人可自行带笔记本前来演示。现场无法演示的视为未提交演示资料</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演示项得0分</w:t>
            </w:r>
            <w:r>
              <w:rPr>
                <w:rFonts w:hint="eastAsia" w:ascii="宋体" w:hAnsi="宋体" w:eastAsia="宋体" w:cs="宋体"/>
                <w:b/>
                <w:bCs/>
                <w:sz w:val="21"/>
                <w:szCs w:val="21"/>
              </w:rPr>
              <w:t>。</w:t>
            </w:r>
          </w:p>
        </w:tc>
      </w:tr>
      <w:tr w14:paraId="7892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14:paraId="024E85D2">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376C7E1B">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592C3F98">
            <w:pPr>
              <w:keepNext w:val="0"/>
              <w:keepLines w:val="0"/>
              <w:pageBreakBefore w:val="0"/>
              <w:widowControl w:val="0"/>
              <w:kinsoku/>
              <w:wordWrap/>
              <w:overflowPunct/>
              <w:topLinePunct w:val="0"/>
              <w:bidi w:val="0"/>
              <w:adjustRightInd/>
              <w:snapToGrid/>
              <w:spacing w:line="300" w:lineRule="exact"/>
              <w:textAlignment w:val="auto"/>
              <w:rPr>
                <w:rFonts w:hint="default" w:ascii="宋体" w:hAnsi="宋体" w:eastAsia="宋体" w:cs="宋体"/>
                <w:sz w:val="21"/>
                <w:szCs w:val="21"/>
                <w:lang w:val="en-US" w:eastAsia="zh-CN"/>
              </w:rPr>
            </w:pPr>
            <w:r>
              <w:rPr>
                <w:rFonts w:hint="eastAsia" w:ascii="宋体" w:hAnsi="宋体" w:cs="Times"/>
                <w:szCs w:val="21"/>
                <w:lang w:val="en-US" w:eastAsia="zh-CN"/>
              </w:rPr>
              <w:t>系统安全（5分）</w:t>
            </w:r>
          </w:p>
        </w:tc>
        <w:tc>
          <w:tcPr>
            <w:tcW w:w="6785" w:type="dxa"/>
            <w:noWrap w:val="0"/>
            <w:vAlign w:val="center"/>
          </w:tcPr>
          <w:p w14:paraId="34ECB23C">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kern w:val="2"/>
                <w:sz w:val="21"/>
                <w:szCs w:val="21"/>
                <w:lang w:val="en-US" w:eastAsia="zh-CN"/>
              </w:rPr>
              <w:t>供应商取得《信息安全等级保护管理办法》规定的信息系统安全等级保护三级及以上评级，并提供由公安机关颁发的《信息系统安全等级保护备案证明》复印件的，得5分；取得二级评级的得3分；取得一级评级的得1分；未提供有效证明材料的不得分。</w:t>
            </w:r>
          </w:p>
        </w:tc>
      </w:tr>
      <w:tr w14:paraId="36C2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14:paraId="22E75E7B">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50B282D5">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21484C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项目实施方案</w:t>
            </w:r>
          </w:p>
          <w:p w14:paraId="3BD9F4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w:t>
            </w:r>
          </w:p>
        </w:tc>
        <w:tc>
          <w:tcPr>
            <w:tcW w:w="6785" w:type="dxa"/>
            <w:noWrap w:val="0"/>
            <w:vAlign w:val="center"/>
          </w:tcPr>
          <w:p w14:paraId="34D8E4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kern w:val="2"/>
                <w:sz w:val="21"/>
                <w:szCs w:val="21"/>
                <w:lang w:val="en-US" w:eastAsia="zh-CN"/>
              </w:rPr>
            </w:pPr>
            <w:r>
              <w:rPr>
                <w:rStyle w:val="46"/>
                <w:rFonts w:ascii="宋体" w:hAnsi="宋体" w:eastAsia="宋体" w:cs="宋体"/>
                <w:b w:val="0"/>
                <w:sz w:val="21"/>
                <w:szCs w:val="24"/>
              </w:rPr>
              <w:t>根据</w:t>
            </w:r>
            <w:r>
              <w:rPr>
                <w:rStyle w:val="46"/>
                <w:rFonts w:hint="eastAsia" w:ascii="宋体" w:hAnsi="宋体" w:eastAsia="宋体" w:cs="宋体"/>
                <w:b w:val="0"/>
                <w:sz w:val="21"/>
                <w:szCs w:val="24"/>
                <w:lang w:val="en-US" w:eastAsia="zh-CN"/>
              </w:rPr>
              <w:t>供应商</w:t>
            </w:r>
            <w:r>
              <w:rPr>
                <w:rStyle w:val="46"/>
                <w:rFonts w:ascii="宋体" w:hAnsi="宋体" w:eastAsia="宋体" w:cs="宋体"/>
                <w:b w:val="0"/>
                <w:sz w:val="21"/>
                <w:szCs w:val="24"/>
              </w:rPr>
              <w:t>提供的项目实施方案，包括但不限于</w:t>
            </w:r>
            <w:r>
              <w:rPr>
                <w:rFonts w:hint="eastAsia" w:ascii="宋体" w:hAnsi="宋体" w:eastAsia="宋体" w:cs="宋体"/>
                <w:color w:val="auto"/>
                <w:kern w:val="2"/>
                <w:sz w:val="21"/>
                <w:szCs w:val="21"/>
                <w:highlight w:val="none"/>
                <w:lang w:val="en-US" w:eastAsia="zh-CN" w:bidi="ar-SA"/>
              </w:rPr>
              <w:t>①项目实施计划、②</w:t>
            </w:r>
            <w:r>
              <w:rPr>
                <w:rFonts w:hint="eastAsia" w:ascii="宋体" w:hAnsi="宋体"/>
                <w:kern w:val="2"/>
                <w:sz w:val="21"/>
                <w:szCs w:val="21"/>
                <w:lang w:val="en-US" w:eastAsia="zh-CN"/>
              </w:rPr>
              <w:t>突发事件处理、</w:t>
            </w:r>
            <w:r>
              <w:rPr>
                <w:rFonts w:hint="default" w:ascii="Calibri" w:hAnsi="Calibri" w:cs="Calibri"/>
                <w:kern w:val="2"/>
                <w:sz w:val="21"/>
                <w:szCs w:val="21"/>
                <w:lang w:val="en-US" w:eastAsia="zh-CN"/>
              </w:rPr>
              <w:t>③</w:t>
            </w:r>
            <w:r>
              <w:rPr>
                <w:rFonts w:hint="eastAsia" w:ascii="宋体" w:hAnsi="宋体"/>
                <w:kern w:val="2"/>
                <w:sz w:val="21"/>
                <w:szCs w:val="21"/>
                <w:lang w:val="en-US" w:eastAsia="zh-CN"/>
              </w:rPr>
              <w:t>培训计划、</w:t>
            </w:r>
            <w:r>
              <w:rPr>
                <w:rFonts w:hint="eastAsia" w:ascii="Calibri" w:hAnsi="Calibri" w:cs="Calibri"/>
                <w:kern w:val="2"/>
                <w:sz w:val="21"/>
                <w:szCs w:val="21"/>
                <w:lang w:val="en-US" w:eastAsia="zh-CN"/>
              </w:rPr>
              <w:t>④</w:t>
            </w:r>
            <w:r>
              <w:rPr>
                <w:rFonts w:hint="eastAsia" w:ascii="宋体" w:hAnsi="宋体"/>
                <w:kern w:val="2"/>
                <w:sz w:val="21"/>
                <w:szCs w:val="21"/>
                <w:lang w:val="en-US" w:eastAsia="zh-CN"/>
              </w:rPr>
              <w:t>系统调试</w:t>
            </w:r>
            <w:r>
              <w:rPr>
                <w:rStyle w:val="46"/>
                <w:rFonts w:ascii="宋体" w:hAnsi="宋体" w:eastAsia="宋体" w:cs="宋体"/>
                <w:b w:val="0"/>
                <w:sz w:val="21"/>
                <w:szCs w:val="24"/>
              </w:rPr>
              <w:t>等内容进行评审，内容完整无缺项，详细具体，合理且具有可操作性，完全符合项目采购需求实际情况的计</w:t>
            </w:r>
            <w:r>
              <w:rPr>
                <w:rStyle w:val="46"/>
                <w:rFonts w:hint="eastAsia" w:ascii="宋体" w:hAnsi="宋体" w:eastAsia="宋体" w:cs="宋体"/>
                <w:b w:val="0"/>
                <w:sz w:val="21"/>
                <w:szCs w:val="24"/>
                <w:lang w:val="en-US" w:eastAsia="zh-CN"/>
              </w:rPr>
              <w:t>6</w:t>
            </w:r>
            <w:r>
              <w:rPr>
                <w:rStyle w:val="46"/>
                <w:rFonts w:ascii="宋体" w:hAnsi="宋体" w:eastAsia="宋体" w:cs="宋体"/>
                <w:b w:val="0"/>
                <w:sz w:val="21"/>
                <w:szCs w:val="24"/>
              </w:rPr>
              <w:t>分，方案有缺项漏项的每处扣</w:t>
            </w:r>
            <w:r>
              <w:rPr>
                <w:rStyle w:val="46"/>
                <w:rFonts w:hint="eastAsia" w:ascii="宋体" w:hAnsi="宋体" w:eastAsia="宋体" w:cs="宋体"/>
                <w:b w:val="0"/>
                <w:sz w:val="21"/>
                <w:szCs w:val="24"/>
                <w:lang w:val="en-US" w:eastAsia="zh-CN"/>
              </w:rPr>
              <w:t>1.5</w:t>
            </w:r>
            <w:r>
              <w:rPr>
                <w:rStyle w:val="46"/>
                <w:rFonts w:ascii="宋体" w:hAnsi="宋体" w:eastAsia="宋体" w:cs="宋体"/>
                <w:b w:val="0"/>
                <w:sz w:val="21"/>
                <w:szCs w:val="24"/>
              </w:rPr>
              <w:t>分，方案有欠合理欠完善的每处扣</w:t>
            </w:r>
            <w:r>
              <w:rPr>
                <w:rStyle w:val="46"/>
                <w:rFonts w:hint="eastAsia" w:ascii="宋体" w:hAnsi="宋体" w:eastAsia="宋体" w:cs="宋体"/>
                <w:b w:val="0"/>
                <w:sz w:val="21"/>
                <w:szCs w:val="24"/>
                <w:lang w:val="en-US" w:eastAsia="zh-CN"/>
              </w:rPr>
              <w:t>0.75</w:t>
            </w:r>
            <w:r>
              <w:rPr>
                <w:rStyle w:val="46"/>
                <w:rFonts w:ascii="宋体" w:hAnsi="宋体" w:eastAsia="宋体" w:cs="宋体"/>
                <w:b w:val="0"/>
                <w:sz w:val="21"/>
                <w:szCs w:val="24"/>
              </w:rPr>
              <w:t>分。未提供方案的计0分。（欠合理欠完善是指：非专门针对本项目可不适用项目的情形、内容不完整或缺少关键节点、套用其他项目方案、内容前后矛盾、涉及的规范及标准错误、不利于项目建设、不可能实现的情形等任意一种情形。</w:t>
            </w:r>
          </w:p>
        </w:tc>
      </w:tr>
      <w:tr w14:paraId="3D16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435" w:type="dxa"/>
            <w:vMerge w:val="restart"/>
            <w:noWrap w:val="0"/>
            <w:vAlign w:val="center"/>
          </w:tcPr>
          <w:p w14:paraId="4141E8AB">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77" w:type="dxa"/>
            <w:vMerge w:val="restart"/>
            <w:noWrap w:val="0"/>
            <w:vAlign w:val="center"/>
          </w:tcPr>
          <w:p w14:paraId="5EEFE84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商务</w:t>
            </w:r>
          </w:p>
          <w:p w14:paraId="7912D65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25</w:t>
            </w:r>
            <w:r>
              <w:rPr>
                <w:rFonts w:hint="eastAsia" w:ascii="宋体" w:hAnsi="宋体" w:eastAsia="宋体" w:cs="宋体"/>
                <w:sz w:val="21"/>
                <w:szCs w:val="21"/>
              </w:rPr>
              <w:t>分）</w:t>
            </w:r>
          </w:p>
        </w:tc>
        <w:tc>
          <w:tcPr>
            <w:tcW w:w="984" w:type="dxa"/>
            <w:vMerge w:val="restart"/>
            <w:noWrap w:val="0"/>
            <w:vAlign w:val="center"/>
          </w:tcPr>
          <w:p w14:paraId="5477080F">
            <w:pPr>
              <w:keepNext w:val="0"/>
              <w:keepLines w:val="0"/>
              <w:pageBreakBefore w:val="0"/>
              <w:kinsoku/>
              <w:wordWrap/>
              <w:overflowPunct/>
              <w:topLinePunct w:val="0"/>
              <w:autoSpaceDE/>
              <w:autoSpaceDN/>
              <w:bidi w:val="0"/>
              <w:spacing w:line="300" w:lineRule="exact"/>
              <w:jc w:val="center"/>
              <w:textAlignment w:val="auto"/>
              <w:rPr>
                <w:rFonts w:hint="default" w:eastAsia="宋体"/>
                <w:lang w:val="en-US" w:eastAsia="zh-CN"/>
              </w:rPr>
            </w:pPr>
            <w:r>
              <w:rPr>
                <w:rFonts w:hint="eastAsia"/>
                <w:lang w:val="en-US" w:eastAsia="zh-CN"/>
              </w:rPr>
              <w:t>企业实力（15分）</w:t>
            </w:r>
          </w:p>
        </w:tc>
        <w:tc>
          <w:tcPr>
            <w:tcW w:w="6785" w:type="dxa"/>
            <w:noWrap w:val="0"/>
            <w:vAlign w:val="center"/>
          </w:tcPr>
          <w:p w14:paraId="2CC46C3C">
            <w:pPr>
              <w:pageBreakBefore w:val="0"/>
              <w:kinsoku/>
              <w:wordWrap/>
              <w:overflowPunct/>
              <w:topLinePunct w:val="0"/>
              <w:bidi w:val="0"/>
              <w:spacing w:line="300" w:lineRule="exact"/>
              <w:textAlignment w:val="auto"/>
              <w:rPr>
                <w:rFonts w:hint="eastAsia" w:eastAsiaTheme="minorEastAsia"/>
                <w:b/>
                <w:bCs/>
                <w:lang w:eastAsia="zh-CN"/>
              </w:rPr>
            </w:pPr>
            <w:r>
              <w:rPr>
                <w:rFonts w:hint="eastAsia" w:ascii="宋体" w:hAnsi="宋体"/>
                <w:kern w:val="2"/>
                <w:sz w:val="21"/>
                <w:szCs w:val="21"/>
                <w:lang w:val="en-US" w:eastAsia="zh-CN"/>
              </w:rPr>
              <w:t>1.</w:t>
            </w:r>
            <w:r>
              <w:rPr>
                <w:rFonts w:hint="eastAsia"/>
                <w:szCs w:val="21"/>
                <w:lang w:val="en-US" w:eastAsia="zh-CN"/>
              </w:rPr>
              <w:t>供应商所投</w:t>
            </w:r>
            <w:r>
              <w:rPr>
                <w:rFonts w:hint="eastAsia" w:ascii="宋体" w:hAnsi="宋体"/>
                <w:kern w:val="2"/>
                <w:sz w:val="21"/>
                <w:szCs w:val="21"/>
                <w:lang w:val="en-US" w:eastAsia="zh-CN"/>
              </w:rPr>
              <w:t>平台可作为“国家职业教育专业教学资源库”支持平台，需提供有效证明材料，包括国家职业教育智慧教育平台标注“国家级”的专业资源库项目官方网站截图、各国家级专业资源库的网址链接、清单目录、项目截图等。已运行50个以上国家级专业教学资源库的，得6分；运行30-49个国家级资源库的，得4分；运行10-29个国家级资源库的，得2分；运行10个以内国家级资源库的得1分；未提供和提供的证明材料不完整的不得分。</w:t>
            </w:r>
            <w:r>
              <w:rPr>
                <w:rFonts w:hint="eastAsia" w:ascii="宋体" w:hAnsi="宋体"/>
                <w:b/>
                <w:bCs/>
                <w:kern w:val="2"/>
                <w:sz w:val="21"/>
                <w:szCs w:val="21"/>
                <w:lang w:val="en-US" w:eastAsia="zh-CN"/>
              </w:rPr>
              <w:t>本项最高得6分。</w:t>
            </w:r>
          </w:p>
          <w:p w14:paraId="639CCC6D">
            <w:pPr>
              <w:keepNext w:val="0"/>
              <w:keepLines w:val="0"/>
              <w:pageBreakBefore w:val="0"/>
              <w:kinsoku/>
              <w:wordWrap/>
              <w:overflowPunct/>
              <w:topLinePunct w:val="0"/>
              <w:autoSpaceDE/>
              <w:autoSpaceDN/>
              <w:bidi w:val="0"/>
              <w:spacing w:line="300" w:lineRule="exact"/>
              <w:jc w:val="both"/>
              <w:textAlignment w:val="auto"/>
              <w:rPr>
                <w:rFonts w:hint="eastAsia"/>
              </w:rPr>
            </w:pPr>
            <w:r>
              <w:rPr>
                <w:rFonts w:hint="eastAsia" w:ascii="宋体" w:hAnsi="宋体"/>
                <w:kern w:val="2"/>
                <w:sz w:val="21"/>
                <w:szCs w:val="21"/>
                <w:lang w:val="en-US" w:eastAsia="zh-CN"/>
              </w:rPr>
              <w:t>2.</w:t>
            </w:r>
            <w:r>
              <w:rPr>
                <w:rFonts w:hint="eastAsia"/>
                <w:szCs w:val="21"/>
                <w:lang w:val="en-US" w:eastAsia="zh-CN"/>
              </w:rPr>
              <w:t>供应商所投</w:t>
            </w:r>
            <w:r>
              <w:rPr>
                <w:rFonts w:hint="eastAsia" w:ascii="宋体" w:hAnsi="宋体"/>
                <w:kern w:val="2"/>
                <w:sz w:val="21"/>
                <w:szCs w:val="21"/>
                <w:lang w:val="en-US" w:eastAsia="zh-CN"/>
              </w:rPr>
              <w:t>平台</w:t>
            </w:r>
            <w:r>
              <w:rPr>
                <w:rFonts w:hint="eastAsia" w:ascii="宋体" w:hAnsi="宋体"/>
                <w:kern w:val="2"/>
                <w:sz w:val="21"/>
                <w:szCs w:val="21"/>
              </w:rPr>
              <w:t>可作为“</w:t>
            </w:r>
            <w:r>
              <w:rPr>
                <w:rFonts w:hint="eastAsia" w:ascii="宋体" w:hAnsi="宋体"/>
                <w:kern w:val="2"/>
                <w:sz w:val="21"/>
                <w:szCs w:val="21"/>
                <w:lang w:val="en-US" w:eastAsia="zh-CN"/>
              </w:rPr>
              <w:t>省级</w:t>
            </w:r>
            <w:r>
              <w:rPr>
                <w:rFonts w:hint="eastAsia" w:ascii="宋体" w:hAnsi="宋体"/>
                <w:kern w:val="2"/>
                <w:sz w:val="21"/>
                <w:szCs w:val="21"/>
              </w:rPr>
              <w:t>职业教育专业教学资源库”支持平台，</w:t>
            </w:r>
            <w:r>
              <w:rPr>
                <w:rFonts w:hint="eastAsia" w:ascii="宋体" w:hAnsi="宋体"/>
                <w:kern w:val="2"/>
                <w:sz w:val="21"/>
                <w:szCs w:val="21"/>
                <w:lang w:val="en-US" w:eastAsia="zh-CN"/>
              </w:rPr>
              <w:t>需提供有效证明材料，</w:t>
            </w:r>
            <w:r>
              <w:rPr>
                <w:rFonts w:hint="eastAsia" w:ascii="宋体" w:hAnsi="宋体"/>
                <w:kern w:val="2"/>
                <w:sz w:val="21"/>
                <w:szCs w:val="21"/>
              </w:rPr>
              <w:t>包括</w:t>
            </w:r>
            <w:r>
              <w:rPr>
                <w:rFonts w:hint="eastAsia" w:ascii="宋体" w:hAnsi="宋体"/>
                <w:kern w:val="2"/>
                <w:sz w:val="21"/>
                <w:szCs w:val="21"/>
                <w:lang w:val="en-US" w:eastAsia="zh-CN"/>
              </w:rPr>
              <w:t>教育厅立项文件，</w:t>
            </w:r>
            <w:r>
              <w:rPr>
                <w:rFonts w:hint="eastAsia" w:ascii="宋体" w:hAnsi="宋体"/>
                <w:kern w:val="2"/>
                <w:sz w:val="21"/>
                <w:szCs w:val="21"/>
              </w:rPr>
              <w:t>各专业</w:t>
            </w:r>
            <w:r>
              <w:rPr>
                <w:rFonts w:hint="eastAsia" w:ascii="宋体" w:hAnsi="宋体"/>
                <w:kern w:val="2"/>
                <w:sz w:val="21"/>
                <w:szCs w:val="21"/>
                <w:lang w:val="en-US" w:eastAsia="zh-CN"/>
              </w:rPr>
              <w:t>资源</w:t>
            </w:r>
            <w:r>
              <w:rPr>
                <w:rFonts w:hint="eastAsia" w:ascii="宋体" w:hAnsi="宋体"/>
                <w:kern w:val="2"/>
                <w:sz w:val="21"/>
                <w:szCs w:val="21"/>
              </w:rPr>
              <w:t>库的网址链接、清单目录等），已运行</w:t>
            </w:r>
            <w:r>
              <w:rPr>
                <w:rFonts w:hint="eastAsia" w:ascii="宋体" w:hAnsi="宋体"/>
                <w:kern w:val="2"/>
                <w:sz w:val="21"/>
                <w:szCs w:val="21"/>
                <w:lang w:val="en-US" w:eastAsia="zh-CN"/>
              </w:rPr>
              <w:t>2</w:t>
            </w:r>
            <w:r>
              <w:rPr>
                <w:rFonts w:hint="eastAsia" w:ascii="宋体" w:hAnsi="宋体"/>
                <w:kern w:val="2"/>
                <w:sz w:val="21"/>
                <w:szCs w:val="21"/>
              </w:rPr>
              <w:t>0个以上</w:t>
            </w:r>
            <w:r>
              <w:rPr>
                <w:rFonts w:hint="eastAsia" w:ascii="宋体" w:hAnsi="宋体"/>
                <w:kern w:val="2"/>
                <w:sz w:val="21"/>
                <w:szCs w:val="21"/>
                <w:lang w:val="en-US" w:eastAsia="zh-CN"/>
              </w:rPr>
              <w:t>省</w:t>
            </w:r>
            <w:r>
              <w:rPr>
                <w:rFonts w:hint="eastAsia" w:ascii="宋体" w:hAnsi="宋体"/>
                <w:kern w:val="2"/>
                <w:sz w:val="21"/>
                <w:szCs w:val="21"/>
              </w:rPr>
              <w:t>级专业教学资源库的，得</w:t>
            </w:r>
            <w:r>
              <w:rPr>
                <w:rFonts w:hint="eastAsia" w:ascii="宋体" w:hAnsi="宋体"/>
                <w:kern w:val="2"/>
                <w:sz w:val="21"/>
                <w:szCs w:val="21"/>
                <w:lang w:val="en-US" w:eastAsia="zh-CN"/>
              </w:rPr>
              <w:t>4</w:t>
            </w:r>
            <w:r>
              <w:rPr>
                <w:rFonts w:hint="eastAsia" w:ascii="宋体" w:hAnsi="宋体"/>
                <w:kern w:val="2"/>
                <w:sz w:val="21"/>
                <w:szCs w:val="21"/>
              </w:rPr>
              <w:t>分；</w:t>
            </w:r>
            <w:r>
              <w:rPr>
                <w:rFonts w:hint="eastAsia" w:ascii="宋体" w:hAnsi="宋体"/>
                <w:kern w:val="2"/>
                <w:sz w:val="21"/>
                <w:szCs w:val="21"/>
                <w:lang w:val="en-US" w:eastAsia="zh-CN"/>
              </w:rPr>
              <w:t>1</w:t>
            </w:r>
            <w:r>
              <w:rPr>
                <w:rFonts w:hint="eastAsia" w:ascii="宋体" w:hAnsi="宋体"/>
                <w:kern w:val="2"/>
                <w:sz w:val="21"/>
                <w:szCs w:val="21"/>
              </w:rPr>
              <w:t>0-</w:t>
            </w:r>
            <w:r>
              <w:rPr>
                <w:rFonts w:hint="eastAsia" w:ascii="宋体" w:hAnsi="宋体"/>
                <w:kern w:val="2"/>
                <w:sz w:val="21"/>
                <w:szCs w:val="21"/>
                <w:lang w:val="en-US" w:eastAsia="zh-CN"/>
              </w:rPr>
              <w:t>1</w:t>
            </w:r>
            <w:r>
              <w:rPr>
                <w:rFonts w:hint="eastAsia" w:ascii="宋体" w:hAnsi="宋体"/>
                <w:kern w:val="2"/>
                <w:sz w:val="21"/>
                <w:szCs w:val="21"/>
              </w:rPr>
              <w:t>9个</w:t>
            </w:r>
            <w:r>
              <w:rPr>
                <w:rFonts w:hint="eastAsia" w:ascii="宋体" w:hAnsi="宋体"/>
                <w:kern w:val="2"/>
                <w:sz w:val="21"/>
                <w:szCs w:val="21"/>
                <w:lang w:val="en-US" w:eastAsia="zh-CN"/>
              </w:rPr>
              <w:t>省级</w:t>
            </w:r>
            <w:r>
              <w:rPr>
                <w:rFonts w:hint="eastAsia" w:ascii="宋体" w:hAnsi="宋体"/>
                <w:kern w:val="2"/>
                <w:sz w:val="21"/>
                <w:szCs w:val="21"/>
              </w:rPr>
              <w:t>资源库的，得</w:t>
            </w:r>
            <w:r>
              <w:rPr>
                <w:rFonts w:hint="eastAsia" w:ascii="宋体" w:hAnsi="宋体"/>
                <w:kern w:val="2"/>
                <w:sz w:val="21"/>
                <w:szCs w:val="21"/>
                <w:lang w:val="en-US" w:eastAsia="zh-CN"/>
              </w:rPr>
              <w:t>2</w:t>
            </w:r>
            <w:r>
              <w:rPr>
                <w:rFonts w:hint="eastAsia" w:ascii="宋体" w:hAnsi="宋体"/>
                <w:kern w:val="2"/>
                <w:sz w:val="21"/>
                <w:szCs w:val="21"/>
              </w:rPr>
              <w:t>分；</w:t>
            </w:r>
            <w:r>
              <w:rPr>
                <w:rFonts w:hint="eastAsia" w:ascii="宋体" w:hAnsi="宋体"/>
                <w:kern w:val="2"/>
                <w:sz w:val="21"/>
                <w:szCs w:val="21"/>
                <w:lang w:val="en-US" w:eastAsia="zh-CN"/>
              </w:rPr>
              <w:t>10个以内</w:t>
            </w:r>
            <w:r>
              <w:rPr>
                <w:rFonts w:hint="eastAsia" w:ascii="宋体" w:hAnsi="宋体"/>
                <w:kern w:val="2"/>
                <w:sz w:val="21"/>
                <w:szCs w:val="21"/>
              </w:rPr>
              <w:t>个</w:t>
            </w:r>
            <w:r>
              <w:rPr>
                <w:rFonts w:hint="eastAsia" w:ascii="宋体" w:hAnsi="宋体"/>
                <w:kern w:val="2"/>
                <w:sz w:val="21"/>
                <w:szCs w:val="21"/>
                <w:lang w:val="en-US" w:eastAsia="zh-CN"/>
              </w:rPr>
              <w:t>省级</w:t>
            </w:r>
            <w:r>
              <w:rPr>
                <w:rFonts w:hint="eastAsia" w:ascii="宋体" w:hAnsi="宋体"/>
                <w:kern w:val="2"/>
                <w:sz w:val="21"/>
                <w:szCs w:val="21"/>
              </w:rPr>
              <w:t>资源库的</w:t>
            </w:r>
            <w:r>
              <w:rPr>
                <w:rFonts w:hint="eastAsia" w:ascii="宋体" w:hAnsi="宋体"/>
                <w:kern w:val="2"/>
                <w:sz w:val="21"/>
                <w:szCs w:val="21"/>
                <w:lang w:eastAsia="zh-CN"/>
              </w:rPr>
              <w:t>，</w:t>
            </w:r>
            <w:r>
              <w:rPr>
                <w:rFonts w:hint="eastAsia" w:ascii="宋体" w:hAnsi="宋体"/>
                <w:kern w:val="2"/>
                <w:sz w:val="21"/>
                <w:szCs w:val="21"/>
                <w:lang w:val="en-US" w:eastAsia="zh-CN"/>
              </w:rPr>
              <w:t>得1分。未提供和提供的证明材料不完整的不得分</w:t>
            </w:r>
            <w:r>
              <w:rPr>
                <w:rFonts w:hint="eastAsia" w:ascii="宋体" w:hAnsi="宋体"/>
                <w:kern w:val="2"/>
                <w:sz w:val="21"/>
                <w:szCs w:val="21"/>
              </w:rPr>
              <w:t>。</w:t>
            </w:r>
            <w:r>
              <w:rPr>
                <w:rFonts w:hint="eastAsia" w:ascii="宋体" w:hAnsi="宋体"/>
                <w:b/>
                <w:bCs/>
                <w:kern w:val="2"/>
                <w:sz w:val="21"/>
                <w:szCs w:val="21"/>
                <w:lang w:val="en-US" w:eastAsia="zh-CN"/>
              </w:rPr>
              <w:t>本项最高得4分。</w:t>
            </w:r>
          </w:p>
        </w:tc>
      </w:tr>
      <w:tr w14:paraId="1368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435" w:type="dxa"/>
            <w:vMerge w:val="continue"/>
            <w:noWrap w:val="0"/>
            <w:vAlign w:val="center"/>
          </w:tcPr>
          <w:p w14:paraId="44AE82CE">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63A5E14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1"/>
                <w:szCs w:val="21"/>
              </w:rPr>
            </w:pPr>
          </w:p>
        </w:tc>
        <w:tc>
          <w:tcPr>
            <w:tcW w:w="984" w:type="dxa"/>
            <w:vMerge w:val="continue"/>
            <w:noWrap w:val="0"/>
            <w:vAlign w:val="center"/>
          </w:tcPr>
          <w:p w14:paraId="0590CAEF">
            <w:pPr>
              <w:keepNext w:val="0"/>
              <w:keepLines w:val="0"/>
              <w:pageBreakBefore w:val="0"/>
              <w:kinsoku/>
              <w:wordWrap/>
              <w:overflowPunct/>
              <w:topLinePunct w:val="0"/>
              <w:autoSpaceDE/>
              <w:autoSpaceDN/>
              <w:bidi w:val="0"/>
              <w:spacing w:line="300" w:lineRule="exact"/>
              <w:jc w:val="center"/>
              <w:textAlignment w:val="auto"/>
              <w:rPr>
                <w:rFonts w:hint="eastAsia"/>
                <w:lang w:val="en-US" w:eastAsia="zh-CN"/>
              </w:rPr>
            </w:pPr>
          </w:p>
        </w:tc>
        <w:tc>
          <w:tcPr>
            <w:tcW w:w="6785" w:type="dxa"/>
            <w:noWrap w:val="0"/>
            <w:vAlign w:val="center"/>
          </w:tcPr>
          <w:p w14:paraId="35DAC114">
            <w:pPr>
              <w:pageBreakBefore w:val="0"/>
              <w:numPr>
                <w:ilvl w:val="0"/>
                <w:numId w:val="0"/>
              </w:numPr>
              <w:kinsoku/>
              <w:wordWrap/>
              <w:overflowPunct/>
              <w:topLinePunct w:val="0"/>
              <w:bidi w:val="0"/>
              <w:spacing w:line="300" w:lineRule="exact"/>
              <w:textAlignment w:val="auto"/>
              <w:rPr>
                <w:rFonts w:hint="eastAsia"/>
                <w:lang w:val="en-US" w:eastAsia="zh-CN"/>
              </w:rPr>
            </w:pPr>
            <w:r>
              <w:rPr>
                <w:rFonts w:hint="eastAsia" w:asciiTheme="minorHAnsi" w:hAnsiTheme="minorHAnsi" w:eastAsiaTheme="minorEastAsia" w:cstheme="minorBidi"/>
                <w:kern w:val="2"/>
                <w:sz w:val="21"/>
                <w:szCs w:val="22"/>
                <w:lang w:val="en-US" w:eastAsia="zh-CN" w:bidi="ar-SA"/>
              </w:rPr>
              <w:t>1.</w:t>
            </w:r>
            <w:r>
              <w:rPr>
                <w:rFonts w:hint="eastAsia"/>
                <w:szCs w:val="21"/>
                <w:lang w:val="en-US" w:eastAsia="zh-CN"/>
              </w:rPr>
              <w:t>供应商所投</w:t>
            </w:r>
            <w:r>
              <w:rPr>
                <w:rFonts w:hint="eastAsia" w:ascii="宋体" w:hAnsi="宋体"/>
                <w:kern w:val="2"/>
                <w:sz w:val="21"/>
                <w:szCs w:val="21"/>
                <w:lang w:val="en-US" w:eastAsia="zh-CN"/>
              </w:rPr>
              <w:t>平台</w:t>
            </w:r>
            <w:r>
              <w:rPr>
                <w:rFonts w:hint="eastAsia"/>
              </w:rPr>
              <w:t>具备</w:t>
            </w:r>
            <w:r>
              <w:rPr>
                <w:rFonts w:hint="eastAsia"/>
                <w:lang w:val="en-US" w:eastAsia="zh-CN"/>
              </w:rPr>
              <w:t>国家级</w:t>
            </w:r>
            <w:r>
              <w:rPr>
                <w:rFonts w:hint="eastAsia"/>
              </w:rPr>
              <w:t>精品在线开放课程平台技术支撑相关服务能力，近 5 年</w:t>
            </w:r>
            <w:r>
              <w:rPr>
                <w:rFonts w:hint="eastAsia"/>
                <w:lang w:val="en-US" w:eastAsia="zh-CN"/>
              </w:rPr>
              <w:t>在投标平台上运营的国家级在线精品课程，运营30门及以上的得3分，20-29门的得2分，10-19门的得1分。10门以下不得分。</w:t>
            </w:r>
            <w:r>
              <w:rPr>
                <w:rFonts w:hint="eastAsia"/>
                <w:b/>
                <w:bCs/>
                <w:lang w:val="en-US" w:eastAsia="zh-CN"/>
              </w:rPr>
              <w:t>本项最高得3分。</w:t>
            </w:r>
          </w:p>
          <w:p w14:paraId="7D6C07B4">
            <w:pPr>
              <w:pageBreakBefore w:val="0"/>
              <w:numPr>
                <w:ilvl w:val="0"/>
                <w:numId w:val="0"/>
              </w:numPr>
              <w:kinsoku/>
              <w:wordWrap/>
              <w:overflowPunct/>
              <w:topLinePunct w:val="0"/>
              <w:bidi w:val="0"/>
              <w:spacing w:line="300" w:lineRule="exact"/>
              <w:textAlignment w:val="auto"/>
              <w:rPr>
                <w:rFonts w:hint="default"/>
                <w:b/>
                <w:bCs/>
                <w:highlight w:val="none"/>
                <w:lang w:val="en-US"/>
              </w:rPr>
            </w:pPr>
            <w:r>
              <w:rPr>
                <w:rFonts w:hint="eastAsia"/>
                <w:lang w:val="en-US" w:eastAsia="zh-CN"/>
              </w:rPr>
              <w:t>注：提供</w:t>
            </w:r>
            <w:r>
              <w:rPr>
                <w:rFonts w:hint="eastAsia"/>
                <w:highlight w:val="none"/>
                <w:lang w:val="en-US" w:eastAsia="zh-CN"/>
              </w:rPr>
              <w:t>证明材料（课程名称、学校、主持人姓名，课程网址、开课状态（提供课程平台在投标截止日前近两年内处于有效开课状态的截图），以及国家职业教育智慧教育平台上标注“国家级”的官方截图）。未提供证明材料的不计分。</w:t>
            </w:r>
          </w:p>
          <w:p w14:paraId="0F531E5F">
            <w:pPr>
              <w:pageBreakBefore w:val="0"/>
              <w:kinsoku/>
              <w:wordWrap/>
              <w:overflowPunct/>
              <w:topLinePunct w:val="0"/>
              <w:bidi w:val="0"/>
              <w:spacing w:line="300" w:lineRule="exact"/>
              <w:textAlignment w:val="auto"/>
              <w:rPr>
                <w:rFonts w:hint="eastAsia"/>
                <w:highlight w:val="none"/>
              </w:rPr>
            </w:pPr>
            <w:r>
              <w:rPr>
                <w:rFonts w:hint="eastAsia"/>
                <w:highlight w:val="none"/>
                <w:lang w:val="en-US" w:eastAsia="zh-CN"/>
              </w:rPr>
              <w:t>2.</w:t>
            </w:r>
            <w:r>
              <w:rPr>
                <w:rFonts w:hint="eastAsia"/>
                <w:szCs w:val="21"/>
                <w:highlight w:val="none"/>
                <w:lang w:val="en-US" w:eastAsia="zh-CN"/>
              </w:rPr>
              <w:t>供应商所投</w:t>
            </w:r>
            <w:r>
              <w:rPr>
                <w:rFonts w:hint="eastAsia" w:ascii="宋体" w:hAnsi="宋体"/>
                <w:kern w:val="2"/>
                <w:sz w:val="21"/>
                <w:szCs w:val="21"/>
                <w:highlight w:val="none"/>
                <w:lang w:val="en-US" w:eastAsia="zh-CN"/>
              </w:rPr>
              <w:t>平台</w:t>
            </w:r>
            <w:r>
              <w:rPr>
                <w:rFonts w:hint="eastAsia"/>
                <w:highlight w:val="none"/>
              </w:rPr>
              <w:t>具备</w:t>
            </w:r>
            <w:r>
              <w:rPr>
                <w:rFonts w:hint="eastAsia"/>
                <w:highlight w:val="none"/>
                <w:lang w:val="en-US" w:eastAsia="zh-CN"/>
              </w:rPr>
              <w:t>省级</w:t>
            </w:r>
            <w:r>
              <w:rPr>
                <w:rFonts w:hint="eastAsia"/>
                <w:highlight w:val="none"/>
              </w:rPr>
              <w:t>精品在线开放课程平台技术支撑相关服务能力，</w:t>
            </w:r>
          </w:p>
          <w:p w14:paraId="2717F1BD">
            <w:pPr>
              <w:pageBreakBefore w:val="0"/>
              <w:numPr>
                <w:ilvl w:val="0"/>
                <w:numId w:val="0"/>
              </w:numPr>
              <w:kinsoku/>
              <w:wordWrap/>
              <w:overflowPunct/>
              <w:topLinePunct w:val="0"/>
              <w:bidi w:val="0"/>
              <w:spacing w:line="300" w:lineRule="exact"/>
              <w:textAlignment w:val="auto"/>
              <w:rPr>
                <w:rFonts w:hint="eastAsia"/>
                <w:highlight w:val="none"/>
                <w:lang w:val="en-US" w:eastAsia="zh-CN"/>
              </w:rPr>
            </w:pPr>
            <w:r>
              <w:rPr>
                <w:rFonts w:hint="eastAsia"/>
                <w:highlight w:val="none"/>
              </w:rPr>
              <w:t>近 5 年</w:t>
            </w:r>
            <w:r>
              <w:rPr>
                <w:rFonts w:hint="eastAsia"/>
                <w:highlight w:val="none"/>
                <w:lang w:val="en-US" w:eastAsia="zh-CN"/>
              </w:rPr>
              <w:t>在投标平台上运营的省级在线精品课程，运营20门及以上的得2分，10-19门的得1分，10门以下不得分。</w:t>
            </w:r>
            <w:r>
              <w:rPr>
                <w:rFonts w:hint="eastAsia"/>
                <w:b/>
                <w:bCs/>
                <w:highlight w:val="none"/>
                <w:lang w:val="en-US" w:eastAsia="zh-CN"/>
              </w:rPr>
              <w:t>本项最高得2分。</w:t>
            </w:r>
          </w:p>
          <w:p w14:paraId="167079A1">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b/>
                <w:bCs/>
                <w:strike w:val="0"/>
                <w:dstrike w:val="0"/>
                <w:color w:val="auto"/>
                <w:sz w:val="21"/>
                <w:szCs w:val="21"/>
                <w:highlight w:val="none"/>
              </w:rPr>
            </w:pPr>
            <w:r>
              <w:rPr>
                <w:rFonts w:hint="eastAsia"/>
                <w:highlight w:val="none"/>
                <w:lang w:val="en-US" w:eastAsia="zh-CN"/>
              </w:rPr>
              <w:t>注：提供证明材料，（包括教育厅立项文件，课程名称、开设学校、主持人姓名、课程网址及开课状态（提供课程平台在投标截止日前近两年内处于有效开课状态的截图）。）未提供证明材料的不计分。</w:t>
            </w:r>
          </w:p>
        </w:tc>
      </w:tr>
      <w:tr w14:paraId="3D51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14:paraId="498BE6E7">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5744BE3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6C6044E6">
            <w:pPr>
              <w:keepNext w:val="0"/>
              <w:keepLines w:val="0"/>
              <w:pageBreakBefore w:val="0"/>
              <w:kinsoku/>
              <w:wordWrap/>
              <w:overflowPunct/>
              <w:topLinePunct w:val="0"/>
              <w:autoSpaceDE/>
              <w:autoSpaceDN/>
              <w:bidi w:val="0"/>
              <w:spacing w:line="300" w:lineRule="exact"/>
              <w:jc w:val="center"/>
              <w:textAlignment w:val="auto"/>
              <w:rPr>
                <w:rFonts w:hint="eastAsia"/>
              </w:rPr>
            </w:pPr>
            <w:r>
              <w:rPr>
                <w:rFonts w:hint="eastAsia"/>
              </w:rPr>
              <w:t>业绩（</w:t>
            </w:r>
            <w:r>
              <w:rPr>
                <w:rFonts w:hint="eastAsia"/>
                <w:lang w:val="en-US" w:eastAsia="zh-CN"/>
              </w:rPr>
              <w:t>4</w:t>
            </w:r>
            <w:r>
              <w:rPr>
                <w:rFonts w:hint="eastAsia"/>
              </w:rPr>
              <w:t>分）</w:t>
            </w:r>
          </w:p>
        </w:tc>
        <w:tc>
          <w:tcPr>
            <w:tcW w:w="6785" w:type="dxa"/>
            <w:noWrap w:val="0"/>
            <w:vAlign w:val="center"/>
          </w:tcPr>
          <w:p w14:paraId="2DDFE2DB">
            <w:pPr>
              <w:keepNext w:val="0"/>
              <w:keepLines w:val="0"/>
              <w:pageBreakBefore w:val="0"/>
              <w:kinsoku/>
              <w:wordWrap/>
              <w:overflowPunct/>
              <w:topLinePunct w:val="0"/>
              <w:autoSpaceDE/>
              <w:autoSpaceDN/>
              <w:bidi w:val="0"/>
              <w:spacing w:line="300" w:lineRule="exact"/>
              <w:jc w:val="both"/>
              <w:textAlignment w:val="auto"/>
              <w:rPr>
                <w:rFonts w:hint="default" w:eastAsia="宋体"/>
                <w:lang w:val="en-US" w:eastAsia="zh-CN"/>
              </w:rPr>
            </w:pPr>
            <w:r>
              <w:rPr>
                <w:rFonts w:hint="eastAsia"/>
                <w:lang w:val="en-US" w:eastAsia="zh-CN"/>
              </w:rPr>
              <w:t>供应商</w:t>
            </w:r>
            <w:r>
              <w:rPr>
                <w:rFonts w:hint="eastAsia"/>
              </w:rPr>
              <w:t>自</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r>
              <w:rPr>
                <w:rFonts w:hint="eastAsia"/>
                <w:lang w:val="en-US" w:eastAsia="zh-CN"/>
              </w:rPr>
              <w:t>以来</w:t>
            </w:r>
            <w:r>
              <w:rPr>
                <w:rFonts w:hint="eastAsia"/>
              </w:rPr>
              <w:t>（以合同签订时间为准）的类似项目业绩，提供一个</w:t>
            </w:r>
            <w:r>
              <w:rPr>
                <w:rFonts w:hint="eastAsia"/>
                <w:lang w:eastAsia="zh-CN"/>
              </w:rPr>
              <w:t>计</w:t>
            </w:r>
            <w:r>
              <w:rPr>
                <w:rFonts w:hint="eastAsia"/>
                <w:lang w:val="en-US" w:eastAsia="zh-CN"/>
              </w:rPr>
              <w:t>2</w:t>
            </w:r>
            <w:r>
              <w:rPr>
                <w:rFonts w:hint="eastAsia"/>
              </w:rPr>
              <w:t>分，</w:t>
            </w:r>
            <w:r>
              <w:rPr>
                <w:rFonts w:hint="eastAsia"/>
                <w:lang w:val="en-US" w:eastAsia="zh-CN"/>
              </w:rPr>
              <w:t>本项最高计4</w:t>
            </w:r>
            <w:r>
              <w:rPr>
                <w:rFonts w:hint="eastAsia"/>
              </w:rPr>
              <w:t>分。</w:t>
            </w:r>
            <w:r>
              <w:rPr>
                <w:rFonts w:hint="eastAsia"/>
                <w:lang w:val="en-US" w:eastAsia="zh-CN"/>
              </w:rPr>
              <w:t>未提供的不得分</w:t>
            </w:r>
          </w:p>
          <w:p w14:paraId="3FF0586E">
            <w:pPr>
              <w:keepNext w:val="0"/>
              <w:keepLines w:val="0"/>
              <w:pageBreakBefore w:val="0"/>
              <w:kinsoku/>
              <w:wordWrap/>
              <w:overflowPunct/>
              <w:topLinePunct w:val="0"/>
              <w:autoSpaceDE/>
              <w:autoSpaceDN/>
              <w:bidi w:val="0"/>
              <w:spacing w:line="300" w:lineRule="exact"/>
              <w:jc w:val="both"/>
              <w:textAlignment w:val="auto"/>
              <w:rPr>
                <w:rFonts w:hint="eastAsia" w:ascii="宋体" w:hAnsi="宋体"/>
                <w:kern w:val="2"/>
                <w:sz w:val="21"/>
                <w:szCs w:val="21"/>
                <w:lang w:val="en-US" w:eastAsia="zh-CN"/>
              </w:rPr>
            </w:pPr>
            <w:r>
              <w:rPr>
                <w:rFonts w:hint="eastAsia"/>
              </w:rPr>
              <w:t>注：</w:t>
            </w:r>
            <w:r>
              <w:rPr>
                <w:rFonts w:hint="eastAsia"/>
                <w:lang w:val="en-US" w:eastAsia="zh-CN"/>
              </w:rPr>
              <w:t>响应文件中</w:t>
            </w:r>
            <w:r>
              <w:rPr>
                <w:rFonts w:hint="eastAsia"/>
              </w:rPr>
              <w:t>须提供业绩合同关键页（含：首页、内容信息页、签字盖章页）复印件</w:t>
            </w:r>
            <w:r>
              <w:rPr>
                <w:rFonts w:hint="eastAsia"/>
                <w:lang w:val="en-US" w:eastAsia="zh-CN"/>
              </w:rPr>
              <w:t>并加盖投标人公章，否则不计分。</w:t>
            </w:r>
          </w:p>
        </w:tc>
      </w:tr>
      <w:tr w14:paraId="4F70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5" w:type="dxa"/>
            <w:vMerge w:val="continue"/>
            <w:noWrap w:val="0"/>
            <w:vAlign w:val="center"/>
          </w:tcPr>
          <w:p w14:paraId="5D464122">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p>
        </w:tc>
        <w:tc>
          <w:tcPr>
            <w:tcW w:w="677" w:type="dxa"/>
            <w:vMerge w:val="continue"/>
            <w:noWrap w:val="0"/>
            <w:vAlign w:val="center"/>
          </w:tcPr>
          <w:p w14:paraId="1506EC8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1"/>
                <w:szCs w:val="21"/>
              </w:rPr>
            </w:pPr>
          </w:p>
        </w:tc>
        <w:tc>
          <w:tcPr>
            <w:tcW w:w="984" w:type="dxa"/>
            <w:noWrap w:val="0"/>
            <w:vAlign w:val="center"/>
          </w:tcPr>
          <w:p w14:paraId="122C42D8">
            <w:pPr>
              <w:keepNext w:val="0"/>
              <w:keepLines w:val="0"/>
              <w:pageBreakBefore w:val="0"/>
              <w:kinsoku/>
              <w:wordWrap/>
              <w:overflowPunct/>
              <w:topLinePunct w:val="0"/>
              <w:autoSpaceDE/>
              <w:autoSpaceDN/>
              <w:bidi w:val="0"/>
              <w:spacing w:line="300" w:lineRule="exact"/>
              <w:jc w:val="center"/>
              <w:textAlignment w:val="auto"/>
              <w:rPr>
                <w:rFonts w:hint="eastAsia"/>
              </w:rPr>
            </w:pPr>
            <w:r>
              <w:rPr>
                <w:rFonts w:hint="eastAsia" w:ascii="宋体" w:hAnsi="宋体" w:eastAsia="宋体" w:cs="宋体"/>
                <w:sz w:val="21"/>
                <w:szCs w:val="21"/>
              </w:rPr>
              <w:t>售后服务</w:t>
            </w:r>
            <w:r>
              <w:rPr>
                <w:rFonts w:hint="eastAsia" w:ascii="宋体" w:hAnsi="宋体" w:eastAsia="宋体" w:cs="宋体"/>
                <w:sz w:val="21"/>
                <w:szCs w:val="21"/>
                <w:lang w:val="en-US" w:eastAsia="zh-CN"/>
              </w:rPr>
              <w:t>方案</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 xml:space="preserve"> 分）</w:t>
            </w:r>
          </w:p>
        </w:tc>
        <w:tc>
          <w:tcPr>
            <w:tcW w:w="6785" w:type="dxa"/>
            <w:noWrap w:val="0"/>
            <w:vAlign w:val="center"/>
          </w:tcPr>
          <w:p w14:paraId="213B5C1C">
            <w:pPr>
              <w:keepNext w:val="0"/>
              <w:keepLines w:val="0"/>
              <w:pageBreakBefore w:val="0"/>
              <w:kinsoku/>
              <w:wordWrap/>
              <w:overflowPunct/>
              <w:topLinePunct w:val="0"/>
              <w:autoSpaceDE/>
              <w:autoSpaceDN/>
              <w:bidi w:val="0"/>
              <w:spacing w:line="300" w:lineRule="exact"/>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根据本项目实际情况制作售后服务方案，内容包括但不限于①售后技术支持响应时间；</w:t>
            </w:r>
            <w:r>
              <w:rPr>
                <w:rFonts w:hint="default" w:ascii="Times New Roman" w:hAnsi="Times New Roman" w:eastAsia="宋体" w:cs="Times New Roman"/>
                <w:lang w:val="en-US" w:eastAsia="zh-CN"/>
              </w:rPr>
              <w:t>②</w:t>
            </w:r>
            <w:r>
              <w:rPr>
                <w:rFonts w:hint="eastAsia" w:ascii="Times New Roman" w:hAnsi="Times New Roman" w:eastAsia="宋体" w:cs="Times New Roman"/>
                <w:lang w:val="en-US" w:eastAsia="zh-CN"/>
              </w:rPr>
              <w:t>拟投入专员及服务团队；</w:t>
            </w:r>
            <w:r>
              <w:rPr>
                <w:rFonts w:hint="default" w:ascii="Times New Roman" w:hAnsi="Times New Roman" w:eastAsia="宋体" w:cs="Times New Roman"/>
                <w:lang w:val="en-US" w:eastAsia="zh-CN"/>
              </w:rPr>
              <w:t>③</w:t>
            </w:r>
            <w:r>
              <w:rPr>
                <w:rFonts w:hint="eastAsia" w:ascii="Times New Roman" w:hAnsi="Times New Roman" w:eastAsia="宋体" w:cs="Times New Roman"/>
                <w:lang w:val="en-US" w:eastAsia="zh-CN"/>
              </w:rPr>
              <w:t>售后服务计划及保障措施等内容进行评审，方案完全满足、实用性高的计6分，方案有缺漏项的每处扣2分，方案内容表述不清或缺针对性、缺可行性或与本项目无关的每处扣1分，扣完为止。未提供的不计分。</w:t>
            </w:r>
          </w:p>
          <w:p w14:paraId="26D43359">
            <w:pPr>
              <w:keepNext w:val="0"/>
              <w:keepLines w:val="0"/>
              <w:pageBreakBefore w:val="0"/>
              <w:kinsoku/>
              <w:wordWrap/>
              <w:overflowPunct/>
              <w:topLinePunct w:val="0"/>
              <w:autoSpaceDE/>
              <w:autoSpaceDN/>
              <w:bidi w:val="0"/>
              <w:spacing w:line="300" w:lineRule="exact"/>
              <w:jc w:val="both"/>
              <w:textAlignment w:val="auto"/>
              <w:rPr>
                <w:rFonts w:hint="eastAsia"/>
              </w:rPr>
            </w:pPr>
            <w:r>
              <w:rPr>
                <w:rFonts w:hint="eastAsia" w:ascii="宋体" w:hAnsi="宋体" w:eastAsia="宋体" w:cs="宋体"/>
                <w:b/>
                <w:bCs/>
                <w:color w:val="auto"/>
                <w:kern w:val="2"/>
                <w:sz w:val="21"/>
                <w:szCs w:val="21"/>
                <w:highlight w:val="none"/>
                <w:lang w:val="en-US" w:eastAsia="zh-CN" w:bidi="ar-SA"/>
              </w:rPr>
              <w:t>说明：内容有缺漏项是指：未在方案中体现或仅按需求或评分办法填写标题或直接复制采购需求未做修改的；内容表述不清或缺针对性、缺可行性或与本项目无关的包含不限于：1、方案内容与项目需求不一致或没有关联性；2、涉及的技术规范标准等与国家或行业标准或招标文件要求不一致；3、内容空洞、语义表述不清，前后矛盾，存在歧义、混乱，内容不充实。</w:t>
            </w:r>
          </w:p>
        </w:tc>
      </w:tr>
      <w:tr w14:paraId="10BC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096" w:type="dxa"/>
            <w:gridSpan w:val="3"/>
            <w:noWrap w:val="0"/>
            <w:vAlign w:val="center"/>
          </w:tcPr>
          <w:p w14:paraId="5A0B0AB9">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785" w:type="dxa"/>
            <w:noWrap w:val="0"/>
            <w:vAlign w:val="center"/>
          </w:tcPr>
          <w:p w14:paraId="16CC2C13">
            <w:pPr>
              <w:keepNext w:val="0"/>
              <w:keepLines w:val="0"/>
              <w:pageBreakBefore w:val="0"/>
              <w:kinsoku/>
              <w:wordWrap/>
              <w:overflowPunct/>
              <w:topLinePunct w:val="0"/>
              <w:autoSpaceDE/>
              <w:autoSpaceDN/>
              <w:bidi w:val="0"/>
              <w:spacing w:line="300" w:lineRule="exact"/>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100分</w:t>
            </w:r>
          </w:p>
        </w:tc>
      </w:tr>
      <w:tr w14:paraId="03B9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81" w:type="dxa"/>
            <w:gridSpan w:val="4"/>
            <w:noWrap w:val="0"/>
            <w:vAlign w:val="center"/>
          </w:tcPr>
          <w:p w14:paraId="739B1985">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其他说明：</w:t>
            </w:r>
          </w:p>
          <w:p w14:paraId="7E0CEE77">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1、投标人的综合得分为：所有评标委员会成员对其评标的综合得分。</w:t>
            </w:r>
          </w:p>
          <w:p w14:paraId="55298A65">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2、计算过程中，算术平均值保留2位小数（百分比亦取2位小数），第三位小数四舍五入。</w:t>
            </w:r>
          </w:p>
          <w:p w14:paraId="5D7111E2">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3、评标结果按评审后得分由高到低顺序排列。评审得分相同的，按照最后报价由低到高的顺序推荐。评审得分且最后报价相同的，按照技术指标优劣顺序推荐排名第一的中标候选人。</w:t>
            </w:r>
          </w:p>
          <w:p w14:paraId="3B06C9B1">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4、凡评委评分项牵涉到的证明文件、数据、承诺，投标文件中未提供、或已提供但是字迹模糊无法辨认、语义模糊易造成误解、前后文件内容不一致的则该评分项计0分处理。</w:t>
            </w:r>
          </w:p>
          <w:p w14:paraId="6497D933">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5、相关证明资料需提供复印件加盖公章，提供虚假资料的投标人将取消投标资格，并依法追究其法律责任。</w:t>
            </w:r>
          </w:p>
          <w:p w14:paraId="4B09FAF7">
            <w:pPr>
              <w:keepNext w:val="0"/>
              <w:keepLines w:val="0"/>
              <w:pageBreakBefore w:val="0"/>
              <w:kinsoku/>
              <w:wordWrap/>
              <w:overflowPunct/>
              <w:topLinePunct w:val="0"/>
              <w:autoSpaceDE/>
              <w:autoSpaceDN/>
              <w:bidi w:val="0"/>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6、复印件包含复印件、影印件、扫描件形式。</w:t>
            </w:r>
          </w:p>
        </w:tc>
      </w:tr>
    </w:tbl>
    <w:p w14:paraId="34E2D4E2">
      <w:pPr>
        <w:jc w:val="both"/>
        <w:rPr>
          <w:rFonts w:hint="eastAsia" w:ascii="宋体" w:hAnsi="宋体" w:cs="宋体"/>
          <w:b/>
          <w:szCs w:val="21"/>
        </w:rPr>
      </w:pPr>
    </w:p>
    <w:p w14:paraId="5BC3D2D5">
      <w:pPr>
        <w:jc w:val="center"/>
        <w:rPr>
          <w:rFonts w:hint="eastAsia" w:ascii="宋体" w:hAnsi="宋体" w:cs="宋体"/>
          <w:b/>
          <w:szCs w:val="21"/>
        </w:rPr>
      </w:pPr>
    </w:p>
    <w:p w14:paraId="05B22088">
      <w:pPr>
        <w:rPr>
          <w:rFonts w:hint="eastAsia" w:ascii="宋体" w:hAnsi="宋体" w:cs="宋体"/>
          <w:b/>
          <w:szCs w:val="21"/>
        </w:rPr>
      </w:pPr>
      <w:r>
        <w:rPr>
          <w:rFonts w:hint="eastAsia" w:ascii="宋体" w:hAnsi="宋体" w:cs="宋体"/>
          <w:b/>
          <w:szCs w:val="21"/>
        </w:rPr>
        <w:br w:type="page"/>
      </w:r>
    </w:p>
    <w:p w14:paraId="78C0B1DA">
      <w:pPr>
        <w:jc w:val="center"/>
        <w:rPr>
          <w:rFonts w:hint="eastAsia" w:ascii="宋体" w:hAnsi="宋体" w:cs="宋体"/>
          <w:b/>
          <w:szCs w:val="21"/>
        </w:rPr>
      </w:pPr>
    </w:p>
    <w:p w14:paraId="3036C426">
      <w:pPr>
        <w:adjustRightInd w:val="0"/>
        <w:snapToGrid w:val="0"/>
        <w:spacing w:line="360" w:lineRule="auto"/>
        <w:jc w:val="center"/>
        <w:outlineLvl w:val="1"/>
        <w:rPr>
          <w:rFonts w:ascii="宋体" w:hAnsi="宋体" w:cs="宋体"/>
          <w:sz w:val="24"/>
        </w:rPr>
      </w:pPr>
      <w:r>
        <w:rPr>
          <w:rFonts w:hint="eastAsia" w:ascii="宋体" w:hAnsi="宋体" w:cs="宋体"/>
          <w:b/>
          <w:bCs/>
          <w:sz w:val="24"/>
        </w:rPr>
        <w:t>磋商须知正文</w:t>
      </w:r>
    </w:p>
    <w:p w14:paraId="64A3FC70">
      <w:pPr>
        <w:adjustRightInd w:val="0"/>
        <w:snapToGrid w:val="0"/>
        <w:spacing w:line="360" w:lineRule="auto"/>
        <w:rPr>
          <w:rFonts w:ascii="宋体" w:hAnsi="宋体" w:cs="宋体"/>
          <w:sz w:val="24"/>
        </w:rPr>
      </w:pPr>
      <w:r>
        <w:rPr>
          <w:rFonts w:hint="eastAsia" w:ascii="宋体" w:hAnsi="宋体" w:cs="宋体"/>
          <w:sz w:val="24"/>
        </w:rPr>
        <w:t>一、说明</w:t>
      </w:r>
    </w:p>
    <w:p w14:paraId="4E49EEEE">
      <w:pPr>
        <w:adjustRightInd w:val="0"/>
        <w:snapToGrid w:val="0"/>
        <w:spacing w:line="360" w:lineRule="auto"/>
        <w:rPr>
          <w:rFonts w:ascii="宋体" w:hAnsi="宋体" w:cs="宋体"/>
          <w:b/>
          <w:bCs/>
          <w:szCs w:val="21"/>
        </w:rPr>
      </w:pPr>
      <w:r>
        <w:rPr>
          <w:rFonts w:hint="eastAsia" w:ascii="宋体" w:hAnsi="宋体" w:cs="宋体"/>
          <w:b/>
          <w:bCs/>
          <w:szCs w:val="21"/>
        </w:rPr>
        <w:t>1.适用范围</w:t>
      </w:r>
    </w:p>
    <w:p w14:paraId="02EE60C2">
      <w:pPr>
        <w:adjustRightInd w:val="0"/>
        <w:snapToGrid w:val="0"/>
        <w:spacing w:line="360" w:lineRule="auto"/>
        <w:ind w:firstLine="420" w:firstLineChars="200"/>
        <w:rPr>
          <w:rFonts w:ascii="宋体" w:hAnsi="宋体" w:cs="宋体"/>
          <w:szCs w:val="21"/>
        </w:rPr>
      </w:pPr>
      <w:r>
        <w:rPr>
          <w:rFonts w:hint="eastAsia" w:ascii="宋体" w:hAnsi="宋体" w:cs="宋体"/>
          <w:szCs w:val="21"/>
        </w:rPr>
        <w:t>1.1 本磋商文件仅适用于磋商须知前附表(以下简称</w:t>
      </w:r>
      <w:r>
        <w:rPr>
          <w:rFonts w:hint="eastAsia" w:ascii="宋体" w:hAnsi="宋体" w:cs="宋体"/>
          <w:b/>
          <w:szCs w:val="21"/>
        </w:rPr>
        <w:t>磋商须知前附表)</w:t>
      </w:r>
      <w:r>
        <w:rPr>
          <w:rFonts w:hint="eastAsia" w:ascii="宋体" w:hAnsi="宋体" w:cs="宋体"/>
          <w:szCs w:val="21"/>
        </w:rPr>
        <w:t>中所叙述的采购项目。</w:t>
      </w:r>
    </w:p>
    <w:p w14:paraId="4B9E122E">
      <w:pPr>
        <w:adjustRightInd w:val="0"/>
        <w:snapToGrid w:val="0"/>
        <w:spacing w:line="360" w:lineRule="auto"/>
        <w:rPr>
          <w:rFonts w:ascii="宋体" w:hAnsi="宋体" w:cs="宋体"/>
          <w:b/>
          <w:bCs/>
          <w:szCs w:val="21"/>
        </w:rPr>
      </w:pPr>
      <w:r>
        <w:rPr>
          <w:rFonts w:hint="eastAsia" w:ascii="宋体" w:hAnsi="宋体" w:cs="宋体"/>
          <w:b/>
          <w:bCs/>
          <w:szCs w:val="21"/>
        </w:rPr>
        <w:t>2.定义</w:t>
      </w:r>
    </w:p>
    <w:p w14:paraId="1656055A">
      <w:pPr>
        <w:adjustRightInd w:val="0"/>
        <w:snapToGrid w:val="0"/>
        <w:spacing w:line="360" w:lineRule="auto"/>
        <w:ind w:firstLine="420" w:firstLineChars="200"/>
        <w:rPr>
          <w:rFonts w:ascii="宋体" w:hAnsi="宋体" w:cs="宋体"/>
          <w:b/>
          <w:szCs w:val="21"/>
        </w:rPr>
      </w:pPr>
      <w:r>
        <w:rPr>
          <w:rFonts w:hint="eastAsia" w:ascii="宋体" w:hAnsi="宋体" w:cs="宋体"/>
          <w:szCs w:val="21"/>
        </w:rPr>
        <w:t>2.1 “采购人”是指依法进行政府采购的国家机关、事业单位、团体组织。本次政府采购的采购人名称、地址、电话、联系人见</w:t>
      </w:r>
      <w:r>
        <w:rPr>
          <w:rFonts w:hint="eastAsia" w:ascii="宋体" w:hAnsi="宋体" w:cs="宋体"/>
          <w:b/>
          <w:szCs w:val="21"/>
        </w:rPr>
        <w:t>磋商须知前附表</w:t>
      </w:r>
      <w:r>
        <w:rPr>
          <w:rFonts w:hint="eastAsia" w:ascii="宋体" w:hAnsi="宋体" w:cs="宋体"/>
          <w:szCs w:val="21"/>
        </w:rPr>
        <w:t>。</w:t>
      </w:r>
    </w:p>
    <w:p w14:paraId="0F8A0E48">
      <w:pPr>
        <w:adjustRightInd w:val="0"/>
        <w:snapToGrid w:val="0"/>
        <w:spacing w:line="360" w:lineRule="auto"/>
        <w:ind w:firstLine="420" w:firstLineChars="200"/>
        <w:rPr>
          <w:rFonts w:ascii="宋体" w:hAnsi="宋体" w:cs="宋体"/>
          <w:b/>
          <w:szCs w:val="21"/>
        </w:rPr>
      </w:pPr>
      <w:r>
        <w:rPr>
          <w:rFonts w:hint="eastAsia" w:ascii="宋体" w:hAnsi="宋体" w:cs="宋体"/>
          <w:szCs w:val="21"/>
        </w:rPr>
        <w:t>2.2 “采购代理机构”是指接受采购人委托，代理采购项目的集中采购机构和其他采购代理机构。本次政府采购的采购代理机构名称、地址、电话、联系人见</w:t>
      </w:r>
      <w:r>
        <w:rPr>
          <w:rFonts w:hint="eastAsia" w:ascii="宋体" w:hAnsi="宋体" w:cs="宋体"/>
          <w:b/>
          <w:szCs w:val="21"/>
        </w:rPr>
        <w:t>磋商须知前附表。</w:t>
      </w:r>
    </w:p>
    <w:p w14:paraId="56DF6F0A">
      <w:pPr>
        <w:adjustRightInd w:val="0"/>
        <w:snapToGrid w:val="0"/>
        <w:spacing w:line="360" w:lineRule="auto"/>
        <w:ind w:firstLine="420" w:firstLineChars="200"/>
        <w:rPr>
          <w:rFonts w:ascii="宋体" w:hAnsi="宋体" w:cs="宋体"/>
          <w:bCs/>
          <w:kern w:val="36"/>
          <w:szCs w:val="21"/>
        </w:rPr>
      </w:pPr>
      <w:r>
        <w:rPr>
          <w:rFonts w:hint="eastAsia" w:ascii="宋体" w:hAnsi="宋体" w:cs="宋体"/>
          <w:szCs w:val="21"/>
        </w:rPr>
        <w:t>2.3 “供应商”是指响应磋商文件要求、参加竞争性磋商采购的法人、其他组织或者自然人。本次政府采购项目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cs="宋体"/>
          <w:szCs w:val="21"/>
        </w:rPr>
        <w:t>的</w:t>
      </w:r>
      <w:r>
        <w:rPr>
          <w:rFonts w:hint="eastAsia" w:ascii="宋体" w:hAnsi="宋体" w:cs="宋体"/>
          <w:kern w:val="0"/>
          <w:szCs w:val="21"/>
        </w:rPr>
        <w:t>供应商通过</w:t>
      </w:r>
      <w:r>
        <w:rPr>
          <w:rFonts w:hint="eastAsia" w:ascii="宋体" w:hAnsi="宋体" w:cs="宋体"/>
          <w:b/>
          <w:szCs w:val="21"/>
        </w:rPr>
        <w:t>磋商须知前附表</w:t>
      </w:r>
      <w:r>
        <w:rPr>
          <w:rFonts w:hint="eastAsia" w:ascii="宋体" w:hAnsi="宋体" w:cs="宋体"/>
          <w:szCs w:val="21"/>
        </w:rPr>
        <w:t>所述方式</w:t>
      </w:r>
      <w:r>
        <w:rPr>
          <w:rFonts w:hint="eastAsia" w:ascii="宋体" w:hAnsi="宋体" w:cs="宋体"/>
          <w:kern w:val="0"/>
          <w:szCs w:val="21"/>
        </w:rPr>
        <w:t>，邀请符合资格条件的供应商提交响应文件（含资格证明资料），参与竞争性磋商采购活动。</w:t>
      </w:r>
    </w:p>
    <w:p w14:paraId="7B17AE80">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2.4 “磋商小组”是指</w:t>
      </w:r>
      <w:r>
        <w:rPr>
          <w:rFonts w:hint="eastAsia" w:ascii="宋体" w:hAnsi="宋体" w:cs="宋体"/>
          <w:kern w:val="0"/>
          <w:szCs w:val="21"/>
        </w:rPr>
        <w:t>依据财政部</w:t>
      </w:r>
      <w:r>
        <w:rPr>
          <w:rFonts w:hint="eastAsia" w:ascii="宋体" w:hAnsi="宋体" w:cs="宋体"/>
          <w:bCs/>
          <w:kern w:val="36"/>
          <w:szCs w:val="21"/>
        </w:rPr>
        <w:t>《政府采购竞争性磋商采购方式管理暂行办法》有关规定组建，依法依规</w:t>
      </w:r>
      <w:r>
        <w:rPr>
          <w:rFonts w:hint="eastAsia" w:ascii="宋体" w:hAnsi="宋体" w:cs="宋体"/>
          <w:kern w:val="0"/>
          <w:szCs w:val="21"/>
        </w:rPr>
        <w:t>履行其职责和义务的机构。</w:t>
      </w:r>
    </w:p>
    <w:p w14:paraId="3B44C5A2">
      <w:pPr>
        <w:adjustRightInd w:val="0"/>
        <w:snapToGrid w:val="0"/>
        <w:spacing w:line="360" w:lineRule="auto"/>
        <w:ind w:firstLine="420" w:firstLineChars="200"/>
        <w:rPr>
          <w:rFonts w:ascii="宋体" w:hAnsi="宋体" w:cs="宋体"/>
          <w:szCs w:val="21"/>
        </w:rPr>
      </w:pPr>
      <w:r>
        <w:rPr>
          <w:rFonts w:hint="eastAsia" w:ascii="宋体" w:hAnsi="宋体" w:cs="宋体"/>
          <w:szCs w:val="21"/>
        </w:rPr>
        <w:t>2.5 “货物”是指各种形态和种类的物品，包括原资料、燃料、设备、产品等，详见《政府采购品目分类目录》(</w:t>
      </w:r>
      <w:r>
        <w:rPr>
          <w:rStyle w:val="47"/>
          <w:rFonts w:hint="eastAsia" w:ascii="宋体" w:hAnsi="宋体" w:cs="宋体"/>
          <w:b w:val="0"/>
        </w:rPr>
        <w:t>财库[2013]189号</w:t>
      </w:r>
      <w:r>
        <w:rPr>
          <w:rFonts w:hint="eastAsia" w:ascii="宋体" w:hAnsi="宋体" w:cs="宋体"/>
          <w:szCs w:val="21"/>
        </w:rPr>
        <w:t>)。</w:t>
      </w:r>
    </w:p>
    <w:p w14:paraId="111E5E51">
      <w:pPr>
        <w:adjustRightInd w:val="0"/>
        <w:snapToGrid w:val="0"/>
        <w:spacing w:line="360" w:lineRule="auto"/>
        <w:ind w:firstLine="420" w:firstLineChars="200"/>
        <w:rPr>
          <w:rFonts w:ascii="宋体" w:hAnsi="宋体" w:cs="宋体"/>
          <w:szCs w:val="21"/>
        </w:rPr>
      </w:pPr>
      <w:r>
        <w:rPr>
          <w:rFonts w:hint="eastAsia" w:ascii="宋体" w:hAnsi="宋体" w:cs="宋体"/>
          <w:szCs w:val="21"/>
        </w:rPr>
        <w:t>2.6 “工程”是指建设工程，包括建筑物和构筑物的新建、改建、扩建、装修、拆除、修缮等，详见《政府采购品目分类目录》(</w:t>
      </w:r>
      <w:r>
        <w:rPr>
          <w:rStyle w:val="47"/>
          <w:rFonts w:hint="eastAsia" w:ascii="宋体" w:hAnsi="宋体" w:cs="宋体"/>
          <w:b w:val="0"/>
        </w:rPr>
        <w:t>财库[2013]189号</w:t>
      </w:r>
      <w:r>
        <w:rPr>
          <w:rFonts w:hint="eastAsia" w:ascii="宋体" w:hAnsi="宋体" w:cs="宋体"/>
          <w:szCs w:val="21"/>
        </w:rPr>
        <w:t>)。</w:t>
      </w:r>
    </w:p>
    <w:p w14:paraId="0473ACA2">
      <w:pPr>
        <w:adjustRightInd w:val="0"/>
        <w:snapToGrid w:val="0"/>
        <w:spacing w:line="360" w:lineRule="auto"/>
        <w:ind w:firstLine="420" w:firstLineChars="200"/>
        <w:rPr>
          <w:rFonts w:ascii="宋体" w:hAnsi="宋体" w:cs="宋体"/>
          <w:szCs w:val="21"/>
        </w:rPr>
      </w:pPr>
      <w:r>
        <w:rPr>
          <w:rFonts w:hint="eastAsia" w:ascii="宋体" w:hAnsi="宋体" w:cs="宋体"/>
          <w:szCs w:val="21"/>
        </w:rPr>
        <w:t>2.7 “服务”是指除货物和工程以外的其他政府采购对象，详见《政府采购品目分类目录》(</w:t>
      </w:r>
      <w:r>
        <w:rPr>
          <w:rStyle w:val="47"/>
          <w:rFonts w:hint="eastAsia" w:ascii="宋体" w:hAnsi="宋体" w:cs="宋体"/>
          <w:b w:val="0"/>
        </w:rPr>
        <w:t>财库[2013]189号</w:t>
      </w:r>
      <w:r>
        <w:rPr>
          <w:rFonts w:hint="eastAsia" w:ascii="宋体" w:hAnsi="宋体" w:cs="宋体"/>
          <w:szCs w:val="21"/>
        </w:rPr>
        <w:t>)。</w:t>
      </w:r>
    </w:p>
    <w:p w14:paraId="38725CEA">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2.8</w:t>
      </w:r>
      <w:r>
        <w:rPr>
          <w:rFonts w:hint="eastAsia" w:ascii="宋体" w:hAnsi="宋体" w:cs="宋体"/>
          <w:szCs w:val="21"/>
        </w:rPr>
        <w:t xml:space="preserve"> “节能产品”或者“环保产品”是指财政部发布的《节能产品政府采购品目清单》或者《环境标志产品政府采购品目清单》的产品。</w:t>
      </w:r>
    </w:p>
    <w:p w14:paraId="199F0AF6">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2.9</w:t>
      </w:r>
      <w:r>
        <w:rPr>
          <w:rFonts w:hint="eastAsia" w:ascii="宋体" w:hAnsi="宋体" w:cs="宋体"/>
          <w:kern w:val="0"/>
          <w:szCs w:val="21"/>
        </w:rPr>
        <w:t xml:space="preserve"> “进口产品”是指通过中国海关报关验放进入中国境内且产自关境外的产品，详见《关于政府采购进口产品管理有关问题的通知》(财库[2007]119号)。</w:t>
      </w:r>
    </w:p>
    <w:p w14:paraId="3156F372">
      <w:pPr>
        <w:adjustRightInd w:val="0"/>
        <w:snapToGrid w:val="0"/>
        <w:spacing w:line="360" w:lineRule="auto"/>
        <w:rPr>
          <w:rFonts w:ascii="宋体" w:hAnsi="宋体" w:cs="宋体"/>
          <w:b/>
          <w:bCs/>
          <w:szCs w:val="21"/>
        </w:rPr>
      </w:pPr>
      <w:r>
        <w:rPr>
          <w:rFonts w:hint="eastAsia" w:ascii="宋体" w:hAnsi="宋体" w:cs="宋体"/>
          <w:b/>
          <w:bCs/>
          <w:szCs w:val="21"/>
        </w:rPr>
        <w:t>3.供应商的资格要求</w:t>
      </w:r>
    </w:p>
    <w:p w14:paraId="6ED11CDF">
      <w:pPr>
        <w:adjustRightInd w:val="0"/>
        <w:snapToGrid w:val="0"/>
        <w:spacing w:line="360" w:lineRule="auto"/>
        <w:ind w:firstLine="420" w:firstLineChars="200"/>
        <w:rPr>
          <w:rFonts w:ascii="宋体" w:hAnsi="宋体" w:cs="宋体"/>
          <w:szCs w:val="21"/>
        </w:rPr>
      </w:pPr>
      <w:r>
        <w:rPr>
          <w:rFonts w:hint="eastAsia" w:ascii="宋体" w:hAnsi="宋体" w:cs="宋体"/>
          <w:szCs w:val="21"/>
        </w:rPr>
        <w:t>3.1 供应商应当符合</w:t>
      </w:r>
      <w:r>
        <w:rPr>
          <w:rFonts w:hint="eastAsia" w:ascii="宋体" w:hAnsi="宋体" w:cs="宋体"/>
          <w:b/>
          <w:szCs w:val="21"/>
        </w:rPr>
        <w:t>磋商须知前附表</w:t>
      </w:r>
      <w:r>
        <w:rPr>
          <w:rFonts w:hint="eastAsia" w:ascii="宋体" w:hAnsi="宋体" w:cs="宋体"/>
          <w:szCs w:val="21"/>
        </w:rPr>
        <w:t>中规定的资格条件要求。</w:t>
      </w:r>
    </w:p>
    <w:p w14:paraId="19DBB7A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3.2供应商</w:t>
      </w:r>
      <w:r>
        <w:rPr>
          <w:rFonts w:hint="eastAsia" w:ascii="宋体" w:hAnsi="宋体" w:cs="宋体"/>
        </w:rPr>
        <w:t>为联合体形式的</w:t>
      </w:r>
      <w:r>
        <w:rPr>
          <w:rFonts w:hint="eastAsia" w:ascii="宋体" w:hAnsi="宋体" w:cs="宋体"/>
          <w:szCs w:val="21"/>
        </w:rPr>
        <w:t xml:space="preserve">，除应满足本章第3.1款资格条件要求及第3.3款规定外，还应遵守以下规定： </w:t>
      </w:r>
    </w:p>
    <w:p w14:paraId="4CF5BD42">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6CAD6D79">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05BCDD36">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（3）以联合体形式参加政府采购活动的，联合体各方不得再单独参加或者与其他供应商另外组成联合体参加同一合同项下的政府采购活动。</w:t>
      </w:r>
    </w:p>
    <w:p w14:paraId="56A89548">
      <w:pPr>
        <w:adjustRightInd w:val="0"/>
        <w:snapToGrid w:val="0"/>
        <w:spacing w:line="360" w:lineRule="auto"/>
        <w:ind w:firstLine="420" w:firstLineChars="200"/>
        <w:rPr>
          <w:rFonts w:ascii="宋体" w:hAnsi="宋体" w:cs="宋体"/>
          <w:szCs w:val="21"/>
        </w:rPr>
      </w:pPr>
      <w:r>
        <w:rPr>
          <w:rFonts w:hint="eastAsia" w:ascii="宋体" w:hAnsi="宋体" w:cs="宋体"/>
          <w:szCs w:val="21"/>
        </w:rPr>
        <w:t>3.3 供应商不得存在下列情形之一：</w:t>
      </w:r>
    </w:p>
    <w:p w14:paraId="6BB4319B">
      <w:pPr>
        <w:adjustRightInd w:val="0"/>
        <w:snapToGrid w:val="0"/>
        <w:spacing w:line="360" w:lineRule="auto"/>
        <w:ind w:firstLine="420" w:firstLineChars="200"/>
        <w:rPr>
          <w:rFonts w:ascii="宋体" w:hAnsi="宋体" w:cs="宋体"/>
          <w:szCs w:val="21"/>
        </w:rPr>
      </w:pPr>
      <w:r>
        <w:rPr>
          <w:rFonts w:hint="eastAsia" w:ascii="宋体" w:hAnsi="宋体" w:cs="宋体"/>
          <w:szCs w:val="21"/>
        </w:rPr>
        <w:t>（l）与采购人、采购代理机构存在</w:t>
      </w:r>
      <w:r>
        <w:rPr>
          <w:rFonts w:hint="eastAsia" w:ascii="宋体" w:hAnsi="宋体" w:cs="宋体"/>
          <w:bCs/>
          <w:szCs w:val="21"/>
        </w:rPr>
        <w:t>隶属关系或者其他利害关系</w:t>
      </w:r>
      <w:r>
        <w:rPr>
          <w:rFonts w:hint="eastAsia" w:ascii="宋体" w:hAnsi="宋体" w:cs="宋体"/>
          <w:szCs w:val="21"/>
        </w:rPr>
        <w:t>。</w:t>
      </w:r>
    </w:p>
    <w:p w14:paraId="4D082B41">
      <w:pPr>
        <w:adjustRightInd w:val="0"/>
        <w:snapToGrid w:val="0"/>
        <w:spacing w:line="360" w:lineRule="auto"/>
        <w:ind w:firstLine="420" w:firstLineChars="200"/>
        <w:rPr>
          <w:rFonts w:ascii="宋体" w:hAnsi="宋体" w:cs="宋体"/>
          <w:szCs w:val="21"/>
        </w:rPr>
      </w:pPr>
      <w:r>
        <w:rPr>
          <w:rFonts w:hint="eastAsia" w:ascii="宋体" w:hAnsi="宋体" w:cs="宋体"/>
          <w:szCs w:val="21"/>
        </w:rPr>
        <w:t>（2）与其他供应商的法定代表人（或者负责人）为同一人，或者与其他供应商存在直接控股、管理关系。</w:t>
      </w:r>
    </w:p>
    <w:p w14:paraId="27D22C99">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Cs/>
          <w:szCs w:val="21"/>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cs="宋体"/>
          <w:szCs w:val="21"/>
        </w:rPr>
        <w:t>财政部门认定的其他重大违法记录。</w:t>
      </w:r>
    </w:p>
    <w:p w14:paraId="63582CF2">
      <w:pPr>
        <w:adjustRightInd w:val="0"/>
        <w:snapToGrid w:val="0"/>
        <w:spacing w:line="360" w:lineRule="auto"/>
        <w:rPr>
          <w:rFonts w:ascii="宋体" w:hAnsi="宋体" w:cs="宋体"/>
          <w:b/>
          <w:bCs/>
          <w:szCs w:val="21"/>
        </w:rPr>
      </w:pPr>
      <w:r>
        <w:rPr>
          <w:rFonts w:hint="eastAsia" w:ascii="宋体" w:hAnsi="宋体" w:cs="宋体"/>
          <w:b/>
          <w:bCs/>
          <w:szCs w:val="21"/>
        </w:rPr>
        <w:t xml:space="preserve">4.参与磋商的费用 </w:t>
      </w:r>
    </w:p>
    <w:p w14:paraId="4047EE72">
      <w:pPr>
        <w:adjustRightInd w:val="0"/>
        <w:snapToGrid w:val="0"/>
        <w:spacing w:line="360" w:lineRule="auto"/>
        <w:ind w:firstLine="420" w:firstLineChars="200"/>
        <w:rPr>
          <w:rFonts w:ascii="宋体" w:hAnsi="宋体" w:cs="宋体"/>
          <w:szCs w:val="21"/>
        </w:rPr>
      </w:pPr>
      <w:r>
        <w:rPr>
          <w:rFonts w:hint="eastAsia" w:ascii="宋体" w:hAnsi="宋体" w:cs="宋体"/>
          <w:szCs w:val="21"/>
        </w:rPr>
        <w:t>4.1 无论磋商的结果如何，供应商应自行承担所有与竞争性磋商采购活动有关的全部费用。</w:t>
      </w:r>
    </w:p>
    <w:p w14:paraId="53097663">
      <w:pPr>
        <w:pStyle w:val="23"/>
        <w:adjustRightInd w:val="0"/>
        <w:snapToGrid w:val="0"/>
        <w:spacing w:line="360" w:lineRule="auto"/>
        <w:rPr>
          <w:rFonts w:hAnsi="宋体" w:cs="宋体"/>
          <w:b/>
          <w:bCs/>
        </w:rPr>
      </w:pPr>
      <w:r>
        <w:rPr>
          <w:rFonts w:hint="eastAsia" w:hAnsi="宋体" w:cs="宋体"/>
          <w:b/>
        </w:rPr>
        <w:t>5．</w:t>
      </w:r>
      <w:r>
        <w:rPr>
          <w:rFonts w:hint="eastAsia" w:hAnsi="宋体" w:cs="宋体"/>
          <w:b/>
          <w:bCs/>
        </w:rPr>
        <w:t>授权委托</w:t>
      </w:r>
    </w:p>
    <w:p w14:paraId="5FB228D2">
      <w:pPr>
        <w:pStyle w:val="23"/>
        <w:adjustRightInd w:val="0"/>
        <w:snapToGrid w:val="0"/>
        <w:spacing w:line="360" w:lineRule="auto"/>
        <w:ind w:firstLine="420" w:firstLineChars="200"/>
        <w:rPr>
          <w:rFonts w:hAnsi="宋体" w:cs="宋体"/>
        </w:rPr>
      </w:pPr>
      <w:r>
        <w:rPr>
          <w:rFonts w:hint="eastAsia" w:hAnsi="宋体" w:cs="宋体"/>
        </w:rPr>
        <w:t>5.1供应商代表为供应商法定代表人的，应具备法定代表人身份证明。供应商代表不是供应商法定代表人的，应具备法定代表人授权书，并附法定代表人身份证明。</w:t>
      </w:r>
    </w:p>
    <w:p w14:paraId="2B4E1703">
      <w:pPr>
        <w:pStyle w:val="23"/>
        <w:adjustRightInd w:val="0"/>
        <w:snapToGrid w:val="0"/>
        <w:spacing w:line="360" w:lineRule="auto"/>
        <w:rPr>
          <w:rFonts w:hAnsi="宋体" w:cs="宋体"/>
          <w:b/>
        </w:rPr>
      </w:pPr>
      <w:r>
        <w:rPr>
          <w:rFonts w:hint="eastAsia" w:hAnsi="宋体" w:cs="宋体"/>
          <w:b/>
        </w:rPr>
        <w:t>6．联合体形式</w:t>
      </w:r>
    </w:p>
    <w:p w14:paraId="508DCD1D">
      <w:pPr>
        <w:pStyle w:val="23"/>
        <w:adjustRightInd w:val="0"/>
        <w:snapToGrid w:val="0"/>
        <w:spacing w:line="360" w:lineRule="auto"/>
        <w:ind w:firstLine="420" w:firstLineChars="200"/>
        <w:rPr>
          <w:rFonts w:hAnsi="宋体" w:cs="宋体"/>
        </w:rPr>
      </w:pPr>
      <w:r>
        <w:rPr>
          <w:rFonts w:hint="eastAsia" w:hAnsi="宋体" w:cs="宋体"/>
        </w:rPr>
        <w:t>6.1除</w:t>
      </w:r>
      <w:r>
        <w:rPr>
          <w:rFonts w:hint="eastAsia" w:hAnsi="宋体" w:cs="宋体"/>
          <w:b/>
        </w:rPr>
        <w:t>磋商须知前附表</w:t>
      </w:r>
      <w:r>
        <w:rPr>
          <w:rFonts w:hint="eastAsia" w:hAnsi="宋体" w:cs="宋体"/>
        </w:rPr>
        <w:t>中另有规定，本次谈判采购不接受为联合体形式的供应商。</w:t>
      </w:r>
    </w:p>
    <w:p w14:paraId="3E66C13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6.2供应商</w:t>
      </w:r>
      <w:r>
        <w:rPr>
          <w:rFonts w:hint="eastAsia" w:ascii="宋体" w:hAnsi="宋体" w:cs="宋体"/>
        </w:rPr>
        <w:t>为联合体形式的</w:t>
      </w:r>
      <w:r>
        <w:rPr>
          <w:rFonts w:hint="eastAsia" w:ascii="宋体" w:hAnsi="宋体" w:cs="宋体"/>
          <w:szCs w:val="21"/>
        </w:rPr>
        <w:t>，除应符合本章第3条规定外，还应遵守以下规定：</w:t>
      </w:r>
    </w:p>
    <w:p w14:paraId="6C50347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（l）联合体各方必须签订联合体协议书，明确联合体牵头人和各方的义务、工作、合同工作量比例；</w:t>
      </w:r>
    </w:p>
    <w:p w14:paraId="323F3DA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（2）联合体各方均应当符合本章第3.1</w:t>
      </w:r>
      <w:r>
        <w:rPr>
          <w:rFonts w:hint="eastAsia" w:ascii="宋体" w:hAnsi="宋体" w:cs="宋体"/>
          <w:kern w:val="0"/>
          <w:szCs w:val="21"/>
          <w:lang w:val="zh-CN"/>
        </w:rPr>
        <w:t>款</w:t>
      </w:r>
      <w:r>
        <w:rPr>
          <w:rFonts w:hint="eastAsia" w:ascii="宋体" w:hAnsi="宋体" w:cs="宋体"/>
          <w:szCs w:val="21"/>
        </w:rPr>
        <w:t>规定的供应商基本资格条件；</w:t>
      </w:r>
    </w:p>
    <w:p w14:paraId="106E5CC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rPr>
        <w:t>除</w:t>
      </w:r>
      <w:r>
        <w:rPr>
          <w:rFonts w:hint="eastAsia" w:ascii="宋体" w:hAnsi="宋体" w:cs="宋体"/>
          <w:b/>
        </w:rPr>
        <w:t>磋商须知前附表</w:t>
      </w:r>
      <w:r>
        <w:rPr>
          <w:rFonts w:hint="eastAsia" w:ascii="宋体" w:hAnsi="宋体" w:cs="宋体"/>
        </w:rPr>
        <w:t>中另有规定，</w:t>
      </w:r>
      <w:r>
        <w:rPr>
          <w:rFonts w:hint="eastAsia" w:ascii="宋体" w:hAnsi="宋体" w:cs="宋体"/>
          <w:szCs w:val="21"/>
        </w:rPr>
        <w:t>联合体各方中至少有一方应当符合本章第3.1</w:t>
      </w:r>
      <w:r>
        <w:rPr>
          <w:rFonts w:hint="eastAsia" w:ascii="宋体" w:hAnsi="宋体" w:cs="宋体"/>
          <w:kern w:val="0"/>
          <w:szCs w:val="21"/>
          <w:lang w:val="zh-CN"/>
        </w:rPr>
        <w:t>款</w:t>
      </w:r>
      <w:r>
        <w:rPr>
          <w:rFonts w:hint="eastAsia" w:ascii="宋体" w:hAnsi="宋体" w:cs="宋体"/>
          <w:szCs w:val="21"/>
        </w:rPr>
        <w:t>规定的供应商特定资格条件；</w:t>
      </w:r>
    </w:p>
    <w:p w14:paraId="0A477F35">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szCs w:val="21"/>
        </w:rPr>
        <w:t>（4）</w:t>
      </w:r>
      <w:r>
        <w:rPr>
          <w:rFonts w:hint="eastAsia" w:ascii="宋体" w:hAnsi="宋体" w:cs="宋体"/>
          <w:kern w:val="0"/>
          <w:szCs w:val="21"/>
          <w:lang w:val="zh-CN"/>
        </w:rPr>
        <w:t>联合体各方不得再单独或与其他供应商组成新的联合体参加同一项目的采购活动。</w:t>
      </w:r>
    </w:p>
    <w:p w14:paraId="3BD2D61A">
      <w:pPr>
        <w:adjustRightInd w:val="0"/>
        <w:snapToGrid w:val="0"/>
        <w:spacing w:line="360" w:lineRule="auto"/>
        <w:rPr>
          <w:rFonts w:ascii="宋体" w:hAnsi="宋体" w:cs="宋体"/>
          <w:b/>
          <w:szCs w:val="21"/>
        </w:rPr>
      </w:pPr>
      <w:r>
        <w:rPr>
          <w:rFonts w:hint="eastAsia" w:ascii="宋体" w:hAnsi="宋体" w:cs="宋体"/>
          <w:b/>
          <w:szCs w:val="21"/>
        </w:rPr>
        <w:t>7.现场勘察</w:t>
      </w:r>
    </w:p>
    <w:p w14:paraId="7A10482C">
      <w:pPr>
        <w:adjustRightInd w:val="0"/>
        <w:snapToGrid w:val="0"/>
        <w:spacing w:line="360" w:lineRule="auto"/>
        <w:ind w:firstLine="420" w:firstLineChars="200"/>
        <w:rPr>
          <w:rFonts w:ascii="宋体" w:hAnsi="宋体" w:cs="宋体"/>
          <w:szCs w:val="21"/>
        </w:rPr>
      </w:pPr>
      <w:r>
        <w:rPr>
          <w:rFonts w:hint="eastAsia" w:ascii="宋体" w:hAnsi="宋体" w:cs="宋体"/>
          <w:szCs w:val="21"/>
        </w:rPr>
        <w:t>7.1供应商应按</w:t>
      </w:r>
      <w:r>
        <w:rPr>
          <w:rFonts w:hint="eastAsia" w:ascii="宋体" w:hAnsi="宋体" w:cs="宋体"/>
          <w:b/>
        </w:rPr>
        <w:t>磋商须知前附表</w:t>
      </w:r>
      <w:r>
        <w:rPr>
          <w:rFonts w:hint="eastAsia" w:ascii="宋体" w:hAnsi="宋体" w:cs="宋体"/>
        </w:rPr>
        <w:t>中规定</w:t>
      </w:r>
      <w:r>
        <w:rPr>
          <w:rFonts w:hint="eastAsia" w:ascii="宋体" w:hAnsi="宋体" w:cs="宋体"/>
          <w:szCs w:val="21"/>
        </w:rPr>
        <w:t>对采购项目现场和周围环境的现场考察。</w:t>
      </w:r>
    </w:p>
    <w:p w14:paraId="550A2070">
      <w:pPr>
        <w:adjustRightInd w:val="0"/>
        <w:snapToGrid w:val="0"/>
        <w:spacing w:line="360" w:lineRule="auto"/>
        <w:ind w:firstLine="420" w:firstLineChars="200"/>
        <w:rPr>
          <w:rFonts w:ascii="宋体" w:hAnsi="宋体" w:cs="宋体"/>
          <w:szCs w:val="21"/>
        </w:rPr>
      </w:pPr>
      <w:r>
        <w:rPr>
          <w:rFonts w:hint="eastAsia" w:ascii="宋体" w:hAnsi="宋体" w:cs="宋体"/>
          <w:szCs w:val="21"/>
        </w:rPr>
        <w:t>7.2勘察现场的费用由供应商自己承担，勘察期间所发生的人身伤害及财产损失由供应商自己负责。</w:t>
      </w:r>
    </w:p>
    <w:p w14:paraId="0A9C98B4">
      <w:pPr>
        <w:adjustRightInd w:val="0"/>
        <w:snapToGrid w:val="0"/>
        <w:spacing w:line="360" w:lineRule="auto"/>
        <w:ind w:firstLine="420" w:firstLineChars="200"/>
        <w:jc w:val="left"/>
        <w:rPr>
          <w:rFonts w:ascii="宋体" w:hAnsi="宋体" w:cs="宋体"/>
          <w:b/>
          <w:szCs w:val="21"/>
        </w:rPr>
      </w:pPr>
      <w:r>
        <w:rPr>
          <w:rFonts w:hint="eastAsia" w:ascii="宋体" w:hAnsi="宋体" w:cs="宋体"/>
          <w:szCs w:val="21"/>
        </w:rPr>
        <w:t>7.3采购人不对供应商据此而做出的推论、理解和结论负责。一旦成交，供应商不得以任何借口，提出额外补偿，或延长合同期限的要求。</w:t>
      </w:r>
    </w:p>
    <w:p w14:paraId="6E9359E7">
      <w:pPr>
        <w:adjustRightInd w:val="0"/>
        <w:snapToGrid w:val="0"/>
        <w:spacing w:line="360" w:lineRule="auto"/>
        <w:jc w:val="left"/>
        <w:rPr>
          <w:rFonts w:ascii="宋体" w:hAnsi="宋体" w:cs="宋体"/>
          <w:b/>
          <w:szCs w:val="21"/>
        </w:rPr>
      </w:pPr>
      <w:r>
        <w:rPr>
          <w:rFonts w:hint="eastAsia" w:ascii="宋体" w:hAnsi="宋体" w:cs="宋体"/>
          <w:b/>
          <w:szCs w:val="21"/>
        </w:rPr>
        <w:t>8.采购进口产品</w:t>
      </w:r>
    </w:p>
    <w:p w14:paraId="21CBFB5A">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8.1除</w:t>
      </w:r>
      <w:r>
        <w:rPr>
          <w:rFonts w:hint="eastAsia" w:ascii="宋体" w:hAnsi="宋体" w:cs="宋体"/>
          <w:b/>
          <w:szCs w:val="21"/>
        </w:rPr>
        <w:t>磋商文件前附表</w:t>
      </w:r>
      <w:r>
        <w:rPr>
          <w:rFonts w:hint="eastAsia" w:ascii="宋体" w:hAnsi="宋体" w:cs="宋体"/>
          <w:szCs w:val="21"/>
        </w:rPr>
        <w:t>另有规定外，本项目</w:t>
      </w:r>
      <w:r>
        <w:rPr>
          <w:rFonts w:hint="eastAsia" w:ascii="宋体" w:hAnsi="宋体" w:cs="宋体"/>
          <w:kern w:val="0"/>
          <w:szCs w:val="21"/>
        </w:rPr>
        <w:t>拒绝进口产品参加</w:t>
      </w:r>
      <w:r>
        <w:rPr>
          <w:rFonts w:hint="eastAsia" w:ascii="宋体" w:hAnsi="宋体" w:cs="宋体"/>
          <w:szCs w:val="21"/>
        </w:rPr>
        <w:t>竞争性磋商采购活动</w:t>
      </w:r>
      <w:r>
        <w:rPr>
          <w:rFonts w:hint="eastAsia" w:ascii="宋体" w:hAnsi="宋体" w:cs="宋体"/>
          <w:kern w:val="0"/>
          <w:szCs w:val="21"/>
        </w:rPr>
        <w:t>。</w:t>
      </w:r>
    </w:p>
    <w:p w14:paraId="68836951">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8.2</w:t>
      </w:r>
      <w:r>
        <w:rPr>
          <w:rFonts w:hint="eastAsia" w:ascii="宋体" w:hAnsi="宋体" w:cs="宋体"/>
          <w:szCs w:val="21"/>
        </w:rPr>
        <w:t>本章第7.1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同意购买进口产品的，</w:t>
      </w:r>
      <w:r>
        <w:rPr>
          <w:rFonts w:hint="eastAsia" w:ascii="宋体" w:hAnsi="宋体" w:cs="宋体"/>
          <w:szCs w:val="21"/>
        </w:rPr>
        <w:t>本项目</w:t>
      </w:r>
      <w:r>
        <w:rPr>
          <w:rFonts w:hint="eastAsia" w:ascii="宋体" w:hAnsi="宋体" w:cs="宋体"/>
          <w:kern w:val="0"/>
          <w:szCs w:val="21"/>
          <w:lang w:val="zh-CN"/>
        </w:rPr>
        <w:t>采购活动</w:t>
      </w:r>
      <w:r>
        <w:rPr>
          <w:rFonts w:hint="eastAsia" w:ascii="宋体" w:hAnsi="宋体" w:cs="宋体"/>
          <w:kern w:val="0"/>
          <w:szCs w:val="21"/>
        </w:rPr>
        <w:t>不限制满足</w:t>
      </w:r>
      <w:r>
        <w:rPr>
          <w:rFonts w:hint="eastAsia" w:ascii="宋体" w:hAnsi="宋体" w:cs="宋体"/>
          <w:szCs w:val="21"/>
        </w:rPr>
        <w:t>磋商文件要求</w:t>
      </w:r>
      <w:r>
        <w:rPr>
          <w:rFonts w:hint="eastAsia" w:ascii="宋体" w:hAnsi="宋体" w:cs="宋体"/>
          <w:kern w:val="0"/>
          <w:szCs w:val="21"/>
        </w:rPr>
        <w:t>的国内产品参与</w:t>
      </w:r>
      <w:r>
        <w:rPr>
          <w:rFonts w:hint="eastAsia" w:ascii="宋体" w:hAnsi="宋体" w:cs="宋体"/>
          <w:szCs w:val="21"/>
        </w:rPr>
        <w:t>竞争性磋商</w:t>
      </w:r>
      <w:r>
        <w:rPr>
          <w:rFonts w:hint="eastAsia" w:ascii="宋体" w:hAnsi="宋体" w:cs="宋体"/>
          <w:kern w:val="0"/>
          <w:szCs w:val="21"/>
        </w:rPr>
        <w:t>。</w:t>
      </w:r>
    </w:p>
    <w:p w14:paraId="3CBC51FF">
      <w:pPr>
        <w:adjustRightInd w:val="0"/>
        <w:snapToGrid w:val="0"/>
        <w:spacing w:line="360" w:lineRule="auto"/>
        <w:jc w:val="left"/>
        <w:rPr>
          <w:rFonts w:ascii="宋体" w:hAnsi="宋体" w:cs="宋体"/>
          <w:b/>
          <w:szCs w:val="21"/>
        </w:rPr>
      </w:pPr>
      <w:r>
        <w:rPr>
          <w:rFonts w:hint="eastAsia" w:ascii="宋体" w:hAnsi="宋体" w:cs="宋体"/>
          <w:b/>
          <w:bCs/>
          <w:szCs w:val="21"/>
        </w:rPr>
        <w:t>9.</w:t>
      </w:r>
      <w:r>
        <w:rPr>
          <w:rFonts w:hint="eastAsia" w:ascii="宋体" w:hAnsi="宋体" w:cs="宋体"/>
          <w:b/>
          <w:szCs w:val="21"/>
        </w:rPr>
        <w:t xml:space="preserve"> 政府采购政策支持</w:t>
      </w:r>
    </w:p>
    <w:p w14:paraId="5A9B7FAF">
      <w:pPr>
        <w:pStyle w:val="23"/>
        <w:adjustRightInd w:val="0"/>
        <w:snapToGrid w:val="0"/>
        <w:spacing w:line="360" w:lineRule="auto"/>
        <w:ind w:firstLine="420" w:firstLineChars="200"/>
        <w:rPr>
          <w:rFonts w:hAnsi="宋体" w:cs="宋体"/>
        </w:rPr>
      </w:pPr>
      <w:r>
        <w:rPr>
          <w:rFonts w:hint="eastAsia" w:hAnsi="宋体" w:cs="宋体"/>
          <w:kern w:val="0"/>
        </w:rPr>
        <w:t>9.1对小微企业（包括政府采购支持监狱企业发展、政府采购促进残疾人就业），实行优先采购，按照省级以上财政部门有关政策规定，评审时进行价格扣除或加分。实行政府采购优先采购的优惠率见</w:t>
      </w:r>
      <w:r>
        <w:rPr>
          <w:rFonts w:hint="eastAsia" w:hAnsi="宋体" w:cs="宋体"/>
          <w:b/>
          <w:kern w:val="0"/>
        </w:rPr>
        <w:t>磋商文件前附表。</w:t>
      </w:r>
    </w:p>
    <w:p w14:paraId="351A7645">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9.2符合本章第9.1</w:t>
      </w:r>
      <w:r>
        <w:rPr>
          <w:rFonts w:hint="eastAsia" w:ascii="宋体" w:hAnsi="宋体" w:cs="宋体"/>
          <w:kern w:val="0"/>
          <w:szCs w:val="21"/>
          <w:lang w:val="zh-CN"/>
        </w:rPr>
        <w:t>款</w:t>
      </w:r>
      <w:r>
        <w:rPr>
          <w:rFonts w:hint="eastAsia" w:ascii="宋体" w:hAnsi="宋体" w:cs="宋体"/>
          <w:szCs w:val="21"/>
        </w:rPr>
        <w:t>规定的，应提供相关证明资料。</w:t>
      </w:r>
    </w:p>
    <w:p w14:paraId="00CDA53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9.3供应商有融资、担保需求的，具体办理流程可向</w:t>
      </w:r>
      <w:r>
        <w:rPr>
          <w:rFonts w:hint="eastAsia" w:ascii="宋体" w:hAnsi="宋体" w:cs="宋体"/>
          <w:b/>
          <w:szCs w:val="21"/>
        </w:rPr>
        <w:t>磋商须知前附表</w:t>
      </w:r>
      <w:r>
        <w:rPr>
          <w:rFonts w:hint="eastAsia" w:ascii="宋体" w:hAnsi="宋体" w:cs="宋体"/>
          <w:szCs w:val="21"/>
        </w:rPr>
        <w:t>所列金融机构和担保机构询问。</w:t>
      </w:r>
    </w:p>
    <w:p w14:paraId="3620F5F7">
      <w:pPr>
        <w:adjustRightInd w:val="0"/>
        <w:snapToGrid w:val="0"/>
        <w:spacing w:line="360" w:lineRule="auto"/>
        <w:ind w:left="902" w:hanging="902" w:hangingChars="376"/>
        <w:rPr>
          <w:rFonts w:ascii="宋体" w:hAnsi="宋体" w:cs="宋体"/>
          <w:sz w:val="24"/>
        </w:rPr>
      </w:pPr>
      <w:r>
        <w:rPr>
          <w:rFonts w:hint="eastAsia" w:ascii="宋体" w:hAnsi="宋体" w:cs="宋体"/>
          <w:sz w:val="24"/>
        </w:rPr>
        <w:t>二、磋商文件</w:t>
      </w:r>
    </w:p>
    <w:p w14:paraId="1D473A6F">
      <w:pPr>
        <w:adjustRightInd w:val="0"/>
        <w:snapToGrid w:val="0"/>
        <w:spacing w:line="360" w:lineRule="auto"/>
        <w:rPr>
          <w:rFonts w:ascii="宋体" w:hAnsi="宋体" w:cs="宋体"/>
          <w:b/>
          <w:bCs/>
          <w:szCs w:val="21"/>
        </w:rPr>
      </w:pPr>
      <w:r>
        <w:rPr>
          <w:rFonts w:hint="eastAsia" w:ascii="宋体" w:hAnsi="宋体" w:cs="宋体"/>
          <w:b/>
          <w:bCs/>
          <w:szCs w:val="21"/>
        </w:rPr>
        <w:t>10．磋商文件的组成</w:t>
      </w:r>
    </w:p>
    <w:p w14:paraId="70B18A81">
      <w:pPr>
        <w:pStyle w:val="23"/>
        <w:adjustRightInd w:val="0"/>
        <w:snapToGrid w:val="0"/>
        <w:spacing w:line="360" w:lineRule="auto"/>
        <w:ind w:firstLine="420" w:firstLineChars="200"/>
        <w:rPr>
          <w:rFonts w:hAnsi="宋体" w:cs="宋体"/>
        </w:rPr>
      </w:pPr>
      <w:r>
        <w:rPr>
          <w:rFonts w:hint="eastAsia" w:hAnsi="宋体" w:cs="宋体"/>
        </w:rPr>
        <w:t>10.1 磋商文件由下列文件组成：</w:t>
      </w:r>
    </w:p>
    <w:p w14:paraId="18E14647">
      <w:pPr>
        <w:pStyle w:val="23"/>
        <w:adjustRightInd w:val="0"/>
        <w:snapToGrid w:val="0"/>
        <w:spacing w:line="360" w:lineRule="auto"/>
        <w:ind w:firstLine="420" w:firstLineChars="200"/>
        <w:rPr>
          <w:rFonts w:hAnsi="宋体" w:cs="宋体"/>
        </w:rPr>
      </w:pPr>
      <w:r>
        <w:rPr>
          <w:rFonts w:hint="eastAsia" w:hAnsi="宋体" w:cs="宋体"/>
        </w:rPr>
        <w:t>第一章 磋商邀请</w:t>
      </w:r>
    </w:p>
    <w:p w14:paraId="5F43D2E6">
      <w:pPr>
        <w:pStyle w:val="23"/>
        <w:adjustRightInd w:val="0"/>
        <w:snapToGrid w:val="0"/>
        <w:spacing w:line="360" w:lineRule="auto"/>
        <w:ind w:firstLine="420" w:firstLineChars="200"/>
        <w:rPr>
          <w:rFonts w:hAnsi="宋体" w:cs="宋体"/>
        </w:rPr>
      </w:pPr>
      <w:r>
        <w:rPr>
          <w:rFonts w:hint="eastAsia" w:hAnsi="宋体" w:cs="宋体"/>
        </w:rPr>
        <w:t>第二章 磋商须知</w:t>
      </w:r>
    </w:p>
    <w:p w14:paraId="2A7476DD">
      <w:pPr>
        <w:pStyle w:val="23"/>
        <w:adjustRightInd w:val="0"/>
        <w:snapToGrid w:val="0"/>
        <w:spacing w:line="360" w:lineRule="auto"/>
        <w:ind w:firstLine="420" w:firstLineChars="200"/>
        <w:rPr>
          <w:rFonts w:hAnsi="宋体" w:cs="宋体"/>
        </w:rPr>
      </w:pPr>
      <w:r>
        <w:rPr>
          <w:rFonts w:hint="eastAsia" w:hAnsi="宋体" w:cs="宋体"/>
        </w:rPr>
        <w:t>第三章 政府采购合同格式条款</w:t>
      </w:r>
    </w:p>
    <w:p w14:paraId="52DF4044">
      <w:pPr>
        <w:pStyle w:val="23"/>
        <w:adjustRightInd w:val="0"/>
        <w:snapToGrid w:val="0"/>
        <w:spacing w:line="360" w:lineRule="auto"/>
        <w:ind w:firstLine="420" w:firstLineChars="200"/>
        <w:rPr>
          <w:rFonts w:hAnsi="宋体" w:cs="宋体"/>
        </w:rPr>
      </w:pPr>
      <w:r>
        <w:rPr>
          <w:rFonts w:hint="eastAsia" w:hAnsi="宋体" w:cs="宋体"/>
        </w:rPr>
        <w:t>第四章 采购需求</w:t>
      </w:r>
    </w:p>
    <w:p w14:paraId="03A5B7A3">
      <w:pPr>
        <w:pStyle w:val="23"/>
        <w:adjustRightInd w:val="0"/>
        <w:snapToGrid w:val="0"/>
        <w:spacing w:line="360" w:lineRule="auto"/>
        <w:ind w:firstLine="420" w:firstLineChars="200"/>
        <w:rPr>
          <w:rFonts w:hAnsi="宋体" w:cs="宋体"/>
        </w:rPr>
      </w:pPr>
      <w:r>
        <w:rPr>
          <w:rFonts w:hint="eastAsia" w:hAnsi="宋体" w:cs="宋体"/>
        </w:rPr>
        <w:t>第五章 响应文件组成</w:t>
      </w:r>
    </w:p>
    <w:p w14:paraId="0CCFA5C5">
      <w:pPr>
        <w:pStyle w:val="23"/>
        <w:adjustRightInd w:val="0"/>
        <w:snapToGrid w:val="0"/>
        <w:spacing w:line="360" w:lineRule="auto"/>
        <w:ind w:firstLine="420" w:firstLineChars="200"/>
        <w:rPr>
          <w:rFonts w:hAnsi="宋体" w:cs="宋体"/>
          <w:kern w:val="0"/>
        </w:rPr>
      </w:pPr>
      <w:r>
        <w:rPr>
          <w:rFonts w:hint="eastAsia" w:hAnsi="宋体" w:cs="宋体"/>
        </w:rPr>
        <w:t>10.2</w:t>
      </w:r>
      <w:r>
        <w:rPr>
          <w:rFonts w:hint="eastAsia" w:hAnsi="宋体" w:cs="宋体"/>
          <w:kern w:val="0"/>
        </w:rPr>
        <w:t>磋商小组根据与供应商磋商情况可能实质性变动的内容，包括采购需求中的技术、服务要求以及合同条款，</w:t>
      </w:r>
      <w:r>
        <w:rPr>
          <w:rFonts w:hint="eastAsia" w:hAnsi="宋体" w:cs="宋体"/>
        </w:rPr>
        <w:t>在</w:t>
      </w:r>
      <w:r>
        <w:rPr>
          <w:rFonts w:hint="eastAsia" w:hAnsi="宋体" w:cs="宋体"/>
          <w:b/>
        </w:rPr>
        <w:t>磋商须知前附表</w:t>
      </w:r>
      <w:r>
        <w:rPr>
          <w:rFonts w:hint="eastAsia" w:hAnsi="宋体" w:cs="宋体"/>
        </w:rPr>
        <w:t>中明确。</w:t>
      </w:r>
    </w:p>
    <w:p w14:paraId="56339A53">
      <w:pPr>
        <w:adjustRightInd w:val="0"/>
        <w:snapToGrid w:val="0"/>
        <w:spacing w:line="360" w:lineRule="auto"/>
        <w:ind w:firstLine="420" w:firstLineChars="200"/>
        <w:rPr>
          <w:rFonts w:ascii="宋体" w:hAnsi="宋体" w:cs="宋体"/>
          <w:szCs w:val="21"/>
        </w:rPr>
      </w:pPr>
      <w:r>
        <w:rPr>
          <w:rFonts w:hint="eastAsia" w:ascii="宋体" w:hAnsi="宋体" w:cs="宋体"/>
        </w:rPr>
        <w:t>10.3</w:t>
      </w:r>
      <w:r>
        <w:rPr>
          <w:rFonts w:hint="eastAsia" w:ascii="宋体" w:hAnsi="宋体" w:cs="宋体"/>
          <w:szCs w:val="21"/>
        </w:rPr>
        <w:t>供应商应仔细阅读</w:t>
      </w:r>
      <w:r>
        <w:rPr>
          <w:rFonts w:hint="eastAsia" w:ascii="宋体" w:hAnsi="宋体" w:cs="宋体"/>
          <w:bCs/>
          <w:szCs w:val="21"/>
        </w:rPr>
        <w:t>磋商</w:t>
      </w:r>
      <w:r>
        <w:rPr>
          <w:rFonts w:hint="eastAsia" w:ascii="宋体" w:hAnsi="宋体" w:cs="宋体"/>
          <w:szCs w:val="21"/>
        </w:rPr>
        <w:t>文件的全部内容，按照</w:t>
      </w:r>
      <w:r>
        <w:rPr>
          <w:rFonts w:hint="eastAsia" w:ascii="宋体" w:hAnsi="宋体" w:cs="宋体"/>
          <w:bCs/>
          <w:szCs w:val="21"/>
        </w:rPr>
        <w:t>磋商</w:t>
      </w:r>
      <w:r>
        <w:rPr>
          <w:rFonts w:hint="eastAsia" w:ascii="宋体" w:hAnsi="宋体" w:cs="宋体"/>
          <w:szCs w:val="21"/>
        </w:rPr>
        <w:t>文件要求编制响应文件。任何对</w:t>
      </w:r>
      <w:r>
        <w:rPr>
          <w:rFonts w:hint="eastAsia" w:ascii="宋体" w:hAnsi="宋体" w:cs="宋体"/>
          <w:bCs/>
          <w:szCs w:val="21"/>
        </w:rPr>
        <w:t>磋商</w:t>
      </w:r>
      <w:r>
        <w:rPr>
          <w:rFonts w:hint="eastAsia" w:ascii="宋体" w:hAnsi="宋体" w:cs="宋体"/>
          <w:szCs w:val="21"/>
        </w:rPr>
        <w:t>文件的忽略或误解不能作为响应文件存在缺陷或瑕疵的理由，其风险由供应商承担。</w:t>
      </w:r>
    </w:p>
    <w:p w14:paraId="72C10D49">
      <w:pPr>
        <w:adjustRightInd w:val="0"/>
        <w:snapToGrid w:val="0"/>
        <w:spacing w:line="360" w:lineRule="auto"/>
        <w:rPr>
          <w:rFonts w:ascii="宋体" w:hAnsi="宋体" w:cs="宋体"/>
          <w:b/>
          <w:szCs w:val="21"/>
        </w:rPr>
      </w:pPr>
      <w:r>
        <w:rPr>
          <w:rFonts w:hint="eastAsia" w:ascii="宋体" w:hAnsi="宋体" w:cs="宋体"/>
          <w:b/>
          <w:szCs w:val="21"/>
        </w:rPr>
        <w:t>11.</w:t>
      </w:r>
      <w:r>
        <w:rPr>
          <w:rFonts w:hint="eastAsia" w:ascii="宋体" w:hAnsi="宋体" w:cs="宋体"/>
          <w:b/>
        </w:rPr>
        <w:t xml:space="preserve"> </w:t>
      </w:r>
      <w:r>
        <w:rPr>
          <w:rFonts w:hint="eastAsia" w:ascii="宋体" w:hAnsi="宋体" w:cs="宋体"/>
          <w:b/>
          <w:szCs w:val="21"/>
        </w:rPr>
        <w:t>磋商文件的提供期限</w:t>
      </w:r>
    </w:p>
    <w:p w14:paraId="3619E5A8">
      <w:pPr>
        <w:adjustRightInd w:val="0"/>
        <w:snapToGrid w:val="0"/>
        <w:spacing w:line="360" w:lineRule="auto"/>
        <w:ind w:firstLine="420" w:firstLineChars="200"/>
        <w:rPr>
          <w:rFonts w:ascii="宋体" w:hAnsi="宋体" w:cs="宋体"/>
          <w:szCs w:val="21"/>
        </w:rPr>
      </w:pPr>
      <w:r>
        <w:rPr>
          <w:rFonts w:hint="eastAsia" w:ascii="宋体" w:hAnsi="宋体" w:cs="宋体"/>
          <w:szCs w:val="21"/>
        </w:rPr>
        <w:t>11.1磋商文件的提供期限自开始发出之日起不得少于五个工作日。具体提供期限见</w:t>
      </w:r>
      <w:r>
        <w:rPr>
          <w:rFonts w:hint="eastAsia" w:ascii="宋体" w:hAnsi="宋体" w:cs="宋体"/>
          <w:b/>
          <w:szCs w:val="21"/>
        </w:rPr>
        <w:t>磋商文件前附表</w:t>
      </w:r>
      <w:r>
        <w:rPr>
          <w:rFonts w:hint="eastAsia" w:ascii="宋体" w:hAnsi="宋体" w:cs="宋体"/>
          <w:szCs w:val="21"/>
        </w:rPr>
        <w:t>。</w:t>
      </w:r>
    </w:p>
    <w:p w14:paraId="63621081">
      <w:pPr>
        <w:adjustRightInd w:val="0"/>
        <w:snapToGrid w:val="0"/>
        <w:spacing w:line="360" w:lineRule="auto"/>
        <w:ind w:firstLine="420" w:firstLineChars="200"/>
        <w:rPr>
          <w:rFonts w:ascii="宋体" w:hAnsi="宋体" w:cs="宋体"/>
          <w:szCs w:val="21"/>
        </w:rPr>
      </w:pPr>
      <w:r>
        <w:rPr>
          <w:rFonts w:hint="eastAsia" w:ascii="宋体" w:hAnsi="宋体" w:cs="宋体"/>
          <w:szCs w:val="21"/>
        </w:rPr>
        <w:t>11.2供应商应持</w:t>
      </w:r>
      <w:r>
        <w:rPr>
          <w:rFonts w:hint="eastAsia" w:ascii="宋体" w:hAnsi="宋体" w:cs="宋体"/>
          <w:b/>
          <w:szCs w:val="21"/>
        </w:rPr>
        <w:t>磋商文件前附表</w:t>
      </w:r>
      <w:r>
        <w:rPr>
          <w:rFonts w:hint="eastAsia" w:ascii="宋体" w:hAnsi="宋体" w:cs="宋体"/>
          <w:szCs w:val="21"/>
        </w:rPr>
        <w:t>规定的资料领取或购买磋商文件。</w:t>
      </w:r>
    </w:p>
    <w:p w14:paraId="309AE60A">
      <w:pPr>
        <w:pStyle w:val="23"/>
        <w:adjustRightInd w:val="0"/>
        <w:snapToGrid w:val="0"/>
        <w:spacing w:line="360" w:lineRule="auto"/>
        <w:rPr>
          <w:rFonts w:hAnsi="宋体" w:cs="宋体"/>
        </w:rPr>
      </w:pPr>
      <w:r>
        <w:rPr>
          <w:rFonts w:hint="eastAsia" w:hAnsi="宋体" w:cs="宋体"/>
          <w:b/>
        </w:rPr>
        <w:t>12.</w:t>
      </w:r>
      <w:r>
        <w:rPr>
          <w:rFonts w:hint="eastAsia" w:hAnsi="宋体" w:cs="宋体"/>
          <w:b/>
          <w:kern w:val="0"/>
        </w:rPr>
        <w:t>提交首次响应文件</w:t>
      </w:r>
      <w:r>
        <w:rPr>
          <w:rFonts w:hint="eastAsia" w:hAnsi="宋体" w:cs="宋体"/>
          <w:b/>
        </w:rPr>
        <w:t>的</w:t>
      </w:r>
      <w:r>
        <w:rPr>
          <w:rFonts w:hint="eastAsia" w:hAnsi="宋体" w:cs="宋体"/>
          <w:b/>
          <w:kern w:val="0"/>
        </w:rPr>
        <w:t>截止</w:t>
      </w:r>
      <w:r>
        <w:rPr>
          <w:rFonts w:hint="eastAsia" w:hAnsi="宋体" w:cs="宋体"/>
          <w:b/>
        </w:rPr>
        <w:t>时间</w:t>
      </w:r>
    </w:p>
    <w:p w14:paraId="1A51869F">
      <w:pPr>
        <w:pStyle w:val="23"/>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kern w:val="0"/>
        </w:rPr>
        <w:t>供应商提交首次响应文件截止</w:t>
      </w:r>
      <w:r>
        <w:rPr>
          <w:rFonts w:hint="eastAsia" w:hAnsi="宋体" w:cs="宋体"/>
        </w:rPr>
        <w:t>时间见</w:t>
      </w:r>
      <w:r>
        <w:rPr>
          <w:rFonts w:hint="eastAsia" w:hAnsi="宋体" w:cs="宋体"/>
          <w:b/>
        </w:rPr>
        <w:t>磋商须知前附表</w:t>
      </w:r>
      <w:r>
        <w:rPr>
          <w:rFonts w:hint="eastAsia" w:hAnsi="宋体" w:cs="宋体"/>
        </w:rPr>
        <w:t>。</w:t>
      </w:r>
    </w:p>
    <w:p w14:paraId="497EC805">
      <w:pPr>
        <w:adjustRightInd w:val="0"/>
        <w:snapToGrid w:val="0"/>
        <w:spacing w:line="360" w:lineRule="auto"/>
        <w:rPr>
          <w:rFonts w:ascii="宋体" w:hAnsi="宋体" w:cs="宋体"/>
          <w:b/>
          <w:bCs/>
          <w:szCs w:val="21"/>
        </w:rPr>
      </w:pPr>
      <w:r>
        <w:rPr>
          <w:rFonts w:hint="eastAsia" w:ascii="宋体" w:hAnsi="宋体" w:cs="宋体"/>
          <w:b/>
          <w:bCs/>
          <w:szCs w:val="21"/>
        </w:rPr>
        <w:t>13.磋商文件的澄清</w:t>
      </w:r>
      <w:r>
        <w:rPr>
          <w:rFonts w:hint="eastAsia" w:ascii="宋体" w:hAnsi="宋体" w:cs="宋体"/>
          <w:b/>
          <w:kern w:val="0"/>
          <w:szCs w:val="21"/>
          <w:lang w:val="zh-CN"/>
        </w:rPr>
        <w:t>或者</w:t>
      </w:r>
      <w:r>
        <w:rPr>
          <w:rFonts w:hint="eastAsia" w:ascii="宋体" w:hAnsi="宋体" w:cs="宋体"/>
          <w:b/>
          <w:bCs/>
          <w:szCs w:val="21"/>
        </w:rPr>
        <w:t>修改</w:t>
      </w:r>
    </w:p>
    <w:p w14:paraId="1EC90834">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6837308F">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13.2</w:t>
      </w:r>
      <w:r>
        <w:rPr>
          <w:rFonts w:hint="eastAsia" w:ascii="宋体" w:hAnsi="宋体" w:cs="宋体"/>
          <w:kern w:val="0"/>
          <w:szCs w:val="21"/>
        </w:rPr>
        <w:t>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22F18F4B">
      <w:pPr>
        <w:pStyle w:val="23"/>
        <w:adjustRightInd w:val="0"/>
        <w:snapToGrid w:val="0"/>
        <w:spacing w:line="360" w:lineRule="auto"/>
        <w:ind w:firstLine="420" w:firstLineChars="200"/>
        <w:rPr>
          <w:rFonts w:hAnsi="宋体" w:cs="宋体"/>
        </w:rPr>
      </w:pPr>
      <w:r>
        <w:rPr>
          <w:rFonts w:hint="eastAsia" w:hAnsi="宋体" w:cs="宋体"/>
        </w:rPr>
        <w:t>13.2</w:t>
      </w:r>
      <w:r>
        <w:rPr>
          <w:rFonts w:hint="eastAsia" w:hAnsi="宋体" w:cs="宋体"/>
          <w:kern w:val="0"/>
        </w:rPr>
        <w:t>提交首次响应文件截止时间前对磋商文件澄清或者修改内容，为磋商文件的组成部分。</w:t>
      </w:r>
    </w:p>
    <w:p w14:paraId="45070D21">
      <w:pPr>
        <w:adjustRightInd w:val="0"/>
        <w:snapToGrid w:val="0"/>
        <w:spacing w:line="360" w:lineRule="auto"/>
        <w:ind w:left="902" w:hanging="902" w:hangingChars="376"/>
        <w:rPr>
          <w:rFonts w:ascii="宋体" w:hAnsi="宋体" w:cs="宋体"/>
          <w:sz w:val="24"/>
        </w:rPr>
      </w:pPr>
      <w:r>
        <w:rPr>
          <w:rFonts w:hint="eastAsia" w:ascii="宋体" w:hAnsi="宋体" w:cs="宋体"/>
          <w:sz w:val="24"/>
        </w:rPr>
        <w:t>三、响应文件</w:t>
      </w:r>
    </w:p>
    <w:p w14:paraId="32D82A22">
      <w:pPr>
        <w:adjustRightInd w:val="0"/>
        <w:snapToGrid w:val="0"/>
        <w:spacing w:line="360" w:lineRule="auto"/>
        <w:rPr>
          <w:rFonts w:ascii="宋体" w:hAnsi="宋体" w:cs="宋体"/>
          <w:b/>
          <w:bCs/>
          <w:szCs w:val="21"/>
        </w:rPr>
      </w:pPr>
      <w:r>
        <w:rPr>
          <w:rFonts w:hint="eastAsia" w:ascii="宋体" w:hAnsi="宋体" w:cs="宋体"/>
          <w:b/>
          <w:bCs/>
          <w:szCs w:val="21"/>
        </w:rPr>
        <w:t>14.一般要求</w:t>
      </w:r>
    </w:p>
    <w:p w14:paraId="625A5106">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14.1 供应商应仔细阅读磋商文件的所有内容，按磋商文件的要求编制响应文件，并保证所提供的全部资料的真实性，以使其响应文件对磋商文件做出实质性的响应。</w:t>
      </w:r>
    </w:p>
    <w:p w14:paraId="00BBF28A">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 xml:space="preserve">14.2 </w:t>
      </w:r>
      <w:r>
        <w:rPr>
          <w:rFonts w:hint="eastAsia" w:ascii="宋体" w:hAnsi="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49FB8F9E">
      <w:pPr>
        <w:pStyle w:val="23"/>
        <w:adjustRightInd w:val="0"/>
        <w:snapToGrid w:val="0"/>
        <w:spacing w:line="360" w:lineRule="auto"/>
        <w:ind w:firstLine="420" w:firstLineChars="200"/>
        <w:rPr>
          <w:rFonts w:hAnsi="宋体" w:cs="宋体"/>
        </w:rPr>
      </w:pPr>
      <w:r>
        <w:rPr>
          <w:rFonts w:hint="eastAsia" w:hAnsi="宋体" w:cs="宋体"/>
          <w:bCs/>
        </w:rPr>
        <w:t xml:space="preserve">14.3 </w:t>
      </w:r>
      <w:r>
        <w:rPr>
          <w:rFonts w:hint="eastAsia" w:hAnsi="宋体" w:cs="宋体"/>
        </w:rPr>
        <w:t>计量单位应使用我国法定计量单位，未列明时应默认为我国法定计量单位。</w:t>
      </w:r>
    </w:p>
    <w:p w14:paraId="455000DE">
      <w:pPr>
        <w:pStyle w:val="23"/>
        <w:adjustRightInd w:val="0"/>
        <w:snapToGrid w:val="0"/>
        <w:spacing w:line="360" w:lineRule="auto"/>
        <w:ind w:firstLine="420" w:firstLineChars="200"/>
        <w:rPr>
          <w:rFonts w:hAnsi="宋体" w:cs="宋体"/>
        </w:rPr>
      </w:pPr>
      <w:r>
        <w:rPr>
          <w:rFonts w:hint="eastAsia" w:hAnsi="宋体" w:cs="宋体"/>
        </w:rPr>
        <w:t>14.4 响应文件应采用书面形式，电报、传真、电子邮件形式的响应文件概不接受。</w:t>
      </w:r>
    </w:p>
    <w:p w14:paraId="7C1366BE">
      <w:pPr>
        <w:adjustRightInd w:val="0"/>
        <w:snapToGrid w:val="0"/>
        <w:spacing w:line="360" w:lineRule="auto"/>
        <w:ind w:firstLine="420" w:firstLineChars="200"/>
        <w:rPr>
          <w:rFonts w:ascii="宋体" w:hAnsi="宋体" w:cs="宋体"/>
          <w:szCs w:val="21"/>
        </w:rPr>
      </w:pPr>
      <w:r>
        <w:rPr>
          <w:rFonts w:hint="eastAsia" w:ascii="宋体" w:hAnsi="宋体" w:cs="宋体"/>
          <w:szCs w:val="21"/>
        </w:rPr>
        <w:t>14.5 供应商应按磋商文件中提供的响应文件格式填写。</w:t>
      </w:r>
    </w:p>
    <w:p w14:paraId="1F7AD8E4">
      <w:pPr>
        <w:adjustRightInd w:val="0"/>
        <w:snapToGrid w:val="0"/>
        <w:spacing w:line="360" w:lineRule="auto"/>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的组成</w:t>
      </w:r>
    </w:p>
    <w:p w14:paraId="7D99A564">
      <w:pPr>
        <w:adjustRightInd w:val="0"/>
        <w:snapToGrid w:val="0"/>
        <w:spacing w:line="360" w:lineRule="auto"/>
        <w:ind w:firstLine="420" w:firstLineChars="200"/>
        <w:jc w:val="left"/>
        <w:rPr>
          <w:rFonts w:ascii="宋体" w:hAnsi="宋体" w:cs="宋体"/>
          <w:szCs w:val="21"/>
        </w:rPr>
      </w:pPr>
      <w:r>
        <w:rPr>
          <w:rFonts w:hint="eastAsia" w:ascii="宋体" w:hAnsi="宋体" w:cs="宋体"/>
        </w:rPr>
        <w:t>15.1 响应文件包括下列内容：</w:t>
      </w:r>
      <w:r>
        <w:rPr>
          <w:rFonts w:hint="eastAsia" w:ascii="宋体" w:hAnsi="宋体" w:cs="宋体"/>
          <w:szCs w:val="21"/>
        </w:rPr>
        <w:t xml:space="preserve"> </w:t>
      </w:r>
    </w:p>
    <w:p w14:paraId="4EFE3EDD">
      <w:pPr>
        <w:pStyle w:val="23"/>
        <w:adjustRightInd w:val="0"/>
        <w:snapToGrid w:val="0"/>
        <w:spacing w:line="360" w:lineRule="auto"/>
        <w:ind w:firstLine="420" w:firstLineChars="200"/>
        <w:rPr>
          <w:rFonts w:hAnsi="宋体" w:cs="宋体"/>
        </w:rPr>
      </w:pPr>
      <w:r>
        <w:rPr>
          <w:rFonts w:hint="eastAsia" w:hAnsi="宋体" w:cs="宋体"/>
        </w:rPr>
        <w:t>（1）磋商响应声明</w:t>
      </w:r>
    </w:p>
    <w:p w14:paraId="3C65C1E4">
      <w:pPr>
        <w:pStyle w:val="23"/>
        <w:adjustRightInd w:val="0"/>
        <w:snapToGrid w:val="0"/>
        <w:spacing w:line="360" w:lineRule="auto"/>
        <w:ind w:firstLine="420" w:firstLineChars="200"/>
        <w:rPr>
          <w:rFonts w:hAnsi="宋体" w:cs="宋体"/>
        </w:rPr>
      </w:pPr>
      <w:r>
        <w:rPr>
          <w:rFonts w:hint="eastAsia" w:hAnsi="宋体" w:cs="宋体"/>
        </w:rPr>
        <w:t>（2）保证金</w:t>
      </w:r>
    </w:p>
    <w:p w14:paraId="06A9B53A">
      <w:pPr>
        <w:pStyle w:val="23"/>
        <w:adjustRightInd w:val="0"/>
        <w:snapToGrid w:val="0"/>
        <w:spacing w:line="360" w:lineRule="auto"/>
        <w:ind w:firstLine="420" w:firstLineChars="200"/>
        <w:rPr>
          <w:rFonts w:hAnsi="宋体" w:cs="宋体"/>
        </w:rPr>
      </w:pPr>
      <w:r>
        <w:rPr>
          <w:rFonts w:hint="eastAsia" w:hAnsi="宋体" w:cs="宋体"/>
        </w:rPr>
        <w:t>（3）供应商的资格证明文件</w:t>
      </w:r>
    </w:p>
    <w:p w14:paraId="0BE62702">
      <w:pPr>
        <w:pStyle w:val="23"/>
        <w:adjustRightInd w:val="0"/>
        <w:snapToGrid w:val="0"/>
        <w:spacing w:line="360" w:lineRule="auto"/>
        <w:ind w:firstLine="420" w:firstLineChars="200"/>
        <w:rPr>
          <w:rFonts w:hAnsi="宋体" w:cs="宋体"/>
        </w:rPr>
      </w:pPr>
      <w:r>
        <w:rPr>
          <w:rFonts w:hint="eastAsia" w:hAnsi="宋体" w:cs="宋体"/>
        </w:rPr>
        <w:t xml:space="preserve">（4） 服务方案 </w:t>
      </w:r>
    </w:p>
    <w:p w14:paraId="0FC33344">
      <w:pPr>
        <w:pStyle w:val="23"/>
        <w:adjustRightInd w:val="0"/>
        <w:snapToGrid w:val="0"/>
        <w:spacing w:line="360" w:lineRule="auto"/>
        <w:ind w:firstLine="420" w:firstLineChars="200"/>
        <w:rPr>
          <w:rFonts w:hAnsi="宋体" w:cs="宋体"/>
        </w:rPr>
      </w:pPr>
      <w:r>
        <w:rPr>
          <w:rFonts w:hint="eastAsia" w:hAnsi="宋体" w:cs="宋体"/>
        </w:rPr>
        <w:t>（5） 响应与偏离表</w:t>
      </w:r>
    </w:p>
    <w:p w14:paraId="741660B3">
      <w:pPr>
        <w:pStyle w:val="23"/>
        <w:adjustRightInd w:val="0"/>
        <w:snapToGrid w:val="0"/>
        <w:spacing w:line="360" w:lineRule="auto"/>
        <w:ind w:firstLine="420" w:firstLineChars="200"/>
        <w:rPr>
          <w:rFonts w:hAnsi="宋体" w:cs="宋体"/>
        </w:rPr>
      </w:pPr>
      <w:r>
        <w:rPr>
          <w:rFonts w:hint="eastAsia" w:hAnsi="宋体" w:cs="宋体"/>
        </w:rPr>
        <w:t>（6）提供享受政府采购政策的证明材料和清单表</w:t>
      </w:r>
    </w:p>
    <w:p w14:paraId="27CAA841">
      <w:pPr>
        <w:pStyle w:val="23"/>
        <w:adjustRightInd w:val="0"/>
        <w:snapToGrid w:val="0"/>
        <w:spacing w:line="360" w:lineRule="auto"/>
        <w:ind w:firstLine="420" w:firstLineChars="200"/>
        <w:rPr>
          <w:rFonts w:hAnsi="宋体" w:cs="宋体"/>
        </w:rPr>
      </w:pPr>
      <w:r>
        <w:rPr>
          <w:rFonts w:hint="eastAsia" w:hAnsi="宋体" w:cs="宋体"/>
        </w:rPr>
        <w:t>（7）报价一览表</w:t>
      </w:r>
    </w:p>
    <w:p w14:paraId="6C7098D4">
      <w:pPr>
        <w:pStyle w:val="23"/>
        <w:adjustRightInd w:val="0"/>
        <w:snapToGrid w:val="0"/>
        <w:spacing w:line="360" w:lineRule="auto"/>
        <w:ind w:firstLine="420" w:firstLineChars="200"/>
        <w:rPr>
          <w:rFonts w:hAnsi="宋体" w:cs="宋体"/>
        </w:rPr>
      </w:pPr>
      <w:r>
        <w:rPr>
          <w:rFonts w:hint="eastAsia" w:hAnsi="宋体" w:cs="宋体"/>
        </w:rPr>
        <w:t>（8）供应商认为需提供的其他资料</w:t>
      </w:r>
    </w:p>
    <w:p w14:paraId="23CA3D67">
      <w:pPr>
        <w:adjustRightInd w:val="0"/>
        <w:snapToGrid w:val="0"/>
        <w:spacing w:line="360" w:lineRule="auto"/>
        <w:ind w:firstLine="420" w:firstLineChars="200"/>
        <w:rPr>
          <w:rFonts w:ascii="宋体" w:hAnsi="宋体" w:cs="宋体"/>
        </w:rPr>
      </w:pPr>
      <w:r>
        <w:rPr>
          <w:rFonts w:hint="eastAsia" w:ascii="宋体" w:hAnsi="宋体" w:cs="宋体"/>
        </w:rPr>
        <w:t>15.2在磋商过程中，</w:t>
      </w:r>
      <w:r>
        <w:rPr>
          <w:rFonts w:hint="eastAsia" w:ascii="宋体" w:hAnsi="宋体" w:cs="宋体"/>
          <w:szCs w:val="21"/>
        </w:rPr>
        <w:t>供应商</w:t>
      </w:r>
      <w:r>
        <w:rPr>
          <w:rFonts w:hint="eastAsia" w:ascii="宋体" w:hAnsi="宋体" w:cs="宋体"/>
        </w:rPr>
        <w:t>根据</w:t>
      </w:r>
      <w:r>
        <w:rPr>
          <w:rFonts w:hint="eastAsia" w:ascii="宋体" w:hAnsi="宋体" w:cs="宋体"/>
          <w:kern w:val="0"/>
          <w:szCs w:val="21"/>
        </w:rPr>
        <w:t>磋商小组</w:t>
      </w:r>
      <w:r>
        <w:rPr>
          <w:rFonts w:hint="eastAsia" w:ascii="宋体" w:hAnsi="宋体" w:cs="宋体"/>
          <w:bCs/>
          <w:szCs w:val="21"/>
        </w:rPr>
        <w:t>书面形式要求</w:t>
      </w:r>
      <w:r>
        <w:rPr>
          <w:rFonts w:hint="eastAsia" w:ascii="宋体" w:hAnsi="宋体" w:cs="宋体"/>
          <w:kern w:val="0"/>
          <w:szCs w:val="21"/>
        </w:rPr>
        <w:t>提交的</w:t>
      </w:r>
      <w:r>
        <w:rPr>
          <w:rFonts w:hint="eastAsia" w:ascii="宋体" w:hAnsi="宋体" w:cs="宋体"/>
        </w:rPr>
        <w:t>最后报价(或者</w:t>
      </w:r>
      <w:r>
        <w:rPr>
          <w:rFonts w:hint="eastAsia" w:ascii="宋体" w:hAnsi="宋体" w:cs="宋体"/>
          <w:bCs/>
          <w:szCs w:val="21"/>
        </w:rPr>
        <w:t>重</w:t>
      </w:r>
      <w:r>
        <w:rPr>
          <w:rFonts w:hint="eastAsia" w:ascii="宋体" w:hAnsi="宋体" w:cs="宋体"/>
          <w:kern w:val="0"/>
          <w:szCs w:val="21"/>
        </w:rPr>
        <w:t>新提交的响应文件和</w:t>
      </w:r>
      <w:r>
        <w:rPr>
          <w:rFonts w:hint="eastAsia" w:ascii="宋体" w:hAnsi="宋体" w:cs="宋体"/>
        </w:rPr>
        <w:t>最后报价)是</w:t>
      </w:r>
      <w:r>
        <w:rPr>
          <w:rFonts w:hint="eastAsia" w:ascii="宋体" w:hAnsi="宋体" w:cs="宋体"/>
          <w:szCs w:val="21"/>
        </w:rPr>
        <w:t>响应文件</w:t>
      </w:r>
      <w:r>
        <w:rPr>
          <w:rFonts w:hint="eastAsia" w:ascii="宋体" w:hAnsi="宋体" w:cs="宋体"/>
        </w:rPr>
        <w:t>的有效组成部分。</w:t>
      </w:r>
    </w:p>
    <w:p w14:paraId="2DC14173">
      <w:pPr>
        <w:adjustRightInd w:val="0"/>
        <w:snapToGrid w:val="0"/>
        <w:spacing w:line="360" w:lineRule="auto"/>
        <w:ind w:firstLine="420" w:firstLineChars="200"/>
        <w:rPr>
          <w:rFonts w:ascii="宋体" w:hAnsi="宋体" w:cs="宋体"/>
          <w:b/>
        </w:rPr>
      </w:pPr>
      <w:r>
        <w:rPr>
          <w:rFonts w:hint="eastAsia" w:ascii="宋体" w:hAnsi="宋体" w:cs="宋体"/>
        </w:rPr>
        <w:t>15.3</w:t>
      </w:r>
      <w:r>
        <w:rPr>
          <w:rFonts w:hint="eastAsia" w:ascii="宋体" w:hAnsi="宋体" w:cs="宋体"/>
          <w:kern w:val="0"/>
          <w:szCs w:val="21"/>
        </w:rPr>
        <w:t>磋商文件规定可能发生实质性变动的，供应商应当在</w:t>
      </w:r>
      <w:r>
        <w:rPr>
          <w:rFonts w:hint="eastAsia" w:ascii="宋体" w:hAnsi="宋体" w:cs="宋体"/>
        </w:rPr>
        <w:t>《响应与偏离表》中对应内容注明。</w:t>
      </w:r>
    </w:p>
    <w:p w14:paraId="054F099F">
      <w:pPr>
        <w:adjustRightInd w:val="0"/>
        <w:snapToGrid w:val="0"/>
        <w:spacing w:line="360" w:lineRule="auto"/>
        <w:ind w:firstLine="420" w:firstLineChars="200"/>
        <w:rPr>
          <w:rFonts w:ascii="宋体" w:hAnsi="宋体" w:cs="宋体"/>
          <w:szCs w:val="21"/>
        </w:rPr>
      </w:pPr>
      <w:r>
        <w:rPr>
          <w:rFonts w:hint="eastAsia" w:ascii="宋体" w:hAnsi="宋体" w:cs="宋体"/>
        </w:rPr>
        <w:t>15.4</w:t>
      </w:r>
      <w:r>
        <w:rPr>
          <w:rFonts w:hint="eastAsia" w:ascii="宋体" w:hAnsi="宋体" w:cs="宋体"/>
          <w:szCs w:val="21"/>
        </w:rPr>
        <w:t>根据《政府采购法》第四十二条的规定，供应商无论成交与否，其响应文件不予退还。</w:t>
      </w:r>
    </w:p>
    <w:p w14:paraId="5A329AB6">
      <w:pPr>
        <w:adjustRightInd w:val="0"/>
        <w:snapToGrid w:val="0"/>
        <w:spacing w:line="360" w:lineRule="auto"/>
        <w:rPr>
          <w:rFonts w:ascii="宋体" w:hAnsi="宋体" w:cs="宋体"/>
          <w:b/>
          <w:bCs/>
          <w:szCs w:val="21"/>
        </w:rPr>
      </w:pPr>
      <w:r>
        <w:rPr>
          <w:rFonts w:hint="eastAsia" w:ascii="宋体" w:hAnsi="宋体" w:cs="宋体"/>
          <w:b/>
          <w:bCs/>
          <w:szCs w:val="21"/>
        </w:rPr>
        <w:t>16.报价</w:t>
      </w:r>
    </w:p>
    <w:p w14:paraId="3C44ECCB">
      <w:pPr>
        <w:adjustRightInd w:val="0"/>
        <w:snapToGrid w:val="0"/>
        <w:spacing w:line="360" w:lineRule="auto"/>
        <w:ind w:firstLine="420" w:firstLineChars="200"/>
        <w:rPr>
          <w:rFonts w:ascii="宋体" w:hAnsi="宋体" w:cs="宋体"/>
          <w:szCs w:val="21"/>
        </w:rPr>
      </w:pPr>
      <w:r>
        <w:rPr>
          <w:rFonts w:hint="eastAsia" w:ascii="宋体" w:hAnsi="宋体" w:cs="宋体"/>
          <w:szCs w:val="21"/>
        </w:rPr>
        <w:t>16.1供应商应当根据磋商文件要求和范围，以</w:t>
      </w:r>
      <w:r>
        <w:rPr>
          <w:rFonts w:hint="eastAsia" w:ascii="宋体" w:hAnsi="宋体" w:cs="宋体"/>
          <w:bCs/>
          <w:szCs w:val="21"/>
        </w:rPr>
        <w:t>人民币</w:t>
      </w:r>
      <w:r>
        <w:rPr>
          <w:rFonts w:hint="eastAsia" w:ascii="宋体" w:hAnsi="宋体" w:cs="宋体"/>
          <w:szCs w:val="21"/>
        </w:rPr>
        <w:t>报价，以元为单位，保留小数点后两位。</w:t>
      </w:r>
    </w:p>
    <w:p w14:paraId="3B0C7A03">
      <w:pPr>
        <w:pStyle w:val="114"/>
        <w:adjustRightInd w:val="0"/>
        <w:snapToGrid w:val="0"/>
        <w:spacing w:line="360" w:lineRule="auto"/>
        <w:ind w:firstLine="420" w:firstLineChars="200"/>
        <w:rPr>
          <w:rFonts w:ascii="宋体" w:hAnsi="宋体" w:cs="宋体"/>
        </w:rPr>
      </w:pPr>
      <w:r>
        <w:rPr>
          <w:rFonts w:hint="eastAsia" w:ascii="宋体" w:hAnsi="宋体" w:cs="宋体"/>
        </w:rPr>
        <w:t>16.2供应商应按第五章 响应文件组成格式填写。</w:t>
      </w:r>
    </w:p>
    <w:p w14:paraId="64B9624F">
      <w:pPr>
        <w:pStyle w:val="23"/>
        <w:adjustRightInd w:val="0"/>
        <w:snapToGrid w:val="0"/>
        <w:spacing w:line="360" w:lineRule="auto"/>
        <w:ind w:firstLine="420" w:firstLineChars="200"/>
        <w:rPr>
          <w:rFonts w:hAnsi="宋体" w:cs="宋体"/>
        </w:rPr>
      </w:pPr>
      <w:r>
        <w:rPr>
          <w:rFonts w:hint="eastAsia" w:hAnsi="宋体" w:cs="宋体"/>
        </w:rPr>
        <w:t>16.3响应文件中标明的价格在合同执行过程中是固定不变的，不得以任何理由予以变更。以可变动价格提交的报价将被认为是非实质响应而被拒绝。</w:t>
      </w:r>
    </w:p>
    <w:p w14:paraId="0C4A42F7">
      <w:pPr>
        <w:pStyle w:val="23"/>
        <w:adjustRightInd w:val="0"/>
        <w:snapToGrid w:val="0"/>
        <w:spacing w:line="360" w:lineRule="auto"/>
        <w:ind w:firstLine="420" w:firstLineChars="200"/>
        <w:rPr>
          <w:rFonts w:hAnsi="宋体" w:cs="宋体"/>
        </w:rPr>
      </w:pPr>
      <w:r>
        <w:rPr>
          <w:rFonts w:hint="eastAsia" w:hAnsi="宋体" w:cs="宋体"/>
        </w:rPr>
        <w:t>16.4</w:t>
      </w:r>
      <w:r>
        <w:rPr>
          <w:rFonts w:hint="eastAsia" w:hAnsi="宋体" w:cs="宋体"/>
          <w:kern w:val="0"/>
          <w:lang w:val="zh-CN"/>
        </w:rPr>
        <w:t>供应商</w:t>
      </w:r>
      <w:r>
        <w:rPr>
          <w:rFonts w:hint="eastAsia" w:hAnsi="宋体" w:cs="宋体"/>
        </w:rPr>
        <w:t>的报价不得超过采购项目预算，采购项目预算或其计算方法见</w:t>
      </w:r>
      <w:r>
        <w:rPr>
          <w:rFonts w:hint="eastAsia" w:hAnsi="宋体" w:cs="宋体"/>
          <w:b/>
        </w:rPr>
        <w:t>磋商须知前附表</w:t>
      </w:r>
      <w:r>
        <w:rPr>
          <w:rFonts w:hint="eastAsia" w:hAnsi="宋体" w:cs="宋体"/>
        </w:rPr>
        <w:t>。</w:t>
      </w:r>
    </w:p>
    <w:p w14:paraId="07019321">
      <w:pPr>
        <w:pStyle w:val="23"/>
        <w:adjustRightInd w:val="0"/>
        <w:snapToGrid w:val="0"/>
        <w:spacing w:line="360" w:lineRule="auto"/>
        <w:rPr>
          <w:rFonts w:hAnsi="宋体" w:cs="宋体"/>
          <w:b/>
        </w:rPr>
      </w:pPr>
      <w:r>
        <w:rPr>
          <w:rFonts w:hint="eastAsia" w:hAnsi="宋体" w:cs="宋体"/>
          <w:b/>
        </w:rPr>
        <w:t>17.供应商符合磋商文件规定的证明文件</w:t>
      </w:r>
    </w:p>
    <w:p w14:paraId="1D5093E4">
      <w:pPr>
        <w:adjustRightInd w:val="0"/>
        <w:snapToGrid w:val="0"/>
        <w:spacing w:line="360" w:lineRule="auto"/>
        <w:ind w:firstLine="420" w:firstLineChars="200"/>
        <w:jc w:val="left"/>
        <w:rPr>
          <w:rFonts w:ascii="宋体" w:hAnsi="宋体" w:cs="宋体"/>
        </w:rPr>
      </w:pPr>
      <w:r>
        <w:rPr>
          <w:rFonts w:hint="eastAsia" w:ascii="宋体" w:hAnsi="宋体" w:cs="宋体"/>
        </w:rPr>
        <w:t>17.1供应商应提交满足本章第3.1款规定的资格条件要求的证明文件,该证明文件作为响应文件的一部分。</w:t>
      </w:r>
    </w:p>
    <w:p w14:paraId="2B4EA6D4">
      <w:pPr>
        <w:adjustRightInd w:val="0"/>
        <w:snapToGrid w:val="0"/>
        <w:spacing w:line="360" w:lineRule="auto"/>
        <w:ind w:firstLine="420" w:firstLineChars="200"/>
        <w:jc w:val="left"/>
        <w:rPr>
          <w:rFonts w:ascii="宋体" w:hAnsi="宋体" w:cs="宋体"/>
        </w:rPr>
      </w:pPr>
      <w:r>
        <w:rPr>
          <w:rFonts w:hint="eastAsia" w:ascii="宋体" w:hAnsi="宋体" w:cs="宋体"/>
        </w:rPr>
        <w:t>17.2如果供应商为联合体，则应提交联合体各方资格证明文件、联合体协议。否则，在评审时将其视为无效响应。</w:t>
      </w:r>
    </w:p>
    <w:p w14:paraId="59875BEE">
      <w:pPr>
        <w:adjustRightInd w:val="0"/>
        <w:snapToGrid w:val="0"/>
        <w:spacing w:before="120" w:beforeLines="50" w:line="360" w:lineRule="auto"/>
        <w:jc w:val="left"/>
        <w:rPr>
          <w:rFonts w:ascii="宋体" w:hAnsi="宋体" w:cs="宋体"/>
          <w:b/>
          <w:szCs w:val="21"/>
        </w:rPr>
      </w:pPr>
      <w:r>
        <w:rPr>
          <w:rFonts w:hint="eastAsia" w:ascii="宋体" w:hAnsi="宋体" w:cs="宋体"/>
          <w:b/>
          <w:szCs w:val="21"/>
        </w:rPr>
        <w:t>18．样品提供</w:t>
      </w:r>
    </w:p>
    <w:p w14:paraId="64834619">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 xml:space="preserve">18.1 </w:t>
      </w:r>
      <w:r>
        <w:rPr>
          <w:rFonts w:hint="eastAsia" w:ascii="宋体" w:hAnsi="宋体" w:cs="宋体"/>
          <w:b/>
        </w:rPr>
        <w:t>磋商须知前附表</w:t>
      </w:r>
      <w:r>
        <w:rPr>
          <w:rFonts w:hint="eastAsia" w:ascii="宋体" w:hAnsi="宋体" w:cs="宋体"/>
          <w:szCs w:val="21"/>
        </w:rPr>
        <w:t>规定</w:t>
      </w:r>
      <w:r>
        <w:rPr>
          <w:rFonts w:hint="eastAsia" w:ascii="宋体" w:hAnsi="宋体" w:cs="宋体"/>
          <w:bCs/>
        </w:rPr>
        <w:t>供应商</w:t>
      </w:r>
      <w:r>
        <w:rPr>
          <w:rFonts w:hint="eastAsia" w:ascii="宋体" w:hAnsi="宋体" w:cs="宋体"/>
          <w:szCs w:val="21"/>
        </w:rPr>
        <w:t>在</w:t>
      </w:r>
      <w:r>
        <w:rPr>
          <w:rFonts w:hint="eastAsia" w:ascii="宋体" w:hAnsi="宋体" w:cs="宋体"/>
        </w:rPr>
        <w:t>磋商</w:t>
      </w:r>
      <w:r>
        <w:rPr>
          <w:rFonts w:hint="eastAsia" w:ascii="宋体" w:hAnsi="宋体" w:cs="宋体"/>
          <w:szCs w:val="21"/>
        </w:rPr>
        <w:t>时提供样品的，</w:t>
      </w:r>
      <w:r>
        <w:rPr>
          <w:rFonts w:hint="eastAsia" w:ascii="宋体" w:hAnsi="宋体" w:cs="宋体"/>
          <w:bCs/>
        </w:rPr>
        <w:t>供应商</w:t>
      </w:r>
      <w:r>
        <w:rPr>
          <w:rFonts w:hint="eastAsia" w:ascii="宋体" w:hAnsi="宋体" w:cs="宋体"/>
          <w:szCs w:val="21"/>
        </w:rPr>
        <w:t>有以下情形之一的，在评审时将其视为无效响应。</w:t>
      </w:r>
    </w:p>
    <w:p w14:paraId="7C8E14AF">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（1）未在</w:t>
      </w:r>
      <w:r>
        <w:rPr>
          <w:rFonts w:hint="eastAsia" w:ascii="宋体" w:hAnsi="宋体" w:cs="宋体"/>
          <w:b/>
        </w:rPr>
        <w:t>磋商须知前附表</w:t>
      </w:r>
      <w:r>
        <w:rPr>
          <w:rFonts w:hint="eastAsia" w:ascii="宋体" w:hAnsi="宋体" w:cs="宋体"/>
          <w:szCs w:val="21"/>
        </w:rPr>
        <w:t>规定的提交时间、地点提交的；</w:t>
      </w:r>
    </w:p>
    <w:p w14:paraId="56BBA42E">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bCs/>
        </w:rPr>
        <w:t>供应商</w:t>
      </w:r>
      <w:r>
        <w:rPr>
          <w:rFonts w:hint="eastAsia" w:ascii="宋体" w:hAnsi="宋体" w:cs="宋体"/>
          <w:szCs w:val="21"/>
        </w:rPr>
        <w:t>提供的样品与响应文件中提供样品的型号、规格不一致的。</w:t>
      </w:r>
    </w:p>
    <w:p w14:paraId="3EF34E0B">
      <w:pPr>
        <w:adjustRightInd w:val="0"/>
        <w:snapToGrid w:val="0"/>
        <w:spacing w:line="360" w:lineRule="auto"/>
        <w:rPr>
          <w:rFonts w:ascii="宋体" w:hAnsi="宋体" w:cs="宋体"/>
          <w:b/>
          <w:bCs/>
          <w:szCs w:val="21"/>
        </w:rPr>
      </w:pPr>
      <w:r>
        <w:rPr>
          <w:rFonts w:hint="eastAsia" w:ascii="宋体" w:hAnsi="宋体" w:cs="宋体"/>
          <w:b/>
          <w:bCs/>
          <w:szCs w:val="21"/>
        </w:rPr>
        <w:t>19.</w:t>
      </w:r>
      <w:r>
        <w:rPr>
          <w:rFonts w:hint="eastAsia" w:ascii="宋体" w:hAnsi="宋体" w:cs="宋体"/>
        </w:rPr>
        <w:t xml:space="preserve"> </w:t>
      </w:r>
      <w:r>
        <w:rPr>
          <w:rFonts w:hint="eastAsia" w:ascii="宋体" w:hAnsi="宋体" w:cs="宋体"/>
          <w:b/>
          <w:bCs/>
          <w:szCs w:val="21"/>
        </w:rPr>
        <w:t>磋商保证金</w:t>
      </w:r>
    </w:p>
    <w:p w14:paraId="69D01DF1">
      <w:pPr>
        <w:pStyle w:val="23"/>
        <w:adjustRightInd w:val="0"/>
        <w:snapToGrid w:val="0"/>
        <w:spacing w:line="360" w:lineRule="auto"/>
        <w:ind w:firstLine="420" w:firstLineChars="200"/>
        <w:rPr>
          <w:rFonts w:hAnsi="宋体" w:cs="宋体"/>
          <w:bCs/>
        </w:rPr>
      </w:pPr>
      <w:r>
        <w:rPr>
          <w:rFonts w:hint="eastAsia" w:hAnsi="宋体" w:cs="宋体"/>
        </w:rPr>
        <w:t>19.1</w:t>
      </w:r>
      <w:r>
        <w:rPr>
          <w:rFonts w:hint="eastAsia" w:hAnsi="宋体" w:cs="宋体"/>
          <w:b/>
        </w:rPr>
        <w:t>磋商须知前附表</w:t>
      </w:r>
      <w:r>
        <w:rPr>
          <w:rFonts w:hint="eastAsia" w:hAnsi="宋体" w:cs="宋体"/>
        </w:rPr>
        <w:t>规定交纳磋商</w:t>
      </w:r>
      <w:r>
        <w:rPr>
          <w:rFonts w:hint="eastAsia" w:hAnsi="宋体" w:cs="宋体"/>
          <w:bCs/>
        </w:rPr>
        <w:t>保证金的</w:t>
      </w:r>
      <w:r>
        <w:rPr>
          <w:rFonts w:hint="eastAsia" w:hAnsi="宋体" w:cs="宋体"/>
        </w:rPr>
        <w:t>，应按</w:t>
      </w:r>
      <w:r>
        <w:rPr>
          <w:rFonts w:hint="eastAsia" w:hAnsi="宋体" w:cs="宋体"/>
          <w:b/>
        </w:rPr>
        <w:t>磋商须知前附表</w:t>
      </w:r>
      <w:r>
        <w:rPr>
          <w:rFonts w:hint="eastAsia" w:hAnsi="宋体" w:cs="宋体"/>
        </w:rPr>
        <w:t>规定的磋商</w:t>
      </w:r>
      <w:r>
        <w:rPr>
          <w:rFonts w:hint="eastAsia" w:hAnsi="宋体" w:cs="宋体"/>
          <w:bCs/>
        </w:rPr>
        <w:t>保证金形式交纳，不得以现金方式交纳</w:t>
      </w:r>
      <w:r>
        <w:rPr>
          <w:rFonts w:hint="eastAsia" w:hAnsi="宋体" w:cs="宋体"/>
        </w:rPr>
        <w:t>，在</w:t>
      </w:r>
      <w:r>
        <w:rPr>
          <w:rFonts w:hint="eastAsia" w:hAnsi="宋体" w:cs="宋体"/>
          <w:kern w:val="0"/>
        </w:rPr>
        <w:t>提交首次响应文件截止时间</w:t>
      </w:r>
      <w:r>
        <w:rPr>
          <w:rFonts w:hint="eastAsia" w:hAnsi="宋体" w:cs="宋体"/>
        </w:rPr>
        <w:t>前，</w:t>
      </w:r>
      <w:r>
        <w:rPr>
          <w:rFonts w:hint="eastAsia" w:hAnsi="宋体" w:cs="宋体"/>
          <w:bCs/>
        </w:rPr>
        <w:t>向采购代理机构交纳不超过</w:t>
      </w:r>
      <w:r>
        <w:rPr>
          <w:rFonts w:hint="eastAsia" w:hAnsi="宋体" w:cs="宋体"/>
          <w:kern w:val="0"/>
          <w:lang w:val="zh-CN"/>
        </w:rPr>
        <w:t>采购项目预算2﹪</w:t>
      </w:r>
      <w:r>
        <w:rPr>
          <w:rFonts w:hint="eastAsia" w:hAnsi="宋体" w:cs="宋体"/>
          <w:bCs/>
        </w:rPr>
        <w:t>的磋商保证金(数额采用四舍五入，计算至元)</w:t>
      </w:r>
      <w:r>
        <w:rPr>
          <w:rFonts w:hint="eastAsia" w:hAnsi="宋体" w:cs="宋体"/>
        </w:rPr>
        <w:t>。磋商</w:t>
      </w:r>
      <w:r>
        <w:rPr>
          <w:rFonts w:hint="eastAsia" w:hAnsi="宋体" w:cs="宋体"/>
          <w:bCs/>
        </w:rPr>
        <w:t>保证金有效期应当与</w:t>
      </w:r>
      <w:r>
        <w:rPr>
          <w:rFonts w:hint="eastAsia" w:hAnsi="宋体" w:cs="宋体"/>
        </w:rPr>
        <w:t>本章第20.1</w:t>
      </w:r>
      <w:r>
        <w:rPr>
          <w:rFonts w:hint="eastAsia" w:hAnsi="宋体" w:cs="宋体"/>
          <w:kern w:val="0"/>
          <w:lang w:val="zh-CN"/>
        </w:rPr>
        <w:t>款</w:t>
      </w:r>
      <w:r>
        <w:rPr>
          <w:rFonts w:hint="eastAsia" w:hAnsi="宋体" w:cs="宋体"/>
        </w:rPr>
        <w:t>规定的</w:t>
      </w:r>
      <w:r>
        <w:rPr>
          <w:rFonts w:hint="eastAsia" w:hAnsi="宋体" w:cs="宋体"/>
          <w:bCs/>
        </w:rPr>
        <w:t>响应文件有效期一致。</w:t>
      </w:r>
    </w:p>
    <w:p w14:paraId="4BCC3F18">
      <w:pPr>
        <w:adjustRightInd w:val="0"/>
        <w:snapToGrid w:val="0"/>
        <w:spacing w:line="360" w:lineRule="auto"/>
        <w:ind w:firstLine="420" w:firstLineChars="200"/>
        <w:rPr>
          <w:rFonts w:ascii="宋体" w:hAnsi="宋体" w:cs="宋体"/>
          <w:b/>
          <w:szCs w:val="21"/>
        </w:rPr>
      </w:pPr>
      <w:r>
        <w:rPr>
          <w:rFonts w:hint="eastAsia" w:ascii="宋体" w:hAnsi="宋体" w:cs="宋体"/>
          <w:szCs w:val="21"/>
        </w:rPr>
        <w:t>19.2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1A6BD9E3">
      <w:pPr>
        <w:pStyle w:val="23"/>
        <w:adjustRightInd w:val="0"/>
        <w:snapToGrid w:val="0"/>
        <w:spacing w:line="360" w:lineRule="auto"/>
        <w:ind w:firstLine="420" w:firstLineChars="200"/>
        <w:rPr>
          <w:rFonts w:hAnsi="宋体" w:cs="宋体"/>
        </w:rPr>
      </w:pPr>
      <w:r>
        <w:rPr>
          <w:rFonts w:hint="eastAsia" w:hAnsi="宋体" w:cs="宋体"/>
        </w:rPr>
        <w:t>19.3供应商未按照磋商文件要求提交磋商保证金的，响应无效。</w:t>
      </w:r>
    </w:p>
    <w:p w14:paraId="33D173F9">
      <w:pPr>
        <w:pStyle w:val="23"/>
        <w:tabs>
          <w:tab w:val="left" w:pos="6300"/>
        </w:tabs>
        <w:adjustRightInd w:val="0"/>
        <w:snapToGrid w:val="0"/>
        <w:spacing w:line="360" w:lineRule="auto"/>
        <w:ind w:firstLine="420" w:firstLineChars="200"/>
        <w:rPr>
          <w:rFonts w:hAnsi="宋体" w:cs="宋体"/>
        </w:rPr>
      </w:pPr>
      <w:r>
        <w:rPr>
          <w:rFonts w:hint="eastAsia" w:hAnsi="宋体" w:cs="宋体"/>
        </w:rPr>
        <w:t>19.4采购代理机构在成交通知书发出后5个工作日内退还未成交供应商的磋商保证金；在采购合同签定后5个工作日内退还成交供应商的磋商保证金，但因供应商自身原因导致无法及时退还的除外。</w:t>
      </w:r>
    </w:p>
    <w:p w14:paraId="26E744B2">
      <w:pPr>
        <w:pStyle w:val="23"/>
        <w:adjustRightInd w:val="0"/>
        <w:snapToGrid w:val="0"/>
        <w:spacing w:line="360" w:lineRule="auto"/>
        <w:ind w:firstLine="420" w:firstLineChars="200"/>
        <w:rPr>
          <w:rFonts w:hAnsi="宋体" w:cs="宋体"/>
          <w:kern w:val="0"/>
        </w:rPr>
      </w:pPr>
      <w:r>
        <w:rPr>
          <w:rFonts w:hint="eastAsia" w:hAnsi="宋体" w:cs="宋体"/>
        </w:rPr>
        <w:t xml:space="preserve">19.5 </w:t>
      </w:r>
      <w:r>
        <w:rPr>
          <w:rFonts w:hint="eastAsia" w:hAnsi="宋体" w:cs="宋体"/>
          <w:kern w:val="0"/>
        </w:rPr>
        <w:t>有下列情形之一的，磋商保证金不予退还，并上缴本级财政国库：</w:t>
      </w:r>
    </w:p>
    <w:p w14:paraId="76785731">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（1）供应商在提交首次响应文件截止时间后撤回响应文件的；</w:t>
      </w:r>
    </w:p>
    <w:p w14:paraId="695975C0">
      <w:pPr>
        <w:widowControl/>
        <w:adjustRightInd w:val="0"/>
        <w:snapToGrid w:val="0"/>
        <w:spacing w:line="360" w:lineRule="auto"/>
        <w:ind w:firstLine="420" w:firstLineChars="200"/>
        <w:jc w:val="left"/>
        <w:rPr>
          <w:rFonts w:ascii="宋体" w:hAnsi="宋体" w:cs="宋体"/>
          <w:kern w:val="0"/>
        </w:rPr>
      </w:pPr>
      <w:r>
        <w:rPr>
          <w:rFonts w:hint="eastAsia" w:ascii="宋体" w:hAnsi="宋体" w:cs="宋体"/>
          <w:kern w:val="0"/>
        </w:rPr>
        <w:t>（2）供应商在响应文件中提供虚假资料的；</w:t>
      </w:r>
    </w:p>
    <w:p w14:paraId="12766F04">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rPr>
        <w:t>（3）</w:t>
      </w:r>
      <w:r>
        <w:rPr>
          <w:rFonts w:hint="eastAsia" w:ascii="宋体" w:hAnsi="宋体" w:cs="宋体"/>
        </w:rPr>
        <w:t>确定成交结果后，无正当理由放弃成交资格的；</w:t>
      </w:r>
    </w:p>
    <w:p w14:paraId="42F37A08">
      <w:pPr>
        <w:widowControl/>
        <w:adjustRightInd w:val="0"/>
        <w:snapToGrid w:val="0"/>
        <w:spacing w:line="360" w:lineRule="auto"/>
        <w:ind w:firstLine="525" w:firstLineChars="250"/>
        <w:jc w:val="left"/>
        <w:rPr>
          <w:rFonts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08CFAC10">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（5）供应商与采购人、其他供应商或者采购代理机构恶意串通的；</w:t>
      </w:r>
    </w:p>
    <w:p w14:paraId="47E2AEEB">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（6）磋商文件规定的其他情形。</w:t>
      </w:r>
    </w:p>
    <w:p w14:paraId="01C2EEC0">
      <w:pPr>
        <w:adjustRightInd w:val="0"/>
        <w:snapToGrid w:val="0"/>
        <w:spacing w:line="360" w:lineRule="auto"/>
        <w:rPr>
          <w:rFonts w:ascii="宋体" w:hAnsi="宋体" w:cs="宋体"/>
          <w:b/>
          <w:bCs/>
          <w:szCs w:val="21"/>
        </w:rPr>
      </w:pPr>
      <w:r>
        <w:rPr>
          <w:rFonts w:hint="eastAsia" w:ascii="宋体" w:hAnsi="宋体" w:cs="宋体"/>
          <w:b/>
          <w:bCs/>
          <w:szCs w:val="21"/>
        </w:rPr>
        <w:t>20.</w:t>
      </w:r>
      <w:r>
        <w:rPr>
          <w:rFonts w:hint="eastAsia" w:ascii="宋体" w:hAnsi="宋体" w:cs="宋体"/>
          <w:szCs w:val="21"/>
        </w:rPr>
        <w:t xml:space="preserve"> </w:t>
      </w:r>
      <w:r>
        <w:rPr>
          <w:rFonts w:hint="eastAsia" w:ascii="宋体" w:hAnsi="宋体" w:cs="宋体"/>
          <w:b/>
        </w:rPr>
        <w:t>响应文件</w:t>
      </w:r>
      <w:r>
        <w:rPr>
          <w:rFonts w:hint="eastAsia" w:ascii="宋体" w:hAnsi="宋体" w:cs="宋体"/>
          <w:b/>
          <w:szCs w:val="21"/>
        </w:rPr>
        <w:t>有效期</w:t>
      </w:r>
    </w:p>
    <w:p w14:paraId="52F3CCE6">
      <w:pPr>
        <w:adjustRightInd w:val="0"/>
        <w:snapToGrid w:val="0"/>
        <w:spacing w:line="360" w:lineRule="auto"/>
        <w:ind w:firstLine="420" w:firstLineChars="200"/>
        <w:jc w:val="left"/>
        <w:rPr>
          <w:rFonts w:ascii="宋体" w:hAnsi="宋体" w:cs="宋体"/>
        </w:rPr>
      </w:pPr>
      <w:r>
        <w:rPr>
          <w:rFonts w:hint="eastAsia" w:ascii="宋体" w:hAnsi="宋体" w:cs="宋体"/>
        </w:rPr>
        <w:t>20.1响应文件</w:t>
      </w:r>
      <w:r>
        <w:rPr>
          <w:rFonts w:hint="eastAsia" w:ascii="宋体" w:hAnsi="宋体" w:cs="宋体"/>
          <w:szCs w:val="21"/>
        </w:rPr>
        <w:t>有效期见</w:t>
      </w:r>
      <w:r>
        <w:rPr>
          <w:rFonts w:hint="eastAsia" w:ascii="宋体" w:hAnsi="宋体" w:cs="宋体"/>
          <w:b/>
        </w:rPr>
        <w:t>磋商须知前附表</w:t>
      </w:r>
      <w:r>
        <w:rPr>
          <w:rFonts w:hint="eastAsia" w:ascii="宋体" w:hAnsi="宋体" w:cs="宋体"/>
          <w:szCs w:val="21"/>
        </w:rPr>
        <w:t>，在此期间</w:t>
      </w:r>
      <w:r>
        <w:rPr>
          <w:rFonts w:hint="eastAsia" w:ascii="宋体" w:hAnsi="宋体" w:cs="宋体"/>
        </w:rPr>
        <w:t>响应</w:t>
      </w:r>
      <w:r>
        <w:rPr>
          <w:rFonts w:hint="eastAsia" w:ascii="宋体" w:hAnsi="宋体" w:cs="宋体"/>
          <w:szCs w:val="21"/>
        </w:rPr>
        <w:t>文件对供应商具有法律约束力，</w:t>
      </w:r>
      <w:r>
        <w:rPr>
          <w:rFonts w:hint="eastAsia" w:ascii="宋体" w:hAnsi="宋体" w:cs="宋体"/>
        </w:rPr>
        <w:t>从</w:t>
      </w:r>
      <w:r>
        <w:rPr>
          <w:rFonts w:hint="eastAsia" w:ascii="宋体" w:hAnsi="宋体" w:cs="宋体"/>
          <w:kern w:val="0"/>
          <w:szCs w:val="21"/>
        </w:rPr>
        <w:t>提交首次响应文件截止时间</w:t>
      </w:r>
      <w:r>
        <w:rPr>
          <w:rFonts w:hint="eastAsia" w:ascii="宋体" w:hAnsi="宋体" w:cs="宋体"/>
        </w:rPr>
        <w:t>之日起计算。响应文件有效期不足的将被视为无效响应。</w:t>
      </w:r>
    </w:p>
    <w:p w14:paraId="11BB0D87">
      <w:pPr>
        <w:adjustRightInd w:val="0"/>
        <w:snapToGrid w:val="0"/>
        <w:spacing w:line="360" w:lineRule="auto"/>
        <w:rPr>
          <w:rFonts w:ascii="宋体" w:hAnsi="宋体" w:cs="宋体"/>
          <w:b/>
          <w:bCs/>
          <w:szCs w:val="21"/>
        </w:rPr>
      </w:pPr>
      <w:r>
        <w:rPr>
          <w:rFonts w:hint="eastAsia" w:ascii="宋体" w:hAnsi="宋体" w:cs="宋体"/>
          <w:b/>
          <w:bCs/>
          <w:szCs w:val="21"/>
        </w:rPr>
        <w:t>21.响应文件的签署及规定</w:t>
      </w:r>
    </w:p>
    <w:p w14:paraId="76F0FE25">
      <w:pPr>
        <w:pStyle w:val="23"/>
        <w:adjustRightInd w:val="0"/>
        <w:snapToGrid w:val="0"/>
        <w:spacing w:line="360" w:lineRule="auto"/>
        <w:ind w:firstLine="420" w:firstLineChars="200"/>
        <w:rPr>
          <w:rFonts w:hAnsi="宋体" w:cs="宋体"/>
        </w:rPr>
      </w:pPr>
      <w:r>
        <w:rPr>
          <w:rFonts w:hint="eastAsia" w:hAnsi="宋体" w:cs="宋体"/>
        </w:rPr>
        <w:t>21.1响应文件的正本和副本应装订成册，正本一份，副本份数见</w:t>
      </w:r>
      <w:r>
        <w:rPr>
          <w:rFonts w:hint="eastAsia" w:hAnsi="宋体" w:cs="宋体"/>
          <w:b/>
        </w:rPr>
        <w:t>磋商须知前附表</w:t>
      </w:r>
      <w:r>
        <w:rPr>
          <w:rFonts w:hint="eastAsia" w:hAnsi="宋体" w:cs="宋体"/>
        </w:rPr>
        <w:t>。正本和副本的封面上应标记“正本”或“副本”的字样，当正本和副本有差异时，以正本为准。</w:t>
      </w:r>
    </w:p>
    <w:p w14:paraId="03B24EA5">
      <w:pPr>
        <w:pStyle w:val="23"/>
        <w:adjustRightInd w:val="0"/>
        <w:snapToGrid w:val="0"/>
        <w:spacing w:line="360" w:lineRule="auto"/>
        <w:ind w:firstLine="420" w:firstLineChars="200"/>
        <w:rPr>
          <w:rFonts w:hAnsi="宋体" w:cs="宋体"/>
        </w:rPr>
      </w:pPr>
      <w:r>
        <w:rPr>
          <w:rFonts w:hint="eastAsia" w:hAnsi="宋体" w:cs="宋体"/>
        </w:rPr>
        <w:t>21.2 响应文件正本和副本应按磋商文件要求签章处盖单位章和由法定代表人或其委托代理人签字；任何加行、涂改、增删，应有法定代表人或其委托代理人在旁边签字。否则，将导致响应文件无效。</w:t>
      </w:r>
    </w:p>
    <w:p w14:paraId="5ED9E5A7">
      <w:pPr>
        <w:pStyle w:val="23"/>
        <w:adjustRightInd w:val="0"/>
        <w:snapToGrid w:val="0"/>
        <w:spacing w:line="360" w:lineRule="auto"/>
        <w:ind w:firstLine="420" w:firstLineChars="200"/>
        <w:rPr>
          <w:rFonts w:hAnsi="宋体" w:cs="宋体"/>
        </w:rPr>
      </w:pPr>
      <w:r>
        <w:rPr>
          <w:rFonts w:hint="eastAsia" w:hAnsi="宋体" w:cs="宋体"/>
        </w:rPr>
        <w:t>21.3 在磋商过程中，供应商按磋商文件规定和磋商小组要求</w:t>
      </w:r>
      <w:r>
        <w:rPr>
          <w:rFonts w:hint="eastAsia" w:hAnsi="宋体" w:cs="宋体"/>
          <w:kern w:val="0"/>
        </w:rPr>
        <w:t>提交的</w:t>
      </w:r>
      <w:r>
        <w:rPr>
          <w:rFonts w:hint="eastAsia" w:hAnsi="宋体" w:cs="宋体"/>
        </w:rPr>
        <w:t>最后报价(或者</w:t>
      </w:r>
      <w:r>
        <w:rPr>
          <w:rFonts w:hint="eastAsia" w:hAnsi="宋体" w:cs="宋体"/>
          <w:bCs/>
        </w:rPr>
        <w:t>重</w:t>
      </w:r>
      <w:r>
        <w:rPr>
          <w:rFonts w:hint="eastAsia" w:hAnsi="宋体" w:cs="宋体"/>
          <w:kern w:val="0"/>
        </w:rPr>
        <w:t>新提交的响应文件和</w:t>
      </w:r>
      <w:r>
        <w:rPr>
          <w:rFonts w:hint="eastAsia" w:hAnsi="宋体" w:cs="宋体"/>
        </w:rPr>
        <w:t>最后报价)，一式两份，可打印或用不退色墨水书写，但需经法定代表人或其委托代理人签字，</w:t>
      </w:r>
      <w:r>
        <w:rPr>
          <w:rFonts w:hint="eastAsia" w:hAnsi="宋体" w:cs="宋体"/>
          <w:kern w:val="0"/>
        </w:rPr>
        <w:t>或者加盖供应商单位章</w:t>
      </w:r>
      <w:r>
        <w:rPr>
          <w:rFonts w:hint="eastAsia" w:hAnsi="宋体" w:cs="宋体"/>
        </w:rPr>
        <w:t>。否则，将导致响应文件无效。</w:t>
      </w:r>
    </w:p>
    <w:p w14:paraId="336B7F65">
      <w:pPr>
        <w:adjustRightInd w:val="0"/>
        <w:snapToGrid w:val="0"/>
        <w:spacing w:line="360" w:lineRule="auto"/>
        <w:rPr>
          <w:rFonts w:ascii="宋体" w:hAnsi="宋体" w:cs="宋体"/>
          <w:sz w:val="24"/>
        </w:rPr>
      </w:pPr>
      <w:r>
        <w:rPr>
          <w:rFonts w:hint="eastAsia" w:ascii="宋体" w:hAnsi="宋体" w:cs="宋体"/>
          <w:sz w:val="24"/>
        </w:rPr>
        <w:t>四、响应文件的递交</w:t>
      </w:r>
    </w:p>
    <w:p w14:paraId="62B16CEE">
      <w:pPr>
        <w:adjustRightInd w:val="0"/>
        <w:snapToGrid w:val="0"/>
        <w:spacing w:line="360" w:lineRule="auto"/>
        <w:rPr>
          <w:rFonts w:ascii="宋体" w:hAnsi="宋体" w:cs="宋体"/>
          <w:b/>
          <w:bCs/>
          <w:szCs w:val="21"/>
        </w:rPr>
      </w:pPr>
      <w:r>
        <w:rPr>
          <w:rFonts w:hint="eastAsia" w:ascii="宋体" w:hAnsi="宋体" w:cs="宋体"/>
          <w:b/>
          <w:bCs/>
          <w:szCs w:val="21"/>
        </w:rPr>
        <w:t>22.</w:t>
      </w:r>
      <w:r>
        <w:rPr>
          <w:rFonts w:hint="eastAsia" w:ascii="宋体" w:hAnsi="宋体" w:cs="宋体"/>
          <w:b/>
          <w:szCs w:val="21"/>
        </w:rPr>
        <w:t>响应文件</w:t>
      </w:r>
      <w:r>
        <w:rPr>
          <w:rFonts w:hint="eastAsia" w:ascii="宋体" w:hAnsi="宋体" w:cs="宋体"/>
          <w:b/>
          <w:bCs/>
          <w:szCs w:val="21"/>
        </w:rPr>
        <w:t>的密封和标记</w:t>
      </w:r>
    </w:p>
    <w:p w14:paraId="5150A48F">
      <w:pPr>
        <w:pStyle w:val="23"/>
        <w:adjustRightInd w:val="0"/>
        <w:snapToGrid w:val="0"/>
        <w:spacing w:line="360" w:lineRule="auto"/>
        <w:ind w:firstLine="420" w:firstLineChars="200"/>
        <w:rPr>
          <w:rFonts w:hAnsi="宋体" w:cs="宋体"/>
        </w:rPr>
      </w:pPr>
      <w:r>
        <w:rPr>
          <w:rFonts w:hint="eastAsia" w:hAnsi="宋体" w:cs="宋体"/>
        </w:rPr>
        <w:t>22.1响应文件应密封包装，加贴封条，并在封套的封口处盖供应商单位章或者由法定代表人或其委托代理人签字。</w:t>
      </w:r>
    </w:p>
    <w:p w14:paraId="3D09929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22.2响应文件封套上应写明的内容见</w:t>
      </w:r>
      <w:r>
        <w:rPr>
          <w:rFonts w:hint="eastAsia" w:ascii="宋体" w:hAnsi="宋体" w:cs="宋体"/>
          <w:b/>
          <w:szCs w:val="21"/>
        </w:rPr>
        <w:t>磋商须知前附表。</w:t>
      </w:r>
    </w:p>
    <w:p w14:paraId="7857F93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22.3响应文件如果未按上述规定密封和加写标记，采购人或采购代理机构将拒绝接收。</w:t>
      </w:r>
    </w:p>
    <w:p w14:paraId="3F92DCED">
      <w:pPr>
        <w:adjustRightInd w:val="0"/>
        <w:snapToGrid w:val="0"/>
        <w:spacing w:line="360" w:lineRule="auto"/>
        <w:rPr>
          <w:rFonts w:ascii="宋体" w:hAnsi="宋体" w:cs="宋体"/>
          <w:b/>
          <w:bCs/>
          <w:szCs w:val="21"/>
        </w:rPr>
      </w:pPr>
      <w:r>
        <w:rPr>
          <w:rFonts w:hint="eastAsia" w:ascii="宋体" w:hAnsi="宋体" w:cs="宋体"/>
          <w:b/>
          <w:bCs/>
          <w:szCs w:val="21"/>
        </w:rPr>
        <w:t>23.响应文件的</w:t>
      </w:r>
      <w:r>
        <w:rPr>
          <w:rFonts w:hint="eastAsia" w:ascii="宋体" w:hAnsi="宋体" w:cs="宋体"/>
          <w:b/>
          <w:kern w:val="0"/>
          <w:szCs w:val="21"/>
          <w:lang w:val="zh-CN"/>
        </w:rPr>
        <w:t>补充、修改或者撤回</w:t>
      </w:r>
    </w:p>
    <w:p w14:paraId="137752EC">
      <w:pPr>
        <w:pStyle w:val="23"/>
        <w:adjustRightInd w:val="0"/>
        <w:snapToGrid w:val="0"/>
        <w:spacing w:line="360" w:lineRule="auto"/>
        <w:ind w:firstLine="420" w:firstLineChars="200"/>
        <w:rPr>
          <w:rFonts w:hAnsi="宋体" w:cs="宋体"/>
        </w:rPr>
      </w:pPr>
      <w:r>
        <w:rPr>
          <w:rFonts w:hint="eastAsia" w:hAnsi="宋体" w:cs="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cs="宋体"/>
        </w:rPr>
        <w:t>该通知应有供应商法定代表人或其委托代理人签字。</w:t>
      </w:r>
    </w:p>
    <w:p w14:paraId="0F9D5331">
      <w:pPr>
        <w:pStyle w:val="23"/>
        <w:adjustRightInd w:val="0"/>
        <w:snapToGrid w:val="0"/>
        <w:spacing w:line="360" w:lineRule="auto"/>
        <w:ind w:firstLine="420" w:firstLineChars="200"/>
        <w:rPr>
          <w:rFonts w:hAnsi="宋体" w:cs="宋体"/>
        </w:rPr>
      </w:pPr>
      <w:r>
        <w:rPr>
          <w:rFonts w:hint="eastAsia" w:hAnsi="宋体" w:cs="宋体"/>
        </w:rPr>
        <w:t>23.2</w:t>
      </w:r>
      <w:r>
        <w:rPr>
          <w:rFonts w:hint="eastAsia" w:hAnsi="宋体" w:cs="宋体"/>
          <w:kern w:val="0"/>
          <w:lang w:val="zh-CN"/>
        </w:rPr>
        <w:t>补充、修改的内容与响应文件不一致时，以补充、修改的内容为准。</w:t>
      </w:r>
    </w:p>
    <w:p w14:paraId="3F1BB233">
      <w:pPr>
        <w:adjustRightInd w:val="0"/>
        <w:snapToGrid w:val="0"/>
        <w:spacing w:line="360" w:lineRule="auto"/>
        <w:rPr>
          <w:rFonts w:ascii="宋体" w:hAnsi="宋体" w:cs="宋体"/>
          <w:b/>
          <w:bCs/>
          <w:szCs w:val="21"/>
        </w:rPr>
      </w:pPr>
      <w:r>
        <w:rPr>
          <w:rFonts w:hint="eastAsia" w:ascii="宋体" w:hAnsi="宋体" w:cs="宋体"/>
          <w:b/>
          <w:bCs/>
          <w:szCs w:val="21"/>
        </w:rPr>
        <w:t>24.响应文件的递交与接收</w:t>
      </w:r>
    </w:p>
    <w:p w14:paraId="3A997AB5">
      <w:pPr>
        <w:adjustRightInd w:val="0"/>
        <w:snapToGrid w:val="0"/>
        <w:spacing w:line="360" w:lineRule="auto"/>
        <w:ind w:firstLine="420" w:firstLineChars="200"/>
        <w:rPr>
          <w:rFonts w:ascii="宋体" w:hAnsi="宋体" w:cs="宋体"/>
          <w:szCs w:val="21"/>
        </w:rPr>
      </w:pPr>
      <w:r>
        <w:rPr>
          <w:rFonts w:hint="eastAsia" w:ascii="宋体" w:hAnsi="宋体" w:cs="宋体"/>
          <w:szCs w:val="21"/>
        </w:rPr>
        <w:t>24.1 供应商应在</w:t>
      </w:r>
      <w:r>
        <w:rPr>
          <w:rFonts w:hint="eastAsia" w:ascii="宋体" w:hAnsi="宋体" w:cs="宋体"/>
          <w:kern w:val="0"/>
          <w:szCs w:val="21"/>
        </w:rPr>
        <w:t>提交首次响应文件截止时间</w:t>
      </w:r>
      <w:r>
        <w:rPr>
          <w:rFonts w:hint="eastAsia" w:ascii="宋体" w:hAnsi="宋体" w:cs="宋体"/>
          <w:szCs w:val="21"/>
        </w:rPr>
        <w:t>前，将响应文件送达</w:t>
      </w:r>
      <w:r>
        <w:rPr>
          <w:rFonts w:hint="eastAsia" w:ascii="宋体" w:hAnsi="宋体" w:cs="宋体"/>
          <w:b/>
          <w:szCs w:val="21"/>
        </w:rPr>
        <w:t>磋商须知前附表</w:t>
      </w:r>
      <w:r>
        <w:rPr>
          <w:rFonts w:hint="eastAsia" w:ascii="宋体" w:hAnsi="宋体" w:cs="宋体"/>
          <w:szCs w:val="21"/>
        </w:rPr>
        <w:t>中指定的地点。</w:t>
      </w:r>
      <w:r>
        <w:rPr>
          <w:rFonts w:hint="eastAsia" w:ascii="宋体" w:hAnsi="宋体" w:cs="宋体"/>
          <w:kern w:val="0"/>
        </w:rPr>
        <w:t>在截止时间后送达的响应文件，采购人、采购代理机构或者磋商小组应当拒收。</w:t>
      </w:r>
    </w:p>
    <w:p w14:paraId="452B1F85">
      <w:pPr>
        <w:pStyle w:val="23"/>
        <w:adjustRightInd w:val="0"/>
        <w:snapToGrid w:val="0"/>
        <w:spacing w:line="360" w:lineRule="auto"/>
        <w:ind w:firstLine="420" w:firstLineChars="200"/>
        <w:rPr>
          <w:rFonts w:hAnsi="宋体" w:cs="宋体"/>
        </w:rPr>
      </w:pPr>
      <w:r>
        <w:rPr>
          <w:rFonts w:hint="eastAsia" w:hAnsi="宋体" w:cs="宋体"/>
        </w:rPr>
        <w:t>24.2</w:t>
      </w:r>
      <w:r>
        <w:rPr>
          <w:rFonts w:hint="eastAsia" w:hAnsi="宋体" w:cs="宋体"/>
          <w:kern w:val="0"/>
        </w:rPr>
        <w:t>在提交首次响应文件截止时间后，</w:t>
      </w:r>
      <w:r>
        <w:rPr>
          <w:rFonts w:hint="eastAsia" w:hAnsi="宋体" w:cs="宋体"/>
        </w:rPr>
        <w:t>由</w:t>
      </w:r>
      <w:r>
        <w:rPr>
          <w:rFonts w:hint="eastAsia" w:hAnsi="宋体" w:cs="宋体"/>
          <w:bCs/>
        </w:rPr>
        <w:t>供应商代表</w:t>
      </w:r>
      <w:r>
        <w:rPr>
          <w:rFonts w:hint="eastAsia" w:hAnsi="宋体" w:cs="宋体"/>
        </w:rPr>
        <w:t>当场查验</w:t>
      </w:r>
      <w:r>
        <w:rPr>
          <w:rFonts w:hint="eastAsia" w:hAnsi="宋体" w:cs="宋体"/>
          <w:bCs/>
        </w:rPr>
        <w:t>响应文件</w:t>
      </w:r>
      <w:r>
        <w:rPr>
          <w:rFonts w:hint="eastAsia" w:hAnsi="宋体" w:cs="宋体"/>
        </w:rPr>
        <w:t>的密封状况，采购人或</w:t>
      </w:r>
      <w:r>
        <w:rPr>
          <w:rFonts w:hint="eastAsia" w:hAnsi="宋体" w:cs="宋体"/>
          <w:bCs/>
        </w:rPr>
        <w:t>采购代理机构</w:t>
      </w:r>
      <w:r>
        <w:rPr>
          <w:rFonts w:hint="eastAsia" w:hAnsi="宋体" w:cs="宋体"/>
        </w:rPr>
        <w:t>不当场拆封</w:t>
      </w:r>
      <w:r>
        <w:rPr>
          <w:rFonts w:hint="eastAsia" w:hAnsi="宋体" w:cs="宋体"/>
          <w:bCs/>
        </w:rPr>
        <w:t>响应文件</w:t>
      </w:r>
      <w:r>
        <w:rPr>
          <w:rFonts w:hint="eastAsia" w:hAnsi="宋体" w:cs="宋体"/>
        </w:rPr>
        <w:t>。</w:t>
      </w:r>
    </w:p>
    <w:p w14:paraId="36750CA9">
      <w:pPr>
        <w:adjustRightInd w:val="0"/>
        <w:snapToGrid w:val="0"/>
        <w:spacing w:line="360" w:lineRule="auto"/>
        <w:rPr>
          <w:rFonts w:ascii="宋体" w:hAnsi="宋体" w:cs="宋体"/>
          <w:sz w:val="24"/>
        </w:rPr>
      </w:pPr>
      <w:r>
        <w:rPr>
          <w:rFonts w:hint="eastAsia" w:ascii="宋体" w:hAnsi="宋体" w:cs="宋体"/>
          <w:sz w:val="24"/>
        </w:rPr>
        <w:t>五、响应文件的磋商与评审</w:t>
      </w:r>
    </w:p>
    <w:p w14:paraId="55BF9D93">
      <w:pPr>
        <w:tabs>
          <w:tab w:val="left" w:pos="0"/>
        </w:tabs>
        <w:adjustRightInd w:val="0"/>
        <w:snapToGrid w:val="0"/>
        <w:spacing w:line="360" w:lineRule="auto"/>
        <w:rPr>
          <w:rFonts w:ascii="宋体" w:hAnsi="宋体" w:cs="宋体"/>
          <w:b/>
          <w:bCs/>
          <w:szCs w:val="21"/>
        </w:rPr>
      </w:pPr>
      <w:r>
        <w:rPr>
          <w:rFonts w:hint="eastAsia" w:ascii="宋体" w:hAnsi="宋体" w:cs="宋体"/>
          <w:b/>
          <w:bCs/>
          <w:szCs w:val="21"/>
        </w:rPr>
        <w:t>25.磋商程序</w:t>
      </w:r>
    </w:p>
    <w:p w14:paraId="762AA158">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25.1磋商程序：响应文件审查、磋商（包括澄清）、响应文件评审、</w:t>
      </w:r>
      <w:r>
        <w:rPr>
          <w:rFonts w:hint="eastAsia" w:ascii="宋体" w:hAnsi="宋体" w:cs="宋体"/>
          <w:bCs/>
          <w:szCs w:val="21"/>
        </w:rPr>
        <w:t>提出成交供应商。其中，</w:t>
      </w:r>
      <w:r>
        <w:rPr>
          <w:rFonts w:hint="eastAsia" w:ascii="宋体" w:hAnsi="宋体" w:cs="宋体"/>
          <w:kern w:val="0"/>
          <w:szCs w:val="21"/>
        </w:rPr>
        <w:t>磋商按</w:t>
      </w:r>
      <w:r>
        <w:rPr>
          <w:rFonts w:hint="eastAsia" w:ascii="宋体" w:hAnsi="宋体" w:cs="宋体"/>
          <w:szCs w:val="21"/>
        </w:rPr>
        <w:t>本章</w:t>
      </w:r>
      <w:r>
        <w:rPr>
          <w:rFonts w:hint="eastAsia" w:ascii="宋体" w:hAnsi="宋体" w:cs="宋体"/>
        </w:rPr>
        <w:t>第30.1</w:t>
      </w:r>
      <w:r>
        <w:rPr>
          <w:rFonts w:hint="eastAsia" w:ascii="宋体" w:hAnsi="宋体" w:cs="宋体"/>
          <w:kern w:val="0"/>
          <w:szCs w:val="21"/>
          <w:lang w:val="zh-CN"/>
        </w:rPr>
        <w:t>款或者</w:t>
      </w:r>
      <w:r>
        <w:rPr>
          <w:rFonts w:hint="eastAsia" w:ascii="宋体" w:hAnsi="宋体" w:cs="宋体"/>
        </w:rPr>
        <w:t>第30.2</w:t>
      </w:r>
      <w:r>
        <w:rPr>
          <w:rFonts w:hint="eastAsia" w:ascii="宋体" w:hAnsi="宋体" w:cs="宋体"/>
          <w:kern w:val="0"/>
          <w:szCs w:val="21"/>
          <w:lang w:val="zh-CN"/>
        </w:rPr>
        <w:t>款</w:t>
      </w:r>
      <w:r>
        <w:rPr>
          <w:rFonts w:hint="eastAsia" w:ascii="宋体" w:hAnsi="宋体" w:cs="宋体"/>
        </w:rPr>
        <w:t>情形</w:t>
      </w:r>
      <w:r>
        <w:rPr>
          <w:rFonts w:hint="eastAsia" w:ascii="宋体" w:hAnsi="宋体" w:cs="宋体"/>
          <w:bCs/>
          <w:szCs w:val="21"/>
        </w:rPr>
        <w:t>进行。</w:t>
      </w:r>
    </w:p>
    <w:p w14:paraId="1EAF738E">
      <w:pPr>
        <w:widowControl/>
        <w:adjustRightInd w:val="0"/>
        <w:snapToGrid w:val="0"/>
        <w:spacing w:line="360" w:lineRule="auto"/>
        <w:rPr>
          <w:rFonts w:ascii="宋体" w:hAnsi="宋体" w:cs="宋体"/>
          <w:b/>
          <w:szCs w:val="21"/>
        </w:rPr>
      </w:pPr>
      <w:r>
        <w:rPr>
          <w:rFonts w:hint="eastAsia" w:ascii="宋体" w:hAnsi="宋体" w:cs="宋体"/>
          <w:b/>
          <w:kern w:val="0"/>
          <w:szCs w:val="21"/>
        </w:rPr>
        <w:t>26.</w:t>
      </w:r>
      <w:r>
        <w:rPr>
          <w:rFonts w:hint="eastAsia" w:ascii="宋体" w:hAnsi="宋体" w:cs="宋体"/>
        </w:rPr>
        <w:t xml:space="preserve"> </w:t>
      </w:r>
      <w:r>
        <w:rPr>
          <w:rFonts w:hint="eastAsia" w:ascii="宋体" w:hAnsi="宋体" w:cs="宋体"/>
          <w:b/>
          <w:kern w:val="0"/>
          <w:szCs w:val="21"/>
        </w:rPr>
        <w:t>响应文件审查</w:t>
      </w:r>
      <w:r>
        <w:rPr>
          <w:rFonts w:hint="eastAsia" w:ascii="宋体" w:hAnsi="宋体" w:cs="宋体"/>
          <w:b/>
          <w:szCs w:val="21"/>
        </w:rPr>
        <w:t xml:space="preserve"> </w:t>
      </w:r>
    </w:p>
    <w:p w14:paraId="108DBFAF">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26.1 资格性审查：根据本章第3.1项规定的供应商资格条件要求，对</w:t>
      </w:r>
      <w:r>
        <w:rPr>
          <w:rFonts w:hint="eastAsia" w:ascii="宋体" w:hAnsi="宋体" w:cs="宋体"/>
        </w:rPr>
        <w:t>响应</w:t>
      </w:r>
      <w:r>
        <w:rPr>
          <w:rFonts w:hint="eastAsia" w:ascii="宋体" w:hAnsi="宋体" w:cs="宋体"/>
          <w:szCs w:val="21"/>
        </w:rPr>
        <w:t>文件的资格证明等进行审查，以确定供应商是否具备磋商资格条件。</w:t>
      </w:r>
    </w:p>
    <w:p w14:paraId="1A5F6C57">
      <w:pPr>
        <w:adjustRightInd w:val="0"/>
        <w:snapToGrid w:val="0"/>
        <w:spacing w:line="360" w:lineRule="auto"/>
        <w:ind w:firstLine="420" w:firstLineChars="200"/>
        <w:rPr>
          <w:rFonts w:ascii="宋体" w:hAnsi="宋体" w:cs="宋体"/>
          <w:szCs w:val="21"/>
        </w:rPr>
      </w:pPr>
      <w:r>
        <w:rPr>
          <w:rFonts w:hint="eastAsia" w:ascii="宋体" w:hAnsi="宋体" w:cs="宋体"/>
          <w:szCs w:val="21"/>
        </w:rPr>
        <w:t>26.2符合性审查: 对响应文件(包括首次提交的响应文件、重新提交的响应文件)的有效性、完整性和响应程度进行审查，以确定是否对磋商文件的实质性要求作出响应。</w:t>
      </w:r>
    </w:p>
    <w:p w14:paraId="593D6114">
      <w:pPr>
        <w:adjustRightInd w:val="0"/>
        <w:snapToGrid w:val="0"/>
        <w:spacing w:line="360" w:lineRule="auto"/>
        <w:ind w:firstLine="420" w:firstLineChars="200"/>
        <w:rPr>
          <w:rFonts w:ascii="宋体" w:hAnsi="宋体" w:cs="宋体"/>
          <w:szCs w:val="21"/>
        </w:rPr>
      </w:pPr>
      <w:r>
        <w:rPr>
          <w:rFonts w:hint="eastAsia" w:ascii="宋体" w:hAnsi="宋体" w:cs="宋体"/>
          <w:szCs w:val="21"/>
        </w:rPr>
        <w:t>26.3响应文件审查结束后，磋商小组所有成员集中与单一供应商分别进行磋商，并给予所有参加磋商的供应商平等的磋商机会。供应商应派其法定代表人或委托代理人参加磋商。</w:t>
      </w:r>
    </w:p>
    <w:p w14:paraId="0E03D080">
      <w:pPr>
        <w:pStyle w:val="23"/>
        <w:adjustRightInd w:val="0"/>
        <w:snapToGrid w:val="0"/>
        <w:spacing w:line="360" w:lineRule="auto"/>
        <w:rPr>
          <w:rFonts w:hAnsi="宋体" w:cs="宋体"/>
          <w:b/>
          <w:kern w:val="0"/>
        </w:rPr>
      </w:pPr>
      <w:r>
        <w:rPr>
          <w:rFonts w:hint="eastAsia" w:hAnsi="宋体" w:cs="宋体"/>
          <w:b/>
          <w:kern w:val="0"/>
        </w:rPr>
        <w:t>27.实质性响应</w:t>
      </w:r>
    </w:p>
    <w:p w14:paraId="69543E13">
      <w:pPr>
        <w:pStyle w:val="23"/>
        <w:adjustRightInd w:val="0"/>
        <w:snapToGrid w:val="0"/>
        <w:spacing w:line="360" w:lineRule="auto"/>
        <w:ind w:firstLine="420" w:firstLineChars="200"/>
        <w:rPr>
          <w:rFonts w:hAnsi="宋体" w:cs="宋体"/>
          <w:kern w:val="0"/>
          <w:u w:val="single"/>
        </w:rPr>
      </w:pPr>
      <w:r>
        <w:rPr>
          <w:rFonts w:hint="eastAsia" w:hAnsi="宋体" w:cs="宋体"/>
          <w:kern w:val="0"/>
        </w:rPr>
        <w:t>27.1</w:t>
      </w:r>
      <w:r>
        <w:rPr>
          <w:rFonts w:hint="eastAsia" w:hAnsi="宋体" w:cs="宋体"/>
        </w:rPr>
        <w:t>实质性响应是指响应文件(包括首次响应文件、重新提交的响应文件)与磋商文件要求的所有条款、条件和规格相符，没有偏离。偏离指不满足、或不响应磋商文件的要求。</w:t>
      </w:r>
    </w:p>
    <w:p w14:paraId="1C3EC9AF">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s="宋体"/>
          <w:szCs w:val="21"/>
        </w:rPr>
      </w:pPr>
      <w:r>
        <w:rPr>
          <w:rFonts w:hint="eastAsia" w:ascii="宋体" w:hAnsi="宋体" w:cs="宋体"/>
          <w:szCs w:val="21"/>
        </w:rPr>
        <w:t>27.2</w:t>
      </w:r>
      <w:r>
        <w:rPr>
          <w:rFonts w:hint="eastAsia" w:ascii="宋体" w:hAnsi="宋体" w:cs="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cs="宋体"/>
          <w:szCs w:val="21"/>
        </w:rPr>
        <w:t>决定</w:t>
      </w:r>
      <w:r>
        <w:rPr>
          <w:rFonts w:hint="eastAsia" w:ascii="宋体" w:hAnsi="宋体" w:cs="宋体"/>
        </w:rPr>
        <w:t>响应文件</w:t>
      </w:r>
      <w:r>
        <w:rPr>
          <w:rFonts w:hint="eastAsia" w:ascii="宋体" w:hAnsi="宋体" w:cs="宋体"/>
          <w:szCs w:val="21"/>
        </w:rPr>
        <w:t>的响应性只根据</w:t>
      </w:r>
      <w:r>
        <w:rPr>
          <w:rFonts w:hint="eastAsia" w:ascii="宋体" w:hAnsi="宋体" w:cs="宋体"/>
        </w:rPr>
        <w:t>响应文件</w:t>
      </w:r>
      <w:r>
        <w:rPr>
          <w:rFonts w:hint="eastAsia" w:ascii="宋体" w:hAnsi="宋体" w:cs="宋体"/>
          <w:szCs w:val="21"/>
        </w:rPr>
        <w:t>本身的真实无误的内容，而不依据外部的证据。</w:t>
      </w:r>
    </w:p>
    <w:p w14:paraId="0F871D30">
      <w:pPr>
        <w:pStyle w:val="23"/>
        <w:adjustRightInd w:val="0"/>
        <w:snapToGrid w:val="0"/>
        <w:spacing w:line="360" w:lineRule="auto"/>
        <w:rPr>
          <w:rFonts w:hAnsi="宋体" w:cs="宋体"/>
          <w:b/>
          <w:kern w:val="0"/>
        </w:rPr>
      </w:pPr>
      <w:r>
        <w:rPr>
          <w:rFonts w:hint="eastAsia" w:hAnsi="宋体" w:cs="宋体"/>
          <w:b/>
          <w:kern w:val="0"/>
        </w:rPr>
        <w:t xml:space="preserve">28.无效响应 </w:t>
      </w:r>
    </w:p>
    <w:p w14:paraId="63E8D685">
      <w:pPr>
        <w:pStyle w:val="23"/>
        <w:adjustRightInd w:val="0"/>
        <w:snapToGrid w:val="0"/>
        <w:spacing w:line="360" w:lineRule="auto"/>
        <w:ind w:firstLine="411" w:firstLineChars="196"/>
        <w:rPr>
          <w:rFonts w:hAnsi="宋体" w:cs="宋体"/>
          <w:b/>
          <w:kern w:val="0"/>
        </w:rPr>
      </w:pPr>
      <w:r>
        <w:rPr>
          <w:rFonts w:hint="eastAsia" w:hAnsi="宋体" w:cs="宋体"/>
          <w:kern w:val="0"/>
        </w:rPr>
        <w:t>28.1</w:t>
      </w:r>
      <w:r>
        <w:rPr>
          <w:rFonts w:hint="eastAsia" w:hAnsi="宋体" w:cs="宋体"/>
        </w:rPr>
        <w:t>磋商小组在对资格性和符合性进行审查时，有下列情况之一的，属无效响应，</w:t>
      </w:r>
      <w:r>
        <w:rPr>
          <w:rFonts w:hint="eastAsia" w:hAnsi="宋体" w:cs="宋体"/>
          <w:kern w:val="0"/>
        </w:rPr>
        <w:t>磋商小组应当告知有关供应商</w:t>
      </w:r>
      <w:r>
        <w:rPr>
          <w:rFonts w:hint="eastAsia" w:hAnsi="宋体" w:cs="宋体"/>
        </w:rPr>
        <w:t>：</w:t>
      </w:r>
    </w:p>
    <w:p w14:paraId="775F7B4B">
      <w:pPr>
        <w:adjustRightInd w:val="0"/>
        <w:snapToGrid w:val="0"/>
        <w:spacing w:line="360" w:lineRule="auto"/>
        <w:ind w:firstLine="420" w:firstLineChars="200"/>
        <w:rPr>
          <w:rFonts w:ascii="宋体" w:hAnsi="宋体" w:cs="宋体"/>
          <w:szCs w:val="21"/>
        </w:rPr>
      </w:pPr>
      <w:r>
        <w:rPr>
          <w:rFonts w:hint="eastAsia" w:ascii="宋体" w:hAnsi="宋体" w:cs="宋体"/>
          <w:szCs w:val="21"/>
        </w:rPr>
        <w:t>（1）供应商不具备本章第3.1款规定的供应商资格条件要求，或存在本章第3.3款情形的；</w:t>
      </w:r>
    </w:p>
    <w:p w14:paraId="2D1DFDA7">
      <w:pPr>
        <w:adjustRightInd w:val="0"/>
        <w:snapToGrid w:val="0"/>
        <w:spacing w:line="360" w:lineRule="auto"/>
        <w:ind w:firstLine="420" w:firstLineChars="200"/>
        <w:rPr>
          <w:rFonts w:ascii="宋体" w:hAnsi="宋体" w:cs="宋体"/>
          <w:szCs w:val="21"/>
        </w:rPr>
      </w:pPr>
      <w:r>
        <w:rPr>
          <w:rFonts w:hint="eastAsia" w:ascii="宋体" w:hAnsi="宋体" w:cs="宋体"/>
          <w:szCs w:val="21"/>
        </w:rPr>
        <w:t>（2）联合体不符合本章第3.2款规定的；</w:t>
      </w:r>
    </w:p>
    <w:p w14:paraId="5FA9C2D0">
      <w:pPr>
        <w:adjustRightInd w:val="0"/>
        <w:snapToGrid w:val="0"/>
        <w:spacing w:line="360" w:lineRule="auto"/>
        <w:ind w:firstLine="420" w:firstLineChars="200"/>
        <w:rPr>
          <w:rFonts w:ascii="宋体" w:hAnsi="宋体" w:cs="宋体"/>
          <w:szCs w:val="21"/>
        </w:rPr>
      </w:pPr>
      <w:r>
        <w:rPr>
          <w:rFonts w:hint="eastAsia" w:ascii="宋体" w:hAnsi="宋体" w:cs="宋体"/>
          <w:szCs w:val="21"/>
        </w:rPr>
        <w:t>（3）应交未交磋商保证金或金额不足、磋商保证金缴纳形式不符合磋商文件要求的；</w:t>
      </w:r>
    </w:p>
    <w:p w14:paraId="0CC54EDB">
      <w:pPr>
        <w:adjustRightInd w:val="0"/>
        <w:snapToGrid w:val="0"/>
        <w:spacing w:line="360" w:lineRule="auto"/>
        <w:ind w:firstLine="420" w:firstLineChars="200"/>
        <w:rPr>
          <w:rFonts w:ascii="宋体" w:hAnsi="宋体" w:cs="宋体"/>
          <w:szCs w:val="21"/>
        </w:rPr>
      </w:pPr>
      <w:r>
        <w:rPr>
          <w:rFonts w:hint="eastAsia" w:ascii="宋体" w:hAnsi="宋体" w:cs="宋体"/>
          <w:szCs w:val="21"/>
        </w:rPr>
        <w:t>（4）响应文件未按照磋商文件要求签署、盖章的；</w:t>
      </w:r>
    </w:p>
    <w:p w14:paraId="570DBF9F">
      <w:pPr>
        <w:adjustRightInd w:val="0"/>
        <w:snapToGrid w:val="0"/>
        <w:spacing w:line="360" w:lineRule="auto"/>
        <w:ind w:firstLine="420" w:firstLineChars="200"/>
        <w:rPr>
          <w:rFonts w:ascii="宋体" w:hAnsi="宋体" w:cs="宋体"/>
          <w:szCs w:val="21"/>
        </w:rPr>
      </w:pPr>
      <w:r>
        <w:rPr>
          <w:rFonts w:hint="eastAsia" w:ascii="宋体" w:hAnsi="宋体" w:cs="宋体"/>
          <w:szCs w:val="21"/>
        </w:rPr>
        <w:t>（4）响应文件不满足本章第27.1款规定的实质性要求的；</w:t>
      </w:r>
    </w:p>
    <w:p w14:paraId="16A4AB8F">
      <w:pPr>
        <w:adjustRightInd w:val="0"/>
        <w:snapToGrid w:val="0"/>
        <w:spacing w:line="360" w:lineRule="auto"/>
        <w:ind w:firstLine="420" w:firstLineChars="200"/>
        <w:rPr>
          <w:rFonts w:ascii="宋体" w:hAnsi="宋体" w:cs="宋体"/>
          <w:szCs w:val="21"/>
        </w:rPr>
      </w:pPr>
      <w:r>
        <w:rPr>
          <w:rFonts w:hint="eastAsia" w:ascii="宋体" w:hAnsi="宋体" w:cs="宋体"/>
          <w:szCs w:val="21"/>
        </w:rPr>
        <w:t>（5）报价超过采购项目预算的；</w:t>
      </w:r>
    </w:p>
    <w:p w14:paraId="26871416">
      <w:pPr>
        <w:adjustRightInd w:val="0"/>
        <w:snapToGrid w:val="0"/>
        <w:spacing w:line="360" w:lineRule="auto"/>
        <w:ind w:firstLine="420" w:firstLineChars="200"/>
        <w:rPr>
          <w:rFonts w:ascii="宋体" w:hAnsi="宋体" w:cs="宋体"/>
          <w:szCs w:val="21"/>
        </w:rPr>
      </w:pPr>
      <w:r>
        <w:rPr>
          <w:rFonts w:hint="eastAsia" w:ascii="宋体" w:hAnsi="宋体" w:cs="宋体"/>
          <w:szCs w:val="21"/>
        </w:rPr>
        <w:t>（6）响应文件有效期不足的；</w:t>
      </w:r>
    </w:p>
    <w:p w14:paraId="697D4D2E">
      <w:pPr>
        <w:adjustRightInd w:val="0"/>
        <w:snapToGrid w:val="0"/>
        <w:spacing w:line="360" w:lineRule="auto"/>
        <w:ind w:firstLine="420" w:firstLineChars="200"/>
        <w:rPr>
          <w:rFonts w:ascii="宋体" w:hAnsi="宋体" w:cs="宋体"/>
          <w:szCs w:val="21"/>
        </w:rPr>
      </w:pPr>
      <w:r>
        <w:rPr>
          <w:rFonts w:hint="eastAsia" w:ascii="宋体" w:hAnsi="宋体" w:cs="宋体"/>
          <w:szCs w:val="21"/>
        </w:rPr>
        <w:t>（7）响应文件不符合法律、规章、规范性文件和磋商文件规定及要求的。</w:t>
      </w:r>
    </w:p>
    <w:p w14:paraId="7C37FE73">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29.澄清</w:t>
      </w:r>
    </w:p>
    <w:p w14:paraId="2185D12C">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0945E5E8">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B08036C">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30.磋商</w:t>
      </w:r>
    </w:p>
    <w:p w14:paraId="517AB961">
      <w:pPr>
        <w:widowControl/>
        <w:adjustRightInd w:val="0"/>
        <w:snapToGrid w:val="0"/>
        <w:spacing w:line="360" w:lineRule="auto"/>
        <w:ind w:firstLine="420"/>
        <w:jc w:val="left"/>
        <w:rPr>
          <w:rFonts w:ascii="宋体" w:hAnsi="宋体" w:cs="宋体"/>
          <w:kern w:val="0"/>
          <w:szCs w:val="21"/>
          <w:lang w:val="zh-CN"/>
        </w:rPr>
      </w:pPr>
      <w:r>
        <w:rPr>
          <w:rFonts w:hint="eastAsia" w:ascii="宋体" w:hAnsi="宋体" w:cs="宋体"/>
          <w:kern w:val="0"/>
          <w:szCs w:val="21"/>
        </w:rPr>
        <w:t>30.1</w:t>
      </w:r>
      <w:r>
        <w:rPr>
          <w:rFonts w:hint="eastAsia" w:ascii="宋体" w:hAnsi="宋体" w:cs="宋体"/>
        </w:rPr>
        <w:t>本章第10.2项</w:t>
      </w:r>
      <w:r>
        <w:rPr>
          <w:rFonts w:hint="eastAsia" w:ascii="宋体" w:hAnsi="宋体" w:cs="宋体"/>
          <w:kern w:val="0"/>
          <w:szCs w:val="21"/>
        </w:rPr>
        <w:t>未明确磋商文件实质性变动内容的，或者磋商文件明确了可能发生实质性变动内容，但在磋商过程中，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磋商文件无需发生实质性变动的，磋商小组应当直接与响应文件审查合格的供应商就价格组织多轮磋商。</w:t>
      </w:r>
    </w:p>
    <w:p w14:paraId="7211F32F">
      <w:pPr>
        <w:widowControl/>
        <w:tabs>
          <w:tab w:val="left" w:pos="1080"/>
          <w:tab w:val="left" w:pos="1260"/>
        </w:tabs>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34B2BFD4">
      <w:pPr>
        <w:widowControl/>
        <w:tabs>
          <w:tab w:val="left" w:pos="1080"/>
          <w:tab w:val="left" w:pos="1260"/>
        </w:tabs>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磋商文件无需发生实质性变动的，磋商小组不另行通知。</w:t>
      </w:r>
    </w:p>
    <w:p w14:paraId="2812CE9F">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30.2</w:t>
      </w:r>
      <w:r>
        <w:rPr>
          <w:rFonts w:hint="eastAsia" w:ascii="宋体" w:hAnsi="宋体" w:cs="宋体"/>
        </w:rPr>
        <w:t>本章第10.2</w:t>
      </w:r>
      <w:r>
        <w:rPr>
          <w:rFonts w:hint="eastAsia" w:ascii="宋体" w:hAnsi="宋体" w:cs="宋体"/>
          <w:kern w:val="0"/>
          <w:szCs w:val="21"/>
          <w:lang w:val="zh-CN"/>
        </w:rPr>
        <w:t>款</w:t>
      </w:r>
      <w:r>
        <w:rPr>
          <w:rFonts w:hint="eastAsia" w:ascii="宋体" w:hAnsi="宋体" w:cs="宋体"/>
          <w:kern w:val="0"/>
          <w:szCs w:val="21"/>
        </w:rPr>
        <w:t>明确磋商文件实质性变动内容的，</w:t>
      </w:r>
      <w:r>
        <w:rPr>
          <w:rFonts w:hint="eastAsia" w:ascii="宋体" w:hAnsi="宋体" w:cs="宋体"/>
          <w:bCs/>
          <w:szCs w:val="21"/>
        </w:rPr>
        <w:t>磋商小组</w:t>
      </w:r>
      <w:r>
        <w:rPr>
          <w:rFonts w:hint="eastAsia" w:ascii="宋体" w:hAnsi="宋体" w:cs="宋体"/>
          <w:kern w:val="0"/>
          <w:szCs w:val="21"/>
        </w:rPr>
        <w:t>可以组织多轮磋商。</w:t>
      </w:r>
      <w:r>
        <w:rPr>
          <w:rFonts w:hint="eastAsia" w:ascii="宋体" w:hAnsi="宋体" w:cs="宋体"/>
          <w:bCs/>
          <w:szCs w:val="21"/>
        </w:rPr>
        <w:t>在每一轮磋商中，磋商小组</w:t>
      </w:r>
      <w:r>
        <w:rPr>
          <w:rFonts w:hint="eastAsia" w:ascii="宋体" w:hAnsi="宋体" w:cs="宋体"/>
          <w:kern w:val="0"/>
          <w:szCs w:val="21"/>
        </w:rPr>
        <w:t>可以根据磋商文件规定和磋商情况，</w:t>
      </w:r>
      <w:r>
        <w:rPr>
          <w:rFonts w:hint="eastAsia" w:ascii="宋体" w:hAnsi="宋体" w:cs="宋体"/>
          <w:bCs/>
          <w:szCs w:val="21"/>
        </w:rPr>
        <w:t>对磋商文件的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新提交响应文件</w:t>
      </w:r>
      <w:r>
        <w:rPr>
          <w:rFonts w:hint="eastAsia" w:ascii="宋体" w:hAnsi="宋体" w:cs="宋体"/>
          <w:bCs/>
          <w:szCs w:val="21"/>
        </w:rPr>
        <w:t>。</w:t>
      </w:r>
      <w:r>
        <w:rPr>
          <w:rFonts w:hint="eastAsia" w:ascii="宋体" w:hAnsi="宋体" w:cs="宋体"/>
          <w:kern w:val="0"/>
          <w:szCs w:val="21"/>
        </w:rPr>
        <w:t>磋商小组应当</w:t>
      </w:r>
      <w:r>
        <w:rPr>
          <w:rFonts w:hint="eastAsia" w:ascii="宋体" w:hAnsi="宋体" w:cs="宋体"/>
          <w:szCs w:val="21"/>
        </w:rPr>
        <w:t>根据本章第26.2</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71E0FCA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2D418A69">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844F20">
      <w:pPr>
        <w:widowControl/>
        <w:adjustRightInd w:val="0"/>
        <w:snapToGrid w:val="0"/>
        <w:spacing w:line="360" w:lineRule="auto"/>
        <w:ind w:firstLine="420"/>
        <w:jc w:val="left"/>
        <w:rPr>
          <w:rFonts w:ascii="宋体" w:hAnsi="宋体" w:cs="宋体"/>
          <w:bCs/>
          <w:szCs w:val="21"/>
        </w:rPr>
      </w:pPr>
      <w:r>
        <w:rPr>
          <w:rFonts w:hint="eastAsia" w:ascii="宋体" w:hAnsi="宋体" w:cs="宋体"/>
          <w:bCs/>
          <w:szCs w:val="21"/>
        </w:rPr>
        <w:t>30.3</w:t>
      </w:r>
      <w:r>
        <w:rPr>
          <w:rFonts w:hint="eastAsia" w:ascii="宋体" w:hAnsi="宋体" w:cs="宋体"/>
        </w:rPr>
        <w:t xml:space="preserve"> </w:t>
      </w:r>
      <w:r>
        <w:rPr>
          <w:rFonts w:hint="eastAsia" w:ascii="宋体" w:hAnsi="宋体" w:cs="宋体"/>
          <w:bCs/>
        </w:rPr>
        <w:t>重</w:t>
      </w:r>
      <w:r>
        <w:rPr>
          <w:rFonts w:hint="eastAsia" w:ascii="宋体" w:hAnsi="宋体" w:cs="宋体"/>
          <w:kern w:val="0"/>
        </w:rPr>
        <w:t>新提交的响应文件</w:t>
      </w:r>
      <w:r>
        <w:rPr>
          <w:rFonts w:hint="eastAsia" w:ascii="宋体" w:hAnsi="宋体" w:cs="宋体"/>
        </w:rPr>
        <w:t>或者最后报价应按</w:t>
      </w:r>
      <w:r>
        <w:rPr>
          <w:rFonts w:hint="eastAsia" w:ascii="宋体" w:hAnsi="宋体" w:cs="宋体"/>
          <w:kern w:val="0"/>
          <w:szCs w:val="21"/>
        </w:rPr>
        <w:t>本章第</w:t>
      </w:r>
      <w:r>
        <w:rPr>
          <w:rFonts w:hint="eastAsia" w:ascii="宋体" w:hAnsi="宋体" w:cs="宋体"/>
        </w:rPr>
        <w:t>21.3</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cs="宋体"/>
          <w:bCs/>
          <w:szCs w:val="21"/>
        </w:rPr>
        <w:t>。</w:t>
      </w:r>
    </w:p>
    <w:p w14:paraId="3A0AF6F1">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30.4</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w:t>
      </w:r>
      <w:r>
        <w:rPr>
          <w:rFonts w:hint="eastAsia" w:ascii="宋体" w:hAnsi="宋体" w:cs="宋体"/>
          <w:bCs/>
          <w:szCs w:val="21"/>
        </w:rPr>
        <w:t>报价及</w:t>
      </w:r>
      <w:r>
        <w:rPr>
          <w:rFonts w:hint="eastAsia" w:ascii="宋体" w:hAnsi="宋体" w:cs="宋体"/>
          <w:kern w:val="0"/>
          <w:szCs w:val="21"/>
        </w:rPr>
        <w:t>政府采购政策规定的价格扣除情况，磋商小组应召集所有参加最后报价的供应商当场开封</w:t>
      </w:r>
      <w:r>
        <w:rPr>
          <w:rFonts w:hint="eastAsia" w:ascii="宋体" w:hAnsi="宋体" w:cs="宋体"/>
          <w:bCs/>
          <w:szCs w:val="21"/>
        </w:rPr>
        <w:t>公布，并由供应商代表签字确认。</w:t>
      </w:r>
    </w:p>
    <w:p w14:paraId="174CC7E1">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30.5提交首次响应文件的供应商，在提交最后报价之前，可以根据磋商情况退出磋商，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cs="宋体"/>
        </w:rPr>
        <w:t>该通知由供应商法定代表人或其委托代理人签字。</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cs="宋体"/>
        </w:rPr>
        <w:t>19.4</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退还退出磋商的供应商的磋商保证金。</w:t>
      </w:r>
    </w:p>
    <w:p w14:paraId="166A22C3">
      <w:pPr>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30.6</w:t>
      </w:r>
      <w:r>
        <w:rPr>
          <w:rFonts w:hint="eastAsia" w:ascii="宋体" w:hAnsi="宋体" w:cs="宋体"/>
          <w:kern w:val="0"/>
          <w:szCs w:val="21"/>
        </w:rPr>
        <w:t>提交首次响应文件的供应商，未按磋商文件规定及磋商小组要求提交最后报价(或者</w:t>
      </w:r>
      <w:r>
        <w:rPr>
          <w:rFonts w:hint="eastAsia" w:ascii="宋体" w:hAnsi="宋体" w:cs="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cs="宋体"/>
        </w:rPr>
        <w:t>30.5</w:t>
      </w:r>
      <w:r>
        <w:rPr>
          <w:rFonts w:hint="eastAsia" w:ascii="宋体" w:hAnsi="宋体" w:cs="宋体"/>
          <w:kern w:val="0"/>
          <w:szCs w:val="21"/>
          <w:lang w:val="zh-CN"/>
        </w:rPr>
        <w:t>款</w:t>
      </w:r>
      <w:r>
        <w:rPr>
          <w:rFonts w:hint="eastAsia" w:ascii="宋体" w:hAnsi="宋体" w:cs="宋体"/>
        </w:rPr>
        <w:t>规定</w:t>
      </w:r>
      <w:r>
        <w:rPr>
          <w:rFonts w:hint="eastAsia" w:ascii="宋体" w:hAnsi="宋体" w:cs="宋体"/>
          <w:kern w:val="0"/>
          <w:szCs w:val="21"/>
        </w:rPr>
        <w:t>退出磋商的，供应商的磋商保证金不予退还。</w:t>
      </w:r>
    </w:p>
    <w:p w14:paraId="099FAE0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30.7磋商文件在磋商过程中未发生实质性变动的，参加磋商供应商的次轮报价不得高于上轮报价，否则视为无效响应。</w:t>
      </w:r>
    </w:p>
    <w:p w14:paraId="242712F9">
      <w:pPr>
        <w:widowControl/>
        <w:adjustRightInd w:val="0"/>
        <w:snapToGrid w:val="0"/>
        <w:spacing w:line="360" w:lineRule="auto"/>
        <w:jc w:val="left"/>
        <w:rPr>
          <w:rFonts w:ascii="宋体" w:hAnsi="宋体" w:cs="宋体"/>
          <w:b/>
          <w:bCs/>
          <w:szCs w:val="21"/>
        </w:rPr>
      </w:pPr>
      <w:r>
        <w:rPr>
          <w:rFonts w:hint="eastAsia" w:ascii="宋体" w:hAnsi="宋体" w:cs="宋体"/>
          <w:b/>
          <w:kern w:val="0"/>
          <w:szCs w:val="21"/>
        </w:rPr>
        <w:t>31.响应文件评审</w:t>
      </w:r>
    </w:p>
    <w:p w14:paraId="4D39B116">
      <w:pPr>
        <w:widowControl/>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31.1经磋商确定最终采购需求和提交最后报价的供应商后，由磋商小组采用综合评分法对提交最后报价的供应商的响应文件和最后报价进行综合评价。</w:t>
      </w:r>
    </w:p>
    <w:p w14:paraId="464DD93B">
      <w:pPr>
        <w:widowControl/>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bCs/>
          <w:szCs w:val="21"/>
        </w:rPr>
        <w:t>磋商须知前附表。</w:t>
      </w:r>
    </w:p>
    <w:p w14:paraId="0A9BCAD3">
      <w:pPr>
        <w:widowControl/>
        <w:adjustRightInd w:val="0"/>
        <w:snapToGrid w:val="0"/>
        <w:spacing w:before="120" w:beforeLines="50" w:line="360" w:lineRule="auto"/>
        <w:ind w:firstLine="420" w:firstLineChars="200"/>
        <w:jc w:val="left"/>
        <w:rPr>
          <w:rFonts w:ascii="宋体" w:hAnsi="宋体" w:cs="宋体"/>
          <w:bCs/>
          <w:szCs w:val="21"/>
        </w:rPr>
      </w:pPr>
      <w:r>
        <w:rPr>
          <w:rFonts w:hint="eastAsia" w:ascii="宋体" w:hAnsi="宋体" w:cs="宋体"/>
          <w:kern w:val="0"/>
          <w:szCs w:val="21"/>
        </w:rPr>
        <w:t>31.3</w:t>
      </w:r>
      <w:r>
        <w:rPr>
          <w:rFonts w:hint="eastAsia" w:ascii="宋体" w:hAnsi="宋体" w:cs="宋体"/>
          <w:szCs w:val="21"/>
        </w:rPr>
        <w:t>最后报价调整。磋商小组以各供应商最后报价为基础，按照符合政府采购支持小微企业发展的相应条件，对供应商的最后报价进行价格扣除，用扣除后的最后报价计算价格得分，具体价格扣除比例见</w:t>
      </w:r>
      <w:r>
        <w:rPr>
          <w:rFonts w:hint="eastAsia" w:ascii="宋体" w:hAnsi="宋体" w:cs="宋体"/>
          <w:b/>
          <w:szCs w:val="21"/>
        </w:rPr>
        <w:t>磋商须知前附表</w:t>
      </w:r>
      <w:r>
        <w:rPr>
          <w:rFonts w:hint="eastAsia" w:ascii="宋体" w:hAnsi="宋体" w:cs="宋体"/>
          <w:szCs w:val="21"/>
        </w:rPr>
        <w:t>。</w:t>
      </w:r>
    </w:p>
    <w:p w14:paraId="6B99365F">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1A06389A">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磋商报价得分=（磋商基准价/最后磋商报价）×价格分值</w:t>
      </w:r>
    </w:p>
    <w:p w14:paraId="3FA3351C">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项目评审过程中，不得去掉最后报价中的最高报价和最低报价。</w:t>
      </w:r>
    </w:p>
    <w:p w14:paraId="6530A556">
      <w:pPr>
        <w:widowControl/>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bCs/>
          <w:szCs w:val="21"/>
        </w:rPr>
        <w:t>31.5</w:t>
      </w:r>
      <w:r>
        <w:rPr>
          <w:rFonts w:hint="eastAsia" w:ascii="宋体" w:hAnsi="宋体" w:cs="宋体"/>
          <w:szCs w:val="21"/>
        </w:rPr>
        <w:t>涉及政府采购政策优惠对供应商分值进行调整的，</w:t>
      </w:r>
      <w:r>
        <w:rPr>
          <w:rFonts w:hint="eastAsia" w:ascii="宋体" w:hAnsi="宋体" w:cs="宋体"/>
          <w:bCs/>
          <w:szCs w:val="21"/>
        </w:rPr>
        <w:t>按</w:t>
      </w:r>
      <w:r>
        <w:rPr>
          <w:rFonts w:hint="eastAsia" w:ascii="宋体" w:hAnsi="宋体" w:cs="宋体"/>
          <w:b/>
          <w:szCs w:val="21"/>
        </w:rPr>
        <w:t>磋商须知前附表</w:t>
      </w:r>
      <w:r>
        <w:rPr>
          <w:rFonts w:hint="eastAsia" w:ascii="宋体" w:hAnsi="宋体" w:cs="宋体"/>
          <w:bCs/>
          <w:szCs w:val="21"/>
        </w:rPr>
        <w:t>规定</w:t>
      </w:r>
      <w:r>
        <w:rPr>
          <w:rFonts w:hint="eastAsia" w:ascii="宋体" w:hAnsi="宋体" w:cs="宋体"/>
          <w:szCs w:val="21"/>
        </w:rPr>
        <w:t>调整供应商的技术、商务、价格</w:t>
      </w:r>
      <w:r>
        <w:rPr>
          <w:rFonts w:hint="eastAsia" w:ascii="宋体" w:hAnsi="宋体" w:cs="宋体"/>
          <w:kern w:val="0"/>
          <w:szCs w:val="21"/>
        </w:rPr>
        <w:t>得分或总得分</w:t>
      </w:r>
      <w:r>
        <w:rPr>
          <w:rFonts w:hint="eastAsia" w:ascii="宋体" w:hAnsi="宋体" w:cs="宋体"/>
          <w:szCs w:val="21"/>
        </w:rPr>
        <w:t>。</w:t>
      </w:r>
    </w:p>
    <w:p w14:paraId="2647B33D">
      <w:pPr>
        <w:widowControl/>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kern w:val="0"/>
          <w:szCs w:val="21"/>
        </w:rPr>
        <w:t>31.7</w:t>
      </w:r>
      <w:r>
        <w:rPr>
          <w:rFonts w:hint="eastAsia" w:ascii="宋体" w:hAnsi="宋体" w:cs="宋体"/>
          <w:szCs w:val="21"/>
        </w:rPr>
        <w:t>评审时，磋商小组各成员应当独立对每个供应商的</w:t>
      </w:r>
      <w:r>
        <w:rPr>
          <w:rFonts w:hint="eastAsia" w:ascii="宋体" w:hAnsi="宋体" w:cs="宋体"/>
          <w:bCs/>
          <w:szCs w:val="21"/>
        </w:rPr>
        <w:t>响应文件</w:t>
      </w:r>
      <w:r>
        <w:rPr>
          <w:rFonts w:hint="eastAsia" w:ascii="宋体" w:hAnsi="宋体" w:cs="宋体"/>
          <w:szCs w:val="21"/>
        </w:rPr>
        <w:t>进行评价、评分，并按照政府采购优惠政策对最后报价进行价格扣除和技术、商务、价格加分后，汇总各供应商的总得分。</w:t>
      </w:r>
    </w:p>
    <w:p w14:paraId="26D4A457">
      <w:pPr>
        <w:widowControl/>
        <w:adjustRightInd w:val="0"/>
        <w:snapToGrid w:val="0"/>
        <w:spacing w:line="360" w:lineRule="auto"/>
        <w:jc w:val="left"/>
        <w:rPr>
          <w:rFonts w:ascii="宋体" w:hAnsi="宋体" w:cs="宋体"/>
          <w:b/>
          <w:bCs/>
          <w:szCs w:val="21"/>
        </w:rPr>
      </w:pPr>
      <w:r>
        <w:rPr>
          <w:rFonts w:hint="eastAsia" w:ascii="宋体" w:hAnsi="宋体" w:cs="宋体"/>
          <w:b/>
          <w:bCs/>
          <w:szCs w:val="21"/>
        </w:rPr>
        <w:t>32</w:t>
      </w:r>
      <w:r>
        <w:rPr>
          <w:rFonts w:hint="eastAsia" w:ascii="宋体" w:hAnsi="宋体" w:cs="宋体"/>
          <w:b/>
          <w:kern w:val="0"/>
          <w:szCs w:val="21"/>
        </w:rPr>
        <w:t>.</w:t>
      </w:r>
      <w:r>
        <w:rPr>
          <w:rFonts w:hint="eastAsia" w:ascii="宋体" w:hAnsi="宋体" w:cs="宋体"/>
          <w:b/>
          <w:bCs/>
          <w:szCs w:val="21"/>
        </w:rPr>
        <w:t>提出成交供应商</w:t>
      </w:r>
    </w:p>
    <w:p w14:paraId="41CC17C6">
      <w:pPr>
        <w:widowControl/>
        <w:spacing w:line="420" w:lineRule="atLeast"/>
        <w:jc w:val="center"/>
        <w:rPr>
          <w:rFonts w:ascii="宋体" w:hAnsi="宋体" w:cs="宋体"/>
          <w:bCs/>
          <w:szCs w:val="21"/>
        </w:rPr>
      </w:pPr>
      <w:r>
        <w:rPr>
          <w:rFonts w:hint="eastAsia" w:ascii="宋体" w:hAnsi="宋体" w:cs="宋体"/>
          <w:kern w:val="0"/>
          <w:szCs w:val="21"/>
        </w:rPr>
        <w:t xml:space="preserve">    32.1</w:t>
      </w:r>
      <w:r>
        <w:rPr>
          <w:rFonts w:hint="eastAsia" w:ascii="宋体" w:hAnsi="宋体" w:cs="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045B02C4">
      <w:pPr>
        <w:widowControl/>
        <w:spacing w:line="420" w:lineRule="atLeast"/>
        <w:rPr>
          <w:rFonts w:ascii="宋体" w:hAnsi="宋体" w:cs="宋体"/>
          <w:bCs/>
          <w:szCs w:val="21"/>
        </w:rPr>
      </w:pPr>
      <w:r>
        <w:rPr>
          <w:rFonts w:hint="eastAsia" w:ascii="宋体" w:hAnsi="宋体" w:cs="宋体"/>
          <w:bCs/>
          <w:szCs w:val="21"/>
        </w:rPr>
        <w:t>库〔2014〕214号)</w:t>
      </w:r>
      <w:r>
        <w:rPr>
          <w:rFonts w:hint="eastAsia" w:ascii="宋体" w:hAnsi="宋体" w:cs="宋体"/>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cs="宋体"/>
          <w:bCs/>
          <w:szCs w:val="21"/>
        </w:rPr>
        <w:t>可以推荐2家成交候选供应商。</w:t>
      </w:r>
    </w:p>
    <w:p w14:paraId="0E748D7C">
      <w:pPr>
        <w:widowControl/>
        <w:spacing w:line="420" w:lineRule="atLeast"/>
        <w:rPr>
          <w:rFonts w:ascii="宋体" w:hAnsi="宋体" w:cs="宋体"/>
          <w:kern w:val="0"/>
          <w:szCs w:val="21"/>
        </w:rPr>
      </w:pPr>
    </w:p>
    <w:p w14:paraId="36B34A53">
      <w:pPr>
        <w:tabs>
          <w:tab w:val="left" w:pos="0"/>
        </w:tabs>
        <w:adjustRightInd w:val="0"/>
        <w:snapToGrid w:val="0"/>
        <w:spacing w:line="360" w:lineRule="auto"/>
        <w:rPr>
          <w:rFonts w:ascii="宋体" w:hAnsi="宋体" w:cs="宋体"/>
          <w:b/>
          <w:bCs/>
          <w:szCs w:val="21"/>
        </w:rPr>
      </w:pPr>
      <w:r>
        <w:rPr>
          <w:rFonts w:hint="eastAsia" w:ascii="宋体" w:hAnsi="宋体" w:cs="宋体"/>
          <w:b/>
          <w:bCs/>
          <w:szCs w:val="21"/>
        </w:rPr>
        <w:t>33.确定成交供应商</w:t>
      </w:r>
    </w:p>
    <w:p w14:paraId="14F10446">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33.1采购代理机构应当在评审结束后2个工作日内将评审报告送采购人确认。</w:t>
      </w:r>
    </w:p>
    <w:p w14:paraId="34374717">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796FB1EC">
      <w:pPr>
        <w:pStyle w:val="23"/>
        <w:adjustRightInd w:val="0"/>
        <w:snapToGrid w:val="0"/>
        <w:spacing w:line="360" w:lineRule="auto"/>
        <w:ind w:left="632" w:hanging="632" w:hangingChars="300"/>
        <w:rPr>
          <w:rFonts w:hAnsi="宋体" w:cs="宋体"/>
          <w:b/>
        </w:rPr>
      </w:pPr>
      <w:r>
        <w:rPr>
          <w:rFonts w:hint="eastAsia" w:hAnsi="宋体" w:cs="宋体"/>
          <w:b/>
        </w:rPr>
        <w:t>34.磋商终止</w:t>
      </w:r>
    </w:p>
    <w:p w14:paraId="1EB5FE24">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bCs/>
          <w:szCs w:val="21"/>
        </w:rPr>
        <w:t>34.1</w:t>
      </w:r>
      <w:r>
        <w:rPr>
          <w:rFonts w:hint="eastAsia" w:ascii="宋体" w:hAnsi="宋体" w:cs="宋体"/>
          <w:kern w:val="0"/>
          <w:szCs w:val="21"/>
        </w:rPr>
        <w:t>出现下列情形之一的，采购人或者采购代理机构应当终止竞争性磋商采购活动，</w:t>
      </w:r>
      <w:r>
        <w:rPr>
          <w:rFonts w:hint="eastAsia" w:ascii="宋体" w:hAnsi="宋体" w:cs="宋体"/>
        </w:rPr>
        <w:t>在本章第37.1款指定的媒体上</w:t>
      </w:r>
      <w:r>
        <w:rPr>
          <w:rFonts w:hint="eastAsia" w:ascii="宋体" w:hAnsi="宋体" w:cs="宋体"/>
          <w:kern w:val="0"/>
          <w:szCs w:val="21"/>
        </w:rPr>
        <w:t xml:space="preserve">发布项目终止公告并说明原因，重新开展采购活动： </w:t>
      </w:r>
    </w:p>
    <w:p w14:paraId="310278BA">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（1）因情况变化，不再符合规定的竞争性磋商采购方式适用情形的；</w:t>
      </w:r>
    </w:p>
    <w:p w14:paraId="78D5BDB3">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14:paraId="0116060B">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（3）</w:t>
      </w:r>
      <w:r>
        <w:rPr>
          <w:rFonts w:hint="eastAsia" w:ascii="宋体" w:hAnsi="宋体" w:cs="宋体"/>
          <w:bCs/>
          <w:szCs w:val="21"/>
        </w:rPr>
        <w:t>除《政府采购竞争性磋商采购方式管理暂行办法》(财库〔2014〕214号)</w:t>
      </w:r>
      <w:r>
        <w:rPr>
          <w:rFonts w:hint="eastAsia" w:ascii="宋体" w:hAnsi="宋体" w:cs="宋体"/>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宋体"/>
          <w:bCs/>
          <w:szCs w:val="21"/>
        </w:rPr>
        <w:t>情形外，在采购过程中符合要求的供应商或者报价未超过采购预算的供应商不足3家的；</w:t>
      </w:r>
    </w:p>
    <w:p w14:paraId="2A2A2158">
      <w:pPr>
        <w:widowControl/>
        <w:adjustRightInd w:val="0"/>
        <w:snapToGrid w:val="0"/>
        <w:spacing w:line="360" w:lineRule="auto"/>
        <w:ind w:firstLine="420"/>
        <w:jc w:val="left"/>
        <w:rPr>
          <w:rFonts w:ascii="宋体" w:hAnsi="宋体" w:cs="宋体"/>
          <w:bCs/>
          <w:szCs w:val="21"/>
        </w:rPr>
      </w:pPr>
      <w:r>
        <w:rPr>
          <w:rFonts w:hint="eastAsia" w:ascii="宋体" w:hAnsi="宋体" w:cs="宋体"/>
          <w:kern w:val="0"/>
          <w:szCs w:val="21"/>
        </w:rPr>
        <w:t>（4）因重大变故，采购任务取消的。</w:t>
      </w:r>
    </w:p>
    <w:p w14:paraId="0EAA5102">
      <w:pPr>
        <w:widowControl/>
        <w:adjustRightInd w:val="0"/>
        <w:snapToGrid w:val="0"/>
        <w:spacing w:line="360" w:lineRule="auto"/>
        <w:jc w:val="left"/>
        <w:rPr>
          <w:rFonts w:ascii="宋体" w:hAnsi="宋体" w:cs="宋体"/>
          <w:b/>
          <w:kern w:val="0"/>
          <w:szCs w:val="21"/>
        </w:rPr>
      </w:pPr>
      <w:r>
        <w:rPr>
          <w:rFonts w:hint="eastAsia" w:ascii="宋体" w:hAnsi="宋体" w:cs="宋体"/>
          <w:b/>
          <w:kern w:val="0"/>
          <w:szCs w:val="21"/>
        </w:rPr>
        <w:t>35．重新评审</w:t>
      </w:r>
    </w:p>
    <w:p w14:paraId="70466589">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3F3EE357">
      <w:pPr>
        <w:adjustRightInd w:val="0"/>
        <w:snapToGrid w:val="0"/>
        <w:spacing w:line="360" w:lineRule="auto"/>
        <w:rPr>
          <w:rFonts w:ascii="宋体" w:hAnsi="宋体" w:cs="宋体"/>
          <w:b/>
          <w:bCs/>
          <w:szCs w:val="21"/>
        </w:rPr>
      </w:pPr>
      <w:r>
        <w:rPr>
          <w:rFonts w:hint="eastAsia" w:ascii="宋体" w:hAnsi="宋体" w:cs="宋体"/>
          <w:b/>
          <w:bCs/>
          <w:szCs w:val="21"/>
        </w:rPr>
        <w:t>36.保密及串通行为</w:t>
      </w:r>
    </w:p>
    <w:p w14:paraId="392B0F00">
      <w:pPr>
        <w:adjustRightInd w:val="0"/>
        <w:snapToGrid w:val="0"/>
        <w:spacing w:line="360" w:lineRule="auto"/>
        <w:ind w:firstLine="420" w:firstLineChars="200"/>
        <w:rPr>
          <w:rFonts w:ascii="宋体" w:hAnsi="宋体" w:cs="宋体"/>
        </w:rPr>
      </w:pPr>
      <w:r>
        <w:rPr>
          <w:rFonts w:hint="eastAsia" w:ascii="宋体" w:hAnsi="宋体" w:cs="宋体"/>
        </w:rPr>
        <w:t>36.1磋商小组成员以及与评审工作有关的人员不得泄露评审情况以及评审过程中获悉的国家秘密、商业秘密。</w:t>
      </w:r>
    </w:p>
    <w:p w14:paraId="2A6735A2">
      <w:pPr>
        <w:adjustRightInd w:val="0"/>
        <w:snapToGrid w:val="0"/>
        <w:spacing w:line="360" w:lineRule="auto"/>
        <w:ind w:firstLine="420" w:firstLineChars="200"/>
        <w:rPr>
          <w:rFonts w:ascii="宋体" w:hAnsi="宋体" w:cs="宋体"/>
          <w:szCs w:val="21"/>
        </w:rPr>
      </w:pPr>
      <w:r>
        <w:rPr>
          <w:rFonts w:hint="eastAsia" w:ascii="宋体" w:hAnsi="宋体" w:cs="宋体"/>
          <w:szCs w:val="21"/>
        </w:rPr>
        <w:t>36.2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或者磋商小组成员行贿或者提供其他不正当利益；不得提供虚假资料谋取成交；不得以任何方式干扰、影响采购工作。</w:t>
      </w:r>
    </w:p>
    <w:p w14:paraId="328BFC37">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rPr>
        <w:t>36.3</w:t>
      </w:r>
      <w:r>
        <w:rPr>
          <w:rFonts w:hint="eastAsia"/>
          <w:sz w:val="21"/>
          <w:szCs w:val="21"/>
          <w:lang w:val="zh-CN"/>
        </w:rPr>
        <w:t>有下列情形之一的，属于恶意串通，对供应商依照政府采购法第七十七条第一款的规定追究法律责任：</w:t>
      </w:r>
    </w:p>
    <w:p w14:paraId="2B18FDA9">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14:paraId="26E0C5B4">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（二）供应商按照采购人或者采购代理机构的授意撤换、修改投标文件或者响应文件；</w:t>
      </w:r>
    </w:p>
    <w:p w14:paraId="1B50C5DA">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（三）供应商之间协商报价、技术方案等投标文件或者响应文件的实质性内容；</w:t>
      </w:r>
    </w:p>
    <w:p w14:paraId="74EBA1DA">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（四）属于同一集团、协会、商会等组织成员的供应商按照该组织要求协同参加政府采购活动；</w:t>
      </w:r>
    </w:p>
    <w:p w14:paraId="4EE06477">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（五）供应商之间事先约定由某一特定供应商中标、成交；</w:t>
      </w:r>
    </w:p>
    <w:p w14:paraId="40853E03">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（六）供应商之间商定部分供应商放弃参加政府采购活动或者放弃中标、成交；</w:t>
      </w:r>
    </w:p>
    <w:p w14:paraId="4E64B5D9">
      <w:pPr>
        <w:pStyle w:val="38"/>
        <w:adjustRightInd w:val="0"/>
        <w:snapToGrid w:val="0"/>
        <w:spacing w:before="0" w:beforeAutospacing="0" w:after="0" w:afterAutospacing="0" w:line="360" w:lineRule="auto"/>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015AFF32">
      <w:pPr>
        <w:adjustRightInd w:val="0"/>
        <w:snapToGrid w:val="0"/>
        <w:spacing w:line="360" w:lineRule="auto"/>
        <w:rPr>
          <w:rFonts w:ascii="宋体" w:hAnsi="宋体" w:cs="宋体"/>
          <w:sz w:val="24"/>
        </w:rPr>
      </w:pPr>
      <w:r>
        <w:rPr>
          <w:rFonts w:hint="eastAsia" w:ascii="宋体" w:hAnsi="宋体" w:cs="宋体"/>
          <w:sz w:val="24"/>
        </w:rPr>
        <w:t>六、成交结果信息公布与授予合同</w:t>
      </w:r>
    </w:p>
    <w:p w14:paraId="019BC4BE">
      <w:pPr>
        <w:adjustRightInd w:val="0"/>
        <w:snapToGrid w:val="0"/>
        <w:spacing w:line="360" w:lineRule="auto"/>
        <w:rPr>
          <w:rFonts w:ascii="宋体" w:hAnsi="宋体" w:cs="宋体"/>
          <w:b/>
          <w:bCs/>
          <w:szCs w:val="21"/>
        </w:rPr>
      </w:pPr>
      <w:r>
        <w:rPr>
          <w:rFonts w:hint="eastAsia" w:ascii="宋体" w:hAnsi="宋体" w:cs="宋体"/>
          <w:b/>
          <w:bCs/>
          <w:szCs w:val="21"/>
        </w:rPr>
        <w:t>37.成交信息的公布</w:t>
      </w:r>
    </w:p>
    <w:p w14:paraId="5348A8AD">
      <w:pPr>
        <w:pStyle w:val="23"/>
        <w:adjustRightInd w:val="0"/>
        <w:snapToGrid w:val="0"/>
        <w:spacing w:line="360" w:lineRule="auto"/>
        <w:ind w:firstLine="420" w:firstLineChars="200"/>
        <w:rPr>
          <w:rFonts w:hAnsi="宋体" w:cs="宋体"/>
        </w:rPr>
      </w:pPr>
      <w:r>
        <w:rPr>
          <w:rFonts w:hint="eastAsia" w:hAnsi="宋体" w:cs="宋体"/>
        </w:rPr>
        <w:t>37.1成交供应商确定后2个工作日内，成交结果信息将在</w:t>
      </w:r>
      <w:r>
        <w:rPr>
          <w:rFonts w:hint="eastAsia" w:hAnsi="宋体" w:cs="宋体"/>
          <w:b/>
        </w:rPr>
        <w:t>磋商须知前附表</w:t>
      </w:r>
      <w:r>
        <w:rPr>
          <w:rFonts w:hint="eastAsia" w:hAnsi="宋体" w:cs="宋体"/>
        </w:rPr>
        <w:t>指定的媒体上公布。</w:t>
      </w:r>
    </w:p>
    <w:p w14:paraId="6353E180">
      <w:pPr>
        <w:adjustRightInd w:val="0"/>
        <w:snapToGrid w:val="0"/>
        <w:spacing w:line="360" w:lineRule="auto"/>
        <w:rPr>
          <w:rFonts w:ascii="宋体" w:hAnsi="宋体" w:cs="宋体"/>
          <w:b/>
          <w:bCs/>
          <w:szCs w:val="21"/>
        </w:rPr>
      </w:pPr>
      <w:r>
        <w:rPr>
          <w:rFonts w:hint="eastAsia" w:ascii="宋体" w:hAnsi="宋体" w:cs="宋体"/>
          <w:b/>
          <w:bCs/>
          <w:szCs w:val="21"/>
        </w:rPr>
        <w:t>38.询问及质疑</w:t>
      </w:r>
    </w:p>
    <w:p w14:paraId="2F8A75A9">
      <w:pPr>
        <w:adjustRightInd w:val="0"/>
        <w:snapToGrid w:val="0"/>
        <w:spacing w:line="360" w:lineRule="auto"/>
        <w:ind w:firstLine="420" w:firstLineChars="200"/>
        <w:jc w:val="left"/>
        <w:rPr>
          <w:rFonts w:ascii="宋体" w:hAnsi="宋体" w:cs="宋体"/>
        </w:rPr>
      </w:pPr>
      <w:r>
        <w:rPr>
          <w:rFonts w:hint="eastAsia" w:ascii="宋体" w:hAnsi="宋体" w:cs="宋体"/>
          <w:szCs w:val="21"/>
        </w:rPr>
        <w:t>38.1供应商对政府采购活动事项有疑问的，可以向采购人或采购代理机构提出询问。</w:t>
      </w:r>
    </w:p>
    <w:p w14:paraId="0485F356">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38.2供应商若认为磋商文件、采购过程和成交结果使自己的权益受到损害，可以按法律、行政法规及湖南省财政厅规范性文件规定向采购人或采购代理机构提出质疑。</w:t>
      </w:r>
    </w:p>
    <w:p w14:paraId="6879C183">
      <w:pPr>
        <w:adjustRightInd w:val="0"/>
        <w:snapToGrid w:val="0"/>
        <w:spacing w:line="360" w:lineRule="auto"/>
        <w:rPr>
          <w:rFonts w:ascii="宋体" w:hAnsi="宋体" w:cs="宋体"/>
          <w:b/>
          <w:bCs/>
          <w:szCs w:val="21"/>
        </w:rPr>
      </w:pPr>
      <w:r>
        <w:rPr>
          <w:rFonts w:hint="eastAsia" w:ascii="宋体" w:hAnsi="宋体" w:cs="宋体"/>
          <w:b/>
          <w:bCs/>
          <w:szCs w:val="21"/>
        </w:rPr>
        <w:t>39.成交通知</w:t>
      </w:r>
    </w:p>
    <w:p w14:paraId="02044708">
      <w:pPr>
        <w:pStyle w:val="23"/>
        <w:adjustRightInd w:val="0"/>
        <w:snapToGrid w:val="0"/>
        <w:spacing w:line="360" w:lineRule="auto"/>
        <w:ind w:firstLine="420" w:firstLineChars="200"/>
        <w:rPr>
          <w:rFonts w:hAnsi="宋体" w:cs="宋体"/>
        </w:rPr>
      </w:pPr>
      <w:r>
        <w:rPr>
          <w:rFonts w:hint="eastAsia" w:hAnsi="宋体" w:cs="宋体"/>
        </w:rPr>
        <w:t>39.1成交供应商确定后，采购人或采购代理机构将以书面形式向成交供应商发出成交通知书。成交通知书对采购人和成交供应商具有同等法律效力。</w:t>
      </w:r>
    </w:p>
    <w:p w14:paraId="55D51A1C">
      <w:pPr>
        <w:pStyle w:val="23"/>
        <w:adjustRightInd w:val="0"/>
        <w:snapToGrid w:val="0"/>
        <w:spacing w:line="360" w:lineRule="auto"/>
        <w:ind w:firstLine="420" w:firstLineChars="200"/>
        <w:rPr>
          <w:rFonts w:hAnsi="宋体" w:cs="宋体"/>
        </w:rPr>
      </w:pPr>
      <w:r>
        <w:rPr>
          <w:rFonts w:hint="eastAsia" w:hAnsi="宋体" w:cs="宋体"/>
        </w:rPr>
        <w:t>39.2 成交通知书是合同文件的组成部分。</w:t>
      </w:r>
    </w:p>
    <w:p w14:paraId="6F3AC35E">
      <w:pPr>
        <w:tabs>
          <w:tab w:val="left" w:pos="7560"/>
          <w:tab w:val="left" w:pos="7740"/>
          <w:tab w:val="left" w:pos="7920"/>
        </w:tabs>
        <w:autoSpaceDN w:val="0"/>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 xml:space="preserve">39.3 </w:t>
      </w:r>
      <w:r>
        <w:rPr>
          <w:rFonts w:hint="eastAsia" w:ascii="宋体" w:hAnsi="宋体" w:cs="宋体"/>
          <w:szCs w:val="21"/>
        </w:rPr>
        <w:t>成交供应商在收到采购代理机构的成交通知书后10日内，应按照</w:t>
      </w:r>
      <w:r>
        <w:rPr>
          <w:rFonts w:hint="eastAsia" w:ascii="宋体" w:hAnsi="宋体" w:cs="宋体"/>
          <w:b/>
          <w:szCs w:val="21"/>
        </w:rPr>
        <w:t>磋商须知前附表</w:t>
      </w:r>
      <w:r>
        <w:rPr>
          <w:rFonts w:hint="eastAsia" w:ascii="宋体" w:hAnsi="宋体" w:cs="宋体"/>
          <w:szCs w:val="21"/>
        </w:rPr>
        <w:t>的规定，向采购人提交履约担保。联合体成交的，履约担保由联合体各方或联合体中牵头人的名义提交。</w:t>
      </w:r>
    </w:p>
    <w:p w14:paraId="32125134">
      <w:pPr>
        <w:pStyle w:val="23"/>
        <w:adjustRightInd w:val="0"/>
        <w:snapToGrid w:val="0"/>
        <w:spacing w:line="360" w:lineRule="auto"/>
        <w:ind w:firstLine="420" w:firstLineChars="200"/>
        <w:rPr>
          <w:rFonts w:hAnsi="宋体" w:cs="宋体"/>
        </w:rPr>
      </w:pPr>
      <w:r>
        <w:rPr>
          <w:rFonts w:hint="eastAsia" w:hAnsi="宋体" w:cs="宋体"/>
        </w:rPr>
        <w:t>39.4 成交供应商</w:t>
      </w:r>
      <w:r>
        <w:rPr>
          <w:rFonts w:hint="eastAsia" w:hAnsi="宋体" w:cs="宋体"/>
          <w:spacing w:val="4"/>
        </w:rPr>
        <w:t>没有按照本章第39.3</w:t>
      </w:r>
      <w:r>
        <w:rPr>
          <w:rFonts w:hint="eastAsia" w:hAnsi="宋体" w:cs="宋体"/>
          <w:kern w:val="0"/>
          <w:lang w:val="zh-CN"/>
        </w:rPr>
        <w:t>款</w:t>
      </w:r>
      <w:r>
        <w:rPr>
          <w:rFonts w:hint="eastAsia" w:hAnsi="宋体" w:cs="宋体"/>
          <w:spacing w:val="4"/>
        </w:rPr>
        <w:t>规定</w:t>
      </w:r>
      <w:r>
        <w:rPr>
          <w:rFonts w:hint="eastAsia" w:hAnsi="宋体" w:cs="宋体"/>
        </w:rPr>
        <w:t>提交履约担保的</w:t>
      </w:r>
      <w:r>
        <w:rPr>
          <w:rFonts w:hint="eastAsia" w:hAnsi="宋体" w:cs="宋体"/>
          <w:spacing w:val="4"/>
        </w:rPr>
        <w:t>，视为放弃</w:t>
      </w:r>
      <w:r>
        <w:rPr>
          <w:rFonts w:hint="eastAsia" w:hAnsi="宋体" w:cs="宋体"/>
        </w:rPr>
        <w:t>成交资格</w:t>
      </w:r>
      <w:r>
        <w:rPr>
          <w:rFonts w:hint="eastAsia" w:hAnsi="宋体" w:cs="宋体"/>
          <w:spacing w:val="4"/>
        </w:rPr>
        <w:t>，</w:t>
      </w:r>
      <w:r>
        <w:rPr>
          <w:rFonts w:hint="eastAsia" w:hAnsi="宋体" w:cs="宋体"/>
          <w:spacing w:val="2"/>
        </w:rPr>
        <w:t>其保证金不予退还。</w:t>
      </w:r>
    </w:p>
    <w:p w14:paraId="16A4CF0D">
      <w:pPr>
        <w:adjustRightInd w:val="0"/>
        <w:snapToGrid w:val="0"/>
        <w:spacing w:line="360" w:lineRule="auto"/>
        <w:rPr>
          <w:rFonts w:ascii="宋体" w:hAnsi="宋体" w:cs="宋体"/>
          <w:b/>
          <w:bCs/>
          <w:szCs w:val="21"/>
        </w:rPr>
      </w:pPr>
      <w:r>
        <w:rPr>
          <w:rFonts w:hint="eastAsia" w:ascii="宋体" w:hAnsi="宋体" w:cs="宋体"/>
          <w:b/>
          <w:bCs/>
          <w:szCs w:val="21"/>
        </w:rPr>
        <w:t>40.签订合同</w:t>
      </w:r>
    </w:p>
    <w:p w14:paraId="09619826">
      <w:pPr>
        <w:pStyle w:val="23"/>
        <w:adjustRightInd w:val="0"/>
        <w:snapToGrid w:val="0"/>
        <w:spacing w:line="360" w:lineRule="auto"/>
        <w:ind w:firstLine="420" w:firstLineChars="200"/>
        <w:rPr>
          <w:rFonts w:hAnsi="宋体" w:cs="宋体"/>
        </w:rPr>
      </w:pPr>
      <w:r>
        <w:rPr>
          <w:rFonts w:hint="eastAsia" w:hAnsi="宋体" w:cs="宋体"/>
        </w:rPr>
        <w:t>40.1成交供应商应当在成交通知书发出之日起30日内与采购人签订政府采购合同。</w:t>
      </w:r>
    </w:p>
    <w:p w14:paraId="2854B9CD">
      <w:pPr>
        <w:pStyle w:val="23"/>
        <w:adjustRightInd w:val="0"/>
        <w:snapToGrid w:val="0"/>
        <w:spacing w:line="360" w:lineRule="auto"/>
        <w:ind w:firstLine="420" w:firstLineChars="200"/>
        <w:rPr>
          <w:rFonts w:hAnsi="宋体" w:cs="宋体"/>
        </w:rPr>
      </w:pPr>
      <w:r>
        <w:rPr>
          <w:rFonts w:hint="eastAsia" w:hAnsi="宋体" w:cs="宋体"/>
        </w:rPr>
        <w:t>40.2磋商文件、成交供应商的响应文件等均为签订政府采购合同的依据。</w:t>
      </w:r>
    </w:p>
    <w:p w14:paraId="12E2B194">
      <w:pPr>
        <w:pStyle w:val="23"/>
        <w:adjustRightInd w:val="0"/>
        <w:snapToGrid w:val="0"/>
        <w:spacing w:line="360" w:lineRule="auto"/>
        <w:ind w:firstLine="420" w:firstLineChars="200"/>
        <w:rPr>
          <w:rFonts w:hAnsi="宋体" w:cs="宋体"/>
        </w:rPr>
      </w:pPr>
      <w:r>
        <w:rPr>
          <w:rFonts w:hint="eastAsia" w:hAnsi="宋体" w:cs="宋体"/>
        </w:rPr>
        <w:t>40.3 成交供应商应当按照合同约定履行义务。成交供应商不得向他人转让成交项目，也不得将成交项目分包后分别向他人转让。</w:t>
      </w:r>
    </w:p>
    <w:p w14:paraId="1DC177EB">
      <w:pPr>
        <w:pStyle w:val="23"/>
        <w:adjustRightInd w:val="0"/>
        <w:snapToGrid w:val="0"/>
        <w:spacing w:line="360" w:lineRule="auto"/>
        <w:ind w:firstLine="420" w:firstLineChars="200"/>
        <w:rPr>
          <w:rFonts w:hAnsi="宋体" w:cs="宋体"/>
        </w:rPr>
      </w:pPr>
      <w:r>
        <w:rPr>
          <w:rFonts w:hint="eastAsia" w:hAnsi="宋体" w:cs="宋体"/>
        </w:rPr>
        <w:t>40.4 成交供应商有下列情形之一的，责令限期改正，情节严重的，列入不良行为记录名单，在1至3年内禁止参加政府采购活动，并予以通报：</w:t>
      </w:r>
    </w:p>
    <w:p w14:paraId="7A51EB76">
      <w:pPr>
        <w:pStyle w:val="23"/>
        <w:adjustRightInd w:val="0"/>
        <w:snapToGrid w:val="0"/>
        <w:spacing w:line="360" w:lineRule="auto"/>
        <w:ind w:firstLine="420" w:firstLineChars="200"/>
        <w:rPr>
          <w:rFonts w:hAnsi="宋体" w:cs="宋体"/>
        </w:rPr>
      </w:pPr>
      <w:r>
        <w:rPr>
          <w:rFonts w:hint="eastAsia" w:hAnsi="宋体" w:cs="宋体"/>
        </w:rPr>
        <w:t>（一）成交后无正当理由不与采购人签订合同的；</w:t>
      </w:r>
    </w:p>
    <w:p w14:paraId="248134B9">
      <w:pPr>
        <w:pStyle w:val="23"/>
        <w:adjustRightInd w:val="0"/>
        <w:snapToGrid w:val="0"/>
        <w:spacing w:line="360" w:lineRule="auto"/>
        <w:ind w:firstLine="420" w:firstLineChars="200"/>
        <w:rPr>
          <w:rFonts w:hAnsi="宋体" w:cs="宋体"/>
        </w:rPr>
      </w:pPr>
      <w:r>
        <w:rPr>
          <w:rFonts w:hint="eastAsia" w:hAnsi="宋体" w:cs="宋体"/>
        </w:rPr>
        <w:t>（二）未按照采购文件确定的事项签订政府采购合同，或者与采购人另行订立背离合同实质性内容的协议的；</w:t>
      </w:r>
    </w:p>
    <w:p w14:paraId="4934F481">
      <w:pPr>
        <w:pStyle w:val="23"/>
        <w:adjustRightInd w:val="0"/>
        <w:snapToGrid w:val="0"/>
        <w:spacing w:line="360" w:lineRule="auto"/>
        <w:ind w:firstLine="420" w:firstLineChars="200"/>
        <w:rPr>
          <w:rFonts w:hAnsi="宋体" w:cs="宋体"/>
        </w:rPr>
      </w:pPr>
      <w:r>
        <w:rPr>
          <w:rFonts w:hint="eastAsia" w:hAnsi="宋体" w:cs="宋体"/>
        </w:rPr>
        <w:t>（三）拒绝履行合同义务的；</w:t>
      </w:r>
    </w:p>
    <w:p w14:paraId="4E55E5F5">
      <w:pPr>
        <w:pStyle w:val="23"/>
        <w:adjustRightInd w:val="0"/>
        <w:snapToGrid w:val="0"/>
        <w:spacing w:line="360" w:lineRule="auto"/>
        <w:ind w:firstLine="420" w:firstLineChars="200"/>
        <w:rPr>
          <w:rFonts w:hAnsi="宋体" w:cs="宋体"/>
          <w:kern w:val="0"/>
        </w:rPr>
      </w:pPr>
      <w:r>
        <w:rPr>
          <w:rFonts w:hint="eastAsia" w:hAnsi="宋体" w:cs="宋体"/>
        </w:rPr>
        <w:t>（四）</w:t>
      </w:r>
      <w:r>
        <w:rPr>
          <w:rFonts w:hint="eastAsia" w:hAnsi="宋体" w:cs="宋体"/>
          <w:kern w:val="0"/>
        </w:rPr>
        <w:t>违反法律、规章、规范性文件规定的。</w:t>
      </w:r>
    </w:p>
    <w:p w14:paraId="1EAAF2E1">
      <w:pPr>
        <w:adjustRightInd w:val="0"/>
        <w:snapToGrid w:val="0"/>
        <w:spacing w:line="360" w:lineRule="auto"/>
        <w:rPr>
          <w:rFonts w:ascii="宋体" w:hAnsi="宋体" w:cs="宋体"/>
          <w:sz w:val="24"/>
        </w:rPr>
      </w:pPr>
      <w:r>
        <w:rPr>
          <w:rFonts w:hint="eastAsia" w:ascii="宋体" w:hAnsi="宋体" w:cs="宋体"/>
          <w:sz w:val="24"/>
        </w:rPr>
        <w:t>七、其他规定</w:t>
      </w:r>
    </w:p>
    <w:p w14:paraId="726B9D93">
      <w:pPr>
        <w:adjustRightInd w:val="0"/>
        <w:snapToGrid w:val="0"/>
        <w:spacing w:line="360" w:lineRule="auto"/>
        <w:jc w:val="left"/>
        <w:rPr>
          <w:rFonts w:ascii="宋体" w:hAnsi="宋体" w:cs="宋体"/>
          <w:b/>
          <w:szCs w:val="21"/>
        </w:rPr>
      </w:pPr>
      <w:r>
        <w:rPr>
          <w:rFonts w:hint="eastAsia" w:ascii="宋体" w:hAnsi="宋体" w:cs="宋体"/>
          <w:b/>
          <w:szCs w:val="21"/>
        </w:rPr>
        <w:t>41.1采购代理服务费</w:t>
      </w:r>
    </w:p>
    <w:p w14:paraId="025CC674">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41.1采购代理机构应按</w:t>
      </w:r>
      <w:r>
        <w:rPr>
          <w:rFonts w:hint="eastAsia" w:ascii="宋体" w:hAnsi="宋体" w:cs="宋体"/>
          <w:b/>
          <w:szCs w:val="21"/>
        </w:rPr>
        <w:t>磋商须知前附表</w:t>
      </w:r>
      <w:r>
        <w:rPr>
          <w:rFonts w:hint="eastAsia" w:ascii="宋体" w:hAnsi="宋体" w:cs="宋体"/>
          <w:szCs w:val="21"/>
        </w:rPr>
        <w:t>规定收取采购代理服务费。</w:t>
      </w:r>
    </w:p>
    <w:p w14:paraId="300E2DDE">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41.2集中采购机构不得收取采购代理服务费。</w:t>
      </w:r>
    </w:p>
    <w:p w14:paraId="7B4D88F0">
      <w:pPr>
        <w:tabs>
          <w:tab w:val="left" w:pos="420"/>
          <w:tab w:val="left" w:pos="7560"/>
          <w:tab w:val="left" w:pos="7740"/>
          <w:tab w:val="left" w:pos="7920"/>
        </w:tabs>
        <w:adjustRightInd w:val="0"/>
        <w:snapToGrid w:val="0"/>
        <w:spacing w:line="360" w:lineRule="auto"/>
        <w:rPr>
          <w:rFonts w:ascii="宋体" w:hAnsi="宋体" w:cs="宋体"/>
          <w:b/>
        </w:rPr>
      </w:pPr>
      <w:r>
        <w:rPr>
          <w:rFonts w:hint="eastAsia" w:ascii="宋体" w:hAnsi="宋体" w:cs="宋体"/>
          <w:b/>
          <w:szCs w:val="21"/>
        </w:rPr>
        <w:t>42.</w:t>
      </w:r>
      <w:r>
        <w:rPr>
          <w:rFonts w:hint="eastAsia" w:ascii="宋体" w:hAnsi="宋体" w:cs="宋体"/>
          <w:b/>
        </w:rPr>
        <w:t xml:space="preserve"> 其他规定</w:t>
      </w:r>
    </w:p>
    <w:p w14:paraId="15A670FA">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rPr>
        <w:t>42.1</w:t>
      </w:r>
      <w:r>
        <w:rPr>
          <w:rFonts w:hint="eastAsia" w:ascii="宋体" w:hAnsi="宋体" w:cs="宋体"/>
          <w:szCs w:val="21"/>
        </w:rPr>
        <w:t>磋商文件</w:t>
      </w:r>
      <w:r>
        <w:rPr>
          <w:rFonts w:hint="eastAsia" w:ascii="宋体" w:hAnsi="宋体" w:cs="宋体"/>
        </w:rPr>
        <w:t>的其他规定</w:t>
      </w:r>
      <w:r>
        <w:rPr>
          <w:rFonts w:hint="eastAsia" w:ascii="宋体" w:hAnsi="宋体" w:cs="宋体"/>
          <w:szCs w:val="21"/>
        </w:rPr>
        <w:t>见</w:t>
      </w:r>
      <w:r>
        <w:rPr>
          <w:rFonts w:hint="eastAsia" w:ascii="宋体" w:hAnsi="宋体" w:cs="宋体"/>
          <w:b/>
          <w:szCs w:val="21"/>
        </w:rPr>
        <w:t>磋商须知前附表</w:t>
      </w:r>
      <w:r>
        <w:rPr>
          <w:rFonts w:hint="eastAsia" w:ascii="宋体" w:hAnsi="宋体" w:cs="宋体"/>
          <w:szCs w:val="21"/>
        </w:rPr>
        <w:t>。</w:t>
      </w:r>
    </w:p>
    <w:p w14:paraId="51699C43">
      <w:pPr>
        <w:tabs>
          <w:tab w:val="left" w:pos="420"/>
          <w:tab w:val="left" w:pos="7560"/>
          <w:tab w:val="left" w:pos="7740"/>
          <w:tab w:val="left" w:pos="7920"/>
        </w:tabs>
        <w:adjustRightInd w:val="0"/>
        <w:snapToGrid w:val="0"/>
        <w:spacing w:line="360" w:lineRule="auto"/>
        <w:ind w:firstLine="643" w:firstLineChars="200"/>
        <w:rPr>
          <w:rFonts w:ascii="宋体" w:hAnsi="宋体" w:cs="宋体"/>
          <w:b/>
          <w:sz w:val="32"/>
          <w:szCs w:val="32"/>
        </w:rPr>
      </w:pPr>
    </w:p>
    <w:p w14:paraId="074B8D2F">
      <w:pPr>
        <w:adjustRightInd w:val="0"/>
        <w:snapToGrid w:val="0"/>
        <w:spacing w:before="120" w:beforeLines="50" w:line="360" w:lineRule="auto"/>
        <w:jc w:val="center"/>
        <w:outlineLvl w:val="0"/>
        <w:rPr>
          <w:rFonts w:ascii="宋体" w:hAnsi="宋体" w:cs="宋体"/>
          <w:b/>
          <w:bCs/>
          <w:sz w:val="32"/>
          <w:szCs w:val="32"/>
        </w:rPr>
      </w:pPr>
      <w:r>
        <w:rPr>
          <w:rFonts w:hint="eastAsia" w:ascii="宋体" w:hAnsi="宋体" w:cs="宋体"/>
          <w:b/>
          <w:sz w:val="32"/>
          <w:szCs w:val="32"/>
        </w:rPr>
        <w:br w:type="page"/>
      </w:r>
      <w:r>
        <w:rPr>
          <w:rFonts w:hint="eastAsia" w:ascii="宋体" w:hAnsi="宋体" w:cs="宋体"/>
          <w:b/>
          <w:sz w:val="32"/>
          <w:szCs w:val="32"/>
        </w:rPr>
        <w:t xml:space="preserve">第三章  </w:t>
      </w:r>
      <w:r>
        <w:rPr>
          <w:rFonts w:hint="eastAsia" w:ascii="宋体" w:hAnsi="宋体" w:cs="宋体"/>
          <w:b/>
          <w:bCs/>
          <w:sz w:val="32"/>
          <w:szCs w:val="32"/>
        </w:rPr>
        <w:t>政府采购合同格式条款</w:t>
      </w:r>
    </w:p>
    <w:p w14:paraId="5FD09EBC">
      <w:pPr>
        <w:spacing w:line="360" w:lineRule="exact"/>
        <w:rPr>
          <w:rFonts w:ascii="宋体" w:hAnsi="宋体" w:cs="宋体"/>
          <w:b/>
          <w:bCs/>
          <w:sz w:val="32"/>
          <w:szCs w:val="32"/>
        </w:rPr>
      </w:pPr>
    </w:p>
    <w:p w14:paraId="45F0F5D3">
      <w:pPr>
        <w:keepNext/>
        <w:keepLines/>
        <w:adjustRightInd w:val="0"/>
        <w:snapToGrid w:val="0"/>
        <w:spacing w:line="360" w:lineRule="auto"/>
        <w:jc w:val="center"/>
        <w:outlineLvl w:val="1"/>
        <w:rPr>
          <w:rFonts w:ascii="黑体" w:hAnsi="华文中宋" w:eastAsia="黑体"/>
          <w:b/>
          <w:bCs/>
          <w:sz w:val="28"/>
          <w:szCs w:val="28"/>
        </w:rPr>
      </w:pPr>
      <w:bookmarkStart w:id="1" w:name="_Toc256000066"/>
      <w:bookmarkStart w:id="2" w:name="_Toc26164"/>
      <w:r>
        <w:rPr>
          <w:rFonts w:hint="eastAsia" w:ascii="黑体" w:hAnsi="华文中宋" w:eastAsia="黑体"/>
          <w:b/>
          <w:bCs/>
          <w:sz w:val="28"/>
          <w:szCs w:val="28"/>
        </w:rPr>
        <w:t>第一节 政府采购合同协议书</w:t>
      </w:r>
      <w:bookmarkEnd w:id="1"/>
    </w:p>
    <w:p w14:paraId="249EBAED">
      <w:pPr>
        <w:adjustRightInd w:val="0"/>
        <w:snapToGrid w:val="0"/>
        <w:spacing w:before="120" w:beforeLines="50" w:line="360" w:lineRule="auto"/>
        <w:rPr>
          <w:rFonts w:ascii="宋体" w:hAnsi="宋体"/>
          <w:b/>
          <w:color w:val="000000"/>
          <w:szCs w:val="21"/>
        </w:rPr>
      </w:pPr>
      <w:r>
        <w:rPr>
          <w:rFonts w:hint="eastAsia" w:ascii="宋体" w:hAnsi="宋体"/>
          <w:color w:val="000000"/>
          <w:szCs w:val="21"/>
        </w:rPr>
        <w:t>采购合同编号：</w:t>
      </w:r>
      <w:r>
        <w:rPr>
          <w:rFonts w:hint="eastAsia" w:ascii="宋体" w:hAnsi="宋体"/>
          <w:kern w:val="0"/>
          <w:szCs w:val="21"/>
          <w:u w:val="single"/>
        </w:rPr>
        <w:t xml:space="preserve">                                         </w:t>
      </w:r>
    </w:p>
    <w:p w14:paraId="06871966">
      <w:pPr>
        <w:adjustRightInd w:val="0"/>
        <w:snapToGrid w:val="0"/>
        <w:spacing w:before="120" w:beforeLines="50" w:line="360" w:lineRule="auto"/>
        <w:rPr>
          <w:rFonts w:ascii="宋体" w:hAnsi="宋体"/>
          <w:color w:val="000000"/>
          <w:szCs w:val="21"/>
        </w:rPr>
      </w:pPr>
      <w:r>
        <w:rPr>
          <w:rFonts w:hint="eastAsia" w:ascii="宋体" w:hAnsi="宋体"/>
          <w:color w:val="000000"/>
          <w:szCs w:val="21"/>
        </w:rPr>
        <w:t>采购人（全称）：（甲方）</w:t>
      </w:r>
      <w:r>
        <w:rPr>
          <w:rFonts w:hint="eastAsia" w:ascii="宋体" w:hAnsi="宋体"/>
          <w:kern w:val="0"/>
          <w:szCs w:val="21"/>
          <w:u w:val="single"/>
        </w:rPr>
        <w:t xml:space="preserve">                               </w:t>
      </w:r>
    </w:p>
    <w:p w14:paraId="1174A0A8">
      <w:pPr>
        <w:adjustRightInd w:val="0"/>
        <w:snapToGrid w:val="0"/>
        <w:spacing w:before="120" w:beforeLines="50" w:line="360" w:lineRule="auto"/>
        <w:rPr>
          <w:rFonts w:ascii="宋体" w:hAnsi="宋体"/>
          <w:color w:val="000000"/>
          <w:szCs w:val="21"/>
        </w:rPr>
      </w:pPr>
      <w:r>
        <w:rPr>
          <w:rFonts w:hint="eastAsia" w:ascii="宋体" w:hAnsi="宋体"/>
          <w:color w:val="000000"/>
          <w:szCs w:val="21"/>
        </w:rPr>
        <w:t>供应商（全称）：（乙方）</w:t>
      </w:r>
      <w:r>
        <w:rPr>
          <w:rFonts w:hint="eastAsia" w:ascii="宋体" w:hAnsi="宋体"/>
          <w:kern w:val="0"/>
          <w:szCs w:val="21"/>
          <w:u w:val="single"/>
        </w:rPr>
        <w:t xml:space="preserve">                               </w:t>
      </w:r>
    </w:p>
    <w:p w14:paraId="32D98D5C">
      <w:pPr>
        <w:adjustRightInd w:val="0"/>
        <w:snapToGrid w:val="0"/>
        <w:spacing w:before="120" w:beforeLines="50" w:line="360" w:lineRule="auto"/>
        <w:ind w:left="420" w:leftChars="200"/>
        <w:rPr>
          <w:rFonts w:ascii="宋体" w:hAnsi="宋体"/>
          <w:color w:val="000000"/>
          <w:szCs w:val="21"/>
        </w:rPr>
      </w:pPr>
    </w:p>
    <w:p w14:paraId="3D323A59">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为了保护甲、乙双方合法权益，根据《中华人民共和国民法典》、《中华人民共和国政府采购法》及其他有关法律、法规、规章，双方签订本合同协议书。</w:t>
      </w:r>
    </w:p>
    <w:p w14:paraId="273C2060">
      <w:pPr>
        <w:adjustRightInd w:val="0"/>
        <w:snapToGrid w:val="0"/>
        <w:spacing w:before="120" w:beforeLines="50" w:line="360" w:lineRule="auto"/>
        <w:ind w:firstLine="422" w:firstLineChars="200"/>
        <w:rPr>
          <w:rFonts w:ascii="宋体" w:hAnsi="宋体"/>
          <w:b/>
          <w:color w:val="000000"/>
          <w:szCs w:val="21"/>
        </w:rPr>
      </w:pPr>
      <w:r>
        <w:rPr>
          <w:rFonts w:hint="eastAsia" w:ascii="宋体" w:hAnsi="宋体"/>
          <w:b/>
          <w:color w:val="000000"/>
          <w:szCs w:val="21"/>
        </w:rPr>
        <w:t>1.项目信息</w:t>
      </w:r>
    </w:p>
    <w:p w14:paraId="594CF68E">
      <w:pPr>
        <w:adjustRightInd w:val="0"/>
        <w:snapToGrid w:val="0"/>
        <w:spacing w:before="120" w:beforeLines="50" w:line="360" w:lineRule="auto"/>
        <w:ind w:left="420" w:leftChars="200"/>
        <w:rPr>
          <w:rFonts w:ascii="宋体" w:hAnsi="宋体"/>
          <w:color w:val="000000"/>
          <w:szCs w:val="21"/>
        </w:rPr>
      </w:pPr>
      <w:r>
        <w:rPr>
          <w:rFonts w:hint="eastAsia" w:ascii="宋体" w:hAnsi="宋体"/>
          <w:color w:val="000000"/>
          <w:szCs w:val="21"/>
        </w:rPr>
        <w:t>（1）采购项目名称：</w:t>
      </w:r>
      <w:r>
        <w:rPr>
          <w:rFonts w:hint="eastAsia" w:ascii="宋体" w:hAnsi="宋体"/>
          <w:kern w:val="0"/>
          <w:szCs w:val="21"/>
          <w:u w:val="single"/>
        </w:rPr>
        <w:t xml:space="preserve">                               </w:t>
      </w:r>
    </w:p>
    <w:p w14:paraId="2365EF58">
      <w:pPr>
        <w:adjustRightInd w:val="0"/>
        <w:snapToGrid w:val="0"/>
        <w:spacing w:before="120" w:beforeLines="50" w:line="360" w:lineRule="auto"/>
        <w:ind w:left="420" w:leftChars="200"/>
        <w:rPr>
          <w:rFonts w:ascii="宋体" w:hAnsi="宋体"/>
          <w:color w:val="000000"/>
          <w:szCs w:val="21"/>
        </w:rPr>
      </w:pPr>
      <w:r>
        <w:rPr>
          <w:rFonts w:hint="eastAsia" w:ascii="宋体" w:hAnsi="宋体"/>
          <w:color w:val="000000"/>
          <w:szCs w:val="21"/>
        </w:rPr>
        <w:t>（2）采购计划编号：</w:t>
      </w:r>
      <w:r>
        <w:rPr>
          <w:rFonts w:hint="eastAsia" w:ascii="宋体" w:hAnsi="宋体"/>
          <w:kern w:val="0"/>
          <w:szCs w:val="21"/>
          <w:u w:val="single"/>
        </w:rPr>
        <w:t xml:space="preserve">                               </w:t>
      </w:r>
    </w:p>
    <w:p w14:paraId="1AE9261C">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（3）项目内容：</w:t>
      </w:r>
      <w:r>
        <w:rPr>
          <w:rFonts w:hint="eastAsia" w:ascii="宋体" w:hAnsi="宋体"/>
          <w:kern w:val="0"/>
          <w:szCs w:val="21"/>
          <w:u w:val="single"/>
        </w:rPr>
        <w:t xml:space="preserve">                                   </w:t>
      </w:r>
    </w:p>
    <w:p w14:paraId="66FE6B4B">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（4）项目负责人：</w:t>
      </w:r>
      <w:r>
        <w:rPr>
          <w:rFonts w:hint="eastAsia" w:ascii="宋体" w:hAnsi="宋体"/>
          <w:kern w:val="0"/>
          <w:szCs w:val="21"/>
          <w:u w:val="single"/>
        </w:rPr>
        <w:t xml:space="preserve">                                 </w:t>
      </w:r>
      <w:r>
        <w:rPr>
          <w:rFonts w:hint="eastAsia" w:ascii="宋体" w:hAnsi="宋体"/>
          <w:color w:val="000000"/>
          <w:szCs w:val="21"/>
        </w:rPr>
        <w:t>。</w:t>
      </w:r>
    </w:p>
    <w:p w14:paraId="602C6AC4">
      <w:pPr>
        <w:adjustRightInd w:val="0"/>
        <w:snapToGrid w:val="0"/>
        <w:spacing w:before="120" w:beforeLines="50" w:line="360" w:lineRule="auto"/>
        <w:ind w:firstLine="413" w:firstLineChars="196"/>
        <w:rPr>
          <w:rFonts w:ascii="宋体" w:hAnsi="宋体"/>
          <w:b/>
          <w:color w:val="000000"/>
          <w:szCs w:val="21"/>
        </w:rPr>
      </w:pPr>
      <w:r>
        <w:rPr>
          <w:rFonts w:hint="eastAsia" w:ascii="宋体" w:hAnsi="宋体"/>
          <w:b/>
          <w:color w:val="000000"/>
          <w:szCs w:val="21"/>
        </w:rPr>
        <w:t>2.合同金额</w:t>
      </w:r>
    </w:p>
    <w:p w14:paraId="6ADB07E3">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（1）合同金额小写：</w:t>
      </w:r>
      <w:r>
        <w:rPr>
          <w:rFonts w:hint="eastAsia" w:ascii="宋体" w:hAnsi="宋体"/>
          <w:color w:val="000000"/>
          <w:szCs w:val="21"/>
          <w:u w:val="single"/>
        </w:rPr>
        <w:t xml:space="preserve">                                </w:t>
      </w:r>
    </w:p>
    <w:p w14:paraId="0F7313EE">
      <w:pPr>
        <w:adjustRightInd w:val="0"/>
        <w:snapToGrid w:val="0"/>
        <w:spacing w:before="120" w:beforeLines="50" w:line="360" w:lineRule="auto"/>
        <w:ind w:firstLine="1260" w:firstLineChars="600"/>
        <w:rPr>
          <w:rFonts w:ascii="宋体" w:hAnsi="宋体"/>
          <w:b/>
          <w:color w:val="000000"/>
          <w:szCs w:val="21"/>
        </w:rPr>
      </w:pPr>
      <w:r>
        <w:rPr>
          <w:rFonts w:hint="eastAsia" w:ascii="宋体" w:hAnsi="宋体"/>
          <w:color w:val="000000"/>
          <w:szCs w:val="21"/>
        </w:rPr>
        <w:t>大写：</w:t>
      </w:r>
      <w:r>
        <w:rPr>
          <w:rFonts w:hint="eastAsia" w:ascii="宋体" w:hAnsi="宋体"/>
          <w:color w:val="000000"/>
          <w:szCs w:val="21"/>
          <w:u w:val="single"/>
        </w:rPr>
        <w:t xml:space="preserve">                                     </w:t>
      </w:r>
    </w:p>
    <w:p w14:paraId="78B2646C">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（2）具体标的见附件。</w:t>
      </w:r>
    </w:p>
    <w:p w14:paraId="06CE1561">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（3）合同价格形式：</w:t>
      </w:r>
      <w:r>
        <w:rPr>
          <w:rFonts w:hint="eastAsia" w:ascii="宋体" w:hAnsi="宋体"/>
          <w:color w:val="000000"/>
          <w:szCs w:val="21"/>
          <w:u w:val="single"/>
        </w:rPr>
        <w:t xml:space="preserve">                                 </w:t>
      </w:r>
      <w:r>
        <w:rPr>
          <w:rFonts w:hint="eastAsia" w:ascii="宋体" w:hAnsi="宋体"/>
          <w:color w:val="000000"/>
          <w:szCs w:val="21"/>
        </w:rPr>
        <w:t>。</w:t>
      </w:r>
    </w:p>
    <w:p w14:paraId="7B34C0B7">
      <w:pPr>
        <w:adjustRightInd w:val="0"/>
        <w:snapToGrid w:val="0"/>
        <w:spacing w:before="120" w:beforeLines="50" w:line="360" w:lineRule="auto"/>
        <w:ind w:firstLine="422" w:firstLineChars="200"/>
        <w:rPr>
          <w:rFonts w:ascii="宋体" w:hAnsi="宋体"/>
          <w:color w:val="000000"/>
          <w:szCs w:val="21"/>
          <w:u w:val="single"/>
        </w:rPr>
      </w:pPr>
      <w:r>
        <w:rPr>
          <w:rFonts w:hint="eastAsia" w:ascii="宋体" w:hAnsi="宋体"/>
          <w:b/>
          <w:color w:val="000000"/>
          <w:szCs w:val="21"/>
        </w:rPr>
        <w:t>3.履行合同的时间、地点及方式</w:t>
      </w:r>
    </w:p>
    <w:p w14:paraId="615E57C2">
      <w:pPr>
        <w:adjustRightInd w:val="0"/>
        <w:snapToGrid w:val="0"/>
        <w:spacing w:before="120" w:beforeLines="50" w:line="360" w:lineRule="auto"/>
        <w:ind w:firstLine="630" w:firstLineChars="300"/>
        <w:rPr>
          <w:rFonts w:ascii="宋体" w:hAnsi="宋体"/>
          <w:color w:val="000000"/>
          <w:szCs w:val="21"/>
        </w:rPr>
      </w:pPr>
      <w:r>
        <w:rPr>
          <w:rFonts w:hint="eastAsia" w:ascii="宋体" w:hAnsi="宋体"/>
          <w:color w:val="000000"/>
          <w:szCs w:val="21"/>
        </w:rPr>
        <w:t>起始日期：年月日，完成日期：年月日。总日历天数：天。</w:t>
      </w:r>
    </w:p>
    <w:p w14:paraId="24E9E586">
      <w:pPr>
        <w:adjustRightInd w:val="0"/>
        <w:snapToGrid w:val="0"/>
        <w:spacing w:before="120" w:beforeLines="50" w:line="360" w:lineRule="auto"/>
        <w:ind w:firstLine="630" w:firstLineChars="300"/>
        <w:rPr>
          <w:rFonts w:ascii="宋体" w:hAnsi="宋体"/>
          <w:color w:val="000000"/>
          <w:szCs w:val="21"/>
          <w:u w:val="single"/>
        </w:rPr>
      </w:pPr>
      <w:r>
        <w:rPr>
          <w:rFonts w:hint="eastAsia" w:ascii="宋体" w:hAnsi="宋体"/>
          <w:color w:val="000000"/>
          <w:szCs w:val="21"/>
        </w:rPr>
        <w:t>地点</w:t>
      </w:r>
      <w:r>
        <w:rPr>
          <w:rFonts w:hint="eastAsia" w:ascii="宋体" w:hAnsi="宋体"/>
          <w:b/>
          <w:color w:val="000000"/>
          <w:szCs w:val="21"/>
        </w:rPr>
        <w:t>：</w:t>
      </w:r>
      <w:r>
        <w:rPr>
          <w:rFonts w:hint="eastAsia" w:ascii="宋体" w:hAnsi="宋体"/>
          <w:b/>
          <w:color w:val="000000"/>
          <w:szCs w:val="21"/>
          <w:u w:val="single"/>
        </w:rPr>
        <w:t xml:space="preserve">                                             </w:t>
      </w:r>
    </w:p>
    <w:p w14:paraId="48E732A8">
      <w:pPr>
        <w:adjustRightInd w:val="0"/>
        <w:snapToGrid w:val="0"/>
        <w:spacing w:before="120" w:beforeLines="50" w:line="360" w:lineRule="auto"/>
        <w:ind w:firstLine="630" w:firstLineChars="300"/>
        <w:rPr>
          <w:rFonts w:ascii="宋体" w:hAnsi="宋体"/>
          <w:color w:val="000000"/>
          <w:szCs w:val="21"/>
        </w:rPr>
      </w:pPr>
      <w:r>
        <w:rPr>
          <w:rFonts w:hint="eastAsia" w:ascii="宋体" w:hAnsi="宋体"/>
          <w:color w:val="000000"/>
          <w:szCs w:val="21"/>
        </w:rPr>
        <w:t>方式：</w:t>
      </w:r>
      <w:r>
        <w:rPr>
          <w:rFonts w:hint="eastAsia" w:ascii="宋体" w:hAnsi="宋体"/>
          <w:color w:val="000000"/>
          <w:szCs w:val="21"/>
          <w:u w:val="single"/>
        </w:rPr>
        <w:t xml:space="preserve">                                             </w:t>
      </w:r>
    </w:p>
    <w:p w14:paraId="06824E04">
      <w:pPr>
        <w:adjustRightInd w:val="0"/>
        <w:snapToGrid w:val="0"/>
        <w:spacing w:before="120" w:beforeLines="50" w:line="360" w:lineRule="auto"/>
        <w:ind w:firstLine="422" w:firstLineChars="200"/>
        <w:rPr>
          <w:rFonts w:ascii="宋体" w:hAnsi="宋体"/>
          <w:b/>
          <w:color w:val="000000"/>
          <w:szCs w:val="21"/>
        </w:rPr>
      </w:pPr>
      <w:r>
        <w:rPr>
          <w:rFonts w:hint="eastAsia" w:ascii="宋体" w:hAnsi="宋体"/>
          <w:b/>
          <w:color w:val="000000"/>
          <w:szCs w:val="21"/>
        </w:rPr>
        <w:t>4.付款：</w:t>
      </w:r>
    </w:p>
    <w:p w14:paraId="64F9C347">
      <w:pPr>
        <w:adjustRightInd w:val="0"/>
        <w:snapToGrid w:val="0"/>
        <w:spacing w:before="120" w:beforeLines="50" w:line="360" w:lineRule="auto"/>
        <w:ind w:firstLine="630" w:firstLineChars="300"/>
        <w:rPr>
          <w:rFonts w:ascii="宋体" w:hAnsi="宋体"/>
          <w:bCs/>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w:t>
      </w:r>
    </w:p>
    <w:p w14:paraId="77B5154D">
      <w:pPr>
        <w:adjustRightInd w:val="0"/>
        <w:snapToGrid w:val="0"/>
        <w:spacing w:before="120" w:beforeLines="50" w:line="360" w:lineRule="auto"/>
        <w:ind w:firstLine="630" w:firstLineChars="300"/>
        <w:rPr>
          <w:rFonts w:ascii="宋体" w:hAnsi="宋体"/>
          <w:color w:val="000000"/>
          <w:szCs w:val="21"/>
        </w:rPr>
      </w:pPr>
      <w:r>
        <w:rPr>
          <w:rFonts w:hint="eastAsia" w:ascii="宋体" w:hAnsi="宋体"/>
          <w:bCs/>
          <w:color w:val="000000"/>
          <w:szCs w:val="21"/>
        </w:rPr>
        <w:t>2、预付款根据采购文件的约定，在合同签订前提交不超过合同金额10%的履约担保。</w:t>
      </w:r>
    </w:p>
    <w:p w14:paraId="3253C9D0">
      <w:pPr>
        <w:adjustRightInd w:val="0"/>
        <w:snapToGrid w:val="0"/>
        <w:spacing w:before="120" w:beforeLines="50" w:line="360" w:lineRule="auto"/>
        <w:ind w:firstLine="422" w:firstLineChars="200"/>
        <w:rPr>
          <w:rFonts w:ascii="宋体" w:hAnsi="宋体"/>
          <w:b/>
          <w:color w:val="000000"/>
          <w:szCs w:val="21"/>
        </w:rPr>
      </w:pPr>
      <w:r>
        <w:rPr>
          <w:rFonts w:hint="eastAsia" w:ascii="宋体" w:hAnsi="宋体"/>
          <w:b/>
          <w:color w:val="000000"/>
          <w:szCs w:val="21"/>
        </w:rPr>
        <w:t>5.解决合同纠纷方式</w:t>
      </w:r>
    </w:p>
    <w:p w14:paraId="5CA3AF4A">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首先通过双方协商解决，协商解决不成，则通过以下途径之一解决纠纷：</w:t>
      </w:r>
    </w:p>
    <w:p w14:paraId="7D2C0467">
      <w:pPr>
        <w:adjustRightInd w:val="0"/>
        <w:snapToGrid w:val="0"/>
        <w:spacing w:before="120" w:beforeLines="50" w:line="360" w:lineRule="auto"/>
        <w:ind w:firstLine="840" w:firstLineChars="400"/>
        <w:rPr>
          <w:rFonts w:ascii="宋体" w:hAnsi="宋体"/>
          <w:color w:val="000000"/>
          <w:szCs w:val="21"/>
        </w:rPr>
      </w:pPr>
      <w:r>
        <w:rPr>
          <w:rFonts w:hint="eastAsia" w:ascii="宋体" w:hAnsi="宋体"/>
          <w:color w:val="000000"/>
          <w:szCs w:val="21"/>
        </w:rPr>
        <w:t>□ 提请仲裁       □ 向人民法院提起诉讼</w:t>
      </w:r>
    </w:p>
    <w:p w14:paraId="7671400C">
      <w:pPr>
        <w:adjustRightInd w:val="0"/>
        <w:snapToGrid w:val="0"/>
        <w:spacing w:before="120" w:beforeLines="50" w:line="360" w:lineRule="auto"/>
        <w:ind w:firstLine="422" w:firstLineChars="200"/>
        <w:rPr>
          <w:rFonts w:ascii="宋体" w:hAnsi="宋体"/>
          <w:b/>
          <w:color w:val="000000"/>
          <w:szCs w:val="21"/>
        </w:rPr>
      </w:pPr>
      <w:r>
        <w:rPr>
          <w:rFonts w:hint="eastAsia" w:ascii="宋体" w:hAnsi="宋体"/>
          <w:b/>
          <w:color w:val="000000"/>
          <w:szCs w:val="21"/>
        </w:rPr>
        <w:t>6.组成合同的文件</w:t>
      </w:r>
    </w:p>
    <w:p w14:paraId="3A178F57">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14:paraId="1BA67655">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（1）在采购或合同履行过程中乙方作出的承诺以及双方协商达成的变更或补充协议</w:t>
      </w:r>
    </w:p>
    <w:p w14:paraId="3CA9B53B">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（2）本合同协议书</w:t>
      </w:r>
    </w:p>
    <w:p w14:paraId="78EDDD59">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（3）中标通知书</w:t>
      </w:r>
    </w:p>
    <w:p w14:paraId="23A6E929">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（4）投标文件</w:t>
      </w:r>
    </w:p>
    <w:p w14:paraId="66745091">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（5）政府采购合同专用条款</w:t>
      </w:r>
    </w:p>
    <w:p w14:paraId="3B86C612">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（6）政府采购合同通用条款</w:t>
      </w:r>
    </w:p>
    <w:p w14:paraId="3CBE9EFD">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（7）标准、规范及有关技术文件，图纸。</w:t>
      </w:r>
    </w:p>
    <w:p w14:paraId="41ACBD07">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（8）其他合同文件。</w:t>
      </w:r>
    </w:p>
    <w:p w14:paraId="75627230">
      <w:pPr>
        <w:adjustRightInd w:val="0"/>
        <w:snapToGrid w:val="0"/>
        <w:spacing w:before="120" w:beforeLines="50" w:line="360" w:lineRule="auto"/>
        <w:ind w:firstLine="310" w:firstLineChars="147"/>
        <w:rPr>
          <w:rFonts w:ascii="宋体" w:hAnsi="宋体"/>
          <w:b/>
          <w:color w:val="000000"/>
          <w:szCs w:val="21"/>
        </w:rPr>
      </w:pPr>
      <w:r>
        <w:rPr>
          <w:rFonts w:hint="eastAsia" w:ascii="宋体" w:hAnsi="宋体"/>
          <w:b/>
          <w:color w:val="000000"/>
          <w:szCs w:val="21"/>
        </w:rPr>
        <w:t>7.合同生效</w:t>
      </w:r>
    </w:p>
    <w:p w14:paraId="79FC2F21">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本合同自生效。</w:t>
      </w:r>
    </w:p>
    <w:p w14:paraId="260F48CD">
      <w:pPr>
        <w:adjustRightInd w:val="0"/>
        <w:snapToGrid w:val="0"/>
        <w:spacing w:before="120" w:beforeLines="50" w:line="360" w:lineRule="auto"/>
        <w:ind w:firstLine="310" w:firstLineChars="147"/>
        <w:rPr>
          <w:rFonts w:ascii="宋体" w:hAnsi="宋体"/>
          <w:b/>
          <w:color w:val="000000"/>
          <w:szCs w:val="21"/>
        </w:rPr>
      </w:pPr>
      <w:r>
        <w:rPr>
          <w:rFonts w:hint="eastAsia" w:ascii="宋体" w:hAnsi="宋体"/>
          <w:b/>
          <w:color w:val="000000"/>
          <w:szCs w:val="21"/>
        </w:rPr>
        <w:t>8.合同份数</w:t>
      </w:r>
    </w:p>
    <w:p w14:paraId="31B367F3">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本合同一式份，采购人执</w:t>
      </w:r>
      <w:r>
        <w:rPr>
          <w:rFonts w:hint="eastAsia" w:ascii="宋体" w:hAnsi="宋体"/>
          <w:color w:val="000000"/>
          <w:szCs w:val="21"/>
          <w:u w:val="single"/>
        </w:rPr>
        <w:t xml:space="preserve">    </w:t>
      </w:r>
      <w:r>
        <w:rPr>
          <w:rFonts w:hint="eastAsia" w:ascii="宋体" w:hAnsi="宋体"/>
          <w:color w:val="000000"/>
          <w:szCs w:val="21"/>
        </w:rPr>
        <w:t>份，供应商执</w:t>
      </w:r>
      <w:r>
        <w:rPr>
          <w:rFonts w:hint="eastAsia" w:ascii="宋体" w:hAnsi="宋体"/>
          <w:color w:val="000000"/>
          <w:szCs w:val="21"/>
          <w:u w:val="single"/>
        </w:rPr>
        <w:t xml:space="preserve">    </w:t>
      </w:r>
      <w:r>
        <w:rPr>
          <w:rFonts w:hint="eastAsia" w:ascii="宋体" w:hAnsi="宋体"/>
          <w:color w:val="000000"/>
          <w:szCs w:val="21"/>
        </w:rPr>
        <w:t>份，均具有同等法律效力。</w:t>
      </w:r>
    </w:p>
    <w:p w14:paraId="0412F549">
      <w:pPr>
        <w:adjustRightInd w:val="0"/>
        <w:snapToGrid w:val="0"/>
        <w:spacing w:before="120" w:beforeLines="50" w:line="360" w:lineRule="auto"/>
        <w:rPr>
          <w:rFonts w:ascii="宋体" w:hAnsi="宋体"/>
          <w:color w:val="000000"/>
          <w:szCs w:val="21"/>
        </w:rPr>
      </w:pPr>
    </w:p>
    <w:p w14:paraId="6140A77F">
      <w:pPr>
        <w:adjustRightInd w:val="0"/>
        <w:snapToGrid w:val="0"/>
        <w:spacing w:before="120" w:beforeLines="50" w:line="360" w:lineRule="auto"/>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2CA568CF">
      <w:pPr>
        <w:adjustRightInd w:val="0"/>
        <w:snapToGrid w:val="0"/>
        <w:spacing w:before="120" w:beforeLines="50" w:line="360" w:lineRule="auto"/>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r>
        <w:rPr>
          <w:rFonts w:hint="eastAsia" w:ascii="宋体" w:hAnsi="宋体"/>
          <w:color w:val="000000"/>
          <w:szCs w:val="21"/>
        </w:rPr>
        <w:t xml:space="preserve"> </w:t>
      </w:r>
    </w:p>
    <w:p w14:paraId="783AACEE">
      <w:pPr>
        <w:adjustRightInd w:val="0"/>
        <w:snapToGrid w:val="0"/>
        <w:spacing w:before="120" w:beforeLines="50" w:line="360" w:lineRule="auto"/>
        <w:ind w:firstLine="420" w:firstLineChars="200"/>
        <w:rPr>
          <w:rFonts w:ascii="宋体" w:hAnsi="宋体"/>
          <w:color w:val="000000"/>
          <w:szCs w:val="21"/>
        </w:rPr>
      </w:pPr>
    </w:p>
    <w:p w14:paraId="48B68C3C">
      <w:pPr>
        <w:adjustRightInd w:val="0"/>
        <w:snapToGrid w:val="0"/>
        <w:spacing w:before="120" w:beforeLines="50" w:line="360" w:lineRule="auto"/>
        <w:rPr>
          <w:rFonts w:ascii="宋体" w:hAnsi="宋体"/>
          <w:color w:val="000000"/>
          <w:szCs w:val="21"/>
        </w:rPr>
      </w:pPr>
      <w:r>
        <w:rPr>
          <w:rFonts w:hint="eastAsia" w:ascii="宋体" w:hAnsi="宋体"/>
          <w:color w:val="000000"/>
          <w:szCs w:val="21"/>
        </w:rPr>
        <w:t>甲      方：（公章）                    乙      方：（公章）</w:t>
      </w:r>
    </w:p>
    <w:p w14:paraId="74BAC121">
      <w:pPr>
        <w:adjustRightInd w:val="0"/>
        <w:snapToGrid w:val="0"/>
        <w:spacing w:before="120" w:beforeLines="50" w:line="360" w:lineRule="auto"/>
        <w:rPr>
          <w:rFonts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rPr>
        <w:tab/>
      </w:r>
      <w:r>
        <w:rPr>
          <w:rFonts w:hint="eastAsia" w:ascii="宋体" w:hAnsi="宋体"/>
          <w:color w:val="000000"/>
          <w:szCs w:val="21"/>
        </w:rPr>
        <w:t>法定代表人：</w:t>
      </w:r>
      <w:r>
        <w:rPr>
          <w:rFonts w:hint="eastAsia" w:ascii="宋体" w:hAnsi="宋体"/>
          <w:color w:val="000000"/>
          <w:szCs w:val="21"/>
          <w:u w:val="single"/>
        </w:rPr>
        <w:t xml:space="preserve">                         </w:t>
      </w:r>
    </w:p>
    <w:p w14:paraId="0141675D">
      <w:pPr>
        <w:adjustRightInd w:val="0"/>
        <w:snapToGrid w:val="0"/>
        <w:spacing w:before="120" w:beforeLines="50" w:line="360" w:lineRule="auto"/>
        <w:rPr>
          <w:rFonts w:ascii="宋体" w:hAnsi="宋体"/>
          <w:color w:val="000000"/>
          <w:szCs w:val="21"/>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rPr>
        <w:tab/>
      </w:r>
      <w:r>
        <w:rPr>
          <w:rFonts w:hint="eastAsia" w:ascii="宋体" w:hAnsi="宋体"/>
          <w:color w:val="000000"/>
          <w:szCs w:val="21"/>
        </w:rPr>
        <w:t>委托代理人：</w:t>
      </w:r>
      <w:r>
        <w:rPr>
          <w:rFonts w:hint="eastAsia" w:ascii="宋体" w:hAnsi="宋体"/>
          <w:color w:val="000000"/>
          <w:szCs w:val="21"/>
          <w:u w:val="single"/>
        </w:rPr>
        <w:t xml:space="preserve">                         </w:t>
      </w:r>
    </w:p>
    <w:p w14:paraId="711C8154">
      <w:pPr>
        <w:adjustRightInd w:val="0"/>
        <w:snapToGrid w:val="0"/>
        <w:spacing w:before="120" w:beforeLines="50" w:line="360" w:lineRule="auto"/>
        <w:rPr>
          <w:rFonts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rPr>
        <w:tab/>
      </w:r>
      <w:r>
        <w:rPr>
          <w:rFonts w:hint="eastAsia" w:ascii="宋体" w:hAnsi="宋体"/>
          <w:color w:val="000000"/>
          <w:szCs w:val="21"/>
        </w:rPr>
        <w:t>电      话：</w:t>
      </w:r>
      <w:r>
        <w:rPr>
          <w:rFonts w:hint="eastAsia" w:ascii="宋体" w:hAnsi="宋体"/>
          <w:color w:val="000000"/>
          <w:szCs w:val="21"/>
          <w:u w:val="single"/>
        </w:rPr>
        <w:t xml:space="preserve">                          </w:t>
      </w:r>
    </w:p>
    <w:p w14:paraId="14CCC0DF">
      <w:pPr>
        <w:adjustRightInd w:val="0"/>
        <w:snapToGrid w:val="0"/>
        <w:spacing w:before="120" w:beforeLines="50" w:line="360" w:lineRule="auto"/>
        <w:rPr>
          <w:rFonts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rPr>
        <w:tab/>
      </w:r>
      <w:r>
        <w:rPr>
          <w:rFonts w:hint="eastAsia" w:ascii="宋体" w:hAnsi="宋体"/>
          <w:color w:val="000000"/>
          <w:szCs w:val="21"/>
        </w:rPr>
        <w:t>传      真：</w:t>
      </w:r>
      <w:r>
        <w:rPr>
          <w:rFonts w:hint="eastAsia" w:ascii="宋体" w:hAnsi="宋体"/>
          <w:color w:val="000000"/>
          <w:szCs w:val="21"/>
          <w:u w:val="single"/>
        </w:rPr>
        <w:t xml:space="preserve">                          </w:t>
      </w:r>
    </w:p>
    <w:p w14:paraId="0C8C70C6">
      <w:pPr>
        <w:adjustRightInd w:val="0"/>
        <w:snapToGrid w:val="0"/>
        <w:spacing w:before="120" w:beforeLines="50" w:line="360" w:lineRule="auto"/>
        <w:ind w:firstLine="420" w:firstLineChars="200"/>
        <w:rPr>
          <w:rFonts w:ascii="宋体" w:hAnsi="宋体"/>
          <w:color w:val="000000"/>
          <w:szCs w:val="21"/>
        </w:rPr>
      </w:pPr>
      <w:r>
        <w:rPr>
          <w:rFonts w:hint="eastAsia" w:ascii="宋体" w:hAnsi="宋体"/>
          <w:color w:val="000000"/>
          <w:szCs w:val="21"/>
        </w:rPr>
        <w:t xml:space="preserve">                                    开 户 银 行：</w:t>
      </w:r>
      <w:r>
        <w:rPr>
          <w:rFonts w:hint="eastAsia" w:ascii="宋体" w:hAnsi="宋体"/>
          <w:color w:val="000000"/>
          <w:szCs w:val="21"/>
          <w:u w:val="single"/>
        </w:rPr>
        <w:t xml:space="preserve">                         </w:t>
      </w:r>
    </w:p>
    <w:p w14:paraId="3B46EE15">
      <w:pPr>
        <w:adjustRightInd w:val="0"/>
        <w:snapToGrid w:val="0"/>
        <w:spacing w:before="120" w:beforeLines="50" w:line="360" w:lineRule="auto"/>
        <w:jc w:val="center"/>
        <w:rPr>
          <w:rFonts w:ascii="宋体" w:hAnsi="宋体"/>
          <w:b/>
          <w:color w:val="000000"/>
          <w:szCs w:val="21"/>
        </w:rPr>
      </w:pPr>
      <w:r>
        <w:rPr>
          <w:rFonts w:hint="eastAsia" w:ascii="宋体" w:hAnsi="宋体"/>
          <w:color w:val="000000"/>
          <w:szCs w:val="21"/>
        </w:rPr>
        <w:t xml:space="preserve">        </w:t>
      </w:r>
      <w:r>
        <w:rPr>
          <w:rFonts w:hint="eastAsia" w:ascii="宋体" w:hAnsi="宋体"/>
          <w:color w:val="000000"/>
          <w:szCs w:val="21"/>
        </w:rPr>
        <w:tab/>
      </w:r>
      <w:r>
        <w:rPr>
          <w:rFonts w:hint="eastAsia" w:ascii="宋体" w:hAnsi="宋体"/>
          <w:color w:val="000000"/>
          <w:szCs w:val="21"/>
        </w:rPr>
        <w:t xml:space="preserve"> 帐      号：</w:t>
      </w:r>
      <w:r>
        <w:rPr>
          <w:rFonts w:hint="eastAsia" w:ascii="宋体" w:hAnsi="宋体"/>
          <w:color w:val="000000"/>
          <w:szCs w:val="21"/>
          <w:u w:val="single"/>
        </w:rPr>
        <w:t xml:space="preserve">                         </w:t>
      </w:r>
    </w:p>
    <w:p w14:paraId="5F41E94D">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color w:val="000000"/>
          <w:szCs w:val="21"/>
          <w:u w:val="single"/>
        </w:rPr>
        <w:br w:type="page"/>
      </w:r>
      <w:bookmarkStart w:id="3" w:name="_Toc256000067"/>
      <w:r>
        <w:rPr>
          <w:rFonts w:hint="eastAsia" w:ascii="黑体" w:hAnsi="黑体" w:eastAsia="黑体"/>
          <w:b/>
          <w:bCs/>
          <w:sz w:val="28"/>
          <w:szCs w:val="28"/>
        </w:rPr>
        <w:t>第二节 政府采购合同通用条款</w:t>
      </w:r>
      <w:bookmarkEnd w:id="3"/>
    </w:p>
    <w:p w14:paraId="2D9E2F58">
      <w:pPr>
        <w:tabs>
          <w:tab w:val="left" w:pos="8820"/>
          <w:tab w:val="left" w:pos="9345"/>
          <w:tab w:val="left" w:pos="9765"/>
        </w:tabs>
        <w:adjustRightInd w:val="0"/>
        <w:snapToGrid w:val="0"/>
        <w:spacing w:before="50" w:line="360" w:lineRule="auto"/>
        <w:jc w:val="left"/>
        <w:rPr>
          <w:rFonts w:ascii="宋体" w:hAnsi="宋体"/>
          <w:b/>
          <w:bCs/>
          <w:sz w:val="24"/>
        </w:rPr>
      </w:pPr>
      <w:r>
        <w:rPr>
          <w:rFonts w:hint="eastAsia" w:ascii="宋体" w:hAnsi="宋体"/>
          <w:b/>
          <w:sz w:val="24"/>
        </w:rPr>
        <w:t>1.</w:t>
      </w:r>
      <w:r>
        <w:rPr>
          <w:rFonts w:hint="eastAsia" w:ascii="宋体" w:hAnsi="宋体"/>
          <w:b/>
          <w:bCs/>
          <w:sz w:val="24"/>
        </w:rPr>
        <w:t>定义</w:t>
      </w:r>
    </w:p>
    <w:p w14:paraId="71741457">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1.1合同当事人</w:t>
      </w:r>
    </w:p>
    <w:p w14:paraId="42948DBC">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（1）采购人（以下称甲方）是指使用财政性资金，通过政府采购程序向供应商购买货物、服务的国家机关、事业单位、团体组织。本次采购的甲方名称、地址见</w:t>
      </w:r>
      <w:r>
        <w:rPr>
          <w:rFonts w:hint="eastAsia" w:ascii="宋体" w:hAnsi="宋体"/>
          <w:b/>
          <w:szCs w:val="21"/>
        </w:rPr>
        <w:t>【政府采购合同专用条款】。</w:t>
      </w:r>
    </w:p>
    <w:p w14:paraId="7083A86F">
      <w:pPr>
        <w:autoSpaceDE w:val="0"/>
        <w:autoSpaceDN w:val="0"/>
        <w:adjustRightInd w:val="0"/>
        <w:snapToGrid w:val="0"/>
        <w:spacing w:before="50" w:line="360" w:lineRule="auto"/>
        <w:ind w:firstLine="420" w:firstLineChars="200"/>
        <w:jc w:val="left"/>
        <w:rPr>
          <w:rFonts w:ascii="宋体" w:hAnsi="宋体"/>
          <w:b/>
          <w:szCs w:val="21"/>
        </w:rPr>
      </w:pPr>
      <w:r>
        <w:rPr>
          <w:rFonts w:hint="eastAsia" w:ascii="宋体" w:hAnsi="宋体"/>
          <w:szCs w:val="21"/>
        </w:rPr>
        <w:t>（2）供应商（以下称乙方）是指参加政府采购活动而取得中标结果，并向采购人提供货物、服务的法人、其他组织或者自然人。</w:t>
      </w:r>
    </w:p>
    <w:p w14:paraId="3F7AC3F5">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1.2本合同下列术语应解释为：</w:t>
      </w:r>
    </w:p>
    <w:p w14:paraId="58821A1E">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（1）“合同”系指甲乙双方签署的、政府采购合同协议书中载明的甲乙双方所达成的协议，包括所有的附件、附录和上述文件所提到的构成合同的所有文件。</w:t>
      </w:r>
    </w:p>
    <w:p w14:paraId="1E9E405D">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（2）“合同价”系指根据本合同规定乙方在正确地完全履行合同义务后甲方应支付给乙方的价款。</w:t>
      </w:r>
    </w:p>
    <w:p w14:paraId="2C9C71FC">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（3）“货物”系指乙方根据本合同规定须向甲方提供的各种形态和种类的物品，包括原材料、设备、产品（包括软件）及相关的其备品备件、工具、手册及其它技术资料和材料。</w:t>
      </w:r>
    </w:p>
    <w:p w14:paraId="51F2CB98">
      <w:pPr>
        <w:tabs>
          <w:tab w:val="left" w:pos="570"/>
          <w:tab w:val="left" w:pos="888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4）“服务”系指根据合同规定，乙方应提供的技术、管理和其它服务，包括但不限于：管理和质量保证、运输、保险、检验、现场准备、安装、集成、调试、培训、维修、技术支持等以及合同中规定乙方应承担的其它义务。</w:t>
      </w:r>
    </w:p>
    <w:p w14:paraId="4A921BDD">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（5）“合同条款”系指本合同条款。</w:t>
      </w:r>
    </w:p>
    <w:p w14:paraId="4D47BE70">
      <w:pPr>
        <w:tabs>
          <w:tab w:val="left" w:pos="570"/>
          <w:tab w:val="left" w:pos="9240"/>
          <w:tab w:val="left" w:pos="9555"/>
        </w:tabs>
        <w:adjustRightInd w:val="0"/>
        <w:snapToGrid w:val="0"/>
        <w:spacing w:before="50" w:line="360" w:lineRule="auto"/>
        <w:ind w:firstLine="420" w:firstLineChars="200"/>
        <w:jc w:val="left"/>
        <w:rPr>
          <w:rFonts w:ascii="宋体" w:hAnsi="宋体"/>
          <w:szCs w:val="21"/>
        </w:rPr>
      </w:pPr>
      <w:r>
        <w:rPr>
          <w:rFonts w:hint="eastAsia" w:ascii="宋体" w:hAnsi="宋体"/>
          <w:szCs w:val="21"/>
        </w:rPr>
        <w:t>（6）“项目现场”系指本合同项下货物安装、运行的现场，其名称见</w:t>
      </w:r>
      <w:r>
        <w:rPr>
          <w:rFonts w:hint="eastAsia" w:ascii="宋体" w:hAnsi="宋体"/>
          <w:b/>
          <w:szCs w:val="21"/>
        </w:rPr>
        <w:t>【政府采购合同专用条款】</w:t>
      </w:r>
      <w:r>
        <w:rPr>
          <w:rFonts w:hint="eastAsia" w:ascii="宋体" w:hAnsi="宋体"/>
          <w:szCs w:val="21"/>
        </w:rPr>
        <w:t>。</w:t>
      </w:r>
    </w:p>
    <w:p w14:paraId="3C2B9BAD">
      <w:pPr>
        <w:autoSpaceDE w:val="0"/>
        <w:autoSpaceDN w:val="0"/>
        <w:adjustRightInd w:val="0"/>
        <w:snapToGrid w:val="0"/>
        <w:spacing w:before="50" w:line="360" w:lineRule="auto"/>
        <w:jc w:val="left"/>
        <w:rPr>
          <w:rFonts w:ascii="宋体" w:hAnsi="宋体"/>
          <w:b/>
          <w:sz w:val="24"/>
        </w:rPr>
      </w:pPr>
      <w:r>
        <w:rPr>
          <w:rFonts w:hint="eastAsia" w:ascii="宋体" w:hAnsi="宋体"/>
          <w:b/>
          <w:sz w:val="24"/>
        </w:rPr>
        <w:t>2.合同的适用范围</w:t>
      </w:r>
    </w:p>
    <w:p w14:paraId="49F922B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2.1 本合同条款适用于没有被本合同其他部分的条款所取代的范围。</w:t>
      </w:r>
    </w:p>
    <w:p w14:paraId="017A3E16">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2.2 合同内容根据招标文件、投标文件而确定。</w:t>
      </w:r>
    </w:p>
    <w:p w14:paraId="6A0ED07D">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3.</w:t>
      </w:r>
      <w:r>
        <w:rPr>
          <w:rFonts w:hint="eastAsia" w:ascii="宋体" w:hAnsi="宋体"/>
          <w:b/>
          <w:sz w:val="24"/>
        </w:rPr>
        <w:t>合同标的及金额</w:t>
      </w:r>
    </w:p>
    <w:p w14:paraId="752AB569">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3.1 合同标的及金额应与中标结果一致。</w:t>
      </w:r>
    </w:p>
    <w:p w14:paraId="65A7F1E0">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4.</w:t>
      </w:r>
      <w:r>
        <w:rPr>
          <w:rFonts w:hint="eastAsia" w:ascii="宋体" w:hAnsi="宋体"/>
          <w:b/>
          <w:sz w:val="24"/>
        </w:rPr>
        <w:t>合同价款</w:t>
      </w:r>
    </w:p>
    <w:p w14:paraId="3819E439">
      <w:pPr>
        <w:adjustRightInd w:val="0"/>
        <w:snapToGrid w:val="0"/>
        <w:spacing w:before="50" w:line="360" w:lineRule="auto"/>
        <w:ind w:firstLine="420" w:firstLineChars="200"/>
        <w:jc w:val="left"/>
        <w:rPr>
          <w:rFonts w:ascii="宋体" w:hAnsi="宋体"/>
          <w:b/>
          <w:bCs/>
          <w:i/>
          <w:iCs/>
          <w:szCs w:val="21"/>
        </w:rPr>
      </w:pPr>
      <w:r>
        <w:rPr>
          <w:rFonts w:hint="eastAsia" w:ascii="宋体" w:hAnsi="宋体"/>
          <w:szCs w:val="21"/>
        </w:rPr>
        <w:t>4.1具体合同价款见本合同第3.1条。乙方为履行本合同而发生的所有费用均应包含在合同价款中，甲方不再另行支付其它任何费用。</w:t>
      </w:r>
    </w:p>
    <w:p w14:paraId="69DBC574">
      <w:pPr>
        <w:adjustRightInd w:val="0"/>
        <w:snapToGrid w:val="0"/>
        <w:spacing w:before="50" w:line="360" w:lineRule="auto"/>
        <w:jc w:val="left"/>
        <w:rPr>
          <w:rFonts w:ascii="宋体" w:hAnsi="宋体"/>
          <w:b/>
          <w:sz w:val="24"/>
        </w:rPr>
      </w:pPr>
      <w:r>
        <w:rPr>
          <w:rFonts w:hint="eastAsia" w:ascii="宋体" w:hAnsi="宋体"/>
          <w:b/>
          <w:sz w:val="24"/>
        </w:rPr>
        <w:t>5.履行合同的时间、地点和方式</w:t>
      </w:r>
    </w:p>
    <w:p w14:paraId="71615CD8">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5.1 乙方应当在甲方确定的时间、指定的地点履行合同，具体的交货时间、地点和方式见</w:t>
      </w:r>
      <w:r>
        <w:rPr>
          <w:rFonts w:hint="eastAsia" w:ascii="宋体" w:hAnsi="宋体"/>
          <w:b/>
          <w:szCs w:val="21"/>
        </w:rPr>
        <w:t>【政府采购合同专用条款】</w:t>
      </w:r>
      <w:r>
        <w:rPr>
          <w:rFonts w:hint="eastAsia" w:ascii="宋体" w:hAnsi="宋体"/>
          <w:szCs w:val="21"/>
        </w:rPr>
        <w:t>。</w:t>
      </w:r>
    </w:p>
    <w:p w14:paraId="6C214F5D">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5.2 乙方提供服务的应当在甲方指定的地点完成服务项目。</w:t>
      </w:r>
    </w:p>
    <w:p w14:paraId="6C40214A">
      <w:pPr>
        <w:adjustRightInd w:val="0"/>
        <w:snapToGrid w:val="0"/>
        <w:spacing w:before="50" w:line="360" w:lineRule="auto"/>
        <w:jc w:val="left"/>
        <w:rPr>
          <w:rFonts w:ascii="宋体" w:hAnsi="宋体"/>
          <w:b/>
          <w:bCs/>
          <w:sz w:val="24"/>
        </w:rPr>
      </w:pPr>
      <w:r>
        <w:rPr>
          <w:rFonts w:hint="eastAsia" w:ascii="宋体" w:hAnsi="宋体"/>
          <w:b/>
          <w:bCs/>
          <w:sz w:val="24"/>
        </w:rPr>
        <w:t>6.</w:t>
      </w:r>
      <w:r>
        <w:rPr>
          <w:rFonts w:hint="eastAsia" w:ascii="宋体" w:hAnsi="宋体"/>
          <w:b/>
          <w:sz w:val="24"/>
        </w:rPr>
        <w:t>货物的验收</w:t>
      </w:r>
    </w:p>
    <w:p w14:paraId="2FEDC2C8">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6.1 甲方在收到乙方交付的货物后应当及时组织验收。</w:t>
      </w:r>
    </w:p>
    <w:p w14:paraId="541AAD4D">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6.2 货物的表面瑕疵，甲方应在验收时当面提出；对质量问题有异议的应在安装调试后十个工作日内提出。</w:t>
      </w:r>
    </w:p>
    <w:p w14:paraId="124D4D4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6.3 在验收过程中发现数量不足或有质量、技术等问题，乙方应负责按照甲方的要求采取补足、更换或退货等处理措施，并承担由此发生的一切费用和损失。</w:t>
      </w:r>
    </w:p>
    <w:p w14:paraId="5201BA93">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6.4 甲方在乙方按合同规定交货或安装、调试后，无正当理由而拖延接收、验收或拒绝接收、验收的，应承担因此给乙方造成的直接损失。</w:t>
      </w:r>
    </w:p>
    <w:p w14:paraId="1730D0F7">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6.5 甲方对货物进行检查验收合格后，应当收取发票并在《交货验收单》上签署验收意见及加盖单位印章。</w:t>
      </w:r>
    </w:p>
    <w:p w14:paraId="01D62EE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6.6 大型或者复杂的货物采购项目，甲方可以邀请国家认可的质量检测机构参加验收工作，并由其出具验收报告单。</w:t>
      </w:r>
    </w:p>
    <w:p w14:paraId="7FFE3091">
      <w:pPr>
        <w:autoSpaceDE w:val="0"/>
        <w:autoSpaceDN w:val="0"/>
        <w:adjustRightInd w:val="0"/>
        <w:snapToGrid w:val="0"/>
        <w:spacing w:before="50" w:line="360" w:lineRule="auto"/>
        <w:ind w:firstLine="420" w:firstLineChars="200"/>
        <w:jc w:val="left"/>
        <w:rPr>
          <w:rFonts w:ascii="宋体" w:hAnsi="宋体"/>
          <w:color w:val="FF0000"/>
          <w:szCs w:val="21"/>
        </w:rPr>
      </w:pPr>
      <w:r>
        <w:rPr>
          <w:rFonts w:hint="eastAsia" w:ascii="宋体" w:hAnsi="宋体"/>
          <w:szCs w:val="21"/>
        </w:rPr>
        <w:t>6.7 乙方提供的进口产品，乙方应出示中华人民共和国进出口商品检验部门出具的检验证书（招标文件第五章采购需求另有约定的除外）。</w:t>
      </w:r>
    </w:p>
    <w:p w14:paraId="66257E9D">
      <w:pPr>
        <w:adjustRightInd w:val="0"/>
        <w:snapToGrid w:val="0"/>
        <w:spacing w:before="50" w:line="360" w:lineRule="auto"/>
        <w:jc w:val="left"/>
        <w:rPr>
          <w:rFonts w:ascii="宋体" w:hAnsi="宋体"/>
          <w:b/>
          <w:bCs/>
          <w:sz w:val="24"/>
        </w:rPr>
      </w:pPr>
      <w:r>
        <w:rPr>
          <w:rFonts w:hint="eastAsia" w:ascii="宋体" w:hAnsi="宋体"/>
          <w:b/>
          <w:bCs/>
          <w:sz w:val="24"/>
        </w:rPr>
        <w:t>7.货物包装要求</w:t>
      </w:r>
    </w:p>
    <w:p w14:paraId="7C04B12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79BEC4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7.2 每一个包装箱内应附一份详细装箱单、质量证书和保修保养证书。</w:t>
      </w:r>
    </w:p>
    <w:p w14:paraId="1219086E">
      <w:pPr>
        <w:adjustRightInd w:val="0"/>
        <w:snapToGrid w:val="0"/>
        <w:spacing w:before="50" w:line="360" w:lineRule="auto"/>
        <w:jc w:val="left"/>
        <w:rPr>
          <w:rFonts w:ascii="宋体" w:hAnsi="宋体"/>
          <w:b/>
          <w:sz w:val="24"/>
        </w:rPr>
      </w:pPr>
      <w:r>
        <w:rPr>
          <w:rFonts w:hint="eastAsia" w:ascii="宋体" w:hAnsi="宋体"/>
          <w:b/>
          <w:sz w:val="24"/>
        </w:rPr>
        <w:t>8.运输和保险</w:t>
      </w:r>
    </w:p>
    <w:p w14:paraId="55E97D32">
      <w:pPr>
        <w:adjustRightInd w:val="0"/>
        <w:snapToGrid w:val="0"/>
        <w:spacing w:before="50" w:line="360" w:lineRule="auto"/>
        <w:ind w:firstLine="420" w:firstLineChars="200"/>
        <w:jc w:val="left"/>
        <w:rPr>
          <w:rFonts w:ascii="宋体" w:hAnsi="宋体"/>
          <w:szCs w:val="21"/>
        </w:rPr>
      </w:pPr>
      <w:r>
        <w:rPr>
          <w:rFonts w:hint="eastAsia" w:ascii="宋体" w:hAnsi="宋体"/>
          <w:szCs w:val="21"/>
        </w:rPr>
        <w:t>8.1乙方负责办理将货物运抵本合同第5.1条规定的交货地点的一切运输事项，相关费用应包括在合同总价中。</w:t>
      </w:r>
    </w:p>
    <w:p w14:paraId="1F481DC0">
      <w:pPr>
        <w:adjustRightInd w:val="0"/>
        <w:snapToGrid w:val="0"/>
        <w:spacing w:before="50" w:line="360" w:lineRule="auto"/>
        <w:ind w:firstLine="420" w:firstLineChars="200"/>
        <w:jc w:val="left"/>
        <w:rPr>
          <w:rFonts w:ascii="宋体" w:hAnsi="宋体"/>
          <w:szCs w:val="21"/>
        </w:rPr>
      </w:pPr>
      <w:r>
        <w:rPr>
          <w:rFonts w:hint="eastAsia" w:ascii="宋体" w:hAnsi="宋体"/>
          <w:szCs w:val="21"/>
        </w:rPr>
        <w:t>8.2乙方应向保险公司投保以甲方为受益人的发运合同货物发票金额的110％运输一切险。</w:t>
      </w:r>
    </w:p>
    <w:p w14:paraId="264F67C2">
      <w:pPr>
        <w:adjustRightInd w:val="0"/>
        <w:snapToGrid w:val="0"/>
        <w:spacing w:before="50" w:line="360" w:lineRule="auto"/>
        <w:jc w:val="left"/>
        <w:rPr>
          <w:rFonts w:ascii="宋体" w:hAnsi="宋体"/>
          <w:b/>
          <w:sz w:val="24"/>
        </w:rPr>
      </w:pPr>
      <w:r>
        <w:rPr>
          <w:rFonts w:hint="eastAsia" w:ascii="宋体" w:hAnsi="宋体"/>
          <w:b/>
          <w:sz w:val="24"/>
        </w:rPr>
        <w:t>9.质量标准和保证</w:t>
      </w:r>
    </w:p>
    <w:p w14:paraId="70D07011">
      <w:pPr>
        <w:adjustRightInd w:val="0"/>
        <w:snapToGrid w:val="0"/>
        <w:spacing w:before="50" w:line="360" w:lineRule="auto"/>
        <w:ind w:firstLine="420" w:firstLineChars="200"/>
        <w:jc w:val="left"/>
        <w:rPr>
          <w:rFonts w:ascii="宋体" w:hAnsi="宋体" w:cs="Courier New"/>
          <w:b/>
          <w:szCs w:val="21"/>
        </w:rPr>
      </w:pPr>
      <w:r>
        <w:rPr>
          <w:rFonts w:hint="eastAsia" w:ascii="宋体" w:hAnsi="宋体" w:cs="Courier New"/>
          <w:szCs w:val="21"/>
        </w:rPr>
        <w:t>9.1 质量标准</w:t>
      </w:r>
    </w:p>
    <w:p w14:paraId="7D0D2C65">
      <w:pPr>
        <w:autoSpaceDE w:val="0"/>
        <w:autoSpaceDN w:val="0"/>
        <w:adjustRightInd w:val="0"/>
        <w:snapToGrid w:val="0"/>
        <w:spacing w:before="50" w:line="360" w:lineRule="auto"/>
        <w:ind w:firstLine="420" w:firstLineChars="200"/>
        <w:jc w:val="left"/>
        <w:rPr>
          <w:rFonts w:ascii="宋体" w:hAnsi="宋体"/>
          <w:color w:val="000000"/>
          <w:szCs w:val="21"/>
        </w:rPr>
      </w:pPr>
      <w:r>
        <w:rPr>
          <w:rFonts w:hint="eastAsia" w:ascii="宋体" w:hAnsi="宋体"/>
          <w:szCs w:val="21"/>
        </w:rPr>
        <w:t>（</w:t>
      </w:r>
      <w:r>
        <w:rPr>
          <w:rFonts w:ascii="宋体" w:hAnsi="宋体"/>
          <w:color w:val="000000"/>
          <w:szCs w:val="21"/>
        </w:rPr>
        <w:t>1）本合同下交付的</w:t>
      </w:r>
      <w:r>
        <w:rPr>
          <w:rFonts w:hint="eastAsia" w:ascii="宋体" w:hAnsi="宋体"/>
          <w:color w:val="000000"/>
          <w:szCs w:val="21"/>
        </w:rPr>
        <w:t>服务和货物应符合招标文件第五章“技术规格、参数与要求”所述的标准。如果没有提及适用标准，则应符合中华人民共和国有关机构发布的最新版本的标准。</w:t>
      </w:r>
    </w:p>
    <w:p w14:paraId="56B6B46D">
      <w:pPr>
        <w:adjustRightInd w:val="0"/>
        <w:snapToGrid w:val="0"/>
        <w:spacing w:before="50" w:line="360" w:lineRule="auto"/>
        <w:ind w:firstLine="420" w:firstLineChars="200"/>
        <w:jc w:val="left"/>
        <w:rPr>
          <w:rFonts w:ascii="宋体" w:hAnsi="宋体" w:cs="Courier New"/>
          <w:color w:val="000000"/>
          <w:szCs w:val="21"/>
        </w:rPr>
      </w:pPr>
      <w:r>
        <w:rPr>
          <w:rFonts w:hint="eastAsia" w:ascii="宋体" w:hAnsi="宋体" w:cs="Courier New"/>
          <w:color w:val="000000"/>
          <w:szCs w:val="21"/>
        </w:rPr>
        <w:t>（</w:t>
      </w:r>
      <w:r>
        <w:rPr>
          <w:rFonts w:ascii="宋体" w:hAnsi="宋体" w:cs="Courier New"/>
          <w:color w:val="000000"/>
          <w:szCs w:val="21"/>
        </w:rPr>
        <w:t>2）采用中华人民共和国法定计量单位。</w:t>
      </w:r>
    </w:p>
    <w:p w14:paraId="07431437">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color w:val="000000"/>
          <w:szCs w:val="21"/>
        </w:rPr>
        <w:t>（</w:t>
      </w:r>
      <w:r>
        <w:rPr>
          <w:rFonts w:ascii="宋体" w:hAnsi="宋体"/>
          <w:color w:val="000000"/>
          <w:szCs w:val="21"/>
        </w:rPr>
        <w:t>3）乙方所出售的</w:t>
      </w:r>
      <w:r>
        <w:rPr>
          <w:rFonts w:hint="eastAsia" w:ascii="宋体" w:hAnsi="宋体"/>
          <w:color w:val="000000"/>
          <w:szCs w:val="21"/>
        </w:rPr>
        <w:t>服务和货物还应</w:t>
      </w:r>
      <w:r>
        <w:rPr>
          <w:rFonts w:hint="eastAsia" w:ascii="宋体" w:hAnsi="宋体"/>
          <w:szCs w:val="21"/>
        </w:rPr>
        <w:t>符合国家有关安全、环保、卫生之规定。</w:t>
      </w:r>
    </w:p>
    <w:p w14:paraId="75ADC48D">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9.2 保证</w:t>
      </w:r>
    </w:p>
    <w:p w14:paraId="44F21760">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（1）乙方应保证所提供的服务能按国家或行业标准以及招标文件要求。</w:t>
      </w:r>
    </w:p>
    <w:p w14:paraId="3C36869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szCs w:val="21"/>
        </w:rPr>
        <w:t>【政府采购合同专用条款】</w:t>
      </w:r>
      <w:r>
        <w:rPr>
          <w:rFonts w:hint="eastAsia" w:ascii="宋体" w:hAnsi="宋体"/>
          <w:szCs w:val="21"/>
        </w:rPr>
        <w:t>规定或乙方承诺（两者以较长的为准）的质量保证期内，本保证保持有效。</w:t>
      </w:r>
    </w:p>
    <w:p w14:paraId="26956469">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（3）在质量保证期内所发现的缺陷，甲方应尽快以书面形式通知乙方。</w:t>
      </w:r>
    </w:p>
    <w:p w14:paraId="0326F32A">
      <w:pPr>
        <w:autoSpaceDE w:val="0"/>
        <w:autoSpaceDN w:val="0"/>
        <w:adjustRightInd w:val="0"/>
        <w:snapToGrid w:val="0"/>
        <w:spacing w:before="50" w:line="360" w:lineRule="auto"/>
        <w:ind w:firstLine="420" w:firstLineChars="200"/>
        <w:jc w:val="left"/>
        <w:rPr>
          <w:rFonts w:ascii="宋体" w:hAnsi="宋体"/>
          <w:color w:val="000000"/>
          <w:szCs w:val="21"/>
        </w:rPr>
      </w:pPr>
      <w:r>
        <w:rPr>
          <w:rFonts w:hint="eastAsia" w:ascii="宋体" w:hAnsi="宋体"/>
          <w:szCs w:val="21"/>
        </w:rPr>
        <w:t>（4）乙方收到通知后应在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w:t>
      </w:r>
      <w:r>
        <w:rPr>
          <w:rFonts w:hint="eastAsia" w:ascii="宋体" w:hAnsi="宋体"/>
          <w:color w:val="000000"/>
          <w:szCs w:val="21"/>
        </w:rPr>
        <w:t>换有缺陷的货物或部件。</w:t>
      </w:r>
    </w:p>
    <w:p w14:paraId="7C4D15D8">
      <w:pPr>
        <w:autoSpaceDE w:val="0"/>
        <w:autoSpaceDN w:val="0"/>
        <w:adjustRightInd w:val="0"/>
        <w:snapToGrid w:val="0"/>
        <w:spacing w:before="50" w:line="360" w:lineRule="auto"/>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5）在</w:t>
      </w:r>
      <w:r>
        <w:rPr>
          <w:rFonts w:hint="eastAsia" w:ascii="宋体" w:hAnsi="宋体"/>
          <w:color w:val="000000"/>
          <w:szCs w:val="21"/>
        </w:rPr>
        <w:t>服务期内或货物的质量保证期内，如果服务或货物的质量或规格与合同不符，或证实服务或货物是有缺陷的，包括潜在的缺陷或使用不符合要求等，甲方可以根据本合同第</w:t>
      </w:r>
      <w:r>
        <w:rPr>
          <w:rFonts w:ascii="宋体" w:hAnsi="宋体"/>
          <w:color w:val="000000"/>
          <w:szCs w:val="21"/>
        </w:rPr>
        <w:t>15.1条规定以书面形式向乙方提出补救措施或索赔。</w:t>
      </w:r>
    </w:p>
    <w:p w14:paraId="426B4195">
      <w:pPr>
        <w:adjustRightInd w:val="0"/>
        <w:snapToGrid w:val="0"/>
        <w:spacing w:before="50" w:line="360" w:lineRule="auto"/>
        <w:ind w:firstLine="420" w:firstLineChars="200"/>
        <w:jc w:val="left"/>
        <w:rPr>
          <w:rFonts w:ascii="宋体" w:hAnsi="宋体"/>
          <w:b/>
          <w:color w:val="000000"/>
          <w:szCs w:val="21"/>
        </w:rPr>
      </w:pPr>
      <w:r>
        <w:rPr>
          <w:rFonts w:hint="eastAsia" w:ascii="宋体" w:hAnsi="宋体"/>
          <w:color w:val="000000"/>
          <w:szCs w:val="21"/>
        </w:rPr>
        <w:t>（</w:t>
      </w:r>
      <w:r>
        <w:rPr>
          <w:rFonts w:ascii="宋体" w:hAnsi="宋体"/>
          <w:color w:val="000000"/>
          <w:szCs w:val="21"/>
        </w:rPr>
        <w:t>6）乙方在约定的时间内未能弥补缺陷，甲方可采取必要的补救措施，但其风险和费用将由乙方承担，甲方根据合同规定对乙方行使的其他权利不受影响。</w:t>
      </w:r>
    </w:p>
    <w:p w14:paraId="4A0F048E">
      <w:pPr>
        <w:adjustRightInd w:val="0"/>
        <w:snapToGrid w:val="0"/>
        <w:spacing w:before="50" w:line="360" w:lineRule="auto"/>
        <w:jc w:val="left"/>
        <w:rPr>
          <w:rFonts w:ascii="宋体" w:hAnsi="宋体"/>
          <w:b/>
          <w:bCs/>
          <w:color w:val="000000"/>
          <w:sz w:val="24"/>
        </w:rPr>
      </w:pPr>
      <w:r>
        <w:rPr>
          <w:rFonts w:ascii="宋体" w:hAnsi="宋体"/>
          <w:b/>
          <w:bCs/>
          <w:color w:val="000000"/>
          <w:sz w:val="24"/>
        </w:rPr>
        <w:t>10.权利瑕疵担保</w:t>
      </w:r>
    </w:p>
    <w:p w14:paraId="407E118E">
      <w:pPr>
        <w:autoSpaceDE w:val="0"/>
        <w:autoSpaceDN w:val="0"/>
        <w:adjustRightInd w:val="0"/>
        <w:snapToGrid w:val="0"/>
        <w:spacing w:before="50" w:line="360" w:lineRule="auto"/>
        <w:ind w:firstLine="420" w:firstLineChars="200"/>
        <w:jc w:val="left"/>
        <w:rPr>
          <w:rFonts w:ascii="宋体" w:hAnsi="宋体"/>
          <w:color w:val="000000"/>
          <w:szCs w:val="21"/>
        </w:rPr>
      </w:pPr>
      <w:r>
        <w:rPr>
          <w:rFonts w:ascii="宋体" w:hAnsi="宋体"/>
          <w:color w:val="000000"/>
          <w:szCs w:val="21"/>
        </w:rPr>
        <w:t xml:space="preserve">10.1 </w:t>
      </w:r>
      <w:r>
        <w:rPr>
          <w:rFonts w:hint="eastAsia" w:ascii="宋体" w:hAnsi="宋体"/>
          <w:color w:val="000000"/>
          <w:szCs w:val="21"/>
        </w:rPr>
        <w:t>乙方保证对其出售的服务和货物享有合法的权利。</w:t>
      </w:r>
    </w:p>
    <w:p w14:paraId="18C6EBB6">
      <w:pPr>
        <w:autoSpaceDE w:val="0"/>
        <w:autoSpaceDN w:val="0"/>
        <w:adjustRightInd w:val="0"/>
        <w:snapToGrid w:val="0"/>
        <w:spacing w:before="50" w:line="360" w:lineRule="auto"/>
        <w:ind w:firstLine="420" w:firstLineChars="200"/>
        <w:jc w:val="left"/>
        <w:rPr>
          <w:rFonts w:ascii="宋体" w:hAnsi="宋体"/>
          <w:color w:val="000000"/>
          <w:szCs w:val="21"/>
        </w:rPr>
      </w:pPr>
      <w:r>
        <w:rPr>
          <w:rFonts w:ascii="宋体" w:hAnsi="宋体"/>
          <w:color w:val="000000"/>
          <w:szCs w:val="21"/>
        </w:rPr>
        <w:t xml:space="preserve">10.2 </w:t>
      </w:r>
      <w:r>
        <w:rPr>
          <w:rFonts w:hint="eastAsia" w:ascii="宋体" w:hAnsi="宋体"/>
          <w:color w:val="000000"/>
          <w:szCs w:val="21"/>
        </w:rPr>
        <w:t>乙方保证在其出售的服务和货物上不存在任何未曾向甲方透露的担保物权，如抵押权、质押权、留置权等。</w:t>
      </w:r>
    </w:p>
    <w:p w14:paraId="15514400">
      <w:pPr>
        <w:autoSpaceDE w:val="0"/>
        <w:autoSpaceDN w:val="0"/>
        <w:adjustRightInd w:val="0"/>
        <w:snapToGrid w:val="0"/>
        <w:spacing w:before="50" w:line="360" w:lineRule="auto"/>
        <w:ind w:firstLine="420" w:firstLineChars="200"/>
        <w:jc w:val="left"/>
        <w:rPr>
          <w:rFonts w:ascii="宋体" w:hAnsi="宋体"/>
          <w:szCs w:val="21"/>
        </w:rPr>
      </w:pPr>
      <w:r>
        <w:rPr>
          <w:rFonts w:ascii="宋体" w:hAnsi="宋体"/>
          <w:color w:val="000000"/>
          <w:szCs w:val="21"/>
        </w:rPr>
        <w:t xml:space="preserve">10.3 </w:t>
      </w:r>
      <w:r>
        <w:rPr>
          <w:rFonts w:hint="eastAsia" w:ascii="宋体" w:hAnsi="宋体"/>
          <w:color w:val="000000"/>
          <w:szCs w:val="21"/>
        </w:rPr>
        <w:t>如甲方使用该服务和货物构成上述侵权的</w:t>
      </w:r>
      <w:r>
        <w:rPr>
          <w:rFonts w:hint="eastAsia" w:ascii="宋体" w:hAnsi="宋体"/>
          <w:szCs w:val="21"/>
        </w:rPr>
        <w:t>，则由乙方承担全部责任。</w:t>
      </w:r>
    </w:p>
    <w:p w14:paraId="0E6B7BFE">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11.知识产权保护</w:t>
      </w:r>
    </w:p>
    <w:p w14:paraId="3578FB9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11.1 乙方对其所销售的货物应当享有知识产权或经权利人合法授权，保证没有侵犯任何第三人的知识产权和商业秘密等权利。</w:t>
      </w:r>
    </w:p>
    <w:p w14:paraId="4CBC2610">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11.2 甲方使用乙方提供的货物对第三人构成侵权的，应当由乙方承担全部法律责任，给甲方造成损害的，乙方应当承担赔偿责任。</w:t>
      </w:r>
    </w:p>
    <w:p w14:paraId="5847DC3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11.3 甲方委托乙方开发的产品，甲方享有知识产权，未经甲方许可不得转让任何第三人。</w:t>
      </w:r>
    </w:p>
    <w:p w14:paraId="5987B892">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12.保密义务</w:t>
      </w:r>
    </w:p>
    <w:p w14:paraId="79E15FFC">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12.1 甲、乙双方在采购和履行合同过程中所获悉的对方属于保密的内容，双方均有保密义务。</w:t>
      </w:r>
    </w:p>
    <w:p w14:paraId="44C40EAA">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13.合同价款支付</w:t>
      </w:r>
    </w:p>
    <w:p w14:paraId="7C43608D">
      <w:pPr>
        <w:adjustRightInd w:val="0"/>
        <w:snapToGrid w:val="0"/>
        <w:spacing w:before="50" w:line="360" w:lineRule="auto"/>
        <w:ind w:firstLine="420" w:firstLineChars="200"/>
        <w:jc w:val="left"/>
        <w:rPr>
          <w:rFonts w:ascii="宋体" w:hAnsi="宋体"/>
          <w:szCs w:val="21"/>
        </w:rPr>
      </w:pPr>
      <w:r>
        <w:rPr>
          <w:rFonts w:hint="eastAsia" w:ascii="宋体" w:hAnsi="宋体"/>
          <w:szCs w:val="21"/>
        </w:rPr>
        <w:t>13.1验收合格后，乙方出具正规发票给甲方，凭甲方开具的《政府采购合同验收报告单》办理合同价</w:t>
      </w:r>
      <w:r>
        <w:rPr>
          <w:rFonts w:hint="eastAsia" w:ascii="宋体" w:hAnsi="宋体"/>
          <w:bCs/>
          <w:szCs w:val="21"/>
        </w:rPr>
        <w:t>款</w:t>
      </w:r>
      <w:r>
        <w:rPr>
          <w:rFonts w:hint="eastAsia" w:ascii="宋体" w:hAnsi="宋体"/>
          <w:szCs w:val="21"/>
        </w:rPr>
        <w:t>结算手续。</w:t>
      </w:r>
    </w:p>
    <w:p w14:paraId="23B94FE3">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13.2 合同价款构成中应当由财政支付的部分，甲方应当在服务和货物验收合格后的十五个工作日内向国库管理部门申请支付，经国库管理部门审核后直接支付给乙方。</w:t>
      </w:r>
    </w:p>
    <w:p w14:paraId="1E7D0509">
      <w:pPr>
        <w:adjustRightInd w:val="0"/>
        <w:snapToGrid w:val="0"/>
        <w:spacing w:before="50" w:line="360" w:lineRule="auto"/>
        <w:ind w:firstLine="420" w:firstLineChars="200"/>
        <w:jc w:val="left"/>
        <w:rPr>
          <w:rFonts w:ascii="宋体" w:hAnsi="宋体"/>
          <w:szCs w:val="21"/>
        </w:rPr>
      </w:pPr>
      <w:r>
        <w:rPr>
          <w:rFonts w:hint="eastAsia" w:ascii="宋体" w:hAnsi="宋体"/>
          <w:szCs w:val="21"/>
        </w:rPr>
        <w:t>13.3 合同价款构成中应当由甲方自行支付的部分，甲方应当在服务和货物验收合格后十五个工作内支付。</w:t>
      </w:r>
    </w:p>
    <w:p w14:paraId="2C39CD05">
      <w:pPr>
        <w:adjustRightInd w:val="0"/>
        <w:snapToGrid w:val="0"/>
        <w:spacing w:before="50" w:line="360" w:lineRule="auto"/>
        <w:ind w:firstLine="420" w:firstLineChars="200"/>
        <w:jc w:val="left"/>
        <w:rPr>
          <w:rFonts w:ascii="宋体" w:hAnsi="宋体"/>
          <w:szCs w:val="21"/>
        </w:rPr>
      </w:pPr>
      <w:r>
        <w:rPr>
          <w:rFonts w:hint="eastAsia" w:ascii="宋体" w:hAnsi="宋体"/>
          <w:szCs w:val="21"/>
        </w:rPr>
        <w:t>13.4支付合同价</w:t>
      </w:r>
      <w:r>
        <w:rPr>
          <w:rFonts w:hint="eastAsia" w:ascii="宋体" w:hAnsi="宋体"/>
          <w:bCs/>
          <w:szCs w:val="21"/>
        </w:rPr>
        <w:t>款</w:t>
      </w:r>
      <w:r>
        <w:rPr>
          <w:rFonts w:hint="eastAsia" w:ascii="宋体" w:hAnsi="宋体"/>
          <w:szCs w:val="21"/>
        </w:rPr>
        <w:t>时，一律不向乙方以外的任何第三方办理付款手续。开户行和账号以签订的政府采购合同为准，如果乙方要求变更，则乙方必须提供加盖了财务专用章、法定代表人签字的证明文件，报经甲方审查同意。</w:t>
      </w:r>
    </w:p>
    <w:p w14:paraId="1E5F131A">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13.5 合同价款支付方式</w:t>
      </w:r>
      <w:r>
        <w:rPr>
          <w:rFonts w:hint="eastAsia" w:ascii="宋体" w:hAnsi="宋体"/>
          <w:bCs/>
          <w:szCs w:val="21"/>
        </w:rPr>
        <w:t>和条件在</w:t>
      </w:r>
      <w:r>
        <w:rPr>
          <w:rFonts w:hint="eastAsia" w:ascii="宋体" w:hAnsi="宋体"/>
          <w:b/>
          <w:szCs w:val="21"/>
        </w:rPr>
        <w:t>【政府采购合同专用条款】</w:t>
      </w:r>
      <w:r>
        <w:rPr>
          <w:rFonts w:hint="eastAsia" w:ascii="宋体" w:hAnsi="宋体"/>
          <w:szCs w:val="21"/>
        </w:rPr>
        <w:t>中另有规定。</w:t>
      </w:r>
    </w:p>
    <w:p w14:paraId="10933A43">
      <w:pPr>
        <w:autoSpaceDE w:val="0"/>
        <w:autoSpaceDN w:val="0"/>
        <w:adjustRightInd w:val="0"/>
        <w:snapToGrid w:val="0"/>
        <w:spacing w:before="50" w:line="360" w:lineRule="auto"/>
        <w:jc w:val="left"/>
        <w:rPr>
          <w:rFonts w:ascii="宋体" w:hAnsi="宋体"/>
          <w:b/>
          <w:sz w:val="24"/>
        </w:rPr>
      </w:pPr>
      <w:r>
        <w:rPr>
          <w:rFonts w:hint="eastAsia" w:ascii="宋体" w:hAnsi="宋体"/>
          <w:b/>
          <w:bCs/>
          <w:sz w:val="24"/>
        </w:rPr>
        <w:t>14.</w:t>
      </w:r>
      <w:r>
        <w:rPr>
          <w:rFonts w:hint="eastAsia"/>
          <w:b/>
          <w:sz w:val="24"/>
        </w:rPr>
        <w:t>乙方应提供的</w:t>
      </w:r>
      <w:r>
        <w:rPr>
          <w:rFonts w:hint="eastAsia" w:ascii="宋体" w:hAnsi="宋体"/>
          <w:b/>
          <w:sz w:val="24"/>
        </w:rPr>
        <w:t>服务</w:t>
      </w:r>
    </w:p>
    <w:p w14:paraId="5E7F9EA0">
      <w:pPr>
        <w:autoSpaceDE w:val="0"/>
        <w:autoSpaceDN w:val="0"/>
        <w:adjustRightInd w:val="0"/>
        <w:snapToGrid w:val="0"/>
        <w:spacing w:before="50" w:line="360" w:lineRule="auto"/>
        <w:ind w:firstLine="420" w:firstLineChars="200"/>
        <w:jc w:val="left"/>
        <w:rPr>
          <w:rFonts w:ascii="宋体" w:hAnsi="宋体"/>
          <w:color w:val="000000"/>
          <w:szCs w:val="21"/>
        </w:rPr>
      </w:pPr>
      <w:r>
        <w:rPr>
          <w:rFonts w:ascii="宋体" w:hAnsi="宋体"/>
          <w:color w:val="000000"/>
          <w:szCs w:val="21"/>
        </w:rPr>
        <w:t>14.1乙方应向甲方按招标文件要求及国家或行业服务标准提供服务。</w:t>
      </w:r>
    </w:p>
    <w:p w14:paraId="6CE5B4CA">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14.2乙方应向甲方提交所提供货物的技术文件，包括相应的中文技术文件，如：产品目录、图纸、操作手册、使用说明、维护手册或服务指南。这些文件应包装好随同货物一起发运。</w:t>
      </w:r>
    </w:p>
    <w:p w14:paraId="3BCBF30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14.2.1乙方还应提供下列服务：</w:t>
      </w:r>
    </w:p>
    <w:p w14:paraId="4B761C8D">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（1）货物的现场移动、安装、调试、启动监督及技术支持；</w:t>
      </w:r>
    </w:p>
    <w:p w14:paraId="6620EA13">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（2）提供货物组装和维修所需的专用工具和辅助材料；</w:t>
      </w:r>
    </w:p>
    <w:p w14:paraId="05CA59F0">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（3）在合同各方商定的一定期限内对所有的货物实施运行监督、维修，但前提条件是该服务并不能免除乙方在质量保证期内所承担的义务；</w:t>
      </w:r>
    </w:p>
    <w:p w14:paraId="72D9AA84">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（4）在制造商或项目现场就货物的安装、启动、运营、维护对甲方操作人员进行培训；</w:t>
      </w:r>
    </w:p>
    <w:p w14:paraId="614AEF43">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（5）</w:t>
      </w:r>
      <w:r>
        <w:rPr>
          <w:rFonts w:hint="eastAsia" w:ascii="宋体" w:hAnsi="宋体"/>
          <w:b/>
          <w:szCs w:val="21"/>
        </w:rPr>
        <w:t>【政府采购合同专用条款】</w:t>
      </w:r>
      <w:r>
        <w:rPr>
          <w:rFonts w:hint="eastAsia" w:ascii="宋体" w:hAnsi="宋体"/>
          <w:szCs w:val="21"/>
        </w:rPr>
        <w:t>规定由乙方提供的其他服务。</w:t>
      </w:r>
    </w:p>
    <w:p w14:paraId="74AF315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14.3 乙方提供的服务的费用应包含在合同价款中，甲方不再另行支付。</w:t>
      </w:r>
    </w:p>
    <w:p w14:paraId="0A64BC5F">
      <w:pPr>
        <w:adjustRightInd w:val="0"/>
        <w:snapToGrid w:val="0"/>
        <w:spacing w:before="50" w:line="360" w:lineRule="auto"/>
        <w:jc w:val="left"/>
        <w:rPr>
          <w:rFonts w:ascii="宋体" w:hAnsi="宋体"/>
          <w:b/>
          <w:bCs/>
          <w:sz w:val="24"/>
        </w:rPr>
      </w:pPr>
      <w:r>
        <w:rPr>
          <w:rFonts w:hint="eastAsia" w:ascii="宋体" w:hAnsi="宋体"/>
          <w:b/>
          <w:bCs/>
          <w:sz w:val="24"/>
        </w:rPr>
        <w:t>15.违约责任</w:t>
      </w:r>
    </w:p>
    <w:p w14:paraId="16B04A2C">
      <w:pPr>
        <w:adjustRightInd w:val="0"/>
        <w:snapToGrid w:val="0"/>
        <w:spacing w:before="50" w:line="360" w:lineRule="auto"/>
        <w:ind w:firstLine="420" w:firstLineChars="200"/>
        <w:jc w:val="left"/>
        <w:rPr>
          <w:rFonts w:ascii="宋体" w:hAnsi="宋体"/>
          <w:bCs/>
          <w:szCs w:val="21"/>
        </w:rPr>
      </w:pPr>
      <w:r>
        <w:rPr>
          <w:rFonts w:hint="eastAsia" w:ascii="宋体" w:hAnsi="宋体"/>
          <w:bCs/>
          <w:szCs w:val="21"/>
        </w:rPr>
        <w:t>15.1质量瑕疵的补救措施和索赔</w:t>
      </w:r>
    </w:p>
    <w:p w14:paraId="3B3CA546">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如果乙方提供的服务或货物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7B42227A">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①乙方同意解除服务或货物退货并将货款退还给甲方，由此发生的一切费用和损失由乙方承担。</w:t>
      </w:r>
    </w:p>
    <w:p w14:paraId="74494C89">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②根据服务或货物的质量状况以及甲方所遭受的损失，经过甲乙双方商定降低货物的价格。</w:t>
      </w:r>
    </w:p>
    <w:p w14:paraId="44A2CDA3">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③乙方应在接到甲方通知后七日内负责采用符合合同规定的服务内容要求或货物规格、质量和性能要求的新零件、部件和设备来更换有缺陷的部分或修补缺陷部分，其费用由乙方负担。同时，乙方应在约定的质量保证期基础上相应延长修补和更换件的质量保证期。</w:t>
      </w:r>
    </w:p>
    <w:p w14:paraId="18185F01">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担保金，如不足以弥补甲方损失的，甲方有权进一步要求乙方赔偿。</w:t>
      </w:r>
    </w:p>
    <w:p w14:paraId="66F5296F">
      <w:pPr>
        <w:autoSpaceDE w:val="0"/>
        <w:autoSpaceDN w:val="0"/>
        <w:adjustRightInd w:val="0"/>
        <w:snapToGrid w:val="0"/>
        <w:spacing w:before="50" w:line="360" w:lineRule="auto"/>
        <w:ind w:firstLine="420" w:firstLineChars="200"/>
        <w:jc w:val="left"/>
        <w:rPr>
          <w:rFonts w:ascii="宋体" w:hAnsi="宋体"/>
          <w:bCs/>
          <w:szCs w:val="21"/>
        </w:rPr>
      </w:pPr>
      <w:r>
        <w:rPr>
          <w:rFonts w:hint="eastAsia" w:ascii="宋体" w:hAnsi="宋体"/>
          <w:bCs/>
          <w:szCs w:val="21"/>
        </w:rPr>
        <w:t>15.2 迟延交货的违约责任</w:t>
      </w:r>
    </w:p>
    <w:p w14:paraId="54EE27B8">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A63AF97">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（2）除本合同</w:t>
      </w:r>
      <w:r>
        <w:rPr>
          <w:rFonts w:hint="eastAsia" w:ascii="宋体" w:hAnsi="宋体"/>
          <w:bCs/>
          <w:szCs w:val="21"/>
        </w:rPr>
        <w:t>第20条</w:t>
      </w:r>
      <w:r>
        <w:rPr>
          <w:rFonts w:hint="eastAsia" w:ascii="宋体" w:hAnsi="宋体"/>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22E454AE">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（3）如果乙方迟提供服务，甲方有权终止全部或部分合同，并依其认为适当的条件和方法购买服务，乙方应对购买服务超出的那部分费用负责。经甲方同意，乙方可继续执行合同中未终止的部分。</w:t>
      </w:r>
    </w:p>
    <w:p w14:paraId="16C92644">
      <w:pPr>
        <w:autoSpaceDE w:val="0"/>
        <w:autoSpaceDN w:val="0"/>
        <w:adjustRightInd w:val="0"/>
        <w:snapToGrid w:val="0"/>
        <w:spacing w:before="50" w:line="360" w:lineRule="auto"/>
        <w:jc w:val="left"/>
        <w:rPr>
          <w:rFonts w:ascii="宋体" w:hAnsi="宋体"/>
          <w:b/>
          <w:sz w:val="24"/>
        </w:rPr>
      </w:pPr>
      <w:r>
        <w:rPr>
          <w:rFonts w:hint="eastAsia" w:ascii="宋体" w:hAnsi="宋体"/>
          <w:b/>
          <w:sz w:val="24"/>
        </w:rPr>
        <w:t>16.合同的变更</w:t>
      </w:r>
    </w:p>
    <w:p w14:paraId="5E546F34">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16.1 在合同履行过程中，甲、乙双方可就合同履行的时间、地点和方式等协商进行变更。协商一致后，双方应签订书面的补充协议。</w:t>
      </w:r>
    </w:p>
    <w:p w14:paraId="730C3C6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16.2 在不改变合同其他条款的前提下，甲方有权在合同价款百分之十的范围内追加与合同标的相同的货物或服务，并就此与乙方签订补充合同，乙方不得拒绝。</w:t>
      </w:r>
    </w:p>
    <w:p w14:paraId="6BC766BE">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16.3 除双方签署书面协议，并成为合同不可分割的一部分外，本合同条件不得有任何变更。</w:t>
      </w:r>
    </w:p>
    <w:p w14:paraId="770A5E3B">
      <w:pPr>
        <w:autoSpaceDE w:val="0"/>
        <w:autoSpaceDN w:val="0"/>
        <w:adjustRightInd w:val="0"/>
        <w:snapToGrid w:val="0"/>
        <w:spacing w:before="50" w:line="360" w:lineRule="auto"/>
        <w:jc w:val="left"/>
        <w:rPr>
          <w:rFonts w:ascii="宋体" w:hAnsi="宋体"/>
          <w:b/>
          <w:sz w:val="24"/>
        </w:rPr>
      </w:pPr>
      <w:r>
        <w:rPr>
          <w:rFonts w:hint="eastAsia" w:ascii="宋体" w:hAnsi="宋体"/>
          <w:b/>
          <w:sz w:val="24"/>
        </w:rPr>
        <w:t>17.合同中止与终止</w:t>
      </w:r>
    </w:p>
    <w:p w14:paraId="566C16C2">
      <w:pPr>
        <w:adjustRightInd w:val="0"/>
        <w:snapToGrid w:val="0"/>
        <w:spacing w:before="50" w:line="360" w:lineRule="auto"/>
        <w:ind w:firstLine="420" w:firstLineChars="200"/>
        <w:jc w:val="left"/>
        <w:rPr>
          <w:rFonts w:ascii="宋体" w:hAnsi="宋体"/>
          <w:szCs w:val="21"/>
        </w:rPr>
      </w:pPr>
      <w:r>
        <w:rPr>
          <w:rFonts w:hint="eastAsia" w:ascii="宋体" w:hAnsi="宋体"/>
          <w:szCs w:val="21"/>
        </w:rPr>
        <w:t>17.1合同的中止</w:t>
      </w:r>
    </w:p>
    <w:p w14:paraId="30FF57D4">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（1）合同在履行过程中，因采购计划调整，甲方可以要求中止履行，待计划确定后继续履行；</w:t>
      </w:r>
    </w:p>
    <w:p w14:paraId="0E71BF61">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（2）合同履行过程中因供应商就采购过程或结果提起投诉的，甲方认为有必要或财政部门责令中止的，应当中止合同的履行。</w:t>
      </w:r>
    </w:p>
    <w:p w14:paraId="4C398D87">
      <w:pPr>
        <w:adjustRightInd w:val="0"/>
        <w:snapToGrid w:val="0"/>
        <w:spacing w:before="50" w:line="360" w:lineRule="auto"/>
        <w:ind w:firstLine="420" w:firstLineChars="200"/>
        <w:jc w:val="left"/>
        <w:rPr>
          <w:rFonts w:ascii="宋体" w:hAnsi="宋体"/>
          <w:szCs w:val="21"/>
        </w:rPr>
      </w:pPr>
      <w:r>
        <w:rPr>
          <w:rFonts w:hint="eastAsia" w:ascii="宋体" w:hAnsi="宋体"/>
          <w:szCs w:val="21"/>
        </w:rPr>
        <w:t>17.2合同的终止</w:t>
      </w:r>
    </w:p>
    <w:p w14:paraId="47A82A24">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（1）合同因有效期限届满而终止；</w:t>
      </w:r>
    </w:p>
    <w:p w14:paraId="0471CD80">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（2）乙方未能依照本合同约定条件履行合同，已构成根本性违约的，甲方有权终止本合同，并追究乙方的违约责任。</w:t>
      </w:r>
    </w:p>
    <w:p w14:paraId="0FC47BC1">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（3）如果乙方丧失履约能力或被宣告破产，甲方可在任何时候以书面形式通知乙方终止合同而不给乙方补偿。</w:t>
      </w:r>
    </w:p>
    <w:p w14:paraId="5E66593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（4）如果乙方在履行合同过程中有不正当竞争行为，甲方有权解除合同，并按《中华人民共和国反不正当竞争法》规定由有关部门追究其法律责任。</w:t>
      </w:r>
    </w:p>
    <w:p w14:paraId="4CFF2086">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（5）如果合同的履行将损害国家利益或社会公共利益，甲方有权终止合同的履行，给乙方造成损失的予以相应补偿。</w:t>
      </w:r>
    </w:p>
    <w:p w14:paraId="1DBFD669">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18.合同转让和分包</w:t>
      </w:r>
    </w:p>
    <w:p w14:paraId="72D4C5CA">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18.1 乙方不得以任何形式将合同转包。</w:t>
      </w:r>
    </w:p>
    <w:p w14:paraId="6AE9B3CE">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18.2 乙方未在投标文件中说明，不得将</w:t>
      </w:r>
      <w:r>
        <w:rPr>
          <w:rFonts w:hint="eastAsia" w:ascii="宋体" w:hAnsi="宋体"/>
          <w:bCs/>
          <w:szCs w:val="21"/>
        </w:rPr>
        <w:t>合同</w:t>
      </w:r>
      <w:r>
        <w:rPr>
          <w:rFonts w:hint="eastAsia" w:ascii="宋体" w:hAnsi="宋体"/>
          <w:szCs w:val="21"/>
        </w:rPr>
        <w:t>的非主体、非关键性工作分包给他人。</w:t>
      </w:r>
    </w:p>
    <w:p w14:paraId="5EFAEF30">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19.不可抗力</w:t>
      </w:r>
    </w:p>
    <w:p w14:paraId="5DFEBBC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19.1 不可抗力是指合同双方不可预见、不可避免、不可克服的自然灾害和社会事件。</w:t>
      </w:r>
    </w:p>
    <w:p w14:paraId="50F2556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19.2 任何一方对由于不可抗力造成的部分或全部不能履行合同不承担违约责任。但迟延履行后发生不可抗力的，不能免除责任。</w:t>
      </w:r>
    </w:p>
    <w:p w14:paraId="48428C0D">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19.3 遇有不可抗力的一方，应在三日内将事件的情况以书面形式通知另一方，并在事件发生后十日内，向另一方提交合同不能履行或部分不能履行或需要延期履行理由的报告。</w:t>
      </w:r>
    </w:p>
    <w:p w14:paraId="6728A320">
      <w:pPr>
        <w:autoSpaceDE w:val="0"/>
        <w:autoSpaceDN w:val="0"/>
        <w:adjustRightInd w:val="0"/>
        <w:snapToGrid w:val="0"/>
        <w:spacing w:before="50" w:line="360" w:lineRule="auto"/>
        <w:jc w:val="left"/>
        <w:rPr>
          <w:rFonts w:ascii="宋体" w:hAnsi="宋体"/>
          <w:b/>
          <w:bCs/>
          <w:sz w:val="24"/>
        </w:rPr>
      </w:pPr>
      <w:r>
        <w:rPr>
          <w:rFonts w:hint="eastAsia" w:ascii="宋体" w:hAnsi="宋体"/>
          <w:b/>
          <w:bCs/>
          <w:sz w:val="24"/>
        </w:rPr>
        <w:t>20.解决争议的方法</w:t>
      </w:r>
    </w:p>
    <w:p w14:paraId="30E9FFCC">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20.1 合同各方应通过友好协商，解决在执行合同过程中所发生的或与合同有关的一切争端。如从协商开始后十日内仍不能解决，可以向财政部门提请调解。</w:t>
      </w:r>
    </w:p>
    <w:p w14:paraId="76E158EF">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20.2 调解不成可以按</w:t>
      </w:r>
      <w:r>
        <w:rPr>
          <w:rFonts w:hint="eastAsia" w:ascii="宋体" w:hAnsi="宋体"/>
          <w:b/>
          <w:szCs w:val="21"/>
        </w:rPr>
        <w:t>【政府采购合同专用条款】</w:t>
      </w:r>
      <w:r>
        <w:rPr>
          <w:rFonts w:hint="eastAsia" w:ascii="宋体" w:hAnsi="宋体"/>
          <w:szCs w:val="21"/>
        </w:rPr>
        <w:t>中约定中规定下列方式之一提起仲裁或诉讼：</w:t>
      </w:r>
    </w:p>
    <w:p w14:paraId="619CCCD2">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（1）向甲方所在地仲裁机构提起仲裁；</w:t>
      </w:r>
    </w:p>
    <w:p w14:paraId="686367F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（2）向甲方所在地人民法院提起诉讼。</w:t>
      </w:r>
    </w:p>
    <w:p w14:paraId="15EF219C">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20.3 如仲裁或诉讼事项不影响合同其它部分的履行，则在仲裁或诉讼期间，除正在进行仲裁或诉讼的部分外，合同的其它部分应继续执行。</w:t>
      </w:r>
    </w:p>
    <w:p w14:paraId="36E151BE">
      <w:pPr>
        <w:autoSpaceDE w:val="0"/>
        <w:autoSpaceDN w:val="0"/>
        <w:adjustRightInd w:val="0"/>
        <w:snapToGrid w:val="0"/>
        <w:spacing w:before="50" w:line="360" w:lineRule="auto"/>
        <w:jc w:val="left"/>
        <w:rPr>
          <w:rFonts w:ascii="宋体" w:hAnsi="宋体"/>
          <w:b/>
          <w:sz w:val="24"/>
        </w:rPr>
      </w:pPr>
      <w:r>
        <w:rPr>
          <w:rFonts w:hint="eastAsia" w:ascii="宋体" w:hAnsi="宋体"/>
          <w:b/>
          <w:sz w:val="24"/>
        </w:rPr>
        <w:t>21.法律适用</w:t>
      </w:r>
    </w:p>
    <w:p w14:paraId="69703E5B">
      <w:pPr>
        <w:autoSpaceDE w:val="0"/>
        <w:autoSpaceDN w:val="0"/>
        <w:adjustRightInd w:val="0"/>
        <w:snapToGrid w:val="0"/>
        <w:spacing w:before="50" w:line="360" w:lineRule="auto"/>
        <w:ind w:firstLine="420" w:firstLineChars="200"/>
        <w:jc w:val="left"/>
        <w:rPr>
          <w:rFonts w:ascii="宋体" w:hAnsi="宋体"/>
          <w:szCs w:val="21"/>
        </w:rPr>
      </w:pPr>
      <w:r>
        <w:rPr>
          <w:rFonts w:hint="eastAsia" w:ascii="宋体" w:hAnsi="宋体"/>
          <w:szCs w:val="21"/>
        </w:rPr>
        <w:t>21.1 本合同适用中华人民共和国现行法律、行政法规和规章，如合同条款与法律、行政法规和规章不一致的，按照法律、行政法规和规章修改本合同。</w:t>
      </w:r>
    </w:p>
    <w:p w14:paraId="066D8F1D">
      <w:pPr>
        <w:autoSpaceDE w:val="0"/>
        <w:autoSpaceDN w:val="0"/>
        <w:adjustRightInd w:val="0"/>
        <w:snapToGrid w:val="0"/>
        <w:spacing w:before="50" w:line="360" w:lineRule="auto"/>
        <w:jc w:val="left"/>
        <w:rPr>
          <w:rFonts w:ascii="宋体" w:hAnsi="宋体"/>
          <w:b/>
          <w:sz w:val="24"/>
        </w:rPr>
      </w:pPr>
      <w:r>
        <w:rPr>
          <w:rFonts w:hint="eastAsia" w:ascii="宋体" w:hAnsi="宋体"/>
          <w:b/>
          <w:bCs/>
          <w:sz w:val="24"/>
        </w:rPr>
        <w:t>22.</w:t>
      </w:r>
      <w:r>
        <w:rPr>
          <w:rFonts w:hint="eastAsia" w:ascii="宋体" w:hAnsi="宋体"/>
          <w:b/>
          <w:sz w:val="24"/>
        </w:rPr>
        <w:t>通知</w:t>
      </w:r>
    </w:p>
    <w:p w14:paraId="6E0BAD64">
      <w:pPr>
        <w:adjustRightInd w:val="0"/>
        <w:snapToGrid w:val="0"/>
        <w:spacing w:before="50" w:line="360" w:lineRule="auto"/>
        <w:ind w:firstLine="420" w:firstLineChars="200"/>
        <w:jc w:val="left"/>
        <w:rPr>
          <w:rFonts w:ascii="宋体" w:hAnsi="宋体"/>
          <w:szCs w:val="21"/>
        </w:rPr>
      </w:pPr>
      <w:r>
        <w:rPr>
          <w:rFonts w:hint="eastAsia" w:ascii="宋体" w:hAnsi="宋体"/>
          <w:szCs w:val="21"/>
        </w:rPr>
        <w:t>22.1本合同一方给另一方的通知均应采用书面形式，传真或快递送到本合同中规定的对方的地址和办理签收手续，</w:t>
      </w:r>
    </w:p>
    <w:p w14:paraId="00171543">
      <w:pPr>
        <w:adjustRightInd w:val="0"/>
        <w:snapToGrid w:val="0"/>
        <w:spacing w:before="50" w:line="360" w:lineRule="auto"/>
        <w:ind w:firstLine="420" w:firstLineChars="200"/>
        <w:jc w:val="left"/>
        <w:rPr>
          <w:rFonts w:ascii="宋体" w:hAnsi="宋体"/>
          <w:szCs w:val="21"/>
        </w:rPr>
      </w:pPr>
      <w:r>
        <w:rPr>
          <w:rFonts w:hint="eastAsia" w:ascii="宋体" w:hAnsi="宋体"/>
          <w:szCs w:val="21"/>
        </w:rPr>
        <w:t>22.2通知以送到之日或通知书中规定的生效之日起生效，两者中以较迟之日为准。</w:t>
      </w:r>
    </w:p>
    <w:p w14:paraId="531F73E2">
      <w:pPr>
        <w:adjustRightInd w:val="0"/>
        <w:snapToGrid w:val="0"/>
        <w:spacing w:before="50" w:line="360" w:lineRule="auto"/>
        <w:jc w:val="left"/>
        <w:rPr>
          <w:rFonts w:ascii="宋体" w:hAnsi="宋体"/>
          <w:b/>
          <w:bCs/>
          <w:sz w:val="24"/>
        </w:rPr>
      </w:pPr>
      <w:r>
        <w:rPr>
          <w:rFonts w:hint="eastAsia" w:ascii="宋体" w:hAnsi="宋体"/>
          <w:b/>
          <w:bCs/>
          <w:sz w:val="24"/>
        </w:rPr>
        <w:t>23. 合同未尽事项</w:t>
      </w:r>
    </w:p>
    <w:p w14:paraId="12B116CB">
      <w:pPr>
        <w:adjustRightInd w:val="0"/>
        <w:snapToGrid w:val="0"/>
        <w:spacing w:before="50" w:line="360" w:lineRule="auto"/>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p>
    <w:p w14:paraId="6993E53D">
      <w:pPr>
        <w:adjustRightInd w:val="0"/>
        <w:snapToGrid w:val="0"/>
        <w:spacing w:before="50" w:line="360" w:lineRule="auto"/>
        <w:jc w:val="left"/>
        <w:rPr>
          <w:rFonts w:ascii="宋体" w:hAnsi="宋体"/>
          <w:b/>
          <w:bCs/>
          <w:sz w:val="24"/>
        </w:rPr>
      </w:pPr>
      <w:r>
        <w:rPr>
          <w:rFonts w:hint="eastAsia" w:ascii="宋体" w:hAnsi="宋体"/>
          <w:b/>
          <w:bCs/>
          <w:sz w:val="24"/>
        </w:rPr>
        <w:t>24.合同生效</w:t>
      </w:r>
    </w:p>
    <w:p w14:paraId="7885339B">
      <w:pPr>
        <w:autoSpaceDE w:val="0"/>
        <w:autoSpaceDN w:val="0"/>
        <w:adjustRightInd w:val="0"/>
        <w:snapToGrid w:val="0"/>
        <w:spacing w:before="50" w:line="360" w:lineRule="auto"/>
        <w:ind w:firstLine="420" w:firstLineChars="200"/>
        <w:jc w:val="left"/>
        <w:rPr>
          <w:rFonts w:ascii="黑体" w:hAnsi="黑体" w:eastAsia="黑体"/>
          <w:b/>
          <w:bCs/>
          <w:sz w:val="32"/>
        </w:rPr>
      </w:pPr>
      <w:r>
        <w:rPr>
          <w:rFonts w:hint="eastAsia" w:ascii="宋体" w:hAnsi="宋体"/>
          <w:szCs w:val="21"/>
        </w:rPr>
        <w:t>24.1 本合同在合同双方签字盖章后生效。</w:t>
      </w:r>
      <w:r>
        <w:rPr>
          <w:rFonts w:ascii="黑体" w:hAnsi="黑体" w:eastAsia="黑体"/>
          <w:b/>
          <w:bCs/>
          <w:sz w:val="32"/>
        </w:rPr>
        <w:br w:type="page"/>
      </w:r>
    </w:p>
    <w:p w14:paraId="62F1E922">
      <w:pPr>
        <w:keepNext/>
        <w:keepLines/>
        <w:adjustRightInd w:val="0"/>
        <w:snapToGrid w:val="0"/>
        <w:spacing w:line="360" w:lineRule="auto"/>
        <w:ind w:firstLine="562" w:firstLineChars="200"/>
        <w:jc w:val="center"/>
        <w:outlineLvl w:val="1"/>
        <w:rPr>
          <w:rFonts w:ascii="黑体" w:hAnsi="华文中宋" w:eastAsia="黑体"/>
          <w:b/>
          <w:bCs/>
          <w:sz w:val="28"/>
          <w:szCs w:val="28"/>
        </w:rPr>
      </w:pPr>
      <w:bookmarkStart w:id="4" w:name="_Toc256000068"/>
      <w:r>
        <w:rPr>
          <w:rFonts w:hint="eastAsia" w:ascii="黑体" w:hAnsi="华文中宋" w:eastAsia="黑体"/>
          <w:b/>
          <w:bCs/>
          <w:sz w:val="28"/>
          <w:szCs w:val="28"/>
        </w:rPr>
        <w:t>第三节 政府采购合同专用条款</w:t>
      </w:r>
      <w:bookmarkEnd w:id="4"/>
    </w:p>
    <w:bookmarkEnd w:id="2"/>
    <w:tbl>
      <w:tblPr>
        <w:tblStyle w:val="44"/>
        <w:tblW w:w="0" w:type="auto"/>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890"/>
        <w:gridCol w:w="5670"/>
      </w:tblGrid>
      <w:tr w14:paraId="7CF8D8B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683" w:type="dxa"/>
            <w:tcBorders>
              <w:top w:val="double" w:color="auto" w:sz="2" w:space="0"/>
              <w:left w:val="double" w:color="auto" w:sz="2" w:space="0"/>
              <w:bottom w:val="single" w:color="auto" w:sz="6" w:space="0"/>
              <w:right w:val="single" w:color="auto" w:sz="6" w:space="0"/>
            </w:tcBorders>
            <w:noWrap w:val="0"/>
            <w:vAlign w:val="center"/>
          </w:tcPr>
          <w:p w14:paraId="46E47446">
            <w:pPr>
              <w:adjustRightInd w:val="0"/>
              <w:snapToGrid w:val="0"/>
              <w:spacing w:line="400" w:lineRule="exact"/>
              <w:jc w:val="center"/>
              <w:rPr>
                <w:rFonts w:hint="eastAsia" w:ascii="宋体" w:hAnsi="宋体" w:cs="宋体"/>
                <w:szCs w:val="21"/>
              </w:rPr>
            </w:pPr>
            <w:r>
              <w:rPr>
                <w:rFonts w:hint="eastAsia" w:ascii="宋体" w:hAnsi="宋体" w:cs="宋体"/>
                <w:b/>
                <w:bCs/>
                <w:szCs w:val="21"/>
              </w:rPr>
              <w:t>条款号</w:t>
            </w:r>
          </w:p>
        </w:tc>
        <w:tc>
          <w:tcPr>
            <w:tcW w:w="1890" w:type="dxa"/>
            <w:tcBorders>
              <w:top w:val="double" w:color="auto" w:sz="2" w:space="0"/>
              <w:left w:val="nil"/>
              <w:bottom w:val="single" w:color="auto" w:sz="6" w:space="0"/>
              <w:right w:val="single" w:color="auto" w:sz="6" w:space="0"/>
            </w:tcBorders>
            <w:noWrap w:val="0"/>
            <w:vAlign w:val="center"/>
          </w:tcPr>
          <w:p w14:paraId="771250D5">
            <w:pPr>
              <w:adjustRightInd w:val="0"/>
              <w:snapToGrid w:val="0"/>
              <w:spacing w:line="400" w:lineRule="exact"/>
              <w:jc w:val="center"/>
              <w:rPr>
                <w:rFonts w:hint="eastAsia" w:ascii="宋体" w:hAnsi="宋体" w:cs="宋体"/>
                <w:szCs w:val="21"/>
              </w:rPr>
            </w:pPr>
            <w:r>
              <w:rPr>
                <w:rFonts w:hint="eastAsia" w:ascii="宋体" w:hAnsi="宋体" w:cs="宋体"/>
                <w:b/>
                <w:bCs/>
                <w:szCs w:val="21"/>
              </w:rPr>
              <w:t>条款名称</w:t>
            </w:r>
          </w:p>
        </w:tc>
        <w:tc>
          <w:tcPr>
            <w:tcW w:w="5670" w:type="dxa"/>
            <w:tcBorders>
              <w:top w:val="double" w:color="auto" w:sz="2" w:space="0"/>
              <w:left w:val="nil"/>
              <w:bottom w:val="single" w:color="auto" w:sz="6" w:space="0"/>
              <w:right w:val="double" w:color="auto" w:sz="2" w:space="0"/>
            </w:tcBorders>
            <w:noWrap w:val="0"/>
            <w:vAlign w:val="center"/>
          </w:tcPr>
          <w:p w14:paraId="2F4791A2">
            <w:pPr>
              <w:adjustRightInd w:val="0"/>
              <w:snapToGrid w:val="0"/>
              <w:spacing w:line="400" w:lineRule="exact"/>
              <w:jc w:val="center"/>
              <w:rPr>
                <w:rFonts w:hint="eastAsia" w:ascii="宋体" w:hAnsi="宋体" w:cs="宋体"/>
                <w:szCs w:val="21"/>
              </w:rPr>
            </w:pPr>
            <w:r>
              <w:rPr>
                <w:rFonts w:hint="eastAsia" w:ascii="宋体" w:hAnsi="宋体" w:cs="宋体"/>
                <w:b/>
                <w:bCs/>
                <w:szCs w:val="21"/>
              </w:rPr>
              <w:t>编列内容规定</w:t>
            </w:r>
          </w:p>
        </w:tc>
      </w:tr>
      <w:tr w14:paraId="7816E5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39203460">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5011D7DE">
            <w:pPr>
              <w:adjustRightInd w:val="0"/>
              <w:snapToGrid w:val="0"/>
              <w:spacing w:line="320" w:lineRule="exact"/>
              <w:jc w:val="center"/>
              <w:rPr>
                <w:rFonts w:hint="eastAsia" w:ascii="宋体" w:hAnsi="宋体" w:cs="宋体"/>
                <w:szCs w:val="21"/>
              </w:rPr>
            </w:pPr>
            <w:r>
              <w:rPr>
                <w:rFonts w:hint="eastAsia" w:ascii="宋体" w:hAnsi="宋体" w:cs="宋体"/>
                <w:szCs w:val="21"/>
              </w:rPr>
              <w:t>第1.2.5款</w:t>
            </w:r>
          </w:p>
        </w:tc>
        <w:tc>
          <w:tcPr>
            <w:tcW w:w="1890" w:type="dxa"/>
            <w:tcBorders>
              <w:top w:val="single" w:color="auto" w:sz="6" w:space="0"/>
              <w:left w:val="nil"/>
              <w:bottom w:val="single" w:color="auto" w:sz="6" w:space="0"/>
              <w:right w:val="single" w:color="auto" w:sz="6" w:space="0"/>
            </w:tcBorders>
            <w:noWrap w:val="0"/>
            <w:vAlign w:val="center"/>
          </w:tcPr>
          <w:p w14:paraId="4C78B4B6">
            <w:pPr>
              <w:adjustRightInd w:val="0"/>
              <w:snapToGrid w:val="0"/>
              <w:spacing w:line="400" w:lineRule="exact"/>
              <w:jc w:val="center"/>
              <w:rPr>
                <w:rFonts w:hint="eastAsia" w:ascii="宋体" w:hAnsi="宋体" w:cs="宋体"/>
                <w:szCs w:val="21"/>
              </w:rPr>
            </w:pPr>
            <w:r>
              <w:rPr>
                <w:rFonts w:hint="eastAsia" w:ascii="宋体" w:hAnsi="宋体" w:cs="宋体"/>
                <w:szCs w:val="21"/>
              </w:rPr>
              <w:t>项目现场</w:t>
            </w:r>
          </w:p>
        </w:tc>
        <w:tc>
          <w:tcPr>
            <w:tcW w:w="5670" w:type="dxa"/>
            <w:tcBorders>
              <w:top w:val="single" w:color="auto" w:sz="6" w:space="0"/>
              <w:left w:val="nil"/>
              <w:bottom w:val="single" w:color="auto" w:sz="6" w:space="0"/>
              <w:right w:val="double" w:color="auto" w:sz="2" w:space="0"/>
            </w:tcBorders>
            <w:noWrap w:val="0"/>
            <w:vAlign w:val="center"/>
          </w:tcPr>
          <w:p w14:paraId="6FAE2C8D">
            <w:pPr>
              <w:adjustRightInd w:val="0"/>
              <w:snapToGrid w:val="0"/>
              <w:spacing w:line="320" w:lineRule="exact"/>
              <w:jc w:val="left"/>
              <w:rPr>
                <w:rFonts w:hint="eastAsia" w:ascii="宋体" w:hAnsi="宋体" w:cs="宋体"/>
                <w:szCs w:val="21"/>
              </w:rPr>
            </w:pPr>
            <w:r>
              <w:rPr>
                <w:rFonts w:hint="eastAsia" w:ascii="宋体" w:hAnsi="宋体" w:cs="宋体"/>
                <w:bCs/>
                <w:szCs w:val="21"/>
              </w:rPr>
              <w:t>采购人指定地点</w:t>
            </w:r>
          </w:p>
        </w:tc>
      </w:tr>
      <w:tr w14:paraId="06FEC9F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69B0F2FC">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662DC113">
            <w:pPr>
              <w:adjustRightInd w:val="0"/>
              <w:snapToGrid w:val="0"/>
              <w:spacing w:line="320" w:lineRule="exact"/>
              <w:jc w:val="center"/>
              <w:rPr>
                <w:rFonts w:hint="eastAsia" w:ascii="宋体" w:hAnsi="宋体" w:cs="宋体"/>
                <w:szCs w:val="21"/>
              </w:rPr>
            </w:pPr>
            <w:r>
              <w:rPr>
                <w:rFonts w:hint="eastAsia" w:ascii="宋体" w:hAnsi="宋体" w:cs="宋体"/>
                <w:szCs w:val="21"/>
              </w:rPr>
              <w:t>第5.1条</w:t>
            </w:r>
          </w:p>
        </w:tc>
        <w:tc>
          <w:tcPr>
            <w:tcW w:w="1890" w:type="dxa"/>
            <w:tcBorders>
              <w:top w:val="single" w:color="auto" w:sz="6" w:space="0"/>
              <w:left w:val="nil"/>
              <w:bottom w:val="single" w:color="auto" w:sz="6" w:space="0"/>
              <w:right w:val="single" w:color="auto" w:sz="6" w:space="0"/>
            </w:tcBorders>
            <w:noWrap w:val="0"/>
            <w:vAlign w:val="center"/>
          </w:tcPr>
          <w:p w14:paraId="5B0D245D">
            <w:pPr>
              <w:adjustRightInd w:val="0"/>
              <w:snapToGrid w:val="0"/>
              <w:spacing w:line="320" w:lineRule="exact"/>
              <w:jc w:val="center"/>
              <w:rPr>
                <w:rFonts w:hint="eastAsia" w:ascii="宋体" w:hAnsi="宋体" w:cs="宋体"/>
                <w:szCs w:val="21"/>
              </w:rPr>
            </w:pPr>
            <w:r>
              <w:rPr>
                <w:rFonts w:hint="eastAsia" w:ascii="宋体" w:hAnsi="宋体" w:cs="宋体"/>
                <w:szCs w:val="21"/>
              </w:rPr>
              <w:t>履行合同的时间、地点及方式</w:t>
            </w:r>
          </w:p>
        </w:tc>
        <w:tc>
          <w:tcPr>
            <w:tcW w:w="5670" w:type="dxa"/>
            <w:tcBorders>
              <w:top w:val="single" w:color="auto" w:sz="6" w:space="0"/>
              <w:left w:val="nil"/>
              <w:bottom w:val="single" w:color="auto" w:sz="6" w:space="0"/>
              <w:right w:val="double" w:color="auto" w:sz="2" w:space="0"/>
            </w:tcBorders>
            <w:noWrap w:val="0"/>
            <w:vAlign w:val="center"/>
          </w:tcPr>
          <w:p w14:paraId="70240F8D">
            <w:pPr>
              <w:adjustRightInd w:val="0"/>
              <w:snapToGrid w:val="0"/>
              <w:spacing w:line="320" w:lineRule="exact"/>
              <w:jc w:val="left"/>
              <w:rPr>
                <w:rFonts w:hint="eastAsia" w:ascii="宋体" w:hAnsi="宋体" w:cs="宋体"/>
                <w:szCs w:val="21"/>
              </w:rPr>
            </w:pPr>
            <w:r>
              <w:rPr>
                <w:rFonts w:hint="eastAsia" w:ascii="宋体" w:hAnsi="宋体" w:cs="宋体"/>
                <w:szCs w:val="21"/>
              </w:rPr>
              <w:t>详见第四章 采购需求</w:t>
            </w:r>
          </w:p>
        </w:tc>
      </w:tr>
      <w:tr w14:paraId="41D0248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27E61F0C">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51F7D704">
            <w:pPr>
              <w:adjustRightInd w:val="0"/>
              <w:snapToGrid w:val="0"/>
              <w:spacing w:line="320" w:lineRule="exact"/>
              <w:jc w:val="center"/>
              <w:rPr>
                <w:rFonts w:hint="eastAsia" w:ascii="宋体" w:hAnsi="宋体" w:cs="宋体"/>
                <w:szCs w:val="21"/>
              </w:rPr>
            </w:pPr>
            <w:r>
              <w:rPr>
                <w:rFonts w:hint="eastAsia" w:ascii="宋体" w:hAnsi="宋体" w:cs="宋体"/>
                <w:szCs w:val="21"/>
              </w:rPr>
              <w:t>第9.2（1）条</w:t>
            </w:r>
          </w:p>
        </w:tc>
        <w:tc>
          <w:tcPr>
            <w:tcW w:w="1890" w:type="dxa"/>
            <w:tcBorders>
              <w:top w:val="single" w:color="auto" w:sz="6" w:space="0"/>
              <w:left w:val="nil"/>
              <w:bottom w:val="single" w:color="auto" w:sz="6" w:space="0"/>
              <w:right w:val="single" w:color="auto" w:sz="6" w:space="0"/>
            </w:tcBorders>
            <w:noWrap w:val="0"/>
            <w:vAlign w:val="center"/>
          </w:tcPr>
          <w:p w14:paraId="16A20460">
            <w:pPr>
              <w:adjustRightInd w:val="0"/>
              <w:snapToGrid w:val="0"/>
              <w:spacing w:line="320" w:lineRule="exact"/>
              <w:jc w:val="center"/>
              <w:rPr>
                <w:rFonts w:hint="eastAsia" w:ascii="宋体" w:hAnsi="宋体" w:cs="宋体"/>
                <w:szCs w:val="21"/>
              </w:rPr>
            </w:pPr>
            <w:r>
              <w:rPr>
                <w:rFonts w:hint="eastAsia" w:ascii="宋体" w:hAnsi="宋体" w:cs="宋体"/>
                <w:szCs w:val="21"/>
              </w:rPr>
              <w:t>质量保证期</w:t>
            </w:r>
          </w:p>
        </w:tc>
        <w:tc>
          <w:tcPr>
            <w:tcW w:w="5670" w:type="dxa"/>
            <w:tcBorders>
              <w:top w:val="single" w:color="auto" w:sz="6" w:space="0"/>
              <w:left w:val="nil"/>
              <w:bottom w:val="single" w:color="auto" w:sz="6" w:space="0"/>
              <w:right w:val="double" w:color="auto" w:sz="2" w:space="0"/>
            </w:tcBorders>
            <w:noWrap w:val="0"/>
            <w:vAlign w:val="center"/>
          </w:tcPr>
          <w:p w14:paraId="09EE2F69">
            <w:pPr>
              <w:adjustRightInd w:val="0"/>
              <w:snapToGrid w:val="0"/>
              <w:spacing w:line="320" w:lineRule="exact"/>
              <w:jc w:val="left"/>
              <w:rPr>
                <w:rFonts w:hint="eastAsia" w:ascii="宋体" w:hAnsi="宋体" w:cs="宋体"/>
                <w:szCs w:val="21"/>
              </w:rPr>
            </w:pPr>
            <w:r>
              <w:rPr>
                <w:rFonts w:hint="eastAsia" w:ascii="宋体" w:hAnsi="宋体" w:cs="宋体"/>
                <w:szCs w:val="21"/>
              </w:rPr>
              <w:t>/</w:t>
            </w:r>
          </w:p>
        </w:tc>
      </w:tr>
      <w:tr w14:paraId="04E6EE7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053A8ED2">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7C95043B">
            <w:pPr>
              <w:adjustRightInd w:val="0"/>
              <w:snapToGrid w:val="0"/>
              <w:spacing w:line="320" w:lineRule="exact"/>
              <w:jc w:val="center"/>
              <w:rPr>
                <w:rFonts w:hint="eastAsia" w:ascii="宋体" w:hAnsi="宋体" w:cs="宋体"/>
                <w:szCs w:val="21"/>
              </w:rPr>
            </w:pPr>
            <w:r>
              <w:rPr>
                <w:rFonts w:hint="eastAsia" w:ascii="宋体" w:hAnsi="宋体" w:cs="宋体"/>
                <w:szCs w:val="21"/>
              </w:rPr>
              <w:t>第9.2（3）条</w:t>
            </w:r>
          </w:p>
        </w:tc>
        <w:tc>
          <w:tcPr>
            <w:tcW w:w="1890" w:type="dxa"/>
            <w:tcBorders>
              <w:top w:val="single" w:color="auto" w:sz="6" w:space="0"/>
              <w:left w:val="nil"/>
              <w:bottom w:val="single" w:color="auto" w:sz="6" w:space="0"/>
              <w:right w:val="single" w:color="auto" w:sz="6" w:space="0"/>
            </w:tcBorders>
            <w:noWrap w:val="0"/>
            <w:vAlign w:val="center"/>
          </w:tcPr>
          <w:p w14:paraId="49A1ACE1">
            <w:pPr>
              <w:adjustRightInd w:val="0"/>
              <w:snapToGrid w:val="0"/>
              <w:spacing w:line="320" w:lineRule="exact"/>
              <w:jc w:val="center"/>
              <w:rPr>
                <w:rFonts w:hint="eastAsia" w:ascii="宋体" w:hAnsi="宋体" w:cs="宋体"/>
                <w:szCs w:val="21"/>
              </w:rPr>
            </w:pPr>
            <w:r>
              <w:rPr>
                <w:rFonts w:hint="eastAsia" w:ascii="宋体" w:hAnsi="宋体" w:cs="宋体"/>
                <w:szCs w:val="21"/>
              </w:rPr>
              <w:t>响应时间</w:t>
            </w:r>
          </w:p>
        </w:tc>
        <w:tc>
          <w:tcPr>
            <w:tcW w:w="5670" w:type="dxa"/>
            <w:tcBorders>
              <w:top w:val="single" w:color="auto" w:sz="6" w:space="0"/>
              <w:left w:val="nil"/>
              <w:bottom w:val="single" w:color="auto" w:sz="6" w:space="0"/>
              <w:right w:val="double" w:color="auto" w:sz="2" w:space="0"/>
            </w:tcBorders>
            <w:noWrap w:val="0"/>
            <w:vAlign w:val="center"/>
          </w:tcPr>
          <w:p w14:paraId="484A1081">
            <w:pPr>
              <w:adjustRightInd w:val="0"/>
              <w:snapToGrid w:val="0"/>
              <w:spacing w:line="320" w:lineRule="exact"/>
              <w:jc w:val="left"/>
              <w:rPr>
                <w:rFonts w:hint="eastAsia" w:ascii="宋体" w:hAnsi="宋体" w:cs="宋体"/>
                <w:szCs w:val="21"/>
              </w:rPr>
            </w:pPr>
            <w:r>
              <w:rPr>
                <w:rFonts w:hint="eastAsia" w:ascii="宋体" w:hAnsi="宋体" w:cs="宋体"/>
                <w:szCs w:val="21"/>
              </w:rPr>
              <w:t>详见第四章 采购需求</w:t>
            </w:r>
          </w:p>
        </w:tc>
      </w:tr>
      <w:tr w14:paraId="0C6D50D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884"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7D9AB1ED">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106CC964">
            <w:pPr>
              <w:adjustRightInd w:val="0"/>
              <w:snapToGrid w:val="0"/>
              <w:spacing w:line="320" w:lineRule="exact"/>
              <w:jc w:val="center"/>
              <w:rPr>
                <w:rFonts w:hint="eastAsia" w:ascii="宋体" w:hAnsi="宋体" w:cs="宋体"/>
                <w:szCs w:val="21"/>
              </w:rPr>
            </w:pPr>
            <w:r>
              <w:rPr>
                <w:rFonts w:hint="eastAsia" w:ascii="宋体" w:hAnsi="宋体" w:cs="宋体"/>
                <w:szCs w:val="21"/>
              </w:rPr>
              <w:t>第10.5条</w:t>
            </w:r>
          </w:p>
        </w:tc>
        <w:tc>
          <w:tcPr>
            <w:tcW w:w="1890" w:type="dxa"/>
            <w:tcBorders>
              <w:top w:val="single" w:color="auto" w:sz="6" w:space="0"/>
              <w:left w:val="nil"/>
              <w:bottom w:val="single" w:color="auto" w:sz="6" w:space="0"/>
              <w:right w:val="single" w:color="auto" w:sz="6" w:space="0"/>
            </w:tcBorders>
            <w:noWrap w:val="0"/>
            <w:vAlign w:val="center"/>
          </w:tcPr>
          <w:p w14:paraId="655B5DC0">
            <w:pPr>
              <w:adjustRightInd w:val="0"/>
              <w:snapToGrid w:val="0"/>
              <w:spacing w:line="320" w:lineRule="exact"/>
              <w:jc w:val="center"/>
              <w:rPr>
                <w:rFonts w:hint="eastAsia" w:ascii="宋体" w:hAnsi="宋体" w:cs="宋体"/>
                <w:szCs w:val="21"/>
              </w:rPr>
            </w:pPr>
            <w:r>
              <w:rPr>
                <w:rFonts w:hint="eastAsia" w:ascii="宋体" w:hAnsi="宋体" w:cs="宋体"/>
                <w:szCs w:val="21"/>
              </w:rPr>
              <w:t>合同价款支付方式和条件</w:t>
            </w:r>
          </w:p>
        </w:tc>
        <w:tc>
          <w:tcPr>
            <w:tcW w:w="5670" w:type="dxa"/>
            <w:tcBorders>
              <w:top w:val="single" w:color="auto" w:sz="6" w:space="0"/>
              <w:left w:val="nil"/>
              <w:bottom w:val="single" w:color="auto" w:sz="6" w:space="0"/>
              <w:right w:val="double" w:color="auto" w:sz="2" w:space="0"/>
            </w:tcBorders>
            <w:noWrap w:val="0"/>
            <w:vAlign w:val="center"/>
          </w:tcPr>
          <w:p w14:paraId="1088F20D">
            <w:pPr>
              <w:adjustRightInd w:val="0"/>
              <w:snapToGrid w:val="0"/>
              <w:spacing w:line="380" w:lineRule="exact"/>
              <w:jc w:val="left"/>
              <w:rPr>
                <w:rFonts w:hint="default" w:ascii="宋体" w:hAnsi="宋体" w:eastAsia="宋体" w:cs="宋体"/>
                <w:szCs w:val="21"/>
                <w:lang w:val="en-US" w:eastAsia="zh-CN"/>
              </w:rPr>
            </w:pPr>
            <w:r>
              <w:rPr>
                <w:rFonts w:hint="eastAsia" w:ascii="宋体" w:hAnsi="宋体" w:cs="宋体"/>
                <w:szCs w:val="21"/>
              </w:rPr>
              <w:t>付款人：</w:t>
            </w:r>
            <w:r>
              <w:rPr>
                <w:rFonts w:hint="eastAsia" w:ascii="宋体" w:hAnsi="宋体" w:cs="宋体"/>
                <w:kern w:val="0"/>
                <w:szCs w:val="21"/>
                <w:lang w:val="en-US" w:eastAsia="zh-CN" w:bidi="ar"/>
              </w:rPr>
              <w:t>湖南工程职业技术学院</w:t>
            </w:r>
          </w:p>
          <w:p w14:paraId="0EAD2B22">
            <w:pPr>
              <w:adjustRightInd w:val="0"/>
              <w:snapToGrid w:val="0"/>
              <w:spacing w:line="380" w:lineRule="exact"/>
              <w:jc w:val="left"/>
              <w:rPr>
                <w:rFonts w:hint="eastAsia" w:ascii="宋体" w:hAnsi="宋体" w:cs="宋体"/>
                <w:b/>
                <w:bCs/>
                <w:kern w:val="0"/>
                <w:szCs w:val="21"/>
              </w:rPr>
            </w:pPr>
            <w:r>
              <w:rPr>
                <w:rFonts w:hint="eastAsia" w:ascii="宋体" w:hAnsi="宋体" w:cs="宋体"/>
                <w:szCs w:val="21"/>
              </w:rPr>
              <w:t>付款方式：详见第四章 采购需求</w:t>
            </w:r>
          </w:p>
        </w:tc>
      </w:tr>
      <w:tr w14:paraId="4838EE0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single" w:color="auto" w:sz="6" w:space="0"/>
              <w:right w:val="single" w:color="auto" w:sz="6" w:space="0"/>
            </w:tcBorders>
            <w:noWrap w:val="0"/>
            <w:vAlign w:val="center"/>
          </w:tcPr>
          <w:p w14:paraId="20FE88E0">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32B2537C">
            <w:pPr>
              <w:adjustRightInd w:val="0"/>
              <w:snapToGrid w:val="0"/>
              <w:spacing w:line="320" w:lineRule="exact"/>
              <w:jc w:val="center"/>
              <w:rPr>
                <w:rFonts w:hint="eastAsia" w:ascii="宋体" w:hAnsi="宋体" w:cs="宋体"/>
                <w:szCs w:val="21"/>
              </w:rPr>
            </w:pPr>
            <w:r>
              <w:rPr>
                <w:rFonts w:hint="eastAsia" w:ascii="宋体" w:hAnsi="宋体" w:cs="宋体"/>
                <w:szCs w:val="21"/>
              </w:rPr>
              <w:t>第16.2条</w:t>
            </w:r>
          </w:p>
        </w:tc>
        <w:tc>
          <w:tcPr>
            <w:tcW w:w="1890" w:type="dxa"/>
            <w:tcBorders>
              <w:top w:val="single" w:color="auto" w:sz="6" w:space="0"/>
              <w:left w:val="nil"/>
              <w:bottom w:val="single" w:color="auto" w:sz="6" w:space="0"/>
              <w:right w:val="single" w:color="auto" w:sz="6" w:space="0"/>
            </w:tcBorders>
            <w:noWrap w:val="0"/>
            <w:vAlign w:val="center"/>
          </w:tcPr>
          <w:p w14:paraId="244043A6">
            <w:pPr>
              <w:adjustRightInd w:val="0"/>
              <w:snapToGrid w:val="0"/>
              <w:spacing w:line="400" w:lineRule="exact"/>
              <w:jc w:val="center"/>
              <w:rPr>
                <w:rFonts w:hint="eastAsia" w:ascii="宋体" w:hAnsi="宋体" w:cs="宋体"/>
                <w:szCs w:val="21"/>
              </w:rPr>
            </w:pPr>
            <w:r>
              <w:rPr>
                <w:rFonts w:hint="eastAsia" w:ascii="宋体" w:hAnsi="宋体" w:cs="宋体"/>
                <w:szCs w:val="21"/>
              </w:rPr>
              <w:t>解决争议的方式</w:t>
            </w:r>
          </w:p>
        </w:tc>
        <w:tc>
          <w:tcPr>
            <w:tcW w:w="5670" w:type="dxa"/>
            <w:tcBorders>
              <w:top w:val="single" w:color="auto" w:sz="6" w:space="0"/>
              <w:left w:val="nil"/>
              <w:bottom w:val="single" w:color="auto" w:sz="6" w:space="0"/>
              <w:right w:val="double" w:color="auto" w:sz="2" w:space="0"/>
            </w:tcBorders>
            <w:noWrap w:val="0"/>
            <w:vAlign w:val="center"/>
          </w:tcPr>
          <w:p w14:paraId="296C0396">
            <w:pPr>
              <w:adjustRightInd w:val="0"/>
              <w:snapToGrid w:val="0"/>
              <w:spacing w:line="400" w:lineRule="exact"/>
              <w:rPr>
                <w:rFonts w:hint="eastAsia" w:ascii="宋体" w:hAnsi="宋体" w:cs="宋体"/>
                <w:szCs w:val="21"/>
              </w:rPr>
            </w:pPr>
            <w:r>
              <w:rPr>
                <w:rFonts w:hint="eastAsia" w:ascii="宋体" w:hAnsi="宋体" w:cs="宋体"/>
                <w:szCs w:val="21"/>
              </w:rPr>
              <w:t>诉讼，在采购人所在地人民法院提起诉讼。</w:t>
            </w:r>
          </w:p>
        </w:tc>
      </w:tr>
      <w:tr w14:paraId="3BB28E3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83" w:type="dxa"/>
            <w:tcBorders>
              <w:top w:val="single" w:color="auto" w:sz="6" w:space="0"/>
              <w:left w:val="double" w:color="auto" w:sz="2" w:space="0"/>
              <w:bottom w:val="double" w:color="auto" w:sz="2" w:space="0"/>
              <w:right w:val="single" w:color="auto" w:sz="6" w:space="0"/>
            </w:tcBorders>
            <w:noWrap w:val="0"/>
            <w:vAlign w:val="center"/>
          </w:tcPr>
          <w:p w14:paraId="01935DFD">
            <w:pPr>
              <w:adjustRightInd w:val="0"/>
              <w:snapToGrid w:val="0"/>
              <w:spacing w:line="320" w:lineRule="exact"/>
              <w:jc w:val="center"/>
              <w:rPr>
                <w:rFonts w:hint="eastAsia" w:ascii="宋体" w:hAnsi="宋体" w:cs="宋体"/>
                <w:szCs w:val="21"/>
              </w:rPr>
            </w:pPr>
            <w:r>
              <w:rPr>
                <w:rFonts w:hint="eastAsia" w:ascii="宋体" w:hAnsi="宋体" w:cs="宋体"/>
                <w:szCs w:val="21"/>
              </w:rPr>
              <w:t>合同通用条款</w:t>
            </w:r>
          </w:p>
          <w:p w14:paraId="6E3F032A">
            <w:pPr>
              <w:adjustRightInd w:val="0"/>
              <w:snapToGrid w:val="0"/>
              <w:spacing w:line="320" w:lineRule="exact"/>
              <w:jc w:val="center"/>
              <w:rPr>
                <w:rFonts w:hint="eastAsia" w:ascii="宋体" w:hAnsi="宋体" w:cs="宋体"/>
                <w:szCs w:val="21"/>
              </w:rPr>
            </w:pPr>
            <w:r>
              <w:rPr>
                <w:rFonts w:hint="eastAsia" w:ascii="宋体" w:hAnsi="宋体" w:cs="宋体"/>
                <w:szCs w:val="21"/>
              </w:rPr>
              <w:t>第20.1条</w:t>
            </w:r>
          </w:p>
        </w:tc>
        <w:tc>
          <w:tcPr>
            <w:tcW w:w="1890" w:type="dxa"/>
            <w:tcBorders>
              <w:top w:val="single" w:color="auto" w:sz="6" w:space="0"/>
              <w:left w:val="nil"/>
              <w:bottom w:val="double" w:color="auto" w:sz="2" w:space="0"/>
              <w:right w:val="single" w:color="auto" w:sz="6" w:space="0"/>
            </w:tcBorders>
            <w:noWrap w:val="0"/>
            <w:vAlign w:val="center"/>
          </w:tcPr>
          <w:p w14:paraId="10715268">
            <w:pPr>
              <w:adjustRightInd w:val="0"/>
              <w:snapToGrid w:val="0"/>
              <w:spacing w:line="400" w:lineRule="exact"/>
              <w:jc w:val="center"/>
              <w:rPr>
                <w:rFonts w:hint="eastAsia" w:ascii="宋体" w:hAnsi="宋体" w:cs="宋体"/>
                <w:szCs w:val="21"/>
              </w:rPr>
            </w:pPr>
            <w:r>
              <w:rPr>
                <w:rFonts w:hint="eastAsia" w:ascii="宋体" w:hAnsi="宋体" w:cs="宋体"/>
                <w:szCs w:val="21"/>
              </w:rPr>
              <w:t>合同未尽事项</w:t>
            </w:r>
          </w:p>
        </w:tc>
        <w:tc>
          <w:tcPr>
            <w:tcW w:w="5670" w:type="dxa"/>
            <w:tcBorders>
              <w:top w:val="single" w:color="auto" w:sz="6" w:space="0"/>
              <w:left w:val="nil"/>
              <w:bottom w:val="double" w:color="auto" w:sz="2" w:space="0"/>
              <w:right w:val="double" w:color="auto" w:sz="2" w:space="0"/>
            </w:tcBorders>
            <w:noWrap w:val="0"/>
            <w:vAlign w:val="center"/>
          </w:tcPr>
          <w:p w14:paraId="5008A082">
            <w:pPr>
              <w:adjustRightInd w:val="0"/>
              <w:snapToGrid w:val="0"/>
              <w:spacing w:line="400" w:lineRule="exact"/>
              <w:rPr>
                <w:rFonts w:hint="eastAsia" w:ascii="宋体" w:hAnsi="宋体" w:cs="宋体"/>
                <w:szCs w:val="21"/>
              </w:rPr>
            </w:pPr>
            <w:r>
              <w:rPr>
                <w:rFonts w:hint="eastAsia" w:ascii="宋体" w:hAnsi="宋体" w:cs="宋体"/>
                <w:szCs w:val="21"/>
              </w:rPr>
              <w:t>协商解决</w:t>
            </w:r>
          </w:p>
        </w:tc>
      </w:tr>
    </w:tbl>
    <w:p w14:paraId="357752C9">
      <w:pPr>
        <w:rPr>
          <w:rFonts w:hint="eastAsia" w:ascii="宋体" w:hAnsi="宋体" w:cs="宋体"/>
        </w:rPr>
      </w:pPr>
    </w:p>
    <w:p w14:paraId="6B3F2548">
      <w:pPr>
        <w:rPr>
          <w:rFonts w:hint="eastAsia" w:ascii="宋体" w:hAnsi="宋体" w:cs="宋体"/>
        </w:rPr>
        <w:sectPr>
          <w:footerReference r:id="rId8" w:type="default"/>
          <w:pgSz w:w="11906" w:h="16838"/>
          <w:pgMar w:top="1021" w:right="1474" w:bottom="1191" w:left="1474" w:header="510" w:footer="624" w:gutter="0"/>
          <w:cols w:space="720" w:num="1"/>
          <w:rtlGutter w:val="1"/>
          <w:docGrid w:linePitch="312" w:charSpace="0"/>
        </w:sectPr>
      </w:pPr>
    </w:p>
    <w:p w14:paraId="2F191AC2">
      <w:pPr>
        <w:spacing w:line="360" w:lineRule="auto"/>
        <w:jc w:val="center"/>
        <w:outlineLvl w:val="0"/>
        <w:rPr>
          <w:rFonts w:ascii="宋体" w:hAnsi="宋体" w:cs="宋体"/>
          <w:color w:val="auto"/>
          <w:szCs w:val="21"/>
        </w:rPr>
      </w:pPr>
      <w:r>
        <w:rPr>
          <w:rFonts w:hint="eastAsia" w:ascii="宋体" w:hAnsi="宋体" w:cs="宋体"/>
          <w:b/>
          <w:bCs/>
          <w:sz w:val="32"/>
          <w:szCs w:val="32"/>
        </w:rPr>
        <w:t xml:space="preserve">第四章 </w:t>
      </w:r>
      <w:r>
        <w:rPr>
          <w:rFonts w:hint="eastAsia" w:ascii="宋体" w:hAnsi="宋体" w:cs="宋体"/>
          <w:b/>
          <w:color w:val="auto"/>
          <w:sz w:val="32"/>
          <w:szCs w:val="32"/>
        </w:rPr>
        <w:t>采购需求</w:t>
      </w:r>
    </w:p>
    <w:p w14:paraId="74CE6F3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b/>
          <w:sz w:val="28"/>
          <w:szCs w:val="28"/>
        </w:rPr>
      </w:pPr>
      <w:bookmarkStart w:id="5" w:name="_Toc24603"/>
      <w:bookmarkStart w:id="6" w:name="_Toc28215"/>
      <w:r>
        <w:rPr>
          <w:rFonts w:hint="eastAsia" w:ascii="Times New Roman" w:hAnsi="Times New Roman" w:eastAsia="宋体" w:cs="宋体"/>
          <w:b/>
          <w:kern w:val="2"/>
          <w:sz w:val="28"/>
          <w:szCs w:val="28"/>
          <w:lang w:val="en-US" w:eastAsia="zh-CN" w:bidi="ar-SA"/>
        </w:rPr>
        <w:t>一、</w:t>
      </w:r>
      <w:r>
        <w:rPr>
          <w:rFonts w:ascii="Times New Roman" w:hAnsi="Times New Roman" w:eastAsia="宋体" w:cs="宋体"/>
          <w:b/>
          <w:sz w:val="28"/>
          <w:szCs w:val="28"/>
        </w:rPr>
        <w:t>采购服务名称、周期及预算</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939"/>
        <w:gridCol w:w="2384"/>
        <w:gridCol w:w="1334"/>
        <w:gridCol w:w="966"/>
        <w:gridCol w:w="719"/>
      </w:tblGrid>
      <w:tr w14:paraId="6EF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auto" w:fill="9CC2E5"/>
            <w:vAlign w:val="center"/>
          </w:tcPr>
          <w:p w14:paraId="4B0535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序号</w:t>
            </w:r>
          </w:p>
        </w:tc>
        <w:tc>
          <w:tcPr>
            <w:tcW w:w="0" w:type="auto"/>
            <w:shd w:val="clear" w:color="auto" w:fill="9CC2E5"/>
            <w:vAlign w:val="center"/>
          </w:tcPr>
          <w:p w14:paraId="5811BF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采购服务项目名称</w:t>
            </w:r>
          </w:p>
        </w:tc>
        <w:tc>
          <w:tcPr>
            <w:tcW w:w="0" w:type="auto"/>
            <w:shd w:val="clear" w:color="auto" w:fill="9CC2E5"/>
            <w:vAlign w:val="center"/>
          </w:tcPr>
          <w:p w14:paraId="554FB6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服务模块名称</w:t>
            </w:r>
          </w:p>
        </w:tc>
        <w:tc>
          <w:tcPr>
            <w:tcW w:w="0" w:type="auto"/>
            <w:shd w:val="clear" w:color="auto" w:fill="9CC2E5"/>
            <w:vAlign w:val="center"/>
          </w:tcPr>
          <w:p w14:paraId="4389DC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预算</w:t>
            </w:r>
          </w:p>
        </w:tc>
        <w:tc>
          <w:tcPr>
            <w:tcW w:w="0" w:type="auto"/>
            <w:shd w:val="clear" w:color="auto" w:fill="9CC2E5"/>
            <w:vAlign w:val="center"/>
          </w:tcPr>
          <w:p w14:paraId="579439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kern w:val="2"/>
                <w:sz w:val="24"/>
                <w:szCs w:val="24"/>
                <w:vertAlign w:val="baseline"/>
                <w:lang w:val="en-US" w:eastAsia="zh-CN" w:bidi="ar-SA"/>
              </w:rPr>
            </w:pPr>
            <w:r>
              <w:rPr>
                <w:rFonts w:hint="eastAsia" w:ascii="Times New Roman" w:hAnsi="Times New Roman" w:eastAsia="宋体" w:cs="宋体"/>
                <w:b/>
                <w:bCs/>
                <w:sz w:val="24"/>
                <w:szCs w:val="24"/>
                <w:vertAlign w:val="baseline"/>
                <w:lang w:val="en-US" w:eastAsia="zh-CN"/>
              </w:rPr>
              <w:t>服务期</w:t>
            </w:r>
          </w:p>
        </w:tc>
        <w:tc>
          <w:tcPr>
            <w:tcW w:w="0" w:type="auto"/>
            <w:shd w:val="clear" w:color="auto" w:fill="9CC2E5"/>
            <w:vAlign w:val="center"/>
          </w:tcPr>
          <w:p w14:paraId="65C3AD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b/>
                <w:bCs/>
                <w:sz w:val="24"/>
                <w:szCs w:val="24"/>
                <w:vertAlign w:val="baseline"/>
                <w:lang w:val="en-US" w:eastAsia="zh-CN"/>
              </w:rPr>
            </w:pPr>
            <w:r>
              <w:rPr>
                <w:rFonts w:hint="eastAsia" w:ascii="Times New Roman" w:hAnsi="Times New Roman" w:eastAsia="宋体" w:cs="宋体"/>
                <w:b/>
                <w:bCs/>
                <w:sz w:val="24"/>
                <w:szCs w:val="24"/>
                <w:vertAlign w:val="baseline"/>
                <w:lang w:val="en-US" w:eastAsia="zh-CN"/>
              </w:rPr>
              <w:t>备注</w:t>
            </w:r>
          </w:p>
        </w:tc>
      </w:tr>
      <w:tr w14:paraId="077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shd w:val="clear" w:color="auto" w:fill="auto"/>
            <w:vAlign w:val="center"/>
          </w:tcPr>
          <w:p w14:paraId="42CB1A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1</w:t>
            </w:r>
          </w:p>
        </w:tc>
        <w:tc>
          <w:tcPr>
            <w:tcW w:w="0" w:type="auto"/>
            <w:vMerge w:val="restart"/>
            <w:shd w:val="clear" w:color="auto" w:fill="auto"/>
            <w:vAlign w:val="center"/>
          </w:tcPr>
          <w:p w14:paraId="6DE360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智慧教学网络云平台服务</w:t>
            </w:r>
          </w:p>
        </w:tc>
        <w:tc>
          <w:tcPr>
            <w:tcW w:w="0" w:type="auto"/>
            <w:shd w:val="clear" w:color="auto" w:fill="auto"/>
            <w:vAlign w:val="center"/>
          </w:tcPr>
          <w:p w14:paraId="75A0E3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SPOC教学服务模块</w:t>
            </w:r>
          </w:p>
        </w:tc>
        <w:tc>
          <w:tcPr>
            <w:tcW w:w="0" w:type="auto"/>
            <w:vAlign w:val="center"/>
          </w:tcPr>
          <w:p w14:paraId="0213C7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r>
              <w:rPr>
                <w:rFonts w:hint="eastAsia" w:cs="宋体"/>
                <w:sz w:val="24"/>
                <w:szCs w:val="24"/>
                <w:vertAlign w:val="baseline"/>
                <w:lang w:val="en-US" w:eastAsia="zh-CN"/>
              </w:rPr>
              <w:t>58</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7CD68C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3年</w:t>
            </w:r>
          </w:p>
        </w:tc>
        <w:tc>
          <w:tcPr>
            <w:tcW w:w="0" w:type="auto"/>
            <w:vAlign w:val="center"/>
          </w:tcPr>
          <w:p w14:paraId="35ED9B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p>
        </w:tc>
      </w:tr>
      <w:tr w14:paraId="2B0E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shd w:val="clear" w:color="auto" w:fill="auto"/>
            <w:vAlign w:val="center"/>
          </w:tcPr>
          <w:p w14:paraId="38ADD1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Merge w:val="continue"/>
            <w:shd w:val="clear" w:color="auto" w:fill="auto"/>
            <w:vAlign w:val="center"/>
          </w:tcPr>
          <w:p w14:paraId="52C06B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shd w:val="clear" w:color="auto" w:fill="auto"/>
            <w:vAlign w:val="center"/>
          </w:tcPr>
          <w:p w14:paraId="3FFEFA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智慧课程服务模块</w:t>
            </w:r>
          </w:p>
        </w:tc>
        <w:tc>
          <w:tcPr>
            <w:tcW w:w="0" w:type="auto"/>
            <w:shd w:val="clear" w:color="auto" w:fill="auto"/>
            <w:vAlign w:val="center"/>
          </w:tcPr>
          <w:p w14:paraId="0E6806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cs="宋体"/>
                <w:sz w:val="24"/>
                <w:szCs w:val="24"/>
                <w:vertAlign w:val="baseline"/>
                <w:lang w:val="en-US" w:eastAsia="zh-CN"/>
              </w:rPr>
              <w:t>31.3333</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4E3598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3年</w:t>
            </w:r>
          </w:p>
        </w:tc>
        <w:tc>
          <w:tcPr>
            <w:tcW w:w="0" w:type="auto"/>
            <w:vAlign w:val="center"/>
          </w:tcPr>
          <w:p w14:paraId="0E3C37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p>
        </w:tc>
      </w:tr>
      <w:tr w14:paraId="2C6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55B77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23C704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1E619B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合计</w:t>
            </w:r>
          </w:p>
        </w:tc>
        <w:tc>
          <w:tcPr>
            <w:tcW w:w="0" w:type="auto"/>
            <w:vAlign w:val="center"/>
          </w:tcPr>
          <w:p w14:paraId="064B11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宋体"/>
                <w:sz w:val="24"/>
                <w:szCs w:val="24"/>
                <w:vertAlign w:val="baseline"/>
                <w:lang w:val="en-US" w:eastAsia="zh-CN"/>
              </w:rPr>
            </w:pPr>
            <w:r>
              <w:rPr>
                <w:rFonts w:hint="eastAsia" w:cs="宋体"/>
                <w:sz w:val="24"/>
                <w:szCs w:val="24"/>
                <w:vertAlign w:val="baseline"/>
                <w:lang w:val="en-US" w:eastAsia="zh-CN"/>
              </w:rPr>
              <w:t>89.3333</w:t>
            </w:r>
            <w:r>
              <w:rPr>
                <w:rFonts w:hint="eastAsia" w:ascii="Times New Roman" w:hAnsi="Times New Roman" w:eastAsia="宋体" w:cs="宋体"/>
                <w:sz w:val="24"/>
                <w:szCs w:val="24"/>
                <w:vertAlign w:val="baseline"/>
                <w:lang w:val="en-US" w:eastAsia="zh-CN"/>
              </w:rPr>
              <w:t>万</w:t>
            </w:r>
          </w:p>
        </w:tc>
        <w:tc>
          <w:tcPr>
            <w:tcW w:w="0" w:type="auto"/>
            <w:shd w:val="clear" w:color="auto" w:fill="auto"/>
            <w:vAlign w:val="center"/>
          </w:tcPr>
          <w:p w14:paraId="16311E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c>
          <w:tcPr>
            <w:tcW w:w="0" w:type="auto"/>
            <w:vAlign w:val="center"/>
          </w:tcPr>
          <w:p w14:paraId="2C58C5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宋体"/>
                <w:sz w:val="24"/>
                <w:szCs w:val="24"/>
                <w:vertAlign w:val="baseline"/>
                <w:lang w:val="en-US" w:eastAsia="zh-CN"/>
              </w:rPr>
            </w:pPr>
          </w:p>
        </w:tc>
      </w:tr>
    </w:tbl>
    <w:p w14:paraId="7F2E92F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二、采购服务需实现的功能或目标</w:t>
      </w:r>
    </w:p>
    <w:p w14:paraId="595360B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为积极落实国家教育数字化战略行动，推动人工智能赋能教育变革转型，实现信息技术与教育教学深度融合，提高我校课程建设质量，助力专业数智化转型，提升人才培养成效，现利用大模型、知识图谱等人工智能技术与职业教育教学深度融合，</w:t>
      </w:r>
      <w:r>
        <w:rPr>
          <w:rFonts w:hint="eastAsia" w:ascii="Times New Roman" w:hAnsi="Times New Roman" w:eastAsia="宋体" w:cs="宋体"/>
          <w:kern w:val="0"/>
          <w:sz w:val="28"/>
          <w:szCs w:val="28"/>
          <w:lang w:val="en-US" w:eastAsia="zh-CN"/>
        </w:rPr>
        <w:t>拟</w:t>
      </w:r>
      <w:r>
        <w:rPr>
          <w:rFonts w:hint="eastAsia" w:ascii="Times New Roman" w:hAnsi="Times New Roman" w:eastAsia="宋体" w:cs="宋体"/>
          <w:kern w:val="0"/>
          <w:sz w:val="28"/>
          <w:szCs w:val="28"/>
        </w:rPr>
        <w:t>采购</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智慧教学网络服务</w:t>
      </w:r>
      <w:r>
        <w:rPr>
          <w:rFonts w:hint="eastAsia" w:ascii="Times New Roman" w:hAnsi="Times New Roman" w:eastAsia="宋体" w:cs="宋体"/>
          <w:kern w:val="0"/>
          <w:sz w:val="28"/>
          <w:szCs w:val="28"/>
          <w:lang w:val="en-US" w:eastAsia="zh-CN"/>
        </w:rPr>
        <w:t>云</w:t>
      </w:r>
      <w:r>
        <w:rPr>
          <w:rFonts w:hint="eastAsia" w:ascii="Times New Roman" w:hAnsi="Times New Roman" w:eastAsia="宋体" w:cs="宋体"/>
          <w:kern w:val="0"/>
          <w:sz w:val="28"/>
          <w:szCs w:val="28"/>
        </w:rPr>
        <w:t>平台</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，为我校教师提供AI赋能的在线开放课程建设与教学服务，满足学校在线开放课程建设、MOOC/SPOC教学、AI辅助教学等多种信息化教学场景需求。</w:t>
      </w:r>
    </w:p>
    <w:p w14:paraId="0BFEB8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智慧教学网络服务</w:t>
      </w:r>
      <w:r>
        <w:rPr>
          <w:rFonts w:hint="eastAsia" w:ascii="Times New Roman" w:hAnsi="Times New Roman" w:eastAsia="宋体" w:cs="宋体"/>
          <w:kern w:val="0"/>
          <w:sz w:val="28"/>
          <w:szCs w:val="28"/>
          <w:lang w:val="en-US" w:eastAsia="zh-CN"/>
        </w:rPr>
        <w:t>云</w:t>
      </w:r>
      <w:r>
        <w:rPr>
          <w:rFonts w:hint="eastAsia" w:ascii="Times New Roman" w:hAnsi="Times New Roman" w:eastAsia="宋体" w:cs="宋体"/>
          <w:kern w:val="0"/>
          <w:sz w:val="28"/>
          <w:szCs w:val="28"/>
        </w:rPr>
        <w:t>平台以技术融合、课堂重构为目标，以MOOC/SPOC课程为载体，以精准、个性、思维、创造为设计原则，致力于为学生深度自学提供支持和方法，为教师线上线下混合式教学提供工具和数据，实现学生学习个性、自主，教师教学精准、高效，学校管理可控、科学。</w:t>
      </w:r>
    </w:p>
    <w:p w14:paraId="6F77A16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both"/>
        <w:textAlignment w:val="auto"/>
        <w:rPr>
          <w:rFonts w:hint="eastAsia"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智慧教学网络云平台”支持将专业群项目、智慧课程平台内完成建设的所有课程，通过SPOC教学平台调用开课，相关课程可直接“一键开课”到对应教师自己的教师空间，将专业群建设成果引入教师真实课堂，服务课堂一线教学，相关SPOC应用数据将汇总到专业群大数据中心，作为专业群教学应用数据成果，并支撑院校信息化管理。平台在校企合作与人工智能赋能课堂教学方面提供了专属场景与应用工具，为服务“对接岗位、数智融合”的优质课程提供便捷教学工具。</w:t>
      </w:r>
    </w:p>
    <w:p w14:paraId="2F60B2A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三、采购服务的具体内容</w:t>
      </w:r>
    </w:p>
    <w:p w14:paraId="4511B1D8">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lang w:val="en-US" w:eastAsia="zh-CN"/>
        </w:rPr>
        <w:t>1.智慧教学网络云平台服务——SPOC教学服务模块</w:t>
      </w:r>
      <w:r>
        <w:rPr>
          <w:rFonts w:hint="eastAsia" w:ascii="Times New Roman" w:hAnsi="Times New Roman" w:eastAsia="宋体" w:cs="宋体"/>
          <w:b/>
          <w:sz w:val="28"/>
          <w:szCs w:val="28"/>
        </w:rPr>
        <w:t>具体指标</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1122"/>
        <w:gridCol w:w="7300"/>
      </w:tblGrid>
      <w:tr w14:paraId="3FA7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434C19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一、管理员管理模块</w:t>
            </w:r>
          </w:p>
        </w:tc>
      </w:tr>
      <w:tr w14:paraId="6937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B6EEE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（一）基础设置</w:t>
            </w:r>
          </w:p>
        </w:tc>
      </w:tr>
      <w:tr w14:paraId="7C23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873A4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教师管理</w:t>
            </w:r>
          </w:p>
        </w:tc>
      </w:tr>
      <w:tr w14:paraId="2DB6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347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）支持教师查询，可通过院系、教师姓名、教师工号等信息进行查询；</w:t>
            </w:r>
          </w:p>
        </w:tc>
      </w:tr>
      <w:tr w14:paraId="673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BD73E9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）支持归档教师用户，可将长时间未发生行为日志的教师用户进行归档设置，归档后的教师将不能再进入本校平台，如取消归档后，教师则可重新进入本校平台；</w:t>
            </w:r>
          </w:p>
        </w:tc>
      </w:tr>
      <w:tr w14:paraId="50C2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5CF8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教师注册管理机制设定，对在线注册本校教师的权限进行管理，对首次申请注册本校平台的教师进行开启、关闭和由校管理审核的配置，如果开启注册，则不对新注册教师身份进行审核；如果关闭注册，则提示新注册教师学校已关闭注册；如果设置校管理审核，则由校管理员对新注册教师身份进行审核；</w:t>
            </w:r>
          </w:p>
        </w:tc>
      </w:tr>
      <w:tr w14:paraId="7B46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36C7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）教师信息编辑，可由管理员选择是否允许校内教师自行编辑个人信息；</w:t>
            </w:r>
          </w:p>
        </w:tc>
      </w:tr>
      <w:tr w14:paraId="205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876B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用户多账号智能梳理，支持智能合并功能，可根据相同姓名、相同工号、相同手机号筛选出同一个教师下的多个账号，选择一个保留主账号，其他没有选择的账号合并到保留主账号；可以查看智能合并记录，查看用户合并详情；</w:t>
            </w:r>
          </w:p>
        </w:tc>
      </w:tr>
      <w:tr w14:paraId="1BF1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150D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）支持新增、导入和导出本校教师账号，可查看导入记录；</w:t>
            </w:r>
          </w:p>
        </w:tc>
      </w:tr>
      <w:tr w14:paraId="1787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2C3E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）支持对教师账号进行编辑、删除、冻结账号、修改院系、重置密码、检测重复账号等操作；</w:t>
            </w:r>
          </w:p>
        </w:tc>
      </w:tr>
      <w:tr w14:paraId="1F9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4D2D2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8</w:t>
            </w:r>
            <w:r>
              <w:rPr>
                <w:rStyle w:val="301"/>
                <w:sz w:val="21"/>
                <w:szCs w:val="21"/>
                <w:lang w:val="en-US" w:eastAsia="zh-CN" w:bidi="ar"/>
              </w:rPr>
              <w:t>）支持将教师设置为参赛教师。</w:t>
            </w:r>
          </w:p>
        </w:tc>
      </w:tr>
      <w:tr w14:paraId="5845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777AA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学生管理</w:t>
            </w:r>
          </w:p>
        </w:tc>
      </w:tr>
      <w:tr w14:paraId="1376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2713FF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）支持学生查询，可通过院系、年级、行政班、时间、学籍状态、学生姓名等信息进行查询；</w:t>
            </w:r>
          </w:p>
        </w:tc>
      </w:tr>
      <w:tr w14:paraId="65BF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4EC8FE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）归档学生用户，可将长时间未发生行为日志的学生用户进行归档，归档后的学生将不能再进入本校平台，如取消归档后，学生则可重新进入本校平台；</w:t>
            </w:r>
          </w:p>
        </w:tc>
      </w:tr>
      <w:tr w14:paraId="659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8D85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学生注册管理机制设定，对在线注册本校学生的权限进行管理：对首次申请注册本校平台的学生进行开启、关闭和由校管理审核的配置，如果开启注册，则不对新注册学生身份进行审核；如果关闭注册，则提示新注册学生学校已关闭注册；如果设置校管理审核，则由校管理员对新注册学生身份进行审核；</w:t>
            </w:r>
          </w:p>
        </w:tc>
      </w:tr>
      <w:tr w14:paraId="162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5DC58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）学生在线注销，可由管理员选择开启或关闭学生在线注销功能；</w:t>
            </w:r>
          </w:p>
        </w:tc>
      </w:tr>
      <w:tr w14:paraId="29EB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39F39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）学生账号合并，可由管理员选择开启或关闭学生账号合并功能；</w:t>
            </w:r>
          </w:p>
        </w:tc>
      </w:tr>
      <w:tr w14:paraId="24C6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14626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）学生修改用户名，可由管理员选择开启或关闭学生修改用户名功能；</w:t>
            </w:r>
          </w:p>
        </w:tc>
      </w:tr>
      <w:tr w14:paraId="14EA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89ED64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）学生信息编辑，可由管理员选择是否允许校内学生自行编辑个人信息；</w:t>
            </w:r>
          </w:p>
        </w:tc>
      </w:tr>
      <w:tr w14:paraId="7064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E63C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8</w:t>
            </w:r>
            <w:r>
              <w:rPr>
                <w:rStyle w:val="301"/>
                <w:sz w:val="21"/>
                <w:szCs w:val="21"/>
                <w:lang w:val="en-US" w:eastAsia="zh-CN" w:bidi="ar"/>
              </w:rPr>
              <w:t>）用户多账号智能梳理，支持智能合并功能，可根据相同姓名、相同工号、相同手机号筛选出同一个学生下的多个账号，选择一个保留主账号，其他没有选择的账号合并到保留的主账号；可以查看智能合并记录，查看用户合并详情；</w:t>
            </w:r>
          </w:p>
        </w:tc>
      </w:tr>
      <w:tr w14:paraId="44C2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E0585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9</w:t>
            </w:r>
            <w:r>
              <w:rPr>
                <w:rStyle w:val="301"/>
                <w:sz w:val="21"/>
                <w:szCs w:val="21"/>
                <w:lang w:val="en-US" w:eastAsia="zh-CN" w:bidi="ar"/>
              </w:rPr>
              <w:t>）支持新增、导入和导出本校学生账号，可查看导入记录；</w:t>
            </w:r>
          </w:p>
        </w:tc>
      </w:tr>
      <w:tr w14:paraId="4D29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CE1FD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10</w:t>
            </w:r>
            <w:r>
              <w:rPr>
                <w:rStyle w:val="301"/>
                <w:sz w:val="21"/>
                <w:szCs w:val="21"/>
                <w:lang w:val="en-US" w:eastAsia="zh-CN" w:bidi="ar"/>
              </w:rPr>
              <w:t>）支持对学生账号进行编辑、删除、重置密码、设置标签、设置学籍状态、设置年级、设置院系、设置专业、设置行政班、批量修改学生类型和检测重复账号等操作。</w:t>
            </w:r>
          </w:p>
        </w:tc>
      </w:tr>
      <w:tr w14:paraId="06CD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57B5C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学校信息管理</w:t>
            </w:r>
          </w:p>
        </w:tc>
      </w:tr>
      <w:tr w14:paraId="7BC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5331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）支持学校基本信息管理，自定义上传学校</w:t>
            </w:r>
            <w:r>
              <w:rPr>
                <w:rStyle w:val="302"/>
                <w:rFonts w:eastAsia="宋体"/>
                <w:sz w:val="21"/>
                <w:szCs w:val="21"/>
                <w:lang w:val="en-US" w:eastAsia="zh-CN" w:bidi="ar"/>
              </w:rPr>
              <w:t>LOGO</w:t>
            </w:r>
            <w:r>
              <w:rPr>
                <w:rStyle w:val="301"/>
                <w:sz w:val="21"/>
                <w:szCs w:val="21"/>
                <w:lang w:val="en-US" w:eastAsia="zh-CN" w:bidi="ar"/>
              </w:rPr>
              <w:t>等；</w:t>
            </w:r>
          </w:p>
        </w:tc>
      </w:tr>
      <w:tr w14:paraId="67AD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EE2E3B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）支持院系、专业、年级、行政班基本信息管理，具有新增、导入和导出以及对数据的编辑、删除和合并等功能。</w:t>
            </w:r>
          </w:p>
        </w:tc>
      </w:tr>
      <w:tr w14:paraId="633E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6CC78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（二）应用管理</w:t>
            </w:r>
          </w:p>
        </w:tc>
      </w:tr>
      <w:tr w14:paraId="55DF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8497A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教学管理</w:t>
            </w:r>
          </w:p>
        </w:tc>
      </w:tr>
      <w:tr w14:paraId="1A5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E66E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）支持新增、编辑、删除、导入、导出课程，支持按关键词查看校内课程；</w:t>
            </w:r>
          </w:p>
        </w:tc>
      </w:tr>
      <w:tr w14:paraId="4732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9B847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）支持新增、编辑、删除学期，支持按关键词搜索学期；</w:t>
            </w:r>
          </w:p>
        </w:tc>
      </w:tr>
      <w:tr w14:paraId="056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E9F6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）支持新增、编辑、删除、导入、导出课表，支持按关键词查看课表信息；</w:t>
            </w:r>
          </w:p>
        </w:tc>
      </w:tr>
      <w:tr w14:paraId="22DD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03A05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）支持查看、删除教师提交到校本课程库的课程和校本题库的题目。</w:t>
            </w:r>
          </w:p>
        </w:tc>
      </w:tr>
      <w:tr w14:paraId="2161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18629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开课管理</w:t>
            </w:r>
          </w:p>
        </w:tc>
      </w:tr>
      <w:tr w14:paraId="167D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01C7C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展示本校开课信息，支持按院系、发布状态、课程名称、主持教师等进行查询，对本校所有开课进行管理，支持新增、编辑、删除、修改开放范围、维护课程院系等操作，可以将特色课程推荐到学校门户；支持设置是否允许课程名称、课程编码相同；</w:t>
            </w:r>
          </w:p>
        </w:tc>
      </w:tr>
      <w:tr w14:paraId="6539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3A8AF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）展示本校所有课堂教学，可根据授课教师、时间段、关键词等搜索查询，支持导出。</w:t>
            </w:r>
          </w:p>
        </w:tc>
      </w:tr>
      <w:tr w14:paraId="6C01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39748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资源中心，可按照教师姓名或工号查询教师上传资源情况；支持新建文件夹，在文件夹下上传、删除学校资源。</w:t>
            </w:r>
          </w:p>
        </w:tc>
      </w:tr>
      <w:tr w14:paraId="694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4ECEA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督导巡课，支持按院系、班级、课程、教师开课时间段，查询校内教师开课情况，支持进入课堂查看教师课堂教学情况。</w:t>
            </w:r>
          </w:p>
        </w:tc>
      </w:tr>
      <w:tr w14:paraId="459C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3250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权限管理，支持创建学校管理员、院系管理员、教师、学习小助理等角色，支持添加各角色成员，对角色进行排序并对角色授予相关权限。</w:t>
            </w:r>
          </w:p>
        </w:tc>
      </w:tr>
      <w:tr w14:paraId="3BA8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3CDBD9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教学能力比赛</w:t>
            </w:r>
          </w:p>
        </w:tc>
      </w:tr>
      <w:tr w14:paraId="3A30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95069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）比赛管理，支持本校创建比赛，作品文件类型可选择压缩包、视频（</w:t>
            </w:r>
            <w:r>
              <w:rPr>
                <w:rStyle w:val="302"/>
                <w:rFonts w:eastAsia="宋体"/>
                <w:sz w:val="21"/>
                <w:szCs w:val="21"/>
                <w:lang w:val="en-US" w:eastAsia="zh-CN" w:bidi="ar"/>
              </w:rPr>
              <w:t>mp4</w:t>
            </w:r>
            <w:r>
              <w:rPr>
                <w:rStyle w:val="301"/>
                <w:sz w:val="21"/>
                <w:szCs w:val="21"/>
                <w:lang w:val="en-US" w:eastAsia="zh-CN" w:bidi="ar"/>
              </w:rPr>
              <w:t>）、图片（</w:t>
            </w:r>
            <w:r>
              <w:rPr>
                <w:rStyle w:val="302"/>
                <w:rFonts w:eastAsia="宋体"/>
                <w:sz w:val="21"/>
                <w:szCs w:val="21"/>
                <w:lang w:val="en-US" w:eastAsia="zh-CN" w:bidi="ar"/>
              </w:rPr>
              <w:t>jpg</w:t>
            </w:r>
            <w:r>
              <w:rPr>
                <w:rStyle w:val="301"/>
                <w:sz w:val="21"/>
                <w:szCs w:val="21"/>
                <w:lang w:val="en-US" w:eastAsia="zh-CN" w:bidi="ar"/>
              </w:rPr>
              <w:t>、</w:t>
            </w:r>
            <w:r>
              <w:rPr>
                <w:rStyle w:val="302"/>
                <w:rFonts w:eastAsia="宋体"/>
                <w:sz w:val="21"/>
                <w:szCs w:val="21"/>
                <w:lang w:val="en-US" w:eastAsia="zh-CN" w:bidi="ar"/>
              </w:rPr>
              <w:t>png</w:t>
            </w:r>
            <w:r>
              <w:rPr>
                <w:rStyle w:val="301"/>
                <w:sz w:val="21"/>
                <w:szCs w:val="21"/>
                <w:lang w:val="en-US" w:eastAsia="zh-CN" w:bidi="ar"/>
              </w:rPr>
              <w:t>）、表格（</w:t>
            </w:r>
            <w:r>
              <w:rPr>
                <w:rStyle w:val="302"/>
                <w:rFonts w:eastAsia="宋体"/>
                <w:sz w:val="21"/>
                <w:szCs w:val="21"/>
                <w:lang w:val="en-US" w:eastAsia="zh-CN" w:bidi="ar"/>
              </w:rPr>
              <w:t>xls</w:t>
            </w:r>
            <w:r>
              <w:rPr>
                <w:rStyle w:val="301"/>
                <w:sz w:val="21"/>
                <w:szCs w:val="21"/>
                <w:lang w:val="en-US" w:eastAsia="zh-CN" w:bidi="ar"/>
              </w:rPr>
              <w:t>、</w:t>
            </w:r>
            <w:r>
              <w:rPr>
                <w:rStyle w:val="302"/>
                <w:rFonts w:eastAsia="宋体"/>
                <w:sz w:val="21"/>
                <w:szCs w:val="21"/>
                <w:lang w:val="en-US" w:eastAsia="zh-CN" w:bidi="ar"/>
              </w:rPr>
              <w:t>xlsx</w:t>
            </w:r>
            <w:r>
              <w:rPr>
                <w:rStyle w:val="301"/>
                <w:sz w:val="21"/>
                <w:szCs w:val="21"/>
                <w:lang w:val="en-US" w:eastAsia="zh-CN" w:bidi="ar"/>
              </w:rPr>
              <w:t>）、</w:t>
            </w:r>
            <w:r>
              <w:rPr>
                <w:rStyle w:val="302"/>
                <w:rFonts w:eastAsia="宋体"/>
                <w:sz w:val="21"/>
                <w:szCs w:val="21"/>
                <w:lang w:val="en-US" w:eastAsia="zh-CN" w:bidi="ar"/>
              </w:rPr>
              <w:t>pdf</w:t>
            </w:r>
            <w:r>
              <w:rPr>
                <w:rStyle w:val="301"/>
                <w:sz w:val="21"/>
                <w:szCs w:val="21"/>
                <w:lang w:val="en-US" w:eastAsia="zh-CN" w:bidi="ar"/>
              </w:rPr>
              <w:t>、文档（</w:t>
            </w:r>
            <w:r>
              <w:rPr>
                <w:rStyle w:val="302"/>
                <w:rFonts w:eastAsia="宋体"/>
                <w:sz w:val="21"/>
                <w:szCs w:val="21"/>
                <w:lang w:val="en-US" w:eastAsia="zh-CN" w:bidi="ar"/>
              </w:rPr>
              <w:t>doc</w:t>
            </w:r>
            <w:r>
              <w:rPr>
                <w:rStyle w:val="301"/>
                <w:sz w:val="21"/>
                <w:szCs w:val="21"/>
                <w:lang w:val="en-US" w:eastAsia="zh-CN" w:bidi="ar"/>
              </w:rPr>
              <w:t>、</w:t>
            </w:r>
            <w:r>
              <w:rPr>
                <w:rStyle w:val="302"/>
                <w:rFonts w:eastAsia="宋体"/>
                <w:sz w:val="21"/>
                <w:szCs w:val="21"/>
                <w:lang w:val="en-US" w:eastAsia="zh-CN" w:bidi="ar"/>
              </w:rPr>
              <w:t>docx</w:t>
            </w:r>
            <w:r>
              <w:rPr>
                <w:rStyle w:val="301"/>
                <w:sz w:val="21"/>
                <w:szCs w:val="21"/>
                <w:lang w:val="en-US" w:eastAsia="zh-CN" w:bidi="ar"/>
              </w:rPr>
              <w:t>），对比赛进行管理，根据比赛状态及归档状态进行查询，设置比赛类别；</w:t>
            </w:r>
          </w:p>
        </w:tc>
      </w:tr>
      <w:tr w14:paraId="51BB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A646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）教学比赛列表，查看本校各教学比赛详情；</w:t>
            </w:r>
          </w:p>
        </w:tc>
      </w:tr>
      <w:tr w14:paraId="3932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4BD16D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）专家管理，支持新增、删除专家，根据专家名称及登录账号进行专家查询，专家管理；</w:t>
            </w:r>
          </w:p>
        </w:tc>
      </w:tr>
      <w:tr w14:paraId="2619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3C798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）参赛作品管理，分配专家、审核作品、导出成绩。</w:t>
            </w:r>
          </w:p>
        </w:tc>
      </w:tr>
      <w:tr w14:paraId="529A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530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教学诊改</w:t>
            </w:r>
          </w:p>
        </w:tc>
      </w:tr>
      <w:tr w14:paraId="18C1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5C18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以学期为单位，对课程和课堂教学进行多维度教学诊改目标设定，学期末生成诊改报告，通过系统性的分析和评估来发现教学中存在的问题，教师根据教学诊改分析报告反思和调整教学策略，以满足学生的学习需求；</w:t>
            </w:r>
          </w:p>
        </w:tc>
      </w:tr>
      <w:tr w14:paraId="268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4518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）根据课程名称、编号等，可查询本学期开设课程，进入课程即可查看该课程课堂教学及诊断情况。</w:t>
            </w:r>
          </w:p>
        </w:tc>
      </w:tr>
      <w:tr w14:paraId="3970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5F27C9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二、课程-班级-课堂分级教学体系（快速课程）</w:t>
            </w:r>
          </w:p>
        </w:tc>
      </w:tr>
      <w:tr w14:paraId="629D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AD5B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平台在师生互动方面涉及多个教学场景，包括教师开课、针对课程开通教学班、班级下开展教学活动。</w:t>
            </w:r>
          </w:p>
        </w:tc>
      </w:tr>
      <w:tr w14:paraId="6C89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0873FB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教师可以添加课程，维护课程名称、编码、课程封面、课程简介等基本信息；支持关联由学校管理员创建的学校课程库中的课程；课程封面支持使用</w:t>
            </w:r>
            <w:r>
              <w:rPr>
                <w:rStyle w:val="302"/>
                <w:rFonts w:eastAsia="宋体"/>
                <w:sz w:val="21"/>
                <w:szCs w:val="21"/>
                <w:lang w:val="en-US" w:eastAsia="zh-CN" w:bidi="ar"/>
              </w:rPr>
              <w:t>AI</w:t>
            </w:r>
            <w:r>
              <w:rPr>
                <w:rStyle w:val="301"/>
                <w:sz w:val="21"/>
                <w:szCs w:val="21"/>
                <w:lang w:val="en-US" w:eastAsia="zh-CN" w:bidi="ar"/>
              </w:rPr>
              <w:t>生成图片，课程简介支持使用</w:t>
            </w:r>
            <w:r>
              <w:rPr>
                <w:rStyle w:val="302"/>
                <w:rFonts w:eastAsia="宋体"/>
                <w:sz w:val="21"/>
                <w:szCs w:val="21"/>
                <w:lang w:val="en-US" w:eastAsia="zh-CN" w:bidi="ar"/>
              </w:rPr>
              <w:t>AI</w:t>
            </w:r>
            <w:r>
              <w:rPr>
                <w:rStyle w:val="301"/>
                <w:sz w:val="21"/>
                <w:szCs w:val="21"/>
                <w:lang w:val="en-US" w:eastAsia="zh-CN" w:bidi="ar"/>
              </w:rPr>
              <w:t>智能助写生成。</w:t>
            </w:r>
          </w:p>
        </w:tc>
      </w:tr>
      <w:tr w14:paraId="2F43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6898E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教师可以在课程列表下按课程名称或编码查询课程，支持编辑、删除、归档课程，删除的课程会进入课程回收站保留一个月，一个月后永久删除；归档的课程可进入已归档课程中查看或者取消归档。</w:t>
            </w:r>
          </w:p>
        </w:tc>
      </w:tr>
      <w:tr w14:paraId="0E3C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C85A1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支持教师在课程下创建班级，维护班级名称、所属学期、授课教师等基本信息，班级分为本校班级、教师培训、外校班级三个类型。</w:t>
            </w:r>
          </w:p>
        </w:tc>
      </w:tr>
      <w:tr w14:paraId="4FD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FB45B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支持教师在班级列表下按学期、授课教师、班级名称查询班级；支持编辑、删除、归档班级，删除的班级会永久删除；归档的班级可进入已归档班级中查看或者取消归档。班级列表展示班级名称，班级二维码、班级学生人数。</w:t>
            </w:r>
          </w:p>
        </w:tc>
      </w:tr>
      <w:tr w14:paraId="2F0F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F0F5D9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支持教师在课件下从本人其他课程、学校课程库中课程任何章节下引用课件内容，实现优质教学资源的共建共享。</w:t>
            </w:r>
          </w:p>
        </w:tc>
      </w:tr>
      <w:tr w14:paraId="605B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94AE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支持教师在课件下从国家级教学资源库中导入国家已经立项建设的，且与我校专业设置方向相同或相近的（此处填写与学校开设专业相同或相近专业的国家库的专业名称，为便于演示，尽量别超过</w:t>
            </w:r>
            <w:r>
              <w:rPr>
                <w:rStyle w:val="302"/>
                <w:rFonts w:eastAsia="宋体"/>
                <w:sz w:val="21"/>
                <w:szCs w:val="21"/>
                <w:lang w:val="en-US" w:eastAsia="zh-CN" w:bidi="ar"/>
              </w:rPr>
              <w:t>5</w:t>
            </w:r>
            <w:r>
              <w:rPr>
                <w:rStyle w:val="301"/>
                <w:sz w:val="21"/>
                <w:szCs w:val="21"/>
                <w:lang w:val="en-US" w:eastAsia="zh-CN" w:bidi="ar"/>
              </w:rPr>
              <w:t>个）专业国家资源库中的课件内容，满足教学需求。</w:t>
            </w:r>
          </w:p>
        </w:tc>
      </w:tr>
      <w:tr w14:paraId="0CC7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71EE8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支持教师在课件下从在线精品课平台中，引用平台已经上线的在线精品课中的课件内容，包括国家级精品课、省级精品课、校级精品课等，进行课程设计。</w:t>
            </w:r>
          </w:p>
        </w:tc>
      </w:tr>
      <w:tr w14:paraId="12A0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D3781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支持教师在课件下新建文件夹，以文件夹的形式对课件资源进行层级分类，文件夹层级不少于</w:t>
            </w:r>
            <w:r>
              <w:rPr>
                <w:rStyle w:val="302"/>
                <w:rFonts w:eastAsia="宋体"/>
                <w:sz w:val="21"/>
                <w:szCs w:val="21"/>
                <w:lang w:val="en-US" w:eastAsia="zh-CN" w:bidi="ar"/>
              </w:rPr>
              <w:t>3</w:t>
            </w:r>
            <w:r>
              <w:rPr>
                <w:rStyle w:val="301"/>
                <w:sz w:val="21"/>
                <w:szCs w:val="21"/>
                <w:lang w:val="en-US" w:eastAsia="zh-CN" w:bidi="ar"/>
              </w:rPr>
              <w:t>级；在文件夹中支持从本地上传、我的资源、专业（群）资源库、</w:t>
            </w:r>
            <w:r>
              <w:rPr>
                <w:rStyle w:val="302"/>
                <w:rFonts w:eastAsia="宋体"/>
                <w:sz w:val="21"/>
                <w:szCs w:val="21"/>
                <w:lang w:val="en-US" w:eastAsia="zh-CN" w:bidi="ar"/>
              </w:rPr>
              <w:t>MOOC</w:t>
            </w:r>
            <w:r>
              <w:rPr>
                <w:rStyle w:val="301"/>
                <w:sz w:val="21"/>
                <w:szCs w:val="21"/>
                <w:lang w:val="en-US" w:eastAsia="zh-CN" w:bidi="ar"/>
              </w:rPr>
              <w:t>、学校资源库等添加资源；支持使用</w:t>
            </w:r>
            <w:r>
              <w:rPr>
                <w:rStyle w:val="302"/>
                <w:rFonts w:eastAsia="宋体"/>
                <w:sz w:val="21"/>
                <w:szCs w:val="21"/>
                <w:lang w:val="en-US" w:eastAsia="zh-CN" w:bidi="ar"/>
              </w:rPr>
              <w:t>AI</w:t>
            </w:r>
            <w:r>
              <w:rPr>
                <w:rStyle w:val="301"/>
                <w:sz w:val="21"/>
                <w:szCs w:val="21"/>
                <w:lang w:val="en-US" w:eastAsia="zh-CN" w:bidi="ar"/>
              </w:rPr>
              <w:t>生成</w:t>
            </w:r>
            <w:r>
              <w:rPr>
                <w:rStyle w:val="302"/>
                <w:rFonts w:eastAsia="宋体"/>
                <w:sz w:val="21"/>
                <w:szCs w:val="21"/>
                <w:lang w:val="en-US" w:eastAsia="zh-CN" w:bidi="ar"/>
              </w:rPr>
              <w:t>ppt</w:t>
            </w:r>
            <w:r>
              <w:rPr>
                <w:rStyle w:val="301"/>
                <w:sz w:val="21"/>
                <w:szCs w:val="21"/>
                <w:lang w:val="en-US" w:eastAsia="zh-CN" w:bidi="ar"/>
              </w:rPr>
              <w:t>作为课件使用；支持对文件夹名称进行重命名；支持对单条课件资源或文件夹进行删除，删除整个文件夹将文件夹中包含的所有资源全部删除；课件资源支持替换、编辑名称、删除等操作；对于章节下的视频支持使用</w:t>
            </w:r>
            <w:r>
              <w:rPr>
                <w:rStyle w:val="302"/>
                <w:rFonts w:eastAsia="宋体"/>
                <w:sz w:val="21"/>
                <w:szCs w:val="21"/>
                <w:lang w:val="en-US" w:eastAsia="zh-CN" w:bidi="ar"/>
              </w:rPr>
              <w:t>AI</w:t>
            </w:r>
            <w:r>
              <w:rPr>
                <w:rStyle w:val="301"/>
                <w:sz w:val="21"/>
                <w:szCs w:val="21"/>
                <w:lang w:val="en-US" w:eastAsia="zh-CN" w:bidi="ar"/>
              </w:rPr>
              <w:t>视频理解。</w:t>
            </w:r>
          </w:p>
        </w:tc>
      </w:tr>
      <w:tr w14:paraId="416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E63E5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301"/>
                <w:sz w:val="21"/>
                <w:szCs w:val="21"/>
                <w:lang w:val="en-US" w:eastAsia="zh-CN" w:bidi="ar"/>
              </w:rPr>
              <w:t>班级管理，设置学生加入班级的方式、是否开启加入审核，展示班级二维码和邀请码；主讲教师可以邀请多名授课教师共同管理教学班，也可以邀请学生作为学习小助手辅助管理班级，可对学习小助手权限进行配置，体现一人创建、多人使用的共享理念，满足个性化备授课需求。</w:t>
            </w:r>
          </w:p>
        </w:tc>
      </w:tr>
      <w:tr w14:paraId="375A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4FC16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01"/>
                <w:sz w:val="21"/>
                <w:szCs w:val="21"/>
                <w:lang w:val="en-US" w:eastAsia="zh-CN" w:bidi="ar"/>
              </w:rPr>
              <w:t>支持教师在班级下发布活动，支持常规课堂和快捷课堂两种形式，常规课堂包含课前、课中、课后三个环节；快捷课堂属简易型课堂模式，无课前、课中、课后区分。</w:t>
            </w:r>
          </w:p>
        </w:tc>
      </w:tr>
      <w:tr w14:paraId="62A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9B759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301"/>
                <w:sz w:val="21"/>
                <w:szCs w:val="21"/>
                <w:lang w:val="en-US" w:eastAsia="zh-CN" w:bidi="ar"/>
              </w:rPr>
              <w:t>学生管理，教师有多种方式添加班级学生，既支持学生通过扫二维码、输入邀请码主动加入班级，也支持教师从学校库和教学班导入学生，并支持查看导入记录，教师可对班级学生进行查询、移除、批量移除、修改手机号、导出等操作，支持设置学生为参赛学生；教师可对班级学生进行分组，支持一键分组和自定义分组，以支持附件作业的小组作业和课堂活动的小组</w:t>
            </w:r>
            <w:r>
              <w:rPr>
                <w:rStyle w:val="302"/>
                <w:rFonts w:eastAsia="宋体"/>
                <w:sz w:val="21"/>
                <w:szCs w:val="21"/>
                <w:lang w:val="en-US" w:eastAsia="zh-CN" w:bidi="ar"/>
              </w:rPr>
              <w:t>PK</w:t>
            </w:r>
            <w:r>
              <w:rPr>
                <w:rStyle w:val="301"/>
                <w:sz w:val="21"/>
                <w:szCs w:val="21"/>
                <w:lang w:val="en-US" w:eastAsia="zh-CN" w:bidi="ar"/>
              </w:rPr>
              <w:t>。</w:t>
            </w:r>
          </w:p>
        </w:tc>
      </w:tr>
      <w:tr w14:paraId="7A74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920F0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301"/>
                <w:sz w:val="21"/>
                <w:szCs w:val="21"/>
                <w:lang w:val="en-US" w:eastAsia="zh-CN" w:bidi="ar"/>
              </w:rPr>
              <w:t>班级作业考试，支持查看在课堂中发起的作业活动和考试活动内容，包括：作业</w:t>
            </w:r>
            <w:r>
              <w:rPr>
                <w:rStyle w:val="302"/>
                <w:rFonts w:eastAsia="宋体"/>
                <w:sz w:val="21"/>
                <w:szCs w:val="21"/>
                <w:lang w:val="en-US" w:eastAsia="zh-CN" w:bidi="ar"/>
              </w:rPr>
              <w:t>/</w:t>
            </w:r>
            <w:r>
              <w:rPr>
                <w:rStyle w:val="301"/>
                <w:sz w:val="21"/>
                <w:szCs w:val="21"/>
                <w:lang w:val="en-US" w:eastAsia="zh-CN" w:bidi="ar"/>
              </w:rPr>
              <w:t>考试预览、作业</w:t>
            </w:r>
            <w:r>
              <w:rPr>
                <w:rStyle w:val="302"/>
                <w:rFonts w:eastAsia="宋体"/>
                <w:sz w:val="21"/>
                <w:szCs w:val="21"/>
                <w:lang w:val="en-US" w:eastAsia="zh-CN" w:bidi="ar"/>
              </w:rPr>
              <w:t>/</w:t>
            </w:r>
            <w:r>
              <w:rPr>
                <w:rStyle w:val="301"/>
                <w:sz w:val="21"/>
                <w:szCs w:val="21"/>
                <w:lang w:val="en-US" w:eastAsia="zh-CN" w:bidi="ar"/>
              </w:rPr>
              <w:t>考试成绩、已批（人）、未批（人）、未交（人）、作业</w:t>
            </w:r>
            <w:r>
              <w:rPr>
                <w:rStyle w:val="302"/>
                <w:rFonts w:eastAsia="宋体"/>
                <w:sz w:val="21"/>
                <w:szCs w:val="21"/>
                <w:lang w:val="en-US" w:eastAsia="zh-CN" w:bidi="ar"/>
              </w:rPr>
              <w:t>/</w:t>
            </w:r>
            <w:r>
              <w:rPr>
                <w:rStyle w:val="301"/>
                <w:sz w:val="21"/>
                <w:szCs w:val="21"/>
                <w:lang w:val="en-US" w:eastAsia="zh-CN" w:bidi="ar"/>
              </w:rPr>
              <w:t>考试分析等。</w:t>
            </w:r>
          </w:p>
        </w:tc>
      </w:tr>
      <w:tr w14:paraId="3150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8D76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301"/>
                <w:sz w:val="21"/>
                <w:szCs w:val="21"/>
                <w:lang w:val="en-US" w:eastAsia="zh-CN" w:bidi="ar"/>
              </w:rPr>
              <w:t>学生成绩由课件学习、课堂活动、作业、考试四项组成，教师可以根据课程特点分别设置四个成绩的权重，最终由权重得分相加生成最终成绩，提高最终统计客观合理性，支持设置通过标准。</w:t>
            </w:r>
          </w:p>
        </w:tc>
      </w:tr>
      <w:tr w14:paraId="582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E559B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301"/>
                <w:sz w:val="21"/>
                <w:szCs w:val="21"/>
                <w:lang w:val="en-US" w:eastAsia="zh-CN" w:bidi="ar"/>
              </w:rPr>
              <w:t>成绩权重支持快速设置权重和设置考核权重两种，快速设置权重需要设置通过标准、课件学习、课堂活动、作业、考试的考核权重，各子项权重无须设置；设置考核权重需设置各子项权重，课件学习支持设置课件进度、数字教材进度、评价、问答、笔记、纠错；课堂活动支持设置考勤、参与、课堂表现分、测验平均分的权重；作业支持设置每一份作业的权重；考试支持设置每一次考试的权重；支持引用同课程下其他班级的考核权重。</w:t>
            </w:r>
          </w:p>
        </w:tc>
      </w:tr>
      <w:tr w14:paraId="3620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97388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01"/>
                <w:sz w:val="21"/>
                <w:szCs w:val="21"/>
                <w:lang w:val="en-US" w:eastAsia="zh-CN" w:bidi="ar"/>
              </w:rPr>
              <w:t>支持查看班级学生的总成绩、课件学习、课堂活动、作业、考试的各项成绩，支持查看学生的成绩详情；支持教师生成成绩，支持对学生的最终分数进行修改；支持导出学生总成绩和各项成绩。</w:t>
            </w:r>
          </w:p>
        </w:tc>
      </w:tr>
      <w:tr w14:paraId="5FF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CCE27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301"/>
                <w:sz w:val="21"/>
                <w:szCs w:val="21"/>
                <w:lang w:val="en-US" w:eastAsia="zh-CN" w:bidi="ar"/>
              </w:rPr>
              <w:t>班级公告，支持查看班级已发布公告的统计情况（已查看和未查看人数统计），支持新增班级公告、编辑公告、删除公告，查看公告详情；支持引入同课程下其他班级的公告。</w:t>
            </w:r>
          </w:p>
        </w:tc>
      </w:tr>
      <w:tr w14:paraId="3AF5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6AF826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301"/>
                <w:sz w:val="21"/>
                <w:szCs w:val="21"/>
                <w:lang w:val="en-US" w:eastAsia="zh-CN" w:bidi="ar"/>
              </w:rPr>
              <w:t>课程统计分析，支持提供当前课程近三个学期或一年内的数据。</w:t>
            </w:r>
          </w:p>
        </w:tc>
      </w:tr>
      <w:tr w14:paraId="4597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6E9E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）基础数据，支持按学期查看课程的班级数、学生人数和学生学习通过率；支持查看课程资源统计情况及题库统计情况；支持查看学生出勤率趋势、学习进度、学习成绩、考测评统计；</w:t>
            </w:r>
          </w:p>
        </w:tc>
      </w:tr>
      <w:tr w14:paraId="7EB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0FCC8C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）学情分析，查看课程成绩分析、课件学习完成率、作业分析、考试分析、随堂测验分析；</w:t>
            </w:r>
          </w:p>
        </w:tc>
      </w:tr>
      <w:tr w14:paraId="4898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73BB8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0637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7D9E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）课程统计，支持查看课程选课人数、课程资源等课程详细数据；</w:t>
            </w:r>
          </w:p>
        </w:tc>
      </w:tr>
      <w:tr w14:paraId="38B9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C28AC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）学生统计，支持按班级、学生姓名等，查看学生的课堂数据统计、资源数据统计、考测评统计、讨论统计。</w:t>
            </w:r>
          </w:p>
        </w:tc>
      </w:tr>
      <w:tr w14:paraId="3DDC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95685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r>
              <w:rPr>
                <w:rStyle w:val="301"/>
                <w:sz w:val="21"/>
                <w:szCs w:val="21"/>
                <w:lang w:val="en-US" w:eastAsia="zh-CN" w:bidi="ar"/>
              </w:rPr>
              <w:t>班级统计分析，支持提供当前班级近三个学期或一年内的数据。</w:t>
            </w:r>
          </w:p>
        </w:tc>
      </w:tr>
      <w:tr w14:paraId="652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FC5D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）基础数据，支持查看班级教学活动数、学生人数和学生学习通过率；支持对通过人数和未通过人数较上次的对比分析；支持对学生出勤率趋势、学习进度、学习成绩、考测评统计进行对比分析；</w:t>
            </w:r>
          </w:p>
        </w:tc>
      </w:tr>
      <w:tr w14:paraId="120B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CCD18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）学情分析，支持查看课程成绩分析、课件学习完成率、作业分析、考试分析、随堂测验分析；</w:t>
            </w:r>
          </w:p>
        </w:tc>
      </w:tr>
      <w:tr w14:paraId="3D7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28B1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025B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2803B97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三、课程-班级-课堂分级教学体系（标准课程）</w:t>
            </w:r>
          </w:p>
        </w:tc>
      </w:tr>
      <w:tr w14:paraId="20EF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16E5A1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平台在师生互动方面涉及多个教学场景，包括教师开课、针对课程开通教学班、班级下创建课堂、课堂中课前、课中、课后环节中开展不同的教学活动。</w:t>
            </w:r>
          </w:p>
        </w:tc>
      </w:tr>
      <w:tr w14:paraId="19A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277B1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教师可以添加课程，维护课程名称、编码、学时、专业层次、专业大类、专业、证书、课程封面、概述视频、课程简介等基本信息；支持关联由学校管理员创建的学校课程库中的课程；课程封面支持使用</w:t>
            </w:r>
            <w:r>
              <w:rPr>
                <w:rStyle w:val="302"/>
                <w:rFonts w:eastAsia="宋体"/>
                <w:sz w:val="21"/>
                <w:szCs w:val="21"/>
                <w:lang w:val="en-US" w:eastAsia="zh-CN" w:bidi="ar"/>
              </w:rPr>
              <w:t>AI</w:t>
            </w:r>
            <w:r>
              <w:rPr>
                <w:rStyle w:val="301"/>
                <w:sz w:val="21"/>
                <w:szCs w:val="21"/>
                <w:lang w:val="en-US" w:eastAsia="zh-CN" w:bidi="ar"/>
              </w:rPr>
              <w:t>生成图片，课程简介支持使用</w:t>
            </w:r>
            <w:r>
              <w:rPr>
                <w:rStyle w:val="302"/>
                <w:rFonts w:eastAsia="宋体"/>
                <w:sz w:val="21"/>
                <w:szCs w:val="21"/>
                <w:lang w:val="en-US" w:eastAsia="zh-CN" w:bidi="ar"/>
              </w:rPr>
              <w:t>AI</w:t>
            </w:r>
            <w:r>
              <w:rPr>
                <w:rStyle w:val="301"/>
                <w:sz w:val="21"/>
                <w:szCs w:val="21"/>
                <w:lang w:val="en-US" w:eastAsia="zh-CN" w:bidi="ar"/>
              </w:rPr>
              <w:t>智能助写生成。</w:t>
            </w:r>
          </w:p>
        </w:tc>
      </w:tr>
      <w:tr w14:paraId="2B17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B5C413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教师可以在课程列表下按课程名称或编码查询课程，支持编辑、置顶、删除、归档课程，删除的课程会进入课程回收站保留一个月，一个月后永久删除；归档的课程可进入已归档课程中查看或者取消归档。</w:t>
            </w:r>
          </w:p>
        </w:tc>
      </w:tr>
      <w:tr w14:paraId="5E4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C7A7D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课程管理，支持课程信息、课程导学、目录配置、课程教案、课程教材进行管理；支持查看班级数、学生数、课件数、题目、作业、考试、测验、公告等数据总览；支持编辑课程简介和以视频的形式介绍课程的主讲内容，具有本地上传和删除功能；支持查看引入的课程信息。</w:t>
            </w:r>
          </w:p>
        </w:tc>
      </w:tr>
      <w:tr w14:paraId="4B8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C98FD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课程设计，课程教师可对所负责的课程进行教学设计，包括章节结构、资源素材、考试作业等，并对结果进行预览。</w:t>
            </w:r>
          </w:p>
        </w:tc>
      </w:tr>
      <w:tr w14:paraId="7F32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608D5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）支持按照章讲体系进行课程章节设计、内容布局，搭建课程框架，章节结构可以进行拖拽式所见即所得的排列；</w:t>
            </w:r>
          </w:p>
        </w:tc>
      </w:tr>
      <w:tr w14:paraId="3B2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07260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）可以在子节点下添加授课内容中所需的视频、音频、图片、文档、下载资料等资源，支持添加知识点讲解、数字教材、虚拟仿真、链接、图文等；支持使用</w:t>
            </w:r>
            <w:r>
              <w:rPr>
                <w:rStyle w:val="302"/>
                <w:rFonts w:eastAsia="宋体"/>
                <w:sz w:val="21"/>
                <w:szCs w:val="21"/>
                <w:lang w:val="en-US" w:eastAsia="zh-CN" w:bidi="ar"/>
              </w:rPr>
              <w:t>AI</w:t>
            </w:r>
            <w:r>
              <w:rPr>
                <w:rStyle w:val="301"/>
                <w:sz w:val="21"/>
                <w:szCs w:val="21"/>
                <w:lang w:val="en-US" w:eastAsia="zh-CN" w:bidi="ar"/>
              </w:rPr>
              <w:t>生成</w:t>
            </w:r>
            <w:r>
              <w:rPr>
                <w:rStyle w:val="302"/>
                <w:rFonts w:eastAsia="宋体"/>
                <w:sz w:val="21"/>
                <w:szCs w:val="21"/>
                <w:lang w:val="en-US" w:eastAsia="zh-CN" w:bidi="ar"/>
              </w:rPr>
              <w:t>ppt</w:t>
            </w:r>
            <w:r>
              <w:rPr>
                <w:rStyle w:val="301"/>
                <w:sz w:val="21"/>
                <w:szCs w:val="21"/>
                <w:lang w:val="en-US" w:eastAsia="zh-CN" w:bidi="ar"/>
              </w:rPr>
              <w:t>作为课件使用；</w:t>
            </w:r>
          </w:p>
        </w:tc>
      </w:tr>
      <w:tr w14:paraId="5AF1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FE109F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）可以对章节知识点添加授课内容中的考试和作业；</w:t>
            </w:r>
          </w:p>
        </w:tc>
      </w:tr>
      <w:tr w14:paraId="044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3957B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）支持教师从本人建设的其他课程、学校课程库引入课程，进行课程设计，实现优质教学资源的共建共享；</w:t>
            </w:r>
          </w:p>
        </w:tc>
      </w:tr>
      <w:tr w14:paraId="432A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123D4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）支持教师从国家级教学资源库中导入国家已经立项建设的，且与我校专业设置方向相同或相近的（此处填写与学校开设专业相同或相近专业的国家库的专业名称，为便于演示，尽量别超过</w:t>
            </w:r>
            <w:r>
              <w:rPr>
                <w:rStyle w:val="302"/>
                <w:rFonts w:eastAsia="宋体"/>
                <w:sz w:val="21"/>
                <w:szCs w:val="21"/>
                <w:lang w:val="en-US" w:eastAsia="zh-CN" w:bidi="ar"/>
              </w:rPr>
              <w:t>5</w:t>
            </w:r>
            <w:r>
              <w:rPr>
                <w:rStyle w:val="301"/>
                <w:sz w:val="21"/>
                <w:szCs w:val="21"/>
                <w:lang w:val="en-US" w:eastAsia="zh-CN" w:bidi="ar"/>
              </w:rPr>
              <w:t>个）等专业国家资源库中的课程，进行课程设计；</w:t>
            </w:r>
          </w:p>
        </w:tc>
      </w:tr>
      <w:tr w14:paraId="4C75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30B6EF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）支持教师从在线精品课平台中，引用平台已经上线的在线精品课，包括国家级精品课、省级精品课、校级精品课等，进行课程设计；</w:t>
            </w:r>
          </w:p>
        </w:tc>
      </w:tr>
      <w:tr w14:paraId="3186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9940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）对于章节下的视频支持使用</w:t>
            </w:r>
            <w:r>
              <w:rPr>
                <w:rStyle w:val="302"/>
                <w:rFonts w:eastAsia="宋体"/>
                <w:sz w:val="21"/>
                <w:szCs w:val="21"/>
                <w:lang w:val="en-US" w:eastAsia="zh-CN" w:bidi="ar"/>
              </w:rPr>
              <w:t>AI</w:t>
            </w:r>
            <w:r>
              <w:rPr>
                <w:rStyle w:val="301"/>
                <w:sz w:val="21"/>
                <w:szCs w:val="21"/>
                <w:lang w:val="en-US" w:eastAsia="zh-CN" w:bidi="ar"/>
              </w:rPr>
              <w:t>视频理解；</w:t>
            </w:r>
          </w:p>
        </w:tc>
      </w:tr>
      <w:tr w14:paraId="171F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F1B6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8</w:t>
            </w:r>
            <w:r>
              <w:rPr>
                <w:rStyle w:val="301"/>
                <w:sz w:val="21"/>
                <w:szCs w:val="21"/>
                <w:lang w:val="en-US" w:eastAsia="zh-CN" w:bidi="ar"/>
              </w:rPr>
              <w:t>）备忘录：支持主持教师在教学设计过程中使用备忘录，老师随时调节编写备忘录，具备便签功能；</w:t>
            </w:r>
          </w:p>
        </w:tc>
      </w:tr>
      <w:tr w14:paraId="32F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BBE45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9</w:t>
            </w:r>
            <w:r>
              <w:rPr>
                <w:rStyle w:val="301"/>
                <w:sz w:val="21"/>
                <w:szCs w:val="21"/>
                <w:lang w:val="en-US" w:eastAsia="zh-CN" w:bidi="ar"/>
              </w:rPr>
              <w:t>）可将原创课程提交至学校课程库。</w:t>
            </w:r>
          </w:p>
        </w:tc>
      </w:tr>
      <w:tr w14:paraId="0A8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EB14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支持教师在课程下创建作业。</w:t>
            </w:r>
          </w:p>
        </w:tc>
      </w:tr>
      <w:tr w14:paraId="182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C0D5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）可以根据来源、类型、创建状态作业名称查询课程下的作业，支持新增作业、新增数字教材作业、基于</w:t>
            </w:r>
            <w:r>
              <w:rPr>
                <w:rStyle w:val="302"/>
                <w:rFonts w:eastAsia="宋体"/>
                <w:sz w:val="21"/>
                <w:szCs w:val="21"/>
                <w:lang w:val="en-US" w:eastAsia="zh-CN" w:bidi="ar"/>
              </w:rPr>
              <w:t>word</w:t>
            </w:r>
            <w:r>
              <w:rPr>
                <w:rStyle w:val="301"/>
                <w:sz w:val="21"/>
                <w:szCs w:val="21"/>
                <w:lang w:val="en-US" w:eastAsia="zh-CN" w:bidi="ar"/>
              </w:rPr>
              <w:t>模板导入作业；</w:t>
            </w:r>
          </w:p>
        </w:tc>
      </w:tr>
      <w:tr w14:paraId="6129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4BF3B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）支持将课程下的作业排序、编辑、删除、归档，归档的作业可在已归档作业中查看或者取消归档；</w:t>
            </w:r>
          </w:p>
        </w:tc>
      </w:tr>
      <w:tr w14:paraId="09F4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3EA3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）支持设置或批量设置作业在课程所有班级下的启用状态、开始时间、结束时间、答案公布时间、成绩公布时间等。</w:t>
            </w:r>
          </w:p>
        </w:tc>
      </w:tr>
      <w:tr w14:paraId="5145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D901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支持教师在课程下创建考试。</w:t>
            </w:r>
          </w:p>
        </w:tc>
      </w:tr>
      <w:tr w14:paraId="39F2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3A85BF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）可以根据来源、类型、创建状态考试名称查询课程下的考试，支持新增考试、新增数字教材考试、基于</w:t>
            </w:r>
            <w:r>
              <w:rPr>
                <w:rStyle w:val="302"/>
                <w:rFonts w:eastAsia="宋体"/>
                <w:sz w:val="21"/>
                <w:szCs w:val="21"/>
                <w:lang w:val="en-US" w:eastAsia="zh-CN" w:bidi="ar"/>
              </w:rPr>
              <w:t>word</w:t>
            </w:r>
            <w:r>
              <w:rPr>
                <w:rStyle w:val="301"/>
                <w:sz w:val="21"/>
                <w:szCs w:val="21"/>
                <w:lang w:val="en-US" w:eastAsia="zh-CN" w:bidi="ar"/>
              </w:rPr>
              <w:t>模板导入考试；</w:t>
            </w:r>
          </w:p>
        </w:tc>
      </w:tr>
      <w:tr w14:paraId="63A8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D8795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）支持将课程下的考试排序、编辑、删除、归档，归档的考试可在已归档考试中查看或者取消归档；</w:t>
            </w:r>
          </w:p>
        </w:tc>
      </w:tr>
      <w:tr w14:paraId="719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2035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）支持设置或批量设置考试在课程所有班级下的启用状态、开始时间、结束时间、答案公布时间、成绩公布时间等。</w:t>
            </w:r>
          </w:p>
        </w:tc>
      </w:tr>
      <w:tr w14:paraId="21C1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CB53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支持教师在课程下创建班级，维护班级名称、所属学期、授课教师等基本信息，班级分为本校班级、教师培训、外校班级三个类型。</w:t>
            </w:r>
          </w:p>
        </w:tc>
      </w:tr>
      <w:tr w14:paraId="7A2E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FCFC4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支持教师在班级列表下按学期、授课教师、班级名称查询班级；支持编辑、删除、归档班级，删除的班级会永久删除，归档的班级可进入已归档班级中查看或者取消归档。</w:t>
            </w:r>
          </w:p>
        </w:tc>
      </w:tr>
      <w:tr w14:paraId="030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90FE2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301"/>
                <w:sz w:val="21"/>
                <w:szCs w:val="21"/>
                <w:lang w:val="en-US" w:eastAsia="zh-CN" w:bidi="ar"/>
              </w:rPr>
              <w:t>班级管理，设置学生加入班级的方式、是否开启加入审核，展示班级二维码和邀请码；主讲教师可以邀请多名授课教师共同管理教学班，也可以邀请学生作为学习小助手辅助管理班级，可对学习小助手权限进行配置，体现一人创建、多人使用的共享理念，满足个性化备授课需求。</w:t>
            </w:r>
          </w:p>
        </w:tc>
      </w:tr>
      <w:tr w14:paraId="24A0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0737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01"/>
                <w:sz w:val="21"/>
                <w:szCs w:val="21"/>
                <w:lang w:val="en-US" w:eastAsia="zh-CN" w:bidi="ar"/>
              </w:rPr>
              <w:t>教师可对班级课件进行公开或关闭、设置定时公开，控制课程章节开放学习时间，支持设置闯关模式，学生需按顺序进行内容学习。</w:t>
            </w:r>
          </w:p>
        </w:tc>
      </w:tr>
      <w:tr w14:paraId="1900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67356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301"/>
                <w:sz w:val="21"/>
                <w:szCs w:val="21"/>
                <w:lang w:val="en-US" w:eastAsia="zh-CN" w:bidi="ar"/>
              </w:rPr>
              <w:t>学生管理，教师有多种方式添加班级学生，既支持学生通过扫二维码、输入邀请码主动加入班级，也支持教师从学校库和教学班导入学生，并支持查看导入记录，教师可对班级学生进行查询、移除、批量移除、修改手机号、导出等操作，支持设置学生为参赛学生；教师可对班级学生进行分组，支持一键分组和自定义分组，以支持附件作业的小组作业和课堂活动的小组</w:t>
            </w:r>
            <w:r>
              <w:rPr>
                <w:rStyle w:val="302"/>
                <w:rFonts w:eastAsia="宋体"/>
                <w:sz w:val="21"/>
                <w:szCs w:val="21"/>
                <w:lang w:val="en-US" w:eastAsia="zh-CN" w:bidi="ar"/>
              </w:rPr>
              <w:t>PK</w:t>
            </w:r>
            <w:r>
              <w:rPr>
                <w:rStyle w:val="301"/>
                <w:sz w:val="21"/>
                <w:szCs w:val="21"/>
                <w:lang w:val="en-US" w:eastAsia="zh-CN" w:bidi="ar"/>
              </w:rPr>
              <w:t>。</w:t>
            </w:r>
          </w:p>
        </w:tc>
      </w:tr>
      <w:tr w14:paraId="0DD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81149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301"/>
                <w:sz w:val="21"/>
                <w:szCs w:val="21"/>
                <w:lang w:val="en-US" w:eastAsia="zh-CN" w:bidi="ar"/>
              </w:rPr>
              <w:t>线上互动，授课教师可以按照每个教学班的课程教学设计，预览其学习体验的同时，与学生进行教学互动；对于发帖和回复支持</w:t>
            </w:r>
            <w:r>
              <w:rPr>
                <w:rStyle w:val="302"/>
                <w:rFonts w:eastAsia="宋体"/>
                <w:sz w:val="21"/>
                <w:szCs w:val="21"/>
                <w:lang w:val="en-US" w:eastAsia="zh-CN" w:bidi="ar"/>
              </w:rPr>
              <w:t>AI</w:t>
            </w:r>
            <w:r>
              <w:rPr>
                <w:rStyle w:val="301"/>
                <w:sz w:val="21"/>
                <w:szCs w:val="21"/>
                <w:lang w:val="en-US" w:eastAsia="zh-CN" w:bidi="ar"/>
              </w:rPr>
              <w:t>智能助写功能。</w:t>
            </w:r>
          </w:p>
        </w:tc>
      </w:tr>
      <w:tr w14:paraId="794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2804C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）学员可以在课件学习过程中，记录学习笔记，教师可将学生笔记设置为推荐；</w:t>
            </w:r>
          </w:p>
        </w:tc>
      </w:tr>
      <w:tr w14:paraId="68D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9706D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）学员可以在课件学习过程中对教师提问，授课教师可以进行答疑；</w:t>
            </w:r>
          </w:p>
        </w:tc>
      </w:tr>
      <w:tr w14:paraId="13A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E78C5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）授课教师可以批改学员附件作业、题库作业，以及考试；</w:t>
            </w:r>
          </w:p>
        </w:tc>
      </w:tr>
      <w:tr w14:paraId="0E8E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D60BB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）授课教师可以针对教学班下一门课程发布教学公告，同时支持引入该课程其他班级的公告，避免重复工作；</w:t>
            </w:r>
          </w:p>
        </w:tc>
      </w:tr>
      <w:tr w14:paraId="587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F423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）授课教师可以查看自己与学生的教学互动统计信息。</w:t>
            </w:r>
          </w:p>
        </w:tc>
      </w:tr>
      <w:tr w14:paraId="4E5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16D38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301"/>
                <w:sz w:val="21"/>
                <w:szCs w:val="21"/>
                <w:lang w:val="en-US" w:eastAsia="zh-CN" w:bidi="ar"/>
              </w:rPr>
              <w:t>授课教师可以在教学班下新增、批量新增课堂，可设置课堂标题、地点、日期、节次等信息；课堂支持关联学校课表；支持引入、批量引入其他班级下的课堂活动。</w:t>
            </w:r>
          </w:p>
        </w:tc>
      </w:tr>
      <w:tr w14:paraId="4929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ACC9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301"/>
                <w:sz w:val="21"/>
                <w:szCs w:val="21"/>
                <w:lang w:val="en-US" w:eastAsia="zh-CN" w:bidi="ar"/>
              </w:rPr>
              <w:t>支持以周历课表和月历课表两种形式展示课堂；支持教师在班级下按日期、授课标题查询课堂；支持编辑、删除课堂；支持导出学生考勤及课堂教学情况。</w:t>
            </w:r>
          </w:p>
        </w:tc>
      </w:tr>
      <w:tr w14:paraId="22E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C04C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01"/>
                <w:sz w:val="21"/>
                <w:szCs w:val="21"/>
                <w:lang w:val="en-US" w:eastAsia="zh-CN" w:bidi="ar"/>
              </w:rPr>
              <w:t>支持教师在班级下根据来源、类型、状态、作业名称查询班级下的作业，支持设置作业时间，查看已批、未批、未交作业人数，未交作业学生可发消息提醒。</w:t>
            </w:r>
          </w:p>
        </w:tc>
      </w:tr>
      <w:tr w14:paraId="7C4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BA309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301"/>
                <w:sz w:val="21"/>
                <w:szCs w:val="21"/>
                <w:lang w:val="en-US" w:eastAsia="zh-CN" w:bidi="ar"/>
              </w:rPr>
              <w:t>支持教师在班级下根据来源、类型、状态、考试名称查询班级下的考试，支持设置考试时间，查看已批、未批、未交作业人数，未交考试学生可发消息提醒。</w:t>
            </w:r>
          </w:p>
        </w:tc>
      </w:tr>
      <w:tr w14:paraId="529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445D7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301"/>
                <w:sz w:val="21"/>
                <w:szCs w:val="21"/>
                <w:lang w:val="en-US" w:eastAsia="zh-CN" w:bidi="ar"/>
              </w:rPr>
              <w:t>支持教师在班级下查看进行中的测验，根据姓名搜索已结束测验学生名单。</w:t>
            </w:r>
          </w:p>
        </w:tc>
      </w:tr>
      <w:tr w14:paraId="02FF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59EE72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r>
              <w:rPr>
                <w:rStyle w:val="301"/>
                <w:sz w:val="21"/>
                <w:szCs w:val="21"/>
                <w:lang w:val="en-US" w:eastAsia="zh-CN" w:bidi="ar"/>
              </w:rPr>
              <w:t>学生成绩由课件学习、课堂活动、作业、考试四项组成，教师可以根据课程特点分别设置四个成绩的权重，最终由权重得分相加生成最终成绩，提高最终统计客观合理性，支持设置通过标准。</w:t>
            </w:r>
          </w:p>
        </w:tc>
      </w:tr>
      <w:tr w14:paraId="40C8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DF96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r>
              <w:rPr>
                <w:rStyle w:val="301"/>
                <w:sz w:val="21"/>
                <w:szCs w:val="21"/>
                <w:lang w:val="en-US" w:eastAsia="zh-CN" w:bidi="ar"/>
              </w:rPr>
              <w:t>成绩权重支持快速设置权重和设置考核权重两种，快速设置权重需要设置通过标准、课件学习、课堂活动、作业、考试的考核权重，各子项权重无须设置；设置考核权重需设置各子项权重，课件学习支持设置课件进度、数字教材进度、评价、问答、笔记、纠错；课堂活动支持设置考勤、参与、课堂表现分、测验平均分的权重；作业支持设置每一份作业的权重；考试支持设置每一次考试的权重；支持引用同课程下其他班级的考核权重。</w:t>
            </w:r>
          </w:p>
        </w:tc>
      </w:tr>
      <w:tr w14:paraId="15A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BB48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r>
              <w:rPr>
                <w:rStyle w:val="301"/>
                <w:sz w:val="21"/>
                <w:szCs w:val="21"/>
                <w:lang w:val="en-US" w:eastAsia="zh-CN" w:bidi="ar"/>
              </w:rPr>
              <w:t>支持查看班级学生的总成绩、课件学习、课堂活动、作业、考试的各项成绩，支持查看学生的成绩详情；支持教师生成成绩，支持对学生的最终分数进行修改；支持导出学生总成绩和各项成绩。</w:t>
            </w:r>
          </w:p>
        </w:tc>
      </w:tr>
      <w:tr w14:paraId="7AE1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4CFFA6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r>
              <w:rPr>
                <w:rStyle w:val="301"/>
                <w:sz w:val="21"/>
                <w:szCs w:val="21"/>
                <w:lang w:val="en-US" w:eastAsia="zh-CN" w:bidi="ar"/>
              </w:rPr>
              <w:t>课程统计分析，支持提供当前班级近三个学期或一年内的数据。</w:t>
            </w:r>
          </w:p>
        </w:tc>
      </w:tr>
      <w:tr w14:paraId="5A6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54D98A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）基础数据，支持按学期查看课程的班级数、学生人数和学生学习通过率；支持查看课程资源统计情况及题库统计情况；支持查看学生出勤率趋势、学习进度、学习成绩、考测评统计；</w:t>
            </w:r>
          </w:p>
        </w:tc>
      </w:tr>
      <w:tr w14:paraId="445A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2FE87D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）学情分析，查看课程成绩分析、课件学习完成率、作业分析、考试分析、随堂测验分析；</w:t>
            </w:r>
          </w:p>
        </w:tc>
      </w:tr>
      <w:tr w14:paraId="777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8C062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）课堂报告，支持按班级、课堂名称、时间段等搜索课堂，支持查看、下载课堂报告；</w:t>
            </w:r>
          </w:p>
        </w:tc>
      </w:tr>
      <w:tr w14:paraId="6F5E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C91B7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30C5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EE98F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）课程统计，支持查看课程选课人数、课程资源等课程详细数据；</w:t>
            </w:r>
          </w:p>
        </w:tc>
      </w:tr>
      <w:tr w14:paraId="672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7C391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）学生统计，支持按班级、学生姓名等，查看学生的课堂数据统计、资源数据统计、考测评统计、讨论统计。</w:t>
            </w:r>
          </w:p>
        </w:tc>
      </w:tr>
      <w:tr w14:paraId="1E98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2B01CF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）学习预警，支持查看低于学习平均进度、低于考试平均分、低于讨论平均帖数、低于成绩平均分、低于课堂活动平均参与数、未签到情况、考试未按时完成情况、作业未按时完成情况的预警数据详情。</w:t>
            </w:r>
          </w:p>
        </w:tc>
      </w:tr>
      <w:tr w14:paraId="603B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9DCD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r>
              <w:rPr>
                <w:rStyle w:val="301"/>
                <w:sz w:val="21"/>
                <w:szCs w:val="21"/>
                <w:lang w:val="en-US" w:eastAsia="zh-CN" w:bidi="ar"/>
              </w:rPr>
              <w:t>班级统计分析，支持提供当前班级近三个学期或一年内的数据。</w:t>
            </w:r>
          </w:p>
        </w:tc>
      </w:tr>
      <w:tr w14:paraId="0FAE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5312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）基础数据，支持查看班级教学活动数、学生人数和学生学习通过率；支持对通过人数和未通过人数较上次的对比分析；支持对学生出勤率趋势、学习进度、学习成绩、考测评统计进行对比分析；</w:t>
            </w:r>
          </w:p>
        </w:tc>
      </w:tr>
      <w:tr w14:paraId="21B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E6862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）学情分析，查看课程成绩分析、课件学习完成率、作业分析、考试分析、随堂测验分析；</w:t>
            </w:r>
          </w:p>
        </w:tc>
      </w:tr>
      <w:tr w14:paraId="2FB9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6EE8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）课堂报告，支持按课堂名称、时间段等搜索课堂，支持查看、下载课堂报告；</w:t>
            </w:r>
          </w:p>
        </w:tc>
      </w:tr>
      <w:tr w14:paraId="4EF4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2F347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学生分类，按照课程总成绩将学生分为积极学习者、努力学习者、边缘学习者三大类；支持查看课程平均分、大于平均分人数、课程平均学习进度和大于平均学习进度人数等信息，可根据院系、专业、班级、年级和学生姓名进行查询和导出。</w:t>
            </w:r>
          </w:p>
        </w:tc>
      </w:tr>
      <w:tr w14:paraId="573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23F7763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四、资源管理系统</w:t>
            </w:r>
          </w:p>
        </w:tc>
      </w:tr>
      <w:tr w14:paraId="2CD8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4BCD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资源管理系统集中管理各种形态的课程资源，包括文本、视频、音频、图片、模型、压缩包等，系统应为教师提供不小于</w:t>
            </w:r>
            <w:r>
              <w:rPr>
                <w:rStyle w:val="302"/>
                <w:rFonts w:eastAsia="宋体"/>
                <w:sz w:val="21"/>
                <w:szCs w:val="21"/>
                <w:lang w:val="en-US" w:eastAsia="zh-CN" w:bidi="ar"/>
              </w:rPr>
              <w:t>80G</w:t>
            </w:r>
            <w:r>
              <w:rPr>
                <w:rStyle w:val="301"/>
                <w:sz w:val="21"/>
                <w:szCs w:val="21"/>
                <w:lang w:val="en-US" w:eastAsia="zh-CN" w:bidi="ar"/>
              </w:rPr>
              <w:t>的空间支持。</w:t>
            </w:r>
          </w:p>
        </w:tc>
      </w:tr>
      <w:tr w14:paraId="589A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4AFD2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音视频格式，支持</w:t>
            </w:r>
            <w:r>
              <w:rPr>
                <w:rStyle w:val="302"/>
                <w:rFonts w:eastAsia="宋体"/>
                <w:sz w:val="21"/>
                <w:szCs w:val="21"/>
                <w:lang w:val="en-US" w:eastAsia="zh-CN" w:bidi="ar"/>
              </w:rPr>
              <w:t>MP3</w:t>
            </w:r>
            <w:r>
              <w:rPr>
                <w:rStyle w:val="301"/>
                <w:sz w:val="21"/>
                <w:szCs w:val="21"/>
                <w:lang w:val="en-US" w:eastAsia="zh-CN" w:bidi="ar"/>
              </w:rPr>
              <w:t>、</w:t>
            </w:r>
            <w:r>
              <w:rPr>
                <w:rStyle w:val="302"/>
                <w:rFonts w:eastAsia="宋体"/>
                <w:sz w:val="21"/>
                <w:szCs w:val="21"/>
                <w:lang w:val="en-US" w:eastAsia="zh-CN" w:bidi="ar"/>
              </w:rPr>
              <w:t>MP4</w:t>
            </w:r>
            <w:r>
              <w:rPr>
                <w:rStyle w:val="301"/>
                <w:sz w:val="21"/>
                <w:szCs w:val="21"/>
                <w:lang w:val="en-US" w:eastAsia="zh-CN" w:bidi="ar"/>
              </w:rPr>
              <w:t>、</w:t>
            </w:r>
            <w:r>
              <w:rPr>
                <w:rStyle w:val="302"/>
                <w:rFonts w:eastAsia="宋体"/>
                <w:sz w:val="21"/>
                <w:szCs w:val="21"/>
                <w:lang w:val="en-US" w:eastAsia="zh-CN" w:bidi="ar"/>
              </w:rPr>
              <w:t>M4V</w:t>
            </w:r>
            <w:r>
              <w:rPr>
                <w:rStyle w:val="301"/>
                <w:sz w:val="21"/>
                <w:szCs w:val="21"/>
                <w:lang w:val="en-US" w:eastAsia="zh-CN" w:bidi="ar"/>
              </w:rPr>
              <w:t>等主流音视频格式上传，视频上传后自动转码，无需下载可直接在线播放。</w:t>
            </w:r>
          </w:p>
        </w:tc>
      </w:tr>
      <w:tr w14:paraId="7695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620D2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文档格式，支持</w:t>
            </w:r>
            <w:r>
              <w:rPr>
                <w:rStyle w:val="302"/>
                <w:rFonts w:eastAsia="宋体"/>
                <w:sz w:val="21"/>
                <w:szCs w:val="21"/>
                <w:lang w:val="en-US" w:eastAsia="zh-CN" w:bidi="ar"/>
              </w:rPr>
              <w:t>doc</w:t>
            </w:r>
            <w:r>
              <w:rPr>
                <w:rStyle w:val="301"/>
                <w:sz w:val="21"/>
                <w:szCs w:val="21"/>
                <w:lang w:val="en-US" w:eastAsia="zh-CN" w:bidi="ar"/>
              </w:rPr>
              <w:t>、</w:t>
            </w:r>
            <w:r>
              <w:rPr>
                <w:rStyle w:val="302"/>
                <w:rFonts w:eastAsia="宋体"/>
                <w:sz w:val="21"/>
                <w:szCs w:val="21"/>
                <w:lang w:val="en-US" w:eastAsia="zh-CN" w:bidi="ar"/>
              </w:rPr>
              <w:t>docx</w:t>
            </w:r>
            <w:r>
              <w:rPr>
                <w:rStyle w:val="301"/>
                <w:sz w:val="21"/>
                <w:szCs w:val="21"/>
                <w:lang w:val="en-US" w:eastAsia="zh-CN" w:bidi="ar"/>
              </w:rPr>
              <w:t>、</w:t>
            </w:r>
            <w:r>
              <w:rPr>
                <w:rStyle w:val="302"/>
                <w:rFonts w:eastAsia="宋体"/>
                <w:sz w:val="21"/>
                <w:szCs w:val="21"/>
                <w:lang w:val="en-US" w:eastAsia="zh-CN" w:bidi="ar"/>
              </w:rPr>
              <w:t>xls</w:t>
            </w:r>
            <w:r>
              <w:rPr>
                <w:rStyle w:val="301"/>
                <w:sz w:val="21"/>
                <w:szCs w:val="21"/>
                <w:lang w:val="en-US" w:eastAsia="zh-CN" w:bidi="ar"/>
              </w:rPr>
              <w:t>、</w:t>
            </w:r>
            <w:r>
              <w:rPr>
                <w:rStyle w:val="302"/>
                <w:rFonts w:eastAsia="宋体"/>
                <w:sz w:val="21"/>
                <w:szCs w:val="21"/>
                <w:lang w:val="en-US" w:eastAsia="zh-CN" w:bidi="ar"/>
              </w:rPr>
              <w:t>xlsx</w:t>
            </w:r>
            <w:r>
              <w:rPr>
                <w:rStyle w:val="301"/>
                <w:sz w:val="21"/>
                <w:szCs w:val="21"/>
                <w:lang w:val="en-US" w:eastAsia="zh-CN" w:bidi="ar"/>
              </w:rPr>
              <w:t>、</w:t>
            </w:r>
            <w:r>
              <w:rPr>
                <w:rStyle w:val="302"/>
                <w:rFonts w:eastAsia="宋体"/>
                <w:sz w:val="21"/>
                <w:szCs w:val="21"/>
                <w:lang w:val="en-US" w:eastAsia="zh-CN" w:bidi="ar"/>
              </w:rPr>
              <w:t>txt</w:t>
            </w:r>
            <w:r>
              <w:rPr>
                <w:rStyle w:val="301"/>
                <w:sz w:val="21"/>
                <w:szCs w:val="21"/>
                <w:lang w:val="en-US" w:eastAsia="zh-CN" w:bidi="ar"/>
              </w:rPr>
              <w:t>、</w:t>
            </w:r>
            <w:r>
              <w:rPr>
                <w:rStyle w:val="302"/>
                <w:rFonts w:eastAsia="宋体"/>
                <w:sz w:val="21"/>
                <w:szCs w:val="21"/>
                <w:lang w:val="en-US" w:eastAsia="zh-CN" w:bidi="ar"/>
              </w:rPr>
              <w:t>pdf</w:t>
            </w:r>
            <w:r>
              <w:rPr>
                <w:rStyle w:val="301"/>
                <w:sz w:val="21"/>
                <w:szCs w:val="21"/>
                <w:lang w:val="en-US" w:eastAsia="zh-CN" w:bidi="ar"/>
              </w:rPr>
              <w:t>、</w:t>
            </w:r>
            <w:r>
              <w:rPr>
                <w:rStyle w:val="302"/>
                <w:rFonts w:eastAsia="宋体"/>
                <w:sz w:val="21"/>
                <w:szCs w:val="21"/>
                <w:lang w:val="en-US" w:eastAsia="zh-CN" w:bidi="ar"/>
              </w:rPr>
              <w:t>ppt</w:t>
            </w:r>
            <w:r>
              <w:rPr>
                <w:rStyle w:val="301"/>
                <w:sz w:val="21"/>
                <w:szCs w:val="21"/>
                <w:lang w:val="en-US" w:eastAsia="zh-CN" w:bidi="ar"/>
              </w:rPr>
              <w:t>、</w:t>
            </w:r>
            <w:r>
              <w:rPr>
                <w:rStyle w:val="302"/>
                <w:rFonts w:eastAsia="宋体"/>
                <w:sz w:val="21"/>
                <w:szCs w:val="21"/>
                <w:lang w:val="en-US" w:eastAsia="zh-CN" w:bidi="ar"/>
              </w:rPr>
              <w:t>pptx</w:t>
            </w:r>
            <w:r>
              <w:rPr>
                <w:rStyle w:val="301"/>
                <w:sz w:val="21"/>
                <w:szCs w:val="21"/>
                <w:lang w:val="en-US" w:eastAsia="zh-CN" w:bidi="ar"/>
              </w:rPr>
              <w:t>等主流格式，上传后自动转码，无需另行安装插件可直接在线阅读。</w:t>
            </w:r>
          </w:p>
        </w:tc>
      </w:tr>
      <w:tr w14:paraId="0825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F71E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图片支持</w:t>
            </w:r>
            <w:r>
              <w:rPr>
                <w:rStyle w:val="302"/>
                <w:rFonts w:eastAsia="宋体"/>
                <w:sz w:val="21"/>
                <w:szCs w:val="21"/>
                <w:lang w:val="en-US" w:eastAsia="zh-CN" w:bidi="ar"/>
              </w:rPr>
              <w:t>jpg</w:t>
            </w:r>
            <w:r>
              <w:rPr>
                <w:rStyle w:val="301"/>
                <w:sz w:val="21"/>
                <w:szCs w:val="21"/>
                <w:lang w:val="en-US" w:eastAsia="zh-CN" w:bidi="ar"/>
              </w:rPr>
              <w:t>、</w:t>
            </w:r>
            <w:r>
              <w:rPr>
                <w:rStyle w:val="302"/>
                <w:rFonts w:eastAsia="宋体"/>
                <w:sz w:val="21"/>
                <w:szCs w:val="21"/>
                <w:lang w:val="en-US" w:eastAsia="zh-CN" w:bidi="ar"/>
              </w:rPr>
              <w:t>jpeg</w:t>
            </w:r>
            <w:r>
              <w:rPr>
                <w:rStyle w:val="301"/>
                <w:sz w:val="21"/>
                <w:szCs w:val="21"/>
                <w:lang w:val="en-US" w:eastAsia="zh-CN" w:bidi="ar"/>
              </w:rPr>
              <w:t>、</w:t>
            </w:r>
            <w:r>
              <w:rPr>
                <w:rStyle w:val="302"/>
                <w:rFonts w:eastAsia="宋体"/>
                <w:sz w:val="21"/>
                <w:szCs w:val="21"/>
                <w:lang w:val="en-US" w:eastAsia="zh-CN" w:bidi="ar"/>
              </w:rPr>
              <w:t>png</w:t>
            </w:r>
            <w:r>
              <w:rPr>
                <w:rStyle w:val="301"/>
                <w:sz w:val="21"/>
                <w:szCs w:val="21"/>
                <w:lang w:val="en-US" w:eastAsia="zh-CN" w:bidi="ar"/>
              </w:rPr>
              <w:t>、</w:t>
            </w:r>
            <w:r>
              <w:rPr>
                <w:rStyle w:val="302"/>
                <w:rFonts w:eastAsia="宋体"/>
                <w:sz w:val="21"/>
                <w:szCs w:val="21"/>
                <w:lang w:val="en-US" w:eastAsia="zh-CN" w:bidi="ar"/>
              </w:rPr>
              <w:t>bmp</w:t>
            </w:r>
            <w:r>
              <w:rPr>
                <w:rStyle w:val="301"/>
                <w:sz w:val="21"/>
                <w:szCs w:val="21"/>
                <w:lang w:val="en-US" w:eastAsia="zh-CN" w:bidi="ar"/>
              </w:rPr>
              <w:t>、</w:t>
            </w:r>
            <w:r>
              <w:rPr>
                <w:rStyle w:val="302"/>
                <w:rFonts w:eastAsia="宋体"/>
                <w:sz w:val="21"/>
                <w:szCs w:val="21"/>
                <w:lang w:val="en-US" w:eastAsia="zh-CN" w:bidi="ar"/>
              </w:rPr>
              <w:t>gif</w:t>
            </w:r>
            <w:r>
              <w:rPr>
                <w:rStyle w:val="301"/>
                <w:sz w:val="21"/>
                <w:szCs w:val="21"/>
                <w:lang w:val="en-US" w:eastAsia="zh-CN" w:bidi="ar"/>
              </w:rPr>
              <w:t>等格式。</w:t>
            </w:r>
          </w:p>
        </w:tc>
      </w:tr>
      <w:tr w14:paraId="6146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27C23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压缩包支持上传</w:t>
            </w:r>
            <w:r>
              <w:rPr>
                <w:rStyle w:val="302"/>
                <w:rFonts w:eastAsia="宋体"/>
                <w:sz w:val="21"/>
                <w:szCs w:val="21"/>
                <w:lang w:val="en-US" w:eastAsia="zh-CN" w:bidi="ar"/>
              </w:rPr>
              <w:t>7z</w:t>
            </w:r>
            <w:r>
              <w:rPr>
                <w:rStyle w:val="301"/>
                <w:sz w:val="21"/>
                <w:szCs w:val="21"/>
                <w:lang w:val="en-US" w:eastAsia="zh-CN" w:bidi="ar"/>
              </w:rPr>
              <w:t>、</w:t>
            </w:r>
            <w:r>
              <w:rPr>
                <w:rStyle w:val="302"/>
                <w:rFonts w:eastAsia="宋体"/>
                <w:sz w:val="21"/>
                <w:szCs w:val="21"/>
                <w:lang w:val="en-US" w:eastAsia="zh-CN" w:bidi="ar"/>
              </w:rPr>
              <w:t>rar</w:t>
            </w:r>
            <w:r>
              <w:rPr>
                <w:rStyle w:val="301"/>
                <w:sz w:val="21"/>
                <w:szCs w:val="21"/>
                <w:lang w:val="en-US" w:eastAsia="zh-CN" w:bidi="ar"/>
              </w:rPr>
              <w:t>、</w:t>
            </w:r>
            <w:r>
              <w:rPr>
                <w:rStyle w:val="302"/>
                <w:rFonts w:eastAsia="宋体"/>
                <w:sz w:val="21"/>
                <w:szCs w:val="21"/>
                <w:lang w:val="en-US" w:eastAsia="zh-CN" w:bidi="ar"/>
              </w:rPr>
              <w:t>tar</w:t>
            </w:r>
            <w:r>
              <w:rPr>
                <w:rStyle w:val="301"/>
                <w:sz w:val="21"/>
                <w:szCs w:val="21"/>
                <w:lang w:val="en-US" w:eastAsia="zh-CN" w:bidi="ar"/>
              </w:rPr>
              <w:t>、</w:t>
            </w:r>
            <w:r>
              <w:rPr>
                <w:rStyle w:val="302"/>
                <w:rFonts w:eastAsia="宋体"/>
                <w:sz w:val="21"/>
                <w:szCs w:val="21"/>
                <w:lang w:val="en-US" w:eastAsia="zh-CN" w:bidi="ar"/>
              </w:rPr>
              <w:t>zip</w:t>
            </w:r>
            <w:r>
              <w:rPr>
                <w:rStyle w:val="301"/>
                <w:sz w:val="21"/>
                <w:szCs w:val="21"/>
                <w:lang w:val="en-US" w:eastAsia="zh-CN" w:bidi="ar"/>
              </w:rPr>
              <w:t>等格式。</w:t>
            </w:r>
          </w:p>
        </w:tc>
      </w:tr>
      <w:tr w14:paraId="5C7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0607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模型支持</w:t>
            </w:r>
            <w:r>
              <w:rPr>
                <w:rStyle w:val="302"/>
                <w:rFonts w:eastAsia="宋体"/>
                <w:sz w:val="21"/>
                <w:szCs w:val="21"/>
                <w:lang w:val="en-US" w:eastAsia="zh-CN" w:bidi="ar"/>
              </w:rPr>
              <w:t>fbx</w:t>
            </w:r>
            <w:r>
              <w:rPr>
                <w:rStyle w:val="301"/>
                <w:sz w:val="21"/>
                <w:szCs w:val="21"/>
                <w:lang w:val="en-US" w:eastAsia="zh-CN" w:bidi="ar"/>
              </w:rPr>
              <w:t>、</w:t>
            </w:r>
            <w:r>
              <w:rPr>
                <w:rStyle w:val="302"/>
                <w:rFonts w:eastAsia="宋体"/>
                <w:sz w:val="21"/>
                <w:szCs w:val="21"/>
                <w:lang w:val="en-US" w:eastAsia="zh-CN" w:bidi="ar"/>
              </w:rPr>
              <w:t>glb</w:t>
            </w:r>
            <w:r>
              <w:rPr>
                <w:rStyle w:val="301"/>
                <w:sz w:val="21"/>
                <w:szCs w:val="21"/>
                <w:lang w:val="en-US" w:eastAsia="zh-CN" w:bidi="ar"/>
              </w:rPr>
              <w:t>、</w:t>
            </w:r>
            <w:r>
              <w:rPr>
                <w:rStyle w:val="302"/>
                <w:rFonts w:eastAsia="宋体"/>
                <w:sz w:val="21"/>
                <w:szCs w:val="21"/>
                <w:lang w:val="en-US" w:eastAsia="zh-CN" w:bidi="ar"/>
              </w:rPr>
              <w:t>obj</w:t>
            </w:r>
            <w:r>
              <w:rPr>
                <w:rStyle w:val="301"/>
                <w:sz w:val="21"/>
                <w:szCs w:val="21"/>
                <w:lang w:val="en-US" w:eastAsia="zh-CN" w:bidi="ar"/>
              </w:rPr>
              <w:t>、</w:t>
            </w:r>
            <w:r>
              <w:rPr>
                <w:rStyle w:val="302"/>
                <w:rFonts w:eastAsia="宋体"/>
                <w:sz w:val="21"/>
                <w:szCs w:val="21"/>
                <w:lang w:val="en-US" w:eastAsia="zh-CN" w:bidi="ar"/>
              </w:rPr>
              <w:t>stl</w:t>
            </w:r>
            <w:r>
              <w:rPr>
                <w:rStyle w:val="301"/>
                <w:sz w:val="21"/>
                <w:szCs w:val="21"/>
                <w:lang w:val="en-US" w:eastAsia="zh-CN" w:bidi="ar"/>
              </w:rPr>
              <w:t>等格式。</w:t>
            </w:r>
          </w:p>
        </w:tc>
      </w:tr>
      <w:tr w14:paraId="6994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63469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支持使用</w:t>
            </w:r>
            <w:r>
              <w:rPr>
                <w:rStyle w:val="302"/>
                <w:rFonts w:eastAsia="宋体"/>
                <w:sz w:val="21"/>
                <w:szCs w:val="21"/>
                <w:lang w:val="en-US" w:eastAsia="zh-CN" w:bidi="ar"/>
              </w:rPr>
              <w:t>AI</w:t>
            </w:r>
            <w:r>
              <w:rPr>
                <w:rStyle w:val="301"/>
                <w:sz w:val="21"/>
                <w:szCs w:val="21"/>
                <w:lang w:val="en-US" w:eastAsia="zh-CN" w:bidi="ar"/>
              </w:rPr>
              <w:t>生成</w:t>
            </w:r>
            <w:r>
              <w:rPr>
                <w:rStyle w:val="302"/>
                <w:rFonts w:eastAsia="宋体"/>
                <w:sz w:val="21"/>
                <w:szCs w:val="21"/>
                <w:lang w:val="en-US" w:eastAsia="zh-CN" w:bidi="ar"/>
              </w:rPr>
              <w:t>ppt</w:t>
            </w:r>
            <w:r>
              <w:rPr>
                <w:rStyle w:val="301"/>
                <w:sz w:val="21"/>
                <w:szCs w:val="21"/>
                <w:lang w:val="en-US" w:eastAsia="zh-CN" w:bidi="ar"/>
              </w:rPr>
              <w:t>和</w:t>
            </w:r>
            <w:r>
              <w:rPr>
                <w:rStyle w:val="302"/>
                <w:rFonts w:eastAsia="宋体"/>
                <w:sz w:val="21"/>
                <w:szCs w:val="21"/>
                <w:lang w:val="en-US" w:eastAsia="zh-CN" w:bidi="ar"/>
              </w:rPr>
              <w:t>AI</w:t>
            </w:r>
            <w:r>
              <w:rPr>
                <w:rStyle w:val="301"/>
                <w:sz w:val="21"/>
                <w:szCs w:val="21"/>
                <w:lang w:val="en-US" w:eastAsia="zh-CN" w:bidi="ar"/>
              </w:rPr>
              <w:t>生成图片，创建</w:t>
            </w:r>
            <w:r>
              <w:rPr>
                <w:rStyle w:val="302"/>
                <w:rFonts w:eastAsia="宋体"/>
                <w:sz w:val="21"/>
                <w:szCs w:val="21"/>
                <w:lang w:val="en-US" w:eastAsia="zh-CN" w:bidi="ar"/>
              </w:rPr>
              <w:t>ppt</w:t>
            </w:r>
            <w:r>
              <w:rPr>
                <w:rStyle w:val="301"/>
                <w:sz w:val="21"/>
                <w:szCs w:val="21"/>
                <w:lang w:val="en-US" w:eastAsia="zh-CN" w:bidi="ar"/>
              </w:rPr>
              <w:t>和图片资源。</w:t>
            </w:r>
          </w:p>
        </w:tc>
      </w:tr>
      <w:tr w14:paraId="6816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9F296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支持上传多种格式文件，单个文件最大支持</w:t>
            </w:r>
            <w:r>
              <w:rPr>
                <w:rStyle w:val="302"/>
                <w:rFonts w:eastAsia="宋体"/>
                <w:sz w:val="21"/>
                <w:szCs w:val="21"/>
                <w:lang w:val="en-US" w:eastAsia="zh-CN" w:bidi="ar"/>
              </w:rPr>
              <w:t>4G</w:t>
            </w:r>
            <w:r>
              <w:rPr>
                <w:rStyle w:val="301"/>
                <w:sz w:val="21"/>
                <w:szCs w:val="21"/>
                <w:lang w:val="en-US" w:eastAsia="zh-CN" w:bidi="ar"/>
              </w:rPr>
              <w:t>。</w:t>
            </w:r>
          </w:p>
        </w:tc>
      </w:tr>
      <w:tr w14:paraId="6386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DC1BA1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支持包括各种文档、音频、视频、动画、图片的在线预览和播放。</w:t>
            </w:r>
          </w:p>
        </w:tc>
      </w:tr>
      <w:tr w14:paraId="5D9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043EC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301"/>
                <w:sz w:val="21"/>
                <w:szCs w:val="21"/>
                <w:lang w:val="en-US" w:eastAsia="zh-CN" w:bidi="ar"/>
              </w:rPr>
              <w:t>支持对资源的文件夹式管理，对资源进行分门别类以便于管理，支持资源的检索。</w:t>
            </w:r>
          </w:p>
        </w:tc>
      </w:tr>
      <w:tr w14:paraId="08B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39B4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01"/>
                <w:sz w:val="21"/>
                <w:szCs w:val="21"/>
                <w:lang w:val="en-US" w:eastAsia="zh-CN" w:bidi="ar"/>
              </w:rPr>
              <w:t>支持将资源先批量上传至个人资源中心，可将个人资源中心的资源导入至平台中，然后在课程设计中使用。</w:t>
            </w:r>
          </w:p>
        </w:tc>
      </w:tr>
      <w:tr w14:paraId="3DB1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01B08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301"/>
                <w:sz w:val="21"/>
                <w:szCs w:val="21"/>
                <w:lang w:val="en-US" w:eastAsia="zh-CN" w:bidi="ar"/>
              </w:rPr>
              <w:t>支持教师将个人资源分享至学校资源库，在丰富学校资源库的基础上，将学校的隐性资源显性化。</w:t>
            </w:r>
          </w:p>
        </w:tc>
      </w:tr>
      <w:tr w14:paraId="211A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D4B00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301"/>
                <w:sz w:val="21"/>
                <w:szCs w:val="21"/>
                <w:lang w:val="en-US" w:eastAsia="zh-CN" w:bidi="ar"/>
              </w:rPr>
              <w:t>提供资源上传</w:t>
            </w:r>
            <w:r>
              <w:rPr>
                <w:rStyle w:val="302"/>
                <w:rFonts w:eastAsia="宋体"/>
                <w:sz w:val="21"/>
                <w:szCs w:val="21"/>
                <w:lang w:val="en-US" w:eastAsia="zh-CN" w:bidi="ar"/>
              </w:rPr>
              <w:t>WEB</w:t>
            </w:r>
            <w:r>
              <w:rPr>
                <w:rStyle w:val="301"/>
                <w:sz w:val="21"/>
                <w:szCs w:val="21"/>
                <w:lang w:val="en-US" w:eastAsia="zh-CN" w:bidi="ar"/>
              </w:rPr>
              <w:t>端，支持多文件同时上传，支持上传后对资源名称进行编辑。</w:t>
            </w:r>
          </w:p>
        </w:tc>
      </w:tr>
      <w:tr w14:paraId="035F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507A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301"/>
                <w:sz w:val="21"/>
                <w:szCs w:val="21"/>
                <w:lang w:val="en-US" w:eastAsia="zh-CN" w:bidi="ar"/>
              </w:rPr>
              <w:t>资源服务器支持资源集群转换，并支持转换能力的动态扩充。</w:t>
            </w:r>
          </w:p>
        </w:tc>
      </w:tr>
      <w:tr w14:paraId="0626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7B1755F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五、课堂互动空间</w:t>
            </w:r>
          </w:p>
        </w:tc>
      </w:tr>
      <w:tr w14:paraId="123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DC6112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授课教师可以在每一个教学班下，按照日期建立多个课堂，设计覆盖课前、课中、课后的课堂师生交互活动。</w:t>
            </w:r>
          </w:p>
        </w:tc>
      </w:tr>
      <w:tr w14:paraId="5BA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F783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多屏实时互动，支持师生通过手机扫码进行投屏，学员课堂活动数据与交互全过程实时在大屏以及老师手机端显示，动态统计学生签到率、讨论内容等。</w:t>
            </w:r>
          </w:p>
        </w:tc>
      </w:tr>
      <w:tr w14:paraId="0D40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AB6B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课件活动，支持</w:t>
            </w:r>
            <w:r>
              <w:rPr>
                <w:rStyle w:val="302"/>
                <w:rFonts w:eastAsia="宋体"/>
                <w:sz w:val="21"/>
                <w:szCs w:val="21"/>
                <w:lang w:val="en-US" w:eastAsia="zh-CN" w:bidi="ar"/>
              </w:rPr>
              <w:t>PPT</w:t>
            </w:r>
            <w:r>
              <w:rPr>
                <w:rStyle w:val="301"/>
                <w:sz w:val="21"/>
                <w:szCs w:val="21"/>
                <w:lang w:val="en-US" w:eastAsia="zh-CN" w:bidi="ar"/>
              </w:rPr>
              <w:t>、</w:t>
            </w:r>
            <w:r>
              <w:rPr>
                <w:rStyle w:val="302"/>
                <w:rFonts w:eastAsia="宋体"/>
                <w:sz w:val="21"/>
                <w:szCs w:val="21"/>
                <w:lang w:val="en-US" w:eastAsia="zh-CN" w:bidi="ar"/>
              </w:rPr>
              <w:t>WORD</w:t>
            </w:r>
            <w:r>
              <w:rPr>
                <w:rStyle w:val="301"/>
                <w:sz w:val="21"/>
                <w:szCs w:val="21"/>
                <w:lang w:val="en-US" w:eastAsia="zh-CN" w:bidi="ar"/>
              </w:rPr>
              <w:t>等文档的原生态播放，支持教师直接打开视频、音频等教学资源，满足教师常态化教学需求；支持从课程设计中或本地添加课件内容。</w:t>
            </w:r>
          </w:p>
        </w:tc>
      </w:tr>
      <w:tr w14:paraId="779D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6EAC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数字教材课件，支持添加授权的数字教材课件，满足教师多样化教学需求。</w:t>
            </w:r>
          </w:p>
        </w:tc>
      </w:tr>
      <w:tr w14:paraId="328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0D9D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签到，教师可随时发起课堂签到，支持一键签到、手势签到和扫码签到三种方式，支持系统自动汇总统计出勤率、考勤次数。</w:t>
            </w:r>
          </w:p>
        </w:tc>
      </w:tr>
      <w:tr w14:paraId="1A5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990B34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提问，支持随机提问（摇一摇）、点名提问、抢答三种提问模式，支持随机提问和点名提问更换已选学生，继续进行提问互动；支持教师限制抢答人数，营造竞争性课堂氛围；提问内容支持使用</w:t>
            </w:r>
            <w:r>
              <w:rPr>
                <w:rStyle w:val="302"/>
                <w:rFonts w:eastAsia="宋体"/>
                <w:sz w:val="21"/>
                <w:szCs w:val="21"/>
                <w:lang w:val="en-US" w:eastAsia="zh-CN" w:bidi="ar"/>
              </w:rPr>
              <w:t>AI</w:t>
            </w:r>
            <w:r>
              <w:rPr>
                <w:rStyle w:val="301"/>
                <w:sz w:val="21"/>
                <w:szCs w:val="21"/>
                <w:lang w:val="en-US" w:eastAsia="zh-CN" w:bidi="ar"/>
              </w:rPr>
              <w:t>智能助写。</w:t>
            </w:r>
          </w:p>
        </w:tc>
      </w:tr>
      <w:tr w14:paraId="2B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3D72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讨论，支持教师在课堂发起面对面和背靠背两种形式的讨论，面对面讨论为开放式教学，学生可看到别的同学发起的讨论内容，并可回复和点赞，在背靠背讨论中，学生仅能看到自己发起的讨论内容；讨论内容支持直接输入文字或者上传文件等方式参与；讨论内容实时展现，支持教师对学生发送的讨论内容进行回复；讨论内容支持使用</w:t>
            </w:r>
            <w:r>
              <w:rPr>
                <w:rStyle w:val="302"/>
                <w:rFonts w:eastAsia="宋体"/>
                <w:sz w:val="21"/>
                <w:szCs w:val="21"/>
                <w:lang w:val="en-US" w:eastAsia="zh-CN" w:bidi="ar"/>
              </w:rPr>
              <w:t>AI</w:t>
            </w:r>
            <w:r>
              <w:rPr>
                <w:rStyle w:val="301"/>
                <w:sz w:val="21"/>
                <w:szCs w:val="21"/>
                <w:lang w:val="en-US" w:eastAsia="zh-CN" w:bidi="ar"/>
              </w:rPr>
              <w:t>智能助写。</w:t>
            </w:r>
          </w:p>
        </w:tc>
      </w:tr>
      <w:tr w14:paraId="53A2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973765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测验，支持教师随时发起随堂测验检测学生课堂学习效果，出题方式支持手动出题和随机出题，支持进行测验时间设置。</w:t>
            </w:r>
          </w:p>
        </w:tc>
      </w:tr>
      <w:tr w14:paraId="08C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B8CB8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作业，支持教师发起作业活动，教师可以在课堂中引入课程下创建的作业，让学生直接从课堂中参与作业活动。</w:t>
            </w:r>
          </w:p>
        </w:tc>
      </w:tr>
      <w:tr w14:paraId="1265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E0CF8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301"/>
                <w:sz w:val="21"/>
                <w:szCs w:val="21"/>
                <w:lang w:val="en-US" w:eastAsia="zh-CN" w:bidi="ar"/>
              </w:rPr>
              <w:t>考试，支持教师发起考试活动，教师可以在课堂中引入课程下创建的考试，让学生直接从课堂中参与考试活动。</w:t>
            </w:r>
          </w:p>
        </w:tc>
      </w:tr>
      <w:tr w14:paraId="19A2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58D38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01"/>
                <w:sz w:val="21"/>
                <w:szCs w:val="21"/>
                <w:lang w:val="en-US" w:eastAsia="zh-CN" w:bidi="ar"/>
              </w:rPr>
              <w:t>问卷调查，支持教师发起问卷调查，问卷调查题目类型分为：单选、多选、正确错误和赞成反对四种，且实时统计参与人数与未参与人数，并统计分析出每题的题目选项分布率，为问卷调查结果分析提供客观真实的数据支撑。</w:t>
            </w:r>
          </w:p>
        </w:tc>
      </w:tr>
      <w:tr w14:paraId="4961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AB5C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301"/>
                <w:sz w:val="21"/>
                <w:szCs w:val="21"/>
                <w:lang w:val="en-US" w:eastAsia="zh-CN" w:bidi="ar"/>
              </w:rPr>
              <w:t>投票，支持教师发起课堂投票活动，投票内容支持直接输入文字或者上传文件等方式；支持设置匿名，匿名后，教师无法查看学生的详细名单；投票类型分为单选、多选、正确错误和赞成反对四种；支持对投票结果进行查看并展示。</w:t>
            </w:r>
          </w:p>
        </w:tc>
      </w:tr>
      <w:tr w14:paraId="5B11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435B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301"/>
                <w:sz w:val="21"/>
                <w:szCs w:val="21"/>
                <w:lang w:val="en-US" w:eastAsia="zh-CN" w:bidi="ar"/>
              </w:rPr>
              <w:t>头脑风暴，支持教师向学生发起头脑风暴，头脑风暴内容支持直接输入文字或者上传文件等方式；系统实时显示参与率以及得分榜单，结束后教师可选择性展示学生回答，头脑风暴内容支持使用</w:t>
            </w:r>
            <w:r>
              <w:rPr>
                <w:rStyle w:val="302"/>
                <w:rFonts w:eastAsia="宋体"/>
                <w:sz w:val="21"/>
                <w:szCs w:val="21"/>
                <w:lang w:val="en-US" w:eastAsia="zh-CN" w:bidi="ar"/>
              </w:rPr>
              <w:t>AI</w:t>
            </w:r>
            <w:r>
              <w:rPr>
                <w:rStyle w:val="301"/>
                <w:sz w:val="21"/>
                <w:szCs w:val="21"/>
                <w:lang w:val="en-US" w:eastAsia="zh-CN" w:bidi="ar"/>
              </w:rPr>
              <w:t>智能助写。</w:t>
            </w:r>
          </w:p>
        </w:tc>
      </w:tr>
      <w:tr w14:paraId="14EB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9D68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r>
              <w:rPr>
                <w:rStyle w:val="301"/>
                <w:sz w:val="21"/>
                <w:szCs w:val="21"/>
                <w:lang w:val="en-US" w:eastAsia="zh-CN" w:bidi="ar"/>
              </w:rPr>
              <w:t>小组</w:t>
            </w:r>
            <w:r>
              <w:rPr>
                <w:rStyle w:val="302"/>
                <w:rFonts w:eastAsia="宋体"/>
                <w:sz w:val="21"/>
                <w:szCs w:val="21"/>
                <w:lang w:val="en-US" w:eastAsia="zh-CN" w:bidi="ar"/>
              </w:rPr>
              <w:t>PK</w:t>
            </w:r>
            <w:r>
              <w:rPr>
                <w:rStyle w:val="301"/>
                <w:sz w:val="21"/>
                <w:szCs w:val="21"/>
                <w:lang w:val="en-US" w:eastAsia="zh-CN" w:bidi="ar"/>
              </w:rPr>
              <w:t>，是以小组为单位进行的课堂交互策略，教师可对小组数量进行调整，支持一键分组和引用班级分组两种方式；支持教师在课堂教学中随时添加小组。</w:t>
            </w:r>
          </w:p>
        </w:tc>
      </w:tr>
      <w:tr w14:paraId="245E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5308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r>
              <w:rPr>
                <w:rStyle w:val="301"/>
                <w:sz w:val="21"/>
                <w:szCs w:val="21"/>
                <w:lang w:val="en-US" w:eastAsia="zh-CN" w:bidi="ar"/>
              </w:rPr>
              <w:t>支持教师在课前根据课程标准，设定每节课的教学目标，包括知识目标、能力目标、素养目标、教学重点内容、教学难点内容。</w:t>
            </w:r>
          </w:p>
        </w:tc>
      </w:tr>
      <w:tr w14:paraId="48E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CBA4F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r>
              <w:rPr>
                <w:rStyle w:val="301"/>
                <w:sz w:val="21"/>
                <w:szCs w:val="21"/>
                <w:lang w:val="en-US" w:eastAsia="zh-CN" w:bidi="ar"/>
              </w:rPr>
              <w:t>支持教师在课前添加课前要求，课后添加课后安排，支持直接编辑文字内容和上传文件两种形式；编辑文字支持使用</w:t>
            </w:r>
            <w:r>
              <w:rPr>
                <w:rStyle w:val="302"/>
                <w:rFonts w:eastAsia="宋体"/>
                <w:sz w:val="21"/>
                <w:szCs w:val="21"/>
                <w:lang w:val="en-US" w:eastAsia="zh-CN" w:bidi="ar"/>
              </w:rPr>
              <w:t>AI</w:t>
            </w:r>
            <w:r>
              <w:rPr>
                <w:rStyle w:val="301"/>
                <w:sz w:val="21"/>
                <w:szCs w:val="21"/>
                <w:lang w:val="en-US" w:eastAsia="zh-CN" w:bidi="ar"/>
              </w:rPr>
              <w:t>智能助写。</w:t>
            </w:r>
          </w:p>
        </w:tc>
      </w:tr>
      <w:tr w14:paraId="6A23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113C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r>
              <w:rPr>
                <w:rStyle w:val="301"/>
                <w:sz w:val="21"/>
                <w:szCs w:val="21"/>
                <w:lang w:val="en-US" w:eastAsia="zh-CN" w:bidi="ar"/>
              </w:rPr>
              <w:t>支持教师在课后查看课后分析，学生评价、学生总结、教学过程、学生表现等。</w:t>
            </w:r>
          </w:p>
        </w:tc>
      </w:tr>
      <w:tr w14:paraId="7B1C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EDC00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r>
              <w:rPr>
                <w:rStyle w:val="301"/>
                <w:sz w:val="21"/>
                <w:szCs w:val="21"/>
                <w:lang w:val="en-US" w:eastAsia="zh-CN" w:bidi="ar"/>
              </w:rPr>
              <w:t>支持教师在课后对课前设定的目标完成度、内容掌握度进行打星，展示学生学习满意度的评分。</w:t>
            </w:r>
          </w:p>
        </w:tc>
      </w:tr>
      <w:tr w14:paraId="766F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485C438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六、题库系统模块</w:t>
            </w:r>
          </w:p>
        </w:tc>
      </w:tr>
      <w:tr w14:paraId="059F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587D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题目编辑，支持多种方式编辑题库，即手动在线编辑、</w:t>
            </w:r>
            <w:r>
              <w:rPr>
                <w:rStyle w:val="302"/>
                <w:rFonts w:eastAsia="宋体"/>
                <w:sz w:val="21"/>
                <w:szCs w:val="21"/>
                <w:lang w:val="en-US" w:eastAsia="zh-CN" w:bidi="ar"/>
              </w:rPr>
              <w:t>EXCEL</w:t>
            </w:r>
            <w:r>
              <w:rPr>
                <w:rStyle w:val="301"/>
                <w:sz w:val="21"/>
                <w:szCs w:val="21"/>
                <w:lang w:val="en-US" w:eastAsia="zh-CN" w:bidi="ar"/>
              </w:rPr>
              <w:t>文档导入、</w:t>
            </w:r>
            <w:r>
              <w:rPr>
                <w:rStyle w:val="302"/>
                <w:rFonts w:eastAsia="宋体"/>
                <w:sz w:val="21"/>
                <w:szCs w:val="21"/>
                <w:lang w:val="en-US" w:eastAsia="zh-CN" w:bidi="ar"/>
              </w:rPr>
              <w:t>WORD</w:t>
            </w:r>
            <w:r>
              <w:rPr>
                <w:rStyle w:val="301"/>
                <w:sz w:val="21"/>
                <w:szCs w:val="21"/>
                <w:lang w:val="en-US" w:eastAsia="zh-CN" w:bidi="ar"/>
              </w:rPr>
              <w:t>文档导入、从学校库题库导入、本人其他课程题库导入；支持使用</w:t>
            </w:r>
            <w:r>
              <w:rPr>
                <w:rStyle w:val="302"/>
                <w:rFonts w:eastAsia="宋体"/>
                <w:sz w:val="21"/>
                <w:szCs w:val="21"/>
                <w:lang w:val="en-US" w:eastAsia="zh-CN" w:bidi="ar"/>
              </w:rPr>
              <w:t>AI</w:t>
            </w:r>
            <w:r>
              <w:rPr>
                <w:rStyle w:val="301"/>
                <w:sz w:val="21"/>
                <w:szCs w:val="21"/>
                <w:lang w:val="en-US" w:eastAsia="zh-CN" w:bidi="ar"/>
              </w:rPr>
              <w:t>识别录入导入题目；支持使用</w:t>
            </w:r>
            <w:r>
              <w:rPr>
                <w:rStyle w:val="302"/>
                <w:rFonts w:eastAsia="宋体"/>
                <w:sz w:val="21"/>
                <w:szCs w:val="21"/>
                <w:lang w:val="en-US" w:eastAsia="zh-CN" w:bidi="ar"/>
              </w:rPr>
              <w:t>AI</w:t>
            </w:r>
            <w:r>
              <w:rPr>
                <w:rStyle w:val="301"/>
                <w:sz w:val="21"/>
                <w:szCs w:val="21"/>
                <w:lang w:val="en-US" w:eastAsia="zh-CN" w:bidi="ar"/>
              </w:rPr>
              <w:t>出题自动生成题目；题目题干及题目解析可插入公式、特殊字符、超链接、图片、视频等，支持公式复制粘贴。</w:t>
            </w:r>
          </w:p>
        </w:tc>
      </w:tr>
      <w:tr w14:paraId="617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4F1AB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支持主持教师从国家级教学资源库中导入与采购人相同或相近的专业的题库；支持教师从在线精品课平台导入在线精品课程中的题库。</w:t>
            </w:r>
          </w:p>
        </w:tc>
      </w:tr>
      <w:tr w14:paraId="4FA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C0132C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题型，题目支持不少于</w:t>
            </w:r>
            <w:r>
              <w:rPr>
                <w:rStyle w:val="302"/>
                <w:rFonts w:eastAsia="宋体"/>
                <w:sz w:val="21"/>
                <w:szCs w:val="21"/>
                <w:lang w:val="en-US" w:eastAsia="zh-CN" w:bidi="ar"/>
              </w:rPr>
              <w:t>10</w:t>
            </w:r>
            <w:r>
              <w:rPr>
                <w:rStyle w:val="301"/>
                <w:sz w:val="21"/>
                <w:szCs w:val="21"/>
                <w:lang w:val="en-US" w:eastAsia="zh-CN" w:bidi="ar"/>
              </w:rPr>
              <w:t>种题型，包括但不限于单选题、多选题、填空题（客观）、填空题（主观）、匹配题、问答题、阅读理解、完形填空、文件作答题、视听题、判断题。</w:t>
            </w:r>
          </w:p>
        </w:tc>
      </w:tr>
      <w:tr w14:paraId="0900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8686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支持教师对题目进行预览、编辑、禁用和删除等操作，支持将修改内容的题目一键同步至已应用的作业或考试中。</w:t>
            </w:r>
          </w:p>
        </w:tc>
      </w:tr>
      <w:tr w14:paraId="7D23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642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知识点及难易度管理，教师可通过两种方式创建课程知识点，即基于课程设计新增课程知识点，或根据课程设计的章节一键生成课程知识点，并将试题归属到对应的知识点下，形成知识目录树；支持一个题目关联多个知识点；教师可提前设置题目难易程度，并与作业及考试相关联。</w:t>
            </w:r>
          </w:p>
        </w:tc>
      </w:tr>
      <w:tr w14:paraId="785F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B069DE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试题分享，提供资源共建共享功能，支持教师将课程下的原创题目分享到学校题库中，同时也可以取消分享。</w:t>
            </w:r>
          </w:p>
        </w:tc>
      </w:tr>
      <w:tr w14:paraId="1CF6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22A35B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支持题库按条件选择题目进行预览、查询、修改、编辑、删除、导出等操作。</w:t>
            </w:r>
          </w:p>
        </w:tc>
      </w:tr>
      <w:tr w14:paraId="4CEC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99C1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支持创建课程训练题库，为学生提供课程试题模拟训练，以满足职业教育技能与证书习题练习等需求。教师可在课程中抽选可供练习的题目，学生根据知识点、题型、随机、错题进行智能化练习，每次练习都有对应练习结果分析，学生可根据练习情况查漏补缺，教师可查看学生练习的统计数据。</w:t>
            </w:r>
          </w:p>
        </w:tc>
      </w:tr>
      <w:tr w14:paraId="2108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E73C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）支持知识点练习、题型练习、随机练习、错题重练四种练习方式，满足学生全方位、多角度的练习需求；</w:t>
            </w:r>
          </w:p>
        </w:tc>
      </w:tr>
      <w:tr w14:paraId="0F2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3F268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）支持智能化练习统计分析，学生每次练习都自动生成练习结果，学生可根据结果及时查漏补缺，教师可按照课程知识点分析学生的整体训练情况。</w:t>
            </w:r>
          </w:p>
        </w:tc>
      </w:tr>
      <w:tr w14:paraId="3BD1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1E6567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七、作业与考试系统模块</w:t>
            </w:r>
          </w:p>
        </w:tc>
      </w:tr>
      <w:tr w14:paraId="3EB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83B81E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作业</w:t>
            </w:r>
          </w:p>
        </w:tc>
      </w:tr>
      <w:tr w14:paraId="0D5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A1382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）作业类型分为题库作业、登分作业、附件作业和文档试卷作业四种，题库作业、附件作业和文档试卷作业主要用于理论课，登分作业用于实践类课程，可同时满足理论课与实训实践课作业需求；</w:t>
            </w:r>
          </w:p>
        </w:tc>
      </w:tr>
      <w:tr w14:paraId="2B4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57A7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题库作业的题目来自题库中心，支持随机出题和手动出题两种模式，手动出题是教师从题库中选择确定题目组成作业，随机出题在确定题型和确定数目的前提下随机选择题目组成作业，保证学生收到的作业有差异；对于同一套题库作业，可设置题目乱序、选项乱序等，具有防作弊功能；多选题可设置多种计分方式；</w:t>
            </w:r>
          </w:p>
        </w:tc>
      </w:tr>
      <w:tr w14:paraId="4B2D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887C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）附件作业分为个人作业和小组作业两种类型，附件支持上传文档、音视频、图片、压缩包等，同时实现音视频在线播放；</w:t>
            </w:r>
          </w:p>
        </w:tc>
      </w:tr>
      <w:tr w14:paraId="0D22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26988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）登分作业支持教师添加作业要求，学生无需线上作答，教师手动输入分数即可；</w:t>
            </w:r>
          </w:p>
        </w:tc>
      </w:tr>
      <w:tr w14:paraId="0F05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E8E785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）文档试卷作业支持教师上传本地</w:t>
            </w:r>
            <w:r>
              <w:rPr>
                <w:rStyle w:val="302"/>
                <w:rFonts w:eastAsia="宋体"/>
                <w:sz w:val="21"/>
                <w:szCs w:val="21"/>
                <w:lang w:val="en-US" w:eastAsia="zh-CN" w:bidi="ar"/>
              </w:rPr>
              <w:t>word</w:t>
            </w:r>
            <w:r>
              <w:rPr>
                <w:rStyle w:val="301"/>
                <w:sz w:val="21"/>
                <w:szCs w:val="21"/>
                <w:lang w:val="en-US" w:eastAsia="zh-CN" w:bidi="ar"/>
              </w:rPr>
              <w:t>或</w:t>
            </w:r>
            <w:r>
              <w:rPr>
                <w:rStyle w:val="302"/>
                <w:rFonts w:eastAsia="宋体"/>
                <w:sz w:val="21"/>
                <w:szCs w:val="21"/>
                <w:lang w:val="en-US" w:eastAsia="zh-CN" w:bidi="ar"/>
              </w:rPr>
              <w:t>pdf</w:t>
            </w:r>
            <w:r>
              <w:rPr>
                <w:rStyle w:val="301"/>
                <w:sz w:val="21"/>
                <w:szCs w:val="21"/>
                <w:lang w:val="en-US" w:eastAsia="zh-CN" w:bidi="ar"/>
              </w:rPr>
              <w:t>格式的试卷，教师可设置答题卡，学生基于答题卡线上作答即可；</w:t>
            </w:r>
          </w:p>
        </w:tc>
      </w:tr>
      <w:tr w14:paraId="5A7D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84E24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）教师创建作业时，支持暂存，未完成的作业下次可继续编辑；</w:t>
            </w:r>
          </w:p>
        </w:tc>
      </w:tr>
      <w:tr w14:paraId="440F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5269F0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）作业批阅：客观题系统自动批阅，主观题教师手动批阅，主观题支持使用</w:t>
            </w:r>
            <w:r>
              <w:rPr>
                <w:rStyle w:val="302"/>
                <w:rFonts w:eastAsia="宋体"/>
                <w:sz w:val="21"/>
                <w:szCs w:val="21"/>
                <w:lang w:val="en-US" w:eastAsia="zh-CN" w:bidi="ar"/>
              </w:rPr>
              <w:t>AI</w:t>
            </w:r>
            <w:r>
              <w:rPr>
                <w:rStyle w:val="301"/>
                <w:sz w:val="21"/>
                <w:szCs w:val="21"/>
                <w:lang w:val="en-US" w:eastAsia="zh-CN" w:bidi="ar"/>
              </w:rPr>
              <w:t>批阅，自动生成批阅结果；可设置答题次数，是否允许学生重做等；</w:t>
            </w:r>
          </w:p>
        </w:tc>
      </w:tr>
      <w:tr w14:paraId="4486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53A6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8</w:t>
            </w:r>
            <w:r>
              <w:rPr>
                <w:rStyle w:val="301"/>
                <w:sz w:val="21"/>
                <w:szCs w:val="21"/>
                <w:lang w:val="en-US" w:eastAsia="zh-CN" w:bidi="ar"/>
              </w:rPr>
              <w:t>）支持教师将其他已创建过的作业复用到当前课程下。</w:t>
            </w:r>
          </w:p>
        </w:tc>
      </w:tr>
      <w:tr w14:paraId="2D7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7E982D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考试</w:t>
            </w:r>
          </w:p>
        </w:tc>
      </w:tr>
      <w:tr w14:paraId="6B55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BAB83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考试与作业基本一致。</w:t>
            </w:r>
          </w:p>
        </w:tc>
      </w:tr>
      <w:tr w14:paraId="592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377A4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八、网络教学空间</w:t>
            </w:r>
          </w:p>
        </w:tc>
      </w:tr>
      <w:tr w14:paraId="48D7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F5AE7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教学空间分为教师教学空间和学生学习空间，重点围绕教师教和学生学的过程进行的。</w:t>
            </w:r>
          </w:p>
        </w:tc>
      </w:tr>
      <w:tr w14:paraId="458D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3DC08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教师教学空间</w:t>
            </w:r>
          </w:p>
        </w:tc>
      </w:tr>
      <w:tr w14:paraId="415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16E5EC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（1）支持教师查看主持课程、授课班级、个人资源、我的学生、我的好友、教师培训等；支持教师查看所授课程下作业、考试情况，并可批阅；</w:t>
            </w:r>
          </w:p>
        </w:tc>
      </w:tr>
      <w:tr w14:paraId="64B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94D44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）支持教师查看本校开放课程及平台开放课程，并可以学生的身份模拟教学；</w:t>
            </w:r>
          </w:p>
        </w:tc>
      </w:tr>
      <w:tr w14:paraId="1543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7725F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）支持教师查看统计报表，包括主持课程、授课班级的统计分析；其中，主持课程支持以个人所开课程为单位，统计分析课程的班级数、资源数、题目数、作业数、合格率等；</w:t>
            </w:r>
          </w:p>
        </w:tc>
      </w:tr>
      <w:tr w14:paraId="57EC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F131A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）通知公告，支持查看课程通知公告、班级公告；</w:t>
            </w:r>
          </w:p>
        </w:tc>
      </w:tr>
      <w:tr w14:paraId="0605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214CF2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）支持查看及修改个人信息、密码、头像等；</w:t>
            </w:r>
          </w:p>
        </w:tc>
      </w:tr>
      <w:tr w14:paraId="64F6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0ABD0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）站内信，支持站内信发送、查看未读信件；</w:t>
            </w:r>
          </w:p>
        </w:tc>
      </w:tr>
      <w:tr w14:paraId="0630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770E0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7</w:t>
            </w:r>
            <w:r>
              <w:rPr>
                <w:rStyle w:val="301"/>
                <w:sz w:val="21"/>
                <w:szCs w:val="21"/>
                <w:lang w:val="en-US" w:eastAsia="zh-CN" w:bidi="ar"/>
              </w:rPr>
              <w:t>）账号合并，支持同一学校下，教师存在多个账号情况时手动合并。</w:t>
            </w:r>
          </w:p>
        </w:tc>
      </w:tr>
      <w:tr w14:paraId="104E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3B6AC3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学生学习空间</w:t>
            </w:r>
          </w:p>
        </w:tc>
      </w:tr>
      <w:tr w14:paraId="330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A10BD2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）支持学生设置个人信息、修改绑定手机号</w:t>
            </w:r>
            <w:r>
              <w:rPr>
                <w:rStyle w:val="302"/>
                <w:rFonts w:eastAsia="宋体"/>
                <w:sz w:val="21"/>
                <w:szCs w:val="21"/>
                <w:lang w:val="en-US" w:eastAsia="zh-CN" w:bidi="ar"/>
              </w:rPr>
              <w:t>/</w:t>
            </w:r>
            <w:r>
              <w:rPr>
                <w:rStyle w:val="301"/>
                <w:sz w:val="21"/>
                <w:szCs w:val="21"/>
                <w:lang w:val="en-US" w:eastAsia="zh-CN" w:bidi="ar"/>
              </w:rPr>
              <w:t>邮箱等联系信息，修改登录密码以及设置个人头像等；</w:t>
            </w:r>
          </w:p>
        </w:tc>
      </w:tr>
      <w:tr w14:paraId="648B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623000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）支持学生查看课程信息，包括课程公告、课程导学、授课资料、线上互动、作业与考试；查看视频资源支持使用</w:t>
            </w:r>
            <w:r>
              <w:rPr>
                <w:rStyle w:val="302"/>
                <w:rFonts w:eastAsia="宋体"/>
                <w:sz w:val="21"/>
                <w:szCs w:val="21"/>
                <w:lang w:val="en-US" w:eastAsia="zh-CN" w:bidi="ar"/>
              </w:rPr>
              <w:t>AI</w:t>
            </w:r>
            <w:r>
              <w:rPr>
                <w:rStyle w:val="301"/>
                <w:sz w:val="21"/>
                <w:szCs w:val="21"/>
                <w:lang w:val="en-US" w:eastAsia="zh-CN" w:bidi="ar"/>
              </w:rPr>
              <w:t>视频理解；支持学生在规定时间内完成作业与考试，作答完成提交后可查看得分及题目解析；作答过程中遇到错题，支持使用</w:t>
            </w:r>
            <w:r>
              <w:rPr>
                <w:rStyle w:val="302"/>
                <w:rFonts w:eastAsia="宋体"/>
                <w:sz w:val="21"/>
                <w:szCs w:val="21"/>
                <w:lang w:val="en-US" w:eastAsia="zh-CN" w:bidi="ar"/>
              </w:rPr>
              <w:t>AI</w:t>
            </w:r>
            <w:r>
              <w:rPr>
                <w:rStyle w:val="301"/>
                <w:sz w:val="21"/>
                <w:szCs w:val="21"/>
                <w:lang w:val="en-US" w:eastAsia="zh-CN" w:bidi="ar"/>
              </w:rPr>
              <w:t>错题解析；</w:t>
            </w:r>
          </w:p>
        </w:tc>
      </w:tr>
      <w:tr w14:paraId="5D3E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5B302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）支持学生查看个人成绩统计报表，即所学所有课程的成绩，包括线上成绩、线下成绩、作业成绩、考试成绩、统计分等，并按课程、班级查询和导出学生成绩；</w:t>
            </w:r>
          </w:p>
        </w:tc>
      </w:tr>
      <w:tr w14:paraId="0A5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9CF70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）站内信，支持本班级学生平台内站内信定向通讯，接收邮件；</w:t>
            </w:r>
          </w:p>
        </w:tc>
      </w:tr>
      <w:tr w14:paraId="30D9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A73C7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）账号合并，支持同一学校下，学生存在多个账号情况时手动合并。</w:t>
            </w:r>
          </w:p>
        </w:tc>
      </w:tr>
      <w:tr w14:paraId="35D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381A7F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九、统计分析模块</w:t>
            </w:r>
          </w:p>
        </w:tc>
      </w:tr>
      <w:tr w14:paraId="522A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637D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影响教学质量的各环节进行全面、全程、全员的系统监控与评估，由总体教学数据、资源建设数据、师生交互数据、统计数据等构成采购人的教学大数据，且各项数据均由系统自动生成，完全真实客观，提高学校决策的科学性。</w:t>
            </w:r>
          </w:p>
        </w:tc>
      </w:tr>
      <w:tr w14:paraId="7E5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C7E0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基本数据</w:t>
            </w:r>
          </w:p>
        </w:tc>
      </w:tr>
      <w:tr w14:paraId="3AB1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DF98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）数据概览，支持包括资源总数、课程数、资源总量、试题数、作业数、考试数、日志数以院系为维度统计；</w:t>
            </w:r>
          </w:p>
        </w:tc>
      </w:tr>
      <w:tr w14:paraId="133F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6A7666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）课程建设总览，支持包含课程占比（自建课、引用课、自建引用课）、资源占比、试题占比等维度统计；</w:t>
            </w:r>
          </w:p>
        </w:tc>
      </w:tr>
      <w:tr w14:paraId="0CB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146800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）教与学行为统计，支持包含登录教师数、登录学生数、课堂教学数、课堂活动数、课件学习数、考试数、作业数等可以院系、时间筛选数据分析；</w:t>
            </w:r>
          </w:p>
        </w:tc>
      </w:tr>
      <w:tr w14:paraId="34F5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1BA3B2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）课程建设总览，支持包含周出勤率分析、周课堂活动偏好分析等维度，可以按周月时间筛选数据。</w:t>
            </w:r>
          </w:p>
        </w:tc>
      </w:tr>
      <w:tr w14:paraId="37E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30D50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课程和班级统计</w:t>
            </w:r>
          </w:p>
        </w:tc>
      </w:tr>
      <w:tr w14:paraId="1C1D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7C59A9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1</w:t>
            </w:r>
            <w:r>
              <w:rPr>
                <w:rStyle w:val="301"/>
                <w:sz w:val="21"/>
                <w:szCs w:val="21"/>
                <w:highlight w:val="none"/>
                <w:lang w:val="en-US" w:eastAsia="zh-CN" w:bidi="ar"/>
              </w:rPr>
              <w:t>）教学云平台课程分析，支持包含课程数量统计、学生人数统计课程分布、活动数量统计课程分布、课程资源分布占比等多维度分析课程；</w:t>
            </w:r>
          </w:p>
        </w:tc>
      </w:tr>
      <w:tr w14:paraId="0E3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A615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2</w:t>
            </w:r>
            <w:r>
              <w:rPr>
                <w:rStyle w:val="301"/>
                <w:sz w:val="21"/>
                <w:szCs w:val="21"/>
                <w:highlight w:val="none"/>
                <w:lang w:val="en-US" w:eastAsia="zh-CN" w:bidi="ar"/>
              </w:rPr>
              <w:t>）教学云平台课程教学分析，支持包含课程出勤率分布统计、课程考评分析两个维度进行课程教学分析等指标的数据分析；</w:t>
            </w:r>
          </w:p>
        </w:tc>
      </w:tr>
      <w:tr w14:paraId="774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DCA9E1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）课程详情，支持包含课程名称、课程性质、主持教师、所属院系、班级数、学习人数、课程教学数、活动数、作业数、考试数等数据展示课程，可针对单个课程进行查看；</w:t>
            </w:r>
          </w:p>
        </w:tc>
      </w:tr>
      <w:tr w14:paraId="7612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B72D7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4</w:t>
            </w:r>
            <w:r>
              <w:rPr>
                <w:rStyle w:val="301"/>
                <w:sz w:val="21"/>
                <w:szCs w:val="21"/>
                <w:highlight w:val="none"/>
                <w:lang w:val="en-US" w:eastAsia="zh-CN" w:bidi="ar"/>
              </w:rPr>
              <w:t>）课程统计，支持查看课程基本信息、本课程资源建设下的资源类型统计占比、资源来源分布占比、课程资源总量统计，课程下班级教学活动内的班级出勤率及通过率、班级活动数，班级列表等数据，帮助校管理员多维度地了解本校教学云平台课程及班级统计情况。班级统计包含课程下的班级信息、到课率分布、平均到课率、课堂活动偏好、成绩分布情况、课堂活动日历、资源浏览完成度分布、班级学生信息等维度进行数据分析。</w:t>
            </w:r>
          </w:p>
        </w:tc>
      </w:tr>
      <w:tr w14:paraId="4E93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2846F7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r>
              <w:rPr>
                <w:rStyle w:val="301"/>
                <w:sz w:val="21"/>
                <w:szCs w:val="21"/>
                <w:highlight w:val="none"/>
                <w:lang w:val="en-US" w:eastAsia="zh-CN" w:bidi="ar"/>
              </w:rPr>
              <w:t>行为分析，以教学云平台教师行为分析、教学云平台学生行为分析、教学行为、统计资源总览、教师上传资源情况、学生行为统计多维度进行分析统计。</w:t>
            </w:r>
          </w:p>
        </w:tc>
      </w:tr>
      <w:tr w14:paraId="30F3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3151A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1</w:t>
            </w:r>
            <w:r>
              <w:rPr>
                <w:rStyle w:val="301"/>
                <w:sz w:val="21"/>
                <w:szCs w:val="21"/>
                <w:highlight w:val="none"/>
                <w:lang w:val="en-US" w:eastAsia="zh-CN" w:bidi="ar"/>
              </w:rPr>
              <w:t>）教学云平台教师行为分析，支持包含教师课程建设数量分布、教师授课班级数量分布、教师课堂活动数量分布等指标的数据分析；</w:t>
            </w:r>
          </w:p>
        </w:tc>
      </w:tr>
      <w:tr w14:paraId="3C7F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CD198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2</w:t>
            </w:r>
            <w:r>
              <w:rPr>
                <w:rStyle w:val="301"/>
                <w:sz w:val="21"/>
                <w:szCs w:val="21"/>
                <w:highlight w:val="none"/>
                <w:lang w:val="en-US" w:eastAsia="zh-CN" w:bidi="ar"/>
              </w:rPr>
              <w:t>）教学云平台学生行为分析，支持包含学生课程参与数量分布、学生班级参与数量分布、学生课堂活动参与数量分布等指标的数据分析；</w:t>
            </w:r>
          </w:p>
        </w:tc>
      </w:tr>
      <w:tr w14:paraId="7472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009F7A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）教学行为，支持包含教师姓名、工号、所属院系、登录次数、上传资源、课程数、题目数、作业数、考试数、课件数、活动数、回答提问数等指标的数据分析；</w:t>
            </w:r>
          </w:p>
        </w:tc>
      </w:tr>
      <w:tr w14:paraId="6B87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C457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）统计资源总览，支持包含课程数、课件、视频、音频、文档、图片、</w:t>
            </w:r>
            <w:r>
              <w:rPr>
                <w:rStyle w:val="302"/>
                <w:rFonts w:eastAsia="宋体"/>
                <w:sz w:val="21"/>
                <w:szCs w:val="21"/>
                <w:lang w:val="en-US" w:eastAsia="zh-CN" w:bidi="ar"/>
              </w:rPr>
              <w:t>PPT</w:t>
            </w:r>
            <w:r>
              <w:rPr>
                <w:rStyle w:val="301"/>
                <w:sz w:val="21"/>
                <w:szCs w:val="21"/>
                <w:lang w:val="en-US" w:eastAsia="zh-CN" w:bidi="ar"/>
              </w:rPr>
              <w:t>等指标的数据分析；</w:t>
            </w:r>
          </w:p>
        </w:tc>
      </w:tr>
      <w:tr w14:paraId="636E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3DAD5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）教师上传资源情况，支持包含姓名、工号、课程数、课件数、资源大小可按院系、时间筛选等指标的数据分析；</w:t>
            </w:r>
          </w:p>
        </w:tc>
      </w:tr>
      <w:tr w14:paraId="491D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F5FE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6</w:t>
            </w:r>
            <w:r>
              <w:rPr>
                <w:rStyle w:val="301"/>
                <w:sz w:val="21"/>
                <w:szCs w:val="21"/>
                <w:lang w:val="en-US" w:eastAsia="zh-CN" w:bidi="ar"/>
              </w:rPr>
              <w:t>）学生行为统计，支持包含姓名、学号、院系、行政班、学习进度、签到总数、参与签到数、迟到、旷课、请假、出勤率、评价、问答、笔记、纠错、课堂教学参与数、课堂活动参与数、互动得分、作业、考试等维度分析，管理员可按时间筛选，可查看导出数据。</w:t>
            </w:r>
          </w:p>
        </w:tc>
      </w:tr>
      <w:tr w14:paraId="172E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67912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成绩统计</w:t>
            </w:r>
          </w:p>
        </w:tc>
      </w:tr>
      <w:tr w14:paraId="119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D528B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）学生成绩，支持包含姓名、学号、院系、行政班、课程名称、授课教师、线上、线下、作业、考试、统计分、最终分等维度的学生成绩数据分析；</w:t>
            </w:r>
          </w:p>
        </w:tc>
      </w:tr>
      <w:tr w14:paraId="4583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7037B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）课程成绩，支持包含课程名称、课程编码、主持教师、工号、选课人数、及格人数、及格率、平均分数等维度的数据分析，管理员可按院系筛选可查询可导出数据。</w:t>
            </w:r>
          </w:p>
        </w:tc>
      </w:tr>
      <w:tr w14:paraId="15A4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905A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排行榜，以活跃课程排行榜、班级出勤排行榜、活跃教师排行榜、活跃学生排行榜维度统计排行。</w:t>
            </w:r>
          </w:p>
        </w:tc>
      </w:tr>
      <w:tr w14:paraId="5F4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A5609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院校统计</w:t>
            </w:r>
          </w:p>
        </w:tc>
      </w:tr>
      <w:tr w14:paraId="067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2BAF2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）课堂教学总览，支持包含但不限于课堂教学分布占比、课堂活动统计占比、院系活跃用户、院系课程数量、院系资源分布、院系到课率分布等指标的数据分析；</w:t>
            </w:r>
          </w:p>
        </w:tc>
      </w:tr>
      <w:tr w14:paraId="0D3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65979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）院系详情，支持包含院系名称、课程数、教学班数、题目数、考试数、作业数、资源数、出勤率、活动数等指标的数据分析。</w:t>
            </w:r>
          </w:p>
        </w:tc>
      </w:tr>
      <w:tr w14:paraId="38C6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216CE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课堂教学统计</w:t>
            </w:r>
          </w:p>
        </w:tc>
      </w:tr>
      <w:tr w14:paraId="649A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914335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）课堂教学统计，支持以出勤率分布、平均出勤率、签到分析占比、学生评价星级、课堂教学活动等多维度分析课堂教学数据，其中可针对单个课程报告进行下载或查看；</w:t>
            </w:r>
          </w:p>
        </w:tc>
      </w:tr>
      <w:tr w14:paraId="6421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D2484B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课堂报告，支持包含课堂统计数据（包含课堂时长、课堂活动次数、课堂活动统计分布占比、上课人数占比、考勤分析）、课程学习排行榜（包含分数榜、活跃榜、积极学习榜）、课堂活动参与情况（包含课前、课后、课中）、学生评价（包含学生打星星评价、学生评价评语列表、评论词云）、学生概况等内容的数据分析；</w:t>
            </w:r>
          </w:p>
        </w:tc>
      </w:tr>
      <w:tr w14:paraId="3702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0946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）课堂教学分析，支持包含教师姓名、工号、课程名称、授课班级、课堂教学次数、星级分布、考勤分析等维度查看课堂教学情况的数据分析。</w:t>
            </w:r>
          </w:p>
        </w:tc>
      </w:tr>
      <w:tr w14:paraId="4D7F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6CC6BA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十、移动教学应用模块</w:t>
            </w:r>
          </w:p>
        </w:tc>
      </w:tr>
      <w:tr w14:paraId="47B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A4AB0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w:t>
            </w:r>
            <w:r>
              <w:rPr>
                <w:rStyle w:val="302"/>
                <w:rFonts w:eastAsia="宋体"/>
                <w:sz w:val="21"/>
                <w:szCs w:val="21"/>
                <w:lang w:val="en-US" w:eastAsia="zh-CN" w:bidi="ar"/>
              </w:rPr>
              <w:t>App</w:t>
            </w:r>
            <w:r>
              <w:rPr>
                <w:rStyle w:val="301"/>
                <w:sz w:val="21"/>
                <w:szCs w:val="21"/>
                <w:lang w:val="en-US" w:eastAsia="zh-CN" w:bidi="ar"/>
              </w:rPr>
              <w:t>以大数据、云计算等新一代信息技术为支撑，提供丰富、实用的各类交互策略，助力师生打造智能、高效的信息化课堂，是信息化教学的重要工具。</w:t>
            </w:r>
          </w:p>
        </w:tc>
      </w:tr>
      <w:tr w14:paraId="2452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D9C2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支持教师查看所开课程、在修课程和已修课程，支持在线阅读文档、视频。</w:t>
            </w:r>
          </w:p>
        </w:tc>
      </w:tr>
      <w:tr w14:paraId="2996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80E3DA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1"/>
                <w:sz w:val="21"/>
                <w:szCs w:val="21"/>
                <w:lang w:val="en-US" w:eastAsia="zh-CN" w:bidi="ar"/>
              </w:rPr>
              <w:t>支持教师新增、查看课程作业和考试，对作业和考试设置发布时间、预览、编辑和删除。</w:t>
            </w:r>
          </w:p>
        </w:tc>
      </w:tr>
      <w:tr w14:paraId="6F6F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0E8BB9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Style w:val="301"/>
                <w:sz w:val="21"/>
                <w:szCs w:val="21"/>
                <w:lang w:val="en-US" w:eastAsia="zh-CN" w:bidi="ar"/>
              </w:rPr>
              <w:t>支持教师新增班级、查看班级信息、管理班级学生、查看班级线上互动、班级统计分析；对班级下的课件进行设置学习模式，查看课件下的学习情况和互动；创建班级课堂教学、班级公告；设置班级作业、考试时间，批阅班级作业和考试；查看班级创建的课堂测验；管理班级成绩。</w:t>
            </w:r>
          </w:p>
        </w:tc>
      </w:tr>
      <w:tr w14:paraId="0666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4C6FF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301"/>
                <w:sz w:val="21"/>
                <w:szCs w:val="21"/>
                <w:lang w:val="en-US" w:eastAsia="zh-CN" w:bidi="ar"/>
              </w:rPr>
              <w:t>支持教师针对所授班级的课表设计课堂交互活动，包括投票、问卷调查、讨论等，以便课堂直接调取。</w:t>
            </w:r>
          </w:p>
        </w:tc>
      </w:tr>
      <w:tr w14:paraId="69F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6799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Style w:val="301"/>
                <w:sz w:val="21"/>
                <w:szCs w:val="21"/>
                <w:lang w:val="en-US" w:eastAsia="zh-CN" w:bidi="ar"/>
              </w:rPr>
              <w:t>无线投屏，支持教学内容通过智慧课堂教室应用系统实现跨系统无线投屏至教室内显示设备，支持半投屏功能一键启动。</w:t>
            </w:r>
          </w:p>
        </w:tc>
      </w:tr>
      <w:tr w14:paraId="5BA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86B07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Style w:val="301"/>
                <w:sz w:val="21"/>
                <w:szCs w:val="21"/>
                <w:lang w:val="en-US" w:eastAsia="zh-CN" w:bidi="ar"/>
              </w:rPr>
              <w:t>支持授课课件内容、板书书写、白板讲解、图片批注等教学活动中的教学内容投屏展示；同时，支持音频、视频、板书轨迹等同步展示。</w:t>
            </w:r>
          </w:p>
        </w:tc>
      </w:tr>
      <w:tr w14:paraId="03F4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6570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Style w:val="301"/>
                <w:sz w:val="21"/>
                <w:szCs w:val="21"/>
                <w:lang w:val="en-US" w:eastAsia="zh-CN" w:bidi="ar"/>
              </w:rPr>
              <w:t>支持教师发布课程消息或任务。</w:t>
            </w:r>
          </w:p>
        </w:tc>
      </w:tr>
      <w:tr w14:paraId="4FEC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75E418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Style w:val="301"/>
                <w:sz w:val="21"/>
                <w:szCs w:val="21"/>
                <w:lang w:val="en-US" w:eastAsia="zh-CN" w:bidi="ar"/>
              </w:rPr>
              <w:t>支持师生进行在线学习，实现“随时、随地、随身”的碎片式学习模式。</w:t>
            </w:r>
          </w:p>
        </w:tc>
      </w:tr>
      <w:tr w14:paraId="081F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E41C28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Style w:val="301"/>
                <w:sz w:val="21"/>
                <w:szCs w:val="21"/>
                <w:lang w:val="en-US" w:eastAsia="zh-CN" w:bidi="ar"/>
              </w:rPr>
              <w:t>教师在课堂实时发起交互活动，支持学生使用移动端完成签到、提问、头脑风暴、讨论、问卷调查等所有课堂互动活动。</w:t>
            </w:r>
          </w:p>
        </w:tc>
      </w:tr>
      <w:tr w14:paraId="5E8B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5ECD3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Style w:val="301"/>
                <w:sz w:val="21"/>
                <w:szCs w:val="21"/>
                <w:lang w:val="en-US" w:eastAsia="zh-CN" w:bidi="ar"/>
              </w:rPr>
              <w:t>支持学生在</w:t>
            </w:r>
            <w:r>
              <w:rPr>
                <w:rStyle w:val="302"/>
                <w:rFonts w:eastAsia="宋体"/>
                <w:sz w:val="21"/>
                <w:szCs w:val="21"/>
                <w:lang w:val="en-US" w:eastAsia="zh-CN" w:bidi="ar"/>
              </w:rPr>
              <w:t>App</w:t>
            </w:r>
            <w:r>
              <w:rPr>
                <w:rStyle w:val="301"/>
                <w:sz w:val="21"/>
                <w:szCs w:val="21"/>
                <w:lang w:val="en-US" w:eastAsia="zh-CN" w:bidi="ar"/>
              </w:rPr>
              <w:t>端查看所有在修课程。</w:t>
            </w:r>
          </w:p>
        </w:tc>
      </w:tr>
      <w:tr w14:paraId="25B0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38EED6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Style w:val="301"/>
                <w:sz w:val="21"/>
                <w:szCs w:val="21"/>
                <w:lang w:val="en-US" w:eastAsia="zh-CN" w:bidi="ar"/>
              </w:rPr>
              <w:t>支持师生在</w:t>
            </w:r>
            <w:r>
              <w:rPr>
                <w:rStyle w:val="302"/>
                <w:rFonts w:eastAsia="宋体"/>
                <w:sz w:val="21"/>
                <w:szCs w:val="21"/>
                <w:lang w:val="en-US" w:eastAsia="zh-CN" w:bidi="ar"/>
              </w:rPr>
              <w:t>App</w:t>
            </w:r>
            <w:r>
              <w:rPr>
                <w:rStyle w:val="301"/>
                <w:sz w:val="21"/>
                <w:szCs w:val="21"/>
                <w:lang w:val="en-US" w:eastAsia="zh-CN" w:bidi="ar"/>
              </w:rPr>
              <w:t>查看个人基本资料，进行设置头像、修改密码、绑定手机等操作。</w:t>
            </w:r>
          </w:p>
        </w:tc>
      </w:tr>
      <w:tr w14:paraId="1EF2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DF828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Style w:val="301"/>
                <w:sz w:val="21"/>
                <w:szCs w:val="21"/>
                <w:lang w:val="en-US" w:eastAsia="zh-CN" w:bidi="ar"/>
              </w:rPr>
              <w:t>消息通知，支持师生在</w:t>
            </w:r>
            <w:r>
              <w:rPr>
                <w:rStyle w:val="302"/>
                <w:rFonts w:eastAsia="宋体"/>
                <w:sz w:val="21"/>
                <w:szCs w:val="21"/>
                <w:lang w:val="en-US" w:eastAsia="zh-CN" w:bidi="ar"/>
              </w:rPr>
              <w:t>App</w:t>
            </w:r>
            <w:r>
              <w:rPr>
                <w:rStyle w:val="301"/>
                <w:sz w:val="21"/>
                <w:szCs w:val="21"/>
                <w:lang w:val="en-US" w:eastAsia="zh-CN" w:bidi="ar"/>
              </w:rPr>
              <w:t>发信、收信，查看收件箱、发信箱，将信件标记为已读或批量删除。</w:t>
            </w:r>
          </w:p>
        </w:tc>
      </w:tr>
      <w:tr w14:paraId="727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79B03E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十一、AI赋能服务</w:t>
            </w:r>
          </w:p>
        </w:tc>
      </w:tr>
      <w:tr w14:paraId="7E24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A5E43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1"/>
                <w:sz w:val="21"/>
                <w:szCs w:val="21"/>
                <w:lang w:val="en-US" w:eastAsia="zh-CN" w:bidi="ar"/>
              </w:rPr>
              <w:t>职教一问</w:t>
            </w:r>
          </w:p>
        </w:tc>
      </w:tr>
      <w:tr w14:paraId="5FA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678B6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）基于阿里通义千问、</w:t>
            </w:r>
            <w:r>
              <w:rPr>
                <w:rStyle w:val="302"/>
                <w:rFonts w:eastAsia="宋体"/>
                <w:sz w:val="21"/>
                <w:szCs w:val="21"/>
                <w:lang w:val="en-US" w:eastAsia="zh-CN" w:bidi="ar"/>
              </w:rPr>
              <w:t>DeepSeek</w:t>
            </w:r>
            <w:r>
              <w:rPr>
                <w:rStyle w:val="301"/>
                <w:sz w:val="21"/>
                <w:szCs w:val="21"/>
                <w:lang w:val="en-US" w:eastAsia="zh-CN" w:bidi="ar"/>
              </w:rPr>
              <w:t>等通用大模型的底层核心能力，提供具备职教特色的智能问答助手；问答支持在线编辑公式。</w:t>
            </w:r>
          </w:p>
        </w:tc>
      </w:tr>
      <w:tr w14:paraId="04B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4D40C4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）可提供全面覆盖</w:t>
            </w:r>
            <w:r>
              <w:rPr>
                <w:rStyle w:val="302"/>
                <w:rFonts w:eastAsia="宋体"/>
                <w:sz w:val="21"/>
                <w:szCs w:val="21"/>
                <w:lang w:val="en-US" w:eastAsia="zh-CN" w:bidi="ar"/>
              </w:rPr>
              <w:t>19</w:t>
            </w:r>
            <w:r>
              <w:rPr>
                <w:rStyle w:val="301"/>
                <w:sz w:val="21"/>
                <w:szCs w:val="21"/>
                <w:lang w:val="en-US" w:eastAsia="zh-CN" w:bidi="ar"/>
              </w:rPr>
              <w:t>个职业教育专业大类的专业大类智能体，以及若干相关专业智能体和课程智能体，提供分专业、分课程的智能问答功能，通过情境建模及知识检索整合，输出专业针对性强的答案，还可反馈答案索引资源，满足用户的多元化专业知识需求。</w:t>
            </w:r>
          </w:p>
        </w:tc>
      </w:tr>
      <w:tr w14:paraId="75E4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CC89F9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2.AI</w:t>
            </w:r>
            <w:r>
              <w:rPr>
                <w:rStyle w:val="301"/>
                <w:sz w:val="21"/>
                <w:szCs w:val="21"/>
                <w:lang w:val="en-US" w:eastAsia="zh-CN" w:bidi="ar"/>
              </w:rPr>
              <w:t>出题，可设置题型、题目数量、关联知识点以及题目难度等参数，借助大模型或智能体自动生成题目，生成后能够一键调用至课程题库。</w:t>
            </w:r>
          </w:p>
        </w:tc>
      </w:tr>
      <w:tr w14:paraId="60B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58FA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）教师自动生成题目时，支持设置生成题目的数量、难度、题型、关联的知识点（与业务平台对接）、自定义提示语等；</w:t>
            </w:r>
          </w:p>
        </w:tc>
      </w:tr>
      <w:tr w14:paraId="42E1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36FD0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）智能出题，提供五类基础题型（单选、多选、简答、填空、判断）的题干、选项、解析、正确答案、难度等；</w:t>
            </w:r>
          </w:p>
        </w:tc>
      </w:tr>
      <w:tr w14:paraId="70F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FE667C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）支持教师针对智能生成结果进行反馈，不断优化之后生成的题目质量。</w:t>
            </w:r>
          </w:p>
        </w:tc>
      </w:tr>
      <w:tr w14:paraId="4F9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F409B6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3.AI</w:t>
            </w:r>
            <w:r>
              <w:rPr>
                <w:rStyle w:val="301"/>
                <w:sz w:val="21"/>
                <w:szCs w:val="21"/>
                <w:lang w:val="en-US" w:eastAsia="zh-CN" w:bidi="ar"/>
              </w:rPr>
              <w:t>识别录入，支持手动输入或粘贴题目到输入区，检查区实时识别输入区内容，若全部识别成功，可完成题目录入，也可将内容保存草稿；若识别有误，检查区会用红框标注报错，教师对照“输入规范”修改输入区内容，直至题目识别成功可录入题库。</w:t>
            </w:r>
          </w:p>
        </w:tc>
      </w:tr>
      <w:tr w14:paraId="3154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6BC44B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4.AI</w:t>
            </w:r>
            <w:r>
              <w:rPr>
                <w:rStyle w:val="301"/>
                <w:sz w:val="21"/>
                <w:szCs w:val="21"/>
                <w:lang w:val="en-US" w:eastAsia="zh-CN" w:bidi="ar"/>
              </w:rPr>
              <w:t>批阅，依托大模型与智能体技术，结合评分标准，深入剖析答案内容，高效批改作业与考试，自动打分并提供智能批语。</w:t>
            </w:r>
          </w:p>
        </w:tc>
      </w:tr>
      <w:tr w14:paraId="0295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43FCFD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）支持自动分析学生的回答，提供总结性评价，智能批阅简答题目，产出评语、评分等；</w:t>
            </w:r>
          </w:p>
        </w:tc>
      </w:tr>
      <w:tr w14:paraId="55C4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ACAAA9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）针对内容提供细致评价，提供更为细致的智能批阅结果，如逐句评价等；</w:t>
            </w:r>
          </w:p>
        </w:tc>
      </w:tr>
      <w:tr w14:paraId="11F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482F2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）提供其他维度评阅结果，如针对某道题目产出其在学习态度、认知能力、表达能力等方面的评价等；</w:t>
            </w:r>
          </w:p>
        </w:tc>
      </w:tr>
      <w:tr w14:paraId="3217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061BCE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）题目生成反馈与优化，支持教师针对智能生成结果进行反馈，不断优化之后生成的题目质量。</w:t>
            </w:r>
          </w:p>
        </w:tc>
      </w:tr>
      <w:tr w14:paraId="3268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D12C44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5.AI</w:t>
            </w:r>
            <w:r>
              <w:rPr>
                <w:rStyle w:val="301"/>
                <w:sz w:val="21"/>
                <w:szCs w:val="21"/>
                <w:lang w:val="en-US" w:eastAsia="zh-CN" w:bidi="ar"/>
              </w:rPr>
              <w:t>视频理解，对课程视频资源提供章节速览、视频总结、字幕提取、实时翻译、热词解析等智能功能，帮助学生提升学习效率。</w:t>
            </w:r>
          </w:p>
        </w:tc>
      </w:tr>
      <w:tr w14:paraId="362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AA853D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w:t>
            </w:r>
            <w:r>
              <w:rPr>
                <w:rStyle w:val="302"/>
                <w:rFonts w:eastAsia="宋体"/>
                <w:sz w:val="21"/>
                <w:szCs w:val="21"/>
                <w:lang w:val="en-US" w:eastAsia="zh-CN" w:bidi="ar"/>
              </w:rPr>
              <w:t>AI</w:t>
            </w:r>
            <w:r>
              <w:rPr>
                <w:rStyle w:val="301"/>
                <w:sz w:val="21"/>
                <w:szCs w:val="21"/>
                <w:lang w:val="en-US" w:eastAsia="zh-CN" w:bidi="ar"/>
              </w:rPr>
              <w:t>视频速览，使用多模态技术对视频进行切片，梳理视频资源的知识点，并可根据知识点点击跳转对应视频片段；</w:t>
            </w:r>
          </w:p>
        </w:tc>
      </w:tr>
      <w:tr w14:paraId="63D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7422A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w:t>
            </w:r>
            <w:r>
              <w:rPr>
                <w:rStyle w:val="302"/>
                <w:rFonts w:eastAsia="宋体"/>
                <w:sz w:val="21"/>
                <w:szCs w:val="21"/>
                <w:lang w:val="en-US" w:eastAsia="zh-CN" w:bidi="ar"/>
              </w:rPr>
              <w:t>AI</w:t>
            </w:r>
            <w:r>
              <w:rPr>
                <w:rStyle w:val="301"/>
                <w:sz w:val="21"/>
                <w:szCs w:val="21"/>
                <w:lang w:val="en-US" w:eastAsia="zh-CN" w:bidi="ar"/>
              </w:rPr>
              <w:t>视频字幕及实时翻译，自动生成视频字幕，支持中英双语；</w:t>
            </w:r>
          </w:p>
        </w:tc>
      </w:tr>
      <w:tr w14:paraId="51A7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18BD08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3</w:t>
            </w:r>
            <w:r>
              <w:rPr>
                <w:rStyle w:val="301"/>
                <w:sz w:val="21"/>
                <w:szCs w:val="21"/>
                <w:lang w:val="en-US" w:eastAsia="zh-CN" w:bidi="ar"/>
              </w:rPr>
              <w:t>）</w:t>
            </w:r>
            <w:r>
              <w:rPr>
                <w:rStyle w:val="302"/>
                <w:rFonts w:eastAsia="宋体"/>
                <w:sz w:val="21"/>
                <w:szCs w:val="21"/>
                <w:lang w:val="en-US" w:eastAsia="zh-CN" w:bidi="ar"/>
              </w:rPr>
              <w:t>AI</w:t>
            </w:r>
            <w:r>
              <w:rPr>
                <w:rStyle w:val="301"/>
                <w:sz w:val="21"/>
                <w:szCs w:val="21"/>
                <w:lang w:val="en-US" w:eastAsia="zh-CN" w:bidi="ar"/>
              </w:rPr>
              <w:t>视频总结，基于视频内容自动提取生成视频概要总结；</w:t>
            </w:r>
          </w:p>
        </w:tc>
      </w:tr>
      <w:tr w14:paraId="366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16058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w:t>
            </w:r>
            <w:r>
              <w:rPr>
                <w:rStyle w:val="302"/>
                <w:rFonts w:eastAsia="宋体"/>
                <w:sz w:val="21"/>
                <w:szCs w:val="21"/>
                <w:lang w:val="en-US" w:eastAsia="zh-CN" w:bidi="ar"/>
              </w:rPr>
              <w:t>AI</w:t>
            </w:r>
            <w:r>
              <w:rPr>
                <w:rStyle w:val="301"/>
                <w:sz w:val="21"/>
                <w:szCs w:val="21"/>
                <w:lang w:val="en-US" w:eastAsia="zh-CN" w:bidi="ar"/>
              </w:rPr>
              <w:t>热词解析，自动生成热词词云，点击词云，即可进行基于词云的对话；</w:t>
            </w:r>
          </w:p>
        </w:tc>
      </w:tr>
      <w:tr w14:paraId="2BEB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A85777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5</w:t>
            </w:r>
            <w:r>
              <w:rPr>
                <w:rStyle w:val="301"/>
                <w:sz w:val="21"/>
                <w:szCs w:val="21"/>
                <w:lang w:val="en-US" w:eastAsia="zh-CN" w:bidi="ar"/>
              </w:rPr>
              <w:t>）基于视频内容的对话，基于视频内容解答学生知识性问题，并可做好问题内容安全审核及无法回答问题等情况的处理。</w:t>
            </w:r>
          </w:p>
        </w:tc>
      </w:tr>
      <w:tr w14:paraId="7AD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D6BC9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6.AI</w:t>
            </w:r>
            <w:r>
              <w:rPr>
                <w:rStyle w:val="301"/>
                <w:sz w:val="21"/>
                <w:szCs w:val="21"/>
                <w:lang w:val="en-US" w:eastAsia="zh-CN" w:bidi="ar"/>
              </w:rPr>
              <w:t>错题解析，为学生设计的一项智能化服务，当学生在学习过程中遇到错题且没有解析时，</w:t>
            </w:r>
            <w:r>
              <w:rPr>
                <w:rStyle w:val="302"/>
                <w:rFonts w:eastAsia="宋体"/>
                <w:sz w:val="21"/>
                <w:szCs w:val="21"/>
                <w:lang w:val="en-US" w:eastAsia="zh-CN" w:bidi="ar"/>
              </w:rPr>
              <w:t>AI</w:t>
            </w:r>
            <w:r>
              <w:rPr>
                <w:rStyle w:val="301"/>
                <w:sz w:val="21"/>
                <w:szCs w:val="21"/>
                <w:lang w:val="en-US" w:eastAsia="zh-CN" w:bidi="ar"/>
              </w:rPr>
              <w:t>错题解析可智能解析错因并同时提供相关知识点资源展示。</w:t>
            </w:r>
          </w:p>
        </w:tc>
      </w:tr>
      <w:tr w14:paraId="4F23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1701C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7.AI</w:t>
            </w:r>
            <w:r>
              <w:rPr>
                <w:rStyle w:val="301"/>
                <w:sz w:val="21"/>
                <w:szCs w:val="21"/>
                <w:lang w:val="en-US" w:eastAsia="zh-CN" w:bidi="ar"/>
              </w:rPr>
              <w:t>生成图片，基于自定义提示词，可生成与之高度契合、独具特色的专属图片，满足多样化的创意需求，可在我的资源、课程封面、课件活动等地方使用。</w:t>
            </w:r>
          </w:p>
        </w:tc>
      </w:tr>
      <w:tr w14:paraId="6DF5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71D559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8.AI</w:t>
            </w:r>
            <w:r>
              <w:rPr>
                <w:rStyle w:val="301"/>
                <w:sz w:val="21"/>
                <w:szCs w:val="21"/>
                <w:lang w:val="en-US" w:eastAsia="zh-CN" w:bidi="ar"/>
              </w:rPr>
              <w:t>智能助写，基于自定义提示词，能够快速且自动地生成与之精准匹配的高质量文字描述，可在提问、讨论、头脑风暴等地方使用。</w:t>
            </w:r>
          </w:p>
        </w:tc>
      </w:tr>
      <w:tr w14:paraId="5EF5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D2975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9.AI</w:t>
            </w:r>
            <w:r>
              <w:rPr>
                <w:rStyle w:val="301"/>
                <w:sz w:val="21"/>
                <w:szCs w:val="21"/>
                <w:lang w:val="en-US" w:eastAsia="zh-CN" w:bidi="ar"/>
              </w:rPr>
              <w:t>生成</w:t>
            </w:r>
            <w:r>
              <w:rPr>
                <w:rStyle w:val="302"/>
                <w:rFonts w:eastAsia="宋体"/>
                <w:sz w:val="21"/>
                <w:szCs w:val="21"/>
                <w:lang w:val="en-US" w:eastAsia="zh-CN" w:bidi="ar"/>
              </w:rPr>
              <w:t>ppt</w:t>
            </w:r>
            <w:r>
              <w:rPr>
                <w:rStyle w:val="301"/>
                <w:sz w:val="21"/>
                <w:szCs w:val="21"/>
                <w:lang w:val="en-US" w:eastAsia="zh-CN" w:bidi="ar"/>
              </w:rPr>
              <w:t>，可以选择多种模板，基于大纲自动生成相应的</w:t>
            </w:r>
            <w:r>
              <w:rPr>
                <w:rStyle w:val="302"/>
                <w:rFonts w:eastAsia="宋体"/>
                <w:sz w:val="21"/>
                <w:szCs w:val="21"/>
                <w:lang w:val="en-US" w:eastAsia="zh-CN" w:bidi="ar"/>
              </w:rPr>
              <w:t>ppt</w:t>
            </w:r>
            <w:r>
              <w:rPr>
                <w:rStyle w:val="301"/>
                <w:sz w:val="21"/>
                <w:szCs w:val="21"/>
                <w:lang w:val="en-US" w:eastAsia="zh-CN" w:bidi="ar"/>
              </w:rPr>
              <w:t>，对于已生成的</w:t>
            </w:r>
            <w:r>
              <w:rPr>
                <w:rStyle w:val="302"/>
                <w:rFonts w:eastAsia="宋体"/>
                <w:sz w:val="21"/>
                <w:szCs w:val="21"/>
                <w:lang w:val="en-US" w:eastAsia="zh-CN" w:bidi="ar"/>
              </w:rPr>
              <w:t>ppt</w:t>
            </w:r>
            <w:r>
              <w:rPr>
                <w:rStyle w:val="301"/>
                <w:sz w:val="21"/>
                <w:szCs w:val="21"/>
                <w:lang w:val="en-US" w:eastAsia="zh-CN" w:bidi="ar"/>
              </w:rPr>
              <w:t>可进行二次编辑及下载；</w:t>
            </w:r>
            <w:r>
              <w:rPr>
                <w:rStyle w:val="302"/>
                <w:rFonts w:eastAsia="宋体"/>
                <w:sz w:val="21"/>
                <w:szCs w:val="21"/>
                <w:lang w:val="en-US" w:eastAsia="zh-CN" w:bidi="ar"/>
              </w:rPr>
              <w:t>ppt</w:t>
            </w:r>
            <w:r>
              <w:rPr>
                <w:rStyle w:val="301"/>
                <w:sz w:val="21"/>
                <w:szCs w:val="21"/>
                <w:lang w:val="en-US" w:eastAsia="zh-CN" w:bidi="ar"/>
              </w:rPr>
              <w:t>大纲可自动生成或者本地直接上传；可在我的资源、课程设计等地方使用。</w:t>
            </w:r>
          </w:p>
        </w:tc>
      </w:tr>
      <w:tr w14:paraId="359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3C2834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10.AI</w:t>
            </w:r>
            <w:r>
              <w:rPr>
                <w:rStyle w:val="301"/>
                <w:sz w:val="21"/>
                <w:szCs w:val="21"/>
                <w:lang w:val="en-US" w:eastAsia="zh-CN" w:bidi="ar"/>
              </w:rPr>
              <w:t>笔记，学生学习课件添加笔记时，支持对笔记内容以更正式、更活泼、口语化、更学术的形式进行润色；支持对笔记内容进行重写、扩写、续写、缩写等；支持对选中的笔记内容进行</w:t>
            </w:r>
            <w:r>
              <w:rPr>
                <w:rStyle w:val="302"/>
                <w:rFonts w:eastAsia="宋体"/>
                <w:sz w:val="21"/>
                <w:szCs w:val="21"/>
                <w:lang w:val="en-US" w:eastAsia="zh-CN" w:bidi="ar"/>
              </w:rPr>
              <w:t>AI</w:t>
            </w:r>
            <w:r>
              <w:rPr>
                <w:rStyle w:val="301"/>
                <w:sz w:val="21"/>
                <w:szCs w:val="21"/>
                <w:lang w:val="en-US" w:eastAsia="zh-CN" w:bidi="ar"/>
              </w:rPr>
              <w:t>搜索、解释、翻译、加入笔记等操作。</w:t>
            </w:r>
          </w:p>
        </w:tc>
      </w:tr>
      <w:tr w14:paraId="31F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gridSpan w:val="3"/>
            <w:shd w:val="clear" w:color="auto" w:fill="9CC2E5"/>
            <w:vAlign w:val="center"/>
          </w:tcPr>
          <w:p w14:paraId="08E835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十二、数据对接标准服务</w:t>
            </w:r>
          </w:p>
        </w:tc>
      </w:tr>
      <w:tr w14:paraId="0B4D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DE55F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数据对接标准服务提供以下模块的对接：</w:t>
            </w:r>
          </w:p>
        </w:tc>
      </w:tr>
      <w:tr w14:paraId="3FD1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1" w:type="dxa"/>
            <w:shd w:val="clear" w:color="auto" w:fill="auto"/>
            <w:vAlign w:val="center"/>
          </w:tcPr>
          <w:p w14:paraId="29A127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序号</w:t>
            </w:r>
          </w:p>
        </w:tc>
        <w:tc>
          <w:tcPr>
            <w:tcW w:w="1234" w:type="dxa"/>
            <w:shd w:val="clear" w:color="auto" w:fill="auto"/>
            <w:vAlign w:val="center"/>
          </w:tcPr>
          <w:p w14:paraId="00744C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模块名称</w:t>
            </w:r>
          </w:p>
        </w:tc>
        <w:tc>
          <w:tcPr>
            <w:tcW w:w="8027" w:type="dxa"/>
            <w:shd w:val="clear" w:color="auto" w:fill="auto"/>
            <w:vAlign w:val="center"/>
          </w:tcPr>
          <w:p w14:paraId="4631A4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sz w:val="21"/>
                <w:szCs w:val="21"/>
                <w:vertAlign w:val="baseline"/>
                <w:lang w:val="en-US" w:eastAsia="zh-CN"/>
              </w:rPr>
              <w:t>描述</w:t>
            </w:r>
          </w:p>
        </w:tc>
      </w:tr>
      <w:tr w14:paraId="595B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701" w:type="dxa"/>
            <w:shd w:val="clear" w:color="auto" w:fill="auto"/>
            <w:vAlign w:val="center"/>
          </w:tcPr>
          <w:p w14:paraId="2C38B5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1</w:t>
            </w:r>
          </w:p>
        </w:tc>
        <w:tc>
          <w:tcPr>
            <w:tcW w:w="1234" w:type="dxa"/>
            <w:shd w:val="clear" w:color="auto" w:fill="auto"/>
            <w:vAlign w:val="center"/>
          </w:tcPr>
          <w:p w14:paraId="17AE0D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单点登录</w:t>
            </w:r>
          </w:p>
        </w:tc>
        <w:tc>
          <w:tcPr>
            <w:tcW w:w="8027" w:type="dxa"/>
            <w:tcBorders>
              <w:bottom w:val="single" w:color="auto" w:sz="4" w:space="0"/>
            </w:tcBorders>
            <w:shd w:val="clear" w:color="auto" w:fill="auto"/>
            <w:vAlign w:val="center"/>
          </w:tcPr>
          <w:p w14:paraId="6CEA07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投标平台与我校统一门户系统进行对接，实现师生通过学校统一门户一次登录就可以跳转进入本项目投标平台业务系统进行操作。</w:t>
            </w:r>
          </w:p>
        </w:tc>
      </w:tr>
      <w:tr w14:paraId="47B5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701" w:type="dxa"/>
            <w:shd w:val="clear" w:color="auto" w:fill="auto"/>
            <w:vAlign w:val="center"/>
          </w:tcPr>
          <w:p w14:paraId="72DED2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2</w:t>
            </w:r>
          </w:p>
        </w:tc>
        <w:tc>
          <w:tcPr>
            <w:tcW w:w="1234" w:type="dxa"/>
            <w:tcBorders>
              <w:right w:val="single" w:color="auto" w:sz="4" w:space="0"/>
            </w:tcBorders>
            <w:shd w:val="clear" w:color="auto" w:fill="auto"/>
            <w:vAlign w:val="center"/>
          </w:tcPr>
          <w:p w14:paraId="48D0C4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基础数据同步</w:t>
            </w:r>
          </w:p>
        </w:tc>
        <w:tc>
          <w:tcPr>
            <w:tcW w:w="8027" w:type="dxa"/>
            <w:tcBorders>
              <w:top w:val="single" w:color="auto" w:sz="4" w:space="0"/>
              <w:left w:val="single" w:color="auto" w:sz="4" w:space="0"/>
              <w:right w:val="single" w:color="auto" w:sz="4" w:space="0"/>
            </w:tcBorders>
            <w:shd w:val="clear" w:color="auto" w:fill="auto"/>
            <w:vAlign w:val="center"/>
          </w:tcPr>
          <w:p w14:paraId="01D849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（1）我校与投标平台方进行需求对接，确定数据对接内容，包括院系信息、专业信息、年级信息、行政班信息、教师信息、学生信息等数据项；</w:t>
            </w:r>
          </w:p>
          <w:p w14:paraId="47F927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（2）由我校建立中间数据库，学校将基础数据推送</w:t>
            </w:r>
            <w:r>
              <w:rPr>
                <w:rFonts w:hint="eastAsia" w:ascii="Times New Roman" w:hAnsi="Times New Roman" w:eastAsia="宋体" w:cs="宋体"/>
                <w:i w:val="0"/>
                <w:iCs w:val="0"/>
                <w:sz w:val="21"/>
                <w:szCs w:val="21"/>
                <w:lang w:eastAsia="zh-CN"/>
              </w:rPr>
              <w:t>至</w:t>
            </w:r>
            <w:r>
              <w:rPr>
                <w:rFonts w:hint="eastAsia" w:ascii="Times New Roman" w:hAnsi="Times New Roman" w:eastAsia="宋体" w:cs="宋体"/>
                <w:i w:val="0"/>
                <w:iCs w:val="0"/>
                <w:sz w:val="21"/>
                <w:szCs w:val="21"/>
              </w:rPr>
              <w:t>中间库，并通知投标平台方；</w:t>
            </w:r>
          </w:p>
          <w:p w14:paraId="0D870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（3）投标平台方实时从中间库中获取数据，将数据同步到投标平台。</w:t>
            </w:r>
          </w:p>
        </w:tc>
      </w:tr>
      <w:tr w14:paraId="07F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701" w:type="dxa"/>
            <w:shd w:val="clear" w:color="auto" w:fill="auto"/>
            <w:vAlign w:val="center"/>
          </w:tcPr>
          <w:p w14:paraId="31A7BA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vertAlign w:val="baseline"/>
                <w:lang w:val="en-US" w:eastAsia="zh-CN"/>
              </w:rPr>
              <w:t>3</w:t>
            </w:r>
          </w:p>
        </w:tc>
        <w:tc>
          <w:tcPr>
            <w:tcW w:w="1234" w:type="dxa"/>
            <w:tcBorders>
              <w:right w:val="single" w:color="auto" w:sz="4" w:space="0"/>
            </w:tcBorders>
            <w:shd w:val="clear" w:color="auto" w:fill="auto"/>
            <w:vAlign w:val="center"/>
          </w:tcPr>
          <w:p w14:paraId="23F1DF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教学过程数据推送</w:t>
            </w:r>
          </w:p>
        </w:tc>
        <w:tc>
          <w:tcPr>
            <w:tcW w:w="8027" w:type="dxa"/>
            <w:tcBorders>
              <w:left w:val="single" w:color="auto" w:sz="4" w:space="0"/>
              <w:bottom w:val="single" w:color="auto" w:sz="4" w:space="0"/>
              <w:right w:val="single" w:color="auto" w:sz="4" w:space="0"/>
            </w:tcBorders>
            <w:shd w:val="clear" w:color="auto" w:fill="auto"/>
            <w:vAlign w:val="center"/>
          </w:tcPr>
          <w:p w14:paraId="76CCF7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包</w:t>
            </w:r>
            <w:r>
              <w:rPr>
                <w:rFonts w:hint="eastAsia" w:ascii="Times New Roman" w:hAnsi="Times New Roman" w:eastAsia="宋体" w:cs="宋体"/>
                <w:i w:val="0"/>
                <w:iCs w:val="0"/>
                <w:sz w:val="21"/>
                <w:szCs w:val="21"/>
                <w:highlight w:val="none"/>
              </w:rPr>
              <w:t>含</w:t>
            </w:r>
            <w:r>
              <w:rPr>
                <w:rFonts w:hint="eastAsia" w:ascii="Times New Roman" w:hAnsi="Times New Roman" w:eastAsia="宋体" w:cs="宋体"/>
                <w:i w:val="0"/>
                <w:iCs w:val="0"/>
                <w:sz w:val="21"/>
                <w:szCs w:val="21"/>
                <w:highlight w:val="none"/>
                <w:lang w:eastAsia="zh-CN"/>
              </w:rPr>
              <w:t>教学云平台</w:t>
            </w:r>
            <w:r>
              <w:rPr>
                <w:rFonts w:hint="eastAsia" w:ascii="Times New Roman" w:hAnsi="Times New Roman" w:eastAsia="宋体" w:cs="宋体"/>
                <w:i w:val="0"/>
                <w:iCs w:val="0"/>
                <w:sz w:val="21"/>
                <w:szCs w:val="21"/>
                <w:highlight w:val="none"/>
              </w:rPr>
              <w:t>数据、MOOC</w:t>
            </w:r>
            <w:r>
              <w:rPr>
                <w:rFonts w:hint="eastAsia" w:ascii="Times New Roman" w:hAnsi="Times New Roman" w:eastAsia="宋体" w:cs="宋体"/>
                <w:i w:val="0"/>
                <w:iCs w:val="0"/>
                <w:sz w:val="21"/>
                <w:szCs w:val="21"/>
                <w:highlight w:val="none"/>
                <w:lang w:eastAsia="zh-CN"/>
              </w:rPr>
              <w:t>学</w:t>
            </w:r>
            <w:r>
              <w:rPr>
                <w:rFonts w:hint="eastAsia" w:ascii="Times New Roman" w:hAnsi="Times New Roman" w:eastAsia="宋体" w:cs="宋体"/>
                <w:i w:val="0"/>
                <w:iCs w:val="0"/>
                <w:sz w:val="21"/>
                <w:szCs w:val="21"/>
                <w:lang w:eastAsia="zh-CN"/>
              </w:rPr>
              <w:t>院</w:t>
            </w:r>
            <w:r>
              <w:rPr>
                <w:rFonts w:hint="eastAsia" w:ascii="Times New Roman" w:hAnsi="Times New Roman" w:eastAsia="宋体" w:cs="宋体"/>
                <w:i w:val="0"/>
                <w:iCs w:val="0"/>
                <w:sz w:val="21"/>
                <w:szCs w:val="21"/>
              </w:rPr>
              <w:t>数据和资源库数据。</w:t>
            </w:r>
          </w:p>
          <w:p w14:paraId="58F595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（1）投标平台方与我校进行需求对接，确定数据推送的内容和频率；</w:t>
            </w:r>
          </w:p>
          <w:p w14:paraId="620458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宋体" w:cs="宋体"/>
                <w:i w:val="0"/>
                <w:iCs w:val="0"/>
                <w:sz w:val="21"/>
                <w:szCs w:val="21"/>
              </w:rPr>
            </w:pPr>
            <w:r>
              <w:rPr>
                <w:rFonts w:hint="eastAsia" w:ascii="Times New Roman" w:hAnsi="Times New Roman" w:eastAsia="宋体" w:cs="宋体"/>
                <w:i w:val="0"/>
                <w:iCs w:val="0"/>
                <w:sz w:val="21"/>
                <w:szCs w:val="21"/>
              </w:rPr>
              <w:t>（2）投标平台方将我校的教学过程数据进行整合，数据项包括基础信息中的开课信息、教学班信息、资源信息、题库信息、课件信息、课间互动信息；课堂互动信息；作业考试信息；以及用户登录与学习进度信息等；</w:t>
            </w:r>
          </w:p>
          <w:p w14:paraId="130CDF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sz w:val="21"/>
                <w:szCs w:val="21"/>
              </w:rPr>
              <w:t>（3）依托我校建立的中间数据库，投标平台方将教学过程数据推送到中间库中，我校可自行从中间库中获取相关数据。</w:t>
            </w:r>
          </w:p>
        </w:tc>
      </w:tr>
      <w:tr w14:paraId="1F0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8925D7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（一）单点登录方案</w:t>
            </w:r>
          </w:p>
        </w:tc>
      </w:tr>
      <w:tr w14:paraId="0510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EB24F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1.集成目标</w:t>
            </w:r>
          </w:p>
        </w:tc>
      </w:tr>
      <w:tr w14:paraId="428B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83E0C9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投标平台方支持与我校统一门户平台进行对接，从而实现用户通过门户一次登录就可以跳转进入智慧教学网络服务平台业务系统进行操作（对于有</w:t>
            </w:r>
            <w:r>
              <w:rPr>
                <w:rStyle w:val="302"/>
                <w:rFonts w:eastAsia="宋体"/>
                <w:sz w:val="21"/>
                <w:szCs w:val="21"/>
                <w:lang w:val="en-US" w:eastAsia="zh-CN" w:bidi="ar"/>
              </w:rPr>
              <w:t>Web</w:t>
            </w:r>
            <w:r>
              <w:rPr>
                <w:rStyle w:val="301"/>
                <w:sz w:val="21"/>
                <w:szCs w:val="21"/>
                <w:lang w:val="en-US" w:eastAsia="zh-CN" w:bidi="ar"/>
              </w:rPr>
              <w:t>的应用系统，做到单点登录）。</w:t>
            </w:r>
          </w:p>
        </w:tc>
      </w:tr>
      <w:tr w14:paraId="4682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6D6D5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2.对接方案</w:t>
            </w:r>
          </w:p>
        </w:tc>
      </w:tr>
      <w:tr w14:paraId="6329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5E75E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业务系统提供跳转验证的地址给门户，门户根据后台配置产生对应参数的完整地址。通过门户产生的完整链接访问到智慧教学网络服务平台的跳转验证，数据验证比对成功，跳转到智慧教学网络服务平台操作页面。</w:t>
            </w:r>
          </w:p>
        </w:tc>
      </w:tr>
      <w:tr w14:paraId="7788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F3994A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（二）基础数据同步方案</w:t>
            </w:r>
          </w:p>
        </w:tc>
      </w:tr>
      <w:tr w14:paraId="1748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D2D87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302"/>
                <w:rFonts w:eastAsia="宋体"/>
                <w:sz w:val="21"/>
                <w:szCs w:val="21"/>
                <w:lang w:val="en-US" w:eastAsia="zh-CN" w:bidi="ar"/>
              </w:rPr>
              <w:t>.</w:t>
            </w:r>
            <w:r>
              <w:rPr>
                <w:rStyle w:val="301"/>
                <w:sz w:val="21"/>
                <w:szCs w:val="21"/>
                <w:lang w:val="en-US" w:eastAsia="zh-CN" w:bidi="ar"/>
              </w:rPr>
              <w:t>集成目标</w:t>
            </w:r>
          </w:p>
        </w:tc>
      </w:tr>
      <w:tr w14:paraId="4A68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8AA48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数据同步有利于实现全校范围内现有数据的规范化整合和处理。用户的管理在身份管理平台集中进行，智慧教学网络服务平台可以不单独维护用户信息，所有的用户信息均来自统一的身份认证服务，使得应用系统可以保持和身份管理平台数据的一致。</w:t>
            </w:r>
          </w:p>
        </w:tc>
      </w:tr>
      <w:tr w14:paraId="347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B6B0E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Style w:val="302"/>
                <w:rFonts w:eastAsia="宋体"/>
                <w:sz w:val="21"/>
                <w:szCs w:val="21"/>
                <w:lang w:val="en-US" w:eastAsia="zh-CN" w:bidi="ar"/>
              </w:rPr>
              <w:t>.</w:t>
            </w:r>
            <w:r>
              <w:rPr>
                <w:rStyle w:val="301"/>
                <w:sz w:val="21"/>
                <w:szCs w:val="21"/>
                <w:lang w:val="en-US" w:eastAsia="zh-CN" w:bidi="ar"/>
              </w:rPr>
              <w:t>集成方案</w:t>
            </w:r>
          </w:p>
        </w:tc>
      </w:tr>
      <w:tr w14:paraId="7B5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D14F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为保证双方系统及数据安全性，采用中间库存取数据：</w:t>
            </w:r>
          </w:p>
        </w:tc>
      </w:tr>
      <w:tr w14:paraId="1EFF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74EA5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）在我校数据库允许外网访问时，由我校建立一个中间数据库，我校数字化校园将基础数据推送到中间库中，我方从中间库中将数据同步到智慧教学网络服务平台；</w:t>
            </w:r>
          </w:p>
        </w:tc>
      </w:tr>
      <w:tr w14:paraId="479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AD2D6B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）基础数据同步内容包括，大数据中心中的院系信息、专业信息、年级信息、行政班信息、教师信息、学生信息，同步后与我校推送的数据保持一致。</w:t>
            </w:r>
          </w:p>
        </w:tc>
      </w:tr>
      <w:tr w14:paraId="29F4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C9FFA1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3</w:t>
            </w:r>
            <w:r>
              <w:rPr>
                <w:rStyle w:val="301"/>
                <w:sz w:val="21"/>
                <w:szCs w:val="21"/>
                <w:highlight w:val="none"/>
                <w:lang w:val="en-US" w:eastAsia="zh-CN" w:bidi="ar"/>
              </w:rPr>
              <w:t>）课程数据同步内容包括，教学云平台中的学校课程、开课课程、教学班、开课课表、教学班学生，同步后与我校推送的数据保持一致。</w:t>
            </w:r>
          </w:p>
        </w:tc>
      </w:tr>
      <w:tr w14:paraId="6B64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6A5A0F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4</w:t>
            </w:r>
            <w:r>
              <w:rPr>
                <w:rStyle w:val="301"/>
                <w:sz w:val="21"/>
                <w:szCs w:val="21"/>
                <w:lang w:val="en-US" w:eastAsia="zh-CN" w:bidi="ar"/>
              </w:rPr>
              <w:t>）教师和学生数据同步规则（示例中学校简称拼音为：</w:t>
            </w:r>
            <w:r>
              <w:rPr>
                <w:rStyle w:val="302"/>
                <w:rFonts w:hint="eastAsia" w:eastAsia="宋体"/>
                <w:sz w:val="21"/>
                <w:szCs w:val="21"/>
                <w:lang w:val="en-US" w:eastAsia="zh-CN" w:bidi="ar"/>
              </w:rPr>
              <w:t>xxyy</w:t>
            </w:r>
            <w:r>
              <w:rPr>
                <w:rStyle w:val="301"/>
                <w:sz w:val="21"/>
                <w:szCs w:val="21"/>
                <w:lang w:val="en-US" w:eastAsia="zh-CN" w:bidi="ar"/>
              </w:rPr>
              <w:t>，实际使用学校简称拼音）：</w:t>
            </w:r>
          </w:p>
        </w:tc>
      </w:tr>
      <w:tr w14:paraId="157C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C18193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①教师账号规则：先根据工号</w:t>
            </w:r>
            <w:r>
              <w:rPr>
                <w:rStyle w:val="302"/>
                <w:rFonts w:eastAsia="宋体"/>
                <w:sz w:val="21"/>
                <w:szCs w:val="21"/>
                <w:lang w:val="en-US" w:eastAsia="zh-CN" w:bidi="ar"/>
              </w:rPr>
              <w:t>+</w:t>
            </w:r>
            <w:r>
              <w:rPr>
                <w:rStyle w:val="301"/>
                <w:sz w:val="21"/>
                <w:szCs w:val="21"/>
                <w:lang w:val="en-US" w:eastAsia="zh-CN" w:bidi="ar"/>
              </w:rPr>
              <w:t>姓名校验平台是否存在教师账号，如果教师存在账号，就不会新增</w:t>
            </w:r>
            <w:r>
              <w:rPr>
                <w:rStyle w:val="302"/>
                <w:rFonts w:hint="eastAsia" w:eastAsia="宋体"/>
                <w:sz w:val="21"/>
                <w:szCs w:val="21"/>
                <w:lang w:val="en-US" w:eastAsia="zh-CN" w:bidi="ar"/>
              </w:rPr>
              <w:t>“xxyy+工号”</w:t>
            </w:r>
            <w:r>
              <w:rPr>
                <w:rStyle w:val="301"/>
                <w:sz w:val="21"/>
                <w:szCs w:val="21"/>
                <w:lang w:val="en-US" w:eastAsia="zh-CN" w:bidi="ar"/>
              </w:rPr>
              <w:t>的账号，保留教师已有账号，只更新账号信息，如果不存在账号，则会新建一个</w:t>
            </w:r>
            <w:r>
              <w:rPr>
                <w:rStyle w:val="302"/>
                <w:rFonts w:hint="eastAsia" w:eastAsia="宋体"/>
                <w:sz w:val="21"/>
                <w:szCs w:val="21"/>
                <w:lang w:val="en-US" w:eastAsia="zh-CN" w:bidi="ar"/>
              </w:rPr>
              <w:t>“xxyy+工号”</w:t>
            </w:r>
            <w:r>
              <w:rPr>
                <w:rStyle w:val="301"/>
                <w:sz w:val="21"/>
                <w:szCs w:val="21"/>
                <w:lang w:val="en-US" w:eastAsia="zh-CN" w:bidi="ar"/>
              </w:rPr>
              <w:t>的账号，默认密码为：</w:t>
            </w:r>
            <w:r>
              <w:rPr>
                <w:rStyle w:val="302"/>
                <w:rFonts w:hint="eastAsia" w:eastAsia="宋体"/>
                <w:sz w:val="21"/>
                <w:szCs w:val="21"/>
                <w:lang w:val="en-US" w:eastAsia="zh-CN" w:bidi="ar"/>
              </w:rPr>
              <w:t>xxxx@用户名（示例，统一规则即可）</w:t>
            </w:r>
            <w:r>
              <w:rPr>
                <w:rStyle w:val="301"/>
                <w:sz w:val="21"/>
                <w:szCs w:val="21"/>
                <w:lang w:val="en-US" w:eastAsia="zh-CN" w:bidi="ar"/>
              </w:rPr>
              <w:t>。</w:t>
            </w:r>
          </w:p>
        </w:tc>
      </w:tr>
      <w:tr w14:paraId="75FC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B9EE4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②学生账号同步规则（二选一）：</w:t>
            </w:r>
          </w:p>
        </w:tc>
      </w:tr>
      <w:tr w14:paraId="75A1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66D389B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a.强制账号规则：根据学号+姓名校验平台是否存在学生账号。如果存在账号，校验是否存在用户名为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的账号，如果存在则更新信息到</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的账号上，如果不存在则创建用户名为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；如果学生不存在账号，则按照</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的规则生成新账号，默认密码为：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w:t>
            </w:r>
          </w:p>
        </w:tc>
      </w:tr>
      <w:tr w14:paraId="0D53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631DF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b.非强制账号规则：根据学号+姓名校验平台是否存在学生账号。如果存在学生账号，则优先同步信息到用户名为</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的账号；若不存在</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的账号，则同步信息到用户名为学号的账号上；若没有用户名为学号的账号，则同步信息到查询到这个学生的第一个账号上；如果学生不存在账号，则新创建一个</w:t>
            </w:r>
            <w:r>
              <w:rPr>
                <w:rFonts w:hint="eastAsia" w:ascii="Times New Roman" w:hAnsi="Times New Roman" w:eastAsia="宋体" w:cs="Times New Roman"/>
                <w:i w:val="0"/>
                <w:iCs w:val="0"/>
                <w:color w:val="000000"/>
                <w:kern w:val="0"/>
                <w:sz w:val="21"/>
                <w:szCs w:val="21"/>
                <w:u w:val="none"/>
                <w:lang w:val="en-US" w:eastAsia="zh-CN" w:bidi="ar"/>
              </w:rPr>
              <w:t>“xxyy+学号”</w:t>
            </w:r>
            <w:r>
              <w:rPr>
                <w:rFonts w:hint="default" w:ascii="Times New Roman" w:hAnsi="Times New Roman" w:eastAsia="宋体" w:cs="Times New Roman"/>
                <w:i w:val="0"/>
                <w:iCs w:val="0"/>
                <w:color w:val="000000"/>
                <w:kern w:val="0"/>
                <w:sz w:val="21"/>
                <w:szCs w:val="21"/>
                <w:u w:val="none"/>
                <w:lang w:val="en-US" w:eastAsia="zh-CN" w:bidi="ar"/>
              </w:rPr>
              <w:t>的账号，默认密码为：</w:t>
            </w:r>
            <w:r>
              <w:rPr>
                <w:rFonts w:hint="eastAsia" w:ascii="Times New Roman" w:hAnsi="Times New Roman" w:eastAsia="宋体" w:cs="Times New Roman"/>
                <w:i w:val="0"/>
                <w:iCs w:val="0"/>
                <w:color w:val="000000"/>
                <w:kern w:val="0"/>
                <w:sz w:val="21"/>
                <w:szCs w:val="21"/>
                <w:u w:val="none"/>
                <w:lang w:val="en-US" w:eastAsia="zh-CN" w:bidi="ar"/>
              </w:rPr>
              <w:t>xxxx@用户名（示例，统一规则即可）</w:t>
            </w:r>
            <w:r>
              <w:rPr>
                <w:rFonts w:hint="default" w:ascii="Times New Roman" w:hAnsi="Times New Roman" w:eastAsia="宋体" w:cs="Times New Roman"/>
                <w:i w:val="0"/>
                <w:iCs w:val="0"/>
                <w:color w:val="000000"/>
                <w:kern w:val="0"/>
                <w:sz w:val="21"/>
                <w:szCs w:val="21"/>
                <w:u w:val="none"/>
                <w:lang w:val="en-US" w:eastAsia="zh-CN" w:bidi="ar"/>
              </w:rPr>
              <w:t>。</w:t>
            </w:r>
          </w:p>
        </w:tc>
      </w:tr>
      <w:tr w14:paraId="5CB1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58CF64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（三）教学过程数据推送方案</w:t>
            </w:r>
          </w:p>
        </w:tc>
      </w:tr>
      <w:tr w14:paraId="0D50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1903D04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集成目标</w:t>
            </w:r>
          </w:p>
        </w:tc>
      </w:tr>
      <w:tr w14:paraId="0F1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CDB4D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为配合当前我校所进行的数据分析工作，投标平台方支持把师生在智慧教学网络服务平台中的教学过程数据推送给我校数据分析平台，为数据分析提供教学过程的相关数据作为支撑。</w:t>
            </w:r>
          </w:p>
        </w:tc>
      </w:tr>
      <w:tr w14:paraId="7535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0BE63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1.教学云平台集成方案</w:t>
            </w:r>
          </w:p>
        </w:tc>
      </w:tr>
      <w:tr w14:paraId="4CEC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06385B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1</w:t>
            </w:r>
            <w:r>
              <w:rPr>
                <w:rStyle w:val="301"/>
                <w:sz w:val="21"/>
                <w:szCs w:val="21"/>
                <w:highlight w:val="none"/>
                <w:lang w:val="en-US" w:eastAsia="zh-CN" w:bidi="ar"/>
              </w:rPr>
              <w:t>）在我校数据库允许外网访问时，由我校建立一个中间数据库，投标平台方将教学云平台数据推送到中间库中，我校在进行数据分析时，自行从中间库中获取相关数据。</w:t>
            </w:r>
          </w:p>
        </w:tc>
      </w:tr>
      <w:tr w14:paraId="59AC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2E2B446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302"/>
                <w:rFonts w:eastAsia="宋体"/>
                <w:sz w:val="21"/>
                <w:szCs w:val="21"/>
                <w:highlight w:val="none"/>
                <w:lang w:val="en-US" w:eastAsia="zh-CN" w:bidi="ar"/>
              </w:rPr>
              <w:t>2</w:t>
            </w:r>
            <w:r>
              <w:rPr>
                <w:rStyle w:val="301"/>
                <w:sz w:val="21"/>
                <w:szCs w:val="21"/>
                <w:highlight w:val="none"/>
                <w:lang w:val="en-US" w:eastAsia="zh-CN" w:bidi="ar"/>
              </w:rPr>
              <w:t>）投标平台方推送的教学云平台数据包括，基础信息中的开课信息、教学班信息、资源信息、题库信息、课件信息、课间互动信息、课堂互动信息、作业考试信息、用户登录与学习进度信息等。</w:t>
            </w:r>
          </w:p>
        </w:tc>
      </w:tr>
      <w:tr w14:paraId="5250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4ECB995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2.资源库集成方案</w:t>
            </w:r>
          </w:p>
        </w:tc>
      </w:tr>
      <w:tr w14:paraId="751E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5336EC1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）在我校数据库允许外网访问时，由我校建立一个中间数据库，投标平台方将资源库数据推送到中间库中，我校在进行数据分析时，自行从中间库中获取相关数据。</w:t>
            </w:r>
          </w:p>
        </w:tc>
      </w:tr>
      <w:tr w14:paraId="62B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76862F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）投标平台方推送的资源库数据包括，开课信息、成绩权重、作业考试、课程题库、学生学习记录、做题记录等。</w:t>
            </w:r>
          </w:p>
        </w:tc>
      </w:tr>
      <w:tr w14:paraId="4CD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E10DC8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MOOC</w:t>
            </w:r>
            <w:r>
              <w:rPr>
                <w:rStyle w:val="301"/>
                <w:sz w:val="21"/>
                <w:szCs w:val="21"/>
                <w:lang w:val="en-US" w:eastAsia="zh-CN" w:bidi="ar"/>
              </w:rPr>
              <w:t>集成方案</w:t>
            </w:r>
          </w:p>
        </w:tc>
      </w:tr>
      <w:tr w14:paraId="2B7F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0A7B59F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1</w:t>
            </w:r>
            <w:r>
              <w:rPr>
                <w:rStyle w:val="301"/>
                <w:sz w:val="21"/>
                <w:szCs w:val="21"/>
                <w:lang w:val="en-US" w:eastAsia="zh-CN" w:bidi="ar"/>
              </w:rPr>
              <w:t>）在我校数据库允许外网访问时，由我校建立一个中间数据库，投标平台方将</w:t>
            </w:r>
            <w:r>
              <w:rPr>
                <w:rStyle w:val="302"/>
                <w:rFonts w:hint="eastAsia" w:eastAsia="宋体"/>
                <w:sz w:val="21"/>
                <w:szCs w:val="21"/>
                <w:lang w:val="en-US" w:eastAsia="zh-CN" w:bidi="ar"/>
              </w:rPr>
              <w:t>MOOC</w:t>
            </w:r>
            <w:r>
              <w:rPr>
                <w:rStyle w:val="301"/>
                <w:sz w:val="21"/>
                <w:szCs w:val="21"/>
                <w:lang w:val="en-US" w:eastAsia="zh-CN" w:bidi="ar"/>
              </w:rPr>
              <w:t>数据推送到中间库中，我校在进行数据分析时，自行从中间库中获取相关数据。</w:t>
            </w:r>
          </w:p>
        </w:tc>
      </w:tr>
      <w:tr w14:paraId="7A03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gridSpan w:val="3"/>
            <w:shd w:val="clear" w:color="auto" w:fill="auto"/>
            <w:vAlign w:val="center"/>
          </w:tcPr>
          <w:p w14:paraId="3770F85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302"/>
                <w:rFonts w:eastAsia="宋体"/>
                <w:sz w:val="21"/>
                <w:szCs w:val="21"/>
                <w:lang w:val="en-US" w:eastAsia="zh-CN" w:bidi="ar"/>
              </w:rPr>
              <w:t>2</w:t>
            </w:r>
            <w:r>
              <w:rPr>
                <w:rStyle w:val="301"/>
                <w:sz w:val="21"/>
                <w:szCs w:val="21"/>
                <w:lang w:val="en-US" w:eastAsia="zh-CN" w:bidi="ar"/>
              </w:rPr>
              <w:t>）投标平台方推送的</w:t>
            </w:r>
            <w:r>
              <w:rPr>
                <w:rStyle w:val="302"/>
                <w:rFonts w:hint="eastAsia" w:eastAsia="宋体"/>
                <w:sz w:val="21"/>
                <w:szCs w:val="21"/>
                <w:lang w:val="en-US" w:eastAsia="zh-CN" w:bidi="ar"/>
              </w:rPr>
              <w:t>MOOC</w:t>
            </w:r>
            <w:r>
              <w:rPr>
                <w:rStyle w:val="301"/>
                <w:sz w:val="21"/>
                <w:szCs w:val="21"/>
                <w:lang w:val="en-US" w:eastAsia="zh-CN" w:bidi="ar"/>
              </w:rPr>
              <w:t>数据包括，学习记录、课程公告、课程基础表、专业大类表、考试作业测验表、题目表等。</w:t>
            </w:r>
          </w:p>
        </w:tc>
      </w:tr>
    </w:tbl>
    <w:p w14:paraId="58BF25A4">
      <w:pPr>
        <w:keepNext w:val="0"/>
        <w:keepLines w:val="0"/>
        <w:pageBreakBefore w:val="0"/>
        <w:widowControl w:val="0"/>
        <w:shd w:val="clear"/>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b/>
          <w:sz w:val="28"/>
          <w:szCs w:val="28"/>
          <w:lang w:val="en-US" w:eastAsia="zh-CN"/>
        </w:rPr>
      </w:pPr>
      <w:r>
        <w:rPr>
          <w:rFonts w:hint="eastAsia" w:ascii="Times New Roman" w:hAnsi="Times New Roman" w:eastAsia="宋体" w:cs="宋体"/>
          <w:b/>
          <w:sz w:val="28"/>
          <w:szCs w:val="28"/>
          <w:lang w:val="en-US" w:eastAsia="zh-CN"/>
        </w:rPr>
        <w:t>2.智慧教学网络云平台服务——智慧课程服务模块具体指标</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60"/>
      </w:tblGrid>
      <w:tr w14:paraId="37C2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0C8FC92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一、教师建课空间</w:t>
            </w:r>
          </w:p>
        </w:tc>
      </w:tr>
      <w:tr w14:paraId="4483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04132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新建课程，支持将现有运行在平台中的在线精品课程和资源库课程，同步至</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优课平台。</w:t>
            </w:r>
          </w:p>
        </w:tc>
      </w:tr>
      <w:tr w14:paraId="5825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2FF3F1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课程维护</w:t>
            </w:r>
          </w:p>
        </w:tc>
      </w:tr>
      <w:tr w14:paraId="38F4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21CDF2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）支持对课程信息进行编辑，包括课程封面、课程介绍视频、课程介绍、关键词、教材等信息；</w:t>
            </w:r>
          </w:p>
        </w:tc>
      </w:tr>
      <w:tr w14:paraId="6A3A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5B76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）支持对章、节、讲名称进行编辑；支持对节点进行删除、重新排序等操作；</w:t>
            </w:r>
          </w:p>
        </w:tc>
      </w:tr>
      <w:tr w14:paraId="6381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21C69A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）教学团队维护，支持添加、删除教学团队成员，实现教师团队成员的展示；支持教学团队成员修改简介等个人信息；</w:t>
            </w:r>
          </w:p>
        </w:tc>
      </w:tr>
      <w:tr w14:paraId="767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542DC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）学员管理，支持根据姓名、学校、选课时间等内容搜索查询学员，支持导出课程学员。</w:t>
            </w:r>
          </w:p>
        </w:tc>
      </w:tr>
      <w:tr w14:paraId="1D02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3348A7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课程教学</w:t>
            </w:r>
          </w:p>
        </w:tc>
      </w:tr>
      <w:tr w14:paraId="5741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6CE435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）课程公告，支持新建、编辑、删除公告，支持根据关键词查询课程公告；</w:t>
            </w:r>
          </w:p>
        </w:tc>
      </w:tr>
      <w:tr w14:paraId="574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9D8C4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）主题讨论，支持创建、编辑、删除主题讨论，支持对具体讨论进行点赞、回复、设置精华等操作；</w:t>
            </w:r>
          </w:p>
        </w:tc>
      </w:tr>
      <w:tr w14:paraId="5E69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308A55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）课程答疑，支持针对学生提出的问题进行回答，支持教师自主回答或</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回答；</w:t>
            </w:r>
          </w:p>
        </w:tc>
      </w:tr>
      <w:tr w14:paraId="7988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71D9A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）课程笔记，支持根据章节筛选查询学生笔记内容，支持对笔记进行点赞等操作；</w:t>
            </w:r>
          </w:p>
        </w:tc>
      </w:tr>
      <w:tr w14:paraId="27F6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19748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）课程评价，支持教师对课程评价内容进行查询、删除等操作。</w:t>
            </w:r>
          </w:p>
        </w:tc>
      </w:tr>
      <w:tr w14:paraId="29D0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A0E67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考核与证书</w:t>
            </w:r>
          </w:p>
        </w:tc>
      </w:tr>
      <w:tr w14:paraId="276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B96CF2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）支持拖拽成绩区间按钮，设置成绩的不合格、合格、优秀三级的成绩区间范围；</w:t>
            </w:r>
          </w:p>
        </w:tc>
      </w:tr>
      <w:tr w14:paraId="679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819C1C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学生成绩由资源完成率、考试、在线作业、测验、主题讨论五项组成，教师可根据课程特点分别设置五项权重，最终由权重得分生成最终成绩，提高最终统计客观合理性，支持设置通过标准；其中考试、在线作业、测验、主题讨论支持教师配置具体明细，选择参与考核的具体内容；</w:t>
            </w:r>
          </w:p>
        </w:tc>
      </w:tr>
      <w:tr w14:paraId="355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595E7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）证书设置，支持教师选择不开启证书、合格证书、合格及优秀证书；支持对合格证书和优秀证书设置分数，分数达到要求的同学可以申请对应证书。</w:t>
            </w:r>
          </w:p>
        </w:tc>
      </w:tr>
      <w:tr w14:paraId="7E9E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2BFE5C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题库管理</w:t>
            </w:r>
          </w:p>
        </w:tc>
      </w:tr>
      <w:tr w14:paraId="1D3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CA0E0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）支持从课程原始平台的其他课期导入题目；</w:t>
            </w:r>
          </w:p>
        </w:tc>
      </w:tr>
      <w:tr w14:paraId="734D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9B3F0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）支持通过题型、题目难度以及题目来源进行题目筛选，支持按照关键词搜索查询题目；</w:t>
            </w:r>
          </w:p>
        </w:tc>
      </w:tr>
      <w:tr w14:paraId="2D7B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5F3D83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）支持删除题库中的题目，支持修改题目难度，支持批量导出题目。</w:t>
            </w:r>
          </w:p>
        </w:tc>
      </w:tr>
      <w:tr w14:paraId="15C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245FEA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作业分为在线作业和附件作业。</w:t>
            </w:r>
          </w:p>
        </w:tc>
      </w:tr>
      <w:tr w14:paraId="6985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C2287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在线作业题目来自课程题库，支持设置答题时长、要求完成时间、作答次数等基本设置；对于同一套在线作业，可设置题目乱序、选项乱序等，具有防作弊功能；多选题可设置多种计分方式；支持设置成绩认定方式、答案公布时间、成绩公布时间等参数；支持随机出题和手动出题两种模式，手动出题是教师从题库中选择确定题目组成作业，随机出题在确定题型和确定数目的前提下随机选择题目组成作业，保证学生收到的作业有差异；</w:t>
            </w:r>
          </w:p>
        </w:tc>
      </w:tr>
      <w:tr w14:paraId="74F0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B8361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附件作业，支持教师创建、编辑、删除附件作业。创建附件作业时，支持编辑作业名称、答题时长、要求完成时间、答题次数等；支持设置答案公布时间和成绩公布时间；支持上传作业说明和参考答案，作业说明和参考答案支持上传附件；</w:t>
            </w:r>
          </w:p>
        </w:tc>
      </w:tr>
      <w:tr w14:paraId="334A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9763F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）支持教师在线查看学生作业作答情况，客观题系统自动批阅，主观题支持</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智能批阅。</w:t>
            </w:r>
          </w:p>
        </w:tc>
      </w:tr>
      <w:tr w14:paraId="2C63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502CAE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测验和考试，支持教师创建、编辑、删除测验和考试。测验和考试与在线作业基本一致。</w:t>
            </w:r>
          </w:p>
        </w:tc>
      </w:tr>
      <w:tr w14:paraId="51D4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A9B885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数据统计</w:t>
            </w:r>
          </w:p>
        </w:tc>
      </w:tr>
      <w:tr w14:paraId="4D2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46CA9A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成果统计，支持对课程数据进行展示及分析，包括本期选课人数、学员所属单位、本期互动次数、本期日志总数、教学团队统计、知识图谱及专项图谱建设数据展示、教学资源统计、教学活动统计等，并根据课程内容变化实时更新；</w:t>
            </w:r>
          </w:p>
        </w:tc>
      </w:tr>
      <w:tr w14:paraId="5590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E94E1E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）教学大屏，包括学习数据统计展示、教学活动数据统计展示、成绩统计展示，并提供课程大数据分析，包括学习趋势、学习进度、成绩趋势、考评完成度、观看视频时长等内容。</w:t>
            </w:r>
          </w:p>
        </w:tc>
      </w:tr>
      <w:tr w14:paraId="0A09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F285A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消息通知，支持查看发送的信息及收到的信息。</w:t>
            </w:r>
          </w:p>
        </w:tc>
      </w:tr>
      <w:tr w14:paraId="1E90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61C4DC7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二、知识图谱建设</w:t>
            </w:r>
          </w:p>
        </w:tc>
      </w:tr>
      <w:tr w14:paraId="4E9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B14FD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依托平台的知识图谱构建功能，支持建设本课程专属知识图谱，并支持在教师建课后台、前端门户实时展示。</w:t>
            </w:r>
          </w:p>
        </w:tc>
      </w:tr>
      <w:tr w14:paraId="144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CE05CD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图谱创建与导出</w:t>
            </w:r>
          </w:p>
        </w:tc>
      </w:tr>
      <w:tr w14:paraId="3706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60DF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）创建课程后自动创建对应图谱，若课程为导入课程，支持根据现有课程结构，自动生成与章节对应的图谱；</w:t>
            </w:r>
          </w:p>
        </w:tc>
      </w:tr>
      <w:tr w14:paraId="3FCB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A79D41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）支持依据导入模板格式一键导入，自动生成图谱；</w:t>
            </w:r>
          </w:p>
        </w:tc>
      </w:tr>
      <w:tr w14:paraId="1ABA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273EE2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）支持引用该课程上一期的图谱，自动将上一期的节点资源、节点标签等同步到新一期；</w:t>
            </w:r>
          </w:p>
        </w:tc>
      </w:tr>
      <w:tr w14:paraId="0F0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60934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）支持课程名称、封面、专业大类信息等自动同步至对应图谱；</w:t>
            </w:r>
          </w:p>
        </w:tc>
      </w:tr>
      <w:tr w14:paraId="0746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4B96D8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）支持将图谱内容一键导出。</w:t>
            </w:r>
          </w:p>
        </w:tc>
      </w:tr>
      <w:tr w14:paraId="1446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D75C2F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图谱编辑</w:t>
            </w:r>
          </w:p>
        </w:tc>
      </w:tr>
      <w:tr w14:paraId="6D4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FEFEA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）提供预览、编辑两种模式，满足老师在不同场景的使用需求；</w:t>
            </w:r>
          </w:p>
        </w:tc>
      </w:tr>
      <w:tr w14:paraId="5CE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4A83B2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）提供知识技能导图、知识技能树、知识技能图谱三种图谱编辑方式；</w:t>
            </w:r>
          </w:p>
        </w:tc>
      </w:tr>
      <w:tr w14:paraId="2AC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453AD9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）在知识技能树编辑模式下，支持拖拽调整章、节、讲、资源等的顺序，实现与课程结构一致的排版，极大地方便老师操作；</w:t>
            </w:r>
          </w:p>
        </w:tc>
      </w:tr>
      <w:tr w14:paraId="0F67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8CE4F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▲根据布鲁姆认知学习领域目标中的记忆、理解、应用、分析、评价、创造，搭建知识图谱标签体系；</w:t>
            </w:r>
          </w:p>
        </w:tc>
      </w:tr>
      <w:tr w14:paraId="6A4C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E5BC37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）支持完善图谱的节点名称、节点描述、节点目标、节点属性等基础信息；支持标记是否关联岗位、是否关联证书、是否为赛点、是否为课程思政点等；支持设置、自定义添加节点标签；</w:t>
            </w:r>
          </w:p>
        </w:tc>
      </w:tr>
      <w:tr w14:paraId="382C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AF8B5F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）提供</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助写功能，支持智能生成图谱的节点描述、知识节点目标等；</w:t>
            </w:r>
          </w:p>
        </w:tc>
      </w:tr>
      <w:tr w14:paraId="7D3B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D332FE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）支持添加节点关系，如包含、并列、先后关系；</w:t>
            </w:r>
          </w:p>
        </w:tc>
      </w:tr>
      <w:tr w14:paraId="48D8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36EC43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）支持将图谱节点与该教师统一资源中心、专业资源库、本地的资源相关联，建立课程知识点与资源的绑定关系，对应资源可同步至课程下；</w:t>
            </w:r>
          </w:p>
        </w:tc>
      </w:tr>
      <w:tr w14:paraId="01FD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27051F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）支持将图谱节点与课程的作业、测验、考试等相关联，建立课程知识点与作业、考试、测验的绑定关系，对应作业、测验、考试等可同步至课程下。</w:t>
            </w:r>
          </w:p>
        </w:tc>
      </w:tr>
      <w:tr w14:paraId="7429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AE3F66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图谱协作</w:t>
            </w:r>
          </w:p>
        </w:tc>
      </w:tr>
      <w:tr w14:paraId="225B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826D0D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▲支持课程的教学团队成员参与图谱协作，课程负责人可为其分配协作节点，设置任务截止时间等；</w:t>
            </w:r>
          </w:p>
        </w:tc>
      </w:tr>
      <w:tr w14:paraId="39B6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9427B5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）课程负责人拥有全部课程节点的编辑权限；</w:t>
            </w:r>
          </w:p>
        </w:tc>
      </w:tr>
      <w:tr w14:paraId="2BD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95E07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）支持课程负责人修改、撤销相关任务；</w:t>
            </w:r>
          </w:p>
        </w:tc>
      </w:tr>
      <w:tr w14:paraId="2EB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3C40CE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）支持团队成员编辑完成提交后到课程主持人进行审核。</w:t>
            </w:r>
          </w:p>
        </w:tc>
      </w:tr>
      <w:tr w14:paraId="3928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8166C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图谱统计</w:t>
            </w:r>
          </w:p>
        </w:tc>
      </w:tr>
      <w:tr w14:paraId="4039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20C3C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）提供各级节点、关联岗位、关联证书、关联赛项等数据的统计；</w:t>
            </w:r>
          </w:p>
        </w:tc>
      </w:tr>
      <w:tr w14:paraId="2B4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F8B64F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）提供关联资源数、关联作业测验考试的数量总和、团队成员数、点击次数和访问次数等。</w:t>
            </w:r>
          </w:p>
        </w:tc>
      </w:tr>
      <w:tr w14:paraId="45A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70D5FCF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三、课程智能体建设</w:t>
            </w:r>
          </w:p>
        </w:tc>
      </w:tr>
      <w:tr w14:paraId="680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3E3FC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基于大模型核心能力，训练解析基于本课程的课程级智能体，提供课程级别的智能问答助手。</w:t>
            </w:r>
          </w:p>
        </w:tc>
      </w:tr>
      <w:tr w14:paraId="2647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817C45">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支持课程智能体负责人查看当前已被分配的智能体项目信息列表。</w:t>
            </w:r>
          </w:p>
        </w:tc>
      </w:tr>
      <w:tr w14:paraId="5196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BADCE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支持课程智能体负责人为项目添加多个训练人员和审核人员。</w:t>
            </w:r>
          </w:p>
        </w:tc>
      </w:tr>
      <w:tr w14:paraId="5DBA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E39350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支持课程智能体负责人对语料进行新增、修改、删除、审核及查看。支持解析多媒体资源，包含视频、音频、文档（</w:t>
            </w:r>
            <w:r>
              <w:rPr>
                <w:rFonts w:hint="default" w:ascii="Times New Roman" w:hAnsi="Times New Roman" w:eastAsia="宋体" w:cs="Times New Roman"/>
                <w:i w:val="0"/>
                <w:iCs w:val="0"/>
                <w:color w:val="000000"/>
                <w:kern w:val="0"/>
                <w:sz w:val="21"/>
                <w:szCs w:val="21"/>
                <w:u w:val="none"/>
                <w:lang w:val="en-US" w:eastAsia="zh-CN" w:bidi="ar"/>
              </w:rPr>
              <w:t>PPT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Word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Excel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PDF</w:t>
            </w:r>
            <w:r>
              <w:rPr>
                <w:rFonts w:hint="eastAsia" w:ascii="宋体" w:hAnsi="宋体" w:eastAsia="宋体" w:cs="宋体"/>
                <w:i w:val="0"/>
                <w:iCs w:val="0"/>
                <w:color w:val="000000"/>
                <w:kern w:val="0"/>
                <w:sz w:val="21"/>
                <w:szCs w:val="21"/>
                <w:u w:val="none"/>
                <w:lang w:val="en-US" w:eastAsia="zh-CN" w:bidi="ar"/>
              </w:rPr>
              <w:t>）等。</w:t>
            </w:r>
          </w:p>
        </w:tc>
      </w:tr>
      <w:tr w14:paraId="0A75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1C35A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支持课程智能体负责人查看已上传的全部语料资源信息，含资源名称、格式类型、资源容量、数据来源、上传时间、上传人、所属单位、审核人、状态、操作等信息，并可进行查看、审核、删除等操作。</w:t>
            </w:r>
          </w:p>
        </w:tc>
      </w:tr>
      <w:tr w14:paraId="6ED7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71F517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课程智能体负责人对课程问答对进行管理，包括新增问答。新增问答支持从题库中选择题目、手动创建两种方式。课程智能体负责人可查看课程智能体中已提交的问答对列表，可对问答对进行新增、修改、删除、审核、查看。</w:t>
            </w:r>
          </w:p>
        </w:tc>
      </w:tr>
      <w:tr w14:paraId="194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82F6B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支持训练人员查看课程智能体所有语料资源。</w:t>
            </w:r>
          </w:p>
        </w:tc>
      </w:tr>
      <w:tr w14:paraId="01C3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B4E4B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支持训练人员新增、添加语料，查看语料资源的详情信息及状态。</w:t>
            </w:r>
          </w:p>
        </w:tc>
      </w:tr>
      <w:tr w14:paraId="6533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A03B8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支持训练人员新增问答对，可查看已提交、待审核、通过、未通过的问答对列表。</w:t>
            </w:r>
          </w:p>
        </w:tc>
      </w:tr>
      <w:tr w14:paraId="3616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7CA367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支持审核人员查看待审核的语料资源、问答对，以及已审核的语料和问答对。</w:t>
            </w:r>
          </w:p>
        </w:tc>
      </w:tr>
      <w:tr w14:paraId="38D5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50B4E0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支持审核人员查看语料资源的详情信息及状态，可对待审核语料资源进行审核。</w:t>
            </w:r>
          </w:p>
        </w:tc>
      </w:tr>
      <w:tr w14:paraId="0A89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3F7C6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r>
              <w:rPr>
                <w:rFonts w:hint="eastAsia" w:ascii="宋体" w:hAnsi="宋体" w:eastAsia="宋体" w:cs="宋体"/>
                <w:i w:val="0"/>
                <w:iCs w:val="0"/>
                <w:color w:val="000000"/>
                <w:kern w:val="0"/>
                <w:sz w:val="21"/>
                <w:szCs w:val="21"/>
                <w:u w:val="none"/>
                <w:lang w:val="en-US" w:eastAsia="zh-CN" w:bidi="ar"/>
              </w:rPr>
              <w:t>支持审核人员查看并审核问答对详情数据。</w:t>
            </w:r>
          </w:p>
        </w:tc>
      </w:tr>
      <w:tr w14:paraId="5308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C10CC0A">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在讨论区与答疑区接入课程智能体，智能解答学生发起的讨论与答疑。</w:t>
            </w:r>
          </w:p>
        </w:tc>
      </w:tr>
      <w:tr w14:paraId="5BC3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55B5EB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四、AI工具集</w:t>
            </w:r>
          </w:p>
        </w:tc>
      </w:tr>
      <w:tr w14:paraId="1D3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966B8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1.AI</w:t>
            </w:r>
            <w:r>
              <w:rPr>
                <w:rFonts w:hint="eastAsia" w:ascii="宋体" w:hAnsi="宋体" w:eastAsia="宋体" w:cs="宋体"/>
                <w:i w:val="0"/>
                <w:iCs w:val="0"/>
                <w:color w:val="000000"/>
                <w:kern w:val="0"/>
                <w:sz w:val="21"/>
                <w:szCs w:val="21"/>
                <w:u w:val="none"/>
                <w:lang w:val="en-US" w:eastAsia="zh-CN" w:bidi="ar"/>
              </w:rPr>
              <w:t>批阅，依托大模型与智能体技术，结合评分标准，深入剖析答案内容，高效批改作业与考试，自动打分并提供智能批语。</w:t>
            </w:r>
          </w:p>
        </w:tc>
      </w:tr>
      <w:tr w14:paraId="1BB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43F8C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）支持自动分析学生的回答，提供总结性评价，智能批阅简答题目，产出评语、评分等；</w:t>
            </w:r>
          </w:p>
        </w:tc>
      </w:tr>
      <w:tr w14:paraId="74E8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950069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）针对内容提供细致评价，提供更为细致的智能批阅结果，如逐句评价等；</w:t>
            </w:r>
          </w:p>
        </w:tc>
      </w:tr>
      <w:tr w14:paraId="2C3A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BFE980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）提供其他维度评阅结果，如针对某道题目，从学习态度、认知能力、表达能力等方面进行评价。</w:t>
            </w:r>
          </w:p>
        </w:tc>
      </w:tr>
      <w:tr w14:paraId="627F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9725A4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2.AI</w:t>
            </w:r>
            <w:r>
              <w:rPr>
                <w:rFonts w:hint="eastAsia" w:ascii="宋体" w:hAnsi="宋体" w:eastAsia="宋体" w:cs="宋体"/>
                <w:i w:val="0"/>
                <w:iCs w:val="0"/>
                <w:color w:val="000000"/>
                <w:kern w:val="0"/>
                <w:sz w:val="21"/>
                <w:szCs w:val="21"/>
                <w:u w:val="none"/>
                <w:lang w:val="en-US" w:eastAsia="zh-CN" w:bidi="ar"/>
              </w:rPr>
              <w:t>课程教学报告，针对课程中产生的教学行为过程数据，提供课程教学报告，报告在提供基础教学数据的基础上，推出更为新颖的评价指标和维度。</w:t>
            </w:r>
          </w:p>
        </w:tc>
      </w:tr>
      <w:tr w14:paraId="4224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59672C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）根据学习用户量、成绩分布、进度分布、课程建设内容等指标形成课程的评价；总结课程最需要关注的数据，包括表现最突出的学生、最受欢迎的问题、整体分数最好的一场考试、最需要关注的知识点等，生成</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课程教学评价，包括知识点掌握程度评价、学生考测评排行榜等；</w:t>
            </w:r>
          </w:p>
        </w:tc>
      </w:tr>
      <w:tr w14:paraId="5E0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3B9D3F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）根据课程突出数据，生成课程风格，如以视频资源为主、题库丰富、讨论气氛热烈等；</w:t>
            </w:r>
          </w:p>
        </w:tc>
      </w:tr>
      <w:tr w14:paraId="4087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1369C6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教学详情部分智能分析学生的参与情况、课程设计情况、智能工具使用情况、知识图谱建设情况、考测评情况等数据，汇聚展示老师需要关注的重点内容，如登录时间分布、学生讨论关键词、视频解析及错题关键词、热门对话问题</w:t>
            </w:r>
            <w:r>
              <w:rPr>
                <w:rFonts w:hint="default" w:ascii="Times New Roman" w:hAnsi="Times New Roman" w:eastAsia="宋体" w:cs="Times New Roman"/>
                <w:i w:val="0"/>
                <w:iCs w:val="0"/>
                <w:color w:val="000000"/>
                <w:kern w:val="0"/>
                <w:sz w:val="21"/>
                <w:szCs w:val="21"/>
                <w:highlight w:val="none"/>
                <w:u w:val="none"/>
                <w:lang w:val="en-US" w:eastAsia="zh-CN" w:bidi="ar"/>
              </w:rPr>
              <w:t>TOP5</w:t>
            </w:r>
            <w:r>
              <w:rPr>
                <w:rFonts w:hint="eastAsia" w:ascii="宋体" w:hAnsi="宋体" w:eastAsia="宋体" w:cs="宋体"/>
                <w:i w:val="0"/>
                <w:iCs w:val="0"/>
                <w:color w:val="000000"/>
                <w:kern w:val="0"/>
                <w:sz w:val="21"/>
                <w:szCs w:val="21"/>
                <w:highlight w:val="none"/>
                <w:u w:val="none"/>
                <w:lang w:val="en-US" w:eastAsia="zh-CN" w:bidi="ar"/>
              </w:rPr>
              <w:t>、班级薄弱知识图谱等；</w:t>
            </w:r>
          </w:p>
        </w:tc>
      </w:tr>
      <w:tr w14:paraId="3DC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D9434A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）根据整体教学过程数据智能生成课程建设参考，为老师在资源建设、内容建设、实践与理论结合方面提供参考。</w:t>
            </w:r>
          </w:p>
        </w:tc>
      </w:tr>
      <w:tr w14:paraId="7C8C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8F9FB8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3.AI</w:t>
            </w:r>
            <w:r>
              <w:rPr>
                <w:rFonts w:hint="eastAsia" w:ascii="宋体" w:hAnsi="宋体" w:eastAsia="宋体" w:cs="宋体"/>
                <w:i w:val="0"/>
                <w:iCs w:val="0"/>
                <w:color w:val="000000"/>
                <w:kern w:val="0"/>
                <w:sz w:val="21"/>
                <w:szCs w:val="21"/>
                <w:u w:val="none"/>
                <w:lang w:val="en-US" w:eastAsia="zh-CN" w:bidi="ar"/>
              </w:rPr>
              <w:t>学习助手</w:t>
            </w:r>
          </w:p>
        </w:tc>
      </w:tr>
      <w:tr w14:paraId="521F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64306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）课程学习，配套展示在对应课程学习的页面，支持学生随时调用，进行基于课程内容学习的过程性问答；</w:t>
            </w:r>
          </w:p>
        </w:tc>
      </w:tr>
      <w:tr w14:paraId="16C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1ED772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）讨论支持，在讨论区自动解答学生发起的讨论问题；</w:t>
            </w:r>
          </w:p>
        </w:tc>
      </w:tr>
      <w:tr w14:paraId="293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70A6AD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）答疑支持，在答疑区自动解答学生发起的提问。</w:t>
            </w:r>
          </w:p>
        </w:tc>
      </w:tr>
      <w:tr w14:paraId="61D5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52E34D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4.AI</w:t>
            </w:r>
            <w:r>
              <w:rPr>
                <w:rFonts w:hint="eastAsia" w:ascii="宋体" w:hAnsi="宋体" w:eastAsia="宋体" w:cs="宋体"/>
                <w:i w:val="0"/>
                <w:iCs w:val="0"/>
                <w:color w:val="000000"/>
                <w:kern w:val="0"/>
                <w:sz w:val="21"/>
                <w:szCs w:val="21"/>
                <w:u w:val="none"/>
                <w:lang w:val="en-US" w:eastAsia="zh-CN" w:bidi="ar"/>
              </w:rPr>
              <w:t>视频理解，对课程视频资源提供章节速览、视频总结、字幕提取、实时翻译、热词解析等智能功能，帮助学生提升学习效率。</w:t>
            </w:r>
          </w:p>
        </w:tc>
      </w:tr>
      <w:tr w14:paraId="732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1CFD35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视频速览，使用多模态技术对视频进行切片，梳理视频资源的知识点，并可根据知识点点击跳转对应视频片段；</w:t>
            </w:r>
          </w:p>
        </w:tc>
      </w:tr>
      <w:tr w14:paraId="2682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A10ECD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视频字幕及实时翻译，自动生成视频字幕，支持中英双语；</w:t>
            </w:r>
          </w:p>
        </w:tc>
      </w:tr>
      <w:tr w14:paraId="58DA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766AB66F">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视频总结，基于视频内容自动提取生成视频概要总结；</w:t>
            </w:r>
          </w:p>
        </w:tc>
      </w:tr>
      <w:tr w14:paraId="3563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C841473">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热词解析，自动生成热词词云，点击词云，即可支持基于词云的对话。</w:t>
            </w:r>
          </w:p>
        </w:tc>
      </w:tr>
      <w:tr w14:paraId="4C6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CCA6B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全平台智能回复接入“绿网”功能，运用前沿的语义分析与内容识别技术，构建起多层级内容过滤机制，对平台上所有智能生成的回复内容进行实时、精准审查，能够迅速识别各类不良或敏感信息，包括但不限于低俗内容、错误价值观导向言论、不实知识信息等。</w:t>
            </w:r>
          </w:p>
        </w:tc>
      </w:tr>
      <w:tr w14:paraId="7DBC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A78841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6.AI</w:t>
            </w:r>
            <w:r>
              <w:rPr>
                <w:rFonts w:hint="eastAsia" w:ascii="宋体" w:hAnsi="宋体" w:eastAsia="宋体" w:cs="宋体"/>
                <w:i w:val="0"/>
                <w:iCs w:val="0"/>
                <w:color w:val="000000"/>
                <w:kern w:val="0"/>
                <w:sz w:val="21"/>
                <w:szCs w:val="21"/>
                <w:u w:val="none"/>
                <w:lang w:val="en-US" w:eastAsia="zh-CN" w:bidi="ar"/>
              </w:rPr>
              <w:t>文档解析</w:t>
            </w:r>
          </w:p>
        </w:tc>
      </w:tr>
      <w:tr w14:paraId="7471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5CD08F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）支持</w:t>
            </w:r>
            <w:r>
              <w:rPr>
                <w:rFonts w:hint="default" w:ascii="Times New Roman" w:hAnsi="Times New Roman" w:eastAsia="宋体" w:cs="Times New Roman"/>
                <w:i w:val="0"/>
                <w:iCs w:val="0"/>
                <w:color w:val="000000"/>
                <w:kern w:val="0"/>
                <w:sz w:val="21"/>
                <w:szCs w:val="21"/>
                <w:u w:val="none"/>
                <w:lang w:val="en-US" w:eastAsia="zh-CN" w:bidi="ar"/>
              </w:rPr>
              <w:t>Word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PDF</w:t>
            </w:r>
            <w:r>
              <w:rPr>
                <w:rFonts w:hint="eastAsia" w:ascii="宋体" w:hAnsi="宋体" w:eastAsia="宋体" w:cs="宋体"/>
                <w:i w:val="0"/>
                <w:iCs w:val="0"/>
                <w:color w:val="000000"/>
                <w:kern w:val="0"/>
                <w:sz w:val="21"/>
                <w:szCs w:val="21"/>
                <w:u w:val="none"/>
                <w:lang w:val="en-US" w:eastAsia="zh-CN" w:bidi="ar"/>
              </w:rPr>
              <w:t>等文档格式上传，可基于文档进行问答对话；</w:t>
            </w:r>
          </w:p>
        </w:tc>
      </w:tr>
      <w:tr w14:paraId="6EB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50E7804">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）支持基于文档的分层级总结，并可对重点内容特殊标记。</w:t>
            </w:r>
          </w:p>
        </w:tc>
      </w:tr>
      <w:tr w14:paraId="07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2D321A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7.AI</w:t>
            </w:r>
            <w:r>
              <w:rPr>
                <w:rFonts w:hint="eastAsia" w:ascii="宋体" w:hAnsi="宋体" w:eastAsia="宋体" w:cs="宋体"/>
                <w:i w:val="0"/>
                <w:iCs w:val="0"/>
                <w:color w:val="000000"/>
                <w:kern w:val="0"/>
                <w:sz w:val="21"/>
                <w:szCs w:val="21"/>
                <w:u w:val="none"/>
                <w:lang w:val="en-US" w:eastAsia="zh-CN" w:bidi="ar"/>
              </w:rPr>
              <w:t>错题解析，为学生设计的一项智能化服务，当学生在学习过程中遇到错题且没有解析时，</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错题解析可智能解析错因并同时提供相关知识点资源展示。</w:t>
            </w:r>
          </w:p>
        </w:tc>
      </w:tr>
      <w:tr w14:paraId="0C2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0249E9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8.AI</w:t>
            </w:r>
            <w:r>
              <w:rPr>
                <w:rFonts w:hint="eastAsia" w:ascii="宋体" w:hAnsi="宋体" w:eastAsia="宋体" w:cs="宋体"/>
                <w:i w:val="0"/>
                <w:iCs w:val="0"/>
                <w:color w:val="000000"/>
                <w:kern w:val="0"/>
                <w:sz w:val="21"/>
                <w:szCs w:val="21"/>
                <w:u w:val="none"/>
                <w:lang w:val="en-US" w:eastAsia="zh-CN" w:bidi="ar"/>
              </w:rPr>
              <w:t>学习报告，根据学生参与度、成绩、学习风格和偏好、学习路径和薄弱点知识点分析生成</w:t>
            </w:r>
            <w:r>
              <w:rPr>
                <w:rFonts w:hint="default" w:ascii="Times New Roman" w:hAnsi="Times New Roman" w:eastAsia="宋体" w:cs="Times New Roman"/>
                <w:i w:val="0"/>
                <w:iCs w:val="0"/>
                <w:color w:val="000000"/>
                <w:kern w:val="0"/>
                <w:sz w:val="21"/>
                <w:szCs w:val="21"/>
                <w:u w:val="none"/>
                <w:lang w:val="en-US" w:eastAsia="zh-CN" w:bidi="ar"/>
              </w:rPr>
              <w:t>AI</w:t>
            </w:r>
            <w:r>
              <w:rPr>
                <w:rFonts w:hint="eastAsia" w:ascii="宋体" w:hAnsi="宋体" w:eastAsia="宋体" w:cs="宋体"/>
                <w:i w:val="0"/>
                <w:iCs w:val="0"/>
                <w:color w:val="000000"/>
                <w:kern w:val="0"/>
                <w:sz w:val="21"/>
                <w:szCs w:val="21"/>
                <w:u w:val="none"/>
                <w:lang w:val="en-US" w:eastAsia="zh-CN" w:bidi="ar"/>
              </w:rPr>
              <w:t>学习报告。</w:t>
            </w:r>
          </w:p>
        </w:tc>
      </w:tr>
      <w:tr w14:paraId="25FF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F848C12">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）根据登录频率、学习时长、课程资源内容学习情况、讨论答疑数据、测验和作业完成情况分析学生的参与度，将数据给到大模型，生成总结性评语，提供智能学习评价；</w:t>
            </w:r>
          </w:p>
        </w:tc>
      </w:tr>
      <w:tr w14:paraId="5D17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2577347">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）将学习材料类型偏好、学习时间分布散点图、学习成绩趋势、难点掌握情况等数据给到大模型，生成学生的学习习惯类型，提升学生学习内驱力，生成学习建议；</w:t>
            </w:r>
          </w:p>
        </w:tc>
      </w:tr>
      <w:tr w14:paraId="721F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26F811C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展示学习详情，提供学习参与度情况，如登录情况、资源学习情况、作测考完成情况、参与讨论情况等；提供智能工具使用情况，如错题解析情况、视频解析情况、智能体对话情况、图谱使用情况等；提供学习成果情况，根据作测考数据生成学习成果智能评价。</w:t>
            </w:r>
          </w:p>
        </w:tc>
      </w:tr>
      <w:tr w14:paraId="70F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962" w:type="dxa"/>
            <w:shd w:val="clear" w:color="auto" w:fill="9CC2E5"/>
            <w:vAlign w:val="center"/>
          </w:tcPr>
          <w:p w14:paraId="72422ED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五、个性化学习空间</w:t>
            </w:r>
          </w:p>
        </w:tc>
      </w:tr>
      <w:tr w14:paraId="379D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E53039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课程学习</w:t>
            </w:r>
          </w:p>
        </w:tc>
      </w:tr>
      <w:tr w14:paraId="4775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E93B96B">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）内容学习，支持学习课程资源内容，包括视频、图片、文档、富媒体、音频等课程资源的在线学习，并记录学习过程数据；</w:t>
            </w:r>
          </w:p>
        </w:tc>
      </w:tr>
      <w:tr w14:paraId="5F1E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0067D2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）课程公告查看，支持展示并查看教师发布的课程公告；</w:t>
            </w:r>
          </w:p>
        </w:tc>
      </w:tr>
      <w:tr w14:paraId="1CCC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939C61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）作业、测验、考试，支持学生进行课程中的作业、测验、考试的作答，可实现在线答题、提交、查看等；</w:t>
            </w:r>
          </w:p>
        </w:tc>
      </w:tr>
      <w:tr w14:paraId="7DD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7AF350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）个人成绩，支持查看成绩展示模块，包括综合成绩、分项得分等内容；</w:t>
            </w:r>
          </w:p>
        </w:tc>
      </w:tr>
      <w:tr w14:paraId="23D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16AD38D">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）课程讨论，支持学生参与课程讨论，包括话题评论、回复、点赞等；</w:t>
            </w:r>
          </w:p>
        </w:tc>
      </w:tr>
      <w:tr w14:paraId="11B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A29688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）课程答疑，支持学生在答疑区发起问题，教师可对问题进行解答；</w:t>
            </w:r>
          </w:p>
        </w:tc>
      </w:tr>
      <w:tr w14:paraId="53CF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0770D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）课程笔记，支持学生学习时，创建课程笔记。</w:t>
            </w:r>
          </w:p>
        </w:tc>
      </w:tr>
      <w:tr w14:paraId="354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00BED9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消息通知，支持学生查看收到的课程相关通知。</w:t>
            </w:r>
          </w:p>
        </w:tc>
      </w:tr>
      <w:tr w14:paraId="10B4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6E1271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收藏夹，支持学生收藏课程，收藏的课程可在收藏夹中进行查看。</w:t>
            </w:r>
          </w:p>
        </w:tc>
      </w:tr>
      <w:tr w14:paraId="23E6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DED3299">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学习计划，支持学生制订学习计划，系统根据学生制定的学习计划进行消息提示与督促，实时更新展示学习计划的完成程度。</w:t>
            </w:r>
          </w:p>
        </w:tc>
      </w:tr>
      <w:tr w14:paraId="2C9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66720FC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我的证书，支持申请已学习通过的课程证书，支持展示、下载课程证书。</w:t>
            </w:r>
          </w:p>
        </w:tc>
      </w:tr>
      <w:tr w14:paraId="7BA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6463CE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课程图谱以自由分布和有序呈现两种方式展示课程结构，主要用于辅助用户以图谱化的形式学习课程，直观查看节点之间的层级关系。课程图谱包含知识点图谱和技能点图谱，支持以图谱形式呈现整体的课程内容，支持用户查看并学习每个节点下包含的资源、作业、测验、考试。资源学习进度与课程内容学习进度实时同步。</w:t>
            </w:r>
          </w:p>
        </w:tc>
      </w:tr>
      <w:tr w14:paraId="4692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285C86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▲学情图谱以图谱形式展示出学生的学习进度、测评分数、薄弱知识点，主要用于学生更加直观地查看个人学习情况。</w:t>
            </w:r>
          </w:p>
        </w:tc>
      </w:tr>
      <w:tr w14:paraId="4BE5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4CE104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进度图谱，支持以图谱形式直观呈现课程、每个节点的学习进度；支持用户查看每个节点下包含的学习资源列表，以及各资源的学习进度；支持显示当前节点中所有的资源以及每个资源的学习进度；支持直接点击弹窗中的资源进行学习；</w:t>
            </w:r>
          </w:p>
        </w:tc>
      </w:tr>
      <w:tr w14:paraId="0EF1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0BF8206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）测评图谱，支持以图谱形式直观呈现课程每个节点的作业、测验、考试的列表及作答成绩；可以进入弹窗中的试卷进行作答；</w:t>
            </w:r>
          </w:p>
        </w:tc>
      </w:tr>
      <w:tr w14:paraId="486E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1C1BAA00">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）薄弱知识点图谱，支持以图谱形式直观呈现每个节点的资源、作业、测验、考试的整体掌握程度；支持显示掌握程度、学习进度及测评得分率的相关数据。</w:t>
            </w:r>
          </w:p>
        </w:tc>
      </w:tr>
      <w:tr w14:paraId="580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D6B7F4C">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▲职业图谱呈现出课程内容与岗赛证之间的关系，主要用于辅助学生根据岗位准备、证书及比赛备考等需求来进行课程学习。</w:t>
            </w:r>
          </w:p>
        </w:tc>
      </w:tr>
      <w:tr w14:paraId="1EFE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36AA4A1">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岗位图谱，支持以图谱形式直观呈现课程、每个节点关联的岗位信息；支持用户查看各个岗位的工作领域、工作任务、技能描述与课程节点的关联关系，支持查看节点设置的岗位、证书等相关信息，支持查看具体资源；</w:t>
            </w:r>
          </w:p>
        </w:tc>
      </w:tr>
      <w:tr w14:paraId="321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5126E5AE">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）比赛图谱，支持以图谱形式直观呈现课程、每个节点关联的比赛及赛项信息；支持用户查看各个比赛的赛项、赛点与课程节点的关联关系，支持查看节点设置的岗位、证书等相关信息，支持查看具体资源；</w:t>
            </w:r>
          </w:p>
        </w:tc>
      </w:tr>
      <w:tr w14:paraId="2AAF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962" w:type="dxa"/>
            <w:shd w:val="clear" w:color="auto" w:fill="auto"/>
            <w:vAlign w:val="center"/>
          </w:tcPr>
          <w:p w14:paraId="389CBC38">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）证书图谱，支持以图谱形式直观呈现课程、每个节点关联的证书信息；支持用户查看各个证书及证书考点与课程节点的关联关系，支持查看节点设置的岗位、证书等相关信息，支持查看具体资源。</w:t>
            </w:r>
          </w:p>
        </w:tc>
      </w:tr>
      <w:tr w14:paraId="3CC9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62" w:type="dxa"/>
            <w:shd w:val="clear" w:color="auto" w:fill="auto"/>
            <w:vAlign w:val="center"/>
          </w:tcPr>
          <w:p w14:paraId="4513D336">
            <w:pPr>
              <w:keepNext w:val="0"/>
              <w:keepLines w:val="0"/>
              <w:pageBreakBefore w:val="0"/>
              <w:widowControl/>
              <w:suppressLineNumbers w:val="0"/>
              <w:kinsoku/>
              <w:wordWrap/>
              <w:overflowPunct/>
              <w:topLinePunct w:val="0"/>
              <w:autoSpaceDE/>
              <w:autoSpaceDN/>
              <w:bidi w:val="0"/>
              <w:adjustRightInd w:val="0"/>
              <w:snapToGrid w:val="0"/>
              <w:ind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学情统计，支持查看了解学习过程中各项学习数据的统计情况。包括综合成绩、讨论数据、访问数据、学习进度、章节学习次数、学习时长等数据。</w:t>
            </w:r>
          </w:p>
        </w:tc>
      </w:tr>
    </w:tbl>
    <w:p w14:paraId="54E4F66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四、采购服务需满足的商务要求</w:t>
      </w:r>
    </w:p>
    <w:p w14:paraId="46046A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（一）服务期限</w:t>
      </w:r>
    </w:p>
    <w:p w14:paraId="521E674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服务期限：三年，从合同签订平台开通之日算起。</w:t>
      </w:r>
    </w:p>
    <w:p w14:paraId="1BECD4D3">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bCs/>
          <w:sz w:val="28"/>
          <w:szCs w:val="28"/>
        </w:rPr>
        <w:t>付款</w:t>
      </w:r>
      <w:r>
        <w:rPr>
          <w:rFonts w:ascii="Times New Roman" w:hAnsi="Times New Roman" w:eastAsia="宋体" w:cs="宋体"/>
          <w:sz w:val="28"/>
          <w:szCs w:val="28"/>
        </w:rPr>
        <w:t>要求</w:t>
      </w:r>
    </w:p>
    <w:p w14:paraId="14E7832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1.</w:t>
      </w:r>
      <w:r>
        <w:rPr>
          <w:rFonts w:hint="eastAsia" w:ascii="Times New Roman" w:hAnsi="Times New Roman" w:eastAsia="宋体" w:cs="宋体"/>
          <w:sz w:val="28"/>
          <w:szCs w:val="28"/>
          <w:lang w:val="en-US" w:eastAsia="zh-CN"/>
        </w:rPr>
        <w:t>中标人</w:t>
      </w:r>
      <w:r>
        <w:rPr>
          <w:rFonts w:ascii="Times New Roman" w:hAnsi="Times New Roman" w:eastAsia="宋体" w:cs="宋体"/>
          <w:sz w:val="28"/>
          <w:szCs w:val="28"/>
        </w:rPr>
        <w:t>在</w:t>
      </w:r>
      <w:r>
        <w:rPr>
          <w:rFonts w:hint="eastAsia" w:ascii="Times New Roman" w:hAnsi="Times New Roman" w:eastAsia="宋体" w:cs="宋体"/>
          <w:sz w:val="28"/>
          <w:szCs w:val="28"/>
          <w:lang w:val="en-US" w:eastAsia="zh-CN"/>
        </w:rPr>
        <w:t>合同签订</w:t>
      </w:r>
      <w:r>
        <w:rPr>
          <w:rFonts w:ascii="Times New Roman" w:hAnsi="Times New Roman" w:eastAsia="宋体" w:cs="宋体"/>
          <w:sz w:val="28"/>
          <w:szCs w:val="28"/>
        </w:rPr>
        <w:t>前，须先把合同总金额的 5% 作为</w:t>
      </w:r>
      <w:r>
        <w:rPr>
          <w:rFonts w:hint="eastAsia" w:ascii="Times New Roman" w:hAnsi="Times New Roman" w:eastAsia="宋体" w:cs="宋体"/>
          <w:strike w:val="0"/>
          <w:dstrike w:val="0"/>
          <w:sz w:val="28"/>
          <w:szCs w:val="28"/>
          <w:lang w:val="en-US" w:eastAsia="zh-CN"/>
        </w:rPr>
        <w:t>履约保证金</w:t>
      </w:r>
      <w:r>
        <w:rPr>
          <w:rFonts w:ascii="Times New Roman" w:hAnsi="Times New Roman" w:eastAsia="宋体" w:cs="宋体"/>
          <w:sz w:val="28"/>
          <w:szCs w:val="28"/>
        </w:rPr>
        <w:t>，交到</w:t>
      </w:r>
      <w:r>
        <w:rPr>
          <w:rFonts w:hint="eastAsia" w:ascii="Times New Roman" w:hAnsi="Times New Roman" w:eastAsia="宋体" w:cs="宋体"/>
          <w:sz w:val="28"/>
          <w:szCs w:val="28"/>
          <w:lang w:val="en-US" w:eastAsia="zh-CN"/>
        </w:rPr>
        <w:t>采购人</w:t>
      </w:r>
      <w:r>
        <w:rPr>
          <w:rFonts w:ascii="Times New Roman" w:hAnsi="Times New Roman" w:eastAsia="宋体" w:cs="宋体"/>
          <w:sz w:val="28"/>
          <w:szCs w:val="28"/>
        </w:rPr>
        <w:t>指定账户；</w:t>
      </w:r>
    </w:p>
    <w:p w14:paraId="0BD1316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2.合同</w:t>
      </w:r>
      <w:r>
        <w:rPr>
          <w:rFonts w:hint="eastAsia" w:ascii="Times New Roman" w:hAnsi="Times New Roman" w:eastAsia="宋体" w:cs="宋体"/>
          <w:sz w:val="28"/>
          <w:szCs w:val="28"/>
          <w:lang w:val="en-US" w:eastAsia="zh-CN"/>
        </w:rPr>
        <w:t>签订后，采购人</w:t>
      </w:r>
      <w:r>
        <w:rPr>
          <w:rFonts w:ascii="Times New Roman" w:hAnsi="Times New Roman" w:eastAsia="宋体" w:cs="宋体"/>
          <w:sz w:val="28"/>
          <w:szCs w:val="28"/>
        </w:rPr>
        <w:t>在10个工作日内支付合同总金额的</w:t>
      </w:r>
      <w:r>
        <w:rPr>
          <w:rFonts w:hint="eastAsia" w:ascii="Times New Roman" w:hAnsi="Times New Roman" w:eastAsia="宋体" w:cs="宋体"/>
          <w:sz w:val="28"/>
          <w:szCs w:val="28"/>
          <w:lang w:val="en-US" w:eastAsia="zh-CN"/>
        </w:rPr>
        <w:t>4</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给中标人</w:t>
      </w:r>
      <w:r>
        <w:rPr>
          <w:rFonts w:ascii="Times New Roman" w:hAnsi="Times New Roman" w:eastAsia="宋体" w:cs="宋体"/>
          <w:sz w:val="28"/>
          <w:szCs w:val="28"/>
        </w:rPr>
        <w:t>；</w:t>
      </w:r>
    </w:p>
    <w:p w14:paraId="5BD1BC3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3.第二年：服务满一年，中标人凭年度服务报告、完整运维记录、校方出具年度服务验收合格意见书及相关合法票据，向采购人申请付款；采购人在收到完整材料后10个工作日内，支付第二年服务费（合</w:t>
      </w:r>
      <w:r>
        <w:rPr>
          <w:rFonts w:ascii="Times New Roman" w:hAnsi="Times New Roman" w:eastAsia="宋体" w:cs="宋体"/>
          <w:sz w:val="28"/>
          <w:szCs w:val="28"/>
        </w:rPr>
        <w:t>同总金额的</w:t>
      </w:r>
      <w:r>
        <w:rPr>
          <w:rFonts w:hint="eastAsia" w:ascii="Times New Roman" w:hAnsi="Times New Roman" w:eastAsia="宋体" w:cs="宋体"/>
          <w:sz w:val="28"/>
          <w:szCs w:val="28"/>
          <w:lang w:val="en-US" w:eastAsia="zh-CN"/>
        </w:rPr>
        <w:t>3</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w:t>
      </w:r>
    </w:p>
    <w:p w14:paraId="3FCDF6E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hint="eastAsia" w:ascii="Times New Roman" w:hAnsi="Times New Roman" w:eastAsia="宋体" w:cs="宋体"/>
          <w:sz w:val="28"/>
          <w:szCs w:val="28"/>
          <w:lang w:val="en-US" w:eastAsia="zh-CN"/>
        </w:rPr>
        <w:t>4.第三年：服务满两年，中标人凭年度服务报告、完整运维记录、校方出具年度服务验收合格意见书及相关合法票据，向采购人申请付款；采购人在收到完整材料后10个工作日内，支付第三年服务（</w:t>
      </w:r>
      <w:r>
        <w:rPr>
          <w:rFonts w:ascii="Times New Roman" w:hAnsi="Times New Roman" w:eastAsia="宋体" w:cs="宋体"/>
          <w:sz w:val="28"/>
          <w:szCs w:val="28"/>
        </w:rPr>
        <w:t>合同总金额的</w:t>
      </w:r>
      <w:r>
        <w:rPr>
          <w:rFonts w:hint="eastAsia" w:ascii="Times New Roman" w:hAnsi="Times New Roman" w:eastAsia="宋体" w:cs="宋体"/>
          <w:sz w:val="28"/>
          <w:szCs w:val="28"/>
          <w:lang w:val="en-US" w:eastAsia="zh-CN"/>
        </w:rPr>
        <w:t>3</w:t>
      </w:r>
      <w:r>
        <w:rPr>
          <w:rFonts w:ascii="Times New Roman" w:hAnsi="Times New Roman" w:eastAsia="宋体" w:cs="宋体"/>
          <w:sz w:val="28"/>
          <w:szCs w:val="28"/>
        </w:rPr>
        <w:t>0%</w:t>
      </w:r>
      <w:r>
        <w:rPr>
          <w:rFonts w:hint="eastAsia" w:ascii="Times New Roman" w:hAnsi="Times New Roman" w:eastAsia="宋体" w:cs="宋体"/>
          <w:sz w:val="28"/>
          <w:szCs w:val="28"/>
          <w:lang w:val="en-US" w:eastAsia="zh-CN"/>
        </w:rPr>
        <w:t>）及全部履约</w:t>
      </w:r>
      <w:r>
        <w:rPr>
          <w:rFonts w:hint="eastAsia" w:cs="宋体"/>
          <w:sz w:val="28"/>
          <w:szCs w:val="28"/>
          <w:lang w:val="en-US" w:eastAsia="zh-CN"/>
        </w:rPr>
        <w:t>保证</w:t>
      </w:r>
      <w:r>
        <w:rPr>
          <w:rFonts w:hint="eastAsia" w:ascii="Times New Roman" w:hAnsi="Times New Roman" w:eastAsia="宋体" w:cs="宋体"/>
          <w:sz w:val="28"/>
          <w:szCs w:val="28"/>
          <w:lang w:val="en-US" w:eastAsia="zh-CN"/>
        </w:rPr>
        <w:t>金。</w:t>
      </w:r>
    </w:p>
    <w:p w14:paraId="4F974FF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b/>
          <w:sz w:val="28"/>
          <w:szCs w:val="28"/>
        </w:rPr>
      </w:pPr>
      <w:r>
        <w:rPr>
          <w:rFonts w:ascii="Times New Roman" w:hAnsi="Times New Roman" w:eastAsia="宋体" w:cs="宋体"/>
          <w:b/>
          <w:sz w:val="28"/>
          <w:szCs w:val="28"/>
        </w:rPr>
        <w:t>五、其他要求</w:t>
      </w:r>
    </w:p>
    <w:p w14:paraId="0B192D3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highlight w:val="none"/>
        </w:rPr>
        <w:t>（一）服务</w:t>
      </w:r>
      <w:r>
        <w:rPr>
          <w:rFonts w:hint="eastAsia" w:ascii="Times New Roman" w:hAnsi="Times New Roman" w:eastAsia="宋体" w:cs="宋体"/>
          <w:sz w:val="28"/>
          <w:szCs w:val="28"/>
          <w:highlight w:val="none"/>
          <w:lang w:eastAsia="zh-CN"/>
        </w:rPr>
        <w:t>的其他</w:t>
      </w:r>
      <w:r>
        <w:rPr>
          <w:rFonts w:ascii="Times New Roman" w:hAnsi="Times New Roman" w:eastAsia="宋体" w:cs="宋体"/>
          <w:sz w:val="28"/>
          <w:szCs w:val="28"/>
          <w:highlight w:val="none"/>
        </w:rPr>
        <w:t>要</w:t>
      </w:r>
      <w:r>
        <w:rPr>
          <w:rFonts w:ascii="Times New Roman" w:hAnsi="Times New Roman" w:eastAsia="宋体" w:cs="宋体"/>
          <w:sz w:val="28"/>
          <w:szCs w:val="28"/>
        </w:rPr>
        <w:t>求</w:t>
      </w:r>
    </w:p>
    <w:p w14:paraId="22350FE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1.中标人应及时完成平台部署，并对采购方使用人员进行操作及日常维护等培训。</w:t>
      </w:r>
    </w:p>
    <w:p w14:paraId="479D567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ascii="Times New Roman" w:hAnsi="Times New Roman" w:eastAsia="宋体" w:cs="宋体"/>
          <w:sz w:val="28"/>
          <w:szCs w:val="28"/>
        </w:rPr>
        <w:t>2.中标人指派专人负责与采购人联系售后服务事宜，通过企业微信、在线客服工具，提供7×24小时在线服务；学校提出问题，在2个小时内给予响应。</w:t>
      </w:r>
    </w:p>
    <w:p w14:paraId="04F7978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ascii="Times New Roman" w:hAnsi="Times New Roman" w:eastAsia="宋体" w:cs="宋体"/>
          <w:sz w:val="28"/>
          <w:szCs w:val="28"/>
        </w:rPr>
        <w:t>3.平台采用云计算架构，学校不需要准备本地存储设备；服务期内，由中标人承担</w:t>
      </w:r>
      <w:r>
        <w:rPr>
          <w:rFonts w:hint="eastAsia" w:ascii="Times New Roman" w:hAnsi="Times New Roman" w:eastAsia="宋体" w:cs="宋体"/>
          <w:sz w:val="28"/>
          <w:szCs w:val="28"/>
          <w:lang w:val="en-US" w:eastAsia="zh-CN"/>
        </w:rPr>
        <w:t>云服务器、</w:t>
      </w:r>
      <w:r>
        <w:rPr>
          <w:rFonts w:ascii="Times New Roman" w:hAnsi="Times New Roman" w:eastAsia="宋体" w:cs="宋体"/>
          <w:sz w:val="28"/>
          <w:szCs w:val="28"/>
        </w:rPr>
        <w:t>云存储空间及带宽加速等云端软硬件环境租用费用（包括但不限于云服务器、</w:t>
      </w:r>
      <w:r>
        <w:rPr>
          <w:rFonts w:hint="eastAsia" w:ascii="Times New Roman" w:hAnsi="Times New Roman" w:eastAsia="宋体" w:cs="宋体"/>
          <w:sz w:val="28"/>
          <w:szCs w:val="28"/>
          <w:lang w:val="en-US" w:eastAsia="zh-CN"/>
        </w:rPr>
        <w:t>云存储、</w:t>
      </w:r>
      <w:r>
        <w:rPr>
          <w:rFonts w:ascii="Times New Roman" w:hAnsi="Times New Roman" w:eastAsia="宋体" w:cs="宋体"/>
          <w:sz w:val="28"/>
          <w:szCs w:val="28"/>
        </w:rPr>
        <w:t>带宽、CDN加速）。</w:t>
      </w:r>
      <w:r>
        <w:rPr>
          <w:rFonts w:hint="eastAsia" w:ascii="Times New Roman" w:hAnsi="Times New Roman" w:eastAsia="宋体" w:cs="宋体"/>
          <w:sz w:val="28"/>
          <w:szCs w:val="28"/>
          <w:lang w:val="en-US" w:eastAsia="zh-CN"/>
        </w:rPr>
        <w:t>所有资源需满足采购人网络教学、资源存储、资源访问等方面的实际使用需求。当出现存储空间不足，资源访问卡顿，中标人需要无条件免费增加相关资源。</w:t>
      </w:r>
    </w:p>
    <w:p w14:paraId="0C5A10D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4.中标人需确保甲方数据信息安全，未经采购人许可，中标人不得将采购人的学生信息、教师信息，教学过程相关的信息拷贝或传播给任何其他单位或个人，不得将此信息用于其他商业活动。由于中标人原因数据一旦泄密或用于其他商业活动，中标人必须承担由此带来全部损失。</w:t>
      </w:r>
    </w:p>
    <w:p w14:paraId="1DAC879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r>
        <w:rPr>
          <w:rFonts w:hint="eastAsia" w:ascii="Times New Roman" w:hAnsi="Times New Roman" w:eastAsia="宋体" w:cs="宋体"/>
          <w:sz w:val="28"/>
          <w:szCs w:val="28"/>
          <w:lang w:val="en-US" w:eastAsia="zh-CN"/>
        </w:rPr>
        <w:t>5</w:t>
      </w:r>
      <w:r>
        <w:rPr>
          <w:rFonts w:ascii="Times New Roman" w:hAnsi="Times New Roman" w:eastAsia="宋体" w:cs="宋体"/>
          <w:sz w:val="28"/>
          <w:szCs w:val="28"/>
        </w:rPr>
        <w:t>.对服务期满后的平台升级、运维保障及云存储空间服务费用，由双方届时另行协商。</w:t>
      </w:r>
    </w:p>
    <w:p w14:paraId="5EFE45F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宋体"/>
          <w:sz w:val="28"/>
          <w:szCs w:val="28"/>
        </w:rPr>
      </w:pPr>
    </w:p>
    <w:p w14:paraId="303AEB80">
      <w:pPr>
        <w:pStyle w:val="221"/>
        <w:ind w:firstLine="422"/>
        <w:rPr>
          <w:rFonts w:hint="eastAsia" w:ascii="宋体" w:hAnsi="宋体" w:eastAsia="宋体" w:cs="宋体"/>
          <w:b/>
          <w:bCs/>
          <w:color w:val="auto"/>
          <w:kern w:val="32"/>
          <w:sz w:val="21"/>
          <w:szCs w:val="21"/>
          <w:highlight w:val="none"/>
        </w:rPr>
      </w:pPr>
    </w:p>
    <w:p w14:paraId="1518E189">
      <w:pPr>
        <w:pStyle w:val="221"/>
        <w:ind w:firstLine="422"/>
        <w:rPr>
          <w:rFonts w:hint="eastAsia" w:ascii="宋体" w:hAnsi="宋体" w:cs="宋体"/>
          <w:b/>
          <w:sz w:val="28"/>
          <w:szCs w:val="28"/>
          <w:highlight w:val="none"/>
        </w:rPr>
      </w:pPr>
      <w:r>
        <w:rPr>
          <w:rFonts w:hint="eastAsia" w:ascii="宋体" w:hAnsi="宋体" w:eastAsia="宋体" w:cs="宋体"/>
          <w:b/>
          <w:bCs/>
          <w:color w:val="auto"/>
          <w:kern w:val="32"/>
          <w:sz w:val="28"/>
          <w:szCs w:val="28"/>
          <w:highlight w:val="none"/>
        </w:rPr>
        <w:t>对于上述项目要求，投标人应在投标文件中进行回应，作出</w:t>
      </w:r>
      <w:r>
        <w:rPr>
          <w:rFonts w:hint="eastAsia" w:ascii="宋体" w:hAnsi="宋体" w:eastAsia="宋体" w:cs="宋体"/>
          <w:b/>
          <w:bCs/>
          <w:color w:val="FF0000"/>
          <w:kern w:val="32"/>
          <w:sz w:val="28"/>
          <w:szCs w:val="28"/>
          <w:highlight w:val="none"/>
        </w:rPr>
        <w:t>承诺</w:t>
      </w:r>
      <w:r>
        <w:rPr>
          <w:rFonts w:hint="eastAsia" w:ascii="宋体" w:hAnsi="宋体" w:eastAsia="宋体" w:cs="宋体"/>
          <w:b/>
          <w:bCs/>
          <w:color w:val="auto"/>
          <w:kern w:val="32"/>
          <w:sz w:val="28"/>
          <w:szCs w:val="28"/>
          <w:highlight w:val="none"/>
        </w:rPr>
        <w:t>及说明。</w:t>
      </w:r>
      <w:bookmarkEnd w:id="5"/>
      <w:bookmarkEnd w:id="6"/>
    </w:p>
    <w:p w14:paraId="0051A3ED">
      <w:pPr>
        <w:pStyle w:val="221"/>
        <w:ind w:firstLine="422"/>
        <w:rPr>
          <w:rFonts w:hint="eastAsia" w:ascii="宋体" w:hAnsi="宋体" w:cs="宋体"/>
          <w:b/>
          <w:sz w:val="22"/>
          <w:szCs w:val="22"/>
          <w:highlight w:val="none"/>
        </w:rPr>
      </w:pPr>
    </w:p>
    <w:p w14:paraId="6CD060A1">
      <w:pPr>
        <w:pStyle w:val="221"/>
        <w:ind w:firstLine="422"/>
        <w:rPr>
          <w:rFonts w:hint="eastAsia" w:ascii="宋体" w:hAnsi="宋体" w:cs="宋体"/>
          <w:b/>
          <w:highlight w:val="none"/>
        </w:rPr>
      </w:pPr>
    </w:p>
    <w:p w14:paraId="0E360733">
      <w:pPr>
        <w:rPr>
          <w:rFonts w:hint="eastAsia" w:ascii="宋体" w:hAnsi="宋体" w:cs="宋体"/>
          <w:b/>
          <w:highlight w:val="none"/>
        </w:rPr>
      </w:pPr>
      <w:r>
        <w:rPr>
          <w:rFonts w:hint="eastAsia" w:ascii="宋体" w:hAnsi="宋体" w:cs="宋体"/>
          <w:b/>
          <w:highlight w:val="none"/>
        </w:rPr>
        <w:br w:type="page"/>
      </w:r>
    </w:p>
    <w:p w14:paraId="5AD36B08">
      <w:pPr>
        <w:adjustRightInd w:val="0"/>
        <w:snapToGrid w:val="0"/>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第五章 响应文件组成</w:t>
      </w:r>
    </w:p>
    <w:p w14:paraId="721B0FAD">
      <w:pPr>
        <w:spacing w:line="360" w:lineRule="exact"/>
        <w:rPr>
          <w:rFonts w:ascii="宋体" w:hAnsi="宋体" w:cs="宋体"/>
        </w:rPr>
      </w:pPr>
    </w:p>
    <w:p w14:paraId="36F6F9F4">
      <w:pPr>
        <w:spacing w:line="360" w:lineRule="auto"/>
        <w:rPr>
          <w:rFonts w:ascii="宋体" w:hAnsi="宋体" w:cs="宋体"/>
        </w:rPr>
      </w:pPr>
      <w:r>
        <w:rPr>
          <w:rFonts w:hint="eastAsia" w:ascii="宋体" w:hAnsi="宋体" w:cs="宋体"/>
        </w:rPr>
        <w:t>供应商的响应文件应包含以下十个部分：</w:t>
      </w:r>
    </w:p>
    <w:p w14:paraId="1330177E">
      <w:pPr>
        <w:adjustRightInd w:val="0"/>
        <w:snapToGrid w:val="0"/>
        <w:spacing w:line="360" w:lineRule="auto"/>
        <w:jc w:val="left"/>
        <w:rPr>
          <w:rFonts w:ascii="宋体" w:hAnsi="宋体" w:cs="宋体"/>
          <w:b/>
          <w:szCs w:val="21"/>
        </w:rPr>
      </w:pPr>
      <w:r>
        <w:rPr>
          <w:rFonts w:hint="eastAsia" w:ascii="宋体" w:hAnsi="宋体" w:cs="宋体"/>
          <w:b/>
          <w:szCs w:val="21"/>
        </w:rPr>
        <w:t>一、磋商响应声明</w:t>
      </w:r>
    </w:p>
    <w:p w14:paraId="445696A5">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附件1：法定代表人身份证明</w:t>
      </w:r>
    </w:p>
    <w:p w14:paraId="443FA97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附件2：法定代表人授权委托书</w:t>
      </w:r>
    </w:p>
    <w:p w14:paraId="4D45CA5D">
      <w:pPr>
        <w:adjustRightInd w:val="0"/>
        <w:snapToGrid w:val="0"/>
        <w:spacing w:line="360" w:lineRule="auto"/>
        <w:jc w:val="left"/>
        <w:rPr>
          <w:rFonts w:ascii="宋体" w:hAnsi="宋体" w:cs="宋体"/>
          <w:b/>
          <w:szCs w:val="21"/>
        </w:rPr>
      </w:pPr>
      <w:r>
        <w:rPr>
          <w:rFonts w:hint="eastAsia" w:ascii="宋体" w:hAnsi="宋体" w:cs="宋体"/>
          <w:b/>
          <w:szCs w:val="21"/>
        </w:rPr>
        <w:t>二、磋商保证金缴纳证明材料</w:t>
      </w:r>
    </w:p>
    <w:p w14:paraId="48DDF35B">
      <w:pPr>
        <w:adjustRightInd w:val="0"/>
        <w:snapToGrid w:val="0"/>
        <w:spacing w:line="360" w:lineRule="auto"/>
        <w:ind w:firstLine="420" w:firstLineChars="200"/>
        <w:jc w:val="left"/>
        <w:rPr>
          <w:rFonts w:ascii="宋体" w:hAnsi="宋体" w:cs="宋体"/>
          <w:b/>
          <w:bCs/>
          <w:szCs w:val="21"/>
        </w:rPr>
      </w:pPr>
      <w:r>
        <w:rPr>
          <w:rFonts w:hint="eastAsia" w:ascii="宋体" w:hAnsi="宋体" w:cs="宋体"/>
          <w:szCs w:val="21"/>
        </w:rPr>
        <w:t>附件3：保证金退还申请书</w:t>
      </w:r>
    </w:p>
    <w:p w14:paraId="52BB7690">
      <w:pPr>
        <w:adjustRightInd w:val="0"/>
        <w:snapToGrid w:val="0"/>
        <w:spacing w:line="360" w:lineRule="auto"/>
        <w:jc w:val="left"/>
        <w:rPr>
          <w:rFonts w:ascii="宋体" w:hAnsi="宋体" w:cs="宋体"/>
          <w:b/>
          <w:szCs w:val="21"/>
        </w:rPr>
      </w:pPr>
      <w:r>
        <w:rPr>
          <w:rFonts w:hint="eastAsia" w:ascii="宋体" w:hAnsi="宋体" w:cs="宋体"/>
          <w:b/>
          <w:szCs w:val="21"/>
        </w:rPr>
        <w:t>三、供应商的资格证明资料</w:t>
      </w:r>
    </w:p>
    <w:p w14:paraId="1ABAAFBF">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附件4：供应商基本情况表</w:t>
      </w:r>
    </w:p>
    <w:p w14:paraId="0831788E">
      <w:pPr>
        <w:adjustRightInd w:val="0"/>
        <w:snapToGrid w:val="0"/>
        <w:spacing w:line="360" w:lineRule="auto"/>
        <w:ind w:firstLine="420" w:firstLineChars="200"/>
        <w:rPr>
          <w:rFonts w:ascii="宋体" w:hAnsi="宋体" w:cs="宋体"/>
          <w:szCs w:val="21"/>
        </w:rPr>
      </w:pPr>
      <w:r>
        <w:rPr>
          <w:rFonts w:hint="eastAsia" w:ascii="宋体" w:hAnsi="宋体" w:cs="宋体"/>
          <w:szCs w:val="21"/>
        </w:rPr>
        <w:t>附件5：磋商文件规定的基本资格条件证明资料</w:t>
      </w:r>
    </w:p>
    <w:p w14:paraId="2B9667D3">
      <w:pPr>
        <w:adjustRightInd w:val="0"/>
        <w:snapToGrid w:val="0"/>
        <w:spacing w:line="360" w:lineRule="auto"/>
        <w:ind w:firstLine="420" w:firstLineChars="200"/>
        <w:rPr>
          <w:rFonts w:ascii="宋体" w:hAnsi="宋体" w:cs="宋体"/>
          <w:szCs w:val="21"/>
        </w:rPr>
      </w:pPr>
      <w:r>
        <w:rPr>
          <w:rFonts w:hint="eastAsia" w:ascii="宋体" w:hAnsi="宋体" w:cs="宋体"/>
          <w:szCs w:val="21"/>
        </w:rPr>
        <w:t>附件6：磋商文件规定的特定资格条件证明资料</w:t>
      </w:r>
    </w:p>
    <w:p w14:paraId="177D918E">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附件7：其它说明</w:t>
      </w:r>
    </w:p>
    <w:p w14:paraId="2E811CD6">
      <w:pPr>
        <w:rPr>
          <w:rFonts w:hint="eastAsia" w:ascii="宋体" w:hAnsi="宋体"/>
          <w:b/>
        </w:rPr>
      </w:pPr>
      <w:r>
        <w:rPr>
          <w:rFonts w:hint="eastAsia" w:ascii="宋体" w:hAnsi="宋体"/>
          <w:b/>
        </w:rPr>
        <w:t>四、服务方案说明</w:t>
      </w:r>
    </w:p>
    <w:p w14:paraId="39E3FC15">
      <w:pPr>
        <w:ind w:firstLine="525" w:firstLineChars="250"/>
        <w:rPr>
          <w:rFonts w:hint="eastAsia" w:ascii="宋体" w:hAnsi="宋体"/>
        </w:rPr>
      </w:pPr>
      <w:r>
        <w:rPr>
          <w:rFonts w:hint="eastAsia" w:ascii="宋体" w:hAnsi="宋体"/>
        </w:rPr>
        <w:t>附件8-1：服务方案说明</w:t>
      </w:r>
    </w:p>
    <w:p w14:paraId="1FBDBDD0">
      <w:pPr>
        <w:ind w:firstLine="525" w:firstLineChars="250"/>
        <w:rPr>
          <w:rFonts w:ascii="宋体" w:hAnsi="宋体"/>
        </w:rPr>
      </w:pPr>
      <w:r>
        <w:rPr>
          <w:rFonts w:hint="eastAsia" w:ascii="宋体" w:hAnsi="宋体"/>
        </w:rPr>
        <w:t>附件8-2：主要人员简历表</w:t>
      </w:r>
    </w:p>
    <w:p w14:paraId="4F649376">
      <w:pPr>
        <w:rPr>
          <w:rFonts w:ascii="宋体" w:hAnsi="宋体"/>
          <w:b/>
        </w:rPr>
      </w:pPr>
      <w:r>
        <w:rPr>
          <w:rFonts w:hint="eastAsia" w:ascii="宋体" w:hAnsi="宋体"/>
          <w:b/>
        </w:rPr>
        <w:t>五、技术/商务响应与偏离表</w:t>
      </w:r>
    </w:p>
    <w:p w14:paraId="16285A91">
      <w:pPr>
        <w:rPr>
          <w:rFonts w:ascii="宋体" w:hAnsi="宋体"/>
          <w:b/>
        </w:rPr>
      </w:pPr>
      <w:r>
        <w:rPr>
          <w:rFonts w:hint="eastAsia" w:ascii="宋体" w:hAnsi="宋体"/>
          <w:b/>
        </w:rPr>
        <w:t>六、提供享受政府采购政策的证明资料和清单表</w:t>
      </w:r>
    </w:p>
    <w:p w14:paraId="55EEEE7D">
      <w:pPr>
        <w:ind w:firstLine="525" w:firstLineChars="250"/>
        <w:rPr>
          <w:rFonts w:ascii="宋体" w:hAnsi="宋体"/>
        </w:rPr>
      </w:pPr>
      <w:r>
        <w:rPr>
          <w:rFonts w:hint="eastAsia" w:ascii="宋体" w:hAnsi="宋体"/>
        </w:rPr>
        <w:t>附件9-1：监狱企业声明函</w:t>
      </w:r>
    </w:p>
    <w:p w14:paraId="6084B4EF">
      <w:pPr>
        <w:ind w:firstLine="525" w:firstLineChars="250"/>
        <w:rPr>
          <w:rFonts w:ascii="宋体" w:hAnsi="宋体"/>
        </w:rPr>
      </w:pPr>
      <w:r>
        <w:rPr>
          <w:rFonts w:hint="eastAsia" w:ascii="宋体" w:hAnsi="宋体"/>
        </w:rPr>
        <w:t>附件9-2：残疾人福利性单位声明函</w:t>
      </w:r>
    </w:p>
    <w:p w14:paraId="02B94725">
      <w:pPr>
        <w:ind w:firstLine="525" w:firstLineChars="250"/>
        <w:rPr>
          <w:rFonts w:ascii="宋体" w:hAnsi="宋体"/>
        </w:rPr>
      </w:pPr>
      <w:r>
        <w:rPr>
          <w:rFonts w:hint="eastAsia" w:ascii="宋体" w:hAnsi="宋体"/>
        </w:rPr>
        <w:t>附件9-3：中小企业声明函</w:t>
      </w:r>
    </w:p>
    <w:p w14:paraId="03C45C7E">
      <w:pPr>
        <w:rPr>
          <w:rFonts w:ascii="宋体" w:hAnsi="宋体"/>
          <w:b/>
        </w:rPr>
      </w:pPr>
      <w:r>
        <w:rPr>
          <w:rFonts w:hint="eastAsia" w:ascii="宋体" w:hAnsi="宋体"/>
          <w:b/>
        </w:rPr>
        <w:t>七、报价一览表及分项价格表</w:t>
      </w:r>
    </w:p>
    <w:p w14:paraId="0FD09821">
      <w:pPr>
        <w:ind w:firstLine="525" w:firstLineChars="250"/>
        <w:rPr>
          <w:rFonts w:ascii="宋体" w:hAnsi="宋体"/>
        </w:rPr>
      </w:pPr>
      <w:r>
        <w:rPr>
          <w:rFonts w:hint="eastAsia" w:ascii="宋体" w:hAnsi="宋体"/>
        </w:rPr>
        <w:t>附件10：报价一览表</w:t>
      </w:r>
    </w:p>
    <w:p w14:paraId="6014E678">
      <w:pPr>
        <w:ind w:firstLine="525" w:firstLineChars="250"/>
        <w:rPr>
          <w:rFonts w:ascii="宋体" w:hAnsi="宋体"/>
        </w:rPr>
      </w:pPr>
      <w:r>
        <w:rPr>
          <w:rFonts w:hint="eastAsia" w:ascii="宋体" w:hAnsi="宋体"/>
        </w:rPr>
        <w:t>附件10-1：分项价格表</w:t>
      </w:r>
    </w:p>
    <w:p w14:paraId="001F7CFE">
      <w:pPr>
        <w:rPr>
          <w:rFonts w:ascii="宋体" w:hAnsi="宋体"/>
          <w:b/>
        </w:rPr>
      </w:pPr>
      <w:r>
        <w:rPr>
          <w:rFonts w:hint="eastAsia" w:ascii="宋体" w:hAnsi="宋体"/>
          <w:b/>
        </w:rPr>
        <w:t>八、供应商认为需提供的其它资料</w:t>
      </w:r>
    </w:p>
    <w:p w14:paraId="23B9CCAD">
      <w:pPr>
        <w:rPr>
          <w:rFonts w:ascii="宋体" w:hAnsi="宋体"/>
          <w:b/>
        </w:rPr>
      </w:pPr>
      <w:r>
        <w:rPr>
          <w:rFonts w:hint="eastAsia" w:ascii="宋体" w:hAnsi="宋体"/>
          <w:b/>
        </w:rPr>
        <w:t>九、最后报价</w:t>
      </w:r>
    </w:p>
    <w:p w14:paraId="4EE8010F">
      <w:pPr>
        <w:pStyle w:val="23"/>
        <w:adjustRightInd w:val="0"/>
        <w:snapToGrid w:val="0"/>
        <w:spacing w:line="360" w:lineRule="auto"/>
        <w:rPr>
          <w:rFonts w:hAnsi="宋体"/>
          <w:b/>
        </w:rPr>
      </w:pPr>
    </w:p>
    <w:p w14:paraId="10398E4B">
      <w:pPr>
        <w:pStyle w:val="23"/>
        <w:adjustRightInd w:val="0"/>
        <w:snapToGrid w:val="0"/>
        <w:spacing w:line="360" w:lineRule="auto"/>
        <w:rPr>
          <w:rFonts w:hAnsi="宋体" w:cs="宋体"/>
          <w:b/>
        </w:rPr>
      </w:pPr>
    </w:p>
    <w:p w14:paraId="3A78EE7E">
      <w:pPr>
        <w:pStyle w:val="23"/>
        <w:adjustRightInd w:val="0"/>
        <w:snapToGrid w:val="0"/>
        <w:spacing w:line="360" w:lineRule="auto"/>
        <w:rPr>
          <w:rFonts w:hAnsi="宋体" w:cs="宋体"/>
          <w:b/>
        </w:rPr>
      </w:pPr>
    </w:p>
    <w:p w14:paraId="3892DC1A">
      <w:pPr>
        <w:pStyle w:val="23"/>
        <w:adjustRightInd w:val="0"/>
        <w:snapToGrid w:val="0"/>
        <w:spacing w:line="360" w:lineRule="auto"/>
        <w:rPr>
          <w:rFonts w:hAnsi="宋体" w:cs="宋体"/>
          <w:b/>
        </w:rPr>
      </w:pPr>
    </w:p>
    <w:p w14:paraId="4148DAD4">
      <w:pPr>
        <w:pStyle w:val="23"/>
        <w:adjustRightInd w:val="0"/>
        <w:snapToGrid w:val="0"/>
        <w:spacing w:line="360" w:lineRule="auto"/>
        <w:rPr>
          <w:rFonts w:hAnsi="宋体" w:cs="宋体"/>
          <w:b/>
        </w:rPr>
      </w:pPr>
    </w:p>
    <w:p w14:paraId="58F65BF5">
      <w:pPr>
        <w:pStyle w:val="23"/>
        <w:adjustRightInd w:val="0"/>
        <w:snapToGrid w:val="0"/>
        <w:spacing w:line="360" w:lineRule="auto"/>
        <w:rPr>
          <w:rFonts w:hAnsi="宋体" w:cs="宋体"/>
          <w:b/>
        </w:rPr>
      </w:pPr>
    </w:p>
    <w:p w14:paraId="748FFBED">
      <w:pPr>
        <w:pStyle w:val="23"/>
        <w:adjustRightInd w:val="0"/>
        <w:snapToGrid w:val="0"/>
        <w:spacing w:line="360" w:lineRule="auto"/>
        <w:rPr>
          <w:rFonts w:hAnsi="宋体" w:cs="宋体"/>
          <w:b/>
        </w:rPr>
      </w:pPr>
    </w:p>
    <w:p w14:paraId="18CC4087">
      <w:pPr>
        <w:pStyle w:val="23"/>
        <w:adjustRightInd w:val="0"/>
        <w:snapToGrid w:val="0"/>
        <w:spacing w:line="360" w:lineRule="auto"/>
        <w:rPr>
          <w:rFonts w:hAnsi="宋体" w:cs="宋体"/>
          <w:b/>
        </w:rPr>
      </w:pPr>
    </w:p>
    <w:p w14:paraId="0F84B6ED">
      <w:pPr>
        <w:spacing w:line="360" w:lineRule="exact"/>
        <w:rPr>
          <w:rFonts w:ascii="宋体" w:hAnsi="宋体" w:cs="宋体"/>
          <w:sz w:val="32"/>
          <w:szCs w:val="32"/>
        </w:rPr>
      </w:pPr>
      <w:r>
        <w:rPr>
          <w:rFonts w:hint="eastAsia" w:ascii="宋体" w:hAnsi="宋体" w:cs="宋体"/>
          <w:b/>
        </w:rPr>
        <w:t xml:space="preserve"> </w:t>
      </w:r>
    </w:p>
    <w:p w14:paraId="0B728398">
      <w:pPr>
        <w:spacing w:line="360" w:lineRule="exact"/>
        <w:jc w:val="center"/>
        <w:rPr>
          <w:rFonts w:ascii="宋体" w:hAnsi="宋体" w:cs="宋体"/>
          <w:sz w:val="32"/>
          <w:szCs w:val="32"/>
        </w:rPr>
      </w:pPr>
    </w:p>
    <w:p w14:paraId="27317940">
      <w:pPr>
        <w:spacing w:line="360" w:lineRule="exact"/>
        <w:jc w:val="center"/>
        <w:outlineLvl w:val="1"/>
        <w:rPr>
          <w:rFonts w:ascii="宋体" w:hAnsi="宋体" w:cs="宋体"/>
          <w:b/>
          <w:sz w:val="32"/>
          <w:szCs w:val="32"/>
        </w:rPr>
      </w:pPr>
      <w:r>
        <w:rPr>
          <w:rFonts w:hint="eastAsia" w:ascii="宋体" w:hAnsi="宋体" w:cs="宋体"/>
          <w:b/>
          <w:sz w:val="32"/>
          <w:szCs w:val="32"/>
        </w:rPr>
        <w:t>一、磋商响应声明</w:t>
      </w:r>
    </w:p>
    <w:p w14:paraId="781451ED">
      <w:pPr>
        <w:adjustRightInd w:val="0"/>
        <w:snapToGrid w:val="0"/>
        <w:spacing w:line="360" w:lineRule="auto"/>
        <w:rPr>
          <w:rFonts w:ascii="宋体" w:hAnsi="宋体" w:cs="宋体"/>
          <w:sz w:val="24"/>
        </w:rPr>
      </w:pPr>
    </w:p>
    <w:p w14:paraId="4C4D9AF5">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14:paraId="233DE652">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项目名称)的竞争性磋商文件（项目编号：</w:t>
      </w:r>
      <w:r>
        <w:rPr>
          <w:rFonts w:hint="eastAsia" w:ascii="宋体" w:hAnsi="宋体" w:cs="宋体"/>
          <w:szCs w:val="21"/>
          <w:u w:val="single"/>
        </w:rPr>
        <w:t xml:space="preserve">            </w:t>
      </w:r>
      <w:r>
        <w:rPr>
          <w:rFonts w:hint="eastAsia" w:ascii="宋体" w:hAnsi="宋体" w:cs="宋体"/>
          <w:szCs w:val="21"/>
        </w:rPr>
        <w:t xml:space="preserve"> ；采购代理编号：</w:t>
      </w:r>
      <w:r>
        <w:rPr>
          <w:rFonts w:hint="eastAsia" w:ascii="宋体" w:hAnsi="宋体" w:cs="宋体"/>
          <w:szCs w:val="21"/>
          <w:u w:val="single"/>
        </w:rPr>
        <w:t xml:space="preserve">           </w:t>
      </w:r>
      <w:r>
        <w:rPr>
          <w:rFonts w:hint="eastAsia" w:ascii="宋体" w:hAnsi="宋体" w:cs="宋体"/>
          <w:szCs w:val="21"/>
        </w:rPr>
        <w:t>）的全部内容，</w:t>
      </w:r>
      <w:r>
        <w:rPr>
          <w:rFonts w:hint="eastAsia" w:ascii="宋体" w:hAnsi="宋体" w:cs="宋体"/>
        </w:rPr>
        <w:t>知悉参加竞争性磋商的风险，我方承诺接受磋商文件的全部条款且无任何异议。</w:t>
      </w:r>
    </w:p>
    <w:p w14:paraId="173ABE2C">
      <w:pPr>
        <w:pStyle w:val="23"/>
        <w:adjustRightInd w:val="0"/>
        <w:snapToGrid w:val="0"/>
        <w:spacing w:line="360" w:lineRule="auto"/>
        <w:ind w:firstLine="420" w:firstLineChars="200"/>
        <w:rPr>
          <w:rFonts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14:paraId="5B6E4774">
      <w:pPr>
        <w:pStyle w:val="23"/>
        <w:adjustRightInd w:val="0"/>
        <w:snapToGrid w:val="0"/>
        <w:spacing w:line="360" w:lineRule="auto"/>
        <w:ind w:firstLine="420" w:firstLineChars="200"/>
        <w:rPr>
          <w:rFonts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14:paraId="404AE206">
      <w:pPr>
        <w:pStyle w:val="23"/>
        <w:adjustRightInd w:val="0"/>
        <w:snapToGrid w:val="0"/>
        <w:spacing w:line="360" w:lineRule="auto"/>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14:paraId="01036975">
      <w:pPr>
        <w:pStyle w:val="23"/>
        <w:adjustRightInd w:val="0"/>
        <w:snapToGrid w:val="0"/>
        <w:spacing w:line="360" w:lineRule="auto"/>
        <w:ind w:firstLine="420" w:firstLineChars="200"/>
        <w:rPr>
          <w:rFonts w:hAnsi="宋体" w:cs="宋体"/>
        </w:rPr>
      </w:pPr>
      <w:r>
        <w:rPr>
          <w:rFonts w:hint="eastAsia" w:hAnsi="宋体" w:cs="宋体"/>
        </w:rPr>
        <w:t>四、我方愿意按磋商文件规定和磋商小组要求重新提交响应文件。</w:t>
      </w:r>
    </w:p>
    <w:p w14:paraId="25403CF8">
      <w:pPr>
        <w:pStyle w:val="23"/>
        <w:adjustRightInd w:val="0"/>
        <w:snapToGrid w:val="0"/>
        <w:spacing w:line="360" w:lineRule="auto"/>
        <w:ind w:firstLine="420" w:firstLineChars="20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5D507A0B">
      <w:pPr>
        <w:pStyle w:val="23"/>
        <w:adjustRightInd w:val="0"/>
        <w:snapToGrid w:val="0"/>
        <w:spacing w:line="360" w:lineRule="auto"/>
        <w:ind w:firstLine="420" w:firstLineChars="200"/>
        <w:rPr>
          <w:rFonts w:hAnsi="宋体" w:cs="宋体"/>
        </w:rPr>
      </w:pPr>
      <w:r>
        <w:rPr>
          <w:rFonts w:hint="eastAsia" w:hAnsi="宋体" w:cs="宋体"/>
        </w:rPr>
        <w:t xml:space="preserve">六、我方在此声明： </w:t>
      </w:r>
    </w:p>
    <w:p w14:paraId="0678A5B7">
      <w:pPr>
        <w:pStyle w:val="23"/>
        <w:adjustRightInd w:val="0"/>
        <w:snapToGrid w:val="0"/>
        <w:spacing w:line="360" w:lineRule="auto"/>
        <w:ind w:firstLine="420" w:firstLineChars="200"/>
        <w:rPr>
          <w:rFonts w:hAnsi="宋体" w:cs="宋体"/>
        </w:rPr>
      </w:pPr>
      <w:r>
        <w:rPr>
          <w:rFonts w:hint="eastAsia" w:hAnsi="宋体" w:cs="宋体"/>
        </w:rPr>
        <w:t>（一）我方与采购人或采购代理机构不存在隶属关系或者其它利害关系。</w:t>
      </w:r>
    </w:p>
    <w:p w14:paraId="6813D8F3">
      <w:pPr>
        <w:pStyle w:val="23"/>
        <w:adjustRightInd w:val="0"/>
        <w:snapToGrid w:val="0"/>
        <w:spacing w:line="360" w:lineRule="auto"/>
        <w:ind w:firstLine="420" w:firstLineChars="200"/>
        <w:rPr>
          <w:rFonts w:hAnsi="宋体" w:cs="宋体"/>
        </w:rPr>
      </w:pPr>
      <w:r>
        <w:rPr>
          <w:rFonts w:hint="eastAsia" w:hAnsi="宋体" w:cs="宋体"/>
        </w:rPr>
        <w:t>（二）我方与参加本项目的其它供应商不存在直接控股、管理关系，或者与其它供应商法定代表人（或者负责人）为同一人。</w:t>
      </w:r>
    </w:p>
    <w:p w14:paraId="0ED5D9A6">
      <w:pPr>
        <w:pStyle w:val="23"/>
        <w:adjustRightInd w:val="0"/>
        <w:snapToGrid w:val="0"/>
        <w:spacing w:line="360" w:lineRule="auto"/>
        <w:ind w:firstLine="420" w:firstLineChars="200"/>
        <w:rPr>
          <w:rFonts w:hAnsi="宋体" w:cs="宋体"/>
        </w:rPr>
      </w:pPr>
      <w:r>
        <w:rPr>
          <w:rFonts w:hint="eastAsia" w:hAnsi="宋体" w:cs="宋体"/>
        </w:rPr>
        <w:t>（三）我方未为本项目前期准备提供设计或咨询服务。</w:t>
      </w:r>
    </w:p>
    <w:p w14:paraId="712C4696">
      <w:pPr>
        <w:pStyle w:val="23"/>
        <w:adjustRightInd w:val="0"/>
        <w:snapToGrid w:val="0"/>
        <w:spacing w:line="360" w:lineRule="auto"/>
        <w:ind w:firstLine="420" w:firstLineChars="200"/>
        <w:rPr>
          <w:rFonts w:hAnsi="宋体" w:cs="宋体"/>
        </w:rPr>
      </w:pPr>
      <w:r>
        <w:rPr>
          <w:rFonts w:hint="eastAsia" w:hAnsi="宋体" w:cs="宋体"/>
        </w:rPr>
        <w:t>（四）我方承诺（承诺期：成立三年以上的，为提交首次响应文件截止时间前三年内；成立不足三年的，为实际时间）：</w:t>
      </w:r>
    </w:p>
    <w:p w14:paraId="3CE33D4C">
      <w:pPr>
        <w:pStyle w:val="23"/>
        <w:adjustRightInd w:val="0"/>
        <w:snapToGrid w:val="0"/>
        <w:spacing w:line="360" w:lineRule="auto"/>
        <w:ind w:firstLine="420" w:firstLineChars="200"/>
        <w:rPr>
          <w:rFonts w:hAnsi="宋体" w:cs="宋体"/>
        </w:rPr>
      </w:pPr>
      <w:r>
        <w:rPr>
          <w:rFonts w:hint="eastAsia" w:hAnsi="宋体" w:cs="宋体"/>
        </w:rPr>
        <w:t>1、我方依法缴纳了各项税费及各项社会保障资金，没有偷税、漏税及欠缴行为。</w:t>
      </w:r>
    </w:p>
    <w:p w14:paraId="77A0A9AB">
      <w:pPr>
        <w:pStyle w:val="23"/>
        <w:adjustRightInd w:val="0"/>
        <w:snapToGrid w:val="0"/>
        <w:spacing w:line="360" w:lineRule="auto"/>
        <w:ind w:firstLine="420" w:firstLineChars="200"/>
        <w:rPr>
          <w:rFonts w:hAnsi="宋体" w:cs="宋体"/>
        </w:rPr>
      </w:pPr>
      <w:r>
        <w:rPr>
          <w:rFonts w:hint="eastAsia" w:hAnsi="宋体" w:cs="宋体"/>
        </w:rPr>
        <w:t>2、我单位在参加采购项目政府采购活动前三年内，在经营活动中，未因违法经营受到刑事处罚或者责令停产停业、吊销许可证或者执照、较大数额罚款等行政处罚。其中较大数额罚款是指：200万元以上的罚款；法律法规另有规定的，从其规定。</w:t>
      </w:r>
    </w:p>
    <w:p w14:paraId="6B86BDB3">
      <w:pPr>
        <w:adjustRightInd w:val="0"/>
        <w:snapToGrid w:val="0"/>
        <w:spacing w:line="360" w:lineRule="auto"/>
        <w:ind w:right="24"/>
        <w:rPr>
          <w:rFonts w:ascii="宋体" w:hAnsi="宋体" w:cs="宋体"/>
          <w:szCs w:val="21"/>
        </w:rPr>
      </w:pPr>
      <w:r>
        <w:rPr>
          <w:rFonts w:hint="eastAsia" w:ascii="宋体" w:hAnsi="宋体" w:cs="宋体"/>
          <w:bCs/>
          <w:szCs w:val="21"/>
        </w:rPr>
        <w:t>附件1：</w:t>
      </w:r>
      <w:r>
        <w:rPr>
          <w:rFonts w:hint="eastAsia" w:ascii="宋体" w:hAnsi="宋体" w:cs="宋体"/>
          <w:szCs w:val="21"/>
        </w:rPr>
        <w:t>法定代表人身份证明</w:t>
      </w:r>
    </w:p>
    <w:p w14:paraId="1FE29538">
      <w:pPr>
        <w:adjustRightInd w:val="0"/>
        <w:snapToGrid w:val="0"/>
        <w:spacing w:line="360" w:lineRule="auto"/>
        <w:ind w:right="24"/>
        <w:rPr>
          <w:rFonts w:ascii="宋体" w:hAnsi="宋体" w:cs="宋体"/>
          <w:szCs w:val="21"/>
        </w:rPr>
      </w:pPr>
      <w:r>
        <w:rPr>
          <w:rFonts w:hint="eastAsia" w:ascii="宋体" w:hAnsi="宋体" w:cs="宋体"/>
          <w:bCs/>
          <w:szCs w:val="21"/>
        </w:rPr>
        <w:t>附件2</w:t>
      </w:r>
      <w:r>
        <w:rPr>
          <w:rFonts w:hint="eastAsia" w:ascii="宋体" w:hAnsi="宋体" w:cs="宋体"/>
          <w:szCs w:val="21"/>
        </w:rPr>
        <w:t>：法定代表人授权书</w:t>
      </w:r>
    </w:p>
    <w:p w14:paraId="638467F5">
      <w:pPr>
        <w:pStyle w:val="23"/>
        <w:adjustRightInd w:val="0"/>
        <w:snapToGrid w:val="0"/>
        <w:spacing w:line="360" w:lineRule="auto"/>
        <w:rPr>
          <w:rFonts w:hAnsi="宋体" w:cs="宋体"/>
        </w:rPr>
      </w:pPr>
    </w:p>
    <w:p w14:paraId="0BE54181">
      <w:pPr>
        <w:pStyle w:val="23"/>
        <w:adjustRightInd w:val="0"/>
        <w:snapToGrid w:val="0"/>
        <w:spacing w:line="360" w:lineRule="auto"/>
        <w:rPr>
          <w:rFonts w:hAnsi="宋体" w:cs="宋体"/>
        </w:rPr>
      </w:pPr>
      <w:r>
        <w:rPr>
          <w:rFonts w:hint="eastAsia" w:hAnsi="宋体" w:cs="宋体"/>
        </w:rPr>
        <w:t>供应商名称(盖单位章)：</w:t>
      </w:r>
    </w:p>
    <w:p w14:paraId="237B1BE5">
      <w:pPr>
        <w:adjustRightInd w:val="0"/>
        <w:snapToGrid w:val="0"/>
        <w:spacing w:line="360" w:lineRule="auto"/>
        <w:rPr>
          <w:rFonts w:ascii="宋体" w:hAnsi="宋体" w:cs="宋体"/>
          <w:szCs w:val="21"/>
        </w:rPr>
      </w:pPr>
      <w:r>
        <w:rPr>
          <w:rFonts w:hint="eastAsia" w:ascii="宋体" w:hAnsi="宋体" w:cs="宋体"/>
          <w:szCs w:val="21"/>
        </w:rPr>
        <w:t>法定代表人或其委托代理人 (签字)：</w:t>
      </w:r>
      <w:r>
        <w:rPr>
          <w:rFonts w:hint="eastAsia" w:ascii="宋体" w:hAnsi="宋体" w:cs="宋体"/>
          <w:szCs w:val="21"/>
          <w:u w:val="single"/>
        </w:rPr>
        <w:t xml:space="preserve">            </w:t>
      </w:r>
    </w:p>
    <w:p w14:paraId="16F41094">
      <w:pPr>
        <w:adjustRightInd w:val="0"/>
        <w:snapToGrid w:val="0"/>
        <w:spacing w:line="360" w:lineRule="auto"/>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144795C">
      <w:pPr>
        <w:pStyle w:val="17"/>
      </w:pPr>
    </w:p>
    <w:p w14:paraId="1B3CFCE5">
      <w:pPr>
        <w:adjustRightInd w:val="0"/>
        <w:snapToGrid w:val="0"/>
        <w:spacing w:line="360" w:lineRule="auto"/>
        <w:ind w:right="24"/>
        <w:rPr>
          <w:rFonts w:ascii="宋体" w:hAnsi="宋体" w:cs="宋体"/>
          <w:bCs/>
          <w:sz w:val="30"/>
          <w:szCs w:val="30"/>
        </w:rPr>
      </w:pPr>
      <w:r>
        <w:rPr>
          <w:rFonts w:hint="eastAsia" w:ascii="宋体" w:hAnsi="宋体" w:cs="宋体"/>
          <w:bCs/>
          <w:sz w:val="30"/>
          <w:szCs w:val="30"/>
        </w:rPr>
        <w:t>附件1</w:t>
      </w:r>
    </w:p>
    <w:p w14:paraId="56E56F15">
      <w:pPr>
        <w:jc w:val="center"/>
        <w:rPr>
          <w:rFonts w:ascii="宋体" w:hAnsi="宋体" w:cs="宋体"/>
          <w:b/>
          <w:sz w:val="30"/>
          <w:szCs w:val="30"/>
        </w:rPr>
      </w:pPr>
      <w:r>
        <w:rPr>
          <w:rFonts w:hint="eastAsia" w:ascii="宋体" w:hAnsi="宋体" w:cs="宋体"/>
          <w:b/>
          <w:sz w:val="30"/>
          <w:szCs w:val="30"/>
        </w:rPr>
        <w:t>法定代表人身份证明</w:t>
      </w:r>
    </w:p>
    <w:p w14:paraId="0D381701">
      <w:pPr>
        <w:snapToGrid w:val="0"/>
        <w:spacing w:line="480" w:lineRule="auto"/>
        <w:rPr>
          <w:rFonts w:ascii="宋体" w:hAnsi="宋体" w:cs="宋体"/>
          <w:szCs w:val="21"/>
        </w:rPr>
      </w:pPr>
    </w:p>
    <w:p w14:paraId="5193D76A">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E58F06A">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注册号（统一社会信用代码）：</w:t>
      </w:r>
      <w:r>
        <w:rPr>
          <w:rFonts w:hint="eastAsia" w:ascii="宋体" w:hAnsi="宋体" w:cs="宋体"/>
          <w:kern w:val="0"/>
          <w:szCs w:val="21"/>
          <w:u w:val="single"/>
        </w:rPr>
        <w:t xml:space="preserve">                  </w:t>
      </w:r>
    </w:p>
    <w:p w14:paraId="397048E3">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0B275AA8">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4027ED7E">
      <w:pPr>
        <w:autoSpaceDE w:val="0"/>
        <w:autoSpaceDN w:val="0"/>
        <w:adjustRightInd w:val="0"/>
        <w:snapToGrid w:val="0"/>
        <w:spacing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14:paraId="42EF61C1">
      <w:pPr>
        <w:autoSpaceDE w:val="0"/>
        <w:autoSpaceDN w:val="0"/>
        <w:adjustRightInd w:val="0"/>
        <w:snapToGrid w:val="0"/>
        <w:spacing w:line="360" w:lineRule="auto"/>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14:paraId="6A00C98C">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供应商</w:t>
      </w:r>
      <w:r>
        <w:rPr>
          <w:rFonts w:hint="eastAsia" w:ascii="宋体" w:hAnsi="宋体" w:cs="宋体"/>
          <w:kern w:val="0"/>
          <w:szCs w:val="21"/>
        </w:rPr>
        <w:t>名称）的法定代表人。</w:t>
      </w:r>
    </w:p>
    <w:p w14:paraId="1796C940">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特此证明。</w:t>
      </w:r>
    </w:p>
    <w:p w14:paraId="7C9042B8">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szCs w:val="21"/>
        </w:rPr>
        <w:t>附：法定代表人身份证复印件</w:t>
      </w:r>
    </w:p>
    <w:p w14:paraId="4B9463AA">
      <w:pPr>
        <w:snapToGrid w:val="0"/>
        <w:spacing w:line="480" w:lineRule="auto"/>
        <w:rPr>
          <w:rFonts w:ascii="宋体" w:hAnsi="宋体" w:cs="宋体"/>
          <w:szCs w:val="21"/>
        </w:rPr>
      </w:pPr>
    </w:p>
    <w:p w14:paraId="6FABE02A">
      <w:pPr>
        <w:snapToGrid w:val="0"/>
        <w:rPr>
          <w:rFonts w:ascii="宋体" w:hAnsi="宋体" w:cs="宋体"/>
          <w:szCs w:val="21"/>
        </w:rPr>
      </w:pPr>
    </w:p>
    <w:p w14:paraId="5F3124B9">
      <w:pPr>
        <w:snapToGrid w:val="0"/>
        <w:rPr>
          <w:rFonts w:ascii="宋体" w:hAnsi="宋体" w:cs="宋体"/>
          <w:szCs w:val="21"/>
        </w:rPr>
      </w:pPr>
    </w:p>
    <w:p w14:paraId="2B165BC2">
      <w:pPr>
        <w:snapToGrid w:val="0"/>
        <w:rPr>
          <w:rFonts w:ascii="宋体" w:hAnsi="宋体" w:cs="宋体"/>
          <w:szCs w:val="21"/>
        </w:rPr>
      </w:pPr>
    </w:p>
    <w:p w14:paraId="18425A93">
      <w:pPr>
        <w:snapToGrid w:val="0"/>
        <w:rPr>
          <w:rFonts w:ascii="宋体" w:hAnsi="宋体" w:cs="宋体"/>
          <w:szCs w:val="21"/>
        </w:rPr>
      </w:pPr>
    </w:p>
    <w:p w14:paraId="6FAC0ABA">
      <w:pPr>
        <w:adjustRightInd w:val="0"/>
        <w:snapToGrid w:val="0"/>
        <w:spacing w:line="360" w:lineRule="auto"/>
        <w:rPr>
          <w:rFonts w:ascii="宋体" w:hAnsi="宋体" w:cs="宋体"/>
          <w:szCs w:val="21"/>
        </w:rPr>
      </w:pPr>
    </w:p>
    <w:p w14:paraId="2B3CACCE">
      <w:pPr>
        <w:adjustRightInd w:val="0"/>
        <w:snapToGrid w:val="0"/>
        <w:spacing w:line="360" w:lineRule="auto"/>
        <w:ind w:right="420"/>
        <w:rPr>
          <w:rFonts w:ascii="宋体" w:hAnsi="宋体" w:cs="宋体"/>
          <w:szCs w:val="21"/>
        </w:rPr>
      </w:pPr>
      <w:r>
        <w:rPr>
          <w:rFonts w:hint="eastAsia" w:ascii="宋体" w:hAnsi="宋体" w:cs="宋体"/>
          <w:szCs w:val="21"/>
        </w:rPr>
        <w:t>供应商名称（盖单位章）：</w:t>
      </w:r>
    </w:p>
    <w:p w14:paraId="724AB032">
      <w:pPr>
        <w:adjustRightInd w:val="0"/>
        <w:snapToGrid w:val="0"/>
        <w:spacing w:line="360" w:lineRule="auto"/>
        <w:ind w:right="42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07403B0A">
      <w:pPr>
        <w:adjustRightInd w:val="0"/>
        <w:snapToGrid w:val="0"/>
        <w:spacing w:before="156" w:beforeLines="50" w:line="360" w:lineRule="auto"/>
        <w:rPr>
          <w:rFonts w:ascii="宋体" w:hAnsi="宋体" w:cs="宋体"/>
          <w:szCs w:val="21"/>
        </w:rPr>
      </w:pPr>
    </w:p>
    <w:p w14:paraId="78C20723">
      <w:pPr>
        <w:adjustRightInd w:val="0"/>
        <w:snapToGrid w:val="0"/>
        <w:spacing w:before="156" w:beforeLines="50" w:line="360" w:lineRule="auto"/>
        <w:rPr>
          <w:rFonts w:ascii="宋体" w:hAnsi="宋体" w:cs="宋体"/>
          <w:szCs w:val="21"/>
        </w:rPr>
      </w:pPr>
    </w:p>
    <w:p w14:paraId="6AEC8674">
      <w:pPr>
        <w:adjustRightInd w:val="0"/>
        <w:snapToGrid w:val="0"/>
        <w:spacing w:before="156" w:beforeLines="50" w:line="360" w:lineRule="auto"/>
        <w:rPr>
          <w:rFonts w:ascii="宋体" w:hAnsi="宋体" w:cs="宋体"/>
          <w:bCs/>
          <w:sz w:val="30"/>
          <w:szCs w:val="30"/>
        </w:rPr>
      </w:pPr>
    </w:p>
    <w:p w14:paraId="4BA8D258">
      <w:pPr>
        <w:spacing w:line="560" w:lineRule="exact"/>
        <w:ind w:firstLine="573"/>
        <w:rPr>
          <w:rFonts w:hint="eastAsia" w:ascii="黑体" w:hAnsi="黑体" w:eastAsia="黑体" w:cs="宋体"/>
          <w:bCs/>
          <w:sz w:val="24"/>
          <w:lang w:val="zh-CN"/>
        </w:rPr>
      </w:pPr>
      <w:r>
        <w:rPr>
          <w:rFonts w:hint="eastAsia" w:ascii="黑体" w:hAnsi="黑体" w:eastAsia="黑体" w:cs="宋体"/>
          <w:bCs/>
          <w:sz w:val="24"/>
        </w:rPr>
        <w:t>注：法定代表人参与投标时，需单独携带身份证原件及法定代表人资格证明书至开标现场</w:t>
      </w:r>
    </w:p>
    <w:p w14:paraId="12E24275">
      <w:pPr>
        <w:adjustRightInd w:val="0"/>
        <w:snapToGrid w:val="0"/>
        <w:spacing w:before="156" w:beforeLines="50" w:line="360" w:lineRule="auto"/>
        <w:rPr>
          <w:rFonts w:ascii="宋体" w:hAnsi="宋体" w:cs="宋体"/>
          <w:bCs/>
          <w:sz w:val="30"/>
          <w:szCs w:val="30"/>
        </w:rPr>
      </w:pPr>
    </w:p>
    <w:p w14:paraId="396CFABB">
      <w:pPr>
        <w:adjustRightInd w:val="0"/>
        <w:snapToGrid w:val="0"/>
        <w:spacing w:before="156" w:beforeLines="50" w:line="360" w:lineRule="auto"/>
        <w:rPr>
          <w:rFonts w:ascii="宋体" w:hAnsi="宋体" w:cs="宋体"/>
          <w:bCs/>
          <w:sz w:val="30"/>
          <w:szCs w:val="30"/>
        </w:rPr>
      </w:pPr>
    </w:p>
    <w:p w14:paraId="0767218A">
      <w:pPr>
        <w:adjustRightInd w:val="0"/>
        <w:snapToGrid w:val="0"/>
        <w:spacing w:before="156" w:beforeLines="50" w:line="360" w:lineRule="auto"/>
        <w:rPr>
          <w:rFonts w:ascii="宋体" w:hAnsi="宋体" w:cs="宋体"/>
          <w:bCs/>
          <w:sz w:val="30"/>
          <w:szCs w:val="30"/>
        </w:rPr>
      </w:pPr>
    </w:p>
    <w:p w14:paraId="42101C89">
      <w:pPr>
        <w:adjustRightInd w:val="0"/>
        <w:snapToGrid w:val="0"/>
        <w:spacing w:before="156" w:beforeLines="50" w:line="360" w:lineRule="auto"/>
        <w:rPr>
          <w:rFonts w:ascii="宋体" w:hAnsi="宋体" w:cs="宋体"/>
          <w:bCs/>
          <w:sz w:val="30"/>
          <w:szCs w:val="30"/>
        </w:rPr>
      </w:pPr>
    </w:p>
    <w:p w14:paraId="7F339CA2">
      <w:pPr>
        <w:adjustRightInd w:val="0"/>
        <w:snapToGrid w:val="0"/>
        <w:spacing w:before="156" w:beforeLines="50" w:line="360" w:lineRule="auto"/>
        <w:rPr>
          <w:rFonts w:ascii="宋体" w:hAnsi="宋体" w:cs="宋体"/>
          <w:bCs/>
          <w:sz w:val="30"/>
          <w:szCs w:val="30"/>
        </w:rPr>
      </w:pPr>
    </w:p>
    <w:p w14:paraId="6F6A8A47">
      <w:pPr>
        <w:adjustRightInd w:val="0"/>
        <w:snapToGrid w:val="0"/>
        <w:spacing w:before="156" w:beforeLines="50" w:line="360" w:lineRule="auto"/>
        <w:rPr>
          <w:rFonts w:ascii="宋体" w:hAnsi="宋体" w:cs="宋体"/>
          <w:sz w:val="30"/>
          <w:szCs w:val="30"/>
        </w:rPr>
      </w:pPr>
      <w:r>
        <w:rPr>
          <w:rFonts w:hint="eastAsia" w:ascii="宋体" w:hAnsi="宋体" w:cs="宋体"/>
          <w:bCs/>
          <w:sz w:val="30"/>
          <w:szCs w:val="30"/>
        </w:rPr>
        <w:t>附件2</w:t>
      </w:r>
    </w:p>
    <w:p w14:paraId="400FF36F">
      <w:pPr>
        <w:jc w:val="center"/>
        <w:rPr>
          <w:rFonts w:ascii="宋体" w:hAnsi="宋体" w:cs="宋体"/>
          <w:b/>
          <w:sz w:val="30"/>
          <w:szCs w:val="30"/>
        </w:rPr>
      </w:pPr>
      <w:r>
        <w:rPr>
          <w:rFonts w:hint="eastAsia" w:ascii="宋体" w:hAnsi="宋体" w:cs="宋体"/>
          <w:b/>
          <w:sz w:val="30"/>
          <w:szCs w:val="30"/>
        </w:rPr>
        <w:t>法定代表人授权委托书</w:t>
      </w:r>
    </w:p>
    <w:p w14:paraId="4C7E28AC">
      <w:pPr>
        <w:adjustRightInd w:val="0"/>
        <w:snapToGrid w:val="0"/>
        <w:spacing w:line="360" w:lineRule="auto"/>
        <w:jc w:val="center"/>
        <w:rPr>
          <w:rFonts w:ascii="宋体" w:hAnsi="宋体" w:cs="宋体"/>
          <w:b/>
          <w:sz w:val="28"/>
          <w:szCs w:val="28"/>
        </w:rPr>
      </w:pPr>
    </w:p>
    <w:p w14:paraId="0C1E9703">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szCs w:val="21"/>
        </w:rPr>
        <w:t>政府</w:t>
      </w:r>
      <w:r>
        <w:rPr>
          <w:rFonts w:hint="eastAsia" w:ascii="宋体" w:hAnsi="宋体" w:cs="宋体"/>
          <w:kern w:val="0"/>
          <w:szCs w:val="21"/>
        </w:rPr>
        <w:t>采购编号、采购代理机构编号）响应文件；(2)签署并重新提交响应文件及最后报价；(3)签订合同和处理有关事宜，其法律后果由我方承担；（4）询问、质疑、投诉等相关事项，其法律后果由我方承担。</w:t>
      </w:r>
    </w:p>
    <w:p w14:paraId="5F76FDE1">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14:paraId="0A0A49D9">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7575BE2C">
      <w:pPr>
        <w:spacing w:line="360" w:lineRule="auto"/>
        <w:ind w:firstLine="435"/>
        <w:rPr>
          <w:rFonts w:ascii="宋体" w:hAnsi="宋体" w:cs="宋体"/>
          <w:kern w:val="0"/>
          <w:szCs w:val="21"/>
        </w:rPr>
      </w:pPr>
      <w:r>
        <w:rPr>
          <w:rFonts w:hint="eastAsia" w:ascii="宋体" w:hAnsi="宋体" w:cs="宋体"/>
          <w:kern w:val="0"/>
          <w:szCs w:val="21"/>
        </w:rPr>
        <w:t>代理人无转委托权。</w:t>
      </w:r>
    </w:p>
    <w:p w14:paraId="2C5DC5AB">
      <w:pPr>
        <w:spacing w:line="360" w:lineRule="auto"/>
        <w:ind w:firstLine="435"/>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1986092D">
      <w:pPr>
        <w:adjustRightInd w:val="0"/>
        <w:snapToGrid w:val="0"/>
        <w:spacing w:before="156" w:beforeLines="50" w:line="360" w:lineRule="auto"/>
        <w:ind w:firstLine="420" w:firstLineChars="200"/>
        <w:rPr>
          <w:rFonts w:ascii="宋体" w:hAnsi="宋体" w:cs="宋体"/>
          <w:szCs w:val="21"/>
        </w:rPr>
      </w:pPr>
      <w:r>
        <w:rPr>
          <w:rFonts w:hint="eastAsia" w:ascii="宋体" w:hAnsi="宋体" w:cs="宋体"/>
          <w:szCs w:val="21"/>
        </w:rPr>
        <w:t>附：委托代理人身份证复印件及法定代表人身份证明(附件1，原件)</w:t>
      </w:r>
    </w:p>
    <w:p w14:paraId="516FBDC5">
      <w:pPr>
        <w:adjustRightInd w:val="0"/>
        <w:snapToGrid w:val="0"/>
        <w:spacing w:line="360" w:lineRule="auto"/>
        <w:ind w:right="420"/>
        <w:rPr>
          <w:rFonts w:ascii="宋体" w:hAnsi="宋体" w:cs="宋体"/>
          <w:szCs w:val="21"/>
        </w:rPr>
      </w:pPr>
    </w:p>
    <w:p w14:paraId="25026FAB">
      <w:pPr>
        <w:adjustRightInd w:val="0"/>
        <w:snapToGrid w:val="0"/>
        <w:spacing w:line="360" w:lineRule="auto"/>
        <w:ind w:right="420"/>
        <w:rPr>
          <w:rFonts w:ascii="宋体" w:hAnsi="宋体" w:cs="宋体"/>
          <w:szCs w:val="21"/>
        </w:rPr>
      </w:pPr>
    </w:p>
    <w:p w14:paraId="70AF9052">
      <w:pPr>
        <w:adjustRightInd w:val="0"/>
        <w:snapToGrid w:val="0"/>
        <w:spacing w:line="360" w:lineRule="auto"/>
        <w:ind w:right="420"/>
        <w:rPr>
          <w:rFonts w:ascii="宋体" w:hAnsi="宋体" w:cs="宋体"/>
          <w:szCs w:val="21"/>
        </w:rPr>
      </w:pPr>
    </w:p>
    <w:p w14:paraId="28D35D47">
      <w:pPr>
        <w:adjustRightInd w:val="0"/>
        <w:snapToGrid w:val="0"/>
        <w:spacing w:line="360" w:lineRule="auto"/>
        <w:ind w:right="420"/>
        <w:rPr>
          <w:rFonts w:ascii="宋体" w:hAnsi="宋体" w:cs="宋体"/>
          <w:szCs w:val="21"/>
        </w:rPr>
      </w:pPr>
    </w:p>
    <w:p w14:paraId="3AFE9093">
      <w:pPr>
        <w:adjustRightInd w:val="0"/>
        <w:snapToGrid w:val="0"/>
        <w:spacing w:line="360" w:lineRule="auto"/>
        <w:ind w:right="420"/>
        <w:rPr>
          <w:rFonts w:ascii="宋体" w:hAnsi="宋体" w:cs="宋体"/>
          <w:szCs w:val="21"/>
        </w:rPr>
      </w:pPr>
    </w:p>
    <w:p w14:paraId="2DB488D5">
      <w:pPr>
        <w:adjustRightInd w:val="0"/>
        <w:snapToGrid w:val="0"/>
        <w:spacing w:line="360" w:lineRule="auto"/>
        <w:ind w:right="420"/>
        <w:rPr>
          <w:rFonts w:ascii="宋体" w:hAnsi="宋体" w:cs="宋体"/>
          <w:szCs w:val="21"/>
        </w:rPr>
      </w:pPr>
    </w:p>
    <w:p w14:paraId="5EDAD121">
      <w:pPr>
        <w:adjustRightInd w:val="0"/>
        <w:snapToGrid w:val="0"/>
        <w:spacing w:line="360" w:lineRule="auto"/>
        <w:ind w:right="420"/>
        <w:rPr>
          <w:rFonts w:ascii="宋体" w:hAnsi="宋体" w:cs="宋体"/>
          <w:szCs w:val="21"/>
        </w:rPr>
      </w:pPr>
    </w:p>
    <w:p w14:paraId="11F98C84">
      <w:pPr>
        <w:adjustRightInd w:val="0"/>
        <w:snapToGrid w:val="0"/>
        <w:spacing w:line="360" w:lineRule="auto"/>
        <w:ind w:right="420"/>
        <w:rPr>
          <w:rFonts w:ascii="宋体" w:hAnsi="宋体" w:cs="宋体"/>
          <w:szCs w:val="21"/>
        </w:rPr>
      </w:pPr>
    </w:p>
    <w:p w14:paraId="57F71E0A">
      <w:pPr>
        <w:adjustRightInd w:val="0"/>
        <w:snapToGrid w:val="0"/>
        <w:spacing w:line="360" w:lineRule="auto"/>
        <w:ind w:right="420"/>
        <w:rPr>
          <w:rFonts w:ascii="宋体" w:hAnsi="宋体" w:cs="宋体"/>
          <w:szCs w:val="21"/>
        </w:rPr>
      </w:pPr>
      <w:r>
        <w:rPr>
          <w:rFonts w:hint="eastAsia" w:ascii="宋体" w:hAnsi="宋体" w:cs="宋体"/>
          <w:szCs w:val="21"/>
        </w:rPr>
        <w:t>法定代表人（签字）：</w:t>
      </w:r>
      <w:r>
        <w:rPr>
          <w:rFonts w:hint="eastAsia" w:ascii="宋体" w:hAnsi="宋体" w:cs="宋体"/>
          <w:szCs w:val="21"/>
          <w:u w:val="single"/>
        </w:rPr>
        <w:t xml:space="preserve">                     </w:t>
      </w:r>
    </w:p>
    <w:p w14:paraId="1314B523">
      <w:pPr>
        <w:adjustRightInd w:val="0"/>
        <w:snapToGrid w:val="0"/>
        <w:spacing w:line="360" w:lineRule="auto"/>
        <w:ind w:right="420"/>
        <w:rPr>
          <w:rFonts w:ascii="宋体" w:hAnsi="宋体" w:cs="宋体"/>
          <w:szCs w:val="21"/>
        </w:rPr>
      </w:pPr>
      <w:r>
        <w:rPr>
          <w:rFonts w:hint="eastAsia" w:ascii="宋体" w:hAnsi="宋体" w:cs="宋体"/>
          <w:szCs w:val="21"/>
        </w:rPr>
        <w:t>委托代理人（签字）：</w:t>
      </w:r>
      <w:r>
        <w:rPr>
          <w:rFonts w:hint="eastAsia" w:ascii="宋体" w:hAnsi="宋体" w:cs="宋体"/>
          <w:szCs w:val="21"/>
          <w:u w:val="single"/>
        </w:rPr>
        <w:t xml:space="preserve">                     </w:t>
      </w:r>
    </w:p>
    <w:p w14:paraId="425731A3">
      <w:pPr>
        <w:adjustRightInd w:val="0"/>
        <w:snapToGrid w:val="0"/>
        <w:spacing w:line="360" w:lineRule="auto"/>
        <w:ind w:right="24"/>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8EEFA45">
      <w:pPr>
        <w:spacing w:line="360" w:lineRule="exact"/>
        <w:rPr>
          <w:rFonts w:ascii="宋体" w:hAnsi="宋体" w:cs="宋体"/>
          <w:b/>
        </w:rPr>
      </w:pPr>
    </w:p>
    <w:p w14:paraId="1EFC8D46">
      <w:pPr>
        <w:spacing w:line="360" w:lineRule="exact"/>
        <w:rPr>
          <w:rFonts w:ascii="宋体" w:hAnsi="宋体" w:cs="宋体"/>
          <w:b/>
        </w:rPr>
      </w:pPr>
    </w:p>
    <w:p w14:paraId="24399DCA">
      <w:pPr>
        <w:spacing w:line="560" w:lineRule="exact"/>
        <w:ind w:firstLine="480" w:firstLineChars="200"/>
        <w:jc w:val="left"/>
        <w:rPr>
          <w:rFonts w:hint="eastAsia" w:ascii="黑体" w:hAnsi="黑体" w:eastAsia="黑体" w:cs="宋体"/>
          <w:bCs/>
          <w:sz w:val="24"/>
        </w:rPr>
      </w:pPr>
      <w:r>
        <w:rPr>
          <w:rFonts w:hint="eastAsia" w:ascii="黑体" w:hAnsi="黑体" w:eastAsia="黑体" w:cs="宋体"/>
          <w:bCs/>
          <w:sz w:val="24"/>
        </w:rPr>
        <w:t>注：授权代表参加投标时请单独携带一份法定代表人身份证明及法定代表人授权书至开标现场。</w:t>
      </w:r>
    </w:p>
    <w:p w14:paraId="73524187">
      <w:pPr>
        <w:spacing w:line="360" w:lineRule="exact"/>
        <w:rPr>
          <w:rFonts w:ascii="宋体" w:hAnsi="宋体" w:cs="宋体"/>
          <w:b/>
        </w:rPr>
      </w:pPr>
    </w:p>
    <w:p w14:paraId="3A83AA79">
      <w:pPr>
        <w:spacing w:line="360" w:lineRule="exact"/>
        <w:jc w:val="center"/>
        <w:rPr>
          <w:rFonts w:ascii="宋体" w:hAnsi="宋体" w:cs="宋体"/>
          <w:b/>
          <w:sz w:val="32"/>
          <w:szCs w:val="32"/>
        </w:rPr>
      </w:pPr>
    </w:p>
    <w:p w14:paraId="0DA0E1AB">
      <w:pPr>
        <w:spacing w:line="360" w:lineRule="exact"/>
        <w:jc w:val="center"/>
        <w:outlineLvl w:val="1"/>
        <w:rPr>
          <w:rFonts w:ascii="宋体" w:hAnsi="宋体" w:cs="宋体"/>
          <w:b/>
          <w:sz w:val="32"/>
          <w:szCs w:val="32"/>
        </w:rPr>
      </w:pPr>
      <w:r>
        <w:rPr>
          <w:rFonts w:hint="eastAsia" w:ascii="宋体" w:hAnsi="宋体" w:cs="宋体"/>
          <w:b/>
          <w:sz w:val="32"/>
          <w:szCs w:val="32"/>
        </w:rPr>
        <w:t>二、磋商保证金缴纳证明材料</w:t>
      </w:r>
    </w:p>
    <w:p w14:paraId="2FDBD25C">
      <w:pPr>
        <w:pStyle w:val="23"/>
        <w:adjustRightInd w:val="0"/>
        <w:snapToGrid w:val="0"/>
        <w:spacing w:before="156" w:beforeLines="50" w:line="360" w:lineRule="auto"/>
        <w:rPr>
          <w:rFonts w:hAnsi="宋体" w:cs="宋体"/>
        </w:rPr>
      </w:pPr>
    </w:p>
    <w:p w14:paraId="2CF56907">
      <w:pPr>
        <w:numPr>
          <w:ilvl w:val="0"/>
          <w:numId w:val="2"/>
        </w:numPr>
        <w:adjustRightInd w:val="0"/>
        <w:snapToGrid w:val="0"/>
        <w:spacing w:line="360" w:lineRule="auto"/>
        <w:rPr>
          <w:rFonts w:ascii="宋体" w:hAnsi="宋体" w:cs="宋体"/>
        </w:rPr>
      </w:pPr>
      <w:r>
        <w:rPr>
          <w:rFonts w:hint="eastAsia" w:ascii="宋体" w:hAnsi="宋体" w:cs="宋体"/>
        </w:rPr>
        <w:t>提供付款凭证复印件。</w:t>
      </w:r>
    </w:p>
    <w:p w14:paraId="4343EAF1">
      <w:pPr>
        <w:adjustRightInd w:val="0"/>
        <w:snapToGrid w:val="0"/>
        <w:spacing w:line="360" w:lineRule="auto"/>
        <w:ind w:firstLine="420" w:firstLineChars="200"/>
        <w:rPr>
          <w:rFonts w:ascii="宋体" w:hAnsi="宋体" w:cs="宋体"/>
        </w:rPr>
      </w:pPr>
      <w:r>
        <w:rPr>
          <w:rFonts w:hint="eastAsia" w:ascii="宋体" w:hAnsi="宋体" w:cs="宋体"/>
        </w:rPr>
        <w:t>2、根据供应商递交的《投标保证金退还申请书》上的账户信息，以转账或电汇方式退还至供应商的原缴纳账户。</w:t>
      </w:r>
    </w:p>
    <w:p w14:paraId="25E1DB76">
      <w:pPr>
        <w:adjustRightInd w:val="0"/>
        <w:snapToGrid w:val="0"/>
        <w:spacing w:line="360" w:lineRule="auto"/>
        <w:rPr>
          <w:rFonts w:ascii="宋体" w:hAnsi="宋体" w:cs="宋体"/>
        </w:rPr>
      </w:pPr>
    </w:p>
    <w:p w14:paraId="5D7302BA">
      <w:pPr>
        <w:spacing w:line="480" w:lineRule="exact"/>
        <w:ind w:right="23" w:rightChars="11"/>
        <w:rPr>
          <w:rFonts w:hint="default" w:ascii="宋体" w:hAnsi="宋体" w:eastAsia="宋体" w:cs="宋体"/>
          <w:b/>
          <w:bCs/>
          <w:sz w:val="28"/>
          <w:szCs w:val="28"/>
          <w:lang w:val="en-US" w:eastAsia="zh-CN"/>
        </w:rPr>
      </w:pPr>
      <w:r>
        <w:rPr>
          <w:rFonts w:hint="eastAsia" w:ascii="宋体" w:hAnsi="宋体" w:cs="宋体"/>
          <w:sz w:val="24"/>
        </w:rPr>
        <w:t xml:space="preserve">附件3：                  </w:t>
      </w:r>
      <w:r>
        <w:rPr>
          <w:rFonts w:hint="eastAsia" w:ascii="宋体" w:hAnsi="宋体" w:cs="宋体"/>
          <w:b/>
          <w:bCs/>
          <w:sz w:val="28"/>
          <w:szCs w:val="28"/>
        </w:rPr>
        <w:t>保证金退还申请书</w:t>
      </w:r>
      <w:r>
        <w:rPr>
          <w:rFonts w:hint="eastAsia" w:ascii="宋体" w:hAnsi="宋体" w:cs="宋体"/>
          <w:b/>
          <w:bCs/>
          <w:sz w:val="28"/>
          <w:szCs w:val="28"/>
          <w:lang w:eastAsia="zh-CN"/>
        </w:rPr>
        <w:t>（</w:t>
      </w:r>
      <w:r>
        <w:rPr>
          <w:rFonts w:hint="eastAsia" w:ascii="宋体" w:hAnsi="宋体" w:cs="宋体"/>
          <w:b/>
          <w:bCs/>
          <w:sz w:val="28"/>
          <w:szCs w:val="28"/>
          <w:lang w:val="en-US" w:eastAsia="zh-CN"/>
        </w:rPr>
        <w:t>本项目不适用）</w:t>
      </w:r>
    </w:p>
    <w:p w14:paraId="52E735D0">
      <w:pPr>
        <w:spacing w:line="480" w:lineRule="exact"/>
        <w:ind w:right="23" w:rightChars="11"/>
        <w:jc w:val="center"/>
        <w:rPr>
          <w:rFonts w:ascii="宋体" w:hAnsi="宋体" w:cs="宋体"/>
          <w:b/>
          <w:bCs/>
          <w:sz w:val="28"/>
          <w:szCs w:val="28"/>
        </w:rPr>
      </w:pPr>
    </w:p>
    <w:p w14:paraId="113A7A19">
      <w:pPr>
        <w:adjustRightInd w:val="0"/>
        <w:snapToGrid w:val="0"/>
        <w:spacing w:before="156" w:beforeLines="50" w:line="360" w:lineRule="auto"/>
        <w:ind w:right="23" w:rightChars="11"/>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 </w:t>
      </w:r>
    </w:p>
    <w:p w14:paraId="293F29BE">
      <w:pPr>
        <w:adjustRightInd w:val="0"/>
        <w:snapToGrid w:val="0"/>
        <w:spacing w:before="156" w:beforeLines="50" w:line="360" w:lineRule="auto"/>
        <w:ind w:right="23" w:rightChars="11" w:firstLine="420" w:firstLineChars="200"/>
        <w:rPr>
          <w:rFonts w:ascii="宋体" w:hAnsi="宋体" w:cs="宋体"/>
          <w:szCs w:val="21"/>
        </w:rPr>
      </w:pPr>
      <w:r>
        <w:rPr>
          <w:rFonts w:hint="eastAsia" w:ascii="宋体" w:hAnsi="宋体" w:cs="宋体"/>
          <w:szCs w:val="21"/>
        </w:rPr>
        <w:t>我系参加</w:t>
      </w:r>
      <w:r>
        <w:rPr>
          <w:rFonts w:hint="eastAsia" w:ascii="宋体" w:hAnsi="宋体" w:cs="宋体"/>
          <w:szCs w:val="21"/>
          <w:u w:val="single"/>
        </w:rPr>
        <w:t xml:space="preserve">                          </w:t>
      </w:r>
      <w:r>
        <w:rPr>
          <w:rFonts w:hint="eastAsia" w:ascii="宋体" w:hAnsi="宋体" w:cs="宋体"/>
          <w:szCs w:val="21"/>
        </w:rPr>
        <w:t>（项目名称），委托代理编号：</w:t>
      </w:r>
      <w:r>
        <w:rPr>
          <w:rFonts w:hint="eastAsia" w:ascii="宋体" w:hAnsi="宋体" w:cs="宋体"/>
          <w:szCs w:val="21"/>
          <w:u w:val="single"/>
        </w:rPr>
        <w:t xml:space="preserve">               </w:t>
      </w:r>
      <w:r>
        <w:rPr>
          <w:rFonts w:hint="eastAsia" w:ascii="宋体" w:hAnsi="宋体" w:cs="宋体"/>
          <w:szCs w:val="21"/>
        </w:rPr>
        <w:t>竞争性磋商的供应商，现申请按该项目磋商文件规定，退返保证金人民币</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(小写），保证金请退还到以下原缴纳账户：</w:t>
      </w:r>
    </w:p>
    <w:p w14:paraId="6D9FEA14">
      <w:pPr>
        <w:adjustRightInd w:val="0"/>
        <w:snapToGrid w:val="0"/>
        <w:spacing w:before="50" w:line="360" w:lineRule="auto"/>
        <w:ind w:right="23" w:rightChars="11" w:firstLine="420" w:firstLineChars="200"/>
        <w:rPr>
          <w:rFonts w:ascii="宋体" w:hAnsi="宋体" w:cs="宋体"/>
          <w:szCs w:val="21"/>
          <w:u w:val="single"/>
        </w:rPr>
      </w:pPr>
      <w:r>
        <w:rPr>
          <w:rFonts w:hint="eastAsia" w:ascii="宋体" w:hAnsi="宋体" w:cs="宋体"/>
          <w:szCs w:val="21"/>
        </w:rPr>
        <w:t>户名：</w:t>
      </w:r>
      <w:r>
        <w:rPr>
          <w:rFonts w:hint="eastAsia" w:ascii="宋体" w:hAnsi="宋体" w:cs="宋体"/>
          <w:szCs w:val="21"/>
          <w:u w:val="single"/>
        </w:rPr>
        <w:t xml:space="preserve">                                 </w:t>
      </w:r>
    </w:p>
    <w:p w14:paraId="501CA0A2">
      <w:pPr>
        <w:adjustRightInd w:val="0"/>
        <w:snapToGrid w:val="0"/>
        <w:spacing w:before="50" w:line="360" w:lineRule="auto"/>
        <w:ind w:right="23" w:rightChars="11" w:firstLine="420" w:firstLineChars="200"/>
        <w:rPr>
          <w:rFonts w:ascii="宋体" w:hAnsi="宋体" w:cs="宋体"/>
          <w:szCs w:val="21"/>
          <w:u w:val="single"/>
        </w:rPr>
      </w:pPr>
      <w:r>
        <w:rPr>
          <w:rFonts w:hint="eastAsia" w:ascii="宋体" w:hAnsi="宋体" w:cs="宋体"/>
          <w:szCs w:val="21"/>
        </w:rPr>
        <w:t>账号：</w:t>
      </w:r>
      <w:r>
        <w:rPr>
          <w:rFonts w:hint="eastAsia" w:ascii="宋体" w:hAnsi="宋体" w:cs="宋体"/>
          <w:szCs w:val="21"/>
          <w:u w:val="single"/>
        </w:rPr>
        <w:t xml:space="preserve">                                 </w:t>
      </w:r>
    </w:p>
    <w:p w14:paraId="2239E24C">
      <w:pPr>
        <w:adjustRightInd w:val="0"/>
        <w:snapToGrid w:val="0"/>
        <w:spacing w:before="50" w:line="360" w:lineRule="auto"/>
        <w:ind w:right="23" w:rightChars="11" w:firstLine="420" w:firstLineChars="200"/>
        <w:rPr>
          <w:rFonts w:ascii="宋体" w:hAnsi="宋体" w:cs="宋体"/>
          <w:szCs w:val="21"/>
          <w:u w:val="single"/>
        </w:rPr>
      </w:pPr>
      <w:r>
        <w:rPr>
          <w:rFonts w:hint="eastAsia" w:ascii="宋体" w:hAnsi="宋体" w:cs="宋体"/>
          <w:szCs w:val="21"/>
        </w:rPr>
        <w:t>开户行：</w:t>
      </w:r>
      <w:r>
        <w:rPr>
          <w:rFonts w:hint="eastAsia" w:ascii="宋体" w:hAnsi="宋体" w:cs="宋体"/>
          <w:szCs w:val="21"/>
          <w:u w:val="single"/>
        </w:rPr>
        <w:t xml:space="preserve">                               </w:t>
      </w:r>
    </w:p>
    <w:p w14:paraId="7B174693">
      <w:pPr>
        <w:adjustRightInd w:val="0"/>
        <w:snapToGrid w:val="0"/>
        <w:spacing w:before="50" w:line="360" w:lineRule="auto"/>
        <w:ind w:right="23" w:rightChars="11" w:firstLine="420" w:firstLineChars="200"/>
        <w:rPr>
          <w:rFonts w:ascii="宋体" w:hAnsi="宋体" w:cs="宋体"/>
          <w:szCs w:val="21"/>
        </w:rPr>
      </w:pPr>
      <w:r>
        <w:rPr>
          <w:rFonts w:hint="eastAsia" w:ascii="宋体" w:hAnsi="宋体" w:cs="宋体"/>
          <w:szCs w:val="21"/>
        </w:rPr>
        <w:t>开户行地址：</w:t>
      </w:r>
      <w:r>
        <w:rPr>
          <w:rFonts w:hint="eastAsia" w:ascii="宋体" w:hAnsi="宋体" w:cs="宋体"/>
          <w:szCs w:val="21"/>
          <w:u w:val="single"/>
        </w:rPr>
        <w:t xml:space="preserve">          </w:t>
      </w:r>
      <w:r>
        <w:rPr>
          <w:rFonts w:hint="eastAsia" w:ascii="宋体" w:hAnsi="宋体" w:cs="宋体"/>
          <w:szCs w:val="21"/>
        </w:rPr>
        <w:t>省</w:t>
      </w:r>
      <w:r>
        <w:rPr>
          <w:rFonts w:hint="eastAsia" w:ascii="宋体" w:hAnsi="宋体" w:cs="宋体"/>
          <w:szCs w:val="21"/>
          <w:u w:val="single"/>
        </w:rPr>
        <w:t xml:space="preserve">            </w:t>
      </w:r>
      <w:r>
        <w:rPr>
          <w:rFonts w:hint="eastAsia" w:ascii="宋体" w:hAnsi="宋体" w:cs="宋体"/>
          <w:szCs w:val="21"/>
        </w:rPr>
        <w:t>市</w:t>
      </w:r>
    </w:p>
    <w:p w14:paraId="6D1367D3">
      <w:pPr>
        <w:adjustRightInd w:val="0"/>
        <w:snapToGrid w:val="0"/>
        <w:spacing w:before="50" w:line="360" w:lineRule="auto"/>
        <w:ind w:right="23" w:rightChars="11" w:firstLine="420" w:firstLineChars="200"/>
        <w:rPr>
          <w:rFonts w:ascii="宋体" w:hAnsi="宋体" w:cs="宋体"/>
          <w:szCs w:val="21"/>
        </w:rPr>
      </w:pPr>
      <w:r>
        <w:rPr>
          <w:rFonts w:hint="eastAsia" w:ascii="宋体" w:hAnsi="宋体" w:cs="宋体"/>
          <w:szCs w:val="21"/>
        </w:rPr>
        <w:t>如果提供的账户信息有误或因账户信息变更未及时通知，一切后果均由本单位自行负责。</w:t>
      </w:r>
    </w:p>
    <w:p w14:paraId="22A19875">
      <w:pPr>
        <w:adjustRightInd w:val="0"/>
        <w:snapToGrid w:val="0"/>
        <w:spacing w:before="50" w:line="360" w:lineRule="auto"/>
        <w:ind w:left="4428" w:leftChars="2109" w:right="23" w:rightChars="11"/>
        <w:rPr>
          <w:rFonts w:ascii="宋体" w:hAnsi="宋体" w:cs="宋体"/>
          <w:szCs w:val="21"/>
        </w:rPr>
      </w:pPr>
    </w:p>
    <w:p w14:paraId="77B1C24C">
      <w:pPr>
        <w:adjustRightInd w:val="0"/>
        <w:snapToGrid w:val="0"/>
        <w:spacing w:before="50" w:line="360" w:lineRule="auto"/>
        <w:ind w:left="4428" w:leftChars="2109" w:right="23" w:rightChars="11"/>
        <w:rPr>
          <w:rFonts w:ascii="宋体" w:hAnsi="宋体" w:cs="宋体"/>
          <w:szCs w:val="21"/>
        </w:rPr>
      </w:pPr>
      <w:r>
        <w:rPr>
          <w:rFonts w:hint="eastAsia" w:ascii="宋体" w:hAnsi="宋体" w:cs="宋体"/>
          <w:szCs w:val="21"/>
        </w:rPr>
        <w:t>供应商(盖单位章)：</w:t>
      </w:r>
    </w:p>
    <w:p w14:paraId="6E9071A6">
      <w:pPr>
        <w:adjustRightInd w:val="0"/>
        <w:snapToGrid w:val="0"/>
        <w:spacing w:before="50" w:line="360" w:lineRule="auto"/>
        <w:ind w:left="4428" w:leftChars="2109" w:right="23" w:rightChars="11"/>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w:t>
      </w:r>
    </w:p>
    <w:p w14:paraId="7AC16B08">
      <w:pPr>
        <w:adjustRightInd w:val="0"/>
        <w:snapToGrid w:val="0"/>
        <w:spacing w:before="50" w:line="360" w:lineRule="auto"/>
        <w:ind w:left="4428" w:leftChars="2109" w:right="23" w:rightChars="11"/>
        <w:rPr>
          <w:rFonts w:ascii="宋体" w:hAnsi="宋体" w:cs="宋体"/>
          <w:szCs w:val="21"/>
        </w:rPr>
      </w:pPr>
      <w:r>
        <w:rPr>
          <w:rFonts w:hint="eastAsia" w:ascii="宋体" w:hAnsi="宋体" w:cs="宋体"/>
          <w:szCs w:val="21"/>
        </w:rPr>
        <w:t>移动电话：</w:t>
      </w:r>
      <w:r>
        <w:rPr>
          <w:rFonts w:hint="eastAsia" w:ascii="宋体" w:hAnsi="宋体" w:cs="宋体"/>
          <w:szCs w:val="21"/>
          <w:u w:val="single"/>
        </w:rPr>
        <w:t xml:space="preserve">               </w:t>
      </w:r>
    </w:p>
    <w:p w14:paraId="22958D1A">
      <w:pPr>
        <w:adjustRightInd w:val="0"/>
        <w:snapToGrid w:val="0"/>
        <w:spacing w:before="50" w:line="360" w:lineRule="auto"/>
        <w:ind w:left="4428" w:leftChars="2109" w:right="23" w:rightChars="11"/>
        <w:rPr>
          <w:rFonts w:ascii="宋体" w:hAnsi="宋体" w:cs="宋体"/>
          <w:szCs w:val="21"/>
        </w:rPr>
      </w:pPr>
      <w:r>
        <w:rPr>
          <w:rFonts w:hint="eastAsia" w:ascii="宋体" w:hAnsi="宋体" w:cs="宋体"/>
          <w:szCs w:val="21"/>
        </w:rPr>
        <w:t>固定电话：</w:t>
      </w:r>
      <w:r>
        <w:rPr>
          <w:rFonts w:hint="eastAsia" w:ascii="宋体" w:hAnsi="宋体" w:cs="宋体"/>
          <w:szCs w:val="21"/>
          <w:u w:val="single"/>
        </w:rPr>
        <w:t xml:space="preserve">        </w:t>
      </w:r>
      <w:r>
        <w:rPr>
          <w:rFonts w:hint="eastAsia" w:ascii="宋体" w:hAnsi="宋体" w:cs="宋体"/>
          <w:szCs w:val="21"/>
        </w:rPr>
        <w:t xml:space="preserve">        </w:t>
      </w:r>
    </w:p>
    <w:p w14:paraId="68871323">
      <w:pPr>
        <w:adjustRightInd w:val="0"/>
        <w:snapToGrid w:val="0"/>
        <w:spacing w:before="50" w:line="360" w:lineRule="auto"/>
        <w:ind w:left="4428" w:leftChars="2109" w:right="23" w:rightChars="11"/>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2FAD510">
      <w:pPr>
        <w:pStyle w:val="23"/>
        <w:adjustRightInd w:val="0"/>
        <w:snapToGrid w:val="0"/>
        <w:spacing w:before="156" w:beforeLines="50" w:line="360" w:lineRule="auto"/>
        <w:ind w:right="23" w:rightChars="11"/>
        <w:rPr>
          <w:rFonts w:hAnsi="宋体" w:cs="宋体"/>
        </w:rPr>
      </w:pPr>
    </w:p>
    <w:p w14:paraId="32CE8FBA">
      <w:pPr>
        <w:pStyle w:val="23"/>
        <w:adjustRightInd w:val="0"/>
        <w:snapToGrid w:val="0"/>
        <w:spacing w:before="156" w:beforeLines="50" w:line="360" w:lineRule="auto"/>
        <w:ind w:right="23" w:rightChars="11"/>
        <w:rPr>
          <w:rFonts w:hAnsi="宋体" w:cs="宋体"/>
        </w:rPr>
      </w:pPr>
      <w:r>
        <w:rPr>
          <w:rFonts w:hint="eastAsia" w:hAnsi="宋体" w:cs="宋体"/>
        </w:rPr>
        <w:t>说明：《保证金退还申请书》需单独递交，不得装订在响应文件中；可在办理保证金交割手续时提交，也可在提交首次响应文件截止时间后补交，未交《保证金退还申请书》的供应商，将影响其保证金的正常退还。</w:t>
      </w:r>
    </w:p>
    <w:p w14:paraId="62E2D3D1">
      <w:pPr>
        <w:pStyle w:val="23"/>
        <w:adjustRightInd w:val="0"/>
        <w:snapToGrid w:val="0"/>
        <w:spacing w:before="156" w:beforeLines="50" w:line="360" w:lineRule="auto"/>
        <w:rPr>
          <w:rFonts w:hAnsi="宋体" w:cs="宋体"/>
          <w:sz w:val="24"/>
        </w:rPr>
      </w:pPr>
    </w:p>
    <w:p w14:paraId="5F8F8C03">
      <w:pPr>
        <w:pStyle w:val="23"/>
        <w:adjustRightInd w:val="0"/>
        <w:snapToGrid w:val="0"/>
        <w:spacing w:before="156" w:beforeLines="50" w:line="360" w:lineRule="auto"/>
        <w:rPr>
          <w:rFonts w:hAnsi="宋体" w:cs="宋体"/>
          <w:sz w:val="24"/>
        </w:rPr>
      </w:pPr>
    </w:p>
    <w:p w14:paraId="34D19F2C">
      <w:pPr>
        <w:adjustRightInd w:val="0"/>
        <w:snapToGrid w:val="0"/>
        <w:spacing w:line="360" w:lineRule="auto"/>
        <w:jc w:val="center"/>
        <w:outlineLvl w:val="1"/>
        <w:rPr>
          <w:rFonts w:ascii="宋体" w:hAnsi="宋体" w:cs="宋体"/>
          <w:b/>
          <w:bCs/>
          <w:sz w:val="32"/>
          <w:szCs w:val="32"/>
        </w:rPr>
      </w:pPr>
      <w:r>
        <w:rPr>
          <w:rFonts w:hint="eastAsia" w:ascii="宋体" w:hAnsi="宋体" w:cs="宋体"/>
          <w:b/>
          <w:sz w:val="32"/>
          <w:szCs w:val="32"/>
        </w:rPr>
        <w:t>三、供应商</w:t>
      </w:r>
      <w:r>
        <w:rPr>
          <w:rFonts w:hint="eastAsia" w:ascii="宋体" w:hAnsi="宋体" w:cs="宋体"/>
          <w:b/>
          <w:bCs/>
          <w:sz w:val="32"/>
          <w:szCs w:val="32"/>
        </w:rPr>
        <w:t>的资格证明资料</w:t>
      </w:r>
    </w:p>
    <w:p w14:paraId="24570974">
      <w:pPr>
        <w:spacing w:line="480" w:lineRule="exact"/>
        <w:rPr>
          <w:rFonts w:ascii="宋体" w:hAnsi="宋体" w:cs="宋体"/>
          <w:sz w:val="30"/>
          <w:szCs w:val="30"/>
        </w:rPr>
      </w:pPr>
      <w:r>
        <w:rPr>
          <w:rFonts w:hint="eastAsia" w:ascii="宋体" w:hAnsi="宋体" w:cs="宋体"/>
          <w:sz w:val="30"/>
          <w:szCs w:val="30"/>
        </w:rPr>
        <w:t>附件4              供应商基本情况表</w:t>
      </w:r>
    </w:p>
    <w:p w14:paraId="7F6402F4">
      <w:pPr>
        <w:spacing w:line="480" w:lineRule="exact"/>
        <w:rPr>
          <w:rFonts w:ascii="宋体" w:hAnsi="宋体" w:cs="宋体"/>
          <w:sz w:val="30"/>
          <w:szCs w:val="30"/>
        </w:rPr>
      </w:pPr>
    </w:p>
    <w:p w14:paraId="15F43995">
      <w:pPr>
        <w:adjustRightInd w:val="0"/>
        <w:snapToGrid w:val="0"/>
        <w:spacing w:line="360" w:lineRule="auto"/>
        <w:rPr>
          <w:rFonts w:ascii="宋体" w:hAnsi="宋体" w:cs="宋体"/>
          <w:szCs w:val="21"/>
        </w:rPr>
      </w:pPr>
      <w:r>
        <w:rPr>
          <w:rFonts w:hint="eastAsia" w:ascii="宋体" w:hAnsi="宋体" w:cs="宋体"/>
          <w:szCs w:val="21"/>
        </w:rPr>
        <w:t>盖供应商单位章</w:t>
      </w:r>
    </w:p>
    <w:tbl>
      <w:tblPr>
        <w:tblStyle w:val="4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0123B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64B20780">
            <w:pPr>
              <w:topLinePunct/>
              <w:spacing w:line="440" w:lineRule="exact"/>
              <w:jc w:val="center"/>
              <w:rPr>
                <w:rFonts w:ascii="宋体" w:hAnsi="宋体" w:cs="宋体"/>
                <w:szCs w:val="21"/>
              </w:rPr>
            </w:pPr>
            <w:r>
              <w:rPr>
                <w:rFonts w:hint="eastAsia" w:ascii="宋体" w:hAnsi="宋体" w:cs="宋体"/>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1C257DE">
            <w:pPr>
              <w:topLinePunct/>
              <w:spacing w:line="440" w:lineRule="exact"/>
              <w:jc w:val="center"/>
              <w:rPr>
                <w:rFonts w:ascii="宋体" w:hAnsi="宋体" w:cs="宋体"/>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1603C939">
            <w:pPr>
              <w:topLinePunct/>
              <w:spacing w:line="440" w:lineRule="exact"/>
              <w:jc w:val="center"/>
              <w:rPr>
                <w:rFonts w:ascii="宋体" w:hAnsi="宋体" w:cs="宋体"/>
                <w:szCs w:val="21"/>
              </w:rPr>
            </w:pPr>
            <w:r>
              <w:rPr>
                <w:rFonts w:hint="eastAsia" w:ascii="宋体" w:hAnsi="宋体" w:cs="宋体"/>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4F453802">
            <w:pPr>
              <w:topLinePunct/>
              <w:spacing w:line="440" w:lineRule="exact"/>
              <w:jc w:val="center"/>
              <w:rPr>
                <w:rFonts w:ascii="宋体" w:hAnsi="宋体" w:cs="宋体"/>
                <w:szCs w:val="21"/>
              </w:rPr>
            </w:pPr>
          </w:p>
        </w:tc>
      </w:tr>
      <w:tr w14:paraId="4264E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AD3E5F9">
            <w:pPr>
              <w:topLinePunct/>
              <w:spacing w:line="440" w:lineRule="exact"/>
              <w:jc w:val="center"/>
              <w:rPr>
                <w:rFonts w:ascii="宋体" w:hAnsi="宋体" w:cs="宋体"/>
                <w:szCs w:val="21"/>
              </w:rPr>
            </w:pPr>
            <w:r>
              <w:rPr>
                <w:rFonts w:hint="eastAsia" w:ascii="宋体" w:hAnsi="宋体" w:cs="宋体"/>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4A72CED">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6105C05F">
            <w:pPr>
              <w:topLinePunct/>
              <w:spacing w:line="440" w:lineRule="exact"/>
              <w:jc w:val="center"/>
              <w:rPr>
                <w:rFonts w:ascii="宋体" w:hAnsi="宋体" w:cs="宋体"/>
                <w:szCs w:val="21"/>
              </w:rPr>
            </w:pPr>
            <w:r>
              <w:rPr>
                <w:rFonts w:hint="eastAsia" w:ascii="宋体" w:hAnsi="宋体" w:cs="宋体"/>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42B7FCCF">
            <w:pPr>
              <w:topLinePunct/>
              <w:spacing w:line="440" w:lineRule="exact"/>
              <w:jc w:val="center"/>
              <w:rPr>
                <w:rFonts w:ascii="宋体" w:hAnsi="宋体" w:cs="宋体"/>
                <w:szCs w:val="21"/>
              </w:rPr>
            </w:pPr>
          </w:p>
        </w:tc>
      </w:tr>
      <w:tr w14:paraId="6B42F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16C6A950">
            <w:pPr>
              <w:topLinePunct/>
              <w:spacing w:line="440" w:lineRule="exact"/>
              <w:jc w:val="center"/>
              <w:rPr>
                <w:rFonts w:ascii="宋体" w:hAnsi="宋体" w:cs="宋体"/>
                <w:szCs w:val="21"/>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372C83C3">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63F71E5">
            <w:pPr>
              <w:topLinePunct/>
              <w:spacing w:line="440" w:lineRule="exact"/>
              <w:jc w:val="center"/>
              <w:rPr>
                <w:rFonts w:ascii="宋体" w:hAnsi="宋体" w:cs="宋体"/>
                <w:szCs w:val="21"/>
              </w:rPr>
            </w:pPr>
            <w:r>
              <w:rPr>
                <w:rFonts w:hint="eastAsia" w:ascii="宋体" w:hAnsi="宋体" w:cs="宋体"/>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753BBEC6">
            <w:pPr>
              <w:topLinePunct/>
              <w:spacing w:line="440" w:lineRule="exact"/>
              <w:jc w:val="center"/>
              <w:rPr>
                <w:rFonts w:ascii="宋体" w:hAnsi="宋体" w:cs="宋体"/>
                <w:szCs w:val="21"/>
              </w:rPr>
            </w:pPr>
          </w:p>
        </w:tc>
      </w:tr>
      <w:tr w14:paraId="0E032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58DB4AAC">
            <w:pPr>
              <w:topLinePunct/>
              <w:spacing w:line="440" w:lineRule="exact"/>
              <w:jc w:val="center"/>
              <w:rPr>
                <w:rFonts w:ascii="宋体" w:hAnsi="宋体" w:cs="宋体"/>
                <w:szCs w:val="21"/>
              </w:rPr>
            </w:pPr>
            <w:r>
              <w:rPr>
                <w:rFonts w:hint="eastAsia" w:ascii="宋体" w:hAnsi="宋体" w:cs="宋体"/>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3B1EEAA">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2CF2C312">
            <w:pPr>
              <w:topLinePunct/>
              <w:spacing w:line="440" w:lineRule="exact"/>
              <w:jc w:val="center"/>
              <w:rPr>
                <w:rFonts w:ascii="宋体" w:hAnsi="宋体" w:cs="宋体"/>
                <w:szCs w:val="21"/>
              </w:rPr>
            </w:pPr>
            <w:r>
              <w:rPr>
                <w:rFonts w:hint="eastAsia" w:ascii="宋体" w:hAnsi="宋体" w:cs="宋体"/>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411FB471">
            <w:pPr>
              <w:topLinePunct/>
              <w:spacing w:line="440" w:lineRule="exact"/>
              <w:jc w:val="center"/>
              <w:rPr>
                <w:rFonts w:ascii="宋体" w:hAnsi="宋体" w:cs="宋体"/>
                <w:szCs w:val="21"/>
              </w:rPr>
            </w:pPr>
          </w:p>
        </w:tc>
      </w:tr>
      <w:tr w14:paraId="3317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38338A1E">
            <w:pPr>
              <w:topLinePunct/>
              <w:spacing w:line="440" w:lineRule="exact"/>
              <w:jc w:val="center"/>
              <w:rPr>
                <w:rFonts w:ascii="宋体" w:hAnsi="宋体" w:cs="宋体"/>
                <w:szCs w:val="21"/>
              </w:rPr>
            </w:pPr>
            <w:r>
              <w:rPr>
                <w:rFonts w:hint="eastAsia" w:ascii="宋体" w:hAnsi="宋体" w:cs="宋体"/>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327AB63">
            <w:pPr>
              <w:topLinePunct/>
              <w:spacing w:line="440" w:lineRule="exact"/>
              <w:jc w:val="center"/>
              <w:rPr>
                <w:rFonts w:ascii="宋体" w:hAnsi="宋体" w:cs="宋体"/>
                <w:szCs w:val="21"/>
              </w:rPr>
            </w:pPr>
            <w:r>
              <w:rPr>
                <w:rFonts w:hint="eastAsia" w:ascii="宋体" w:hAnsi="宋体" w:cs="宋体"/>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873475B">
            <w:pPr>
              <w:topLinePunct/>
              <w:spacing w:line="440" w:lineRule="exact"/>
              <w:jc w:val="center"/>
              <w:rPr>
                <w:rFonts w:ascii="宋体" w:hAnsi="宋体" w:cs="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1776102">
            <w:pPr>
              <w:topLinePunct/>
              <w:spacing w:line="440" w:lineRule="exact"/>
              <w:ind w:firstLine="105" w:firstLineChars="50"/>
              <w:jc w:val="center"/>
              <w:rPr>
                <w:rFonts w:ascii="宋体" w:hAnsi="宋体" w:cs="宋体"/>
                <w:szCs w:val="21"/>
              </w:rPr>
            </w:pPr>
            <w:r>
              <w:rPr>
                <w:rFonts w:hint="eastAsia" w:ascii="宋体" w:hAnsi="宋体" w:cs="宋体"/>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A8E7B23">
            <w:pPr>
              <w:topLinePunct/>
              <w:spacing w:line="440" w:lineRule="exact"/>
              <w:ind w:firstLine="105" w:firstLineChars="50"/>
              <w:jc w:val="center"/>
              <w:rPr>
                <w:rFonts w:ascii="宋体" w:hAnsi="宋体" w:cs="宋体"/>
                <w:szCs w:val="21"/>
              </w:rPr>
            </w:pPr>
          </w:p>
        </w:tc>
      </w:tr>
      <w:tr w14:paraId="5D3DA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9459B82">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48184D8">
            <w:pPr>
              <w:topLinePunct/>
              <w:spacing w:line="440" w:lineRule="exact"/>
              <w:jc w:val="center"/>
              <w:rPr>
                <w:rFonts w:ascii="宋体" w:hAnsi="宋体" w:cs="宋体"/>
                <w:szCs w:val="21"/>
              </w:rPr>
            </w:pPr>
            <w:r>
              <w:rPr>
                <w:rFonts w:hint="eastAsia" w:ascii="宋体" w:hAnsi="宋体" w:cs="宋体"/>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D5746D2">
            <w:pPr>
              <w:topLinePunct/>
              <w:spacing w:line="440" w:lineRule="exact"/>
              <w:jc w:val="center"/>
              <w:rPr>
                <w:rFonts w:ascii="宋体" w:hAnsi="宋体" w:cs="宋体"/>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6E4C561">
            <w:pPr>
              <w:topLinePunct/>
              <w:spacing w:line="440" w:lineRule="exact"/>
              <w:ind w:firstLine="105" w:firstLineChars="50"/>
              <w:jc w:val="center"/>
              <w:rPr>
                <w:rFonts w:ascii="宋体" w:hAnsi="宋体" w:cs="宋体"/>
                <w:szCs w:val="21"/>
              </w:rPr>
            </w:pPr>
            <w:r>
              <w:rPr>
                <w:rFonts w:hint="eastAsia" w:ascii="宋体" w:hAnsi="宋体" w:cs="宋体"/>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C7B3E09">
            <w:pPr>
              <w:topLinePunct/>
              <w:spacing w:line="440" w:lineRule="exact"/>
              <w:ind w:firstLine="105" w:firstLineChars="50"/>
              <w:jc w:val="center"/>
              <w:rPr>
                <w:rFonts w:ascii="宋体" w:hAnsi="宋体" w:cs="宋体"/>
                <w:szCs w:val="21"/>
              </w:rPr>
            </w:pPr>
          </w:p>
        </w:tc>
      </w:tr>
      <w:tr w14:paraId="1A0FD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916BB6">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3073B03">
            <w:pPr>
              <w:topLinePunct/>
              <w:spacing w:line="440" w:lineRule="exact"/>
              <w:jc w:val="center"/>
              <w:rPr>
                <w:rFonts w:ascii="宋体" w:hAnsi="宋体" w:cs="宋体"/>
                <w:szCs w:val="21"/>
              </w:rPr>
            </w:pPr>
            <w:r>
              <w:rPr>
                <w:rFonts w:hint="eastAsia" w:ascii="宋体" w:hAnsi="宋体" w:cs="宋体"/>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486FB8">
            <w:pPr>
              <w:topLinePunct/>
              <w:spacing w:line="440" w:lineRule="exact"/>
              <w:ind w:firstLine="105" w:firstLineChars="50"/>
              <w:jc w:val="center"/>
              <w:rPr>
                <w:rFonts w:ascii="宋体" w:hAnsi="宋体" w:cs="宋体"/>
                <w:szCs w:val="21"/>
              </w:rPr>
            </w:pPr>
          </w:p>
        </w:tc>
      </w:tr>
      <w:tr w14:paraId="710A8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7016A0E">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736FF8F6">
            <w:pPr>
              <w:topLinePunct/>
              <w:spacing w:line="440" w:lineRule="exact"/>
              <w:jc w:val="center"/>
              <w:rPr>
                <w:rFonts w:ascii="宋体" w:hAnsi="宋体" w:cs="宋体"/>
                <w:szCs w:val="21"/>
              </w:rPr>
            </w:pPr>
            <w:r>
              <w:rPr>
                <w:rFonts w:hint="eastAsia" w:ascii="宋体" w:hAnsi="宋体" w:cs="宋体"/>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6EC71F6">
            <w:pPr>
              <w:topLinePunct/>
              <w:spacing w:line="440" w:lineRule="exact"/>
              <w:ind w:firstLine="105" w:firstLineChars="50"/>
              <w:jc w:val="center"/>
              <w:rPr>
                <w:rFonts w:ascii="宋体" w:hAnsi="宋体" w:cs="宋体"/>
                <w:szCs w:val="21"/>
              </w:rPr>
            </w:pPr>
          </w:p>
        </w:tc>
      </w:tr>
      <w:tr w14:paraId="5B486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52E56D61">
            <w:pPr>
              <w:topLinePunct/>
              <w:spacing w:line="440" w:lineRule="exact"/>
              <w:jc w:val="center"/>
              <w:rPr>
                <w:rFonts w:ascii="宋体" w:hAnsi="宋体" w:cs="宋体"/>
                <w:szCs w:val="21"/>
              </w:rPr>
            </w:pPr>
            <w:r>
              <w:rPr>
                <w:rFonts w:hint="eastAsia" w:ascii="宋体" w:hAnsi="宋体" w:cs="宋体"/>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1015AA3">
            <w:pPr>
              <w:topLinePunct/>
              <w:spacing w:line="440" w:lineRule="exact"/>
              <w:jc w:val="center"/>
              <w:rPr>
                <w:rFonts w:ascii="宋体" w:hAnsi="宋体" w:cs="宋体"/>
                <w:szCs w:val="21"/>
              </w:rPr>
            </w:pPr>
          </w:p>
        </w:tc>
      </w:tr>
      <w:tr w14:paraId="499B2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0FC3BE">
            <w:pPr>
              <w:topLinePunct/>
              <w:spacing w:line="440" w:lineRule="exact"/>
              <w:jc w:val="center"/>
              <w:rPr>
                <w:rFonts w:ascii="宋体" w:hAnsi="宋体" w:cs="宋体"/>
                <w:szCs w:val="21"/>
              </w:rPr>
            </w:pPr>
            <w:r>
              <w:rPr>
                <w:rFonts w:hint="eastAsia" w:ascii="宋体" w:hAnsi="宋体" w:cs="宋体"/>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AECF65B">
            <w:pPr>
              <w:topLinePunct/>
              <w:spacing w:line="440" w:lineRule="exact"/>
              <w:jc w:val="center"/>
              <w:rPr>
                <w:rFonts w:ascii="宋体" w:hAnsi="宋体" w:cs="宋体"/>
                <w:szCs w:val="21"/>
              </w:rPr>
            </w:pPr>
          </w:p>
        </w:tc>
      </w:tr>
      <w:tr w14:paraId="01F18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313D6B1">
            <w:pPr>
              <w:topLinePunct/>
              <w:spacing w:line="440" w:lineRule="exact"/>
              <w:jc w:val="center"/>
              <w:rPr>
                <w:rFonts w:ascii="宋体" w:hAnsi="宋体" w:cs="宋体"/>
                <w:szCs w:val="21"/>
              </w:rPr>
            </w:pPr>
            <w:r>
              <w:rPr>
                <w:rFonts w:hint="eastAsia" w:ascii="宋体" w:hAnsi="宋体" w:cs="宋体"/>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7C2A09E">
            <w:pPr>
              <w:topLinePunct/>
              <w:spacing w:line="440" w:lineRule="exact"/>
              <w:jc w:val="center"/>
              <w:rPr>
                <w:rFonts w:ascii="宋体" w:hAnsi="宋体" w:cs="宋体"/>
                <w:szCs w:val="21"/>
              </w:rPr>
            </w:pPr>
            <w:r>
              <w:rPr>
                <w:rFonts w:hint="eastAsia" w:ascii="宋体" w:hAnsi="宋体" w:cs="宋体"/>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1F7C31">
            <w:pPr>
              <w:topLinePunct/>
              <w:spacing w:line="440" w:lineRule="exact"/>
              <w:jc w:val="center"/>
              <w:rPr>
                <w:rFonts w:ascii="宋体" w:hAnsi="宋体" w:cs="宋体"/>
                <w:szCs w:val="21"/>
              </w:rPr>
            </w:pPr>
            <w:r>
              <w:rPr>
                <w:rFonts w:hint="eastAsia" w:ascii="宋体" w:hAnsi="宋体" w:cs="宋体"/>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434AD94">
            <w:pPr>
              <w:topLinePunct/>
              <w:spacing w:line="440" w:lineRule="exact"/>
              <w:jc w:val="center"/>
              <w:rPr>
                <w:rFonts w:ascii="宋体" w:hAnsi="宋体" w:cs="宋体"/>
                <w:szCs w:val="21"/>
              </w:rPr>
            </w:pPr>
            <w:r>
              <w:rPr>
                <w:rFonts w:hint="eastAsia" w:ascii="宋体" w:hAnsi="宋体" w:cs="宋体"/>
                <w:szCs w:val="21"/>
              </w:rPr>
              <w:t>有效期</w:t>
            </w:r>
          </w:p>
        </w:tc>
      </w:tr>
      <w:tr w14:paraId="539D4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81CBF6B">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9B7BCAF">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6683461">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B8EBB55">
            <w:pPr>
              <w:topLinePunct/>
              <w:spacing w:line="440" w:lineRule="exact"/>
              <w:jc w:val="center"/>
              <w:rPr>
                <w:rFonts w:ascii="宋体" w:hAnsi="宋体" w:cs="宋体"/>
                <w:szCs w:val="21"/>
              </w:rPr>
            </w:pPr>
          </w:p>
        </w:tc>
      </w:tr>
      <w:tr w14:paraId="5AA58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77115C1">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8F1C0CB">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4D0314">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ABC0540">
            <w:pPr>
              <w:topLinePunct/>
              <w:spacing w:line="440" w:lineRule="exact"/>
              <w:jc w:val="center"/>
              <w:rPr>
                <w:rFonts w:ascii="宋体" w:hAnsi="宋体" w:cs="宋体"/>
                <w:szCs w:val="21"/>
              </w:rPr>
            </w:pPr>
          </w:p>
        </w:tc>
      </w:tr>
      <w:tr w14:paraId="4E1B6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DAB9376">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8E300D0">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C15D05F">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0BFF18A">
            <w:pPr>
              <w:topLinePunct/>
              <w:spacing w:line="440" w:lineRule="exact"/>
              <w:jc w:val="center"/>
              <w:rPr>
                <w:rFonts w:ascii="宋体" w:hAnsi="宋体" w:cs="宋体"/>
                <w:szCs w:val="21"/>
              </w:rPr>
            </w:pPr>
          </w:p>
        </w:tc>
      </w:tr>
      <w:tr w14:paraId="7B1AB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F28FEDF">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DA799AE">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ACA924E">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91D94C6">
            <w:pPr>
              <w:topLinePunct/>
              <w:spacing w:line="440" w:lineRule="exact"/>
              <w:jc w:val="center"/>
              <w:rPr>
                <w:rFonts w:ascii="宋体" w:hAnsi="宋体" w:cs="宋体"/>
                <w:szCs w:val="21"/>
              </w:rPr>
            </w:pPr>
          </w:p>
        </w:tc>
      </w:tr>
      <w:tr w14:paraId="3A72A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372A98C1">
            <w:pPr>
              <w:topLinePunct/>
              <w:spacing w:line="440" w:lineRule="exact"/>
              <w:jc w:val="center"/>
              <w:rPr>
                <w:rFonts w:ascii="宋体" w:hAnsi="宋体" w:cs="宋体"/>
                <w:szCs w:val="21"/>
              </w:rPr>
            </w:pPr>
            <w:r>
              <w:rPr>
                <w:rFonts w:hint="eastAsia" w:ascii="宋体" w:hAnsi="宋体" w:cs="宋体"/>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FB28BC3">
            <w:pPr>
              <w:topLinePunct/>
              <w:spacing w:line="440" w:lineRule="exact"/>
              <w:rPr>
                <w:rFonts w:ascii="宋体" w:hAnsi="宋体" w:cs="宋体"/>
                <w:szCs w:val="21"/>
              </w:rPr>
            </w:pPr>
            <w:r>
              <w:rPr>
                <w:rFonts w:hint="eastAsia" w:ascii="宋体" w:hAnsi="宋体" w:cs="宋体"/>
                <w:szCs w:val="21"/>
              </w:rPr>
              <w:t>附《登记证书》或《营业执照》（副本）复印件</w:t>
            </w:r>
          </w:p>
        </w:tc>
      </w:tr>
    </w:tbl>
    <w:p w14:paraId="4DBCD33C">
      <w:pPr>
        <w:spacing w:line="480" w:lineRule="exact"/>
        <w:rPr>
          <w:rFonts w:ascii="宋体" w:hAnsi="宋体" w:cs="宋体"/>
          <w:sz w:val="30"/>
          <w:szCs w:val="30"/>
        </w:rPr>
      </w:pPr>
    </w:p>
    <w:p w14:paraId="35772410">
      <w:pPr>
        <w:spacing w:line="480" w:lineRule="exact"/>
        <w:rPr>
          <w:rFonts w:ascii="宋体" w:hAnsi="宋体" w:cs="宋体"/>
          <w:sz w:val="30"/>
          <w:szCs w:val="30"/>
        </w:rPr>
      </w:pPr>
      <w:r>
        <w:rPr>
          <w:rFonts w:hint="eastAsia" w:ascii="宋体" w:hAnsi="宋体" w:cs="宋体"/>
          <w:sz w:val="30"/>
          <w:szCs w:val="30"/>
        </w:rPr>
        <w:t>附件5      磋商文件规定的基本资格条件证明资料</w:t>
      </w:r>
    </w:p>
    <w:p w14:paraId="13C68C93">
      <w:pPr>
        <w:spacing w:line="480" w:lineRule="exact"/>
        <w:rPr>
          <w:rFonts w:ascii="宋体" w:hAnsi="宋体" w:cs="宋体"/>
          <w:sz w:val="30"/>
          <w:szCs w:val="30"/>
        </w:rPr>
      </w:pPr>
    </w:p>
    <w:p w14:paraId="545D9A4A">
      <w:pPr>
        <w:widowControl/>
        <w:spacing w:before="156"/>
        <w:jc w:val="center"/>
        <w:rPr>
          <w:rFonts w:ascii="宋体" w:hAnsi="宋体" w:cs="宋体"/>
          <w:kern w:val="1"/>
          <w:szCs w:val="21"/>
        </w:rPr>
      </w:pPr>
      <w:r>
        <w:rPr>
          <w:rFonts w:hint="eastAsia" w:ascii="黑体" w:hAnsi="黑体" w:eastAsia="黑体" w:cs="宋体"/>
          <w:b/>
          <w:kern w:val="1"/>
          <w:sz w:val="28"/>
          <w:szCs w:val="28"/>
        </w:rPr>
        <w:t>投标人资格声明(格式)</w:t>
      </w:r>
    </w:p>
    <w:p w14:paraId="3E2337F0">
      <w:pPr>
        <w:widowControl/>
        <w:spacing w:before="156"/>
        <w:rPr>
          <w:rFonts w:cs="宋体"/>
          <w:szCs w:val="21"/>
        </w:rPr>
      </w:pPr>
      <w:r>
        <w:rPr>
          <w:rFonts w:hint="eastAsia" w:cs="宋体"/>
          <w:kern w:val="1"/>
          <w:szCs w:val="21"/>
        </w:rPr>
        <w:t>致</w:t>
      </w:r>
      <w:r>
        <w:rPr>
          <w:rFonts w:hint="eastAsia" w:cs="宋体"/>
          <w:kern w:val="1"/>
          <w:szCs w:val="21"/>
          <w:u w:val="single"/>
          <w:lang w:val="en-US" w:eastAsia="zh-CN"/>
        </w:rPr>
        <w:t xml:space="preserve">               </w:t>
      </w:r>
      <w:r>
        <w:rPr>
          <w:rFonts w:hint="eastAsia" w:cs="宋体"/>
          <w:kern w:val="1"/>
          <w:szCs w:val="21"/>
        </w:rPr>
        <w:t>(采购人、采购代理机构)：</w:t>
      </w:r>
    </w:p>
    <w:p w14:paraId="514C4E60">
      <w:pPr>
        <w:widowControl/>
        <w:spacing w:before="156"/>
        <w:ind w:firstLine="420"/>
        <w:rPr>
          <w:rFonts w:cs="宋体"/>
          <w:szCs w:val="21"/>
        </w:rPr>
      </w:pPr>
      <w:r>
        <w:rPr>
          <w:rFonts w:hint="eastAsia" w:cs="宋体"/>
          <w:kern w:val="1"/>
          <w:szCs w:val="21"/>
        </w:rPr>
        <w:t>按照《中华人民共和国招标采购法》第二十二条和招标文件的规定，我单位郑重声明如下：</w:t>
      </w:r>
    </w:p>
    <w:p w14:paraId="0C25571D">
      <w:pPr>
        <w:widowControl/>
        <w:spacing w:before="156"/>
        <w:ind w:firstLine="420"/>
        <w:rPr>
          <w:rFonts w:cs="宋体"/>
          <w:szCs w:val="21"/>
        </w:rPr>
      </w:pPr>
      <w:r>
        <w:rPr>
          <w:rFonts w:hint="eastAsia" w:cs="宋体"/>
          <w:kern w:val="1"/>
          <w:szCs w:val="21"/>
        </w:rPr>
        <w:t>一、我单位是按照中华人民共和国法律规定登记注册的，注册地点为</w:t>
      </w:r>
      <w:r>
        <w:rPr>
          <w:rFonts w:hint="eastAsia" w:cs="宋体"/>
          <w:kern w:val="1"/>
          <w:szCs w:val="21"/>
          <w:u w:val="single"/>
        </w:rPr>
        <w:t xml:space="preserve">         </w:t>
      </w:r>
      <w:r>
        <w:rPr>
          <w:rFonts w:hint="eastAsia" w:cs="宋体"/>
          <w:kern w:val="1"/>
          <w:szCs w:val="21"/>
        </w:rPr>
        <w:t>，全称为</w:t>
      </w:r>
      <w:r>
        <w:rPr>
          <w:rFonts w:hint="eastAsia" w:cs="宋体"/>
          <w:kern w:val="1"/>
          <w:szCs w:val="21"/>
          <w:u w:val="single"/>
        </w:rPr>
        <w:t xml:space="preserve">        </w:t>
      </w:r>
      <w:r>
        <w:rPr>
          <w:rFonts w:hint="eastAsia" w:cs="宋体"/>
          <w:kern w:val="1"/>
          <w:szCs w:val="21"/>
        </w:rPr>
        <w:t>，统一社会信用代码为</w:t>
      </w:r>
      <w:r>
        <w:rPr>
          <w:rFonts w:hint="eastAsia" w:cs="宋体"/>
          <w:kern w:val="1"/>
          <w:szCs w:val="21"/>
          <w:u w:val="single"/>
        </w:rPr>
        <w:t xml:space="preserve">            </w:t>
      </w:r>
      <w:r>
        <w:rPr>
          <w:rFonts w:hint="eastAsia" w:cs="宋体"/>
          <w:kern w:val="1"/>
          <w:szCs w:val="21"/>
        </w:rPr>
        <w:t>，法定代表人</w:t>
      </w:r>
      <w:r>
        <w:rPr>
          <w:rFonts w:hint="eastAsia" w:ascii="宋体" w:hAnsi="宋体" w:cs="微软雅黑"/>
          <w:szCs w:val="21"/>
        </w:rPr>
        <w:t>（</w:t>
      </w:r>
      <w:r>
        <w:rPr>
          <w:rFonts w:hint="eastAsia" w:ascii="宋体" w:hAnsi="宋体" w:cs="微软雅黑"/>
          <w:spacing w:val="-2"/>
          <w:szCs w:val="21"/>
        </w:rPr>
        <w:t>单</w:t>
      </w:r>
      <w:r>
        <w:rPr>
          <w:rFonts w:hint="eastAsia" w:ascii="宋体" w:hAnsi="宋体" w:cs="微软雅黑"/>
          <w:szCs w:val="21"/>
        </w:rPr>
        <w:t>位</w:t>
      </w:r>
      <w:r>
        <w:rPr>
          <w:rFonts w:hint="eastAsia" w:ascii="宋体" w:hAnsi="宋体" w:cs="微软雅黑"/>
          <w:spacing w:val="-2"/>
          <w:szCs w:val="21"/>
        </w:rPr>
        <w:t>负</w:t>
      </w:r>
      <w:r>
        <w:rPr>
          <w:rFonts w:hint="eastAsia" w:ascii="宋体" w:hAnsi="宋体" w:cs="微软雅黑"/>
          <w:szCs w:val="21"/>
        </w:rPr>
        <w:t>责人</w:t>
      </w:r>
      <w:r>
        <w:rPr>
          <w:rFonts w:hint="eastAsia" w:ascii="宋体" w:hAnsi="宋体" w:cs="微软雅黑"/>
          <w:spacing w:val="-2"/>
          <w:szCs w:val="21"/>
        </w:rPr>
        <w:t>）</w:t>
      </w:r>
      <w:r>
        <w:rPr>
          <w:rFonts w:hint="eastAsia" w:cs="宋体"/>
          <w:kern w:val="1"/>
          <w:szCs w:val="21"/>
        </w:rPr>
        <w:t>为</w:t>
      </w:r>
      <w:r>
        <w:rPr>
          <w:rFonts w:hint="eastAsia" w:cs="宋体"/>
          <w:kern w:val="1"/>
          <w:szCs w:val="21"/>
          <w:u w:val="single"/>
        </w:rPr>
        <w:t xml:space="preserve">         </w:t>
      </w:r>
      <w:r>
        <w:rPr>
          <w:rFonts w:hint="eastAsia" w:cs="宋体"/>
          <w:kern w:val="1"/>
          <w:szCs w:val="21"/>
        </w:rPr>
        <w:t>，具有独立承担民事责任的能力。</w:t>
      </w:r>
    </w:p>
    <w:p w14:paraId="5AD8D433">
      <w:pPr>
        <w:widowControl/>
        <w:spacing w:before="156"/>
        <w:ind w:firstLine="420"/>
        <w:rPr>
          <w:rFonts w:cs="宋体"/>
          <w:kern w:val="1"/>
          <w:szCs w:val="21"/>
        </w:rPr>
      </w:pPr>
      <w:r>
        <w:rPr>
          <w:rFonts w:hint="eastAsia" w:cs="宋体"/>
          <w:kern w:val="1"/>
          <w:szCs w:val="21"/>
        </w:rPr>
        <w:t>二、我单位未被</w:t>
      </w:r>
      <w:r>
        <w:rPr>
          <w:rFonts w:hint="eastAsia" w:ascii="华文中宋" w:hAnsi="华文中宋" w:eastAsia="华文中宋" w:cs="宋体"/>
          <w:kern w:val="1"/>
          <w:szCs w:val="21"/>
        </w:rPr>
        <w:t>“</w:t>
      </w:r>
      <w:r>
        <w:rPr>
          <w:rFonts w:hint="eastAsia" w:cs="宋体"/>
          <w:kern w:val="1"/>
          <w:szCs w:val="21"/>
        </w:rPr>
        <w:t>国家企业信用信息系统</w:t>
      </w:r>
      <w:r>
        <w:rPr>
          <w:rFonts w:hint="eastAsia" w:ascii="华文中宋" w:hAnsi="华文中宋" w:eastAsia="华文中宋" w:cs="宋体"/>
          <w:kern w:val="1"/>
          <w:szCs w:val="21"/>
        </w:rPr>
        <w:t>”</w:t>
      </w:r>
      <w:r>
        <w:rPr>
          <w:rFonts w:hint="eastAsia" w:cs="宋体"/>
          <w:kern w:val="1"/>
          <w:szCs w:val="21"/>
        </w:rPr>
        <w:t>列入经营异常名录或者严重违法企业名单。</w:t>
      </w:r>
    </w:p>
    <w:p w14:paraId="4B53A432">
      <w:pPr>
        <w:widowControl/>
        <w:spacing w:before="156"/>
        <w:ind w:firstLine="420"/>
        <w:rPr>
          <w:rFonts w:cs="宋体"/>
          <w:kern w:val="1"/>
          <w:szCs w:val="21"/>
        </w:rPr>
      </w:pPr>
      <w:r>
        <w:rPr>
          <w:rFonts w:hint="eastAsia" w:cs="宋体"/>
          <w:szCs w:val="21"/>
        </w:rPr>
        <w:t>三、</w:t>
      </w:r>
      <w:r>
        <w:rPr>
          <w:rFonts w:hint="eastAsia" w:cs="宋体"/>
          <w:kern w:val="1"/>
          <w:szCs w:val="21"/>
        </w:rPr>
        <w:t>我单位具有良好的商业信誉和健全的财务会计制度。</w:t>
      </w:r>
    </w:p>
    <w:p w14:paraId="42A519ED">
      <w:pPr>
        <w:widowControl/>
        <w:spacing w:before="156"/>
        <w:ind w:firstLine="420"/>
        <w:rPr>
          <w:rFonts w:cs="宋体"/>
          <w:szCs w:val="21"/>
        </w:rPr>
      </w:pPr>
      <w:r>
        <w:rPr>
          <w:rFonts w:hint="eastAsia" w:cs="宋体"/>
          <w:szCs w:val="21"/>
        </w:rPr>
        <w:t>四、我</w:t>
      </w:r>
      <w:r>
        <w:rPr>
          <w:rFonts w:hint="eastAsia" w:cs="宋体"/>
          <w:kern w:val="1"/>
          <w:szCs w:val="21"/>
        </w:rPr>
        <w:t>单位</w:t>
      </w:r>
      <w:r>
        <w:rPr>
          <w:rFonts w:hint="eastAsia" w:cs="宋体"/>
          <w:szCs w:val="21"/>
        </w:rPr>
        <w:t>依法进行纳税和社会保险申报并实际履行了义务。</w:t>
      </w:r>
    </w:p>
    <w:p w14:paraId="6611E7B2">
      <w:pPr>
        <w:widowControl/>
        <w:spacing w:before="156"/>
        <w:ind w:firstLine="420"/>
        <w:rPr>
          <w:rFonts w:cs="宋体"/>
          <w:szCs w:val="21"/>
        </w:rPr>
      </w:pPr>
      <w:r>
        <w:rPr>
          <w:rFonts w:hint="eastAsia" w:cs="宋体"/>
          <w:kern w:val="1"/>
          <w:szCs w:val="21"/>
        </w:rPr>
        <w:t>五、我单位具有履行本项目采购合同所必需的设备和专业技术能力，并具有履行合同的良好</w:t>
      </w:r>
      <w:r>
        <w:rPr>
          <w:rFonts w:ascii="宋体" w:hAnsi="宋体" w:cs="宋体"/>
          <w:kern w:val="1"/>
          <w:szCs w:val="21"/>
        </w:rPr>
        <w:t>记录</w:t>
      </w:r>
      <w:r>
        <w:rPr>
          <w:rFonts w:hint="eastAsia" w:cs="宋体"/>
          <w:kern w:val="1"/>
          <w:szCs w:val="21"/>
        </w:rPr>
        <w:t>。</w:t>
      </w:r>
    </w:p>
    <w:p w14:paraId="6DB69227">
      <w:pPr>
        <w:widowControl/>
        <w:spacing w:before="156"/>
        <w:ind w:firstLine="420"/>
        <w:rPr>
          <w:rFonts w:cs="宋体"/>
          <w:kern w:val="1"/>
          <w:szCs w:val="21"/>
        </w:rPr>
      </w:pPr>
      <w:r>
        <w:rPr>
          <w:rFonts w:hint="eastAsia" w:cs="宋体"/>
          <w:kern w:val="1"/>
          <w:szCs w:val="21"/>
        </w:rPr>
        <w:t>六、我单位在参加采购项目招标采购活动前三年内，在经营活动中，未因违法经营受到刑事处罚或者责令停产停业、吊销许可证或者执照、较大数额罚款等行政处罚。其中较大数额罚款是指：200万元以上的罚款；法律、法规、规章、国务院有关行政主管部门对“较大数额罚款”标准另有规定的，从其规定。</w:t>
      </w:r>
    </w:p>
    <w:p w14:paraId="33251EDD">
      <w:pPr>
        <w:widowControl/>
        <w:spacing w:before="156"/>
        <w:ind w:firstLine="420"/>
        <w:rPr>
          <w:rFonts w:cs="宋体"/>
          <w:kern w:val="1"/>
          <w:szCs w:val="21"/>
        </w:rPr>
      </w:pPr>
      <w:r>
        <w:rPr>
          <w:rFonts w:hint="eastAsia" w:cs="宋体"/>
          <w:kern w:val="1"/>
          <w:szCs w:val="21"/>
        </w:rPr>
        <w:t>供应商在参加招标采购活动前3年内因违法经营被禁止在一定期限内参加招标采购活动，期限届满的，可以参加招标采购活动。</w:t>
      </w:r>
    </w:p>
    <w:p w14:paraId="330EB5A0">
      <w:pPr>
        <w:widowControl/>
        <w:spacing w:before="156"/>
        <w:ind w:firstLine="420"/>
        <w:rPr>
          <w:rFonts w:cs="宋体"/>
          <w:kern w:val="1"/>
          <w:szCs w:val="21"/>
        </w:rPr>
      </w:pPr>
      <w:r>
        <w:rPr>
          <w:rFonts w:hint="eastAsia" w:cs="宋体"/>
          <w:kern w:val="1"/>
          <w:szCs w:val="21"/>
        </w:rPr>
        <w:t>七、我单位具备法律、行政法规规定的其他条件。</w:t>
      </w:r>
    </w:p>
    <w:p w14:paraId="1628D111">
      <w:pPr>
        <w:widowControl/>
        <w:spacing w:before="156"/>
        <w:ind w:firstLine="420"/>
        <w:rPr>
          <w:kern w:val="1"/>
          <w:szCs w:val="21"/>
        </w:rPr>
      </w:pPr>
      <w:r>
        <w:rPr>
          <w:rFonts w:hint="eastAsia" w:cs="宋体"/>
          <w:szCs w:val="21"/>
        </w:rPr>
        <w:t>八、</w:t>
      </w:r>
      <w:r>
        <w:rPr>
          <w:rFonts w:hint="eastAsia"/>
          <w:kern w:val="1"/>
          <w:szCs w:val="21"/>
        </w:rPr>
        <w:t>与我单位存在“单位负责人为同一人或者存在直接控股、管理关系”的其他单位信息如下（如无，填写“无”）：</w:t>
      </w:r>
    </w:p>
    <w:p w14:paraId="60C3DD6B">
      <w:pPr>
        <w:spacing w:before="156"/>
        <w:ind w:firstLine="420"/>
        <w:rPr>
          <w:kern w:val="1"/>
          <w:szCs w:val="21"/>
        </w:rPr>
      </w:pPr>
      <w:r>
        <w:rPr>
          <w:rFonts w:hint="eastAsia" w:ascii="宋体" w:hAnsi="宋体" w:cs="宋体"/>
          <w:kern w:val="1"/>
          <w:szCs w:val="21"/>
        </w:rPr>
        <w:t>1、</w:t>
      </w:r>
      <w:r>
        <w:rPr>
          <w:rFonts w:hint="eastAsia"/>
          <w:kern w:val="1"/>
          <w:szCs w:val="21"/>
        </w:rPr>
        <w:t>与我单位的法定代表人（单位负责人）为同一人的其他单位如下：</w:t>
      </w:r>
      <w:r>
        <w:rPr>
          <w:rFonts w:hint="eastAsia"/>
          <w:kern w:val="1"/>
          <w:szCs w:val="21"/>
          <w:highlight w:val="cyan"/>
          <w:u w:val="single"/>
          <w:lang w:val="en-US" w:eastAsia="zh-CN"/>
        </w:rPr>
        <w:t xml:space="preserve">   </w:t>
      </w:r>
      <w:r>
        <w:rPr>
          <w:rFonts w:hint="eastAsia" w:ascii="宋体" w:hAnsi="宋体" w:cs="宋体"/>
          <w:kern w:val="1"/>
          <w:szCs w:val="21"/>
          <w:highlight w:val="cyan"/>
          <w:u w:val="single"/>
        </w:rPr>
        <w:t xml:space="preserve">    </w:t>
      </w:r>
      <w:r>
        <w:rPr>
          <w:rFonts w:hint="eastAsia" w:ascii="宋体" w:hAnsi="宋体" w:cs="宋体"/>
          <w:kern w:val="1"/>
          <w:szCs w:val="21"/>
          <w:u w:val="single"/>
        </w:rPr>
        <w:t xml:space="preserve">           </w:t>
      </w:r>
    </w:p>
    <w:p w14:paraId="1B99083B">
      <w:pPr>
        <w:spacing w:before="156"/>
        <w:ind w:firstLine="420"/>
        <w:rPr>
          <w:rFonts w:ascii="宋体" w:hAnsi="宋体" w:cs="宋体"/>
          <w:kern w:val="1"/>
          <w:szCs w:val="21"/>
        </w:rPr>
      </w:pPr>
      <w:r>
        <w:rPr>
          <w:rFonts w:hint="eastAsia" w:ascii="宋体" w:hAnsi="宋体" w:cs="宋体"/>
          <w:kern w:val="1"/>
          <w:szCs w:val="21"/>
        </w:rPr>
        <w:t>2、我</w:t>
      </w:r>
      <w:r>
        <w:rPr>
          <w:rFonts w:hint="eastAsia"/>
          <w:kern w:val="1"/>
          <w:szCs w:val="21"/>
        </w:rPr>
        <w:t>单位</w:t>
      </w:r>
      <w:r>
        <w:rPr>
          <w:rFonts w:hint="eastAsia" w:ascii="宋体" w:hAnsi="宋体" w:cs="宋体"/>
          <w:kern w:val="1"/>
          <w:szCs w:val="21"/>
        </w:rPr>
        <w:t>直接控股的其他单位如下：</w:t>
      </w:r>
      <w:r>
        <w:rPr>
          <w:rFonts w:hint="eastAsia" w:ascii="宋体" w:hAnsi="宋体" w:cs="宋体"/>
          <w:kern w:val="1"/>
          <w:szCs w:val="21"/>
          <w:highlight w:val="cyan"/>
          <w:u w:val="none"/>
        </w:rPr>
        <w:t xml:space="preserve">         </w:t>
      </w:r>
      <w:r>
        <w:rPr>
          <w:rFonts w:hint="eastAsia" w:ascii="宋体" w:hAnsi="宋体" w:cs="宋体"/>
          <w:kern w:val="1"/>
          <w:szCs w:val="21"/>
          <w:u w:val="single"/>
        </w:rPr>
        <w:t xml:space="preserve">      </w:t>
      </w:r>
    </w:p>
    <w:p w14:paraId="4BE344F4">
      <w:pPr>
        <w:spacing w:before="156"/>
        <w:ind w:firstLine="420"/>
        <w:rPr>
          <w:kern w:val="1"/>
          <w:szCs w:val="21"/>
        </w:rPr>
      </w:pPr>
      <w:r>
        <w:rPr>
          <w:rFonts w:hint="eastAsia" w:ascii="宋体" w:hAnsi="宋体" w:cs="宋体"/>
          <w:kern w:val="1"/>
          <w:szCs w:val="21"/>
        </w:rPr>
        <w:t>3、与我</w:t>
      </w:r>
      <w:r>
        <w:rPr>
          <w:rFonts w:hint="eastAsia"/>
          <w:kern w:val="1"/>
          <w:szCs w:val="21"/>
        </w:rPr>
        <w:t>单位存在</w:t>
      </w:r>
      <w:r>
        <w:rPr>
          <w:rFonts w:hint="eastAsia" w:ascii="宋体" w:hAnsi="宋体" w:cs="宋体"/>
          <w:kern w:val="1"/>
          <w:szCs w:val="21"/>
        </w:rPr>
        <w:t>管理关系的其他单位如下：</w:t>
      </w:r>
      <w:r>
        <w:rPr>
          <w:rFonts w:hint="eastAsia" w:ascii="宋体" w:hAnsi="宋体" w:cs="宋体"/>
          <w:kern w:val="1"/>
          <w:szCs w:val="21"/>
          <w:highlight w:val="cyan"/>
          <w:u w:val="single"/>
        </w:rPr>
        <w:t xml:space="preserve">          </w:t>
      </w:r>
      <w:r>
        <w:rPr>
          <w:rFonts w:hint="eastAsia" w:ascii="宋体" w:hAnsi="宋体" w:cs="宋体"/>
          <w:kern w:val="1"/>
          <w:szCs w:val="21"/>
          <w:u w:val="single"/>
        </w:rPr>
        <w:t xml:space="preserve">     </w:t>
      </w:r>
    </w:p>
    <w:p w14:paraId="55C2F772">
      <w:pPr>
        <w:widowControl/>
        <w:spacing w:before="156"/>
        <w:ind w:firstLine="420"/>
        <w:rPr>
          <w:kern w:val="1"/>
          <w:szCs w:val="21"/>
        </w:rPr>
      </w:pPr>
      <w:r>
        <w:rPr>
          <w:rFonts w:hint="eastAsia"/>
          <w:kern w:val="1"/>
          <w:szCs w:val="21"/>
        </w:rPr>
        <w:t>九、</w:t>
      </w:r>
      <w:r>
        <w:rPr>
          <w:rFonts w:ascii="宋体" w:hAnsi="宋体" w:cs="宋体"/>
          <w:kern w:val="1"/>
          <w:szCs w:val="21"/>
        </w:rPr>
        <w:t>我</w:t>
      </w:r>
      <w:r>
        <w:rPr>
          <w:rFonts w:hint="eastAsia" w:ascii="宋体" w:hAnsi="宋体" w:cs="宋体"/>
          <w:kern w:val="1"/>
          <w:szCs w:val="21"/>
        </w:rPr>
        <w:t>单位</w:t>
      </w:r>
      <w:r>
        <w:rPr>
          <w:rFonts w:ascii="宋体" w:hAnsi="宋体" w:cs="宋体"/>
          <w:kern w:val="1"/>
          <w:szCs w:val="21"/>
        </w:rPr>
        <w:t>不属于为本项目提供整体设计、规范编制或者项目管理、监理、检测等服务的投标人。</w:t>
      </w:r>
    </w:p>
    <w:p w14:paraId="35E208D4">
      <w:pPr>
        <w:widowControl/>
        <w:spacing w:before="156"/>
        <w:ind w:firstLine="420"/>
        <w:rPr>
          <w:rFonts w:ascii="宋体" w:hAnsi="宋体" w:cs="宋体"/>
          <w:kern w:val="1"/>
          <w:szCs w:val="21"/>
        </w:rPr>
      </w:pPr>
      <w:r>
        <w:rPr>
          <w:rFonts w:hint="eastAsia" w:ascii="宋体" w:hAnsi="宋体" w:cs="宋体"/>
          <w:kern w:val="1"/>
          <w:szCs w:val="21"/>
        </w:rPr>
        <w:t>十、</w:t>
      </w:r>
      <w:r>
        <w:rPr>
          <w:rFonts w:ascii="宋体" w:hAnsi="宋体" w:cs="宋体"/>
          <w:kern w:val="1"/>
          <w:szCs w:val="21"/>
        </w:rPr>
        <w:t>我单位无以下不良信用记录情形：</w:t>
      </w:r>
    </w:p>
    <w:p w14:paraId="0B4BDE2F">
      <w:pPr>
        <w:widowControl/>
        <w:spacing w:before="156"/>
        <w:ind w:firstLine="420"/>
        <w:rPr>
          <w:rFonts w:ascii="宋体" w:hAnsi="宋体" w:cs="宋体"/>
          <w:kern w:val="1"/>
          <w:szCs w:val="21"/>
        </w:rPr>
      </w:pPr>
      <w:r>
        <w:rPr>
          <w:rFonts w:ascii="宋体" w:hAnsi="宋体" w:cs="宋体"/>
          <w:kern w:val="1"/>
          <w:szCs w:val="21"/>
        </w:rPr>
        <w:t>1</w:t>
      </w:r>
      <w:r>
        <w:rPr>
          <w:rFonts w:hint="eastAsia" w:ascii="宋体" w:hAnsi="宋体" w:cs="宋体"/>
          <w:kern w:val="1"/>
          <w:szCs w:val="21"/>
        </w:rPr>
        <w:t>、在</w:t>
      </w:r>
      <w:r>
        <w:rPr>
          <w:rFonts w:hint="eastAsia" w:cs="宋体"/>
          <w:kern w:val="1"/>
          <w:szCs w:val="21"/>
        </w:rPr>
        <w:t>“信用中国”网站被列入失信被执行人和重大税收违法案件当事人名单；</w:t>
      </w:r>
    </w:p>
    <w:p w14:paraId="7E36B0D7">
      <w:pPr>
        <w:widowControl/>
        <w:spacing w:before="156"/>
        <w:ind w:firstLine="420"/>
        <w:rPr>
          <w:rFonts w:ascii="宋体" w:hAnsi="宋体" w:cs="宋体"/>
          <w:kern w:val="1"/>
          <w:szCs w:val="21"/>
        </w:rPr>
      </w:pPr>
      <w:r>
        <w:rPr>
          <w:rFonts w:ascii="宋体" w:hAnsi="宋体" w:cs="宋体"/>
          <w:kern w:val="1"/>
          <w:szCs w:val="21"/>
        </w:rPr>
        <w:t>2</w:t>
      </w:r>
      <w:r>
        <w:rPr>
          <w:rFonts w:hint="eastAsia" w:ascii="宋体" w:hAnsi="宋体" w:cs="宋体"/>
          <w:kern w:val="1"/>
          <w:szCs w:val="21"/>
        </w:rPr>
        <w:t>、在</w:t>
      </w:r>
      <w:r>
        <w:rPr>
          <w:rFonts w:hint="eastAsia" w:cs="宋体"/>
          <w:kern w:val="1"/>
          <w:szCs w:val="21"/>
        </w:rPr>
        <w:t>“中国招标采购网”网站被列入招标采购严重违法失信行为记录名单；</w:t>
      </w:r>
    </w:p>
    <w:p w14:paraId="3B56E701">
      <w:pPr>
        <w:widowControl/>
        <w:spacing w:before="156"/>
        <w:ind w:firstLine="420"/>
        <w:rPr>
          <w:rFonts w:cs="宋体"/>
          <w:szCs w:val="21"/>
        </w:rPr>
      </w:pPr>
      <w:r>
        <w:rPr>
          <w:rFonts w:hint="eastAsia" w:cs="宋体"/>
          <w:kern w:val="1"/>
          <w:szCs w:val="21"/>
        </w:rPr>
        <w:t>我单位保证上述声明的事项都是真实的，如有虚假，我单位愿意承担相应的法律责任，并承担因此所造成的一切损失。</w:t>
      </w:r>
    </w:p>
    <w:p w14:paraId="66579B28">
      <w:pPr>
        <w:widowControl/>
        <w:spacing w:before="156"/>
        <w:rPr>
          <w:rFonts w:cs="宋体"/>
          <w:kern w:val="1"/>
          <w:szCs w:val="21"/>
        </w:rPr>
      </w:pPr>
    </w:p>
    <w:p w14:paraId="410988E0">
      <w:pPr>
        <w:widowControl/>
        <w:spacing w:before="156"/>
        <w:rPr>
          <w:rFonts w:cs="宋体"/>
          <w:kern w:val="1"/>
          <w:szCs w:val="21"/>
        </w:rPr>
      </w:pPr>
      <w:r>
        <w:rPr>
          <w:rFonts w:hint="eastAsia" w:ascii="宋体" w:hAnsi="宋体" w:cs="宋体"/>
          <w:kern w:val="1"/>
          <w:szCs w:val="21"/>
        </w:rPr>
        <w:t>注：第三条“良好的商业信誉”是指投标人经营状况良好，无本资格声明第十条情形。</w:t>
      </w:r>
    </w:p>
    <w:p w14:paraId="34FA54E4">
      <w:pPr>
        <w:widowControl/>
        <w:spacing w:before="156"/>
        <w:rPr>
          <w:rFonts w:cs="宋体"/>
          <w:kern w:val="1"/>
          <w:szCs w:val="21"/>
        </w:rPr>
      </w:pPr>
    </w:p>
    <w:p w14:paraId="7C92CA01">
      <w:pPr>
        <w:widowControl/>
        <w:rPr>
          <w:rFonts w:cs="宋体"/>
          <w:szCs w:val="21"/>
          <w:u w:val="single"/>
        </w:rPr>
      </w:pPr>
      <w:r>
        <w:rPr>
          <w:rFonts w:hint="eastAsia" w:cs="宋体"/>
          <w:kern w:val="1"/>
          <w:szCs w:val="21"/>
        </w:rPr>
        <w:t>投标人名称（盖单位公章）：</w:t>
      </w:r>
      <w:r>
        <w:rPr>
          <w:rFonts w:hint="eastAsia" w:cs="宋体"/>
          <w:kern w:val="1"/>
          <w:szCs w:val="21"/>
          <w:u w:val="single"/>
        </w:rPr>
        <w:t xml:space="preserve">                  </w:t>
      </w:r>
    </w:p>
    <w:p w14:paraId="43D918B3">
      <w:pPr>
        <w:widowControl/>
        <w:rPr>
          <w:rFonts w:cs="宋体"/>
          <w:b/>
          <w:sz w:val="44"/>
          <w:szCs w:val="44"/>
        </w:rPr>
      </w:pPr>
      <w:r>
        <w:rPr>
          <w:rFonts w:hint="eastAsia" w:ascii="宋体" w:hAnsi="宋体" w:cs="微软雅黑"/>
          <w:spacing w:val="-2"/>
          <w:szCs w:val="21"/>
        </w:rPr>
        <w:t>法</w:t>
      </w:r>
      <w:r>
        <w:rPr>
          <w:rFonts w:hint="eastAsia" w:ascii="宋体" w:hAnsi="宋体" w:cs="微软雅黑"/>
          <w:szCs w:val="21"/>
        </w:rPr>
        <w:t>定</w:t>
      </w:r>
      <w:r>
        <w:rPr>
          <w:rFonts w:hint="eastAsia" w:ascii="宋体" w:hAnsi="宋体" w:cs="微软雅黑"/>
          <w:spacing w:val="-2"/>
          <w:szCs w:val="21"/>
        </w:rPr>
        <w:t>代</w:t>
      </w:r>
      <w:r>
        <w:rPr>
          <w:rFonts w:hint="eastAsia" w:ascii="宋体" w:hAnsi="宋体" w:cs="微软雅黑"/>
          <w:szCs w:val="21"/>
        </w:rPr>
        <w:t>表</w:t>
      </w:r>
      <w:r>
        <w:rPr>
          <w:rFonts w:hint="eastAsia" w:ascii="宋体" w:hAnsi="宋体" w:cs="微软雅黑"/>
          <w:spacing w:val="-2"/>
          <w:szCs w:val="21"/>
        </w:rPr>
        <w:t>人</w:t>
      </w:r>
      <w:r>
        <w:rPr>
          <w:rFonts w:hint="eastAsia" w:ascii="宋体" w:hAnsi="宋体" w:cs="微软雅黑"/>
          <w:szCs w:val="21"/>
        </w:rPr>
        <w:t>（</w:t>
      </w:r>
      <w:r>
        <w:rPr>
          <w:rFonts w:hint="eastAsia" w:ascii="宋体" w:hAnsi="宋体" w:cs="微软雅黑"/>
          <w:spacing w:val="-2"/>
          <w:szCs w:val="21"/>
        </w:rPr>
        <w:t>单</w:t>
      </w:r>
      <w:r>
        <w:rPr>
          <w:rFonts w:hint="eastAsia" w:ascii="宋体" w:hAnsi="宋体" w:cs="微软雅黑"/>
          <w:szCs w:val="21"/>
        </w:rPr>
        <w:t>位</w:t>
      </w:r>
      <w:r>
        <w:rPr>
          <w:rFonts w:hint="eastAsia" w:ascii="宋体" w:hAnsi="宋体" w:cs="微软雅黑"/>
          <w:spacing w:val="-2"/>
          <w:szCs w:val="21"/>
        </w:rPr>
        <w:t>负</w:t>
      </w:r>
      <w:r>
        <w:rPr>
          <w:rFonts w:hint="eastAsia" w:ascii="宋体" w:hAnsi="宋体" w:cs="微软雅黑"/>
          <w:szCs w:val="21"/>
        </w:rPr>
        <w:t>责人</w:t>
      </w:r>
      <w:r>
        <w:rPr>
          <w:rFonts w:hint="eastAsia" w:ascii="宋体" w:hAnsi="宋体" w:cs="微软雅黑"/>
          <w:spacing w:val="-2"/>
          <w:szCs w:val="21"/>
        </w:rPr>
        <w:t>）</w:t>
      </w:r>
      <w:r>
        <w:rPr>
          <w:rFonts w:hint="eastAsia" w:ascii="宋体" w:hAnsi="宋体" w:cs="宋体"/>
          <w:kern w:val="1"/>
        </w:rPr>
        <w:t>或委托代理人：</w:t>
      </w:r>
      <w:r>
        <w:rPr>
          <w:rFonts w:hint="eastAsia" w:ascii="宋体" w:hAnsi="宋体" w:cs="宋体"/>
          <w:kern w:val="1"/>
          <w:u w:val="single"/>
        </w:rPr>
        <w:t xml:space="preserve">       </w:t>
      </w:r>
      <w:r>
        <w:rPr>
          <w:rFonts w:hint="eastAsia" w:ascii="宋体" w:hAnsi="宋体" w:cs="宋体"/>
          <w:kern w:val="1"/>
        </w:rPr>
        <w:t>（签字或印章）</w:t>
      </w:r>
    </w:p>
    <w:p w14:paraId="3C656F32">
      <w:pPr>
        <w:spacing w:line="480" w:lineRule="exact"/>
        <w:rPr>
          <w:rFonts w:hint="eastAsia" w:cs="宋体"/>
          <w:kern w:val="1"/>
          <w:szCs w:val="21"/>
        </w:rPr>
      </w:pPr>
      <w:r>
        <w:rPr>
          <w:rFonts w:hint="eastAsia" w:cs="宋体"/>
          <w:kern w:val="1"/>
          <w:szCs w:val="21"/>
        </w:rPr>
        <w:t>日期：</w:t>
      </w:r>
      <w:r>
        <w:rPr>
          <w:rFonts w:hint="eastAsia" w:cs="宋体"/>
          <w:kern w:val="1"/>
          <w:szCs w:val="21"/>
          <w:u w:val="single"/>
        </w:rPr>
        <w:t xml:space="preserve">   </w:t>
      </w:r>
      <w:r>
        <w:rPr>
          <w:rFonts w:hint="eastAsia" w:cs="宋体"/>
          <w:kern w:val="1"/>
          <w:szCs w:val="21"/>
        </w:rPr>
        <w:t>年</w:t>
      </w:r>
      <w:r>
        <w:rPr>
          <w:rFonts w:hint="eastAsia" w:cs="宋体"/>
          <w:kern w:val="1"/>
          <w:szCs w:val="21"/>
          <w:u w:val="single"/>
        </w:rPr>
        <w:t xml:space="preserve">   </w:t>
      </w:r>
      <w:r>
        <w:rPr>
          <w:rFonts w:hint="eastAsia" w:cs="宋体"/>
          <w:kern w:val="1"/>
          <w:szCs w:val="21"/>
        </w:rPr>
        <w:t>月</w:t>
      </w:r>
      <w:r>
        <w:rPr>
          <w:rFonts w:hint="eastAsia" w:cs="宋体"/>
          <w:kern w:val="1"/>
          <w:szCs w:val="21"/>
          <w:u w:val="single"/>
        </w:rPr>
        <w:t xml:space="preserve">   </w:t>
      </w:r>
      <w:r>
        <w:rPr>
          <w:rFonts w:hint="eastAsia" w:cs="宋体"/>
          <w:kern w:val="1"/>
          <w:szCs w:val="21"/>
        </w:rPr>
        <w:t>日</w:t>
      </w:r>
    </w:p>
    <w:p w14:paraId="74BE04F2">
      <w:pPr>
        <w:spacing w:line="480" w:lineRule="exact"/>
        <w:rPr>
          <w:rFonts w:hint="eastAsia" w:cs="宋体"/>
          <w:kern w:val="1"/>
          <w:szCs w:val="21"/>
        </w:rPr>
      </w:pPr>
    </w:p>
    <w:p w14:paraId="745BEF30">
      <w:pPr>
        <w:pStyle w:val="296"/>
        <w:ind w:firstLine="420" w:firstLineChars="200"/>
        <w:rPr>
          <w:rStyle w:val="46"/>
          <w:rFonts w:hint="eastAsia"/>
        </w:rPr>
      </w:pPr>
      <w:r>
        <w:rPr>
          <w:rStyle w:val="46"/>
          <w:rFonts w:hint="eastAsia"/>
        </w:rPr>
        <w:t>附页：</w:t>
      </w:r>
    </w:p>
    <w:p w14:paraId="053A0889">
      <w:pPr>
        <w:pStyle w:val="296"/>
        <w:ind w:firstLine="420" w:firstLineChars="200"/>
        <w:rPr>
          <w:rStyle w:val="46"/>
          <w:rFonts w:hint="eastAsia" w:ascii="宋体" w:hAnsi="宋体" w:cs="宋体"/>
          <w:kern w:val="0"/>
          <w:sz w:val="24"/>
        </w:rPr>
      </w:pPr>
      <w:r>
        <w:rPr>
          <w:rStyle w:val="46"/>
          <w:rFonts w:hint="eastAsia" w:ascii="宋体" w:hAnsi="宋体" w:cs="宋体"/>
          <w:kern w:val="0"/>
          <w:szCs w:val="21"/>
        </w:rPr>
        <w:t>根据《</w:t>
      </w:r>
      <w:r>
        <w:rPr>
          <w:rStyle w:val="46"/>
          <w:rFonts w:ascii="宋体" w:hAnsi="宋体" w:cs="宋体"/>
          <w:kern w:val="0"/>
          <w:szCs w:val="21"/>
        </w:rPr>
        <w:t>湖南省财政厅关于政府采购促进中小企业发展有关措施的通知</w:t>
      </w:r>
      <w:r>
        <w:rPr>
          <w:rStyle w:val="46"/>
          <w:rFonts w:hint="eastAsia" w:ascii="宋体" w:hAnsi="宋体" w:cs="宋体"/>
          <w:kern w:val="0"/>
          <w:szCs w:val="21"/>
        </w:rPr>
        <w:t>》规定，供应商凭《湖南省政府采购供应商资格承诺函》（格式如下）参与政府采购活动，无需提供财务状况报告、依法缴纳税收和社会保障资金的相关材料、参与政府采购活动前3年内在经营活动中没有重大违法记录的书面声明。</w:t>
      </w:r>
    </w:p>
    <w:p w14:paraId="4FB233D8">
      <w:pPr>
        <w:pStyle w:val="287"/>
        <w:jc w:val="center"/>
        <w:outlineLvl w:val="2"/>
        <w:rPr>
          <w:rFonts w:hint="eastAsia" w:ascii="宋体" w:hAnsi="宋体" w:eastAsia="Times New Roman" w:cs="宋体"/>
          <w:sz w:val="21"/>
          <w:szCs w:val="21"/>
        </w:rPr>
      </w:pPr>
      <w:bookmarkStart w:id="7" w:name="_Toc256000058"/>
      <w:bookmarkStart w:id="8" w:name="_Toc5495"/>
      <w:bookmarkStart w:id="9" w:name="_Toc256000059"/>
      <w:bookmarkStart w:id="10" w:name="_Toc256000054"/>
      <w:bookmarkStart w:id="11" w:name="_Toc2605"/>
      <w:r>
        <w:rPr>
          <w:rFonts w:hint="eastAsia" w:ascii="宋体" w:hAnsi="宋体" w:eastAsia="宋体" w:cs="宋体"/>
          <w:kern w:val="2"/>
          <w:sz w:val="21"/>
          <w:szCs w:val="21"/>
          <w:lang w:val="en-US" w:eastAsia="zh-CN"/>
        </w:rPr>
        <w:t>湖南省政府采购供应商资格承诺函</w:t>
      </w:r>
      <w:bookmarkEnd w:id="7"/>
      <w:bookmarkEnd w:id="8"/>
      <w:bookmarkEnd w:id="9"/>
      <w:bookmarkEnd w:id="10"/>
      <w:bookmarkEnd w:id="11"/>
    </w:p>
    <w:p w14:paraId="647F8690">
      <w:pPr>
        <w:pStyle w:val="296"/>
        <w:outlineLvl w:val="9"/>
        <w:rPr>
          <w:rFonts w:hint="eastAsia" w:ascii="宋体" w:hAnsi="宋体" w:cs="宋体"/>
          <w:sz w:val="21"/>
          <w:szCs w:val="21"/>
        </w:rPr>
      </w:pPr>
    </w:p>
    <w:p w14:paraId="58678F5F">
      <w:pPr>
        <w:pStyle w:val="287"/>
        <w:outlineLvl w:val="9"/>
        <w:rPr>
          <w:rFonts w:hint="eastAsia" w:ascii="宋体" w:hAnsi="宋体" w:eastAsia="Times New Roman" w:cs="宋体"/>
          <w:sz w:val="21"/>
          <w:szCs w:val="21"/>
        </w:rPr>
      </w:pPr>
      <w:bookmarkStart w:id="12" w:name="_Toc256000060"/>
      <w:bookmarkStart w:id="13" w:name="_Toc16259"/>
      <w:bookmarkStart w:id="14" w:name="_Toc256000061"/>
      <w:bookmarkStart w:id="15" w:name="_Toc8986"/>
      <w:bookmarkStart w:id="16" w:name="_Toc256000056"/>
      <w:r>
        <w:rPr>
          <w:rFonts w:hint="eastAsia" w:ascii="宋体" w:hAnsi="宋体" w:eastAsia="宋体" w:cs="宋体"/>
          <w:kern w:val="2"/>
          <w:sz w:val="21"/>
          <w:szCs w:val="21"/>
          <w:lang w:val="en-US" w:eastAsia="zh-CN"/>
        </w:rPr>
        <w:t>本公司独立承担民事责任、具有良好的商业信誉和健全的财务会计制度、依法缴纳税收和社会保障资金，在前三年的经营活动中无重大违法记录，未列入严重失信行为名单，符合政府采购供应商的基本资格要求。</w:t>
      </w:r>
      <w:bookmarkEnd w:id="12"/>
      <w:bookmarkEnd w:id="13"/>
      <w:bookmarkEnd w:id="14"/>
      <w:bookmarkEnd w:id="15"/>
      <w:bookmarkEnd w:id="16"/>
    </w:p>
    <w:p w14:paraId="2F56BAB6">
      <w:pPr>
        <w:pStyle w:val="287"/>
        <w:outlineLvl w:val="9"/>
        <w:rPr>
          <w:rFonts w:hint="eastAsia" w:ascii="宋体" w:hAnsi="宋体" w:eastAsia="Times New Roman" w:cs="宋体"/>
          <w:sz w:val="21"/>
          <w:szCs w:val="21"/>
        </w:rPr>
      </w:pPr>
      <w:bookmarkStart w:id="17" w:name="_Toc256000062"/>
      <w:bookmarkStart w:id="18" w:name="_Toc256000057"/>
      <w:bookmarkStart w:id="19" w:name="_Toc1148"/>
      <w:bookmarkStart w:id="20" w:name="_Toc4144"/>
      <w:r>
        <w:rPr>
          <w:rFonts w:hint="eastAsia" w:ascii="宋体" w:hAnsi="宋体" w:eastAsia="宋体" w:cs="宋体"/>
          <w:kern w:val="2"/>
          <w:sz w:val="21"/>
          <w:szCs w:val="21"/>
          <w:lang w:val="en-US" w:eastAsia="zh-CN"/>
        </w:rPr>
        <w:t>按照《政府采购促进中小企业发展管理办法》（财库〔2020〕46号），本公司企业规模为：</w:t>
      </w:r>
      <w:r>
        <w:rPr>
          <w:rFonts w:hint="eastAsia" w:ascii="宋体" w:hAnsi="宋体" w:eastAsia="宋体" w:cs="宋体"/>
          <w:kern w:val="2"/>
          <w:sz w:val="21"/>
          <w:szCs w:val="21"/>
          <w:lang w:val="en-US" w:eastAsia="zh-CN"/>
        </w:rPr>
        <w:sym w:font="Wingdings" w:char="00A8"/>
      </w:r>
      <w:r>
        <w:rPr>
          <w:rFonts w:hint="eastAsia" w:ascii="宋体" w:hAnsi="宋体" w:eastAsia="宋体" w:cs="宋体"/>
          <w:kern w:val="2"/>
          <w:sz w:val="21"/>
          <w:szCs w:val="21"/>
          <w:lang w:val="en-US" w:eastAsia="zh-CN"/>
        </w:rPr>
        <w:t>大型</w:t>
      </w:r>
      <w:r>
        <w:rPr>
          <w:rFonts w:hint="eastAsia" w:ascii="宋体" w:hAnsi="宋体" w:eastAsia="宋体" w:cs="宋体"/>
          <w:kern w:val="2"/>
          <w:sz w:val="21"/>
          <w:szCs w:val="21"/>
          <w:lang w:val="en-US" w:eastAsia="zh-CN"/>
        </w:rPr>
        <w:sym w:font="Wingdings" w:char="00A8"/>
      </w:r>
      <w:r>
        <w:rPr>
          <w:rFonts w:hint="eastAsia" w:ascii="宋体" w:hAnsi="宋体" w:eastAsia="宋体" w:cs="宋体"/>
          <w:kern w:val="2"/>
          <w:sz w:val="21"/>
          <w:szCs w:val="21"/>
          <w:lang w:val="en-US" w:eastAsia="zh-CN"/>
        </w:rPr>
        <w:t>中型</w:t>
      </w:r>
      <w:r>
        <w:rPr>
          <w:rFonts w:hint="eastAsia" w:ascii="宋体" w:hAnsi="宋体" w:eastAsia="宋体" w:cs="宋体"/>
          <w:kern w:val="2"/>
          <w:sz w:val="21"/>
          <w:szCs w:val="21"/>
          <w:lang w:val="en-US" w:eastAsia="zh-CN"/>
        </w:rPr>
        <w:sym w:font="Wingdings" w:char="00A8"/>
      </w:r>
      <w:r>
        <w:rPr>
          <w:rFonts w:hint="eastAsia" w:ascii="宋体" w:hAnsi="宋体" w:eastAsia="宋体" w:cs="宋体"/>
          <w:kern w:val="2"/>
          <w:sz w:val="21"/>
          <w:szCs w:val="21"/>
          <w:lang w:val="en-US" w:eastAsia="zh-CN"/>
        </w:rPr>
        <w:t>小型</w:t>
      </w:r>
      <w:r>
        <w:rPr>
          <w:rFonts w:hint="eastAsia" w:ascii="宋体" w:hAnsi="宋体" w:eastAsia="宋体" w:cs="宋体"/>
          <w:kern w:val="2"/>
          <w:sz w:val="21"/>
          <w:szCs w:val="21"/>
          <w:lang w:val="en-US" w:eastAsia="zh-CN"/>
        </w:rPr>
        <w:sym w:font="Wingdings" w:char="00A8"/>
      </w:r>
      <w:r>
        <w:rPr>
          <w:rFonts w:hint="eastAsia" w:ascii="宋体" w:hAnsi="宋体" w:eastAsia="宋体" w:cs="宋体"/>
          <w:kern w:val="2"/>
          <w:sz w:val="21"/>
          <w:szCs w:val="21"/>
          <w:lang w:val="en-US" w:eastAsia="zh-CN"/>
        </w:rPr>
        <w:t>微型</w:t>
      </w:r>
      <w:bookmarkEnd w:id="17"/>
      <w:bookmarkEnd w:id="18"/>
      <w:bookmarkEnd w:id="19"/>
      <w:bookmarkEnd w:id="20"/>
    </w:p>
    <w:p w14:paraId="7E40810B">
      <w:pPr>
        <w:pStyle w:val="287"/>
        <w:outlineLvl w:val="9"/>
        <w:rPr>
          <w:rFonts w:hint="eastAsia" w:ascii="宋体" w:hAnsi="宋体" w:eastAsia="Times New Roman" w:cs="宋体"/>
          <w:sz w:val="21"/>
          <w:szCs w:val="21"/>
        </w:rPr>
      </w:pPr>
      <w:bookmarkStart w:id="21" w:name="_Toc23058"/>
      <w:bookmarkStart w:id="22" w:name="_Toc26589"/>
      <w:bookmarkStart w:id="23" w:name="_Toc256000063"/>
      <w:r>
        <w:rPr>
          <w:rFonts w:hint="eastAsia" w:ascii="宋体" w:hAnsi="宋体" w:eastAsia="宋体" w:cs="宋体"/>
          <w:kern w:val="2"/>
          <w:sz w:val="21"/>
          <w:szCs w:val="21"/>
          <w:lang w:val="en-US" w:eastAsia="zh-CN"/>
        </w:rPr>
        <w:t></w:t>
      </w:r>
      <w:bookmarkEnd w:id="21"/>
      <w:bookmarkEnd w:id="22"/>
      <w:bookmarkEnd w:id="23"/>
    </w:p>
    <w:p w14:paraId="0FEEFEE3">
      <w:pPr>
        <w:pStyle w:val="297"/>
        <w:outlineLvl w:val="9"/>
        <w:rPr>
          <w:rFonts w:hint="eastAsia" w:ascii="宋体" w:hAnsi="宋体" w:eastAsia="宋体" w:cs="宋体"/>
          <w:sz w:val="21"/>
          <w:szCs w:val="21"/>
        </w:rPr>
      </w:pPr>
    </w:p>
    <w:p w14:paraId="4B88896A">
      <w:pPr>
        <w:pStyle w:val="287"/>
        <w:outlineLvl w:val="9"/>
        <w:rPr>
          <w:rFonts w:hint="eastAsia" w:ascii="宋体" w:hAnsi="宋体" w:eastAsia="Times New Roman" w:cs="宋体"/>
          <w:sz w:val="21"/>
          <w:szCs w:val="21"/>
        </w:rPr>
      </w:pPr>
      <w:bookmarkStart w:id="24" w:name="_Toc21472"/>
      <w:bookmarkStart w:id="25" w:name="_Toc256000064"/>
      <w:bookmarkStart w:id="26" w:name="_Toc256000065"/>
      <w:bookmarkStart w:id="27" w:name="_Toc4820"/>
      <w:r>
        <w:rPr>
          <w:rFonts w:hint="eastAsia" w:ascii="宋体" w:hAnsi="宋体" w:eastAsia="宋体" w:cs="宋体"/>
          <w:kern w:val="2"/>
          <w:sz w:val="21"/>
          <w:szCs w:val="21"/>
          <w:lang w:val="en-US" w:eastAsia="zh-CN"/>
        </w:rPr>
        <w:t>公司（单位）名称（盖章）</w:t>
      </w:r>
      <w:bookmarkEnd w:id="24"/>
      <w:bookmarkEnd w:id="25"/>
      <w:bookmarkEnd w:id="26"/>
      <w:bookmarkEnd w:id="27"/>
    </w:p>
    <w:p w14:paraId="51D9C465">
      <w:pPr>
        <w:pStyle w:val="297"/>
        <w:outlineLvl w:val="9"/>
        <w:rPr>
          <w:rFonts w:hint="eastAsia" w:ascii="宋体" w:hAnsi="宋体" w:eastAsia="宋体" w:cs="宋体"/>
          <w:sz w:val="21"/>
          <w:szCs w:val="21"/>
        </w:rPr>
      </w:pPr>
      <w:bookmarkStart w:id="28" w:name="_Toc3983"/>
      <w:bookmarkStart w:id="29" w:name="_Toc32391"/>
      <w:r>
        <w:rPr>
          <w:rFonts w:hint="eastAsia" w:ascii="宋体" w:hAnsi="宋体" w:cs="宋体"/>
          <w:sz w:val="21"/>
          <w:szCs w:val="21"/>
        </w:rPr>
        <w:t> </w:t>
      </w:r>
      <w:bookmarkEnd w:id="28"/>
      <w:bookmarkEnd w:id="29"/>
    </w:p>
    <w:p w14:paraId="113BD55D">
      <w:pPr>
        <w:pStyle w:val="287"/>
        <w:outlineLvl w:val="9"/>
        <w:rPr>
          <w:rFonts w:hint="eastAsia" w:ascii="宋体" w:hAnsi="宋体" w:eastAsia="Times New Roman" w:cs="宋体"/>
          <w:sz w:val="21"/>
          <w:szCs w:val="21"/>
        </w:rPr>
      </w:pPr>
      <w:bookmarkStart w:id="30" w:name="_Toc27051"/>
      <w:bookmarkStart w:id="31" w:name="_Toc6926"/>
      <w:r>
        <w:rPr>
          <w:rFonts w:hint="eastAsia" w:ascii="宋体" w:hAnsi="宋体" w:eastAsia="宋体" w:cs="宋体"/>
          <w:kern w:val="2"/>
          <w:sz w:val="21"/>
          <w:szCs w:val="21"/>
          <w:lang w:val="en-US" w:eastAsia="zh-CN"/>
        </w:rPr>
        <w:t>      年   月   日                 </w:t>
      </w:r>
      <w:bookmarkEnd w:id="30"/>
      <w:bookmarkEnd w:id="31"/>
    </w:p>
    <w:p w14:paraId="541ECB06">
      <w:pPr>
        <w:pStyle w:val="297"/>
        <w:outlineLvl w:val="9"/>
        <w:rPr>
          <w:rFonts w:hint="eastAsia" w:ascii="宋体" w:hAnsi="宋体" w:eastAsia="宋体" w:cs="宋体"/>
          <w:sz w:val="21"/>
          <w:szCs w:val="21"/>
        </w:rPr>
      </w:pPr>
      <w:bookmarkStart w:id="32" w:name="_Toc503"/>
      <w:bookmarkStart w:id="33" w:name="_Toc20189"/>
      <w:r>
        <w:rPr>
          <w:rFonts w:hint="eastAsia" w:ascii="宋体" w:hAnsi="宋体" w:cs="宋体"/>
          <w:sz w:val="21"/>
          <w:szCs w:val="21"/>
        </w:rPr>
        <w:t> </w:t>
      </w:r>
      <w:bookmarkEnd w:id="32"/>
      <w:bookmarkEnd w:id="33"/>
    </w:p>
    <w:p w14:paraId="1F2E6743">
      <w:pPr>
        <w:pStyle w:val="287"/>
        <w:outlineLvl w:val="9"/>
        <w:rPr>
          <w:rFonts w:hint="eastAsia" w:ascii="宋体" w:hAnsi="宋体" w:eastAsia="Times New Roman" w:cs="宋体"/>
          <w:sz w:val="21"/>
          <w:szCs w:val="21"/>
          <w:highlight w:val="none"/>
        </w:rPr>
      </w:pPr>
      <w:bookmarkStart w:id="34" w:name="_Toc8693"/>
      <w:bookmarkStart w:id="35" w:name="_Toc22374"/>
      <w:bookmarkStart w:id="36" w:name="_Toc256000069"/>
      <w:r>
        <w:rPr>
          <w:rFonts w:hint="eastAsia" w:ascii="宋体" w:hAnsi="宋体" w:eastAsia="宋体" w:cs="宋体"/>
          <w:kern w:val="2"/>
          <w:sz w:val="21"/>
          <w:szCs w:val="21"/>
          <w:lang w:val="en-US" w:eastAsia="zh-CN"/>
        </w:rPr>
        <w:t>机构代码、注</w:t>
      </w:r>
      <w:r>
        <w:rPr>
          <w:rFonts w:hint="eastAsia" w:ascii="宋体" w:hAnsi="宋体" w:eastAsia="宋体" w:cs="宋体"/>
          <w:kern w:val="2"/>
          <w:sz w:val="21"/>
          <w:szCs w:val="21"/>
          <w:highlight w:val="none"/>
          <w:lang w:val="en-US" w:eastAsia="zh-CN"/>
        </w:rPr>
        <w:t>册登记机构、日期、有效期、注册资本、地址、经济行业、经济性质</w:t>
      </w:r>
      <w:bookmarkEnd w:id="34"/>
      <w:bookmarkEnd w:id="35"/>
      <w:bookmarkEnd w:id="36"/>
    </w:p>
    <w:p w14:paraId="18690E2C">
      <w:pPr>
        <w:pStyle w:val="287"/>
        <w:outlineLvl w:val="9"/>
        <w:rPr>
          <w:rFonts w:hint="eastAsia" w:ascii="宋体" w:hAnsi="宋体" w:eastAsia="Times New Roman" w:cs="宋体"/>
          <w:sz w:val="21"/>
          <w:szCs w:val="21"/>
          <w:highlight w:val="none"/>
        </w:rPr>
      </w:pPr>
      <w:bookmarkStart w:id="37" w:name="_Toc7512"/>
      <w:bookmarkStart w:id="38" w:name="_Toc25919"/>
      <w:bookmarkStart w:id="39" w:name="_Toc256000070"/>
      <w:r>
        <w:rPr>
          <w:rFonts w:hint="eastAsia" w:ascii="宋体" w:hAnsi="宋体" w:eastAsia="宋体" w:cs="宋体"/>
          <w:kern w:val="2"/>
          <w:sz w:val="21"/>
          <w:szCs w:val="21"/>
          <w:highlight w:val="none"/>
          <w:lang w:val="en-US" w:eastAsia="zh-CN"/>
        </w:rPr>
        <w:t>法定代表人（负责人）姓名</w:t>
      </w:r>
      <w:r>
        <w:rPr>
          <w:rFonts w:hint="eastAsia" w:ascii="宋体" w:hAnsi="宋体" w:eastAsia="宋体" w:cs="宋体"/>
          <w:b/>
          <w:bCs/>
          <w:kern w:val="2"/>
          <w:sz w:val="21"/>
          <w:szCs w:val="21"/>
          <w:highlight w:val="none"/>
          <w:lang w:val="en-US" w:eastAsia="zh-CN"/>
        </w:rPr>
        <w:t>（签字）</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val="en-US" w:eastAsia="zh-CN"/>
        </w:rPr>
        <w:t>、身份证号、手机号：</w:t>
      </w:r>
      <w:bookmarkEnd w:id="37"/>
      <w:bookmarkEnd w:id="38"/>
      <w:bookmarkEnd w:id="39"/>
    </w:p>
    <w:p w14:paraId="3A5390B5">
      <w:pPr>
        <w:spacing w:line="480" w:lineRule="exact"/>
        <w:outlineLvl w:val="9"/>
        <w:rPr>
          <w:rFonts w:hint="eastAsia" w:ascii="宋体" w:hAnsi="宋体" w:cs="宋体"/>
          <w:szCs w:val="21"/>
          <w:highlight w:val="none"/>
        </w:rPr>
      </w:pPr>
      <w:bookmarkStart w:id="40" w:name="_Toc21775"/>
      <w:r>
        <w:rPr>
          <w:rFonts w:hint="eastAsia" w:ascii="宋体" w:hAnsi="宋体" w:cs="宋体"/>
          <w:szCs w:val="21"/>
          <w:highlight w:val="none"/>
        </w:rPr>
        <w:t>授权代表人姓名</w:t>
      </w:r>
      <w:r>
        <w:rPr>
          <w:rFonts w:hint="eastAsia" w:ascii="宋体" w:hAnsi="宋体" w:cs="宋体"/>
          <w:b/>
          <w:bCs/>
          <w:szCs w:val="21"/>
          <w:highlight w:val="none"/>
        </w:rPr>
        <w:t>（签字）</w:t>
      </w:r>
      <w:r>
        <w:rPr>
          <w:rFonts w:hint="eastAsia" w:ascii="宋体" w:hAnsi="宋体" w:cs="宋体"/>
          <w:b/>
          <w:bCs/>
          <w:szCs w:val="21"/>
          <w:highlight w:val="none"/>
          <w:u w:val="single"/>
          <w:lang w:val="en-US" w:eastAsia="zh-CN"/>
        </w:rPr>
        <w:t xml:space="preserve">       </w:t>
      </w:r>
      <w:r>
        <w:rPr>
          <w:rFonts w:hint="eastAsia" w:ascii="宋体" w:hAnsi="宋体" w:cs="宋体"/>
          <w:szCs w:val="21"/>
          <w:highlight w:val="none"/>
        </w:rPr>
        <w:t>、身份证号、手机号：</w:t>
      </w:r>
      <w:bookmarkEnd w:id="40"/>
    </w:p>
    <w:p w14:paraId="5760F1F6">
      <w:pPr>
        <w:spacing w:line="480" w:lineRule="exact"/>
        <w:rPr>
          <w:rFonts w:hint="eastAsia" w:ascii="宋体" w:hAnsi="宋体" w:cs="宋体"/>
          <w:szCs w:val="21"/>
        </w:rPr>
      </w:pPr>
    </w:p>
    <w:p w14:paraId="3CFBC6A4">
      <w:pPr>
        <w:spacing w:line="480" w:lineRule="exact"/>
        <w:rPr>
          <w:rFonts w:hint="eastAsia" w:ascii="宋体" w:hAnsi="宋体" w:cs="宋体"/>
          <w:szCs w:val="21"/>
        </w:rPr>
      </w:pPr>
    </w:p>
    <w:p w14:paraId="51F37035">
      <w:pPr>
        <w:spacing w:line="480" w:lineRule="exact"/>
        <w:rPr>
          <w:rFonts w:hint="eastAsia" w:ascii="宋体" w:hAnsi="宋体" w:cs="宋体"/>
          <w:szCs w:val="21"/>
        </w:rPr>
      </w:pPr>
    </w:p>
    <w:p w14:paraId="66C32F37">
      <w:pPr>
        <w:spacing w:line="480" w:lineRule="exact"/>
        <w:rPr>
          <w:rFonts w:ascii="宋体" w:hAnsi="宋体" w:cs="宋体"/>
          <w:sz w:val="30"/>
          <w:szCs w:val="30"/>
        </w:rPr>
      </w:pPr>
      <w:r>
        <w:rPr>
          <w:rFonts w:hint="eastAsia" w:ascii="宋体" w:hAnsi="宋体" w:cs="宋体"/>
          <w:szCs w:val="21"/>
          <w:lang w:val="en-US" w:eastAsia="zh-CN"/>
        </w:rPr>
        <w:t>注：蓝色标记位置记得如实填写及签字。</w:t>
      </w:r>
      <w:r>
        <w:rPr>
          <w:rFonts w:ascii="宋体" w:hAnsi="宋体" w:cs="宋体"/>
          <w:kern w:val="1"/>
          <w:szCs w:val="21"/>
        </w:rPr>
        <w:br w:type="page"/>
      </w:r>
      <w:r>
        <w:rPr>
          <w:rFonts w:hint="eastAsia" w:ascii="宋体" w:hAnsi="宋体" w:cs="宋体"/>
          <w:sz w:val="30"/>
          <w:szCs w:val="30"/>
        </w:rPr>
        <w:t>附件6  磋商文件规定的特定资格条件证明资料</w:t>
      </w:r>
    </w:p>
    <w:p w14:paraId="06AAC3ED">
      <w:pPr>
        <w:spacing w:line="480" w:lineRule="exact"/>
        <w:rPr>
          <w:rFonts w:ascii="宋体" w:hAnsi="宋体" w:cs="宋体"/>
          <w:szCs w:val="21"/>
        </w:rPr>
      </w:pPr>
    </w:p>
    <w:p w14:paraId="5EC576C8">
      <w:pPr>
        <w:spacing w:line="480" w:lineRule="exact"/>
        <w:rPr>
          <w:rFonts w:ascii="宋体" w:hAnsi="宋体" w:cs="宋体"/>
          <w:szCs w:val="21"/>
        </w:rPr>
      </w:pPr>
      <w:r>
        <w:rPr>
          <w:rFonts w:hint="eastAsia" w:ascii="宋体" w:hAnsi="宋体" w:cs="宋体"/>
          <w:szCs w:val="21"/>
        </w:rPr>
        <w:t>备注：提供第二章 磋商须知第3.1款供应商特定资格条件证明资料的复印件。</w:t>
      </w:r>
    </w:p>
    <w:p w14:paraId="1F709962">
      <w:pPr>
        <w:spacing w:line="480" w:lineRule="exact"/>
        <w:rPr>
          <w:rFonts w:ascii="宋体" w:hAnsi="宋体" w:cs="宋体"/>
          <w:szCs w:val="21"/>
        </w:rPr>
      </w:pPr>
    </w:p>
    <w:p w14:paraId="52097CF2">
      <w:pPr>
        <w:spacing w:line="480" w:lineRule="exact"/>
        <w:rPr>
          <w:rFonts w:ascii="宋体" w:hAnsi="宋体" w:cs="宋体"/>
          <w:sz w:val="30"/>
          <w:szCs w:val="30"/>
        </w:rPr>
      </w:pPr>
    </w:p>
    <w:p w14:paraId="1834EF82">
      <w:pPr>
        <w:pStyle w:val="17"/>
        <w:rPr>
          <w:rFonts w:ascii="宋体" w:hAnsi="宋体" w:cs="宋体"/>
          <w:sz w:val="30"/>
          <w:szCs w:val="30"/>
        </w:rPr>
      </w:pPr>
    </w:p>
    <w:p w14:paraId="395DC4BE">
      <w:pPr>
        <w:rPr>
          <w:rFonts w:ascii="宋体" w:hAnsi="宋体" w:cs="宋体"/>
          <w:sz w:val="30"/>
          <w:szCs w:val="30"/>
        </w:rPr>
      </w:pPr>
    </w:p>
    <w:p w14:paraId="7CDBE87C">
      <w:pPr>
        <w:pStyle w:val="17"/>
        <w:rPr>
          <w:rFonts w:ascii="宋体" w:hAnsi="宋体" w:cs="宋体"/>
          <w:sz w:val="30"/>
          <w:szCs w:val="30"/>
        </w:rPr>
      </w:pPr>
    </w:p>
    <w:p w14:paraId="4FC2E2AA">
      <w:pPr>
        <w:rPr>
          <w:rFonts w:ascii="宋体" w:hAnsi="宋体" w:cs="宋体"/>
          <w:sz w:val="30"/>
          <w:szCs w:val="30"/>
        </w:rPr>
      </w:pPr>
    </w:p>
    <w:p w14:paraId="0F976FE1">
      <w:pPr>
        <w:pStyle w:val="17"/>
        <w:rPr>
          <w:rFonts w:ascii="宋体" w:hAnsi="宋体" w:cs="宋体"/>
          <w:sz w:val="30"/>
          <w:szCs w:val="30"/>
        </w:rPr>
      </w:pPr>
    </w:p>
    <w:p w14:paraId="4895C067">
      <w:pPr>
        <w:rPr>
          <w:rFonts w:ascii="宋体" w:hAnsi="宋体" w:cs="宋体"/>
          <w:sz w:val="30"/>
          <w:szCs w:val="30"/>
        </w:rPr>
      </w:pPr>
    </w:p>
    <w:p w14:paraId="0EBE808E">
      <w:pPr>
        <w:pStyle w:val="17"/>
        <w:rPr>
          <w:rFonts w:ascii="宋体" w:hAnsi="宋体" w:cs="宋体"/>
          <w:sz w:val="30"/>
          <w:szCs w:val="30"/>
        </w:rPr>
      </w:pPr>
    </w:p>
    <w:p w14:paraId="2B119FF0">
      <w:pPr>
        <w:rPr>
          <w:rFonts w:ascii="宋体" w:hAnsi="宋体" w:cs="宋体"/>
          <w:sz w:val="30"/>
          <w:szCs w:val="30"/>
        </w:rPr>
      </w:pPr>
    </w:p>
    <w:p w14:paraId="2D7C48F8">
      <w:pPr>
        <w:pStyle w:val="17"/>
        <w:rPr>
          <w:rFonts w:ascii="宋体" w:hAnsi="宋体" w:cs="宋体"/>
          <w:sz w:val="30"/>
          <w:szCs w:val="30"/>
        </w:rPr>
      </w:pPr>
    </w:p>
    <w:p w14:paraId="29424726">
      <w:pPr>
        <w:rPr>
          <w:rFonts w:ascii="宋体" w:hAnsi="宋体" w:cs="宋体"/>
          <w:sz w:val="30"/>
          <w:szCs w:val="30"/>
        </w:rPr>
      </w:pPr>
    </w:p>
    <w:p w14:paraId="51738545">
      <w:pPr>
        <w:pStyle w:val="17"/>
        <w:rPr>
          <w:rFonts w:ascii="宋体" w:hAnsi="宋体" w:cs="宋体"/>
          <w:sz w:val="30"/>
          <w:szCs w:val="30"/>
        </w:rPr>
      </w:pPr>
    </w:p>
    <w:p w14:paraId="480E5779">
      <w:pPr>
        <w:rPr>
          <w:rFonts w:ascii="宋体" w:hAnsi="宋体" w:cs="宋体"/>
          <w:sz w:val="30"/>
          <w:szCs w:val="30"/>
        </w:rPr>
      </w:pPr>
    </w:p>
    <w:p w14:paraId="6E7A74F9">
      <w:pPr>
        <w:pStyle w:val="17"/>
      </w:pPr>
    </w:p>
    <w:p w14:paraId="285A9D63">
      <w:pPr>
        <w:spacing w:line="480" w:lineRule="exact"/>
        <w:rPr>
          <w:rFonts w:ascii="宋体" w:hAnsi="宋体" w:cs="宋体"/>
          <w:sz w:val="30"/>
          <w:szCs w:val="30"/>
        </w:rPr>
      </w:pPr>
    </w:p>
    <w:p w14:paraId="2F4BBEA5">
      <w:pPr>
        <w:spacing w:line="480" w:lineRule="exact"/>
        <w:rPr>
          <w:rFonts w:ascii="宋体" w:hAnsi="宋体" w:cs="宋体"/>
          <w:sz w:val="30"/>
          <w:szCs w:val="30"/>
        </w:rPr>
      </w:pPr>
    </w:p>
    <w:p w14:paraId="474602E8">
      <w:pPr>
        <w:spacing w:line="480" w:lineRule="exact"/>
        <w:rPr>
          <w:rFonts w:ascii="宋体" w:hAnsi="宋体" w:cs="宋体"/>
          <w:sz w:val="30"/>
          <w:szCs w:val="30"/>
        </w:rPr>
      </w:pPr>
    </w:p>
    <w:p w14:paraId="734FEED3">
      <w:pPr>
        <w:spacing w:line="480" w:lineRule="exact"/>
        <w:rPr>
          <w:rFonts w:ascii="宋体" w:hAnsi="宋体" w:cs="宋体"/>
          <w:sz w:val="30"/>
          <w:szCs w:val="30"/>
        </w:rPr>
      </w:pPr>
    </w:p>
    <w:p w14:paraId="72CD1D25">
      <w:pPr>
        <w:spacing w:line="480" w:lineRule="exact"/>
        <w:rPr>
          <w:rFonts w:ascii="宋体" w:hAnsi="宋体" w:cs="宋体"/>
          <w:sz w:val="30"/>
          <w:szCs w:val="30"/>
        </w:rPr>
      </w:pPr>
    </w:p>
    <w:p w14:paraId="404B71A6">
      <w:pPr>
        <w:adjustRightInd w:val="0"/>
        <w:snapToGrid w:val="0"/>
        <w:spacing w:line="360" w:lineRule="auto"/>
        <w:rPr>
          <w:rFonts w:hint="eastAsia" w:ascii="宋体" w:hAnsi="宋体" w:cs="宋体"/>
          <w:bCs/>
          <w:sz w:val="30"/>
          <w:szCs w:val="30"/>
        </w:rPr>
      </w:pPr>
    </w:p>
    <w:p w14:paraId="32AEF6D4">
      <w:pPr>
        <w:adjustRightInd w:val="0"/>
        <w:snapToGrid w:val="0"/>
        <w:spacing w:line="360" w:lineRule="auto"/>
        <w:rPr>
          <w:rFonts w:ascii="宋体" w:hAnsi="宋体" w:cs="宋体"/>
          <w:b/>
          <w:sz w:val="30"/>
          <w:szCs w:val="30"/>
        </w:rPr>
      </w:pPr>
      <w:r>
        <w:rPr>
          <w:rFonts w:hint="eastAsia" w:ascii="宋体" w:hAnsi="宋体" w:cs="宋体"/>
          <w:bCs/>
          <w:sz w:val="30"/>
          <w:szCs w:val="30"/>
        </w:rPr>
        <w:t>附件7           其它说明</w:t>
      </w:r>
    </w:p>
    <w:p w14:paraId="746ACACB">
      <w:pPr>
        <w:adjustRightInd w:val="0"/>
        <w:snapToGrid w:val="0"/>
        <w:spacing w:line="360" w:lineRule="auto"/>
        <w:rPr>
          <w:rFonts w:ascii="宋体" w:hAnsi="宋体" w:cs="宋体"/>
          <w:szCs w:val="21"/>
        </w:rPr>
      </w:pPr>
    </w:p>
    <w:p w14:paraId="10FB46A8">
      <w:pPr>
        <w:adjustRightInd w:val="0"/>
        <w:snapToGrid w:val="0"/>
        <w:spacing w:line="360" w:lineRule="auto"/>
        <w:rPr>
          <w:rFonts w:ascii="宋体" w:hAnsi="宋体" w:cs="宋体"/>
          <w:szCs w:val="21"/>
        </w:rPr>
      </w:pPr>
      <w:r>
        <w:rPr>
          <w:rFonts w:hint="eastAsia" w:ascii="宋体" w:hAnsi="宋体" w:cs="宋体"/>
          <w:szCs w:val="21"/>
        </w:rPr>
        <w:t>提供磋商文件或评分标准需要提供的相关证明文件复印件</w:t>
      </w:r>
    </w:p>
    <w:p w14:paraId="1E6FF339">
      <w:pPr>
        <w:adjustRightInd w:val="0"/>
        <w:snapToGrid w:val="0"/>
        <w:spacing w:line="360" w:lineRule="auto"/>
        <w:jc w:val="center"/>
        <w:rPr>
          <w:rFonts w:ascii="宋体" w:hAnsi="宋体" w:cs="宋体"/>
          <w:b/>
          <w:sz w:val="32"/>
          <w:szCs w:val="32"/>
        </w:rPr>
      </w:pPr>
    </w:p>
    <w:p w14:paraId="31907AEC">
      <w:pPr>
        <w:adjustRightInd w:val="0"/>
        <w:snapToGrid w:val="0"/>
        <w:spacing w:line="360" w:lineRule="auto"/>
        <w:jc w:val="center"/>
        <w:rPr>
          <w:rFonts w:ascii="宋体" w:hAnsi="宋体" w:cs="宋体"/>
          <w:b/>
          <w:sz w:val="32"/>
          <w:szCs w:val="32"/>
        </w:rPr>
      </w:pPr>
    </w:p>
    <w:p w14:paraId="7CDC7A32">
      <w:pPr>
        <w:adjustRightInd w:val="0"/>
        <w:snapToGrid w:val="0"/>
        <w:spacing w:line="360" w:lineRule="auto"/>
        <w:jc w:val="center"/>
        <w:rPr>
          <w:rFonts w:ascii="宋体" w:hAnsi="宋体" w:cs="宋体"/>
          <w:b/>
          <w:sz w:val="32"/>
          <w:szCs w:val="32"/>
        </w:rPr>
      </w:pPr>
    </w:p>
    <w:p w14:paraId="69ADDBE1">
      <w:pPr>
        <w:adjustRightInd w:val="0"/>
        <w:snapToGrid w:val="0"/>
        <w:spacing w:line="360" w:lineRule="auto"/>
        <w:jc w:val="center"/>
        <w:rPr>
          <w:rFonts w:ascii="宋体" w:hAnsi="宋体" w:cs="宋体"/>
          <w:b/>
          <w:sz w:val="32"/>
          <w:szCs w:val="32"/>
        </w:rPr>
      </w:pPr>
    </w:p>
    <w:p w14:paraId="2968F8A2">
      <w:pPr>
        <w:adjustRightInd w:val="0"/>
        <w:snapToGrid w:val="0"/>
        <w:spacing w:line="360" w:lineRule="auto"/>
        <w:jc w:val="center"/>
        <w:rPr>
          <w:rFonts w:ascii="宋体" w:hAnsi="宋体" w:cs="宋体"/>
          <w:b/>
          <w:sz w:val="32"/>
          <w:szCs w:val="32"/>
        </w:rPr>
      </w:pPr>
    </w:p>
    <w:p w14:paraId="53AE45C4">
      <w:pPr>
        <w:adjustRightInd w:val="0"/>
        <w:snapToGrid w:val="0"/>
        <w:spacing w:line="360" w:lineRule="auto"/>
        <w:jc w:val="center"/>
        <w:rPr>
          <w:rFonts w:ascii="宋体" w:hAnsi="宋体" w:cs="宋体"/>
          <w:b/>
          <w:sz w:val="32"/>
          <w:szCs w:val="32"/>
        </w:rPr>
      </w:pPr>
    </w:p>
    <w:p w14:paraId="71EAA850">
      <w:pPr>
        <w:adjustRightInd w:val="0"/>
        <w:snapToGrid w:val="0"/>
        <w:spacing w:line="360" w:lineRule="auto"/>
        <w:jc w:val="center"/>
        <w:rPr>
          <w:rFonts w:ascii="宋体" w:hAnsi="宋体" w:cs="宋体"/>
          <w:b/>
          <w:sz w:val="32"/>
          <w:szCs w:val="32"/>
        </w:rPr>
      </w:pPr>
    </w:p>
    <w:p w14:paraId="04F12702">
      <w:pPr>
        <w:adjustRightInd w:val="0"/>
        <w:snapToGrid w:val="0"/>
        <w:spacing w:line="360" w:lineRule="auto"/>
        <w:jc w:val="center"/>
        <w:rPr>
          <w:rFonts w:ascii="宋体" w:hAnsi="宋体" w:cs="宋体"/>
          <w:b/>
          <w:sz w:val="32"/>
          <w:szCs w:val="32"/>
        </w:rPr>
      </w:pPr>
    </w:p>
    <w:p w14:paraId="785009E9">
      <w:pPr>
        <w:adjustRightInd w:val="0"/>
        <w:snapToGrid w:val="0"/>
        <w:spacing w:line="360" w:lineRule="auto"/>
        <w:jc w:val="center"/>
        <w:rPr>
          <w:rFonts w:ascii="宋体" w:hAnsi="宋体" w:cs="宋体"/>
          <w:b/>
          <w:sz w:val="32"/>
          <w:szCs w:val="32"/>
        </w:rPr>
      </w:pPr>
    </w:p>
    <w:p w14:paraId="116CBEF8">
      <w:pPr>
        <w:adjustRightInd w:val="0"/>
        <w:snapToGrid w:val="0"/>
        <w:spacing w:line="360" w:lineRule="auto"/>
        <w:jc w:val="center"/>
        <w:rPr>
          <w:rFonts w:ascii="宋体" w:hAnsi="宋体" w:cs="宋体"/>
          <w:b/>
          <w:sz w:val="32"/>
          <w:szCs w:val="32"/>
        </w:rPr>
      </w:pPr>
    </w:p>
    <w:p w14:paraId="4D4C5DEF">
      <w:pPr>
        <w:adjustRightInd w:val="0"/>
        <w:snapToGrid w:val="0"/>
        <w:spacing w:line="360" w:lineRule="auto"/>
        <w:jc w:val="center"/>
        <w:rPr>
          <w:rFonts w:ascii="宋体" w:hAnsi="宋体" w:cs="宋体"/>
          <w:b/>
          <w:sz w:val="32"/>
          <w:szCs w:val="32"/>
        </w:rPr>
      </w:pPr>
    </w:p>
    <w:p w14:paraId="39CFC000">
      <w:pPr>
        <w:adjustRightInd w:val="0"/>
        <w:snapToGrid w:val="0"/>
        <w:spacing w:line="360" w:lineRule="auto"/>
        <w:jc w:val="center"/>
        <w:rPr>
          <w:rFonts w:ascii="宋体" w:hAnsi="宋体" w:cs="宋体"/>
          <w:b/>
          <w:sz w:val="32"/>
          <w:szCs w:val="32"/>
        </w:rPr>
      </w:pPr>
    </w:p>
    <w:p w14:paraId="343C2CB5">
      <w:pPr>
        <w:adjustRightInd w:val="0"/>
        <w:snapToGrid w:val="0"/>
        <w:spacing w:line="360" w:lineRule="auto"/>
        <w:jc w:val="center"/>
        <w:rPr>
          <w:rFonts w:ascii="宋体" w:hAnsi="宋体" w:cs="宋体"/>
          <w:b/>
          <w:sz w:val="32"/>
          <w:szCs w:val="32"/>
        </w:rPr>
      </w:pPr>
    </w:p>
    <w:p w14:paraId="180477C6">
      <w:pPr>
        <w:adjustRightInd w:val="0"/>
        <w:snapToGrid w:val="0"/>
        <w:spacing w:line="360" w:lineRule="auto"/>
        <w:jc w:val="center"/>
        <w:rPr>
          <w:rFonts w:ascii="宋体" w:hAnsi="宋体" w:cs="宋体"/>
          <w:b/>
          <w:sz w:val="32"/>
          <w:szCs w:val="32"/>
        </w:rPr>
      </w:pPr>
    </w:p>
    <w:p w14:paraId="4EC1731B">
      <w:pPr>
        <w:adjustRightInd w:val="0"/>
        <w:snapToGrid w:val="0"/>
        <w:spacing w:line="360" w:lineRule="auto"/>
        <w:jc w:val="center"/>
        <w:rPr>
          <w:rFonts w:ascii="宋体" w:hAnsi="宋体" w:cs="宋体"/>
          <w:b/>
          <w:sz w:val="32"/>
          <w:szCs w:val="32"/>
        </w:rPr>
      </w:pPr>
    </w:p>
    <w:p w14:paraId="2B7EBAEE">
      <w:pPr>
        <w:adjustRightInd w:val="0"/>
        <w:snapToGrid w:val="0"/>
        <w:spacing w:line="360" w:lineRule="auto"/>
        <w:jc w:val="center"/>
        <w:rPr>
          <w:rFonts w:ascii="宋体" w:hAnsi="宋体" w:cs="宋体"/>
          <w:b/>
          <w:sz w:val="32"/>
          <w:szCs w:val="32"/>
        </w:rPr>
      </w:pPr>
    </w:p>
    <w:p w14:paraId="6904D570">
      <w:pPr>
        <w:adjustRightInd w:val="0"/>
        <w:snapToGrid w:val="0"/>
        <w:spacing w:line="360" w:lineRule="auto"/>
        <w:jc w:val="center"/>
        <w:rPr>
          <w:rFonts w:ascii="宋体" w:hAnsi="宋体" w:cs="宋体"/>
          <w:b/>
          <w:sz w:val="32"/>
          <w:szCs w:val="32"/>
        </w:rPr>
      </w:pPr>
    </w:p>
    <w:p w14:paraId="5B1A955E">
      <w:pPr>
        <w:adjustRightInd w:val="0"/>
        <w:snapToGrid w:val="0"/>
        <w:spacing w:line="360" w:lineRule="auto"/>
        <w:jc w:val="center"/>
        <w:rPr>
          <w:rFonts w:ascii="宋体" w:hAnsi="宋体" w:cs="宋体"/>
          <w:b/>
          <w:sz w:val="32"/>
          <w:szCs w:val="32"/>
        </w:rPr>
      </w:pPr>
    </w:p>
    <w:p w14:paraId="41747781">
      <w:pPr>
        <w:adjustRightInd w:val="0"/>
        <w:snapToGrid w:val="0"/>
        <w:spacing w:line="360" w:lineRule="auto"/>
        <w:jc w:val="center"/>
        <w:rPr>
          <w:rFonts w:ascii="宋体" w:hAnsi="宋体" w:cs="宋体"/>
          <w:b/>
          <w:sz w:val="32"/>
          <w:szCs w:val="32"/>
        </w:rPr>
      </w:pPr>
    </w:p>
    <w:p w14:paraId="25CA7DB5">
      <w:pPr>
        <w:adjustRightInd w:val="0"/>
        <w:snapToGrid w:val="0"/>
        <w:spacing w:line="360" w:lineRule="auto"/>
        <w:rPr>
          <w:rFonts w:ascii="宋体" w:hAnsi="宋体" w:cs="宋体"/>
          <w:b/>
          <w:sz w:val="32"/>
          <w:szCs w:val="32"/>
        </w:rPr>
      </w:pPr>
    </w:p>
    <w:p w14:paraId="178B0A86">
      <w:pPr>
        <w:adjustRightInd w:val="0"/>
        <w:snapToGrid w:val="0"/>
        <w:rPr>
          <w:rFonts w:ascii="宋体" w:hAnsi="宋体" w:cs="宋体"/>
          <w:szCs w:val="21"/>
        </w:rPr>
      </w:pPr>
    </w:p>
    <w:p w14:paraId="1C962675">
      <w:pPr>
        <w:adjustRightInd w:val="0"/>
        <w:snapToGrid w:val="0"/>
        <w:spacing w:line="360" w:lineRule="auto"/>
        <w:jc w:val="center"/>
        <w:outlineLvl w:val="1"/>
        <w:rPr>
          <w:rFonts w:hint="eastAsia" w:ascii="宋体" w:hAnsi="宋体" w:cs="宋体"/>
          <w:b/>
          <w:sz w:val="32"/>
          <w:szCs w:val="32"/>
        </w:rPr>
      </w:pPr>
      <w:r>
        <w:rPr>
          <w:rFonts w:hint="eastAsia" w:ascii="宋体" w:hAnsi="宋体" w:cs="宋体"/>
          <w:b/>
          <w:sz w:val="32"/>
          <w:szCs w:val="32"/>
        </w:rPr>
        <w:t>四、方案说明</w:t>
      </w:r>
    </w:p>
    <w:p w14:paraId="2B1CE37D">
      <w:pPr>
        <w:pStyle w:val="4"/>
        <w:spacing w:before="0" w:after="0" w:line="360" w:lineRule="auto"/>
        <w:jc w:val="center"/>
        <w:rPr>
          <w:rFonts w:hint="eastAsia" w:ascii="宋体" w:hAnsi="宋体"/>
          <w:b w:val="0"/>
          <w:bCs w:val="0"/>
          <w:sz w:val="30"/>
          <w:szCs w:val="30"/>
        </w:rPr>
      </w:pPr>
      <w:r>
        <w:rPr>
          <w:rFonts w:hint="eastAsia" w:ascii="宋体" w:hAnsi="宋体"/>
          <w:b w:val="0"/>
          <w:bCs w:val="0"/>
          <w:sz w:val="30"/>
          <w:szCs w:val="30"/>
        </w:rPr>
        <w:t>附件8-1：方案说明</w:t>
      </w:r>
    </w:p>
    <w:p w14:paraId="708E3ABA">
      <w:pPr>
        <w:adjustRightInd w:val="0"/>
        <w:snapToGrid w:val="0"/>
        <w:jc w:val="center"/>
        <w:rPr>
          <w:rFonts w:hint="eastAsia" w:ascii="黑体" w:hAnsi="宋体" w:eastAsia="黑体"/>
          <w:b/>
          <w:sz w:val="30"/>
          <w:szCs w:val="30"/>
        </w:rPr>
      </w:pPr>
    </w:p>
    <w:p w14:paraId="20842499">
      <w:pPr>
        <w:adjustRightInd w:val="0"/>
        <w:snapToGrid w:val="0"/>
        <w:rPr>
          <w:rFonts w:hint="eastAsia" w:ascii="宋体" w:hAnsi="宋体"/>
          <w:szCs w:val="21"/>
        </w:rPr>
      </w:pPr>
    </w:p>
    <w:p w14:paraId="69FF79E7">
      <w:pPr>
        <w:adjustRightInd w:val="0"/>
        <w:snapToGrid w:val="0"/>
        <w:spacing w:line="360" w:lineRule="auto"/>
        <w:jc w:val="center"/>
        <w:rPr>
          <w:rFonts w:hint="eastAsia" w:ascii="宋体" w:hAnsi="宋体" w:cs="宋体"/>
          <w:szCs w:val="21"/>
        </w:rPr>
      </w:pPr>
      <w:r>
        <w:rPr>
          <w:rFonts w:hint="eastAsia" w:ascii="宋体" w:hAnsi="宋体" w:cs="宋体"/>
          <w:szCs w:val="21"/>
        </w:rPr>
        <w:t>供应商应根据第四章规定编写方案或大纲。</w:t>
      </w:r>
    </w:p>
    <w:p w14:paraId="7CFD8567">
      <w:pPr>
        <w:adjustRightInd w:val="0"/>
        <w:snapToGrid w:val="0"/>
        <w:spacing w:line="360" w:lineRule="auto"/>
        <w:rPr>
          <w:rFonts w:hint="eastAsia" w:ascii="宋体" w:hAnsi="宋体" w:cs="宋体"/>
          <w:szCs w:val="21"/>
        </w:rPr>
      </w:pPr>
    </w:p>
    <w:p w14:paraId="35B2A195">
      <w:pPr>
        <w:adjustRightInd w:val="0"/>
        <w:snapToGrid w:val="0"/>
        <w:spacing w:line="360" w:lineRule="auto"/>
        <w:rPr>
          <w:rFonts w:hint="eastAsia" w:ascii="宋体" w:hAnsi="宋体" w:cs="宋体"/>
          <w:szCs w:val="21"/>
        </w:rPr>
      </w:pPr>
    </w:p>
    <w:p w14:paraId="07B96004">
      <w:pPr>
        <w:adjustRightInd w:val="0"/>
        <w:snapToGrid w:val="0"/>
        <w:spacing w:line="360" w:lineRule="auto"/>
        <w:rPr>
          <w:rFonts w:hint="eastAsia" w:ascii="宋体" w:hAnsi="宋体" w:cs="宋体"/>
          <w:szCs w:val="21"/>
        </w:rPr>
      </w:pPr>
    </w:p>
    <w:p w14:paraId="719546B3">
      <w:pPr>
        <w:adjustRightInd w:val="0"/>
        <w:snapToGrid w:val="0"/>
        <w:spacing w:line="360" w:lineRule="auto"/>
        <w:rPr>
          <w:rFonts w:hint="eastAsia" w:ascii="宋体" w:hAnsi="宋体" w:cs="宋体"/>
          <w:szCs w:val="21"/>
        </w:rPr>
      </w:pPr>
    </w:p>
    <w:p w14:paraId="7EC26658">
      <w:pPr>
        <w:adjustRightInd w:val="0"/>
        <w:snapToGrid w:val="0"/>
        <w:spacing w:line="360" w:lineRule="auto"/>
        <w:rPr>
          <w:rFonts w:hint="eastAsia" w:ascii="宋体" w:hAnsi="宋体" w:cs="宋体"/>
          <w:szCs w:val="21"/>
        </w:rPr>
      </w:pPr>
    </w:p>
    <w:p w14:paraId="2842C724">
      <w:pPr>
        <w:adjustRightInd w:val="0"/>
        <w:snapToGrid w:val="0"/>
        <w:spacing w:line="360" w:lineRule="auto"/>
        <w:rPr>
          <w:rFonts w:hint="eastAsia" w:ascii="宋体" w:hAnsi="宋体" w:cs="宋体"/>
          <w:szCs w:val="21"/>
        </w:rPr>
      </w:pPr>
    </w:p>
    <w:p w14:paraId="2D658017">
      <w:pPr>
        <w:adjustRightInd w:val="0"/>
        <w:snapToGrid w:val="0"/>
        <w:spacing w:line="360" w:lineRule="auto"/>
        <w:rPr>
          <w:rFonts w:hint="eastAsia" w:ascii="宋体" w:hAnsi="宋体" w:cs="宋体"/>
          <w:szCs w:val="21"/>
        </w:rPr>
      </w:pPr>
    </w:p>
    <w:p w14:paraId="5F9507F5">
      <w:pPr>
        <w:spacing w:line="360" w:lineRule="auto"/>
        <w:rPr>
          <w:rFonts w:hint="eastAsia" w:ascii="宋体" w:hAnsi="宋体" w:cs="宋体"/>
          <w:bCs/>
          <w:szCs w:val="21"/>
        </w:rPr>
      </w:pPr>
      <w:r>
        <w:rPr>
          <w:rFonts w:hint="eastAsia" w:ascii="宋体" w:hAnsi="宋体" w:cs="宋体"/>
          <w:szCs w:val="21"/>
        </w:rPr>
        <w:t>供应商名称：</w:t>
      </w:r>
      <w:r>
        <w:rPr>
          <w:rFonts w:hint="eastAsia" w:ascii="宋体" w:hAnsi="宋体" w:cs="宋体"/>
          <w:szCs w:val="21"/>
          <w:u w:val="single"/>
        </w:rPr>
        <w:t xml:space="preserve">                </w:t>
      </w:r>
    </w:p>
    <w:p w14:paraId="4EBCC958">
      <w:pPr>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r>
        <w:rPr>
          <w:rFonts w:hint="eastAsia" w:ascii="宋体" w:hAnsi="宋体" w:cs="宋体"/>
          <w:szCs w:val="21"/>
        </w:rPr>
        <w:t>_</w:t>
      </w:r>
    </w:p>
    <w:p w14:paraId="598E18D0">
      <w:pPr>
        <w:spacing w:line="360" w:lineRule="auto"/>
        <w:rPr>
          <w:rFonts w:hint="eastAsia" w:ascii="宋体" w:hAnsi="宋体" w:cs="宋体"/>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1289261B">
      <w:pPr>
        <w:adjustRightInd w:val="0"/>
        <w:snapToGrid w:val="0"/>
        <w:rPr>
          <w:rFonts w:hint="eastAsia" w:ascii="宋体" w:hAnsi="宋体"/>
          <w:szCs w:val="21"/>
        </w:rPr>
      </w:pPr>
    </w:p>
    <w:p w14:paraId="4C5A5147">
      <w:pPr>
        <w:adjustRightInd w:val="0"/>
        <w:snapToGrid w:val="0"/>
        <w:rPr>
          <w:rFonts w:hint="eastAsia" w:ascii="黑体" w:eastAsia="黑体"/>
          <w:sz w:val="30"/>
          <w:szCs w:val="30"/>
        </w:rPr>
      </w:pPr>
      <w:r>
        <w:rPr>
          <w:rFonts w:hint="eastAsia" w:ascii="黑体" w:eastAsia="黑体"/>
          <w:sz w:val="30"/>
          <w:szCs w:val="30"/>
        </w:rPr>
        <w:br w:type="page"/>
      </w:r>
    </w:p>
    <w:p w14:paraId="41554E9C">
      <w:pPr>
        <w:pStyle w:val="4"/>
        <w:spacing w:before="0" w:after="0" w:line="360" w:lineRule="auto"/>
        <w:jc w:val="center"/>
        <w:rPr>
          <w:rFonts w:hint="eastAsia" w:ascii="宋体" w:hAnsi="宋体"/>
          <w:sz w:val="24"/>
          <w:szCs w:val="24"/>
        </w:rPr>
      </w:pPr>
      <w:r>
        <w:rPr>
          <w:rFonts w:hint="eastAsia" w:ascii="宋体" w:hAnsi="宋体"/>
          <w:b w:val="0"/>
          <w:bCs w:val="0"/>
          <w:sz w:val="30"/>
          <w:szCs w:val="30"/>
        </w:rPr>
        <w:t>附件8-2：主要人员简历表</w:t>
      </w:r>
    </w:p>
    <w:p w14:paraId="5C7840DA">
      <w:pPr>
        <w:spacing w:line="360" w:lineRule="atLeast"/>
        <w:jc w:val="center"/>
        <w:rPr>
          <w:rFonts w:hint="eastAsia" w:ascii="宋体"/>
          <w:sz w:val="28"/>
          <w:szCs w:val="28"/>
        </w:rPr>
      </w:pP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73E26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noWrap w:val="0"/>
            <w:vAlign w:val="center"/>
          </w:tcPr>
          <w:p w14:paraId="6898F20F">
            <w:pPr>
              <w:spacing w:line="360" w:lineRule="auto"/>
              <w:jc w:val="center"/>
              <w:rPr>
                <w:rFonts w:hint="eastAsia" w:ascii="宋体" w:hAnsi="宋体" w:cs="宋体"/>
                <w:szCs w:val="21"/>
              </w:rPr>
            </w:pPr>
            <w:r>
              <w:rPr>
                <w:rFonts w:hint="eastAsia" w:ascii="宋体" w:hAnsi="宋体" w:cs="宋体"/>
                <w:szCs w:val="21"/>
              </w:rPr>
              <w:t>姓   名</w:t>
            </w:r>
          </w:p>
        </w:tc>
        <w:tc>
          <w:tcPr>
            <w:tcW w:w="2468" w:type="dxa"/>
            <w:noWrap w:val="0"/>
            <w:vAlign w:val="center"/>
          </w:tcPr>
          <w:p w14:paraId="3C4EE46F">
            <w:pPr>
              <w:spacing w:line="360" w:lineRule="auto"/>
              <w:jc w:val="center"/>
              <w:rPr>
                <w:rFonts w:hint="eastAsia" w:ascii="宋体" w:hAnsi="宋体" w:cs="宋体"/>
                <w:szCs w:val="21"/>
              </w:rPr>
            </w:pPr>
          </w:p>
        </w:tc>
        <w:tc>
          <w:tcPr>
            <w:tcW w:w="2340" w:type="dxa"/>
            <w:gridSpan w:val="3"/>
            <w:noWrap w:val="0"/>
            <w:vAlign w:val="center"/>
          </w:tcPr>
          <w:p w14:paraId="5A3BBE72">
            <w:pPr>
              <w:spacing w:line="360" w:lineRule="auto"/>
              <w:jc w:val="center"/>
              <w:rPr>
                <w:rFonts w:hint="eastAsia" w:ascii="宋体" w:hAnsi="宋体" w:cs="宋体"/>
                <w:szCs w:val="21"/>
              </w:rPr>
            </w:pPr>
            <w:r>
              <w:rPr>
                <w:rFonts w:hint="eastAsia" w:ascii="宋体" w:hAnsi="宋体" w:cs="宋体"/>
                <w:szCs w:val="21"/>
              </w:rPr>
              <w:t>性  别</w:t>
            </w:r>
          </w:p>
        </w:tc>
        <w:tc>
          <w:tcPr>
            <w:tcW w:w="1663" w:type="dxa"/>
            <w:noWrap w:val="0"/>
            <w:vAlign w:val="center"/>
          </w:tcPr>
          <w:p w14:paraId="0711CDDE">
            <w:pPr>
              <w:spacing w:line="360" w:lineRule="auto"/>
              <w:jc w:val="center"/>
              <w:rPr>
                <w:rFonts w:hint="eastAsia" w:ascii="宋体" w:hAnsi="宋体" w:cs="宋体"/>
                <w:szCs w:val="21"/>
              </w:rPr>
            </w:pPr>
          </w:p>
        </w:tc>
      </w:tr>
      <w:tr w14:paraId="7FE1D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noWrap w:val="0"/>
            <w:vAlign w:val="center"/>
          </w:tcPr>
          <w:p w14:paraId="12253C0E">
            <w:pPr>
              <w:spacing w:line="360" w:lineRule="auto"/>
              <w:jc w:val="center"/>
              <w:rPr>
                <w:rFonts w:hint="eastAsia" w:ascii="宋体" w:hAnsi="宋体" w:cs="宋体"/>
                <w:szCs w:val="21"/>
              </w:rPr>
            </w:pPr>
            <w:r>
              <w:rPr>
                <w:rFonts w:hint="eastAsia" w:ascii="宋体" w:hAnsi="宋体" w:cs="宋体"/>
                <w:szCs w:val="21"/>
              </w:rPr>
              <w:t>职   务</w:t>
            </w:r>
          </w:p>
        </w:tc>
        <w:tc>
          <w:tcPr>
            <w:tcW w:w="2468" w:type="dxa"/>
            <w:noWrap w:val="0"/>
            <w:vAlign w:val="center"/>
          </w:tcPr>
          <w:p w14:paraId="32FBC8AC">
            <w:pPr>
              <w:spacing w:line="360" w:lineRule="auto"/>
              <w:jc w:val="center"/>
              <w:rPr>
                <w:rFonts w:hint="eastAsia" w:ascii="宋体" w:hAnsi="宋体" w:cs="宋体"/>
                <w:szCs w:val="21"/>
              </w:rPr>
            </w:pPr>
          </w:p>
        </w:tc>
        <w:tc>
          <w:tcPr>
            <w:tcW w:w="2340" w:type="dxa"/>
            <w:gridSpan w:val="3"/>
            <w:noWrap w:val="0"/>
            <w:vAlign w:val="center"/>
          </w:tcPr>
          <w:p w14:paraId="3AEE373B">
            <w:pPr>
              <w:spacing w:line="360" w:lineRule="auto"/>
              <w:jc w:val="center"/>
              <w:rPr>
                <w:rFonts w:hint="eastAsia" w:ascii="宋体" w:hAnsi="宋体" w:cs="宋体"/>
                <w:szCs w:val="21"/>
              </w:rPr>
            </w:pPr>
            <w:r>
              <w:rPr>
                <w:rFonts w:hint="eastAsia" w:ascii="宋体" w:hAnsi="宋体" w:cs="宋体"/>
                <w:szCs w:val="21"/>
              </w:rPr>
              <w:t>职  称</w:t>
            </w:r>
          </w:p>
        </w:tc>
        <w:tc>
          <w:tcPr>
            <w:tcW w:w="1663" w:type="dxa"/>
            <w:noWrap w:val="0"/>
            <w:vAlign w:val="center"/>
          </w:tcPr>
          <w:p w14:paraId="0ABFBB7A">
            <w:pPr>
              <w:spacing w:line="360" w:lineRule="auto"/>
              <w:jc w:val="center"/>
              <w:rPr>
                <w:rFonts w:hint="eastAsia" w:ascii="宋体" w:hAnsi="宋体" w:cs="宋体"/>
                <w:szCs w:val="21"/>
              </w:rPr>
            </w:pPr>
          </w:p>
        </w:tc>
      </w:tr>
      <w:tr w14:paraId="49662C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noWrap w:val="0"/>
            <w:vAlign w:val="center"/>
          </w:tcPr>
          <w:p w14:paraId="7A99D327">
            <w:pPr>
              <w:spacing w:line="360" w:lineRule="auto"/>
              <w:jc w:val="center"/>
              <w:rPr>
                <w:rFonts w:hint="eastAsia" w:ascii="宋体" w:hAnsi="宋体" w:cs="宋体"/>
                <w:szCs w:val="21"/>
              </w:rPr>
            </w:pPr>
            <w:r>
              <w:rPr>
                <w:rFonts w:hint="eastAsia" w:ascii="宋体" w:hAnsi="宋体" w:cs="宋体"/>
                <w:szCs w:val="21"/>
              </w:rPr>
              <w:t>毕业学校、专业</w:t>
            </w:r>
          </w:p>
        </w:tc>
        <w:tc>
          <w:tcPr>
            <w:tcW w:w="6471" w:type="dxa"/>
            <w:gridSpan w:val="5"/>
            <w:noWrap w:val="0"/>
            <w:vAlign w:val="center"/>
          </w:tcPr>
          <w:p w14:paraId="3E26F6AC">
            <w:pPr>
              <w:spacing w:line="360" w:lineRule="auto"/>
              <w:jc w:val="center"/>
              <w:rPr>
                <w:rFonts w:hint="eastAsia" w:ascii="宋体" w:hAnsi="宋体" w:cs="宋体"/>
                <w:szCs w:val="21"/>
              </w:rPr>
            </w:pPr>
          </w:p>
        </w:tc>
      </w:tr>
      <w:tr w14:paraId="160C9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30A7FEFC">
            <w:pPr>
              <w:spacing w:line="360" w:lineRule="auto"/>
              <w:jc w:val="center"/>
              <w:rPr>
                <w:rFonts w:hint="eastAsia" w:ascii="宋体" w:hAnsi="宋体" w:cs="宋体"/>
                <w:szCs w:val="21"/>
              </w:rPr>
            </w:pPr>
            <w:r>
              <w:rPr>
                <w:rFonts w:hint="eastAsia" w:ascii="宋体" w:hAnsi="宋体" w:cs="宋体"/>
                <w:szCs w:val="21"/>
              </w:rPr>
              <w:t>身份证号</w:t>
            </w:r>
          </w:p>
        </w:tc>
        <w:tc>
          <w:tcPr>
            <w:tcW w:w="2468" w:type="dxa"/>
            <w:noWrap w:val="0"/>
            <w:vAlign w:val="center"/>
          </w:tcPr>
          <w:p w14:paraId="2C97251F">
            <w:pPr>
              <w:spacing w:line="360" w:lineRule="auto"/>
              <w:jc w:val="center"/>
              <w:rPr>
                <w:rFonts w:hint="eastAsia" w:ascii="宋体" w:hAnsi="宋体" w:cs="宋体"/>
                <w:szCs w:val="21"/>
              </w:rPr>
            </w:pPr>
          </w:p>
        </w:tc>
        <w:tc>
          <w:tcPr>
            <w:tcW w:w="2340" w:type="dxa"/>
            <w:gridSpan w:val="3"/>
            <w:noWrap w:val="0"/>
            <w:vAlign w:val="center"/>
          </w:tcPr>
          <w:p w14:paraId="6F6D072E">
            <w:pPr>
              <w:spacing w:line="360" w:lineRule="auto"/>
              <w:jc w:val="center"/>
              <w:rPr>
                <w:rFonts w:hint="eastAsia" w:ascii="宋体" w:hAnsi="宋体" w:cs="宋体"/>
                <w:szCs w:val="21"/>
              </w:rPr>
            </w:pPr>
            <w:r>
              <w:rPr>
                <w:rFonts w:hint="eastAsia" w:ascii="宋体" w:hAnsi="宋体" w:cs="宋体"/>
                <w:szCs w:val="21"/>
              </w:rPr>
              <w:t>拟在本合同任职</w:t>
            </w:r>
          </w:p>
        </w:tc>
        <w:tc>
          <w:tcPr>
            <w:tcW w:w="1663" w:type="dxa"/>
            <w:noWrap w:val="0"/>
            <w:vAlign w:val="center"/>
          </w:tcPr>
          <w:p w14:paraId="4512B0AC">
            <w:pPr>
              <w:spacing w:line="360" w:lineRule="auto"/>
              <w:jc w:val="center"/>
              <w:rPr>
                <w:rFonts w:hint="eastAsia" w:ascii="宋体" w:hAnsi="宋体" w:cs="宋体"/>
                <w:szCs w:val="21"/>
              </w:rPr>
            </w:pPr>
          </w:p>
        </w:tc>
      </w:tr>
      <w:tr w14:paraId="225BA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246E2EFD">
            <w:pPr>
              <w:spacing w:line="360" w:lineRule="auto"/>
              <w:jc w:val="center"/>
              <w:rPr>
                <w:rFonts w:hint="eastAsia" w:ascii="宋体" w:hAnsi="宋体" w:cs="宋体"/>
                <w:szCs w:val="21"/>
              </w:rPr>
            </w:pPr>
            <w:r>
              <w:rPr>
                <w:rFonts w:hint="eastAsia" w:ascii="宋体" w:hAnsi="宋体" w:cs="宋体"/>
                <w:szCs w:val="21"/>
              </w:rPr>
              <w:t>执业资格证</w:t>
            </w:r>
          </w:p>
        </w:tc>
        <w:tc>
          <w:tcPr>
            <w:tcW w:w="2468" w:type="dxa"/>
            <w:noWrap w:val="0"/>
            <w:vAlign w:val="center"/>
          </w:tcPr>
          <w:p w14:paraId="3587C936">
            <w:pPr>
              <w:spacing w:line="360" w:lineRule="auto"/>
              <w:jc w:val="center"/>
              <w:rPr>
                <w:rFonts w:hint="eastAsia" w:ascii="宋体" w:hAnsi="宋体" w:cs="宋体"/>
                <w:szCs w:val="21"/>
              </w:rPr>
            </w:pPr>
          </w:p>
        </w:tc>
        <w:tc>
          <w:tcPr>
            <w:tcW w:w="2340" w:type="dxa"/>
            <w:gridSpan w:val="3"/>
            <w:noWrap w:val="0"/>
            <w:vAlign w:val="center"/>
          </w:tcPr>
          <w:p w14:paraId="5863B033">
            <w:pPr>
              <w:spacing w:line="360" w:lineRule="auto"/>
              <w:jc w:val="center"/>
              <w:rPr>
                <w:rFonts w:hint="eastAsia" w:ascii="宋体" w:hAnsi="宋体" w:cs="宋体"/>
                <w:szCs w:val="21"/>
              </w:rPr>
            </w:pPr>
            <w:r>
              <w:rPr>
                <w:rFonts w:hint="eastAsia" w:ascii="宋体" w:hAnsi="宋体" w:cs="宋体"/>
                <w:szCs w:val="21"/>
              </w:rPr>
              <w:t>执业资格证书号</w:t>
            </w:r>
          </w:p>
        </w:tc>
        <w:tc>
          <w:tcPr>
            <w:tcW w:w="1663" w:type="dxa"/>
            <w:noWrap w:val="0"/>
            <w:vAlign w:val="center"/>
          </w:tcPr>
          <w:p w14:paraId="3C5189B7">
            <w:pPr>
              <w:spacing w:line="360" w:lineRule="auto"/>
              <w:jc w:val="center"/>
              <w:rPr>
                <w:rFonts w:hint="eastAsia" w:ascii="宋体" w:hAnsi="宋体" w:cs="宋体"/>
                <w:szCs w:val="21"/>
              </w:rPr>
            </w:pPr>
          </w:p>
        </w:tc>
      </w:tr>
      <w:tr w14:paraId="13CCA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noWrap w:val="0"/>
            <w:vAlign w:val="center"/>
          </w:tcPr>
          <w:p w14:paraId="28C88291">
            <w:pPr>
              <w:spacing w:line="360" w:lineRule="auto"/>
              <w:rPr>
                <w:rFonts w:hint="eastAsia" w:ascii="宋体" w:hAnsi="宋体" w:cs="宋体"/>
                <w:szCs w:val="21"/>
              </w:rPr>
            </w:pPr>
            <w:r>
              <w:rPr>
                <w:rFonts w:hint="eastAsia" w:ascii="宋体" w:hAnsi="宋体" w:cs="宋体"/>
                <w:szCs w:val="21"/>
              </w:rPr>
              <w:t>近三年承担项目情况</w:t>
            </w:r>
          </w:p>
        </w:tc>
      </w:tr>
      <w:tr w14:paraId="30F3C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A449483">
            <w:pPr>
              <w:spacing w:line="360" w:lineRule="auto"/>
              <w:jc w:val="center"/>
              <w:rPr>
                <w:rFonts w:hint="eastAsia" w:ascii="宋体" w:hAnsi="宋体" w:cs="宋体"/>
                <w:szCs w:val="21"/>
              </w:rPr>
            </w:pPr>
            <w:r>
              <w:rPr>
                <w:rFonts w:hint="eastAsia" w:ascii="宋体" w:hAnsi="宋体" w:cs="宋体"/>
                <w:szCs w:val="21"/>
              </w:rPr>
              <w:t>时间</w:t>
            </w:r>
          </w:p>
        </w:tc>
        <w:tc>
          <w:tcPr>
            <w:tcW w:w="3636" w:type="dxa"/>
            <w:gridSpan w:val="3"/>
            <w:noWrap w:val="0"/>
            <w:vAlign w:val="center"/>
          </w:tcPr>
          <w:p w14:paraId="07D794BC">
            <w:pPr>
              <w:spacing w:line="360" w:lineRule="auto"/>
              <w:jc w:val="center"/>
              <w:rPr>
                <w:rFonts w:hint="eastAsia" w:ascii="宋体" w:hAnsi="宋体" w:cs="宋体"/>
                <w:szCs w:val="21"/>
              </w:rPr>
            </w:pPr>
            <w:r>
              <w:rPr>
                <w:rFonts w:hint="eastAsia" w:ascii="宋体" w:hAnsi="宋体" w:cs="宋体"/>
                <w:szCs w:val="21"/>
              </w:rPr>
              <w:t>类似项目名称</w:t>
            </w:r>
          </w:p>
        </w:tc>
        <w:tc>
          <w:tcPr>
            <w:tcW w:w="1404" w:type="dxa"/>
            <w:noWrap w:val="0"/>
            <w:vAlign w:val="center"/>
          </w:tcPr>
          <w:p w14:paraId="4DC5E01B">
            <w:pPr>
              <w:spacing w:line="360" w:lineRule="auto"/>
              <w:jc w:val="center"/>
              <w:rPr>
                <w:rFonts w:hint="eastAsia" w:ascii="宋体" w:hAnsi="宋体" w:cs="宋体"/>
                <w:szCs w:val="21"/>
              </w:rPr>
            </w:pPr>
            <w:r>
              <w:rPr>
                <w:rFonts w:hint="eastAsia" w:ascii="宋体" w:hAnsi="宋体" w:cs="宋体"/>
                <w:szCs w:val="21"/>
              </w:rPr>
              <w:t>担任职务</w:t>
            </w:r>
          </w:p>
        </w:tc>
        <w:tc>
          <w:tcPr>
            <w:tcW w:w="2203" w:type="dxa"/>
            <w:gridSpan w:val="2"/>
            <w:noWrap w:val="0"/>
            <w:vAlign w:val="center"/>
          </w:tcPr>
          <w:p w14:paraId="194A89D1">
            <w:pPr>
              <w:spacing w:line="360" w:lineRule="auto"/>
              <w:jc w:val="center"/>
              <w:rPr>
                <w:rFonts w:hint="eastAsia" w:ascii="宋体" w:hAnsi="宋体" w:cs="宋体"/>
                <w:szCs w:val="21"/>
              </w:rPr>
            </w:pPr>
            <w:r>
              <w:rPr>
                <w:rFonts w:hint="eastAsia" w:ascii="宋体" w:hAnsi="宋体" w:cs="宋体"/>
                <w:szCs w:val="21"/>
              </w:rPr>
              <w:t>项目单位名称及电话</w:t>
            </w:r>
          </w:p>
        </w:tc>
      </w:tr>
      <w:tr w14:paraId="22F36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9FC69D5">
            <w:pPr>
              <w:spacing w:line="360" w:lineRule="auto"/>
              <w:jc w:val="center"/>
              <w:rPr>
                <w:rFonts w:hint="eastAsia" w:ascii="宋体" w:hAnsi="宋体" w:cs="宋体"/>
                <w:szCs w:val="21"/>
              </w:rPr>
            </w:pPr>
          </w:p>
        </w:tc>
        <w:tc>
          <w:tcPr>
            <w:tcW w:w="3636" w:type="dxa"/>
            <w:gridSpan w:val="3"/>
            <w:noWrap w:val="0"/>
            <w:vAlign w:val="center"/>
          </w:tcPr>
          <w:p w14:paraId="7797F251">
            <w:pPr>
              <w:spacing w:line="360" w:lineRule="auto"/>
              <w:jc w:val="center"/>
              <w:rPr>
                <w:rFonts w:hint="eastAsia" w:ascii="宋体" w:hAnsi="宋体" w:cs="宋体"/>
                <w:szCs w:val="21"/>
              </w:rPr>
            </w:pPr>
          </w:p>
        </w:tc>
        <w:tc>
          <w:tcPr>
            <w:tcW w:w="1404" w:type="dxa"/>
            <w:noWrap w:val="0"/>
            <w:vAlign w:val="center"/>
          </w:tcPr>
          <w:p w14:paraId="7C2ECCA2">
            <w:pPr>
              <w:spacing w:line="360" w:lineRule="auto"/>
              <w:jc w:val="center"/>
              <w:rPr>
                <w:rFonts w:hint="eastAsia" w:ascii="宋体" w:hAnsi="宋体" w:cs="宋体"/>
                <w:szCs w:val="21"/>
              </w:rPr>
            </w:pPr>
          </w:p>
        </w:tc>
        <w:tc>
          <w:tcPr>
            <w:tcW w:w="2203" w:type="dxa"/>
            <w:gridSpan w:val="2"/>
            <w:noWrap w:val="0"/>
            <w:vAlign w:val="center"/>
          </w:tcPr>
          <w:p w14:paraId="6C930D61">
            <w:pPr>
              <w:spacing w:line="360" w:lineRule="auto"/>
              <w:jc w:val="center"/>
              <w:rPr>
                <w:rFonts w:hint="eastAsia" w:ascii="宋体" w:hAnsi="宋体" w:cs="宋体"/>
                <w:szCs w:val="21"/>
              </w:rPr>
            </w:pPr>
          </w:p>
        </w:tc>
      </w:tr>
      <w:tr w14:paraId="1D17B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271DC99C">
            <w:pPr>
              <w:spacing w:line="360" w:lineRule="auto"/>
              <w:jc w:val="center"/>
              <w:rPr>
                <w:rFonts w:hint="eastAsia" w:ascii="宋体" w:hAnsi="宋体" w:cs="宋体"/>
                <w:szCs w:val="21"/>
              </w:rPr>
            </w:pPr>
          </w:p>
        </w:tc>
        <w:tc>
          <w:tcPr>
            <w:tcW w:w="3636" w:type="dxa"/>
            <w:gridSpan w:val="3"/>
            <w:noWrap w:val="0"/>
            <w:vAlign w:val="center"/>
          </w:tcPr>
          <w:p w14:paraId="6BD6A191">
            <w:pPr>
              <w:spacing w:line="360" w:lineRule="auto"/>
              <w:jc w:val="center"/>
              <w:rPr>
                <w:rFonts w:hint="eastAsia" w:ascii="宋体" w:hAnsi="宋体" w:cs="宋体"/>
                <w:szCs w:val="21"/>
              </w:rPr>
            </w:pPr>
          </w:p>
        </w:tc>
        <w:tc>
          <w:tcPr>
            <w:tcW w:w="1404" w:type="dxa"/>
            <w:noWrap w:val="0"/>
            <w:vAlign w:val="center"/>
          </w:tcPr>
          <w:p w14:paraId="7DAE3951">
            <w:pPr>
              <w:spacing w:line="360" w:lineRule="auto"/>
              <w:jc w:val="center"/>
              <w:rPr>
                <w:rFonts w:hint="eastAsia" w:ascii="宋体" w:hAnsi="宋体" w:cs="宋体"/>
                <w:szCs w:val="21"/>
              </w:rPr>
            </w:pPr>
          </w:p>
        </w:tc>
        <w:tc>
          <w:tcPr>
            <w:tcW w:w="2203" w:type="dxa"/>
            <w:gridSpan w:val="2"/>
            <w:noWrap w:val="0"/>
            <w:vAlign w:val="center"/>
          </w:tcPr>
          <w:p w14:paraId="4B646996">
            <w:pPr>
              <w:spacing w:line="360" w:lineRule="auto"/>
              <w:jc w:val="center"/>
              <w:rPr>
                <w:rFonts w:hint="eastAsia" w:ascii="宋体" w:hAnsi="宋体" w:cs="宋体"/>
                <w:szCs w:val="21"/>
              </w:rPr>
            </w:pPr>
          </w:p>
        </w:tc>
      </w:tr>
      <w:tr w14:paraId="330D12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65639FDE">
            <w:pPr>
              <w:spacing w:line="360" w:lineRule="auto"/>
              <w:jc w:val="center"/>
              <w:rPr>
                <w:rFonts w:hint="eastAsia" w:ascii="宋体" w:hAnsi="宋体" w:cs="宋体"/>
                <w:szCs w:val="21"/>
              </w:rPr>
            </w:pPr>
          </w:p>
        </w:tc>
        <w:tc>
          <w:tcPr>
            <w:tcW w:w="3636" w:type="dxa"/>
            <w:gridSpan w:val="3"/>
            <w:noWrap w:val="0"/>
            <w:vAlign w:val="center"/>
          </w:tcPr>
          <w:p w14:paraId="06EF4EA9">
            <w:pPr>
              <w:spacing w:line="360" w:lineRule="auto"/>
              <w:jc w:val="center"/>
              <w:rPr>
                <w:rFonts w:hint="eastAsia" w:ascii="宋体" w:hAnsi="宋体" w:cs="宋体"/>
                <w:szCs w:val="21"/>
              </w:rPr>
            </w:pPr>
          </w:p>
        </w:tc>
        <w:tc>
          <w:tcPr>
            <w:tcW w:w="1404" w:type="dxa"/>
            <w:noWrap w:val="0"/>
            <w:vAlign w:val="center"/>
          </w:tcPr>
          <w:p w14:paraId="1AA98BE2">
            <w:pPr>
              <w:spacing w:line="360" w:lineRule="auto"/>
              <w:jc w:val="center"/>
              <w:rPr>
                <w:rFonts w:hint="eastAsia" w:ascii="宋体" w:hAnsi="宋体" w:cs="宋体"/>
                <w:szCs w:val="21"/>
              </w:rPr>
            </w:pPr>
          </w:p>
        </w:tc>
        <w:tc>
          <w:tcPr>
            <w:tcW w:w="2203" w:type="dxa"/>
            <w:gridSpan w:val="2"/>
            <w:noWrap w:val="0"/>
            <w:vAlign w:val="center"/>
          </w:tcPr>
          <w:p w14:paraId="71037921">
            <w:pPr>
              <w:spacing w:line="360" w:lineRule="auto"/>
              <w:jc w:val="center"/>
              <w:rPr>
                <w:rFonts w:hint="eastAsia" w:ascii="宋体" w:hAnsi="宋体" w:cs="宋体"/>
                <w:szCs w:val="21"/>
              </w:rPr>
            </w:pPr>
          </w:p>
        </w:tc>
      </w:tr>
      <w:tr w14:paraId="2EE31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4E0E92AE">
            <w:pPr>
              <w:spacing w:line="360" w:lineRule="auto"/>
              <w:jc w:val="center"/>
              <w:rPr>
                <w:rFonts w:hint="eastAsia" w:ascii="宋体" w:hAnsi="宋体" w:cs="宋体"/>
                <w:szCs w:val="21"/>
              </w:rPr>
            </w:pPr>
          </w:p>
        </w:tc>
        <w:tc>
          <w:tcPr>
            <w:tcW w:w="3636" w:type="dxa"/>
            <w:gridSpan w:val="3"/>
            <w:noWrap w:val="0"/>
            <w:vAlign w:val="center"/>
          </w:tcPr>
          <w:p w14:paraId="63FA619F">
            <w:pPr>
              <w:spacing w:line="360" w:lineRule="auto"/>
              <w:jc w:val="center"/>
              <w:rPr>
                <w:rFonts w:hint="eastAsia" w:ascii="宋体" w:hAnsi="宋体" w:cs="宋体"/>
                <w:szCs w:val="21"/>
              </w:rPr>
            </w:pPr>
          </w:p>
        </w:tc>
        <w:tc>
          <w:tcPr>
            <w:tcW w:w="1404" w:type="dxa"/>
            <w:noWrap w:val="0"/>
            <w:vAlign w:val="center"/>
          </w:tcPr>
          <w:p w14:paraId="121AF0A1">
            <w:pPr>
              <w:spacing w:line="360" w:lineRule="auto"/>
              <w:jc w:val="center"/>
              <w:rPr>
                <w:rFonts w:hint="eastAsia" w:ascii="宋体" w:hAnsi="宋体" w:cs="宋体"/>
                <w:szCs w:val="21"/>
              </w:rPr>
            </w:pPr>
          </w:p>
        </w:tc>
        <w:tc>
          <w:tcPr>
            <w:tcW w:w="2203" w:type="dxa"/>
            <w:gridSpan w:val="2"/>
            <w:noWrap w:val="0"/>
            <w:vAlign w:val="center"/>
          </w:tcPr>
          <w:p w14:paraId="6AD7FEBE">
            <w:pPr>
              <w:spacing w:line="360" w:lineRule="auto"/>
              <w:jc w:val="center"/>
              <w:rPr>
                <w:rFonts w:hint="eastAsia" w:ascii="宋体" w:hAnsi="宋体" w:cs="宋体"/>
                <w:szCs w:val="21"/>
              </w:rPr>
            </w:pPr>
          </w:p>
        </w:tc>
      </w:tr>
      <w:tr w14:paraId="3FDD1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19A9DA53">
            <w:pPr>
              <w:spacing w:line="360" w:lineRule="auto"/>
              <w:jc w:val="center"/>
              <w:rPr>
                <w:rFonts w:hint="eastAsia" w:ascii="宋体" w:hAnsi="宋体" w:cs="宋体"/>
                <w:szCs w:val="21"/>
              </w:rPr>
            </w:pPr>
          </w:p>
        </w:tc>
        <w:tc>
          <w:tcPr>
            <w:tcW w:w="3636" w:type="dxa"/>
            <w:gridSpan w:val="3"/>
            <w:noWrap w:val="0"/>
            <w:vAlign w:val="center"/>
          </w:tcPr>
          <w:p w14:paraId="7773B2FF">
            <w:pPr>
              <w:spacing w:line="360" w:lineRule="auto"/>
              <w:jc w:val="center"/>
              <w:rPr>
                <w:rFonts w:hint="eastAsia" w:ascii="宋体" w:hAnsi="宋体" w:cs="宋体"/>
                <w:szCs w:val="21"/>
              </w:rPr>
            </w:pPr>
          </w:p>
        </w:tc>
        <w:tc>
          <w:tcPr>
            <w:tcW w:w="1404" w:type="dxa"/>
            <w:noWrap w:val="0"/>
            <w:vAlign w:val="center"/>
          </w:tcPr>
          <w:p w14:paraId="25294C8A">
            <w:pPr>
              <w:spacing w:line="360" w:lineRule="auto"/>
              <w:jc w:val="center"/>
              <w:rPr>
                <w:rFonts w:hint="eastAsia" w:ascii="宋体" w:hAnsi="宋体" w:cs="宋体"/>
                <w:szCs w:val="21"/>
              </w:rPr>
            </w:pPr>
          </w:p>
        </w:tc>
        <w:tc>
          <w:tcPr>
            <w:tcW w:w="2203" w:type="dxa"/>
            <w:gridSpan w:val="2"/>
            <w:noWrap w:val="0"/>
            <w:vAlign w:val="center"/>
          </w:tcPr>
          <w:p w14:paraId="4F6C8F3A">
            <w:pPr>
              <w:spacing w:line="360" w:lineRule="auto"/>
              <w:jc w:val="center"/>
              <w:rPr>
                <w:rFonts w:hint="eastAsia" w:ascii="宋体" w:hAnsi="宋体" w:cs="宋体"/>
                <w:szCs w:val="21"/>
              </w:rPr>
            </w:pPr>
          </w:p>
        </w:tc>
      </w:tr>
      <w:tr w14:paraId="272820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B934F7A">
            <w:pPr>
              <w:spacing w:line="360" w:lineRule="auto"/>
              <w:jc w:val="center"/>
              <w:rPr>
                <w:rFonts w:hint="eastAsia" w:ascii="宋体" w:hAnsi="宋体" w:cs="宋体"/>
                <w:szCs w:val="21"/>
              </w:rPr>
            </w:pPr>
          </w:p>
        </w:tc>
        <w:tc>
          <w:tcPr>
            <w:tcW w:w="3636" w:type="dxa"/>
            <w:gridSpan w:val="3"/>
            <w:noWrap w:val="0"/>
            <w:vAlign w:val="center"/>
          </w:tcPr>
          <w:p w14:paraId="21EA1B0C">
            <w:pPr>
              <w:spacing w:line="360" w:lineRule="auto"/>
              <w:jc w:val="center"/>
              <w:rPr>
                <w:rFonts w:hint="eastAsia" w:ascii="宋体" w:hAnsi="宋体" w:cs="宋体"/>
                <w:szCs w:val="21"/>
              </w:rPr>
            </w:pPr>
          </w:p>
        </w:tc>
        <w:tc>
          <w:tcPr>
            <w:tcW w:w="1404" w:type="dxa"/>
            <w:noWrap w:val="0"/>
            <w:vAlign w:val="center"/>
          </w:tcPr>
          <w:p w14:paraId="5C880E64">
            <w:pPr>
              <w:spacing w:line="360" w:lineRule="auto"/>
              <w:jc w:val="center"/>
              <w:rPr>
                <w:rFonts w:hint="eastAsia" w:ascii="宋体" w:hAnsi="宋体" w:cs="宋体"/>
                <w:szCs w:val="21"/>
              </w:rPr>
            </w:pPr>
          </w:p>
        </w:tc>
        <w:tc>
          <w:tcPr>
            <w:tcW w:w="2203" w:type="dxa"/>
            <w:gridSpan w:val="2"/>
            <w:noWrap w:val="0"/>
            <w:vAlign w:val="center"/>
          </w:tcPr>
          <w:p w14:paraId="1849D422">
            <w:pPr>
              <w:spacing w:line="360" w:lineRule="auto"/>
              <w:jc w:val="center"/>
              <w:rPr>
                <w:rFonts w:hint="eastAsia" w:ascii="宋体" w:hAnsi="宋体" w:cs="宋体"/>
                <w:szCs w:val="21"/>
              </w:rPr>
            </w:pPr>
          </w:p>
        </w:tc>
      </w:tr>
      <w:tr w14:paraId="2C473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45119DE6">
            <w:pPr>
              <w:spacing w:line="360" w:lineRule="auto"/>
              <w:jc w:val="center"/>
              <w:rPr>
                <w:rFonts w:hint="eastAsia" w:ascii="宋体" w:hAnsi="宋体" w:cs="宋体"/>
                <w:szCs w:val="21"/>
              </w:rPr>
            </w:pPr>
          </w:p>
        </w:tc>
        <w:tc>
          <w:tcPr>
            <w:tcW w:w="3636" w:type="dxa"/>
            <w:gridSpan w:val="3"/>
            <w:noWrap w:val="0"/>
            <w:vAlign w:val="center"/>
          </w:tcPr>
          <w:p w14:paraId="27C00AFA">
            <w:pPr>
              <w:spacing w:line="360" w:lineRule="auto"/>
              <w:jc w:val="center"/>
              <w:rPr>
                <w:rFonts w:hint="eastAsia" w:ascii="宋体" w:hAnsi="宋体" w:cs="宋体"/>
                <w:szCs w:val="21"/>
              </w:rPr>
            </w:pPr>
          </w:p>
        </w:tc>
        <w:tc>
          <w:tcPr>
            <w:tcW w:w="1404" w:type="dxa"/>
            <w:noWrap w:val="0"/>
            <w:vAlign w:val="center"/>
          </w:tcPr>
          <w:p w14:paraId="4C887AC9">
            <w:pPr>
              <w:spacing w:line="360" w:lineRule="auto"/>
              <w:jc w:val="center"/>
              <w:rPr>
                <w:rFonts w:hint="eastAsia" w:ascii="宋体" w:hAnsi="宋体" w:cs="宋体"/>
                <w:szCs w:val="21"/>
              </w:rPr>
            </w:pPr>
          </w:p>
        </w:tc>
        <w:tc>
          <w:tcPr>
            <w:tcW w:w="2203" w:type="dxa"/>
            <w:gridSpan w:val="2"/>
            <w:noWrap w:val="0"/>
            <w:vAlign w:val="center"/>
          </w:tcPr>
          <w:p w14:paraId="73CA449A">
            <w:pPr>
              <w:spacing w:line="360" w:lineRule="auto"/>
              <w:jc w:val="center"/>
              <w:rPr>
                <w:rFonts w:hint="eastAsia" w:ascii="宋体" w:hAnsi="宋体" w:cs="宋体"/>
                <w:szCs w:val="21"/>
              </w:rPr>
            </w:pPr>
          </w:p>
        </w:tc>
      </w:tr>
      <w:tr w14:paraId="50D3E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52C9E861">
            <w:pPr>
              <w:spacing w:line="360" w:lineRule="auto"/>
              <w:jc w:val="center"/>
              <w:rPr>
                <w:rFonts w:hint="eastAsia" w:ascii="宋体" w:hAnsi="宋体" w:cs="宋体"/>
                <w:szCs w:val="21"/>
              </w:rPr>
            </w:pPr>
          </w:p>
        </w:tc>
        <w:tc>
          <w:tcPr>
            <w:tcW w:w="3636" w:type="dxa"/>
            <w:gridSpan w:val="3"/>
            <w:noWrap w:val="0"/>
            <w:vAlign w:val="center"/>
          </w:tcPr>
          <w:p w14:paraId="41A5AC0D">
            <w:pPr>
              <w:spacing w:line="360" w:lineRule="auto"/>
              <w:jc w:val="center"/>
              <w:rPr>
                <w:rFonts w:hint="eastAsia" w:ascii="宋体" w:hAnsi="宋体" w:cs="宋体"/>
                <w:szCs w:val="21"/>
              </w:rPr>
            </w:pPr>
          </w:p>
        </w:tc>
        <w:tc>
          <w:tcPr>
            <w:tcW w:w="1404" w:type="dxa"/>
            <w:noWrap w:val="0"/>
            <w:vAlign w:val="center"/>
          </w:tcPr>
          <w:p w14:paraId="066D170C">
            <w:pPr>
              <w:spacing w:line="360" w:lineRule="auto"/>
              <w:jc w:val="center"/>
              <w:rPr>
                <w:rFonts w:hint="eastAsia" w:ascii="宋体" w:hAnsi="宋体" w:cs="宋体"/>
                <w:szCs w:val="21"/>
              </w:rPr>
            </w:pPr>
          </w:p>
        </w:tc>
        <w:tc>
          <w:tcPr>
            <w:tcW w:w="2203" w:type="dxa"/>
            <w:gridSpan w:val="2"/>
            <w:noWrap w:val="0"/>
            <w:vAlign w:val="center"/>
          </w:tcPr>
          <w:p w14:paraId="64D6412C">
            <w:pPr>
              <w:spacing w:line="360" w:lineRule="auto"/>
              <w:jc w:val="center"/>
              <w:rPr>
                <w:rFonts w:hint="eastAsia" w:ascii="宋体" w:hAnsi="宋体" w:cs="宋体"/>
                <w:szCs w:val="21"/>
              </w:rPr>
            </w:pPr>
          </w:p>
        </w:tc>
      </w:tr>
      <w:tr w14:paraId="3D352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DEEE955">
            <w:pPr>
              <w:spacing w:line="360" w:lineRule="auto"/>
              <w:jc w:val="center"/>
              <w:rPr>
                <w:rFonts w:hint="eastAsia" w:ascii="宋体" w:hAnsi="宋体" w:cs="宋体"/>
                <w:szCs w:val="21"/>
              </w:rPr>
            </w:pPr>
          </w:p>
        </w:tc>
        <w:tc>
          <w:tcPr>
            <w:tcW w:w="3636" w:type="dxa"/>
            <w:gridSpan w:val="3"/>
            <w:noWrap w:val="0"/>
            <w:vAlign w:val="center"/>
          </w:tcPr>
          <w:p w14:paraId="51543E7A">
            <w:pPr>
              <w:spacing w:line="360" w:lineRule="auto"/>
              <w:jc w:val="center"/>
              <w:rPr>
                <w:rFonts w:hint="eastAsia" w:ascii="宋体" w:hAnsi="宋体" w:cs="宋体"/>
                <w:szCs w:val="21"/>
              </w:rPr>
            </w:pPr>
          </w:p>
        </w:tc>
        <w:tc>
          <w:tcPr>
            <w:tcW w:w="1404" w:type="dxa"/>
            <w:noWrap w:val="0"/>
            <w:vAlign w:val="center"/>
          </w:tcPr>
          <w:p w14:paraId="10764622">
            <w:pPr>
              <w:spacing w:line="360" w:lineRule="auto"/>
              <w:jc w:val="center"/>
              <w:rPr>
                <w:rFonts w:hint="eastAsia" w:ascii="宋体" w:hAnsi="宋体" w:cs="宋体"/>
                <w:szCs w:val="21"/>
              </w:rPr>
            </w:pPr>
          </w:p>
        </w:tc>
        <w:tc>
          <w:tcPr>
            <w:tcW w:w="2203" w:type="dxa"/>
            <w:gridSpan w:val="2"/>
            <w:noWrap w:val="0"/>
            <w:vAlign w:val="center"/>
          </w:tcPr>
          <w:p w14:paraId="5198A03F">
            <w:pPr>
              <w:spacing w:line="360" w:lineRule="auto"/>
              <w:jc w:val="center"/>
              <w:rPr>
                <w:rFonts w:hint="eastAsia" w:ascii="宋体" w:hAnsi="宋体" w:cs="宋体"/>
                <w:szCs w:val="21"/>
              </w:rPr>
            </w:pPr>
          </w:p>
        </w:tc>
      </w:tr>
    </w:tbl>
    <w:p w14:paraId="1A3E5B94">
      <w:pPr>
        <w:spacing w:line="360" w:lineRule="auto"/>
        <w:rPr>
          <w:rFonts w:hint="eastAsia" w:ascii="宋体" w:hAnsi="宋体" w:cs="宋体"/>
          <w:szCs w:val="21"/>
        </w:rPr>
      </w:pPr>
      <w:r>
        <w:rPr>
          <w:rFonts w:hint="eastAsia" w:ascii="宋体" w:hAnsi="宋体" w:cs="宋体"/>
          <w:szCs w:val="21"/>
        </w:rPr>
        <w:t>说明：主要人员证书、类似项目证明资料等按第二章第42.1款或第四章要求提供。</w:t>
      </w:r>
    </w:p>
    <w:p w14:paraId="756994DD">
      <w:pPr>
        <w:adjustRightInd w:val="0"/>
        <w:snapToGrid w:val="0"/>
        <w:spacing w:line="360" w:lineRule="auto"/>
        <w:rPr>
          <w:rFonts w:hint="eastAsia" w:ascii="宋体" w:hAnsi="宋体" w:cs="宋体"/>
          <w:szCs w:val="21"/>
        </w:rPr>
      </w:pPr>
    </w:p>
    <w:p w14:paraId="6119AEED">
      <w:pPr>
        <w:spacing w:line="360" w:lineRule="auto"/>
        <w:rPr>
          <w:rFonts w:hint="eastAsia" w:ascii="宋体" w:hAnsi="宋体" w:cs="宋体"/>
          <w:szCs w:val="21"/>
        </w:rPr>
      </w:pPr>
    </w:p>
    <w:p w14:paraId="6565F665">
      <w:pPr>
        <w:spacing w:line="360" w:lineRule="auto"/>
        <w:rPr>
          <w:rFonts w:hint="eastAsia" w:ascii="宋体" w:hAnsi="宋体" w:cs="宋体"/>
          <w:bCs/>
          <w:szCs w:val="21"/>
        </w:rPr>
      </w:pPr>
      <w:r>
        <w:rPr>
          <w:rFonts w:hint="eastAsia" w:ascii="宋体" w:hAnsi="宋体" w:cs="宋体"/>
          <w:szCs w:val="21"/>
        </w:rPr>
        <w:t>供应商名称：</w:t>
      </w:r>
      <w:r>
        <w:rPr>
          <w:rFonts w:hint="eastAsia" w:ascii="宋体" w:hAnsi="宋体" w:cs="宋体"/>
          <w:szCs w:val="21"/>
          <w:u w:val="single"/>
        </w:rPr>
        <w:t xml:space="preserve">                </w:t>
      </w:r>
    </w:p>
    <w:p w14:paraId="388628DC">
      <w:pPr>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r>
        <w:rPr>
          <w:rFonts w:hint="eastAsia" w:ascii="宋体" w:hAnsi="宋体" w:cs="宋体"/>
          <w:szCs w:val="21"/>
        </w:rPr>
        <w:t>_</w:t>
      </w:r>
    </w:p>
    <w:p w14:paraId="297E1762">
      <w:pPr>
        <w:spacing w:line="360" w:lineRule="auto"/>
        <w:rPr>
          <w:rFonts w:hint="eastAsia" w:ascii="宋体" w:hAnsi="宋体" w:cs="宋体"/>
          <w:szCs w:val="21"/>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4EB28E85">
      <w:pPr>
        <w:adjustRightInd w:val="0"/>
        <w:snapToGrid w:val="0"/>
        <w:spacing w:line="360" w:lineRule="auto"/>
        <w:jc w:val="left"/>
        <w:rPr>
          <w:rFonts w:hint="eastAsia" w:ascii="宋体" w:hAnsi="宋体" w:cs="宋体"/>
          <w:bCs/>
          <w:szCs w:val="21"/>
        </w:rPr>
      </w:pPr>
    </w:p>
    <w:p w14:paraId="70B0DD79">
      <w:pPr>
        <w:spacing w:line="360" w:lineRule="atLeast"/>
        <w:rPr>
          <w:rFonts w:ascii="宋体" w:hAnsi="宋体"/>
          <w:sz w:val="30"/>
          <w:szCs w:val="30"/>
        </w:rPr>
        <w:sectPr>
          <w:headerReference r:id="rId9" w:type="default"/>
          <w:footerReference r:id="rId10" w:type="default"/>
          <w:pgSz w:w="11906" w:h="16838"/>
          <w:pgMar w:top="1474" w:right="1474" w:bottom="1292" w:left="1588" w:header="851" w:footer="992" w:gutter="0"/>
          <w:cols w:space="720" w:num="1"/>
          <w:docGrid w:type="linesAndChars" w:linePitch="312" w:charSpace="0"/>
        </w:sectPr>
      </w:pPr>
    </w:p>
    <w:p w14:paraId="74AA3482"/>
    <w:p w14:paraId="769EDE5C">
      <w:pPr>
        <w:pStyle w:val="3"/>
        <w:spacing w:line="360" w:lineRule="exact"/>
        <w:jc w:val="center"/>
        <w:rPr>
          <w:rFonts w:ascii="宋体" w:hAnsi="宋体"/>
          <w:kern w:val="32"/>
          <w:sz w:val="32"/>
        </w:rPr>
      </w:pPr>
      <w:r>
        <w:rPr>
          <w:rFonts w:hint="eastAsia" w:ascii="宋体" w:hAnsi="宋体"/>
          <w:kern w:val="32"/>
          <w:sz w:val="32"/>
        </w:rPr>
        <w:t>五、技术/商务响应与偏离表</w:t>
      </w:r>
    </w:p>
    <w:tbl>
      <w:tblPr>
        <w:tblStyle w:val="4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2125"/>
        <w:gridCol w:w="1502"/>
        <w:gridCol w:w="1502"/>
        <w:gridCol w:w="1502"/>
        <w:gridCol w:w="1504"/>
      </w:tblGrid>
      <w:tr w14:paraId="21ED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879" w:type="dxa"/>
            <w:noWrap w:val="0"/>
            <w:vAlign w:val="center"/>
          </w:tcPr>
          <w:p w14:paraId="5E22547E">
            <w:pPr>
              <w:adjustRightInd w:val="0"/>
              <w:snapToGrid w:val="0"/>
              <w:ind w:left="-88" w:leftChars="-42"/>
              <w:jc w:val="center"/>
              <w:rPr>
                <w:rFonts w:hint="eastAsia" w:ascii="宋体" w:hAnsi="宋体" w:eastAsia="宋体" w:cs="宋体"/>
                <w:szCs w:val="21"/>
              </w:rPr>
            </w:pPr>
            <w:r>
              <w:rPr>
                <w:rFonts w:hint="eastAsia" w:ascii="宋体" w:hAnsi="宋体" w:eastAsia="宋体" w:cs="宋体"/>
                <w:bCs/>
                <w:color w:val="auto"/>
                <w:szCs w:val="21"/>
              </w:rPr>
              <w:t>序号</w:t>
            </w:r>
          </w:p>
        </w:tc>
        <w:tc>
          <w:tcPr>
            <w:tcW w:w="2125" w:type="dxa"/>
            <w:noWrap w:val="0"/>
            <w:vAlign w:val="center"/>
          </w:tcPr>
          <w:p w14:paraId="7395C9D3">
            <w:pPr>
              <w:adjustRightInd w:val="0"/>
              <w:snapToGrid w:val="0"/>
              <w:ind w:left="-88" w:leftChars="-42"/>
              <w:jc w:val="center"/>
              <w:rPr>
                <w:rFonts w:hint="eastAsia" w:ascii="宋体" w:hAnsi="宋体" w:eastAsia="宋体" w:cs="宋体"/>
                <w:szCs w:val="21"/>
              </w:rPr>
            </w:pPr>
            <w:r>
              <w:rPr>
                <w:rFonts w:hint="eastAsia" w:ascii="宋体" w:hAnsi="宋体" w:eastAsia="宋体" w:cs="宋体"/>
                <w:color w:val="auto"/>
                <w:szCs w:val="21"/>
              </w:rPr>
              <w:t>磋商文件条目号</w:t>
            </w:r>
          </w:p>
        </w:tc>
        <w:tc>
          <w:tcPr>
            <w:tcW w:w="1502" w:type="dxa"/>
            <w:noWrap w:val="0"/>
            <w:vAlign w:val="center"/>
          </w:tcPr>
          <w:p w14:paraId="0D8C18DA">
            <w:pPr>
              <w:adjustRightInd w:val="0"/>
              <w:snapToGrid w:val="0"/>
              <w:ind w:left="-88" w:leftChars="-42"/>
              <w:jc w:val="center"/>
              <w:rPr>
                <w:rFonts w:hint="eastAsia" w:ascii="宋体" w:hAnsi="宋体" w:eastAsia="宋体" w:cs="宋体"/>
                <w:szCs w:val="24"/>
              </w:rPr>
            </w:pPr>
            <w:r>
              <w:rPr>
                <w:rFonts w:hint="eastAsia" w:ascii="宋体" w:hAnsi="宋体" w:eastAsia="宋体" w:cs="宋体"/>
                <w:color w:val="auto"/>
                <w:szCs w:val="21"/>
              </w:rPr>
              <w:t>采购规格/商务条款</w:t>
            </w:r>
          </w:p>
        </w:tc>
        <w:tc>
          <w:tcPr>
            <w:tcW w:w="1502" w:type="dxa"/>
            <w:noWrap w:val="0"/>
            <w:vAlign w:val="center"/>
          </w:tcPr>
          <w:p w14:paraId="6BA03D6E">
            <w:pPr>
              <w:adjustRightInd w:val="0"/>
              <w:snapToGrid w:val="0"/>
              <w:ind w:left="-88" w:leftChars="-42"/>
              <w:jc w:val="center"/>
              <w:rPr>
                <w:rFonts w:hint="eastAsia" w:ascii="宋体" w:hAnsi="宋体" w:eastAsia="宋体" w:cs="宋体"/>
                <w:szCs w:val="24"/>
              </w:rPr>
            </w:pPr>
            <w:r>
              <w:rPr>
                <w:rFonts w:hint="eastAsia" w:ascii="宋体" w:hAnsi="宋体" w:eastAsia="宋体" w:cs="宋体"/>
                <w:color w:val="auto"/>
                <w:szCs w:val="21"/>
              </w:rPr>
              <w:t>响应文件的规格/商务条款</w:t>
            </w:r>
          </w:p>
        </w:tc>
        <w:tc>
          <w:tcPr>
            <w:tcW w:w="1502" w:type="dxa"/>
            <w:noWrap w:val="0"/>
            <w:vAlign w:val="center"/>
          </w:tcPr>
          <w:p w14:paraId="4186ADC6">
            <w:pPr>
              <w:adjustRightInd w:val="0"/>
              <w:snapToGrid w:val="0"/>
              <w:ind w:left="-88" w:leftChars="-42"/>
              <w:jc w:val="center"/>
              <w:rPr>
                <w:rFonts w:hint="eastAsia" w:ascii="宋体" w:hAnsi="宋体" w:eastAsia="宋体" w:cs="宋体"/>
                <w:szCs w:val="21"/>
              </w:rPr>
            </w:pPr>
            <w:r>
              <w:rPr>
                <w:rFonts w:hint="eastAsia" w:ascii="宋体" w:hAnsi="宋体" w:eastAsia="宋体" w:cs="宋体"/>
                <w:color w:val="auto"/>
                <w:szCs w:val="21"/>
              </w:rPr>
              <w:t>响应与偏离</w:t>
            </w:r>
          </w:p>
        </w:tc>
        <w:tc>
          <w:tcPr>
            <w:tcW w:w="1504" w:type="dxa"/>
            <w:noWrap w:val="0"/>
            <w:vAlign w:val="center"/>
          </w:tcPr>
          <w:p w14:paraId="23BAC918">
            <w:pPr>
              <w:adjustRightInd w:val="0"/>
              <w:snapToGrid w:val="0"/>
              <w:ind w:left="-88" w:leftChars="-42"/>
              <w:jc w:val="center"/>
              <w:rPr>
                <w:rFonts w:hint="eastAsia" w:ascii="宋体" w:hAnsi="宋体" w:eastAsia="宋体" w:cs="宋体"/>
                <w:szCs w:val="21"/>
              </w:rPr>
            </w:pPr>
            <w:r>
              <w:rPr>
                <w:rFonts w:hint="eastAsia" w:ascii="宋体" w:hAnsi="宋体" w:eastAsia="宋体" w:cs="宋体"/>
                <w:color w:val="auto"/>
                <w:szCs w:val="21"/>
              </w:rPr>
              <w:t>说明</w:t>
            </w:r>
          </w:p>
        </w:tc>
      </w:tr>
      <w:tr w14:paraId="0C8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879" w:type="dxa"/>
            <w:noWrap w:val="0"/>
            <w:vAlign w:val="center"/>
          </w:tcPr>
          <w:p w14:paraId="435D8204">
            <w:pPr>
              <w:pStyle w:val="283"/>
              <w:adjustRightInd w:val="0"/>
              <w:snapToGrid w:val="0"/>
              <w:spacing w:before="50" w:line="360" w:lineRule="auto"/>
              <w:ind w:left="-88" w:leftChars="-42"/>
              <w:jc w:val="center"/>
              <w:rPr>
                <w:rFonts w:ascii="宋体" w:hAnsi="宋体"/>
                <w:szCs w:val="21"/>
              </w:rPr>
            </w:pPr>
          </w:p>
        </w:tc>
        <w:tc>
          <w:tcPr>
            <w:tcW w:w="2125" w:type="dxa"/>
            <w:noWrap w:val="0"/>
            <w:vAlign w:val="center"/>
          </w:tcPr>
          <w:p w14:paraId="01EB3398">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2FA1AA97">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633218B2">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12339D98">
            <w:pPr>
              <w:pStyle w:val="283"/>
              <w:adjustRightInd w:val="0"/>
              <w:snapToGrid w:val="0"/>
              <w:spacing w:before="50" w:line="360" w:lineRule="auto"/>
              <w:ind w:left="-88" w:leftChars="-42"/>
              <w:jc w:val="center"/>
              <w:rPr>
                <w:rFonts w:ascii="宋体" w:hAnsi="宋体"/>
                <w:szCs w:val="21"/>
              </w:rPr>
            </w:pPr>
          </w:p>
        </w:tc>
        <w:tc>
          <w:tcPr>
            <w:tcW w:w="1504" w:type="dxa"/>
            <w:noWrap w:val="0"/>
            <w:vAlign w:val="center"/>
          </w:tcPr>
          <w:p w14:paraId="684BE25F">
            <w:pPr>
              <w:pStyle w:val="283"/>
              <w:adjustRightInd w:val="0"/>
              <w:snapToGrid w:val="0"/>
              <w:spacing w:before="50" w:line="360" w:lineRule="auto"/>
              <w:ind w:left="-88" w:leftChars="-42"/>
              <w:jc w:val="center"/>
              <w:rPr>
                <w:rFonts w:ascii="宋体" w:hAnsi="宋体"/>
                <w:szCs w:val="21"/>
              </w:rPr>
            </w:pPr>
          </w:p>
        </w:tc>
      </w:tr>
      <w:tr w14:paraId="7F27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879" w:type="dxa"/>
            <w:noWrap w:val="0"/>
            <w:vAlign w:val="center"/>
          </w:tcPr>
          <w:p w14:paraId="24E8BB4D">
            <w:pPr>
              <w:pStyle w:val="283"/>
              <w:adjustRightInd w:val="0"/>
              <w:snapToGrid w:val="0"/>
              <w:spacing w:before="50" w:line="360" w:lineRule="auto"/>
              <w:ind w:left="-88" w:leftChars="-42"/>
              <w:jc w:val="center"/>
              <w:rPr>
                <w:rFonts w:ascii="宋体" w:hAnsi="宋体"/>
                <w:szCs w:val="21"/>
              </w:rPr>
            </w:pPr>
          </w:p>
        </w:tc>
        <w:tc>
          <w:tcPr>
            <w:tcW w:w="2125" w:type="dxa"/>
            <w:noWrap w:val="0"/>
            <w:vAlign w:val="center"/>
          </w:tcPr>
          <w:p w14:paraId="5A1D13AA">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17F9ED90">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66256DF4">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0C714BF7">
            <w:pPr>
              <w:pStyle w:val="283"/>
              <w:adjustRightInd w:val="0"/>
              <w:snapToGrid w:val="0"/>
              <w:spacing w:before="50" w:line="360" w:lineRule="auto"/>
              <w:ind w:left="-88" w:leftChars="-42"/>
              <w:jc w:val="center"/>
              <w:rPr>
                <w:rFonts w:ascii="宋体" w:hAnsi="宋体"/>
                <w:szCs w:val="21"/>
              </w:rPr>
            </w:pPr>
          </w:p>
        </w:tc>
        <w:tc>
          <w:tcPr>
            <w:tcW w:w="1504" w:type="dxa"/>
            <w:noWrap w:val="0"/>
            <w:vAlign w:val="center"/>
          </w:tcPr>
          <w:p w14:paraId="3A65FC8B">
            <w:pPr>
              <w:pStyle w:val="283"/>
              <w:adjustRightInd w:val="0"/>
              <w:snapToGrid w:val="0"/>
              <w:spacing w:before="50" w:line="360" w:lineRule="auto"/>
              <w:ind w:left="-88" w:leftChars="-42"/>
              <w:jc w:val="center"/>
              <w:rPr>
                <w:rFonts w:ascii="宋体" w:hAnsi="宋体"/>
                <w:szCs w:val="21"/>
              </w:rPr>
            </w:pPr>
          </w:p>
        </w:tc>
      </w:tr>
      <w:tr w14:paraId="5C89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879" w:type="dxa"/>
            <w:noWrap w:val="0"/>
            <w:vAlign w:val="center"/>
          </w:tcPr>
          <w:p w14:paraId="7F061924">
            <w:pPr>
              <w:pStyle w:val="283"/>
              <w:adjustRightInd w:val="0"/>
              <w:snapToGrid w:val="0"/>
              <w:spacing w:before="50" w:line="360" w:lineRule="auto"/>
              <w:ind w:left="-88" w:leftChars="-42"/>
              <w:jc w:val="center"/>
              <w:rPr>
                <w:rFonts w:ascii="宋体" w:hAnsi="宋体"/>
                <w:szCs w:val="21"/>
              </w:rPr>
            </w:pPr>
          </w:p>
        </w:tc>
        <w:tc>
          <w:tcPr>
            <w:tcW w:w="2125" w:type="dxa"/>
            <w:noWrap w:val="0"/>
            <w:vAlign w:val="center"/>
          </w:tcPr>
          <w:p w14:paraId="79B80ECF">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50A80AA6">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1D059727">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11545EA2">
            <w:pPr>
              <w:pStyle w:val="283"/>
              <w:adjustRightInd w:val="0"/>
              <w:snapToGrid w:val="0"/>
              <w:spacing w:before="50" w:line="360" w:lineRule="auto"/>
              <w:ind w:left="-88" w:leftChars="-42"/>
              <w:jc w:val="center"/>
              <w:rPr>
                <w:rFonts w:ascii="宋体" w:hAnsi="宋体"/>
                <w:szCs w:val="21"/>
              </w:rPr>
            </w:pPr>
          </w:p>
        </w:tc>
        <w:tc>
          <w:tcPr>
            <w:tcW w:w="1504" w:type="dxa"/>
            <w:noWrap w:val="0"/>
            <w:vAlign w:val="center"/>
          </w:tcPr>
          <w:p w14:paraId="6509C772">
            <w:pPr>
              <w:pStyle w:val="283"/>
              <w:adjustRightInd w:val="0"/>
              <w:snapToGrid w:val="0"/>
              <w:spacing w:before="50" w:line="360" w:lineRule="auto"/>
              <w:ind w:left="-88" w:leftChars="-42"/>
              <w:jc w:val="center"/>
              <w:rPr>
                <w:rFonts w:ascii="宋体" w:hAnsi="宋体"/>
                <w:szCs w:val="21"/>
              </w:rPr>
            </w:pPr>
          </w:p>
        </w:tc>
      </w:tr>
      <w:tr w14:paraId="3BFB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879" w:type="dxa"/>
            <w:noWrap w:val="0"/>
            <w:vAlign w:val="center"/>
          </w:tcPr>
          <w:p w14:paraId="01D0B98C">
            <w:pPr>
              <w:pStyle w:val="283"/>
              <w:adjustRightInd w:val="0"/>
              <w:snapToGrid w:val="0"/>
              <w:spacing w:before="50" w:line="360" w:lineRule="auto"/>
              <w:ind w:left="-88" w:leftChars="-42"/>
              <w:jc w:val="center"/>
              <w:rPr>
                <w:rFonts w:ascii="宋体" w:hAnsi="宋体"/>
                <w:szCs w:val="21"/>
              </w:rPr>
            </w:pPr>
          </w:p>
        </w:tc>
        <w:tc>
          <w:tcPr>
            <w:tcW w:w="2125" w:type="dxa"/>
            <w:noWrap w:val="0"/>
            <w:vAlign w:val="center"/>
          </w:tcPr>
          <w:p w14:paraId="5950504F">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0693CA77">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49D109FF">
            <w:pPr>
              <w:pStyle w:val="283"/>
              <w:adjustRightInd w:val="0"/>
              <w:snapToGrid w:val="0"/>
              <w:spacing w:before="50" w:line="360" w:lineRule="auto"/>
              <w:ind w:left="-88" w:leftChars="-42"/>
              <w:jc w:val="center"/>
              <w:rPr>
                <w:rFonts w:ascii="宋体" w:hAnsi="宋体"/>
                <w:szCs w:val="21"/>
              </w:rPr>
            </w:pPr>
          </w:p>
        </w:tc>
        <w:tc>
          <w:tcPr>
            <w:tcW w:w="1502" w:type="dxa"/>
            <w:noWrap w:val="0"/>
            <w:vAlign w:val="center"/>
          </w:tcPr>
          <w:p w14:paraId="56F6C2B3">
            <w:pPr>
              <w:pStyle w:val="283"/>
              <w:adjustRightInd w:val="0"/>
              <w:snapToGrid w:val="0"/>
              <w:spacing w:before="50" w:line="360" w:lineRule="auto"/>
              <w:ind w:left="-88" w:leftChars="-42"/>
              <w:jc w:val="center"/>
              <w:rPr>
                <w:rFonts w:ascii="宋体" w:hAnsi="宋体"/>
                <w:szCs w:val="21"/>
              </w:rPr>
            </w:pPr>
          </w:p>
        </w:tc>
        <w:tc>
          <w:tcPr>
            <w:tcW w:w="1504" w:type="dxa"/>
            <w:noWrap w:val="0"/>
            <w:vAlign w:val="center"/>
          </w:tcPr>
          <w:p w14:paraId="6A3F2381">
            <w:pPr>
              <w:pStyle w:val="283"/>
              <w:adjustRightInd w:val="0"/>
              <w:snapToGrid w:val="0"/>
              <w:spacing w:before="50" w:line="360" w:lineRule="auto"/>
              <w:ind w:left="-88" w:leftChars="-42"/>
              <w:jc w:val="center"/>
              <w:rPr>
                <w:rFonts w:ascii="宋体" w:hAnsi="宋体"/>
                <w:szCs w:val="21"/>
              </w:rPr>
            </w:pPr>
          </w:p>
        </w:tc>
      </w:tr>
    </w:tbl>
    <w:p w14:paraId="0E0F7390">
      <w:pPr>
        <w:adjustRightInd w:val="0"/>
        <w:snapToGrid w:val="0"/>
        <w:spacing w:line="360" w:lineRule="auto"/>
        <w:ind w:left="-88" w:leftChars="-42"/>
        <w:rPr>
          <w:rFonts w:hint="eastAsia" w:ascii="宋体" w:hAnsi="宋体" w:eastAsia="宋体" w:cs="宋体"/>
          <w:color w:val="auto"/>
          <w:szCs w:val="21"/>
        </w:rPr>
      </w:pPr>
      <w:r>
        <w:rPr>
          <w:rFonts w:hint="eastAsia" w:ascii="宋体" w:hAnsi="宋体" w:eastAsia="宋体" w:cs="宋体"/>
          <w:color w:val="auto"/>
          <w:szCs w:val="21"/>
        </w:rPr>
        <w:t>说明：</w:t>
      </w:r>
    </w:p>
    <w:p w14:paraId="23CD17A4">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1、“响应与偏离”应注明“响应”或“偏离”。</w:t>
      </w:r>
    </w:p>
    <w:p w14:paraId="101AC0A0">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2、属磋商文件规定可能变动的内容在“说明”栏中注明。</w:t>
      </w:r>
    </w:p>
    <w:p w14:paraId="365E929F">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3、供应商应当在商务技术响应偏离表中对第四章采购需求的内容进行回应，作出承诺及说明，否则视为无效响应。</w:t>
      </w:r>
    </w:p>
    <w:p w14:paraId="45DE02F9">
      <w:pPr>
        <w:rPr>
          <w:rFonts w:ascii="宋体" w:hAnsi="宋体"/>
        </w:rPr>
      </w:pPr>
    </w:p>
    <w:p w14:paraId="4755C7D1">
      <w:pPr>
        <w:rPr>
          <w:rFonts w:ascii="宋体" w:hAnsi="宋体"/>
        </w:rPr>
      </w:pPr>
    </w:p>
    <w:p w14:paraId="30BA14B1">
      <w:pPr>
        <w:rPr>
          <w:rFonts w:ascii="宋体" w:hAnsi="宋体"/>
          <w:szCs w:val="21"/>
        </w:rPr>
      </w:pPr>
      <w:r>
        <w:rPr>
          <w:rFonts w:hint="eastAsia" w:ascii="宋体" w:hAnsi="宋体"/>
        </w:rPr>
        <w:t>供应商名称：</w:t>
      </w:r>
      <w:r>
        <w:rPr>
          <w:rFonts w:hint="eastAsia" w:ascii="宋体" w:hAnsi="宋体"/>
          <w:u w:val="single"/>
        </w:rPr>
        <w:t xml:space="preserve">         </w:t>
      </w:r>
      <w:r>
        <w:rPr>
          <w:rFonts w:hint="eastAsia" w:ascii="宋体" w:hAnsi="宋体"/>
          <w:szCs w:val="21"/>
          <w:u w:val="single"/>
        </w:rPr>
        <w:t xml:space="preserve">          </w:t>
      </w:r>
    </w:p>
    <w:p w14:paraId="04E98281">
      <w:pPr>
        <w:rPr>
          <w:rFonts w:ascii="宋体" w:hAnsi="宋体"/>
        </w:rPr>
      </w:pPr>
      <w:r>
        <w:rPr>
          <w:rFonts w:hint="eastAsia" w:ascii="宋体" w:hAnsi="宋体"/>
        </w:rPr>
        <w:t>法定代表人或其委托代理人(签字)：</w:t>
      </w:r>
      <w:r>
        <w:rPr>
          <w:rFonts w:hint="eastAsia" w:ascii="宋体" w:hAnsi="宋体"/>
          <w:u w:val="single"/>
        </w:rPr>
        <w:t xml:space="preserve">                   </w:t>
      </w:r>
    </w:p>
    <w:p w14:paraId="17811139">
      <w:pPr>
        <w:rPr>
          <w:rFonts w:ascii="宋体" w:hAnsi="宋体"/>
        </w:rPr>
      </w:pPr>
      <w:r>
        <w:rPr>
          <w:rFonts w:hint="eastAsia" w:ascii="宋体" w:hAnsi="宋体"/>
        </w:rPr>
        <w:t xml:space="preserve">日          期： </w:t>
      </w:r>
      <w:r>
        <w:rPr>
          <w:rFonts w:hint="eastAsia" w:ascii="宋体" w:hAnsi="宋体"/>
          <w:u w:val="single"/>
        </w:rPr>
        <w:t xml:space="preserve">     </w:t>
      </w:r>
      <w:r>
        <w:rPr>
          <w:rFonts w:hint="eastAsia" w:ascii="宋体" w:hAnsi="宋体"/>
        </w:rPr>
        <w:t xml:space="preserve"> 年 </w:t>
      </w:r>
      <w:r>
        <w:rPr>
          <w:rFonts w:hint="eastAsia" w:ascii="宋体" w:hAnsi="宋体"/>
          <w:u w:val="single"/>
        </w:rPr>
        <w:t xml:space="preserve">    </w:t>
      </w:r>
      <w:r>
        <w:rPr>
          <w:rFonts w:hint="eastAsia" w:ascii="宋体" w:hAnsi="宋体"/>
        </w:rPr>
        <w:t xml:space="preserve"> 月 </w:t>
      </w:r>
      <w:r>
        <w:rPr>
          <w:rFonts w:hint="eastAsia" w:ascii="宋体" w:hAnsi="宋体"/>
          <w:u w:val="single"/>
        </w:rPr>
        <w:t xml:space="preserve">   </w:t>
      </w:r>
      <w:r>
        <w:rPr>
          <w:rFonts w:hint="eastAsia" w:ascii="宋体" w:hAnsi="宋体"/>
        </w:rPr>
        <w:t xml:space="preserve"> 日</w:t>
      </w:r>
    </w:p>
    <w:p w14:paraId="37A3C7A0">
      <w:pPr>
        <w:adjustRightInd w:val="0"/>
        <w:snapToGrid w:val="0"/>
        <w:spacing w:line="360" w:lineRule="auto"/>
        <w:rPr>
          <w:rFonts w:ascii="宋体" w:hAnsi="宋体"/>
          <w:szCs w:val="21"/>
        </w:rPr>
      </w:pPr>
    </w:p>
    <w:p w14:paraId="77BDCD2C">
      <w:pPr>
        <w:tabs>
          <w:tab w:val="left" w:pos="3600"/>
        </w:tabs>
        <w:adjustRightInd w:val="0"/>
        <w:snapToGrid w:val="0"/>
        <w:jc w:val="center"/>
        <w:rPr>
          <w:rFonts w:ascii="宋体" w:hAnsi="宋体"/>
          <w:b/>
          <w:sz w:val="32"/>
          <w:szCs w:val="32"/>
        </w:rPr>
      </w:pPr>
    </w:p>
    <w:p w14:paraId="3EDB569D">
      <w:pPr>
        <w:tabs>
          <w:tab w:val="left" w:pos="3600"/>
        </w:tabs>
        <w:adjustRightInd w:val="0"/>
        <w:snapToGrid w:val="0"/>
        <w:jc w:val="center"/>
        <w:rPr>
          <w:rFonts w:ascii="宋体" w:hAnsi="宋体"/>
          <w:b/>
          <w:sz w:val="32"/>
          <w:szCs w:val="32"/>
        </w:rPr>
      </w:pPr>
    </w:p>
    <w:p w14:paraId="2578D013">
      <w:pPr>
        <w:tabs>
          <w:tab w:val="left" w:pos="3600"/>
        </w:tabs>
        <w:adjustRightInd w:val="0"/>
        <w:snapToGrid w:val="0"/>
        <w:jc w:val="center"/>
        <w:rPr>
          <w:rFonts w:ascii="宋体" w:hAnsi="宋体"/>
          <w:b/>
          <w:sz w:val="32"/>
          <w:szCs w:val="32"/>
        </w:rPr>
      </w:pPr>
    </w:p>
    <w:p w14:paraId="3692B4DB">
      <w:pPr>
        <w:tabs>
          <w:tab w:val="left" w:pos="3600"/>
        </w:tabs>
        <w:adjustRightInd w:val="0"/>
        <w:snapToGrid w:val="0"/>
        <w:jc w:val="center"/>
        <w:rPr>
          <w:rFonts w:ascii="宋体" w:hAnsi="宋体"/>
          <w:b/>
          <w:sz w:val="32"/>
          <w:szCs w:val="32"/>
        </w:rPr>
      </w:pPr>
    </w:p>
    <w:p w14:paraId="73372D6F">
      <w:pPr>
        <w:tabs>
          <w:tab w:val="left" w:pos="3600"/>
        </w:tabs>
        <w:adjustRightInd w:val="0"/>
        <w:snapToGrid w:val="0"/>
        <w:jc w:val="center"/>
        <w:rPr>
          <w:rFonts w:ascii="宋体" w:hAnsi="宋体"/>
          <w:b/>
          <w:sz w:val="32"/>
          <w:szCs w:val="32"/>
        </w:rPr>
      </w:pPr>
    </w:p>
    <w:p w14:paraId="10A83765">
      <w:pPr>
        <w:tabs>
          <w:tab w:val="left" w:pos="3600"/>
        </w:tabs>
        <w:adjustRightInd w:val="0"/>
        <w:snapToGrid w:val="0"/>
        <w:jc w:val="center"/>
        <w:rPr>
          <w:rFonts w:ascii="宋体" w:hAnsi="宋体"/>
          <w:b/>
          <w:sz w:val="32"/>
          <w:szCs w:val="32"/>
        </w:rPr>
      </w:pPr>
    </w:p>
    <w:p w14:paraId="78CDD98A">
      <w:pPr>
        <w:tabs>
          <w:tab w:val="left" w:pos="3600"/>
        </w:tabs>
        <w:adjustRightInd w:val="0"/>
        <w:snapToGrid w:val="0"/>
        <w:jc w:val="center"/>
        <w:rPr>
          <w:rFonts w:ascii="宋体" w:hAnsi="宋体"/>
          <w:b/>
          <w:sz w:val="32"/>
          <w:szCs w:val="32"/>
        </w:rPr>
      </w:pPr>
    </w:p>
    <w:p w14:paraId="01F558B6">
      <w:pPr>
        <w:tabs>
          <w:tab w:val="left" w:pos="3600"/>
        </w:tabs>
        <w:adjustRightInd w:val="0"/>
        <w:snapToGrid w:val="0"/>
        <w:jc w:val="center"/>
        <w:rPr>
          <w:rFonts w:ascii="宋体" w:hAnsi="宋体"/>
          <w:b/>
          <w:sz w:val="32"/>
          <w:szCs w:val="32"/>
        </w:rPr>
      </w:pPr>
    </w:p>
    <w:p w14:paraId="2E737C02">
      <w:pPr>
        <w:pStyle w:val="17"/>
        <w:rPr>
          <w:rFonts w:ascii="宋体" w:hAnsi="宋体"/>
          <w:b/>
          <w:sz w:val="32"/>
          <w:szCs w:val="32"/>
        </w:rPr>
      </w:pPr>
    </w:p>
    <w:p w14:paraId="4E638458">
      <w:pPr>
        <w:rPr>
          <w:rFonts w:ascii="宋体" w:hAnsi="宋体"/>
          <w:b/>
          <w:sz w:val="32"/>
          <w:szCs w:val="32"/>
        </w:rPr>
      </w:pPr>
    </w:p>
    <w:p w14:paraId="30EF119D">
      <w:pPr>
        <w:pStyle w:val="17"/>
        <w:rPr>
          <w:rFonts w:ascii="宋体" w:hAnsi="宋体"/>
          <w:b/>
          <w:sz w:val="32"/>
          <w:szCs w:val="32"/>
        </w:rPr>
      </w:pPr>
    </w:p>
    <w:p w14:paraId="10CA0737"/>
    <w:p w14:paraId="6E37FD22">
      <w:pPr>
        <w:tabs>
          <w:tab w:val="left" w:pos="3600"/>
        </w:tabs>
        <w:adjustRightInd w:val="0"/>
        <w:snapToGrid w:val="0"/>
        <w:jc w:val="center"/>
        <w:rPr>
          <w:rFonts w:ascii="宋体" w:hAnsi="宋体"/>
          <w:b/>
          <w:sz w:val="32"/>
          <w:szCs w:val="32"/>
        </w:rPr>
      </w:pPr>
    </w:p>
    <w:p w14:paraId="2698419D">
      <w:pPr>
        <w:tabs>
          <w:tab w:val="left" w:pos="3600"/>
        </w:tabs>
        <w:adjustRightInd w:val="0"/>
        <w:snapToGrid w:val="0"/>
        <w:rPr>
          <w:rFonts w:ascii="宋体" w:hAnsi="宋体"/>
          <w:b/>
          <w:sz w:val="32"/>
          <w:szCs w:val="32"/>
        </w:rPr>
      </w:pPr>
    </w:p>
    <w:p w14:paraId="269B6C5A">
      <w:pPr>
        <w:tabs>
          <w:tab w:val="left" w:pos="3600"/>
        </w:tabs>
        <w:adjustRightInd w:val="0"/>
        <w:snapToGrid w:val="0"/>
        <w:rPr>
          <w:rFonts w:ascii="宋体" w:hAnsi="宋体"/>
          <w:b/>
          <w:sz w:val="32"/>
          <w:szCs w:val="32"/>
        </w:rPr>
      </w:pPr>
    </w:p>
    <w:p w14:paraId="3928E7FE">
      <w:pPr>
        <w:pStyle w:val="3"/>
        <w:spacing w:line="360" w:lineRule="exact"/>
        <w:jc w:val="center"/>
        <w:rPr>
          <w:rFonts w:ascii="宋体" w:hAnsi="宋体"/>
          <w:kern w:val="32"/>
          <w:sz w:val="32"/>
        </w:rPr>
      </w:pPr>
      <w:r>
        <w:rPr>
          <w:rFonts w:hint="eastAsia" w:ascii="宋体" w:hAnsi="宋体"/>
          <w:kern w:val="32"/>
          <w:sz w:val="32"/>
        </w:rPr>
        <w:t>六、提供享受政府采购政策的证明材料和清单表</w:t>
      </w:r>
    </w:p>
    <w:p w14:paraId="6F84027D">
      <w:pPr>
        <w:tabs>
          <w:tab w:val="left" w:pos="3600"/>
        </w:tabs>
        <w:adjustRightInd w:val="0"/>
        <w:snapToGrid w:val="0"/>
        <w:jc w:val="center"/>
        <w:rPr>
          <w:rFonts w:ascii="宋体" w:hAnsi="宋体"/>
          <w:b/>
          <w:sz w:val="32"/>
          <w:szCs w:val="32"/>
        </w:rPr>
      </w:pPr>
    </w:p>
    <w:p w14:paraId="4DD1C6E0">
      <w:pPr>
        <w:keepNext/>
        <w:keepLines/>
        <w:widowControl w:val="0"/>
        <w:bidi w:val="0"/>
        <w:spacing w:before="260" w:after="260" w:line="416" w:lineRule="auto"/>
        <w:jc w:val="center"/>
        <w:outlineLvl w:val="2"/>
        <w:rPr>
          <w:rFonts w:hint="eastAsia" w:ascii="宋体" w:hAnsi="宋体" w:cs="宋体"/>
          <w:b/>
          <w:bCs/>
          <w:sz w:val="32"/>
          <w:szCs w:val="32"/>
        </w:rPr>
      </w:pPr>
      <w:r>
        <w:rPr>
          <w:rFonts w:hint="eastAsia" w:ascii="Times New Roman" w:hAnsi="Times New Roman" w:eastAsia="宋体" w:cs="Times New Roman"/>
          <w:b/>
          <w:bCs/>
          <w:kern w:val="0"/>
          <w:sz w:val="30"/>
          <w:szCs w:val="32"/>
          <w:lang w:val="en-US" w:eastAsia="zh-CN" w:bidi="ar-SA"/>
        </w:rPr>
        <w:t>附件9-1</w:t>
      </w:r>
      <w:r>
        <w:rPr>
          <w:rFonts w:hint="eastAsia" w:cs="Times New Roman"/>
          <w:b/>
          <w:bCs/>
          <w:kern w:val="0"/>
          <w:sz w:val="30"/>
          <w:szCs w:val="32"/>
          <w:lang w:val="en-US" w:eastAsia="zh-CN" w:bidi="ar-SA"/>
        </w:rPr>
        <w:t xml:space="preserve"> </w:t>
      </w:r>
      <w:r>
        <w:rPr>
          <w:rFonts w:hint="eastAsia" w:ascii="宋体" w:hAnsi="宋体" w:cs="宋体"/>
          <w:b/>
          <w:bCs/>
          <w:sz w:val="32"/>
          <w:szCs w:val="32"/>
        </w:rPr>
        <w:t xml:space="preserve">中小企业声明函（工程、服务） </w:t>
      </w:r>
    </w:p>
    <w:p w14:paraId="3555236F">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本公司（联合体）郑重声明，根据《政府采购促进中小 企业发展管理办法》（财库﹝2020﹞46 号）的规定，本公司 （联合体）参加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（项目名称及包号）</w:t>
      </w:r>
      <w:r>
        <w:rPr>
          <w:rFonts w:hint="eastAsia" w:ascii="宋体" w:hAnsi="宋体" w:cs="宋体"/>
          <w:szCs w:val="21"/>
        </w:rPr>
        <w:t>采购活动，工程的施工单位全部为符合政策要求的中小企业（或者：服务 全部由符合政策要求的中小企业承接）。相关企业（含联合 体中的中小企业、签订分包意向协议的中小企业）的具体情 况如下：</w:t>
      </w:r>
    </w:p>
    <w:p w14:paraId="27F9A261">
      <w:pPr>
        <w:widowControl/>
        <w:numPr>
          <w:ilvl w:val="0"/>
          <w:numId w:val="3"/>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u w:val="single"/>
        </w:rPr>
        <w:t xml:space="preserve">（标的名称）      </w:t>
      </w:r>
      <w:r>
        <w:rPr>
          <w:rFonts w:hint="eastAsia" w:ascii="宋体" w:hAnsi="宋体" w:cs="宋体"/>
          <w:szCs w:val="21"/>
        </w:rPr>
        <w:t>，属于</w:t>
      </w:r>
      <w:r>
        <w:rPr>
          <w:rFonts w:hint="eastAsia" w:ascii="宋体" w:hAnsi="宋体" w:cs="宋体"/>
          <w:szCs w:val="21"/>
          <w:u w:val="single"/>
        </w:rPr>
        <w:t xml:space="preserve">         （采购文件中明确的所属行业）</w:t>
      </w:r>
      <w:r>
        <w:rPr>
          <w:rFonts w:hint="eastAsia" w:ascii="宋体" w:hAnsi="宋体" w:cs="宋体"/>
          <w:szCs w:val="21"/>
        </w:rPr>
        <w:t>； 承建（承接）企业为</w:t>
      </w:r>
      <w:r>
        <w:rPr>
          <w:rFonts w:hint="eastAsia" w:ascii="宋体" w:hAnsi="宋体" w:cs="宋体"/>
          <w:szCs w:val="21"/>
          <w:u w:val="single"/>
        </w:rPr>
        <w:t xml:space="preserve">          （企业名称），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 小型企业、微型企业）</w:t>
      </w:r>
      <w:r>
        <w:rPr>
          <w:rFonts w:hint="eastAsia" w:ascii="宋体" w:hAnsi="宋体" w:cs="宋体"/>
          <w:szCs w:val="21"/>
        </w:rPr>
        <w:t xml:space="preserve">； </w:t>
      </w:r>
    </w:p>
    <w:p w14:paraId="04B71431">
      <w:pPr>
        <w:widowControl/>
        <w:numPr>
          <w:ilvl w:val="0"/>
          <w:numId w:val="3"/>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（采购文件中明确的所属行业）</w:t>
      </w:r>
      <w:r>
        <w:rPr>
          <w:rFonts w:hint="eastAsia" w:ascii="宋体" w:hAnsi="宋体" w:cs="宋体"/>
          <w:szCs w:val="21"/>
        </w:rPr>
        <w:t>； 承建（承接）企业为</w:t>
      </w:r>
      <w:r>
        <w:rPr>
          <w:rFonts w:hint="eastAsia" w:ascii="宋体" w:hAnsi="宋体" w:cs="宋体"/>
          <w:szCs w:val="21"/>
          <w:u w:val="single"/>
        </w:rPr>
        <w:t xml:space="preserve">          （企业名称）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 小型企业、微型企业）</w:t>
      </w:r>
      <w:r>
        <w:rPr>
          <w:rFonts w:hint="eastAsia" w:ascii="宋体" w:hAnsi="宋体" w:cs="宋体"/>
          <w:szCs w:val="21"/>
        </w:rPr>
        <w:t xml:space="preserve">； </w:t>
      </w:r>
    </w:p>
    <w:p w14:paraId="68E5E0FF">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w:t>
      </w:r>
    </w:p>
    <w:p w14:paraId="24414822">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以上企业，不属于大企业的分支机构，不存在控股股东为大企业的情形，也不存在与大企业的负责人为同一人的情形。本企业对上述声明内容的真实性负责。如有虚假，将依 法承担相应责任。 </w:t>
      </w:r>
    </w:p>
    <w:p w14:paraId="6446463F">
      <w:pPr>
        <w:widowControl/>
        <w:adjustRightInd w:val="0"/>
        <w:snapToGrid w:val="0"/>
        <w:spacing w:line="360" w:lineRule="auto"/>
        <w:ind w:firstLine="420" w:firstLineChars="200"/>
        <w:jc w:val="right"/>
        <w:rPr>
          <w:rFonts w:hint="eastAsia" w:ascii="宋体" w:hAnsi="宋体" w:cs="宋体"/>
          <w:szCs w:val="21"/>
        </w:rPr>
      </w:pPr>
    </w:p>
    <w:p w14:paraId="388C99FB">
      <w:pPr>
        <w:widowControl/>
        <w:adjustRightInd w:val="0"/>
        <w:snapToGrid w:val="0"/>
        <w:spacing w:line="360" w:lineRule="auto"/>
        <w:ind w:firstLine="420" w:firstLineChars="200"/>
        <w:jc w:val="center"/>
        <w:rPr>
          <w:rFonts w:hint="eastAsia" w:ascii="宋体" w:hAnsi="宋体" w:cs="宋体"/>
          <w:szCs w:val="21"/>
        </w:rPr>
      </w:pPr>
      <w:r>
        <w:rPr>
          <w:rFonts w:hint="eastAsia" w:ascii="宋体" w:hAnsi="宋体" w:cs="宋体"/>
          <w:szCs w:val="21"/>
        </w:rPr>
        <w:t xml:space="preserve">企业名称（盖章）： </w:t>
      </w:r>
    </w:p>
    <w:p w14:paraId="128B6F96">
      <w:pPr>
        <w:adjustRightInd w:val="0"/>
        <w:snapToGrid w:val="0"/>
        <w:spacing w:line="360" w:lineRule="auto"/>
        <w:jc w:val="center"/>
        <w:rPr>
          <w:rFonts w:hint="eastAsia" w:ascii="宋体" w:hAnsi="宋体" w:cs="宋体"/>
          <w:szCs w:val="21"/>
        </w:rPr>
      </w:pPr>
      <w:r>
        <w:rPr>
          <w:rFonts w:hint="eastAsia" w:ascii="宋体" w:hAnsi="宋体" w:cs="宋体"/>
          <w:szCs w:val="21"/>
        </w:rPr>
        <w:t xml:space="preserve">                  法定代表人或其委托代理人(签字)：</w:t>
      </w:r>
    </w:p>
    <w:p w14:paraId="0AADF017">
      <w:pPr>
        <w:widowControl/>
        <w:adjustRightInd w:val="0"/>
        <w:snapToGrid w:val="0"/>
        <w:spacing w:line="360" w:lineRule="auto"/>
        <w:ind w:firstLine="420" w:firstLineChars="200"/>
        <w:jc w:val="center"/>
        <w:rPr>
          <w:rFonts w:hint="eastAsia" w:ascii="宋体" w:hAnsi="宋体" w:cs="宋体"/>
          <w:szCs w:val="21"/>
        </w:rPr>
      </w:pPr>
      <w:r>
        <w:rPr>
          <w:rFonts w:hint="eastAsia" w:ascii="宋体" w:hAnsi="宋体" w:cs="宋体"/>
          <w:szCs w:val="21"/>
        </w:rPr>
        <w:t>日 期：</w:t>
      </w:r>
    </w:p>
    <w:p w14:paraId="368158EB">
      <w:pPr>
        <w:rPr>
          <w:rFonts w:hint="eastAsia" w:ascii="宋体" w:hAnsi="宋体" w:cs="宋体"/>
          <w:sz w:val="30"/>
          <w:szCs w:val="30"/>
        </w:rPr>
      </w:pPr>
    </w:p>
    <w:p w14:paraId="2D99F294">
      <w:pPr>
        <w:rPr>
          <w:rFonts w:hint="eastAsia" w:ascii="宋体" w:hAnsi="宋体" w:cs="宋体"/>
          <w:sz w:val="30"/>
          <w:szCs w:val="30"/>
        </w:rPr>
      </w:pPr>
    </w:p>
    <w:p w14:paraId="7444769F">
      <w:pPr>
        <w:widowControl/>
        <w:adjustRightInd w:val="0"/>
        <w:snapToGrid w:val="0"/>
        <w:spacing w:line="360" w:lineRule="auto"/>
        <w:ind w:firstLine="420" w:firstLineChars="200"/>
        <w:jc w:val="left"/>
        <w:rPr>
          <w:rFonts w:ascii="宋体" w:hAnsi="宋体" w:eastAsia="宋体" w:cs="宋体"/>
          <w:b/>
          <w:spacing w:val="6"/>
          <w:kern w:val="0"/>
          <w:szCs w:val="21"/>
          <w:u w:val="single"/>
        </w:rPr>
      </w:pPr>
      <w:r>
        <w:rPr>
          <w:rFonts w:ascii="仿宋_GB2312" w:hAnsi="宋体" w:eastAsia="仿宋_GB2312" w:cs="Times New Roman"/>
          <w:bCs/>
          <w:szCs w:val="21"/>
        </w:rPr>
        <w:br w:type="page"/>
      </w:r>
    </w:p>
    <w:p w14:paraId="297ED6A9">
      <w:pPr>
        <w:keepNext/>
        <w:keepLines/>
        <w:widowControl w:val="0"/>
        <w:bidi w:val="0"/>
        <w:spacing w:before="260" w:after="260" w:line="416" w:lineRule="auto"/>
        <w:jc w:val="center"/>
        <w:outlineLvl w:val="2"/>
        <w:rPr>
          <w:rFonts w:ascii="Times New Roman" w:hAnsi="Times New Roman" w:eastAsia="宋体" w:cs="Times New Roman"/>
          <w:b/>
          <w:bCs/>
          <w:kern w:val="0"/>
          <w:sz w:val="30"/>
          <w:szCs w:val="32"/>
          <w:lang w:val="en-US" w:eastAsia="zh-CN" w:bidi="ar-SA"/>
        </w:rPr>
      </w:pPr>
      <w:r>
        <w:rPr>
          <w:rFonts w:ascii="Times New Roman" w:hAnsi="Times New Roman" w:eastAsia="宋体" w:cs="Times New Roman"/>
          <w:b/>
          <w:bCs/>
          <w:kern w:val="0"/>
          <w:sz w:val="30"/>
          <w:szCs w:val="32"/>
          <w:lang w:val="en-US" w:eastAsia="zh-CN" w:bidi="ar-SA"/>
        </w:rPr>
        <w:t>附件</w:t>
      </w:r>
      <w:r>
        <w:rPr>
          <w:rFonts w:hint="eastAsia" w:ascii="Times New Roman" w:hAnsi="Times New Roman" w:eastAsia="宋体" w:cs="Times New Roman"/>
          <w:b/>
          <w:bCs/>
          <w:kern w:val="0"/>
          <w:sz w:val="30"/>
          <w:szCs w:val="32"/>
          <w:lang w:val="en-US" w:eastAsia="zh-CN" w:bidi="ar-SA"/>
        </w:rPr>
        <w:t>9-2残疾人福利性单位声明函</w:t>
      </w:r>
    </w:p>
    <w:p w14:paraId="4B856E7D">
      <w:pPr>
        <w:adjustRightInd w:val="0"/>
        <w:snapToGrid w:val="0"/>
        <w:spacing w:line="360" w:lineRule="auto"/>
        <w:jc w:val="center"/>
        <w:rPr>
          <w:rFonts w:ascii="黑体" w:hAnsi="Times New Roman" w:eastAsia="黑体" w:cs="仿宋_GB2312"/>
          <w:b/>
          <w:bCs/>
          <w:spacing w:val="6"/>
          <w:sz w:val="28"/>
          <w:szCs w:val="28"/>
        </w:rPr>
      </w:pPr>
      <w:r>
        <w:rPr>
          <w:rFonts w:hint="eastAsia" w:ascii="宋体" w:hAnsi="宋体" w:eastAsia="宋体" w:cs="Times New Roman"/>
          <w:b/>
          <w:spacing w:val="6"/>
          <w:szCs w:val="21"/>
        </w:rPr>
        <w:t>(不属于残疾人福利性单位的无需填写)</w:t>
      </w:r>
    </w:p>
    <w:p w14:paraId="431FD189">
      <w:pPr>
        <w:spacing w:line="588" w:lineRule="exact"/>
        <w:rPr>
          <w:rFonts w:ascii="仿宋_GB2312" w:hAnsi="Times New Roman" w:eastAsia="仿宋_GB2312" w:cs="Times New Roman"/>
          <w:b/>
          <w:bCs/>
          <w:spacing w:val="6"/>
          <w:sz w:val="30"/>
          <w:szCs w:val="30"/>
        </w:rPr>
      </w:pPr>
    </w:p>
    <w:p w14:paraId="3FC90A53">
      <w:pPr>
        <w:spacing w:line="588" w:lineRule="exact"/>
        <w:ind w:firstLine="444" w:firstLineChars="200"/>
        <w:rPr>
          <w:rFonts w:ascii="宋体" w:hAnsi="宋体" w:eastAsia="宋体" w:cs="宋体"/>
          <w:spacing w:val="6"/>
          <w:szCs w:val="21"/>
        </w:rPr>
      </w:pPr>
      <w:r>
        <w:rPr>
          <w:rFonts w:hint="eastAsia" w:ascii="宋体" w:hAnsi="宋体" w:eastAsia="宋体" w:cs="宋体"/>
          <w:spacing w:val="6"/>
          <w:szCs w:val="21"/>
        </w:rPr>
        <w:t>本单位郑重声明，根据《财政部 民政部 中国残疾人联合会关于促进残疾人就业政府采购政策的通知》（财库</w:t>
      </w:r>
      <w:r>
        <w:rPr>
          <w:rFonts w:hint="eastAsia" w:ascii="宋体" w:hAnsi="宋体" w:eastAsia="宋体" w:cs="宋体"/>
          <w:szCs w:val="21"/>
        </w:rPr>
        <w:t>〔2017〕 141</w:t>
      </w:r>
      <w:r>
        <w:rPr>
          <w:rFonts w:hint="eastAsia" w:ascii="宋体" w:hAnsi="宋体" w:eastAsia="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34EAF2">
      <w:pPr>
        <w:spacing w:line="588" w:lineRule="exact"/>
        <w:ind w:firstLine="444" w:firstLineChars="200"/>
        <w:rPr>
          <w:rFonts w:ascii="宋体" w:hAnsi="宋体" w:eastAsia="宋体" w:cs="宋体"/>
          <w:spacing w:val="6"/>
          <w:szCs w:val="21"/>
        </w:rPr>
      </w:pPr>
      <w:r>
        <w:rPr>
          <w:rFonts w:hint="eastAsia" w:ascii="宋体" w:hAnsi="宋体" w:eastAsia="宋体" w:cs="宋体"/>
          <w:spacing w:val="6"/>
          <w:szCs w:val="21"/>
        </w:rPr>
        <w:t>本单位对上述声明的真实性负责。如有虚假，将依法承担相应责任。</w:t>
      </w:r>
    </w:p>
    <w:p w14:paraId="54710698">
      <w:pPr>
        <w:spacing w:line="588" w:lineRule="exact"/>
        <w:ind w:firstLine="444" w:firstLineChars="200"/>
        <w:rPr>
          <w:rFonts w:ascii="宋体" w:hAnsi="宋体" w:eastAsia="宋体" w:cs="宋体"/>
          <w:spacing w:val="6"/>
          <w:szCs w:val="21"/>
        </w:rPr>
      </w:pPr>
    </w:p>
    <w:p w14:paraId="43880747">
      <w:pPr>
        <w:spacing w:line="588" w:lineRule="exact"/>
        <w:ind w:firstLine="444" w:firstLineChars="200"/>
        <w:rPr>
          <w:rFonts w:ascii="宋体" w:hAnsi="宋体" w:eastAsia="宋体" w:cs="宋体"/>
          <w:spacing w:val="6"/>
          <w:szCs w:val="21"/>
        </w:rPr>
      </w:pPr>
    </w:p>
    <w:p w14:paraId="767201DB">
      <w:pPr>
        <w:tabs>
          <w:tab w:val="left" w:pos="4860"/>
        </w:tabs>
        <w:spacing w:line="588" w:lineRule="exact"/>
        <w:ind w:right="1560"/>
        <w:rPr>
          <w:rFonts w:ascii="宋体" w:hAnsi="宋体" w:eastAsia="宋体" w:cs="宋体"/>
          <w:spacing w:val="6"/>
          <w:szCs w:val="21"/>
        </w:rPr>
      </w:pPr>
      <w:r>
        <w:rPr>
          <w:rFonts w:hint="eastAsia" w:ascii="宋体" w:hAnsi="宋体" w:eastAsia="宋体" w:cs="宋体"/>
          <w:spacing w:val="6"/>
          <w:szCs w:val="21"/>
        </w:rPr>
        <w:t>企业名称（盖企业公章）：</w:t>
      </w:r>
    </w:p>
    <w:p w14:paraId="77447666">
      <w:pPr>
        <w:bidi w:val="0"/>
        <w:rPr>
          <w:rFonts w:hint="eastAsia" w:ascii="Times New Roman" w:hAnsi="Times New Roman" w:eastAsia="宋体" w:cs="Times New Roman"/>
        </w:rPr>
      </w:pPr>
      <w:r>
        <w:rPr>
          <w:rFonts w:hint="eastAsia" w:ascii="Times New Roman" w:hAnsi="Times New Roman" w:eastAsia="宋体" w:cs="Times New Roman"/>
        </w:rPr>
        <w:t>日  期：</w:t>
      </w:r>
    </w:p>
    <w:p w14:paraId="5C64E783">
      <w:pPr>
        <w:bidi w:val="0"/>
        <w:rPr>
          <w:rFonts w:hint="eastAsia" w:ascii="Times New Roman" w:hAnsi="Times New Roman" w:eastAsia="宋体" w:cs="Times New Roman"/>
        </w:rPr>
      </w:pPr>
    </w:p>
    <w:p w14:paraId="7B7FBDCF">
      <w:pPr>
        <w:bidi w:val="0"/>
        <w:rPr>
          <w:rFonts w:hint="eastAsia" w:ascii="Times New Roman" w:hAnsi="Times New Roman" w:eastAsia="宋体" w:cs="Times New Roman"/>
        </w:rPr>
      </w:pPr>
    </w:p>
    <w:p w14:paraId="7BE4DE86">
      <w:pPr>
        <w:bidi w:val="0"/>
        <w:rPr>
          <w:rFonts w:hint="eastAsia" w:ascii="Times New Roman" w:hAnsi="Times New Roman" w:eastAsia="宋体" w:cs="Times New Roman"/>
        </w:rPr>
      </w:pPr>
    </w:p>
    <w:p w14:paraId="47FB2268">
      <w:pPr>
        <w:widowControl w:val="0"/>
        <w:spacing w:after="120"/>
        <w:jc w:val="both"/>
        <w:rPr>
          <w:rFonts w:hint="eastAsia" w:ascii="Times New Roman" w:hAnsi="Times New Roman" w:eastAsia="宋体" w:cs="Times New Roman"/>
          <w:kern w:val="0"/>
          <w:sz w:val="20"/>
          <w:szCs w:val="24"/>
          <w:lang w:val="en-US" w:eastAsia="zh-CN" w:bidi="ar-SA"/>
        </w:rPr>
      </w:pPr>
    </w:p>
    <w:p w14:paraId="62DE4548">
      <w:pPr>
        <w:bidi w:val="0"/>
        <w:rPr>
          <w:rFonts w:hint="eastAsia" w:ascii="Times New Roman" w:hAnsi="Times New Roman" w:eastAsia="宋体" w:cs="Times New Roman"/>
        </w:rPr>
      </w:pPr>
    </w:p>
    <w:p w14:paraId="7BF2CB5E">
      <w:pPr>
        <w:keepNext/>
        <w:keepLines/>
        <w:widowControl w:val="0"/>
        <w:bidi w:val="0"/>
        <w:spacing w:before="260" w:after="260" w:line="416" w:lineRule="auto"/>
        <w:jc w:val="center"/>
        <w:outlineLvl w:val="2"/>
        <w:rPr>
          <w:rFonts w:ascii="Times New Roman" w:hAnsi="Times New Roman" w:eastAsia="宋体" w:cs="Times New Roman"/>
          <w:b/>
          <w:bCs/>
          <w:kern w:val="0"/>
          <w:sz w:val="30"/>
          <w:szCs w:val="32"/>
          <w:lang w:val="en-US" w:eastAsia="zh-CN" w:bidi="ar-SA"/>
        </w:rPr>
      </w:pPr>
      <w:r>
        <w:rPr>
          <w:rFonts w:hint="eastAsia" w:ascii="Times New Roman" w:hAnsi="Times New Roman" w:eastAsia="宋体" w:cs="Times New Roman"/>
          <w:b w:val="0"/>
          <w:bCs w:val="0"/>
          <w:kern w:val="0"/>
          <w:sz w:val="30"/>
          <w:szCs w:val="32"/>
          <w:lang w:val="en-US" w:eastAsia="zh-CN" w:bidi="ar-SA"/>
        </w:rPr>
        <w:br w:type="page"/>
      </w:r>
      <w:r>
        <w:rPr>
          <w:rFonts w:hint="eastAsia" w:ascii="Times New Roman" w:hAnsi="Times New Roman" w:eastAsia="宋体" w:cs="Times New Roman"/>
          <w:b/>
          <w:bCs/>
          <w:kern w:val="2"/>
          <w:sz w:val="30"/>
          <w:szCs w:val="32"/>
          <w:lang w:val="en-US" w:eastAsia="zh-CN" w:bidi="ar-SA"/>
        </w:rPr>
        <w:t>附件9-3监狱企业证明资料</w:t>
      </w:r>
    </w:p>
    <w:p w14:paraId="3EF4DCEC">
      <w:pPr>
        <w:adjustRightInd w:val="0"/>
        <w:snapToGrid w:val="0"/>
        <w:spacing w:line="360" w:lineRule="auto"/>
        <w:jc w:val="center"/>
        <w:rPr>
          <w:rFonts w:ascii="宋体" w:hAnsi="宋体" w:eastAsia="宋体" w:cs="Times New Roman"/>
          <w:b/>
          <w:spacing w:val="6"/>
          <w:szCs w:val="21"/>
        </w:rPr>
      </w:pPr>
      <w:r>
        <w:rPr>
          <w:rFonts w:hint="eastAsia" w:ascii="宋体" w:hAnsi="宋体" w:eastAsia="宋体" w:cs="Times New Roman"/>
          <w:b/>
          <w:spacing w:val="6"/>
          <w:szCs w:val="21"/>
        </w:rPr>
        <w:t>(不属于监狱企业的无需提供)</w:t>
      </w:r>
    </w:p>
    <w:p w14:paraId="7EAF0A0A">
      <w:pPr>
        <w:adjustRightInd w:val="0"/>
        <w:snapToGrid w:val="0"/>
        <w:spacing w:line="360" w:lineRule="auto"/>
        <w:rPr>
          <w:rFonts w:ascii="宋体" w:hAnsi="宋体" w:eastAsia="宋体" w:cs="Times New Roman"/>
          <w:szCs w:val="21"/>
        </w:rPr>
      </w:pPr>
    </w:p>
    <w:p w14:paraId="34E21DCA">
      <w:pPr>
        <w:spacing w:line="400" w:lineRule="exact"/>
        <w:rPr>
          <w:rFonts w:ascii="宋体" w:hAnsi="宋体" w:eastAsia="宋体" w:cs="宋体"/>
          <w:szCs w:val="21"/>
        </w:rPr>
      </w:pPr>
      <w:r>
        <w:rPr>
          <w:rFonts w:hint="eastAsia" w:ascii="宋体" w:hAnsi="宋体" w:eastAsia="宋体" w:cs="宋体"/>
          <w:bCs/>
          <w:spacing w:val="6"/>
          <w:kern w:val="0"/>
          <w:szCs w:val="21"/>
        </w:rPr>
        <w:t>备注：</w:t>
      </w:r>
      <w:r>
        <w:rPr>
          <w:rFonts w:hint="eastAsia" w:ascii="宋体" w:hAnsi="宋体" w:eastAsia="宋体" w:cs="宋体"/>
          <w:szCs w:val="21"/>
        </w:rPr>
        <w:t>按</w:t>
      </w:r>
      <w:r>
        <w:rPr>
          <w:rFonts w:hint="eastAsia" w:ascii="宋体" w:hAnsi="宋体" w:eastAsia="宋体" w:cs="宋体"/>
          <w:spacing w:val="6"/>
          <w:szCs w:val="21"/>
        </w:rPr>
        <w:t>《</w:t>
      </w:r>
      <w:r>
        <w:rPr>
          <w:rFonts w:hint="eastAsia" w:ascii="宋体" w:hAnsi="宋体" w:eastAsia="宋体" w:cs="宋体"/>
          <w:szCs w:val="21"/>
        </w:rPr>
        <w:t>财政部 司法部关于政府采购支持监狱企业发展有关问题的通知</w:t>
      </w:r>
      <w:r>
        <w:rPr>
          <w:rFonts w:hint="eastAsia" w:ascii="宋体" w:hAnsi="宋体" w:eastAsia="宋体" w:cs="宋体"/>
          <w:spacing w:val="6"/>
          <w:szCs w:val="21"/>
        </w:rPr>
        <w:t>》</w:t>
      </w:r>
      <w:r>
        <w:rPr>
          <w:rFonts w:hint="eastAsia" w:ascii="宋体" w:hAnsi="宋体" w:eastAsia="宋体" w:cs="宋体"/>
          <w:szCs w:val="21"/>
        </w:rPr>
        <w:t>(财库〔2014〕68号)文件规定提供证明文件（复印件）。</w:t>
      </w:r>
    </w:p>
    <w:p w14:paraId="3FCE138D">
      <w:pPr>
        <w:widowControl w:val="0"/>
        <w:ind w:firstLine="720"/>
        <w:jc w:val="left"/>
        <w:rPr>
          <w:rFonts w:ascii="宋体" w:hAnsi="宋体" w:eastAsia="宋体" w:cs="宋体"/>
          <w:kern w:val="0"/>
          <w:sz w:val="24"/>
          <w:szCs w:val="21"/>
          <w:lang w:val="ru-RU" w:eastAsia="ru-RU" w:bidi="ar-SA"/>
        </w:rPr>
      </w:pPr>
    </w:p>
    <w:p w14:paraId="2CE8311E">
      <w:pPr>
        <w:pStyle w:val="3"/>
        <w:spacing w:line="360" w:lineRule="exact"/>
        <w:jc w:val="center"/>
        <w:rPr>
          <w:rFonts w:ascii="宋体" w:hAnsi="宋体"/>
          <w:kern w:val="32"/>
          <w:sz w:val="32"/>
        </w:rPr>
      </w:pPr>
      <w:r>
        <w:rPr>
          <w:rFonts w:hint="eastAsia" w:ascii="宋体" w:hAnsi="宋体"/>
          <w:kern w:val="32"/>
          <w:sz w:val="32"/>
        </w:rPr>
        <w:t>七、报价一览表及报价文件</w:t>
      </w:r>
    </w:p>
    <w:p w14:paraId="4CB49C08">
      <w:pPr>
        <w:pStyle w:val="4"/>
        <w:spacing w:before="0" w:after="0" w:line="360" w:lineRule="auto"/>
        <w:jc w:val="center"/>
        <w:rPr>
          <w:rFonts w:hint="eastAsia" w:ascii="宋体" w:hAnsi="宋体"/>
          <w:sz w:val="24"/>
          <w:szCs w:val="24"/>
        </w:rPr>
      </w:pPr>
      <w:r>
        <w:rPr>
          <w:rFonts w:hint="eastAsia" w:ascii="宋体" w:hAnsi="宋体"/>
          <w:b w:val="0"/>
          <w:bCs w:val="0"/>
          <w:sz w:val="30"/>
          <w:szCs w:val="30"/>
        </w:rPr>
        <w:t>附件10</w:t>
      </w:r>
      <w:r>
        <w:rPr>
          <w:rFonts w:ascii="宋体" w:hAnsi="宋体"/>
          <w:b w:val="0"/>
          <w:bCs w:val="0"/>
          <w:sz w:val="30"/>
          <w:szCs w:val="30"/>
        </w:rPr>
        <w:tab/>
      </w:r>
      <w:r>
        <w:rPr>
          <w:rFonts w:hint="eastAsia" w:ascii="宋体" w:hAnsi="宋体"/>
          <w:b w:val="0"/>
          <w:bCs w:val="0"/>
          <w:sz w:val="30"/>
          <w:szCs w:val="30"/>
        </w:rPr>
        <w:t xml:space="preserve"> 报价一览表</w:t>
      </w:r>
    </w:p>
    <w:p w14:paraId="35A84FA5">
      <w:pPr>
        <w:adjustRightInd w:val="0"/>
        <w:snapToGrid w:val="0"/>
        <w:rPr>
          <w:rFonts w:hint="eastAsia" w:ascii="宋体" w:hAnsi="宋体" w:cs="宋体"/>
          <w:sz w:val="24"/>
        </w:rPr>
      </w:pP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749"/>
      </w:tblGrid>
      <w:tr w14:paraId="3F38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08EC9AC7">
            <w:pPr>
              <w:tabs>
                <w:tab w:val="left" w:pos="403"/>
                <w:tab w:val="center" w:pos="3781"/>
              </w:tabs>
              <w:spacing w:line="420" w:lineRule="exact"/>
              <w:ind w:right="-5206" w:rightChars="-2479" w:firstLine="210" w:firstLineChars="100"/>
              <w:rPr>
                <w:rFonts w:hint="eastAsia"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rPr>
              <w:tab/>
            </w:r>
            <w:r>
              <w:rPr>
                <w:rFonts w:hint="eastAsia" w:ascii="宋体" w:hAnsi="宋体" w:eastAsia="宋体" w:cs="宋体"/>
                <w:szCs w:val="21"/>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375584DA">
            <w:pPr>
              <w:spacing w:line="420" w:lineRule="exact"/>
              <w:jc w:val="center"/>
              <w:rPr>
                <w:rFonts w:hint="eastAsia" w:ascii="宋体" w:hAnsi="宋体" w:eastAsia="宋体" w:cs="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7EE0E08F">
            <w:pPr>
              <w:spacing w:line="420" w:lineRule="exact"/>
              <w:jc w:val="center"/>
              <w:rPr>
                <w:rFonts w:hint="eastAsia" w:ascii="宋体" w:hAnsi="宋体" w:eastAsia="宋体" w:cs="宋体"/>
                <w:szCs w:val="21"/>
              </w:rPr>
            </w:pPr>
            <w:r>
              <w:rPr>
                <w:rFonts w:hint="eastAsia" w:ascii="宋体" w:hAnsi="宋体" w:eastAsia="宋体" w:cs="宋体"/>
                <w:szCs w:val="21"/>
              </w:rPr>
              <w:t>政府采购编号</w:t>
            </w:r>
          </w:p>
        </w:tc>
        <w:tc>
          <w:tcPr>
            <w:tcW w:w="2749" w:type="dxa"/>
            <w:tcBorders>
              <w:top w:val="double" w:color="auto" w:sz="4" w:space="0"/>
              <w:left w:val="single" w:color="auto" w:sz="6" w:space="0"/>
              <w:bottom w:val="single" w:color="auto" w:sz="6" w:space="0"/>
              <w:right w:val="double" w:color="auto" w:sz="4" w:space="0"/>
            </w:tcBorders>
            <w:noWrap w:val="0"/>
            <w:vAlign w:val="center"/>
          </w:tcPr>
          <w:p w14:paraId="4FCB1E60">
            <w:pPr>
              <w:spacing w:line="420" w:lineRule="exact"/>
              <w:jc w:val="center"/>
              <w:rPr>
                <w:rFonts w:hint="eastAsia" w:ascii="宋体" w:hAnsi="宋体" w:eastAsia="宋体" w:cs="宋体"/>
                <w:szCs w:val="21"/>
                <w:lang w:eastAsia="zh-CN"/>
              </w:rPr>
            </w:pPr>
          </w:p>
        </w:tc>
      </w:tr>
      <w:tr w14:paraId="11468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single" w:color="auto" w:sz="6" w:space="0"/>
              <w:left w:val="double" w:color="auto" w:sz="4" w:space="0"/>
              <w:bottom w:val="single" w:color="auto" w:sz="6" w:space="0"/>
              <w:right w:val="single" w:color="auto" w:sz="6" w:space="0"/>
            </w:tcBorders>
            <w:noWrap w:val="0"/>
            <w:vAlign w:val="center"/>
          </w:tcPr>
          <w:p w14:paraId="2BBC80A3">
            <w:pPr>
              <w:tabs>
                <w:tab w:val="left" w:pos="403"/>
                <w:tab w:val="center" w:pos="3781"/>
              </w:tabs>
              <w:spacing w:line="420" w:lineRule="exact"/>
              <w:ind w:right="-5206" w:rightChars="-2479"/>
              <w:rPr>
                <w:rFonts w:hint="eastAsia" w:ascii="宋体" w:hAnsi="宋体" w:eastAsia="宋体" w:cs="宋体"/>
                <w:szCs w:val="21"/>
              </w:rPr>
            </w:pPr>
          </w:p>
        </w:tc>
        <w:tc>
          <w:tcPr>
            <w:tcW w:w="3060" w:type="dxa"/>
            <w:vMerge w:val="continue"/>
            <w:tcBorders>
              <w:top w:val="single" w:color="auto" w:sz="6" w:space="0"/>
              <w:left w:val="single" w:color="auto" w:sz="6" w:space="0"/>
              <w:bottom w:val="single" w:color="auto" w:sz="6" w:space="0"/>
              <w:right w:val="single" w:color="auto" w:sz="6" w:space="0"/>
            </w:tcBorders>
            <w:noWrap w:val="0"/>
            <w:vAlign w:val="center"/>
          </w:tcPr>
          <w:p w14:paraId="44045C8D">
            <w:pPr>
              <w:spacing w:line="420" w:lineRule="exact"/>
              <w:jc w:val="center"/>
              <w:rPr>
                <w:rFonts w:hint="eastAsia"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EC8214B">
            <w:pPr>
              <w:spacing w:line="420" w:lineRule="exact"/>
              <w:jc w:val="center"/>
              <w:rPr>
                <w:rFonts w:hint="eastAsia" w:ascii="宋体" w:hAnsi="宋体" w:eastAsia="宋体" w:cs="宋体"/>
                <w:szCs w:val="21"/>
              </w:rPr>
            </w:pPr>
            <w:r>
              <w:rPr>
                <w:rFonts w:hint="eastAsia" w:ascii="宋体" w:hAnsi="宋体" w:eastAsia="宋体" w:cs="宋体"/>
                <w:szCs w:val="21"/>
              </w:rPr>
              <w:t>采购代理编号</w:t>
            </w:r>
          </w:p>
        </w:tc>
        <w:tc>
          <w:tcPr>
            <w:tcW w:w="2749" w:type="dxa"/>
            <w:tcBorders>
              <w:top w:val="single" w:color="auto" w:sz="6" w:space="0"/>
              <w:left w:val="single" w:color="auto" w:sz="6" w:space="0"/>
              <w:bottom w:val="single" w:color="auto" w:sz="6" w:space="0"/>
              <w:right w:val="double" w:color="auto" w:sz="4" w:space="0"/>
            </w:tcBorders>
            <w:noWrap w:val="0"/>
            <w:vAlign w:val="center"/>
          </w:tcPr>
          <w:p w14:paraId="2E27E572">
            <w:pPr>
              <w:spacing w:line="420" w:lineRule="exact"/>
              <w:jc w:val="center"/>
              <w:rPr>
                <w:rFonts w:hint="eastAsia" w:ascii="宋体" w:hAnsi="宋体" w:eastAsia="宋体" w:cs="宋体"/>
                <w:szCs w:val="21"/>
              </w:rPr>
            </w:pPr>
          </w:p>
        </w:tc>
      </w:tr>
      <w:tr w14:paraId="4577B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right w:val="single" w:color="auto" w:sz="6" w:space="0"/>
            </w:tcBorders>
            <w:noWrap w:val="0"/>
            <w:vAlign w:val="center"/>
          </w:tcPr>
          <w:p w14:paraId="33E18E5B">
            <w:pPr>
              <w:spacing w:line="420" w:lineRule="exact"/>
              <w:jc w:val="center"/>
              <w:rPr>
                <w:rFonts w:hint="eastAsia" w:ascii="宋体" w:hAnsi="宋体" w:eastAsia="宋体" w:cs="宋体"/>
                <w:szCs w:val="21"/>
              </w:rPr>
            </w:pPr>
            <w:r>
              <w:rPr>
                <w:rFonts w:hint="eastAsia" w:ascii="宋体" w:hAnsi="宋体" w:eastAsia="宋体" w:cs="宋体"/>
                <w:szCs w:val="21"/>
                <w:lang w:val="en-US" w:eastAsia="zh-CN"/>
              </w:rPr>
              <w:t>项目</w:t>
            </w:r>
            <w:r>
              <w:rPr>
                <w:rFonts w:hint="eastAsia" w:ascii="宋体" w:hAnsi="宋体" w:eastAsia="宋体" w:cs="宋体"/>
                <w:szCs w:val="21"/>
              </w:rPr>
              <w:t>内容</w:t>
            </w:r>
          </w:p>
        </w:tc>
        <w:tc>
          <w:tcPr>
            <w:tcW w:w="7429" w:type="dxa"/>
            <w:gridSpan w:val="3"/>
            <w:tcBorders>
              <w:top w:val="single" w:color="auto" w:sz="6" w:space="0"/>
              <w:left w:val="single" w:color="auto" w:sz="6" w:space="0"/>
              <w:bottom w:val="single" w:color="auto" w:sz="6" w:space="0"/>
              <w:right w:val="double" w:color="auto" w:sz="4" w:space="0"/>
            </w:tcBorders>
            <w:noWrap w:val="0"/>
            <w:vAlign w:val="center"/>
          </w:tcPr>
          <w:p w14:paraId="72CF49A4">
            <w:pPr>
              <w:rPr>
                <w:rFonts w:hint="eastAsia" w:ascii="宋体" w:hAnsi="宋体" w:eastAsia="宋体" w:cs="宋体"/>
                <w:szCs w:val="21"/>
              </w:rPr>
            </w:pPr>
          </w:p>
        </w:tc>
      </w:tr>
      <w:tr w14:paraId="0DFAB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right w:val="single" w:color="auto" w:sz="6" w:space="0"/>
            </w:tcBorders>
            <w:noWrap w:val="0"/>
            <w:vAlign w:val="center"/>
          </w:tcPr>
          <w:p w14:paraId="2C2398A2">
            <w:pPr>
              <w:spacing w:line="420" w:lineRule="exact"/>
              <w:jc w:val="center"/>
              <w:rPr>
                <w:rFonts w:hint="eastAsia" w:ascii="宋体" w:hAnsi="宋体" w:eastAsia="宋体" w:cs="宋体"/>
                <w:szCs w:val="21"/>
              </w:rPr>
            </w:pPr>
            <w:r>
              <w:rPr>
                <w:rFonts w:hint="eastAsia" w:ascii="宋体" w:hAnsi="宋体" w:eastAsia="宋体" w:cs="宋体"/>
                <w:szCs w:val="21"/>
              </w:rPr>
              <w:t>报价</w:t>
            </w:r>
          </w:p>
        </w:tc>
        <w:tc>
          <w:tcPr>
            <w:tcW w:w="7429" w:type="dxa"/>
            <w:gridSpan w:val="3"/>
            <w:tcBorders>
              <w:top w:val="single" w:color="auto" w:sz="6" w:space="0"/>
              <w:left w:val="single" w:color="auto" w:sz="6" w:space="0"/>
              <w:bottom w:val="single" w:color="auto" w:sz="6" w:space="0"/>
              <w:right w:val="double" w:color="auto" w:sz="4" w:space="0"/>
            </w:tcBorders>
            <w:noWrap w:val="0"/>
            <w:vAlign w:val="center"/>
          </w:tcPr>
          <w:p w14:paraId="571D29C4">
            <w:pPr>
              <w:rPr>
                <w:rFonts w:hint="eastAsia" w:ascii="Times New Roman" w:hAnsi="Times New Roman" w:eastAsia="宋体" w:cs="Times New Roman"/>
              </w:rPr>
            </w:pPr>
            <w:r>
              <w:rPr>
                <w:rFonts w:hint="eastAsia" w:ascii="Times New Roman" w:hAnsi="Times New Roman" w:eastAsia="宋体" w:cs="Times New Roman"/>
              </w:rPr>
              <w:t>大写：                    人民币</w:t>
            </w:r>
          </w:p>
          <w:p w14:paraId="3BB716DE">
            <w:pPr>
              <w:spacing w:line="420" w:lineRule="exact"/>
              <w:rPr>
                <w:rFonts w:hint="eastAsia" w:ascii="Times New Roman" w:hAnsi="Times New Roman" w:eastAsia="宋体" w:cs="Times New Roman"/>
                <w:lang w:eastAsia="zh-CN"/>
              </w:rPr>
            </w:pPr>
            <w:r>
              <w:rPr>
                <w:rFonts w:hint="eastAsia" w:ascii="Times New Roman" w:hAnsi="Times New Roman" w:eastAsia="宋体" w:cs="Times New Roman"/>
              </w:rPr>
              <w:t>小写：                    人民币</w:t>
            </w:r>
          </w:p>
        </w:tc>
      </w:tr>
      <w:tr w14:paraId="4CB7D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77079B3A">
            <w:pPr>
              <w:spacing w:line="420" w:lineRule="exact"/>
              <w:jc w:val="center"/>
              <w:rPr>
                <w:rFonts w:hint="eastAsia" w:ascii="宋体" w:hAnsi="宋体" w:eastAsia="宋体" w:cs="宋体"/>
                <w:szCs w:val="21"/>
              </w:rPr>
            </w:pPr>
            <w:r>
              <w:rPr>
                <w:rFonts w:hint="eastAsia" w:ascii="宋体" w:hAnsi="宋体" w:eastAsia="宋体" w:cs="宋体"/>
                <w:szCs w:val="21"/>
                <w:lang w:val="en-US" w:eastAsia="zh-CN"/>
              </w:rPr>
              <w:t>工</w:t>
            </w:r>
            <w:r>
              <w:rPr>
                <w:rFonts w:hint="eastAsia" w:ascii="宋体" w:hAnsi="宋体" w:eastAsia="宋体" w:cs="宋体"/>
                <w:szCs w:val="21"/>
              </w:rPr>
              <w:t>期</w:t>
            </w:r>
          </w:p>
        </w:tc>
        <w:tc>
          <w:tcPr>
            <w:tcW w:w="7429" w:type="dxa"/>
            <w:gridSpan w:val="3"/>
            <w:tcBorders>
              <w:top w:val="single" w:color="auto" w:sz="6" w:space="0"/>
              <w:left w:val="single" w:color="auto" w:sz="6" w:space="0"/>
              <w:bottom w:val="single" w:color="auto" w:sz="6" w:space="0"/>
              <w:right w:val="double" w:color="auto" w:sz="4" w:space="0"/>
            </w:tcBorders>
            <w:noWrap w:val="0"/>
            <w:vAlign w:val="center"/>
          </w:tcPr>
          <w:p w14:paraId="34B45553">
            <w:pPr>
              <w:spacing w:line="420" w:lineRule="exact"/>
              <w:rPr>
                <w:rFonts w:hint="eastAsia" w:ascii="宋体" w:hAnsi="宋体" w:eastAsia="宋体" w:cs="宋体"/>
                <w:iCs/>
                <w:szCs w:val="21"/>
              </w:rPr>
            </w:pPr>
          </w:p>
        </w:tc>
      </w:tr>
      <w:tr w14:paraId="556CD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12C08A38">
            <w:pPr>
              <w:spacing w:line="420" w:lineRule="exact"/>
              <w:jc w:val="center"/>
              <w:rPr>
                <w:rFonts w:hint="eastAsia" w:ascii="宋体" w:hAnsi="宋体" w:eastAsia="宋体" w:cs="宋体"/>
                <w:szCs w:val="21"/>
              </w:rPr>
            </w:pPr>
            <w:r>
              <w:rPr>
                <w:rFonts w:hint="eastAsia" w:ascii="宋体" w:hAnsi="宋体" w:eastAsia="宋体" w:cs="宋体"/>
                <w:szCs w:val="21"/>
              </w:rPr>
              <w:t>项目负责人</w:t>
            </w:r>
          </w:p>
        </w:tc>
        <w:tc>
          <w:tcPr>
            <w:tcW w:w="7429" w:type="dxa"/>
            <w:gridSpan w:val="3"/>
            <w:tcBorders>
              <w:top w:val="single" w:color="auto" w:sz="6" w:space="0"/>
              <w:left w:val="single" w:color="auto" w:sz="6" w:space="0"/>
              <w:bottom w:val="single" w:color="auto" w:sz="6" w:space="0"/>
              <w:right w:val="double" w:color="auto" w:sz="4" w:space="0"/>
            </w:tcBorders>
            <w:noWrap w:val="0"/>
            <w:vAlign w:val="center"/>
          </w:tcPr>
          <w:p w14:paraId="01833755">
            <w:pPr>
              <w:spacing w:line="420" w:lineRule="exact"/>
              <w:rPr>
                <w:rFonts w:hint="eastAsia" w:ascii="宋体" w:hAnsi="宋体" w:eastAsia="宋体" w:cs="宋体"/>
                <w:szCs w:val="21"/>
              </w:rPr>
            </w:pPr>
          </w:p>
        </w:tc>
      </w:tr>
      <w:tr w14:paraId="173D4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20" w:type="dxa"/>
            <w:tcBorders>
              <w:top w:val="single" w:color="auto" w:sz="6" w:space="0"/>
              <w:left w:val="double" w:color="auto" w:sz="4" w:space="0"/>
              <w:bottom w:val="double" w:color="auto" w:sz="4" w:space="0"/>
              <w:right w:val="single" w:color="auto" w:sz="6" w:space="0"/>
            </w:tcBorders>
            <w:noWrap w:val="0"/>
            <w:vAlign w:val="center"/>
          </w:tcPr>
          <w:p w14:paraId="2F8E96D5">
            <w:pPr>
              <w:spacing w:line="420" w:lineRule="exact"/>
              <w:jc w:val="center"/>
              <w:rPr>
                <w:rFonts w:hint="eastAsia" w:ascii="宋体" w:hAnsi="宋体" w:eastAsia="宋体" w:cs="宋体"/>
                <w:szCs w:val="21"/>
              </w:rPr>
            </w:pPr>
            <w:r>
              <w:rPr>
                <w:rFonts w:hint="eastAsia" w:ascii="宋体" w:hAnsi="宋体" w:eastAsia="宋体" w:cs="宋体"/>
                <w:szCs w:val="21"/>
              </w:rPr>
              <w:t>备  注</w:t>
            </w:r>
          </w:p>
        </w:tc>
        <w:tc>
          <w:tcPr>
            <w:tcW w:w="7429" w:type="dxa"/>
            <w:gridSpan w:val="3"/>
            <w:tcBorders>
              <w:top w:val="single" w:color="auto" w:sz="6" w:space="0"/>
              <w:left w:val="single" w:color="auto" w:sz="6" w:space="0"/>
              <w:bottom w:val="double" w:color="auto" w:sz="4" w:space="0"/>
              <w:right w:val="double" w:color="auto" w:sz="4" w:space="0"/>
            </w:tcBorders>
            <w:noWrap w:val="0"/>
            <w:vAlign w:val="center"/>
          </w:tcPr>
          <w:p w14:paraId="2045C9C6">
            <w:pPr>
              <w:spacing w:line="420" w:lineRule="exact"/>
              <w:rPr>
                <w:rFonts w:hint="eastAsia" w:ascii="宋体" w:hAnsi="宋体" w:eastAsia="宋体" w:cs="宋体"/>
                <w:szCs w:val="21"/>
              </w:rPr>
            </w:pPr>
          </w:p>
        </w:tc>
      </w:tr>
    </w:tbl>
    <w:p w14:paraId="476CF7CE">
      <w:pPr>
        <w:adjustRightInd w:val="0"/>
        <w:snapToGrid w:val="0"/>
        <w:spacing w:line="360" w:lineRule="auto"/>
        <w:rPr>
          <w:rFonts w:hint="eastAsia" w:ascii="宋体" w:hAnsi="宋体" w:cs="宋体"/>
          <w:szCs w:val="21"/>
        </w:rPr>
      </w:pPr>
    </w:p>
    <w:p w14:paraId="5DFB0624">
      <w:pPr>
        <w:adjustRightInd w:val="0"/>
        <w:snapToGrid w:val="0"/>
        <w:spacing w:line="360" w:lineRule="auto"/>
        <w:rPr>
          <w:rFonts w:hint="eastAsia"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459E3567">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67F4D9A4">
      <w:pPr>
        <w:adjustRightInd w:val="0"/>
        <w:snapToGrid w:val="0"/>
        <w:spacing w:line="360" w:lineRule="auto"/>
        <w:rPr>
          <w:rFonts w:ascii="宋体" w:hAnsi="宋体"/>
          <w:szCs w:val="21"/>
        </w:rPr>
        <w:sectPr>
          <w:pgSz w:w="11906" w:h="16838"/>
          <w:pgMar w:top="1474" w:right="1474" w:bottom="232" w:left="1588"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296C74">
      <w:pPr>
        <w:adjustRightInd w:val="0"/>
        <w:snapToGrid w:val="0"/>
        <w:jc w:val="center"/>
        <w:rPr>
          <w:rFonts w:ascii="宋体" w:hAnsi="宋体"/>
          <w:b/>
          <w:sz w:val="28"/>
          <w:szCs w:val="28"/>
        </w:rPr>
      </w:pPr>
    </w:p>
    <w:p w14:paraId="30906E1B">
      <w:pPr>
        <w:pStyle w:val="4"/>
        <w:spacing w:before="0" w:after="0" w:line="360" w:lineRule="auto"/>
        <w:jc w:val="center"/>
        <w:rPr>
          <w:rFonts w:hint="eastAsia" w:ascii="宋体" w:hAnsi="宋体"/>
          <w:b w:val="0"/>
          <w:bCs w:val="0"/>
          <w:sz w:val="30"/>
          <w:szCs w:val="30"/>
        </w:rPr>
      </w:pPr>
      <w:r>
        <w:rPr>
          <w:rFonts w:hint="eastAsia" w:ascii="宋体" w:hAnsi="宋体"/>
          <w:b w:val="0"/>
          <w:bCs w:val="0"/>
          <w:sz w:val="30"/>
          <w:szCs w:val="30"/>
        </w:rPr>
        <w:t>附件10-1  分项价格表</w:t>
      </w:r>
    </w:p>
    <w:p w14:paraId="4CE2780A">
      <w:pPr>
        <w:spacing w:line="360" w:lineRule="exact"/>
        <w:ind w:firstLine="211" w:firstLineChars="100"/>
        <w:rPr>
          <w:rFonts w:hint="eastAsia" w:ascii="宋体" w:hAnsi="宋体" w:cs="宋体"/>
          <w:b/>
        </w:rPr>
      </w:pPr>
      <w:r>
        <w:rPr>
          <w:rFonts w:hint="eastAsia" w:ascii="宋体" w:hAnsi="宋体" w:cs="宋体"/>
          <w:b/>
        </w:rPr>
        <w:t xml:space="preserve">项目名称： </w:t>
      </w:r>
      <w:r>
        <w:rPr>
          <w:rFonts w:hint="eastAsia" w:ascii="宋体" w:hAnsi="宋体" w:cs="宋体"/>
          <w:b/>
          <w:u w:val="single"/>
        </w:rPr>
        <w:t xml:space="preserve">                       </w:t>
      </w:r>
      <w:r>
        <w:rPr>
          <w:rFonts w:hint="eastAsia" w:ascii="宋体" w:hAnsi="宋体" w:cs="宋体"/>
          <w:b/>
        </w:rPr>
        <w:t xml:space="preserve">  包号： </w:t>
      </w:r>
      <w:r>
        <w:rPr>
          <w:rFonts w:hint="eastAsia" w:ascii="宋体" w:hAnsi="宋体" w:cs="宋体"/>
          <w:b/>
          <w:u w:val="single"/>
        </w:rPr>
        <w:t xml:space="preserve">                   </w:t>
      </w:r>
      <w:r>
        <w:rPr>
          <w:rFonts w:hint="eastAsia" w:ascii="宋体" w:hAnsi="宋体" w:cs="宋体"/>
          <w:b/>
        </w:rPr>
        <w:t xml:space="preserve">  金额单位：元 </w:t>
      </w:r>
    </w:p>
    <w:tbl>
      <w:tblPr>
        <w:tblStyle w:val="44"/>
        <w:tblW w:w="5012" w:type="pct"/>
        <w:tblInd w:w="0" w:type="dxa"/>
        <w:tblLayout w:type="autofit"/>
        <w:tblCellMar>
          <w:top w:w="0" w:type="dxa"/>
          <w:left w:w="0" w:type="dxa"/>
          <w:bottom w:w="0" w:type="dxa"/>
          <w:right w:w="0" w:type="dxa"/>
        </w:tblCellMar>
      </w:tblPr>
      <w:tblGrid>
        <w:gridCol w:w="333"/>
        <w:gridCol w:w="1386"/>
        <w:gridCol w:w="2130"/>
        <w:gridCol w:w="1201"/>
        <w:gridCol w:w="1094"/>
        <w:gridCol w:w="827"/>
        <w:gridCol w:w="1009"/>
        <w:gridCol w:w="915"/>
      </w:tblGrid>
      <w:tr w14:paraId="04CC9B58">
        <w:tblPrEx>
          <w:tblCellMar>
            <w:top w:w="0" w:type="dxa"/>
            <w:left w:w="0" w:type="dxa"/>
            <w:bottom w:w="0" w:type="dxa"/>
            <w:right w:w="0" w:type="dxa"/>
          </w:tblCellMar>
        </w:tblPrEx>
        <w:trPr>
          <w:trHeight w:val="415" w:hRule="exact"/>
        </w:trPr>
        <w:tc>
          <w:tcPr>
            <w:tcW w:w="966" w:type="pct"/>
            <w:gridSpan w:val="2"/>
            <w:vMerge w:val="restart"/>
            <w:tcBorders>
              <w:top w:val="double" w:color="auto" w:sz="4" w:space="0"/>
              <w:left w:val="double" w:color="auto" w:sz="4" w:space="0"/>
              <w:right w:val="single" w:color="auto" w:sz="6" w:space="0"/>
            </w:tcBorders>
            <w:noWrap w:val="0"/>
            <w:vAlign w:val="center"/>
          </w:tcPr>
          <w:p w14:paraId="3CADA2EF">
            <w:pPr>
              <w:autoSpaceDE w:val="0"/>
              <w:autoSpaceDN w:val="0"/>
              <w:adjustRightInd w:val="0"/>
              <w:snapToGrid w:val="0"/>
              <w:spacing w:line="360" w:lineRule="auto"/>
              <w:ind w:right="-20"/>
              <w:jc w:val="center"/>
              <w:rPr>
                <w:rFonts w:ascii="宋体" w:hAnsi="宋体" w:eastAsia="宋体" w:cs="宋体"/>
                <w:kern w:val="0"/>
                <w:position w:val="-1"/>
                <w:sz w:val="24"/>
                <w:szCs w:val="21"/>
              </w:rPr>
            </w:pPr>
            <w:r>
              <w:rPr>
                <w:rFonts w:hint="eastAsia" w:ascii="宋体" w:hAnsi="宋体" w:eastAsia="宋体" w:cs="宋体"/>
                <w:kern w:val="0"/>
                <w:position w:val="-1"/>
                <w:sz w:val="24"/>
                <w:szCs w:val="21"/>
              </w:rPr>
              <w:t>分项项目名称</w:t>
            </w:r>
          </w:p>
        </w:tc>
        <w:tc>
          <w:tcPr>
            <w:tcW w:w="1197" w:type="pct"/>
            <w:vMerge w:val="restart"/>
            <w:tcBorders>
              <w:top w:val="double" w:color="auto" w:sz="4" w:space="0"/>
              <w:left w:val="single" w:color="auto" w:sz="6" w:space="0"/>
              <w:bottom w:val="single" w:color="auto" w:sz="6" w:space="0"/>
              <w:right w:val="single" w:color="auto" w:sz="4" w:space="0"/>
            </w:tcBorders>
            <w:noWrap w:val="0"/>
            <w:vAlign w:val="center"/>
          </w:tcPr>
          <w:p w14:paraId="1807A61D">
            <w:pPr>
              <w:autoSpaceDE w:val="0"/>
              <w:autoSpaceDN w:val="0"/>
              <w:adjustRightInd w:val="0"/>
              <w:snapToGrid w:val="0"/>
              <w:spacing w:line="360" w:lineRule="auto"/>
              <w:ind w:right="-20"/>
              <w:jc w:val="center"/>
              <w:rPr>
                <w:rFonts w:ascii="宋体" w:hAnsi="宋体" w:eastAsia="宋体" w:cs="宋体"/>
                <w:sz w:val="24"/>
                <w:szCs w:val="21"/>
              </w:rPr>
            </w:pPr>
            <w:r>
              <w:rPr>
                <w:rFonts w:hint="eastAsia" w:ascii="宋体" w:hAnsi="宋体" w:eastAsia="宋体" w:cs="宋体"/>
                <w:sz w:val="24"/>
                <w:szCs w:val="21"/>
              </w:rPr>
              <w:t>规格型号</w:t>
            </w:r>
          </w:p>
          <w:p w14:paraId="2652FF59">
            <w:pPr>
              <w:autoSpaceDE w:val="0"/>
              <w:autoSpaceDN w:val="0"/>
              <w:adjustRightInd w:val="0"/>
              <w:snapToGrid w:val="0"/>
              <w:spacing w:line="360" w:lineRule="auto"/>
              <w:ind w:right="-20"/>
              <w:jc w:val="center"/>
              <w:rPr>
                <w:rFonts w:ascii="宋体" w:hAnsi="宋体" w:eastAsia="宋体" w:cs="宋体"/>
                <w:sz w:val="24"/>
                <w:szCs w:val="21"/>
              </w:rPr>
            </w:pPr>
            <w:r>
              <w:rPr>
                <w:rFonts w:hint="eastAsia" w:ascii="宋体" w:hAnsi="宋体" w:eastAsia="宋体" w:cs="宋体"/>
                <w:sz w:val="24"/>
                <w:szCs w:val="21"/>
              </w:rPr>
              <w:t>（或项目特征描述）</w:t>
            </w:r>
          </w:p>
        </w:tc>
        <w:tc>
          <w:tcPr>
            <w:tcW w:w="675" w:type="pct"/>
            <w:vMerge w:val="restart"/>
            <w:tcBorders>
              <w:top w:val="double" w:color="auto" w:sz="4" w:space="0"/>
              <w:left w:val="single" w:color="auto" w:sz="4" w:space="0"/>
              <w:bottom w:val="single" w:color="auto" w:sz="6" w:space="0"/>
              <w:right w:val="single" w:color="auto" w:sz="6" w:space="0"/>
            </w:tcBorders>
            <w:noWrap w:val="0"/>
            <w:vAlign w:val="center"/>
          </w:tcPr>
          <w:p w14:paraId="492DB5F0">
            <w:pPr>
              <w:autoSpaceDE w:val="0"/>
              <w:autoSpaceDN w:val="0"/>
              <w:adjustRightInd w:val="0"/>
              <w:snapToGrid w:val="0"/>
              <w:spacing w:line="360" w:lineRule="auto"/>
              <w:ind w:right="-20"/>
              <w:jc w:val="center"/>
              <w:rPr>
                <w:rFonts w:ascii="宋体" w:hAnsi="宋体" w:eastAsia="宋体" w:cs="宋体"/>
                <w:sz w:val="24"/>
                <w:szCs w:val="21"/>
              </w:rPr>
            </w:pPr>
            <w:r>
              <w:rPr>
                <w:rFonts w:hint="eastAsia" w:ascii="宋体" w:hAnsi="宋体" w:eastAsia="宋体" w:cs="宋体"/>
                <w:sz w:val="24"/>
                <w:szCs w:val="21"/>
              </w:rPr>
              <w:t>品牌/产地</w:t>
            </w:r>
          </w:p>
        </w:tc>
        <w:tc>
          <w:tcPr>
            <w:tcW w:w="615" w:type="pct"/>
            <w:vMerge w:val="restart"/>
            <w:tcBorders>
              <w:top w:val="double" w:color="auto" w:sz="4" w:space="0"/>
              <w:left w:val="single" w:color="auto" w:sz="6" w:space="0"/>
              <w:right w:val="single" w:color="auto" w:sz="4" w:space="0"/>
            </w:tcBorders>
            <w:noWrap w:val="0"/>
            <w:vAlign w:val="center"/>
          </w:tcPr>
          <w:p w14:paraId="04DB3167">
            <w:pPr>
              <w:autoSpaceDE w:val="0"/>
              <w:autoSpaceDN w:val="0"/>
              <w:adjustRightInd w:val="0"/>
              <w:snapToGrid w:val="0"/>
              <w:spacing w:line="360" w:lineRule="auto"/>
              <w:ind w:right="-20"/>
              <w:jc w:val="center"/>
              <w:rPr>
                <w:rFonts w:ascii="宋体" w:hAnsi="宋体" w:eastAsia="宋体" w:cs="宋体"/>
                <w:kern w:val="0"/>
                <w:position w:val="-1"/>
                <w:sz w:val="24"/>
                <w:szCs w:val="21"/>
              </w:rPr>
            </w:pPr>
            <w:r>
              <w:rPr>
                <w:rFonts w:hint="eastAsia" w:ascii="宋体" w:hAnsi="宋体" w:eastAsia="宋体" w:cs="宋体"/>
                <w:kern w:val="0"/>
                <w:sz w:val="24"/>
                <w:szCs w:val="21"/>
              </w:rPr>
              <w:t>数量/单位</w:t>
            </w:r>
          </w:p>
        </w:tc>
        <w:tc>
          <w:tcPr>
            <w:tcW w:w="1031" w:type="pct"/>
            <w:gridSpan w:val="2"/>
            <w:tcBorders>
              <w:top w:val="double" w:color="auto" w:sz="4" w:space="0"/>
              <w:left w:val="single" w:color="auto" w:sz="4" w:space="0"/>
              <w:bottom w:val="single" w:color="auto" w:sz="6" w:space="0"/>
              <w:right w:val="single" w:color="auto" w:sz="6" w:space="0"/>
            </w:tcBorders>
            <w:noWrap w:val="0"/>
            <w:vAlign w:val="center"/>
          </w:tcPr>
          <w:p w14:paraId="6E6B791E">
            <w:pPr>
              <w:autoSpaceDE w:val="0"/>
              <w:autoSpaceDN w:val="0"/>
              <w:adjustRightInd w:val="0"/>
              <w:snapToGrid w:val="0"/>
              <w:spacing w:line="360" w:lineRule="auto"/>
              <w:ind w:right="-20"/>
              <w:jc w:val="center"/>
              <w:rPr>
                <w:rFonts w:ascii="宋体" w:hAnsi="宋体" w:eastAsia="宋体" w:cs="宋体"/>
                <w:kern w:val="0"/>
                <w:position w:val="-1"/>
                <w:sz w:val="24"/>
                <w:szCs w:val="21"/>
              </w:rPr>
            </w:pPr>
            <w:r>
              <w:rPr>
                <w:rFonts w:hint="eastAsia" w:ascii="宋体" w:hAnsi="宋体" w:eastAsia="宋体" w:cs="宋体"/>
                <w:kern w:val="0"/>
                <w:position w:val="-1"/>
                <w:sz w:val="24"/>
                <w:szCs w:val="21"/>
              </w:rPr>
              <w:t>金额（元）</w:t>
            </w:r>
          </w:p>
        </w:tc>
        <w:tc>
          <w:tcPr>
            <w:tcW w:w="514" w:type="pct"/>
            <w:vMerge w:val="restart"/>
            <w:tcBorders>
              <w:top w:val="double" w:color="auto" w:sz="4" w:space="0"/>
              <w:left w:val="single" w:color="auto" w:sz="6" w:space="0"/>
              <w:bottom w:val="single" w:color="auto" w:sz="6" w:space="0"/>
              <w:right w:val="double" w:color="auto" w:sz="4" w:space="0"/>
            </w:tcBorders>
            <w:noWrap w:val="0"/>
            <w:vAlign w:val="center"/>
          </w:tcPr>
          <w:p w14:paraId="3154D20B">
            <w:pPr>
              <w:autoSpaceDE w:val="0"/>
              <w:autoSpaceDN w:val="0"/>
              <w:adjustRightInd w:val="0"/>
              <w:snapToGrid w:val="0"/>
              <w:spacing w:line="360" w:lineRule="auto"/>
              <w:ind w:right="-20"/>
              <w:jc w:val="center"/>
              <w:rPr>
                <w:rFonts w:ascii="宋体" w:hAnsi="宋体" w:eastAsia="宋体" w:cs="宋体"/>
                <w:kern w:val="0"/>
                <w:position w:val="-1"/>
                <w:sz w:val="24"/>
                <w:szCs w:val="21"/>
              </w:rPr>
            </w:pPr>
            <w:r>
              <w:rPr>
                <w:rFonts w:hint="eastAsia" w:ascii="宋体" w:hAnsi="宋体" w:eastAsia="宋体" w:cs="宋体"/>
                <w:kern w:val="0"/>
                <w:position w:val="-1"/>
                <w:sz w:val="24"/>
                <w:szCs w:val="21"/>
              </w:rPr>
              <w:t>备注</w:t>
            </w:r>
          </w:p>
        </w:tc>
      </w:tr>
      <w:tr w14:paraId="27658745">
        <w:tblPrEx>
          <w:tblCellMar>
            <w:top w:w="0" w:type="dxa"/>
            <w:left w:w="0" w:type="dxa"/>
            <w:bottom w:w="0" w:type="dxa"/>
            <w:right w:w="0" w:type="dxa"/>
          </w:tblCellMar>
        </w:tblPrEx>
        <w:trPr>
          <w:trHeight w:val="415" w:hRule="exact"/>
        </w:trPr>
        <w:tc>
          <w:tcPr>
            <w:tcW w:w="966" w:type="pct"/>
            <w:gridSpan w:val="2"/>
            <w:vMerge w:val="continue"/>
            <w:tcBorders>
              <w:left w:val="double" w:color="auto" w:sz="4" w:space="0"/>
              <w:bottom w:val="single" w:color="auto" w:sz="6" w:space="0"/>
              <w:right w:val="single" w:color="auto" w:sz="6" w:space="0"/>
            </w:tcBorders>
            <w:noWrap w:val="0"/>
            <w:vAlign w:val="top"/>
          </w:tcPr>
          <w:p w14:paraId="3993902C">
            <w:pPr>
              <w:autoSpaceDE w:val="0"/>
              <w:autoSpaceDN w:val="0"/>
              <w:adjustRightInd w:val="0"/>
              <w:snapToGrid w:val="0"/>
              <w:spacing w:line="360" w:lineRule="auto"/>
              <w:ind w:left="352" w:right="-20"/>
              <w:jc w:val="left"/>
              <w:rPr>
                <w:rFonts w:ascii="宋体" w:hAnsi="宋体" w:eastAsia="宋体" w:cs="宋体"/>
                <w:kern w:val="0"/>
                <w:sz w:val="24"/>
                <w:szCs w:val="21"/>
              </w:rPr>
            </w:pPr>
          </w:p>
        </w:tc>
        <w:tc>
          <w:tcPr>
            <w:tcW w:w="1197" w:type="pct"/>
            <w:vMerge w:val="continue"/>
            <w:tcBorders>
              <w:top w:val="single" w:color="auto" w:sz="6" w:space="0"/>
              <w:left w:val="single" w:color="auto" w:sz="6" w:space="0"/>
              <w:bottom w:val="single" w:color="auto" w:sz="6" w:space="0"/>
              <w:right w:val="single" w:color="auto" w:sz="4" w:space="0"/>
            </w:tcBorders>
            <w:noWrap w:val="0"/>
            <w:vAlign w:val="center"/>
          </w:tcPr>
          <w:p w14:paraId="004F1AB6">
            <w:pPr>
              <w:autoSpaceDE w:val="0"/>
              <w:autoSpaceDN w:val="0"/>
              <w:adjustRightInd w:val="0"/>
              <w:snapToGrid w:val="0"/>
              <w:spacing w:line="360" w:lineRule="auto"/>
              <w:ind w:right="-20"/>
              <w:jc w:val="center"/>
              <w:rPr>
                <w:rFonts w:ascii="宋体" w:hAnsi="宋体" w:eastAsia="宋体" w:cs="宋体"/>
                <w:kern w:val="0"/>
                <w:sz w:val="24"/>
                <w:szCs w:val="21"/>
              </w:rPr>
            </w:pPr>
          </w:p>
        </w:tc>
        <w:tc>
          <w:tcPr>
            <w:tcW w:w="675" w:type="pct"/>
            <w:vMerge w:val="continue"/>
            <w:tcBorders>
              <w:top w:val="single" w:color="auto" w:sz="6" w:space="0"/>
              <w:left w:val="single" w:color="auto" w:sz="4" w:space="0"/>
              <w:bottom w:val="single" w:color="auto" w:sz="6" w:space="0"/>
              <w:right w:val="single" w:color="auto" w:sz="6" w:space="0"/>
            </w:tcBorders>
            <w:noWrap w:val="0"/>
            <w:vAlign w:val="center"/>
          </w:tcPr>
          <w:p w14:paraId="4FEF0273">
            <w:pPr>
              <w:autoSpaceDE w:val="0"/>
              <w:autoSpaceDN w:val="0"/>
              <w:adjustRightInd w:val="0"/>
              <w:snapToGrid w:val="0"/>
              <w:spacing w:line="360" w:lineRule="auto"/>
              <w:ind w:right="-20"/>
              <w:jc w:val="center"/>
              <w:rPr>
                <w:rFonts w:ascii="宋体" w:hAnsi="宋体" w:eastAsia="宋体" w:cs="宋体"/>
                <w:kern w:val="0"/>
                <w:sz w:val="24"/>
                <w:szCs w:val="21"/>
              </w:rPr>
            </w:pPr>
          </w:p>
        </w:tc>
        <w:tc>
          <w:tcPr>
            <w:tcW w:w="615" w:type="pct"/>
            <w:vMerge w:val="continue"/>
            <w:tcBorders>
              <w:left w:val="single" w:color="auto" w:sz="6" w:space="0"/>
              <w:bottom w:val="single" w:color="auto" w:sz="6" w:space="0"/>
              <w:right w:val="single" w:color="auto" w:sz="4" w:space="0"/>
            </w:tcBorders>
            <w:noWrap w:val="0"/>
            <w:vAlign w:val="center"/>
          </w:tcPr>
          <w:p w14:paraId="3F2906AA">
            <w:pPr>
              <w:autoSpaceDE w:val="0"/>
              <w:autoSpaceDN w:val="0"/>
              <w:adjustRightInd w:val="0"/>
              <w:snapToGrid w:val="0"/>
              <w:spacing w:line="360" w:lineRule="auto"/>
              <w:ind w:right="-20"/>
              <w:jc w:val="center"/>
              <w:rPr>
                <w:rFonts w:ascii="宋体" w:hAnsi="宋体" w:eastAsia="宋体" w:cs="宋体"/>
                <w:kern w:val="0"/>
                <w:sz w:val="24"/>
                <w:szCs w:val="21"/>
              </w:rPr>
            </w:pPr>
          </w:p>
        </w:tc>
        <w:tc>
          <w:tcPr>
            <w:tcW w:w="464" w:type="pct"/>
            <w:tcBorders>
              <w:top w:val="single" w:color="auto" w:sz="6" w:space="0"/>
              <w:left w:val="single" w:color="auto" w:sz="4" w:space="0"/>
              <w:bottom w:val="single" w:color="auto" w:sz="6" w:space="0"/>
              <w:right w:val="single" w:color="auto" w:sz="4" w:space="0"/>
            </w:tcBorders>
            <w:noWrap w:val="0"/>
            <w:vAlign w:val="center"/>
          </w:tcPr>
          <w:p w14:paraId="1962E3BD">
            <w:pPr>
              <w:autoSpaceDE w:val="0"/>
              <w:autoSpaceDN w:val="0"/>
              <w:adjustRightInd w:val="0"/>
              <w:snapToGrid w:val="0"/>
              <w:spacing w:line="360" w:lineRule="auto"/>
              <w:ind w:right="-20"/>
              <w:jc w:val="center"/>
              <w:rPr>
                <w:rFonts w:ascii="宋体" w:hAnsi="宋体" w:eastAsia="宋体" w:cs="宋体"/>
                <w:kern w:val="0"/>
                <w:sz w:val="24"/>
                <w:szCs w:val="21"/>
              </w:rPr>
            </w:pPr>
            <w:r>
              <w:rPr>
                <w:rFonts w:hint="eastAsia" w:ascii="宋体" w:hAnsi="宋体" w:eastAsia="宋体" w:cs="宋体"/>
                <w:kern w:val="0"/>
                <w:position w:val="-1"/>
                <w:sz w:val="24"/>
                <w:szCs w:val="21"/>
              </w:rPr>
              <w:t>单价</w:t>
            </w:r>
          </w:p>
        </w:tc>
        <w:tc>
          <w:tcPr>
            <w:tcW w:w="567" w:type="pct"/>
            <w:tcBorders>
              <w:top w:val="single" w:color="auto" w:sz="6" w:space="0"/>
              <w:left w:val="single" w:color="auto" w:sz="4" w:space="0"/>
              <w:bottom w:val="single" w:color="auto" w:sz="6" w:space="0"/>
              <w:right w:val="single" w:color="auto" w:sz="6" w:space="0"/>
            </w:tcBorders>
            <w:noWrap w:val="0"/>
            <w:vAlign w:val="center"/>
          </w:tcPr>
          <w:p w14:paraId="77380454">
            <w:pPr>
              <w:autoSpaceDE w:val="0"/>
              <w:autoSpaceDN w:val="0"/>
              <w:adjustRightInd w:val="0"/>
              <w:snapToGrid w:val="0"/>
              <w:spacing w:line="360" w:lineRule="auto"/>
              <w:ind w:left="70" w:right="-20"/>
              <w:jc w:val="center"/>
              <w:rPr>
                <w:rFonts w:ascii="宋体" w:hAnsi="宋体" w:eastAsia="宋体" w:cs="宋体"/>
                <w:kern w:val="0"/>
                <w:sz w:val="24"/>
                <w:szCs w:val="21"/>
              </w:rPr>
            </w:pPr>
            <w:r>
              <w:rPr>
                <w:rFonts w:hint="eastAsia" w:ascii="宋体" w:hAnsi="宋体" w:eastAsia="宋体" w:cs="宋体"/>
                <w:kern w:val="0"/>
                <w:sz w:val="24"/>
                <w:szCs w:val="21"/>
              </w:rPr>
              <w:t>小计</w:t>
            </w:r>
          </w:p>
        </w:tc>
        <w:tc>
          <w:tcPr>
            <w:tcW w:w="514" w:type="pct"/>
            <w:vMerge w:val="continue"/>
            <w:tcBorders>
              <w:top w:val="single" w:color="auto" w:sz="6" w:space="0"/>
              <w:left w:val="single" w:color="auto" w:sz="6" w:space="0"/>
              <w:bottom w:val="single" w:color="auto" w:sz="6" w:space="0"/>
              <w:right w:val="double" w:color="auto" w:sz="4" w:space="0"/>
            </w:tcBorders>
            <w:noWrap w:val="0"/>
            <w:vAlign w:val="top"/>
          </w:tcPr>
          <w:p w14:paraId="18E74C3A">
            <w:pPr>
              <w:autoSpaceDE w:val="0"/>
              <w:autoSpaceDN w:val="0"/>
              <w:adjustRightInd w:val="0"/>
              <w:snapToGrid w:val="0"/>
              <w:spacing w:line="360" w:lineRule="auto"/>
              <w:ind w:left="422" w:right="-20"/>
              <w:jc w:val="left"/>
              <w:rPr>
                <w:rFonts w:ascii="宋体" w:hAnsi="宋体" w:eastAsia="宋体" w:cs="宋体"/>
                <w:kern w:val="0"/>
                <w:sz w:val="24"/>
                <w:szCs w:val="21"/>
              </w:rPr>
            </w:pPr>
          </w:p>
        </w:tc>
      </w:tr>
      <w:tr w14:paraId="1DC19DF8">
        <w:trPr>
          <w:trHeight w:val="378"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3F7A8834">
            <w:pPr>
              <w:spacing w:line="360" w:lineRule="auto"/>
              <w:jc w:val="center"/>
              <w:rPr>
                <w:rFonts w:ascii="宋体" w:hAnsi="宋体" w:eastAsia="宋体" w:cs="宋体"/>
                <w:sz w:val="24"/>
                <w:szCs w:val="22"/>
              </w:rPr>
            </w:pPr>
            <w:r>
              <w:rPr>
                <w:rFonts w:hint="eastAsia" w:ascii="宋体" w:hAnsi="宋体" w:eastAsia="宋体" w:cs="宋体"/>
                <w:sz w:val="24"/>
                <w:szCs w:val="22"/>
              </w:rPr>
              <w:t>1</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125F7607">
            <w:pPr>
              <w:autoSpaceDE w:val="0"/>
              <w:autoSpaceDN w:val="0"/>
              <w:adjustRightInd w:val="0"/>
              <w:snapToGrid w:val="0"/>
              <w:spacing w:line="360" w:lineRule="auto"/>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1E10886D">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765A47E6">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0700AEBD">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6" w:space="0"/>
              <w:bottom w:val="single" w:color="auto" w:sz="6" w:space="0"/>
              <w:right w:val="single" w:color="auto" w:sz="6" w:space="0"/>
            </w:tcBorders>
            <w:noWrap w:val="0"/>
            <w:vAlign w:val="top"/>
          </w:tcPr>
          <w:p w14:paraId="68936E8C">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3EA8B68E">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246AEDFD">
            <w:pPr>
              <w:autoSpaceDE w:val="0"/>
              <w:autoSpaceDN w:val="0"/>
              <w:adjustRightInd w:val="0"/>
              <w:snapToGrid w:val="0"/>
              <w:spacing w:line="360" w:lineRule="auto"/>
              <w:jc w:val="left"/>
              <w:rPr>
                <w:rFonts w:ascii="宋体" w:hAnsi="宋体" w:eastAsia="宋体" w:cs="宋体"/>
                <w:kern w:val="0"/>
                <w:sz w:val="24"/>
                <w:szCs w:val="21"/>
              </w:rPr>
            </w:pPr>
          </w:p>
        </w:tc>
      </w:tr>
      <w:tr w14:paraId="71A29C80">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5EFD8CD3">
            <w:pPr>
              <w:spacing w:line="360" w:lineRule="auto"/>
              <w:jc w:val="center"/>
              <w:rPr>
                <w:rFonts w:ascii="宋体" w:hAnsi="宋体" w:eastAsia="宋体" w:cs="宋体"/>
                <w:sz w:val="24"/>
                <w:szCs w:val="22"/>
              </w:rPr>
            </w:pPr>
            <w:r>
              <w:rPr>
                <w:rFonts w:hint="eastAsia" w:ascii="宋体" w:hAnsi="宋体" w:eastAsia="宋体" w:cs="宋体"/>
                <w:sz w:val="24"/>
                <w:szCs w:val="22"/>
              </w:rPr>
              <w:t>2</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153DD914">
            <w:pPr>
              <w:autoSpaceDE w:val="0"/>
              <w:autoSpaceDN w:val="0"/>
              <w:adjustRightInd w:val="0"/>
              <w:snapToGrid w:val="0"/>
              <w:spacing w:line="360" w:lineRule="auto"/>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86881A9">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117A0285">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6E0EB1F9">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6" w:space="0"/>
              <w:bottom w:val="single" w:color="auto" w:sz="6" w:space="0"/>
              <w:right w:val="single" w:color="auto" w:sz="6" w:space="0"/>
            </w:tcBorders>
            <w:noWrap w:val="0"/>
            <w:vAlign w:val="top"/>
          </w:tcPr>
          <w:p w14:paraId="44B2DFEC">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59972846">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1D043672">
            <w:pPr>
              <w:autoSpaceDE w:val="0"/>
              <w:autoSpaceDN w:val="0"/>
              <w:adjustRightInd w:val="0"/>
              <w:snapToGrid w:val="0"/>
              <w:spacing w:line="360" w:lineRule="auto"/>
              <w:jc w:val="left"/>
              <w:rPr>
                <w:rFonts w:ascii="宋体" w:hAnsi="宋体" w:eastAsia="宋体" w:cs="宋体"/>
                <w:kern w:val="0"/>
                <w:sz w:val="24"/>
                <w:szCs w:val="21"/>
              </w:rPr>
            </w:pPr>
          </w:p>
        </w:tc>
      </w:tr>
      <w:tr w14:paraId="7FF2EF80">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7ECD632E">
            <w:pPr>
              <w:spacing w:line="360" w:lineRule="auto"/>
              <w:jc w:val="center"/>
              <w:rPr>
                <w:rFonts w:ascii="宋体" w:hAnsi="宋体" w:eastAsia="宋体" w:cs="宋体"/>
                <w:sz w:val="24"/>
                <w:szCs w:val="22"/>
              </w:rPr>
            </w:pPr>
            <w:r>
              <w:rPr>
                <w:rFonts w:hint="eastAsia" w:ascii="宋体" w:hAnsi="宋体" w:eastAsia="宋体" w:cs="宋体"/>
                <w:sz w:val="24"/>
                <w:szCs w:val="22"/>
              </w:rPr>
              <w:t>3</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733E336F">
            <w:pPr>
              <w:autoSpaceDE w:val="0"/>
              <w:autoSpaceDN w:val="0"/>
              <w:adjustRightInd w:val="0"/>
              <w:snapToGrid w:val="0"/>
              <w:spacing w:line="360" w:lineRule="auto"/>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846C9DD">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27E605C5">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06AC4169">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6" w:space="0"/>
              <w:bottom w:val="single" w:color="auto" w:sz="6" w:space="0"/>
              <w:right w:val="single" w:color="auto" w:sz="6" w:space="0"/>
            </w:tcBorders>
            <w:noWrap w:val="0"/>
            <w:vAlign w:val="top"/>
          </w:tcPr>
          <w:p w14:paraId="3A70B20F">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14A64053">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3F67ABF2">
            <w:pPr>
              <w:autoSpaceDE w:val="0"/>
              <w:autoSpaceDN w:val="0"/>
              <w:adjustRightInd w:val="0"/>
              <w:snapToGrid w:val="0"/>
              <w:spacing w:line="360" w:lineRule="auto"/>
              <w:jc w:val="left"/>
              <w:rPr>
                <w:rFonts w:ascii="宋体" w:hAnsi="宋体" w:eastAsia="宋体" w:cs="宋体"/>
                <w:kern w:val="0"/>
                <w:sz w:val="24"/>
                <w:szCs w:val="21"/>
              </w:rPr>
            </w:pPr>
          </w:p>
        </w:tc>
      </w:tr>
      <w:tr w14:paraId="2EA42D54">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0CF10889">
            <w:pPr>
              <w:spacing w:line="360" w:lineRule="auto"/>
              <w:jc w:val="center"/>
              <w:rPr>
                <w:rFonts w:ascii="宋体" w:hAnsi="宋体" w:eastAsia="宋体" w:cs="宋体"/>
                <w:sz w:val="24"/>
                <w:szCs w:val="22"/>
              </w:rPr>
            </w:pPr>
            <w:r>
              <w:rPr>
                <w:rFonts w:hint="eastAsia" w:ascii="宋体" w:hAnsi="宋体" w:eastAsia="宋体" w:cs="宋体"/>
                <w:sz w:val="24"/>
                <w:szCs w:val="22"/>
              </w:rPr>
              <w:t>4</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340E73FF">
            <w:pPr>
              <w:autoSpaceDE w:val="0"/>
              <w:autoSpaceDN w:val="0"/>
              <w:adjustRightInd w:val="0"/>
              <w:snapToGrid w:val="0"/>
              <w:spacing w:line="360" w:lineRule="auto"/>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8BE3E0A">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17EAC43C">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71EEB194">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4" w:space="0"/>
              <w:bottom w:val="single" w:color="auto" w:sz="6" w:space="0"/>
              <w:right w:val="single" w:color="auto" w:sz="6" w:space="0"/>
            </w:tcBorders>
            <w:noWrap w:val="0"/>
            <w:vAlign w:val="top"/>
          </w:tcPr>
          <w:p w14:paraId="7CA16964">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7C4A6512">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0FDAA4E5">
            <w:pPr>
              <w:autoSpaceDE w:val="0"/>
              <w:autoSpaceDN w:val="0"/>
              <w:adjustRightInd w:val="0"/>
              <w:snapToGrid w:val="0"/>
              <w:spacing w:line="360" w:lineRule="auto"/>
              <w:jc w:val="left"/>
              <w:rPr>
                <w:rFonts w:ascii="宋体" w:hAnsi="宋体" w:eastAsia="宋体" w:cs="宋体"/>
                <w:kern w:val="0"/>
                <w:sz w:val="24"/>
                <w:szCs w:val="21"/>
              </w:rPr>
            </w:pPr>
          </w:p>
        </w:tc>
      </w:tr>
      <w:tr w14:paraId="5E7CC6D0">
        <w:tblPrEx>
          <w:tblCellMar>
            <w:top w:w="0" w:type="dxa"/>
            <w:left w:w="0" w:type="dxa"/>
            <w:bottom w:w="0" w:type="dxa"/>
            <w:right w:w="0" w:type="dxa"/>
          </w:tblCellMar>
        </w:tblPrEx>
        <w:trPr>
          <w:trHeight w:val="415"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14DDCC67">
            <w:pPr>
              <w:spacing w:line="360" w:lineRule="auto"/>
              <w:jc w:val="center"/>
              <w:rPr>
                <w:rFonts w:ascii="宋体" w:hAnsi="宋体" w:eastAsia="宋体" w:cs="宋体"/>
                <w:sz w:val="24"/>
                <w:szCs w:val="22"/>
              </w:rPr>
            </w:pPr>
            <w:r>
              <w:rPr>
                <w:rFonts w:hint="eastAsia" w:ascii="宋体" w:hAnsi="宋体" w:eastAsia="宋体" w:cs="宋体"/>
                <w:sz w:val="24"/>
                <w:szCs w:val="22"/>
              </w:rPr>
              <w:t>5</w:t>
            </w:r>
          </w:p>
        </w:tc>
        <w:tc>
          <w:tcPr>
            <w:tcW w:w="779" w:type="pct"/>
            <w:tcBorders>
              <w:top w:val="single" w:color="auto" w:sz="6" w:space="0"/>
              <w:left w:val="single" w:color="auto" w:sz="6" w:space="0"/>
              <w:bottom w:val="single" w:color="auto" w:sz="6" w:space="0"/>
              <w:right w:val="single" w:color="auto" w:sz="6" w:space="0"/>
            </w:tcBorders>
            <w:noWrap w:val="0"/>
            <w:vAlign w:val="center"/>
          </w:tcPr>
          <w:p w14:paraId="772645B1">
            <w:pPr>
              <w:autoSpaceDE w:val="0"/>
              <w:autoSpaceDN w:val="0"/>
              <w:adjustRightInd w:val="0"/>
              <w:snapToGrid w:val="0"/>
              <w:spacing w:line="360" w:lineRule="auto"/>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2EF38A4">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274CF6B3">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5530ED4E">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4" w:space="0"/>
              <w:bottom w:val="single" w:color="auto" w:sz="6" w:space="0"/>
              <w:right w:val="single" w:color="auto" w:sz="6" w:space="0"/>
            </w:tcBorders>
            <w:noWrap w:val="0"/>
            <w:vAlign w:val="top"/>
          </w:tcPr>
          <w:p w14:paraId="0DB724BA">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5AA664BA">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53B45867">
            <w:pPr>
              <w:autoSpaceDE w:val="0"/>
              <w:autoSpaceDN w:val="0"/>
              <w:adjustRightInd w:val="0"/>
              <w:snapToGrid w:val="0"/>
              <w:spacing w:line="360" w:lineRule="auto"/>
              <w:jc w:val="left"/>
              <w:rPr>
                <w:rFonts w:ascii="宋体" w:hAnsi="宋体" w:eastAsia="宋体" w:cs="宋体"/>
                <w:kern w:val="0"/>
                <w:sz w:val="24"/>
                <w:szCs w:val="21"/>
              </w:rPr>
            </w:pPr>
          </w:p>
        </w:tc>
      </w:tr>
      <w:tr w14:paraId="02642881">
        <w:tblPrEx>
          <w:tblCellMar>
            <w:top w:w="0" w:type="dxa"/>
            <w:left w:w="0" w:type="dxa"/>
            <w:bottom w:w="0" w:type="dxa"/>
            <w:right w:w="0" w:type="dxa"/>
          </w:tblCellMar>
        </w:tblPrEx>
        <w:trPr>
          <w:trHeight w:val="610" w:hRule="exact"/>
        </w:trPr>
        <w:tc>
          <w:tcPr>
            <w:tcW w:w="187" w:type="pct"/>
            <w:tcBorders>
              <w:top w:val="single" w:color="auto" w:sz="6" w:space="0"/>
              <w:left w:val="double" w:color="auto" w:sz="4" w:space="0"/>
              <w:bottom w:val="single" w:color="auto" w:sz="6" w:space="0"/>
              <w:right w:val="single" w:color="auto" w:sz="6" w:space="0"/>
            </w:tcBorders>
            <w:noWrap w:val="0"/>
            <w:vAlign w:val="center"/>
          </w:tcPr>
          <w:p w14:paraId="76C48BCE">
            <w:pPr>
              <w:spacing w:line="360" w:lineRule="auto"/>
              <w:jc w:val="center"/>
              <w:rPr>
                <w:rFonts w:ascii="宋体" w:hAnsi="宋体" w:eastAsia="宋体" w:cs="宋体"/>
                <w:sz w:val="24"/>
                <w:szCs w:val="22"/>
              </w:rPr>
            </w:pPr>
            <w:r>
              <w:rPr>
                <w:rFonts w:hint="eastAsia" w:ascii="宋体" w:hAnsi="宋体" w:eastAsia="宋体" w:cs="宋体"/>
                <w:sz w:val="24"/>
                <w:szCs w:val="22"/>
              </w:rPr>
              <w:t>…</w:t>
            </w:r>
          </w:p>
        </w:tc>
        <w:tc>
          <w:tcPr>
            <w:tcW w:w="779" w:type="pct"/>
            <w:tcBorders>
              <w:top w:val="single" w:color="auto" w:sz="6" w:space="0"/>
              <w:left w:val="single" w:color="auto" w:sz="6" w:space="0"/>
              <w:bottom w:val="single" w:color="auto" w:sz="6" w:space="0"/>
              <w:right w:val="single" w:color="auto" w:sz="6" w:space="0"/>
            </w:tcBorders>
            <w:noWrap w:val="0"/>
            <w:vAlign w:val="top"/>
          </w:tcPr>
          <w:p w14:paraId="728337E6">
            <w:pPr>
              <w:autoSpaceDE w:val="0"/>
              <w:autoSpaceDN w:val="0"/>
              <w:adjustRightInd w:val="0"/>
              <w:snapToGrid w:val="0"/>
              <w:spacing w:line="360" w:lineRule="auto"/>
              <w:ind w:left="527" w:right="507"/>
              <w:jc w:val="center"/>
              <w:rPr>
                <w:rFonts w:ascii="宋体" w:hAnsi="宋体" w:eastAsia="宋体" w:cs="宋体"/>
                <w:kern w:val="0"/>
                <w:sz w:val="24"/>
                <w:szCs w:val="21"/>
              </w:rPr>
            </w:pPr>
          </w:p>
        </w:tc>
        <w:tc>
          <w:tcPr>
            <w:tcW w:w="1197" w:type="pct"/>
            <w:tcBorders>
              <w:top w:val="single" w:color="auto" w:sz="6" w:space="0"/>
              <w:left w:val="single" w:color="auto" w:sz="6" w:space="0"/>
              <w:bottom w:val="single" w:color="auto" w:sz="6" w:space="0"/>
              <w:right w:val="single" w:color="auto" w:sz="4" w:space="0"/>
            </w:tcBorders>
            <w:noWrap w:val="0"/>
            <w:vAlign w:val="top"/>
          </w:tcPr>
          <w:p w14:paraId="4A4AC8A9">
            <w:pPr>
              <w:autoSpaceDE w:val="0"/>
              <w:autoSpaceDN w:val="0"/>
              <w:adjustRightInd w:val="0"/>
              <w:snapToGrid w:val="0"/>
              <w:spacing w:line="360" w:lineRule="auto"/>
              <w:jc w:val="left"/>
              <w:rPr>
                <w:rFonts w:ascii="宋体" w:hAnsi="宋体" w:eastAsia="宋体" w:cs="宋体"/>
                <w:kern w:val="0"/>
                <w:sz w:val="24"/>
                <w:szCs w:val="21"/>
              </w:rPr>
            </w:pPr>
          </w:p>
        </w:tc>
        <w:tc>
          <w:tcPr>
            <w:tcW w:w="675" w:type="pct"/>
            <w:tcBorders>
              <w:top w:val="single" w:color="auto" w:sz="6" w:space="0"/>
              <w:left w:val="single" w:color="auto" w:sz="4" w:space="0"/>
              <w:bottom w:val="single" w:color="auto" w:sz="6" w:space="0"/>
              <w:right w:val="single" w:color="auto" w:sz="6" w:space="0"/>
            </w:tcBorders>
            <w:noWrap w:val="0"/>
            <w:vAlign w:val="top"/>
          </w:tcPr>
          <w:p w14:paraId="320BE19A">
            <w:pPr>
              <w:autoSpaceDE w:val="0"/>
              <w:autoSpaceDN w:val="0"/>
              <w:adjustRightInd w:val="0"/>
              <w:snapToGrid w:val="0"/>
              <w:spacing w:line="360" w:lineRule="auto"/>
              <w:jc w:val="left"/>
              <w:rPr>
                <w:rFonts w:ascii="宋体" w:hAnsi="宋体" w:eastAsia="宋体" w:cs="宋体"/>
                <w:kern w:val="0"/>
                <w:sz w:val="24"/>
                <w:szCs w:val="21"/>
              </w:rPr>
            </w:pPr>
          </w:p>
        </w:tc>
        <w:tc>
          <w:tcPr>
            <w:tcW w:w="615" w:type="pct"/>
            <w:tcBorders>
              <w:top w:val="single" w:color="auto" w:sz="6" w:space="0"/>
              <w:left w:val="single" w:color="auto" w:sz="6" w:space="0"/>
              <w:bottom w:val="single" w:color="auto" w:sz="6" w:space="0"/>
              <w:right w:val="single" w:color="auto" w:sz="4" w:space="0"/>
            </w:tcBorders>
            <w:noWrap w:val="0"/>
            <w:vAlign w:val="top"/>
          </w:tcPr>
          <w:p w14:paraId="13870B03">
            <w:pPr>
              <w:autoSpaceDE w:val="0"/>
              <w:autoSpaceDN w:val="0"/>
              <w:adjustRightInd w:val="0"/>
              <w:snapToGrid w:val="0"/>
              <w:spacing w:line="360" w:lineRule="auto"/>
              <w:jc w:val="center"/>
              <w:rPr>
                <w:rFonts w:ascii="宋体" w:hAnsi="宋体" w:eastAsia="宋体" w:cs="宋体"/>
                <w:kern w:val="0"/>
                <w:sz w:val="24"/>
                <w:szCs w:val="21"/>
              </w:rPr>
            </w:pPr>
          </w:p>
        </w:tc>
        <w:tc>
          <w:tcPr>
            <w:tcW w:w="464" w:type="pct"/>
            <w:tcBorders>
              <w:top w:val="single" w:color="auto" w:sz="6" w:space="0"/>
              <w:left w:val="single" w:color="auto" w:sz="4" w:space="0"/>
              <w:bottom w:val="single" w:color="auto" w:sz="6" w:space="0"/>
              <w:right w:val="single" w:color="auto" w:sz="6" w:space="0"/>
            </w:tcBorders>
            <w:noWrap w:val="0"/>
            <w:vAlign w:val="top"/>
          </w:tcPr>
          <w:p w14:paraId="167C270A">
            <w:pPr>
              <w:autoSpaceDE w:val="0"/>
              <w:autoSpaceDN w:val="0"/>
              <w:adjustRightInd w:val="0"/>
              <w:snapToGrid w:val="0"/>
              <w:spacing w:line="360" w:lineRule="auto"/>
              <w:jc w:val="center"/>
              <w:rPr>
                <w:rFonts w:ascii="宋体" w:hAnsi="宋体" w:eastAsia="宋体" w:cs="宋体"/>
                <w:kern w:val="0"/>
                <w:sz w:val="24"/>
                <w:szCs w:val="21"/>
              </w:rPr>
            </w:pPr>
          </w:p>
        </w:tc>
        <w:tc>
          <w:tcPr>
            <w:tcW w:w="567" w:type="pct"/>
            <w:tcBorders>
              <w:top w:val="single" w:color="auto" w:sz="6" w:space="0"/>
              <w:left w:val="single" w:color="auto" w:sz="6" w:space="0"/>
              <w:bottom w:val="single" w:color="auto" w:sz="6" w:space="0"/>
              <w:right w:val="single" w:color="auto" w:sz="6" w:space="0"/>
            </w:tcBorders>
            <w:noWrap w:val="0"/>
            <w:vAlign w:val="top"/>
          </w:tcPr>
          <w:p w14:paraId="165DE5AF">
            <w:pPr>
              <w:autoSpaceDE w:val="0"/>
              <w:autoSpaceDN w:val="0"/>
              <w:adjustRightInd w:val="0"/>
              <w:snapToGrid w:val="0"/>
              <w:spacing w:line="360" w:lineRule="auto"/>
              <w:jc w:val="center"/>
              <w:rPr>
                <w:rFonts w:ascii="宋体" w:hAnsi="宋体" w:eastAsia="宋体" w:cs="宋体"/>
                <w:kern w:val="0"/>
                <w:sz w:val="24"/>
                <w:szCs w:val="21"/>
              </w:rPr>
            </w:pPr>
          </w:p>
        </w:tc>
        <w:tc>
          <w:tcPr>
            <w:tcW w:w="514" w:type="pct"/>
            <w:tcBorders>
              <w:top w:val="single" w:color="auto" w:sz="6" w:space="0"/>
              <w:left w:val="single" w:color="auto" w:sz="6" w:space="0"/>
              <w:bottom w:val="single" w:color="auto" w:sz="6" w:space="0"/>
              <w:right w:val="double" w:color="auto" w:sz="4" w:space="0"/>
            </w:tcBorders>
            <w:noWrap w:val="0"/>
            <w:vAlign w:val="top"/>
          </w:tcPr>
          <w:p w14:paraId="2607EBF6">
            <w:pPr>
              <w:autoSpaceDE w:val="0"/>
              <w:autoSpaceDN w:val="0"/>
              <w:adjustRightInd w:val="0"/>
              <w:snapToGrid w:val="0"/>
              <w:spacing w:line="360" w:lineRule="auto"/>
              <w:jc w:val="left"/>
              <w:rPr>
                <w:rFonts w:ascii="宋体" w:hAnsi="宋体" w:eastAsia="宋体" w:cs="宋体"/>
                <w:kern w:val="0"/>
                <w:sz w:val="24"/>
                <w:szCs w:val="21"/>
              </w:rPr>
            </w:pPr>
          </w:p>
        </w:tc>
      </w:tr>
      <w:tr w14:paraId="133B6CC9">
        <w:tblPrEx>
          <w:tblCellMar>
            <w:top w:w="0" w:type="dxa"/>
            <w:left w:w="0" w:type="dxa"/>
            <w:bottom w:w="0" w:type="dxa"/>
            <w:right w:w="0" w:type="dxa"/>
          </w:tblCellMar>
        </w:tblPrEx>
        <w:trPr>
          <w:trHeight w:val="415" w:hRule="exact"/>
        </w:trPr>
        <w:tc>
          <w:tcPr>
            <w:tcW w:w="3918" w:type="pct"/>
            <w:gridSpan w:val="6"/>
            <w:tcBorders>
              <w:top w:val="single" w:color="auto" w:sz="6" w:space="0"/>
              <w:left w:val="double" w:color="auto" w:sz="4" w:space="0"/>
              <w:bottom w:val="double" w:color="auto" w:sz="4" w:space="0"/>
              <w:right w:val="single" w:color="auto" w:sz="6" w:space="0"/>
            </w:tcBorders>
            <w:noWrap w:val="0"/>
            <w:vAlign w:val="center"/>
          </w:tcPr>
          <w:p w14:paraId="4D590FA6">
            <w:pPr>
              <w:autoSpaceDE w:val="0"/>
              <w:autoSpaceDN w:val="0"/>
              <w:adjustRightInd w:val="0"/>
              <w:snapToGrid w:val="0"/>
              <w:spacing w:line="360" w:lineRule="auto"/>
              <w:jc w:val="center"/>
              <w:rPr>
                <w:rFonts w:ascii="宋体" w:hAnsi="宋体" w:eastAsia="宋体" w:cs="宋体"/>
                <w:kern w:val="0"/>
                <w:sz w:val="24"/>
                <w:szCs w:val="21"/>
              </w:rPr>
            </w:pPr>
            <w:r>
              <w:rPr>
                <w:rFonts w:hint="eastAsia" w:ascii="宋体" w:hAnsi="宋体" w:eastAsia="宋体" w:cs="宋体"/>
                <w:kern w:val="0"/>
                <w:position w:val="-1"/>
                <w:sz w:val="24"/>
                <w:szCs w:val="21"/>
              </w:rPr>
              <w:t>投标报价：</w:t>
            </w:r>
          </w:p>
        </w:tc>
        <w:tc>
          <w:tcPr>
            <w:tcW w:w="567" w:type="pct"/>
            <w:tcBorders>
              <w:top w:val="single" w:color="auto" w:sz="6" w:space="0"/>
              <w:left w:val="single" w:color="auto" w:sz="6" w:space="0"/>
              <w:bottom w:val="double" w:color="auto" w:sz="4" w:space="0"/>
              <w:right w:val="single" w:color="auto" w:sz="6" w:space="0"/>
            </w:tcBorders>
            <w:noWrap w:val="0"/>
            <w:vAlign w:val="top"/>
          </w:tcPr>
          <w:p w14:paraId="10B20488">
            <w:pPr>
              <w:autoSpaceDE w:val="0"/>
              <w:autoSpaceDN w:val="0"/>
              <w:adjustRightInd w:val="0"/>
              <w:snapToGrid w:val="0"/>
              <w:spacing w:line="360" w:lineRule="auto"/>
              <w:jc w:val="left"/>
              <w:rPr>
                <w:rFonts w:ascii="宋体" w:hAnsi="宋体" w:eastAsia="宋体" w:cs="宋体"/>
                <w:kern w:val="0"/>
                <w:sz w:val="24"/>
                <w:szCs w:val="21"/>
              </w:rPr>
            </w:pPr>
          </w:p>
        </w:tc>
        <w:tc>
          <w:tcPr>
            <w:tcW w:w="514" w:type="pct"/>
            <w:tcBorders>
              <w:top w:val="single" w:color="auto" w:sz="6" w:space="0"/>
              <w:left w:val="single" w:color="auto" w:sz="6" w:space="0"/>
              <w:bottom w:val="double" w:color="auto" w:sz="4" w:space="0"/>
              <w:right w:val="double" w:color="auto" w:sz="4" w:space="0"/>
            </w:tcBorders>
            <w:noWrap w:val="0"/>
            <w:vAlign w:val="top"/>
          </w:tcPr>
          <w:p w14:paraId="21CB1358">
            <w:pPr>
              <w:autoSpaceDE w:val="0"/>
              <w:autoSpaceDN w:val="0"/>
              <w:adjustRightInd w:val="0"/>
              <w:snapToGrid w:val="0"/>
              <w:spacing w:line="360" w:lineRule="auto"/>
              <w:jc w:val="left"/>
              <w:rPr>
                <w:rFonts w:ascii="宋体" w:hAnsi="宋体" w:eastAsia="宋体" w:cs="宋体"/>
                <w:kern w:val="0"/>
                <w:sz w:val="24"/>
                <w:szCs w:val="21"/>
              </w:rPr>
            </w:pPr>
          </w:p>
        </w:tc>
      </w:tr>
    </w:tbl>
    <w:p w14:paraId="1095D26C">
      <w:pPr>
        <w:pStyle w:val="17"/>
        <w:rPr>
          <w:rFonts w:hint="eastAsia" w:ascii="宋体" w:hAnsi="宋体" w:cs="宋体"/>
          <w:b/>
        </w:rPr>
      </w:pPr>
    </w:p>
    <w:p w14:paraId="5EF0D336">
      <w:pPr>
        <w:adjustRightInd w:val="0"/>
        <w:snapToGrid w:val="0"/>
        <w:rPr>
          <w:rFonts w:hint="eastAsia" w:ascii="宋体" w:hAnsi="宋体" w:cs="宋体"/>
          <w:szCs w:val="21"/>
        </w:rPr>
      </w:pPr>
      <w:r>
        <w:rPr>
          <w:rFonts w:hint="eastAsia" w:ascii="宋体" w:hAnsi="宋体" w:cs="宋体"/>
          <w:szCs w:val="21"/>
        </w:rPr>
        <w:t>供应商（盖单位章）：</w:t>
      </w:r>
      <w:r>
        <w:rPr>
          <w:rFonts w:hint="eastAsia" w:ascii="宋体" w:hAnsi="宋体" w:cs="宋体"/>
          <w:szCs w:val="21"/>
          <w:u w:val="single"/>
        </w:rPr>
        <w:t xml:space="preserve">                </w:t>
      </w:r>
    </w:p>
    <w:p w14:paraId="58F318A3">
      <w:pPr>
        <w:adjustRightInd w:val="0"/>
        <w:snapToGrid w:val="0"/>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603573BD">
      <w:pPr>
        <w:adjustRightInd w:val="0"/>
        <w:snapToGrid w:val="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0AF486B">
      <w:pPr>
        <w:pStyle w:val="17"/>
        <w:spacing w:after="0"/>
        <w:rPr>
          <w:rFonts w:hint="eastAsia" w:ascii="宋体" w:hAnsi="宋体" w:cs="宋体"/>
          <w:b/>
        </w:rPr>
      </w:pPr>
    </w:p>
    <w:p w14:paraId="72432B12">
      <w:pPr>
        <w:pStyle w:val="17"/>
        <w:spacing w:after="0"/>
        <w:rPr>
          <w:rFonts w:hint="eastAsia" w:ascii="宋体" w:hAnsi="宋体" w:cs="宋体"/>
          <w:b/>
        </w:rPr>
      </w:pPr>
      <w:r>
        <w:rPr>
          <w:rFonts w:hint="eastAsia" w:ascii="宋体" w:hAnsi="宋体" w:cs="宋体"/>
          <w:b/>
        </w:rPr>
        <w:t>说明：</w:t>
      </w:r>
    </w:p>
    <w:p w14:paraId="15AE16ED">
      <w:pPr>
        <w:adjustRightInd w:val="0"/>
        <w:snapToGrid w:val="0"/>
        <w:spacing w:line="360" w:lineRule="auto"/>
        <w:jc w:val="left"/>
        <w:rPr>
          <w:rFonts w:ascii="宋体" w:hAnsi="宋体" w:eastAsia="宋体" w:cs="宋体"/>
          <w:sz w:val="24"/>
          <w:szCs w:val="21"/>
        </w:rPr>
      </w:pPr>
      <w:r>
        <w:rPr>
          <w:rFonts w:hint="eastAsia" w:ascii="宋体" w:hAnsi="宋体" w:eastAsia="宋体" w:cs="宋体"/>
          <w:sz w:val="24"/>
          <w:szCs w:val="21"/>
        </w:rPr>
        <w:t>备注：（1）</w:t>
      </w:r>
      <w:r>
        <w:rPr>
          <w:rFonts w:hint="eastAsia" w:ascii="宋体" w:hAnsi="宋体" w:eastAsia="宋体" w:cs="宋体"/>
          <w:b/>
          <w:sz w:val="24"/>
          <w:szCs w:val="21"/>
        </w:rPr>
        <w:t>本表应对应</w:t>
      </w:r>
      <w:r>
        <w:rPr>
          <w:rFonts w:hint="eastAsia" w:ascii="宋体" w:hAnsi="宋体" w:eastAsia="宋体" w:cs="宋体"/>
          <w:sz w:val="24"/>
          <w:szCs w:val="21"/>
        </w:rPr>
        <w:t>“</w:t>
      </w:r>
      <w:r>
        <w:rPr>
          <w:rFonts w:hint="eastAsia" w:ascii="宋体" w:hAnsi="宋体" w:eastAsia="宋体" w:cs="宋体"/>
          <w:b/>
          <w:sz w:val="24"/>
          <w:szCs w:val="21"/>
        </w:rPr>
        <w:t>开标一览表</w:t>
      </w:r>
      <w:r>
        <w:rPr>
          <w:rFonts w:hint="eastAsia" w:ascii="宋体" w:hAnsi="宋体" w:eastAsia="宋体" w:cs="宋体"/>
          <w:sz w:val="24"/>
          <w:szCs w:val="21"/>
        </w:rPr>
        <w:t>”</w:t>
      </w:r>
      <w:r>
        <w:rPr>
          <w:rFonts w:hint="eastAsia" w:ascii="宋体" w:hAnsi="宋体" w:eastAsia="宋体" w:cs="宋体"/>
          <w:b/>
          <w:sz w:val="24"/>
          <w:szCs w:val="21"/>
        </w:rPr>
        <w:t>，按包填写</w:t>
      </w:r>
      <w:r>
        <w:rPr>
          <w:rFonts w:hint="eastAsia" w:ascii="宋体" w:hAnsi="宋体" w:eastAsia="宋体" w:cs="宋体"/>
          <w:sz w:val="24"/>
          <w:szCs w:val="21"/>
        </w:rPr>
        <w:t>。投标人如果不提供分项报价明细表，其</w:t>
      </w:r>
      <w:r>
        <w:rPr>
          <w:rFonts w:hint="eastAsia" w:ascii="宋体" w:hAnsi="宋体" w:eastAsia="宋体" w:cs="宋体"/>
          <w:b/>
          <w:sz w:val="24"/>
          <w:szCs w:val="21"/>
        </w:rPr>
        <w:t>投标无效</w:t>
      </w:r>
      <w:r>
        <w:rPr>
          <w:rFonts w:hint="eastAsia" w:ascii="宋体" w:hAnsi="宋体" w:eastAsia="宋体" w:cs="宋体"/>
          <w:sz w:val="24"/>
          <w:szCs w:val="21"/>
        </w:rPr>
        <w:t>。</w:t>
      </w:r>
    </w:p>
    <w:p w14:paraId="45899C73">
      <w:pPr>
        <w:adjustRightInd w:val="0"/>
        <w:snapToGrid w:val="0"/>
        <w:spacing w:line="360" w:lineRule="auto"/>
        <w:ind w:firstLine="480" w:firstLineChars="200"/>
        <w:jc w:val="left"/>
        <w:rPr>
          <w:rFonts w:ascii="宋体" w:hAnsi="宋体" w:eastAsia="宋体" w:cs="宋体"/>
          <w:sz w:val="24"/>
          <w:szCs w:val="21"/>
        </w:rPr>
      </w:pPr>
      <w:r>
        <w:rPr>
          <w:rFonts w:hint="eastAsia" w:ascii="宋体" w:hAnsi="宋体" w:eastAsia="宋体" w:cs="宋体"/>
          <w:sz w:val="24"/>
          <w:szCs w:val="21"/>
        </w:rPr>
        <w:t>（2）不得填写“免费”或“赠与”，也不得进行“零”报价，否则</w:t>
      </w:r>
      <w:r>
        <w:rPr>
          <w:rFonts w:hint="eastAsia" w:ascii="宋体" w:hAnsi="宋体" w:eastAsia="宋体" w:cs="宋体"/>
          <w:b/>
          <w:sz w:val="24"/>
          <w:szCs w:val="21"/>
        </w:rPr>
        <w:t>投标无效</w:t>
      </w:r>
      <w:r>
        <w:rPr>
          <w:rFonts w:hint="eastAsia" w:ascii="宋体" w:hAnsi="宋体" w:eastAsia="宋体" w:cs="宋体"/>
          <w:sz w:val="24"/>
          <w:szCs w:val="21"/>
        </w:rPr>
        <w:t>。</w:t>
      </w:r>
    </w:p>
    <w:p w14:paraId="55E16AEE">
      <w:pPr>
        <w:adjustRightInd w:val="0"/>
        <w:snapToGrid w:val="0"/>
        <w:spacing w:line="360" w:lineRule="auto"/>
        <w:ind w:firstLine="480" w:firstLineChars="200"/>
        <w:jc w:val="left"/>
        <w:rPr>
          <w:rFonts w:ascii="宋体" w:hAnsi="宋体" w:eastAsia="宋体" w:cs="宋体"/>
          <w:sz w:val="24"/>
          <w:szCs w:val="21"/>
        </w:rPr>
      </w:pPr>
      <w:r>
        <w:rPr>
          <w:rFonts w:hint="eastAsia" w:ascii="宋体" w:hAnsi="宋体" w:eastAsia="宋体" w:cs="宋体"/>
          <w:sz w:val="24"/>
          <w:szCs w:val="21"/>
        </w:rPr>
        <w:t>（3）如果开标一览表内容与本表内容不一致的，以开标一览表内容为准。</w:t>
      </w:r>
    </w:p>
    <w:p w14:paraId="68E99F3B">
      <w:pPr>
        <w:adjustRightInd w:val="0"/>
        <w:snapToGrid w:val="0"/>
        <w:spacing w:line="360" w:lineRule="auto"/>
        <w:ind w:firstLine="480" w:firstLineChars="200"/>
        <w:jc w:val="left"/>
        <w:rPr>
          <w:rFonts w:ascii="宋体" w:hAnsi="宋体" w:eastAsia="宋体" w:cs="宋体"/>
          <w:sz w:val="24"/>
          <w:szCs w:val="21"/>
        </w:rPr>
      </w:pPr>
      <w:r>
        <w:rPr>
          <w:rFonts w:hint="eastAsia" w:ascii="宋体" w:hAnsi="宋体" w:eastAsia="宋体" w:cs="宋体"/>
          <w:sz w:val="24"/>
          <w:szCs w:val="21"/>
        </w:rPr>
        <w:t>（4）</w:t>
      </w:r>
      <w:r>
        <w:rPr>
          <w:rFonts w:hint="eastAsia" w:ascii="宋体" w:hAnsi="宋体" w:eastAsia="宋体" w:cs="宋体"/>
          <w:bCs/>
          <w:sz w:val="24"/>
          <w:szCs w:val="21"/>
        </w:rPr>
        <w:t>投标人在投标截止时间前修改“开标一览表”中的投标报价的，应按第二章第13.7款规定修改本表相应内容。否则，</w:t>
      </w:r>
      <w:r>
        <w:rPr>
          <w:rFonts w:hint="eastAsia" w:ascii="宋体" w:hAnsi="宋体" w:eastAsia="宋体" w:cs="宋体"/>
          <w:sz w:val="24"/>
          <w:szCs w:val="21"/>
        </w:rPr>
        <w:t>本表相应内容按投标报价修改的相同比例进行调整。</w:t>
      </w:r>
    </w:p>
    <w:p w14:paraId="269E6D9B">
      <w:pPr>
        <w:widowControl w:val="0"/>
        <w:spacing w:line="360" w:lineRule="auto"/>
        <w:ind w:firstLine="480" w:firstLineChars="200"/>
        <w:rPr>
          <w:rFonts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（5）投标人分项项目名称应当根据第四章内容填写。</w:t>
      </w:r>
    </w:p>
    <w:p w14:paraId="2C431BBD">
      <w:pPr>
        <w:adjustRightInd w:val="0"/>
        <w:snapToGrid w:val="0"/>
        <w:spacing w:line="360" w:lineRule="auto"/>
        <w:ind w:firstLine="482" w:firstLineChars="200"/>
        <w:jc w:val="both"/>
        <w:rPr>
          <w:rFonts w:ascii="宋体" w:hAnsi="宋体" w:eastAsia="宋体" w:cs="宋体"/>
          <w:b/>
          <w:kern w:val="0"/>
          <w:position w:val="-3"/>
          <w:sz w:val="28"/>
          <w:szCs w:val="28"/>
        </w:rPr>
      </w:pPr>
      <w:r>
        <w:rPr>
          <w:rFonts w:hint="eastAsia" w:ascii="宋体" w:hAnsi="宋体" w:eastAsia="宋体" w:cs="宋体"/>
          <w:b/>
          <w:sz w:val="24"/>
          <w:szCs w:val="21"/>
        </w:rPr>
        <w:t>（6）品牌和产地必须填报，投标人在中标之后所供货物品牌必须与投标文件中分项报价明细表品牌一致，否则视为无效投标。</w:t>
      </w:r>
    </w:p>
    <w:p w14:paraId="6F81F875">
      <w:pPr>
        <w:pStyle w:val="17"/>
        <w:spacing w:after="0"/>
        <w:rPr>
          <w:rFonts w:hint="eastAsia" w:ascii="宋体" w:hAnsi="宋体" w:cs="宋体"/>
          <w:b/>
        </w:rPr>
      </w:pPr>
    </w:p>
    <w:p w14:paraId="5C38EFA9">
      <w:pPr>
        <w:adjustRightInd w:val="0"/>
        <w:snapToGrid w:val="0"/>
        <w:ind w:firstLine="420" w:firstLineChars="200"/>
        <w:rPr>
          <w:rFonts w:hint="eastAsia" w:ascii="宋体" w:hAnsi="宋体"/>
          <w:szCs w:val="21"/>
        </w:rPr>
      </w:pPr>
    </w:p>
    <w:p w14:paraId="0568EB12">
      <w:pPr>
        <w:pStyle w:val="17"/>
      </w:pPr>
    </w:p>
    <w:p w14:paraId="6DD5460F">
      <w:pPr>
        <w:adjustRightInd w:val="0"/>
        <w:snapToGrid w:val="0"/>
        <w:jc w:val="center"/>
        <w:rPr>
          <w:rFonts w:ascii="宋体" w:hAnsi="宋体"/>
          <w:b/>
          <w:sz w:val="28"/>
          <w:szCs w:val="28"/>
        </w:rPr>
      </w:pPr>
    </w:p>
    <w:p w14:paraId="4368CD39">
      <w:pPr>
        <w:pStyle w:val="17"/>
        <w:rPr>
          <w:rFonts w:hint="eastAsia" w:ascii="宋体" w:hAnsi="宋体"/>
          <w:szCs w:val="21"/>
        </w:rPr>
      </w:pPr>
    </w:p>
    <w:p w14:paraId="52E73A5C">
      <w:pPr>
        <w:pStyle w:val="17"/>
        <w:rPr>
          <w:rFonts w:hint="eastAsia" w:ascii="宋体" w:hAnsi="宋体"/>
          <w:szCs w:val="21"/>
        </w:rPr>
      </w:pPr>
    </w:p>
    <w:p w14:paraId="7F36A7DD">
      <w:pPr>
        <w:pStyle w:val="17"/>
        <w:rPr>
          <w:rFonts w:hint="eastAsia" w:ascii="宋体" w:hAnsi="宋体"/>
          <w:szCs w:val="21"/>
        </w:rPr>
      </w:pPr>
    </w:p>
    <w:p w14:paraId="13077E41">
      <w:pPr>
        <w:pStyle w:val="3"/>
        <w:spacing w:line="360" w:lineRule="exact"/>
        <w:jc w:val="center"/>
        <w:rPr>
          <w:rFonts w:hint="eastAsia" w:ascii="宋体" w:hAnsi="宋体"/>
          <w:kern w:val="32"/>
          <w:sz w:val="32"/>
        </w:rPr>
      </w:pPr>
      <w:r>
        <w:rPr>
          <w:rFonts w:hint="eastAsia" w:ascii="宋体" w:hAnsi="宋体"/>
          <w:kern w:val="32"/>
          <w:sz w:val="32"/>
        </w:rPr>
        <w:t>八、供应商认为需要提供的其它资料</w:t>
      </w:r>
    </w:p>
    <w:p w14:paraId="45C9C968">
      <w:pPr>
        <w:adjustRightInd w:val="0"/>
        <w:snapToGrid w:val="0"/>
        <w:spacing w:line="360" w:lineRule="auto"/>
        <w:ind w:firstLine="420" w:firstLineChars="200"/>
        <w:jc w:val="left"/>
        <w:rPr>
          <w:rFonts w:hint="eastAsia" w:ascii="宋体" w:hAnsi="宋体" w:cs="Arial"/>
          <w:szCs w:val="21"/>
          <w:shd w:val="clear" w:color="auto" w:fill="FFFFFF"/>
        </w:rPr>
      </w:pPr>
      <w:r>
        <w:rPr>
          <w:rFonts w:hint="eastAsia" w:ascii="宋体" w:hAnsi="宋体" w:cs="Arial"/>
          <w:szCs w:val="21"/>
          <w:shd w:val="clear" w:color="auto" w:fill="FFFFFF"/>
        </w:rPr>
        <w:t>（1）、由供应商根据自身情况，结合本项目竞争性磋商文件中“评审因素和标准和采购需求中的内容要求补充需要提供的资料。</w:t>
      </w:r>
    </w:p>
    <w:p w14:paraId="485F05A5">
      <w:pPr>
        <w:adjustRightInd w:val="0"/>
        <w:snapToGrid w:val="0"/>
        <w:spacing w:line="360" w:lineRule="auto"/>
        <w:ind w:firstLine="420" w:firstLineChars="200"/>
        <w:jc w:val="left"/>
        <w:rPr>
          <w:rFonts w:hint="eastAsia" w:ascii="宋体" w:hAnsi="宋体" w:cs="Arial"/>
          <w:szCs w:val="21"/>
          <w:shd w:val="clear" w:color="auto" w:fill="FFFFFF"/>
        </w:rPr>
      </w:pPr>
      <w:r>
        <w:rPr>
          <w:rFonts w:hint="eastAsia" w:ascii="宋体" w:hAnsi="宋体" w:cs="Arial"/>
          <w:szCs w:val="21"/>
          <w:shd w:val="clear" w:color="auto" w:fill="FFFFFF"/>
        </w:rPr>
        <w:t>（2）、供应商认为还需要提供的其他资料。</w:t>
      </w:r>
    </w:p>
    <w:p w14:paraId="47C0296C">
      <w:pPr>
        <w:adjustRightInd w:val="0"/>
        <w:snapToGrid w:val="0"/>
        <w:spacing w:line="360" w:lineRule="auto"/>
        <w:jc w:val="left"/>
        <w:rPr>
          <w:rFonts w:hint="eastAsia" w:ascii="宋体" w:hAnsi="宋体" w:cs="宋体"/>
          <w:sz w:val="24"/>
        </w:rPr>
      </w:pPr>
    </w:p>
    <w:p w14:paraId="74CDDE51">
      <w:r>
        <w:br w:type="page"/>
      </w:r>
    </w:p>
    <w:p w14:paraId="1EF3E87E">
      <w:pPr>
        <w:pStyle w:val="3"/>
        <w:spacing w:line="360" w:lineRule="exact"/>
        <w:jc w:val="center"/>
        <w:rPr>
          <w:rFonts w:ascii="宋体" w:hAnsi="宋体"/>
          <w:kern w:val="32"/>
          <w:sz w:val="32"/>
        </w:rPr>
      </w:pPr>
      <w:r>
        <w:rPr>
          <w:rFonts w:hint="eastAsia" w:ascii="宋体" w:hAnsi="宋体"/>
          <w:kern w:val="32"/>
          <w:sz w:val="32"/>
        </w:rPr>
        <w:t>九、最后报价</w:t>
      </w:r>
    </w:p>
    <w:p w14:paraId="63A9F393">
      <w:pPr>
        <w:adjustRightInd w:val="0"/>
        <w:snapToGrid w:val="0"/>
        <w:ind w:left="-88" w:leftChars="-42"/>
        <w:rPr>
          <w:rFonts w:ascii="宋体" w:hAnsi="宋体"/>
          <w:szCs w:val="21"/>
        </w:rPr>
      </w:pPr>
    </w:p>
    <w:p w14:paraId="3FF4D302">
      <w:pPr>
        <w:adjustRightInd w:val="0"/>
        <w:snapToGrid w:val="0"/>
        <w:jc w:val="left"/>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说明：</w:t>
      </w:r>
    </w:p>
    <w:p w14:paraId="6E94DBD5">
      <w:pPr>
        <w:pStyle w:val="43"/>
        <w:rPr>
          <w:rFonts w:hint="eastAsia" w:ascii="华文仿宋" w:hAnsi="华文仿宋" w:eastAsia="华文仿宋" w:cs="华文仿宋"/>
          <w:color w:val="auto"/>
        </w:rPr>
      </w:pPr>
    </w:p>
    <w:p w14:paraId="2CF55E51">
      <w:pPr>
        <w:numPr>
          <w:ilvl w:val="0"/>
          <w:numId w:val="4"/>
        </w:numPr>
        <w:adjustRightInd w:val="0"/>
        <w:snapToGrid w:val="0"/>
        <w:spacing w:line="360" w:lineRule="auto"/>
        <w:ind w:firstLine="420" w:firstLineChars="200"/>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最后报价按第二章磋商须知第30条规定提供，格式按附件9-1、9-2提供。</w:t>
      </w:r>
    </w:p>
    <w:p w14:paraId="64ED9D0E">
      <w:pPr>
        <w:adjustRightInd w:val="0"/>
        <w:snapToGrid w:val="0"/>
        <w:spacing w:line="360" w:lineRule="auto"/>
        <w:ind w:left="-88" w:leftChars="-42" w:firstLine="1822" w:firstLineChars="650"/>
        <w:rPr>
          <w:rFonts w:hint="eastAsia" w:ascii="华文仿宋" w:hAnsi="华文仿宋" w:eastAsia="华文仿宋" w:cs="华文仿宋"/>
          <w:color w:val="auto"/>
          <w:szCs w:val="21"/>
        </w:rPr>
      </w:pPr>
      <w:r>
        <w:rPr>
          <w:rFonts w:hint="eastAsia" w:ascii="华文仿宋" w:hAnsi="华文仿宋" w:eastAsia="华文仿宋" w:cs="华文仿宋"/>
          <w:b/>
          <w:bCs/>
          <w:color w:val="auto"/>
          <w:sz w:val="28"/>
          <w:szCs w:val="28"/>
        </w:rPr>
        <w:t>（</w:t>
      </w:r>
      <w:r>
        <w:rPr>
          <w:rFonts w:hint="eastAsia" w:ascii="华文仿宋" w:hAnsi="华文仿宋" w:eastAsia="华文仿宋" w:cs="华文仿宋"/>
          <w:b/>
          <w:color w:val="auto"/>
          <w:sz w:val="28"/>
          <w:szCs w:val="28"/>
        </w:rPr>
        <w:t>开标时自行准备，不封装在投标文件中）</w:t>
      </w:r>
    </w:p>
    <w:p w14:paraId="3064B38A">
      <w:pPr>
        <w:rPr>
          <w:rFonts w:ascii="宋体" w:hAnsi="宋体"/>
        </w:rPr>
      </w:pPr>
    </w:p>
    <w:p w14:paraId="57357E04">
      <w:pPr>
        <w:adjustRightInd w:val="0"/>
        <w:snapToGrid w:val="0"/>
        <w:rPr>
          <w:rFonts w:ascii="宋体" w:hAnsi="宋体" w:cs="宋体"/>
          <w:szCs w:val="21"/>
        </w:rPr>
      </w:pPr>
    </w:p>
    <w:p w14:paraId="732CC683">
      <w:pPr>
        <w:adjustRightInd w:val="0"/>
        <w:snapToGrid w:val="0"/>
        <w:rPr>
          <w:rFonts w:ascii="宋体" w:hAnsi="宋体" w:cs="宋体"/>
          <w:szCs w:val="21"/>
        </w:rPr>
      </w:pPr>
    </w:p>
    <w:p w14:paraId="78683417">
      <w:pPr>
        <w:adjustRightInd w:val="0"/>
        <w:snapToGrid w:val="0"/>
        <w:rPr>
          <w:rFonts w:ascii="宋体" w:hAnsi="宋体" w:cs="宋体"/>
          <w:szCs w:val="21"/>
        </w:rPr>
      </w:pPr>
    </w:p>
    <w:p w14:paraId="1FE38C55">
      <w:pPr>
        <w:adjustRightInd w:val="0"/>
        <w:snapToGrid w:val="0"/>
        <w:rPr>
          <w:rFonts w:ascii="宋体" w:hAnsi="宋体" w:cs="宋体"/>
          <w:szCs w:val="21"/>
        </w:rPr>
      </w:pPr>
    </w:p>
    <w:p w14:paraId="2C61A2AD">
      <w:pPr>
        <w:adjustRightInd w:val="0"/>
        <w:snapToGrid w:val="0"/>
        <w:rPr>
          <w:rFonts w:ascii="宋体" w:hAnsi="宋体" w:cs="宋体"/>
          <w:szCs w:val="21"/>
        </w:rPr>
      </w:pPr>
    </w:p>
    <w:p w14:paraId="2C384C2D">
      <w:pPr>
        <w:adjustRightInd w:val="0"/>
        <w:snapToGrid w:val="0"/>
        <w:rPr>
          <w:rFonts w:ascii="宋体" w:hAnsi="宋体" w:cs="宋体"/>
          <w:szCs w:val="21"/>
        </w:rPr>
      </w:pPr>
    </w:p>
    <w:p w14:paraId="18D9DA4A">
      <w:pPr>
        <w:adjustRightInd w:val="0"/>
        <w:snapToGrid w:val="0"/>
        <w:rPr>
          <w:rFonts w:ascii="宋体" w:hAnsi="宋体" w:cs="宋体"/>
          <w:szCs w:val="21"/>
        </w:rPr>
      </w:pPr>
    </w:p>
    <w:p w14:paraId="2AFE657D">
      <w:pPr>
        <w:adjustRightInd w:val="0"/>
        <w:snapToGrid w:val="0"/>
        <w:rPr>
          <w:rFonts w:ascii="宋体" w:hAnsi="宋体" w:cs="宋体"/>
          <w:szCs w:val="21"/>
        </w:rPr>
      </w:pPr>
    </w:p>
    <w:p w14:paraId="444FC51C">
      <w:pPr>
        <w:adjustRightInd w:val="0"/>
        <w:snapToGrid w:val="0"/>
        <w:rPr>
          <w:rFonts w:ascii="宋体" w:hAnsi="宋体" w:cs="宋体"/>
          <w:szCs w:val="21"/>
        </w:rPr>
      </w:pPr>
    </w:p>
    <w:p w14:paraId="5EA725AC">
      <w:pPr>
        <w:adjustRightInd w:val="0"/>
        <w:snapToGrid w:val="0"/>
        <w:rPr>
          <w:rFonts w:ascii="宋体" w:hAnsi="宋体" w:cs="宋体"/>
          <w:szCs w:val="21"/>
        </w:rPr>
      </w:pPr>
    </w:p>
    <w:p w14:paraId="2FBF472E">
      <w:pPr>
        <w:adjustRightInd w:val="0"/>
        <w:snapToGrid w:val="0"/>
        <w:rPr>
          <w:rFonts w:ascii="宋体" w:hAnsi="宋体" w:cs="宋体"/>
          <w:szCs w:val="21"/>
        </w:rPr>
      </w:pPr>
    </w:p>
    <w:p w14:paraId="69F4E891">
      <w:pPr>
        <w:adjustRightInd w:val="0"/>
        <w:snapToGrid w:val="0"/>
        <w:rPr>
          <w:rFonts w:ascii="宋体" w:hAnsi="宋体" w:cs="宋体"/>
          <w:szCs w:val="21"/>
        </w:rPr>
      </w:pPr>
    </w:p>
    <w:p w14:paraId="74471F40">
      <w:pPr>
        <w:adjustRightInd w:val="0"/>
        <w:snapToGrid w:val="0"/>
        <w:rPr>
          <w:rFonts w:ascii="宋体" w:hAnsi="宋体" w:cs="宋体"/>
          <w:szCs w:val="21"/>
        </w:rPr>
      </w:pPr>
    </w:p>
    <w:p w14:paraId="6722852F">
      <w:pPr>
        <w:adjustRightInd w:val="0"/>
        <w:snapToGrid w:val="0"/>
        <w:rPr>
          <w:rFonts w:ascii="宋体" w:hAnsi="宋体" w:cs="宋体"/>
          <w:szCs w:val="21"/>
        </w:rPr>
      </w:pPr>
    </w:p>
    <w:p w14:paraId="6A8B6C27">
      <w:pPr>
        <w:adjustRightInd w:val="0"/>
        <w:snapToGrid w:val="0"/>
        <w:rPr>
          <w:rFonts w:ascii="宋体" w:hAnsi="宋体" w:cs="宋体"/>
          <w:szCs w:val="21"/>
        </w:rPr>
      </w:pPr>
    </w:p>
    <w:p w14:paraId="5921B5DA">
      <w:pPr>
        <w:adjustRightInd w:val="0"/>
        <w:snapToGrid w:val="0"/>
        <w:rPr>
          <w:rFonts w:ascii="宋体" w:hAnsi="宋体" w:cs="宋体"/>
          <w:szCs w:val="21"/>
        </w:rPr>
      </w:pPr>
    </w:p>
    <w:p w14:paraId="12002288">
      <w:pPr>
        <w:adjustRightInd w:val="0"/>
        <w:snapToGrid w:val="0"/>
        <w:rPr>
          <w:rFonts w:ascii="宋体" w:hAnsi="宋体" w:cs="宋体"/>
          <w:szCs w:val="21"/>
        </w:rPr>
      </w:pPr>
    </w:p>
    <w:p w14:paraId="34996009">
      <w:pPr>
        <w:adjustRightInd w:val="0"/>
        <w:snapToGrid w:val="0"/>
        <w:rPr>
          <w:rFonts w:ascii="宋体" w:hAnsi="宋体" w:cs="宋体"/>
          <w:szCs w:val="21"/>
        </w:rPr>
      </w:pPr>
    </w:p>
    <w:p w14:paraId="7E90678A">
      <w:pPr>
        <w:adjustRightInd w:val="0"/>
        <w:snapToGrid w:val="0"/>
        <w:rPr>
          <w:rFonts w:ascii="宋体" w:hAnsi="宋体" w:cs="宋体"/>
          <w:szCs w:val="21"/>
        </w:rPr>
      </w:pPr>
    </w:p>
    <w:p w14:paraId="271608C9">
      <w:pPr>
        <w:adjustRightInd w:val="0"/>
        <w:snapToGrid w:val="0"/>
        <w:rPr>
          <w:rFonts w:ascii="宋体" w:hAnsi="宋体" w:cs="宋体"/>
          <w:szCs w:val="21"/>
        </w:rPr>
      </w:pPr>
    </w:p>
    <w:p w14:paraId="38E3631B">
      <w:pPr>
        <w:adjustRightInd w:val="0"/>
        <w:snapToGrid w:val="0"/>
        <w:rPr>
          <w:rFonts w:ascii="宋体" w:hAnsi="宋体" w:cs="宋体"/>
          <w:szCs w:val="21"/>
        </w:rPr>
      </w:pPr>
    </w:p>
    <w:p w14:paraId="43030A0D">
      <w:pPr>
        <w:adjustRightInd w:val="0"/>
        <w:snapToGrid w:val="0"/>
        <w:spacing w:line="360" w:lineRule="auto"/>
        <w:rPr>
          <w:rFonts w:ascii="宋体" w:hAnsi="宋体" w:cs="宋体"/>
          <w:szCs w:val="21"/>
        </w:rPr>
      </w:pPr>
    </w:p>
    <w:p w14:paraId="67B2B129">
      <w:pPr>
        <w:adjustRightInd w:val="0"/>
        <w:snapToGrid w:val="0"/>
        <w:spacing w:before="156" w:beforeLines="50" w:line="360" w:lineRule="auto"/>
        <w:rPr>
          <w:rFonts w:ascii="宋体" w:hAnsi="宋体" w:cs="宋体"/>
          <w:b/>
          <w:sz w:val="32"/>
          <w:szCs w:val="32"/>
        </w:rPr>
      </w:pPr>
    </w:p>
    <w:sectPr>
      <w:headerReference r:id="rId11" w:type="default"/>
      <w:footerReference r:id="rId12" w:type="default"/>
      <w:pgSz w:w="11906" w:h="16838"/>
      <w:pgMar w:top="1474" w:right="1474" w:bottom="232"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B7F567-8D24-43BC-80C4-F8B877180AE0}"/>
  </w:font>
  <w:font w:name="Arial">
    <w:panose1 w:val="020B0604020202020204"/>
    <w:charset w:val="01"/>
    <w:family w:val="swiss"/>
    <w:pitch w:val="default"/>
    <w:sig w:usb0="E0002EFF" w:usb1="C000785B" w:usb2="00000009" w:usb3="00000000" w:csb0="400001FF" w:csb1="FFFF0000"/>
    <w:embedRegular r:id="rId2" w:fontKey="{45244295-9D91-4090-A9CB-8164700C4233}"/>
  </w:font>
  <w:font w:name="黑体">
    <w:panose1 w:val="02010609060101010101"/>
    <w:charset w:val="86"/>
    <w:family w:val="auto"/>
    <w:pitch w:val="default"/>
    <w:sig w:usb0="800002BF" w:usb1="38CF7CFA" w:usb2="00000016" w:usb3="00000000" w:csb0="00040001" w:csb1="00000000"/>
    <w:embedRegular r:id="rId3" w:fontKey="{4E4B204F-C7A1-41C5-BE5A-5904B5B56DC4}"/>
  </w:font>
  <w:font w:name="Courier New">
    <w:panose1 w:val="02070309020205020404"/>
    <w:charset w:val="01"/>
    <w:family w:val="modern"/>
    <w:pitch w:val="default"/>
    <w:sig w:usb0="E0002EFF" w:usb1="C0007843" w:usb2="00000009" w:usb3="00000000" w:csb0="400001FF" w:csb1="FFFF0000"/>
    <w:embedRegular r:id="rId4" w:fontKey="{E5B39592-FC57-4F82-A943-F9B3D61D0AD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BD5DA447-CB97-497F-BBDE-76B5137B1370}"/>
  </w:font>
  <w:font w:name="仿宋_GB2312">
    <w:altName w:val="仿宋"/>
    <w:panose1 w:val="02010609030101010101"/>
    <w:charset w:val="86"/>
    <w:family w:val="roman"/>
    <w:pitch w:val="default"/>
    <w:sig w:usb0="00000000" w:usb1="00000000" w:usb2="00000000" w:usb3="00000000" w:csb0="00040000" w:csb1="00000000"/>
    <w:embedRegular r:id="rId6" w:fontKey="{52D4F710-1C98-4296-B128-C011218321D6}"/>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7" w:fontKey="{D92F914F-01D0-414B-86C6-63415E8CA1B8}"/>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embedRegular r:id="rId8" w:fontKey="{4E5BC200-6CBC-4014-8E22-00BA7C933BA7}"/>
  </w:font>
  <w:font w:name="华文中宋">
    <w:panose1 w:val="02010600040101010101"/>
    <w:charset w:val="86"/>
    <w:family w:val="auto"/>
    <w:pitch w:val="default"/>
    <w:sig w:usb0="00000287" w:usb1="080F0000" w:usb2="00000000" w:usb3="00000000" w:csb0="0004009F" w:csb1="DFD70000"/>
    <w:embedRegular r:id="rId9" w:fontKey="{8E35F747-7B42-4E3E-BB8B-DCF5F31352DA}"/>
  </w:font>
  <w:font w:name="华文仿宋">
    <w:panose1 w:val="02010600040101010101"/>
    <w:charset w:val="86"/>
    <w:family w:val="auto"/>
    <w:pitch w:val="default"/>
    <w:sig w:usb0="00000287" w:usb1="080F0000" w:usb2="00000000" w:usb3="00000000" w:csb0="0004009F" w:csb1="DFD70000"/>
    <w:embedRegular r:id="rId10" w:fontKey="{7100E29F-133A-481E-A453-D5BD2A6EB524}"/>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B0DE">
    <w:pPr>
      <w:pStyle w:val="2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B1EE">
    <w:pPr>
      <w:pStyle w:val="2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24EA3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9v6DO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WWR5+gA1Zt0GzEvDez/k1MkP6MysBxVt/iIfgnEU93AWVw6JiPyoWry9vKJEYKi6rBaLq4zC7h+H&#10;COmD9JZko6ERZ1ck5ftPkMbUU0qu5fyNNgb9vDbugQMxs4flzscOs5WGzTC1vfHtAdn0OPaGOtxy&#10;SsxHh6rmDTkZ8WRsTsYuRL3tygrlehDe7RI2UXrLFUbYqTDOq7CbdisvxL/3knX/P63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o/b+gzgEAAJcDAAAOAAAAAAAAAAEAIAAAAB8BAABkcnMv&#10;ZTJvRG9jLnhtbFBLBQYAAAAABgAGAFkBAABfBQAAAAA=&#10;">
              <v:fill on="f" focussize="0,0"/>
              <v:stroke on="f"/>
              <v:imagedata o:title=""/>
              <o:lock v:ext="edit" aspectratio="f"/>
              <v:textbox inset="0mm,0mm,0mm,0mm" style="mso-fit-shape-to-text:t;">
                <w:txbxContent>
                  <w:p w14:paraId="024EA3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3173">
    <w:pPr>
      <w:pStyle w:val="2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A3C0F6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lFob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Qq2dN5qLDq3mNd7N+7HpdmygMmk+peBpPeqIfgPZp7PJsr+kh4+qhcXl9eUcLxqrwsl8uMXjx9&#10;7APEO+EMSUFNA84uW8oOHyEiESydSlIv626V1nl+2v6VwMKUKRLzgWGKYr/tRzlb1xxRTYdjr6nF&#10;LadEf7DoatqQKQhTsJ2CvQ9q1+YVSv3Av9tHJJG5pQ4D7NgY55Upj7uVFuLPc656+p/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0JRaGzgEAAJcDAAAOAAAAAAAAAAEAIAAAAB8BAABkcnMv&#10;ZTJvRG9jLnhtbFBLBQYAAAAABgAGAFkBAABfBQAAAAA=&#10;">
              <v:fill on="f" focussize="0,0"/>
              <v:stroke on="f"/>
              <v:imagedata o:title=""/>
              <o:lock v:ext="edit" aspectratio="f"/>
              <v:textbox inset="0mm,0mm,0mm,0mm" style="mso-fit-shape-to-text:t;">
                <w:txbxContent>
                  <w:p w14:paraId="5A3C0F6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F17C">
    <w:pPr>
      <w:pStyle w:val="28"/>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36CC342">
                          <w:pPr>
                            <w:pStyle w:val="28"/>
                            <w:jc w:val="right"/>
                          </w:pPr>
                          <w:r>
                            <w:fldChar w:fldCharType="begin"/>
                          </w:r>
                          <w:r>
                            <w:instrText xml:space="preserve">PAGE   \* MERGEFORMAT</w:instrText>
                          </w:r>
                          <w:r>
                            <w:fldChar w:fldCharType="separate"/>
                          </w:r>
                          <w:r>
                            <w:rPr>
                              <w:lang w:val="zh-CN"/>
                            </w:rPr>
                            <w:t>56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aNuCnOAQAAlwMAAA4AAABkcnMvZTJvRG9jLnhtbK1TzY7TMBC+I+07&#10;WL5TN9suLFHTFatqERICpF0ewHWcxpL/5HGb9AXgDThx4c5z9TkYO0kXlsseuDjjmfE3830zWd30&#10;RpODDKCcrWgxm1MirXC1sruKfnm4e3lNCURua66dlRU9SqA364sXq86X8tK1TtcyEASxUHa+om2M&#10;vmQMRCsNh5nz0mKwccHwiNewY3XgHaIbzS7n81esc6H2wQkJgN7NEKQjYngOoGsaJeTGib2RNg6o&#10;QWoekRK0ygNd526bRor4qWlARqIrikxjPrEI2tt0svWKl7vAfavE2AJ/TgtPOBmuLBY9Q2145GQf&#10;1D9QRongwDVxJpxhA5GsCLIo5k+0uW+5l5kLSg3+LDr8P1jx8fA5EFVXdEGJ5QYHfvr+7fTj1+nn&#10;V/I6ydN5KDHr3mNe7G9dj0sz+QGdiXXfBJO+yIdgHMU9nsWVfSQiPSqWbxZXlAgMFYtiubxKKOzx&#10;sQ8Q30lnSDIqGnB2WVJ++ABxSJ1SUi3r7pTWeX7a/uVAzORhqfOhw2TFftuPdLauPiKbDsdeUYtb&#10;Tol+b1HVtCGTESZjOxl7H9SuzSuU6oF/u4/YRO4tVRhgx8I4r8xu3K20EH/ec9bj/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2jbgpzgEAAJcDAAAOAAAAAAAAAAEAIAAAAB8BAABkcnMv&#10;ZTJvRG9jLnhtbFBLBQYAAAAABgAGAFkBAABfBQAAAAA=&#10;">
              <v:fill on="f" focussize="0,0"/>
              <v:stroke on="f"/>
              <v:imagedata o:title=""/>
              <o:lock v:ext="edit" aspectratio="f"/>
              <v:textbox inset="0mm,0mm,0mm,0mm" style="mso-fit-shape-to-text:t;">
                <w:txbxContent>
                  <w:p w14:paraId="336CC342">
                    <w:pPr>
                      <w:pStyle w:val="28"/>
                      <w:jc w:val="right"/>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14:paraId="63713A0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81E6">
    <w:pPr>
      <w:pStyle w:val="28"/>
      <w:ind w:right="360"/>
      <w:rPr>
        <w:rFonts w:ascii="宋体" w:hAnsi="宋体" w:cs="宋体"/>
        <w:bCs/>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C0E5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23UPOAQAAlwMAAA4AAABkcnMvZTJvRG9jLnhtbK1TS27bMBDdF+gd&#10;CO5rWokTNILloIWRIEDRFkhzAJqiLAL8gUNb8gXaG3TVTfc9l8/RISU5n26y6IYazgzfzHszWl73&#10;RpO9DKCcrWgxm1MirXC1stuKPny7efeeEojc1lw7Kyt6kECvV2/fLDtfyjPXOl3LQBDEQtn5irYx&#10;+pIxEK00HGbOS4vBxgXDI17DltWBd4huNDubzy9Z50LtgxMSAL3rIUhHxPAaQNc0Ssi1EzsjbRxQ&#10;g9Q8IiVolQe6yt02jRTxS9OAjERXFJnGfGIRtDfpZKslL7eB+1aJsQX+mhZecDJcWSx6glrzyMku&#10;qH+gjBLBgWviTDjDBiJZEWRRzF9oc99yLzMXlBr8SXT4f7Di8/5rIKqu6IISyw0O/Pjzx/HXn+Pv&#10;7+QyydN5KDHr3mNe7D+6Hpdm8gM6E+u+CSZ9kQ/BOIp7OIkr+0hEelQsrs4vKBEYKs6LxeIiobDH&#10;xz5AvJXOkGRUNODssqR8/wnikDqlpFrW3Sit8/y0feZAzORhqfOhw2TFftOPdDauPiCbDsdeUYtb&#10;Tom+s6hq2pDJCJOxmYydD2rb5hVK9cB/2EVsIveWKgywY2GcV2Y37lZaiKf3nPX4P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9t1DzgEAAJcDAAAOAAAAAAAAAAEAIAAAAB8BAABkcnMv&#10;ZTJvRG9jLnhtbFBLBQYAAAAABgAGAFkBAABfBQAAAAA=&#10;">
              <v:fill on="f" focussize="0,0"/>
              <v:stroke on="f"/>
              <v:imagedata o:title=""/>
              <o:lock v:ext="edit" aspectratio="f"/>
              <v:textbox inset="0mm,0mm,0mm,0mm" style="mso-fit-shape-to-text:t;">
                <w:txbxContent>
                  <w:p w14:paraId="704C0E5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A8A3">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16</w:t>
    </w:r>
    <w:r>
      <w:fldChar w:fldCharType="end"/>
    </w:r>
  </w:p>
  <w:p w14:paraId="3D7F43C1">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B59E">
    <w:pPr>
      <w:pStyle w:val="30"/>
      <w:pBdr>
        <w:bottom w:val="single" w:color="auto" w:sz="4" w:space="0"/>
      </w:pBdr>
      <w:ind w:firstLine="90" w:firstLineChars="50"/>
      <w:jc w:val="both"/>
      <w:rPr>
        <w:sz w:val="21"/>
        <w:szCs w:val="21"/>
      </w:rPr>
    </w:pPr>
    <w:r>
      <w:rPr>
        <w:rFonts w:hint="eastAsia" w:ascii="宋体" w:hAnsi="宋体" w:cs="宋体"/>
      </w:rPr>
      <w:t xml:space="preserve">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15DA">
    <w:pPr>
      <w:pStyle w:val="30"/>
      <w:pBdr>
        <w:bottom w:val="single" w:color="auto" w:sz="4" w:space="0"/>
      </w:pBdr>
      <w:ind w:firstLine="5040" w:firstLineChars="2800"/>
      <w:jc w:val="both"/>
    </w:pPr>
    <w:r>
      <w:rPr>
        <w:rFonts w:hint="eastAsia" w:ascii="宋体" w:hAnsi="宋体" w:cs="宋体"/>
      </w:rPr>
      <w:t xml:space="preserve">  </w:t>
    </w:r>
    <w:r>
      <w:rPr>
        <w:rFonts w:hint="eastAsia" w:ascii="宋体" w:hAnsi="宋体"/>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7B1A">
    <w:pPr>
      <w:pStyle w:val="30"/>
      <w:pBdr>
        <w:bottom w:val="single" w:color="auto" w:sz="4" w:space="0"/>
      </w:pBdr>
      <w:jc w:val="both"/>
      <w:rPr>
        <w:rFonts w:ascii="仿宋_GB2312" w:eastAsia="仿宋_GB2312"/>
        <w:b/>
      </w:rPr>
    </w:pPr>
    <w:r>
      <w:rPr>
        <w:rFonts w:hint="eastAsia" w:ascii="宋体" w:hAnsi="宋体"/>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A4B7">
    <w:pPr>
      <w:pStyle w:val="23"/>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4008A"/>
    <w:multiLevelType w:val="singleLevel"/>
    <w:tmpl w:val="C804008A"/>
    <w:lvl w:ilvl="0" w:tentative="0">
      <w:start w:val="1"/>
      <w:numFmt w:val="decimal"/>
      <w:suff w:val="nothing"/>
      <w:lvlText w:val="%1、"/>
      <w:lvlJc w:val="left"/>
    </w:lvl>
  </w:abstractNum>
  <w:abstractNum w:abstractNumId="1">
    <w:nsid w:val="24DFD6C4"/>
    <w:multiLevelType w:val="singleLevel"/>
    <w:tmpl w:val="24DFD6C4"/>
    <w:lvl w:ilvl="0" w:tentative="0">
      <w:start w:val="1"/>
      <w:numFmt w:val="decimal"/>
      <w:suff w:val="space"/>
      <w:lvlText w:val="%1."/>
      <w:lvlJc w:val="left"/>
    </w:lvl>
  </w:abstractNum>
  <w:abstractNum w:abstractNumId="2">
    <w:nsid w:val="5E4D01F9"/>
    <w:multiLevelType w:val="multilevel"/>
    <w:tmpl w:val="5E4D01F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E04819D"/>
    <w:multiLevelType w:val="singleLevel"/>
    <w:tmpl w:val="6E04819D"/>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YzExYjMwNGQzZWRkM2Y4NDc3MTVlYmExNWEwMTkifQ=="/>
  </w:docVars>
  <w:rsids>
    <w:rsidRoot w:val="00496D5A"/>
    <w:rsid w:val="00004A7C"/>
    <w:rsid w:val="00015650"/>
    <w:rsid w:val="000156E2"/>
    <w:rsid w:val="00022CB8"/>
    <w:rsid w:val="00024344"/>
    <w:rsid w:val="00025986"/>
    <w:rsid w:val="00026B4C"/>
    <w:rsid w:val="00026FD7"/>
    <w:rsid w:val="00027406"/>
    <w:rsid w:val="0002779F"/>
    <w:rsid w:val="00027D5B"/>
    <w:rsid w:val="00027EAE"/>
    <w:rsid w:val="000313EC"/>
    <w:rsid w:val="00034641"/>
    <w:rsid w:val="0003465E"/>
    <w:rsid w:val="00036884"/>
    <w:rsid w:val="00037E98"/>
    <w:rsid w:val="00040D86"/>
    <w:rsid w:val="000441C7"/>
    <w:rsid w:val="00045A71"/>
    <w:rsid w:val="00045FC8"/>
    <w:rsid w:val="000461AF"/>
    <w:rsid w:val="000470C6"/>
    <w:rsid w:val="00051E2A"/>
    <w:rsid w:val="00053BA6"/>
    <w:rsid w:val="00053DE3"/>
    <w:rsid w:val="000640EC"/>
    <w:rsid w:val="000641A5"/>
    <w:rsid w:val="00064FF3"/>
    <w:rsid w:val="000818D8"/>
    <w:rsid w:val="00081FA6"/>
    <w:rsid w:val="00082276"/>
    <w:rsid w:val="00086A97"/>
    <w:rsid w:val="000911F1"/>
    <w:rsid w:val="000950D5"/>
    <w:rsid w:val="000952E7"/>
    <w:rsid w:val="000A2941"/>
    <w:rsid w:val="000A3E58"/>
    <w:rsid w:val="000A604E"/>
    <w:rsid w:val="000A7DA4"/>
    <w:rsid w:val="000B422C"/>
    <w:rsid w:val="000B6963"/>
    <w:rsid w:val="000C2B71"/>
    <w:rsid w:val="000C3661"/>
    <w:rsid w:val="000C5109"/>
    <w:rsid w:val="000C5BDA"/>
    <w:rsid w:val="000C6D1B"/>
    <w:rsid w:val="000E1E33"/>
    <w:rsid w:val="000E430C"/>
    <w:rsid w:val="000E4DBE"/>
    <w:rsid w:val="000E5498"/>
    <w:rsid w:val="000F23B9"/>
    <w:rsid w:val="00100878"/>
    <w:rsid w:val="00104D91"/>
    <w:rsid w:val="00104DA8"/>
    <w:rsid w:val="00106CB3"/>
    <w:rsid w:val="00107232"/>
    <w:rsid w:val="001103EE"/>
    <w:rsid w:val="001106F2"/>
    <w:rsid w:val="0011494C"/>
    <w:rsid w:val="00124791"/>
    <w:rsid w:val="001256EF"/>
    <w:rsid w:val="00127819"/>
    <w:rsid w:val="0013184E"/>
    <w:rsid w:val="001324C6"/>
    <w:rsid w:val="00132F66"/>
    <w:rsid w:val="001344E3"/>
    <w:rsid w:val="00136079"/>
    <w:rsid w:val="001364C1"/>
    <w:rsid w:val="00140E03"/>
    <w:rsid w:val="001416D5"/>
    <w:rsid w:val="00147E27"/>
    <w:rsid w:val="00154ED0"/>
    <w:rsid w:val="00160375"/>
    <w:rsid w:val="00160437"/>
    <w:rsid w:val="001652A3"/>
    <w:rsid w:val="001656FA"/>
    <w:rsid w:val="00167232"/>
    <w:rsid w:val="00167D4D"/>
    <w:rsid w:val="00167E36"/>
    <w:rsid w:val="0017108F"/>
    <w:rsid w:val="00172007"/>
    <w:rsid w:val="00172683"/>
    <w:rsid w:val="00172AC1"/>
    <w:rsid w:val="00174093"/>
    <w:rsid w:val="00174AD2"/>
    <w:rsid w:val="0017639C"/>
    <w:rsid w:val="0017713B"/>
    <w:rsid w:val="00181460"/>
    <w:rsid w:val="00181BCC"/>
    <w:rsid w:val="00182572"/>
    <w:rsid w:val="0018787D"/>
    <w:rsid w:val="00190F87"/>
    <w:rsid w:val="00194E27"/>
    <w:rsid w:val="00197DB3"/>
    <w:rsid w:val="001A0051"/>
    <w:rsid w:val="001A27C7"/>
    <w:rsid w:val="001A2E36"/>
    <w:rsid w:val="001A337A"/>
    <w:rsid w:val="001A7C9B"/>
    <w:rsid w:val="001B0543"/>
    <w:rsid w:val="001B229F"/>
    <w:rsid w:val="001B56C9"/>
    <w:rsid w:val="001B6E2A"/>
    <w:rsid w:val="001B7F3D"/>
    <w:rsid w:val="001C30E6"/>
    <w:rsid w:val="001C598A"/>
    <w:rsid w:val="001C6863"/>
    <w:rsid w:val="001C7DB0"/>
    <w:rsid w:val="001C7EEC"/>
    <w:rsid w:val="001D1504"/>
    <w:rsid w:val="001D2078"/>
    <w:rsid w:val="001D23F4"/>
    <w:rsid w:val="001D389E"/>
    <w:rsid w:val="001D5D27"/>
    <w:rsid w:val="001D6192"/>
    <w:rsid w:val="001D6DC2"/>
    <w:rsid w:val="001E0AF2"/>
    <w:rsid w:val="001F29E9"/>
    <w:rsid w:val="001F3061"/>
    <w:rsid w:val="00200EA4"/>
    <w:rsid w:val="00201BE0"/>
    <w:rsid w:val="002037B4"/>
    <w:rsid w:val="002037DB"/>
    <w:rsid w:val="0020429F"/>
    <w:rsid w:val="00205190"/>
    <w:rsid w:val="00206968"/>
    <w:rsid w:val="00206FCE"/>
    <w:rsid w:val="00207162"/>
    <w:rsid w:val="00211C0E"/>
    <w:rsid w:val="002131F5"/>
    <w:rsid w:val="00215361"/>
    <w:rsid w:val="0021675C"/>
    <w:rsid w:val="0021719E"/>
    <w:rsid w:val="002223E0"/>
    <w:rsid w:val="00223AAF"/>
    <w:rsid w:val="00226977"/>
    <w:rsid w:val="002270C6"/>
    <w:rsid w:val="00232A1A"/>
    <w:rsid w:val="0023455F"/>
    <w:rsid w:val="00234E98"/>
    <w:rsid w:val="002355BB"/>
    <w:rsid w:val="0024064C"/>
    <w:rsid w:val="00242EFF"/>
    <w:rsid w:val="00243709"/>
    <w:rsid w:val="0024566C"/>
    <w:rsid w:val="00245A92"/>
    <w:rsid w:val="002502DD"/>
    <w:rsid w:val="00250F13"/>
    <w:rsid w:val="00251170"/>
    <w:rsid w:val="002541B3"/>
    <w:rsid w:val="00254A01"/>
    <w:rsid w:val="00263C15"/>
    <w:rsid w:val="00266E91"/>
    <w:rsid w:val="00273415"/>
    <w:rsid w:val="00281493"/>
    <w:rsid w:val="00285665"/>
    <w:rsid w:val="002859F6"/>
    <w:rsid w:val="002879A0"/>
    <w:rsid w:val="00290F35"/>
    <w:rsid w:val="00291C33"/>
    <w:rsid w:val="00291F58"/>
    <w:rsid w:val="002942E2"/>
    <w:rsid w:val="00294349"/>
    <w:rsid w:val="00295E49"/>
    <w:rsid w:val="002A03CB"/>
    <w:rsid w:val="002A114C"/>
    <w:rsid w:val="002A41F5"/>
    <w:rsid w:val="002A6ED0"/>
    <w:rsid w:val="002B002F"/>
    <w:rsid w:val="002B4521"/>
    <w:rsid w:val="002B5F66"/>
    <w:rsid w:val="002B7325"/>
    <w:rsid w:val="002C267F"/>
    <w:rsid w:val="002D54FC"/>
    <w:rsid w:val="002E0D76"/>
    <w:rsid w:val="002E2AB7"/>
    <w:rsid w:val="002E2BB7"/>
    <w:rsid w:val="002E356B"/>
    <w:rsid w:val="002E6042"/>
    <w:rsid w:val="002F0EFC"/>
    <w:rsid w:val="002F1257"/>
    <w:rsid w:val="002F4053"/>
    <w:rsid w:val="002F42D5"/>
    <w:rsid w:val="00301B5A"/>
    <w:rsid w:val="003071C0"/>
    <w:rsid w:val="003072D6"/>
    <w:rsid w:val="00311078"/>
    <w:rsid w:val="003136E5"/>
    <w:rsid w:val="00313BC8"/>
    <w:rsid w:val="0031417B"/>
    <w:rsid w:val="00317CD3"/>
    <w:rsid w:val="00321C75"/>
    <w:rsid w:val="003303DC"/>
    <w:rsid w:val="00331A2E"/>
    <w:rsid w:val="00332937"/>
    <w:rsid w:val="003333D7"/>
    <w:rsid w:val="00333943"/>
    <w:rsid w:val="00334ACE"/>
    <w:rsid w:val="00336142"/>
    <w:rsid w:val="003363BE"/>
    <w:rsid w:val="00340105"/>
    <w:rsid w:val="003406A4"/>
    <w:rsid w:val="003412D4"/>
    <w:rsid w:val="00342089"/>
    <w:rsid w:val="003454F6"/>
    <w:rsid w:val="0034572F"/>
    <w:rsid w:val="003462EB"/>
    <w:rsid w:val="003469E4"/>
    <w:rsid w:val="0035131B"/>
    <w:rsid w:val="0035276C"/>
    <w:rsid w:val="0035331E"/>
    <w:rsid w:val="00355DD5"/>
    <w:rsid w:val="003610D2"/>
    <w:rsid w:val="00361C7A"/>
    <w:rsid w:val="00364D4E"/>
    <w:rsid w:val="0037058A"/>
    <w:rsid w:val="00373945"/>
    <w:rsid w:val="00374E53"/>
    <w:rsid w:val="00376191"/>
    <w:rsid w:val="00387693"/>
    <w:rsid w:val="003914B4"/>
    <w:rsid w:val="00391A73"/>
    <w:rsid w:val="003924F4"/>
    <w:rsid w:val="00394390"/>
    <w:rsid w:val="003948FD"/>
    <w:rsid w:val="0039701C"/>
    <w:rsid w:val="00397E2C"/>
    <w:rsid w:val="003A2178"/>
    <w:rsid w:val="003A46FC"/>
    <w:rsid w:val="003A6117"/>
    <w:rsid w:val="003B0AFE"/>
    <w:rsid w:val="003B1744"/>
    <w:rsid w:val="003B6A76"/>
    <w:rsid w:val="003B780B"/>
    <w:rsid w:val="003C1C58"/>
    <w:rsid w:val="003C3A5C"/>
    <w:rsid w:val="003C3EAB"/>
    <w:rsid w:val="003C6100"/>
    <w:rsid w:val="003C7959"/>
    <w:rsid w:val="003D1521"/>
    <w:rsid w:val="003E18E1"/>
    <w:rsid w:val="003E1EFA"/>
    <w:rsid w:val="003E22A5"/>
    <w:rsid w:val="003E7B33"/>
    <w:rsid w:val="003F19D4"/>
    <w:rsid w:val="003F472F"/>
    <w:rsid w:val="003F4843"/>
    <w:rsid w:val="003F4E1C"/>
    <w:rsid w:val="003F6A20"/>
    <w:rsid w:val="003F7D02"/>
    <w:rsid w:val="00406851"/>
    <w:rsid w:val="00410033"/>
    <w:rsid w:val="0041158C"/>
    <w:rsid w:val="004117F0"/>
    <w:rsid w:val="00411C9F"/>
    <w:rsid w:val="004233B4"/>
    <w:rsid w:val="00430191"/>
    <w:rsid w:val="00431725"/>
    <w:rsid w:val="00432850"/>
    <w:rsid w:val="004409B2"/>
    <w:rsid w:val="00441209"/>
    <w:rsid w:val="004459BF"/>
    <w:rsid w:val="00462BCF"/>
    <w:rsid w:val="004735DD"/>
    <w:rsid w:val="0047587E"/>
    <w:rsid w:val="00482AE6"/>
    <w:rsid w:val="004836CC"/>
    <w:rsid w:val="00483D0A"/>
    <w:rsid w:val="00485915"/>
    <w:rsid w:val="00485D13"/>
    <w:rsid w:val="0048677F"/>
    <w:rsid w:val="004923B6"/>
    <w:rsid w:val="0049529F"/>
    <w:rsid w:val="00496D5A"/>
    <w:rsid w:val="004A0502"/>
    <w:rsid w:val="004A3A8D"/>
    <w:rsid w:val="004A538A"/>
    <w:rsid w:val="004A5608"/>
    <w:rsid w:val="004A7B3D"/>
    <w:rsid w:val="004B55A5"/>
    <w:rsid w:val="004B7380"/>
    <w:rsid w:val="004C2774"/>
    <w:rsid w:val="004C3F73"/>
    <w:rsid w:val="004D1DC5"/>
    <w:rsid w:val="004D54D8"/>
    <w:rsid w:val="004F46DF"/>
    <w:rsid w:val="004F7696"/>
    <w:rsid w:val="00504192"/>
    <w:rsid w:val="00504385"/>
    <w:rsid w:val="00515059"/>
    <w:rsid w:val="00522A24"/>
    <w:rsid w:val="005255EB"/>
    <w:rsid w:val="005259D8"/>
    <w:rsid w:val="0052705B"/>
    <w:rsid w:val="0052793A"/>
    <w:rsid w:val="00530025"/>
    <w:rsid w:val="00531683"/>
    <w:rsid w:val="00531D6B"/>
    <w:rsid w:val="005325DA"/>
    <w:rsid w:val="005327B1"/>
    <w:rsid w:val="00533C76"/>
    <w:rsid w:val="005434A5"/>
    <w:rsid w:val="00546417"/>
    <w:rsid w:val="00546F0D"/>
    <w:rsid w:val="00550DB2"/>
    <w:rsid w:val="00553640"/>
    <w:rsid w:val="00554044"/>
    <w:rsid w:val="00554C89"/>
    <w:rsid w:val="0056199A"/>
    <w:rsid w:val="00562D2E"/>
    <w:rsid w:val="00563477"/>
    <w:rsid w:val="00563F1D"/>
    <w:rsid w:val="00564BB3"/>
    <w:rsid w:val="00566DDF"/>
    <w:rsid w:val="00570AFD"/>
    <w:rsid w:val="00570CBE"/>
    <w:rsid w:val="00575F19"/>
    <w:rsid w:val="005770DF"/>
    <w:rsid w:val="00582329"/>
    <w:rsid w:val="00583097"/>
    <w:rsid w:val="00583206"/>
    <w:rsid w:val="00586507"/>
    <w:rsid w:val="00596362"/>
    <w:rsid w:val="00596918"/>
    <w:rsid w:val="00596ED9"/>
    <w:rsid w:val="005A22A2"/>
    <w:rsid w:val="005A2A0F"/>
    <w:rsid w:val="005A3897"/>
    <w:rsid w:val="005A62D0"/>
    <w:rsid w:val="005B1A4E"/>
    <w:rsid w:val="005B38E7"/>
    <w:rsid w:val="005B534C"/>
    <w:rsid w:val="005B6E25"/>
    <w:rsid w:val="005C02DC"/>
    <w:rsid w:val="005C0D97"/>
    <w:rsid w:val="005C23A1"/>
    <w:rsid w:val="005D0A3F"/>
    <w:rsid w:val="005D0F84"/>
    <w:rsid w:val="005D3F38"/>
    <w:rsid w:val="005D44BB"/>
    <w:rsid w:val="005D7ECA"/>
    <w:rsid w:val="005E0678"/>
    <w:rsid w:val="005E58A8"/>
    <w:rsid w:val="005E6C33"/>
    <w:rsid w:val="005F23F3"/>
    <w:rsid w:val="005F5575"/>
    <w:rsid w:val="00601F43"/>
    <w:rsid w:val="00603AA7"/>
    <w:rsid w:val="00604017"/>
    <w:rsid w:val="0060475B"/>
    <w:rsid w:val="00605A59"/>
    <w:rsid w:val="00612E59"/>
    <w:rsid w:val="00615D25"/>
    <w:rsid w:val="00621D98"/>
    <w:rsid w:val="00621E4F"/>
    <w:rsid w:val="006246A7"/>
    <w:rsid w:val="0063170F"/>
    <w:rsid w:val="006328FF"/>
    <w:rsid w:val="00633421"/>
    <w:rsid w:val="0063686A"/>
    <w:rsid w:val="00636A24"/>
    <w:rsid w:val="0064250B"/>
    <w:rsid w:val="00650AFD"/>
    <w:rsid w:val="0065196E"/>
    <w:rsid w:val="00652044"/>
    <w:rsid w:val="006537C5"/>
    <w:rsid w:val="00654F84"/>
    <w:rsid w:val="006564CF"/>
    <w:rsid w:val="00657A60"/>
    <w:rsid w:val="00657D26"/>
    <w:rsid w:val="00660638"/>
    <w:rsid w:val="00660C14"/>
    <w:rsid w:val="006627D5"/>
    <w:rsid w:val="00664FF3"/>
    <w:rsid w:val="00672F09"/>
    <w:rsid w:val="00673AC8"/>
    <w:rsid w:val="006751BE"/>
    <w:rsid w:val="00676F7B"/>
    <w:rsid w:val="00677930"/>
    <w:rsid w:val="00677D07"/>
    <w:rsid w:val="006815CF"/>
    <w:rsid w:val="00682EB1"/>
    <w:rsid w:val="00683F9F"/>
    <w:rsid w:val="006844D3"/>
    <w:rsid w:val="00684F26"/>
    <w:rsid w:val="00687880"/>
    <w:rsid w:val="00687C90"/>
    <w:rsid w:val="006931C3"/>
    <w:rsid w:val="00693615"/>
    <w:rsid w:val="006937FA"/>
    <w:rsid w:val="00693CB4"/>
    <w:rsid w:val="00695533"/>
    <w:rsid w:val="006956F6"/>
    <w:rsid w:val="006A1FCD"/>
    <w:rsid w:val="006A2B29"/>
    <w:rsid w:val="006A4B81"/>
    <w:rsid w:val="006A783C"/>
    <w:rsid w:val="006A797D"/>
    <w:rsid w:val="006B0A67"/>
    <w:rsid w:val="006B10BD"/>
    <w:rsid w:val="006B1413"/>
    <w:rsid w:val="006B5CCA"/>
    <w:rsid w:val="006B7C04"/>
    <w:rsid w:val="006C1E31"/>
    <w:rsid w:val="006C5BCC"/>
    <w:rsid w:val="006C6DB0"/>
    <w:rsid w:val="006D1534"/>
    <w:rsid w:val="006D2B6F"/>
    <w:rsid w:val="006D7616"/>
    <w:rsid w:val="006E0E4A"/>
    <w:rsid w:val="006E10F0"/>
    <w:rsid w:val="006E2A30"/>
    <w:rsid w:val="006E316E"/>
    <w:rsid w:val="006F0A10"/>
    <w:rsid w:val="006F1452"/>
    <w:rsid w:val="006F6654"/>
    <w:rsid w:val="00702562"/>
    <w:rsid w:val="00703AA8"/>
    <w:rsid w:val="00705812"/>
    <w:rsid w:val="00711499"/>
    <w:rsid w:val="0071222D"/>
    <w:rsid w:val="007145A9"/>
    <w:rsid w:val="007145DE"/>
    <w:rsid w:val="00715886"/>
    <w:rsid w:val="00717BA9"/>
    <w:rsid w:val="00720B8F"/>
    <w:rsid w:val="00721249"/>
    <w:rsid w:val="0072365F"/>
    <w:rsid w:val="00724D17"/>
    <w:rsid w:val="00725169"/>
    <w:rsid w:val="00725B82"/>
    <w:rsid w:val="00726E29"/>
    <w:rsid w:val="0073326B"/>
    <w:rsid w:val="007352B2"/>
    <w:rsid w:val="007374C0"/>
    <w:rsid w:val="007410F1"/>
    <w:rsid w:val="00741768"/>
    <w:rsid w:val="0074301E"/>
    <w:rsid w:val="00745F3E"/>
    <w:rsid w:val="0075074F"/>
    <w:rsid w:val="00752992"/>
    <w:rsid w:val="00754BFA"/>
    <w:rsid w:val="00754D46"/>
    <w:rsid w:val="0075683C"/>
    <w:rsid w:val="007576C6"/>
    <w:rsid w:val="00763F0D"/>
    <w:rsid w:val="007645B9"/>
    <w:rsid w:val="00765FE5"/>
    <w:rsid w:val="00767A67"/>
    <w:rsid w:val="0077024A"/>
    <w:rsid w:val="007708C1"/>
    <w:rsid w:val="00771233"/>
    <w:rsid w:val="007749B5"/>
    <w:rsid w:val="00776B96"/>
    <w:rsid w:val="007856CC"/>
    <w:rsid w:val="00786EE8"/>
    <w:rsid w:val="007870D9"/>
    <w:rsid w:val="00793F05"/>
    <w:rsid w:val="007940D5"/>
    <w:rsid w:val="00794207"/>
    <w:rsid w:val="00796A6C"/>
    <w:rsid w:val="00796E65"/>
    <w:rsid w:val="007970D6"/>
    <w:rsid w:val="0079774A"/>
    <w:rsid w:val="007A2780"/>
    <w:rsid w:val="007A49E7"/>
    <w:rsid w:val="007A6607"/>
    <w:rsid w:val="007A780F"/>
    <w:rsid w:val="007A7830"/>
    <w:rsid w:val="007B0B37"/>
    <w:rsid w:val="007C01D7"/>
    <w:rsid w:val="007C0604"/>
    <w:rsid w:val="007C0A90"/>
    <w:rsid w:val="007C118B"/>
    <w:rsid w:val="007C35DC"/>
    <w:rsid w:val="007C504D"/>
    <w:rsid w:val="007D36F4"/>
    <w:rsid w:val="007D6AEC"/>
    <w:rsid w:val="007E397C"/>
    <w:rsid w:val="007E5C36"/>
    <w:rsid w:val="007E6442"/>
    <w:rsid w:val="007E72DD"/>
    <w:rsid w:val="007E7A33"/>
    <w:rsid w:val="007F34A8"/>
    <w:rsid w:val="007F6597"/>
    <w:rsid w:val="007F6829"/>
    <w:rsid w:val="007F769F"/>
    <w:rsid w:val="00800C3F"/>
    <w:rsid w:val="00801BA0"/>
    <w:rsid w:val="00802E79"/>
    <w:rsid w:val="00803C70"/>
    <w:rsid w:val="00805DF3"/>
    <w:rsid w:val="00805FC3"/>
    <w:rsid w:val="00807CE3"/>
    <w:rsid w:val="008109A2"/>
    <w:rsid w:val="00812756"/>
    <w:rsid w:val="00817C22"/>
    <w:rsid w:val="00820B50"/>
    <w:rsid w:val="008262E8"/>
    <w:rsid w:val="008315FC"/>
    <w:rsid w:val="00831872"/>
    <w:rsid w:val="00833F9F"/>
    <w:rsid w:val="008358F5"/>
    <w:rsid w:val="00837BA4"/>
    <w:rsid w:val="00842ACB"/>
    <w:rsid w:val="00845C9E"/>
    <w:rsid w:val="008472CD"/>
    <w:rsid w:val="00847E88"/>
    <w:rsid w:val="008565B6"/>
    <w:rsid w:val="008572CB"/>
    <w:rsid w:val="00861C90"/>
    <w:rsid w:val="00862398"/>
    <w:rsid w:val="008632AC"/>
    <w:rsid w:val="00863B14"/>
    <w:rsid w:val="008708E7"/>
    <w:rsid w:val="00870E11"/>
    <w:rsid w:val="008717C0"/>
    <w:rsid w:val="00873312"/>
    <w:rsid w:val="00875E1D"/>
    <w:rsid w:val="00877097"/>
    <w:rsid w:val="00880173"/>
    <w:rsid w:val="0088179E"/>
    <w:rsid w:val="008827A6"/>
    <w:rsid w:val="00882B05"/>
    <w:rsid w:val="008842E6"/>
    <w:rsid w:val="00893F57"/>
    <w:rsid w:val="00894431"/>
    <w:rsid w:val="00895459"/>
    <w:rsid w:val="0089618E"/>
    <w:rsid w:val="00897135"/>
    <w:rsid w:val="008A393D"/>
    <w:rsid w:val="008A40F5"/>
    <w:rsid w:val="008A4DF5"/>
    <w:rsid w:val="008A63E8"/>
    <w:rsid w:val="008A7CC6"/>
    <w:rsid w:val="008B0E15"/>
    <w:rsid w:val="008B2B86"/>
    <w:rsid w:val="008B5B22"/>
    <w:rsid w:val="008B6AD5"/>
    <w:rsid w:val="008B6DC9"/>
    <w:rsid w:val="008C53E1"/>
    <w:rsid w:val="008C594B"/>
    <w:rsid w:val="008C670C"/>
    <w:rsid w:val="008D0766"/>
    <w:rsid w:val="008D517F"/>
    <w:rsid w:val="008E0FD8"/>
    <w:rsid w:val="008E3107"/>
    <w:rsid w:val="008E6CAA"/>
    <w:rsid w:val="008F07F0"/>
    <w:rsid w:val="008F0AD3"/>
    <w:rsid w:val="008F4153"/>
    <w:rsid w:val="008F588B"/>
    <w:rsid w:val="00902444"/>
    <w:rsid w:val="009036CC"/>
    <w:rsid w:val="00905608"/>
    <w:rsid w:val="00907F19"/>
    <w:rsid w:val="009115DA"/>
    <w:rsid w:val="00914B0C"/>
    <w:rsid w:val="009214D1"/>
    <w:rsid w:val="00927AE0"/>
    <w:rsid w:val="00934FFE"/>
    <w:rsid w:val="009357D1"/>
    <w:rsid w:val="00935D10"/>
    <w:rsid w:val="0093606B"/>
    <w:rsid w:val="00941224"/>
    <w:rsid w:val="009440B5"/>
    <w:rsid w:val="00945FD8"/>
    <w:rsid w:val="00947A96"/>
    <w:rsid w:val="009523FD"/>
    <w:rsid w:val="009532D2"/>
    <w:rsid w:val="00955E56"/>
    <w:rsid w:val="009562F0"/>
    <w:rsid w:val="00956A8A"/>
    <w:rsid w:val="00957320"/>
    <w:rsid w:val="009616E7"/>
    <w:rsid w:val="00964539"/>
    <w:rsid w:val="00976258"/>
    <w:rsid w:val="00981256"/>
    <w:rsid w:val="00984D12"/>
    <w:rsid w:val="00985E05"/>
    <w:rsid w:val="009864CB"/>
    <w:rsid w:val="00986C1B"/>
    <w:rsid w:val="009874F9"/>
    <w:rsid w:val="009914BD"/>
    <w:rsid w:val="00991B0D"/>
    <w:rsid w:val="00993169"/>
    <w:rsid w:val="0099340D"/>
    <w:rsid w:val="009A03AC"/>
    <w:rsid w:val="009A13E7"/>
    <w:rsid w:val="009A5828"/>
    <w:rsid w:val="009A590C"/>
    <w:rsid w:val="009A5BF8"/>
    <w:rsid w:val="009A751B"/>
    <w:rsid w:val="009A78CE"/>
    <w:rsid w:val="009B1053"/>
    <w:rsid w:val="009B129A"/>
    <w:rsid w:val="009B2EC8"/>
    <w:rsid w:val="009B4D48"/>
    <w:rsid w:val="009B630B"/>
    <w:rsid w:val="009C0915"/>
    <w:rsid w:val="009C1C6C"/>
    <w:rsid w:val="009C2C09"/>
    <w:rsid w:val="009C50E0"/>
    <w:rsid w:val="009D1C39"/>
    <w:rsid w:val="009D52D1"/>
    <w:rsid w:val="009E3ADD"/>
    <w:rsid w:val="009E51AA"/>
    <w:rsid w:val="009F2A1B"/>
    <w:rsid w:val="009F2B85"/>
    <w:rsid w:val="009F3049"/>
    <w:rsid w:val="009F4049"/>
    <w:rsid w:val="009F52DE"/>
    <w:rsid w:val="009F588C"/>
    <w:rsid w:val="009F6217"/>
    <w:rsid w:val="009F6488"/>
    <w:rsid w:val="009F64B9"/>
    <w:rsid w:val="00A02207"/>
    <w:rsid w:val="00A026F0"/>
    <w:rsid w:val="00A0506A"/>
    <w:rsid w:val="00A125C0"/>
    <w:rsid w:val="00A13D17"/>
    <w:rsid w:val="00A16084"/>
    <w:rsid w:val="00A211B0"/>
    <w:rsid w:val="00A23A01"/>
    <w:rsid w:val="00A27EAB"/>
    <w:rsid w:val="00A316DA"/>
    <w:rsid w:val="00A332E1"/>
    <w:rsid w:val="00A375C1"/>
    <w:rsid w:val="00A40014"/>
    <w:rsid w:val="00A40CB1"/>
    <w:rsid w:val="00A41A13"/>
    <w:rsid w:val="00A42BD1"/>
    <w:rsid w:val="00A42E55"/>
    <w:rsid w:val="00A4677E"/>
    <w:rsid w:val="00A47F15"/>
    <w:rsid w:val="00A61266"/>
    <w:rsid w:val="00A62BE8"/>
    <w:rsid w:val="00A64DD9"/>
    <w:rsid w:val="00A73333"/>
    <w:rsid w:val="00A74A2F"/>
    <w:rsid w:val="00A74A9F"/>
    <w:rsid w:val="00A822C9"/>
    <w:rsid w:val="00A84EB2"/>
    <w:rsid w:val="00A874CF"/>
    <w:rsid w:val="00A87768"/>
    <w:rsid w:val="00A91454"/>
    <w:rsid w:val="00A952D4"/>
    <w:rsid w:val="00A97BF2"/>
    <w:rsid w:val="00AA1061"/>
    <w:rsid w:val="00AA232A"/>
    <w:rsid w:val="00AA3B30"/>
    <w:rsid w:val="00AA5262"/>
    <w:rsid w:val="00AA5C6A"/>
    <w:rsid w:val="00AA6A1E"/>
    <w:rsid w:val="00AB10B3"/>
    <w:rsid w:val="00AB1830"/>
    <w:rsid w:val="00AB22F3"/>
    <w:rsid w:val="00AB2C4F"/>
    <w:rsid w:val="00AB67ED"/>
    <w:rsid w:val="00AB6907"/>
    <w:rsid w:val="00AB7D38"/>
    <w:rsid w:val="00AC06D6"/>
    <w:rsid w:val="00AC29C0"/>
    <w:rsid w:val="00AC3E7C"/>
    <w:rsid w:val="00AC542B"/>
    <w:rsid w:val="00AC7D43"/>
    <w:rsid w:val="00AC7D59"/>
    <w:rsid w:val="00AD02C0"/>
    <w:rsid w:val="00AD0E2F"/>
    <w:rsid w:val="00AE0CBA"/>
    <w:rsid w:val="00AE2A50"/>
    <w:rsid w:val="00AE3743"/>
    <w:rsid w:val="00AE77E6"/>
    <w:rsid w:val="00AE7FA6"/>
    <w:rsid w:val="00AF2949"/>
    <w:rsid w:val="00AF4888"/>
    <w:rsid w:val="00B06AFD"/>
    <w:rsid w:val="00B10E7A"/>
    <w:rsid w:val="00B11E3E"/>
    <w:rsid w:val="00B15ACE"/>
    <w:rsid w:val="00B17CED"/>
    <w:rsid w:val="00B246F0"/>
    <w:rsid w:val="00B2517F"/>
    <w:rsid w:val="00B26B9C"/>
    <w:rsid w:val="00B26F0F"/>
    <w:rsid w:val="00B273FE"/>
    <w:rsid w:val="00B3052D"/>
    <w:rsid w:val="00B308C9"/>
    <w:rsid w:val="00B30C84"/>
    <w:rsid w:val="00B3336F"/>
    <w:rsid w:val="00B34456"/>
    <w:rsid w:val="00B369DC"/>
    <w:rsid w:val="00B40087"/>
    <w:rsid w:val="00B40FD8"/>
    <w:rsid w:val="00B428A4"/>
    <w:rsid w:val="00B42F06"/>
    <w:rsid w:val="00B57BDF"/>
    <w:rsid w:val="00B6160A"/>
    <w:rsid w:val="00B63832"/>
    <w:rsid w:val="00B66F50"/>
    <w:rsid w:val="00B728A0"/>
    <w:rsid w:val="00B81101"/>
    <w:rsid w:val="00B812C2"/>
    <w:rsid w:val="00B82290"/>
    <w:rsid w:val="00B841F8"/>
    <w:rsid w:val="00B93134"/>
    <w:rsid w:val="00BA0304"/>
    <w:rsid w:val="00BA4D09"/>
    <w:rsid w:val="00BA4F58"/>
    <w:rsid w:val="00BB1202"/>
    <w:rsid w:val="00BB3D55"/>
    <w:rsid w:val="00BB403C"/>
    <w:rsid w:val="00BB4140"/>
    <w:rsid w:val="00BB4701"/>
    <w:rsid w:val="00BB5DAC"/>
    <w:rsid w:val="00BB74AD"/>
    <w:rsid w:val="00BB75B7"/>
    <w:rsid w:val="00BC0183"/>
    <w:rsid w:val="00BC21EC"/>
    <w:rsid w:val="00BC55C8"/>
    <w:rsid w:val="00BC55F7"/>
    <w:rsid w:val="00BC6FB5"/>
    <w:rsid w:val="00BD4483"/>
    <w:rsid w:val="00BD4AA2"/>
    <w:rsid w:val="00BD4E66"/>
    <w:rsid w:val="00BD4FAD"/>
    <w:rsid w:val="00BD6233"/>
    <w:rsid w:val="00BD79AE"/>
    <w:rsid w:val="00BE2D5E"/>
    <w:rsid w:val="00BE3D6A"/>
    <w:rsid w:val="00BE6F2A"/>
    <w:rsid w:val="00BE7979"/>
    <w:rsid w:val="00BF2EA9"/>
    <w:rsid w:val="00C0044D"/>
    <w:rsid w:val="00C060F5"/>
    <w:rsid w:val="00C10A69"/>
    <w:rsid w:val="00C1377A"/>
    <w:rsid w:val="00C13B20"/>
    <w:rsid w:val="00C15122"/>
    <w:rsid w:val="00C16812"/>
    <w:rsid w:val="00C21AFB"/>
    <w:rsid w:val="00C2392D"/>
    <w:rsid w:val="00C25F04"/>
    <w:rsid w:val="00C260B7"/>
    <w:rsid w:val="00C3517B"/>
    <w:rsid w:val="00C405D6"/>
    <w:rsid w:val="00C41F91"/>
    <w:rsid w:val="00C460EB"/>
    <w:rsid w:val="00C522DF"/>
    <w:rsid w:val="00C53CBE"/>
    <w:rsid w:val="00C5543F"/>
    <w:rsid w:val="00C56801"/>
    <w:rsid w:val="00C57C3C"/>
    <w:rsid w:val="00C61119"/>
    <w:rsid w:val="00C61250"/>
    <w:rsid w:val="00C62431"/>
    <w:rsid w:val="00C65B62"/>
    <w:rsid w:val="00C7679B"/>
    <w:rsid w:val="00C778B3"/>
    <w:rsid w:val="00C81ABB"/>
    <w:rsid w:val="00C852BE"/>
    <w:rsid w:val="00C90B9C"/>
    <w:rsid w:val="00CA1109"/>
    <w:rsid w:val="00CA3669"/>
    <w:rsid w:val="00CA36D4"/>
    <w:rsid w:val="00CA41FC"/>
    <w:rsid w:val="00CA455D"/>
    <w:rsid w:val="00CA46B8"/>
    <w:rsid w:val="00CB46B9"/>
    <w:rsid w:val="00CB5402"/>
    <w:rsid w:val="00CC0F00"/>
    <w:rsid w:val="00CC248F"/>
    <w:rsid w:val="00CC315C"/>
    <w:rsid w:val="00CC3BE6"/>
    <w:rsid w:val="00CC4D47"/>
    <w:rsid w:val="00CD0E59"/>
    <w:rsid w:val="00CD1C78"/>
    <w:rsid w:val="00CD2E68"/>
    <w:rsid w:val="00CD588A"/>
    <w:rsid w:val="00CD79EC"/>
    <w:rsid w:val="00CE1186"/>
    <w:rsid w:val="00CE14C1"/>
    <w:rsid w:val="00CE5D9D"/>
    <w:rsid w:val="00CE7E54"/>
    <w:rsid w:val="00CF349B"/>
    <w:rsid w:val="00CF6AD7"/>
    <w:rsid w:val="00D013F6"/>
    <w:rsid w:val="00D01C2F"/>
    <w:rsid w:val="00D05433"/>
    <w:rsid w:val="00D05F96"/>
    <w:rsid w:val="00D06BB5"/>
    <w:rsid w:val="00D13454"/>
    <w:rsid w:val="00D179F9"/>
    <w:rsid w:val="00D208D1"/>
    <w:rsid w:val="00D20F37"/>
    <w:rsid w:val="00D2158F"/>
    <w:rsid w:val="00D23CD8"/>
    <w:rsid w:val="00D24208"/>
    <w:rsid w:val="00D24A69"/>
    <w:rsid w:val="00D25042"/>
    <w:rsid w:val="00D31906"/>
    <w:rsid w:val="00D352E7"/>
    <w:rsid w:val="00D363F3"/>
    <w:rsid w:val="00D4038E"/>
    <w:rsid w:val="00D441E1"/>
    <w:rsid w:val="00D47185"/>
    <w:rsid w:val="00D501B5"/>
    <w:rsid w:val="00D5459F"/>
    <w:rsid w:val="00D57AE7"/>
    <w:rsid w:val="00D64D31"/>
    <w:rsid w:val="00D65F4C"/>
    <w:rsid w:val="00D660DE"/>
    <w:rsid w:val="00D67805"/>
    <w:rsid w:val="00D72DDF"/>
    <w:rsid w:val="00D734A0"/>
    <w:rsid w:val="00D739BE"/>
    <w:rsid w:val="00D74F85"/>
    <w:rsid w:val="00D762A5"/>
    <w:rsid w:val="00D76F93"/>
    <w:rsid w:val="00D8155D"/>
    <w:rsid w:val="00D81E99"/>
    <w:rsid w:val="00D82FFD"/>
    <w:rsid w:val="00D870BE"/>
    <w:rsid w:val="00D87130"/>
    <w:rsid w:val="00D90BFB"/>
    <w:rsid w:val="00D97149"/>
    <w:rsid w:val="00D97374"/>
    <w:rsid w:val="00D97FB8"/>
    <w:rsid w:val="00DA04A6"/>
    <w:rsid w:val="00DA5406"/>
    <w:rsid w:val="00DA5ED4"/>
    <w:rsid w:val="00DB1E34"/>
    <w:rsid w:val="00DB4FC9"/>
    <w:rsid w:val="00DB591E"/>
    <w:rsid w:val="00DC0E1B"/>
    <w:rsid w:val="00DC209D"/>
    <w:rsid w:val="00DC35CA"/>
    <w:rsid w:val="00DC3616"/>
    <w:rsid w:val="00DC3754"/>
    <w:rsid w:val="00DC4295"/>
    <w:rsid w:val="00DC448F"/>
    <w:rsid w:val="00DC5D3F"/>
    <w:rsid w:val="00DC612D"/>
    <w:rsid w:val="00DD07D9"/>
    <w:rsid w:val="00DD2ACC"/>
    <w:rsid w:val="00DD534A"/>
    <w:rsid w:val="00DD7982"/>
    <w:rsid w:val="00DE27BE"/>
    <w:rsid w:val="00DE2A57"/>
    <w:rsid w:val="00DE3DE8"/>
    <w:rsid w:val="00DE70C9"/>
    <w:rsid w:val="00DF1A93"/>
    <w:rsid w:val="00DF1FA0"/>
    <w:rsid w:val="00DF6442"/>
    <w:rsid w:val="00E01D63"/>
    <w:rsid w:val="00E04D99"/>
    <w:rsid w:val="00E0784E"/>
    <w:rsid w:val="00E11B41"/>
    <w:rsid w:val="00E128C2"/>
    <w:rsid w:val="00E15F46"/>
    <w:rsid w:val="00E236D2"/>
    <w:rsid w:val="00E237A4"/>
    <w:rsid w:val="00E24157"/>
    <w:rsid w:val="00E2441B"/>
    <w:rsid w:val="00E25A4D"/>
    <w:rsid w:val="00E266D6"/>
    <w:rsid w:val="00E30E6B"/>
    <w:rsid w:val="00E33411"/>
    <w:rsid w:val="00E34011"/>
    <w:rsid w:val="00E3428B"/>
    <w:rsid w:val="00E36ECA"/>
    <w:rsid w:val="00E401C6"/>
    <w:rsid w:val="00E407B4"/>
    <w:rsid w:val="00E408B8"/>
    <w:rsid w:val="00E429CE"/>
    <w:rsid w:val="00E4489A"/>
    <w:rsid w:val="00E455F0"/>
    <w:rsid w:val="00E46064"/>
    <w:rsid w:val="00E4608F"/>
    <w:rsid w:val="00E46FE9"/>
    <w:rsid w:val="00E50550"/>
    <w:rsid w:val="00E56B2A"/>
    <w:rsid w:val="00E615DF"/>
    <w:rsid w:val="00E6289C"/>
    <w:rsid w:val="00E67FDD"/>
    <w:rsid w:val="00E71D13"/>
    <w:rsid w:val="00E754B6"/>
    <w:rsid w:val="00E75528"/>
    <w:rsid w:val="00E80736"/>
    <w:rsid w:val="00E8777E"/>
    <w:rsid w:val="00E92426"/>
    <w:rsid w:val="00E95E80"/>
    <w:rsid w:val="00EA3A50"/>
    <w:rsid w:val="00EA5F90"/>
    <w:rsid w:val="00EA7928"/>
    <w:rsid w:val="00EB1AFD"/>
    <w:rsid w:val="00EB2958"/>
    <w:rsid w:val="00EB6998"/>
    <w:rsid w:val="00EB6A3C"/>
    <w:rsid w:val="00EC1B24"/>
    <w:rsid w:val="00EC52E9"/>
    <w:rsid w:val="00EC73E2"/>
    <w:rsid w:val="00ED0F8F"/>
    <w:rsid w:val="00ED3E23"/>
    <w:rsid w:val="00ED40D6"/>
    <w:rsid w:val="00EE04A0"/>
    <w:rsid w:val="00EE1CAC"/>
    <w:rsid w:val="00EE3F15"/>
    <w:rsid w:val="00EE48CF"/>
    <w:rsid w:val="00EE5275"/>
    <w:rsid w:val="00EE5FF0"/>
    <w:rsid w:val="00EE6864"/>
    <w:rsid w:val="00EF0DCF"/>
    <w:rsid w:val="00EF236C"/>
    <w:rsid w:val="00EF3179"/>
    <w:rsid w:val="00EF529E"/>
    <w:rsid w:val="00F00E38"/>
    <w:rsid w:val="00F07392"/>
    <w:rsid w:val="00F076A2"/>
    <w:rsid w:val="00F11A54"/>
    <w:rsid w:val="00F12723"/>
    <w:rsid w:val="00F146A1"/>
    <w:rsid w:val="00F156A1"/>
    <w:rsid w:val="00F20AF0"/>
    <w:rsid w:val="00F22952"/>
    <w:rsid w:val="00F22CF7"/>
    <w:rsid w:val="00F24C96"/>
    <w:rsid w:val="00F27C91"/>
    <w:rsid w:val="00F32116"/>
    <w:rsid w:val="00F32D01"/>
    <w:rsid w:val="00F34390"/>
    <w:rsid w:val="00F3608C"/>
    <w:rsid w:val="00F40707"/>
    <w:rsid w:val="00F4072F"/>
    <w:rsid w:val="00F41692"/>
    <w:rsid w:val="00F4215A"/>
    <w:rsid w:val="00F4629B"/>
    <w:rsid w:val="00F51BC7"/>
    <w:rsid w:val="00F52E4A"/>
    <w:rsid w:val="00F52EF3"/>
    <w:rsid w:val="00F53CC0"/>
    <w:rsid w:val="00F57737"/>
    <w:rsid w:val="00F57B52"/>
    <w:rsid w:val="00F620DD"/>
    <w:rsid w:val="00F675B5"/>
    <w:rsid w:val="00F70AAC"/>
    <w:rsid w:val="00F71C06"/>
    <w:rsid w:val="00F724DF"/>
    <w:rsid w:val="00F735A7"/>
    <w:rsid w:val="00F75F80"/>
    <w:rsid w:val="00F77D8A"/>
    <w:rsid w:val="00F84868"/>
    <w:rsid w:val="00F854DE"/>
    <w:rsid w:val="00F85688"/>
    <w:rsid w:val="00F857EE"/>
    <w:rsid w:val="00F86E90"/>
    <w:rsid w:val="00F901DE"/>
    <w:rsid w:val="00F902AA"/>
    <w:rsid w:val="00F942F9"/>
    <w:rsid w:val="00FA1877"/>
    <w:rsid w:val="00FA56DC"/>
    <w:rsid w:val="00FA58BB"/>
    <w:rsid w:val="00FB3A4E"/>
    <w:rsid w:val="00FB44BD"/>
    <w:rsid w:val="00FB4857"/>
    <w:rsid w:val="00FB747D"/>
    <w:rsid w:val="00FB7B9F"/>
    <w:rsid w:val="00FC6B39"/>
    <w:rsid w:val="00FD04F4"/>
    <w:rsid w:val="00FE05AD"/>
    <w:rsid w:val="00FE0768"/>
    <w:rsid w:val="00FE1CF8"/>
    <w:rsid w:val="00FE2A2C"/>
    <w:rsid w:val="00FE397A"/>
    <w:rsid w:val="00FE58D5"/>
    <w:rsid w:val="00FE752A"/>
    <w:rsid w:val="00FE7F23"/>
    <w:rsid w:val="00FF56B6"/>
    <w:rsid w:val="00FF5A48"/>
    <w:rsid w:val="012F5F9F"/>
    <w:rsid w:val="01502B56"/>
    <w:rsid w:val="015864E2"/>
    <w:rsid w:val="01587515"/>
    <w:rsid w:val="01654D38"/>
    <w:rsid w:val="016A729A"/>
    <w:rsid w:val="018E70B3"/>
    <w:rsid w:val="019D73AC"/>
    <w:rsid w:val="01B95D57"/>
    <w:rsid w:val="01F24850"/>
    <w:rsid w:val="02526914"/>
    <w:rsid w:val="026C49F2"/>
    <w:rsid w:val="026D1BE0"/>
    <w:rsid w:val="0275709F"/>
    <w:rsid w:val="02854417"/>
    <w:rsid w:val="03031969"/>
    <w:rsid w:val="031713E0"/>
    <w:rsid w:val="031B3F71"/>
    <w:rsid w:val="034563F1"/>
    <w:rsid w:val="0374413D"/>
    <w:rsid w:val="03816DD7"/>
    <w:rsid w:val="0393663B"/>
    <w:rsid w:val="03C651DC"/>
    <w:rsid w:val="040919E9"/>
    <w:rsid w:val="04142EB6"/>
    <w:rsid w:val="041C4FD2"/>
    <w:rsid w:val="04200A1C"/>
    <w:rsid w:val="04542801"/>
    <w:rsid w:val="045D31F0"/>
    <w:rsid w:val="04604C2D"/>
    <w:rsid w:val="04855E56"/>
    <w:rsid w:val="048C462D"/>
    <w:rsid w:val="04B806C5"/>
    <w:rsid w:val="051150C2"/>
    <w:rsid w:val="05263B5D"/>
    <w:rsid w:val="052A5AE1"/>
    <w:rsid w:val="05913F89"/>
    <w:rsid w:val="05CA6C2D"/>
    <w:rsid w:val="05E628D4"/>
    <w:rsid w:val="05F718D7"/>
    <w:rsid w:val="06073847"/>
    <w:rsid w:val="060B69B9"/>
    <w:rsid w:val="062064F4"/>
    <w:rsid w:val="06436049"/>
    <w:rsid w:val="065B4E9B"/>
    <w:rsid w:val="066C3CA0"/>
    <w:rsid w:val="069460C6"/>
    <w:rsid w:val="06A237FE"/>
    <w:rsid w:val="06A26906"/>
    <w:rsid w:val="06C93D7C"/>
    <w:rsid w:val="073A38EF"/>
    <w:rsid w:val="073D1AB7"/>
    <w:rsid w:val="07435E75"/>
    <w:rsid w:val="076446BE"/>
    <w:rsid w:val="078903A8"/>
    <w:rsid w:val="080B6275"/>
    <w:rsid w:val="082F4AD6"/>
    <w:rsid w:val="08327DCD"/>
    <w:rsid w:val="084351F7"/>
    <w:rsid w:val="088F5DC3"/>
    <w:rsid w:val="08A632D4"/>
    <w:rsid w:val="08B865A0"/>
    <w:rsid w:val="08D37F98"/>
    <w:rsid w:val="08DA606E"/>
    <w:rsid w:val="09046C0D"/>
    <w:rsid w:val="09076F8D"/>
    <w:rsid w:val="090A5256"/>
    <w:rsid w:val="09510329"/>
    <w:rsid w:val="098E1D5D"/>
    <w:rsid w:val="09BC2539"/>
    <w:rsid w:val="09E138C8"/>
    <w:rsid w:val="09F40358"/>
    <w:rsid w:val="0A0F06E0"/>
    <w:rsid w:val="0A215262"/>
    <w:rsid w:val="0A2E22D2"/>
    <w:rsid w:val="0A9606CC"/>
    <w:rsid w:val="0A9A4817"/>
    <w:rsid w:val="0A9B3D6C"/>
    <w:rsid w:val="0AA11D51"/>
    <w:rsid w:val="0AC637B9"/>
    <w:rsid w:val="0AFD49C0"/>
    <w:rsid w:val="0B101826"/>
    <w:rsid w:val="0B1F756D"/>
    <w:rsid w:val="0B2428ED"/>
    <w:rsid w:val="0B5413BB"/>
    <w:rsid w:val="0B5A5D98"/>
    <w:rsid w:val="0B9271DB"/>
    <w:rsid w:val="0BCD2F74"/>
    <w:rsid w:val="0C0B7609"/>
    <w:rsid w:val="0C0E6243"/>
    <w:rsid w:val="0C2311EE"/>
    <w:rsid w:val="0C273322"/>
    <w:rsid w:val="0C354060"/>
    <w:rsid w:val="0C365B43"/>
    <w:rsid w:val="0C4069E7"/>
    <w:rsid w:val="0C74547A"/>
    <w:rsid w:val="0C8B24AA"/>
    <w:rsid w:val="0C9111BF"/>
    <w:rsid w:val="0C947C7E"/>
    <w:rsid w:val="0C9F2758"/>
    <w:rsid w:val="0CA2315A"/>
    <w:rsid w:val="0CD914B5"/>
    <w:rsid w:val="0CDF4D1D"/>
    <w:rsid w:val="0CEE6D0E"/>
    <w:rsid w:val="0CFD4D64"/>
    <w:rsid w:val="0CFE0C51"/>
    <w:rsid w:val="0D272C2D"/>
    <w:rsid w:val="0D431241"/>
    <w:rsid w:val="0D4564DF"/>
    <w:rsid w:val="0D574E8A"/>
    <w:rsid w:val="0D703ADE"/>
    <w:rsid w:val="0D833AA6"/>
    <w:rsid w:val="0DA970D9"/>
    <w:rsid w:val="0DBF548E"/>
    <w:rsid w:val="0DCF33B0"/>
    <w:rsid w:val="0DD03ABF"/>
    <w:rsid w:val="0DF04D54"/>
    <w:rsid w:val="0E020B2F"/>
    <w:rsid w:val="0E024815"/>
    <w:rsid w:val="0E5E7872"/>
    <w:rsid w:val="0E701FB3"/>
    <w:rsid w:val="0E8546A1"/>
    <w:rsid w:val="0E891FDE"/>
    <w:rsid w:val="0EC53019"/>
    <w:rsid w:val="0ECE2B74"/>
    <w:rsid w:val="0F0D379B"/>
    <w:rsid w:val="0F205A06"/>
    <w:rsid w:val="0F2754CB"/>
    <w:rsid w:val="0F2E76D7"/>
    <w:rsid w:val="0F386123"/>
    <w:rsid w:val="0F9E58BB"/>
    <w:rsid w:val="0F9F69E6"/>
    <w:rsid w:val="0FA912C6"/>
    <w:rsid w:val="0FCA14BA"/>
    <w:rsid w:val="0FCB7FCB"/>
    <w:rsid w:val="0FCC1376"/>
    <w:rsid w:val="0FD767AC"/>
    <w:rsid w:val="0FF576FC"/>
    <w:rsid w:val="0FFF686C"/>
    <w:rsid w:val="10090303"/>
    <w:rsid w:val="100A58CF"/>
    <w:rsid w:val="101A62D4"/>
    <w:rsid w:val="103E1A4C"/>
    <w:rsid w:val="10450B28"/>
    <w:rsid w:val="108D4CD8"/>
    <w:rsid w:val="109929CF"/>
    <w:rsid w:val="111055B2"/>
    <w:rsid w:val="11196DE2"/>
    <w:rsid w:val="115655F5"/>
    <w:rsid w:val="11782782"/>
    <w:rsid w:val="119B1036"/>
    <w:rsid w:val="11CF783D"/>
    <w:rsid w:val="11F110EE"/>
    <w:rsid w:val="12250A88"/>
    <w:rsid w:val="12411FD6"/>
    <w:rsid w:val="125F3008"/>
    <w:rsid w:val="12664DDB"/>
    <w:rsid w:val="12751495"/>
    <w:rsid w:val="12A24894"/>
    <w:rsid w:val="13031DFF"/>
    <w:rsid w:val="1315493F"/>
    <w:rsid w:val="132F4FE8"/>
    <w:rsid w:val="13307632"/>
    <w:rsid w:val="133E12B2"/>
    <w:rsid w:val="134C45A0"/>
    <w:rsid w:val="135D79FC"/>
    <w:rsid w:val="13622EAC"/>
    <w:rsid w:val="13697D0C"/>
    <w:rsid w:val="13752847"/>
    <w:rsid w:val="137E2F7D"/>
    <w:rsid w:val="138C0502"/>
    <w:rsid w:val="138E10C3"/>
    <w:rsid w:val="13AD7D02"/>
    <w:rsid w:val="13AD7D0C"/>
    <w:rsid w:val="13B37597"/>
    <w:rsid w:val="13D36C5E"/>
    <w:rsid w:val="13DA22DC"/>
    <w:rsid w:val="13E22C12"/>
    <w:rsid w:val="141B0C11"/>
    <w:rsid w:val="141E1CEE"/>
    <w:rsid w:val="14314CAB"/>
    <w:rsid w:val="14536732"/>
    <w:rsid w:val="14B93131"/>
    <w:rsid w:val="14BC1DE8"/>
    <w:rsid w:val="14D1402C"/>
    <w:rsid w:val="14D9723A"/>
    <w:rsid w:val="14DA722B"/>
    <w:rsid w:val="1507121C"/>
    <w:rsid w:val="15273889"/>
    <w:rsid w:val="152D205D"/>
    <w:rsid w:val="152D29B4"/>
    <w:rsid w:val="156030A4"/>
    <w:rsid w:val="15750120"/>
    <w:rsid w:val="15785D0F"/>
    <w:rsid w:val="158F6D92"/>
    <w:rsid w:val="15AE4897"/>
    <w:rsid w:val="15B40120"/>
    <w:rsid w:val="15B72D80"/>
    <w:rsid w:val="15D603E0"/>
    <w:rsid w:val="161E030A"/>
    <w:rsid w:val="161E4E43"/>
    <w:rsid w:val="16267E90"/>
    <w:rsid w:val="162E1800"/>
    <w:rsid w:val="16393F94"/>
    <w:rsid w:val="16687A6F"/>
    <w:rsid w:val="166F7C45"/>
    <w:rsid w:val="16832647"/>
    <w:rsid w:val="168366F3"/>
    <w:rsid w:val="16A10C26"/>
    <w:rsid w:val="16C03001"/>
    <w:rsid w:val="16C47691"/>
    <w:rsid w:val="16E421C9"/>
    <w:rsid w:val="16F30EC4"/>
    <w:rsid w:val="16FA34CC"/>
    <w:rsid w:val="17192C57"/>
    <w:rsid w:val="172160E2"/>
    <w:rsid w:val="17435EA8"/>
    <w:rsid w:val="17563E26"/>
    <w:rsid w:val="176E464A"/>
    <w:rsid w:val="17807481"/>
    <w:rsid w:val="178C784F"/>
    <w:rsid w:val="17904D72"/>
    <w:rsid w:val="17D1324E"/>
    <w:rsid w:val="17FD1DAB"/>
    <w:rsid w:val="181E645C"/>
    <w:rsid w:val="18722F25"/>
    <w:rsid w:val="187E0712"/>
    <w:rsid w:val="18B43EE8"/>
    <w:rsid w:val="18BC2E77"/>
    <w:rsid w:val="18CA2BBA"/>
    <w:rsid w:val="18CF2597"/>
    <w:rsid w:val="18EE4A62"/>
    <w:rsid w:val="19206A1B"/>
    <w:rsid w:val="193D3FD6"/>
    <w:rsid w:val="194259B6"/>
    <w:rsid w:val="19652C4B"/>
    <w:rsid w:val="196D718F"/>
    <w:rsid w:val="1981715C"/>
    <w:rsid w:val="198312D2"/>
    <w:rsid w:val="19B87156"/>
    <w:rsid w:val="19CB2E64"/>
    <w:rsid w:val="19F053B4"/>
    <w:rsid w:val="19FD6232"/>
    <w:rsid w:val="1A24695C"/>
    <w:rsid w:val="1A3B1263"/>
    <w:rsid w:val="1A3D56B6"/>
    <w:rsid w:val="1A495B5B"/>
    <w:rsid w:val="1A8769F4"/>
    <w:rsid w:val="1AA47D21"/>
    <w:rsid w:val="1AC268A5"/>
    <w:rsid w:val="1AC36F9E"/>
    <w:rsid w:val="1ACE7693"/>
    <w:rsid w:val="1ADF413A"/>
    <w:rsid w:val="1AEA31A6"/>
    <w:rsid w:val="1B274266"/>
    <w:rsid w:val="1B3260C4"/>
    <w:rsid w:val="1B3F7ADC"/>
    <w:rsid w:val="1B402A55"/>
    <w:rsid w:val="1B4220C1"/>
    <w:rsid w:val="1B542C7D"/>
    <w:rsid w:val="1B835119"/>
    <w:rsid w:val="1B873FC7"/>
    <w:rsid w:val="1B9C2E66"/>
    <w:rsid w:val="1BD47A17"/>
    <w:rsid w:val="1C276E3A"/>
    <w:rsid w:val="1CD307B8"/>
    <w:rsid w:val="1CE91F16"/>
    <w:rsid w:val="1CEA3142"/>
    <w:rsid w:val="1CEC421F"/>
    <w:rsid w:val="1D10367E"/>
    <w:rsid w:val="1D2D73DF"/>
    <w:rsid w:val="1D571BB4"/>
    <w:rsid w:val="1D61177E"/>
    <w:rsid w:val="1D743924"/>
    <w:rsid w:val="1D772D50"/>
    <w:rsid w:val="1D8105DD"/>
    <w:rsid w:val="1D8D4432"/>
    <w:rsid w:val="1DEB7C2A"/>
    <w:rsid w:val="1DF12B02"/>
    <w:rsid w:val="1E0F0762"/>
    <w:rsid w:val="1E115683"/>
    <w:rsid w:val="1E1A0072"/>
    <w:rsid w:val="1E2D3FE0"/>
    <w:rsid w:val="1E310B22"/>
    <w:rsid w:val="1E51503E"/>
    <w:rsid w:val="1E5C1FBF"/>
    <w:rsid w:val="1E6A01BF"/>
    <w:rsid w:val="1E6D1EC4"/>
    <w:rsid w:val="1E7535D3"/>
    <w:rsid w:val="1E7C50C5"/>
    <w:rsid w:val="1E877128"/>
    <w:rsid w:val="1EBD0C36"/>
    <w:rsid w:val="1EC021DE"/>
    <w:rsid w:val="1EDD0EBA"/>
    <w:rsid w:val="1EF32788"/>
    <w:rsid w:val="1F3C4E1E"/>
    <w:rsid w:val="1FA31DC7"/>
    <w:rsid w:val="1FA52DE3"/>
    <w:rsid w:val="1FB43155"/>
    <w:rsid w:val="1FB92A56"/>
    <w:rsid w:val="1FD97C79"/>
    <w:rsid w:val="201F74F8"/>
    <w:rsid w:val="204C1BC0"/>
    <w:rsid w:val="20691543"/>
    <w:rsid w:val="20743577"/>
    <w:rsid w:val="20744C39"/>
    <w:rsid w:val="209F4EEF"/>
    <w:rsid w:val="20B4338F"/>
    <w:rsid w:val="20CB5B90"/>
    <w:rsid w:val="20F608C0"/>
    <w:rsid w:val="213827F6"/>
    <w:rsid w:val="21470029"/>
    <w:rsid w:val="215334D5"/>
    <w:rsid w:val="215A0118"/>
    <w:rsid w:val="2173474F"/>
    <w:rsid w:val="21881CE4"/>
    <w:rsid w:val="218B68A8"/>
    <w:rsid w:val="21A4718A"/>
    <w:rsid w:val="21B01753"/>
    <w:rsid w:val="21BA6494"/>
    <w:rsid w:val="21D62D00"/>
    <w:rsid w:val="21D928EE"/>
    <w:rsid w:val="21EE7D82"/>
    <w:rsid w:val="22295244"/>
    <w:rsid w:val="222E57AC"/>
    <w:rsid w:val="224D186C"/>
    <w:rsid w:val="226005C7"/>
    <w:rsid w:val="226F0584"/>
    <w:rsid w:val="22A230F9"/>
    <w:rsid w:val="22D3449A"/>
    <w:rsid w:val="22D36535"/>
    <w:rsid w:val="22D55B86"/>
    <w:rsid w:val="22E449E3"/>
    <w:rsid w:val="233B037C"/>
    <w:rsid w:val="23531A7D"/>
    <w:rsid w:val="23531B5F"/>
    <w:rsid w:val="2356471D"/>
    <w:rsid w:val="23586A43"/>
    <w:rsid w:val="23676AD9"/>
    <w:rsid w:val="23812730"/>
    <w:rsid w:val="239460B1"/>
    <w:rsid w:val="2399237C"/>
    <w:rsid w:val="239C3120"/>
    <w:rsid w:val="23CC0A7A"/>
    <w:rsid w:val="23DA7B0F"/>
    <w:rsid w:val="23F22A2B"/>
    <w:rsid w:val="23FC3497"/>
    <w:rsid w:val="24200B2B"/>
    <w:rsid w:val="24456F85"/>
    <w:rsid w:val="245717E9"/>
    <w:rsid w:val="2473676D"/>
    <w:rsid w:val="24A919EB"/>
    <w:rsid w:val="25145E8B"/>
    <w:rsid w:val="251A042A"/>
    <w:rsid w:val="25301377"/>
    <w:rsid w:val="25484118"/>
    <w:rsid w:val="255D3E24"/>
    <w:rsid w:val="25930E2E"/>
    <w:rsid w:val="25AE5FF7"/>
    <w:rsid w:val="25D16EC5"/>
    <w:rsid w:val="25E24FF3"/>
    <w:rsid w:val="25F5433E"/>
    <w:rsid w:val="260A2502"/>
    <w:rsid w:val="26112101"/>
    <w:rsid w:val="262A053E"/>
    <w:rsid w:val="265E0C2F"/>
    <w:rsid w:val="269D294C"/>
    <w:rsid w:val="26B446CD"/>
    <w:rsid w:val="26BA757A"/>
    <w:rsid w:val="26CC7D59"/>
    <w:rsid w:val="26F0040F"/>
    <w:rsid w:val="27020BA5"/>
    <w:rsid w:val="270D0281"/>
    <w:rsid w:val="27244727"/>
    <w:rsid w:val="274B5C9F"/>
    <w:rsid w:val="27537F0A"/>
    <w:rsid w:val="27BB10C5"/>
    <w:rsid w:val="27E9484A"/>
    <w:rsid w:val="27FC62F6"/>
    <w:rsid w:val="280F56AD"/>
    <w:rsid w:val="28412E8F"/>
    <w:rsid w:val="284445EA"/>
    <w:rsid w:val="28525F69"/>
    <w:rsid w:val="28534762"/>
    <w:rsid w:val="285A5999"/>
    <w:rsid w:val="285E4472"/>
    <w:rsid w:val="2874082B"/>
    <w:rsid w:val="2879245E"/>
    <w:rsid w:val="287A4275"/>
    <w:rsid w:val="28831525"/>
    <w:rsid w:val="288D3427"/>
    <w:rsid w:val="2893153E"/>
    <w:rsid w:val="28BC3849"/>
    <w:rsid w:val="28C0369D"/>
    <w:rsid w:val="28CE0EB6"/>
    <w:rsid w:val="28E62B38"/>
    <w:rsid w:val="28E9232B"/>
    <w:rsid w:val="28F83E00"/>
    <w:rsid w:val="2903033F"/>
    <w:rsid w:val="294130C4"/>
    <w:rsid w:val="29481B37"/>
    <w:rsid w:val="2950208E"/>
    <w:rsid w:val="2970317B"/>
    <w:rsid w:val="298653E4"/>
    <w:rsid w:val="29877EEA"/>
    <w:rsid w:val="299E1B2D"/>
    <w:rsid w:val="29A55AA6"/>
    <w:rsid w:val="29B2339B"/>
    <w:rsid w:val="29B80AF4"/>
    <w:rsid w:val="29BA109E"/>
    <w:rsid w:val="29C07324"/>
    <w:rsid w:val="29DA250F"/>
    <w:rsid w:val="29E548CE"/>
    <w:rsid w:val="2A2A7FF3"/>
    <w:rsid w:val="2A676B6B"/>
    <w:rsid w:val="2A7C3754"/>
    <w:rsid w:val="2A8F01D1"/>
    <w:rsid w:val="2AB838B8"/>
    <w:rsid w:val="2AEB14D3"/>
    <w:rsid w:val="2B5F5ECE"/>
    <w:rsid w:val="2BDA5BED"/>
    <w:rsid w:val="2BDD2FC9"/>
    <w:rsid w:val="2C10726F"/>
    <w:rsid w:val="2C2151C6"/>
    <w:rsid w:val="2C2455E8"/>
    <w:rsid w:val="2C2A055D"/>
    <w:rsid w:val="2C2E3173"/>
    <w:rsid w:val="2C35005E"/>
    <w:rsid w:val="2C357791"/>
    <w:rsid w:val="2C693CE5"/>
    <w:rsid w:val="2C8D389B"/>
    <w:rsid w:val="2C9B6D81"/>
    <w:rsid w:val="2CD067C3"/>
    <w:rsid w:val="2CFE192F"/>
    <w:rsid w:val="2D3431FB"/>
    <w:rsid w:val="2D3D727A"/>
    <w:rsid w:val="2D687FBF"/>
    <w:rsid w:val="2D69103B"/>
    <w:rsid w:val="2D71156A"/>
    <w:rsid w:val="2D892FDC"/>
    <w:rsid w:val="2D9B3515"/>
    <w:rsid w:val="2DA06EE6"/>
    <w:rsid w:val="2DBA2F11"/>
    <w:rsid w:val="2DD56CF4"/>
    <w:rsid w:val="2DFB012C"/>
    <w:rsid w:val="2E454B6C"/>
    <w:rsid w:val="2E613C2E"/>
    <w:rsid w:val="2E840578"/>
    <w:rsid w:val="2E8B507B"/>
    <w:rsid w:val="2EC67693"/>
    <w:rsid w:val="2F08768D"/>
    <w:rsid w:val="2F287AAB"/>
    <w:rsid w:val="2F5514E6"/>
    <w:rsid w:val="2F5B7C48"/>
    <w:rsid w:val="2F645619"/>
    <w:rsid w:val="2F6478FA"/>
    <w:rsid w:val="2F6B742B"/>
    <w:rsid w:val="2F8B1F80"/>
    <w:rsid w:val="2FE2705E"/>
    <w:rsid w:val="2FF06254"/>
    <w:rsid w:val="30392D43"/>
    <w:rsid w:val="307D2EC1"/>
    <w:rsid w:val="30861A34"/>
    <w:rsid w:val="30C16364"/>
    <w:rsid w:val="30D2619E"/>
    <w:rsid w:val="314D01A9"/>
    <w:rsid w:val="31550429"/>
    <w:rsid w:val="315A0EFF"/>
    <w:rsid w:val="318A0E4C"/>
    <w:rsid w:val="31992042"/>
    <w:rsid w:val="31B82D45"/>
    <w:rsid w:val="31D377A6"/>
    <w:rsid w:val="31F370FB"/>
    <w:rsid w:val="322562C3"/>
    <w:rsid w:val="322C61E4"/>
    <w:rsid w:val="323F1EE6"/>
    <w:rsid w:val="324869D8"/>
    <w:rsid w:val="326229EC"/>
    <w:rsid w:val="328358D7"/>
    <w:rsid w:val="328F08DA"/>
    <w:rsid w:val="329574B3"/>
    <w:rsid w:val="32A40394"/>
    <w:rsid w:val="32F56799"/>
    <w:rsid w:val="32FB347E"/>
    <w:rsid w:val="330C3C1F"/>
    <w:rsid w:val="33264BA4"/>
    <w:rsid w:val="336145CE"/>
    <w:rsid w:val="336D5F42"/>
    <w:rsid w:val="34424A66"/>
    <w:rsid w:val="34753B5F"/>
    <w:rsid w:val="34796E3E"/>
    <w:rsid w:val="34BF36B7"/>
    <w:rsid w:val="351654D5"/>
    <w:rsid w:val="351B69B2"/>
    <w:rsid w:val="35227FD5"/>
    <w:rsid w:val="352F5ECF"/>
    <w:rsid w:val="35385B24"/>
    <w:rsid w:val="353E1058"/>
    <w:rsid w:val="35472917"/>
    <w:rsid w:val="355A0B35"/>
    <w:rsid w:val="358A7801"/>
    <w:rsid w:val="35A517C6"/>
    <w:rsid w:val="35D72186"/>
    <w:rsid w:val="35EC00FA"/>
    <w:rsid w:val="35EF0B5E"/>
    <w:rsid w:val="35FF59AC"/>
    <w:rsid w:val="36323860"/>
    <w:rsid w:val="368D4F94"/>
    <w:rsid w:val="36A6459A"/>
    <w:rsid w:val="36C77801"/>
    <w:rsid w:val="36CD09D6"/>
    <w:rsid w:val="36DF5796"/>
    <w:rsid w:val="371804FC"/>
    <w:rsid w:val="37216A67"/>
    <w:rsid w:val="373F4BB9"/>
    <w:rsid w:val="374671AA"/>
    <w:rsid w:val="375308AE"/>
    <w:rsid w:val="375A670E"/>
    <w:rsid w:val="37613BA6"/>
    <w:rsid w:val="376A7EC9"/>
    <w:rsid w:val="376D649D"/>
    <w:rsid w:val="37BC4986"/>
    <w:rsid w:val="37C42468"/>
    <w:rsid w:val="37F00C90"/>
    <w:rsid w:val="37F109B0"/>
    <w:rsid w:val="382D5EA4"/>
    <w:rsid w:val="38371C6C"/>
    <w:rsid w:val="384B19FE"/>
    <w:rsid w:val="387B6F5F"/>
    <w:rsid w:val="38980949"/>
    <w:rsid w:val="38996DFA"/>
    <w:rsid w:val="389E6F8B"/>
    <w:rsid w:val="38A463B6"/>
    <w:rsid w:val="38BD055B"/>
    <w:rsid w:val="38BD497D"/>
    <w:rsid w:val="38CC354C"/>
    <w:rsid w:val="393811DD"/>
    <w:rsid w:val="39755F3E"/>
    <w:rsid w:val="397F4106"/>
    <w:rsid w:val="399955B3"/>
    <w:rsid w:val="399A3BF6"/>
    <w:rsid w:val="39A7374F"/>
    <w:rsid w:val="39AE31FE"/>
    <w:rsid w:val="39D105FF"/>
    <w:rsid w:val="39EF4A71"/>
    <w:rsid w:val="3A0E7264"/>
    <w:rsid w:val="3A1529ED"/>
    <w:rsid w:val="3A30438F"/>
    <w:rsid w:val="3A3530BA"/>
    <w:rsid w:val="3A837A61"/>
    <w:rsid w:val="3AA82343"/>
    <w:rsid w:val="3AB2116F"/>
    <w:rsid w:val="3AB3345E"/>
    <w:rsid w:val="3AB8326A"/>
    <w:rsid w:val="3AC727C9"/>
    <w:rsid w:val="3AE276CA"/>
    <w:rsid w:val="3B0F3900"/>
    <w:rsid w:val="3B7A3CDF"/>
    <w:rsid w:val="3B8362D7"/>
    <w:rsid w:val="3B993889"/>
    <w:rsid w:val="3BCC5A74"/>
    <w:rsid w:val="3BD84D6F"/>
    <w:rsid w:val="3BE779A1"/>
    <w:rsid w:val="3C12216A"/>
    <w:rsid w:val="3C584559"/>
    <w:rsid w:val="3CC16F5A"/>
    <w:rsid w:val="3CD77DBD"/>
    <w:rsid w:val="3CE714C4"/>
    <w:rsid w:val="3CF31C37"/>
    <w:rsid w:val="3D136199"/>
    <w:rsid w:val="3D202664"/>
    <w:rsid w:val="3D2D5DDA"/>
    <w:rsid w:val="3D3853C8"/>
    <w:rsid w:val="3D404E58"/>
    <w:rsid w:val="3D436353"/>
    <w:rsid w:val="3D6508A4"/>
    <w:rsid w:val="3DD1652D"/>
    <w:rsid w:val="3DEC0989"/>
    <w:rsid w:val="3DEF5475"/>
    <w:rsid w:val="3DEF5B1B"/>
    <w:rsid w:val="3DF4346E"/>
    <w:rsid w:val="3DFE2F5F"/>
    <w:rsid w:val="3E3105A1"/>
    <w:rsid w:val="3E405B07"/>
    <w:rsid w:val="3E4F39D0"/>
    <w:rsid w:val="3E5161C3"/>
    <w:rsid w:val="3E886684"/>
    <w:rsid w:val="3E9D07CB"/>
    <w:rsid w:val="3ECF1E9F"/>
    <w:rsid w:val="3EF961F3"/>
    <w:rsid w:val="3F375EE5"/>
    <w:rsid w:val="3F4324CF"/>
    <w:rsid w:val="3F5E1AD8"/>
    <w:rsid w:val="3F723185"/>
    <w:rsid w:val="3F7D71FD"/>
    <w:rsid w:val="3F80046F"/>
    <w:rsid w:val="3F805F59"/>
    <w:rsid w:val="3F8F762D"/>
    <w:rsid w:val="3F9B6610"/>
    <w:rsid w:val="3FCF32E7"/>
    <w:rsid w:val="3FE72105"/>
    <w:rsid w:val="40072C8B"/>
    <w:rsid w:val="401D49B7"/>
    <w:rsid w:val="403A4C5D"/>
    <w:rsid w:val="403D7F4C"/>
    <w:rsid w:val="405847E7"/>
    <w:rsid w:val="405C699B"/>
    <w:rsid w:val="407D057E"/>
    <w:rsid w:val="40801440"/>
    <w:rsid w:val="408C7DCF"/>
    <w:rsid w:val="409E78C8"/>
    <w:rsid w:val="40CE78EC"/>
    <w:rsid w:val="40DE1007"/>
    <w:rsid w:val="40EB0906"/>
    <w:rsid w:val="40ED0BD9"/>
    <w:rsid w:val="40F956A6"/>
    <w:rsid w:val="4108201F"/>
    <w:rsid w:val="411102B6"/>
    <w:rsid w:val="413761CE"/>
    <w:rsid w:val="413C1875"/>
    <w:rsid w:val="41446A56"/>
    <w:rsid w:val="41485179"/>
    <w:rsid w:val="41563016"/>
    <w:rsid w:val="41754D19"/>
    <w:rsid w:val="419B6802"/>
    <w:rsid w:val="419D0128"/>
    <w:rsid w:val="419D4F38"/>
    <w:rsid w:val="41A534A7"/>
    <w:rsid w:val="41C819BB"/>
    <w:rsid w:val="41EF53DA"/>
    <w:rsid w:val="42057ABF"/>
    <w:rsid w:val="421F0D15"/>
    <w:rsid w:val="423A68BD"/>
    <w:rsid w:val="4242045B"/>
    <w:rsid w:val="424A50F2"/>
    <w:rsid w:val="4280250F"/>
    <w:rsid w:val="42A8263B"/>
    <w:rsid w:val="42CB5A5C"/>
    <w:rsid w:val="42D234E7"/>
    <w:rsid w:val="42D44DEC"/>
    <w:rsid w:val="42EA36EB"/>
    <w:rsid w:val="42FF39FF"/>
    <w:rsid w:val="43391570"/>
    <w:rsid w:val="434075BC"/>
    <w:rsid w:val="43500216"/>
    <w:rsid w:val="4370477C"/>
    <w:rsid w:val="43CF13AC"/>
    <w:rsid w:val="43E61D35"/>
    <w:rsid w:val="43FF594B"/>
    <w:rsid w:val="4428017E"/>
    <w:rsid w:val="4432584C"/>
    <w:rsid w:val="446E7185"/>
    <w:rsid w:val="44E35950"/>
    <w:rsid w:val="450A03D3"/>
    <w:rsid w:val="45101828"/>
    <w:rsid w:val="45162DE6"/>
    <w:rsid w:val="45307CC2"/>
    <w:rsid w:val="453B44DF"/>
    <w:rsid w:val="455A6017"/>
    <w:rsid w:val="457614B2"/>
    <w:rsid w:val="45B17617"/>
    <w:rsid w:val="45C70C20"/>
    <w:rsid w:val="461865CE"/>
    <w:rsid w:val="461A0599"/>
    <w:rsid w:val="463673DA"/>
    <w:rsid w:val="464E0242"/>
    <w:rsid w:val="467767AB"/>
    <w:rsid w:val="467D55BA"/>
    <w:rsid w:val="469669F2"/>
    <w:rsid w:val="46966B2D"/>
    <w:rsid w:val="46972590"/>
    <w:rsid w:val="46B13754"/>
    <w:rsid w:val="46BB2B48"/>
    <w:rsid w:val="46CD0D10"/>
    <w:rsid w:val="46D24579"/>
    <w:rsid w:val="46E44703"/>
    <w:rsid w:val="474736E1"/>
    <w:rsid w:val="477046BE"/>
    <w:rsid w:val="47740C02"/>
    <w:rsid w:val="47D156D3"/>
    <w:rsid w:val="481863E1"/>
    <w:rsid w:val="481F2A1F"/>
    <w:rsid w:val="482168AF"/>
    <w:rsid w:val="482D12C1"/>
    <w:rsid w:val="48707EA2"/>
    <w:rsid w:val="489A5C8F"/>
    <w:rsid w:val="48B57A94"/>
    <w:rsid w:val="48D2515B"/>
    <w:rsid w:val="49256F26"/>
    <w:rsid w:val="493F0AAA"/>
    <w:rsid w:val="4971383E"/>
    <w:rsid w:val="49811EBA"/>
    <w:rsid w:val="49B81710"/>
    <w:rsid w:val="49C22EF2"/>
    <w:rsid w:val="49D03FCB"/>
    <w:rsid w:val="49E04401"/>
    <w:rsid w:val="4A424B12"/>
    <w:rsid w:val="4A4D51D8"/>
    <w:rsid w:val="4A5247D7"/>
    <w:rsid w:val="4A9A023E"/>
    <w:rsid w:val="4A9B2F5B"/>
    <w:rsid w:val="4AB929D7"/>
    <w:rsid w:val="4AC047DD"/>
    <w:rsid w:val="4AD60587"/>
    <w:rsid w:val="4B3D15F9"/>
    <w:rsid w:val="4B4A3680"/>
    <w:rsid w:val="4B756271"/>
    <w:rsid w:val="4B8E2E35"/>
    <w:rsid w:val="4B952E37"/>
    <w:rsid w:val="4BA803F5"/>
    <w:rsid w:val="4BB20C08"/>
    <w:rsid w:val="4BD76A55"/>
    <w:rsid w:val="4BDC78F2"/>
    <w:rsid w:val="4BFF3C0D"/>
    <w:rsid w:val="4C087F73"/>
    <w:rsid w:val="4C0A484F"/>
    <w:rsid w:val="4C1269B2"/>
    <w:rsid w:val="4C250EC2"/>
    <w:rsid w:val="4C3B6AD4"/>
    <w:rsid w:val="4C815D70"/>
    <w:rsid w:val="4C912601"/>
    <w:rsid w:val="4C9F1396"/>
    <w:rsid w:val="4CB6100E"/>
    <w:rsid w:val="4D0D0BE7"/>
    <w:rsid w:val="4D172A94"/>
    <w:rsid w:val="4D331F40"/>
    <w:rsid w:val="4D57717F"/>
    <w:rsid w:val="4D6A1F35"/>
    <w:rsid w:val="4D8A1336"/>
    <w:rsid w:val="4D8D32D3"/>
    <w:rsid w:val="4DA846DC"/>
    <w:rsid w:val="4DD76D6F"/>
    <w:rsid w:val="4DD80ABA"/>
    <w:rsid w:val="4E0468B9"/>
    <w:rsid w:val="4E46150C"/>
    <w:rsid w:val="4E600612"/>
    <w:rsid w:val="4E6629A1"/>
    <w:rsid w:val="4E977924"/>
    <w:rsid w:val="4EAF55F6"/>
    <w:rsid w:val="4EB447F1"/>
    <w:rsid w:val="4EF85249"/>
    <w:rsid w:val="4F137C50"/>
    <w:rsid w:val="4F542660"/>
    <w:rsid w:val="4F574E8D"/>
    <w:rsid w:val="4F7472A3"/>
    <w:rsid w:val="4F8E7A1A"/>
    <w:rsid w:val="4FCA60D3"/>
    <w:rsid w:val="4FEA7471"/>
    <w:rsid w:val="50031422"/>
    <w:rsid w:val="501119C9"/>
    <w:rsid w:val="50360707"/>
    <w:rsid w:val="504076D0"/>
    <w:rsid w:val="504D0132"/>
    <w:rsid w:val="5071153E"/>
    <w:rsid w:val="508A4C62"/>
    <w:rsid w:val="50B131BA"/>
    <w:rsid w:val="50C40F22"/>
    <w:rsid w:val="510B0FD8"/>
    <w:rsid w:val="510D4856"/>
    <w:rsid w:val="51393F7A"/>
    <w:rsid w:val="513A3610"/>
    <w:rsid w:val="515379CB"/>
    <w:rsid w:val="51795E17"/>
    <w:rsid w:val="51815DD5"/>
    <w:rsid w:val="51933D83"/>
    <w:rsid w:val="51A64F6A"/>
    <w:rsid w:val="51B70856"/>
    <w:rsid w:val="51D22096"/>
    <w:rsid w:val="51DE0802"/>
    <w:rsid w:val="51FC7708"/>
    <w:rsid w:val="525C4B3C"/>
    <w:rsid w:val="52B33E99"/>
    <w:rsid w:val="52B73551"/>
    <w:rsid w:val="52C8262C"/>
    <w:rsid w:val="534B2415"/>
    <w:rsid w:val="5395053A"/>
    <w:rsid w:val="53DB69ED"/>
    <w:rsid w:val="53E20580"/>
    <w:rsid w:val="54216677"/>
    <w:rsid w:val="54322F51"/>
    <w:rsid w:val="548137DE"/>
    <w:rsid w:val="54A32466"/>
    <w:rsid w:val="54FE0C9F"/>
    <w:rsid w:val="550F1568"/>
    <w:rsid w:val="557F62A7"/>
    <w:rsid w:val="55AC6053"/>
    <w:rsid w:val="55C53262"/>
    <w:rsid w:val="55CF22B9"/>
    <w:rsid w:val="55D67BF3"/>
    <w:rsid w:val="55F234C3"/>
    <w:rsid w:val="55F470CE"/>
    <w:rsid w:val="560D075A"/>
    <w:rsid w:val="56337E3C"/>
    <w:rsid w:val="564451BE"/>
    <w:rsid w:val="56462DB2"/>
    <w:rsid w:val="5687156A"/>
    <w:rsid w:val="568A5B35"/>
    <w:rsid w:val="56A83F7C"/>
    <w:rsid w:val="56B505B7"/>
    <w:rsid w:val="56B73D78"/>
    <w:rsid w:val="56CF468A"/>
    <w:rsid w:val="56E535A8"/>
    <w:rsid w:val="56F41B84"/>
    <w:rsid w:val="56FC7846"/>
    <w:rsid w:val="573D0A11"/>
    <w:rsid w:val="57531BB5"/>
    <w:rsid w:val="57882E88"/>
    <w:rsid w:val="57A138CA"/>
    <w:rsid w:val="57D16401"/>
    <w:rsid w:val="57D3131E"/>
    <w:rsid w:val="57D92784"/>
    <w:rsid w:val="57E143E9"/>
    <w:rsid w:val="57EC6094"/>
    <w:rsid w:val="57FD1FF0"/>
    <w:rsid w:val="580E274A"/>
    <w:rsid w:val="583848AE"/>
    <w:rsid w:val="58601E6F"/>
    <w:rsid w:val="586970C5"/>
    <w:rsid w:val="587A2927"/>
    <w:rsid w:val="5884134D"/>
    <w:rsid w:val="58A557B0"/>
    <w:rsid w:val="59036C6A"/>
    <w:rsid w:val="59172281"/>
    <w:rsid w:val="59250EE0"/>
    <w:rsid w:val="592F4D6F"/>
    <w:rsid w:val="597F7DE2"/>
    <w:rsid w:val="59923A4D"/>
    <w:rsid w:val="59C453C2"/>
    <w:rsid w:val="59C666B8"/>
    <w:rsid w:val="59EB5FA5"/>
    <w:rsid w:val="59F2790A"/>
    <w:rsid w:val="59F3044F"/>
    <w:rsid w:val="5A5E1A1A"/>
    <w:rsid w:val="5A7D37D6"/>
    <w:rsid w:val="5A856AD4"/>
    <w:rsid w:val="5A8A54D2"/>
    <w:rsid w:val="5A911D40"/>
    <w:rsid w:val="5AA4447D"/>
    <w:rsid w:val="5AA858EF"/>
    <w:rsid w:val="5AAF577B"/>
    <w:rsid w:val="5AB22CB5"/>
    <w:rsid w:val="5AB426B0"/>
    <w:rsid w:val="5AEC372E"/>
    <w:rsid w:val="5B2854DF"/>
    <w:rsid w:val="5B29391C"/>
    <w:rsid w:val="5B5F03A4"/>
    <w:rsid w:val="5B6E1A2A"/>
    <w:rsid w:val="5B7C248F"/>
    <w:rsid w:val="5BA960B3"/>
    <w:rsid w:val="5BEB116E"/>
    <w:rsid w:val="5C6B0650"/>
    <w:rsid w:val="5C7D79C2"/>
    <w:rsid w:val="5CC51967"/>
    <w:rsid w:val="5D232174"/>
    <w:rsid w:val="5D2A4320"/>
    <w:rsid w:val="5D3C11F3"/>
    <w:rsid w:val="5D67302B"/>
    <w:rsid w:val="5D750FB4"/>
    <w:rsid w:val="5D8650B8"/>
    <w:rsid w:val="5D997B9D"/>
    <w:rsid w:val="5D9C1551"/>
    <w:rsid w:val="5DB838B5"/>
    <w:rsid w:val="5DB9494B"/>
    <w:rsid w:val="5DE000D6"/>
    <w:rsid w:val="5DE7005B"/>
    <w:rsid w:val="5E0B03FA"/>
    <w:rsid w:val="5E154AE8"/>
    <w:rsid w:val="5E213B5D"/>
    <w:rsid w:val="5E837616"/>
    <w:rsid w:val="5E8709A9"/>
    <w:rsid w:val="5E911FEC"/>
    <w:rsid w:val="5EA640D0"/>
    <w:rsid w:val="5EAB7BE5"/>
    <w:rsid w:val="5EAC7591"/>
    <w:rsid w:val="5EB30272"/>
    <w:rsid w:val="5EBA6BF3"/>
    <w:rsid w:val="5EC93885"/>
    <w:rsid w:val="5EE56729"/>
    <w:rsid w:val="5EE963B9"/>
    <w:rsid w:val="5EF855A5"/>
    <w:rsid w:val="5F020305"/>
    <w:rsid w:val="5F4E2031"/>
    <w:rsid w:val="5FB567E4"/>
    <w:rsid w:val="5FF5288B"/>
    <w:rsid w:val="6009338C"/>
    <w:rsid w:val="60687CFB"/>
    <w:rsid w:val="60755EA8"/>
    <w:rsid w:val="60914354"/>
    <w:rsid w:val="60BA2CED"/>
    <w:rsid w:val="60BD448B"/>
    <w:rsid w:val="60C43B2C"/>
    <w:rsid w:val="610C2DF5"/>
    <w:rsid w:val="619E53C2"/>
    <w:rsid w:val="61AF035B"/>
    <w:rsid w:val="61D759CA"/>
    <w:rsid w:val="61DC62AA"/>
    <w:rsid w:val="62003F67"/>
    <w:rsid w:val="620577D3"/>
    <w:rsid w:val="623D1262"/>
    <w:rsid w:val="623D61A3"/>
    <w:rsid w:val="624A3B5C"/>
    <w:rsid w:val="626672E8"/>
    <w:rsid w:val="626F5F64"/>
    <w:rsid w:val="62792BF4"/>
    <w:rsid w:val="62816D18"/>
    <w:rsid w:val="628B7B1B"/>
    <w:rsid w:val="62B17C91"/>
    <w:rsid w:val="62ED26D6"/>
    <w:rsid w:val="62F87FB3"/>
    <w:rsid w:val="62FE4E33"/>
    <w:rsid w:val="632B6840"/>
    <w:rsid w:val="632F70D6"/>
    <w:rsid w:val="63424833"/>
    <w:rsid w:val="635163B2"/>
    <w:rsid w:val="63822316"/>
    <w:rsid w:val="63A17FBE"/>
    <w:rsid w:val="63B32FD2"/>
    <w:rsid w:val="63B67F57"/>
    <w:rsid w:val="63BC31C7"/>
    <w:rsid w:val="63EC7AA2"/>
    <w:rsid w:val="64522DA2"/>
    <w:rsid w:val="64AA2690"/>
    <w:rsid w:val="64AC465A"/>
    <w:rsid w:val="64AC7B32"/>
    <w:rsid w:val="64B435C8"/>
    <w:rsid w:val="64B74DAD"/>
    <w:rsid w:val="651B5108"/>
    <w:rsid w:val="652E24BB"/>
    <w:rsid w:val="656365CA"/>
    <w:rsid w:val="65995898"/>
    <w:rsid w:val="65C12143"/>
    <w:rsid w:val="65EE4F9F"/>
    <w:rsid w:val="664D7AC1"/>
    <w:rsid w:val="665F59CF"/>
    <w:rsid w:val="66787928"/>
    <w:rsid w:val="667B2432"/>
    <w:rsid w:val="66855163"/>
    <w:rsid w:val="67193901"/>
    <w:rsid w:val="67246540"/>
    <w:rsid w:val="67394B67"/>
    <w:rsid w:val="673A6907"/>
    <w:rsid w:val="67452B44"/>
    <w:rsid w:val="67745323"/>
    <w:rsid w:val="67804BFE"/>
    <w:rsid w:val="67955334"/>
    <w:rsid w:val="67C20BAA"/>
    <w:rsid w:val="67F03745"/>
    <w:rsid w:val="67F178F7"/>
    <w:rsid w:val="681349F0"/>
    <w:rsid w:val="682D5C8C"/>
    <w:rsid w:val="68460981"/>
    <w:rsid w:val="684E753E"/>
    <w:rsid w:val="685A02DE"/>
    <w:rsid w:val="685C7600"/>
    <w:rsid w:val="686D69E9"/>
    <w:rsid w:val="688E1982"/>
    <w:rsid w:val="68B96B17"/>
    <w:rsid w:val="68D575AA"/>
    <w:rsid w:val="692C2932"/>
    <w:rsid w:val="69781437"/>
    <w:rsid w:val="697E5441"/>
    <w:rsid w:val="69A6235C"/>
    <w:rsid w:val="6A4D243B"/>
    <w:rsid w:val="6AB75B07"/>
    <w:rsid w:val="6AD90457"/>
    <w:rsid w:val="6AE85F08"/>
    <w:rsid w:val="6AEA692B"/>
    <w:rsid w:val="6B053244"/>
    <w:rsid w:val="6B2D5CCA"/>
    <w:rsid w:val="6B3F430B"/>
    <w:rsid w:val="6B4549ED"/>
    <w:rsid w:val="6B481122"/>
    <w:rsid w:val="6B5A286D"/>
    <w:rsid w:val="6B657A76"/>
    <w:rsid w:val="6B67572F"/>
    <w:rsid w:val="6B78147A"/>
    <w:rsid w:val="6B8C3559"/>
    <w:rsid w:val="6B9F5688"/>
    <w:rsid w:val="6BB355E7"/>
    <w:rsid w:val="6BC26511"/>
    <w:rsid w:val="6BC46560"/>
    <w:rsid w:val="6C06280E"/>
    <w:rsid w:val="6C1B4AE9"/>
    <w:rsid w:val="6C303DC2"/>
    <w:rsid w:val="6CA41E08"/>
    <w:rsid w:val="6CBE1180"/>
    <w:rsid w:val="6CCC7458"/>
    <w:rsid w:val="6CDE424F"/>
    <w:rsid w:val="6D0A05AB"/>
    <w:rsid w:val="6D2474F7"/>
    <w:rsid w:val="6D262AD0"/>
    <w:rsid w:val="6D543E7C"/>
    <w:rsid w:val="6DAD705D"/>
    <w:rsid w:val="6DBD2905"/>
    <w:rsid w:val="6DC07A36"/>
    <w:rsid w:val="6DE52928"/>
    <w:rsid w:val="6DEE4D13"/>
    <w:rsid w:val="6DF320C0"/>
    <w:rsid w:val="6DFC67CC"/>
    <w:rsid w:val="6E3B37C2"/>
    <w:rsid w:val="6E4B1B00"/>
    <w:rsid w:val="6E5E0B95"/>
    <w:rsid w:val="6E5E1ACA"/>
    <w:rsid w:val="6E615701"/>
    <w:rsid w:val="6E696051"/>
    <w:rsid w:val="6E7066F8"/>
    <w:rsid w:val="6E771BEE"/>
    <w:rsid w:val="6E7B036B"/>
    <w:rsid w:val="6EAC7191"/>
    <w:rsid w:val="6EC425A0"/>
    <w:rsid w:val="6ED6693F"/>
    <w:rsid w:val="6EDD3D15"/>
    <w:rsid w:val="6EE85FFD"/>
    <w:rsid w:val="6EE92D4B"/>
    <w:rsid w:val="6F407FA9"/>
    <w:rsid w:val="6F4F2E29"/>
    <w:rsid w:val="6F520FC7"/>
    <w:rsid w:val="6F883BD3"/>
    <w:rsid w:val="6FB24AEE"/>
    <w:rsid w:val="6FB856D0"/>
    <w:rsid w:val="6FCB2765"/>
    <w:rsid w:val="6FCD68EA"/>
    <w:rsid w:val="6FF70753"/>
    <w:rsid w:val="701B0AEA"/>
    <w:rsid w:val="70394F2C"/>
    <w:rsid w:val="703B37BC"/>
    <w:rsid w:val="70573F47"/>
    <w:rsid w:val="706E4EFF"/>
    <w:rsid w:val="70B34FC2"/>
    <w:rsid w:val="71095FAB"/>
    <w:rsid w:val="71142BCA"/>
    <w:rsid w:val="711E19CD"/>
    <w:rsid w:val="7130216F"/>
    <w:rsid w:val="715F193C"/>
    <w:rsid w:val="717D272B"/>
    <w:rsid w:val="71C33472"/>
    <w:rsid w:val="71E1284A"/>
    <w:rsid w:val="71E64D3E"/>
    <w:rsid w:val="71ED0060"/>
    <w:rsid w:val="728C2DCD"/>
    <w:rsid w:val="72A67CBB"/>
    <w:rsid w:val="72D06CD4"/>
    <w:rsid w:val="72DE14DB"/>
    <w:rsid w:val="72F36989"/>
    <w:rsid w:val="7343262D"/>
    <w:rsid w:val="735F0338"/>
    <w:rsid w:val="73780C3B"/>
    <w:rsid w:val="737E0E94"/>
    <w:rsid w:val="73903019"/>
    <w:rsid w:val="73904A59"/>
    <w:rsid w:val="739B1273"/>
    <w:rsid w:val="73A9113A"/>
    <w:rsid w:val="73AE7C48"/>
    <w:rsid w:val="73CA5327"/>
    <w:rsid w:val="73CF1EA2"/>
    <w:rsid w:val="73F74FF6"/>
    <w:rsid w:val="740258DD"/>
    <w:rsid w:val="74300FC5"/>
    <w:rsid w:val="74536AF7"/>
    <w:rsid w:val="745B3A6D"/>
    <w:rsid w:val="7469010D"/>
    <w:rsid w:val="74826A66"/>
    <w:rsid w:val="74BA1EA5"/>
    <w:rsid w:val="74C1709B"/>
    <w:rsid w:val="74CF288C"/>
    <w:rsid w:val="75297AD3"/>
    <w:rsid w:val="754937FF"/>
    <w:rsid w:val="75525B4F"/>
    <w:rsid w:val="75555C41"/>
    <w:rsid w:val="75556648"/>
    <w:rsid w:val="756E770A"/>
    <w:rsid w:val="75753202"/>
    <w:rsid w:val="75943B7B"/>
    <w:rsid w:val="75AD59B0"/>
    <w:rsid w:val="75AE7B06"/>
    <w:rsid w:val="75B02603"/>
    <w:rsid w:val="75B94E29"/>
    <w:rsid w:val="75C42FAE"/>
    <w:rsid w:val="75CC32BF"/>
    <w:rsid w:val="75D70978"/>
    <w:rsid w:val="75E02032"/>
    <w:rsid w:val="75FD0723"/>
    <w:rsid w:val="763B161E"/>
    <w:rsid w:val="76481D09"/>
    <w:rsid w:val="765F1D4E"/>
    <w:rsid w:val="766D1D16"/>
    <w:rsid w:val="7674183B"/>
    <w:rsid w:val="767713F3"/>
    <w:rsid w:val="76D70BAD"/>
    <w:rsid w:val="76DB3BDC"/>
    <w:rsid w:val="76ED395B"/>
    <w:rsid w:val="76FD595E"/>
    <w:rsid w:val="770B6EE3"/>
    <w:rsid w:val="770F6E13"/>
    <w:rsid w:val="77247C02"/>
    <w:rsid w:val="774E4838"/>
    <w:rsid w:val="77602BA1"/>
    <w:rsid w:val="776209F2"/>
    <w:rsid w:val="779C608A"/>
    <w:rsid w:val="77A358D1"/>
    <w:rsid w:val="77B801BE"/>
    <w:rsid w:val="77CD0C10"/>
    <w:rsid w:val="782056FE"/>
    <w:rsid w:val="78286B80"/>
    <w:rsid w:val="783163C0"/>
    <w:rsid w:val="785C7CED"/>
    <w:rsid w:val="786B4218"/>
    <w:rsid w:val="787D038F"/>
    <w:rsid w:val="78C55892"/>
    <w:rsid w:val="78D15614"/>
    <w:rsid w:val="78EF28D7"/>
    <w:rsid w:val="79112D8F"/>
    <w:rsid w:val="791E10C4"/>
    <w:rsid w:val="7938004C"/>
    <w:rsid w:val="7954169F"/>
    <w:rsid w:val="79B35230"/>
    <w:rsid w:val="79E928F8"/>
    <w:rsid w:val="7A120583"/>
    <w:rsid w:val="7A125C96"/>
    <w:rsid w:val="7A2D36EF"/>
    <w:rsid w:val="7A470F3E"/>
    <w:rsid w:val="7A5742C4"/>
    <w:rsid w:val="7A67653E"/>
    <w:rsid w:val="7A6810F8"/>
    <w:rsid w:val="7A730237"/>
    <w:rsid w:val="7A8C486F"/>
    <w:rsid w:val="7A92261D"/>
    <w:rsid w:val="7AAA4726"/>
    <w:rsid w:val="7B2206F6"/>
    <w:rsid w:val="7B357D3C"/>
    <w:rsid w:val="7B466078"/>
    <w:rsid w:val="7B6D2995"/>
    <w:rsid w:val="7BD80F5C"/>
    <w:rsid w:val="7BF274D9"/>
    <w:rsid w:val="7C2B26B6"/>
    <w:rsid w:val="7C5C650E"/>
    <w:rsid w:val="7C676C2D"/>
    <w:rsid w:val="7C75312C"/>
    <w:rsid w:val="7C781755"/>
    <w:rsid w:val="7CA317A5"/>
    <w:rsid w:val="7CB9278C"/>
    <w:rsid w:val="7CE570E0"/>
    <w:rsid w:val="7CE704CD"/>
    <w:rsid w:val="7D0566C0"/>
    <w:rsid w:val="7D127178"/>
    <w:rsid w:val="7D172BE1"/>
    <w:rsid w:val="7D800FBF"/>
    <w:rsid w:val="7DA036EE"/>
    <w:rsid w:val="7DA42B02"/>
    <w:rsid w:val="7E3037B0"/>
    <w:rsid w:val="7E6130CD"/>
    <w:rsid w:val="7E65627E"/>
    <w:rsid w:val="7E9131F9"/>
    <w:rsid w:val="7E947583"/>
    <w:rsid w:val="7EA83C8C"/>
    <w:rsid w:val="7EAC29D8"/>
    <w:rsid w:val="7EAE01FA"/>
    <w:rsid w:val="7EB5177D"/>
    <w:rsid w:val="7ED928CF"/>
    <w:rsid w:val="7F2C54D6"/>
    <w:rsid w:val="7F3A5CFD"/>
    <w:rsid w:val="7F816797"/>
    <w:rsid w:val="7FAD7FE3"/>
    <w:rsid w:val="7FB47701"/>
    <w:rsid w:val="7FD14043"/>
    <w:rsid w:val="7FF43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jc w:val="center"/>
      <w:outlineLvl w:val="0"/>
    </w:pPr>
    <w:rPr>
      <w:b/>
      <w:bCs/>
      <w:sz w:val="24"/>
      <w:szCs w:val="20"/>
    </w:rPr>
  </w:style>
  <w:style w:type="paragraph" w:styleId="3">
    <w:name w:val="heading 2"/>
    <w:basedOn w:val="1"/>
    <w:next w:val="1"/>
    <w:link w:val="6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2"/>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75"/>
    <w:qFormat/>
    <w:uiPriority w:val="0"/>
    <w:pPr>
      <w:widowControl/>
      <w:ind w:firstLine="420"/>
      <w:jc w:val="left"/>
    </w:pPr>
    <w:rPr>
      <w:kern w:val="0"/>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76"/>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next w:val="1"/>
    <w:qFormat/>
    <w:uiPriority w:val="0"/>
    <w:pPr>
      <w:spacing w:after="120"/>
    </w:pPr>
  </w:style>
  <w:style w:type="paragraph" w:styleId="18">
    <w:name w:val="Body Text Indent"/>
    <w:basedOn w:val="1"/>
    <w:next w:val="1"/>
    <w:link w:val="77"/>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index 4"/>
    <w:basedOn w:val="1"/>
    <w:next w:val="1"/>
    <w:qFormat/>
    <w:uiPriority w:val="0"/>
    <w:pPr>
      <w:widowControl/>
      <w:spacing w:after="312" w:line="360" w:lineRule="auto"/>
      <w:ind w:left="600" w:leftChars="600" w:firstLine="200" w:firstLineChars="200"/>
      <w:jc w:val="left"/>
    </w:pPr>
    <w:rPr>
      <w:sz w:val="24"/>
      <w:lang w:val="zh-CN"/>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0"/>
    <w:pPr>
      <w:ind w:left="840" w:leftChars="400"/>
    </w:pPr>
  </w:style>
  <w:style w:type="paragraph" w:styleId="23">
    <w:name w:val="Plain Text"/>
    <w:basedOn w:val="1"/>
    <w:link w:val="78"/>
    <w:qFormat/>
    <w:uiPriority w:val="0"/>
    <w:rPr>
      <w:rFonts w:ascii="宋体" w:hAnsi="Courier New" w:cs="Courier New"/>
      <w:szCs w:val="21"/>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9"/>
    <w:qFormat/>
    <w:uiPriority w:val="0"/>
    <w:rPr>
      <w:sz w:val="24"/>
      <w:szCs w:val="20"/>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80"/>
    <w:qFormat/>
    <w:uiPriority w:val="0"/>
    <w:rPr>
      <w:rFonts w:ascii="Calibri" w:hAnsi="Calibri"/>
      <w:sz w:val="18"/>
      <w:szCs w:val="18"/>
    </w:rPr>
  </w:style>
  <w:style w:type="paragraph" w:styleId="28">
    <w:name w:val="footer"/>
    <w:basedOn w:val="1"/>
    <w:link w:val="81"/>
    <w:qFormat/>
    <w:uiPriority w:val="0"/>
    <w:pPr>
      <w:tabs>
        <w:tab w:val="center" w:pos="4153"/>
        <w:tab w:val="right" w:pos="8306"/>
      </w:tabs>
      <w:snapToGrid w:val="0"/>
      <w:jc w:val="left"/>
    </w:pPr>
    <w:rPr>
      <w:sz w:val="18"/>
      <w:szCs w:val="18"/>
    </w:rPr>
  </w:style>
  <w:style w:type="paragraph" w:styleId="29">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30">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rPr>
      <w:rFonts w:ascii="Calibri" w:hAnsi="Calibri"/>
      <w:szCs w:val="22"/>
    </w:rPr>
  </w:style>
  <w:style w:type="paragraph" w:styleId="33">
    <w:name w:val="Body Text Indent 3"/>
    <w:basedOn w:val="1"/>
    <w:next w:val="1"/>
    <w:link w:val="83"/>
    <w:qFormat/>
    <w:uiPriority w:val="0"/>
    <w:pPr>
      <w:spacing w:after="120"/>
      <w:ind w:left="420" w:leftChars="200"/>
    </w:pPr>
    <w:rPr>
      <w:sz w:val="16"/>
      <w:szCs w:val="16"/>
    </w:rPr>
  </w:style>
  <w:style w:type="paragraph" w:styleId="34">
    <w:name w:val="toc 2"/>
    <w:basedOn w:val="1"/>
    <w:next w:val="1"/>
    <w:qFormat/>
    <w:uiPriority w:val="0"/>
    <w:pPr>
      <w:ind w:left="420" w:leftChars="200"/>
    </w:pPr>
  </w:style>
  <w:style w:type="paragraph" w:styleId="35">
    <w:name w:val="toc 9"/>
    <w:basedOn w:val="1"/>
    <w:next w:val="1"/>
    <w:qFormat/>
    <w:uiPriority w:val="0"/>
    <w:pPr>
      <w:ind w:left="3360" w:leftChars="1600"/>
    </w:pPr>
    <w:rPr>
      <w:rFonts w:ascii="Calibri" w:hAnsi="Calibri"/>
      <w:szCs w:val="22"/>
    </w:rPr>
  </w:style>
  <w:style w:type="paragraph" w:styleId="36">
    <w:name w:val="Body Text 2"/>
    <w:basedOn w:val="1"/>
    <w:qFormat/>
    <w:uiPriority w:val="0"/>
    <w:pPr>
      <w:spacing w:after="120" w:line="480" w:lineRule="auto"/>
    </w:p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next w:val="1"/>
    <w:qFormat/>
    <w:uiPriority w:val="0"/>
    <w:pPr>
      <w:spacing w:before="240" w:after="60"/>
      <w:jc w:val="center"/>
      <w:outlineLvl w:val="0"/>
    </w:pPr>
    <w:rPr>
      <w:rFonts w:ascii="Cambria" w:hAnsi="Cambria"/>
      <w:b/>
      <w:sz w:val="32"/>
    </w:rPr>
  </w:style>
  <w:style w:type="paragraph" w:styleId="41">
    <w:name w:val="annotation subject"/>
    <w:basedOn w:val="14"/>
    <w:next w:val="14"/>
    <w:link w:val="84"/>
    <w:qFormat/>
    <w:uiPriority w:val="0"/>
    <w:rPr>
      <w:b/>
      <w:bCs/>
    </w:rPr>
  </w:style>
  <w:style w:type="paragraph" w:styleId="42">
    <w:name w:val="Body Text First Indent"/>
    <w:basedOn w:val="17"/>
    <w:next w:val="18"/>
    <w:qFormat/>
    <w:uiPriority w:val="0"/>
    <w:pPr>
      <w:ind w:firstLine="420" w:firstLineChars="100"/>
    </w:pPr>
  </w:style>
  <w:style w:type="paragraph" w:styleId="43">
    <w:name w:val="Body Text First Indent 2"/>
    <w:basedOn w:val="18"/>
    <w:next w:val="42"/>
    <w:unhideWhenUsed/>
    <w:qFormat/>
    <w:uiPriority w:val="0"/>
    <w:pPr>
      <w:autoSpaceDE w:val="0"/>
      <w:autoSpaceDN w:val="0"/>
      <w:adjustRightInd w:val="0"/>
      <w:jc w:val="left"/>
    </w:pPr>
    <w:rPr>
      <w:kern w:val="0"/>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Typewriter"/>
    <w:qFormat/>
    <w:uiPriority w:val="0"/>
    <w:rPr>
      <w:rFonts w:ascii="Courier New" w:hAnsi="Courier New"/>
      <w:sz w:val="24"/>
      <w:szCs w:val="24"/>
    </w:rPr>
  </w:style>
  <w:style w:type="character" w:styleId="53">
    <w:name w:val="HTML Acronym"/>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标题 1 Char"/>
    <w:qFormat/>
    <w:uiPriority w:val="0"/>
    <w:rPr>
      <w:rFonts w:ascii="Cambria" w:hAnsi="Cambria"/>
      <w:b/>
      <w:bCs/>
      <w:kern w:val="32"/>
      <w:sz w:val="32"/>
      <w:szCs w:val="32"/>
    </w:rPr>
  </w:style>
  <w:style w:type="character" w:customStyle="1" w:styleId="62">
    <w:name w:val="标题 3 Char"/>
    <w:qFormat/>
    <w:uiPriority w:val="0"/>
    <w:rPr>
      <w:b/>
      <w:bCs/>
      <w:sz w:val="24"/>
      <w:szCs w:val="24"/>
    </w:rPr>
  </w:style>
  <w:style w:type="character" w:customStyle="1" w:styleId="63">
    <w:name w:val="标题 2 Char"/>
    <w:qFormat/>
    <w:uiPriority w:val="0"/>
    <w:rPr>
      <w:rFonts w:ascii="Cambria" w:hAnsi="Cambria" w:eastAsia="宋体" w:cs="Times New Roman"/>
      <w:b/>
      <w:bCs/>
      <w:kern w:val="2"/>
      <w:sz w:val="32"/>
      <w:szCs w:val="32"/>
    </w:rPr>
  </w:style>
  <w:style w:type="character" w:customStyle="1" w:styleId="64">
    <w:name w:val="标题 4 Char"/>
    <w:qFormat/>
    <w:uiPriority w:val="0"/>
    <w:rPr>
      <w:rFonts w:ascii="Arial" w:hAnsi="Arial" w:eastAsia="宋体" w:cs="Times New Roman"/>
      <w:b/>
      <w:bCs/>
      <w:szCs w:val="28"/>
    </w:rPr>
  </w:style>
  <w:style w:type="character" w:customStyle="1" w:styleId="65">
    <w:name w:val="NormalCharacter"/>
    <w:qFormat/>
    <w:uiPriority w:val="0"/>
    <w:rPr>
      <w:kern w:val="2"/>
      <w:sz w:val="21"/>
      <w:szCs w:val="24"/>
      <w:lang w:val="en-US" w:eastAsia="zh-CN" w:bidi="ar-SA"/>
    </w:rPr>
  </w:style>
  <w:style w:type="character" w:customStyle="1" w:styleId="66">
    <w:name w:val="标题 1 字符"/>
    <w:link w:val="2"/>
    <w:qFormat/>
    <w:uiPriority w:val="0"/>
    <w:rPr>
      <w:rFonts w:eastAsia="宋体"/>
      <w:b/>
      <w:bCs/>
      <w:kern w:val="2"/>
      <w:sz w:val="24"/>
      <w:lang w:val="en-US" w:eastAsia="zh-CN" w:bidi="ar-SA"/>
    </w:rPr>
  </w:style>
  <w:style w:type="character" w:customStyle="1" w:styleId="67">
    <w:name w:val="标题 2 字符"/>
    <w:link w:val="3"/>
    <w:qFormat/>
    <w:uiPriority w:val="0"/>
    <w:rPr>
      <w:rFonts w:ascii="Arial" w:hAnsi="Arial" w:eastAsia="宋体"/>
      <w:b/>
      <w:bCs/>
      <w:kern w:val="2"/>
      <w:sz w:val="24"/>
      <w:szCs w:val="32"/>
      <w:lang w:val="en-US" w:eastAsia="zh-CN" w:bidi="ar-SA"/>
    </w:rPr>
  </w:style>
  <w:style w:type="character" w:customStyle="1" w:styleId="68">
    <w:name w:val="标题 3 字符"/>
    <w:link w:val="4"/>
    <w:qFormat/>
    <w:uiPriority w:val="0"/>
    <w:rPr>
      <w:rFonts w:eastAsia="宋体"/>
      <w:b/>
      <w:bCs/>
      <w:kern w:val="2"/>
      <w:sz w:val="32"/>
      <w:szCs w:val="32"/>
      <w:lang w:val="en-US" w:eastAsia="zh-CN" w:bidi="ar-SA"/>
    </w:rPr>
  </w:style>
  <w:style w:type="character" w:customStyle="1" w:styleId="69">
    <w:name w:val="标题 4 字符"/>
    <w:link w:val="5"/>
    <w:qFormat/>
    <w:uiPriority w:val="0"/>
    <w:rPr>
      <w:rFonts w:ascii="Arial" w:hAnsi="Arial" w:eastAsia="黑体"/>
      <w:b/>
      <w:bCs/>
      <w:kern w:val="2"/>
      <w:sz w:val="28"/>
      <w:szCs w:val="28"/>
      <w:lang w:val="en-US" w:eastAsia="zh-CN" w:bidi="ar-SA"/>
    </w:rPr>
  </w:style>
  <w:style w:type="character" w:customStyle="1" w:styleId="70">
    <w:name w:val="标题 5 字符"/>
    <w:link w:val="6"/>
    <w:qFormat/>
    <w:uiPriority w:val="0"/>
    <w:rPr>
      <w:rFonts w:eastAsia="宋体"/>
      <w:b/>
      <w:bCs/>
      <w:sz w:val="28"/>
      <w:szCs w:val="28"/>
      <w:lang w:val="en-US" w:eastAsia="zh-CN" w:bidi="ar-SA"/>
    </w:rPr>
  </w:style>
  <w:style w:type="character" w:customStyle="1" w:styleId="71">
    <w:name w:val="标题 6 字符"/>
    <w:link w:val="7"/>
    <w:qFormat/>
    <w:uiPriority w:val="0"/>
    <w:rPr>
      <w:rFonts w:ascii="Arial" w:hAnsi="Arial" w:eastAsia="黑体"/>
      <w:b/>
      <w:bCs/>
      <w:sz w:val="24"/>
      <w:szCs w:val="24"/>
      <w:lang w:val="en-US" w:eastAsia="zh-CN" w:bidi="ar-SA"/>
    </w:rPr>
  </w:style>
  <w:style w:type="character" w:customStyle="1" w:styleId="72">
    <w:name w:val="标题 7 字符"/>
    <w:link w:val="8"/>
    <w:qFormat/>
    <w:uiPriority w:val="0"/>
    <w:rPr>
      <w:rFonts w:eastAsia="宋体"/>
      <w:b/>
      <w:bCs/>
      <w:sz w:val="24"/>
      <w:szCs w:val="24"/>
      <w:lang w:val="en-US" w:eastAsia="zh-CN" w:bidi="ar-SA"/>
    </w:rPr>
  </w:style>
  <w:style w:type="character" w:customStyle="1" w:styleId="73">
    <w:name w:val="标题 8 字符"/>
    <w:link w:val="9"/>
    <w:qFormat/>
    <w:uiPriority w:val="0"/>
    <w:rPr>
      <w:rFonts w:ascii="Arial" w:hAnsi="Arial" w:eastAsia="黑体"/>
      <w:sz w:val="24"/>
      <w:szCs w:val="24"/>
      <w:lang w:val="en-US" w:eastAsia="zh-CN" w:bidi="ar-SA"/>
    </w:rPr>
  </w:style>
  <w:style w:type="character" w:customStyle="1" w:styleId="74">
    <w:name w:val="标题 9 字符"/>
    <w:link w:val="10"/>
    <w:qFormat/>
    <w:uiPriority w:val="0"/>
    <w:rPr>
      <w:rFonts w:ascii="Arial" w:hAnsi="Arial" w:eastAsia="黑体"/>
      <w:sz w:val="21"/>
      <w:szCs w:val="21"/>
      <w:lang w:val="en-US" w:eastAsia="zh-CN" w:bidi="ar-SA"/>
    </w:rPr>
  </w:style>
  <w:style w:type="character" w:customStyle="1" w:styleId="75">
    <w:name w:val="正文缩进 字符"/>
    <w:link w:val="12"/>
    <w:qFormat/>
    <w:locked/>
    <w:uiPriority w:val="0"/>
  </w:style>
  <w:style w:type="character" w:customStyle="1" w:styleId="76">
    <w:name w:val="批注文字 字符"/>
    <w:link w:val="14"/>
    <w:qFormat/>
    <w:uiPriority w:val="0"/>
    <w:rPr>
      <w:rFonts w:eastAsia="宋体"/>
      <w:kern w:val="2"/>
      <w:sz w:val="21"/>
      <w:szCs w:val="24"/>
      <w:lang w:val="en-US" w:eastAsia="zh-CN" w:bidi="ar-SA"/>
    </w:rPr>
  </w:style>
  <w:style w:type="character" w:customStyle="1" w:styleId="77">
    <w:name w:val="正文文本缩进 字符"/>
    <w:link w:val="18"/>
    <w:qFormat/>
    <w:uiPriority w:val="0"/>
    <w:rPr>
      <w:rFonts w:eastAsia="宋体"/>
      <w:kern w:val="2"/>
      <w:sz w:val="21"/>
      <w:szCs w:val="24"/>
      <w:lang w:val="en-US" w:eastAsia="zh-CN" w:bidi="ar-SA"/>
    </w:rPr>
  </w:style>
  <w:style w:type="character" w:customStyle="1" w:styleId="78">
    <w:name w:val="纯文本 字符"/>
    <w:link w:val="23"/>
    <w:semiHidden/>
    <w:qFormat/>
    <w:locked/>
    <w:uiPriority w:val="0"/>
    <w:rPr>
      <w:rFonts w:ascii="宋体" w:hAnsi="Courier New" w:eastAsia="宋体" w:cs="Courier New"/>
      <w:kern w:val="2"/>
      <w:sz w:val="21"/>
      <w:szCs w:val="21"/>
      <w:lang w:val="en-US" w:eastAsia="zh-CN" w:bidi="ar-SA"/>
    </w:rPr>
  </w:style>
  <w:style w:type="character" w:customStyle="1" w:styleId="79">
    <w:name w:val="日期 字符"/>
    <w:link w:val="25"/>
    <w:qFormat/>
    <w:uiPriority w:val="0"/>
    <w:rPr>
      <w:rFonts w:eastAsia="宋体"/>
      <w:kern w:val="2"/>
      <w:sz w:val="24"/>
      <w:lang w:val="en-US" w:eastAsia="zh-CN" w:bidi="ar-SA"/>
    </w:rPr>
  </w:style>
  <w:style w:type="character" w:customStyle="1" w:styleId="80">
    <w:name w:val="批注框文本 字符"/>
    <w:link w:val="27"/>
    <w:semiHidden/>
    <w:qFormat/>
    <w:locked/>
    <w:uiPriority w:val="0"/>
    <w:rPr>
      <w:rFonts w:ascii="Calibri" w:hAnsi="Calibri" w:eastAsia="宋体"/>
      <w:kern w:val="2"/>
      <w:sz w:val="18"/>
      <w:szCs w:val="18"/>
      <w:lang w:val="en-US" w:eastAsia="zh-CN" w:bidi="ar-SA"/>
    </w:rPr>
  </w:style>
  <w:style w:type="character" w:customStyle="1" w:styleId="81">
    <w:name w:val="页脚 字符"/>
    <w:link w:val="28"/>
    <w:qFormat/>
    <w:uiPriority w:val="0"/>
    <w:rPr>
      <w:rFonts w:eastAsia="宋体"/>
      <w:kern w:val="2"/>
      <w:sz w:val="18"/>
      <w:szCs w:val="18"/>
      <w:lang w:val="en-US" w:eastAsia="zh-CN" w:bidi="ar-SA"/>
    </w:rPr>
  </w:style>
  <w:style w:type="character" w:customStyle="1" w:styleId="82">
    <w:name w:val="页眉 字符"/>
    <w:link w:val="30"/>
    <w:qFormat/>
    <w:uiPriority w:val="0"/>
    <w:rPr>
      <w:rFonts w:eastAsia="宋体"/>
      <w:kern w:val="2"/>
      <w:sz w:val="18"/>
      <w:szCs w:val="18"/>
      <w:lang w:val="en-US" w:eastAsia="zh-CN" w:bidi="ar-SA"/>
    </w:rPr>
  </w:style>
  <w:style w:type="character" w:customStyle="1" w:styleId="83">
    <w:name w:val="正文文本缩进 3 字符"/>
    <w:link w:val="33"/>
    <w:qFormat/>
    <w:uiPriority w:val="0"/>
    <w:rPr>
      <w:rFonts w:eastAsia="宋体"/>
      <w:kern w:val="2"/>
      <w:sz w:val="16"/>
      <w:szCs w:val="16"/>
      <w:lang w:val="en-US" w:eastAsia="zh-CN" w:bidi="ar-SA"/>
    </w:rPr>
  </w:style>
  <w:style w:type="character" w:customStyle="1" w:styleId="84">
    <w:name w:val="批注主题 字符"/>
    <w:link w:val="41"/>
    <w:qFormat/>
    <w:uiPriority w:val="0"/>
    <w:rPr>
      <w:rFonts w:eastAsia="宋体"/>
      <w:b/>
      <w:bCs/>
      <w:kern w:val="2"/>
      <w:sz w:val="21"/>
      <w:szCs w:val="24"/>
      <w:lang w:val="en-US" w:eastAsia="zh-CN" w:bidi="ar-SA"/>
    </w:rPr>
  </w:style>
  <w:style w:type="character" w:customStyle="1" w:styleId="85">
    <w:name w:val="p0 Char Char"/>
    <w:qFormat/>
    <w:uiPriority w:val="0"/>
    <w:rPr>
      <w:rFonts w:eastAsia="宋体"/>
      <w:kern w:val="2"/>
      <w:sz w:val="21"/>
      <w:szCs w:val="21"/>
      <w:lang w:val="en-US" w:eastAsia="zh-CN" w:bidi="ar-SA"/>
    </w:rPr>
  </w:style>
  <w:style w:type="character" w:customStyle="1" w:styleId="86">
    <w:name w:val="标题 5 Char"/>
    <w:qFormat/>
    <w:uiPriority w:val="0"/>
    <w:rPr>
      <w:b/>
      <w:bCs/>
      <w:kern w:val="2"/>
      <w:sz w:val="28"/>
      <w:szCs w:val="28"/>
    </w:rPr>
  </w:style>
  <w:style w:type="character" w:customStyle="1" w:styleId="87">
    <w:name w:val="title_2"/>
    <w:qFormat/>
    <w:uiPriority w:val="0"/>
    <w:rPr>
      <w:b/>
      <w:sz w:val="15"/>
      <w:szCs w:val="15"/>
    </w:rPr>
  </w:style>
  <w:style w:type="character" w:customStyle="1" w:styleId="88">
    <w:name w:val="批注主题 Char"/>
    <w:qFormat/>
    <w:uiPriority w:val="0"/>
    <w:rPr>
      <w:b/>
      <w:bCs/>
      <w:kern w:val="2"/>
      <w:sz w:val="21"/>
      <w:szCs w:val="24"/>
    </w:rPr>
  </w:style>
  <w:style w:type="character" w:customStyle="1" w:styleId="89">
    <w:name w:val="页脚 Char"/>
    <w:qFormat/>
    <w:uiPriority w:val="0"/>
    <w:rPr>
      <w:kern w:val="2"/>
      <w:sz w:val="18"/>
      <w:szCs w:val="18"/>
    </w:rPr>
  </w:style>
  <w:style w:type="character" w:customStyle="1" w:styleId="90">
    <w:name w:val="l-btn-empty"/>
    <w:qFormat/>
    <w:uiPriority w:val="0"/>
  </w:style>
  <w:style w:type="character" w:customStyle="1" w:styleId="91">
    <w:name w:val="content_3"/>
    <w:qFormat/>
    <w:uiPriority w:val="0"/>
    <w:rPr>
      <w:sz w:val="15"/>
      <w:szCs w:val="15"/>
    </w:rPr>
  </w:style>
  <w:style w:type="character" w:customStyle="1" w:styleId="92">
    <w:name w:val="批注文字 Char Char"/>
    <w:qFormat/>
    <w:uiPriority w:val="0"/>
    <w:rPr>
      <w:kern w:val="2"/>
      <w:sz w:val="21"/>
      <w:szCs w:val="24"/>
      <w:lang w:bidi="ar-SA"/>
    </w:rPr>
  </w:style>
  <w:style w:type="character" w:customStyle="1" w:styleId="93">
    <w:name w:val="title_3"/>
    <w:qFormat/>
    <w:uiPriority w:val="0"/>
    <w:rPr>
      <w:b/>
      <w:sz w:val="12"/>
      <w:szCs w:val="12"/>
    </w:rPr>
  </w:style>
  <w:style w:type="character" w:customStyle="1" w:styleId="94">
    <w:name w:val="批注框文本 Char"/>
    <w:qFormat/>
    <w:uiPriority w:val="0"/>
    <w:rPr>
      <w:kern w:val="2"/>
      <w:sz w:val="18"/>
      <w:szCs w:val="18"/>
    </w:rPr>
  </w:style>
  <w:style w:type="character" w:customStyle="1" w:styleId="95">
    <w:name w:val="l-btn-left"/>
    <w:qFormat/>
    <w:uiPriority w:val="0"/>
  </w:style>
  <w:style w:type="character" w:customStyle="1" w:styleId="96">
    <w:name w:val="l-btn-icon-left"/>
    <w:qFormat/>
    <w:uiPriority w:val="0"/>
  </w:style>
  <w:style w:type="character" w:customStyle="1" w:styleId="97">
    <w:name w:val="l-btn-left3"/>
    <w:qFormat/>
    <w:uiPriority w:val="0"/>
  </w:style>
  <w:style w:type="character" w:customStyle="1" w:styleId="98">
    <w:name w:val="sidecatalog-dot"/>
    <w:qFormat/>
    <w:uiPriority w:val="0"/>
    <w:rPr>
      <w:rFonts w:ascii="Times New Roman" w:hAnsi="Times New Roman" w:eastAsia="宋体"/>
    </w:rPr>
  </w:style>
  <w:style w:type="character" w:customStyle="1" w:styleId="99">
    <w:name w:val="Font Style94"/>
    <w:unhideWhenUsed/>
    <w:qFormat/>
    <w:uiPriority w:val="0"/>
    <w:rPr>
      <w:rFonts w:hint="eastAsia" w:ascii="Times New Roman" w:hAnsi="Times New Roman" w:eastAsia="Times New Roman"/>
      <w:sz w:val="28"/>
    </w:rPr>
  </w:style>
  <w:style w:type="character" w:customStyle="1" w:styleId="100">
    <w:name w:val="sort1"/>
    <w:qFormat/>
    <w:uiPriority w:val="0"/>
    <w:rPr>
      <w:rFonts w:ascii="Times New Roman" w:hAnsi="Times New Roman" w:eastAsia="宋体"/>
    </w:rPr>
  </w:style>
  <w:style w:type="character" w:customStyle="1" w:styleId="101">
    <w:name w:val="title22"/>
    <w:qFormat/>
    <w:uiPriority w:val="0"/>
    <w:rPr>
      <w:b/>
      <w:color w:val="000000"/>
    </w:rPr>
  </w:style>
  <w:style w:type="character" w:customStyle="1" w:styleId="102">
    <w:name w:val="content"/>
    <w:qFormat/>
    <w:uiPriority w:val="0"/>
    <w:rPr>
      <w:sz w:val="15"/>
      <w:szCs w:val="15"/>
    </w:rPr>
  </w:style>
  <w:style w:type="character" w:customStyle="1" w:styleId="103">
    <w:name w:val="标题 8 Char"/>
    <w:qFormat/>
    <w:uiPriority w:val="0"/>
    <w:rPr>
      <w:rFonts w:ascii="Arial" w:hAnsi="Arial" w:eastAsia="黑体"/>
      <w:sz w:val="24"/>
      <w:szCs w:val="24"/>
    </w:rPr>
  </w:style>
  <w:style w:type="character" w:customStyle="1" w:styleId="104">
    <w:name w:val="Font Style104"/>
    <w:unhideWhenUsed/>
    <w:qFormat/>
    <w:uiPriority w:val="0"/>
    <w:rPr>
      <w:rFonts w:hint="eastAsia" w:ascii="宋体" w:hAnsi="宋体" w:eastAsia="宋体"/>
      <w:spacing w:val="30"/>
      <w:sz w:val="18"/>
    </w:rPr>
  </w:style>
  <w:style w:type="character" w:customStyle="1" w:styleId="105">
    <w:name w:val="Font Style134"/>
    <w:unhideWhenUsed/>
    <w:qFormat/>
    <w:uiPriority w:val="0"/>
    <w:rPr>
      <w:rFonts w:hint="eastAsia" w:ascii="宋体" w:hAnsi="宋体" w:eastAsia="宋体"/>
      <w:spacing w:val="20"/>
      <w:sz w:val="22"/>
    </w:rPr>
  </w:style>
  <w:style w:type="character" w:customStyle="1" w:styleId="106">
    <w:name w:val="desc"/>
    <w:qFormat/>
    <w:uiPriority w:val="0"/>
    <w:rPr>
      <w:rFonts w:ascii="Times New Roman" w:hAnsi="Times New Roman" w:eastAsia="宋体"/>
      <w:color w:val="000000"/>
      <w:sz w:val="18"/>
      <w:szCs w:val="18"/>
    </w:rPr>
  </w:style>
  <w:style w:type="character" w:customStyle="1" w:styleId="107">
    <w:name w:val="fontborder"/>
    <w:qFormat/>
    <w:uiPriority w:val="0"/>
    <w:rPr>
      <w:bdr w:val="single" w:color="000000" w:sz="6" w:space="0"/>
    </w:rPr>
  </w:style>
  <w:style w:type="character" w:customStyle="1" w:styleId="108">
    <w:name w:val="bds_more7"/>
    <w:qFormat/>
    <w:uiPriority w:val="0"/>
    <w:rPr>
      <w:rFonts w:ascii="Times New Roman" w:hAnsi="Times New Roman" w:eastAsia="宋体"/>
    </w:rPr>
  </w:style>
  <w:style w:type="character" w:customStyle="1" w:styleId="109">
    <w:name w:val="bds_nopic2"/>
    <w:qFormat/>
    <w:uiPriority w:val="0"/>
    <w:rPr>
      <w:rFonts w:ascii="Times New Roman" w:hAnsi="Times New Roman" w:eastAsia="宋体"/>
    </w:rPr>
  </w:style>
  <w:style w:type="character" w:customStyle="1" w:styleId="110">
    <w:name w:val="标题 7 Char"/>
    <w:qFormat/>
    <w:uiPriority w:val="0"/>
    <w:rPr>
      <w:b/>
      <w:bCs/>
      <w:sz w:val="24"/>
      <w:szCs w:val="24"/>
    </w:rPr>
  </w:style>
  <w:style w:type="character" w:customStyle="1" w:styleId="111">
    <w:name w:val="Font Style128"/>
    <w:unhideWhenUsed/>
    <w:qFormat/>
    <w:uiPriority w:val="0"/>
    <w:rPr>
      <w:rFonts w:hint="eastAsia" w:ascii="Times New Roman" w:hAnsi="Times New Roman" w:eastAsia="Times New Roman"/>
      <w:sz w:val="16"/>
    </w:rPr>
  </w:style>
  <w:style w:type="character" w:customStyle="1" w:styleId="112">
    <w:name w:val="morelink-item"/>
    <w:qFormat/>
    <w:uiPriority w:val="0"/>
    <w:rPr>
      <w:rFonts w:ascii="Times New Roman" w:hAnsi="Times New Roman" w:eastAsia="宋体"/>
    </w:rPr>
  </w:style>
  <w:style w:type="character" w:customStyle="1" w:styleId="113">
    <w:name w:val="p0 Char"/>
    <w:link w:val="114"/>
    <w:qFormat/>
    <w:uiPriority w:val="0"/>
    <w:rPr>
      <w:rFonts w:eastAsia="宋体"/>
      <w:sz w:val="21"/>
      <w:szCs w:val="21"/>
      <w:lang w:val="en-US" w:eastAsia="zh-CN" w:bidi="ar-SA"/>
    </w:rPr>
  </w:style>
  <w:style w:type="paragraph" w:customStyle="1" w:styleId="114">
    <w:name w:val="p0"/>
    <w:basedOn w:val="1"/>
    <w:link w:val="113"/>
    <w:qFormat/>
    <w:uiPriority w:val="0"/>
    <w:pPr>
      <w:widowControl/>
    </w:pPr>
    <w:rPr>
      <w:kern w:val="0"/>
      <w:szCs w:val="21"/>
    </w:rPr>
  </w:style>
  <w:style w:type="character" w:customStyle="1" w:styleId="115">
    <w:name w:val="页眉 Char"/>
    <w:qFormat/>
    <w:uiPriority w:val="0"/>
    <w:rPr>
      <w:kern w:val="2"/>
      <w:sz w:val="18"/>
      <w:szCs w:val="18"/>
    </w:rPr>
  </w:style>
  <w:style w:type="character" w:customStyle="1" w:styleId="116">
    <w:name w:val="日期 Char"/>
    <w:qFormat/>
    <w:uiPriority w:val="0"/>
    <w:rPr>
      <w:kern w:val="2"/>
      <w:sz w:val="21"/>
      <w:szCs w:val="24"/>
    </w:rPr>
  </w:style>
  <w:style w:type="character" w:customStyle="1" w:styleId="117">
    <w:name w:val="标题 Char1"/>
    <w:qFormat/>
    <w:uiPriority w:val="0"/>
    <w:rPr>
      <w:rFonts w:ascii="Cambria" w:hAnsi="Cambria" w:eastAsia="宋体" w:cs="Times New Roman"/>
      <w:b/>
      <w:bCs/>
      <w:sz w:val="32"/>
      <w:szCs w:val="32"/>
    </w:rPr>
  </w:style>
  <w:style w:type="character" w:customStyle="1" w:styleId="118">
    <w:name w:val="Font Style123"/>
    <w:unhideWhenUsed/>
    <w:qFormat/>
    <w:uiPriority w:val="0"/>
    <w:rPr>
      <w:rFonts w:hint="eastAsia" w:ascii="宋体" w:hAnsi="宋体" w:eastAsia="宋体"/>
      <w:b/>
      <w:sz w:val="32"/>
    </w:rPr>
  </w:style>
  <w:style w:type="character" w:customStyle="1" w:styleId="119">
    <w:name w:val="标题 Char"/>
    <w:qFormat/>
    <w:uiPriority w:val="0"/>
    <w:rPr>
      <w:rFonts w:ascii="Cambria" w:hAnsi="Cambria"/>
      <w:b/>
      <w:kern w:val="2"/>
      <w:sz w:val="32"/>
      <w:szCs w:val="24"/>
    </w:rPr>
  </w:style>
  <w:style w:type="character" w:customStyle="1" w:styleId="120">
    <w:name w:val="Char Char14"/>
    <w:qFormat/>
    <w:uiPriority w:val="0"/>
    <w:rPr>
      <w:rFonts w:ascii="Arial" w:hAnsi="Arial" w:eastAsia="黑体"/>
      <w:b/>
      <w:bCs/>
      <w:sz w:val="28"/>
      <w:szCs w:val="28"/>
      <w:lang w:val="en-US" w:eastAsia="zh-CN" w:bidi="ar-SA"/>
    </w:rPr>
  </w:style>
  <w:style w:type="character" w:customStyle="1" w:styleId="121">
    <w:name w:val="列出段落 Char"/>
    <w:link w:val="122"/>
    <w:qFormat/>
    <w:uiPriority w:val="1"/>
    <w:rPr>
      <w:rFonts w:ascii="Calibri" w:hAnsi="Calibri"/>
      <w:kern w:val="2"/>
      <w:sz w:val="21"/>
      <w:szCs w:val="22"/>
    </w:rPr>
  </w:style>
  <w:style w:type="paragraph" w:customStyle="1" w:styleId="122">
    <w:name w:val="List Paragraph"/>
    <w:basedOn w:val="1"/>
    <w:link w:val="121"/>
    <w:qFormat/>
    <w:uiPriority w:val="0"/>
    <w:pPr>
      <w:ind w:firstLine="420" w:firstLineChars="200"/>
    </w:pPr>
    <w:rPr>
      <w:rFonts w:ascii="Calibri" w:hAnsi="Calibri"/>
      <w:szCs w:val="22"/>
    </w:rPr>
  </w:style>
  <w:style w:type="character" w:customStyle="1" w:styleId="123">
    <w:name w:val="font81"/>
    <w:qFormat/>
    <w:uiPriority w:val="0"/>
    <w:rPr>
      <w:rFonts w:hint="eastAsia" w:ascii="宋体" w:hAnsi="宋体" w:eastAsia="宋体" w:cs="宋体"/>
      <w:color w:val="000000"/>
      <w:sz w:val="24"/>
      <w:szCs w:val="24"/>
      <w:u w:val="none"/>
    </w:rPr>
  </w:style>
  <w:style w:type="character" w:customStyle="1" w:styleId="124">
    <w:name w:val="polysemyred"/>
    <w:qFormat/>
    <w:uiPriority w:val="0"/>
    <w:rPr>
      <w:rFonts w:ascii="Times New Roman" w:hAnsi="Times New Roman" w:eastAsia="宋体"/>
      <w:color w:val="FF6666"/>
      <w:sz w:val="18"/>
      <w:szCs w:val="18"/>
    </w:rPr>
  </w:style>
  <w:style w:type="character" w:customStyle="1" w:styleId="125">
    <w:name w:val="content_2"/>
    <w:qFormat/>
    <w:uiPriority w:val="0"/>
    <w:rPr>
      <w:sz w:val="19"/>
      <w:szCs w:val="19"/>
    </w:rPr>
  </w:style>
  <w:style w:type="character" w:customStyle="1" w:styleId="126">
    <w:name w:val="l-btn-left2"/>
    <w:qFormat/>
    <w:uiPriority w:val="0"/>
  </w:style>
  <w:style w:type="character" w:customStyle="1" w:styleId="127">
    <w:name w:val="Font Style105"/>
    <w:unhideWhenUsed/>
    <w:qFormat/>
    <w:uiPriority w:val="0"/>
    <w:rPr>
      <w:rFonts w:hint="eastAsia" w:ascii="Times New Roman" w:hAnsi="Times New Roman" w:eastAsia="Times New Roman"/>
      <w:w w:val="60"/>
      <w:sz w:val="26"/>
    </w:rPr>
  </w:style>
  <w:style w:type="character" w:customStyle="1" w:styleId="128">
    <w:name w:val="lemmatitleh12"/>
    <w:qFormat/>
    <w:uiPriority w:val="0"/>
    <w:rPr>
      <w:rFonts w:ascii="Times New Roman" w:hAnsi="Times New Roman" w:eastAsia="宋体"/>
    </w:rPr>
  </w:style>
  <w:style w:type="character" w:customStyle="1" w:styleId="129">
    <w:name w:val="Font Style122"/>
    <w:unhideWhenUsed/>
    <w:qFormat/>
    <w:uiPriority w:val="0"/>
    <w:rPr>
      <w:rFonts w:hint="eastAsia" w:ascii="宋体" w:hAnsi="宋体" w:eastAsia="宋体"/>
      <w:spacing w:val="20"/>
      <w:sz w:val="24"/>
    </w:rPr>
  </w:style>
  <w:style w:type="character" w:customStyle="1" w:styleId="130">
    <w:name w:val="content_table1"/>
    <w:qFormat/>
    <w:uiPriority w:val="0"/>
    <w:rPr>
      <w:sz w:val="15"/>
      <w:szCs w:val="15"/>
    </w:rPr>
  </w:style>
  <w:style w:type="character" w:customStyle="1" w:styleId="131">
    <w:name w:val="纯文本 Char2"/>
    <w:qFormat/>
    <w:uiPriority w:val="0"/>
    <w:rPr>
      <w:rFonts w:ascii="宋体" w:hAnsi="Courier New" w:eastAsia="宋体"/>
      <w:kern w:val="2"/>
      <w:sz w:val="21"/>
      <w:szCs w:val="21"/>
      <w:lang w:val="en-US" w:eastAsia="zh-CN" w:bidi="ar-SA"/>
    </w:rPr>
  </w:style>
  <w:style w:type="character" w:customStyle="1" w:styleId="132">
    <w:name w:val="title_1"/>
    <w:qFormat/>
    <w:uiPriority w:val="0"/>
    <w:rPr>
      <w:b/>
      <w:sz w:val="24"/>
      <w:szCs w:val="24"/>
    </w:rPr>
  </w:style>
  <w:style w:type="character" w:customStyle="1" w:styleId="133">
    <w:name w:val="Char Char6"/>
    <w:qFormat/>
    <w:uiPriority w:val="0"/>
    <w:rPr>
      <w:rFonts w:ascii="Arial" w:hAnsi="Arial" w:eastAsia="黑体"/>
      <w:sz w:val="24"/>
      <w:szCs w:val="24"/>
      <w:lang w:val="en-US" w:eastAsia="zh-CN" w:bidi="ar-SA"/>
    </w:rPr>
  </w:style>
  <w:style w:type="character" w:customStyle="1" w:styleId="134">
    <w:name w:val="title2"/>
    <w:qFormat/>
    <w:uiPriority w:val="0"/>
    <w:rPr>
      <w:b/>
      <w:color w:val="000000"/>
    </w:rPr>
  </w:style>
  <w:style w:type="character" w:customStyle="1" w:styleId="135">
    <w:name w:val="Font Style86"/>
    <w:unhideWhenUsed/>
    <w:qFormat/>
    <w:uiPriority w:val="0"/>
    <w:rPr>
      <w:rFonts w:hint="eastAsia" w:ascii="黑体" w:hAnsi="黑体" w:eastAsia="黑体"/>
      <w:spacing w:val="10"/>
      <w:sz w:val="30"/>
    </w:rPr>
  </w:style>
  <w:style w:type="character" w:customStyle="1" w:styleId="136">
    <w:name w:val="Font Style125"/>
    <w:unhideWhenUsed/>
    <w:qFormat/>
    <w:uiPriority w:val="0"/>
    <w:rPr>
      <w:rFonts w:hint="eastAsia" w:ascii="宋体" w:hAnsi="宋体" w:eastAsia="宋体"/>
      <w:b/>
      <w:sz w:val="26"/>
    </w:rPr>
  </w:style>
  <w:style w:type="character" w:customStyle="1" w:styleId="137">
    <w:name w:val="bds_more10"/>
    <w:qFormat/>
    <w:uiPriority w:val="0"/>
    <w:rPr>
      <w:rFonts w:ascii="Times New Roman" w:hAnsi="Times New Roman" w:eastAsia="宋体"/>
    </w:rPr>
  </w:style>
  <w:style w:type="character" w:customStyle="1" w:styleId="138">
    <w:name w:val="content_1"/>
    <w:qFormat/>
    <w:uiPriority w:val="0"/>
    <w:rPr>
      <w:sz w:val="15"/>
      <w:szCs w:val="15"/>
    </w:rPr>
  </w:style>
  <w:style w:type="character" w:customStyle="1" w:styleId="139">
    <w:name w:val="l-btn-text"/>
    <w:qFormat/>
    <w:uiPriority w:val="0"/>
    <w:rPr>
      <w:sz w:val="18"/>
      <w:szCs w:val="18"/>
      <w:vertAlign w:val="baseline"/>
    </w:rPr>
  </w:style>
  <w:style w:type="character" w:customStyle="1" w:styleId="140">
    <w:name w:val="sort"/>
    <w:qFormat/>
    <w:uiPriority w:val="0"/>
    <w:rPr>
      <w:rFonts w:ascii="Times New Roman" w:hAnsi="Times New Roman" w:eastAsia="宋体"/>
      <w:color w:val="FFFFFF"/>
      <w:bdr w:val="single" w:color="auto" w:sz="24" w:space="0"/>
    </w:rPr>
  </w:style>
  <w:style w:type="character" w:customStyle="1" w:styleId="141">
    <w:name w:val="正文文本缩进 3 Char"/>
    <w:qFormat/>
    <w:uiPriority w:val="0"/>
    <w:rPr>
      <w:rFonts w:ascii="宋体" w:hAnsi="MS Sans Serif"/>
      <w:color w:val="000000"/>
      <w:sz w:val="24"/>
    </w:rPr>
  </w:style>
  <w:style w:type="character" w:customStyle="1" w:styleId="142">
    <w:name w:val="sidecatalog-dot1"/>
    <w:qFormat/>
    <w:uiPriority w:val="0"/>
    <w:rPr>
      <w:rFonts w:ascii="Times New Roman" w:hAnsi="Times New Roman" w:eastAsia="宋体"/>
    </w:rPr>
  </w:style>
  <w:style w:type="character" w:customStyle="1" w:styleId="143">
    <w:name w:val="fontstrikethrough"/>
    <w:qFormat/>
    <w:uiPriority w:val="0"/>
    <w:rPr>
      <w:strike/>
    </w:rPr>
  </w:style>
  <w:style w:type="character" w:customStyle="1" w:styleId="144">
    <w:name w:val="Font Style90"/>
    <w:unhideWhenUsed/>
    <w:qFormat/>
    <w:uiPriority w:val="0"/>
    <w:rPr>
      <w:rFonts w:hint="eastAsia" w:ascii="宋体" w:hAnsi="宋体" w:eastAsia="宋体"/>
      <w:b/>
      <w:spacing w:val="-20"/>
      <w:sz w:val="40"/>
    </w:rPr>
  </w:style>
  <w:style w:type="character" w:customStyle="1" w:styleId="145">
    <w:name w:val="Font Style117"/>
    <w:unhideWhenUsed/>
    <w:qFormat/>
    <w:uiPriority w:val="0"/>
    <w:rPr>
      <w:rFonts w:hint="eastAsia" w:ascii="宋体" w:hAnsi="宋体" w:eastAsia="宋体"/>
      <w:spacing w:val="20"/>
      <w:sz w:val="24"/>
    </w:rPr>
  </w:style>
  <w:style w:type="character" w:customStyle="1" w:styleId="146">
    <w:name w:val="font31"/>
    <w:qFormat/>
    <w:uiPriority w:val="0"/>
    <w:rPr>
      <w:rFonts w:hint="eastAsia" w:ascii="宋体" w:hAnsi="宋体" w:eastAsia="宋体" w:cs="宋体"/>
      <w:color w:val="000000"/>
      <w:sz w:val="20"/>
      <w:szCs w:val="20"/>
      <w:u w:val="none"/>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plus"/>
    <w:qFormat/>
    <w:uiPriority w:val="0"/>
    <w:rPr>
      <w:rFonts w:ascii="Times New Roman" w:hAnsi="Times New Roman" w:eastAsia="宋体"/>
      <w:b/>
      <w:vanish/>
      <w:color w:val="1F8DEF"/>
      <w:sz w:val="24"/>
      <w:szCs w:val="24"/>
    </w:rPr>
  </w:style>
  <w:style w:type="character" w:customStyle="1" w:styleId="149">
    <w:name w:val="Char Char16"/>
    <w:qFormat/>
    <w:uiPriority w:val="0"/>
    <w:rPr>
      <w:rFonts w:ascii="宋体" w:hAnsi="Times New Roman" w:eastAsia="宋体"/>
      <w:b/>
      <w:sz w:val="24"/>
      <w:lang w:val="en-US" w:eastAsia="zh-CN" w:bidi="ar-SA"/>
    </w:rPr>
  </w:style>
  <w:style w:type="character" w:customStyle="1" w:styleId="150">
    <w:name w:val="layui-laypage-curr"/>
    <w:qFormat/>
    <w:uiPriority w:val="0"/>
  </w:style>
  <w:style w:type="character" w:customStyle="1" w:styleId="151">
    <w:name w:val="Font Style126"/>
    <w:unhideWhenUsed/>
    <w:qFormat/>
    <w:uiPriority w:val="0"/>
    <w:rPr>
      <w:rFonts w:hint="eastAsia" w:ascii="宋体" w:hAnsi="宋体" w:eastAsia="宋体"/>
      <w:b/>
      <w:spacing w:val="-30"/>
      <w:sz w:val="28"/>
    </w:rPr>
  </w:style>
  <w:style w:type="character" w:customStyle="1" w:styleId="152">
    <w:name w:val="bds_more6"/>
    <w:qFormat/>
    <w:uiPriority w:val="0"/>
    <w:rPr>
      <w:rFonts w:hint="eastAsia" w:ascii="宋体" w:hAnsi="宋体" w:eastAsia="宋体" w:cs="宋体"/>
    </w:rPr>
  </w:style>
  <w:style w:type="character" w:customStyle="1" w:styleId="153">
    <w:name w:val="title21"/>
    <w:qFormat/>
    <w:uiPriority w:val="0"/>
    <w:rPr>
      <w:b/>
      <w:color w:val="000000"/>
    </w:rPr>
  </w:style>
  <w:style w:type="character" w:customStyle="1" w:styleId="154">
    <w:name w:val="bds_nopic"/>
    <w:qFormat/>
    <w:uiPriority w:val="0"/>
    <w:rPr>
      <w:rFonts w:ascii="Times New Roman" w:hAnsi="Times New Roman" w:eastAsia="宋体"/>
    </w:rPr>
  </w:style>
  <w:style w:type="character" w:customStyle="1" w:styleId="155">
    <w:name w:val="bds_nopic1"/>
    <w:qFormat/>
    <w:uiPriority w:val="0"/>
    <w:rPr>
      <w:rFonts w:ascii="Times New Roman" w:hAnsi="Times New Roman" w:eastAsia="宋体"/>
    </w:rPr>
  </w:style>
  <w:style w:type="character" w:customStyle="1" w:styleId="156">
    <w:name w:val="Char Char17"/>
    <w:qFormat/>
    <w:uiPriority w:val="0"/>
    <w:rPr>
      <w:rFonts w:ascii="宋体" w:hAnsi="Times New Roman" w:eastAsia="宋体"/>
      <w:b/>
      <w:sz w:val="28"/>
      <w:lang w:val="en-US" w:eastAsia="zh-CN" w:bidi="ar-SA"/>
    </w:rPr>
  </w:style>
  <w:style w:type="character" w:customStyle="1" w:styleId="157">
    <w:name w:val="Font Style116"/>
    <w:unhideWhenUsed/>
    <w:qFormat/>
    <w:uiPriority w:val="0"/>
    <w:rPr>
      <w:rFonts w:hint="eastAsia" w:ascii="宋体" w:hAnsi="宋体" w:eastAsia="宋体"/>
      <w:spacing w:val="-20"/>
      <w:sz w:val="24"/>
    </w:rPr>
  </w:style>
  <w:style w:type="character" w:customStyle="1" w:styleId="158">
    <w:name w:val="批注文字 Char"/>
    <w:qFormat/>
    <w:uiPriority w:val="0"/>
    <w:rPr>
      <w:kern w:val="2"/>
      <w:sz w:val="21"/>
      <w:szCs w:val="24"/>
    </w:rPr>
  </w:style>
  <w:style w:type="character" w:customStyle="1" w:styleId="159">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60">
    <w:name w:val="Char Char15"/>
    <w:qFormat/>
    <w:uiPriority w:val="0"/>
    <w:rPr>
      <w:b/>
      <w:bCs/>
      <w:sz w:val="24"/>
      <w:szCs w:val="24"/>
    </w:rPr>
  </w:style>
  <w:style w:type="character" w:customStyle="1" w:styleId="161">
    <w:name w:val="Font Style119"/>
    <w:unhideWhenUsed/>
    <w:qFormat/>
    <w:uiPriority w:val="0"/>
    <w:rPr>
      <w:rFonts w:hint="eastAsia" w:ascii="宋体" w:hAnsi="宋体" w:eastAsia="宋体"/>
      <w:sz w:val="24"/>
    </w:rPr>
  </w:style>
  <w:style w:type="character" w:customStyle="1" w:styleId="162">
    <w:name w:val="标题 4 Char Char"/>
    <w:qFormat/>
    <w:uiPriority w:val="0"/>
    <w:rPr>
      <w:rFonts w:ascii="Arial" w:hAnsi="Arial" w:eastAsia="宋体"/>
      <w:b/>
      <w:bCs/>
      <w:kern w:val="2"/>
      <w:sz w:val="21"/>
      <w:szCs w:val="28"/>
      <w:lang w:val="en-US" w:eastAsia="zh-CN" w:bidi="ar-SA"/>
    </w:rPr>
  </w:style>
  <w:style w:type="character" w:customStyle="1" w:styleId="163">
    <w:name w:val="l-btn-left1"/>
    <w:qFormat/>
    <w:uiPriority w:val="0"/>
  </w:style>
  <w:style w:type="character" w:customStyle="1" w:styleId="164">
    <w:name w:val="sidecatalog-index2"/>
    <w:qFormat/>
    <w:uiPriority w:val="0"/>
    <w:rPr>
      <w:rFonts w:ascii="Arail" w:hAnsi="Arail" w:eastAsia="Arail" w:cs="Arail"/>
      <w:color w:val="999999"/>
      <w:sz w:val="21"/>
      <w:szCs w:val="21"/>
    </w:rPr>
  </w:style>
  <w:style w:type="character" w:customStyle="1" w:styleId="165">
    <w:name w:val="bds_more8"/>
    <w:qFormat/>
    <w:uiPriority w:val="0"/>
    <w:rPr>
      <w:rFonts w:ascii="Times New Roman" w:hAnsi="Times New Roman" w:eastAsia="宋体"/>
    </w:rPr>
  </w:style>
  <w:style w:type="character" w:customStyle="1" w:styleId="166">
    <w:name w:val="l-btn-icon-right"/>
    <w:qFormat/>
    <w:uiPriority w:val="0"/>
  </w:style>
  <w:style w:type="character" w:customStyle="1" w:styleId="167">
    <w:name w:val="font11"/>
    <w:qFormat/>
    <w:uiPriority w:val="0"/>
    <w:rPr>
      <w:rFonts w:hint="eastAsia" w:ascii="宋体" w:hAnsi="宋体" w:eastAsia="宋体" w:cs="宋体"/>
      <w:color w:val="000000"/>
      <w:sz w:val="20"/>
      <w:szCs w:val="20"/>
      <w:u w:val="none"/>
      <w:vertAlign w:val="superscript"/>
    </w:rPr>
  </w:style>
  <w:style w:type="character" w:customStyle="1" w:styleId="168">
    <w:name w:val="polysemyexp"/>
    <w:qFormat/>
    <w:uiPriority w:val="0"/>
    <w:rPr>
      <w:rFonts w:ascii="Times New Roman" w:hAnsi="Times New Roman" w:eastAsia="宋体"/>
      <w:color w:val="AAAAAA"/>
      <w:sz w:val="18"/>
      <w:szCs w:val="18"/>
    </w:rPr>
  </w:style>
  <w:style w:type="character" w:customStyle="1" w:styleId="169">
    <w:name w:val="标题 9 Char"/>
    <w:qFormat/>
    <w:uiPriority w:val="0"/>
    <w:rPr>
      <w:rFonts w:ascii="Arial" w:hAnsi="Arial" w:eastAsia="黑体"/>
      <w:sz w:val="21"/>
      <w:szCs w:val="21"/>
    </w:rPr>
  </w:style>
  <w:style w:type="character" w:customStyle="1" w:styleId="170">
    <w:name w:val="Font Style127"/>
    <w:unhideWhenUsed/>
    <w:qFormat/>
    <w:uiPriority w:val="0"/>
    <w:rPr>
      <w:rFonts w:hint="eastAsia" w:ascii="Times New Roman" w:hAnsi="Times New Roman" w:eastAsia="Times New Roman"/>
      <w:sz w:val="20"/>
    </w:rPr>
  </w:style>
  <w:style w:type="character" w:customStyle="1" w:styleId="171">
    <w:name w:val="Font Style121"/>
    <w:unhideWhenUsed/>
    <w:qFormat/>
    <w:uiPriority w:val="0"/>
    <w:rPr>
      <w:rFonts w:hint="eastAsia" w:ascii="宋体" w:hAnsi="宋体" w:eastAsia="宋体"/>
      <w:spacing w:val="-10"/>
      <w:sz w:val="30"/>
    </w:rPr>
  </w:style>
  <w:style w:type="character" w:customStyle="1" w:styleId="172">
    <w:name w:val="标题 6 Char"/>
    <w:qFormat/>
    <w:uiPriority w:val="0"/>
    <w:rPr>
      <w:rFonts w:ascii="Arial" w:hAnsi="Arial" w:eastAsia="黑体"/>
      <w:b/>
      <w:bCs/>
      <w:sz w:val="24"/>
      <w:szCs w:val="24"/>
    </w:rPr>
  </w:style>
  <w:style w:type="character" w:customStyle="1" w:styleId="173">
    <w:name w:val="Font Style131"/>
    <w:unhideWhenUsed/>
    <w:qFormat/>
    <w:uiPriority w:val="0"/>
    <w:rPr>
      <w:rFonts w:hint="eastAsia" w:ascii="Times New Roman" w:hAnsi="Times New Roman" w:eastAsia="Times New Roman"/>
      <w:sz w:val="18"/>
    </w:rPr>
  </w:style>
  <w:style w:type="character" w:customStyle="1" w:styleId="174">
    <w:name w:val="Font Style124"/>
    <w:unhideWhenUsed/>
    <w:qFormat/>
    <w:uiPriority w:val="0"/>
    <w:rPr>
      <w:rFonts w:hint="eastAsia" w:ascii="宋体" w:hAnsi="宋体" w:eastAsia="宋体"/>
      <w:spacing w:val="30"/>
      <w:sz w:val="24"/>
    </w:rPr>
  </w:style>
  <w:style w:type="character" w:customStyle="1" w:styleId="175">
    <w:name w:val="sidecatalog-index1"/>
    <w:qFormat/>
    <w:uiPriority w:val="0"/>
    <w:rPr>
      <w:rFonts w:ascii="Arial" w:hAnsi="Arial" w:eastAsia="宋体" w:cs="Arial"/>
      <w:b/>
      <w:color w:val="999999"/>
      <w:sz w:val="21"/>
      <w:szCs w:val="21"/>
    </w:rPr>
  </w:style>
  <w:style w:type="character" w:customStyle="1" w:styleId="176">
    <w:name w:val="Font Style133"/>
    <w:unhideWhenUsed/>
    <w:qFormat/>
    <w:uiPriority w:val="0"/>
    <w:rPr>
      <w:rFonts w:hint="eastAsia" w:ascii="宋体" w:hAnsi="宋体" w:eastAsia="宋体"/>
      <w:spacing w:val="30"/>
      <w:sz w:val="24"/>
    </w:rPr>
  </w:style>
  <w:style w:type="character" w:customStyle="1" w:styleId="177">
    <w:name w:val="样式2 Char Char"/>
    <w:qFormat/>
    <w:uiPriority w:val="0"/>
    <w:rPr>
      <w:rFonts w:eastAsia="宋体"/>
      <w:kern w:val="2"/>
      <w:sz w:val="18"/>
      <w:szCs w:val="18"/>
      <w:lang w:val="en-US" w:eastAsia="zh-CN" w:bidi="ar-SA"/>
    </w:rPr>
  </w:style>
  <w:style w:type="character" w:customStyle="1" w:styleId="178">
    <w:name w:val="bds_more9"/>
    <w:qFormat/>
    <w:uiPriority w:val="0"/>
    <w:rPr>
      <w:rFonts w:ascii="Times New Roman" w:hAnsi="Times New Roman" w:eastAsia="宋体"/>
    </w:rPr>
  </w:style>
  <w:style w:type="paragraph" w:customStyle="1" w:styleId="179">
    <w:name w:val="Style67"/>
    <w:basedOn w:val="1"/>
    <w:unhideWhenUsed/>
    <w:qFormat/>
    <w:uiPriority w:val="0"/>
    <w:pPr>
      <w:spacing w:line="566" w:lineRule="exact"/>
      <w:ind w:firstLine="552"/>
    </w:pPr>
  </w:style>
  <w:style w:type="paragraph" w:customStyle="1" w:styleId="180">
    <w:name w:val="Style63"/>
    <w:basedOn w:val="1"/>
    <w:unhideWhenUsed/>
    <w:qFormat/>
    <w:uiPriority w:val="0"/>
    <w:pPr>
      <w:spacing w:line="564" w:lineRule="exact"/>
      <w:ind w:firstLine="682"/>
    </w:pPr>
  </w:style>
  <w:style w:type="paragraph" w:customStyle="1" w:styleId="181">
    <w:name w:val="Style69"/>
    <w:basedOn w:val="1"/>
    <w:unhideWhenUsed/>
    <w:qFormat/>
    <w:uiPriority w:val="0"/>
    <w:pPr>
      <w:spacing w:line="557" w:lineRule="exact"/>
      <w:ind w:firstLine="1666"/>
    </w:pPr>
  </w:style>
  <w:style w:type="paragraph" w:customStyle="1" w:styleId="182">
    <w:name w:val="附录标识"/>
    <w:basedOn w:val="183"/>
    <w:qFormat/>
    <w:uiPriority w:val="0"/>
    <w:pPr>
      <w:tabs>
        <w:tab w:val="left" w:pos="360"/>
        <w:tab w:val="left" w:pos="720"/>
        <w:tab w:val="left" w:pos="6405"/>
      </w:tabs>
      <w:spacing w:after="200"/>
    </w:pPr>
    <w:rPr>
      <w:sz w:val="21"/>
    </w:rPr>
  </w:style>
  <w:style w:type="paragraph" w:customStyle="1" w:styleId="18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4">
    <w:name w:val="Style71"/>
    <w:basedOn w:val="1"/>
    <w:unhideWhenUsed/>
    <w:qFormat/>
    <w:uiPriority w:val="0"/>
    <w:pPr>
      <w:spacing w:line="538" w:lineRule="exact"/>
      <w:ind w:firstLine="101"/>
    </w:pPr>
  </w:style>
  <w:style w:type="paragraph" w:customStyle="1" w:styleId="185">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6">
    <w:name w:val="Style36"/>
    <w:basedOn w:val="1"/>
    <w:unhideWhenUsed/>
    <w:qFormat/>
    <w:uiPriority w:val="0"/>
  </w:style>
  <w:style w:type="paragraph" w:customStyle="1" w:styleId="18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8">
    <w:name w:val="样式2"/>
    <w:basedOn w:val="4"/>
    <w:qFormat/>
    <w:uiPriority w:val="0"/>
    <w:rPr>
      <w:i/>
    </w:rPr>
  </w:style>
  <w:style w:type="paragraph" w:customStyle="1" w:styleId="189">
    <w:name w:val="Style15"/>
    <w:basedOn w:val="1"/>
    <w:unhideWhenUsed/>
    <w:qFormat/>
    <w:uiPriority w:val="0"/>
    <w:pPr>
      <w:spacing w:line="557" w:lineRule="exact"/>
      <w:ind w:firstLine="672"/>
    </w:pPr>
  </w:style>
  <w:style w:type="paragraph" w:customStyle="1" w:styleId="190">
    <w:name w:val="Style54"/>
    <w:basedOn w:val="1"/>
    <w:unhideWhenUsed/>
    <w:qFormat/>
    <w:uiPriority w:val="0"/>
  </w:style>
  <w:style w:type="paragraph" w:customStyle="1" w:styleId="19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2">
    <w:name w:val="Style28"/>
    <w:basedOn w:val="1"/>
    <w:unhideWhenUsed/>
    <w:qFormat/>
    <w:uiPriority w:val="0"/>
    <w:pPr>
      <w:spacing w:line="552" w:lineRule="exact"/>
      <w:ind w:firstLine="547"/>
    </w:pPr>
  </w:style>
  <w:style w:type="paragraph" w:customStyle="1" w:styleId="193">
    <w:name w:val="Char Char Char"/>
    <w:basedOn w:val="1"/>
    <w:qFormat/>
    <w:uiPriority w:val="0"/>
    <w:rPr>
      <w:rFonts w:ascii="宋体" w:hAnsi="宋体"/>
      <w:b/>
      <w:sz w:val="28"/>
      <w:szCs w:val="28"/>
    </w:rPr>
  </w:style>
  <w:style w:type="paragraph" w:customStyle="1" w:styleId="194">
    <w:name w:val="Style77"/>
    <w:basedOn w:val="1"/>
    <w:unhideWhenUsed/>
    <w:qFormat/>
    <w:uiPriority w:val="0"/>
  </w:style>
  <w:style w:type="paragraph" w:customStyle="1" w:styleId="195">
    <w:name w:val="Style45"/>
    <w:basedOn w:val="1"/>
    <w:unhideWhenUsed/>
    <w:qFormat/>
    <w:uiPriority w:val="0"/>
  </w:style>
  <w:style w:type="paragraph" w:customStyle="1" w:styleId="196">
    <w:name w:val="Style21"/>
    <w:basedOn w:val="1"/>
    <w:unhideWhenUsed/>
    <w:qFormat/>
    <w:uiPriority w:val="0"/>
    <w:pPr>
      <w:spacing w:line="566" w:lineRule="exact"/>
      <w:ind w:firstLine="682"/>
    </w:pPr>
  </w:style>
  <w:style w:type="paragraph" w:customStyle="1" w:styleId="197">
    <w:name w:val="Style64"/>
    <w:basedOn w:val="1"/>
    <w:unhideWhenUsed/>
    <w:qFormat/>
    <w:uiPriority w:val="0"/>
  </w:style>
  <w:style w:type="paragraph" w:customStyle="1" w:styleId="198">
    <w:name w:val="Style81"/>
    <w:basedOn w:val="1"/>
    <w:unhideWhenUsed/>
    <w:qFormat/>
    <w:uiPriority w:val="0"/>
    <w:pPr>
      <w:spacing w:line="547" w:lineRule="exact"/>
    </w:pPr>
  </w:style>
  <w:style w:type="paragraph" w:customStyle="1" w:styleId="199">
    <w:name w:val="Style48"/>
    <w:basedOn w:val="1"/>
    <w:unhideWhenUsed/>
    <w:qFormat/>
    <w:uiPriority w:val="0"/>
    <w:pPr>
      <w:spacing w:line="542" w:lineRule="exact"/>
      <w:jc w:val="right"/>
    </w:pPr>
  </w:style>
  <w:style w:type="paragraph" w:customStyle="1" w:styleId="200">
    <w:name w:val="默认段落字体 Para Char Char Char Char Char Char Char Char Char Char Char Char Char Char Char Char Char Char Char"/>
    <w:basedOn w:val="1"/>
    <w:qFormat/>
    <w:uiPriority w:val="0"/>
  </w:style>
  <w:style w:type="paragraph" w:customStyle="1" w:styleId="201">
    <w:name w:val="样式1"/>
    <w:basedOn w:val="40"/>
    <w:qFormat/>
    <w:uiPriority w:val="0"/>
    <w:pPr>
      <w:tabs>
        <w:tab w:val="left" w:pos="360"/>
      </w:tabs>
      <w:adjustRightInd w:val="0"/>
      <w:ind w:left="360" w:hanging="360"/>
      <w:textAlignment w:val="baseline"/>
    </w:pPr>
    <w:rPr>
      <w:rFonts w:ascii="宋体" w:hAnsi="宋体"/>
      <w:kern w:val="0"/>
      <w:szCs w:val="21"/>
    </w:rPr>
  </w:style>
  <w:style w:type="paragraph" w:customStyle="1" w:styleId="20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3">
    <w:name w:val="Char1 Char Char Char"/>
    <w:basedOn w:val="1"/>
    <w:qFormat/>
    <w:uiPriority w:val="0"/>
    <w:pPr>
      <w:widowControl/>
      <w:spacing w:after="160" w:line="240" w:lineRule="exact"/>
      <w:jc w:val="left"/>
    </w:pPr>
    <w:rPr>
      <w:kern w:val="0"/>
      <w:sz w:val="24"/>
      <w:szCs w:val="20"/>
    </w:rPr>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47"/>
    <w:basedOn w:val="1"/>
    <w:unhideWhenUsed/>
    <w:qFormat/>
    <w:uiPriority w:val="0"/>
  </w:style>
  <w:style w:type="paragraph" w:customStyle="1" w:styleId="206">
    <w:name w:val="Style11"/>
    <w:basedOn w:val="1"/>
    <w:unhideWhenUsed/>
    <w:qFormat/>
    <w:uiPriority w:val="0"/>
    <w:pPr>
      <w:spacing w:line="559" w:lineRule="exact"/>
      <w:ind w:firstLine="590"/>
    </w:pPr>
  </w:style>
  <w:style w:type="paragraph" w:customStyle="1" w:styleId="207">
    <w:name w:val="Style44"/>
    <w:basedOn w:val="1"/>
    <w:unhideWhenUsed/>
    <w:qFormat/>
    <w:uiPriority w:val="0"/>
  </w:style>
  <w:style w:type="paragraph" w:customStyle="1" w:styleId="208">
    <w:name w:val="Style9"/>
    <w:basedOn w:val="1"/>
    <w:unhideWhenUsed/>
    <w:qFormat/>
    <w:uiPriority w:val="0"/>
  </w:style>
  <w:style w:type="paragraph" w:customStyle="1" w:styleId="209">
    <w:name w:val="Style56"/>
    <w:basedOn w:val="1"/>
    <w:unhideWhenUsed/>
    <w:qFormat/>
    <w:uiPriority w:val="0"/>
  </w:style>
  <w:style w:type="paragraph" w:customStyle="1" w:styleId="210">
    <w:name w:val="Style61"/>
    <w:basedOn w:val="1"/>
    <w:unhideWhenUsed/>
    <w:qFormat/>
    <w:uiPriority w:val="0"/>
  </w:style>
  <w:style w:type="paragraph" w:customStyle="1" w:styleId="21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2">
    <w:name w:val="Style23"/>
    <w:basedOn w:val="1"/>
    <w:unhideWhenUsed/>
    <w:qFormat/>
    <w:uiPriority w:val="0"/>
  </w:style>
  <w:style w:type="paragraph" w:customStyle="1" w:styleId="213">
    <w:name w:val="NO3"/>
    <w:basedOn w:val="1"/>
    <w:qFormat/>
    <w:uiPriority w:val="0"/>
    <w:pPr>
      <w:tabs>
        <w:tab w:val="left" w:pos="907"/>
      </w:tabs>
      <w:spacing w:line="360" w:lineRule="auto"/>
    </w:pPr>
    <w:rPr>
      <w:rFonts w:ascii="宋体" w:hAnsi="宋体"/>
      <w:sz w:val="24"/>
    </w:rPr>
  </w:style>
  <w:style w:type="paragraph" w:customStyle="1" w:styleId="214">
    <w:name w:val="标题 1 +"/>
    <w:basedOn w:val="2"/>
    <w:next w:val="1"/>
    <w:qFormat/>
    <w:uiPriority w:val="0"/>
    <w:pPr>
      <w:keepLines/>
      <w:spacing w:line="600" w:lineRule="auto"/>
    </w:pPr>
    <w:rPr>
      <w:rFonts w:eastAsia="黑体"/>
      <w:kern w:val="0"/>
      <w:sz w:val="32"/>
      <w:szCs w:val="32"/>
    </w:rPr>
  </w:style>
  <w:style w:type="paragraph" w:customStyle="1" w:styleId="215">
    <w:name w:val="Style58"/>
    <w:basedOn w:val="1"/>
    <w:unhideWhenUsed/>
    <w:qFormat/>
    <w:uiPriority w:val="0"/>
    <w:pPr>
      <w:spacing w:line="413" w:lineRule="exact"/>
    </w:pPr>
  </w:style>
  <w:style w:type="paragraph" w:customStyle="1" w:styleId="216">
    <w:name w:val="Style72"/>
    <w:basedOn w:val="1"/>
    <w:unhideWhenUsed/>
    <w:qFormat/>
    <w:uiPriority w:val="0"/>
  </w:style>
  <w:style w:type="paragraph" w:customStyle="1" w:styleId="217">
    <w:name w:val="1"/>
    <w:basedOn w:val="1"/>
    <w:qFormat/>
    <w:uiPriority w:val="0"/>
    <w:pPr>
      <w:spacing w:afterLines="50" w:line="360" w:lineRule="auto"/>
    </w:pPr>
    <w:rPr>
      <w:rFonts w:ascii="宋体" w:hAnsi="宋体"/>
      <w:b/>
      <w:sz w:val="30"/>
      <w:szCs w:val="21"/>
    </w:rPr>
  </w:style>
  <w:style w:type="paragraph" w:customStyle="1" w:styleId="218">
    <w:name w:val="Style10"/>
    <w:basedOn w:val="1"/>
    <w:unhideWhenUsed/>
    <w:qFormat/>
    <w:uiPriority w:val="0"/>
    <w:pPr>
      <w:spacing w:line="538" w:lineRule="exact"/>
    </w:pPr>
  </w:style>
  <w:style w:type="paragraph" w:customStyle="1" w:styleId="219">
    <w:name w:val="Style34"/>
    <w:basedOn w:val="1"/>
    <w:unhideWhenUsed/>
    <w:qFormat/>
    <w:uiPriority w:val="0"/>
    <w:pPr>
      <w:spacing w:line="375" w:lineRule="exact"/>
    </w:pPr>
  </w:style>
  <w:style w:type="paragraph" w:customStyle="1" w:styleId="220">
    <w:name w:val="表格内容"/>
    <w:basedOn w:val="17"/>
    <w:qFormat/>
    <w:uiPriority w:val="0"/>
    <w:pPr>
      <w:suppressLineNumbers/>
      <w:suppressAutoHyphens/>
      <w:jc w:val="left"/>
    </w:pPr>
    <w:rPr>
      <w:rFonts w:cs="Tahoma"/>
      <w:kern w:val="0"/>
      <w:sz w:val="24"/>
    </w:rPr>
  </w:style>
  <w:style w:type="paragraph" w:customStyle="1" w:styleId="221">
    <w:name w:val="列出段落1"/>
    <w:basedOn w:val="222"/>
    <w:qFormat/>
    <w:uiPriority w:val="0"/>
    <w:pPr>
      <w:ind w:firstLine="420" w:firstLineChars="200"/>
    </w:pPr>
    <w:rPr>
      <w:rFonts w:ascii="Calibri" w:hAnsi="Calibri" w:cs="Calibri"/>
      <w:szCs w:val="21"/>
    </w:rPr>
  </w:style>
  <w:style w:type="paragraph" w:customStyle="1" w:styleId="222">
    <w:name w:val="正文_10_42"/>
    <w:qFormat/>
    <w:uiPriority w:val="0"/>
    <w:pPr>
      <w:widowControl w:val="0"/>
      <w:jc w:val="both"/>
    </w:pPr>
    <w:rPr>
      <w:rFonts w:ascii="Calibri" w:hAnsi="Calibri" w:eastAsia="宋体" w:cs="Times New Roman"/>
      <w:kern w:val="2"/>
      <w:sz w:val="24"/>
      <w:szCs w:val="22"/>
      <w:lang w:val="en-US" w:eastAsia="zh-CN" w:bidi="ar-SA"/>
    </w:rPr>
  </w:style>
  <w:style w:type="paragraph" w:customStyle="1" w:styleId="223">
    <w:name w:val="Style52"/>
    <w:basedOn w:val="1"/>
    <w:unhideWhenUsed/>
    <w:qFormat/>
    <w:uiPriority w:val="0"/>
    <w:pPr>
      <w:spacing w:line="682" w:lineRule="exact"/>
      <w:ind w:firstLine="557"/>
    </w:pPr>
  </w:style>
  <w:style w:type="paragraph" w:customStyle="1" w:styleId="224">
    <w:name w:val="p16"/>
    <w:basedOn w:val="1"/>
    <w:qFormat/>
    <w:uiPriority w:val="0"/>
    <w:pPr>
      <w:widowControl/>
      <w:jc w:val="left"/>
    </w:pPr>
    <w:rPr>
      <w:kern w:val="0"/>
      <w:szCs w:val="21"/>
    </w:rPr>
  </w:style>
  <w:style w:type="paragraph" w:customStyle="1" w:styleId="22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6">
    <w:name w:val="Char2"/>
    <w:basedOn w:val="1"/>
    <w:qFormat/>
    <w:uiPriority w:val="0"/>
    <w:pPr>
      <w:tabs>
        <w:tab w:val="left" w:pos="360"/>
      </w:tabs>
      <w:ind w:left="360" w:hanging="360" w:hangingChars="200"/>
    </w:pPr>
    <w:rPr>
      <w:sz w:val="24"/>
    </w:rPr>
  </w:style>
  <w:style w:type="paragraph" w:customStyle="1" w:styleId="227">
    <w:name w:val="Style26"/>
    <w:basedOn w:val="1"/>
    <w:unhideWhenUsed/>
    <w:qFormat/>
    <w:uiPriority w:val="0"/>
  </w:style>
  <w:style w:type="paragraph" w:customStyle="1" w:styleId="22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Style73"/>
    <w:basedOn w:val="1"/>
    <w:unhideWhenUsed/>
    <w:qFormat/>
    <w:uiPriority w:val="0"/>
    <w:pPr>
      <w:spacing w:line="538" w:lineRule="exact"/>
      <w:ind w:firstLine="533"/>
    </w:pPr>
  </w:style>
  <w:style w:type="paragraph" w:customStyle="1" w:styleId="23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3">
    <w:name w:val="Style8"/>
    <w:basedOn w:val="1"/>
    <w:unhideWhenUsed/>
    <w:qFormat/>
    <w:uiPriority w:val="0"/>
    <w:pPr>
      <w:spacing w:line="566" w:lineRule="exact"/>
      <w:jc w:val="center"/>
    </w:pPr>
  </w:style>
  <w:style w:type="paragraph" w:customStyle="1" w:styleId="234">
    <w:name w:val="Style62"/>
    <w:basedOn w:val="1"/>
    <w:unhideWhenUsed/>
    <w:qFormat/>
    <w:uiPriority w:val="0"/>
  </w:style>
  <w:style w:type="paragraph" w:customStyle="1" w:styleId="235">
    <w:name w:val="Style4"/>
    <w:basedOn w:val="1"/>
    <w:unhideWhenUsed/>
    <w:qFormat/>
    <w:uiPriority w:val="0"/>
  </w:style>
  <w:style w:type="paragraph" w:customStyle="1" w:styleId="236">
    <w:name w:val="Char Char1 Char Char Char Char Char Char Char"/>
    <w:basedOn w:val="1"/>
    <w:qFormat/>
    <w:uiPriority w:val="0"/>
    <w:pPr>
      <w:widowControl/>
      <w:spacing w:after="160" w:line="240" w:lineRule="exact"/>
      <w:jc w:val="left"/>
    </w:pPr>
  </w:style>
  <w:style w:type="paragraph" w:customStyle="1" w:styleId="237">
    <w:name w:val="Style78"/>
    <w:basedOn w:val="1"/>
    <w:unhideWhenUsed/>
    <w:qFormat/>
    <w:uiPriority w:val="0"/>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 Char1 Char Char Char"/>
    <w:basedOn w:val="1"/>
    <w:qFormat/>
    <w:uiPriority w:val="0"/>
    <w:rPr>
      <w:kern w:val="0"/>
      <w:sz w:val="20"/>
      <w:szCs w:val="20"/>
    </w:rPr>
  </w:style>
  <w:style w:type="paragraph" w:customStyle="1" w:styleId="240">
    <w:name w:val="Style65"/>
    <w:basedOn w:val="1"/>
    <w:unhideWhenUsed/>
    <w:qFormat/>
    <w:uiPriority w:val="0"/>
  </w:style>
  <w:style w:type="paragraph" w:customStyle="1" w:styleId="241">
    <w:name w:val="Style74"/>
    <w:basedOn w:val="1"/>
    <w:unhideWhenUsed/>
    <w:qFormat/>
    <w:uiPriority w:val="0"/>
    <w:pPr>
      <w:spacing w:line="437" w:lineRule="exact"/>
    </w:pPr>
  </w:style>
  <w:style w:type="paragraph" w:customStyle="1" w:styleId="242">
    <w:name w:val="标题2"/>
    <w:basedOn w:val="40"/>
    <w:qFormat/>
    <w:uiPriority w:val="0"/>
    <w:pPr>
      <w:spacing w:after="240"/>
      <w:jc w:val="left"/>
    </w:pPr>
    <w:rPr>
      <w:sz w:val="30"/>
    </w:rPr>
  </w:style>
  <w:style w:type="paragraph" w:customStyle="1" w:styleId="243">
    <w:name w:val="Style80"/>
    <w:basedOn w:val="1"/>
    <w:unhideWhenUsed/>
    <w:qFormat/>
    <w:uiPriority w:val="0"/>
  </w:style>
  <w:style w:type="paragraph" w:customStyle="1" w:styleId="244">
    <w:name w:val="Style42"/>
    <w:basedOn w:val="1"/>
    <w:unhideWhenUsed/>
    <w:qFormat/>
    <w:uiPriority w:val="0"/>
    <w:pPr>
      <w:spacing w:line="542" w:lineRule="exact"/>
      <w:ind w:firstLine="547"/>
    </w:pPr>
  </w:style>
  <w:style w:type="paragraph" w:customStyle="1" w:styleId="245">
    <w:name w:val="Style46"/>
    <w:basedOn w:val="1"/>
    <w:unhideWhenUsed/>
    <w:qFormat/>
    <w:uiPriority w:val="0"/>
    <w:pPr>
      <w:spacing w:line="672" w:lineRule="exact"/>
    </w:pPr>
  </w:style>
  <w:style w:type="paragraph" w:customStyle="1" w:styleId="246">
    <w:name w:val="Style12"/>
    <w:basedOn w:val="1"/>
    <w:unhideWhenUsed/>
    <w:qFormat/>
    <w:uiPriority w:val="0"/>
    <w:pPr>
      <w:spacing w:line="564" w:lineRule="exact"/>
      <w:ind w:hanging="115"/>
    </w:pPr>
  </w:style>
  <w:style w:type="paragraph" w:customStyle="1" w:styleId="247">
    <w:name w:val="Style29"/>
    <w:basedOn w:val="1"/>
    <w:unhideWhenUsed/>
    <w:qFormat/>
    <w:uiPriority w:val="0"/>
    <w:pPr>
      <w:spacing w:line="547" w:lineRule="exact"/>
      <w:ind w:firstLine="547"/>
    </w:pPr>
  </w:style>
  <w:style w:type="paragraph" w:customStyle="1" w:styleId="248">
    <w:name w:val="Style76"/>
    <w:basedOn w:val="1"/>
    <w:unhideWhenUsed/>
    <w:qFormat/>
    <w:uiPriority w:val="0"/>
  </w:style>
  <w:style w:type="paragraph" w:customStyle="1" w:styleId="249">
    <w:name w:val="Char1 Char Char Char Char Char Char Char Char Char"/>
    <w:basedOn w:val="1"/>
    <w:qFormat/>
    <w:uiPriority w:val="0"/>
    <w:rPr>
      <w:szCs w:val="20"/>
    </w:rPr>
  </w:style>
  <w:style w:type="paragraph" w:customStyle="1" w:styleId="25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Style24"/>
    <w:basedOn w:val="1"/>
    <w:unhideWhenUsed/>
    <w:qFormat/>
    <w:uiPriority w:val="0"/>
  </w:style>
  <w:style w:type="paragraph" w:customStyle="1" w:styleId="252">
    <w:name w:val="1 Char Char Char Char"/>
    <w:basedOn w:val="1"/>
    <w:qFormat/>
    <w:uiPriority w:val="0"/>
  </w:style>
  <w:style w:type="paragraph" w:customStyle="1" w:styleId="25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55">
    <w:name w:val="Style60"/>
    <w:basedOn w:val="1"/>
    <w:unhideWhenUsed/>
    <w:qFormat/>
    <w:uiPriority w:val="0"/>
    <w:pPr>
      <w:spacing w:line="566" w:lineRule="exact"/>
    </w:pPr>
  </w:style>
  <w:style w:type="paragraph" w:customStyle="1" w:styleId="256">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Char Char1 Char Char Char Char Char1 Char Char Char Char"/>
    <w:basedOn w:val="13"/>
    <w:qFormat/>
    <w:uiPriority w:val="0"/>
    <w:rPr>
      <w:rFonts w:ascii="Tahoma" w:hAnsi="Tahoma"/>
    </w:rPr>
  </w:style>
  <w:style w:type="paragraph" w:customStyle="1" w:styleId="258">
    <w:name w:val="Style41"/>
    <w:basedOn w:val="1"/>
    <w:unhideWhenUsed/>
    <w:qFormat/>
    <w:uiPriority w:val="0"/>
    <w:pPr>
      <w:spacing w:line="542" w:lineRule="exact"/>
      <w:ind w:firstLine="125"/>
    </w:pPr>
  </w:style>
  <w:style w:type="paragraph" w:customStyle="1" w:styleId="259">
    <w:name w:val="Style59"/>
    <w:basedOn w:val="1"/>
    <w:unhideWhenUsed/>
    <w:qFormat/>
    <w:uiPriority w:val="0"/>
  </w:style>
  <w:style w:type="paragraph" w:customStyle="1" w:styleId="260">
    <w:name w:val="Style68"/>
    <w:basedOn w:val="1"/>
    <w:unhideWhenUsed/>
    <w:qFormat/>
    <w:uiPriority w:val="0"/>
    <w:pPr>
      <w:spacing w:line="547" w:lineRule="exact"/>
    </w:pPr>
  </w:style>
  <w:style w:type="paragraph" w:customStyle="1" w:styleId="261">
    <w:name w:val="Style70"/>
    <w:basedOn w:val="1"/>
    <w:unhideWhenUsed/>
    <w:qFormat/>
    <w:uiPriority w:val="0"/>
    <w:pPr>
      <w:spacing w:line="549" w:lineRule="exact"/>
      <w:ind w:firstLine="686"/>
    </w:pPr>
  </w:style>
  <w:style w:type="paragraph" w:customStyle="1" w:styleId="262">
    <w:name w:val="Style13"/>
    <w:basedOn w:val="1"/>
    <w:unhideWhenUsed/>
    <w:qFormat/>
    <w:uiPriority w:val="0"/>
  </w:style>
  <w:style w:type="paragraph" w:customStyle="1" w:styleId="26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Style16"/>
    <w:basedOn w:val="1"/>
    <w:unhideWhenUsed/>
    <w:qFormat/>
    <w:uiPriority w:val="0"/>
    <w:pPr>
      <w:jc w:val="right"/>
    </w:pPr>
  </w:style>
  <w:style w:type="paragraph" w:customStyle="1" w:styleId="26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66">
    <w:name w:val="Style50"/>
    <w:basedOn w:val="1"/>
    <w:unhideWhenUsed/>
    <w:qFormat/>
    <w:uiPriority w:val="0"/>
  </w:style>
  <w:style w:type="paragraph" w:customStyle="1" w:styleId="267">
    <w:name w:val="标题3"/>
    <w:basedOn w:val="2"/>
    <w:qFormat/>
    <w:uiPriority w:val="0"/>
    <w:pPr>
      <w:spacing w:beforeLines="50" w:afterLines="50" w:line="400" w:lineRule="exact"/>
      <w:jc w:val="both"/>
    </w:pPr>
    <w:rPr>
      <w:rFonts w:ascii="宋体" w:hAnsi="宋体"/>
      <w:kern w:val="32"/>
      <w:szCs w:val="32"/>
    </w:rPr>
  </w:style>
  <w:style w:type="paragraph" w:customStyle="1" w:styleId="26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Style27"/>
    <w:basedOn w:val="1"/>
    <w:unhideWhenUsed/>
    <w:qFormat/>
    <w:uiPriority w:val="0"/>
  </w:style>
  <w:style w:type="paragraph" w:customStyle="1" w:styleId="270">
    <w:name w:val="Char1 Char Char Char 字元 Char Char 字元 Char 字元 Char1 Char Char Char"/>
    <w:basedOn w:val="1"/>
    <w:qFormat/>
    <w:uiPriority w:val="0"/>
    <w:rPr>
      <w:szCs w:val="20"/>
    </w:rPr>
  </w:style>
  <w:style w:type="paragraph" w:customStyle="1" w:styleId="271">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72">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73">
    <w:name w:val="Style53"/>
    <w:basedOn w:val="1"/>
    <w:unhideWhenUsed/>
    <w:qFormat/>
    <w:uiPriority w:val="0"/>
    <w:pPr>
      <w:spacing w:line="533" w:lineRule="exact"/>
      <w:ind w:firstLine="581"/>
    </w:pPr>
  </w:style>
  <w:style w:type="paragraph" w:customStyle="1" w:styleId="274">
    <w:name w:val="Style5"/>
    <w:basedOn w:val="1"/>
    <w:unhideWhenUsed/>
    <w:qFormat/>
    <w:uiPriority w:val="0"/>
  </w:style>
  <w:style w:type="paragraph" w:customStyle="1" w:styleId="275">
    <w:name w:val="No Spacing"/>
    <w:qFormat/>
    <w:uiPriority w:val="5"/>
    <w:pPr>
      <w:jc w:val="both"/>
    </w:pPr>
    <w:rPr>
      <w:rFonts w:ascii="Times New Roman" w:hAnsi="Times New Roman" w:eastAsia="Times New Roman" w:cs="Times New Roman"/>
      <w:lang w:val="en-US" w:eastAsia="zh-CN" w:bidi="ar-SA"/>
    </w:rPr>
  </w:style>
  <w:style w:type="paragraph" w:customStyle="1" w:styleId="276">
    <w:name w:val="_Style 39"/>
    <w:basedOn w:val="250"/>
    <w:qFormat/>
    <w:uiPriority w:val="0"/>
  </w:style>
  <w:style w:type="paragraph" w:customStyle="1" w:styleId="277">
    <w:name w:val="_Style 10"/>
    <w:basedOn w:val="1"/>
    <w:next w:val="122"/>
    <w:qFormat/>
    <w:uiPriority w:val="34"/>
    <w:pPr>
      <w:ind w:firstLine="420" w:firstLineChars="200"/>
    </w:pPr>
    <w:rPr>
      <w:rFonts w:ascii="Calibri" w:hAnsi="Calibri"/>
      <w:szCs w:val="22"/>
      <w:lang w:val="zh-CN" w:eastAsia="zh-CN"/>
    </w:rPr>
  </w:style>
  <w:style w:type="paragraph" w:customStyle="1" w:styleId="278">
    <w:name w:val="_Style 13"/>
    <w:basedOn w:val="1"/>
    <w:next w:val="122"/>
    <w:qFormat/>
    <w:uiPriority w:val="34"/>
    <w:pPr>
      <w:ind w:firstLine="420" w:firstLineChars="200"/>
    </w:pPr>
    <w:rPr>
      <w:rFonts w:ascii="Calibri" w:hAnsi="Calibri"/>
      <w:szCs w:val="22"/>
      <w:lang w:val="zh-CN" w:eastAsia="zh-CN"/>
    </w:rPr>
  </w:style>
  <w:style w:type="paragraph" w:customStyle="1" w:styleId="279">
    <w:name w:val="正文文本_0"/>
    <w:basedOn w:val="280"/>
    <w:next w:val="281"/>
    <w:qFormat/>
    <w:uiPriority w:val="0"/>
    <w:pPr>
      <w:spacing w:after="120"/>
    </w:pPr>
  </w:style>
  <w:style w:type="paragraph" w:customStyle="1" w:styleId="28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1">
    <w:name w:val="Default_0"/>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2">
    <w:name w:val="正文_0"/>
    <w:next w:val="2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正文_7"/>
    <w:next w:val="2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
    <w:name w:val="正文文本_1_0"/>
    <w:basedOn w:val="284"/>
    <w:next w:val="286"/>
    <w:qFormat/>
    <w:uiPriority w:val="0"/>
    <w:pPr>
      <w:spacing w:after="120"/>
    </w:pPr>
  </w:style>
  <w:style w:type="paragraph" w:customStyle="1" w:styleId="286">
    <w:name w:val="正文首行缩进_0"/>
    <w:basedOn w:val="285"/>
    <w:unhideWhenUsed/>
    <w:qFormat/>
    <w:uiPriority w:val="99"/>
    <w:pPr>
      <w:ind w:firstLine="420" w:firstLineChars="100"/>
    </w:pPr>
  </w:style>
  <w:style w:type="paragraph" w:customStyle="1" w:styleId="287">
    <w:name w:val="Normal_2_0"/>
    <w:qFormat/>
    <w:uiPriority w:val="0"/>
    <w:rPr>
      <w:rFonts w:ascii="Times New Roman" w:hAnsi="Times New Roman" w:eastAsia="Times New Roman" w:cs="Times New Roman"/>
      <w:sz w:val="24"/>
      <w:szCs w:val="24"/>
      <w:lang w:val="en-US" w:eastAsia="zh-CN" w:bidi="ar-SA"/>
    </w:rPr>
  </w:style>
  <w:style w:type="character" w:customStyle="1" w:styleId="288">
    <w:name w:val="10_1"/>
    <w:qFormat/>
    <w:uiPriority w:val="0"/>
    <w:rPr>
      <w:rFonts w:hint="default" w:ascii="Times New Roman" w:hAnsi="Times New Roman" w:eastAsia="宋体" w:cs="Times New Roman"/>
    </w:rPr>
  </w:style>
  <w:style w:type="paragraph" w:customStyle="1" w:styleId="28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_Style 287"/>
    <w:unhideWhenUsed/>
    <w:qFormat/>
    <w:uiPriority w:val="99"/>
    <w:rPr>
      <w:rFonts w:ascii="Times New Roman" w:hAnsi="Times New Roman" w:eastAsia="宋体" w:cs="Times New Roman"/>
      <w:kern w:val="2"/>
      <w:sz w:val="21"/>
      <w:szCs w:val="24"/>
      <w:lang w:val="en-US" w:eastAsia="zh-CN" w:bidi="ar-SA"/>
    </w:rPr>
  </w:style>
  <w:style w:type="paragraph" w:customStyle="1" w:styleId="291">
    <w:name w:val="Normal_0"/>
    <w:qFormat/>
    <w:uiPriority w:val="0"/>
    <w:rPr>
      <w:rFonts w:ascii="Times New Roman" w:hAnsi="Times New Roman" w:eastAsia="Times New Roman" w:cs="Times New Roman"/>
      <w:sz w:val="24"/>
      <w:szCs w:val="24"/>
    </w:rPr>
  </w:style>
  <w:style w:type="paragraph" w:customStyle="1" w:styleId="292">
    <w:name w:val="样式3"/>
    <w:basedOn w:val="201"/>
    <w:qFormat/>
    <w:uiPriority w:val="0"/>
    <w:pPr>
      <w:widowControl w:val="0"/>
      <w:numPr>
        <w:ilvl w:val="0"/>
        <w:numId w:val="0"/>
      </w:numPr>
      <w:spacing w:before="120" w:after="120"/>
      <w:jc w:val="left"/>
      <w:outlineLvl w:val="0"/>
    </w:pPr>
    <w:rPr>
      <w:rFonts w:ascii="Cambria" w:hAnsi="Cambria" w:eastAsia="宋体" w:cs="Times New Roman"/>
      <w:bCs/>
      <w:kern w:val="2"/>
      <w:sz w:val="32"/>
      <w:szCs w:val="32"/>
      <w:lang w:val="en-US" w:eastAsia="zh-CN" w:bidi="ar-SA"/>
    </w:rPr>
  </w:style>
  <w:style w:type="paragraph" w:customStyle="1" w:styleId="293">
    <w:name w:val="正文_0_0"/>
    <w:next w:val="2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正文文本_0_0"/>
    <w:basedOn w:val="295"/>
    <w:next w:val="281"/>
    <w:qFormat/>
    <w:uiPriority w:val="0"/>
    <w:pPr>
      <w:spacing w:after="120"/>
    </w:pPr>
  </w:style>
  <w:style w:type="paragraph" w:customStyle="1" w:styleId="295">
    <w:name w:val="正文_1_0"/>
    <w:next w:val="2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6">
    <w:name w:val="正文_7_0"/>
    <w:next w:val="2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正文_4_0_0_0"/>
    <w:qFormat/>
    <w:uiPriority w:val="0"/>
    <w:pPr>
      <w:widowControl w:val="0"/>
      <w:jc w:val="both"/>
    </w:pPr>
    <w:rPr>
      <w:rFonts w:ascii="Calibri" w:hAnsi="Calibri" w:eastAsia="宋体" w:cs="Times New Roman"/>
      <w:kern w:val="2"/>
      <w:sz w:val="21"/>
      <w:szCs w:val="22"/>
      <w:lang w:val="en-US" w:eastAsia="zh-CN" w:bidi="ar-SA"/>
    </w:rPr>
  </w:style>
  <w:style w:type="table" w:customStyle="1" w:styleId="299">
    <w:name w:val="Table Normal"/>
    <w:unhideWhenUsed/>
    <w:qFormat/>
    <w:uiPriority w:val="0"/>
    <w:tblPr>
      <w:tblCellMar>
        <w:top w:w="0" w:type="dxa"/>
        <w:left w:w="0" w:type="dxa"/>
        <w:bottom w:w="0" w:type="dxa"/>
        <w:right w:w="0" w:type="dxa"/>
      </w:tblCellMar>
    </w:tblPr>
  </w:style>
  <w:style w:type="paragraph" w:customStyle="1" w:styleId="300">
    <w:name w:val="Table Text"/>
    <w:basedOn w:val="1"/>
    <w:semiHidden/>
    <w:qFormat/>
    <w:uiPriority w:val="0"/>
    <w:rPr>
      <w:rFonts w:ascii="仿宋" w:hAnsi="仿宋" w:eastAsia="仿宋" w:cs="仿宋"/>
      <w:sz w:val="19"/>
      <w:szCs w:val="19"/>
      <w:lang w:val="en-US" w:eastAsia="en-US" w:bidi="ar-SA"/>
    </w:rPr>
  </w:style>
  <w:style w:type="character" w:customStyle="1" w:styleId="301">
    <w:name w:val="font01"/>
    <w:basedOn w:val="46"/>
    <w:qFormat/>
    <w:uiPriority w:val="0"/>
    <w:rPr>
      <w:rFonts w:hint="eastAsia" w:ascii="宋体" w:hAnsi="宋体" w:eastAsia="宋体" w:cs="宋体"/>
      <w:color w:val="000000"/>
      <w:sz w:val="24"/>
      <w:szCs w:val="24"/>
      <w:u w:val="none"/>
    </w:rPr>
  </w:style>
  <w:style w:type="character" w:customStyle="1" w:styleId="302">
    <w:name w:val="font21"/>
    <w:basedOn w:val="4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72</Pages>
  <Words>22287</Words>
  <Characters>23626</Characters>
  <Lines>441</Lines>
  <Paragraphs>124</Paragraphs>
  <TotalTime>22</TotalTime>
  <ScaleCrop>false</ScaleCrop>
  <LinksUpToDate>false</LinksUpToDate>
  <CharactersWithSpaces>25029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2023-06-06T03:22:00Z</dcterms:created>
  <dc:creator>admin</dc:creator>
  <cp:lastModifiedBy>wangjing</cp:lastModifiedBy>
  <cp:lastPrinted>2023-06-06T03:15:00Z</cp:lastPrinted>
  <dcterms:modified xsi:type="dcterms:W3CDTF">2026-07-22T08:27:23Z</dcterms:modified>
  <dc:title>附件十一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78173C0A5E92412FB037DFF88AAF7CF6_13</vt:lpwstr>
  </property>
  <property fmtid="{D5CDD505-2E9C-101B-9397-08002B2CF9AE}" pid="4" name="KSOTemplateDocerSaveRecord">
    <vt:lpwstr>eyJoZGlkIjoiYmVjMzVkNTI4OGE1NTE2N2IwYjBlODc3N2QwNmM3MjEiLCJ1c2VySWQiOiIyMzMyMTEzNjcifQ==</vt:lpwstr>
  </property>
</Properties>
</file>