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D5E73">
      <w:pPr>
        <w:keepNext/>
        <w:spacing w:beforeLines="0" w:afterLines="0"/>
        <w:jc w:val="center"/>
        <w:outlineLvl w:val="0"/>
        <w:rPr>
          <w:rFonts w:hint="eastAsia" w:ascii="黑体" w:hAnsi="黑体" w:eastAsia="黑体"/>
          <w:b/>
          <w:color w:val="auto"/>
          <w:sz w:val="32"/>
          <w:szCs w:val="24"/>
        </w:rPr>
      </w:pPr>
      <w:r>
        <w:rPr>
          <w:rFonts w:hint="eastAsia" w:ascii="黑体" w:hAnsi="黑体" w:eastAsia="黑体"/>
          <w:b/>
          <w:color w:val="auto"/>
          <w:sz w:val="32"/>
          <w:szCs w:val="24"/>
        </w:rPr>
        <w:t>采购需求</w:t>
      </w:r>
    </w:p>
    <w:p w14:paraId="6DF17C98">
      <w:pPr>
        <w:pStyle w:val="6"/>
        <w:spacing w:line="360" w:lineRule="auto"/>
        <w:jc w:val="center"/>
        <w:outlineLvl w:val="1"/>
        <w:rPr>
          <w:rFonts w:hint="eastAsia" w:ascii="宋体" w:hAnsi="宋体" w:eastAsia="宋体" w:cs="宋体"/>
          <w:kern w:val="0"/>
          <w:sz w:val="28"/>
          <w:szCs w:val="28"/>
        </w:rPr>
      </w:pPr>
      <w:r>
        <w:rPr>
          <w:rFonts w:hint="eastAsia" w:ascii="宋体" w:hAnsi="宋体" w:eastAsia="宋体" w:cs="宋体"/>
          <w:kern w:val="0"/>
          <w:sz w:val="28"/>
          <w:szCs w:val="28"/>
        </w:rPr>
        <w:t>第一节 采购清单一览表</w:t>
      </w:r>
    </w:p>
    <w:tbl>
      <w:tblPr>
        <w:tblStyle w:val="4"/>
        <w:tblW w:w="48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344"/>
        <w:gridCol w:w="3194"/>
        <w:gridCol w:w="2171"/>
      </w:tblGrid>
      <w:tr w14:paraId="3E3B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Before w:w="0" w:type="dxa"/>
          <w:wAfter w:w="0" w:type="dxa"/>
          <w:cantSplit/>
          <w:trHeight w:val="691" w:hRule="atLeast"/>
          <w:jc w:val="center"/>
        </w:trPr>
        <w:tc>
          <w:tcPr>
            <w:tcW w:w="6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9FC1D7">
            <w:pPr>
              <w:adjustRightInd w:val="0"/>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 xml:space="preserve">包号 </w:t>
            </w:r>
          </w:p>
        </w:tc>
        <w:tc>
          <w:tcPr>
            <w:tcW w:w="13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DD1A96B">
            <w:pPr>
              <w:adjustRightInd w:val="0"/>
              <w:snapToGrid w:val="0"/>
              <w:spacing w:line="360" w:lineRule="auto"/>
              <w:jc w:val="center"/>
              <w:rPr>
                <w:rFonts w:hint="eastAsia" w:ascii="宋体" w:hAnsi="宋体" w:eastAsia="宋体" w:cs="宋体"/>
                <w:sz w:val="21"/>
                <w:szCs w:val="21"/>
              </w:rPr>
            </w:pPr>
            <w:r>
              <w:rPr>
                <w:rFonts w:hint="eastAsia" w:ascii="宋体" w:hAnsi="宋体" w:eastAsia="宋体" w:cs="宋体"/>
                <w:sz w:val="21"/>
                <w:szCs w:val="21"/>
              </w:rPr>
              <w:t>包名称</w:t>
            </w:r>
          </w:p>
        </w:tc>
        <w:tc>
          <w:tcPr>
            <w:tcW w:w="180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EA1C8D">
            <w:pPr>
              <w:pStyle w:val="6"/>
              <w:jc w:val="center"/>
              <w:rPr>
                <w:rFonts w:hint="eastAsia" w:ascii="宋体" w:hAnsi="宋体" w:eastAsia="宋体" w:cs="宋体"/>
                <w:kern w:val="0"/>
                <w:sz w:val="21"/>
                <w:szCs w:val="21"/>
              </w:rPr>
            </w:pPr>
            <w:r>
              <w:rPr>
                <w:rFonts w:hint="eastAsia" w:ascii="宋体" w:hAnsi="宋体" w:eastAsia="宋体" w:cs="宋体"/>
                <w:kern w:val="0"/>
                <w:sz w:val="21"/>
                <w:szCs w:val="21"/>
              </w:rPr>
              <w:t>分项项目名称</w:t>
            </w:r>
          </w:p>
          <w:p w14:paraId="11E4104C">
            <w:pPr>
              <w:pStyle w:val="6"/>
              <w:jc w:val="center"/>
              <w:rPr>
                <w:rFonts w:hint="eastAsia" w:ascii="宋体" w:hAnsi="宋体" w:eastAsia="宋体" w:cs="宋体"/>
                <w:kern w:val="0"/>
                <w:sz w:val="21"/>
                <w:szCs w:val="21"/>
              </w:rPr>
            </w:pPr>
            <w:r>
              <w:rPr>
                <w:rFonts w:hint="eastAsia" w:ascii="宋体" w:hAnsi="宋体" w:eastAsia="宋体" w:cs="宋体"/>
                <w:kern w:val="0"/>
                <w:sz w:val="21"/>
                <w:szCs w:val="21"/>
              </w:rPr>
              <w:t>（条目号/品目名称）</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F050F3">
            <w:pPr>
              <w:pStyle w:val="6"/>
              <w:jc w:val="center"/>
              <w:rPr>
                <w:rFonts w:hint="eastAsia" w:ascii="宋体" w:hAnsi="宋体" w:eastAsia="宋体" w:cs="宋体"/>
                <w:kern w:val="0"/>
                <w:sz w:val="21"/>
                <w:szCs w:val="21"/>
              </w:rPr>
            </w:pPr>
            <w:r>
              <w:rPr>
                <w:rFonts w:hint="eastAsia" w:ascii="宋体" w:hAnsi="宋体" w:eastAsia="宋体" w:cs="宋体"/>
                <w:kern w:val="0"/>
                <w:sz w:val="21"/>
                <w:szCs w:val="21"/>
              </w:rPr>
              <w:t>最高限价（总价）（元）</w:t>
            </w:r>
          </w:p>
        </w:tc>
      </w:tr>
      <w:tr w14:paraId="5365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978" w:hRule="atLeast"/>
          <w:jc w:val="center"/>
        </w:trPr>
        <w:tc>
          <w:tcPr>
            <w:tcW w:w="6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AF88ED">
            <w:pPr>
              <w:adjustRightInd w:val="0"/>
              <w:snapToGrid w:val="0"/>
              <w:spacing w:before="156" w:beforeLines="50"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3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9615B3">
            <w:pPr>
              <w:jc w:val="center"/>
              <w:rPr>
                <w:rFonts w:hint="eastAsia" w:ascii="宋体" w:hAnsi="宋体" w:eastAsia="宋体" w:cs="宋体"/>
                <w:kern w:val="0"/>
                <w:sz w:val="21"/>
                <w:szCs w:val="21"/>
              </w:rPr>
            </w:pPr>
            <w:r>
              <w:rPr>
                <w:rFonts w:hint="eastAsia" w:ascii="宋体" w:hAnsi="宋体" w:eastAsia="宋体" w:cs="宋体"/>
                <w:color w:val="auto"/>
                <w:sz w:val="21"/>
                <w:szCs w:val="21"/>
              </w:rPr>
              <w:t>2026年度中文纸质图书采购项目</w:t>
            </w:r>
          </w:p>
        </w:tc>
        <w:tc>
          <w:tcPr>
            <w:tcW w:w="180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A1196A">
            <w:pPr>
              <w:jc w:val="center"/>
              <w:rPr>
                <w:rFonts w:hint="eastAsia" w:ascii="宋体" w:hAnsi="宋体" w:eastAsia="宋体" w:cs="宋体"/>
                <w:kern w:val="0"/>
                <w:sz w:val="21"/>
                <w:szCs w:val="21"/>
              </w:rPr>
            </w:pPr>
            <w:r>
              <w:rPr>
                <w:rFonts w:hint="eastAsia" w:ascii="宋体" w:hAnsi="宋体" w:eastAsia="宋体" w:cs="宋体"/>
                <w:color w:val="auto"/>
                <w:sz w:val="21"/>
                <w:szCs w:val="21"/>
              </w:rPr>
              <w:t>2026年度中文纸质图书采购项目</w:t>
            </w:r>
          </w:p>
        </w:tc>
        <w:tc>
          <w:tcPr>
            <w:tcW w:w="12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6F9A896">
            <w:pPr>
              <w:pStyle w:val="6"/>
              <w:jc w:val="center"/>
              <w:rPr>
                <w:rFonts w:hint="eastAsia" w:ascii="宋体" w:hAnsi="宋体" w:eastAsia="宋体" w:cs="宋体"/>
                <w:kern w:val="0"/>
                <w:sz w:val="21"/>
                <w:szCs w:val="21"/>
              </w:rPr>
            </w:pPr>
            <w:r>
              <w:rPr>
                <w:rFonts w:hint="eastAsia" w:ascii="宋体" w:hAnsi="宋体" w:eastAsia="宋体" w:cs="宋体"/>
                <w:kern w:val="0"/>
                <w:sz w:val="21"/>
                <w:szCs w:val="21"/>
              </w:rPr>
              <w:t>880000</w:t>
            </w:r>
          </w:p>
        </w:tc>
      </w:tr>
    </w:tbl>
    <w:p w14:paraId="7230D344">
      <w:pPr>
        <w:pStyle w:val="6"/>
        <w:spacing w:line="360" w:lineRule="auto"/>
        <w:jc w:val="center"/>
        <w:rPr>
          <w:rFonts w:hint="eastAsia" w:ascii="宋体" w:hAnsi="宋体" w:eastAsia="宋体" w:cs="宋体"/>
          <w:kern w:val="0"/>
          <w:sz w:val="28"/>
          <w:szCs w:val="28"/>
        </w:rPr>
      </w:pPr>
    </w:p>
    <w:p w14:paraId="6D5470BA">
      <w:pPr>
        <w:adjustRightInd w:val="0"/>
        <w:snapToGrid w:val="0"/>
        <w:spacing w:before="156" w:beforeLines="50" w:line="360" w:lineRule="auto"/>
        <w:rPr>
          <w:rFonts w:hint="eastAsia" w:ascii="宋体" w:hAnsi="宋体" w:eastAsia="宋体" w:cs="宋体"/>
          <w:sz w:val="24"/>
          <w:szCs w:val="21"/>
        </w:rPr>
      </w:pPr>
      <w:r>
        <w:rPr>
          <w:rFonts w:hint="eastAsia" w:ascii="宋体" w:hAnsi="宋体" w:eastAsia="宋体" w:cs="宋体"/>
          <w:sz w:val="21"/>
          <w:szCs w:val="21"/>
        </w:rPr>
        <w:t>注：1、“包”为最小合同单位（最小响应单位）。每“包”内容应细化到“品目”（如果分品目的）。</w:t>
      </w:r>
    </w:p>
    <w:p w14:paraId="0A5A65EC">
      <w:pPr>
        <w:adjustRightInd w:val="0"/>
        <w:snapToGrid w:val="0"/>
        <w:spacing w:before="156" w:beforeLines="50"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2、供应商必须对一个完整、独立的包进行响应，不得仅对一个包中的部分品目响应，否则响应无效。</w:t>
      </w:r>
    </w:p>
    <w:p w14:paraId="14FE3EB6">
      <w:pPr>
        <w:adjustRightInd w:val="0"/>
        <w:snapToGrid w:val="0"/>
        <w:spacing w:before="156" w:beforeLines="50" w:line="360" w:lineRule="auto"/>
        <w:ind w:firstLine="420" w:firstLineChars="200"/>
        <w:rPr>
          <w:rFonts w:hint="eastAsia" w:ascii="宋体" w:hAnsi="宋体" w:eastAsia="宋体" w:cs="宋体"/>
          <w:sz w:val="21"/>
          <w:szCs w:val="21"/>
        </w:rPr>
        <w:sectPr>
          <w:footerReference r:id="rId4" w:type="default"/>
          <w:pgSz w:w="11906" w:h="16838"/>
          <w:pgMar w:top="1474" w:right="1474" w:bottom="1474" w:left="1588" w:header="851" w:footer="992" w:gutter="0"/>
          <w:lnNumType w:countBy="0" w:distance="360"/>
          <w:cols w:space="720" w:num="1"/>
          <w:docGrid w:type="lines" w:linePitch="312" w:charSpace="0"/>
        </w:sectPr>
      </w:pPr>
    </w:p>
    <w:p w14:paraId="33536858">
      <w:pPr>
        <w:pStyle w:val="6"/>
        <w:spacing w:after="312" w:afterLines="100" w:line="360" w:lineRule="auto"/>
        <w:jc w:val="center"/>
        <w:outlineLvl w:val="1"/>
        <w:rPr>
          <w:rFonts w:hint="eastAsia" w:ascii="宋体" w:hAnsi="宋体" w:eastAsia="宋体" w:cs="宋体"/>
          <w:b/>
          <w:kern w:val="0"/>
          <w:sz w:val="28"/>
          <w:szCs w:val="28"/>
        </w:rPr>
      </w:pPr>
      <w:bookmarkStart w:id="0" w:name="_Toc256000038"/>
      <w:r>
        <w:rPr>
          <w:rFonts w:hint="eastAsia" w:ascii="宋体" w:hAnsi="宋体" w:eastAsia="宋体" w:cs="宋体"/>
          <w:b/>
          <w:kern w:val="0"/>
          <w:sz w:val="28"/>
          <w:szCs w:val="28"/>
        </w:rPr>
        <w:t>第二节 技术要求</w:t>
      </w:r>
      <w:bookmarkEnd w:id="0"/>
    </w:p>
    <w:p w14:paraId="51ED7B89">
      <w:pPr>
        <w:adjustRightInd w:val="0"/>
        <w:snapToGrid w:val="0"/>
        <w:spacing w:before="50" w:line="4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一、采购内容及数量</w:t>
      </w:r>
    </w:p>
    <w:tbl>
      <w:tblPr>
        <w:tblStyle w:val="4"/>
        <w:tblW w:w="5117" w:type="pct"/>
        <w:tblInd w:w="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0" w:type="dxa"/>
          <w:left w:w="0" w:type="dxa"/>
          <w:bottom w:w="0" w:type="dxa"/>
          <w:right w:w="0" w:type="dxa"/>
        </w:tblCellMar>
      </w:tblPr>
      <w:tblGrid>
        <w:gridCol w:w="1771"/>
        <w:gridCol w:w="1771"/>
        <w:gridCol w:w="1771"/>
        <w:gridCol w:w="1773"/>
        <w:gridCol w:w="1773"/>
      </w:tblGrid>
      <w:tr w14:paraId="7761131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wBefore w:w="0" w:type="dxa"/>
          <w:wAfter w:w="0" w:type="dxa"/>
        </w:trPr>
        <w:tc>
          <w:tcPr>
            <w:tcW w:w="0" w:type="auto"/>
            <w:gridSpan w:val="5"/>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1BFFC0AD">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第1包:包01(本包预算: ¥880000.00元) 最高限价: ¥880000.00元</w:t>
            </w:r>
          </w:p>
        </w:tc>
      </w:tr>
      <w:tr w14:paraId="1684F0D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458C2692">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品目号</w:t>
            </w:r>
          </w:p>
        </w:tc>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3D501549">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品目编码</w:t>
            </w:r>
          </w:p>
        </w:tc>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6E606B17">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品目名</w:t>
            </w:r>
          </w:p>
        </w:tc>
        <w:tc>
          <w:tcPr>
            <w:tcW w:w="1000"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69C2E5C0">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数量</w:t>
            </w:r>
          </w:p>
        </w:tc>
        <w:tc>
          <w:tcPr>
            <w:tcW w:w="1000"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0C389A6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单位</w:t>
            </w:r>
          </w:p>
        </w:tc>
      </w:tr>
      <w:tr w14:paraId="4E1DA58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0" w:type="dxa"/>
            <w:left w:w="0" w:type="dxa"/>
            <w:bottom w:w="0" w:type="dxa"/>
            <w:right w:w="0" w:type="dxa"/>
          </w:tblCellMar>
        </w:tblPrEx>
        <w:trPr>
          <w:wBefore w:w="0" w:type="dxa"/>
          <w:wAfter w:w="0" w:type="dxa"/>
        </w:trPr>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5AF3F07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1-1</w:t>
            </w:r>
          </w:p>
        </w:tc>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5BFC5BDB">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A05010101-书籍、课本</w:t>
            </w:r>
          </w:p>
        </w:tc>
        <w:tc>
          <w:tcPr>
            <w:tcW w:w="999"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62F7F12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2026年中文纸质图书采购项目</w:t>
            </w:r>
          </w:p>
        </w:tc>
        <w:tc>
          <w:tcPr>
            <w:tcW w:w="1000"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5BCCAB5F">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≥44000</w:t>
            </w:r>
          </w:p>
        </w:tc>
        <w:tc>
          <w:tcPr>
            <w:tcW w:w="1000" w:type="pct"/>
            <w:tcBorders>
              <w:top w:val="single" w:color="808080" w:sz="6" w:space="0"/>
              <w:left w:val="single" w:color="808080" w:sz="6" w:space="0"/>
              <w:bottom w:val="single" w:color="808080" w:sz="6" w:space="0"/>
              <w:right w:val="single" w:color="808080" w:sz="6" w:space="0"/>
              <w:tl2br w:val="nil"/>
              <w:tr2bl w:val="nil"/>
            </w:tcBorders>
            <w:noWrap w:val="0"/>
            <w:tcMar>
              <w:top w:w="0" w:type="dxa"/>
              <w:left w:w="0" w:type="dxa"/>
              <w:bottom w:w="0" w:type="dxa"/>
              <w:right w:w="0" w:type="dxa"/>
            </w:tcMar>
            <w:vAlign w:val="center"/>
          </w:tcPr>
          <w:p w14:paraId="67D209E1">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册</w:t>
            </w:r>
          </w:p>
        </w:tc>
      </w:tr>
    </w:tbl>
    <w:p w14:paraId="4FF2AF52">
      <w:pPr>
        <w:adjustRightInd w:val="0"/>
        <w:snapToGrid w:val="0"/>
        <w:spacing w:before="50" w:line="400" w:lineRule="exact"/>
        <w:ind w:firstLine="422" w:firstLineChars="200"/>
        <w:jc w:val="left"/>
        <w:rPr>
          <w:rFonts w:hint="eastAsia" w:ascii="宋体" w:hAnsi="宋体" w:eastAsia="宋体" w:cs="宋体"/>
          <w:b/>
          <w:sz w:val="21"/>
          <w:szCs w:val="21"/>
        </w:rPr>
      </w:pPr>
      <w:r>
        <w:rPr>
          <w:rFonts w:hint="eastAsia" w:ascii="宋体" w:hAnsi="宋体" w:eastAsia="宋体" w:cs="宋体"/>
          <w:b/>
          <w:sz w:val="21"/>
          <w:szCs w:val="21"/>
        </w:rPr>
        <w:t>二、技术规格、参数与要求</w:t>
      </w:r>
    </w:p>
    <w:p w14:paraId="1D506684">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1.报价要求</w:t>
      </w:r>
    </w:p>
    <w:p w14:paraId="38744FA2">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本项目以折扣进行报价，在提交的《报价表》（见附件）中，供应商以折扣报价竞标。按实际采购量结算，总采购量的实洋结算金额不高于人民币捌拾捌万元（¥880000.00）。折扣填报应符合采购文件要求的格式。实洋=码洋×折扣，本项目实洋为含税发票价格，码洋为实际采购全部图书版权页或封底页标价之和(此处的“标价之和”应认定为已包括但不限定于实际采购图书价款及相应的图书的加工、运输、装卸、上架、检测、培训、保险、售后服务费、国家规定的税费及其他相关配套服务费用等全部因图书采购产生的费用)。</w:t>
      </w:r>
    </w:p>
    <w:p w14:paraId="1F4D20F8">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2.采购图书类型</w:t>
      </w:r>
    </w:p>
    <w:p w14:paraId="65E4C330">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2.1纸质图书采购册数不低于4.4万册</w:t>
      </w:r>
    </w:p>
    <w:p w14:paraId="1C2A2FC7">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2.2供应商须在响应文件中明确承诺，严格响应采购人提供的书目清单采购图书，无正当理由不得拒绝采购，不得使用盗版图书。</w:t>
      </w:r>
      <w:r>
        <w:rPr>
          <w:rFonts w:hint="eastAsia" w:ascii="宋体" w:hAnsi="宋体" w:eastAsia="宋体" w:cs="宋体"/>
          <w:b/>
          <w:sz w:val="21"/>
          <w:szCs w:val="21"/>
        </w:rPr>
        <w:t>（需提供承诺函并加盖供应商公章）</w:t>
      </w:r>
    </w:p>
    <w:p w14:paraId="1EAB905B">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2.3此次采购的图书为符合我校馆藏方针，服务我校科研、教学的中文纸质图书，其中2023年1月1日及以后出版的图书，其册数占最终订单总册数50%，2020年1月1日至2022年12月31日期间出版的图书，其册数占最终订单总册数50%。最终占比以采购方实际采购需求及订单为准，且上下浮动均不超过10%。所提供的图书不能是包含有邪教及反党反华内容的读物。</w:t>
      </w:r>
    </w:p>
    <w:p w14:paraId="4F8C0C08">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2.4各类图书按《中国图书馆分类法（第五版）》分类，成交供应商提供图书须符合以下分类占比要求（以最终实际订单为准，上下浮动不超过5%）：</w:t>
      </w:r>
    </w:p>
    <w:tbl>
      <w:tblPr>
        <w:tblStyle w:val="4"/>
        <w:tblW w:w="90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07"/>
        <w:gridCol w:w="2696"/>
        <w:gridCol w:w="1394"/>
        <w:gridCol w:w="1394"/>
        <w:gridCol w:w="1381"/>
      </w:tblGrid>
      <w:tr w14:paraId="18E54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shd w:val="clear" w:color="auto" w:fill="D9D9D9"/>
            <w:noWrap w:val="0"/>
            <w:vAlign w:val="top"/>
          </w:tcPr>
          <w:p w14:paraId="77396E11">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中图法大类</w:t>
            </w:r>
          </w:p>
        </w:tc>
        <w:tc>
          <w:tcPr>
            <w:tcW w:w="2696" w:type="dxa"/>
            <w:tcBorders>
              <w:top w:val="single" w:color="000000" w:sz="4" w:space="0"/>
              <w:left w:val="single" w:color="000000" w:sz="4" w:space="0"/>
              <w:bottom w:val="single" w:color="000000" w:sz="4" w:space="0"/>
              <w:right w:val="single" w:color="000000" w:sz="4" w:space="0"/>
              <w:tl2br w:val="nil"/>
              <w:tr2bl w:val="nil"/>
            </w:tcBorders>
            <w:shd w:val="clear" w:color="auto" w:fill="D9D9D9"/>
            <w:noWrap w:val="0"/>
            <w:vAlign w:val="top"/>
          </w:tcPr>
          <w:p w14:paraId="53ECBE0A">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主要涵盖专业方向</w:t>
            </w:r>
          </w:p>
        </w:tc>
        <w:tc>
          <w:tcPr>
            <w:tcW w:w="1394" w:type="dxa"/>
            <w:tcBorders>
              <w:top w:val="single" w:color="000000" w:sz="4" w:space="0"/>
              <w:left w:val="single" w:color="000000" w:sz="4" w:space="0"/>
              <w:bottom w:val="single" w:color="000000" w:sz="4" w:space="0"/>
              <w:right w:val="single" w:color="000000" w:sz="4" w:space="0"/>
              <w:tl2br w:val="nil"/>
              <w:tr2bl w:val="nil"/>
            </w:tcBorders>
            <w:shd w:val="clear" w:color="auto" w:fill="D9D9D9"/>
            <w:noWrap w:val="0"/>
            <w:vAlign w:val="top"/>
          </w:tcPr>
          <w:p w14:paraId="59622777">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最低占比</w:t>
            </w:r>
          </w:p>
        </w:tc>
        <w:tc>
          <w:tcPr>
            <w:tcW w:w="1394" w:type="dxa"/>
            <w:tcBorders>
              <w:top w:val="single" w:color="000000" w:sz="4" w:space="0"/>
              <w:left w:val="single" w:color="000000" w:sz="4" w:space="0"/>
              <w:bottom w:val="single" w:color="000000" w:sz="4" w:space="0"/>
              <w:right w:val="single" w:color="000000" w:sz="4" w:space="0"/>
              <w:tl2br w:val="nil"/>
              <w:tr2bl w:val="nil"/>
            </w:tcBorders>
            <w:shd w:val="clear" w:color="auto" w:fill="D9D9D9"/>
            <w:noWrap w:val="0"/>
            <w:vAlign w:val="top"/>
          </w:tcPr>
          <w:p w14:paraId="0EA75BEC">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最高占比</w:t>
            </w:r>
          </w:p>
        </w:tc>
        <w:tc>
          <w:tcPr>
            <w:tcW w:w="1381" w:type="dxa"/>
            <w:tcBorders>
              <w:top w:val="single" w:color="000000" w:sz="4" w:space="0"/>
              <w:left w:val="single" w:color="000000" w:sz="4" w:space="0"/>
              <w:bottom w:val="single" w:color="000000" w:sz="4" w:space="0"/>
              <w:right w:val="single" w:color="000000" w:sz="4" w:space="0"/>
              <w:tl2br w:val="nil"/>
              <w:tr2bl w:val="nil"/>
            </w:tcBorders>
            <w:shd w:val="clear" w:color="auto" w:fill="D9D9D9"/>
            <w:noWrap w:val="0"/>
            <w:vAlign w:val="top"/>
          </w:tcPr>
          <w:p w14:paraId="6F93571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备注</w:t>
            </w:r>
          </w:p>
        </w:tc>
      </w:tr>
      <w:tr w14:paraId="11B6A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55D4793">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F 经济类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7920BA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会计、金融、市场营销、电商、物流、国际商务等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3CB7FC8">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35%</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6B5F421">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45%</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31212CF">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核心类</w:t>
            </w:r>
          </w:p>
        </w:tc>
      </w:tr>
      <w:tr w14:paraId="5B00C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2424FB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TP 计算机/自动化类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2ECF09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计算机大数据、信息技术等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56CC1A">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08D566A">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10%</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93E475C">
            <w:pPr>
              <w:adjustRightInd w:val="0"/>
              <w:snapToGrid w:val="0"/>
              <w:spacing w:before="50" w:line="400" w:lineRule="exact"/>
              <w:ind w:firstLine="420" w:firstLineChars="200"/>
              <w:jc w:val="center"/>
              <w:rPr>
                <w:rFonts w:hint="eastAsia" w:ascii="宋体" w:hAnsi="宋体" w:eastAsia="宋体" w:cs="宋体"/>
                <w:sz w:val="21"/>
                <w:szCs w:val="21"/>
              </w:rPr>
            </w:pPr>
          </w:p>
        </w:tc>
      </w:tr>
      <w:tr w14:paraId="15542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F31D70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H 语言文字类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B12AED2">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外语、语言学习等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3F700D8">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57C1DB6">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15%</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5818CD3">
            <w:pPr>
              <w:adjustRightInd w:val="0"/>
              <w:snapToGrid w:val="0"/>
              <w:spacing w:before="50" w:line="400" w:lineRule="exact"/>
              <w:ind w:firstLine="420" w:firstLineChars="200"/>
              <w:jc w:val="center"/>
              <w:rPr>
                <w:rFonts w:hint="eastAsia" w:ascii="宋体" w:hAnsi="宋体" w:eastAsia="宋体" w:cs="宋体"/>
                <w:sz w:val="21"/>
                <w:szCs w:val="21"/>
              </w:rPr>
            </w:pPr>
          </w:p>
        </w:tc>
      </w:tr>
      <w:tr w14:paraId="56C34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15D5588">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J 艺术类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F4206AB">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艺术设计、文旅等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C1A2818">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A40181F">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12%</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B35ADA4">
            <w:pPr>
              <w:adjustRightInd w:val="0"/>
              <w:snapToGrid w:val="0"/>
              <w:spacing w:before="50" w:line="400" w:lineRule="exact"/>
              <w:ind w:firstLine="420" w:firstLineChars="200"/>
              <w:jc w:val="center"/>
              <w:rPr>
                <w:rFonts w:hint="eastAsia" w:ascii="宋体" w:hAnsi="宋体" w:eastAsia="宋体" w:cs="宋体"/>
                <w:sz w:val="21"/>
                <w:szCs w:val="21"/>
              </w:rPr>
            </w:pPr>
          </w:p>
        </w:tc>
      </w:tr>
      <w:tr w14:paraId="331E2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68AEF63">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I 文学类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18D84F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中外文学作品及文学理论等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78C8922">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10%</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9E9E87E">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20%</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34025DB">
            <w:pPr>
              <w:adjustRightInd w:val="0"/>
              <w:snapToGrid w:val="0"/>
              <w:spacing w:before="50" w:line="400" w:lineRule="exact"/>
              <w:ind w:firstLine="420" w:firstLineChars="200"/>
              <w:jc w:val="center"/>
              <w:rPr>
                <w:rFonts w:hint="eastAsia" w:ascii="宋体" w:hAnsi="宋体" w:eastAsia="宋体" w:cs="宋体"/>
                <w:sz w:val="21"/>
                <w:szCs w:val="21"/>
              </w:rPr>
            </w:pPr>
          </w:p>
        </w:tc>
      </w:tr>
      <w:tr w14:paraId="34DEF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E62606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G 文化/教育/体育类</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DEE4328">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图书馆学、教育、体育等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5697AA70">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3%</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F4C1659">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0E5FA4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核心类</w:t>
            </w:r>
          </w:p>
        </w:tc>
      </w:tr>
      <w:tr w14:paraId="631F5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64FB834">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其他类（A-E、K-Z）</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3EDE11C5">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政治、法律、历史、自然科学等</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7251CD80">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5%</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D72F227">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20%</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4A301C54">
            <w:pPr>
              <w:adjustRightInd w:val="0"/>
              <w:snapToGrid w:val="0"/>
              <w:spacing w:before="50" w:line="400" w:lineRule="exact"/>
              <w:ind w:firstLine="420" w:firstLineChars="200"/>
              <w:jc w:val="center"/>
              <w:rPr>
                <w:rFonts w:hint="eastAsia" w:ascii="宋体" w:hAnsi="宋体" w:eastAsia="宋体" w:cs="宋体"/>
                <w:sz w:val="21"/>
                <w:szCs w:val="21"/>
              </w:rPr>
            </w:pPr>
          </w:p>
        </w:tc>
      </w:tr>
      <w:tr w14:paraId="10524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Before w:w="0" w:type="dxa"/>
          <w:wAfter w:w="0" w:type="dxa"/>
        </w:trPr>
        <w:tc>
          <w:tcPr>
            <w:tcW w:w="2207"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E09D4C2">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合计</w:t>
            </w:r>
          </w:p>
        </w:tc>
        <w:tc>
          <w:tcPr>
            <w:tcW w:w="2696"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11776436">
            <w:pPr>
              <w:adjustRightInd w:val="0"/>
              <w:snapToGrid w:val="0"/>
              <w:spacing w:before="50" w:line="400" w:lineRule="exact"/>
              <w:ind w:firstLine="420" w:firstLineChars="200"/>
              <w:jc w:val="center"/>
              <w:rPr>
                <w:rFonts w:hint="eastAsia" w:ascii="宋体" w:hAnsi="宋体" w:eastAsia="宋体" w:cs="宋体"/>
                <w:sz w:val="21"/>
                <w:szCs w:val="21"/>
              </w:rPr>
            </w:pP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2BE1D59D">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≥80%</w:t>
            </w:r>
          </w:p>
        </w:tc>
        <w:tc>
          <w:tcPr>
            <w:tcW w:w="1394"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669C314F">
            <w:pPr>
              <w:adjustRightInd w:val="0"/>
              <w:snapToGrid w:val="0"/>
              <w:spacing w:before="50"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100%</w:t>
            </w:r>
          </w:p>
        </w:tc>
        <w:tc>
          <w:tcPr>
            <w:tcW w:w="1381" w:type="dxa"/>
            <w:tcBorders>
              <w:top w:val="single" w:color="000000" w:sz="4" w:space="0"/>
              <w:left w:val="single" w:color="000000" w:sz="4" w:space="0"/>
              <w:bottom w:val="single" w:color="000000" w:sz="4" w:space="0"/>
              <w:right w:val="single" w:color="000000" w:sz="4" w:space="0"/>
              <w:tl2br w:val="nil"/>
              <w:tr2bl w:val="nil"/>
            </w:tcBorders>
            <w:noWrap w:val="0"/>
            <w:vAlign w:val="top"/>
          </w:tcPr>
          <w:p w14:paraId="0C7B79CE">
            <w:pPr>
              <w:adjustRightInd w:val="0"/>
              <w:snapToGrid w:val="0"/>
              <w:spacing w:before="50" w:line="400" w:lineRule="exact"/>
              <w:jc w:val="center"/>
              <w:rPr>
                <w:rFonts w:hint="eastAsia" w:ascii="宋体" w:hAnsi="宋体" w:eastAsia="宋体" w:cs="宋体"/>
                <w:sz w:val="21"/>
                <w:szCs w:val="21"/>
              </w:rPr>
            </w:pPr>
            <w:r>
              <w:rPr>
                <w:rFonts w:hint="eastAsia" w:ascii="宋体" w:hAnsi="宋体" w:eastAsia="宋体" w:cs="宋体"/>
                <w:sz w:val="21"/>
                <w:szCs w:val="21"/>
              </w:rPr>
              <w:t>其余类合计不超过20%</w:t>
            </w:r>
          </w:p>
        </w:tc>
      </w:tr>
    </w:tbl>
    <w:p w14:paraId="6AB5C6E2">
      <w:pPr>
        <w:adjustRightInd w:val="0"/>
        <w:snapToGrid w:val="0"/>
        <w:spacing w:before="50" w:line="400" w:lineRule="exact"/>
        <w:ind w:firstLine="420" w:firstLineChars="200"/>
        <w:jc w:val="left"/>
        <w:rPr>
          <w:rFonts w:hint="eastAsia" w:ascii="宋体" w:hAnsi="宋体" w:eastAsia="宋体" w:cs="宋体"/>
          <w:sz w:val="21"/>
          <w:szCs w:val="21"/>
        </w:rPr>
      </w:pPr>
      <w:bookmarkStart w:id="1" w:name="OLE_LINK16"/>
      <w:r>
        <w:rPr>
          <w:rFonts w:hint="eastAsia" w:ascii="宋体" w:hAnsi="宋体" w:eastAsia="宋体" w:cs="宋体"/>
          <w:sz w:val="21"/>
          <w:szCs w:val="21"/>
        </w:rPr>
        <w:t>2.5供应商需承诺能为采购人提供提供英语考试类图书100种、公务员及事业单位招聘考试类图书20种、法考类图书20种，日语、韩语学习及考试类图书50种、导游证、教师资格证等其他各类考证图书50种</w:t>
      </w:r>
      <w:r>
        <w:rPr>
          <w:rFonts w:hint="eastAsia" w:ascii="宋体" w:hAnsi="宋体" w:eastAsia="宋体" w:cs="宋体"/>
          <w:b/>
          <w:sz w:val="21"/>
          <w:szCs w:val="21"/>
        </w:rPr>
        <w:t>（需提供承诺函并加盖供应商公章）</w:t>
      </w:r>
      <w:r>
        <w:rPr>
          <w:rFonts w:hint="eastAsia" w:ascii="宋体" w:hAnsi="宋体" w:eastAsia="宋体" w:cs="宋体"/>
          <w:sz w:val="21"/>
          <w:szCs w:val="21"/>
        </w:rPr>
        <w:t>。</w:t>
      </w:r>
    </w:p>
    <w:bookmarkEnd w:id="1"/>
    <w:p w14:paraId="7367C0B5">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2.6拟参与本项目供应商有义务派工作人员前往采购方所在地，负责采集采购方馆藏数据。采购人提供相应的帐号及技术支持。供应商应将其书目数据与采购方图书馆馆藏书目数据进行查重，以确保其响应文件中的书目与采购方馆藏无重复。</w:t>
      </w:r>
    </w:p>
    <w:p w14:paraId="468D9996">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成交供应商应配合采购方核实提交的书目数据，如任一所响应书目数据与采购方馆藏重复率高于10%（含10%），则取消其中标资格。判定重复与否，以图书的ISBN号为标准。</w:t>
      </w:r>
    </w:p>
    <w:p w14:paraId="0554389A">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2.7图书质量要求</w:t>
      </w:r>
    </w:p>
    <w:p w14:paraId="2E71063A">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2.7.1成交供应商所提供的图书必须是正版图书，且有国家书号（即ISBN号），同种图书必须版本一致、印刷时间相同，每种图书的信息应与订购清单一致，不得提供出版社长期积压图书。</w:t>
      </w:r>
    </w:p>
    <w:p w14:paraId="74D0C7B0">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2.7.2成交供应商提供的图书必须符合国家质量标准，如出现污损、图文不清、缺页、倒页、缺附件，或与订单不符等，一律在一周内予以无条件退货或换货，由此造成的损失及费用由成交供应商承担。</w:t>
      </w:r>
    </w:p>
    <w:p w14:paraId="3937EEA5">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2.7.3所有订购图书由成交供应商打包并送到采购方指定地点，在图书送交到采购方指定地点之前所发生的费用及风险全部由成交供应商承担。</w:t>
      </w:r>
    </w:p>
    <w:p w14:paraId="2A024D5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2.8图书选购</w:t>
      </w:r>
    </w:p>
    <w:p w14:paraId="2475FE85">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2.8.1成交供应商负责对比采购人的图书管理系统后台数据库，进行批量查重（包括书名查重和ISBN号查重）。</w:t>
      </w:r>
    </w:p>
    <w:p w14:paraId="302D95AA">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成交供应商应按采购人要求提供可选书目，采购人筛选后形成订单，即书目筛选订单；成交供应商应向采购人提供现采书库的现采或陪同参加全国书展，形成订单，即现采订单；采购人亦有权向成交供应商提供自选图书的订购清单，即自选订单。以上三种类型的订单均应接受采购人的到书率和供货标准考核。</w:t>
      </w:r>
    </w:p>
    <w:p w14:paraId="285F46DC">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2.8.2成交供应商需根据采购人提供的书目订单，高效、准确地按采购人所订图书品种、数量开展图书的征订、加工、配送及等其它服务工作。提供的图书及其加工服务须符合采购人的现行标准。</w:t>
      </w:r>
    </w:p>
    <w:p w14:paraId="63F5CFD0">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2.8.3成交供应商通过互联网商务网站或其他形式及时向采购人免费提供图书发行信息，同时向采购人提供MARC格式的图书采访数据。</w:t>
      </w:r>
    </w:p>
    <w:p w14:paraId="1050F33B">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2.8.4成交供应商收到采购人订单后，应及时以电子邮件、电话或直接上门等方式予以确认，对采购人订单中不能供货的品种，需进行说明，并及时反馈采访数据。</w:t>
      </w:r>
    </w:p>
    <w:p w14:paraId="57355593">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2.8.5不限于成交供应商提供的书目及成交供应商仓库现有图书，成交供应商应为采购人在各书展、书市、网络平台上，按采购人提供的书目，为采购人采购、加工、送货自选图书。</w:t>
      </w:r>
    </w:p>
    <w:p w14:paraId="3BE2096D">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2.9图书加工</w:t>
      </w:r>
    </w:p>
    <w:p w14:paraId="56D6C6AB">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2.9.1成交供应商应按采购人要求自行加工、到采购人现场或委托第三方的方式，免费为采购人选购的图书加盖馆藏章、粘贴条形码、书标、保护膜、可充消防盗磁条，并保证加工质量。如采购人抽检发现不符要求，将要求成交供应商返工并追究相应的经济损失，不合格率达5%以上，采购人有权终止合同。</w:t>
      </w:r>
    </w:p>
    <w:p w14:paraId="41DEE1D4">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2.9.2成交供应商提供图书时，应免费提供该批图书MARC格式的编目数据，数据格式需符合《CALIS联合目录中文图书著录细则》标准，图书分类法以《中国图书馆分类法（第五版）》为准。成交供应商将查重后的可选书目通过电子邮件等形式发送给采购人工作人员。查重后的可选书目不得与本馆馆藏图书重复，如查重后仍提供给与采购人的馆藏重复的图书，采购人有权不支付重复图书的结算费用，且已到馆重复图书不予退回。成交供应商及时提供采访书目供采购人图书馆人员筛选，包括且不限于《社科新书目》、《科技新书目》及各家出版社的出版信息。</w:t>
      </w:r>
    </w:p>
    <w:p w14:paraId="0AD3219C">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2.9.3成交供应商应将采购人历年收到的来自社会各届的捐赠图书，按采购人要求上门取件，加工后，打包好送至采购人指定位置。</w:t>
      </w:r>
    </w:p>
    <w:p w14:paraId="5373528E">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 图书送货与结算</w:t>
      </w:r>
    </w:p>
    <w:p w14:paraId="1B85DC13">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2.10.1 采购人有权拒收成交供应商的错发书、搭售的非订购书及污损、有质量问题的图书。采购人不可拒收订单确认的按期到货的无质量问题的图书。</w:t>
      </w:r>
    </w:p>
    <w:p w14:paraId="6ED9AA61">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2.10.2 采购人提供书目筛选订单、现采订单、自选订单的单批次图书，成交供应商需在30个工作日内完成加工并送货到馆。成交供应商须在采购人指定的日期时间，分期、分批、分类及时将图书送至指定地点，承担装卸及现场搬运，并负责完成拆包和分类工作。成交供应商自行承担送货、装卸费用，各项费用包含在图书结算费用内，采购人不支付此项费用。</w:t>
      </w:r>
    </w:p>
    <w:p w14:paraId="41CAE28C">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2.10.3采购人负责对成交供应商到货率、供货质量、书目数据质量及其服务水平等进行考核评估工作。</w:t>
      </w:r>
    </w:p>
    <w:p w14:paraId="2C891B02">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2.10.4在合同期内，采购人向成交供应商发送订单后，成交供应商应及时处理，成交供应商在原始订单上直接标注不能如期配送的图书（含种数和册数），在收到订单后的3个工作日内反馈至采购人。成交供应商应对订单数据进行整理统计，包括按出版年份、订单数据的中图法各大类图书占比、指定出版社图书的数量及占比等数据进行实时统计。</w:t>
      </w:r>
    </w:p>
    <w:p w14:paraId="3F7CB62D">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2.10.5如采购人无另行指定，送货地点为湖南商务职业技术学院外贸校区(图书馆)三楼321室。成交供应商负责图书在交货地点的保管，图书在到库验收合格前的保管由成交供应商负责。货物在实际交付之前发生毁损与灭失的，风险和责任由成交供应商承担；承运途中的货物毁损与灭失的，风险和责任由成交供应商承担。货物在实际交付后毁损与灭失的风险和责任由采购人承担。</w:t>
      </w:r>
    </w:p>
    <w:p w14:paraId="092220BE">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2.10.6成交供应商提供给采购人的图书须用防水包装纸包好，每包图书均有清晰的送货地址、包号，单包图书内需附详单两份，单批次图书含2份总清单随书送达，保证做到书、单相符；每包内附两份详单需注明包内图书的书名、册数、价格、分类号，合计册数、合计金额。成交供应商发往采购人的图书，须做到书、单相符，码单标注清楚齐全，每页清单上有种、册、码洋、实洋的合计，每批清单有汇总。货物要求包装整齐，每包有图书明细清单、包号、单位名称。前后批次的包单号必须连续编号，包单及各批次清单要包含图书分类号或索书号。各批次的包单等需通过电子邮件等形式向采购人提供相应的电子文件。每包图书按采购人的典藏规则，只包含一个书库的分类藏书。</w:t>
      </w:r>
    </w:p>
    <w:p w14:paraId="5E101A40">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2.10.7采购人如有加急采购图书，单批次数量100册以内，成交供应商需在收到订单后5个工作日内配送到位, 5个工作日到货率内不低于90%，单批次数量500册以内，成交供应商需在10个工作日内配送到位,10个工作日到货率内不低于90%，加急采购的图书，成交供应商可以先暂不加工，但需提供图书运回、加工、及再次送货的服务，成交供应商承担相应的费用。</w:t>
      </w:r>
    </w:p>
    <w:p w14:paraId="3231579F">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2.10.8采购人在收到成交供应商提供的图书后，负责及时根据清单进行验收，全部批次图书验收合格后，凭成交供应商开具的发票，30个工作日内将书款汇往成交供应商账户。如验收过程发现问题，成交供应商需及时配合整改，采购人有权将付款期限依整改期相应延长。</w:t>
      </w:r>
    </w:p>
    <w:p w14:paraId="3EF032C1">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2.10.9全部订单完成送货与验收后，采购人按实际交付到货图书总码洋，以中标折扣与成交供应商进行结算，预留总结算金额3%余款，质保期如无质量问题，采购人在期满后15个工作日内向成交供应商无息退还该项余款。</w:t>
      </w:r>
    </w:p>
    <w:p w14:paraId="04261CC8">
      <w:pPr>
        <w:pStyle w:val="2"/>
        <w:rPr>
          <w:rFonts w:hint="eastAsia" w:ascii="宋体" w:hAnsi="宋体" w:eastAsia="宋体" w:cs="宋体"/>
          <w:sz w:val="21"/>
          <w:szCs w:val="21"/>
        </w:rPr>
      </w:pPr>
    </w:p>
    <w:p w14:paraId="23384BFA">
      <w:pPr>
        <w:pStyle w:val="6"/>
        <w:spacing w:beforeLines="0" w:after="312" w:afterLines="100" w:line="360" w:lineRule="auto"/>
        <w:jc w:val="center"/>
        <w:outlineLvl w:val="1"/>
        <w:rPr>
          <w:rFonts w:hint="eastAsia" w:ascii="宋体" w:hAnsi="宋体" w:eastAsia="宋体" w:cs="宋体"/>
          <w:b/>
          <w:kern w:val="0"/>
          <w:sz w:val="28"/>
          <w:szCs w:val="28"/>
        </w:rPr>
      </w:pPr>
      <w:r>
        <w:rPr>
          <w:rFonts w:hint="eastAsia" w:ascii="宋体" w:hAnsi="宋体" w:eastAsia="宋体" w:cs="宋体"/>
          <w:b/>
          <w:kern w:val="0"/>
          <w:sz w:val="28"/>
          <w:szCs w:val="28"/>
        </w:rPr>
        <w:t>第三节 商务要求</w:t>
      </w:r>
    </w:p>
    <w:p w14:paraId="08555E56">
      <w:pPr>
        <w:adjustRightInd w:val="0"/>
        <w:snapToGrid w:val="0"/>
        <w:spacing w:before="50" w:line="400" w:lineRule="exact"/>
        <w:jc w:val="left"/>
        <w:rPr>
          <w:rFonts w:hint="eastAsia" w:ascii="宋体" w:hAnsi="宋体" w:eastAsia="宋体" w:cs="宋体"/>
          <w:b/>
          <w:sz w:val="21"/>
          <w:szCs w:val="21"/>
        </w:rPr>
      </w:pPr>
      <w:r>
        <w:rPr>
          <w:rFonts w:hint="eastAsia" w:ascii="宋体" w:hAnsi="宋体" w:eastAsia="宋体" w:cs="宋体"/>
          <w:b/>
          <w:sz w:val="21"/>
          <w:szCs w:val="21"/>
        </w:rPr>
        <w:t>一、主要商务要求</w:t>
      </w:r>
    </w:p>
    <w:tbl>
      <w:tblPr>
        <w:tblStyle w:val="4"/>
        <w:tblW w:w="8502"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3209"/>
        <w:gridCol w:w="5293"/>
      </w:tblGrid>
      <w:tr w14:paraId="20D4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wBefore w:w="0" w:type="auto"/>
          <w:wAfter w:w="0" w:type="auto"/>
        </w:trPr>
        <w:tc>
          <w:tcPr>
            <w:tcW w:w="3209"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72B668A8">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履行合同的时间、地点及方式</w:t>
            </w:r>
          </w:p>
        </w:tc>
        <w:tc>
          <w:tcPr>
            <w:tcW w:w="5293"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3E73F750">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交货时间:2026年12月1日前</w:t>
            </w:r>
          </w:p>
          <w:p w14:paraId="0DDEFDF4">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项目现场:湖南商务职业技术学院外贸校区图书馆</w:t>
            </w:r>
          </w:p>
          <w:p w14:paraId="09A2A6AA">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交货方式:见售后服务与要求</w:t>
            </w:r>
          </w:p>
        </w:tc>
      </w:tr>
      <w:tr w14:paraId="0BAD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wBefore w:w="0" w:type="auto"/>
          <w:wAfter w:w="0" w:type="auto"/>
        </w:trPr>
        <w:tc>
          <w:tcPr>
            <w:tcW w:w="3209"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1B0C9A28">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质量保证期</w:t>
            </w:r>
          </w:p>
        </w:tc>
        <w:tc>
          <w:tcPr>
            <w:tcW w:w="5293"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325324A4">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1.成交供应商必须确保所供图书为国家正式图书出版物。</w:t>
            </w:r>
          </w:p>
          <w:p w14:paraId="6A8F8989">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2.图书质量保证期为12个月。在收到书时，采购方验收若发现有非正版图书，污损、图文不清、缺页、倒页、缺附件等质量不合格图书，以及与订单不符的图书，一律予以退货或换货，而由此造成的任何损失及费用全部由成交供应商承担。</w:t>
            </w:r>
          </w:p>
          <w:p w14:paraId="23057358">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3.成交供应商必须确保按采购方提供的订购目录、现采图书及复本数供货，不得擅自夹带图书及增加复本数。</w:t>
            </w:r>
          </w:p>
        </w:tc>
      </w:tr>
      <w:tr w14:paraId="42C3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wBefore w:w="0" w:type="auto"/>
          <w:wAfter w:w="0" w:type="auto"/>
        </w:trPr>
        <w:tc>
          <w:tcPr>
            <w:tcW w:w="3209"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0D61DC5B">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响应时间</w:t>
            </w:r>
          </w:p>
        </w:tc>
        <w:tc>
          <w:tcPr>
            <w:tcW w:w="5293"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5CCFECAC">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接采购人通知后24小时内响应。</w:t>
            </w:r>
          </w:p>
        </w:tc>
      </w:tr>
      <w:tr w14:paraId="4BBF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wBefore w:w="0" w:type="auto"/>
          <w:wAfter w:w="0" w:type="auto"/>
        </w:trPr>
        <w:tc>
          <w:tcPr>
            <w:tcW w:w="3209"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4BF85415">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合同价款支付方式和条件</w:t>
            </w:r>
          </w:p>
        </w:tc>
        <w:tc>
          <w:tcPr>
            <w:tcW w:w="5293" w:type="dxa"/>
            <w:tcBorders>
              <w:top w:val="single" w:color="auto" w:sz="4" w:space="0"/>
              <w:left w:val="single" w:color="auto" w:sz="4" w:space="0"/>
              <w:bottom w:val="single" w:color="auto" w:sz="4" w:space="0"/>
              <w:right w:val="single" w:color="auto" w:sz="4" w:space="0"/>
              <w:tl2br w:val="nil"/>
              <w:tr2bl w:val="nil"/>
            </w:tcBorders>
            <w:noWrap w:val="0"/>
            <w:tcMar>
              <w:top w:w="0" w:type="dxa"/>
              <w:left w:w="108" w:type="dxa"/>
              <w:bottom w:w="0" w:type="dxa"/>
              <w:right w:w="108" w:type="dxa"/>
            </w:tcMar>
            <w:vAlign w:val="center"/>
          </w:tcPr>
          <w:p w14:paraId="56BC2764">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支付方式:国库支付</w:t>
            </w:r>
          </w:p>
          <w:p w14:paraId="0E27D84E">
            <w:pPr>
              <w:adjustRightInd w:val="0"/>
              <w:snapToGrid w:val="0"/>
              <w:spacing w:before="50" w:line="400" w:lineRule="exact"/>
              <w:jc w:val="left"/>
              <w:rPr>
                <w:rFonts w:hint="eastAsia" w:ascii="宋体" w:hAnsi="宋体" w:eastAsia="宋体" w:cs="宋体"/>
                <w:sz w:val="21"/>
                <w:szCs w:val="21"/>
              </w:rPr>
            </w:pPr>
            <w:r>
              <w:rPr>
                <w:rFonts w:hint="eastAsia" w:ascii="宋体" w:hAnsi="宋体" w:eastAsia="宋体" w:cs="宋体"/>
                <w:sz w:val="21"/>
                <w:szCs w:val="21"/>
              </w:rPr>
              <w:t>付款条件:全部采购图书到货并验收合格后，按实际的供货量及码洋结算成实洋。实洋=码洋*折扣。采购方不预付书款，全部图书验收无误后由成交供应商开具正式发票（符合国家财税法律规章制度的售书发票），以银行对公转账方式结算。</w:t>
            </w:r>
          </w:p>
        </w:tc>
      </w:tr>
    </w:tbl>
    <w:p w14:paraId="78AD2E98">
      <w:pPr>
        <w:adjustRightInd w:val="0"/>
        <w:snapToGrid w:val="0"/>
        <w:spacing w:before="50" w:line="400" w:lineRule="exact"/>
        <w:jc w:val="left"/>
        <w:rPr>
          <w:rFonts w:hint="eastAsia" w:ascii="宋体" w:hAnsi="宋体" w:eastAsia="宋体" w:cs="宋体"/>
          <w:b/>
          <w:sz w:val="21"/>
          <w:szCs w:val="21"/>
        </w:rPr>
      </w:pPr>
      <w:r>
        <w:rPr>
          <w:rFonts w:hint="eastAsia" w:ascii="宋体" w:hAnsi="宋体" w:eastAsia="宋体" w:cs="宋体"/>
          <w:b/>
          <w:sz w:val="21"/>
          <w:szCs w:val="21"/>
        </w:rPr>
        <w:t>二、售后服务要求</w:t>
      </w:r>
    </w:p>
    <w:p w14:paraId="6DD6651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（一）到书率与交付时效</w:t>
      </w:r>
    </w:p>
    <w:p w14:paraId="46B6351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1.成交供应商应切实保证到书率，到书率低于85%，采购方有权解除采购合同。</w:t>
      </w:r>
    </w:p>
    <w:p w14:paraId="738A798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成交供应商收到单个图书采购订单，应在30个工作日内完成加工并送货到馆。如单个订单在30个工作日到书率低于85%，采购人有权要求终止合同并按实际已到书情况结算，且成交供应商需向采购人支付违约金人民币伍万元整。</w:t>
      </w:r>
    </w:p>
    <w:p w14:paraId="4854C21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现采订单及书目订单总到书率不得低于90%，若低于90%，每低一个百分点（不满一个百分点则按一个百分点计算），从最终结算款中处违约金人民币500元。除因单批次到书率低于85%，采购人要求终止合同外，到书率以最终到书情况进行计算，即最终实际到书数除以总订购数的百分比。</w:t>
      </w:r>
    </w:p>
    <w:p w14:paraId="786EF266">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2.成交供应商逾期交付的，单批次图书每逾期一天，应向采购人支付该批次图书合同款1‰违约金。</w:t>
      </w:r>
    </w:p>
    <w:p w14:paraId="21CF5FDE">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3.在验收过程中若发现成交供应商所提供图书出现差错或有质量问题，成交供应商负责无条件退换。因成交供应商提供采访数据问题造成的重订或不符合采购人图书馆要求的图书，成交供应商须无条件接受采购人退货。采购人如发现成交供应商提供的图书有非正版图书或其它非法出版物，除退货外，将有权取消成交供应商的供应商资格，按实际到货情况结清货款及结束供货合同。采购人有权再次另行开展图书采购。成交供应商需向采购人赔偿违约金人民币贰万元整，采购人并保留追究相应经济与法律责任的权利。因此引起的仲裁或者诉讼，在采购人所在地法院解决。</w:t>
      </w:r>
    </w:p>
    <w:p w14:paraId="18A0B8F3">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合同期间，成交供应商应每星期对订单数据进行整理、统计并向采购人提供相应数据表格，包括按订单中图书不同出版年份占比、订单的中图法各大类图书占比、指定出版社图书的数量及占比等数据进行实时统计。成交供应商订单数据存在统计错误或延期超五个工作日，则应向采购人支付违约金500元/次。</w:t>
      </w:r>
    </w:p>
    <w:p w14:paraId="6CAF35EE">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5.如有质量问题及其它纠纷，双方依据实质情况进行协商，协商无果，成交供应商同意应双方在采购人所在地法院提起诉讼。</w:t>
      </w:r>
    </w:p>
    <w:p w14:paraId="7114A600">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（二）图书加工备件</w:t>
      </w:r>
    </w:p>
    <w:p w14:paraId="29771439">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成交供应商在合同期内向采购人提供与采购人图书馆规格相同的空白书标500个、条码500个、可充消复合磁条600根以及全新藏书章2枚，用于后期图书加工或损坏图书的修补，此项费用由成交供应商承担，包含在图书结算费用内，采购人不支付此项费用。</w:t>
      </w:r>
    </w:p>
    <w:p w14:paraId="6AD7D99F">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（三）图书现采及书展现采要求</w:t>
      </w:r>
      <w:bookmarkStart w:id="2" w:name="_GoBack"/>
      <w:bookmarkEnd w:id="2"/>
    </w:p>
    <w:p w14:paraId="04C83524">
      <w:pPr>
        <w:adjustRightInd w:val="0"/>
        <w:snapToGrid w:val="0"/>
        <w:spacing w:before="50" w:line="400" w:lineRule="exact"/>
        <w:ind w:firstLine="420" w:firstLineChars="200"/>
        <w:jc w:val="left"/>
        <w:rPr>
          <w:rFonts w:hint="eastAsia" w:ascii="宋体" w:hAnsi="宋体" w:eastAsia="宋体" w:cs="宋体"/>
          <w:sz w:val="21"/>
          <w:szCs w:val="21"/>
        </w:rPr>
      </w:pPr>
      <w:r>
        <w:rPr>
          <w:rFonts w:hint="eastAsia" w:ascii="宋体" w:hAnsi="宋体" w:eastAsia="宋体" w:cs="宋体"/>
          <w:sz w:val="21"/>
          <w:szCs w:val="21"/>
        </w:rPr>
        <w:t>合同期间，成交供应商需配合采购人的采书需求，安排人员承接采购人开展一次图书现采，接待购单位不超过五名工作人员到成交供应商图书现采书库，进行一次为期三天左右的图书现采。合同期间，成交供应商组织需陪同采购人不超过五名工作人员参加一次全国书市现采。现采方式及时间由采购人根据实际情况选择确定。现采组织由成交供应商派员负责。</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DF395">
    <w:pPr>
      <w:pStyle w:val="3"/>
      <w:jc w:val="center"/>
      <w:rPr>
        <w:rFonts w:hint="eastAsia" w:ascii="楷体" w:hAnsi="楷体" w:eastAsia="楷体"/>
        <w:sz w:val="18"/>
        <w:szCs w:val="24"/>
      </w:rPr>
    </w:pPr>
    <w:r>
      <w:rPr>
        <w:rFonts w:hint="eastAsia" w:ascii="楷体" w:hAnsi="楷体" w:eastAsia="楷体"/>
        <w:sz w:val="18"/>
        <w:szCs w:val="24"/>
      </w:rPr>
      <w:fldChar w:fldCharType="begin"/>
    </w:r>
    <w:r>
      <w:rPr>
        <w:rFonts w:hint="eastAsia" w:ascii="楷体" w:hAnsi="楷体" w:eastAsia="楷体"/>
        <w:sz w:val="18"/>
        <w:szCs w:val="24"/>
      </w:rPr>
      <w:instrText xml:space="preserve">PAGE   \* MERGEFORMAT</w:instrText>
    </w:r>
    <w:r>
      <w:rPr>
        <w:rFonts w:hint="eastAsia" w:ascii="楷体" w:hAnsi="楷体" w:eastAsia="楷体"/>
        <w:sz w:val="18"/>
        <w:szCs w:val="24"/>
      </w:rPr>
      <w:fldChar w:fldCharType="separate"/>
    </w:r>
    <w:r>
      <w:rPr>
        <w:rFonts w:hint="eastAsia" w:ascii="楷体" w:hAnsi="楷体" w:eastAsia="楷体"/>
        <w:sz w:val="18"/>
        <w:szCs w:val="24"/>
        <w:lang/>
      </w:rPr>
      <w:t>28</w:t>
    </w:r>
    <w:r>
      <w:rPr>
        <w:rFonts w:hint="eastAsia" w:ascii="楷体" w:hAnsi="楷体" w:eastAsia="楷体"/>
        <w:sz w:val="18"/>
        <w:szCs w:val="24"/>
        <w:lang/>
      </w:rPr>
      <w:fldChar w:fldCharType="end"/>
    </w:r>
    <w:r>
      <w:rPr>
        <w:rFonts w:hint="eastAsia" w:ascii="楷体" w:hAnsi="楷体" w:eastAsia="楷体"/>
        <w:sz w:val="18"/>
        <w:szCs w:val="24"/>
      </w:rPr>
      <w:t xml:space="preserve"> </w:t>
    </w:r>
  </w:p>
  <w:p w14:paraId="603AC1C8">
    <w:pPr>
      <w:pStyle w:val="3"/>
      <w:ind w:left="960"/>
      <w:jc w:val="center"/>
      <w:rPr>
        <w:rFonts w:hint="default"/>
        <w:sz w:val="18"/>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5B86599"/>
    <w:rsid w:val="43B17BF4"/>
    <w:rsid w:val="6503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lock Text"/>
    <w:basedOn w:val="1"/>
    <w:unhideWhenUsed/>
    <w:qFormat/>
    <w:uiPriority w:val="99"/>
    <w:pPr>
      <w:spacing w:beforeLines="0" w:afterLines="0"/>
      <w:ind w:left="1171" w:right="91" w:hanging="1080"/>
    </w:pPr>
    <w:rPr>
      <w:rFonts w:hint="default" w:ascii="Times New Roman" w:hAnsi="Times New Roman" w:eastAsia="楷体_GB2312"/>
      <w:sz w:val="21"/>
      <w:szCs w:val="24"/>
    </w:rPr>
  </w:style>
  <w:style w:type="paragraph" w:styleId="3">
    <w:name w:val="footer"/>
    <w:basedOn w:val="1"/>
    <w:unhideWhenUsed/>
    <w:qFormat/>
    <w:uiPriority w:val="99"/>
    <w:pPr>
      <w:tabs>
        <w:tab w:val="center" w:pos="4153"/>
        <w:tab w:val="right" w:pos="8306"/>
      </w:tabs>
      <w:snapToGrid w:val="0"/>
      <w:spacing w:beforeLines="0" w:afterLines="0"/>
      <w:jc w:val="left"/>
    </w:pPr>
    <w:rPr>
      <w:rFonts w:hint="default"/>
      <w:kern w:val="0"/>
      <w:sz w:val="18"/>
      <w:szCs w:val="24"/>
    </w:rPr>
  </w:style>
  <w:style w:type="paragraph" w:customStyle="1" w:styleId="6">
    <w:name w:val="正文_0"/>
    <w:unhideWhenUsed/>
    <w:qFormat/>
    <w:uiPriority w:val="99"/>
    <w:pPr>
      <w:widowControl w:val="0"/>
      <w:spacing w:beforeLines="0" w:afterLines="0"/>
      <w:jc w:val="both"/>
    </w:pPr>
    <w:rPr>
      <w:rFonts w:hint="default"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1739</Words>
  <Characters>1770</Characters>
  <Lines>0</Lines>
  <Paragraphs>0</Paragraphs>
  <TotalTime>0</TotalTime>
  <ScaleCrop>false</ScaleCrop>
  <LinksUpToDate>false</LinksUpToDate>
  <CharactersWithSpaces>1773</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2026-09-18T08:28:00Z</dcterms:created>
  <dc:creator>代理</dc:creator>
  <cp:lastModifiedBy>代理</cp:lastModifiedBy>
  <dcterms:modified xsi:type="dcterms:W3CDTF">2026-10-21T07:34:49Z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4AA6F1B702E947278079BF7D97E456EF_11</vt:lpwstr>
  </property>
  <property fmtid="{D5CDD505-2E9C-101B-9397-08002B2CF9AE}" pid="4" name="KSOTemplateDocerSaveRecord">
    <vt:lpwstr>eyJoZGlkIjoiMjczZTM4YTUxYzliNzY4YzliYThlN2M5ZjhhNzM0NmYiLCJ1c2VySWQiOiIzMTE0NTU4MjAifQ==</vt:lpwstr>
  </property>
</Properties>
</file>