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DEC24">
      <w:pPr>
        <w:pStyle w:val="19"/>
        <w:adjustRightInd w:val="0"/>
        <w:snapToGrid w:val="0"/>
        <w:spacing w:line="360" w:lineRule="auto"/>
        <w:jc w:val="center"/>
        <w:rPr>
          <w:rFonts w:hAnsi="宋体"/>
          <w:color w:val="auto"/>
          <w:sz w:val="76"/>
          <w:szCs w:val="84"/>
          <w:highlight w:val="none"/>
        </w:rPr>
      </w:pPr>
    </w:p>
    <w:p w14:paraId="6F7BEDEC">
      <w:pPr>
        <w:pStyle w:val="19"/>
        <w:tabs>
          <w:tab w:val="center" w:pos="4819"/>
          <w:tab w:val="left" w:pos="6866"/>
        </w:tabs>
        <w:adjustRightInd w:val="0"/>
        <w:snapToGrid w:val="0"/>
        <w:spacing w:line="360" w:lineRule="auto"/>
        <w:jc w:val="center"/>
        <w:rPr>
          <w:rFonts w:hAnsi="宋体"/>
          <w:color w:val="auto"/>
          <w:sz w:val="76"/>
          <w:szCs w:val="84"/>
          <w:highlight w:val="none"/>
        </w:rPr>
      </w:pPr>
      <w:r>
        <w:rPr>
          <w:rFonts w:hint="eastAsia" w:hAnsi="宋体"/>
          <w:color w:val="auto"/>
          <w:sz w:val="76"/>
          <w:szCs w:val="84"/>
          <w:highlight w:val="none"/>
        </w:rPr>
        <w:t>政府采购</w:t>
      </w:r>
    </w:p>
    <w:p w14:paraId="58E11069">
      <w:pPr>
        <w:pStyle w:val="19"/>
        <w:adjustRightInd w:val="0"/>
        <w:snapToGrid w:val="0"/>
        <w:spacing w:line="360" w:lineRule="auto"/>
        <w:jc w:val="center"/>
        <w:rPr>
          <w:rFonts w:hAnsi="宋体"/>
          <w:color w:val="auto"/>
          <w:sz w:val="76"/>
          <w:szCs w:val="84"/>
          <w:highlight w:val="none"/>
        </w:rPr>
      </w:pPr>
      <w:r>
        <w:rPr>
          <w:rFonts w:hint="eastAsia" w:hAnsi="宋体"/>
          <w:color w:val="auto"/>
          <w:sz w:val="76"/>
          <w:szCs w:val="84"/>
          <w:highlight w:val="none"/>
        </w:rPr>
        <w:t>竞争性磋商文件</w:t>
      </w:r>
    </w:p>
    <w:p w14:paraId="6CC823A8">
      <w:pPr>
        <w:pStyle w:val="19"/>
        <w:adjustRightInd w:val="0"/>
        <w:snapToGrid w:val="0"/>
        <w:spacing w:line="480" w:lineRule="auto"/>
        <w:rPr>
          <w:rFonts w:hAnsi="宋体"/>
          <w:color w:val="auto"/>
          <w:sz w:val="32"/>
          <w:szCs w:val="32"/>
          <w:highlight w:val="none"/>
        </w:rPr>
      </w:pPr>
    </w:p>
    <w:p w14:paraId="58887BCC">
      <w:pPr>
        <w:pStyle w:val="19"/>
        <w:adjustRightInd w:val="0"/>
        <w:snapToGrid w:val="0"/>
        <w:spacing w:line="480" w:lineRule="auto"/>
        <w:rPr>
          <w:rFonts w:hint="eastAsia" w:hAnsi="宋体"/>
          <w:color w:val="auto"/>
          <w:sz w:val="32"/>
          <w:szCs w:val="32"/>
          <w:highlight w:val="none"/>
          <w:u w:val="single"/>
          <w:lang w:eastAsia="zh-CN"/>
        </w:rPr>
      </w:pPr>
      <w:r>
        <w:rPr>
          <w:rFonts w:hint="eastAsia" w:hAnsi="宋体"/>
          <w:color w:val="auto"/>
          <w:sz w:val="32"/>
          <w:szCs w:val="32"/>
          <w:highlight w:val="none"/>
        </w:rPr>
        <w:t>采购项目名称</w:t>
      </w:r>
      <w:r>
        <w:rPr>
          <w:rFonts w:hint="eastAsia" w:hAnsi="宋体"/>
          <w:color w:val="auto"/>
          <w:sz w:val="32"/>
          <w:szCs w:val="32"/>
          <w:highlight w:val="none"/>
          <w:lang w:val="en-US" w:eastAsia="zh-CN"/>
        </w:rPr>
        <w:t>:</w:t>
      </w:r>
      <w:r>
        <w:rPr>
          <w:rFonts w:hint="eastAsia" w:hAnsi="宋体"/>
          <w:color w:val="auto"/>
          <w:sz w:val="32"/>
          <w:szCs w:val="32"/>
          <w:highlight w:val="none"/>
          <w:u w:val="single"/>
          <w:lang w:eastAsia="zh-CN"/>
        </w:rPr>
        <w:t>湖南省公安厅交管总队警务技能训练用房及</w:t>
      </w:r>
    </w:p>
    <w:p w14:paraId="2E55293D">
      <w:pPr>
        <w:pStyle w:val="19"/>
        <w:adjustRightInd w:val="0"/>
        <w:snapToGrid w:val="0"/>
        <w:spacing w:line="480" w:lineRule="auto"/>
        <w:ind w:firstLine="2240" w:firstLineChars="700"/>
        <w:rPr>
          <w:rFonts w:hint="eastAsia"/>
          <w:color w:val="auto"/>
          <w:highlight w:val="none"/>
          <w:lang w:eastAsia="zh-CN"/>
        </w:rPr>
      </w:pPr>
      <w:r>
        <w:rPr>
          <w:rFonts w:hint="eastAsia" w:hAnsi="宋体"/>
          <w:color w:val="auto"/>
          <w:sz w:val="32"/>
          <w:szCs w:val="32"/>
          <w:highlight w:val="none"/>
          <w:u w:val="single"/>
          <w:lang w:eastAsia="zh-CN"/>
        </w:rPr>
        <w:t>备勤休息用房维修改造项目</w:t>
      </w:r>
    </w:p>
    <w:p w14:paraId="5EFA10CC">
      <w:pPr>
        <w:pStyle w:val="19"/>
        <w:adjustRightInd w:val="0"/>
        <w:snapToGrid w:val="0"/>
        <w:spacing w:line="480" w:lineRule="auto"/>
        <w:rPr>
          <w:rFonts w:hint="eastAsia" w:hAnsi="宋体" w:eastAsia="宋体"/>
          <w:color w:val="auto"/>
          <w:sz w:val="32"/>
          <w:szCs w:val="32"/>
          <w:highlight w:val="none"/>
          <w:u w:val="single"/>
          <w:lang w:eastAsia="zh-CN"/>
        </w:rPr>
      </w:pPr>
      <w:r>
        <w:rPr>
          <w:rFonts w:hint="eastAsia" w:hAnsi="宋体"/>
          <w:color w:val="auto"/>
          <w:sz w:val="32"/>
          <w:szCs w:val="32"/>
          <w:highlight w:val="none"/>
        </w:rPr>
        <w:t>采   购   人</w:t>
      </w:r>
      <w:r>
        <w:rPr>
          <w:rFonts w:hint="eastAsia" w:hAnsi="宋体"/>
          <w:color w:val="auto"/>
          <w:sz w:val="32"/>
          <w:szCs w:val="32"/>
          <w:highlight w:val="none"/>
          <w:lang w:val="en-US" w:eastAsia="zh-CN"/>
        </w:rPr>
        <w:t>:</w:t>
      </w:r>
      <w:r>
        <w:rPr>
          <w:rFonts w:hint="eastAsia" w:hAnsi="宋体"/>
          <w:color w:val="auto"/>
          <w:sz w:val="32"/>
          <w:szCs w:val="32"/>
          <w:highlight w:val="none"/>
          <w:u w:val="single"/>
          <w:lang w:eastAsia="zh-CN"/>
        </w:rPr>
        <w:t>湖南省公安厅交通管理总队</w:t>
      </w:r>
    </w:p>
    <w:p w14:paraId="67237CF4">
      <w:pPr>
        <w:pStyle w:val="19"/>
        <w:adjustRightInd w:val="0"/>
        <w:snapToGrid w:val="0"/>
        <w:spacing w:line="480" w:lineRule="auto"/>
        <w:rPr>
          <w:rFonts w:hint="eastAsia" w:hAnsi="宋体" w:eastAsia="宋体"/>
          <w:color w:val="auto"/>
          <w:sz w:val="32"/>
          <w:szCs w:val="32"/>
          <w:highlight w:val="none"/>
          <w:u w:val="single"/>
          <w:lang w:eastAsia="zh-CN"/>
        </w:rPr>
      </w:pPr>
      <w:r>
        <w:rPr>
          <w:rFonts w:hint="eastAsia" w:hAnsi="宋体"/>
          <w:color w:val="auto"/>
          <w:sz w:val="32"/>
          <w:szCs w:val="32"/>
          <w:highlight w:val="none"/>
        </w:rPr>
        <w:t>政府采购编号</w:t>
      </w:r>
      <w:r>
        <w:rPr>
          <w:rFonts w:hint="eastAsia" w:hAnsi="宋体"/>
          <w:color w:val="auto"/>
          <w:sz w:val="32"/>
          <w:szCs w:val="32"/>
          <w:highlight w:val="none"/>
          <w:lang w:val="en-US" w:eastAsia="zh-CN"/>
        </w:rPr>
        <w:t>:</w:t>
      </w:r>
      <w:r>
        <w:rPr>
          <w:rFonts w:hint="eastAsia" w:hAnsi="宋体"/>
          <w:color w:val="auto"/>
          <w:sz w:val="32"/>
          <w:szCs w:val="32"/>
          <w:highlight w:val="none"/>
          <w:u w:val="single"/>
          <w:lang w:eastAsia="zh-CN"/>
        </w:rPr>
        <w:t>CGXM2026430000000246</w:t>
      </w:r>
    </w:p>
    <w:p w14:paraId="12F26543">
      <w:pPr>
        <w:pStyle w:val="19"/>
        <w:adjustRightInd w:val="0"/>
        <w:snapToGrid w:val="0"/>
        <w:spacing w:line="480" w:lineRule="auto"/>
        <w:rPr>
          <w:rFonts w:hint="eastAsia" w:hAnsi="宋体" w:eastAsia="宋体"/>
          <w:color w:val="auto"/>
          <w:sz w:val="32"/>
          <w:szCs w:val="32"/>
          <w:highlight w:val="none"/>
          <w:lang w:eastAsia="zh-CN"/>
        </w:rPr>
      </w:pPr>
      <w:r>
        <w:rPr>
          <w:rFonts w:hint="eastAsia" w:hAnsi="宋体"/>
          <w:color w:val="auto"/>
          <w:sz w:val="32"/>
          <w:szCs w:val="32"/>
          <w:highlight w:val="none"/>
        </w:rPr>
        <w:t>委托代理编号:</w:t>
      </w:r>
      <w:r>
        <w:rPr>
          <w:rFonts w:hint="eastAsia" w:hAnsi="宋体"/>
          <w:color w:val="auto"/>
          <w:sz w:val="32"/>
          <w:szCs w:val="32"/>
          <w:highlight w:val="none"/>
          <w:u w:val="single"/>
          <w:lang w:eastAsia="zh-CN"/>
        </w:rPr>
        <w:t>HNHX-20260611</w:t>
      </w:r>
    </w:p>
    <w:p w14:paraId="409033E5">
      <w:pPr>
        <w:pStyle w:val="19"/>
        <w:adjustRightInd w:val="0"/>
        <w:snapToGrid w:val="0"/>
        <w:spacing w:line="480" w:lineRule="auto"/>
        <w:rPr>
          <w:rFonts w:hint="eastAsia" w:hAnsi="宋体" w:eastAsia="宋体"/>
          <w:color w:val="auto"/>
          <w:sz w:val="32"/>
          <w:szCs w:val="32"/>
          <w:highlight w:val="none"/>
          <w:lang w:eastAsia="zh-CN"/>
        </w:rPr>
      </w:pPr>
      <w:r>
        <w:rPr>
          <w:rFonts w:hint="eastAsia" w:hAnsi="宋体"/>
          <w:color w:val="auto"/>
          <w:sz w:val="32"/>
          <w:szCs w:val="32"/>
          <w:highlight w:val="none"/>
        </w:rPr>
        <w:t>采购代理机构:</w:t>
      </w:r>
      <w:r>
        <w:rPr>
          <w:rFonts w:hint="eastAsia" w:hAnsi="宋体"/>
          <w:color w:val="auto"/>
          <w:sz w:val="32"/>
          <w:szCs w:val="32"/>
          <w:highlight w:val="none"/>
          <w:u w:val="single"/>
          <w:lang w:eastAsia="zh-CN"/>
        </w:rPr>
        <w:t>湖南省华新招标咨询有限公司</w:t>
      </w:r>
    </w:p>
    <w:p w14:paraId="4F2D56BD">
      <w:pPr>
        <w:pStyle w:val="19"/>
        <w:adjustRightInd w:val="0"/>
        <w:snapToGrid w:val="0"/>
        <w:spacing w:before="156" w:beforeLines="50" w:line="360" w:lineRule="auto"/>
        <w:rPr>
          <w:rFonts w:hAnsi="宋体"/>
          <w:b/>
          <w:color w:val="auto"/>
          <w:sz w:val="32"/>
          <w:szCs w:val="32"/>
          <w:highlight w:val="none"/>
        </w:rPr>
      </w:pPr>
    </w:p>
    <w:p w14:paraId="0BF09ED4">
      <w:pPr>
        <w:pStyle w:val="19"/>
        <w:adjustRightInd w:val="0"/>
        <w:snapToGrid w:val="0"/>
        <w:spacing w:line="360" w:lineRule="auto"/>
        <w:rPr>
          <w:rFonts w:hAnsi="宋体"/>
          <w:b/>
          <w:color w:val="auto"/>
          <w:sz w:val="32"/>
          <w:highlight w:val="none"/>
        </w:rPr>
      </w:pPr>
    </w:p>
    <w:p w14:paraId="5302C7B8">
      <w:pPr>
        <w:pStyle w:val="19"/>
        <w:adjustRightInd w:val="0"/>
        <w:snapToGrid w:val="0"/>
        <w:spacing w:line="360" w:lineRule="auto"/>
        <w:rPr>
          <w:rFonts w:hAnsi="宋体"/>
          <w:b/>
          <w:color w:val="auto"/>
          <w:sz w:val="32"/>
          <w:highlight w:val="none"/>
        </w:rPr>
      </w:pPr>
    </w:p>
    <w:p w14:paraId="79171816">
      <w:pPr>
        <w:pStyle w:val="19"/>
        <w:adjustRightInd w:val="0"/>
        <w:snapToGrid w:val="0"/>
        <w:spacing w:line="360" w:lineRule="auto"/>
        <w:rPr>
          <w:rFonts w:hAnsi="宋体"/>
          <w:b/>
          <w:color w:val="auto"/>
          <w:sz w:val="32"/>
          <w:highlight w:val="none"/>
        </w:rPr>
      </w:pPr>
    </w:p>
    <w:p w14:paraId="3AEDAEBE">
      <w:pPr>
        <w:pStyle w:val="19"/>
        <w:adjustRightInd w:val="0"/>
        <w:snapToGrid w:val="0"/>
        <w:spacing w:line="360" w:lineRule="auto"/>
        <w:jc w:val="center"/>
        <w:rPr>
          <w:rFonts w:hAnsi="宋体"/>
          <w:bCs/>
          <w:color w:val="auto"/>
          <w:sz w:val="32"/>
          <w:highlight w:val="none"/>
        </w:rPr>
      </w:pPr>
      <w:r>
        <w:rPr>
          <w:rFonts w:hint="eastAsia" w:hAnsi="宋体"/>
          <w:bCs/>
          <w:color w:val="auto"/>
          <w:sz w:val="32"/>
          <w:highlight w:val="none"/>
        </w:rPr>
        <w:t>二〇二</w:t>
      </w:r>
      <w:r>
        <w:rPr>
          <w:rFonts w:hint="eastAsia" w:hAnsi="宋体"/>
          <w:bCs/>
          <w:color w:val="auto"/>
          <w:sz w:val="32"/>
          <w:highlight w:val="none"/>
          <w:lang w:val="en-US" w:eastAsia="zh-CN"/>
        </w:rPr>
        <w:t>六</w:t>
      </w:r>
      <w:r>
        <w:rPr>
          <w:rFonts w:hint="eastAsia" w:hAnsi="宋体"/>
          <w:bCs/>
          <w:color w:val="auto"/>
          <w:sz w:val="32"/>
          <w:highlight w:val="none"/>
        </w:rPr>
        <w:t>年</w:t>
      </w:r>
      <w:r>
        <w:rPr>
          <w:rFonts w:hint="eastAsia" w:hAnsi="宋体"/>
          <w:bCs/>
          <w:color w:val="auto"/>
          <w:sz w:val="32"/>
          <w:highlight w:val="none"/>
          <w:lang w:val="en-US" w:eastAsia="zh-CN"/>
        </w:rPr>
        <w:t>七</w:t>
      </w:r>
      <w:r>
        <w:rPr>
          <w:rFonts w:hint="eastAsia" w:hAnsi="宋体"/>
          <w:bCs/>
          <w:color w:val="auto"/>
          <w:sz w:val="32"/>
          <w:highlight w:val="none"/>
        </w:rPr>
        <w:t>月</w:t>
      </w:r>
    </w:p>
    <w:p w14:paraId="5839DE13">
      <w:pPr>
        <w:pStyle w:val="19"/>
        <w:adjustRightInd w:val="0"/>
        <w:snapToGrid w:val="0"/>
        <w:spacing w:line="360" w:lineRule="auto"/>
        <w:jc w:val="center"/>
        <w:rPr>
          <w:rFonts w:ascii="方正小标宋_GBK" w:hAnsi="宋体" w:eastAsia="方正小标宋_GBK"/>
          <w:color w:val="auto"/>
          <w:spacing w:val="160"/>
          <w:sz w:val="36"/>
          <w:szCs w:val="36"/>
          <w:highlight w:val="none"/>
        </w:rPr>
        <w:sectPr>
          <w:headerReference r:id="rId3" w:type="default"/>
          <w:footerReference r:id="rId4" w:type="default"/>
          <w:footerReference r:id="rId5" w:type="even"/>
          <w:pgSz w:w="11906" w:h="16838"/>
          <w:pgMar w:top="1701" w:right="1701" w:bottom="1701" w:left="1803" w:header="851" w:footer="992" w:gutter="0"/>
          <w:pgBorders>
            <w:top w:val="none" w:sz="0" w:space="0"/>
            <w:left w:val="none" w:sz="0" w:space="0"/>
            <w:bottom w:val="none" w:sz="0" w:space="0"/>
            <w:right w:val="none" w:sz="0" w:space="0"/>
          </w:pgBorders>
          <w:cols w:space="0" w:num="1"/>
          <w:docGrid w:type="lines" w:linePitch="312" w:charSpace="0"/>
        </w:sectPr>
      </w:pPr>
    </w:p>
    <w:p w14:paraId="6E73020A">
      <w:pPr>
        <w:pStyle w:val="19"/>
        <w:adjustRightInd w:val="0"/>
        <w:snapToGrid w:val="0"/>
        <w:spacing w:line="360" w:lineRule="auto"/>
        <w:jc w:val="center"/>
        <w:rPr>
          <w:rFonts w:hAnsi="宋体" w:cs="宋体"/>
          <w:b/>
          <w:bCs/>
          <w:color w:val="auto"/>
          <w:spacing w:val="160"/>
          <w:sz w:val="32"/>
          <w:szCs w:val="32"/>
          <w:highlight w:val="none"/>
        </w:rPr>
      </w:pPr>
      <w:r>
        <w:rPr>
          <w:rFonts w:hint="eastAsia" w:hAnsi="宋体" w:cs="宋体"/>
          <w:b/>
          <w:bCs/>
          <w:color w:val="auto"/>
          <w:spacing w:val="160"/>
          <w:sz w:val="32"/>
          <w:szCs w:val="32"/>
          <w:highlight w:val="none"/>
        </w:rPr>
        <w:t>目录</w:t>
      </w:r>
    </w:p>
    <w:p w14:paraId="1188914E">
      <w:pPr>
        <w:pStyle w:val="19"/>
        <w:adjustRightInd w:val="0"/>
        <w:snapToGrid w:val="0"/>
        <w:spacing w:line="360" w:lineRule="auto"/>
        <w:rPr>
          <w:rFonts w:hAnsi="宋体"/>
          <w:b/>
          <w:color w:val="auto"/>
          <w:sz w:val="24"/>
          <w:szCs w:val="24"/>
          <w:highlight w:val="none"/>
        </w:rPr>
      </w:pPr>
    </w:p>
    <w:p w14:paraId="2C316C56">
      <w:pPr>
        <w:pStyle w:val="19"/>
        <w:adjustRightInd w:val="0"/>
        <w:snapToGrid w:val="0"/>
        <w:spacing w:line="480" w:lineRule="auto"/>
        <w:rPr>
          <w:rFonts w:hAnsi="宋体"/>
          <w:b/>
          <w:color w:val="auto"/>
          <w:highlight w:val="none"/>
        </w:rPr>
      </w:pPr>
      <w:r>
        <w:rPr>
          <w:rFonts w:hint="eastAsia" w:hAnsi="宋体"/>
          <w:b/>
          <w:color w:val="auto"/>
          <w:highlight w:val="none"/>
        </w:rPr>
        <w:t>第一章磋商邀请</w:t>
      </w:r>
    </w:p>
    <w:p w14:paraId="5B66DF93">
      <w:pPr>
        <w:pStyle w:val="19"/>
        <w:adjustRightInd w:val="0"/>
        <w:snapToGrid w:val="0"/>
        <w:spacing w:line="480" w:lineRule="auto"/>
        <w:rPr>
          <w:rFonts w:hAnsi="宋体"/>
          <w:b/>
          <w:color w:val="auto"/>
          <w:highlight w:val="none"/>
        </w:rPr>
      </w:pPr>
      <w:r>
        <w:rPr>
          <w:rFonts w:hint="eastAsia" w:hAnsi="宋体"/>
          <w:b/>
          <w:color w:val="auto"/>
          <w:highlight w:val="none"/>
        </w:rPr>
        <w:t>第二章磋商须知</w:t>
      </w:r>
    </w:p>
    <w:p w14:paraId="408102B8">
      <w:pPr>
        <w:tabs>
          <w:tab w:val="left" w:pos="1440"/>
        </w:tabs>
        <w:adjustRightInd w:val="0"/>
        <w:snapToGrid w:val="0"/>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磋商须知前附表</w:t>
      </w:r>
    </w:p>
    <w:p w14:paraId="5ED1CAE1">
      <w:pPr>
        <w:tabs>
          <w:tab w:val="left" w:pos="1440"/>
        </w:tabs>
        <w:adjustRightInd w:val="0"/>
        <w:snapToGrid w:val="0"/>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磋商须知正文</w:t>
      </w:r>
    </w:p>
    <w:p w14:paraId="022CED2D">
      <w:pPr>
        <w:tabs>
          <w:tab w:val="left" w:pos="1440"/>
        </w:tabs>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一、说明</w:t>
      </w:r>
    </w:p>
    <w:p w14:paraId="7F415D9E">
      <w:pPr>
        <w:tabs>
          <w:tab w:val="left" w:pos="1440"/>
        </w:tabs>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磋商</w:t>
      </w:r>
      <w:r>
        <w:rPr>
          <w:rFonts w:hint="eastAsia" w:ascii="宋体" w:hAnsi="宋体"/>
          <w:color w:val="auto"/>
          <w:szCs w:val="21"/>
          <w:highlight w:val="none"/>
        </w:rPr>
        <w:t>文件</w:t>
      </w:r>
    </w:p>
    <w:p w14:paraId="2976D3FF">
      <w:pPr>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三、响应文件</w:t>
      </w:r>
    </w:p>
    <w:p w14:paraId="1010BAED">
      <w:pPr>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四、响应文件的递交</w:t>
      </w:r>
    </w:p>
    <w:p w14:paraId="0E911314">
      <w:pPr>
        <w:adjustRightInd w:val="0"/>
        <w:snapToGrid w:val="0"/>
        <w:spacing w:line="480" w:lineRule="auto"/>
        <w:ind w:firstLine="630" w:firstLineChars="300"/>
        <w:rPr>
          <w:rFonts w:ascii="宋体" w:hAnsi="宋体"/>
          <w:bCs/>
          <w:color w:val="auto"/>
          <w:szCs w:val="21"/>
          <w:highlight w:val="none"/>
        </w:rPr>
      </w:pPr>
      <w:r>
        <w:rPr>
          <w:rFonts w:hint="eastAsia" w:ascii="宋体" w:hAnsi="宋体"/>
          <w:bCs/>
          <w:color w:val="auto"/>
          <w:szCs w:val="21"/>
          <w:highlight w:val="none"/>
        </w:rPr>
        <w:t>五、</w:t>
      </w:r>
      <w:r>
        <w:rPr>
          <w:rFonts w:hint="eastAsia" w:ascii="宋体" w:hAnsi="宋体"/>
          <w:color w:val="auto"/>
          <w:szCs w:val="21"/>
          <w:highlight w:val="none"/>
        </w:rPr>
        <w:t>响应文件</w:t>
      </w:r>
      <w:r>
        <w:rPr>
          <w:rFonts w:hint="eastAsia" w:ascii="宋体" w:hAnsi="宋体"/>
          <w:bCs/>
          <w:color w:val="auto"/>
          <w:szCs w:val="21"/>
          <w:highlight w:val="none"/>
        </w:rPr>
        <w:t>的</w:t>
      </w:r>
      <w:r>
        <w:rPr>
          <w:rFonts w:hint="eastAsia" w:ascii="宋体" w:hAnsi="宋体"/>
          <w:color w:val="auto"/>
          <w:szCs w:val="21"/>
          <w:highlight w:val="none"/>
        </w:rPr>
        <w:t>磋商与评审</w:t>
      </w:r>
    </w:p>
    <w:p w14:paraId="0F8BF370">
      <w:pPr>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六、成交结果信息公布与授予合同</w:t>
      </w:r>
    </w:p>
    <w:p w14:paraId="274AD52E">
      <w:pPr>
        <w:adjustRightInd w:val="0"/>
        <w:snapToGrid w:val="0"/>
        <w:spacing w:line="480" w:lineRule="auto"/>
        <w:ind w:firstLine="630" w:firstLineChars="300"/>
        <w:jc w:val="left"/>
        <w:rPr>
          <w:rFonts w:ascii="宋体" w:hAnsi="宋体"/>
          <w:color w:val="auto"/>
          <w:szCs w:val="21"/>
          <w:highlight w:val="none"/>
        </w:rPr>
      </w:pPr>
      <w:r>
        <w:rPr>
          <w:rFonts w:hint="eastAsia" w:ascii="宋体" w:hAnsi="宋体"/>
          <w:color w:val="auto"/>
          <w:szCs w:val="21"/>
          <w:highlight w:val="none"/>
        </w:rPr>
        <w:t>七、其他规定</w:t>
      </w:r>
    </w:p>
    <w:p w14:paraId="68E120EB">
      <w:pPr>
        <w:adjustRightInd w:val="0"/>
        <w:snapToGrid w:val="0"/>
        <w:spacing w:line="480" w:lineRule="auto"/>
        <w:rPr>
          <w:rFonts w:ascii="宋体" w:hAnsi="宋体"/>
          <w:b/>
          <w:color w:val="auto"/>
          <w:szCs w:val="21"/>
          <w:highlight w:val="none"/>
        </w:rPr>
      </w:pPr>
      <w:r>
        <w:rPr>
          <w:rFonts w:hint="eastAsia" w:ascii="宋体" w:hAnsi="宋体"/>
          <w:b/>
          <w:color w:val="auto"/>
          <w:szCs w:val="21"/>
          <w:highlight w:val="none"/>
        </w:rPr>
        <w:t>第三章政府采购合同格式</w:t>
      </w:r>
    </w:p>
    <w:p w14:paraId="0186CBDD">
      <w:pPr>
        <w:adjustRightInd w:val="0"/>
        <w:snapToGrid w:val="0"/>
        <w:spacing w:line="480" w:lineRule="auto"/>
        <w:rPr>
          <w:rFonts w:ascii="宋体" w:hAnsi="宋体"/>
          <w:b/>
          <w:color w:val="auto"/>
          <w:szCs w:val="21"/>
          <w:highlight w:val="none"/>
        </w:rPr>
      </w:pPr>
      <w:r>
        <w:rPr>
          <w:rFonts w:hint="eastAsia" w:ascii="宋体" w:hAnsi="宋体"/>
          <w:b/>
          <w:color w:val="auto"/>
          <w:szCs w:val="21"/>
          <w:highlight w:val="none"/>
        </w:rPr>
        <w:t>第四章</w:t>
      </w:r>
      <w:r>
        <w:rPr>
          <w:rFonts w:hint="eastAsia" w:hAnsi="宋体"/>
          <w:b/>
          <w:color w:val="auto"/>
          <w:szCs w:val="21"/>
          <w:highlight w:val="none"/>
        </w:rPr>
        <w:t>采购需求</w:t>
      </w:r>
    </w:p>
    <w:p w14:paraId="2C4A09C9">
      <w:pPr>
        <w:pStyle w:val="19"/>
        <w:adjustRightInd w:val="0"/>
        <w:snapToGrid w:val="0"/>
        <w:spacing w:line="480" w:lineRule="auto"/>
        <w:rPr>
          <w:rFonts w:hAnsi="宋体"/>
          <w:b/>
          <w:color w:val="auto"/>
          <w:highlight w:val="none"/>
        </w:rPr>
      </w:pPr>
      <w:r>
        <w:rPr>
          <w:rFonts w:hint="eastAsia" w:hAnsi="宋体"/>
          <w:b/>
          <w:color w:val="auto"/>
          <w:highlight w:val="none"/>
        </w:rPr>
        <w:t>第五章响应文件组成</w:t>
      </w:r>
    </w:p>
    <w:p w14:paraId="5E273912">
      <w:pPr>
        <w:pStyle w:val="19"/>
        <w:adjustRightInd w:val="0"/>
        <w:snapToGrid w:val="0"/>
        <w:spacing w:line="360" w:lineRule="auto"/>
        <w:rPr>
          <w:rFonts w:hAnsi="宋体"/>
          <w:b/>
          <w:color w:val="auto"/>
          <w:sz w:val="24"/>
          <w:highlight w:val="none"/>
        </w:rPr>
      </w:pPr>
    </w:p>
    <w:p w14:paraId="369A0EA9">
      <w:pPr>
        <w:spacing w:line="360" w:lineRule="exact"/>
        <w:rPr>
          <w:rFonts w:ascii="黑体" w:eastAsia="黑体"/>
          <w:b/>
          <w:color w:val="auto"/>
          <w:sz w:val="24"/>
          <w:highlight w:val="none"/>
        </w:rPr>
      </w:pPr>
    </w:p>
    <w:p w14:paraId="6E5CB00E">
      <w:pPr>
        <w:spacing w:line="360" w:lineRule="exact"/>
        <w:rPr>
          <w:rFonts w:ascii="黑体" w:eastAsia="黑体"/>
          <w:b/>
          <w:color w:val="auto"/>
          <w:sz w:val="24"/>
          <w:highlight w:val="none"/>
        </w:rPr>
      </w:pPr>
    </w:p>
    <w:p w14:paraId="2137DF51">
      <w:pPr>
        <w:spacing w:line="360" w:lineRule="exact"/>
        <w:rPr>
          <w:rFonts w:ascii="黑体" w:eastAsia="黑体"/>
          <w:b/>
          <w:color w:val="auto"/>
          <w:sz w:val="24"/>
          <w:highlight w:val="none"/>
        </w:rPr>
      </w:pPr>
    </w:p>
    <w:p w14:paraId="748C126A">
      <w:pPr>
        <w:spacing w:line="360" w:lineRule="exact"/>
        <w:rPr>
          <w:rFonts w:ascii="黑体" w:eastAsia="黑体"/>
          <w:b/>
          <w:color w:val="auto"/>
          <w:sz w:val="24"/>
          <w:highlight w:val="none"/>
        </w:rPr>
      </w:pPr>
    </w:p>
    <w:p w14:paraId="01B7E019">
      <w:pPr>
        <w:jc w:val="center"/>
        <w:rPr>
          <w:rFonts w:ascii="黑体" w:hAnsi="宋体" w:eastAsia="黑体"/>
          <w:color w:val="auto"/>
          <w:sz w:val="32"/>
          <w:szCs w:val="32"/>
          <w:highlight w:val="none"/>
        </w:rPr>
      </w:pPr>
    </w:p>
    <w:p w14:paraId="624A7B4F">
      <w:pPr>
        <w:jc w:val="center"/>
        <w:rPr>
          <w:rFonts w:ascii="黑体" w:hAnsi="宋体" w:eastAsia="黑体"/>
          <w:color w:val="auto"/>
          <w:sz w:val="32"/>
          <w:szCs w:val="32"/>
          <w:highlight w:val="none"/>
        </w:rPr>
      </w:pPr>
    </w:p>
    <w:p w14:paraId="1AB8F581">
      <w:pPr>
        <w:jc w:val="center"/>
        <w:rPr>
          <w:rFonts w:ascii="黑体" w:hAnsi="宋体" w:eastAsia="黑体"/>
          <w:color w:val="auto"/>
          <w:sz w:val="32"/>
          <w:szCs w:val="32"/>
          <w:highlight w:val="none"/>
        </w:rPr>
      </w:pPr>
    </w:p>
    <w:p w14:paraId="33F0B972">
      <w:pPr>
        <w:jc w:val="center"/>
        <w:rPr>
          <w:rFonts w:ascii="黑体" w:hAnsi="宋体" w:eastAsia="黑体"/>
          <w:color w:val="auto"/>
          <w:sz w:val="32"/>
          <w:szCs w:val="32"/>
          <w:highlight w:val="none"/>
        </w:rPr>
      </w:pPr>
    </w:p>
    <w:p w14:paraId="29898DD7">
      <w:pPr>
        <w:rPr>
          <w:color w:val="auto"/>
          <w:highlight w:val="none"/>
        </w:rPr>
      </w:pPr>
    </w:p>
    <w:p w14:paraId="498FB955">
      <w:pPr>
        <w:adjustRightInd w:val="0"/>
        <w:snapToGrid w:val="0"/>
        <w:spacing w:line="288" w:lineRule="auto"/>
        <w:jc w:val="center"/>
        <w:outlineLvl w:val="0"/>
        <w:rPr>
          <w:rFonts w:ascii="宋体" w:hAnsi="宋体" w:cs="宋体"/>
          <w:b/>
          <w:color w:val="auto"/>
          <w:sz w:val="32"/>
          <w:szCs w:val="32"/>
          <w:highlight w:val="none"/>
        </w:rPr>
        <w:sectPr>
          <w:footerReference r:id="rId6" w:type="default"/>
          <w:pgSz w:w="11906" w:h="16838"/>
          <w:pgMar w:top="1587" w:right="1417" w:bottom="1474" w:left="1587"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09C2BA85">
      <w:pPr>
        <w:adjustRightInd w:val="0"/>
        <w:snapToGrid w:val="0"/>
        <w:spacing w:line="288" w:lineRule="auto"/>
        <w:jc w:val="center"/>
        <w:outlineLvl w:val="0"/>
        <w:rPr>
          <w:rFonts w:ascii="宋体" w:hAnsi="宋体" w:cs="宋体"/>
          <w:color w:val="auto"/>
          <w:kern w:val="0"/>
          <w:szCs w:val="21"/>
          <w:highlight w:val="none"/>
        </w:rPr>
      </w:pPr>
      <w:r>
        <w:rPr>
          <w:rFonts w:hint="eastAsia" w:ascii="宋体" w:hAnsi="宋体" w:cs="宋体"/>
          <w:b/>
          <w:color w:val="auto"/>
          <w:sz w:val="32"/>
          <w:szCs w:val="32"/>
          <w:highlight w:val="none"/>
        </w:rPr>
        <w:t>第一章 磋商邀请</w:t>
      </w:r>
    </w:p>
    <w:p w14:paraId="48A70C10">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lang w:eastAsia="zh-CN"/>
        </w:rPr>
        <w:t>湖南省公安厅交管总队警务技能训练用房及备勤休息用房维修改造项目</w:t>
      </w:r>
      <w:r>
        <w:rPr>
          <w:rFonts w:hint="eastAsia" w:ascii="宋体" w:hAnsi="宋体" w:cs="宋体"/>
          <w:color w:val="auto"/>
          <w:szCs w:val="21"/>
          <w:highlight w:val="none"/>
        </w:rPr>
        <w:t>（政府采购编号：</w:t>
      </w:r>
      <w:r>
        <w:rPr>
          <w:rFonts w:hint="eastAsia" w:ascii="宋体" w:hAnsi="宋体" w:cs="宋体"/>
          <w:color w:val="auto"/>
          <w:szCs w:val="21"/>
          <w:highlight w:val="none"/>
          <w:u w:val="single"/>
          <w:lang w:eastAsia="zh-CN"/>
        </w:rPr>
        <w:t>CGXM2026430000000246</w:t>
      </w:r>
      <w:r>
        <w:rPr>
          <w:rFonts w:hint="eastAsia" w:ascii="宋体" w:hAnsi="宋体" w:cs="宋体"/>
          <w:color w:val="auto"/>
          <w:szCs w:val="21"/>
          <w:highlight w:val="none"/>
        </w:rPr>
        <w:t>，委托代理编号：</w:t>
      </w:r>
      <w:r>
        <w:rPr>
          <w:rFonts w:hint="eastAsia" w:ascii="宋体" w:hAnsi="宋体" w:cs="宋体"/>
          <w:color w:val="auto"/>
          <w:szCs w:val="21"/>
          <w:highlight w:val="none"/>
          <w:u w:val="single"/>
          <w:lang w:eastAsia="zh-CN"/>
        </w:rPr>
        <w:t>HNHX-20260611</w:t>
      </w:r>
      <w:r>
        <w:rPr>
          <w:rFonts w:hint="eastAsia" w:ascii="宋体" w:hAnsi="宋体" w:cs="宋体"/>
          <w:color w:val="auto"/>
          <w:szCs w:val="21"/>
          <w:highlight w:val="none"/>
        </w:rPr>
        <w:t>）进行竞争性磋商采购。</w:t>
      </w:r>
      <w:r>
        <w:rPr>
          <w:rStyle w:val="66"/>
          <w:rFonts w:hint="eastAsia" w:ascii="宋体" w:hAnsi="宋体" w:cs="宋体"/>
          <w:color w:val="auto"/>
          <w:szCs w:val="21"/>
          <w:highlight w:val="none"/>
        </w:rPr>
        <w:t>现采用</w:t>
      </w:r>
      <w:r>
        <w:rPr>
          <w:rStyle w:val="66"/>
          <w:rFonts w:hint="eastAsia" w:ascii="宋体" w:hAnsi="宋体" w:cs="宋体"/>
          <w:color w:val="auto"/>
          <w:szCs w:val="21"/>
          <w:highlight w:val="none"/>
          <w:u w:val="single"/>
        </w:rPr>
        <w:t xml:space="preserve"> </w:t>
      </w:r>
      <w:r>
        <w:rPr>
          <w:rFonts w:hint="eastAsia" w:ascii="宋体" w:cs="宋体"/>
          <w:color w:val="auto"/>
          <w:szCs w:val="21"/>
          <w:highlight w:val="none"/>
          <w:u w:val="single"/>
        </w:rPr>
        <w:t xml:space="preserve">网上公告征集 </w:t>
      </w:r>
      <w:r>
        <w:rPr>
          <w:rStyle w:val="66"/>
          <w:rFonts w:hint="eastAsia" w:ascii="宋体" w:hAnsi="宋体" w:cs="宋体"/>
          <w:color w:val="auto"/>
          <w:szCs w:val="21"/>
          <w:highlight w:val="none"/>
        </w:rPr>
        <w:t>方式</w:t>
      </w:r>
      <w:r>
        <w:rPr>
          <w:rFonts w:hint="eastAsia" w:ascii="宋体" w:hAnsi="宋体" w:cs="宋体"/>
          <w:color w:val="auto"/>
          <w:highlight w:val="none"/>
        </w:rPr>
        <w:t>，</w:t>
      </w:r>
      <w:r>
        <w:rPr>
          <w:rFonts w:hint="eastAsia" w:ascii="宋体" w:hAnsi="宋体"/>
          <w:color w:val="auto"/>
          <w:szCs w:val="21"/>
          <w:highlight w:val="none"/>
        </w:rPr>
        <w:t>邀请符合资格条件的供应商参与竞争性磋商采购活动。</w:t>
      </w:r>
    </w:p>
    <w:p w14:paraId="7E18E9D4">
      <w:pPr>
        <w:numPr>
          <w:ilvl w:val="0"/>
          <w:numId w:val="3"/>
        </w:numPr>
        <w:adjustRightInd w:val="0"/>
        <w:snapToGrid w:val="0"/>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采购项目基本概况</w:t>
      </w:r>
    </w:p>
    <w:p w14:paraId="10849B11">
      <w:pPr>
        <w:pStyle w:val="19"/>
        <w:adjustRightInd w:val="0"/>
        <w:snapToGrid w:val="0"/>
        <w:spacing w:line="360" w:lineRule="auto"/>
        <w:ind w:firstLine="210" w:firstLineChars="100"/>
        <w:jc w:val="left"/>
        <w:rPr>
          <w:rFonts w:hint="eastAsia" w:hAnsi="宋体" w:eastAsia="宋体" w:cs="宋体"/>
          <w:color w:val="auto"/>
          <w:highlight w:val="none"/>
          <w:lang w:eastAsia="zh-CN"/>
        </w:rPr>
      </w:pPr>
      <w:r>
        <w:rPr>
          <w:rFonts w:hint="eastAsia" w:hAnsi="宋体" w:cs="宋体"/>
          <w:color w:val="auto"/>
          <w:highlight w:val="none"/>
        </w:rPr>
        <w:t>（一）采购项目名称：</w:t>
      </w:r>
      <w:r>
        <w:rPr>
          <w:rFonts w:hint="eastAsia" w:hAnsi="宋体" w:cs="宋体"/>
          <w:color w:val="auto"/>
          <w:szCs w:val="21"/>
          <w:highlight w:val="none"/>
          <w:lang w:eastAsia="zh-CN"/>
        </w:rPr>
        <w:t>湖南省公安厅交管总队警务技能训练用房及备勤休息用房维修改造项目</w:t>
      </w:r>
    </w:p>
    <w:p w14:paraId="568A0C96">
      <w:pPr>
        <w:pStyle w:val="19"/>
        <w:adjustRightInd w:val="0"/>
        <w:snapToGrid w:val="0"/>
        <w:spacing w:line="360" w:lineRule="auto"/>
        <w:ind w:firstLine="210" w:firstLineChars="100"/>
        <w:jc w:val="left"/>
        <w:rPr>
          <w:rFonts w:hint="eastAsia" w:hAnsi="宋体" w:eastAsia="宋体" w:cs="宋体"/>
          <w:color w:val="auto"/>
          <w:highlight w:val="none"/>
          <w:lang w:eastAsia="zh-CN"/>
        </w:rPr>
      </w:pPr>
      <w:r>
        <w:rPr>
          <w:rFonts w:hint="eastAsia" w:hAnsi="宋体" w:cs="宋体"/>
          <w:color w:val="auto"/>
          <w:highlight w:val="none"/>
        </w:rPr>
        <w:t>（二）采购计划编号：</w:t>
      </w:r>
      <w:r>
        <w:rPr>
          <w:rFonts w:hint="eastAsia" w:hAnsi="宋体" w:cs="宋体"/>
          <w:color w:val="auto"/>
          <w:highlight w:val="none"/>
          <w:lang w:eastAsia="zh-CN"/>
        </w:rPr>
        <w:t>CGXM2026430000000246</w:t>
      </w:r>
    </w:p>
    <w:p w14:paraId="7D0796F6">
      <w:pPr>
        <w:pStyle w:val="19"/>
        <w:adjustRightInd w:val="0"/>
        <w:snapToGrid w:val="0"/>
        <w:spacing w:line="360" w:lineRule="auto"/>
        <w:ind w:firstLine="210" w:firstLineChars="100"/>
        <w:jc w:val="left"/>
        <w:rPr>
          <w:rFonts w:hint="eastAsia" w:hAnsi="宋体" w:eastAsia="宋体" w:cs="宋体"/>
          <w:color w:val="auto"/>
          <w:highlight w:val="none"/>
          <w:lang w:eastAsia="zh-CN"/>
        </w:rPr>
      </w:pPr>
      <w:r>
        <w:rPr>
          <w:rFonts w:hint="eastAsia" w:hAnsi="宋体" w:cs="宋体"/>
          <w:color w:val="auto"/>
          <w:highlight w:val="none"/>
        </w:rPr>
        <w:t>（三）委托代理编号：</w:t>
      </w:r>
      <w:r>
        <w:rPr>
          <w:rFonts w:hint="eastAsia" w:hAnsi="宋体" w:cs="宋体"/>
          <w:color w:val="auto"/>
          <w:highlight w:val="none"/>
          <w:lang w:eastAsia="zh-CN"/>
        </w:rPr>
        <w:t>HNHX-20260611</w:t>
      </w:r>
    </w:p>
    <w:p w14:paraId="4952DA38">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（四）</w:t>
      </w:r>
      <w:r>
        <w:rPr>
          <w:rFonts w:hint="eastAsia" w:hAnsi="宋体"/>
          <w:color w:val="auto"/>
          <w:highlight w:val="none"/>
        </w:rPr>
        <w:t>采购项目标的、数量及简要规格描述或项目基本概况介绍：</w:t>
      </w:r>
    </w:p>
    <w:tbl>
      <w:tblPr>
        <w:tblStyle w:val="34"/>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755"/>
        <w:gridCol w:w="1026"/>
        <w:gridCol w:w="703"/>
        <w:gridCol w:w="1275"/>
        <w:gridCol w:w="1288"/>
        <w:gridCol w:w="1172"/>
        <w:gridCol w:w="1175"/>
      </w:tblGrid>
      <w:tr w14:paraId="33C6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F840CC7">
            <w:pPr>
              <w:jc w:val="center"/>
              <w:rPr>
                <w:rFonts w:ascii="宋体" w:hAnsi="宋体" w:cs="宋体"/>
                <w:color w:val="auto"/>
                <w:highlight w:val="none"/>
              </w:rPr>
            </w:pPr>
            <w:r>
              <w:rPr>
                <w:rFonts w:hint="eastAsia" w:ascii="宋体" w:hAnsi="宋体" w:cs="宋体"/>
                <w:color w:val="auto"/>
                <w:highlight w:val="none"/>
              </w:rPr>
              <w:t>序号</w:t>
            </w:r>
          </w:p>
        </w:tc>
        <w:tc>
          <w:tcPr>
            <w:tcW w:w="1755" w:type="dxa"/>
            <w:vAlign w:val="center"/>
          </w:tcPr>
          <w:p w14:paraId="563175AD">
            <w:pPr>
              <w:jc w:val="center"/>
              <w:rPr>
                <w:rFonts w:ascii="宋体" w:hAnsi="宋体" w:cs="宋体"/>
                <w:color w:val="auto"/>
                <w:highlight w:val="none"/>
              </w:rPr>
            </w:pPr>
            <w:r>
              <w:rPr>
                <w:rFonts w:hint="eastAsia" w:ascii="宋体" w:hAnsi="宋体" w:cs="宋体"/>
                <w:color w:val="auto"/>
                <w:highlight w:val="none"/>
              </w:rPr>
              <w:t>包名称</w:t>
            </w:r>
          </w:p>
        </w:tc>
        <w:tc>
          <w:tcPr>
            <w:tcW w:w="1026" w:type="dxa"/>
            <w:vAlign w:val="center"/>
          </w:tcPr>
          <w:p w14:paraId="19637980">
            <w:pPr>
              <w:jc w:val="center"/>
              <w:rPr>
                <w:rFonts w:ascii="宋体" w:hAnsi="宋体" w:cs="宋体"/>
                <w:color w:val="auto"/>
                <w:highlight w:val="none"/>
              </w:rPr>
            </w:pPr>
            <w:r>
              <w:rPr>
                <w:rFonts w:hint="eastAsia" w:ascii="宋体" w:hAnsi="宋体" w:cs="宋体"/>
                <w:color w:val="auto"/>
                <w:highlight w:val="none"/>
              </w:rPr>
              <w:t>采购项目简要说明</w:t>
            </w:r>
          </w:p>
        </w:tc>
        <w:tc>
          <w:tcPr>
            <w:tcW w:w="703" w:type="dxa"/>
            <w:vAlign w:val="center"/>
          </w:tcPr>
          <w:p w14:paraId="4C6C9599">
            <w:pPr>
              <w:jc w:val="center"/>
              <w:rPr>
                <w:rFonts w:ascii="宋体" w:hAnsi="宋体" w:cs="宋体"/>
                <w:color w:val="auto"/>
                <w:highlight w:val="none"/>
              </w:rPr>
            </w:pPr>
            <w:r>
              <w:rPr>
                <w:rFonts w:hint="eastAsia" w:ascii="宋体" w:hAnsi="宋体" w:cs="宋体"/>
                <w:color w:val="auto"/>
                <w:highlight w:val="none"/>
              </w:rPr>
              <w:t>数量</w:t>
            </w:r>
          </w:p>
        </w:tc>
        <w:tc>
          <w:tcPr>
            <w:tcW w:w="1275" w:type="dxa"/>
            <w:vAlign w:val="center"/>
          </w:tcPr>
          <w:p w14:paraId="50BF5EBF">
            <w:pPr>
              <w:jc w:val="center"/>
              <w:rPr>
                <w:rFonts w:ascii="宋体" w:hAnsi="宋体" w:cs="宋体"/>
                <w:color w:val="auto"/>
                <w:highlight w:val="none"/>
              </w:rPr>
            </w:pPr>
            <w:r>
              <w:rPr>
                <w:rFonts w:hint="eastAsia" w:ascii="宋体" w:hAnsi="宋体" w:cs="宋体"/>
                <w:color w:val="auto"/>
                <w:highlight w:val="none"/>
              </w:rPr>
              <w:t>采购项目预算（元人民币）</w:t>
            </w:r>
          </w:p>
        </w:tc>
        <w:tc>
          <w:tcPr>
            <w:tcW w:w="1288" w:type="dxa"/>
            <w:vAlign w:val="center"/>
          </w:tcPr>
          <w:p w14:paraId="7C3353C5">
            <w:pPr>
              <w:jc w:val="center"/>
              <w:rPr>
                <w:rFonts w:ascii="宋体" w:hAnsi="宋体" w:cs="宋体"/>
                <w:color w:val="auto"/>
                <w:highlight w:val="none"/>
              </w:rPr>
            </w:pPr>
            <w:r>
              <w:rPr>
                <w:rFonts w:hint="eastAsia" w:ascii="宋体" w:hAnsi="宋体" w:cs="宋体"/>
                <w:color w:val="auto"/>
                <w:highlight w:val="none"/>
              </w:rPr>
              <w:t>采购项目最高限价（元人民币）</w:t>
            </w:r>
          </w:p>
        </w:tc>
        <w:tc>
          <w:tcPr>
            <w:tcW w:w="1172" w:type="dxa"/>
            <w:vAlign w:val="center"/>
          </w:tcPr>
          <w:p w14:paraId="13F296D0">
            <w:pPr>
              <w:jc w:val="center"/>
              <w:rPr>
                <w:rFonts w:ascii="宋体" w:hAnsi="宋体" w:cs="宋体"/>
                <w:color w:val="auto"/>
                <w:highlight w:val="none"/>
              </w:rPr>
            </w:pPr>
            <w:r>
              <w:rPr>
                <w:rFonts w:hint="eastAsia" w:ascii="宋体" w:hAnsi="宋体" w:cs="宋体"/>
                <w:color w:val="auto"/>
                <w:highlight w:val="none"/>
              </w:rPr>
              <w:t>代理服务收费最高限价</w:t>
            </w:r>
          </w:p>
        </w:tc>
        <w:tc>
          <w:tcPr>
            <w:tcW w:w="1175" w:type="dxa"/>
            <w:vAlign w:val="center"/>
          </w:tcPr>
          <w:p w14:paraId="03CFE29A">
            <w:pPr>
              <w:jc w:val="center"/>
              <w:rPr>
                <w:rFonts w:ascii="宋体" w:hAnsi="宋体" w:cs="宋体"/>
                <w:color w:val="auto"/>
                <w:highlight w:val="none"/>
              </w:rPr>
            </w:pPr>
            <w:r>
              <w:rPr>
                <w:rFonts w:hint="eastAsia" w:ascii="宋体" w:hAnsi="宋体" w:cs="宋体"/>
                <w:color w:val="auto"/>
                <w:highlight w:val="none"/>
              </w:rPr>
              <w:t>本项目对应的中小企业划分标准所属行业</w:t>
            </w:r>
          </w:p>
        </w:tc>
      </w:tr>
      <w:tr w14:paraId="5174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Align w:val="center"/>
          </w:tcPr>
          <w:p w14:paraId="6ACCAC4D">
            <w:pPr>
              <w:jc w:val="center"/>
              <w:rPr>
                <w:rFonts w:ascii="宋体" w:hAnsi="宋体" w:cs="宋体"/>
                <w:color w:val="auto"/>
                <w:highlight w:val="none"/>
              </w:rPr>
            </w:pPr>
            <w:r>
              <w:rPr>
                <w:rFonts w:hint="eastAsia" w:ascii="宋体" w:hAnsi="宋体" w:cs="宋体"/>
                <w:color w:val="auto"/>
                <w:highlight w:val="none"/>
              </w:rPr>
              <w:t>01</w:t>
            </w:r>
          </w:p>
        </w:tc>
        <w:tc>
          <w:tcPr>
            <w:tcW w:w="1755" w:type="dxa"/>
            <w:vAlign w:val="center"/>
          </w:tcPr>
          <w:p w14:paraId="715AF9F2">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湖南省公安厅交管总队警务技能训练用房及备勤休息用房维修改造项目</w:t>
            </w:r>
          </w:p>
        </w:tc>
        <w:tc>
          <w:tcPr>
            <w:tcW w:w="1026" w:type="dxa"/>
            <w:vAlign w:val="center"/>
          </w:tcPr>
          <w:p w14:paraId="3B0E9AC0">
            <w:pPr>
              <w:jc w:val="center"/>
              <w:rPr>
                <w:rFonts w:hint="eastAsia" w:ascii="宋体" w:hAnsi="宋体" w:eastAsia="宋体" w:cs="宋体"/>
                <w:color w:val="auto"/>
                <w:highlight w:val="none"/>
              </w:rPr>
            </w:pPr>
            <w:r>
              <w:rPr>
                <w:rFonts w:hint="eastAsia" w:ascii="宋体" w:hAnsi="宋体" w:eastAsia="宋体" w:cs="宋体"/>
                <w:color w:val="auto"/>
                <w:highlight w:val="none"/>
              </w:rPr>
              <w:t>详见“第四章 采购需求”</w:t>
            </w:r>
          </w:p>
        </w:tc>
        <w:tc>
          <w:tcPr>
            <w:tcW w:w="703" w:type="dxa"/>
            <w:vAlign w:val="center"/>
          </w:tcPr>
          <w:p w14:paraId="29ADD97F">
            <w:pPr>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批</w:t>
            </w:r>
          </w:p>
        </w:tc>
        <w:tc>
          <w:tcPr>
            <w:tcW w:w="1275" w:type="dxa"/>
            <w:vAlign w:val="center"/>
          </w:tcPr>
          <w:p w14:paraId="587D5DB3">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1603800.00</w:t>
            </w:r>
          </w:p>
        </w:tc>
        <w:tc>
          <w:tcPr>
            <w:tcW w:w="1288" w:type="dxa"/>
            <w:vAlign w:val="center"/>
          </w:tcPr>
          <w:p w14:paraId="2611FE88">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eastAsia="zh-CN"/>
              </w:rPr>
              <w:t>1603800.00</w:t>
            </w:r>
          </w:p>
        </w:tc>
        <w:tc>
          <w:tcPr>
            <w:tcW w:w="1172" w:type="dxa"/>
            <w:vAlign w:val="center"/>
          </w:tcPr>
          <w:p w14:paraId="22B14391">
            <w:pPr>
              <w:jc w:val="center"/>
              <w:rPr>
                <w:rFonts w:ascii="宋体" w:hAnsi="宋体" w:cs="宋体"/>
                <w:color w:val="auto"/>
                <w:highlight w:val="none"/>
              </w:rPr>
            </w:pPr>
            <w:r>
              <w:rPr>
                <w:rFonts w:hint="eastAsia" w:ascii="宋体" w:hAnsi="宋体" w:cs="宋体"/>
                <w:color w:val="auto"/>
                <w:highlight w:val="none"/>
              </w:rPr>
              <w:t>代理服务费由采购人支付</w:t>
            </w:r>
          </w:p>
        </w:tc>
        <w:tc>
          <w:tcPr>
            <w:tcW w:w="1175" w:type="dxa"/>
            <w:vAlign w:val="center"/>
          </w:tcPr>
          <w:p w14:paraId="1F9EBF0A">
            <w:pPr>
              <w:jc w:val="center"/>
              <w:rPr>
                <w:rFonts w:ascii="宋体" w:hAnsi="宋体" w:cs="宋体"/>
                <w:color w:val="auto"/>
                <w:highlight w:val="none"/>
              </w:rPr>
            </w:pPr>
            <w:r>
              <w:rPr>
                <w:rFonts w:hint="eastAsia" w:ascii="宋体" w:hAnsi="宋体" w:eastAsia="宋体" w:cs="宋体"/>
                <w:color w:val="auto"/>
                <w:highlight w:val="none"/>
              </w:rPr>
              <w:t>建筑业</w:t>
            </w:r>
          </w:p>
        </w:tc>
      </w:tr>
    </w:tbl>
    <w:p w14:paraId="283E9A31">
      <w:pPr>
        <w:pStyle w:val="19"/>
        <w:adjustRightInd w:val="0"/>
        <w:snapToGrid w:val="0"/>
        <w:spacing w:line="360" w:lineRule="auto"/>
        <w:ind w:firstLine="420" w:firstLineChars="200"/>
        <w:jc w:val="left"/>
        <w:rPr>
          <w:rFonts w:cs="宋体"/>
          <w:color w:val="auto"/>
          <w:highlight w:val="none"/>
        </w:rPr>
      </w:pPr>
      <w:r>
        <w:rPr>
          <w:rFonts w:hint="eastAsia" w:cs="宋体"/>
          <w:color w:val="auto"/>
          <w:highlight w:val="none"/>
        </w:rPr>
        <w:t>注：磋商报价不能超过最高限价，否则视为无效响应。</w:t>
      </w:r>
    </w:p>
    <w:p w14:paraId="36E27AC4">
      <w:pPr>
        <w:numPr>
          <w:ilvl w:val="0"/>
          <w:numId w:val="3"/>
        </w:numPr>
        <w:adjustRightInd w:val="0"/>
        <w:snapToGrid w:val="0"/>
        <w:spacing w:line="360" w:lineRule="auto"/>
        <w:ind w:firstLine="211" w:firstLineChars="100"/>
        <w:rPr>
          <w:rFonts w:ascii="宋体" w:hAnsi="宋体" w:cs="宋体"/>
          <w:b/>
          <w:bCs/>
          <w:color w:val="auto"/>
          <w:highlight w:val="none"/>
        </w:rPr>
      </w:pPr>
      <w:r>
        <w:rPr>
          <w:rFonts w:hint="eastAsia" w:ascii="宋体" w:hAnsi="宋体" w:cs="宋体"/>
          <w:b/>
          <w:bCs/>
          <w:color w:val="auto"/>
          <w:highlight w:val="none"/>
        </w:rPr>
        <w:t>采购项目需落实的政府采购政策</w:t>
      </w:r>
    </w:p>
    <w:p w14:paraId="1BAFA012">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（一）预留采购份额：</w:t>
      </w:r>
      <w:r>
        <w:rPr>
          <w:rFonts w:hint="eastAsia" w:hAnsi="宋体" w:cs="宋体"/>
          <w:b/>
          <w:bCs/>
          <w:color w:val="auto"/>
          <w:highlight w:val="none"/>
        </w:rPr>
        <w:t>本项目为专门面向中小企业采购</w:t>
      </w:r>
      <w:r>
        <w:rPr>
          <w:rFonts w:hint="eastAsia" w:hAnsi="宋体" w:cs="宋体"/>
          <w:b/>
          <w:bCs/>
          <w:color w:val="auto"/>
          <w:highlight w:val="none"/>
          <w:lang w:eastAsia="zh-CN"/>
        </w:rPr>
        <w:t>的</w:t>
      </w:r>
      <w:r>
        <w:rPr>
          <w:rFonts w:hint="eastAsia" w:hAnsi="宋体" w:cs="宋体"/>
          <w:b/>
          <w:bCs/>
          <w:color w:val="auto"/>
          <w:highlight w:val="none"/>
          <w:lang w:val="en-US" w:eastAsia="zh-CN"/>
        </w:rPr>
        <w:t>项目</w:t>
      </w:r>
      <w:r>
        <w:rPr>
          <w:rFonts w:hint="eastAsia" w:hAnsi="宋体" w:cs="宋体"/>
          <w:b/>
          <w:bCs/>
          <w:color w:val="auto"/>
          <w:highlight w:val="none"/>
        </w:rPr>
        <w:t>。</w:t>
      </w:r>
      <w:r>
        <w:rPr>
          <w:rFonts w:hint="eastAsia" w:hAnsi="宋体" w:cs="宋体"/>
          <w:color w:val="auto"/>
          <w:highlight w:val="none"/>
        </w:rPr>
        <w:t xml:space="preserve"> </w:t>
      </w:r>
    </w:p>
    <w:p w14:paraId="46167572">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（二）强制采购：政府采购实行强制采购的节能产品。节能产品实行强制采购的，需提供国家认证机构出具的、处于有效期内的节能产品证书。</w:t>
      </w:r>
    </w:p>
    <w:p w14:paraId="3769978D">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（三）优先采购：政府采购鼓励采购节能环保产品。</w:t>
      </w:r>
    </w:p>
    <w:p w14:paraId="7AD9805F">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（四）价格评审优惠：政府采购促进中小企业发展（包括政府采购支持监狱企业发展、政府采购促进残疾人就业）。</w:t>
      </w:r>
    </w:p>
    <w:p w14:paraId="1306F181">
      <w:pPr>
        <w:pStyle w:val="19"/>
        <w:adjustRightInd w:val="0"/>
        <w:snapToGrid w:val="0"/>
        <w:spacing w:line="360" w:lineRule="auto"/>
        <w:ind w:firstLine="210" w:firstLineChars="100"/>
        <w:jc w:val="left"/>
        <w:rPr>
          <w:rFonts w:cs="宋体"/>
          <w:color w:val="auto"/>
          <w:highlight w:val="none"/>
        </w:rPr>
      </w:pPr>
      <w:r>
        <w:rPr>
          <w:rFonts w:hint="eastAsia" w:hAnsi="宋体" w:cs="宋体"/>
          <w:color w:val="auto"/>
          <w:highlight w:val="none"/>
        </w:rPr>
        <w:t>（五）采购进口产品：本项目</w:t>
      </w:r>
      <w:r>
        <w:rPr>
          <w:rFonts w:hAnsi="宋体" w:cs="宋体"/>
          <w:color w:val="auto"/>
          <w:highlight w:val="none"/>
          <w:u w:val="single"/>
        </w:rPr>
        <w:t xml:space="preserve"> </w:t>
      </w:r>
      <w:r>
        <w:rPr>
          <w:rFonts w:hint="eastAsia" w:hAnsi="宋体" w:cs="宋体"/>
          <w:color w:val="auto"/>
          <w:highlight w:val="none"/>
          <w:u w:val="single"/>
        </w:rPr>
        <w:t>拒绝</w:t>
      </w:r>
      <w:r>
        <w:rPr>
          <w:rFonts w:hAnsi="宋体" w:cs="宋体"/>
          <w:color w:val="auto"/>
          <w:highlight w:val="none"/>
          <w:u w:val="single"/>
        </w:rPr>
        <w:t xml:space="preserve"> </w:t>
      </w:r>
      <w:r>
        <w:rPr>
          <w:rFonts w:hint="eastAsia" w:hAnsi="宋体" w:cs="宋体"/>
          <w:color w:val="auto"/>
          <w:highlight w:val="none"/>
        </w:rPr>
        <w:t>（接受或拒绝）进口产品参加磋商采购。</w:t>
      </w:r>
      <w:r>
        <w:rPr>
          <w:rFonts w:hint="eastAsia" w:hAnsi="宋体"/>
          <w:color w:val="auto"/>
          <w:highlight w:val="none"/>
        </w:rPr>
        <w:t>同意购买进口产品的，不限制满足采购需求的国内产品参与磋商。</w:t>
      </w:r>
    </w:p>
    <w:p w14:paraId="40E4A2A3">
      <w:pPr>
        <w:numPr>
          <w:ilvl w:val="0"/>
          <w:numId w:val="3"/>
        </w:numPr>
        <w:adjustRightInd w:val="0"/>
        <w:snapToGrid w:val="0"/>
        <w:spacing w:line="360" w:lineRule="auto"/>
        <w:ind w:firstLine="211" w:firstLineChars="100"/>
        <w:rPr>
          <w:rFonts w:hAnsi="宋体" w:cs="宋体"/>
          <w:b/>
          <w:bCs/>
          <w:color w:val="auto"/>
          <w:highlight w:val="none"/>
        </w:rPr>
      </w:pPr>
      <w:r>
        <w:rPr>
          <w:rFonts w:hint="eastAsia" w:hAnsi="宋体" w:cs="宋体"/>
          <w:b/>
          <w:bCs/>
          <w:color w:val="auto"/>
          <w:highlight w:val="none"/>
        </w:rPr>
        <w:t>供应商资格要求</w:t>
      </w:r>
    </w:p>
    <w:p w14:paraId="19C35A5B">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（一）基本资格条件：供应商应当符合《政府采购法》第二十二条第一款的规定：</w:t>
      </w:r>
    </w:p>
    <w:p w14:paraId="731EB3D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623DF26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3719217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0ACAD9F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3E0C3E0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260DB53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14:paraId="24371063">
      <w:pPr>
        <w:pStyle w:val="19"/>
        <w:adjustRightInd w:val="0"/>
        <w:snapToGrid w:val="0"/>
        <w:spacing w:line="360" w:lineRule="auto"/>
        <w:ind w:firstLine="210" w:firstLineChars="100"/>
        <w:jc w:val="left"/>
        <w:rPr>
          <w:rFonts w:hAnsi="宋体"/>
          <w:color w:val="auto"/>
          <w:highlight w:val="none"/>
        </w:rPr>
      </w:pPr>
      <w:r>
        <w:rPr>
          <w:rFonts w:hint="eastAsia" w:hAnsi="宋体" w:cs="宋体"/>
          <w:color w:val="auto"/>
          <w:highlight w:val="none"/>
        </w:rPr>
        <w:t>（二）</w:t>
      </w:r>
      <w:r>
        <w:rPr>
          <w:rFonts w:hint="eastAsia" w:hAnsi="宋体"/>
          <w:color w:val="auto"/>
          <w:highlight w:val="none"/>
        </w:rPr>
        <w:t>落实政府采购政策需满足的资格要求：</w:t>
      </w:r>
    </w:p>
    <w:p w14:paraId="7EBADBDD">
      <w:pPr>
        <w:adjustRightInd w:val="0"/>
        <w:snapToGrid w:val="0"/>
        <w:spacing w:line="360" w:lineRule="auto"/>
        <w:ind w:firstLine="632" w:firstLineChars="300"/>
        <w:rPr>
          <w:rFonts w:ascii="宋体" w:hAnsi="宋体" w:cs="宋体"/>
          <w:b/>
          <w:bCs/>
          <w:color w:val="auto"/>
          <w:highlight w:val="none"/>
        </w:rPr>
      </w:pPr>
      <w:r>
        <w:rPr>
          <w:rFonts w:hint="eastAsia" w:hAnsi="宋体" w:cs="宋体"/>
          <w:b/>
          <w:bCs/>
          <w:color w:val="auto"/>
          <w:highlight w:val="none"/>
        </w:rPr>
        <w:t>本项目为专门面向中小企业采购</w:t>
      </w:r>
      <w:r>
        <w:rPr>
          <w:rFonts w:hint="eastAsia" w:hAnsi="宋体" w:cs="宋体"/>
          <w:b/>
          <w:bCs/>
          <w:color w:val="auto"/>
          <w:highlight w:val="none"/>
          <w:lang w:eastAsia="zh-CN"/>
        </w:rPr>
        <w:t>的</w:t>
      </w:r>
      <w:r>
        <w:rPr>
          <w:rFonts w:hint="eastAsia" w:hAnsi="宋体" w:cs="宋体"/>
          <w:b/>
          <w:bCs/>
          <w:color w:val="auto"/>
          <w:highlight w:val="none"/>
          <w:lang w:val="en-US" w:eastAsia="zh-CN"/>
        </w:rPr>
        <w:t>项目</w:t>
      </w:r>
      <w:r>
        <w:rPr>
          <w:rFonts w:hint="eastAsia" w:hAnsi="宋体" w:cs="宋体"/>
          <w:b/>
          <w:bCs/>
          <w:color w:val="auto"/>
          <w:highlight w:val="none"/>
        </w:rPr>
        <w:t>。</w:t>
      </w:r>
      <w:r>
        <w:rPr>
          <w:rFonts w:hint="eastAsia"/>
          <w:color w:val="auto"/>
          <w:highlight w:val="none"/>
        </w:rPr>
        <w:t>各供应商应按《政府采购促进中小企业</w:t>
      </w:r>
      <w:r>
        <w:rPr>
          <w:rFonts w:hint="eastAsia" w:ascii="宋体" w:hAnsi="宋体" w:cs="宋体"/>
          <w:color w:val="auto"/>
          <w:highlight w:val="none"/>
        </w:rPr>
        <w:t>发展管理办法》（财库﹝2020﹞46 号）相关规定及磋商文件的响应文件组成中的“《中小企业声明函》或《残疾人福利性单位声明函》或《监狱企业证明资料》”格式填写</w:t>
      </w:r>
      <w:r>
        <w:rPr>
          <w:rFonts w:hint="eastAsia" w:ascii="宋体" w:hAnsi="宋体" w:cs="宋体"/>
          <w:b/>
          <w:bCs/>
          <w:color w:val="auto"/>
          <w:highlight w:val="none"/>
        </w:rPr>
        <w:t>，否则视为无效响应。</w:t>
      </w:r>
    </w:p>
    <w:p w14:paraId="79D49CDA">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（三）特定资格条件：</w:t>
      </w:r>
    </w:p>
    <w:p w14:paraId="295AA5EE">
      <w:pPr>
        <w:adjustRightInd w:val="0"/>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1、供应商具</w:t>
      </w:r>
      <w:r>
        <w:rPr>
          <w:rFonts w:hint="eastAsia" w:ascii="宋体" w:hAnsi="宋体" w:cs="宋体"/>
          <w:color w:val="auto"/>
          <w:szCs w:val="21"/>
          <w:highlight w:val="none"/>
          <w:lang w:eastAsia="zh-CN"/>
        </w:rPr>
        <w:t>有</w:t>
      </w:r>
      <w:r>
        <w:rPr>
          <w:rFonts w:hint="eastAsia" w:ascii="宋体" w:hAnsi="宋体" w:eastAsia="宋体" w:cs="宋体"/>
          <w:color w:val="auto"/>
          <w:szCs w:val="21"/>
          <w:highlight w:val="none"/>
        </w:rPr>
        <w:t>建设行政主管部门颁发的建筑装修装饰工程专业承包贰级</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以上资质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cs="宋体"/>
          <w:color w:val="auto"/>
          <w:szCs w:val="21"/>
          <w:highlight w:val="none"/>
          <w:lang w:val="en-US" w:eastAsia="zh-CN"/>
        </w:rPr>
        <w:t>具有</w:t>
      </w:r>
      <w:r>
        <w:rPr>
          <w:rFonts w:hint="eastAsia" w:ascii="宋体" w:hAnsi="宋体" w:eastAsia="宋体" w:cs="宋体"/>
          <w:color w:val="auto"/>
          <w:szCs w:val="21"/>
          <w:highlight w:val="none"/>
        </w:rPr>
        <w:t>企业安全生产许可证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rPr>
        <w:t>处于有效期</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w:t>
      </w:r>
    </w:p>
    <w:p w14:paraId="2F022D1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拟任项目负责人（项目经理）具有建设行政主管部门颁发的</w:t>
      </w:r>
      <w:r>
        <w:rPr>
          <w:rFonts w:hint="eastAsia" w:ascii="宋体" w:hAnsi="宋体" w:eastAsia="宋体" w:cs="宋体"/>
          <w:color w:val="auto"/>
          <w:szCs w:val="21"/>
          <w:highlight w:val="none"/>
          <w:lang w:eastAsia="zh-CN"/>
        </w:rPr>
        <w:t>贰</w:t>
      </w:r>
      <w:r>
        <w:rPr>
          <w:rFonts w:hint="eastAsia" w:ascii="宋体" w:hAnsi="宋体" w:eastAsia="宋体" w:cs="宋体"/>
          <w:color w:val="auto"/>
          <w:szCs w:val="21"/>
          <w:highlight w:val="none"/>
        </w:rPr>
        <w:t>级</w:t>
      </w:r>
      <w:r>
        <w:rPr>
          <w:rFonts w:hint="eastAsia"/>
          <w:color w:val="auto"/>
          <w:highlight w:val="none"/>
        </w:rPr>
        <w:t>或以上</w:t>
      </w:r>
      <w:r>
        <w:rPr>
          <w:rFonts w:hint="eastAsia" w:ascii="宋体" w:hAnsi="宋体" w:eastAsia="宋体" w:cs="宋体"/>
          <w:color w:val="auto"/>
          <w:szCs w:val="21"/>
          <w:highlight w:val="none"/>
        </w:rPr>
        <w:t>注册建造师证（</w:t>
      </w:r>
      <w:r>
        <w:rPr>
          <w:rFonts w:hint="eastAsia" w:ascii="宋体" w:hAnsi="宋体" w:cs="宋体"/>
          <w:color w:val="auto"/>
          <w:kern w:val="2"/>
          <w:sz w:val="21"/>
          <w:szCs w:val="21"/>
          <w:highlight w:val="none"/>
          <w:lang w:val="en-US" w:eastAsia="zh-CN" w:bidi="ar-SA"/>
        </w:rPr>
        <w:t>建筑</w:t>
      </w:r>
      <w:r>
        <w:rPr>
          <w:rFonts w:hint="eastAsia" w:ascii="宋体" w:hAnsi="宋体" w:eastAsia="宋体" w:cs="宋体"/>
          <w:color w:val="auto"/>
          <w:szCs w:val="21"/>
          <w:highlight w:val="none"/>
          <w:lang w:eastAsia="zh-CN"/>
        </w:rPr>
        <w:t>工程专业</w:t>
      </w:r>
      <w:r>
        <w:rPr>
          <w:rFonts w:hint="eastAsia" w:ascii="宋体" w:hAnsi="宋体" w:eastAsia="宋体" w:cs="宋体"/>
          <w:color w:val="auto"/>
          <w:szCs w:val="21"/>
          <w:highlight w:val="none"/>
        </w:rPr>
        <w:t>）、有效的B类安全生产考核合格证和无在建工程承诺书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提供相应证书、承诺书、供应商为其缴纳的近</w:t>
      </w:r>
      <w:r>
        <w:rPr>
          <w:rFonts w:hint="eastAsia" w:ascii="宋体" w:hAnsi="宋体" w:eastAsia="宋体" w:cs="宋体"/>
          <w:color w:val="auto"/>
          <w:szCs w:val="21"/>
          <w:highlight w:val="none"/>
          <w:lang w:val="en-US" w:eastAsia="zh-CN"/>
        </w:rPr>
        <w:t>3个月</w:t>
      </w:r>
      <w:r>
        <w:rPr>
          <w:rFonts w:hint="eastAsia" w:ascii="宋体" w:hAnsi="宋体" w:cs="宋体"/>
          <w:color w:val="auto"/>
          <w:szCs w:val="21"/>
          <w:highlight w:val="none"/>
          <w:lang w:val="en-US" w:eastAsia="zh-CN"/>
        </w:rPr>
        <w:t>内任意1个月</w:t>
      </w:r>
      <w:r>
        <w:rPr>
          <w:rFonts w:hint="eastAsia" w:ascii="宋体" w:hAnsi="宋体" w:eastAsia="宋体" w:cs="宋体"/>
          <w:color w:val="auto"/>
          <w:szCs w:val="21"/>
          <w:highlight w:val="none"/>
        </w:rPr>
        <w:t>的社保证明资料复印件，证书上的单位名称必须与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名称一致。</w:t>
      </w:r>
    </w:p>
    <w:p w14:paraId="3AD9D8F1">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拟任项目</w:t>
      </w:r>
      <w:r>
        <w:rPr>
          <w:rFonts w:hint="eastAsia" w:ascii="宋体" w:hAnsi="宋体" w:eastAsia="宋体" w:cs="宋体"/>
          <w:color w:val="auto"/>
          <w:szCs w:val="21"/>
          <w:highlight w:val="none"/>
          <w:lang w:val="en-US" w:eastAsia="zh-CN"/>
        </w:rPr>
        <w:t>技术负责人具有建筑工程专业中级</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以上职称、和无在建工程承诺书。</w:t>
      </w:r>
      <w:r>
        <w:rPr>
          <w:rFonts w:hint="eastAsia" w:ascii="宋体" w:hAnsi="宋体" w:eastAsia="宋体" w:cs="宋体"/>
          <w:color w:val="auto"/>
          <w:szCs w:val="21"/>
          <w:highlight w:val="none"/>
          <w:lang w:eastAsia="zh-CN"/>
        </w:rPr>
        <w:t>提供相应证书、承诺书、供应商为其缴纳的近</w:t>
      </w:r>
      <w:r>
        <w:rPr>
          <w:rFonts w:hint="eastAsia" w:ascii="宋体" w:hAnsi="宋体" w:eastAsia="宋体" w:cs="宋体"/>
          <w:color w:val="auto"/>
          <w:szCs w:val="21"/>
          <w:highlight w:val="none"/>
          <w:lang w:val="en-US" w:eastAsia="zh-CN"/>
        </w:rPr>
        <w:t>3个月内任意1个月</w:t>
      </w:r>
      <w:r>
        <w:rPr>
          <w:rFonts w:hint="eastAsia" w:ascii="宋体" w:hAnsi="宋体" w:eastAsia="宋体" w:cs="宋体"/>
          <w:color w:val="auto"/>
          <w:szCs w:val="21"/>
          <w:highlight w:val="none"/>
          <w:lang w:eastAsia="zh-CN"/>
        </w:rPr>
        <w:t>的社保证明资料复印件。</w:t>
      </w:r>
    </w:p>
    <w:p w14:paraId="1CF9983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施工项目部关键岗位人员的任职资格及配备数量应符合湘建建〔2020〕208号的规定并提供承诺，保证未经业主许可，不更换团队人员（提供承诺函，格式自拟）</w:t>
      </w:r>
      <w:r>
        <w:rPr>
          <w:rFonts w:hint="eastAsia" w:ascii="宋体" w:hAnsi="宋体" w:eastAsia="宋体" w:cs="宋体"/>
          <w:color w:val="auto"/>
          <w:szCs w:val="21"/>
          <w:highlight w:val="none"/>
        </w:rPr>
        <w:t>。</w:t>
      </w:r>
    </w:p>
    <w:p w14:paraId="127FCD53">
      <w:pPr>
        <w:adjustRightInd w:val="0"/>
        <w:snapToGrid w:val="0"/>
        <w:spacing w:line="360" w:lineRule="auto"/>
        <w:ind w:firstLine="420" w:firstLineChars="200"/>
        <w:rPr>
          <w:rFonts w:ascii="宋体" w:hAnsi="宋体" w:cs="宋体"/>
          <w:b/>
          <w:bCs/>
          <w:color w:val="auto"/>
          <w:highlight w:val="none"/>
        </w:rPr>
      </w:pPr>
      <w:r>
        <w:rPr>
          <w:rFonts w:hint="eastAsia" w:ascii="宋体" w:hAnsi="宋体" w:cs="宋体"/>
          <w:color w:val="auto"/>
          <w:szCs w:val="21"/>
          <w:highlight w:val="none"/>
          <w:lang w:val="en-US" w:eastAsia="zh-CN"/>
        </w:rPr>
        <w:t>5、</w:t>
      </w:r>
      <w:r>
        <w:rPr>
          <w:rFonts w:hint="eastAsia" w:hAnsi="宋体" w:cs="宋体"/>
          <w:b/>
          <w:bCs/>
          <w:color w:val="auto"/>
          <w:highlight w:val="none"/>
        </w:rPr>
        <w:t>本项目为专门面向中小企业采购</w:t>
      </w:r>
      <w:r>
        <w:rPr>
          <w:rFonts w:hint="eastAsia" w:hAnsi="宋体" w:cs="宋体"/>
          <w:b/>
          <w:bCs/>
          <w:color w:val="auto"/>
          <w:highlight w:val="none"/>
          <w:lang w:eastAsia="zh-CN"/>
        </w:rPr>
        <w:t>的</w:t>
      </w:r>
      <w:r>
        <w:rPr>
          <w:rFonts w:hint="eastAsia" w:hAnsi="宋体" w:cs="宋体"/>
          <w:b/>
          <w:bCs/>
          <w:color w:val="auto"/>
          <w:highlight w:val="none"/>
          <w:lang w:val="en-US" w:eastAsia="zh-CN"/>
        </w:rPr>
        <w:t>项目</w:t>
      </w:r>
      <w:r>
        <w:rPr>
          <w:rFonts w:hint="eastAsia" w:hAnsi="宋体" w:cs="宋体"/>
          <w:b/>
          <w:bCs/>
          <w:color w:val="auto"/>
          <w:highlight w:val="none"/>
        </w:rPr>
        <w:t>。</w:t>
      </w:r>
      <w:r>
        <w:rPr>
          <w:rFonts w:hint="eastAsia"/>
          <w:color w:val="auto"/>
          <w:highlight w:val="none"/>
        </w:rPr>
        <w:t>各供应商应按《政府采购促进中小企业</w:t>
      </w:r>
      <w:r>
        <w:rPr>
          <w:rFonts w:hint="eastAsia" w:ascii="宋体" w:hAnsi="宋体" w:cs="宋体"/>
          <w:color w:val="auto"/>
          <w:highlight w:val="none"/>
        </w:rPr>
        <w:t>发展管理办法》（财库﹝2020﹞46号）相关规定及磋商文件的响应文件组成中的“《中小企业声明函》或《残疾人福利性单位声明函》或《监狱企业证明资料》”格式填写</w:t>
      </w:r>
      <w:r>
        <w:rPr>
          <w:rFonts w:hint="eastAsia" w:ascii="宋体" w:hAnsi="宋体" w:cs="宋体"/>
          <w:b/>
          <w:bCs/>
          <w:color w:val="auto"/>
          <w:highlight w:val="none"/>
        </w:rPr>
        <w:t>，否则视为无效响应。</w:t>
      </w:r>
    </w:p>
    <w:p w14:paraId="15A03EC7">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（四）联合体响应（投标）</w:t>
      </w:r>
    </w:p>
    <w:p w14:paraId="53ADACE9">
      <w:pPr>
        <w:pStyle w:val="19"/>
        <w:adjustRightInd w:val="0"/>
        <w:snapToGrid w:val="0"/>
        <w:spacing w:line="360" w:lineRule="auto"/>
        <w:ind w:firstLine="630" w:firstLineChars="300"/>
        <w:jc w:val="left"/>
        <w:rPr>
          <w:rFonts w:hAnsi="宋体" w:cs="宋体"/>
          <w:color w:val="auto"/>
          <w:highlight w:val="none"/>
        </w:rPr>
      </w:pPr>
      <w:r>
        <w:rPr>
          <w:rFonts w:hint="eastAsia" w:hAnsi="宋体" w:cs="宋体"/>
          <w:color w:val="auto"/>
          <w:highlight w:val="none"/>
        </w:rPr>
        <w:t xml:space="preserve">本次采购 </w:t>
      </w:r>
      <w:r>
        <w:rPr>
          <w:rFonts w:hint="eastAsia" w:hAnsi="宋体" w:cs="宋体"/>
          <w:color w:val="auto"/>
          <w:highlight w:val="none"/>
          <w:u w:val="single"/>
        </w:rPr>
        <w:t>不接受</w:t>
      </w:r>
      <w:r>
        <w:rPr>
          <w:rFonts w:hint="eastAsia" w:hAnsi="宋体" w:cs="宋体"/>
          <w:color w:val="auto"/>
          <w:highlight w:val="none"/>
        </w:rPr>
        <w:t>联合体响应（投标）</w:t>
      </w:r>
      <w:r>
        <w:rPr>
          <w:rFonts w:hAnsi="宋体" w:cs="宋体"/>
          <w:color w:val="auto"/>
          <w:highlight w:val="none"/>
        </w:rPr>
        <w:t>。</w:t>
      </w:r>
    </w:p>
    <w:p w14:paraId="29B147AD">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五）资格审查时，通过信用中国网站(www.creditchina.gov.cn)、中国政府采购网(www.ccgp.gov.cn)渠道查询供应商信用记录，对列入失信被执行人、重大税收违法案件当事人名单、政府采购严重违法失信行为记录名单，其响应无效，无效响应供应商的信用记录查询结果截图将作为项目材料的组成部分。</w:t>
      </w:r>
    </w:p>
    <w:p w14:paraId="5B7B8A38">
      <w:pPr>
        <w:pStyle w:val="19"/>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信用信息查询的截止时点：至本项目响应截止时间止。</w:t>
      </w:r>
    </w:p>
    <w:p w14:paraId="51DA8DC2">
      <w:pPr>
        <w:pStyle w:val="19"/>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信用信息查询记录的具体方式：采购人或采购代理机构在开标后在规定的查询渠道进行查询。</w:t>
      </w:r>
    </w:p>
    <w:p w14:paraId="1C6F6B39">
      <w:pPr>
        <w:pStyle w:val="19"/>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信用信息查询记录证据留存的具体方式：查询记录的网上打印件。</w:t>
      </w:r>
    </w:p>
    <w:p w14:paraId="1D465055">
      <w:pPr>
        <w:pStyle w:val="19"/>
        <w:adjustRightInd w:val="0"/>
        <w:snapToGrid w:val="0"/>
        <w:spacing w:line="360" w:lineRule="auto"/>
        <w:ind w:firstLine="422" w:firstLineChars="200"/>
        <w:jc w:val="left"/>
        <w:rPr>
          <w:rFonts w:hAnsi="宋体" w:cs="宋体"/>
          <w:b/>
          <w:bCs/>
          <w:color w:val="auto"/>
          <w:highlight w:val="none"/>
        </w:rPr>
      </w:pPr>
      <w:r>
        <w:rPr>
          <w:rFonts w:hint="eastAsia" w:hAnsi="宋体" w:cs="宋体"/>
          <w:b/>
          <w:bCs/>
          <w:color w:val="auto"/>
          <w:highlight w:val="none"/>
        </w:rPr>
        <w:t>本项目拒绝有不良信用记录的供应商参与磋商。</w:t>
      </w:r>
    </w:p>
    <w:p w14:paraId="7852127B">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（六）供应商应领取本项目磋商文件。</w:t>
      </w:r>
    </w:p>
    <w:p w14:paraId="48114043">
      <w:pPr>
        <w:numPr>
          <w:ilvl w:val="0"/>
          <w:numId w:val="3"/>
        </w:numPr>
        <w:adjustRightInd w:val="0"/>
        <w:snapToGrid w:val="0"/>
        <w:spacing w:line="360" w:lineRule="auto"/>
        <w:ind w:firstLine="211" w:firstLineChars="100"/>
        <w:rPr>
          <w:rFonts w:ascii="宋体" w:hAnsi="宋体" w:cs="宋体"/>
          <w:b/>
          <w:bCs/>
          <w:color w:val="auto"/>
          <w:highlight w:val="none"/>
        </w:rPr>
      </w:pPr>
      <w:r>
        <w:rPr>
          <w:rFonts w:hint="eastAsia" w:ascii="宋体" w:hAnsi="宋体" w:cs="宋体"/>
          <w:b/>
          <w:bCs/>
          <w:color w:val="auto"/>
          <w:highlight w:val="none"/>
        </w:rPr>
        <w:t>获取磋商文件的时间、地点、方式及售价</w:t>
      </w:r>
    </w:p>
    <w:p w14:paraId="37EB0DF3">
      <w:pPr>
        <w:pStyle w:val="19"/>
        <w:numPr>
          <w:ilvl w:val="0"/>
          <w:numId w:val="4"/>
        </w:numPr>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凡有意参加磋商采购活动的供应商，请于</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7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9 </w:t>
      </w:r>
      <w:r>
        <w:rPr>
          <w:rFonts w:hint="eastAsia" w:hAnsi="宋体" w:cs="宋体"/>
          <w:color w:val="auto"/>
          <w:highlight w:val="none"/>
        </w:rPr>
        <w:t>日起至</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u w:val="single"/>
          <w:lang w:val="en-US" w:eastAsia="zh-CN"/>
        </w:rPr>
        <w:t>7</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16 </w:t>
      </w:r>
      <w:r>
        <w:rPr>
          <w:rFonts w:hint="eastAsia" w:hAnsi="宋体" w:cs="宋体"/>
          <w:color w:val="auto"/>
          <w:highlight w:val="none"/>
        </w:rPr>
        <w:t>日，每日上午9:00时到12:00时，下午2:30时到5:00时(北京时间，节假日除外)，持供应商营业执照副本复印件、法定代表人身份证明（委托代理人领取磋商文件：授权委托书附法定代表人身份证明及授权委托人身份证明复印件)、本人身份证原件到</w:t>
      </w:r>
      <w:r>
        <w:rPr>
          <w:rFonts w:hint="eastAsia" w:hAnsi="宋体" w:cs="宋体"/>
          <w:color w:val="auto"/>
          <w:highlight w:val="none"/>
          <w:lang w:val="en-US" w:eastAsia="zh-CN"/>
        </w:rPr>
        <w:t>长沙市芙蓉中路二段144号城市中心7楼718</w:t>
      </w:r>
      <w:r>
        <w:rPr>
          <w:rFonts w:hint="eastAsia" w:hAnsi="宋体" w:cs="宋体"/>
          <w:color w:val="auto"/>
          <w:highlight w:val="none"/>
          <w:lang w:eastAsia="zh-CN"/>
        </w:rPr>
        <w:t>室</w:t>
      </w:r>
      <w:r>
        <w:rPr>
          <w:rFonts w:hint="eastAsia" w:hAnsi="宋体" w:cs="宋体"/>
          <w:color w:val="auto"/>
          <w:highlight w:val="none"/>
        </w:rPr>
        <w:t>领取磋商文件。所递交资料均须加盖供应商公章</w:t>
      </w:r>
      <w:r>
        <w:rPr>
          <w:rFonts w:hint="eastAsia" w:hAnsi="宋体" w:cs="宋体"/>
          <w:color w:val="auto"/>
          <w:highlight w:val="none"/>
          <w:lang w:eastAsia="zh-CN"/>
        </w:rPr>
        <w:t>的原件</w:t>
      </w:r>
      <w:r>
        <w:rPr>
          <w:rFonts w:hint="eastAsia" w:hAnsi="宋体" w:cs="宋体"/>
          <w:color w:val="auto"/>
          <w:highlight w:val="none"/>
        </w:rPr>
        <w:t>。</w:t>
      </w:r>
    </w:p>
    <w:p w14:paraId="496BE014">
      <w:pPr>
        <w:pStyle w:val="19"/>
        <w:numPr>
          <w:ilvl w:val="0"/>
          <w:numId w:val="4"/>
        </w:numPr>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磋商</w:t>
      </w:r>
      <w:r>
        <w:rPr>
          <w:rFonts w:hint="eastAsia" w:hAnsi="宋体" w:cs="宋体"/>
          <w:bCs/>
          <w:color w:val="auto"/>
          <w:highlight w:val="none"/>
        </w:rPr>
        <w:t>文件售价：</w:t>
      </w:r>
      <w:r>
        <w:rPr>
          <w:rFonts w:hint="eastAsia" w:hAnsi="宋体" w:cs="宋体"/>
          <w:bCs/>
          <w:color w:val="auto"/>
          <w:highlight w:val="none"/>
          <w:u w:val="single"/>
        </w:rPr>
        <w:t>0</w:t>
      </w:r>
      <w:r>
        <w:rPr>
          <w:rFonts w:hint="eastAsia" w:hAnsi="宋体" w:cs="宋体"/>
          <w:bCs/>
          <w:color w:val="auto"/>
          <w:highlight w:val="none"/>
        </w:rPr>
        <w:t>元/套</w:t>
      </w:r>
      <w:r>
        <w:rPr>
          <w:rFonts w:hint="eastAsia" w:hAnsi="宋体" w:cs="宋体"/>
          <w:color w:val="auto"/>
          <w:highlight w:val="none"/>
        </w:rPr>
        <w:t>。</w:t>
      </w:r>
    </w:p>
    <w:p w14:paraId="0CBC77AB">
      <w:pPr>
        <w:numPr>
          <w:ilvl w:val="0"/>
          <w:numId w:val="3"/>
        </w:numPr>
        <w:adjustRightInd w:val="0"/>
        <w:snapToGrid w:val="0"/>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响应文件递交的截止时间、开启时间及地点</w:t>
      </w:r>
    </w:p>
    <w:p w14:paraId="4E7E49CF">
      <w:pPr>
        <w:pStyle w:val="19"/>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（一）提交首次响应文件的截止时间为</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7 </w:t>
      </w:r>
      <w:r>
        <w:rPr>
          <w:rFonts w:hint="eastAsia" w:hAnsi="宋体" w:cs="宋体"/>
          <w:color w:val="auto"/>
          <w:highlight w:val="none"/>
        </w:rPr>
        <w:t>月</w:t>
      </w:r>
      <w:r>
        <w:rPr>
          <w:rFonts w:hint="eastAsia" w:hAnsi="宋体" w:cs="宋体"/>
          <w:color w:val="auto"/>
          <w:highlight w:val="none"/>
          <w:u w:val="single"/>
          <w:lang w:val="en-US" w:eastAsia="zh-CN"/>
        </w:rPr>
        <w:t xml:space="preserve"> 21</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color w:val="auto"/>
          <w:highlight w:val="none"/>
          <w:u w:val="single"/>
          <w:lang w:val="en-US" w:eastAsia="zh-CN"/>
        </w:rPr>
        <w:t xml:space="preserve"> 15 </w:t>
      </w:r>
      <w:r>
        <w:rPr>
          <w:rFonts w:hint="eastAsia" w:hAnsi="宋体" w:cs="宋体"/>
          <w:color w:val="auto"/>
          <w:highlight w:val="none"/>
        </w:rPr>
        <w:t>时</w:t>
      </w:r>
      <w:r>
        <w:rPr>
          <w:rFonts w:hint="eastAsia" w:hAnsi="宋体" w:cs="宋体"/>
          <w:color w:val="auto"/>
          <w:highlight w:val="none"/>
          <w:u w:val="single"/>
          <w:lang w:val="en-US" w:eastAsia="zh-CN"/>
        </w:rPr>
        <w:t xml:space="preserve"> 00 </w:t>
      </w:r>
      <w:r>
        <w:rPr>
          <w:rFonts w:hint="eastAsia" w:hAnsi="宋体" w:cs="宋体"/>
          <w:color w:val="auto"/>
          <w:highlight w:val="none"/>
        </w:rPr>
        <w:t>分(北京时间)，地点为</w:t>
      </w:r>
      <w:r>
        <w:rPr>
          <w:rFonts w:hint="eastAsia" w:hAnsi="宋体" w:cs="宋体"/>
          <w:color w:val="auto"/>
          <w:highlight w:val="none"/>
          <w:u w:val="single"/>
          <w:lang w:eastAsia="zh-CN"/>
        </w:rPr>
        <w:t>长沙市芙蓉中路二段144号城市中心7楼718室</w:t>
      </w:r>
      <w:r>
        <w:rPr>
          <w:rFonts w:hint="eastAsia" w:hAnsi="宋体" w:cs="宋体"/>
          <w:color w:val="auto"/>
          <w:highlight w:val="none"/>
          <w:u w:val="single"/>
        </w:rPr>
        <w:t>（</w:t>
      </w:r>
      <w:r>
        <w:rPr>
          <w:rFonts w:hint="eastAsia" w:hAnsi="宋体" w:cs="宋体"/>
          <w:color w:val="auto"/>
          <w:highlight w:val="none"/>
          <w:u w:val="single"/>
          <w:lang w:eastAsia="zh-CN"/>
        </w:rPr>
        <w:t>湖南省华新招标咨询有限公司</w:t>
      </w:r>
      <w:r>
        <w:rPr>
          <w:rFonts w:hint="eastAsia" w:hAnsi="宋体" w:cs="宋体"/>
          <w:color w:val="auto"/>
          <w:highlight w:val="none"/>
          <w:u w:val="single"/>
        </w:rPr>
        <w:t>开标室）</w:t>
      </w:r>
      <w:r>
        <w:rPr>
          <w:rFonts w:hint="eastAsia" w:hAnsi="宋体"/>
          <w:color w:val="auto"/>
          <w:highlight w:val="none"/>
        </w:rPr>
        <w:t>。在截止时间后送达的响应文件</w:t>
      </w:r>
      <w:r>
        <w:rPr>
          <w:rFonts w:hint="eastAsia" w:hAnsi="宋体" w:cs="宋体"/>
          <w:color w:val="auto"/>
          <w:highlight w:val="none"/>
        </w:rPr>
        <w:t>或者不按磋商文件要求密封的响应文件</w:t>
      </w:r>
      <w:r>
        <w:rPr>
          <w:rFonts w:hint="eastAsia" w:hAnsi="宋体"/>
          <w:color w:val="auto"/>
          <w:highlight w:val="none"/>
        </w:rPr>
        <w:t>，采购人、采购代理机构或者磋商小组应当拒收。</w:t>
      </w:r>
    </w:p>
    <w:p w14:paraId="0C1F45D8">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（二）首次响应文件的开启时间及地点与提交首次响应文件的截止时间及地点为同一时间及地点。</w:t>
      </w:r>
    </w:p>
    <w:p w14:paraId="16B6E961">
      <w:pPr>
        <w:numPr>
          <w:ilvl w:val="0"/>
          <w:numId w:val="3"/>
        </w:numPr>
        <w:adjustRightInd w:val="0"/>
        <w:snapToGrid w:val="0"/>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采购人及采购代理机构联系方式</w:t>
      </w:r>
    </w:p>
    <w:p w14:paraId="0F6EEECF">
      <w:pPr>
        <w:adjustRightInd w:val="0"/>
        <w:snapToGrid w:val="0"/>
        <w:spacing w:line="360" w:lineRule="auto"/>
        <w:ind w:firstLine="420" w:firstLineChars="200"/>
        <w:rPr>
          <w:rFonts w:hint="eastAsia" w:ascii="宋体" w:hAnsi="宋体" w:eastAsia="宋体"/>
          <w:iCs/>
          <w:color w:val="auto"/>
          <w:szCs w:val="21"/>
          <w:highlight w:val="none"/>
          <w:u w:val="single"/>
          <w:lang w:eastAsia="zh-CN"/>
        </w:rPr>
      </w:pPr>
      <w:r>
        <w:rPr>
          <w:rFonts w:hint="eastAsia" w:ascii="宋体" w:hAnsi="宋体"/>
          <w:color w:val="auto"/>
          <w:szCs w:val="21"/>
          <w:highlight w:val="none"/>
        </w:rPr>
        <w:t>采 购 人：</w:t>
      </w:r>
      <w:r>
        <w:rPr>
          <w:rFonts w:hint="eastAsia" w:ascii="宋体" w:hAnsi="宋体"/>
          <w:iCs/>
          <w:color w:val="auto"/>
          <w:szCs w:val="21"/>
          <w:highlight w:val="none"/>
          <w:u w:val="single"/>
          <w:lang w:eastAsia="zh-CN"/>
        </w:rPr>
        <w:t>湖南省公安厅交通管理总队</w:t>
      </w:r>
    </w:p>
    <w:p w14:paraId="61E2ACD5">
      <w:pPr>
        <w:adjustRightInd w:val="0"/>
        <w:snapToGrid w:val="0"/>
        <w:spacing w:line="360" w:lineRule="auto"/>
        <w:ind w:firstLine="420" w:firstLineChars="200"/>
        <w:rPr>
          <w:rFonts w:hint="default" w:ascii="宋体" w:hAnsi="宋体" w:eastAsia="宋体"/>
          <w:iCs/>
          <w:color w:val="auto"/>
          <w:szCs w:val="21"/>
          <w:highlight w:val="none"/>
          <w:u w:val="single"/>
          <w:lang w:val="en-US" w:eastAsia="zh-CN"/>
        </w:rPr>
      </w:pPr>
      <w:r>
        <w:rPr>
          <w:rFonts w:hint="eastAsia" w:ascii="宋体" w:hAnsi="宋体"/>
          <w:iCs/>
          <w:color w:val="auto"/>
          <w:szCs w:val="21"/>
          <w:highlight w:val="none"/>
        </w:rPr>
        <w:t>联 系 人：</w:t>
      </w:r>
      <w:r>
        <w:rPr>
          <w:rFonts w:hint="eastAsia" w:ascii="宋体" w:hAnsi="宋体"/>
          <w:iCs/>
          <w:color w:val="auto"/>
          <w:szCs w:val="21"/>
          <w:highlight w:val="none"/>
          <w:u w:val="single"/>
          <w:lang w:val="en-US" w:eastAsia="zh-CN"/>
        </w:rPr>
        <w:t>吕先生</w:t>
      </w:r>
    </w:p>
    <w:p w14:paraId="65D75DFB">
      <w:pPr>
        <w:adjustRightInd w:val="0"/>
        <w:snapToGrid w:val="0"/>
        <w:spacing w:line="360" w:lineRule="auto"/>
        <w:ind w:firstLine="420" w:firstLineChars="200"/>
        <w:rPr>
          <w:rFonts w:hint="eastAsia" w:ascii="宋体" w:hAnsi="宋体" w:eastAsia="宋体"/>
          <w:iCs/>
          <w:color w:val="auto"/>
          <w:szCs w:val="21"/>
          <w:highlight w:val="none"/>
          <w:u w:val="single"/>
          <w:lang w:val="en-US" w:eastAsia="zh-CN"/>
        </w:rPr>
      </w:pPr>
      <w:r>
        <w:rPr>
          <w:rFonts w:hint="eastAsia" w:ascii="宋体" w:hAnsi="宋体"/>
          <w:iCs/>
          <w:color w:val="auto"/>
          <w:szCs w:val="21"/>
          <w:highlight w:val="none"/>
        </w:rPr>
        <w:t>电    话：</w:t>
      </w:r>
      <w:r>
        <w:rPr>
          <w:rFonts w:hint="eastAsia" w:ascii="宋体" w:cs="宋体"/>
          <w:color w:val="auto"/>
          <w:szCs w:val="21"/>
          <w:highlight w:val="none"/>
          <w:u w:val="single"/>
          <w:lang w:eastAsia="zh-CN"/>
        </w:rPr>
        <w:t>0731-84068075</w:t>
      </w:r>
    </w:p>
    <w:p w14:paraId="744603C7">
      <w:pPr>
        <w:adjustRightInd w:val="0"/>
        <w:snapToGrid w:val="0"/>
        <w:spacing w:line="360" w:lineRule="auto"/>
        <w:ind w:firstLine="420" w:firstLineChars="200"/>
        <w:rPr>
          <w:rFonts w:hint="eastAsia" w:ascii="宋体" w:hAnsi="宋体" w:eastAsia="宋体"/>
          <w:iCs/>
          <w:color w:val="auto"/>
          <w:szCs w:val="21"/>
          <w:highlight w:val="none"/>
          <w:u w:val="single"/>
          <w:lang w:eastAsia="zh-CN"/>
        </w:rPr>
      </w:pPr>
      <w:r>
        <w:rPr>
          <w:rFonts w:hint="eastAsia" w:ascii="宋体" w:hAnsi="宋体"/>
          <w:color w:val="auto"/>
          <w:szCs w:val="21"/>
          <w:highlight w:val="none"/>
        </w:rPr>
        <w:t>地    址：</w:t>
      </w:r>
      <w:r>
        <w:rPr>
          <w:rFonts w:hint="eastAsia" w:ascii="宋体" w:hAnsi="宋体"/>
          <w:iCs/>
          <w:color w:val="auto"/>
          <w:szCs w:val="21"/>
          <w:highlight w:val="none"/>
          <w:u w:val="single"/>
          <w:lang w:eastAsia="zh-CN"/>
        </w:rPr>
        <w:t>长沙市经济技术开发区时中南路95号</w:t>
      </w:r>
    </w:p>
    <w:p w14:paraId="3E488FF4">
      <w:pPr>
        <w:pStyle w:val="8"/>
        <w:rPr>
          <w:color w:val="auto"/>
          <w:highlight w:val="none"/>
        </w:rPr>
      </w:pPr>
    </w:p>
    <w:p w14:paraId="6F6B8D0A">
      <w:pPr>
        <w:adjustRightInd w:val="0"/>
        <w:snapToGrid w:val="0"/>
        <w:spacing w:line="360" w:lineRule="auto"/>
        <w:ind w:firstLine="420" w:firstLineChars="200"/>
        <w:rPr>
          <w:rFonts w:hint="eastAsia" w:ascii="宋体" w:eastAsia="宋体" w:cs="宋体"/>
          <w:bCs/>
          <w:color w:val="auto"/>
          <w:szCs w:val="21"/>
          <w:highlight w:val="none"/>
          <w:lang w:eastAsia="zh-CN"/>
        </w:rPr>
      </w:pPr>
      <w:r>
        <w:rPr>
          <w:rFonts w:hint="eastAsia" w:ascii="宋体" w:cs="宋体"/>
          <w:bCs/>
          <w:color w:val="auto"/>
          <w:szCs w:val="21"/>
          <w:highlight w:val="none"/>
        </w:rPr>
        <w:t>采购代理机构：</w:t>
      </w:r>
      <w:r>
        <w:rPr>
          <w:rFonts w:hint="eastAsia" w:ascii="宋体" w:cs="宋体"/>
          <w:color w:val="auto"/>
          <w:szCs w:val="21"/>
          <w:highlight w:val="none"/>
          <w:u w:val="single"/>
          <w:lang w:eastAsia="zh-CN"/>
        </w:rPr>
        <w:t>湖南省华新招标咨询有限公司</w:t>
      </w:r>
    </w:p>
    <w:p w14:paraId="58B1043A">
      <w:pPr>
        <w:adjustRightInd w:val="0"/>
        <w:snapToGrid w:val="0"/>
        <w:spacing w:line="360" w:lineRule="auto"/>
        <w:ind w:firstLine="420" w:firstLineChars="200"/>
        <w:rPr>
          <w:rFonts w:hint="default" w:ascii="宋体" w:eastAsia="宋体" w:cs="宋体"/>
          <w:color w:val="auto"/>
          <w:szCs w:val="21"/>
          <w:highlight w:val="none"/>
          <w:u w:val="single"/>
          <w:lang w:val="en-US" w:eastAsia="zh-CN"/>
        </w:rPr>
      </w:pPr>
      <w:r>
        <w:rPr>
          <w:rFonts w:hint="eastAsia" w:ascii="宋体" w:cs="宋体"/>
          <w:color w:val="auto"/>
          <w:szCs w:val="21"/>
          <w:highlight w:val="none"/>
        </w:rPr>
        <w:t>联 系 人：</w:t>
      </w:r>
      <w:r>
        <w:rPr>
          <w:rFonts w:hint="eastAsia" w:ascii="宋体" w:cs="宋体"/>
          <w:color w:val="auto"/>
          <w:szCs w:val="21"/>
          <w:highlight w:val="none"/>
          <w:u w:val="single"/>
          <w:lang w:val="en-US" w:eastAsia="zh-CN"/>
        </w:rPr>
        <w:t>刘莎、庄美君、贺琪然、吴雨晨</w:t>
      </w:r>
    </w:p>
    <w:p w14:paraId="119DD39D">
      <w:pPr>
        <w:adjustRightInd w:val="0"/>
        <w:snapToGrid w:val="0"/>
        <w:spacing w:line="360" w:lineRule="auto"/>
        <w:ind w:firstLine="420" w:firstLineChars="200"/>
        <w:rPr>
          <w:rFonts w:asci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0731-82204733</w:t>
      </w:r>
    </w:p>
    <w:p w14:paraId="6C2BFFC3">
      <w:pPr>
        <w:adjustRightInd w:val="0"/>
        <w:snapToGrid w:val="0"/>
        <w:spacing w:line="360" w:lineRule="auto"/>
        <w:ind w:firstLine="420" w:firstLineChars="200"/>
        <w:rPr>
          <w:rFonts w:hint="eastAsia" w:ascii="宋体" w:eastAsia="宋体" w:cs="宋体"/>
          <w:color w:val="auto"/>
          <w:kern w:val="0"/>
          <w:highlight w:val="none"/>
          <w:lang w:eastAsia="zh-CN"/>
        </w:rPr>
      </w:pPr>
      <w:r>
        <w:rPr>
          <w:rFonts w:hint="eastAsia" w:ascii="宋体" w:cs="宋体"/>
          <w:color w:val="auto"/>
          <w:highlight w:val="none"/>
        </w:rPr>
        <w:t>地    址：</w:t>
      </w:r>
      <w:r>
        <w:rPr>
          <w:rFonts w:hint="eastAsia" w:ascii="宋体" w:cs="宋体"/>
          <w:color w:val="auto"/>
          <w:highlight w:val="none"/>
          <w:u w:val="single"/>
          <w:lang w:eastAsia="zh-CN"/>
        </w:rPr>
        <w:t>长沙市芙蓉中路二段144号城市中心7楼718室</w:t>
      </w:r>
    </w:p>
    <w:p w14:paraId="55534319">
      <w:pPr>
        <w:pStyle w:val="19"/>
        <w:adjustRightInd w:val="0"/>
        <w:snapToGrid w:val="0"/>
        <w:spacing w:line="360" w:lineRule="auto"/>
        <w:ind w:left="23" w:leftChars="11" w:firstLine="420" w:firstLineChars="200"/>
        <w:jc w:val="right"/>
        <w:rPr>
          <w:rFonts w:hAnsi="宋体" w:cs="宋体"/>
          <w:color w:val="auto"/>
          <w:highlight w:val="none"/>
        </w:rPr>
      </w:pPr>
    </w:p>
    <w:p w14:paraId="05427BF5">
      <w:pPr>
        <w:pStyle w:val="19"/>
        <w:adjustRightInd w:val="0"/>
        <w:snapToGrid w:val="0"/>
        <w:spacing w:line="360" w:lineRule="auto"/>
        <w:ind w:left="23" w:leftChars="11" w:firstLine="420" w:firstLineChars="200"/>
        <w:jc w:val="right"/>
        <w:rPr>
          <w:rFonts w:hAnsi="宋体" w:cs="宋体"/>
          <w:color w:val="auto"/>
          <w:highlight w:val="none"/>
        </w:rPr>
      </w:pPr>
    </w:p>
    <w:p w14:paraId="7BD5E858">
      <w:pPr>
        <w:pStyle w:val="19"/>
        <w:adjustRightInd w:val="0"/>
        <w:snapToGrid w:val="0"/>
        <w:spacing w:line="360" w:lineRule="auto"/>
        <w:ind w:left="23" w:leftChars="11" w:firstLine="420" w:firstLineChars="200"/>
        <w:jc w:val="right"/>
        <w:rPr>
          <w:rFonts w:hAnsi="宋体" w:cs="宋体"/>
          <w:color w:val="auto"/>
          <w:highlight w:val="none"/>
        </w:rPr>
      </w:pPr>
    </w:p>
    <w:p w14:paraId="2E2AC288">
      <w:pPr>
        <w:pStyle w:val="19"/>
        <w:adjustRightInd w:val="0"/>
        <w:snapToGrid w:val="0"/>
        <w:spacing w:line="360" w:lineRule="auto"/>
        <w:ind w:left="23" w:leftChars="11" w:firstLine="420" w:firstLineChars="200"/>
        <w:jc w:val="right"/>
        <w:rPr>
          <w:rFonts w:hAnsi="宋体" w:cs="宋体"/>
          <w:color w:val="auto"/>
          <w:highlight w:val="none"/>
        </w:rPr>
      </w:pPr>
      <w:r>
        <w:rPr>
          <w:rFonts w:hint="eastAsia" w:hAnsi="宋体" w:cs="宋体"/>
          <w:color w:val="auto"/>
          <w:highlight w:val="none"/>
        </w:rPr>
        <w:t xml:space="preserve">                     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7</w:t>
      </w:r>
      <w:r>
        <w:rPr>
          <w:rFonts w:hint="eastAsia" w:hAnsi="宋体" w:cs="宋体"/>
          <w:color w:val="auto"/>
          <w:highlight w:val="none"/>
        </w:rPr>
        <w:t>月</w:t>
      </w:r>
    </w:p>
    <w:p w14:paraId="1C40E64D">
      <w:pPr>
        <w:adjustRightInd w:val="0"/>
        <w:snapToGrid w:val="0"/>
        <w:spacing w:line="360" w:lineRule="auto"/>
        <w:jc w:val="center"/>
        <w:outlineLvl w:val="0"/>
        <w:rPr>
          <w:rFonts w:ascii="宋体" w:hAnsi="宋体" w:cs="宋体"/>
          <w:b/>
          <w:color w:val="auto"/>
          <w:sz w:val="32"/>
          <w:szCs w:val="32"/>
          <w:highlight w:val="none"/>
        </w:rPr>
        <w:sectPr>
          <w:footerReference r:id="rId7" w:type="default"/>
          <w:pgSz w:w="11906" w:h="16838"/>
          <w:pgMar w:top="1587" w:right="1417" w:bottom="1474" w:left="1587"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7C341D71">
      <w:pPr>
        <w:adjustRightInd w:val="0"/>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第二章磋商须知</w:t>
      </w:r>
    </w:p>
    <w:p w14:paraId="3ACCFB94">
      <w:pPr>
        <w:pStyle w:val="19"/>
        <w:jc w:val="center"/>
        <w:rPr>
          <w:rFonts w:hAnsi="宋体" w:cs="宋体"/>
          <w:b/>
          <w:color w:val="auto"/>
          <w:highlight w:val="none"/>
        </w:rPr>
      </w:pPr>
      <w:r>
        <w:rPr>
          <w:rFonts w:hint="eastAsia" w:hAnsi="宋体" w:cs="宋体"/>
          <w:b/>
          <w:color w:val="auto"/>
          <w:highlight w:val="none"/>
        </w:rPr>
        <w:t>磋商须知前附表</w:t>
      </w:r>
    </w:p>
    <w:p w14:paraId="492DDF43">
      <w:pPr>
        <w:pStyle w:val="19"/>
        <w:rPr>
          <w:rFonts w:hAnsi="宋体" w:cs="宋体"/>
          <w:color w:val="auto"/>
          <w:highlight w:val="none"/>
        </w:rPr>
      </w:pPr>
      <w:r>
        <w:rPr>
          <w:rFonts w:hint="eastAsia" w:hAnsi="宋体" w:cs="宋体"/>
          <w:color w:val="auto"/>
          <w:highlight w:val="none"/>
        </w:rPr>
        <w:t>注： 请在方框□用“■”标示选择，在“条款号”内限选一项。</w:t>
      </w:r>
    </w:p>
    <w:tbl>
      <w:tblPr>
        <w:tblStyle w:val="33"/>
        <w:tblW w:w="98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2115"/>
        <w:gridCol w:w="1815"/>
        <w:gridCol w:w="4147"/>
      </w:tblGrid>
      <w:tr w14:paraId="5363E3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762" w:type="dxa"/>
            <w:vAlign w:val="center"/>
          </w:tcPr>
          <w:p w14:paraId="07294B68">
            <w:pPr>
              <w:adjustRightInd w:val="0"/>
              <w:snapToGrid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115" w:type="dxa"/>
            <w:vAlign w:val="center"/>
          </w:tcPr>
          <w:p w14:paraId="03CE61CF">
            <w:pPr>
              <w:adjustRightInd w:val="0"/>
              <w:snapToGrid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5962" w:type="dxa"/>
            <w:gridSpan w:val="2"/>
            <w:vAlign w:val="center"/>
          </w:tcPr>
          <w:p w14:paraId="661642DD">
            <w:pPr>
              <w:adjustRightInd w:val="0"/>
              <w:snapToGrid w:val="0"/>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编列内容规定</w:t>
            </w:r>
          </w:p>
        </w:tc>
      </w:tr>
      <w:tr w14:paraId="7327C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6FF86D4C">
            <w:pPr>
              <w:adjustRightInd w:val="0"/>
              <w:snapToGrid w:val="0"/>
              <w:spacing w:line="280" w:lineRule="exact"/>
              <w:jc w:val="left"/>
              <w:rPr>
                <w:rFonts w:ascii="宋体" w:hAnsi="宋体" w:cs="宋体"/>
                <w:color w:val="auto"/>
                <w:szCs w:val="21"/>
                <w:highlight w:val="none"/>
              </w:rPr>
            </w:pPr>
            <w:r>
              <w:rPr>
                <w:rFonts w:hint="eastAsia" w:ascii="宋体" w:hAnsi="宋体" w:cs="宋体"/>
                <w:b/>
                <w:color w:val="auto"/>
                <w:szCs w:val="21"/>
                <w:highlight w:val="none"/>
              </w:rPr>
              <w:t>一、说明</w:t>
            </w:r>
          </w:p>
        </w:tc>
      </w:tr>
      <w:tr w14:paraId="6F7D5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1A1E8A22">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第二章第1.1款</w:t>
            </w:r>
          </w:p>
        </w:tc>
        <w:tc>
          <w:tcPr>
            <w:tcW w:w="2115" w:type="dxa"/>
            <w:vAlign w:val="center"/>
          </w:tcPr>
          <w:p w14:paraId="705D473D">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采购项目</w:t>
            </w:r>
          </w:p>
        </w:tc>
        <w:tc>
          <w:tcPr>
            <w:tcW w:w="5962" w:type="dxa"/>
            <w:gridSpan w:val="2"/>
            <w:vAlign w:val="center"/>
          </w:tcPr>
          <w:p w14:paraId="204EB6E1">
            <w:pPr>
              <w:adjustRightInd w:val="0"/>
              <w:snapToGrid w:val="0"/>
              <w:spacing w:before="156" w:beforeLines="50"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湖南省公安厅交管总队警务技能训练用房及备勤休息用房维修改造项目</w:t>
            </w:r>
          </w:p>
        </w:tc>
      </w:tr>
      <w:tr w14:paraId="02FBF3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5D4F747C">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第二章第2.1款</w:t>
            </w:r>
          </w:p>
        </w:tc>
        <w:tc>
          <w:tcPr>
            <w:tcW w:w="2115" w:type="dxa"/>
            <w:vAlign w:val="center"/>
          </w:tcPr>
          <w:p w14:paraId="3F8BE610">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5962" w:type="dxa"/>
            <w:gridSpan w:val="2"/>
            <w:vAlign w:val="center"/>
          </w:tcPr>
          <w:p w14:paraId="3BC4FE25">
            <w:pPr>
              <w:adjustRightInd w:val="0"/>
              <w:snapToGrid w:val="0"/>
              <w:spacing w:before="156" w:beforeLines="50" w:line="360" w:lineRule="auto"/>
              <w:jc w:val="left"/>
              <w:rPr>
                <w:rFonts w:ascii="宋体" w:cs="宋体"/>
                <w:color w:val="auto"/>
                <w:szCs w:val="21"/>
                <w:highlight w:val="none"/>
              </w:rPr>
            </w:pPr>
            <w:r>
              <w:rPr>
                <w:rFonts w:hint="eastAsia" w:ascii="宋体" w:hAnsi="宋体"/>
                <w:color w:val="auto"/>
                <w:szCs w:val="21"/>
                <w:highlight w:val="none"/>
              </w:rPr>
              <w:t>名    称：</w:t>
            </w:r>
            <w:r>
              <w:rPr>
                <w:rFonts w:hint="eastAsia" w:ascii="宋体" w:hAnsi="宋体"/>
                <w:iCs/>
                <w:color w:val="auto"/>
                <w:szCs w:val="21"/>
                <w:highlight w:val="none"/>
                <w:u w:val="single"/>
                <w:lang w:eastAsia="zh-CN"/>
              </w:rPr>
              <w:t>湖南省公安厅交通管理总队</w:t>
            </w:r>
          </w:p>
          <w:p w14:paraId="16DA5407">
            <w:pPr>
              <w:adjustRightInd w:val="0"/>
              <w:snapToGrid w:val="0"/>
              <w:spacing w:before="156" w:beforeLines="50" w:line="360" w:lineRule="auto"/>
              <w:jc w:val="left"/>
              <w:rPr>
                <w:rFonts w:hint="eastAsia" w:ascii="宋体" w:hAnsi="宋体" w:eastAsia="宋体"/>
                <w:iCs/>
                <w:color w:val="auto"/>
                <w:szCs w:val="21"/>
                <w:highlight w:val="none"/>
                <w:u w:val="single"/>
                <w:lang w:eastAsia="zh-CN"/>
              </w:rPr>
            </w:pPr>
            <w:r>
              <w:rPr>
                <w:rFonts w:hint="eastAsia" w:ascii="宋体" w:hAnsi="宋体"/>
                <w:color w:val="auto"/>
                <w:szCs w:val="21"/>
                <w:highlight w:val="none"/>
              </w:rPr>
              <w:t>地    址：</w:t>
            </w:r>
            <w:r>
              <w:rPr>
                <w:rFonts w:hint="eastAsia" w:ascii="宋体" w:hAnsi="宋体"/>
                <w:iCs/>
                <w:color w:val="auto"/>
                <w:szCs w:val="21"/>
                <w:highlight w:val="none"/>
                <w:u w:val="single"/>
                <w:lang w:eastAsia="zh-CN"/>
              </w:rPr>
              <w:t>长沙市经济技术开发区时中南路95号</w:t>
            </w:r>
          </w:p>
          <w:p w14:paraId="7379834C">
            <w:pPr>
              <w:adjustRightInd w:val="0"/>
              <w:snapToGrid w:val="0"/>
              <w:spacing w:before="156" w:beforeLines="50" w:line="360" w:lineRule="auto"/>
              <w:jc w:val="left"/>
              <w:rPr>
                <w:rFonts w:hint="default" w:ascii="宋体" w:hAnsi="宋体" w:eastAsia="宋体"/>
                <w:iCs/>
                <w:color w:val="auto"/>
                <w:szCs w:val="21"/>
                <w:highlight w:val="none"/>
                <w:u w:val="single"/>
                <w:lang w:val="en-US" w:eastAsia="zh-CN"/>
              </w:rPr>
            </w:pPr>
            <w:r>
              <w:rPr>
                <w:rFonts w:hint="eastAsia" w:ascii="宋体" w:hAnsi="宋体"/>
                <w:iCs/>
                <w:color w:val="auto"/>
                <w:szCs w:val="21"/>
                <w:highlight w:val="none"/>
              </w:rPr>
              <w:t>联 系 人：</w:t>
            </w:r>
            <w:r>
              <w:rPr>
                <w:rFonts w:hint="eastAsia" w:ascii="宋体" w:hAnsi="宋体"/>
                <w:iCs/>
                <w:color w:val="auto"/>
                <w:szCs w:val="21"/>
                <w:highlight w:val="none"/>
                <w:u w:val="single"/>
                <w:lang w:val="en-US" w:eastAsia="zh-CN"/>
              </w:rPr>
              <w:t>吕先生</w:t>
            </w:r>
          </w:p>
          <w:p w14:paraId="7970E314">
            <w:pPr>
              <w:adjustRightInd w:val="0"/>
              <w:snapToGrid w:val="0"/>
              <w:spacing w:before="156" w:beforeLines="50" w:line="360" w:lineRule="auto"/>
              <w:jc w:val="left"/>
              <w:rPr>
                <w:rFonts w:hint="default" w:ascii="宋体" w:hAnsi="宋体" w:eastAsia="宋体" w:cs="宋体"/>
                <w:color w:val="auto"/>
                <w:szCs w:val="21"/>
                <w:highlight w:val="none"/>
                <w:lang w:val="en-US" w:eastAsia="zh-CN"/>
              </w:rPr>
            </w:pPr>
            <w:r>
              <w:rPr>
                <w:rFonts w:hint="eastAsia" w:ascii="宋体" w:hAnsi="宋体"/>
                <w:iCs/>
                <w:color w:val="auto"/>
                <w:szCs w:val="21"/>
                <w:highlight w:val="none"/>
              </w:rPr>
              <w:t>电    话：</w:t>
            </w:r>
            <w:r>
              <w:rPr>
                <w:rFonts w:hint="eastAsia" w:ascii="宋体" w:hAnsi="宋体"/>
                <w:iCs/>
                <w:color w:val="auto"/>
                <w:szCs w:val="21"/>
                <w:highlight w:val="none"/>
                <w:u w:val="single"/>
                <w:lang w:val="en-US" w:eastAsia="zh-CN"/>
              </w:rPr>
              <w:t>0731-84068075</w:t>
            </w:r>
          </w:p>
        </w:tc>
      </w:tr>
      <w:tr w14:paraId="050F76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495832C">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第二章第2.2款</w:t>
            </w:r>
          </w:p>
        </w:tc>
        <w:tc>
          <w:tcPr>
            <w:tcW w:w="2115" w:type="dxa"/>
            <w:vAlign w:val="center"/>
          </w:tcPr>
          <w:p w14:paraId="2831E49B">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5962" w:type="dxa"/>
            <w:gridSpan w:val="2"/>
          </w:tcPr>
          <w:p w14:paraId="1740E0CD">
            <w:pPr>
              <w:adjustRightInd w:val="0"/>
              <w:snapToGrid w:val="0"/>
              <w:spacing w:before="156" w:beforeLines="50" w:line="360" w:lineRule="auto"/>
              <w:jc w:val="left"/>
              <w:rPr>
                <w:rFonts w:hint="eastAsia" w:ascii="宋体" w:eastAsia="宋体" w:cs="宋体"/>
                <w:color w:val="auto"/>
                <w:szCs w:val="21"/>
                <w:highlight w:val="none"/>
                <w:lang w:eastAsia="zh-CN"/>
              </w:rPr>
            </w:pPr>
            <w:r>
              <w:rPr>
                <w:rFonts w:hint="eastAsia" w:ascii="宋体" w:cs="宋体"/>
                <w:color w:val="auto"/>
                <w:szCs w:val="21"/>
                <w:highlight w:val="none"/>
              </w:rPr>
              <w:t>名    称：</w:t>
            </w:r>
            <w:r>
              <w:rPr>
                <w:rFonts w:hint="eastAsia" w:ascii="宋体" w:cs="宋体"/>
                <w:color w:val="auto"/>
                <w:szCs w:val="21"/>
                <w:highlight w:val="none"/>
                <w:u w:val="single"/>
                <w:lang w:eastAsia="zh-CN"/>
              </w:rPr>
              <w:t>湖南省华新招标咨询有限公司</w:t>
            </w:r>
          </w:p>
          <w:p w14:paraId="5337A97A">
            <w:pPr>
              <w:adjustRightInd w:val="0"/>
              <w:snapToGrid w:val="0"/>
              <w:spacing w:before="156" w:beforeLines="50" w:line="360" w:lineRule="auto"/>
              <w:jc w:val="left"/>
              <w:rPr>
                <w:rFonts w:hint="eastAsia" w:ascii="宋体" w:eastAsia="宋体" w:cs="宋体"/>
                <w:color w:val="auto"/>
                <w:szCs w:val="21"/>
                <w:highlight w:val="none"/>
                <w:lang w:eastAsia="zh-CN"/>
              </w:rPr>
            </w:pPr>
            <w:r>
              <w:rPr>
                <w:rFonts w:hint="eastAsia" w:ascii="宋体" w:cs="宋体"/>
                <w:color w:val="auto"/>
                <w:szCs w:val="21"/>
                <w:highlight w:val="none"/>
              </w:rPr>
              <w:t>地    址：</w:t>
            </w:r>
            <w:r>
              <w:rPr>
                <w:rFonts w:hint="eastAsia" w:ascii="宋体" w:cs="宋体"/>
                <w:color w:val="auto"/>
                <w:szCs w:val="21"/>
                <w:highlight w:val="none"/>
                <w:u w:val="single"/>
                <w:lang w:eastAsia="zh-CN"/>
              </w:rPr>
              <w:t>长沙市芙蓉中路二段144号城市中心7楼718室</w:t>
            </w:r>
          </w:p>
          <w:p w14:paraId="313E0B14">
            <w:pPr>
              <w:adjustRightInd w:val="0"/>
              <w:snapToGrid w:val="0"/>
              <w:spacing w:before="156" w:beforeLines="50" w:line="360" w:lineRule="auto"/>
              <w:jc w:val="left"/>
              <w:rPr>
                <w:rFonts w:hint="default" w:ascii="宋体" w:eastAsia="宋体" w:cs="宋体"/>
                <w:color w:val="auto"/>
                <w:szCs w:val="21"/>
                <w:highlight w:val="none"/>
                <w:lang w:val="en-US" w:eastAsia="zh-CN"/>
              </w:rPr>
            </w:pPr>
            <w:r>
              <w:rPr>
                <w:rFonts w:hint="eastAsia" w:ascii="宋体" w:cs="宋体"/>
                <w:color w:val="auto"/>
                <w:szCs w:val="21"/>
                <w:highlight w:val="none"/>
              </w:rPr>
              <w:t>联 系 人：</w:t>
            </w:r>
            <w:r>
              <w:rPr>
                <w:rFonts w:hint="eastAsia" w:ascii="宋体" w:cs="宋体"/>
                <w:color w:val="auto"/>
                <w:szCs w:val="21"/>
                <w:highlight w:val="none"/>
                <w:u w:val="single"/>
                <w:lang w:val="en-US" w:eastAsia="zh-CN"/>
              </w:rPr>
              <w:t>刘莎、庄美君、贺琪然、吴雨晨</w:t>
            </w:r>
          </w:p>
          <w:p w14:paraId="31141C01">
            <w:pPr>
              <w:adjustRightInd w:val="0"/>
              <w:snapToGrid w:val="0"/>
              <w:spacing w:before="156" w:beforeLines="50" w:line="360" w:lineRule="auto"/>
              <w:jc w:val="left"/>
              <w:rPr>
                <w:rFonts w:ascii="宋体" w:hAns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0731-82204733</w:t>
            </w:r>
          </w:p>
        </w:tc>
      </w:tr>
      <w:tr w14:paraId="404CB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A569BCD">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第二章第2.3款</w:t>
            </w:r>
          </w:p>
        </w:tc>
        <w:tc>
          <w:tcPr>
            <w:tcW w:w="2115" w:type="dxa"/>
            <w:vAlign w:val="center"/>
          </w:tcPr>
          <w:p w14:paraId="7C39FEA1">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供应商的邀请方式</w:t>
            </w:r>
          </w:p>
        </w:tc>
        <w:tc>
          <w:tcPr>
            <w:tcW w:w="5962" w:type="dxa"/>
            <w:gridSpan w:val="2"/>
            <w:vAlign w:val="center"/>
          </w:tcPr>
          <w:p w14:paraId="36F8D3CD">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 发布公告</w:t>
            </w:r>
          </w:p>
          <w:p w14:paraId="6F646601">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从省级以上财政部门建立的供应商库中随机抽取</w:t>
            </w:r>
          </w:p>
          <w:p w14:paraId="16E51776">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采购人和评审专家分别书面推荐的方式</w:t>
            </w:r>
          </w:p>
        </w:tc>
      </w:tr>
      <w:tr w14:paraId="79B22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762" w:type="dxa"/>
            <w:vMerge w:val="restart"/>
            <w:vAlign w:val="center"/>
          </w:tcPr>
          <w:p w14:paraId="32AA912C">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第二章第3.1款</w:t>
            </w:r>
          </w:p>
        </w:tc>
        <w:tc>
          <w:tcPr>
            <w:tcW w:w="2115" w:type="dxa"/>
            <w:vMerge w:val="restart"/>
            <w:vAlign w:val="center"/>
          </w:tcPr>
          <w:p w14:paraId="2DC43130">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5962" w:type="dxa"/>
            <w:gridSpan w:val="2"/>
            <w:tcBorders>
              <w:bottom w:val="single" w:color="000000" w:sz="4" w:space="0"/>
            </w:tcBorders>
          </w:tcPr>
          <w:p w14:paraId="7F9E9988">
            <w:pPr>
              <w:numPr>
                <w:ilvl w:val="0"/>
                <w:numId w:val="0"/>
              </w:numPr>
              <w:adjustRightInd w:val="0"/>
              <w:snapToGrid w:val="0"/>
              <w:spacing w:before="156" w:beforeLines="50" w:line="360" w:lineRule="auto"/>
              <w:jc w:val="left"/>
              <w:rPr>
                <w:rFonts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（一）</w:t>
            </w:r>
            <w:r>
              <w:rPr>
                <w:rFonts w:hint="eastAsia" w:ascii="宋体" w:hAnsi="宋体" w:cs="宋体"/>
                <w:color w:val="auto"/>
                <w:highlight w:val="none"/>
              </w:rPr>
              <w:t>基本资格条件：供应商应当符合《政府采购法》第二十二条第一款的规定</w:t>
            </w:r>
          </w:p>
          <w:p w14:paraId="59E3DE39">
            <w:pPr>
              <w:adjustRightInd w:val="0"/>
              <w:snapToGrid w:val="0"/>
              <w:spacing w:before="156" w:beforeLines="50" w:line="360" w:lineRule="auto"/>
              <w:ind w:firstLine="210" w:firstLineChars="100"/>
              <w:jc w:val="left"/>
              <w:rPr>
                <w:rFonts w:ascii="宋体" w:hAnsi="宋体" w:cs="宋体"/>
                <w:color w:val="auto"/>
                <w:highlight w:val="none"/>
              </w:rPr>
            </w:pPr>
            <w:r>
              <w:rPr>
                <w:rFonts w:hint="eastAsia" w:ascii="宋体" w:hAnsi="宋体" w:cs="宋体"/>
                <w:color w:val="auto"/>
                <w:highlight w:val="none"/>
              </w:rPr>
              <w:t>1、具有独立承担民事责任的能力；</w:t>
            </w:r>
          </w:p>
          <w:p w14:paraId="7FE1BF4C">
            <w:pPr>
              <w:adjustRightInd w:val="0"/>
              <w:snapToGrid w:val="0"/>
              <w:spacing w:before="156" w:beforeLines="50" w:line="360" w:lineRule="auto"/>
              <w:ind w:firstLine="210" w:firstLineChars="100"/>
              <w:jc w:val="left"/>
              <w:rPr>
                <w:rFonts w:ascii="宋体" w:hAnsi="宋体" w:cs="宋体"/>
                <w:color w:val="auto"/>
                <w:highlight w:val="none"/>
              </w:rPr>
            </w:pPr>
            <w:r>
              <w:rPr>
                <w:rFonts w:hint="eastAsia" w:ascii="宋体" w:hAnsi="宋体" w:cs="宋体"/>
                <w:color w:val="auto"/>
                <w:highlight w:val="none"/>
              </w:rPr>
              <w:t>2、具有良好的商业信誉和健全的财务会计制度；</w:t>
            </w:r>
          </w:p>
          <w:p w14:paraId="274796DE">
            <w:pPr>
              <w:adjustRightInd w:val="0"/>
              <w:snapToGrid w:val="0"/>
              <w:spacing w:before="156" w:beforeLines="50" w:line="360" w:lineRule="auto"/>
              <w:ind w:firstLine="210" w:firstLineChars="100"/>
              <w:jc w:val="left"/>
              <w:rPr>
                <w:rFonts w:ascii="宋体" w:hAnsi="宋体" w:cs="宋体"/>
                <w:color w:val="auto"/>
                <w:highlight w:val="none"/>
              </w:rPr>
            </w:pPr>
            <w:r>
              <w:rPr>
                <w:rFonts w:hint="eastAsia" w:ascii="宋体" w:hAnsi="宋体" w:cs="宋体"/>
                <w:color w:val="auto"/>
                <w:highlight w:val="none"/>
              </w:rPr>
              <w:t>3、具有履行合同所必需的设备和专业技术能力；</w:t>
            </w:r>
          </w:p>
          <w:p w14:paraId="19277471">
            <w:pPr>
              <w:adjustRightInd w:val="0"/>
              <w:snapToGrid w:val="0"/>
              <w:spacing w:before="156" w:beforeLines="50" w:line="360" w:lineRule="auto"/>
              <w:ind w:firstLine="210" w:firstLineChars="100"/>
              <w:jc w:val="left"/>
              <w:rPr>
                <w:rFonts w:ascii="宋体" w:hAnsi="宋体" w:cs="宋体"/>
                <w:color w:val="auto"/>
                <w:highlight w:val="none"/>
              </w:rPr>
            </w:pPr>
            <w:r>
              <w:rPr>
                <w:rFonts w:hint="eastAsia" w:ascii="宋体" w:hAnsi="宋体" w:cs="宋体"/>
                <w:color w:val="auto"/>
                <w:highlight w:val="none"/>
              </w:rPr>
              <w:t>4、有依法缴纳税收和社会保障资金的良好记录；</w:t>
            </w:r>
          </w:p>
          <w:p w14:paraId="024CF42B">
            <w:pPr>
              <w:adjustRightInd w:val="0"/>
              <w:snapToGrid w:val="0"/>
              <w:spacing w:before="156" w:beforeLines="50" w:line="360" w:lineRule="auto"/>
              <w:ind w:firstLine="210" w:firstLineChars="100"/>
              <w:jc w:val="left"/>
              <w:rPr>
                <w:rFonts w:ascii="宋体" w:hAnsi="宋体" w:cs="宋体"/>
                <w:color w:val="auto"/>
                <w:highlight w:val="none"/>
              </w:rPr>
            </w:pPr>
            <w:r>
              <w:rPr>
                <w:rFonts w:hint="eastAsia" w:ascii="宋体" w:hAnsi="宋体" w:cs="宋体"/>
                <w:color w:val="auto"/>
                <w:highlight w:val="none"/>
              </w:rPr>
              <w:t>5、参加政府采购活动前三年内，在经营活动中没有重大违法记录；</w:t>
            </w:r>
          </w:p>
          <w:p w14:paraId="5C0A69D2">
            <w:pPr>
              <w:adjustRightInd w:val="0"/>
              <w:snapToGrid w:val="0"/>
              <w:spacing w:before="156" w:beforeLines="50" w:line="360" w:lineRule="auto"/>
              <w:jc w:val="left"/>
              <w:rPr>
                <w:rFonts w:ascii="宋体" w:hAnsi="宋体" w:cs="宋体"/>
                <w:color w:val="auto"/>
                <w:highlight w:val="none"/>
              </w:rPr>
            </w:pPr>
            <w:r>
              <w:rPr>
                <w:rFonts w:hint="eastAsia" w:ascii="宋体" w:hAnsi="宋体" w:cs="宋体"/>
                <w:color w:val="auto"/>
                <w:highlight w:val="none"/>
              </w:rPr>
              <w:t>6、法律、行政法规规定的其他条件。</w:t>
            </w:r>
          </w:p>
          <w:p w14:paraId="7B19242B">
            <w:pPr>
              <w:pStyle w:val="8"/>
              <w:rPr>
                <w:rFonts w:hint="eastAsia" w:ascii="宋体" w:hAnsi="宋体" w:cs="宋体"/>
                <w:color w:val="auto"/>
                <w:highlight w:val="none"/>
              </w:rPr>
            </w:pPr>
            <w:r>
              <w:rPr>
                <w:rFonts w:hint="eastAsia" w:ascii="宋体" w:hAnsi="宋体" w:cs="宋体"/>
                <w:color w:val="auto"/>
                <w:highlight w:val="none"/>
              </w:rPr>
              <w:t>（二）特定资格条件：</w:t>
            </w:r>
          </w:p>
          <w:p w14:paraId="024CBDA9">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1、供应商具</w:t>
            </w:r>
            <w:r>
              <w:rPr>
                <w:rFonts w:hint="eastAsia" w:ascii="宋体" w:hAnsi="宋体" w:cs="宋体"/>
                <w:color w:val="auto"/>
                <w:szCs w:val="21"/>
                <w:highlight w:val="none"/>
                <w:lang w:eastAsia="zh-CN"/>
              </w:rPr>
              <w:t>有</w:t>
            </w:r>
            <w:r>
              <w:rPr>
                <w:rFonts w:hint="eastAsia" w:ascii="宋体" w:hAnsi="宋体" w:eastAsia="宋体" w:cs="宋体"/>
                <w:color w:val="auto"/>
                <w:szCs w:val="21"/>
                <w:highlight w:val="none"/>
              </w:rPr>
              <w:t>建设行政主管部门颁发的建筑装修装饰工程专业承包贰级</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以上资质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cs="宋体"/>
                <w:color w:val="auto"/>
                <w:szCs w:val="21"/>
                <w:highlight w:val="none"/>
                <w:lang w:val="en-US" w:eastAsia="zh-CN"/>
              </w:rPr>
              <w:t>具有</w:t>
            </w:r>
            <w:r>
              <w:rPr>
                <w:rFonts w:hint="eastAsia" w:ascii="宋体" w:hAnsi="宋体" w:eastAsia="宋体" w:cs="宋体"/>
                <w:color w:val="auto"/>
                <w:szCs w:val="21"/>
                <w:highlight w:val="none"/>
              </w:rPr>
              <w:t>企业安全生产许可证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rPr>
              <w:t>处于有效期</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w:t>
            </w:r>
          </w:p>
          <w:p w14:paraId="1AB5963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拟任项目负责人（项目经理）具有建设行政主管部门颁发的</w:t>
            </w:r>
            <w:r>
              <w:rPr>
                <w:rFonts w:hint="eastAsia" w:ascii="宋体" w:hAnsi="宋体" w:eastAsia="宋体" w:cs="宋体"/>
                <w:color w:val="auto"/>
                <w:szCs w:val="21"/>
                <w:highlight w:val="none"/>
                <w:lang w:eastAsia="zh-CN"/>
              </w:rPr>
              <w:t>贰</w:t>
            </w:r>
            <w:r>
              <w:rPr>
                <w:rFonts w:hint="eastAsia" w:ascii="宋体" w:hAnsi="宋体" w:eastAsia="宋体" w:cs="宋体"/>
                <w:color w:val="auto"/>
                <w:szCs w:val="21"/>
                <w:highlight w:val="none"/>
              </w:rPr>
              <w:t>级</w:t>
            </w:r>
            <w:r>
              <w:rPr>
                <w:rFonts w:hint="eastAsia"/>
                <w:color w:val="auto"/>
                <w:highlight w:val="none"/>
              </w:rPr>
              <w:t>或以上</w:t>
            </w:r>
            <w:r>
              <w:rPr>
                <w:rFonts w:hint="eastAsia" w:ascii="宋体" w:hAnsi="宋体" w:eastAsia="宋体" w:cs="宋体"/>
                <w:color w:val="auto"/>
                <w:szCs w:val="21"/>
                <w:highlight w:val="none"/>
              </w:rPr>
              <w:t>注册建造师证（</w:t>
            </w:r>
            <w:r>
              <w:rPr>
                <w:rFonts w:hint="eastAsia" w:ascii="宋体" w:hAnsi="宋体" w:cs="宋体"/>
                <w:color w:val="auto"/>
                <w:kern w:val="2"/>
                <w:sz w:val="21"/>
                <w:szCs w:val="21"/>
                <w:highlight w:val="none"/>
                <w:lang w:val="en-US" w:eastAsia="zh-CN" w:bidi="ar-SA"/>
              </w:rPr>
              <w:t>建筑</w:t>
            </w:r>
            <w:r>
              <w:rPr>
                <w:rFonts w:hint="eastAsia" w:ascii="宋体" w:hAnsi="宋体" w:eastAsia="宋体" w:cs="宋体"/>
                <w:color w:val="auto"/>
                <w:szCs w:val="21"/>
                <w:highlight w:val="none"/>
                <w:lang w:eastAsia="zh-CN"/>
              </w:rPr>
              <w:t>工程专业</w:t>
            </w:r>
            <w:r>
              <w:rPr>
                <w:rFonts w:hint="eastAsia" w:ascii="宋体" w:hAnsi="宋体" w:eastAsia="宋体" w:cs="宋体"/>
                <w:color w:val="auto"/>
                <w:szCs w:val="21"/>
                <w:highlight w:val="none"/>
              </w:rPr>
              <w:t>）、有效的B类安全生产考核合格证和无在建工程承诺书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提供相应证书、承诺书、供应商为其缴纳的近</w:t>
            </w:r>
            <w:r>
              <w:rPr>
                <w:rFonts w:hint="eastAsia" w:ascii="宋体" w:hAnsi="宋体" w:eastAsia="宋体" w:cs="宋体"/>
                <w:color w:val="auto"/>
                <w:szCs w:val="21"/>
                <w:highlight w:val="none"/>
                <w:lang w:val="en-US" w:eastAsia="zh-CN"/>
              </w:rPr>
              <w:t>3个月</w:t>
            </w:r>
            <w:r>
              <w:rPr>
                <w:rFonts w:hint="eastAsia" w:ascii="宋体" w:hAnsi="宋体" w:cs="宋体"/>
                <w:color w:val="auto"/>
                <w:szCs w:val="21"/>
                <w:highlight w:val="none"/>
                <w:lang w:val="en-US" w:eastAsia="zh-CN"/>
              </w:rPr>
              <w:t>内任意1个月</w:t>
            </w:r>
            <w:r>
              <w:rPr>
                <w:rFonts w:hint="eastAsia" w:ascii="宋体" w:hAnsi="宋体" w:eastAsia="宋体" w:cs="宋体"/>
                <w:color w:val="auto"/>
                <w:szCs w:val="21"/>
                <w:highlight w:val="none"/>
              </w:rPr>
              <w:t>的社保证明资料复印件，证书上的单位名称必须与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名称一致。</w:t>
            </w:r>
          </w:p>
          <w:p w14:paraId="00D3421B">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拟任项目</w:t>
            </w:r>
            <w:r>
              <w:rPr>
                <w:rFonts w:hint="eastAsia" w:ascii="宋体" w:hAnsi="宋体" w:eastAsia="宋体" w:cs="宋体"/>
                <w:color w:val="auto"/>
                <w:szCs w:val="21"/>
                <w:highlight w:val="none"/>
                <w:lang w:val="en-US" w:eastAsia="zh-CN"/>
              </w:rPr>
              <w:t>技术负责人具有建筑工程专业中级</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以上职称、和无在建工程承诺书。</w:t>
            </w:r>
            <w:r>
              <w:rPr>
                <w:rFonts w:hint="eastAsia" w:ascii="宋体" w:hAnsi="宋体" w:eastAsia="宋体" w:cs="宋体"/>
                <w:color w:val="auto"/>
                <w:szCs w:val="21"/>
                <w:highlight w:val="none"/>
                <w:lang w:eastAsia="zh-CN"/>
              </w:rPr>
              <w:t>提供相应证书、承诺书、供应商为其缴纳的近</w:t>
            </w:r>
            <w:r>
              <w:rPr>
                <w:rFonts w:hint="eastAsia" w:ascii="宋体" w:hAnsi="宋体" w:eastAsia="宋体" w:cs="宋体"/>
                <w:color w:val="auto"/>
                <w:szCs w:val="21"/>
                <w:highlight w:val="none"/>
                <w:lang w:val="en-US" w:eastAsia="zh-CN"/>
              </w:rPr>
              <w:t>3个月内任意1个月</w:t>
            </w:r>
            <w:r>
              <w:rPr>
                <w:rFonts w:hint="eastAsia" w:ascii="宋体" w:hAnsi="宋体" w:eastAsia="宋体" w:cs="宋体"/>
                <w:color w:val="auto"/>
                <w:szCs w:val="21"/>
                <w:highlight w:val="none"/>
                <w:lang w:eastAsia="zh-CN"/>
              </w:rPr>
              <w:t>的社保证明资料复印件。</w:t>
            </w:r>
          </w:p>
          <w:p w14:paraId="5F8762CD">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施工项目部关键岗位人员的任职资格及配备数量应符合湘建建〔2020〕208号的规定并提供承诺，保证未经业主许可，不更换团队人员（提供承诺函，格式自拟）</w:t>
            </w:r>
            <w:r>
              <w:rPr>
                <w:rFonts w:hint="eastAsia" w:ascii="宋体" w:hAnsi="宋体" w:eastAsia="宋体" w:cs="宋体"/>
                <w:color w:val="auto"/>
                <w:szCs w:val="21"/>
                <w:highlight w:val="none"/>
              </w:rPr>
              <w:t>。</w:t>
            </w:r>
          </w:p>
          <w:p w14:paraId="4ADEE080">
            <w:pPr>
              <w:adjustRightInd w:val="0"/>
              <w:snapToGrid w:val="0"/>
              <w:spacing w:line="360" w:lineRule="auto"/>
              <w:rPr>
                <w:rFonts w:ascii="宋体" w:hAnsi="宋体" w:cs="宋体"/>
                <w:b/>
                <w:bCs/>
                <w:color w:val="auto"/>
                <w:highlight w:val="none"/>
              </w:rPr>
            </w:pPr>
            <w:r>
              <w:rPr>
                <w:rFonts w:hint="eastAsia" w:ascii="宋体" w:hAnsi="宋体" w:cs="宋体"/>
                <w:color w:val="auto"/>
                <w:szCs w:val="21"/>
                <w:highlight w:val="none"/>
                <w:lang w:val="en-US" w:eastAsia="zh-CN"/>
              </w:rPr>
              <w:t>5、</w:t>
            </w:r>
            <w:r>
              <w:rPr>
                <w:rFonts w:hint="eastAsia" w:hAnsi="宋体" w:cs="宋体"/>
                <w:b/>
                <w:bCs/>
                <w:color w:val="auto"/>
                <w:highlight w:val="none"/>
              </w:rPr>
              <w:t>本项目为专门面向中小企业采购</w:t>
            </w:r>
            <w:r>
              <w:rPr>
                <w:rFonts w:hint="eastAsia" w:hAnsi="宋体" w:cs="宋体"/>
                <w:b/>
                <w:bCs/>
                <w:color w:val="auto"/>
                <w:highlight w:val="none"/>
                <w:lang w:eastAsia="zh-CN"/>
              </w:rPr>
              <w:t>的</w:t>
            </w:r>
            <w:r>
              <w:rPr>
                <w:rFonts w:hint="eastAsia" w:hAnsi="宋体" w:cs="宋体"/>
                <w:b/>
                <w:bCs/>
                <w:color w:val="auto"/>
                <w:highlight w:val="none"/>
                <w:lang w:val="en-US" w:eastAsia="zh-CN"/>
              </w:rPr>
              <w:t>项目</w:t>
            </w:r>
            <w:r>
              <w:rPr>
                <w:rFonts w:hint="eastAsia" w:hAnsi="宋体" w:cs="宋体"/>
                <w:b/>
                <w:bCs/>
                <w:color w:val="auto"/>
                <w:highlight w:val="none"/>
              </w:rPr>
              <w:t>。</w:t>
            </w:r>
            <w:r>
              <w:rPr>
                <w:rFonts w:hint="eastAsia"/>
                <w:color w:val="auto"/>
                <w:highlight w:val="none"/>
              </w:rPr>
              <w:t>各供应商应按《政府采购促进中小企业</w:t>
            </w:r>
            <w:r>
              <w:rPr>
                <w:rFonts w:hint="eastAsia" w:ascii="宋体" w:hAnsi="宋体" w:cs="宋体"/>
                <w:color w:val="auto"/>
                <w:highlight w:val="none"/>
              </w:rPr>
              <w:t>发展管理办法》（财库﹝2020﹞46号）相关规定及磋商文件的响应文件组成中的“《中小企业声明函》或《残疾人福利性单位声明函》或《监狱企业证明资料》”格式填写</w:t>
            </w:r>
            <w:r>
              <w:rPr>
                <w:rFonts w:hint="eastAsia" w:ascii="宋体" w:hAnsi="宋体" w:cs="宋体"/>
                <w:b/>
                <w:bCs/>
                <w:color w:val="auto"/>
                <w:highlight w:val="none"/>
              </w:rPr>
              <w:t>，否则视为无效响应。</w:t>
            </w:r>
          </w:p>
          <w:p w14:paraId="5D97F24D">
            <w:pPr>
              <w:adjustRightInd w:val="0"/>
              <w:snapToGrid w:val="0"/>
              <w:spacing w:line="360" w:lineRule="auto"/>
              <w:ind w:firstLine="420" w:firstLineChars="200"/>
              <w:rPr>
                <w:rFonts w:hint="eastAsia" w:eastAsia="宋体"/>
                <w:color w:val="auto"/>
                <w:highlight w:val="none"/>
                <w:lang w:val="en-US" w:eastAsia="zh-CN"/>
              </w:rPr>
            </w:pPr>
            <w:r>
              <w:rPr>
                <w:rFonts w:hint="eastAsia"/>
                <w:color w:val="auto"/>
                <w:highlight w:val="none"/>
                <w:lang w:val="en-US" w:eastAsia="zh-CN"/>
              </w:rPr>
              <w:t>注：法定代表人为同一人的法人，其母公司、全资子公司及其控股公司等关联公司只能有一家参与本项目。</w:t>
            </w:r>
          </w:p>
        </w:tc>
      </w:tr>
      <w:tr w14:paraId="2D797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36" w:hRule="atLeast"/>
          <w:jc w:val="center"/>
        </w:trPr>
        <w:tc>
          <w:tcPr>
            <w:tcW w:w="1762" w:type="dxa"/>
            <w:vMerge w:val="continue"/>
            <w:vAlign w:val="center"/>
          </w:tcPr>
          <w:p w14:paraId="55062692">
            <w:pPr>
              <w:adjustRightInd w:val="0"/>
              <w:snapToGrid w:val="0"/>
              <w:spacing w:line="280" w:lineRule="exact"/>
              <w:jc w:val="center"/>
              <w:rPr>
                <w:rFonts w:ascii="宋体" w:hAnsi="宋体" w:cs="宋体"/>
                <w:color w:val="auto"/>
                <w:szCs w:val="21"/>
                <w:highlight w:val="none"/>
              </w:rPr>
            </w:pPr>
          </w:p>
        </w:tc>
        <w:tc>
          <w:tcPr>
            <w:tcW w:w="2115" w:type="dxa"/>
            <w:vMerge w:val="continue"/>
            <w:vAlign w:val="center"/>
          </w:tcPr>
          <w:p w14:paraId="2EFC1E2E">
            <w:pPr>
              <w:adjustRightInd w:val="0"/>
              <w:snapToGrid w:val="0"/>
              <w:spacing w:before="156" w:beforeLines="50" w:line="360" w:lineRule="auto"/>
              <w:jc w:val="center"/>
              <w:rPr>
                <w:rFonts w:ascii="宋体" w:hAnsi="宋体" w:cs="宋体"/>
                <w:color w:val="auto"/>
                <w:szCs w:val="21"/>
                <w:highlight w:val="none"/>
              </w:rPr>
            </w:pPr>
          </w:p>
        </w:tc>
        <w:tc>
          <w:tcPr>
            <w:tcW w:w="5962" w:type="dxa"/>
            <w:gridSpan w:val="2"/>
            <w:tcBorders>
              <w:top w:val="single" w:color="000000" w:sz="4" w:space="0"/>
            </w:tcBorders>
          </w:tcPr>
          <w:p w14:paraId="36E46AB0">
            <w:pPr>
              <w:adjustRightInd w:val="0"/>
              <w:snapToGrid w:val="0"/>
              <w:spacing w:before="156" w:beforeLines="50" w:line="360" w:lineRule="auto"/>
              <w:jc w:val="left"/>
              <w:rPr>
                <w:color w:val="auto"/>
                <w:highlight w:val="none"/>
              </w:rPr>
            </w:pPr>
            <w:r>
              <w:rPr>
                <w:rFonts w:hint="eastAsia"/>
                <w:color w:val="auto"/>
                <w:highlight w:val="none"/>
              </w:rPr>
              <w:t>提供以下资格证明文件：</w:t>
            </w:r>
          </w:p>
          <w:p w14:paraId="1EF71201">
            <w:pPr>
              <w:adjustRightInd w:val="0"/>
              <w:snapToGrid w:val="0"/>
              <w:spacing w:before="156" w:beforeLines="50" w:line="360" w:lineRule="auto"/>
              <w:jc w:val="left"/>
              <w:rPr>
                <w:rFonts w:ascii="宋体" w:hAnsi="宋体" w:cs="宋体"/>
                <w:color w:val="auto"/>
                <w:highlight w:val="none"/>
              </w:rPr>
            </w:pPr>
            <w:r>
              <w:rPr>
                <w:rFonts w:hint="eastAsia" w:ascii="宋体" w:hAnsi="宋体" w:cs="宋体"/>
                <w:color w:val="auto"/>
                <w:highlight w:val="none"/>
              </w:rPr>
              <w:t>1、投标供应商法人营业执照副本复印件或事业单位法人证书复印件；</w:t>
            </w:r>
          </w:p>
          <w:p w14:paraId="3800FF8C">
            <w:pPr>
              <w:adjustRightInd w:val="0"/>
              <w:snapToGrid w:val="0"/>
              <w:spacing w:before="156" w:beforeLines="50" w:line="360" w:lineRule="auto"/>
              <w:jc w:val="left"/>
              <w:rPr>
                <w:rFonts w:ascii="宋体" w:hAnsi="宋体" w:cs="宋体"/>
                <w:color w:val="auto"/>
                <w:highlight w:val="none"/>
              </w:rPr>
            </w:pPr>
            <w:r>
              <w:rPr>
                <w:rFonts w:hint="eastAsia" w:ascii="宋体" w:hAnsi="宋体" w:cs="宋体"/>
                <w:color w:val="auto"/>
                <w:highlight w:val="none"/>
              </w:rPr>
              <w:t>2、法定代表人授权委托书原件及双方身份证复印件；</w:t>
            </w:r>
          </w:p>
          <w:p w14:paraId="3E33E7E6">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3、投标供应商提供</w:t>
            </w:r>
            <w:r>
              <w:rPr>
                <w:rFonts w:hint="eastAsia" w:ascii="宋体" w:hAnsi="宋体" w:cs="宋体"/>
                <w:color w:val="auto"/>
                <w:highlight w:val="none"/>
                <w:lang w:val="en-US" w:eastAsia="zh-CN"/>
              </w:rPr>
              <w:t>2025年度</w:t>
            </w:r>
            <w:r>
              <w:rPr>
                <w:rFonts w:hint="eastAsia" w:ascii="宋体" w:hAnsi="宋体" w:cs="宋体"/>
                <w:color w:val="auto"/>
                <w:highlight w:val="none"/>
              </w:rPr>
              <w:t>经会计事务所审核盖章的财务审计报告（响应文件中只需提供上述报告中的审计结论意见书及资产负债表、利润表和现金流量表扫描件，新成立的公司提供最近月份的财务报表）、税务登记证或缴税证明（如三证合一，须注明）、社会保险登记证或缴纳社会保险的凭证（如五证合一，须注明），</w:t>
            </w:r>
            <w:r>
              <w:rPr>
                <w:rFonts w:hint="eastAsia" w:ascii="宋体" w:hAnsi="宋体" w:cs="宋体"/>
                <w:b/>
                <w:bCs/>
                <w:color w:val="auto"/>
                <w:highlight w:val="none"/>
              </w:rPr>
              <w:t>或者：</w:t>
            </w:r>
            <w:r>
              <w:rPr>
                <w:rFonts w:hint="eastAsia" w:ascii="宋体" w:hAnsi="宋体" w:cs="宋体"/>
                <w:color w:val="auto"/>
                <w:highlight w:val="none"/>
              </w:rPr>
              <w:t>提供了《湖南省政府采购供应商资格承诺函》（格式）或通过在金融机构办理电子增信取得对应信用星级（提供证明材料），无需提供财务状况、缴纳税收和社会保障资金证明材料。</w:t>
            </w:r>
          </w:p>
          <w:p w14:paraId="42200BFC">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4、供应商资格声明。</w:t>
            </w:r>
          </w:p>
          <w:p w14:paraId="256887FD">
            <w:pPr>
              <w:adjustRightInd w:val="0"/>
              <w:snapToGrid w:val="0"/>
              <w:spacing w:line="360" w:lineRule="auto"/>
              <w:jc w:val="left"/>
              <w:rPr>
                <w:rFonts w:hint="eastAsia" w:asciiTheme="minorEastAsia" w:hAnsiTheme="minorEastAsia"/>
                <w:b/>
                <w:color w:val="auto"/>
                <w:szCs w:val="21"/>
                <w:highlight w:val="none"/>
                <w:lang w:eastAsia="zh-CN"/>
              </w:rPr>
            </w:pPr>
            <w:r>
              <w:rPr>
                <w:rFonts w:hint="eastAsia" w:asciiTheme="minorEastAsia" w:hAnsiTheme="minorEastAsia"/>
                <w:b/>
                <w:color w:val="auto"/>
                <w:szCs w:val="21"/>
                <w:highlight w:val="none"/>
                <w:lang w:val="en-US" w:eastAsia="zh-CN"/>
              </w:rPr>
              <w:t>5、</w:t>
            </w:r>
            <w:r>
              <w:rPr>
                <w:rFonts w:hint="eastAsia" w:asciiTheme="minorEastAsia" w:hAnsiTheme="minorEastAsia"/>
                <w:b/>
                <w:color w:val="auto"/>
                <w:szCs w:val="21"/>
                <w:highlight w:val="none"/>
              </w:rPr>
              <w:t>免交投标保证金承诺书</w:t>
            </w:r>
            <w:r>
              <w:rPr>
                <w:rFonts w:hint="eastAsia" w:asciiTheme="minorEastAsia" w:hAnsiTheme="minorEastAsia"/>
                <w:b/>
                <w:color w:val="auto"/>
                <w:szCs w:val="21"/>
                <w:highlight w:val="none"/>
                <w:lang w:eastAsia="zh-CN"/>
              </w:rPr>
              <w:t>。</w:t>
            </w:r>
          </w:p>
          <w:p w14:paraId="5DF8A6EB">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特定资格条件</w:t>
            </w:r>
          </w:p>
          <w:p w14:paraId="1A3B25C6">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供应商具</w:t>
            </w:r>
            <w:r>
              <w:rPr>
                <w:rFonts w:hint="eastAsia" w:ascii="宋体" w:hAnsi="宋体" w:cs="宋体"/>
                <w:color w:val="auto"/>
                <w:szCs w:val="21"/>
                <w:highlight w:val="none"/>
                <w:lang w:eastAsia="zh-CN"/>
              </w:rPr>
              <w:t>有</w:t>
            </w:r>
            <w:r>
              <w:rPr>
                <w:rFonts w:hint="eastAsia" w:ascii="宋体" w:hAnsi="宋体" w:eastAsia="宋体" w:cs="宋体"/>
                <w:color w:val="auto"/>
                <w:szCs w:val="21"/>
                <w:highlight w:val="none"/>
              </w:rPr>
              <w:t>建设行政主管部门颁发的建筑装修装饰工程专业承包贰级</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以上资质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cs="宋体"/>
                <w:color w:val="auto"/>
                <w:szCs w:val="21"/>
                <w:highlight w:val="none"/>
                <w:lang w:val="en-US" w:eastAsia="zh-CN"/>
              </w:rPr>
              <w:t>具有</w:t>
            </w:r>
            <w:r>
              <w:rPr>
                <w:rFonts w:hint="eastAsia" w:ascii="宋体" w:hAnsi="宋体" w:eastAsia="宋体" w:cs="宋体"/>
                <w:color w:val="auto"/>
                <w:szCs w:val="21"/>
                <w:highlight w:val="none"/>
              </w:rPr>
              <w:t>企业安全生产许可证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rPr>
              <w:t>处于有效期</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w:t>
            </w:r>
          </w:p>
          <w:p w14:paraId="7C743B8B">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拟任项目负责人（项目经理）具有建设行政主管部门颁发的</w:t>
            </w:r>
            <w:r>
              <w:rPr>
                <w:rFonts w:hint="eastAsia" w:ascii="宋体" w:hAnsi="宋体" w:eastAsia="宋体" w:cs="宋体"/>
                <w:color w:val="auto"/>
                <w:szCs w:val="21"/>
                <w:highlight w:val="none"/>
                <w:lang w:eastAsia="zh-CN"/>
              </w:rPr>
              <w:t>贰</w:t>
            </w:r>
            <w:r>
              <w:rPr>
                <w:rFonts w:hint="eastAsia" w:ascii="宋体" w:hAnsi="宋体" w:eastAsia="宋体" w:cs="宋体"/>
                <w:color w:val="auto"/>
                <w:szCs w:val="21"/>
                <w:highlight w:val="none"/>
              </w:rPr>
              <w:t>级</w:t>
            </w:r>
            <w:r>
              <w:rPr>
                <w:rFonts w:hint="eastAsia"/>
                <w:color w:val="auto"/>
                <w:highlight w:val="none"/>
              </w:rPr>
              <w:t>或以上</w:t>
            </w:r>
            <w:r>
              <w:rPr>
                <w:rFonts w:hint="eastAsia" w:ascii="宋体" w:hAnsi="宋体" w:eastAsia="宋体" w:cs="宋体"/>
                <w:color w:val="auto"/>
                <w:szCs w:val="21"/>
                <w:highlight w:val="none"/>
              </w:rPr>
              <w:t>注册建造师证（</w:t>
            </w:r>
            <w:r>
              <w:rPr>
                <w:rFonts w:hint="eastAsia" w:ascii="宋体" w:hAnsi="宋体" w:cs="宋体"/>
                <w:color w:val="auto"/>
                <w:kern w:val="2"/>
                <w:sz w:val="21"/>
                <w:szCs w:val="21"/>
                <w:highlight w:val="none"/>
                <w:lang w:val="en-US" w:eastAsia="zh-CN" w:bidi="ar-SA"/>
              </w:rPr>
              <w:t>建筑</w:t>
            </w:r>
            <w:r>
              <w:rPr>
                <w:rFonts w:hint="eastAsia" w:ascii="宋体" w:hAnsi="宋体" w:eastAsia="宋体" w:cs="宋体"/>
                <w:color w:val="auto"/>
                <w:szCs w:val="21"/>
                <w:highlight w:val="none"/>
                <w:lang w:eastAsia="zh-CN"/>
              </w:rPr>
              <w:t>工程专业</w:t>
            </w:r>
            <w:r>
              <w:rPr>
                <w:rFonts w:hint="eastAsia" w:ascii="宋体" w:hAnsi="宋体" w:eastAsia="宋体" w:cs="宋体"/>
                <w:color w:val="auto"/>
                <w:szCs w:val="21"/>
                <w:highlight w:val="none"/>
              </w:rPr>
              <w:t>）、有效的B类安全生产考核合格证和无在建工程承诺书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提供相应证书、承诺书、供应商为其缴纳的近</w:t>
            </w:r>
            <w:r>
              <w:rPr>
                <w:rFonts w:hint="eastAsia" w:ascii="宋体" w:hAnsi="宋体" w:eastAsia="宋体" w:cs="宋体"/>
                <w:color w:val="auto"/>
                <w:szCs w:val="21"/>
                <w:highlight w:val="none"/>
                <w:lang w:val="en-US" w:eastAsia="zh-CN"/>
              </w:rPr>
              <w:t>3个月</w:t>
            </w:r>
            <w:r>
              <w:rPr>
                <w:rFonts w:hint="eastAsia" w:ascii="宋体" w:hAnsi="宋体" w:cs="宋体"/>
                <w:color w:val="auto"/>
                <w:szCs w:val="21"/>
                <w:highlight w:val="none"/>
                <w:lang w:val="en-US" w:eastAsia="zh-CN"/>
              </w:rPr>
              <w:t>内任意1个月</w:t>
            </w:r>
            <w:r>
              <w:rPr>
                <w:rFonts w:hint="eastAsia" w:ascii="宋体" w:hAnsi="宋体" w:eastAsia="宋体" w:cs="宋体"/>
                <w:color w:val="auto"/>
                <w:szCs w:val="21"/>
                <w:highlight w:val="none"/>
              </w:rPr>
              <w:t>的社保证明资料复印件，证书上的单位名称必须与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名称一致。</w:t>
            </w:r>
          </w:p>
          <w:p w14:paraId="5533BE9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拟任项目</w:t>
            </w:r>
            <w:r>
              <w:rPr>
                <w:rFonts w:hint="eastAsia" w:ascii="宋体" w:hAnsi="宋体" w:eastAsia="宋体" w:cs="宋体"/>
                <w:color w:val="auto"/>
                <w:szCs w:val="21"/>
                <w:highlight w:val="none"/>
                <w:lang w:val="en-US" w:eastAsia="zh-CN"/>
              </w:rPr>
              <w:t>技术负责人具有建筑工程专业中级</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以上职称、和无在建工程承诺书。</w:t>
            </w:r>
            <w:r>
              <w:rPr>
                <w:rFonts w:hint="eastAsia" w:ascii="宋体" w:hAnsi="宋体" w:eastAsia="宋体" w:cs="宋体"/>
                <w:color w:val="auto"/>
                <w:szCs w:val="21"/>
                <w:highlight w:val="none"/>
                <w:lang w:eastAsia="zh-CN"/>
              </w:rPr>
              <w:t>提供相应证书、承诺书、供应商为其缴纳的近</w:t>
            </w:r>
            <w:r>
              <w:rPr>
                <w:rFonts w:hint="eastAsia" w:ascii="宋体" w:hAnsi="宋体" w:eastAsia="宋体" w:cs="宋体"/>
                <w:color w:val="auto"/>
                <w:szCs w:val="21"/>
                <w:highlight w:val="none"/>
                <w:lang w:val="en-US" w:eastAsia="zh-CN"/>
              </w:rPr>
              <w:t>3个月内任意1个月</w:t>
            </w:r>
            <w:r>
              <w:rPr>
                <w:rFonts w:hint="eastAsia" w:ascii="宋体" w:hAnsi="宋体" w:eastAsia="宋体" w:cs="宋体"/>
                <w:color w:val="auto"/>
                <w:szCs w:val="21"/>
                <w:highlight w:val="none"/>
                <w:lang w:eastAsia="zh-CN"/>
              </w:rPr>
              <w:t>的社保证明资料复印件。</w:t>
            </w:r>
          </w:p>
          <w:p w14:paraId="08F13D36">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施工项目部关键岗位人员的任职资格及配备数量应符合湘建建〔2020〕208号的规定并提供承诺，保证未经业主许可，不更换团队人员（提供承诺函，格式自拟）</w:t>
            </w:r>
            <w:r>
              <w:rPr>
                <w:rFonts w:hint="eastAsia" w:ascii="宋体" w:hAnsi="宋体" w:eastAsia="宋体" w:cs="宋体"/>
                <w:color w:val="auto"/>
                <w:szCs w:val="21"/>
                <w:highlight w:val="none"/>
              </w:rPr>
              <w:t>。</w:t>
            </w:r>
          </w:p>
          <w:p w14:paraId="47340C8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hAnsi="宋体" w:cs="宋体"/>
                <w:b/>
                <w:bCs/>
                <w:color w:val="auto"/>
                <w:highlight w:val="none"/>
              </w:rPr>
              <w:t>本项目为专门面向中小企业采购</w:t>
            </w:r>
            <w:r>
              <w:rPr>
                <w:rFonts w:hint="eastAsia" w:hAnsi="宋体" w:cs="宋体"/>
                <w:b/>
                <w:bCs/>
                <w:color w:val="auto"/>
                <w:highlight w:val="none"/>
                <w:lang w:eastAsia="zh-CN"/>
              </w:rPr>
              <w:t>的</w:t>
            </w:r>
            <w:r>
              <w:rPr>
                <w:rFonts w:hint="eastAsia" w:hAnsi="宋体" w:cs="宋体"/>
                <w:b/>
                <w:bCs/>
                <w:color w:val="auto"/>
                <w:highlight w:val="none"/>
                <w:lang w:val="en-US" w:eastAsia="zh-CN"/>
              </w:rPr>
              <w:t>项目</w:t>
            </w:r>
            <w:r>
              <w:rPr>
                <w:rFonts w:hint="eastAsia" w:hAnsi="宋体" w:cs="宋体"/>
                <w:b/>
                <w:bCs/>
                <w:color w:val="auto"/>
                <w:highlight w:val="none"/>
              </w:rPr>
              <w:t>。</w:t>
            </w:r>
            <w:r>
              <w:rPr>
                <w:rFonts w:hint="eastAsia"/>
                <w:color w:val="auto"/>
                <w:highlight w:val="none"/>
              </w:rPr>
              <w:t>各供应商应按《政府采购促进中小企业</w:t>
            </w:r>
            <w:r>
              <w:rPr>
                <w:rFonts w:hint="eastAsia" w:ascii="宋体" w:hAnsi="宋体" w:cs="宋体"/>
                <w:color w:val="auto"/>
                <w:highlight w:val="none"/>
              </w:rPr>
              <w:t>发展管理办法》（财库﹝2020﹞46号）相关规定及磋商文件的响应文件组成中的“《中小企业声明函》或《残疾人福利性单位声明函》或《监狱企业证明资料》”格式填写</w:t>
            </w:r>
            <w:r>
              <w:rPr>
                <w:rFonts w:hint="eastAsia" w:ascii="宋体" w:hAnsi="宋体" w:cs="宋体"/>
                <w:b/>
                <w:bCs/>
                <w:color w:val="auto"/>
                <w:highlight w:val="none"/>
              </w:rPr>
              <w:t>，否则视为无效响应。</w:t>
            </w:r>
          </w:p>
        </w:tc>
      </w:tr>
      <w:tr w14:paraId="74BEB0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73CA535F">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第二章第6.1款</w:t>
            </w:r>
          </w:p>
        </w:tc>
        <w:tc>
          <w:tcPr>
            <w:tcW w:w="2115" w:type="dxa"/>
            <w:vAlign w:val="center"/>
          </w:tcPr>
          <w:p w14:paraId="2D58FD3F">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联合体形式</w:t>
            </w:r>
          </w:p>
        </w:tc>
        <w:tc>
          <w:tcPr>
            <w:tcW w:w="5962" w:type="dxa"/>
            <w:gridSpan w:val="2"/>
            <w:vAlign w:val="center"/>
          </w:tcPr>
          <w:p w14:paraId="52101226">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 不接受</w:t>
            </w:r>
          </w:p>
          <w:p w14:paraId="6A4EA2EA">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接受</w:t>
            </w:r>
          </w:p>
        </w:tc>
      </w:tr>
      <w:tr w14:paraId="164F8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2" w:type="dxa"/>
            <w:vAlign w:val="center"/>
          </w:tcPr>
          <w:p w14:paraId="78FAC0EA">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第二章第6.2款</w:t>
            </w:r>
          </w:p>
        </w:tc>
        <w:tc>
          <w:tcPr>
            <w:tcW w:w="2115" w:type="dxa"/>
            <w:vAlign w:val="center"/>
          </w:tcPr>
          <w:p w14:paraId="20C69C69">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对联合体各方的要求</w:t>
            </w:r>
          </w:p>
        </w:tc>
        <w:tc>
          <w:tcPr>
            <w:tcW w:w="5962" w:type="dxa"/>
            <w:gridSpan w:val="2"/>
            <w:vAlign w:val="center"/>
          </w:tcPr>
          <w:p w14:paraId="6CAEFEBF">
            <w:pPr>
              <w:adjustRightInd w:val="0"/>
              <w:snapToGrid w:val="0"/>
              <w:spacing w:before="156" w:beforeLines="50" w:line="360" w:lineRule="auto"/>
              <w:jc w:val="left"/>
              <w:rPr>
                <w:rFonts w:ascii="宋体" w:hAnsi="宋体" w:cs="宋体"/>
                <w:color w:val="auto"/>
                <w:szCs w:val="21"/>
                <w:highlight w:val="none"/>
              </w:rPr>
            </w:pPr>
            <w:r>
              <w:rPr>
                <w:rFonts w:ascii="宋体" w:hAnsi="宋体" w:cs="宋体"/>
                <w:color w:val="auto"/>
                <w:szCs w:val="21"/>
                <w:highlight w:val="none"/>
              </w:rPr>
              <w:t>以联合体形式投标的，联合体投标的必须提供联合体协议。</w:t>
            </w:r>
          </w:p>
        </w:tc>
      </w:tr>
      <w:tr w14:paraId="06148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6E2BDE6F">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第二章第7.1款</w:t>
            </w:r>
          </w:p>
        </w:tc>
        <w:tc>
          <w:tcPr>
            <w:tcW w:w="2115" w:type="dxa"/>
            <w:vAlign w:val="center"/>
          </w:tcPr>
          <w:p w14:paraId="041C8AC1">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现场勘察</w:t>
            </w:r>
          </w:p>
        </w:tc>
        <w:tc>
          <w:tcPr>
            <w:tcW w:w="5962" w:type="dxa"/>
            <w:gridSpan w:val="2"/>
            <w:vAlign w:val="center"/>
          </w:tcPr>
          <w:p w14:paraId="39106884">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 采购人不统一组织，供应商自行踏勘。</w:t>
            </w:r>
          </w:p>
          <w:p w14:paraId="6BADC972">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 采购人组织，时间：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  </w:t>
            </w:r>
          </w:p>
        </w:tc>
      </w:tr>
      <w:tr w14:paraId="1FAB4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4" w:hRule="atLeast"/>
          <w:jc w:val="center"/>
        </w:trPr>
        <w:tc>
          <w:tcPr>
            <w:tcW w:w="1762" w:type="dxa"/>
            <w:vAlign w:val="center"/>
          </w:tcPr>
          <w:p w14:paraId="5F8CDD27">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第二章第8.1款</w:t>
            </w:r>
          </w:p>
        </w:tc>
        <w:tc>
          <w:tcPr>
            <w:tcW w:w="2115" w:type="dxa"/>
            <w:vAlign w:val="center"/>
          </w:tcPr>
          <w:p w14:paraId="674D41C7">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采购进口产品</w:t>
            </w:r>
          </w:p>
        </w:tc>
        <w:tc>
          <w:tcPr>
            <w:tcW w:w="5962" w:type="dxa"/>
            <w:gridSpan w:val="2"/>
            <w:vAlign w:val="center"/>
          </w:tcPr>
          <w:p w14:paraId="7360FC69">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 本项目拒绝采购进口产品</w:t>
            </w:r>
          </w:p>
          <w:p w14:paraId="28771AC1">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 本项目已经财政部门审核同意购买进口产品</w:t>
            </w:r>
          </w:p>
        </w:tc>
      </w:tr>
      <w:tr w14:paraId="456A0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14A7CAB">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第二章第9.2款</w:t>
            </w:r>
          </w:p>
        </w:tc>
        <w:tc>
          <w:tcPr>
            <w:tcW w:w="2115" w:type="dxa"/>
            <w:vAlign w:val="center"/>
          </w:tcPr>
          <w:p w14:paraId="173A578D">
            <w:pPr>
              <w:adjustRightInd w:val="0"/>
              <w:snapToGrid w:val="0"/>
              <w:spacing w:before="156" w:beforeLines="50" w:line="360" w:lineRule="auto"/>
              <w:jc w:val="left"/>
              <w:rPr>
                <w:rFonts w:ascii="宋体" w:cs="宋体"/>
                <w:color w:val="auto"/>
                <w:szCs w:val="21"/>
                <w:highlight w:val="none"/>
              </w:rPr>
            </w:pPr>
            <w:r>
              <w:rPr>
                <w:rFonts w:hint="eastAsia" w:ascii="宋体" w:cs="宋体"/>
                <w:color w:val="auto"/>
                <w:szCs w:val="21"/>
                <w:highlight w:val="none"/>
              </w:rPr>
              <w:t>政府采购优先采购：</w:t>
            </w:r>
          </w:p>
          <w:p w14:paraId="6D7E3B1B">
            <w:pPr>
              <w:adjustRightInd w:val="0"/>
              <w:snapToGrid w:val="0"/>
              <w:spacing w:before="156" w:beforeLines="50" w:line="360" w:lineRule="auto"/>
              <w:jc w:val="left"/>
              <w:rPr>
                <w:rFonts w:ascii="宋体" w:cs="宋体"/>
                <w:color w:val="auto"/>
                <w:szCs w:val="21"/>
                <w:highlight w:val="none"/>
              </w:rPr>
            </w:pPr>
            <w:r>
              <w:rPr>
                <w:rFonts w:hint="eastAsia" w:ascii="宋体" w:cs="宋体"/>
                <w:color w:val="auto"/>
                <w:szCs w:val="21"/>
                <w:highlight w:val="none"/>
              </w:rPr>
              <w:t>1、节能、环境标志产品；</w:t>
            </w:r>
          </w:p>
          <w:p w14:paraId="3FA7DA4C">
            <w:pPr>
              <w:adjustRightInd w:val="0"/>
              <w:snapToGrid w:val="0"/>
              <w:spacing w:before="156" w:beforeLines="50" w:line="360" w:lineRule="auto"/>
              <w:jc w:val="left"/>
              <w:rPr>
                <w:rFonts w:ascii="宋体" w:hAnsi="宋体" w:cs="宋体"/>
                <w:color w:val="auto"/>
                <w:szCs w:val="21"/>
                <w:highlight w:val="none"/>
              </w:rPr>
            </w:pPr>
            <w:r>
              <w:rPr>
                <w:rFonts w:hint="eastAsia" w:ascii="宋体" w:cs="宋体"/>
                <w:color w:val="auto"/>
                <w:szCs w:val="21"/>
                <w:highlight w:val="none"/>
              </w:rPr>
              <w:t>2、支持</w:t>
            </w:r>
            <w:r>
              <w:rPr>
                <w:rFonts w:hint="eastAsia" w:ascii="宋体" w:hAnsi="宋体"/>
                <w:color w:val="auto"/>
                <w:szCs w:val="21"/>
                <w:highlight w:val="none"/>
              </w:rPr>
              <w:t>小微、残疾、监狱</w:t>
            </w:r>
            <w:r>
              <w:rPr>
                <w:rFonts w:hint="eastAsia" w:ascii="宋体" w:cs="宋体"/>
                <w:color w:val="auto"/>
                <w:szCs w:val="21"/>
                <w:highlight w:val="none"/>
              </w:rPr>
              <w:t>企业发展；</w:t>
            </w:r>
          </w:p>
        </w:tc>
        <w:tc>
          <w:tcPr>
            <w:tcW w:w="5962" w:type="dxa"/>
            <w:gridSpan w:val="2"/>
            <w:vAlign w:val="center"/>
          </w:tcPr>
          <w:p w14:paraId="44B46F9C">
            <w:pPr>
              <w:adjustRightInd w:val="0"/>
              <w:snapToGrid w:val="0"/>
              <w:spacing w:before="156" w:beforeLines="50" w:line="360" w:lineRule="auto"/>
              <w:jc w:val="left"/>
              <w:rPr>
                <w:rFonts w:ascii="宋体" w:cs="宋体"/>
                <w:color w:val="auto"/>
                <w:szCs w:val="21"/>
                <w:highlight w:val="none"/>
              </w:rPr>
            </w:pPr>
            <w:r>
              <w:rPr>
                <w:rFonts w:hint="eastAsia" w:ascii="宋体" w:cs="宋体"/>
                <w:color w:val="auto"/>
                <w:szCs w:val="21"/>
                <w:highlight w:val="none"/>
              </w:rPr>
              <w:t>（1）节能、环境标志产品</w:t>
            </w:r>
          </w:p>
          <w:p w14:paraId="49160913">
            <w:pPr>
              <w:adjustRightInd w:val="0"/>
              <w:snapToGrid w:val="0"/>
              <w:spacing w:before="156" w:beforeLines="50" w:line="360" w:lineRule="auto"/>
              <w:ind w:firstLine="210" w:firstLineChars="100"/>
              <w:jc w:val="left"/>
              <w:rPr>
                <w:rFonts w:ascii="宋体" w:cs="宋体"/>
                <w:color w:val="auto"/>
                <w:szCs w:val="21"/>
                <w:highlight w:val="none"/>
              </w:rPr>
            </w:pPr>
            <w:r>
              <w:rPr>
                <w:rFonts w:hint="eastAsia" w:ascii="宋体" w:cs="宋体"/>
                <w:color w:val="auto"/>
                <w:szCs w:val="21"/>
                <w:highlight w:val="none"/>
              </w:rPr>
              <w:t>列入政府采购节能产品与环境标志产品品目清单及认证证书的，按财政部发展改革委 生态环境部市场监管总局关于调整优化节能产品、环境标志产品政府采购执行机制的通知》（财库〔2019〕9号）文件执行采购。</w:t>
            </w:r>
          </w:p>
          <w:p w14:paraId="10910918">
            <w:pPr>
              <w:adjustRightInd w:val="0"/>
              <w:snapToGrid w:val="0"/>
              <w:spacing w:before="156" w:beforeLines="50" w:line="360" w:lineRule="auto"/>
              <w:ind w:firstLine="210" w:firstLineChars="100"/>
              <w:jc w:val="left"/>
              <w:rPr>
                <w:rFonts w:ascii="宋体" w:cs="宋体"/>
                <w:color w:val="auto"/>
                <w:szCs w:val="21"/>
                <w:highlight w:val="none"/>
              </w:rPr>
            </w:pPr>
            <w:r>
              <w:rPr>
                <w:rFonts w:hint="eastAsia" w:ascii="宋体" w:cs="宋体"/>
                <w:color w:val="auto"/>
                <w:szCs w:val="21"/>
                <w:highlight w:val="none"/>
              </w:rPr>
              <w:t>1）在价格评标项中，对节能、环境标志产品给予价格评标总分值4％的价格扣除。</w:t>
            </w:r>
          </w:p>
          <w:p w14:paraId="50A2ABD9">
            <w:pPr>
              <w:adjustRightInd w:val="0"/>
              <w:snapToGrid w:val="0"/>
              <w:spacing w:before="156" w:beforeLines="50" w:line="360" w:lineRule="auto"/>
              <w:ind w:firstLine="210" w:firstLineChars="100"/>
              <w:jc w:val="left"/>
              <w:rPr>
                <w:color w:val="auto"/>
                <w:highlight w:val="none"/>
              </w:rPr>
            </w:pPr>
            <w:r>
              <w:rPr>
                <w:rFonts w:hint="eastAsia" w:ascii="宋体" w:cs="宋体"/>
                <w:color w:val="auto"/>
                <w:szCs w:val="21"/>
                <w:highlight w:val="none"/>
              </w:rPr>
              <w:t>2）在技术评标项中，对节能、环境标志产品给予技术评标总分值4％的加分。</w:t>
            </w:r>
          </w:p>
          <w:p w14:paraId="32FAD14A">
            <w:pPr>
              <w:adjustRightInd w:val="0"/>
              <w:snapToGrid w:val="0"/>
              <w:spacing w:before="156" w:beforeLines="50" w:line="360" w:lineRule="auto"/>
              <w:ind w:firstLine="210" w:firstLineChars="100"/>
              <w:jc w:val="left"/>
              <w:rPr>
                <w:rFonts w:hint="eastAsia" w:ascii="宋体" w:eastAsia="宋体" w:cs="宋体"/>
                <w:color w:val="auto"/>
                <w:szCs w:val="21"/>
                <w:highlight w:val="none"/>
                <w:lang w:eastAsia="zh-CN"/>
              </w:rPr>
            </w:pPr>
            <w:r>
              <w:rPr>
                <w:rFonts w:hint="eastAsia" w:ascii="宋体" w:cs="宋体"/>
                <w:color w:val="auto"/>
                <w:szCs w:val="21"/>
                <w:highlight w:val="none"/>
              </w:rPr>
              <w:t>（2）小微、残疾、监狱企业：</w:t>
            </w:r>
            <w:r>
              <w:rPr>
                <w:rFonts w:hint="eastAsia" w:ascii="宋体" w:cs="宋体"/>
                <w:b/>
                <w:bCs/>
                <w:color w:val="auto"/>
                <w:szCs w:val="21"/>
                <w:highlight w:val="none"/>
                <w:lang w:eastAsia="zh-CN"/>
              </w:rPr>
              <w:t>（本项目对应的中小企业划分标准所属行业：</w:t>
            </w:r>
            <w:r>
              <w:rPr>
                <w:rFonts w:hint="eastAsia" w:ascii="宋体" w:cs="宋体"/>
                <w:b/>
                <w:bCs/>
                <w:color w:val="auto"/>
                <w:szCs w:val="21"/>
                <w:highlight w:val="none"/>
                <w:lang w:val="en-US" w:eastAsia="zh-CN"/>
              </w:rPr>
              <w:t>建筑业，未按中小企业声明函格式提交，或提交的声明不符合本项目中小企业划分行业标准的，不计算优惠</w:t>
            </w:r>
            <w:r>
              <w:rPr>
                <w:rFonts w:hint="eastAsia" w:ascii="宋体" w:cs="宋体"/>
                <w:b/>
                <w:bCs/>
                <w:color w:val="auto"/>
                <w:szCs w:val="21"/>
                <w:highlight w:val="none"/>
                <w:lang w:eastAsia="zh-CN"/>
              </w:rPr>
              <w:t>）</w:t>
            </w:r>
          </w:p>
          <w:p w14:paraId="396A881A">
            <w:pPr>
              <w:adjustRightInd w:val="0"/>
              <w:snapToGrid w:val="0"/>
              <w:spacing w:before="156" w:beforeLines="50" w:line="360" w:lineRule="auto"/>
              <w:ind w:firstLine="210" w:firstLineChars="100"/>
              <w:jc w:val="left"/>
              <w:rPr>
                <w:rFonts w:ascii="宋体" w:cs="宋体"/>
                <w:color w:val="auto"/>
                <w:szCs w:val="21"/>
                <w:highlight w:val="none"/>
              </w:rPr>
            </w:pPr>
            <w:r>
              <w:rPr>
                <w:rFonts w:hint="eastAsia" w:ascii="宋体" w:cs="宋体"/>
                <w:color w:val="auto"/>
                <w:szCs w:val="21"/>
                <w:highlight w:val="none"/>
              </w:rPr>
              <w:t>根据工信部等部委发布的《关于印发中小企业划型标准规定的通知》（工信部联企业〔2011〕300号），按照本次采购标的所属行业的划型标准，符合条件的中小微企业应按照磋商文件格式要求提供《中小企业声明函》。</w:t>
            </w:r>
          </w:p>
          <w:p w14:paraId="3A12DE94">
            <w:pPr>
              <w:adjustRightInd w:val="0"/>
              <w:snapToGrid w:val="0"/>
              <w:spacing w:before="156" w:beforeLines="50" w:line="360" w:lineRule="auto"/>
              <w:ind w:firstLine="210" w:firstLineChars="100"/>
              <w:jc w:val="left"/>
              <w:rPr>
                <w:rFonts w:ascii="宋体" w:cs="宋体"/>
                <w:color w:val="auto"/>
                <w:szCs w:val="21"/>
                <w:highlight w:val="none"/>
              </w:rPr>
            </w:pPr>
            <w:r>
              <w:rPr>
                <w:rFonts w:hint="eastAsia" w:ascii="宋体" w:cs="宋体"/>
                <w:color w:val="auto"/>
                <w:szCs w:val="21"/>
                <w:highlight w:val="none"/>
              </w:rPr>
              <w:t>1）根据财政部发布的《政府采购促进中小企业发展管理办法》（财库﹝2020﹞46号）规定，对小型和微型企业产品的响应价格给予</w:t>
            </w:r>
            <w:r>
              <w:rPr>
                <w:rFonts w:hint="eastAsia" w:ascii="宋体" w:cs="宋体"/>
                <w:color w:val="auto"/>
                <w:szCs w:val="21"/>
                <w:highlight w:val="none"/>
                <w:lang w:val="en-US" w:eastAsia="zh-CN"/>
              </w:rPr>
              <w:t>0</w:t>
            </w:r>
            <w:r>
              <w:rPr>
                <w:rFonts w:hint="eastAsia" w:ascii="宋体" w:cs="宋体"/>
                <w:color w:val="auto"/>
                <w:szCs w:val="21"/>
                <w:highlight w:val="none"/>
              </w:rPr>
              <w:t>%的扣除，用扣除后的价格参与评审。</w:t>
            </w:r>
          </w:p>
          <w:p w14:paraId="7A63FCC6">
            <w:pPr>
              <w:adjustRightInd w:val="0"/>
              <w:snapToGrid w:val="0"/>
              <w:spacing w:before="156" w:beforeLines="50" w:line="360" w:lineRule="auto"/>
              <w:ind w:firstLine="210" w:firstLineChars="100"/>
              <w:jc w:val="left"/>
              <w:rPr>
                <w:rFonts w:ascii="宋体" w:cs="宋体"/>
                <w:color w:val="auto"/>
                <w:szCs w:val="21"/>
                <w:highlight w:val="none"/>
              </w:rPr>
            </w:pPr>
            <w:r>
              <w:rPr>
                <w:rFonts w:hint="eastAsia" w:ascii="宋体" w:cs="宋体"/>
                <w:color w:val="auto"/>
                <w:szCs w:val="21"/>
                <w:highlight w:val="none"/>
              </w:rPr>
              <w:t>2）供应商是联合体的，联合体各方均为小型、微型企业的，联合体视同为小型、微型企业享受相关优惠政策；联合体中有大中型企业也有小型、微型企业的，小型、微型企业的协议合同金额占到联合体协议合同金额30%以上的，给予联合体0%的价格扣除。</w:t>
            </w:r>
          </w:p>
          <w:p w14:paraId="5058B0CC">
            <w:pPr>
              <w:adjustRightInd w:val="0"/>
              <w:snapToGrid w:val="0"/>
              <w:spacing w:before="156" w:beforeLines="50" w:line="360" w:lineRule="auto"/>
              <w:ind w:firstLine="210" w:firstLineChars="100"/>
              <w:jc w:val="left"/>
              <w:rPr>
                <w:rFonts w:ascii="宋体" w:cs="宋体"/>
                <w:color w:val="auto"/>
                <w:szCs w:val="21"/>
                <w:highlight w:val="none"/>
              </w:rPr>
            </w:pPr>
            <w:r>
              <w:rPr>
                <w:rFonts w:hint="eastAsia" w:ascii="宋体" w:cs="宋体"/>
                <w:color w:val="auto"/>
                <w:szCs w:val="21"/>
                <w:highlight w:val="none"/>
              </w:rPr>
              <w:t>3）提供由省级以上监狱管理局、戒毒管理局（含新疆生产建设兵团）出具的属于监狱企业证明文件的，视同为小型和微型企业。</w:t>
            </w:r>
          </w:p>
          <w:p w14:paraId="2CD001C3">
            <w:pPr>
              <w:adjustRightInd w:val="0"/>
              <w:snapToGrid w:val="0"/>
              <w:spacing w:before="156" w:beforeLines="50" w:line="360" w:lineRule="auto"/>
              <w:ind w:firstLine="210" w:firstLineChars="100"/>
              <w:jc w:val="left"/>
              <w:rPr>
                <w:rFonts w:ascii="宋体" w:hAnsi="宋体" w:cs="宋体"/>
                <w:color w:val="auto"/>
                <w:szCs w:val="21"/>
                <w:highlight w:val="none"/>
              </w:rPr>
            </w:pPr>
            <w:r>
              <w:rPr>
                <w:rFonts w:hint="eastAsia" w:ascii="宋体" w:cs="宋体"/>
                <w:color w:val="auto"/>
                <w:szCs w:val="21"/>
                <w:highlight w:val="none"/>
              </w:rPr>
              <w:t>4）符合享受政府采购支持政策的残疾人福利性单位条件且提供《残疾人福利性单位声明函》的，视同为小型和微型企业。</w:t>
            </w:r>
          </w:p>
        </w:tc>
      </w:tr>
      <w:tr w14:paraId="774B6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Merge w:val="restart"/>
            <w:tcBorders>
              <w:top w:val="single" w:color="auto" w:sz="4" w:space="0"/>
            </w:tcBorders>
            <w:vAlign w:val="center"/>
          </w:tcPr>
          <w:p w14:paraId="31753FFB">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第二章第9.6款</w:t>
            </w:r>
          </w:p>
        </w:tc>
        <w:tc>
          <w:tcPr>
            <w:tcW w:w="2115" w:type="dxa"/>
            <w:tcBorders>
              <w:top w:val="single" w:color="auto" w:sz="4" w:space="0"/>
              <w:bottom w:val="single" w:color="auto" w:sz="4" w:space="0"/>
            </w:tcBorders>
            <w:vAlign w:val="center"/>
          </w:tcPr>
          <w:p w14:paraId="29C2EABC">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政府采购支持中小企业融资</w:t>
            </w:r>
          </w:p>
        </w:tc>
        <w:tc>
          <w:tcPr>
            <w:tcW w:w="5962" w:type="dxa"/>
            <w:gridSpan w:val="2"/>
            <w:tcBorders>
              <w:top w:val="single" w:color="auto" w:sz="4" w:space="0"/>
              <w:bottom w:val="single" w:color="auto" w:sz="4" w:space="0"/>
            </w:tcBorders>
            <w:vAlign w:val="center"/>
          </w:tcPr>
          <w:p w14:paraId="48E2F7C4">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有融资需求的，可向本附表附页1所列银行咨询或登录中国湖南政府采购网查询。</w:t>
            </w:r>
          </w:p>
        </w:tc>
      </w:tr>
      <w:tr w14:paraId="18A26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2" w:hRule="atLeast"/>
          <w:jc w:val="center"/>
        </w:trPr>
        <w:tc>
          <w:tcPr>
            <w:tcW w:w="1762" w:type="dxa"/>
            <w:vMerge w:val="continue"/>
            <w:vAlign w:val="center"/>
          </w:tcPr>
          <w:p w14:paraId="55F1C4A8">
            <w:pPr>
              <w:spacing w:line="360" w:lineRule="auto"/>
              <w:jc w:val="center"/>
              <w:rPr>
                <w:rFonts w:ascii="宋体" w:hAnsi="宋体" w:cs="宋体"/>
                <w:color w:val="auto"/>
                <w:szCs w:val="21"/>
                <w:highlight w:val="none"/>
              </w:rPr>
            </w:pPr>
          </w:p>
        </w:tc>
        <w:tc>
          <w:tcPr>
            <w:tcW w:w="2115" w:type="dxa"/>
            <w:tcBorders>
              <w:top w:val="single" w:color="auto" w:sz="4" w:space="0"/>
            </w:tcBorders>
            <w:vAlign w:val="center"/>
          </w:tcPr>
          <w:p w14:paraId="14122D0F">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政府采购信用担保</w:t>
            </w:r>
          </w:p>
        </w:tc>
        <w:tc>
          <w:tcPr>
            <w:tcW w:w="5962" w:type="dxa"/>
            <w:gridSpan w:val="2"/>
            <w:tcBorders>
              <w:top w:val="single" w:color="auto" w:sz="4" w:space="0"/>
            </w:tcBorders>
            <w:vAlign w:val="center"/>
          </w:tcPr>
          <w:p w14:paraId="17893112">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有履约担保或融资担保需求的，可向本附表附页2所列担保机构咨询或登录中国湖南政府采购网查询，格式见附页3。</w:t>
            </w:r>
          </w:p>
        </w:tc>
      </w:tr>
      <w:tr w14:paraId="71166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559C0BAC">
            <w:pPr>
              <w:adjustRightInd w:val="0"/>
              <w:snapToGrid w:val="0"/>
              <w:spacing w:line="280" w:lineRule="exact"/>
              <w:jc w:val="left"/>
              <w:rPr>
                <w:rFonts w:ascii="宋体" w:hAnsi="宋体" w:cs="宋体"/>
                <w:b/>
                <w:color w:val="auto"/>
                <w:szCs w:val="21"/>
                <w:highlight w:val="none"/>
              </w:rPr>
            </w:pPr>
            <w:r>
              <w:rPr>
                <w:rFonts w:hint="eastAsia" w:ascii="宋体" w:hAnsi="宋体" w:cs="宋体"/>
                <w:b/>
                <w:color w:val="auto"/>
                <w:szCs w:val="21"/>
                <w:highlight w:val="none"/>
              </w:rPr>
              <w:t>二、磋商文件</w:t>
            </w:r>
          </w:p>
        </w:tc>
      </w:tr>
      <w:tr w14:paraId="6B44E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B28370D">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第二章第10.2款</w:t>
            </w:r>
          </w:p>
        </w:tc>
        <w:tc>
          <w:tcPr>
            <w:tcW w:w="2115" w:type="dxa"/>
            <w:vAlign w:val="center"/>
          </w:tcPr>
          <w:p w14:paraId="289647CE">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磋商文件的可能实质性变动内容</w:t>
            </w:r>
          </w:p>
        </w:tc>
        <w:tc>
          <w:tcPr>
            <w:tcW w:w="5962" w:type="dxa"/>
            <w:gridSpan w:val="2"/>
            <w:vAlign w:val="center"/>
          </w:tcPr>
          <w:p w14:paraId="423B4C18">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第三章 政府采购合同格式及第四章采购需求</w:t>
            </w:r>
          </w:p>
        </w:tc>
      </w:tr>
      <w:tr w14:paraId="4AB329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1EFDF3AC">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第二章第11.1款</w:t>
            </w:r>
          </w:p>
        </w:tc>
        <w:tc>
          <w:tcPr>
            <w:tcW w:w="2115" w:type="dxa"/>
            <w:vAlign w:val="center"/>
          </w:tcPr>
          <w:p w14:paraId="6A7786D2">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提供磋商文件期限</w:t>
            </w:r>
          </w:p>
        </w:tc>
        <w:tc>
          <w:tcPr>
            <w:tcW w:w="5962" w:type="dxa"/>
            <w:gridSpan w:val="2"/>
            <w:vAlign w:val="center"/>
          </w:tcPr>
          <w:p w14:paraId="749032F4">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7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9 </w:t>
            </w:r>
            <w:r>
              <w:rPr>
                <w:rFonts w:hint="eastAsia" w:ascii="宋体" w:hAnsi="宋体" w:cs="宋体"/>
                <w:color w:val="auto"/>
                <w:szCs w:val="21"/>
                <w:highlight w:val="none"/>
              </w:rPr>
              <w:t>日至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7 </w:t>
            </w:r>
            <w:r>
              <w:rPr>
                <w:rFonts w:hint="eastAsia" w:ascii="宋体" w:hAnsi="宋体" w:cs="宋体"/>
                <w:color w:val="auto"/>
                <w:szCs w:val="21"/>
                <w:highlight w:val="none"/>
              </w:rPr>
              <w:t>月</w:t>
            </w:r>
            <w:r>
              <w:rPr>
                <w:rFonts w:hint="eastAsia" w:ascii="宋体" w:hAnsi="宋体" w:cs="宋体"/>
                <w:color w:val="auto"/>
                <w:highlight w:val="none"/>
                <w:u w:val="single"/>
                <w:lang w:val="en-US" w:eastAsia="zh-CN"/>
              </w:rPr>
              <w:t xml:space="preserve"> 16 </w:t>
            </w:r>
            <w:r>
              <w:rPr>
                <w:rFonts w:hint="eastAsia" w:ascii="宋体" w:hAnsi="宋体" w:cs="宋体"/>
                <w:color w:val="auto"/>
                <w:szCs w:val="21"/>
                <w:highlight w:val="none"/>
              </w:rPr>
              <w:t>日，每日上午9:00时到12:00时，下午2:30时到5:00时(北京时间，节假日除外)</w:t>
            </w:r>
          </w:p>
        </w:tc>
      </w:tr>
      <w:tr w14:paraId="78EF5E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30B8B530">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第二章第11.2款</w:t>
            </w:r>
          </w:p>
        </w:tc>
        <w:tc>
          <w:tcPr>
            <w:tcW w:w="2115" w:type="dxa"/>
            <w:vAlign w:val="center"/>
          </w:tcPr>
          <w:p w14:paraId="050D58C9">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领取磋商文件时应提供的资料</w:t>
            </w:r>
          </w:p>
        </w:tc>
        <w:tc>
          <w:tcPr>
            <w:tcW w:w="5962" w:type="dxa"/>
            <w:gridSpan w:val="2"/>
            <w:vAlign w:val="center"/>
          </w:tcPr>
          <w:p w14:paraId="7344343F">
            <w:pPr>
              <w:adjustRightInd w:val="0"/>
              <w:snapToGrid w:val="0"/>
              <w:spacing w:before="156" w:beforeLines="50" w:line="360" w:lineRule="auto"/>
              <w:jc w:val="left"/>
              <w:rPr>
                <w:rFonts w:ascii="宋体" w:hAnsi="宋体" w:cs="宋体"/>
                <w:color w:val="auto"/>
                <w:highlight w:val="none"/>
              </w:rPr>
            </w:pPr>
            <w:r>
              <w:rPr>
                <w:rFonts w:hint="eastAsia" w:ascii="宋体" w:hAnsi="宋体" w:cs="宋体"/>
                <w:color w:val="auto"/>
                <w:highlight w:val="none"/>
              </w:rPr>
              <w:t>法定代表人领取磋商文件时：供应商法人营业执照副本复印件、本人身份证、法定代表人身份证明；</w:t>
            </w:r>
          </w:p>
          <w:p w14:paraId="6275D4A5">
            <w:pPr>
              <w:adjustRightInd w:val="0"/>
              <w:snapToGrid w:val="0"/>
              <w:spacing w:before="156" w:beforeLines="50"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rPr>
              <w:t>或委托代理人领取磋商文件时：供应商法人营业执照副本复印件、本人身份证、授权委托书（附法定代表人身份证明及授权委托人身份证明复印件）</w:t>
            </w:r>
            <w:r>
              <w:rPr>
                <w:rFonts w:hint="eastAsia" w:ascii="宋体" w:hAnsi="宋体" w:cs="宋体"/>
                <w:color w:val="auto"/>
                <w:highlight w:val="none"/>
                <w:lang w:eastAsia="zh-CN"/>
              </w:rPr>
              <w:t>；</w:t>
            </w:r>
          </w:p>
          <w:p w14:paraId="366BD6A3">
            <w:pPr>
              <w:pStyle w:val="8"/>
              <w:rPr>
                <w:rFonts w:ascii="宋体" w:hAnsi="宋体" w:cs="宋体"/>
                <w:color w:val="auto"/>
                <w:highlight w:val="none"/>
              </w:rPr>
            </w:pPr>
            <w:r>
              <w:rPr>
                <w:rFonts w:hint="eastAsia" w:hAnsi="宋体" w:cs="宋体"/>
                <w:color w:val="auto"/>
                <w:highlight w:val="none"/>
              </w:rPr>
              <w:t>所递交资料均须加盖供应商公章</w:t>
            </w:r>
            <w:r>
              <w:rPr>
                <w:rFonts w:hint="eastAsia" w:hAnsi="宋体" w:cs="宋体"/>
                <w:color w:val="auto"/>
                <w:highlight w:val="none"/>
                <w:lang w:eastAsia="zh-CN"/>
              </w:rPr>
              <w:t>的原件</w:t>
            </w:r>
            <w:r>
              <w:rPr>
                <w:rFonts w:hint="eastAsia" w:hAnsi="宋体" w:cs="宋体"/>
                <w:color w:val="auto"/>
                <w:highlight w:val="none"/>
              </w:rPr>
              <w:t>。</w:t>
            </w:r>
          </w:p>
        </w:tc>
      </w:tr>
      <w:tr w14:paraId="4ED0F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0C0380A4">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第二章第12.1款</w:t>
            </w:r>
          </w:p>
        </w:tc>
        <w:tc>
          <w:tcPr>
            <w:tcW w:w="2115" w:type="dxa"/>
            <w:vAlign w:val="center"/>
          </w:tcPr>
          <w:p w14:paraId="18AAAB1C">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提交首次响应文件的截止时间</w:t>
            </w:r>
          </w:p>
        </w:tc>
        <w:tc>
          <w:tcPr>
            <w:tcW w:w="5962" w:type="dxa"/>
            <w:gridSpan w:val="2"/>
            <w:vAlign w:val="center"/>
          </w:tcPr>
          <w:p w14:paraId="4B7F93A9">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7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21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15 </w:t>
            </w:r>
            <w:r>
              <w:rPr>
                <w:rFonts w:hint="eastAsia" w:ascii="宋体" w:hAnsi="宋体" w:cs="宋体"/>
                <w:color w:val="auto"/>
                <w:szCs w:val="21"/>
                <w:highlight w:val="none"/>
              </w:rPr>
              <w:t>时</w:t>
            </w:r>
            <w:r>
              <w:rPr>
                <w:rFonts w:hint="eastAsia" w:ascii="宋体" w:hAnsi="宋体" w:cs="宋体"/>
                <w:color w:val="auto"/>
                <w:highlight w:val="none"/>
                <w:u w:val="single"/>
                <w:lang w:val="en-US" w:eastAsia="zh-CN"/>
              </w:rPr>
              <w:t xml:space="preserve"> 00 </w:t>
            </w:r>
            <w:r>
              <w:rPr>
                <w:rFonts w:hint="eastAsia" w:ascii="宋体" w:hAnsi="宋体" w:cs="宋体"/>
                <w:color w:val="auto"/>
                <w:szCs w:val="21"/>
                <w:highlight w:val="none"/>
              </w:rPr>
              <w:t>分 (</w:t>
            </w:r>
            <w:bookmarkStart w:id="975" w:name="_GoBack"/>
            <w:bookmarkEnd w:id="975"/>
            <w:r>
              <w:rPr>
                <w:rFonts w:hint="eastAsia" w:ascii="宋体" w:hAnsi="宋体" w:cs="宋体"/>
                <w:color w:val="auto"/>
                <w:szCs w:val="21"/>
                <w:highlight w:val="none"/>
              </w:rPr>
              <w:t>北京时间)</w:t>
            </w:r>
          </w:p>
        </w:tc>
      </w:tr>
      <w:tr w14:paraId="306A4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2333F85F">
            <w:pPr>
              <w:adjustRightInd w:val="0"/>
              <w:snapToGrid w:val="0"/>
              <w:spacing w:line="280" w:lineRule="exact"/>
              <w:jc w:val="left"/>
              <w:rPr>
                <w:rFonts w:ascii="宋体" w:hAnsi="宋体" w:cs="宋体"/>
                <w:color w:val="auto"/>
                <w:szCs w:val="21"/>
                <w:highlight w:val="none"/>
              </w:rPr>
            </w:pPr>
            <w:r>
              <w:rPr>
                <w:rFonts w:hint="eastAsia" w:ascii="宋体" w:hAnsi="宋体" w:cs="宋体"/>
                <w:b/>
                <w:color w:val="auto"/>
                <w:szCs w:val="21"/>
                <w:highlight w:val="none"/>
              </w:rPr>
              <w:t>三、响应文件的编写</w:t>
            </w:r>
          </w:p>
        </w:tc>
      </w:tr>
      <w:tr w14:paraId="37C21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8999277">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第二章第16.4款</w:t>
            </w:r>
          </w:p>
        </w:tc>
        <w:tc>
          <w:tcPr>
            <w:tcW w:w="2115" w:type="dxa"/>
            <w:vAlign w:val="center"/>
          </w:tcPr>
          <w:p w14:paraId="755DE72B">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采购项目预算及最高限价</w:t>
            </w:r>
          </w:p>
        </w:tc>
        <w:tc>
          <w:tcPr>
            <w:tcW w:w="5962" w:type="dxa"/>
            <w:gridSpan w:val="2"/>
            <w:vAlign w:val="center"/>
          </w:tcPr>
          <w:p w14:paraId="5D48F16A">
            <w:pPr>
              <w:adjustRightInd w:val="0"/>
              <w:snapToGrid w:val="0"/>
              <w:spacing w:before="156" w:beforeLines="50" w:line="360" w:lineRule="auto"/>
              <w:jc w:val="left"/>
              <w:rPr>
                <w:rFonts w:ascii="宋体" w:hAnsi="宋体" w:cs="宋体"/>
                <w:color w:val="auto"/>
                <w:highlight w:val="none"/>
                <w:u w:val="single"/>
              </w:rPr>
            </w:pPr>
            <w:r>
              <w:rPr>
                <w:rFonts w:hint="eastAsia" w:ascii="宋体" w:hAnsi="宋体" w:cs="宋体"/>
                <w:color w:val="auto"/>
                <w:highlight w:val="none"/>
              </w:rPr>
              <w:t>采购项目预算：</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1603800.00</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25C6F1D6">
            <w:pPr>
              <w:pStyle w:val="19"/>
              <w:adjustRightInd w:val="0"/>
              <w:snapToGrid w:val="0"/>
              <w:spacing w:line="360" w:lineRule="auto"/>
              <w:jc w:val="left"/>
              <w:rPr>
                <w:rFonts w:hAnsi="宋体" w:cs="宋体"/>
                <w:color w:val="auto"/>
                <w:highlight w:val="none"/>
              </w:rPr>
            </w:pPr>
            <w:r>
              <w:rPr>
                <w:rFonts w:hint="eastAsia" w:hAnsi="宋体" w:cs="宋体"/>
                <w:color w:val="auto"/>
                <w:highlight w:val="none"/>
              </w:rPr>
              <w:t>最高限价：</w:t>
            </w:r>
            <w:r>
              <w:rPr>
                <w:rFonts w:hint="eastAsia" w:hAnsi="宋体" w:cs="宋体"/>
                <w:color w:val="auto"/>
                <w:highlight w:val="none"/>
                <w:u w:val="single"/>
              </w:rPr>
              <w:t xml:space="preserve"> </w:t>
            </w:r>
            <w:r>
              <w:rPr>
                <w:rFonts w:hint="eastAsia" w:hAnsi="宋体" w:cs="宋体"/>
                <w:color w:val="auto"/>
                <w:highlight w:val="none"/>
                <w:u w:val="single"/>
                <w:lang w:eastAsia="zh-CN"/>
              </w:rPr>
              <w:t>1603800.00</w:t>
            </w:r>
            <w:r>
              <w:rPr>
                <w:rFonts w:hint="eastAsia" w:hAnsi="宋体" w:cs="宋体"/>
                <w:color w:val="auto"/>
                <w:highlight w:val="none"/>
                <w:u w:val="single"/>
              </w:rPr>
              <w:t xml:space="preserve"> </w:t>
            </w:r>
            <w:r>
              <w:rPr>
                <w:rFonts w:hint="eastAsia" w:hAnsi="宋体" w:cs="宋体"/>
                <w:color w:val="auto"/>
                <w:highlight w:val="none"/>
              </w:rPr>
              <w:t>元（</w:t>
            </w:r>
            <w:r>
              <w:rPr>
                <w:rFonts w:hint="eastAsia" w:cs="宋体"/>
                <w:color w:val="auto"/>
                <w:highlight w:val="none"/>
              </w:rPr>
              <w:t>投标报价不能超过最高限价，否则视为无效投标</w:t>
            </w:r>
            <w:r>
              <w:rPr>
                <w:rFonts w:hint="eastAsia" w:hAnsi="宋体" w:cs="宋体"/>
                <w:color w:val="auto"/>
                <w:highlight w:val="none"/>
              </w:rPr>
              <w:t>）</w:t>
            </w:r>
          </w:p>
        </w:tc>
      </w:tr>
      <w:tr w14:paraId="20E2BB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06E2658D">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第二章第17.3款</w:t>
            </w:r>
          </w:p>
        </w:tc>
        <w:tc>
          <w:tcPr>
            <w:tcW w:w="2115" w:type="dxa"/>
            <w:vAlign w:val="center"/>
          </w:tcPr>
          <w:p w14:paraId="42EC7E49">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非制造商的证明文件</w:t>
            </w:r>
          </w:p>
        </w:tc>
        <w:tc>
          <w:tcPr>
            <w:tcW w:w="5962" w:type="dxa"/>
            <w:gridSpan w:val="2"/>
            <w:vAlign w:val="center"/>
          </w:tcPr>
          <w:p w14:paraId="6F0C63D2">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不要求提供</w:t>
            </w:r>
          </w:p>
          <w:p w14:paraId="2E1DAA4A">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 要求提供：</w:t>
            </w:r>
          </w:p>
          <w:p w14:paraId="6E804740">
            <w:pPr>
              <w:adjustRightInd w:val="0"/>
              <w:snapToGrid w:val="0"/>
              <w:spacing w:before="156" w:beforeLines="50" w:line="360" w:lineRule="auto"/>
              <w:jc w:val="left"/>
              <w:rPr>
                <w:rFonts w:ascii="宋体" w:hAnsi="宋体" w:cs="宋体"/>
                <w:color w:val="auto"/>
                <w:szCs w:val="21"/>
                <w:highlight w:val="none"/>
                <w:u w:val="single"/>
              </w:rPr>
            </w:pPr>
            <w:r>
              <w:rPr>
                <w:rFonts w:hint="eastAsia" w:ascii="宋体" w:hAnsi="宋体"/>
                <w:color w:val="auto"/>
                <w:szCs w:val="21"/>
                <w:highlight w:val="none"/>
              </w:rPr>
              <w:t>经销、或代理投标货物、或为投标货物提供售后服务的证明文件。</w:t>
            </w:r>
          </w:p>
        </w:tc>
      </w:tr>
      <w:tr w14:paraId="2609B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7D66D2F6">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第二章第18.1款</w:t>
            </w:r>
          </w:p>
        </w:tc>
        <w:tc>
          <w:tcPr>
            <w:tcW w:w="2115" w:type="dxa"/>
            <w:vAlign w:val="center"/>
          </w:tcPr>
          <w:p w14:paraId="5BF01E6B">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样品提供及样品提交的时间、地点</w:t>
            </w:r>
          </w:p>
        </w:tc>
        <w:tc>
          <w:tcPr>
            <w:tcW w:w="5962" w:type="dxa"/>
            <w:gridSpan w:val="2"/>
            <w:vAlign w:val="center"/>
          </w:tcPr>
          <w:p w14:paraId="6E761591">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不要求提供</w:t>
            </w:r>
          </w:p>
          <w:p w14:paraId="0D446168">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olor w:val="auto"/>
                <w:szCs w:val="21"/>
                <w:highlight w:val="none"/>
              </w:rPr>
              <w:t>□ 要求提供，提交的样品:</w:t>
            </w:r>
            <w:r>
              <w:rPr>
                <w:rFonts w:hint="eastAsia" w:ascii="宋体" w:hAnsi="宋体"/>
                <w:color w:val="auto"/>
                <w:szCs w:val="21"/>
                <w:highlight w:val="none"/>
                <w:u w:val="single"/>
              </w:rPr>
              <w:t xml:space="preserve"> / </w:t>
            </w:r>
            <w:r>
              <w:rPr>
                <w:rFonts w:hint="eastAsia" w:ascii="宋体" w:hAnsi="宋体"/>
                <w:color w:val="auto"/>
                <w:szCs w:val="21"/>
                <w:highlight w:val="none"/>
              </w:rPr>
              <w:t>,提交的时间：</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、地点:</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tc>
      </w:tr>
      <w:tr w14:paraId="53614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729F0B86">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第二章第19.1款</w:t>
            </w:r>
          </w:p>
        </w:tc>
        <w:tc>
          <w:tcPr>
            <w:tcW w:w="2115" w:type="dxa"/>
            <w:vAlign w:val="center"/>
          </w:tcPr>
          <w:p w14:paraId="06EB0AF2">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5962" w:type="dxa"/>
            <w:gridSpan w:val="2"/>
            <w:vAlign w:val="center"/>
          </w:tcPr>
          <w:p w14:paraId="67FB3E69">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█不要求提供</w:t>
            </w:r>
          </w:p>
          <w:p w14:paraId="0EE1B1D9">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要求提供，数额为(人民币)：预算的 /%</w:t>
            </w:r>
          </w:p>
        </w:tc>
      </w:tr>
      <w:tr w14:paraId="1C92B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6E46CEC8">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第二章第20.1款</w:t>
            </w:r>
          </w:p>
        </w:tc>
        <w:tc>
          <w:tcPr>
            <w:tcW w:w="2115" w:type="dxa"/>
            <w:vAlign w:val="center"/>
          </w:tcPr>
          <w:p w14:paraId="775ED4C7">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5962" w:type="dxa"/>
            <w:gridSpan w:val="2"/>
            <w:vAlign w:val="center"/>
          </w:tcPr>
          <w:p w14:paraId="6B1CBA36">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不少于90日（日历日）</w:t>
            </w:r>
          </w:p>
        </w:tc>
      </w:tr>
      <w:tr w14:paraId="63901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762" w:type="dxa"/>
            <w:vMerge w:val="restart"/>
            <w:vAlign w:val="center"/>
          </w:tcPr>
          <w:p w14:paraId="4C22CA77">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第二章第21.1款</w:t>
            </w:r>
          </w:p>
        </w:tc>
        <w:tc>
          <w:tcPr>
            <w:tcW w:w="2115" w:type="dxa"/>
            <w:vMerge w:val="restart"/>
            <w:vAlign w:val="center"/>
          </w:tcPr>
          <w:p w14:paraId="5097AE0E">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响应文件副本份数</w:t>
            </w:r>
          </w:p>
        </w:tc>
        <w:tc>
          <w:tcPr>
            <w:tcW w:w="1815" w:type="dxa"/>
            <w:tcBorders>
              <w:bottom w:val="single" w:color="auto" w:sz="4" w:space="0"/>
              <w:right w:val="single" w:color="auto" w:sz="4" w:space="0"/>
            </w:tcBorders>
            <w:vAlign w:val="center"/>
          </w:tcPr>
          <w:p w14:paraId="77FD17B8">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4147" w:type="dxa"/>
            <w:tcBorders>
              <w:left w:val="single" w:color="auto" w:sz="4" w:space="0"/>
              <w:bottom w:val="single" w:color="auto" w:sz="4" w:space="0"/>
            </w:tcBorders>
            <w:vAlign w:val="center"/>
          </w:tcPr>
          <w:p w14:paraId="3A0760B4">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响应文件数量</w:t>
            </w:r>
          </w:p>
        </w:tc>
      </w:tr>
      <w:tr w14:paraId="55E1C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62" w:type="dxa"/>
            <w:vMerge w:val="continue"/>
            <w:vAlign w:val="center"/>
          </w:tcPr>
          <w:p w14:paraId="6DE93F54">
            <w:pPr>
              <w:adjustRightInd w:val="0"/>
              <w:snapToGrid w:val="0"/>
              <w:spacing w:before="156" w:beforeLines="50" w:line="360" w:lineRule="auto"/>
              <w:jc w:val="center"/>
              <w:rPr>
                <w:rFonts w:ascii="宋体" w:hAnsi="宋体" w:cs="宋体"/>
                <w:color w:val="auto"/>
                <w:szCs w:val="21"/>
                <w:highlight w:val="none"/>
              </w:rPr>
            </w:pPr>
          </w:p>
        </w:tc>
        <w:tc>
          <w:tcPr>
            <w:tcW w:w="2115" w:type="dxa"/>
            <w:vMerge w:val="continue"/>
            <w:vAlign w:val="center"/>
          </w:tcPr>
          <w:p w14:paraId="39CFA850">
            <w:pPr>
              <w:adjustRightInd w:val="0"/>
              <w:snapToGrid w:val="0"/>
              <w:spacing w:before="156" w:beforeLines="50" w:line="360" w:lineRule="auto"/>
              <w:jc w:val="center"/>
              <w:rPr>
                <w:rFonts w:ascii="宋体" w:hAnsi="宋体" w:cs="宋体"/>
                <w:color w:val="auto"/>
                <w:szCs w:val="21"/>
                <w:highlight w:val="none"/>
              </w:rPr>
            </w:pPr>
          </w:p>
        </w:tc>
        <w:tc>
          <w:tcPr>
            <w:tcW w:w="1815" w:type="dxa"/>
            <w:tcBorders>
              <w:top w:val="single" w:color="auto" w:sz="4" w:space="0"/>
              <w:bottom w:val="single" w:color="auto" w:sz="4" w:space="0"/>
              <w:right w:val="single" w:color="auto" w:sz="4" w:space="0"/>
            </w:tcBorders>
            <w:vAlign w:val="center"/>
          </w:tcPr>
          <w:p w14:paraId="3E5CF6BE">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资格证明文件</w:t>
            </w:r>
          </w:p>
        </w:tc>
        <w:tc>
          <w:tcPr>
            <w:tcW w:w="4147" w:type="dxa"/>
            <w:tcBorders>
              <w:top w:val="single" w:color="auto" w:sz="4" w:space="0"/>
              <w:left w:val="single" w:color="auto" w:sz="4" w:space="0"/>
              <w:bottom w:val="single" w:color="auto" w:sz="4" w:space="0"/>
            </w:tcBorders>
            <w:vAlign w:val="center"/>
          </w:tcPr>
          <w:p w14:paraId="6E79B025">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正本1份，副本2份</w:t>
            </w:r>
          </w:p>
        </w:tc>
      </w:tr>
      <w:tr w14:paraId="7CAE3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762" w:type="dxa"/>
            <w:vMerge w:val="continue"/>
            <w:vAlign w:val="center"/>
          </w:tcPr>
          <w:p w14:paraId="3E0776D2">
            <w:pPr>
              <w:adjustRightInd w:val="0"/>
              <w:snapToGrid w:val="0"/>
              <w:spacing w:before="156" w:beforeLines="50" w:line="360" w:lineRule="auto"/>
              <w:jc w:val="center"/>
              <w:rPr>
                <w:rFonts w:ascii="宋体" w:hAnsi="宋体" w:cs="宋体"/>
                <w:color w:val="auto"/>
                <w:szCs w:val="21"/>
                <w:highlight w:val="none"/>
              </w:rPr>
            </w:pPr>
          </w:p>
        </w:tc>
        <w:tc>
          <w:tcPr>
            <w:tcW w:w="2115" w:type="dxa"/>
            <w:vMerge w:val="continue"/>
            <w:vAlign w:val="center"/>
          </w:tcPr>
          <w:p w14:paraId="5A96B6B8">
            <w:pPr>
              <w:adjustRightInd w:val="0"/>
              <w:snapToGrid w:val="0"/>
              <w:spacing w:before="156" w:beforeLines="50" w:line="360" w:lineRule="auto"/>
              <w:jc w:val="center"/>
              <w:rPr>
                <w:rFonts w:ascii="宋体" w:hAnsi="宋体" w:cs="宋体"/>
                <w:color w:val="auto"/>
                <w:szCs w:val="21"/>
                <w:highlight w:val="none"/>
              </w:rPr>
            </w:pPr>
          </w:p>
        </w:tc>
        <w:tc>
          <w:tcPr>
            <w:tcW w:w="1815" w:type="dxa"/>
            <w:tcBorders>
              <w:top w:val="single" w:color="auto" w:sz="4" w:space="0"/>
              <w:bottom w:val="single" w:color="auto" w:sz="4" w:space="0"/>
              <w:right w:val="single" w:color="auto" w:sz="4" w:space="0"/>
            </w:tcBorders>
            <w:vAlign w:val="center"/>
          </w:tcPr>
          <w:p w14:paraId="346EDD23">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商务与技术文件</w:t>
            </w:r>
          </w:p>
        </w:tc>
        <w:tc>
          <w:tcPr>
            <w:tcW w:w="4147" w:type="dxa"/>
            <w:tcBorders>
              <w:top w:val="single" w:color="auto" w:sz="4" w:space="0"/>
              <w:left w:val="single" w:color="auto" w:sz="4" w:space="0"/>
              <w:bottom w:val="single" w:color="auto" w:sz="4" w:space="0"/>
            </w:tcBorders>
            <w:vAlign w:val="center"/>
          </w:tcPr>
          <w:p w14:paraId="6519B5A5">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正本1份、副本2份</w:t>
            </w:r>
          </w:p>
        </w:tc>
      </w:tr>
      <w:tr w14:paraId="089811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1762" w:type="dxa"/>
            <w:vMerge w:val="continue"/>
            <w:vAlign w:val="center"/>
          </w:tcPr>
          <w:p w14:paraId="00E3B5D1">
            <w:pPr>
              <w:adjustRightInd w:val="0"/>
              <w:snapToGrid w:val="0"/>
              <w:spacing w:before="156" w:beforeLines="50" w:line="360" w:lineRule="auto"/>
              <w:jc w:val="center"/>
              <w:rPr>
                <w:rFonts w:ascii="宋体" w:hAnsi="宋体" w:cs="宋体"/>
                <w:color w:val="auto"/>
                <w:szCs w:val="21"/>
                <w:highlight w:val="none"/>
              </w:rPr>
            </w:pPr>
          </w:p>
        </w:tc>
        <w:tc>
          <w:tcPr>
            <w:tcW w:w="2115" w:type="dxa"/>
            <w:vMerge w:val="continue"/>
            <w:vAlign w:val="center"/>
          </w:tcPr>
          <w:p w14:paraId="3E722E2E">
            <w:pPr>
              <w:adjustRightInd w:val="0"/>
              <w:snapToGrid w:val="0"/>
              <w:spacing w:before="156" w:beforeLines="50" w:line="360" w:lineRule="auto"/>
              <w:jc w:val="center"/>
              <w:rPr>
                <w:rFonts w:ascii="宋体" w:hAnsi="宋体" w:cs="宋体"/>
                <w:color w:val="auto"/>
                <w:szCs w:val="21"/>
                <w:highlight w:val="none"/>
              </w:rPr>
            </w:pPr>
          </w:p>
        </w:tc>
        <w:tc>
          <w:tcPr>
            <w:tcW w:w="1815" w:type="dxa"/>
            <w:tcBorders>
              <w:top w:val="single" w:color="auto" w:sz="4" w:space="0"/>
              <w:bottom w:val="single" w:color="auto" w:sz="4" w:space="0"/>
              <w:right w:val="single" w:color="auto" w:sz="4" w:space="0"/>
            </w:tcBorders>
            <w:vAlign w:val="center"/>
          </w:tcPr>
          <w:p w14:paraId="70BFA75E">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电子文档</w:t>
            </w:r>
          </w:p>
        </w:tc>
        <w:tc>
          <w:tcPr>
            <w:tcW w:w="4147" w:type="dxa"/>
            <w:tcBorders>
              <w:top w:val="single" w:color="auto" w:sz="4" w:space="0"/>
              <w:left w:val="single" w:color="auto" w:sz="4" w:space="0"/>
              <w:bottom w:val="single" w:color="auto" w:sz="4" w:space="0"/>
            </w:tcBorders>
            <w:vAlign w:val="center"/>
          </w:tcPr>
          <w:p w14:paraId="1E6E5172">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电子文件</w:t>
            </w:r>
            <w:r>
              <w:rPr>
                <w:rFonts w:hint="eastAsia" w:ascii="宋体" w:hAnsi="宋体" w:cs="宋体"/>
                <w:color w:val="auto"/>
                <w:szCs w:val="21"/>
                <w:highlight w:val="none"/>
              </w:rPr>
              <w:t>1份，须存储在U盘中</w:t>
            </w:r>
          </w:p>
        </w:tc>
      </w:tr>
      <w:tr w14:paraId="490BE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762" w:type="dxa"/>
            <w:vMerge w:val="continue"/>
            <w:vAlign w:val="center"/>
          </w:tcPr>
          <w:p w14:paraId="3EA436E2">
            <w:pPr>
              <w:adjustRightInd w:val="0"/>
              <w:snapToGrid w:val="0"/>
              <w:spacing w:before="156" w:beforeLines="50" w:line="360" w:lineRule="auto"/>
              <w:jc w:val="center"/>
              <w:rPr>
                <w:rFonts w:ascii="宋体" w:hAnsi="宋体" w:cs="宋体"/>
                <w:color w:val="auto"/>
                <w:szCs w:val="21"/>
                <w:highlight w:val="none"/>
              </w:rPr>
            </w:pPr>
          </w:p>
        </w:tc>
        <w:tc>
          <w:tcPr>
            <w:tcW w:w="2115" w:type="dxa"/>
            <w:vMerge w:val="continue"/>
            <w:vAlign w:val="center"/>
          </w:tcPr>
          <w:p w14:paraId="25E66B92">
            <w:pPr>
              <w:adjustRightInd w:val="0"/>
              <w:snapToGrid w:val="0"/>
              <w:spacing w:before="156" w:beforeLines="50" w:line="360" w:lineRule="auto"/>
              <w:jc w:val="center"/>
              <w:rPr>
                <w:rFonts w:ascii="宋体" w:hAnsi="宋体" w:cs="宋体"/>
                <w:color w:val="auto"/>
                <w:szCs w:val="21"/>
                <w:highlight w:val="none"/>
              </w:rPr>
            </w:pPr>
          </w:p>
        </w:tc>
        <w:tc>
          <w:tcPr>
            <w:tcW w:w="5962" w:type="dxa"/>
            <w:gridSpan w:val="2"/>
            <w:tcBorders>
              <w:top w:val="single" w:color="auto" w:sz="4" w:space="0"/>
              <w:right w:val="single" w:color="auto" w:sz="4" w:space="0"/>
            </w:tcBorders>
            <w:vAlign w:val="bottom"/>
          </w:tcPr>
          <w:p w14:paraId="1F2FE408">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注：</w:t>
            </w:r>
          </w:p>
          <w:p w14:paraId="325578FE">
            <w:pPr>
              <w:numPr>
                <w:ilvl w:val="0"/>
                <w:numId w:val="5"/>
              </w:numPr>
              <w:adjustRightInd w:val="0"/>
              <w:snapToGrid w:val="0"/>
              <w:spacing w:before="156" w:beforeLines="50" w:line="360" w:lineRule="auto"/>
              <w:rPr>
                <w:rFonts w:ascii="宋体" w:hAnsi="宋体" w:cs="宋体"/>
                <w:color w:val="auto"/>
                <w:highlight w:val="none"/>
              </w:rPr>
            </w:pPr>
            <w:r>
              <w:rPr>
                <w:rFonts w:hint="eastAsia" w:ascii="宋体" w:hAnsi="宋体" w:cs="宋体"/>
                <w:color w:val="auto"/>
                <w:highlight w:val="none"/>
              </w:rPr>
              <w:t>资格证明文件正本和副本整体密封包装；</w:t>
            </w:r>
          </w:p>
          <w:p w14:paraId="69B58F40">
            <w:pPr>
              <w:numPr>
                <w:ilvl w:val="0"/>
                <w:numId w:val="5"/>
              </w:numPr>
              <w:adjustRightInd w:val="0"/>
              <w:snapToGrid w:val="0"/>
              <w:spacing w:before="156" w:beforeLines="50" w:line="360" w:lineRule="auto"/>
              <w:rPr>
                <w:rFonts w:ascii="宋体" w:hAnsi="宋体" w:cs="宋体"/>
                <w:color w:val="auto"/>
                <w:highlight w:val="none"/>
              </w:rPr>
            </w:pPr>
            <w:r>
              <w:rPr>
                <w:rFonts w:hint="eastAsia" w:ascii="宋体" w:hAnsi="宋体" w:cs="宋体"/>
                <w:color w:val="auto"/>
                <w:highlight w:val="none"/>
              </w:rPr>
              <w:t>商务技术文件正本和副本整体密封包装；</w:t>
            </w:r>
          </w:p>
          <w:p w14:paraId="7F33811D">
            <w:pPr>
              <w:numPr>
                <w:ilvl w:val="0"/>
                <w:numId w:val="5"/>
              </w:num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lang w:val="en-US" w:eastAsia="zh-CN"/>
              </w:rPr>
              <w:t>PDF（签字盖章的扫描件）电子文档</w:t>
            </w:r>
            <w:r>
              <w:rPr>
                <w:rFonts w:hint="eastAsia" w:ascii="宋体" w:hAnsi="宋体" w:cs="宋体"/>
                <w:color w:val="auto"/>
                <w:highlight w:val="none"/>
              </w:rPr>
              <w:t>(U盘)1份，标注项目名称、供应商名称，装入资格证明文件的密封袋中；</w:t>
            </w:r>
          </w:p>
          <w:p w14:paraId="1167A72B">
            <w:pPr>
              <w:numPr>
                <w:ilvl w:val="0"/>
                <w:numId w:val="5"/>
              </w:numPr>
              <w:adjustRightInd w:val="0"/>
              <w:snapToGrid w:val="0"/>
              <w:spacing w:before="156" w:beforeLines="50" w:line="360" w:lineRule="auto"/>
              <w:rPr>
                <w:rFonts w:ascii="宋体" w:hAnsi="宋体" w:cs="宋体"/>
                <w:color w:val="auto"/>
                <w:highlight w:val="none"/>
              </w:rPr>
            </w:pPr>
            <w:r>
              <w:rPr>
                <w:rFonts w:hint="eastAsia" w:ascii="宋体" w:hAnsi="宋体" w:cs="宋体"/>
                <w:color w:val="auto"/>
                <w:highlight w:val="none"/>
                <w:lang w:val="en-US" w:eastAsia="zh-CN"/>
              </w:rPr>
              <w:t>评分</w:t>
            </w:r>
            <w:r>
              <w:rPr>
                <w:rFonts w:hint="eastAsia" w:ascii="宋体" w:hAnsi="宋体" w:cs="宋体"/>
                <w:color w:val="auto"/>
                <w:highlight w:val="none"/>
              </w:rPr>
              <w:t>标准中注明原件查验的原件（如有），装入密封袋中，密封袋标注项目名称、原件及供应商名称等字样；</w:t>
            </w:r>
          </w:p>
          <w:p w14:paraId="5D46578B">
            <w:pPr>
              <w:numPr>
                <w:ilvl w:val="0"/>
                <w:numId w:val="5"/>
              </w:numPr>
              <w:adjustRightInd w:val="0"/>
              <w:snapToGrid w:val="0"/>
              <w:spacing w:before="156" w:beforeLines="50" w:line="360" w:lineRule="auto"/>
              <w:rPr>
                <w:rFonts w:ascii="宋体" w:hAnsi="宋体" w:cs="宋体"/>
                <w:b/>
                <w:bCs/>
                <w:color w:val="auto"/>
                <w:highlight w:val="none"/>
              </w:rPr>
            </w:pPr>
            <w:r>
              <w:rPr>
                <w:rFonts w:hint="eastAsia" w:ascii="宋体" w:hAnsi="宋体" w:cs="宋体"/>
                <w:b/>
                <w:bCs/>
                <w:color w:val="auto"/>
                <w:highlight w:val="none"/>
              </w:rPr>
              <w:t>资格证明文件与商务技术文件的正副本均须分开独立胶装成册。</w:t>
            </w:r>
          </w:p>
          <w:p w14:paraId="2F036E25">
            <w:pPr>
              <w:numPr>
                <w:ilvl w:val="0"/>
                <w:numId w:val="5"/>
              </w:numPr>
              <w:adjustRightInd w:val="0"/>
              <w:snapToGrid w:val="0"/>
              <w:spacing w:before="156" w:beforeLines="50" w:line="360" w:lineRule="auto"/>
              <w:rPr>
                <w:rFonts w:ascii="宋体" w:hAnsi="宋体" w:cs="宋体"/>
                <w:color w:val="auto"/>
                <w:highlight w:val="none"/>
              </w:rPr>
            </w:pPr>
            <w:r>
              <w:rPr>
                <w:rFonts w:hint="eastAsia" w:ascii="宋体" w:hAnsi="宋体" w:cs="宋体"/>
                <w:color w:val="auto"/>
                <w:highlight w:val="none"/>
                <w:lang w:val="en-US" w:eastAsia="zh-CN"/>
              </w:rPr>
              <w:t>开标时，法定代表人递交响应文件时须单独递交一份法定代表人身份证明原件及出示本人身份证原件或电子身份证，授权代表递交响应文件时须单独递交一份授权委托书原件及出示本人身份证原件或电子身份证。如在核验身份环节未单独携带法定代表人身份证明原件或授权委托书原件，响应文件中的法人身份证明及授权委托书亦可作为审核核验依据</w:t>
            </w:r>
            <w:r>
              <w:rPr>
                <w:rFonts w:hint="eastAsia" w:ascii="宋体" w:hAnsi="宋体" w:cs="宋体"/>
                <w:color w:val="auto"/>
                <w:highlight w:val="none"/>
              </w:rPr>
              <w:t>。</w:t>
            </w:r>
          </w:p>
          <w:p w14:paraId="1D81C9DC">
            <w:pPr>
              <w:numPr>
                <w:ilvl w:val="0"/>
                <w:numId w:val="5"/>
              </w:num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参加多个标段（或包）磋商的供应商须独立制作对应标段（或包）的响应文件，不得集成在一个文件中递交，否则响应文件无效。</w:t>
            </w:r>
          </w:p>
        </w:tc>
      </w:tr>
      <w:tr w14:paraId="660AFF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131E3FE1">
            <w:pPr>
              <w:adjustRightInd w:val="0"/>
              <w:snapToGrid w:val="0"/>
              <w:spacing w:line="280" w:lineRule="exact"/>
              <w:jc w:val="left"/>
              <w:rPr>
                <w:rFonts w:ascii="宋体" w:hAnsi="宋体" w:cs="宋体"/>
                <w:b/>
                <w:bCs/>
                <w:color w:val="auto"/>
                <w:szCs w:val="21"/>
                <w:highlight w:val="none"/>
              </w:rPr>
            </w:pPr>
            <w:r>
              <w:rPr>
                <w:rFonts w:hint="eastAsia" w:ascii="宋体" w:hAnsi="宋体" w:cs="宋体"/>
                <w:b/>
                <w:color w:val="auto"/>
                <w:szCs w:val="21"/>
                <w:highlight w:val="none"/>
              </w:rPr>
              <w:t>四、响应文件的递交</w:t>
            </w:r>
          </w:p>
        </w:tc>
      </w:tr>
      <w:tr w14:paraId="619349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686971EE">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第二章第22.2款</w:t>
            </w:r>
          </w:p>
        </w:tc>
        <w:tc>
          <w:tcPr>
            <w:tcW w:w="2115" w:type="dxa"/>
            <w:vAlign w:val="center"/>
          </w:tcPr>
          <w:p w14:paraId="20C0C6D6">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962" w:type="dxa"/>
            <w:gridSpan w:val="2"/>
            <w:vAlign w:val="center"/>
          </w:tcPr>
          <w:p w14:paraId="79CB2BED">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采购项目名称响应文件</w:t>
            </w:r>
          </w:p>
          <w:p w14:paraId="58FC1F42">
            <w:pPr>
              <w:adjustRightInd w:val="0"/>
              <w:snapToGrid w:val="0"/>
              <w:spacing w:before="156" w:beforeLines="50" w:line="360" w:lineRule="auto"/>
              <w:rPr>
                <w:rFonts w:ascii="宋体" w:hAnsi="宋体" w:cs="宋体"/>
                <w:color w:val="auto"/>
                <w:szCs w:val="21"/>
                <w:highlight w:val="none"/>
                <w:u w:val="single"/>
              </w:rPr>
            </w:pPr>
            <w:r>
              <w:rPr>
                <w:rFonts w:hint="eastAsia" w:ascii="宋体" w:hAnsi="宋体" w:cs="宋体"/>
                <w:color w:val="auto"/>
                <w:szCs w:val="21"/>
                <w:highlight w:val="none"/>
              </w:rPr>
              <w:t>政府采购编号：</w:t>
            </w:r>
          </w:p>
          <w:p w14:paraId="0087E231">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委托代理编号：</w:t>
            </w:r>
          </w:p>
          <w:p w14:paraId="4463EF9F">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 xml:space="preserve">包或品目名： </w:t>
            </w:r>
          </w:p>
          <w:p w14:paraId="74B18847">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分册名称（第一册或第二册）：</w:t>
            </w:r>
          </w:p>
          <w:p w14:paraId="125D2427">
            <w:pPr>
              <w:adjustRightInd w:val="0"/>
              <w:snapToGrid w:val="0"/>
              <w:spacing w:before="156" w:beforeLines="50" w:line="360" w:lineRule="auto"/>
              <w:rPr>
                <w:rFonts w:ascii="宋体" w:hAnsi="宋体" w:cs="宋体"/>
                <w:color w:val="auto"/>
                <w:szCs w:val="21"/>
                <w:highlight w:val="none"/>
              </w:rPr>
            </w:pPr>
            <w:r>
              <w:rPr>
                <w:rFonts w:hint="eastAsia" w:ascii="宋体" w:hAnsi="宋体"/>
                <w:color w:val="auto"/>
                <w:szCs w:val="21"/>
                <w:highlight w:val="none"/>
              </w:rPr>
              <w:t>供应商</w:t>
            </w:r>
            <w:r>
              <w:rPr>
                <w:rFonts w:hint="eastAsia" w:ascii="宋体" w:hAnsi="宋体" w:cs="宋体"/>
                <w:color w:val="auto"/>
                <w:szCs w:val="21"/>
                <w:highlight w:val="none"/>
              </w:rPr>
              <w:t>名称：</w:t>
            </w:r>
          </w:p>
          <w:p w14:paraId="5365CAEB">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在</w:t>
            </w:r>
            <w:r>
              <w:rPr>
                <w:rFonts w:hint="eastAsia" w:hAnsi="宋体" w:cs="宋体"/>
                <w:color w:val="auto"/>
                <w:highlight w:val="none"/>
                <w:u w:val="single"/>
              </w:rPr>
              <w:t xml:space="preserve">  </w:t>
            </w:r>
            <w:r>
              <w:rPr>
                <w:rFonts w:hint="eastAsia" w:ascii="宋体" w:hAnsi="宋体" w:cs="宋体"/>
                <w:color w:val="auto"/>
                <w:szCs w:val="21"/>
                <w:highlight w:val="none"/>
              </w:rPr>
              <w:t>年</w:t>
            </w:r>
            <w:r>
              <w:rPr>
                <w:rFonts w:hint="eastAsia" w:hAnsi="宋体" w:cs="宋体"/>
                <w:color w:val="auto"/>
                <w:highlight w:val="none"/>
                <w:u w:val="single"/>
              </w:rPr>
              <w:t xml:space="preserve">  </w:t>
            </w:r>
            <w:r>
              <w:rPr>
                <w:rFonts w:hint="eastAsia" w:ascii="宋体" w:hAnsi="宋体" w:cs="宋体"/>
                <w:color w:val="auto"/>
                <w:szCs w:val="21"/>
                <w:highlight w:val="none"/>
              </w:rPr>
              <w:t>月</w:t>
            </w:r>
            <w:r>
              <w:rPr>
                <w:rFonts w:hint="eastAsia" w:hAnsi="宋体" w:cs="宋体"/>
                <w:color w:val="auto"/>
                <w:highlight w:val="none"/>
                <w:u w:val="single"/>
              </w:rPr>
              <w:t xml:space="preserve">  </w:t>
            </w:r>
            <w:r>
              <w:rPr>
                <w:rFonts w:hint="eastAsia" w:ascii="宋体" w:hAnsi="宋体" w:cs="宋体"/>
                <w:color w:val="auto"/>
                <w:szCs w:val="21"/>
                <w:highlight w:val="none"/>
              </w:rPr>
              <w:t>日</w:t>
            </w:r>
            <w:r>
              <w:rPr>
                <w:rFonts w:hint="eastAsia" w:ascii="宋体" w:hAnsi="宋体"/>
                <w:color w:val="auto"/>
                <w:szCs w:val="21"/>
                <w:highlight w:val="none"/>
              </w:rPr>
              <w:t>（星期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hAnsi="宋体" w:cs="宋体"/>
                <w:color w:val="auto"/>
                <w:highlight w:val="none"/>
                <w:u w:val="single"/>
              </w:rPr>
              <w:t xml:space="preserve">  </w:t>
            </w:r>
            <w:r>
              <w:rPr>
                <w:rFonts w:hint="eastAsia" w:ascii="宋体" w:hAnsi="宋体" w:cs="宋体"/>
                <w:color w:val="auto"/>
                <w:szCs w:val="21"/>
                <w:highlight w:val="none"/>
              </w:rPr>
              <w:t>时</w:t>
            </w:r>
            <w:r>
              <w:rPr>
                <w:rFonts w:hint="eastAsia" w:hAnsi="宋体" w:cs="宋体"/>
                <w:color w:val="auto"/>
                <w:highlight w:val="none"/>
                <w:u w:val="single"/>
              </w:rPr>
              <w:t xml:space="preserve">  </w:t>
            </w:r>
            <w:r>
              <w:rPr>
                <w:rFonts w:hint="eastAsia" w:ascii="宋体" w:hAnsi="宋体" w:cs="宋体"/>
                <w:color w:val="auto"/>
                <w:szCs w:val="21"/>
                <w:highlight w:val="none"/>
              </w:rPr>
              <w:t xml:space="preserve">分之前不得启封 </w:t>
            </w:r>
          </w:p>
        </w:tc>
      </w:tr>
      <w:tr w14:paraId="6023F2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3766B3B6">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第二章第24.1款</w:t>
            </w:r>
          </w:p>
        </w:tc>
        <w:tc>
          <w:tcPr>
            <w:tcW w:w="2115" w:type="dxa"/>
            <w:vAlign w:val="center"/>
          </w:tcPr>
          <w:p w14:paraId="7CF4D83E">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响应文件的递交地点</w:t>
            </w:r>
          </w:p>
        </w:tc>
        <w:tc>
          <w:tcPr>
            <w:tcW w:w="5962" w:type="dxa"/>
            <w:gridSpan w:val="2"/>
            <w:vAlign w:val="center"/>
          </w:tcPr>
          <w:p w14:paraId="4CA0BDB0">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长沙市芙蓉中路二段144号城市中心7楼718室</w:t>
            </w:r>
            <w:r>
              <w:rPr>
                <w:rFonts w:hint="eastAsia" w:ascii="宋体" w:hAnsi="宋体" w:cs="宋体"/>
                <w:color w:val="auto"/>
                <w:szCs w:val="21"/>
                <w:highlight w:val="none"/>
              </w:rPr>
              <w:t>（</w:t>
            </w:r>
            <w:r>
              <w:rPr>
                <w:rFonts w:hint="eastAsia" w:ascii="宋体" w:hAnsi="宋体" w:cs="宋体"/>
                <w:color w:val="auto"/>
                <w:szCs w:val="21"/>
                <w:highlight w:val="none"/>
                <w:lang w:eastAsia="zh-CN"/>
              </w:rPr>
              <w:t>湖南省华新招标咨询有限公司</w:t>
            </w:r>
            <w:r>
              <w:rPr>
                <w:rFonts w:hint="eastAsia" w:ascii="宋体" w:hAnsi="宋体" w:cs="宋体"/>
                <w:color w:val="auto"/>
                <w:szCs w:val="21"/>
                <w:highlight w:val="none"/>
              </w:rPr>
              <w:t>开标室）。</w:t>
            </w:r>
          </w:p>
        </w:tc>
      </w:tr>
      <w:tr w14:paraId="0885D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5B175FAC">
            <w:pPr>
              <w:adjustRightInd w:val="0"/>
              <w:snapToGrid w:val="0"/>
              <w:spacing w:line="280" w:lineRule="exact"/>
              <w:jc w:val="left"/>
              <w:rPr>
                <w:rFonts w:ascii="宋体" w:hAnsi="宋体" w:cs="宋体"/>
                <w:b/>
                <w:bCs/>
                <w:color w:val="auto"/>
                <w:szCs w:val="21"/>
                <w:highlight w:val="none"/>
              </w:rPr>
            </w:pPr>
            <w:r>
              <w:rPr>
                <w:rFonts w:hint="eastAsia" w:ascii="宋体" w:hAnsi="宋体" w:cs="宋体"/>
                <w:b/>
                <w:bCs/>
                <w:color w:val="auto"/>
                <w:szCs w:val="21"/>
                <w:highlight w:val="none"/>
              </w:rPr>
              <w:t>五、响应</w:t>
            </w:r>
            <w:r>
              <w:rPr>
                <w:rFonts w:hint="eastAsia" w:ascii="宋体" w:hAnsi="宋体" w:cs="宋体"/>
                <w:b/>
                <w:color w:val="auto"/>
                <w:szCs w:val="21"/>
                <w:highlight w:val="none"/>
              </w:rPr>
              <w:t>文件</w:t>
            </w:r>
            <w:r>
              <w:rPr>
                <w:rFonts w:hint="eastAsia" w:ascii="宋体" w:hAnsi="宋体" w:cs="宋体"/>
                <w:b/>
                <w:bCs/>
                <w:color w:val="auto"/>
                <w:szCs w:val="21"/>
                <w:highlight w:val="none"/>
              </w:rPr>
              <w:t>的磋商与评审</w:t>
            </w:r>
          </w:p>
        </w:tc>
      </w:tr>
      <w:tr w14:paraId="624C99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421230F">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第二章第31.2款</w:t>
            </w:r>
          </w:p>
        </w:tc>
        <w:tc>
          <w:tcPr>
            <w:tcW w:w="2115" w:type="dxa"/>
            <w:vAlign w:val="center"/>
          </w:tcPr>
          <w:p w14:paraId="559FE019">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评审因素和标准</w:t>
            </w:r>
          </w:p>
        </w:tc>
        <w:tc>
          <w:tcPr>
            <w:tcW w:w="5962" w:type="dxa"/>
            <w:gridSpan w:val="2"/>
            <w:vAlign w:val="center"/>
          </w:tcPr>
          <w:p w14:paraId="37EB532F">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见附页4</w:t>
            </w:r>
          </w:p>
        </w:tc>
      </w:tr>
      <w:tr w14:paraId="6B273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4A8C314">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第二章第31.3款</w:t>
            </w:r>
          </w:p>
        </w:tc>
        <w:tc>
          <w:tcPr>
            <w:tcW w:w="2115" w:type="dxa"/>
            <w:vAlign w:val="center"/>
          </w:tcPr>
          <w:p w14:paraId="4D8DE3FF">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最后报价调整</w:t>
            </w:r>
          </w:p>
        </w:tc>
        <w:tc>
          <w:tcPr>
            <w:tcW w:w="5962" w:type="dxa"/>
            <w:gridSpan w:val="2"/>
            <w:vAlign w:val="center"/>
          </w:tcPr>
          <w:p w14:paraId="11892F2B">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政府采购支持小微企业、福利和监狱企业发展（货物类供应商和产品制造商应同时满足小微企业、福利和监狱企业的条件）：①小型、微型企业、福利和监狱企业，最后报价扣除比例为</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p>
          <w:p w14:paraId="721538F3">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②供应商为联合体形式参与投标的，小型、微型企业、福利和监狱企业，最后报价扣除比例为0％。</w:t>
            </w:r>
          </w:p>
          <w:p w14:paraId="57FF64DD">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联合体各方均为小型、微型企业、福利和监狱企业的，联合体视同为小型、微型企业、福利和监狱企业，享受0%的价格扣除。</w:t>
            </w:r>
          </w:p>
          <w:p w14:paraId="7B016FCD">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评审时，用扣除后的最后报价计算价格分。</w:t>
            </w:r>
          </w:p>
        </w:tc>
      </w:tr>
      <w:tr w14:paraId="62CC5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0746C826">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第二章第31.5款</w:t>
            </w:r>
          </w:p>
        </w:tc>
        <w:tc>
          <w:tcPr>
            <w:tcW w:w="2115" w:type="dxa"/>
            <w:vAlign w:val="center"/>
          </w:tcPr>
          <w:p w14:paraId="55617F56">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技术、商务、价格得分或总得分调整</w:t>
            </w:r>
          </w:p>
        </w:tc>
        <w:tc>
          <w:tcPr>
            <w:tcW w:w="5962" w:type="dxa"/>
            <w:gridSpan w:val="2"/>
            <w:vAlign w:val="center"/>
          </w:tcPr>
          <w:p w14:paraId="39F4C1D6">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符合第二章第9.1款规定，按第二章第31.6款规定及本款分值调整：</w:t>
            </w:r>
          </w:p>
          <w:p w14:paraId="7CB81579">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1、节能产品：</w:t>
            </w:r>
          </w:p>
          <w:p w14:paraId="55367208">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技术加分＝技术分值×加分比例（比例见前附表第9.2项,下同）×（节能产品最后报价÷最后总报价）；</w:t>
            </w:r>
          </w:p>
          <w:p w14:paraId="3E5FF78C">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价格加分＝价格分值×加分比例×（节能产品最后报价÷最后总报价）。</w:t>
            </w:r>
          </w:p>
          <w:p w14:paraId="66656EEC">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2、环境标志产品：</w:t>
            </w:r>
          </w:p>
          <w:p w14:paraId="4CCE68EC">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技术加分＝技术分值×加分比例×（环境标志产品最后报价÷最后总报价）；</w:t>
            </w:r>
          </w:p>
          <w:p w14:paraId="66729F5C">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价格加分＝价格分值×加分比例×（环境标志产品最后报价÷最后总报价）。</w:t>
            </w:r>
          </w:p>
        </w:tc>
      </w:tr>
      <w:tr w14:paraId="724A8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773D81C">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第二章第31.6款</w:t>
            </w:r>
          </w:p>
        </w:tc>
        <w:tc>
          <w:tcPr>
            <w:tcW w:w="2115" w:type="dxa"/>
            <w:vAlign w:val="center"/>
          </w:tcPr>
          <w:p w14:paraId="114762F8">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多处或部分获得政府采购政策优惠的计算方法</w:t>
            </w:r>
          </w:p>
        </w:tc>
        <w:tc>
          <w:tcPr>
            <w:tcW w:w="5962" w:type="dxa"/>
            <w:gridSpan w:val="2"/>
            <w:vAlign w:val="center"/>
          </w:tcPr>
          <w:p w14:paraId="50F273BC">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、符合政府采购优先采购政策的，产品只能享受节能产品、环境标志产品等产品优惠中的一项(由供应商在响应文件中选择并填报政策功能编码，评审时进行加分) 。</w:t>
            </w:r>
          </w:p>
          <w:p w14:paraId="70934988">
            <w:pPr>
              <w:adjustRightInd w:val="0"/>
              <w:snapToGrid w:val="0"/>
              <w:spacing w:before="156" w:beforeLines="50" w:line="360" w:lineRule="auto"/>
              <w:jc w:val="left"/>
              <w:rPr>
                <w:rFonts w:ascii="宋体" w:hAnsi="宋体" w:cs="宋体"/>
                <w:bCs/>
                <w:color w:val="auto"/>
                <w:szCs w:val="21"/>
                <w:highlight w:val="none"/>
              </w:rPr>
            </w:pPr>
            <w:r>
              <w:rPr>
                <w:rFonts w:hint="eastAsia" w:ascii="宋体" w:hAnsi="宋体" w:cs="宋体"/>
                <w:bCs/>
                <w:color w:val="auto"/>
                <w:szCs w:val="21"/>
                <w:highlight w:val="none"/>
              </w:rPr>
              <w:t>2、供应商享受支持</w:t>
            </w:r>
            <w:r>
              <w:rPr>
                <w:rFonts w:hint="eastAsia" w:ascii="宋体" w:hAnsi="宋体"/>
                <w:color w:val="auto"/>
                <w:szCs w:val="21"/>
                <w:highlight w:val="none"/>
              </w:rPr>
              <w:t>小微企业发展、福利和监狱企业政策</w:t>
            </w:r>
            <w:r>
              <w:rPr>
                <w:rFonts w:hint="eastAsia" w:ascii="宋体" w:hAnsi="宋体" w:cs="宋体"/>
                <w:bCs/>
                <w:color w:val="auto"/>
                <w:szCs w:val="21"/>
                <w:highlight w:val="none"/>
              </w:rPr>
              <w:t>优惠的，可以与同时享受节能产品、环境标志产品等产品优惠中的一项累加。</w:t>
            </w:r>
          </w:p>
          <w:p w14:paraId="7790C7AC">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3、同一项目中部分产品属于优先采购政策的，评审时只对该部分产品的报价实行价格扣除或加分（按该部分产品的报价占总报价的百分比调整）。</w:t>
            </w:r>
          </w:p>
        </w:tc>
      </w:tr>
      <w:tr w14:paraId="5B129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4BA5877F">
            <w:pPr>
              <w:adjustRightInd w:val="0"/>
              <w:snapToGrid w:val="0"/>
              <w:spacing w:line="280" w:lineRule="exact"/>
              <w:jc w:val="left"/>
              <w:rPr>
                <w:rFonts w:ascii="宋体" w:hAnsi="宋体" w:cs="宋体"/>
                <w:color w:val="auto"/>
                <w:szCs w:val="21"/>
                <w:highlight w:val="none"/>
              </w:rPr>
            </w:pPr>
            <w:r>
              <w:rPr>
                <w:rFonts w:hint="eastAsia" w:ascii="宋体" w:hAnsi="宋体" w:cs="宋体"/>
                <w:b/>
                <w:color w:val="auto"/>
                <w:szCs w:val="21"/>
                <w:highlight w:val="none"/>
              </w:rPr>
              <w:t>六、成交结果信息公布与授予合同</w:t>
            </w:r>
          </w:p>
        </w:tc>
      </w:tr>
      <w:tr w14:paraId="61BD3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762" w:type="dxa"/>
            <w:vAlign w:val="center"/>
          </w:tcPr>
          <w:p w14:paraId="375A7532">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第二章第37.1款</w:t>
            </w:r>
          </w:p>
        </w:tc>
        <w:tc>
          <w:tcPr>
            <w:tcW w:w="2115" w:type="dxa"/>
            <w:vAlign w:val="center"/>
          </w:tcPr>
          <w:p w14:paraId="0B14BDF4">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财政部门指定的媒体</w:t>
            </w:r>
          </w:p>
        </w:tc>
        <w:tc>
          <w:tcPr>
            <w:tcW w:w="5962" w:type="dxa"/>
            <w:gridSpan w:val="2"/>
            <w:vAlign w:val="center"/>
          </w:tcPr>
          <w:p w14:paraId="5875E58B">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中国湖南政府采购网（www.ccgp-hunan.gov.cn）</w:t>
            </w:r>
          </w:p>
        </w:tc>
      </w:tr>
      <w:tr w14:paraId="64A04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7245F325">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第二章第39.3款</w:t>
            </w:r>
          </w:p>
        </w:tc>
        <w:tc>
          <w:tcPr>
            <w:tcW w:w="2115" w:type="dxa"/>
            <w:vAlign w:val="center"/>
          </w:tcPr>
          <w:p w14:paraId="7795CCEB">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962" w:type="dxa"/>
            <w:gridSpan w:val="2"/>
            <w:vAlign w:val="center"/>
          </w:tcPr>
          <w:p w14:paraId="4CCA8B9A">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█不要求提供</w:t>
            </w:r>
          </w:p>
          <w:p w14:paraId="676A4418">
            <w:pPr>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□要求提供，履约担保的金额为：</w:t>
            </w:r>
            <w:r>
              <w:rPr>
                <w:rFonts w:hint="eastAsia" w:ascii="宋体" w:hAnsi="宋体" w:cs="宋体"/>
                <w:color w:val="auto"/>
                <w:szCs w:val="21"/>
                <w:highlight w:val="none"/>
                <w:u w:val="single"/>
              </w:rPr>
              <w:t xml:space="preserve"> / 元</w:t>
            </w:r>
          </w:p>
        </w:tc>
      </w:tr>
      <w:tr w14:paraId="58953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5D946954">
            <w:pPr>
              <w:adjustRightInd w:val="0"/>
              <w:snapToGrid w:val="0"/>
              <w:spacing w:line="280" w:lineRule="exact"/>
              <w:jc w:val="left"/>
              <w:rPr>
                <w:rFonts w:ascii="宋体" w:hAnsi="宋体" w:cs="宋体"/>
                <w:b/>
                <w:color w:val="auto"/>
                <w:szCs w:val="21"/>
                <w:highlight w:val="none"/>
              </w:rPr>
            </w:pPr>
            <w:r>
              <w:rPr>
                <w:rFonts w:hint="eastAsia" w:ascii="宋体" w:hAnsi="宋体" w:cs="宋体"/>
                <w:b/>
                <w:color w:val="auto"/>
                <w:szCs w:val="21"/>
                <w:highlight w:val="none"/>
              </w:rPr>
              <w:t>七、其他规定</w:t>
            </w:r>
          </w:p>
        </w:tc>
      </w:tr>
      <w:tr w14:paraId="0F58A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3DB50024">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第二章第41.1款</w:t>
            </w:r>
          </w:p>
        </w:tc>
        <w:tc>
          <w:tcPr>
            <w:tcW w:w="2115" w:type="dxa"/>
            <w:vAlign w:val="center"/>
          </w:tcPr>
          <w:p w14:paraId="339032E2">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5962" w:type="dxa"/>
            <w:gridSpan w:val="2"/>
            <w:vAlign w:val="center"/>
          </w:tcPr>
          <w:p w14:paraId="4C3812F9">
            <w:pPr>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由采购人向采购代理机构支付采购代理服务费</w:t>
            </w:r>
            <w:r>
              <w:rPr>
                <w:rFonts w:hint="eastAsia" w:ascii="宋体" w:hAnsi="宋体" w:cs="宋体"/>
                <w:color w:val="auto"/>
                <w:highlight w:val="none"/>
                <w:lang w:val="en-US" w:eastAsia="zh-CN"/>
              </w:rPr>
              <w:t>及专家评审费</w:t>
            </w:r>
            <w:r>
              <w:rPr>
                <w:rFonts w:hint="eastAsia" w:ascii="宋体" w:hAnsi="宋体" w:eastAsia="宋体" w:cs="宋体"/>
                <w:color w:val="auto"/>
                <w:highlight w:val="none"/>
              </w:rPr>
              <w:t>。</w:t>
            </w:r>
          </w:p>
        </w:tc>
      </w:tr>
      <w:tr w14:paraId="4A514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2646E48">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第二章第42.1款</w:t>
            </w:r>
          </w:p>
        </w:tc>
        <w:tc>
          <w:tcPr>
            <w:tcW w:w="2115" w:type="dxa"/>
            <w:vAlign w:val="center"/>
          </w:tcPr>
          <w:p w14:paraId="6F15B6FD">
            <w:pPr>
              <w:adjustRightInd w:val="0"/>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其他规定</w:t>
            </w:r>
          </w:p>
        </w:tc>
        <w:tc>
          <w:tcPr>
            <w:tcW w:w="5962" w:type="dxa"/>
            <w:gridSpan w:val="2"/>
            <w:vAlign w:val="center"/>
          </w:tcPr>
          <w:p w14:paraId="0B5DC9A4">
            <w:pPr>
              <w:adjustRightInd w:val="0"/>
              <w:snapToGrid w:val="0"/>
              <w:spacing w:beforeLines="50" w:line="360" w:lineRule="auto"/>
              <w:jc w:val="left"/>
              <w:rPr>
                <w:rFonts w:hint="eastAsia" w:ascii="宋体" w:hAnsi="宋体" w:cs="宋体"/>
                <w:color w:val="auto"/>
                <w:highlight w:val="none"/>
                <w:lang w:val="zh-CN"/>
              </w:rPr>
            </w:pPr>
            <w:r>
              <w:rPr>
                <w:rFonts w:hint="eastAsia" w:ascii="宋体" w:hAnsi="宋体" w:cs="宋体"/>
                <w:color w:val="auto"/>
                <w:highlight w:val="none"/>
                <w:lang w:val="zh-CN"/>
              </w:rPr>
              <w:t>评审中出现下列情形之一的，评审委员会应当启动异常低价投标（响应）审查程序：</w:t>
            </w:r>
          </w:p>
          <w:p w14:paraId="36F06D4A">
            <w:pPr>
              <w:adjustRightInd w:val="0"/>
              <w:snapToGrid w:val="0"/>
              <w:spacing w:beforeLines="50" w:line="360" w:lineRule="auto"/>
              <w:jc w:val="left"/>
              <w:rPr>
                <w:rFonts w:hint="eastAsia"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lang w:val="en-US" w:eastAsia="zh-CN"/>
              </w:rPr>
              <w:t>1</w:t>
            </w:r>
            <w:r>
              <w:rPr>
                <w:rFonts w:hint="eastAsia" w:ascii="宋体" w:hAnsi="宋体" w:cs="宋体"/>
                <w:color w:val="auto"/>
                <w:highlight w:val="none"/>
                <w:lang w:val="zh-CN"/>
              </w:rPr>
              <w:t>）投标（响应）报价低于全部通过符合性审查供应商投标（响应）报价平均值50%的，即投标（响应）报价&lt;全部通过符合性审查供应商投标（响应）报价平均值×50%；</w:t>
            </w:r>
          </w:p>
          <w:p w14:paraId="5B7E7518">
            <w:pPr>
              <w:adjustRightInd w:val="0"/>
              <w:snapToGrid w:val="0"/>
              <w:spacing w:beforeLines="50" w:line="360" w:lineRule="auto"/>
              <w:jc w:val="left"/>
              <w:rPr>
                <w:rFonts w:hint="default"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lang w:val="en-US" w:eastAsia="zh-CN"/>
              </w:rPr>
              <w:t>2</w:t>
            </w:r>
            <w:r>
              <w:rPr>
                <w:rFonts w:hint="eastAsia" w:ascii="宋体" w:hAnsi="宋体" w:cs="宋体"/>
                <w:color w:val="auto"/>
                <w:highlight w:val="none"/>
                <w:lang w:val="zh-CN"/>
              </w:rPr>
              <w:t>）投标（响应）报价低于通过符合性审查的次低报价供应商投标（响应）报价50%的，即投标（响应）报价&lt;通过符合性审查的次低报价供应商投标（响应）报价×50%；</w:t>
            </w:r>
          </w:p>
          <w:p w14:paraId="583B6577">
            <w:pPr>
              <w:adjustRightInd w:val="0"/>
              <w:snapToGrid w:val="0"/>
              <w:spacing w:beforeLines="50" w:line="360" w:lineRule="auto"/>
              <w:jc w:val="left"/>
              <w:rPr>
                <w:rFonts w:hint="default"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lang w:val="en-US" w:eastAsia="zh-CN"/>
              </w:rPr>
              <w:t>3</w:t>
            </w:r>
            <w:r>
              <w:rPr>
                <w:rFonts w:hint="eastAsia" w:ascii="宋体" w:hAnsi="宋体" w:cs="宋体"/>
                <w:color w:val="auto"/>
                <w:highlight w:val="none"/>
                <w:lang w:val="zh-CN"/>
              </w:rPr>
              <w:t>）投标（响应）报价低于采购项目最高限价45%的，即投标（响应）报价&lt;采购项目最高限价×45%；</w:t>
            </w:r>
          </w:p>
          <w:p w14:paraId="22DEF5B6">
            <w:pPr>
              <w:adjustRightInd w:val="0"/>
              <w:snapToGrid w:val="0"/>
              <w:spacing w:beforeLines="50" w:line="360" w:lineRule="auto"/>
              <w:jc w:val="left"/>
              <w:rPr>
                <w:rFonts w:hint="default"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lang w:val="en-US" w:eastAsia="zh-CN"/>
              </w:rPr>
              <w:t>4</w:t>
            </w:r>
            <w:r>
              <w:rPr>
                <w:rFonts w:hint="eastAsia" w:ascii="宋体" w:hAnsi="宋体" w:cs="宋体"/>
                <w:color w:val="auto"/>
                <w:highlight w:val="none"/>
                <w:lang w:val="zh-CN"/>
              </w:rPr>
              <w:t>）评审委员会基于专业判断，认为供应商报价过低，有可能影响产品质量或者不能诚信履约的其他情形。</w:t>
            </w:r>
          </w:p>
          <w:p w14:paraId="35968E37">
            <w:pPr>
              <w:adjustRightInd w:val="0"/>
              <w:snapToGrid w:val="0"/>
              <w:spacing w:beforeLines="50" w:line="360" w:lineRule="auto"/>
              <w:jc w:val="left"/>
              <w:rPr>
                <w:rFonts w:hint="default" w:ascii="宋体" w:hAnsi="宋体" w:cs="宋体"/>
                <w:color w:val="auto"/>
                <w:highlight w:val="none"/>
                <w:lang w:val="zh-CN"/>
              </w:rPr>
            </w:pPr>
            <w:r>
              <w:rPr>
                <w:rFonts w:hint="eastAsia" w:ascii="宋体" w:hAnsi="宋体" w:cs="宋体"/>
                <w:color w:val="auto"/>
                <w:highlight w:val="none"/>
                <w:lang w:val="zh-CN"/>
              </w:rPr>
              <w:t>相关法律法规对供应商报价有规定的，从其规定。</w:t>
            </w:r>
          </w:p>
          <w:p w14:paraId="0D168197">
            <w:pPr>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cs="宋体"/>
                <w:color w:val="auto"/>
                <w:highlight w:val="none"/>
                <w:lang w:val="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bl>
    <w:p w14:paraId="626440EF">
      <w:pPr>
        <w:pStyle w:val="8"/>
        <w:rPr>
          <w:rFonts w:ascii="宋体" w:hAnsi="宋体"/>
          <w:b/>
          <w:bCs/>
          <w:color w:val="auto"/>
          <w:szCs w:val="21"/>
          <w:highlight w:val="none"/>
        </w:rPr>
      </w:pPr>
    </w:p>
    <w:p w14:paraId="35A33913">
      <w:pPr>
        <w:pStyle w:val="8"/>
        <w:rPr>
          <w:rFonts w:ascii="宋体" w:hAnsi="宋体"/>
          <w:b/>
          <w:bCs/>
          <w:color w:val="auto"/>
          <w:szCs w:val="21"/>
          <w:highlight w:val="none"/>
        </w:rPr>
      </w:pPr>
    </w:p>
    <w:p w14:paraId="09C9CCC5">
      <w:pPr>
        <w:pStyle w:val="46"/>
        <w:rPr>
          <w:rFonts w:ascii="宋体" w:hAnsi="宋体"/>
          <w:b/>
          <w:bCs/>
          <w:color w:val="auto"/>
          <w:szCs w:val="21"/>
          <w:highlight w:val="none"/>
        </w:rPr>
      </w:pPr>
    </w:p>
    <w:p w14:paraId="5D76172B">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附页1</w:t>
      </w:r>
    </w:p>
    <w:p w14:paraId="49203E2F">
      <w:pPr>
        <w:adjustRightInd w:val="0"/>
        <w:snapToGrid w:val="0"/>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湖南省政府采购支持中小企业融资合作银行及联系人名单</w:t>
      </w:r>
    </w:p>
    <w:tbl>
      <w:tblPr>
        <w:tblStyle w:val="33"/>
        <w:tblW w:w="96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1137"/>
        <w:gridCol w:w="3220"/>
        <w:gridCol w:w="2462"/>
      </w:tblGrid>
      <w:tr w14:paraId="7B34D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1EC6579A">
            <w:pPr>
              <w:adjustRightInd w:val="0"/>
              <w:snapToGrid w:val="0"/>
              <w:spacing w:before="156"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银行名称</w:t>
            </w:r>
          </w:p>
        </w:tc>
        <w:tc>
          <w:tcPr>
            <w:tcW w:w="1137" w:type="dxa"/>
            <w:vAlign w:val="center"/>
          </w:tcPr>
          <w:p w14:paraId="6AD08517">
            <w:pPr>
              <w:adjustRightInd w:val="0"/>
              <w:snapToGrid w:val="0"/>
              <w:spacing w:before="156"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联系人</w:t>
            </w:r>
          </w:p>
        </w:tc>
        <w:tc>
          <w:tcPr>
            <w:tcW w:w="3220" w:type="dxa"/>
            <w:vAlign w:val="center"/>
          </w:tcPr>
          <w:p w14:paraId="5759E5EC">
            <w:pPr>
              <w:adjustRightInd w:val="0"/>
              <w:snapToGrid w:val="0"/>
              <w:spacing w:before="156"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职 务</w:t>
            </w:r>
          </w:p>
        </w:tc>
        <w:tc>
          <w:tcPr>
            <w:tcW w:w="2462" w:type="dxa"/>
            <w:vAlign w:val="center"/>
          </w:tcPr>
          <w:p w14:paraId="52CD6C5B">
            <w:pPr>
              <w:adjustRightInd w:val="0"/>
              <w:snapToGrid w:val="0"/>
              <w:spacing w:before="156"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联系电话</w:t>
            </w:r>
          </w:p>
        </w:tc>
      </w:tr>
      <w:tr w14:paraId="7B7B7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0B72E4B6">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137" w:type="dxa"/>
            <w:vAlign w:val="center"/>
          </w:tcPr>
          <w:p w14:paraId="289C98EF">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刘波</w:t>
            </w:r>
          </w:p>
        </w:tc>
        <w:tc>
          <w:tcPr>
            <w:tcW w:w="3220" w:type="dxa"/>
            <w:vAlign w:val="center"/>
          </w:tcPr>
          <w:p w14:paraId="3DC7FA29">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名城支行客户经理</w:t>
            </w:r>
          </w:p>
        </w:tc>
        <w:tc>
          <w:tcPr>
            <w:tcW w:w="2462" w:type="dxa"/>
            <w:vAlign w:val="center"/>
          </w:tcPr>
          <w:p w14:paraId="248D848E">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13874998873</w:t>
            </w:r>
          </w:p>
        </w:tc>
      </w:tr>
      <w:tr w14:paraId="46E864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5C207C66">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137" w:type="dxa"/>
            <w:vAlign w:val="center"/>
          </w:tcPr>
          <w:p w14:paraId="6A618BC7">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肖勇光</w:t>
            </w:r>
          </w:p>
        </w:tc>
        <w:tc>
          <w:tcPr>
            <w:tcW w:w="3220" w:type="dxa"/>
            <w:vAlign w:val="center"/>
          </w:tcPr>
          <w:p w14:paraId="31AA6E56">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分行高级经理</w:t>
            </w:r>
          </w:p>
        </w:tc>
        <w:tc>
          <w:tcPr>
            <w:tcW w:w="2462" w:type="dxa"/>
            <w:vAlign w:val="center"/>
          </w:tcPr>
          <w:p w14:paraId="17797ECC">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13755192647</w:t>
            </w:r>
          </w:p>
        </w:tc>
      </w:tr>
      <w:tr w14:paraId="2365B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3EBFA3A5">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137" w:type="dxa"/>
            <w:vAlign w:val="center"/>
          </w:tcPr>
          <w:p w14:paraId="77A229F7">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黄飞燕</w:t>
            </w:r>
          </w:p>
        </w:tc>
        <w:tc>
          <w:tcPr>
            <w:tcW w:w="3220" w:type="dxa"/>
            <w:vAlign w:val="center"/>
          </w:tcPr>
          <w:p w14:paraId="5C391BE7">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营业部总经理</w:t>
            </w:r>
          </w:p>
        </w:tc>
        <w:tc>
          <w:tcPr>
            <w:tcW w:w="2462" w:type="dxa"/>
            <w:vAlign w:val="center"/>
          </w:tcPr>
          <w:p w14:paraId="54C3FA62">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13308463468</w:t>
            </w:r>
          </w:p>
        </w:tc>
      </w:tr>
      <w:tr w14:paraId="5945A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40F5DD95">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137" w:type="dxa"/>
            <w:vAlign w:val="center"/>
          </w:tcPr>
          <w:p w14:paraId="50F5526F">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蒋寒奇</w:t>
            </w:r>
          </w:p>
        </w:tc>
        <w:tc>
          <w:tcPr>
            <w:tcW w:w="3220" w:type="dxa"/>
            <w:vAlign w:val="center"/>
          </w:tcPr>
          <w:p w14:paraId="4CB0754C">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营业部中小企业客户经理</w:t>
            </w:r>
          </w:p>
        </w:tc>
        <w:tc>
          <w:tcPr>
            <w:tcW w:w="2462" w:type="dxa"/>
            <w:vAlign w:val="center"/>
          </w:tcPr>
          <w:p w14:paraId="1416AEC6">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13548982975</w:t>
            </w:r>
          </w:p>
        </w:tc>
      </w:tr>
      <w:tr w14:paraId="786925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1517923B">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137" w:type="dxa"/>
            <w:vAlign w:val="center"/>
          </w:tcPr>
          <w:p w14:paraId="7DD59F44">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刘栅延</w:t>
            </w:r>
          </w:p>
        </w:tc>
        <w:tc>
          <w:tcPr>
            <w:tcW w:w="3220" w:type="dxa"/>
            <w:vAlign w:val="center"/>
          </w:tcPr>
          <w:p w14:paraId="18DDC1F4">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支行行长</w:t>
            </w:r>
          </w:p>
        </w:tc>
        <w:tc>
          <w:tcPr>
            <w:tcW w:w="2462" w:type="dxa"/>
            <w:vAlign w:val="center"/>
          </w:tcPr>
          <w:p w14:paraId="677175AC">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13337316405</w:t>
            </w:r>
          </w:p>
        </w:tc>
      </w:tr>
      <w:tr w14:paraId="03B396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7A0436D1">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137" w:type="dxa"/>
            <w:vAlign w:val="center"/>
          </w:tcPr>
          <w:p w14:paraId="62B34CF2">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蒋修远</w:t>
            </w:r>
          </w:p>
        </w:tc>
        <w:tc>
          <w:tcPr>
            <w:tcW w:w="3220" w:type="dxa"/>
            <w:vAlign w:val="center"/>
          </w:tcPr>
          <w:p w14:paraId="19B5DBF1">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支行客户经理</w:t>
            </w:r>
          </w:p>
        </w:tc>
        <w:tc>
          <w:tcPr>
            <w:tcW w:w="2462" w:type="dxa"/>
            <w:vAlign w:val="center"/>
          </w:tcPr>
          <w:p w14:paraId="231D84B8">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18607310422</w:t>
            </w:r>
          </w:p>
        </w:tc>
      </w:tr>
      <w:tr w14:paraId="34D47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2225F5BA">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中国光大银行长沙分行</w:t>
            </w:r>
          </w:p>
        </w:tc>
        <w:tc>
          <w:tcPr>
            <w:tcW w:w="1137" w:type="dxa"/>
            <w:vAlign w:val="center"/>
          </w:tcPr>
          <w:p w14:paraId="218A2499">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邓永胜</w:t>
            </w:r>
          </w:p>
        </w:tc>
        <w:tc>
          <w:tcPr>
            <w:tcW w:w="3220" w:type="dxa"/>
            <w:vAlign w:val="center"/>
          </w:tcPr>
          <w:p w14:paraId="5781AC0B">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岳麓支行副行长</w:t>
            </w:r>
          </w:p>
        </w:tc>
        <w:tc>
          <w:tcPr>
            <w:tcW w:w="2462" w:type="dxa"/>
            <w:vAlign w:val="center"/>
          </w:tcPr>
          <w:p w14:paraId="24A98D05">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13617319650</w:t>
            </w:r>
          </w:p>
        </w:tc>
      </w:tr>
      <w:tr w14:paraId="7C297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71899BA3">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137" w:type="dxa"/>
            <w:vAlign w:val="center"/>
          </w:tcPr>
          <w:p w14:paraId="6534AAF7">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蔡学军</w:t>
            </w:r>
          </w:p>
        </w:tc>
        <w:tc>
          <w:tcPr>
            <w:tcW w:w="3220" w:type="dxa"/>
            <w:vAlign w:val="center"/>
          </w:tcPr>
          <w:p w14:paraId="7093F197">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公司银行部负责人</w:t>
            </w:r>
          </w:p>
        </w:tc>
        <w:tc>
          <w:tcPr>
            <w:tcW w:w="2462" w:type="dxa"/>
            <w:vAlign w:val="center"/>
          </w:tcPr>
          <w:p w14:paraId="315239CC">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13055167195</w:t>
            </w:r>
          </w:p>
        </w:tc>
      </w:tr>
      <w:tr w14:paraId="7EBE79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31C71B5C">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137" w:type="dxa"/>
            <w:vAlign w:val="center"/>
          </w:tcPr>
          <w:p w14:paraId="1FB02A23">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宋学农</w:t>
            </w:r>
          </w:p>
        </w:tc>
        <w:tc>
          <w:tcPr>
            <w:tcW w:w="3220" w:type="dxa"/>
            <w:vAlign w:val="center"/>
          </w:tcPr>
          <w:p w14:paraId="22BED14C">
            <w:pPr>
              <w:adjustRightInd w:val="0"/>
              <w:snapToGrid w:val="0"/>
              <w:spacing w:before="156" w:beforeLines="50" w:line="312" w:lineRule="auto"/>
              <w:rPr>
                <w:rFonts w:ascii="宋体" w:hAnsi="宋体"/>
                <w:color w:val="auto"/>
                <w:szCs w:val="21"/>
                <w:highlight w:val="none"/>
              </w:rPr>
            </w:pPr>
            <w:r>
              <w:rPr>
                <w:rFonts w:hint="eastAsia" w:ascii="宋体" w:hAnsi="宋体" w:cs="宋体"/>
                <w:color w:val="auto"/>
                <w:kern w:val="0"/>
                <w:szCs w:val="21"/>
                <w:highlight w:val="none"/>
              </w:rPr>
              <w:t>银行部综合管理部副总经理</w:t>
            </w:r>
          </w:p>
        </w:tc>
        <w:tc>
          <w:tcPr>
            <w:tcW w:w="2462" w:type="dxa"/>
            <w:vAlign w:val="center"/>
          </w:tcPr>
          <w:p w14:paraId="05BFA4DA">
            <w:pPr>
              <w:adjustRightInd w:val="0"/>
              <w:snapToGrid w:val="0"/>
              <w:spacing w:before="156"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0731-845822141</w:t>
            </w:r>
          </w:p>
        </w:tc>
      </w:tr>
    </w:tbl>
    <w:p w14:paraId="2C33E990">
      <w:pPr>
        <w:adjustRightInd w:val="0"/>
        <w:snapToGrid w:val="0"/>
        <w:spacing w:line="360" w:lineRule="auto"/>
        <w:rPr>
          <w:rFonts w:ascii="宋体" w:hAnsi="宋体"/>
          <w:b/>
          <w:bCs/>
          <w:color w:val="auto"/>
          <w:szCs w:val="21"/>
          <w:highlight w:val="none"/>
        </w:rPr>
      </w:pPr>
    </w:p>
    <w:p w14:paraId="44AE8F4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附页2</w:t>
      </w:r>
    </w:p>
    <w:p w14:paraId="30FA06B0">
      <w:pPr>
        <w:adjustRightInd w:val="0"/>
        <w:snapToGrid w:val="0"/>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湖南省政府采购信用担保试点工作的</w:t>
      </w:r>
      <w:r>
        <w:rPr>
          <w:rFonts w:hint="eastAsia" w:ascii="宋体" w:hAnsi="宋体"/>
          <w:b/>
          <w:color w:val="auto"/>
          <w:sz w:val="28"/>
          <w:szCs w:val="28"/>
          <w:highlight w:val="none"/>
        </w:rPr>
        <w:t>信用担保机构名单</w:t>
      </w:r>
    </w:p>
    <w:tbl>
      <w:tblPr>
        <w:tblStyle w:val="33"/>
        <w:tblW w:w="97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64"/>
        <w:gridCol w:w="1142"/>
        <w:gridCol w:w="3994"/>
      </w:tblGrid>
      <w:tr w14:paraId="7364C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043E4D82">
            <w:pPr>
              <w:adjustRightInd w:val="0"/>
              <w:snapToGrid w:val="0"/>
              <w:spacing w:before="156" w:beforeLines="50" w:line="312"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信用担保机构</w:t>
            </w:r>
          </w:p>
        </w:tc>
        <w:tc>
          <w:tcPr>
            <w:tcW w:w="1142" w:type="dxa"/>
            <w:vAlign w:val="center"/>
          </w:tcPr>
          <w:p w14:paraId="7CCFAA45">
            <w:pPr>
              <w:adjustRightInd w:val="0"/>
              <w:snapToGrid w:val="0"/>
              <w:spacing w:before="156" w:beforeLines="50" w:line="312"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联系人</w:t>
            </w:r>
          </w:p>
        </w:tc>
        <w:tc>
          <w:tcPr>
            <w:tcW w:w="3994" w:type="dxa"/>
            <w:vAlign w:val="center"/>
          </w:tcPr>
          <w:p w14:paraId="6221F96D">
            <w:pPr>
              <w:adjustRightInd w:val="0"/>
              <w:snapToGrid w:val="0"/>
              <w:spacing w:before="156" w:beforeLines="50" w:line="312"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联系电话</w:t>
            </w:r>
          </w:p>
        </w:tc>
      </w:tr>
      <w:tr w14:paraId="41D9A1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41C5CBC7">
            <w:pPr>
              <w:adjustRightInd w:val="0"/>
              <w:snapToGrid w:val="0"/>
              <w:spacing w:before="156" w:beforeLines="50" w:line="312" w:lineRule="auto"/>
              <w:rPr>
                <w:rFonts w:ascii="宋体" w:hAnsi="宋体" w:cs="宋体"/>
                <w:color w:val="auto"/>
                <w:kern w:val="0"/>
                <w:szCs w:val="21"/>
                <w:highlight w:val="none"/>
              </w:rPr>
            </w:pPr>
            <w:r>
              <w:rPr>
                <w:rFonts w:hint="eastAsia" w:ascii="宋体" w:hAnsi="宋体" w:cs="宋体"/>
                <w:color w:val="auto"/>
                <w:kern w:val="0"/>
                <w:szCs w:val="21"/>
                <w:highlight w:val="none"/>
              </w:rPr>
              <w:t>中国投资担保公司</w:t>
            </w:r>
          </w:p>
        </w:tc>
        <w:tc>
          <w:tcPr>
            <w:tcW w:w="1142" w:type="dxa"/>
            <w:vAlign w:val="center"/>
          </w:tcPr>
          <w:p w14:paraId="7057DF7A">
            <w:pPr>
              <w:adjustRightInd w:val="0"/>
              <w:snapToGrid w:val="0"/>
              <w:spacing w:before="156"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何嘉</w:t>
            </w:r>
          </w:p>
        </w:tc>
        <w:tc>
          <w:tcPr>
            <w:tcW w:w="3994" w:type="dxa"/>
            <w:vAlign w:val="center"/>
          </w:tcPr>
          <w:p w14:paraId="3AAAE5C7">
            <w:pPr>
              <w:adjustRightInd w:val="0"/>
              <w:snapToGrid w:val="0"/>
              <w:spacing w:before="156"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010-88822659/13718642233</w:t>
            </w:r>
          </w:p>
        </w:tc>
      </w:tr>
      <w:tr w14:paraId="4EAC9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3E666975">
            <w:pPr>
              <w:adjustRightInd w:val="0"/>
              <w:snapToGrid w:val="0"/>
              <w:spacing w:before="156" w:beforeLines="50" w:line="312" w:lineRule="auto"/>
              <w:rPr>
                <w:rFonts w:ascii="宋体" w:hAnsi="宋体" w:cs="宋体"/>
                <w:color w:val="auto"/>
                <w:kern w:val="0"/>
                <w:szCs w:val="21"/>
                <w:highlight w:val="none"/>
              </w:rPr>
            </w:pPr>
            <w:r>
              <w:rPr>
                <w:rFonts w:hint="eastAsia" w:ascii="宋体" w:hAnsi="宋体" w:cs="宋体"/>
                <w:color w:val="auto"/>
                <w:kern w:val="0"/>
                <w:szCs w:val="21"/>
                <w:highlight w:val="none"/>
              </w:rPr>
              <w:t>湖南省中小企业信用担保有限责任公司</w:t>
            </w:r>
          </w:p>
        </w:tc>
        <w:tc>
          <w:tcPr>
            <w:tcW w:w="1142" w:type="dxa"/>
            <w:vAlign w:val="center"/>
          </w:tcPr>
          <w:p w14:paraId="1F30154E">
            <w:pPr>
              <w:adjustRightInd w:val="0"/>
              <w:snapToGrid w:val="0"/>
              <w:spacing w:before="156"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蔡建雄</w:t>
            </w:r>
          </w:p>
        </w:tc>
        <w:tc>
          <w:tcPr>
            <w:tcW w:w="3994" w:type="dxa"/>
            <w:vAlign w:val="center"/>
          </w:tcPr>
          <w:p w14:paraId="250D05CC">
            <w:pPr>
              <w:adjustRightInd w:val="0"/>
              <w:snapToGrid w:val="0"/>
              <w:spacing w:before="156"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0731-84172390-201/15573193555</w:t>
            </w:r>
          </w:p>
        </w:tc>
      </w:tr>
      <w:tr w14:paraId="4F09EF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07ECCA22">
            <w:pPr>
              <w:adjustRightInd w:val="0"/>
              <w:snapToGrid w:val="0"/>
              <w:spacing w:before="156" w:beforeLines="50" w:line="312" w:lineRule="auto"/>
              <w:rPr>
                <w:rFonts w:ascii="宋体" w:hAnsi="宋体" w:cs="宋体"/>
                <w:color w:val="auto"/>
                <w:kern w:val="0"/>
                <w:szCs w:val="21"/>
                <w:highlight w:val="none"/>
              </w:rPr>
            </w:pPr>
            <w:r>
              <w:rPr>
                <w:rFonts w:hint="eastAsia" w:ascii="宋体" w:hAnsi="宋体" w:cs="宋体"/>
                <w:color w:val="auto"/>
                <w:kern w:val="0"/>
                <w:szCs w:val="21"/>
                <w:highlight w:val="none"/>
              </w:rPr>
              <w:t>湖南农业信用担保有限公司</w:t>
            </w:r>
          </w:p>
        </w:tc>
        <w:tc>
          <w:tcPr>
            <w:tcW w:w="1142" w:type="dxa"/>
            <w:vAlign w:val="center"/>
          </w:tcPr>
          <w:p w14:paraId="72995E88">
            <w:pPr>
              <w:adjustRightInd w:val="0"/>
              <w:snapToGrid w:val="0"/>
              <w:spacing w:before="156"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彭球</w:t>
            </w:r>
          </w:p>
          <w:p w14:paraId="3A85C8C1">
            <w:pPr>
              <w:adjustRightInd w:val="0"/>
              <w:snapToGrid w:val="0"/>
              <w:spacing w:before="156"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邓霞英</w:t>
            </w:r>
          </w:p>
        </w:tc>
        <w:tc>
          <w:tcPr>
            <w:tcW w:w="3994" w:type="dxa"/>
            <w:vAlign w:val="center"/>
          </w:tcPr>
          <w:p w14:paraId="14FD1668">
            <w:pPr>
              <w:adjustRightInd w:val="0"/>
              <w:snapToGrid w:val="0"/>
              <w:spacing w:before="156"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0731-89761702/13875980906 0731-89761706/13574125851</w:t>
            </w:r>
          </w:p>
        </w:tc>
      </w:tr>
    </w:tbl>
    <w:p w14:paraId="2CC72355">
      <w:pPr>
        <w:adjustRightInd w:val="0"/>
        <w:snapToGrid w:val="0"/>
        <w:spacing w:line="360" w:lineRule="auto"/>
        <w:rPr>
          <w:rFonts w:ascii="宋体" w:hAnsi="宋体"/>
          <w:b/>
          <w:color w:val="auto"/>
          <w:szCs w:val="21"/>
          <w:highlight w:val="none"/>
        </w:rPr>
        <w:sectPr>
          <w:footerReference r:id="rId8" w:type="default"/>
          <w:pgSz w:w="11906" w:h="16838"/>
          <w:pgMar w:top="1587" w:right="1417" w:bottom="1474" w:left="1587" w:header="851" w:footer="992" w:gutter="0"/>
          <w:pgBorders>
            <w:top w:val="none" w:sz="0" w:space="0"/>
            <w:left w:val="none" w:sz="0" w:space="0"/>
            <w:bottom w:val="none" w:sz="0" w:space="0"/>
            <w:right w:val="none" w:sz="0" w:space="0"/>
          </w:pgBorders>
          <w:cols w:space="0" w:num="1"/>
          <w:docGrid w:type="lines" w:linePitch="312" w:charSpace="0"/>
        </w:sectPr>
      </w:pPr>
    </w:p>
    <w:p w14:paraId="4DEE5A4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附页3</w:t>
      </w:r>
    </w:p>
    <w:p w14:paraId="4FC4E848">
      <w:pPr>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政府采购履约担保函</w:t>
      </w:r>
    </w:p>
    <w:p w14:paraId="4D29FEFE">
      <w:pPr>
        <w:adjustRightInd w:val="0"/>
        <w:snapToGrid w:val="0"/>
        <w:spacing w:line="360" w:lineRule="auto"/>
        <w:ind w:firstLine="6510" w:firstLineChars="3100"/>
        <w:rPr>
          <w:rFonts w:ascii="宋体" w:hAnsi="宋体" w:cs="宋体"/>
          <w:b/>
          <w:color w:val="auto"/>
          <w:kern w:val="0"/>
          <w:szCs w:val="21"/>
          <w:highlight w:val="none"/>
        </w:rPr>
      </w:pPr>
      <w:r>
        <w:rPr>
          <w:rFonts w:hint="eastAsia" w:ascii="宋体" w:hAnsi="宋体" w:cs="宋体"/>
          <w:color w:val="auto"/>
          <w:kern w:val="0"/>
          <w:szCs w:val="21"/>
          <w:highlight w:val="none"/>
        </w:rPr>
        <w:t>编号：</w:t>
      </w:r>
      <w:r>
        <w:rPr>
          <w:rFonts w:hint="eastAsia" w:ascii="宋体" w:hAnsi="宋体" w:cs="宋体"/>
          <w:color w:val="auto"/>
          <w:kern w:val="0"/>
          <w:szCs w:val="21"/>
          <w:highlight w:val="none"/>
          <w:u w:val="single"/>
        </w:rPr>
        <w:t xml:space="preserve">              </w:t>
      </w:r>
    </w:p>
    <w:p w14:paraId="00EC9BB2">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（采购人）： </w:t>
      </w:r>
    </w:p>
    <w:p w14:paraId="772A7047">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鉴于你方与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（以下简称供应商）于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日签定编号为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政府采购合同》（以下简称主合同），且依据该合同的约定，供应商应在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0E4FD35D">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一、保证责任的情形及保证金额</w:t>
      </w:r>
    </w:p>
    <w:p w14:paraId="756176B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（一）在供应商出现下列情形之一时，我方承担保证责任：</w:t>
      </w:r>
    </w:p>
    <w:p w14:paraId="366E3F3E">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1．将中标项目转让给他人，或者在响应文件中未说明，且未经采购人同意，将中标项目分包给他人的；</w:t>
      </w:r>
    </w:p>
    <w:p w14:paraId="6D74127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2．主合同约定的应当缴纳履约保证金的情形: </w:t>
      </w:r>
    </w:p>
    <w:p w14:paraId="0D4CC8AC">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（1）未按主合同约定的质量、数量和期限供应货物/提供服务/完成工程的； </w:t>
      </w:r>
    </w:p>
    <w:p w14:paraId="57CADAA1">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F6A4F8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（二）我方的保证范围是主合同约定的合同价款总额的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%数额为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），币种为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。（即主合同履约保证金金额）</w:t>
      </w:r>
    </w:p>
    <w:p w14:paraId="3AE6FA0D">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二、保证的方式及保证期间 </w:t>
      </w:r>
    </w:p>
    <w:p w14:paraId="11769B0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我方保证的方式为：连带责任保证。 </w:t>
      </w:r>
    </w:p>
    <w:p w14:paraId="1A1CCC1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我方保证的期间为：自本合同生效之日起至供应商按照主合同约定的供货/完工期限届满后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日内。</w:t>
      </w:r>
    </w:p>
    <w:p w14:paraId="276A08E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如果供应商未按主合同约定向贵方供应货物/提供服务/完成工程的，由我方在保证金额内向你方支付上述款项。 </w:t>
      </w:r>
    </w:p>
    <w:p w14:paraId="263E361E">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三、承担保证责任的程序</w:t>
      </w:r>
    </w:p>
    <w:p w14:paraId="3192FF44">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14:paraId="6EA9BB0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如果你方与供应商因货物质量问题产生争议，你方还需同时提供</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部门出具的质量检测报告，或经诉讼（仲裁）程序裁决后的裁决书、调解书，本保证人即按照检测结果或裁决书、调解书决定是否承担保证责任。</w:t>
      </w:r>
    </w:p>
    <w:p w14:paraId="2E4BC2A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2．我方收到你方的书面索赔通知及相应证明材料，在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工作日内进行核定后按照本保函的承诺承担保证责任。</w:t>
      </w:r>
    </w:p>
    <w:p w14:paraId="0053B0C2">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四、保证责任的终止</w:t>
      </w:r>
    </w:p>
    <w:p w14:paraId="75E058D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A04CBB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2．我方按照本保函向你方履行了保证责任后，自我方向你方支付款项（支付款项从我方账户划出）之日起，保证责任即终止。</w:t>
      </w:r>
    </w:p>
    <w:p w14:paraId="043C2956">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3．按照法律法规的规定或出现应终止我方保证责任的其他情形的，我方在本保函项下的保证责任亦终止。</w:t>
      </w:r>
    </w:p>
    <w:p w14:paraId="54FB0B8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42A74E3">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五、免责条款</w:t>
      </w:r>
    </w:p>
    <w:p w14:paraId="3CC501B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1．因你方违反主合同约定致使供应商不能履行义务的，我方不承担保证责任。</w:t>
      </w:r>
    </w:p>
    <w:p w14:paraId="4CD0E5A8">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2．依照法律法规的规定或你方与供应商的另行约定，全部或者部分免除供应商应缴纳的保证金义务的，我方亦免除相应的保证责任。</w:t>
      </w:r>
    </w:p>
    <w:p w14:paraId="62D2B68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3．因不可抗力造成供应商不能履行供货义务的，我方不承担保证责任。</w:t>
      </w:r>
    </w:p>
    <w:p w14:paraId="3E48E0C1">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六、争议的解决</w:t>
      </w:r>
    </w:p>
    <w:p w14:paraId="2BB81CB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因本保函发生的纠纷，由你我双方协商解决，协商不成的，通过诉讼程序解决，诉讼管辖地法院为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法院。</w:t>
      </w:r>
    </w:p>
    <w:p w14:paraId="25EC671C">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七、保函的生效 </w:t>
      </w:r>
    </w:p>
    <w:p w14:paraId="31D68F9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本保函自我方加盖公章之日起生效。 </w:t>
      </w:r>
    </w:p>
    <w:p w14:paraId="6F3364EB">
      <w:pPr>
        <w:tabs>
          <w:tab w:val="left" w:pos="2850"/>
        </w:tabs>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ab/>
      </w:r>
      <w:r>
        <w:rPr>
          <w:rFonts w:hint="eastAsia" w:ascii="宋体" w:hAnsi="宋体" w:cs="宋体"/>
          <w:color w:val="auto"/>
          <w:kern w:val="0"/>
          <w:szCs w:val="21"/>
          <w:highlight w:val="none"/>
        </w:rPr>
        <w:t xml:space="preserve">          保证人：（公章） </w:t>
      </w:r>
    </w:p>
    <w:p w14:paraId="560CD9F4">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16473891">
      <w:pPr>
        <w:adjustRightInd w:val="0"/>
        <w:snapToGrid w:val="0"/>
        <w:spacing w:line="360" w:lineRule="auto"/>
        <w:rPr>
          <w:rFonts w:ascii="宋体" w:hAnsi="宋体" w:cs="宋体"/>
          <w:color w:val="auto"/>
          <w:kern w:val="0"/>
          <w:szCs w:val="21"/>
          <w:highlight w:val="none"/>
        </w:rPr>
      </w:pPr>
    </w:p>
    <w:p w14:paraId="1F29886F">
      <w:pPr>
        <w:adjustRightInd w:val="0"/>
        <w:snapToGrid w:val="0"/>
        <w:spacing w:line="360" w:lineRule="auto"/>
        <w:rPr>
          <w:rFonts w:ascii="宋体" w:hAnsi="宋体" w:cs="宋体"/>
          <w:color w:val="auto"/>
          <w:kern w:val="0"/>
          <w:szCs w:val="21"/>
          <w:highlight w:val="none"/>
        </w:rPr>
      </w:pPr>
    </w:p>
    <w:p w14:paraId="273463D3">
      <w:pPr>
        <w:adjustRightInd w:val="0"/>
        <w:snapToGrid w:val="0"/>
        <w:spacing w:line="360" w:lineRule="auto"/>
        <w:rPr>
          <w:rFonts w:ascii="宋体" w:hAnsi="宋体" w:cs="宋体"/>
          <w:color w:val="auto"/>
          <w:kern w:val="0"/>
          <w:szCs w:val="21"/>
          <w:highlight w:val="none"/>
        </w:rPr>
      </w:pPr>
    </w:p>
    <w:p w14:paraId="4CB46515">
      <w:pPr>
        <w:adjustRightInd w:val="0"/>
        <w:snapToGrid w:val="0"/>
        <w:spacing w:line="360" w:lineRule="auto"/>
        <w:rPr>
          <w:rFonts w:ascii="宋体" w:hAnsi="宋体" w:cs="宋体"/>
          <w:color w:val="auto"/>
          <w:kern w:val="0"/>
          <w:szCs w:val="21"/>
          <w:highlight w:val="none"/>
        </w:rPr>
      </w:pPr>
    </w:p>
    <w:p w14:paraId="316DA917">
      <w:pPr>
        <w:adjustRightInd w:val="0"/>
        <w:snapToGrid w:val="0"/>
        <w:spacing w:line="360" w:lineRule="auto"/>
        <w:rPr>
          <w:rFonts w:ascii="宋体" w:hAnsi="宋体" w:cs="宋体"/>
          <w:color w:val="auto"/>
          <w:kern w:val="0"/>
          <w:szCs w:val="21"/>
          <w:highlight w:val="none"/>
        </w:rPr>
      </w:pPr>
    </w:p>
    <w:p w14:paraId="0B06ABFC">
      <w:pPr>
        <w:adjustRightInd w:val="0"/>
        <w:snapToGrid w:val="0"/>
        <w:spacing w:line="360" w:lineRule="auto"/>
        <w:rPr>
          <w:rFonts w:ascii="宋体" w:hAnsi="宋体" w:cs="宋体"/>
          <w:color w:val="auto"/>
          <w:kern w:val="0"/>
          <w:szCs w:val="21"/>
          <w:highlight w:val="none"/>
        </w:rPr>
      </w:pPr>
    </w:p>
    <w:p w14:paraId="083B8CB6">
      <w:pPr>
        <w:adjustRightInd w:val="0"/>
        <w:snapToGrid w:val="0"/>
        <w:spacing w:line="360" w:lineRule="auto"/>
        <w:rPr>
          <w:rFonts w:ascii="宋体" w:hAnsi="宋体" w:cs="宋体"/>
          <w:color w:val="auto"/>
          <w:kern w:val="0"/>
          <w:szCs w:val="21"/>
          <w:highlight w:val="none"/>
        </w:rPr>
      </w:pPr>
    </w:p>
    <w:p w14:paraId="04496D78">
      <w:pPr>
        <w:adjustRightInd w:val="0"/>
        <w:snapToGrid w:val="0"/>
        <w:spacing w:line="360" w:lineRule="auto"/>
        <w:rPr>
          <w:rFonts w:ascii="宋体" w:hAnsi="宋体" w:cs="宋体"/>
          <w:color w:val="auto"/>
          <w:kern w:val="0"/>
          <w:szCs w:val="21"/>
          <w:highlight w:val="none"/>
        </w:rPr>
      </w:pPr>
    </w:p>
    <w:p w14:paraId="3EA9F908">
      <w:pPr>
        <w:adjustRightInd w:val="0"/>
        <w:snapToGrid w:val="0"/>
        <w:spacing w:line="360" w:lineRule="auto"/>
        <w:rPr>
          <w:rFonts w:ascii="宋体" w:hAnsi="宋体" w:cs="宋体"/>
          <w:color w:val="auto"/>
          <w:kern w:val="0"/>
          <w:szCs w:val="21"/>
          <w:highlight w:val="none"/>
        </w:rPr>
      </w:pPr>
    </w:p>
    <w:p w14:paraId="7C07EAC1">
      <w:pPr>
        <w:adjustRightInd w:val="0"/>
        <w:snapToGrid w:val="0"/>
        <w:spacing w:line="360" w:lineRule="auto"/>
        <w:rPr>
          <w:rFonts w:ascii="宋体" w:hAnsi="宋体" w:cs="宋体"/>
          <w:color w:val="auto"/>
          <w:kern w:val="0"/>
          <w:szCs w:val="21"/>
          <w:highlight w:val="none"/>
        </w:rPr>
      </w:pPr>
    </w:p>
    <w:p w14:paraId="7E650FE1">
      <w:pPr>
        <w:adjustRightInd w:val="0"/>
        <w:snapToGrid w:val="0"/>
        <w:spacing w:line="360" w:lineRule="auto"/>
        <w:rPr>
          <w:rFonts w:ascii="宋体" w:hAnsi="宋体" w:cs="宋体"/>
          <w:color w:val="auto"/>
          <w:kern w:val="0"/>
          <w:szCs w:val="21"/>
          <w:highlight w:val="none"/>
        </w:rPr>
      </w:pPr>
    </w:p>
    <w:p w14:paraId="24E53646">
      <w:pPr>
        <w:pStyle w:val="8"/>
        <w:rPr>
          <w:color w:val="auto"/>
          <w:highlight w:val="none"/>
        </w:rPr>
      </w:pPr>
    </w:p>
    <w:p w14:paraId="1ECA7AF0">
      <w:pPr>
        <w:adjustRightInd w:val="0"/>
        <w:snapToGrid w:val="0"/>
        <w:spacing w:line="360" w:lineRule="auto"/>
        <w:rPr>
          <w:rFonts w:ascii="宋体" w:hAnsi="宋体" w:cs="宋体"/>
          <w:color w:val="auto"/>
          <w:kern w:val="0"/>
          <w:szCs w:val="21"/>
          <w:highlight w:val="none"/>
        </w:rPr>
      </w:pPr>
    </w:p>
    <w:p w14:paraId="635D7F17">
      <w:pPr>
        <w:adjustRightInd w:val="0"/>
        <w:snapToGrid w:val="0"/>
        <w:spacing w:line="360" w:lineRule="auto"/>
        <w:jc w:val="left"/>
        <w:rPr>
          <w:rFonts w:ascii="宋体" w:hAnsi="宋体"/>
          <w:b/>
          <w:color w:val="auto"/>
          <w:szCs w:val="21"/>
          <w:highlight w:val="none"/>
        </w:rPr>
      </w:pPr>
      <w:r>
        <w:rPr>
          <w:rFonts w:hint="eastAsia" w:ascii="宋体" w:hAnsi="宋体"/>
          <w:b/>
          <w:bCs/>
          <w:color w:val="auto"/>
          <w:szCs w:val="21"/>
          <w:highlight w:val="none"/>
        </w:rPr>
        <w:t>附页4</w:t>
      </w:r>
    </w:p>
    <w:p w14:paraId="3CF14ED5">
      <w:pPr>
        <w:spacing w:line="360" w:lineRule="auto"/>
        <w:jc w:val="center"/>
        <w:outlineLvl w:val="0"/>
        <w:rPr>
          <w:rFonts w:ascii="宋体" w:hAnsi="宋体" w:cs="宋体"/>
          <w:b/>
          <w:bCs/>
          <w:color w:val="auto"/>
          <w:szCs w:val="21"/>
          <w:highlight w:val="none"/>
        </w:rPr>
      </w:pPr>
      <w:r>
        <w:rPr>
          <w:rFonts w:hint="eastAsia" w:ascii="宋体" w:hAnsi="宋体" w:cs="宋体"/>
          <w:b/>
          <w:bCs/>
          <w:color w:val="auto"/>
          <w:szCs w:val="21"/>
          <w:highlight w:val="none"/>
        </w:rPr>
        <w:t>评审因素和标准</w:t>
      </w:r>
    </w:p>
    <w:p w14:paraId="3E29F591">
      <w:pPr>
        <w:numPr>
          <w:ilvl w:val="0"/>
          <w:numId w:val="6"/>
        </w:numPr>
        <w:adjustRightInd w:val="0"/>
        <w:snapToGrid w:val="0"/>
        <w:outlineLvl w:val="0"/>
        <w:rPr>
          <w:rFonts w:ascii="宋体"/>
          <w:b/>
          <w:bCs/>
          <w:color w:val="auto"/>
          <w:highlight w:val="none"/>
        </w:rPr>
      </w:pPr>
      <w:r>
        <w:rPr>
          <w:rFonts w:hint="eastAsia" w:ascii="宋体"/>
          <w:b/>
          <w:bCs/>
          <w:color w:val="auto"/>
          <w:highlight w:val="none"/>
        </w:rPr>
        <w:t>评标计分权值</w:t>
      </w:r>
    </w:p>
    <w:tbl>
      <w:tblPr>
        <w:tblStyle w:val="33"/>
        <w:tblW w:w="6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9"/>
        <w:gridCol w:w="4050"/>
      </w:tblGrid>
      <w:tr w14:paraId="509C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099" w:type="dxa"/>
            <w:tcBorders>
              <w:top w:val="single" w:color="000000" w:sz="4" w:space="0"/>
              <w:left w:val="single" w:color="000000" w:sz="4" w:space="0"/>
              <w:bottom w:val="single" w:color="000000" w:sz="4" w:space="0"/>
              <w:right w:val="single" w:color="000000" w:sz="4" w:space="0"/>
            </w:tcBorders>
            <w:vAlign w:val="center"/>
          </w:tcPr>
          <w:p w14:paraId="5CBCD994">
            <w:pPr>
              <w:jc w:val="center"/>
              <w:rPr>
                <w:rFonts w:ascii="宋体" w:cs="宋体"/>
                <w:color w:val="auto"/>
                <w:highlight w:val="none"/>
              </w:rPr>
            </w:pPr>
            <w:r>
              <w:rPr>
                <w:rFonts w:hint="eastAsia" w:ascii="宋体" w:cs="宋体"/>
                <w:color w:val="auto"/>
                <w:highlight w:val="none"/>
              </w:rPr>
              <w:t>评审类别</w:t>
            </w:r>
          </w:p>
        </w:tc>
        <w:tc>
          <w:tcPr>
            <w:tcW w:w="4050" w:type="dxa"/>
            <w:tcBorders>
              <w:top w:val="single" w:color="000000" w:sz="4" w:space="0"/>
              <w:left w:val="single" w:color="000000" w:sz="4" w:space="0"/>
              <w:bottom w:val="single" w:color="000000" w:sz="4" w:space="0"/>
              <w:right w:val="single" w:color="000000" w:sz="4" w:space="0"/>
            </w:tcBorders>
            <w:vAlign w:val="center"/>
          </w:tcPr>
          <w:p w14:paraId="50003F13">
            <w:pPr>
              <w:jc w:val="center"/>
              <w:rPr>
                <w:rFonts w:ascii="宋体" w:cs="宋体"/>
                <w:color w:val="auto"/>
                <w:highlight w:val="none"/>
              </w:rPr>
            </w:pPr>
            <w:r>
              <w:rPr>
                <w:rFonts w:hint="eastAsia" w:ascii="宋体" w:cs="宋体"/>
                <w:color w:val="auto"/>
                <w:highlight w:val="none"/>
              </w:rPr>
              <w:t>权值</w:t>
            </w:r>
          </w:p>
        </w:tc>
      </w:tr>
      <w:tr w14:paraId="7483F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099" w:type="dxa"/>
            <w:tcBorders>
              <w:top w:val="single" w:color="000000" w:sz="4" w:space="0"/>
              <w:left w:val="single" w:color="000000" w:sz="4" w:space="0"/>
              <w:bottom w:val="single" w:color="000000" w:sz="4" w:space="0"/>
              <w:right w:val="single" w:color="000000" w:sz="4" w:space="0"/>
            </w:tcBorders>
            <w:vAlign w:val="center"/>
          </w:tcPr>
          <w:p w14:paraId="401B3D95">
            <w:pPr>
              <w:jc w:val="center"/>
              <w:rPr>
                <w:rFonts w:ascii="宋体" w:cs="宋体"/>
                <w:color w:val="auto"/>
                <w:highlight w:val="none"/>
              </w:rPr>
            </w:pPr>
            <w:r>
              <w:rPr>
                <w:rFonts w:hint="eastAsia" w:ascii="宋体" w:cs="宋体"/>
                <w:color w:val="auto"/>
                <w:highlight w:val="none"/>
              </w:rPr>
              <w:t>商务部分</w:t>
            </w:r>
          </w:p>
        </w:tc>
        <w:tc>
          <w:tcPr>
            <w:tcW w:w="4050" w:type="dxa"/>
            <w:tcBorders>
              <w:top w:val="single" w:color="000000" w:sz="4" w:space="0"/>
              <w:left w:val="single" w:color="000000" w:sz="4" w:space="0"/>
              <w:bottom w:val="single" w:color="000000" w:sz="4" w:space="0"/>
              <w:right w:val="single" w:color="000000" w:sz="4" w:space="0"/>
            </w:tcBorders>
            <w:vAlign w:val="center"/>
          </w:tcPr>
          <w:p w14:paraId="01372A0D">
            <w:pPr>
              <w:jc w:val="center"/>
              <w:rPr>
                <w:rFonts w:ascii="宋体" w:cs="宋体"/>
                <w:color w:val="auto"/>
                <w:highlight w:val="none"/>
              </w:rPr>
            </w:pPr>
            <w:r>
              <w:rPr>
                <w:rFonts w:hint="eastAsia" w:ascii="宋体" w:cs="宋体"/>
                <w:color w:val="auto"/>
                <w:highlight w:val="none"/>
                <w:lang w:val="en-US" w:eastAsia="zh-CN"/>
              </w:rPr>
              <w:t>20</w:t>
            </w:r>
            <w:r>
              <w:rPr>
                <w:rFonts w:hint="eastAsia" w:ascii="宋体" w:cs="宋体"/>
                <w:color w:val="auto"/>
                <w:highlight w:val="none"/>
              </w:rPr>
              <w:t>分</w:t>
            </w:r>
          </w:p>
        </w:tc>
      </w:tr>
      <w:tr w14:paraId="037CF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099" w:type="dxa"/>
            <w:tcBorders>
              <w:top w:val="single" w:color="000000" w:sz="4" w:space="0"/>
              <w:left w:val="single" w:color="000000" w:sz="4" w:space="0"/>
              <w:bottom w:val="single" w:color="000000" w:sz="4" w:space="0"/>
              <w:right w:val="single" w:color="000000" w:sz="4" w:space="0"/>
            </w:tcBorders>
            <w:vAlign w:val="center"/>
          </w:tcPr>
          <w:p w14:paraId="233A142D">
            <w:pPr>
              <w:jc w:val="center"/>
              <w:rPr>
                <w:rFonts w:ascii="宋体" w:cs="宋体"/>
                <w:color w:val="auto"/>
                <w:highlight w:val="none"/>
              </w:rPr>
            </w:pPr>
            <w:r>
              <w:rPr>
                <w:rFonts w:hint="eastAsia" w:ascii="宋体" w:cs="宋体"/>
                <w:color w:val="auto"/>
                <w:highlight w:val="none"/>
              </w:rPr>
              <w:t>技术部分</w:t>
            </w:r>
          </w:p>
        </w:tc>
        <w:tc>
          <w:tcPr>
            <w:tcW w:w="4050" w:type="dxa"/>
            <w:tcBorders>
              <w:top w:val="single" w:color="000000" w:sz="4" w:space="0"/>
              <w:left w:val="single" w:color="000000" w:sz="4" w:space="0"/>
              <w:bottom w:val="single" w:color="000000" w:sz="4" w:space="0"/>
              <w:right w:val="single" w:color="000000" w:sz="4" w:space="0"/>
            </w:tcBorders>
            <w:vAlign w:val="center"/>
          </w:tcPr>
          <w:p w14:paraId="76EAB21E">
            <w:pPr>
              <w:jc w:val="center"/>
              <w:rPr>
                <w:rFonts w:ascii="宋体" w:cs="宋体"/>
                <w:color w:val="auto"/>
                <w:highlight w:val="none"/>
              </w:rPr>
            </w:pPr>
            <w:r>
              <w:rPr>
                <w:rFonts w:hint="eastAsia" w:ascii="宋体" w:cs="宋体"/>
                <w:color w:val="auto"/>
                <w:highlight w:val="none"/>
                <w:lang w:val="en-US" w:eastAsia="zh-CN"/>
              </w:rPr>
              <w:t>50</w:t>
            </w:r>
            <w:r>
              <w:rPr>
                <w:rFonts w:hint="eastAsia" w:ascii="宋体" w:cs="宋体"/>
                <w:color w:val="auto"/>
                <w:highlight w:val="none"/>
              </w:rPr>
              <w:t>分</w:t>
            </w:r>
          </w:p>
        </w:tc>
      </w:tr>
      <w:tr w14:paraId="3800B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099" w:type="dxa"/>
            <w:tcBorders>
              <w:top w:val="single" w:color="000000" w:sz="4" w:space="0"/>
              <w:left w:val="single" w:color="000000" w:sz="4" w:space="0"/>
              <w:bottom w:val="single" w:color="000000" w:sz="4" w:space="0"/>
              <w:right w:val="single" w:color="000000" w:sz="4" w:space="0"/>
            </w:tcBorders>
            <w:vAlign w:val="center"/>
          </w:tcPr>
          <w:p w14:paraId="02684CDD">
            <w:pPr>
              <w:jc w:val="center"/>
              <w:rPr>
                <w:rFonts w:ascii="宋体" w:cs="宋体"/>
                <w:color w:val="auto"/>
                <w:highlight w:val="none"/>
              </w:rPr>
            </w:pPr>
            <w:r>
              <w:rPr>
                <w:rFonts w:hint="eastAsia" w:ascii="宋体" w:cs="宋体"/>
                <w:color w:val="auto"/>
                <w:highlight w:val="none"/>
              </w:rPr>
              <w:t>报价部分</w:t>
            </w:r>
          </w:p>
        </w:tc>
        <w:tc>
          <w:tcPr>
            <w:tcW w:w="4050" w:type="dxa"/>
            <w:tcBorders>
              <w:top w:val="single" w:color="000000" w:sz="4" w:space="0"/>
              <w:left w:val="single" w:color="000000" w:sz="4" w:space="0"/>
              <w:bottom w:val="single" w:color="000000" w:sz="4" w:space="0"/>
              <w:right w:val="single" w:color="000000" w:sz="4" w:space="0"/>
            </w:tcBorders>
            <w:vAlign w:val="center"/>
          </w:tcPr>
          <w:p w14:paraId="255433C1">
            <w:pPr>
              <w:jc w:val="center"/>
              <w:rPr>
                <w:rFonts w:ascii="宋体" w:cs="宋体"/>
                <w:color w:val="auto"/>
                <w:highlight w:val="none"/>
              </w:rPr>
            </w:pPr>
            <w:r>
              <w:rPr>
                <w:rFonts w:hint="eastAsia" w:ascii="宋体" w:cs="宋体"/>
                <w:color w:val="auto"/>
                <w:highlight w:val="none"/>
                <w:lang w:val="en-US" w:eastAsia="zh-CN"/>
              </w:rPr>
              <w:t>30</w:t>
            </w:r>
            <w:r>
              <w:rPr>
                <w:rFonts w:hint="eastAsia" w:ascii="宋体" w:cs="宋体"/>
                <w:color w:val="auto"/>
                <w:highlight w:val="none"/>
              </w:rPr>
              <w:t>分</w:t>
            </w:r>
          </w:p>
        </w:tc>
      </w:tr>
    </w:tbl>
    <w:p w14:paraId="26109E5B">
      <w:pPr>
        <w:rPr>
          <w:color w:val="auto"/>
          <w:highlight w:val="none"/>
        </w:rPr>
      </w:pPr>
    </w:p>
    <w:p w14:paraId="12CB542C">
      <w:pPr>
        <w:numPr>
          <w:ilvl w:val="0"/>
          <w:numId w:val="6"/>
        </w:numPr>
        <w:adjustRightInd w:val="0"/>
        <w:snapToGrid w:val="0"/>
        <w:outlineLvl w:val="0"/>
        <w:rPr>
          <w:rFonts w:ascii="宋体"/>
          <w:b/>
          <w:bCs/>
          <w:color w:val="auto"/>
          <w:highlight w:val="none"/>
        </w:rPr>
      </w:pPr>
      <w:r>
        <w:rPr>
          <w:rFonts w:hint="eastAsia" w:ascii="宋体"/>
          <w:b/>
          <w:bCs/>
          <w:color w:val="auto"/>
          <w:highlight w:val="none"/>
        </w:rPr>
        <w:t xml:space="preserve"> 综合评分表</w:t>
      </w:r>
    </w:p>
    <w:tbl>
      <w:tblPr>
        <w:tblStyle w:val="33"/>
        <w:tblW w:w="93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35"/>
        <w:gridCol w:w="822"/>
        <w:gridCol w:w="6431"/>
      </w:tblGrid>
      <w:tr w14:paraId="6B3452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86" w:type="dxa"/>
            <w:noWrap w:val="0"/>
            <w:vAlign w:val="center"/>
          </w:tcPr>
          <w:p w14:paraId="0D280C20">
            <w:pPr>
              <w:jc w:val="center"/>
              <w:rPr>
                <w:rFonts w:ascii="宋体" w:hAnsi="宋体" w:cs="宋体"/>
                <w:b/>
                <w:bCs/>
                <w:color w:val="auto"/>
                <w:szCs w:val="21"/>
                <w:highlight w:val="none"/>
              </w:rPr>
            </w:pPr>
            <w:r>
              <w:rPr>
                <w:rFonts w:hint="eastAsia" w:ascii="宋体" w:hAnsi="宋体" w:cs="宋体"/>
                <w:b/>
                <w:bCs/>
                <w:color w:val="auto"/>
                <w:szCs w:val="21"/>
                <w:highlight w:val="none"/>
              </w:rPr>
              <w:t>评审类别</w:t>
            </w:r>
          </w:p>
        </w:tc>
        <w:tc>
          <w:tcPr>
            <w:tcW w:w="1435" w:type="dxa"/>
            <w:noWrap w:val="0"/>
            <w:vAlign w:val="center"/>
          </w:tcPr>
          <w:p w14:paraId="1A3A6E49">
            <w:pPr>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822" w:type="dxa"/>
            <w:noWrap w:val="0"/>
            <w:vAlign w:val="center"/>
          </w:tcPr>
          <w:p w14:paraId="5F88D040">
            <w:pPr>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6431" w:type="dxa"/>
            <w:noWrap w:val="0"/>
            <w:vAlign w:val="center"/>
          </w:tcPr>
          <w:p w14:paraId="24284C21">
            <w:pPr>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221BDF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Merge w:val="restart"/>
            <w:noWrap w:val="0"/>
            <w:vAlign w:val="center"/>
          </w:tcPr>
          <w:p w14:paraId="55DB36FE">
            <w:pPr>
              <w:tabs>
                <w:tab w:val="left" w:pos="1988"/>
              </w:tabs>
              <w:spacing w:line="240" w:lineRule="auto"/>
              <w:jc w:val="center"/>
              <w:rPr>
                <w:rFonts w:ascii="宋体" w:hAnsi="宋体" w:cs="宋体"/>
                <w:b/>
                <w:bCs/>
                <w:color w:val="auto"/>
                <w:szCs w:val="21"/>
                <w:highlight w:val="none"/>
              </w:rPr>
            </w:pPr>
            <w:r>
              <w:rPr>
                <w:rFonts w:hint="eastAsia" w:ascii="宋体" w:hAnsi="宋体" w:eastAsia="宋体" w:cs="宋体"/>
                <w:b/>
                <w:bCs/>
                <w:color w:val="auto"/>
                <w:sz w:val="21"/>
                <w:szCs w:val="21"/>
                <w:highlight w:val="none"/>
              </w:rPr>
              <w:t>商务部分(</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c>
          <w:tcPr>
            <w:tcW w:w="1435" w:type="dxa"/>
            <w:noWrap w:val="0"/>
            <w:vAlign w:val="center"/>
          </w:tcPr>
          <w:p w14:paraId="3C4417B1">
            <w:pPr>
              <w:tabs>
                <w:tab w:val="left" w:pos="0"/>
              </w:tabs>
              <w:spacing w:line="28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类似业绩</w:t>
            </w:r>
          </w:p>
        </w:tc>
        <w:tc>
          <w:tcPr>
            <w:tcW w:w="822" w:type="dxa"/>
            <w:noWrap w:val="0"/>
            <w:vAlign w:val="center"/>
          </w:tcPr>
          <w:p w14:paraId="011104CB">
            <w:pPr>
              <w:tabs>
                <w:tab w:val="left" w:pos="0"/>
              </w:tabs>
              <w:spacing w:line="28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9分</w:t>
            </w:r>
          </w:p>
        </w:tc>
        <w:tc>
          <w:tcPr>
            <w:tcW w:w="6431" w:type="dxa"/>
            <w:noWrap w:val="0"/>
            <w:vAlign w:val="center"/>
          </w:tcPr>
          <w:p w14:paraId="3C5C9811">
            <w:pPr>
              <w:spacing w:line="240" w:lineRule="auto"/>
              <w:jc w:val="left"/>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供应商自202</w:t>
            </w:r>
            <w:r>
              <w:rPr>
                <w:rFonts w:hint="eastAsia" w:ascii="宋体" w:hAnsi="宋体" w:cs="宋体"/>
                <w:i w:val="0"/>
                <w:iCs w:val="0"/>
                <w:color w:val="auto"/>
                <w:highlight w:val="none"/>
                <w:lang w:val="en-US" w:eastAsia="zh-CN"/>
              </w:rPr>
              <w:t>3</w:t>
            </w:r>
            <w:r>
              <w:rPr>
                <w:rFonts w:hint="eastAsia" w:ascii="宋体" w:hAnsi="宋体" w:eastAsia="宋体" w:cs="宋体"/>
                <w:i w:val="0"/>
                <w:iCs w:val="0"/>
                <w:color w:val="auto"/>
                <w:highlight w:val="none"/>
                <w:lang w:val="en-US" w:eastAsia="zh-CN"/>
              </w:rPr>
              <w:t>年</w:t>
            </w:r>
            <w:r>
              <w:rPr>
                <w:rFonts w:hint="eastAsia" w:ascii="宋体" w:hAnsi="宋体" w:cs="宋体"/>
                <w:i w:val="0"/>
                <w:iCs w:val="0"/>
                <w:color w:val="auto"/>
                <w:highlight w:val="none"/>
                <w:lang w:val="en-US" w:eastAsia="zh-CN"/>
              </w:rPr>
              <w:t>7</w:t>
            </w:r>
            <w:r>
              <w:rPr>
                <w:rFonts w:hint="eastAsia" w:ascii="宋体" w:hAnsi="宋体" w:eastAsia="宋体" w:cs="宋体"/>
                <w:i w:val="0"/>
                <w:iCs w:val="0"/>
                <w:color w:val="auto"/>
                <w:highlight w:val="none"/>
                <w:lang w:val="en-US" w:eastAsia="zh-CN"/>
              </w:rPr>
              <w:t>月1日以来(以合同签订时间为准)</w:t>
            </w:r>
            <w:r>
              <w:rPr>
                <w:rFonts w:hint="eastAsia" w:ascii="宋体" w:hAnsi="宋体" w:cs="宋体"/>
                <w:i w:val="0"/>
                <w:iCs w:val="0"/>
                <w:color w:val="auto"/>
                <w:highlight w:val="none"/>
                <w:lang w:val="en-US" w:eastAsia="zh-CN"/>
              </w:rPr>
              <w:t>具有</w:t>
            </w:r>
            <w:r>
              <w:rPr>
                <w:rFonts w:hint="eastAsia" w:ascii="宋体" w:hAnsi="宋体" w:eastAsia="宋体" w:cs="宋体"/>
                <w:i w:val="0"/>
                <w:iCs w:val="0"/>
                <w:color w:val="auto"/>
                <w:highlight w:val="none"/>
                <w:lang w:val="en-US" w:eastAsia="zh-CN"/>
              </w:rPr>
              <w:t>类似</w:t>
            </w:r>
            <w:r>
              <w:rPr>
                <w:rFonts w:hint="eastAsia" w:ascii="宋体" w:hAnsi="宋体" w:cs="宋体"/>
                <w:i w:val="0"/>
                <w:iCs w:val="0"/>
                <w:color w:val="auto"/>
                <w:highlight w:val="none"/>
                <w:lang w:val="en-US" w:eastAsia="zh-CN"/>
              </w:rPr>
              <w:t>工程</w:t>
            </w:r>
            <w:r>
              <w:rPr>
                <w:rFonts w:hint="eastAsia" w:ascii="宋体" w:hAnsi="宋体" w:eastAsia="宋体" w:cs="宋体"/>
                <w:i w:val="0"/>
                <w:iCs w:val="0"/>
                <w:color w:val="auto"/>
                <w:highlight w:val="none"/>
                <w:lang w:val="en-US" w:eastAsia="zh-CN"/>
              </w:rPr>
              <w:t>项目业绩的，每个计3分，最多计9分。</w:t>
            </w:r>
          </w:p>
          <w:p w14:paraId="5F7B0342">
            <w:pPr>
              <w:spacing w:line="240" w:lineRule="auto"/>
              <w:jc w:val="left"/>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注</w:t>
            </w:r>
            <w:r>
              <w:rPr>
                <w:rFonts w:hint="eastAsia" w:ascii="宋体" w:hAnsi="宋体" w:cs="宋体"/>
                <w:i w:val="0"/>
                <w:iCs w:val="0"/>
                <w:color w:val="auto"/>
                <w:highlight w:val="none"/>
                <w:lang w:val="en-US" w:eastAsia="zh-CN"/>
              </w:rPr>
              <w:t>：</w:t>
            </w:r>
            <w:r>
              <w:rPr>
                <w:rFonts w:hint="eastAsia" w:ascii="宋体" w:hAnsi="宋体" w:eastAsia="宋体" w:cs="宋体"/>
                <w:i w:val="0"/>
                <w:iCs w:val="0"/>
                <w:color w:val="auto"/>
                <w:highlight w:val="none"/>
                <w:lang w:val="en-US" w:eastAsia="zh-CN"/>
              </w:rPr>
              <w:t>须提供合同复印件</w:t>
            </w:r>
            <w:r>
              <w:rPr>
                <w:rFonts w:hint="eastAsia" w:ascii="宋体" w:hAnsi="宋体" w:cs="宋体"/>
                <w:i w:val="0"/>
                <w:iCs w:val="0"/>
                <w:color w:val="auto"/>
                <w:highlight w:val="none"/>
                <w:lang w:val="en-US" w:eastAsia="zh-CN"/>
              </w:rPr>
              <w:t>并加盖供应商公章，否则不计分</w:t>
            </w:r>
            <w:r>
              <w:rPr>
                <w:rFonts w:hint="eastAsia" w:ascii="宋体" w:hAnsi="宋体" w:eastAsia="宋体" w:cs="宋体"/>
                <w:i w:val="0"/>
                <w:iCs w:val="0"/>
                <w:color w:val="auto"/>
                <w:highlight w:val="none"/>
                <w:lang w:val="en-US" w:eastAsia="zh-CN"/>
              </w:rPr>
              <w:t>。</w:t>
            </w:r>
          </w:p>
        </w:tc>
      </w:tr>
      <w:tr w14:paraId="1C4F9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 w:type="dxa"/>
            <w:vMerge w:val="continue"/>
            <w:noWrap w:val="0"/>
            <w:vAlign w:val="center"/>
          </w:tcPr>
          <w:p w14:paraId="5684DEBD">
            <w:pPr>
              <w:tabs>
                <w:tab w:val="left" w:pos="1988"/>
              </w:tabs>
              <w:spacing w:line="240" w:lineRule="auto"/>
              <w:rPr>
                <w:rFonts w:ascii="宋体" w:hAnsi="宋体" w:cs="宋体"/>
                <w:color w:val="auto"/>
                <w:szCs w:val="21"/>
                <w:highlight w:val="none"/>
              </w:rPr>
            </w:pPr>
          </w:p>
        </w:tc>
        <w:tc>
          <w:tcPr>
            <w:tcW w:w="1435" w:type="dxa"/>
            <w:vMerge w:val="restart"/>
            <w:noWrap w:val="0"/>
            <w:vAlign w:val="center"/>
          </w:tcPr>
          <w:p w14:paraId="2A713D5C">
            <w:pPr>
              <w:tabs>
                <w:tab w:val="left" w:pos="0"/>
              </w:tabs>
              <w:spacing w:line="280" w:lineRule="exact"/>
              <w:jc w:val="center"/>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综合实力</w:t>
            </w:r>
          </w:p>
        </w:tc>
        <w:tc>
          <w:tcPr>
            <w:tcW w:w="822" w:type="dxa"/>
            <w:noWrap w:val="0"/>
            <w:vAlign w:val="center"/>
          </w:tcPr>
          <w:p w14:paraId="2C02B254">
            <w:pPr>
              <w:tabs>
                <w:tab w:val="left" w:pos="0"/>
              </w:tabs>
              <w:spacing w:line="280" w:lineRule="exact"/>
              <w:jc w:val="center"/>
              <w:rPr>
                <w:rFonts w:hint="eastAsia" w:ascii="宋体" w:hAnsi="宋体" w:eastAsia="宋体"/>
                <w:bCs/>
                <w:strike/>
                <w:dstrike w:val="0"/>
                <w:color w:val="auto"/>
                <w:szCs w:val="21"/>
                <w:highlight w:val="none"/>
                <w:lang w:val="en-US" w:eastAsia="zh-CN"/>
              </w:rPr>
            </w:pPr>
            <w:r>
              <w:rPr>
                <w:rFonts w:hint="eastAsia" w:ascii="宋体" w:hAnsi="宋体"/>
                <w:bCs/>
                <w:strike w:val="0"/>
                <w:dstrike w:val="0"/>
                <w:color w:val="auto"/>
                <w:szCs w:val="21"/>
                <w:highlight w:val="none"/>
                <w:lang w:val="en-US" w:eastAsia="zh-CN"/>
              </w:rPr>
              <w:t>8</w:t>
            </w:r>
            <w:r>
              <w:rPr>
                <w:rFonts w:hint="eastAsia" w:ascii="宋体" w:hAnsi="宋体" w:eastAsia="宋体"/>
                <w:bCs/>
                <w:strike w:val="0"/>
                <w:dstrike w:val="0"/>
                <w:color w:val="auto"/>
                <w:szCs w:val="21"/>
                <w:highlight w:val="none"/>
                <w:lang w:val="en-US" w:eastAsia="zh-CN"/>
              </w:rPr>
              <w:t>分</w:t>
            </w:r>
          </w:p>
        </w:tc>
        <w:tc>
          <w:tcPr>
            <w:tcW w:w="6431" w:type="dxa"/>
            <w:noWrap w:val="0"/>
            <w:vAlign w:val="center"/>
          </w:tcPr>
          <w:p w14:paraId="1B43E3BA">
            <w:pPr>
              <w:spacing w:line="240" w:lineRule="auto"/>
              <w:jc w:val="left"/>
              <w:rPr>
                <w:rFonts w:hint="eastAsia" w:ascii="宋体" w:hAnsi="宋体" w:eastAsia="宋体" w:cs="宋体"/>
                <w:i w:val="0"/>
                <w:iCs w:val="0"/>
                <w:color w:val="auto"/>
                <w:highlight w:val="none"/>
                <w:lang w:val="en-US" w:eastAsia="zh-Hans"/>
              </w:rPr>
            </w:pP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lang w:val="en-US" w:eastAsia="en-US"/>
              </w:rPr>
              <w:t>拟</w:t>
            </w:r>
            <w:r>
              <w:rPr>
                <w:rFonts w:hint="eastAsia" w:ascii="宋体" w:hAnsi="宋体" w:eastAsia="宋体" w:cs="宋体"/>
                <w:i w:val="0"/>
                <w:iCs w:val="0"/>
                <w:color w:val="auto"/>
                <w:highlight w:val="none"/>
                <w:lang w:val="en-US" w:eastAsia="zh-CN"/>
              </w:rPr>
              <w:t>派</w:t>
            </w:r>
            <w:r>
              <w:rPr>
                <w:rFonts w:hint="eastAsia" w:ascii="宋体" w:hAnsi="宋体" w:eastAsia="宋体" w:cs="宋体"/>
                <w:color w:val="auto"/>
                <w:szCs w:val="21"/>
                <w:highlight w:val="none"/>
              </w:rPr>
              <w:t>项目负责人（项目经理）</w:t>
            </w:r>
            <w:r>
              <w:rPr>
                <w:rFonts w:hint="eastAsia" w:ascii="宋体" w:hAnsi="宋体" w:eastAsia="宋体" w:cs="宋体"/>
                <w:i w:val="0"/>
                <w:iCs w:val="0"/>
                <w:color w:val="auto"/>
                <w:highlight w:val="none"/>
                <w:lang w:val="en-US" w:eastAsia="zh-CN"/>
              </w:rPr>
              <w:t>自202</w:t>
            </w:r>
            <w:r>
              <w:rPr>
                <w:rFonts w:hint="eastAsia" w:ascii="宋体" w:hAnsi="宋体" w:cs="宋体"/>
                <w:i w:val="0"/>
                <w:iCs w:val="0"/>
                <w:color w:val="auto"/>
                <w:highlight w:val="none"/>
                <w:lang w:val="en-US" w:eastAsia="zh-CN"/>
              </w:rPr>
              <w:t>3</w:t>
            </w:r>
            <w:r>
              <w:rPr>
                <w:rFonts w:hint="eastAsia" w:ascii="宋体" w:hAnsi="宋体" w:eastAsia="宋体" w:cs="宋体"/>
                <w:i w:val="0"/>
                <w:iCs w:val="0"/>
                <w:color w:val="auto"/>
                <w:highlight w:val="none"/>
                <w:lang w:val="en-US" w:eastAsia="zh-CN"/>
              </w:rPr>
              <w:t>年</w:t>
            </w:r>
            <w:r>
              <w:rPr>
                <w:rFonts w:hint="eastAsia" w:ascii="宋体" w:hAnsi="宋体" w:cs="宋体"/>
                <w:i w:val="0"/>
                <w:iCs w:val="0"/>
                <w:color w:val="auto"/>
                <w:highlight w:val="none"/>
                <w:lang w:val="en-US" w:eastAsia="zh-CN"/>
              </w:rPr>
              <w:t>7</w:t>
            </w:r>
            <w:r>
              <w:rPr>
                <w:rFonts w:hint="eastAsia" w:ascii="宋体" w:hAnsi="宋体" w:eastAsia="宋体" w:cs="宋体"/>
                <w:i w:val="0"/>
                <w:iCs w:val="0"/>
                <w:color w:val="auto"/>
                <w:highlight w:val="none"/>
                <w:lang w:val="en-US" w:eastAsia="zh-CN"/>
              </w:rPr>
              <w:t>月1日以来(以合同签订时间为准)</w:t>
            </w:r>
            <w:r>
              <w:rPr>
                <w:rFonts w:hint="eastAsia" w:ascii="宋体" w:hAnsi="宋体" w:eastAsia="宋体" w:cs="宋体"/>
                <w:i w:val="0"/>
                <w:iCs w:val="0"/>
                <w:color w:val="auto"/>
                <w:highlight w:val="none"/>
                <w:lang w:val="en-US" w:eastAsia="zh-Hans"/>
              </w:rPr>
              <w:t>承担过类似工程业绩的，每提供一个计</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en-US" w:eastAsia="zh-Hans"/>
              </w:rPr>
              <w:t>分，本项最多计</w:t>
            </w:r>
            <w:r>
              <w:rPr>
                <w:rFonts w:hint="eastAsia" w:ascii="宋体" w:hAnsi="宋体" w:eastAsia="宋体" w:cs="宋体"/>
                <w:i w:val="0"/>
                <w:iCs w:val="0"/>
                <w:color w:val="auto"/>
                <w:highlight w:val="none"/>
                <w:lang w:val="en-US" w:eastAsia="zh-CN"/>
              </w:rPr>
              <w:t>8</w:t>
            </w:r>
            <w:r>
              <w:rPr>
                <w:rFonts w:hint="eastAsia" w:ascii="宋体" w:hAnsi="宋体" w:eastAsia="宋体" w:cs="宋体"/>
                <w:i w:val="0"/>
                <w:iCs w:val="0"/>
                <w:color w:val="auto"/>
                <w:highlight w:val="none"/>
                <w:lang w:val="en-US" w:eastAsia="zh-Hans"/>
              </w:rPr>
              <w:t>分。</w:t>
            </w:r>
          </w:p>
          <w:p w14:paraId="0028673C">
            <w:pPr>
              <w:spacing w:line="240" w:lineRule="auto"/>
              <w:jc w:val="left"/>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Hans"/>
              </w:rPr>
              <w:t>注：提供合同复印件</w:t>
            </w:r>
            <w:r>
              <w:rPr>
                <w:rFonts w:hint="eastAsia" w:ascii="宋体" w:hAnsi="宋体" w:eastAsia="宋体" w:cs="宋体"/>
                <w:i w:val="0"/>
                <w:iCs w:val="0"/>
                <w:color w:val="auto"/>
                <w:highlight w:val="none"/>
                <w:lang w:val="en-US" w:eastAsia="zh-CN"/>
              </w:rPr>
              <w:t>，合同</w:t>
            </w:r>
            <w:r>
              <w:rPr>
                <w:rFonts w:hint="eastAsia" w:ascii="宋体" w:hAnsi="宋体" w:eastAsia="宋体" w:cs="宋体"/>
                <w:i w:val="0"/>
                <w:iCs w:val="0"/>
                <w:color w:val="auto"/>
                <w:highlight w:val="none"/>
                <w:lang w:val="en-US" w:eastAsia="zh-Hans"/>
              </w:rPr>
              <w:t>不能体现拟任项目负责人相关信息的，还须提供</w:t>
            </w:r>
            <w:r>
              <w:rPr>
                <w:rFonts w:hint="eastAsia" w:ascii="宋体" w:hAnsi="宋体" w:eastAsia="宋体" w:cs="宋体"/>
                <w:i w:val="0"/>
                <w:iCs w:val="0"/>
                <w:color w:val="auto"/>
                <w:highlight w:val="none"/>
                <w:lang w:val="en-US" w:eastAsia="zh-CN"/>
              </w:rPr>
              <w:t>有项目负责人名字的竣工验收资料或甲方单位</w:t>
            </w:r>
            <w:r>
              <w:rPr>
                <w:rFonts w:hint="eastAsia" w:ascii="宋体" w:hAnsi="宋体" w:eastAsia="宋体" w:cs="宋体"/>
                <w:i w:val="0"/>
                <w:iCs w:val="0"/>
                <w:color w:val="auto"/>
                <w:highlight w:val="none"/>
                <w:lang w:val="en-US" w:eastAsia="zh-Hans"/>
              </w:rPr>
              <w:t>为拟任项目负责人</w:t>
            </w:r>
            <w:r>
              <w:rPr>
                <w:rFonts w:hint="eastAsia" w:ascii="宋体" w:hAnsi="宋体" w:eastAsia="宋体" w:cs="宋体"/>
                <w:i w:val="0"/>
                <w:iCs w:val="0"/>
                <w:color w:val="auto"/>
                <w:highlight w:val="none"/>
                <w:lang w:val="en-US" w:eastAsia="zh-CN"/>
              </w:rPr>
              <w:t>出具</w:t>
            </w:r>
            <w:r>
              <w:rPr>
                <w:rFonts w:hint="eastAsia" w:ascii="宋体" w:hAnsi="宋体" w:eastAsia="宋体" w:cs="宋体"/>
                <w:i w:val="0"/>
                <w:iCs w:val="0"/>
                <w:color w:val="auto"/>
                <w:highlight w:val="none"/>
                <w:lang w:val="en-US" w:eastAsia="zh-Hans"/>
              </w:rPr>
              <w:t>的证明</w:t>
            </w:r>
            <w:r>
              <w:rPr>
                <w:rFonts w:hint="eastAsia" w:ascii="宋体" w:hAnsi="宋体" w:eastAsia="宋体" w:cs="宋体"/>
                <w:i w:val="0"/>
                <w:iCs w:val="0"/>
                <w:color w:val="auto"/>
                <w:highlight w:val="none"/>
                <w:lang w:val="en-US" w:eastAsia="zh-CN"/>
              </w:rPr>
              <w:t>等其他证明资料</w:t>
            </w:r>
            <w:r>
              <w:rPr>
                <w:rFonts w:hint="eastAsia" w:ascii="宋体" w:hAnsi="宋体" w:eastAsia="宋体" w:cs="宋体"/>
                <w:i w:val="0"/>
                <w:iCs w:val="0"/>
                <w:color w:val="auto"/>
                <w:highlight w:val="none"/>
                <w:lang w:val="en-US" w:eastAsia="zh-Hans"/>
              </w:rPr>
              <w:t>，并加盖供应商公章，否则不计分。</w:t>
            </w:r>
          </w:p>
        </w:tc>
      </w:tr>
      <w:tr w14:paraId="293C4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Merge w:val="continue"/>
            <w:noWrap w:val="0"/>
            <w:vAlign w:val="center"/>
          </w:tcPr>
          <w:p w14:paraId="158010C9">
            <w:pPr>
              <w:tabs>
                <w:tab w:val="left" w:pos="1988"/>
              </w:tabs>
              <w:spacing w:line="240" w:lineRule="auto"/>
              <w:rPr>
                <w:rFonts w:ascii="宋体" w:hAnsi="宋体" w:cs="宋体"/>
                <w:color w:val="auto"/>
                <w:szCs w:val="21"/>
                <w:highlight w:val="none"/>
              </w:rPr>
            </w:pPr>
          </w:p>
        </w:tc>
        <w:tc>
          <w:tcPr>
            <w:tcW w:w="1435" w:type="dxa"/>
            <w:vMerge w:val="continue"/>
            <w:noWrap w:val="0"/>
            <w:vAlign w:val="center"/>
          </w:tcPr>
          <w:p w14:paraId="396A07D2">
            <w:pPr>
              <w:tabs>
                <w:tab w:val="left" w:pos="0"/>
              </w:tabs>
              <w:spacing w:line="280" w:lineRule="exact"/>
              <w:jc w:val="center"/>
              <w:rPr>
                <w:rFonts w:hint="default" w:ascii="宋体" w:hAnsi="宋体" w:eastAsia="宋体"/>
                <w:bCs/>
                <w:color w:val="auto"/>
                <w:szCs w:val="21"/>
                <w:highlight w:val="none"/>
                <w:lang w:val="en-US" w:eastAsia="zh-CN"/>
              </w:rPr>
            </w:pPr>
          </w:p>
        </w:tc>
        <w:tc>
          <w:tcPr>
            <w:tcW w:w="822" w:type="dxa"/>
            <w:noWrap w:val="0"/>
            <w:vAlign w:val="center"/>
          </w:tcPr>
          <w:p w14:paraId="78D127F8">
            <w:pPr>
              <w:tabs>
                <w:tab w:val="left" w:pos="0"/>
              </w:tabs>
              <w:spacing w:line="280" w:lineRule="exact"/>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3分</w:t>
            </w:r>
          </w:p>
        </w:tc>
        <w:tc>
          <w:tcPr>
            <w:tcW w:w="6431" w:type="dxa"/>
            <w:noWrap w:val="0"/>
            <w:vAlign w:val="top"/>
          </w:tcPr>
          <w:p w14:paraId="1D2504D2">
            <w:pPr>
              <w:spacing w:line="240" w:lineRule="auto"/>
              <w:jc w:val="left"/>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供应商具有有效期内质量管理体系认证证书、环境管理体系认证证书、职业健康安全管理体系认证证书的每提供1个计1分，最多计3分。</w:t>
            </w:r>
          </w:p>
          <w:p w14:paraId="1C4DB471">
            <w:pPr>
              <w:spacing w:line="240" w:lineRule="auto"/>
              <w:jc w:val="left"/>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注：证书须在有效期内，</w:t>
            </w:r>
            <w:r>
              <w:rPr>
                <w:rFonts w:hint="eastAsia" w:ascii="宋体" w:hAnsi="宋体" w:eastAsia="宋体" w:cs="宋体"/>
                <w:i w:val="0"/>
                <w:iCs w:val="0"/>
                <w:color w:val="auto"/>
                <w:highlight w:val="none"/>
                <w:lang w:val="en-US" w:eastAsia="zh-Hans"/>
              </w:rPr>
              <w:t>提供证书复印件以及对应在“全国认证认可信息公共服务平台”的证书信息查询截图</w:t>
            </w:r>
            <w:r>
              <w:rPr>
                <w:rFonts w:hint="eastAsia" w:ascii="宋体" w:hAnsi="宋体" w:eastAsia="宋体" w:cs="宋体"/>
                <w:i w:val="0"/>
                <w:iCs w:val="0"/>
                <w:color w:val="auto"/>
                <w:highlight w:val="none"/>
                <w:lang w:val="en-US" w:eastAsia="zh-CN"/>
              </w:rPr>
              <w:t>并</w:t>
            </w:r>
            <w:r>
              <w:rPr>
                <w:rFonts w:hint="eastAsia" w:ascii="宋体" w:hAnsi="宋体" w:eastAsia="宋体" w:cs="宋体"/>
                <w:i w:val="0"/>
                <w:iCs w:val="0"/>
                <w:color w:val="auto"/>
                <w:highlight w:val="none"/>
                <w:lang w:val="en-US" w:eastAsia="zh-Hans"/>
              </w:rPr>
              <w:t>加盖</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lang w:val="en-US" w:eastAsia="zh-Hans"/>
              </w:rPr>
              <w:t>公章，否则不计分。</w:t>
            </w:r>
          </w:p>
        </w:tc>
      </w:tr>
      <w:tr w14:paraId="606AB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86" w:type="dxa"/>
            <w:vMerge w:val="restart"/>
            <w:noWrap w:val="0"/>
            <w:vAlign w:val="center"/>
          </w:tcPr>
          <w:p w14:paraId="73EA2968">
            <w:pPr>
              <w:tabs>
                <w:tab w:val="left" w:pos="1988"/>
              </w:tabs>
              <w:spacing w:line="240" w:lineRule="auto"/>
              <w:jc w:val="center"/>
              <w:rPr>
                <w:rFonts w:ascii="宋体" w:hAnsi="宋体" w:cs="宋体"/>
                <w:b/>
                <w:bCs/>
                <w:color w:val="auto"/>
                <w:szCs w:val="21"/>
                <w:highlight w:val="none"/>
              </w:rPr>
            </w:pPr>
            <w:r>
              <w:rPr>
                <w:rFonts w:hint="eastAsia" w:ascii="宋体" w:hAnsi="宋体" w:eastAsia="宋体" w:cs="宋体"/>
                <w:b/>
                <w:bCs/>
                <w:color w:val="auto"/>
                <w:sz w:val="21"/>
                <w:szCs w:val="21"/>
                <w:highlight w:val="none"/>
              </w:rPr>
              <w:t>技术部分(</w:t>
            </w:r>
            <w:r>
              <w:rPr>
                <w:rFonts w:hint="eastAsia" w:ascii="宋体" w:hAnsi="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c>
          <w:tcPr>
            <w:tcW w:w="1435" w:type="dxa"/>
            <w:noWrap w:val="0"/>
            <w:vAlign w:val="center"/>
          </w:tcPr>
          <w:p w14:paraId="690E0C42">
            <w:pPr>
              <w:tabs>
                <w:tab w:val="left" w:pos="0"/>
              </w:tabs>
              <w:spacing w:line="28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施工方案</w:t>
            </w:r>
          </w:p>
        </w:tc>
        <w:tc>
          <w:tcPr>
            <w:tcW w:w="822" w:type="dxa"/>
            <w:tcBorders>
              <w:bottom w:val="single" w:color="auto" w:sz="4" w:space="0"/>
            </w:tcBorders>
            <w:noWrap w:val="0"/>
            <w:vAlign w:val="center"/>
          </w:tcPr>
          <w:p w14:paraId="16E0BCE5">
            <w:pPr>
              <w:tabs>
                <w:tab w:val="left" w:pos="0"/>
              </w:tabs>
              <w:spacing w:line="28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12分</w:t>
            </w:r>
          </w:p>
        </w:tc>
        <w:tc>
          <w:tcPr>
            <w:tcW w:w="6431" w:type="dxa"/>
            <w:tcBorders>
              <w:bottom w:val="single" w:color="auto" w:sz="4" w:space="0"/>
            </w:tcBorders>
            <w:noWrap w:val="0"/>
            <w:vAlign w:val="center"/>
          </w:tcPr>
          <w:p w14:paraId="417B72DE">
            <w:pPr>
              <w:spacing w:line="240" w:lineRule="auto"/>
              <w:jc w:val="left"/>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rPr>
              <w:t>供应商根据本项目提供</w:t>
            </w:r>
            <w:r>
              <w:rPr>
                <w:rFonts w:hint="eastAsia" w:ascii="宋体" w:hAnsi="宋体" w:eastAsia="宋体" w:cs="宋体"/>
                <w:b w:val="0"/>
                <w:bCs/>
                <w:color w:val="auto"/>
                <w:spacing w:val="0"/>
                <w:sz w:val="21"/>
                <w:szCs w:val="21"/>
                <w:highlight w:val="none"/>
                <w:lang w:eastAsia="zh-CN"/>
              </w:rPr>
              <w:t>施工方案，包括</w:t>
            </w:r>
            <w:r>
              <w:rPr>
                <w:rFonts w:hint="eastAsia" w:ascii="宋体" w:hAnsi="宋体" w:eastAsia="宋体" w:cs="宋体"/>
                <w:b w:val="0"/>
                <w:bCs/>
                <w:color w:val="auto"/>
                <w:spacing w:val="0"/>
                <w:sz w:val="21"/>
                <w:szCs w:val="21"/>
                <w:highlight w:val="none"/>
                <w:lang w:val="en-US" w:eastAsia="zh-CN"/>
              </w:rPr>
              <w:t>但不限于：①</w:t>
            </w:r>
            <w:r>
              <w:rPr>
                <w:rFonts w:hint="eastAsia" w:ascii="宋体" w:hAnsi="宋体" w:eastAsia="宋体" w:cs="宋体"/>
                <w:b w:val="0"/>
                <w:bCs/>
                <w:color w:val="auto"/>
                <w:spacing w:val="0"/>
                <w:sz w:val="21"/>
                <w:szCs w:val="21"/>
                <w:highlight w:val="none"/>
                <w:lang w:eastAsia="zh-CN"/>
              </w:rPr>
              <w:t>对项目总体概况的表述；②施工</w:t>
            </w:r>
            <w:r>
              <w:rPr>
                <w:rFonts w:hint="eastAsia" w:ascii="宋体" w:hAnsi="宋体" w:eastAsia="宋体" w:cs="宋体"/>
                <w:b w:val="0"/>
                <w:bCs/>
                <w:color w:val="auto"/>
                <w:spacing w:val="0"/>
                <w:sz w:val="21"/>
                <w:szCs w:val="21"/>
                <w:highlight w:val="none"/>
                <w:lang w:val="en-US" w:eastAsia="zh-CN"/>
              </w:rPr>
              <w:t>具体</w:t>
            </w:r>
            <w:r>
              <w:rPr>
                <w:rFonts w:hint="eastAsia" w:ascii="宋体" w:hAnsi="宋体" w:eastAsia="宋体" w:cs="宋体"/>
                <w:b w:val="0"/>
                <w:bCs/>
                <w:color w:val="auto"/>
                <w:spacing w:val="0"/>
                <w:sz w:val="21"/>
                <w:szCs w:val="21"/>
                <w:highlight w:val="none"/>
                <w:lang w:eastAsia="zh-CN"/>
              </w:rPr>
              <w:t>部署</w:t>
            </w:r>
            <w:r>
              <w:rPr>
                <w:rFonts w:hint="eastAsia" w:ascii="宋体" w:hAnsi="宋体" w:eastAsia="宋体" w:cs="宋体"/>
                <w:b w:val="0"/>
                <w:bCs/>
                <w:color w:val="auto"/>
                <w:spacing w:val="0"/>
                <w:sz w:val="21"/>
                <w:szCs w:val="21"/>
                <w:highlight w:val="none"/>
                <w:lang w:val="en-US" w:eastAsia="zh-CN"/>
              </w:rPr>
              <w:t>及施工方案</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lang w:val="en-US" w:eastAsia="zh-CN"/>
              </w:rPr>
              <w:t>③</w:t>
            </w:r>
            <w:r>
              <w:rPr>
                <w:rFonts w:hint="eastAsia" w:ascii="宋体" w:hAnsi="宋体" w:eastAsia="宋体" w:cs="宋体"/>
                <w:b w:val="0"/>
                <w:bCs/>
                <w:color w:val="auto"/>
                <w:spacing w:val="0"/>
                <w:sz w:val="21"/>
                <w:szCs w:val="21"/>
                <w:highlight w:val="none"/>
              </w:rPr>
              <w:t>项目实施难点及关键点分析；④</w:t>
            </w:r>
            <w:r>
              <w:rPr>
                <w:rFonts w:hint="eastAsia" w:ascii="宋体" w:hAnsi="宋体" w:eastAsia="宋体" w:cs="宋体"/>
                <w:b w:val="0"/>
                <w:bCs/>
                <w:color w:val="auto"/>
                <w:spacing w:val="0"/>
                <w:sz w:val="21"/>
                <w:szCs w:val="21"/>
                <w:highlight w:val="none"/>
                <w:lang w:eastAsia="zh-CN"/>
              </w:rPr>
              <w:t>对</w:t>
            </w:r>
            <w:r>
              <w:rPr>
                <w:rFonts w:hint="eastAsia" w:ascii="宋体" w:hAnsi="宋体" w:eastAsia="宋体" w:cs="宋体"/>
                <w:b w:val="0"/>
                <w:bCs/>
                <w:color w:val="auto"/>
                <w:spacing w:val="0"/>
                <w:sz w:val="21"/>
                <w:szCs w:val="21"/>
                <w:highlight w:val="none"/>
              </w:rPr>
              <w:t>实施难点及关键点</w:t>
            </w:r>
            <w:r>
              <w:rPr>
                <w:rFonts w:hint="eastAsia" w:ascii="宋体" w:hAnsi="宋体" w:eastAsia="宋体" w:cs="宋体"/>
                <w:b w:val="0"/>
                <w:bCs/>
                <w:color w:val="auto"/>
                <w:spacing w:val="0"/>
                <w:sz w:val="21"/>
                <w:szCs w:val="21"/>
                <w:highlight w:val="none"/>
                <w:lang w:eastAsia="zh-CN"/>
              </w:rPr>
              <w:t>问题的解决方案</w:t>
            </w:r>
            <w:r>
              <w:rPr>
                <w:rFonts w:hint="eastAsia" w:ascii="宋体" w:hAnsi="宋体" w:eastAsia="宋体" w:cs="宋体"/>
                <w:b w:val="0"/>
                <w:bCs/>
                <w:color w:val="auto"/>
                <w:spacing w:val="0"/>
                <w:sz w:val="21"/>
                <w:szCs w:val="21"/>
                <w:highlight w:val="none"/>
                <w:lang w:val="en-US" w:eastAsia="zh-CN"/>
              </w:rPr>
              <w:t>；</w:t>
            </w:r>
            <w:r>
              <w:rPr>
                <w:rFonts w:hint="eastAsia" w:ascii="宋体" w:hAnsi="宋体" w:eastAsia="宋体" w:cs="宋体"/>
                <w:b w:val="0"/>
                <w:bCs/>
                <w:color w:val="auto"/>
                <w:spacing w:val="0"/>
                <w:sz w:val="21"/>
                <w:szCs w:val="21"/>
                <w:highlight w:val="none"/>
                <w:lang w:eastAsia="zh-CN"/>
              </w:rPr>
              <w:t>⑤</w:t>
            </w:r>
            <w:r>
              <w:rPr>
                <w:rFonts w:hint="eastAsia" w:ascii="宋体" w:hAnsi="宋体" w:eastAsia="宋体" w:cs="宋体"/>
                <w:b w:val="0"/>
                <w:bCs/>
                <w:color w:val="auto"/>
                <w:spacing w:val="0"/>
                <w:sz w:val="21"/>
                <w:szCs w:val="21"/>
                <w:highlight w:val="none"/>
              </w:rPr>
              <w:t>主要施工顺序</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lang w:val="en-US" w:eastAsia="zh-CN"/>
              </w:rPr>
              <w:t>⑥</w:t>
            </w:r>
            <w:r>
              <w:rPr>
                <w:rFonts w:hint="eastAsia" w:ascii="宋体" w:hAnsi="宋体" w:eastAsia="宋体" w:cs="宋体"/>
                <w:b w:val="0"/>
                <w:bCs/>
                <w:color w:val="auto"/>
                <w:spacing w:val="0"/>
                <w:sz w:val="21"/>
                <w:szCs w:val="21"/>
                <w:highlight w:val="none"/>
              </w:rPr>
              <w:t>施工工艺</w:t>
            </w:r>
            <w:r>
              <w:rPr>
                <w:rFonts w:hint="eastAsia" w:ascii="宋体" w:hAnsi="宋体" w:eastAsia="宋体" w:cs="宋体"/>
                <w:b w:val="0"/>
                <w:bCs/>
                <w:color w:val="auto"/>
                <w:spacing w:val="0"/>
                <w:sz w:val="21"/>
                <w:szCs w:val="21"/>
                <w:highlight w:val="none"/>
                <w:lang w:val="en-US" w:eastAsia="zh-CN"/>
              </w:rPr>
              <w:t>及施工</w:t>
            </w:r>
            <w:r>
              <w:rPr>
                <w:rFonts w:hint="eastAsia" w:ascii="宋体" w:hAnsi="宋体" w:eastAsia="宋体" w:cs="宋体"/>
                <w:b w:val="0"/>
                <w:bCs/>
                <w:color w:val="auto"/>
                <w:spacing w:val="0"/>
                <w:sz w:val="21"/>
                <w:szCs w:val="21"/>
                <w:highlight w:val="none"/>
              </w:rPr>
              <w:t>方法。</w:t>
            </w:r>
          </w:p>
          <w:p w14:paraId="7B65CF9A">
            <w:pPr>
              <w:spacing w:line="240" w:lineRule="auto"/>
              <w:jc w:val="left"/>
              <w:rPr>
                <w:rFonts w:hint="eastAsia" w:ascii="宋体" w:hAnsi="宋体" w:eastAsia="宋体" w:cs="宋体"/>
                <w:b w:val="0"/>
                <w:bCs/>
                <w:color w:val="auto"/>
                <w:spacing w:val="0"/>
                <w:sz w:val="21"/>
                <w:szCs w:val="21"/>
                <w:highlight w:val="none"/>
                <w:lang w:eastAsia="zh-CN"/>
              </w:rPr>
            </w:pPr>
            <w:r>
              <w:rPr>
                <w:rFonts w:hint="eastAsia" w:ascii="宋体" w:hAnsi="宋体" w:eastAsia="宋体" w:cs="宋体"/>
                <w:b w:val="0"/>
                <w:bCs/>
                <w:color w:val="auto"/>
                <w:spacing w:val="0"/>
                <w:sz w:val="21"/>
                <w:szCs w:val="21"/>
                <w:highlight w:val="none"/>
              </w:rPr>
              <w:t>方案完整无缺项，详细具体，可操作性强，完全符合项目采购需求实际情况计</w:t>
            </w:r>
            <w:r>
              <w:rPr>
                <w:rFonts w:hint="eastAsia" w:ascii="宋体" w:hAnsi="宋体" w:eastAsia="宋体" w:cs="宋体"/>
                <w:b w:val="0"/>
                <w:bCs/>
                <w:color w:val="auto"/>
                <w:spacing w:val="0"/>
                <w:sz w:val="21"/>
                <w:szCs w:val="21"/>
                <w:highlight w:val="none"/>
                <w:lang w:val="en-US" w:eastAsia="zh-CN"/>
              </w:rPr>
              <w:t>12</w:t>
            </w:r>
            <w:r>
              <w:rPr>
                <w:rFonts w:hint="eastAsia" w:ascii="宋体" w:hAnsi="宋体" w:eastAsia="宋体" w:cs="宋体"/>
                <w:b w:val="0"/>
                <w:bCs/>
                <w:color w:val="auto"/>
                <w:spacing w:val="0"/>
                <w:sz w:val="21"/>
                <w:szCs w:val="21"/>
                <w:highlight w:val="none"/>
              </w:rPr>
              <w:t>分。上述内容</w:t>
            </w:r>
            <w:r>
              <w:rPr>
                <w:rFonts w:hint="eastAsia" w:ascii="宋体" w:hAnsi="宋体" w:eastAsia="宋体" w:cs="宋体"/>
                <w:b w:val="0"/>
                <w:bCs/>
                <w:color w:val="auto"/>
                <w:spacing w:val="0"/>
                <w:sz w:val="21"/>
                <w:szCs w:val="21"/>
                <w:highlight w:val="none"/>
                <w:lang w:val="zh-CN" w:eastAsia="zh-CN"/>
              </w:rPr>
              <w:t>每缺少一项要素的，扣</w:t>
            </w:r>
            <w:r>
              <w:rPr>
                <w:rFonts w:hint="eastAsia" w:ascii="宋体" w:hAnsi="宋体" w:eastAsia="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zh-CN" w:eastAsia="zh-CN"/>
              </w:rPr>
              <w:t>分；每有一处内容存在错误或缺陷的，扣</w:t>
            </w:r>
            <w:r>
              <w:rPr>
                <w:rFonts w:hint="eastAsia" w:ascii="宋体" w:hAnsi="宋体" w:eastAsia="宋体" w:cs="宋体"/>
                <w:b w:val="0"/>
                <w:bCs/>
                <w:color w:val="auto"/>
                <w:spacing w:val="0"/>
                <w:sz w:val="21"/>
                <w:szCs w:val="21"/>
                <w:highlight w:val="none"/>
                <w:lang w:val="en-US" w:eastAsia="zh-CN"/>
              </w:rPr>
              <w:t>1</w:t>
            </w:r>
            <w:r>
              <w:rPr>
                <w:rFonts w:hint="eastAsia" w:ascii="宋体" w:hAnsi="宋体" w:eastAsia="宋体" w:cs="宋体"/>
                <w:b w:val="0"/>
                <w:bCs/>
                <w:color w:val="auto"/>
                <w:spacing w:val="0"/>
                <w:sz w:val="21"/>
                <w:szCs w:val="21"/>
                <w:highlight w:val="none"/>
                <w:lang w:val="zh-CN" w:eastAsia="zh-CN"/>
              </w:rPr>
              <w:t>分，扣完为止，</w:t>
            </w:r>
            <w:r>
              <w:rPr>
                <w:rFonts w:hint="eastAsia" w:ascii="宋体" w:hAnsi="宋体" w:eastAsia="宋体" w:cs="宋体"/>
                <w:b w:val="0"/>
                <w:bCs/>
                <w:color w:val="auto"/>
                <w:spacing w:val="0"/>
                <w:sz w:val="21"/>
                <w:szCs w:val="21"/>
                <w:highlight w:val="none"/>
                <w:lang w:val="en-US" w:eastAsia="zh-CN"/>
              </w:rPr>
              <w:t>未提供的不计分</w:t>
            </w:r>
            <w:r>
              <w:rPr>
                <w:rFonts w:hint="eastAsia" w:ascii="宋体" w:hAnsi="宋体" w:eastAsia="宋体" w:cs="宋体"/>
                <w:b w:val="0"/>
                <w:bCs/>
                <w:color w:val="auto"/>
                <w:spacing w:val="0"/>
                <w:sz w:val="21"/>
                <w:szCs w:val="21"/>
                <w:highlight w:val="none"/>
                <w:lang w:val="zh-CN" w:eastAsia="zh-CN"/>
              </w:rPr>
              <w:t>。</w:t>
            </w:r>
          </w:p>
        </w:tc>
      </w:tr>
      <w:tr w14:paraId="102E2A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86" w:type="dxa"/>
            <w:vMerge w:val="continue"/>
            <w:noWrap w:val="0"/>
            <w:vAlign w:val="center"/>
          </w:tcPr>
          <w:p w14:paraId="5D69E38E">
            <w:pPr>
              <w:tabs>
                <w:tab w:val="left" w:pos="1988"/>
              </w:tabs>
              <w:spacing w:line="240" w:lineRule="auto"/>
              <w:jc w:val="center"/>
              <w:rPr>
                <w:rFonts w:ascii="宋体" w:hAnsi="宋体" w:cs="宋体"/>
                <w:color w:val="auto"/>
                <w:szCs w:val="21"/>
                <w:highlight w:val="none"/>
              </w:rPr>
            </w:pPr>
          </w:p>
        </w:tc>
        <w:tc>
          <w:tcPr>
            <w:tcW w:w="1435" w:type="dxa"/>
            <w:noWrap w:val="0"/>
            <w:vAlign w:val="center"/>
          </w:tcPr>
          <w:p w14:paraId="10B27085">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质量管理体系与措</w:t>
            </w:r>
          </w:p>
          <w:p w14:paraId="4958D8C9">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施</w:t>
            </w:r>
          </w:p>
        </w:tc>
        <w:tc>
          <w:tcPr>
            <w:tcW w:w="822" w:type="dxa"/>
            <w:tcBorders>
              <w:bottom w:val="single" w:color="auto" w:sz="4" w:space="0"/>
            </w:tcBorders>
            <w:noWrap w:val="0"/>
            <w:vAlign w:val="center"/>
          </w:tcPr>
          <w:p w14:paraId="30996849">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10分</w:t>
            </w:r>
          </w:p>
        </w:tc>
        <w:tc>
          <w:tcPr>
            <w:tcW w:w="6431" w:type="dxa"/>
            <w:tcBorders>
              <w:bottom w:val="single" w:color="auto" w:sz="4" w:space="0"/>
            </w:tcBorders>
            <w:noWrap w:val="0"/>
            <w:vAlign w:val="center"/>
          </w:tcPr>
          <w:p w14:paraId="45601184">
            <w:pPr>
              <w:spacing w:line="240" w:lineRule="auto"/>
              <w:jc w:val="left"/>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val="en-US" w:eastAsia="zh-CN"/>
              </w:rPr>
              <w:t>供应商</w:t>
            </w:r>
            <w:r>
              <w:rPr>
                <w:rFonts w:hint="eastAsia" w:ascii="宋体" w:hAnsi="宋体" w:cs="宋体"/>
                <w:i w:val="0"/>
                <w:iCs w:val="0"/>
                <w:color w:val="auto"/>
                <w:highlight w:val="none"/>
                <w:lang w:val="en-US" w:eastAsia="zh-CN"/>
              </w:rPr>
              <w:t>根据本项目</w:t>
            </w:r>
            <w:r>
              <w:rPr>
                <w:rFonts w:hint="eastAsia" w:ascii="宋体" w:hAnsi="宋体" w:eastAsia="宋体" w:cs="宋体"/>
                <w:i w:val="0"/>
                <w:iCs w:val="0"/>
                <w:color w:val="auto"/>
                <w:highlight w:val="none"/>
                <w:lang w:val="en-US" w:eastAsia="zh-CN"/>
              </w:rPr>
              <w:t>提供</w:t>
            </w:r>
            <w:r>
              <w:rPr>
                <w:rFonts w:hint="eastAsia" w:ascii="宋体" w:hAnsi="宋体" w:eastAsia="宋体" w:cs="宋体"/>
                <w:i w:val="0"/>
                <w:iCs w:val="0"/>
                <w:color w:val="auto"/>
                <w:highlight w:val="none"/>
                <w:lang w:eastAsia="zh-CN"/>
              </w:rPr>
              <w:t>质量管理体系与措施，包括</w:t>
            </w:r>
            <w:r>
              <w:rPr>
                <w:rFonts w:hint="eastAsia" w:ascii="宋体" w:hAnsi="宋体" w:eastAsia="宋体" w:cs="宋体"/>
                <w:i w:val="0"/>
                <w:iCs w:val="0"/>
                <w:color w:val="auto"/>
                <w:highlight w:val="none"/>
                <w:lang w:val="en-US" w:eastAsia="zh-CN"/>
              </w:rPr>
              <w:t>但不限于：①质量目标；②管理机构、职责分工；③管理制度；④</w:t>
            </w:r>
            <w:r>
              <w:rPr>
                <w:rFonts w:hint="eastAsia" w:ascii="宋体" w:hAnsi="宋体" w:eastAsia="宋体" w:cs="宋体"/>
                <w:i w:val="0"/>
                <w:iCs w:val="0"/>
                <w:color w:val="auto"/>
                <w:highlight w:val="none"/>
                <w:lang w:eastAsia="zh-CN"/>
              </w:rPr>
              <w:t>质量保障重难点；</w:t>
            </w:r>
            <w:r>
              <w:rPr>
                <w:rFonts w:hint="eastAsia" w:ascii="宋体" w:hAnsi="宋体" w:eastAsia="宋体" w:cs="宋体"/>
                <w:i w:val="0"/>
                <w:iCs w:val="0"/>
                <w:color w:val="auto"/>
                <w:highlight w:val="none"/>
                <w:lang w:val="en-US" w:eastAsia="zh-CN"/>
              </w:rPr>
              <w:t>⑤</w:t>
            </w:r>
            <w:r>
              <w:rPr>
                <w:rFonts w:hint="eastAsia" w:ascii="宋体" w:hAnsi="宋体" w:eastAsia="宋体" w:cs="宋体"/>
                <w:i w:val="0"/>
                <w:iCs w:val="0"/>
                <w:color w:val="auto"/>
                <w:highlight w:val="none"/>
                <w:lang w:eastAsia="zh-CN"/>
              </w:rPr>
              <w:t>质量控制及保障措施</w:t>
            </w:r>
            <w:r>
              <w:rPr>
                <w:rFonts w:hint="eastAsia" w:ascii="宋体" w:hAnsi="宋体" w:cs="宋体"/>
                <w:i w:val="0"/>
                <w:iCs w:val="0"/>
                <w:color w:val="auto"/>
                <w:highlight w:val="none"/>
                <w:lang w:val="en-US" w:eastAsia="zh-CN"/>
              </w:rPr>
              <w:t>。</w:t>
            </w:r>
          </w:p>
          <w:p w14:paraId="731F3D0C">
            <w:pPr>
              <w:spacing w:line="240" w:lineRule="auto"/>
              <w:jc w:val="left"/>
              <w:rPr>
                <w:rFonts w:hint="eastAsia" w:ascii="宋体" w:hAnsi="宋体" w:eastAsia="宋体" w:cs="宋体"/>
                <w:color w:val="auto"/>
                <w:highlight w:val="none"/>
                <w:lang w:val="zh-CN" w:eastAsia="zh-CN"/>
              </w:rPr>
            </w:pPr>
            <w:r>
              <w:rPr>
                <w:rFonts w:hint="eastAsia" w:ascii="宋体" w:hAnsi="宋体" w:eastAsia="宋体" w:cs="宋体"/>
                <w:b w:val="0"/>
                <w:bCs/>
                <w:color w:val="auto"/>
                <w:spacing w:val="0"/>
                <w:sz w:val="21"/>
                <w:szCs w:val="21"/>
                <w:highlight w:val="none"/>
              </w:rPr>
              <w:t>方案完整无缺项，详细具体，可操作性强，完全符合项目采购需求实际情况计</w:t>
            </w:r>
            <w:r>
              <w:rPr>
                <w:rFonts w:hint="eastAsia" w:ascii="宋体" w:hAnsi="宋体" w:cs="宋体"/>
                <w:b w:val="0"/>
                <w:bCs/>
                <w:color w:val="auto"/>
                <w:spacing w:val="0"/>
                <w:sz w:val="21"/>
                <w:szCs w:val="21"/>
                <w:highlight w:val="none"/>
                <w:lang w:val="en-US" w:eastAsia="zh-CN"/>
              </w:rPr>
              <w:t>10</w:t>
            </w:r>
            <w:r>
              <w:rPr>
                <w:rFonts w:hint="eastAsia" w:ascii="宋体" w:hAnsi="宋体" w:eastAsia="宋体" w:cs="宋体"/>
                <w:b w:val="0"/>
                <w:bCs/>
                <w:color w:val="auto"/>
                <w:spacing w:val="0"/>
                <w:sz w:val="21"/>
                <w:szCs w:val="21"/>
                <w:highlight w:val="none"/>
              </w:rPr>
              <w:t>分。上述内容</w:t>
            </w:r>
            <w:r>
              <w:rPr>
                <w:rFonts w:hint="eastAsia" w:ascii="宋体" w:hAnsi="宋体" w:eastAsia="宋体" w:cs="宋体"/>
                <w:color w:val="auto"/>
                <w:highlight w:val="none"/>
                <w:lang w:val="zh-CN" w:eastAsia="zh-CN"/>
              </w:rPr>
              <w:t>每缺少一项要素的，扣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zh-CN" w:eastAsia="zh-CN"/>
              </w:rPr>
              <w:t>分；每有一处内容存在错误或缺陷的，扣</w:t>
            </w:r>
            <w:r>
              <w:rPr>
                <w:rFonts w:hint="eastAsia" w:ascii="宋体" w:hAnsi="宋体" w:cs="宋体"/>
                <w:color w:val="auto"/>
                <w:highlight w:val="none"/>
                <w:lang w:val="en-US" w:eastAsia="zh-CN"/>
              </w:rPr>
              <w:t>1</w:t>
            </w:r>
            <w:r>
              <w:rPr>
                <w:rFonts w:hint="eastAsia" w:ascii="宋体" w:hAnsi="宋体" w:eastAsia="宋体" w:cs="宋体"/>
                <w:color w:val="auto"/>
                <w:highlight w:val="none"/>
                <w:lang w:val="zh-CN" w:eastAsia="zh-CN"/>
              </w:rPr>
              <w:t>分，扣完为止</w:t>
            </w:r>
            <w:r>
              <w:rPr>
                <w:rFonts w:hint="eastAsia" w:ascii="宋体" w:hAnsi="宋体" w:cs="宋体"/>
                <w:color w:val="auto"/>
                <w:highlight w:val="none"/>
                <w:lang w:val="zh-CN" w:eastAsia="zh-CN"/>
              </w:rPr>
              <w:t>，</w:t>
            </w:r>
            <w:r>
              <w:rPr>
                <w:rFonts w:hint="eastAsia" w:ascii="宋体" w:hAnsi="宋体" w:cs="宋体"/>
                <w:color w:val="auto"/>
                <w:highlight w:val="none"/>
                <w:lang w:val="en-US" w:eastAsia="zh-CN"/>
              </w:rPr>
              <w:t>未提供的不计分</w:t>
            </w:r>
            <w:r>
              <w:rPr>
                <w:rFonts w:hint="eastAsia" w:ascii="宋体" w:hAnsi="宋体" w:eastAsia="宋体" w:cs="宋体"/>
                <w:color w:val="auto"/>
                <w:highlight w:val="none"/>
                <w:lang w:val="zh-CN" w:eastAsia="zh-CN"/>
              </w:rPr>
              <w:t>。</w:t>
            </w:r>
          </w:p>
          <w:p w14:paraId="31F3B4C8">
            <w:pPr>
              <w:spacing w:line="240" w:lineRule="auto"/>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注：</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内容错误或有缺陷</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14:paraId="37A140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Merge w:val="continue"/>
            <w:noWrap w:val="0"/>
            <w:vAlign w:val="center"/>
          </w:tcPr>
          <w:p w14:paraId="66F1F37C">
            <w:pPr>
              <w:tabs>
                <w:tab w:val="left" w:pos="1988"/>
              </w:tabs>
              <w:spacing w:line="240" w:lineRule="auto"/>
              <w:jc w:val="center"/>
              <w:rPr>
                <w:rFonts w:ascii="宋体" w:hAnsi="宋体" w:cs="宋体"/>
                <w:color w:val="auto"/>
                <w:szCs w:val="21"/>
                <w:highlight w:val="none"/>
              </w:rPr>
            </w:pPr>
          </w:p>
        </w:tc>
        <w:tc>
          <w:tcPr>
            <w:tcW w:w="1435" w:type="dxa"/>
            <w:noWrap w:val="0"/>
            <w:vAlign w:val="center"/>
          </w:tcPr>
          <w:p w14:paraId="47A1EAE9">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安全、文明施工措施</w:t>
            </w:r>
          </w:p>
        </w:tc>
        <w:tc>
          <w:tcPr>
            <w:tcW w:w="822" w:type="dxa"/>
            <w:tcBorders>
              <w:bottom w:val="single" w:color="auto" w:sz="4" w:space="0"/>
            </w:tcBorders>
            <w:noWrap w:val="0"/>
            <w:vAlign w:val="center"/>
          </w:tcPr>
          <w:p w14:paraId="1D4E6A3C">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8分</w:t>
            </w:r>
          </w:p>
        </w:tc>
        <w:tc>
          <w:tcPr>
            <w:tcW w:w="6431" w:type="dxa"/>
            <w:tcBorders>
              <w:bottom w:val="single" w:color="auto" w:sz="4" w:space="0"/>
            </w:tcBorders>
            <w:noWrap w:val="0"/>
            <w:vAlign w:val="center"/>
          </w:tcPr>
          <w:p w14:paraId="72401C55">
            <w:pPr>
              <w:spacing w:line="240" w:lineRule="auto"/>
              <w:jc w:val="left"/>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供应商根据本项目提供文明施工及应急措施方案，包括但不限于：</w:t>
            </w:r>
            <w:r>
              <w:rPr>
                <w:rFonts w:hint="eastAsia" w:ascii="宋体" w:hAnsi="宋体" w:eastAsia="宋体" w:cs="宋体"/>
                <w:b w:val="0"/>
                <w:bCs/>
                <w:color w:val="auto"/>
                <w:spacing w:val="0"/>
                <w:sz w:val="21"/>
                <w:szCs w:val="21"/>
                <w:highlight w:val="none"/>
                <w:lang w:val="en-US" w:eastAsia="zh-Hans"/>
              </w:rPr>
              <w:t>①安全</w:t>
            </w:r>
            <w:r>
              <w:rPr>
                <w:rFonts w:hint="eastAsia" w:ascii="宋体" w:hAnsi="宋体" w:eastAsia="宋体" w:cs="宋体"/>
                <w:b w:val="0"/>
                <w:bCs/>
                <w:color w:val="auto"/>
                <w:spacing w:val="0"/>
                <w:sz w:val="21"/>
                <w:szCs w:val="21"/>
                <w:highlight w:val="none"/>
                <w:lang w:val="en-US" w:eastAsia="zh-CN"/>
              </w:rPr>
              <w:t>、文明</w:t>
            </w:r>
            <w:r>
              <w:rPr>
                <w:rFonts w:hint="eastAsia" w:ascii="宋体" w:hAnsi="宋体" w:eastAsia="宋体" w:cs="宋体"/>
                <w:b w:val="0"/>
                <w:bCs/>
                <w:color w:val="auto"/>
                <w:spacing w:val="0"/>
                <w:sz w:val="21"/>
                <w:szCs w:val="21"/>
                <w:highlight w:val="none"/>
                <w:lang w:val="en-US" w:eastAsia="zh-Hans"/>
              </w:rPr>
              <w:t>管理目标</w:t>
            </w:r>
            <w:r>
              <w:rPr>
                <w:rFonts w:hint="eastAsia" w:ascii="宋体" w:hAnsi="宋体" w:cs="宋体"/>
                <w:b w:val="0"/>
                <w:bCs/>
                <w:color w:val="auto"/>
                <w:spacing w:val="0"/>
                <w:sz w:val="21"/>
                <w:szCs w:val="21"/>
                <w:highlight w:val="none"/>
                <w:lang w:val="en-US" w:eastAsia="zh-CN"/>
              </w:rPr>
              <w:t>；②</w:t>
            </w:r>
            <w:r>
              <w:rPr>
                <w:rFonts w:hint="eastAsia" w:ascii="宋体" w:hAnsi="宋体" w:eastAsia="宋体" w:cs="宋体"/>
                <w:b w:val="0"/>
                <w:bCs/>
                <w:color w:val="auto"/>
                <w:spacing w:val="0"/>
                <w:sz w:val="21"/>
                <w:szCs w:val="21"/>
                <w:highlight w:val="none"/>
                <w:lang w:val="en-US" w:eastAsia="zh-Hans"/>
              </w:rPr>
              <w:t>安全</w:t>
            </w:r>
            <w:r>
              <w:rPr>
                <w:rFonts w:hint="eastAsia" w:ascii="宋体" w:hAnsi="宋体" w:eastAsia="宋体" w:cs="宋体"/>
                <w:b w:val="0"/>
                <w:bCs/>
                <w:color w:val="auto"/>
                <w:spacing w:val="0"/>
                <w:sz w:val="21"/>
                <w:szCs w:val="21"/>
                <w:highlight w:val="none"/>
                <w:lang w:val="en-US" w:eastAsia="zh-CN"/>
              </w:rPr>
              <w:t>、文明</w:t>
            </w:r>
            <w:r>
              <w:rPr>
                <w:rFonts w:hint="eastAsia" w:ascii="宋体" w:hAnsi="宋体" w:eastAsia="宋体" w:cs="宋体"/>
                <w:b w:val="0"/>
                <w:bCs/>
                <w:color w:val="auto"/>
                <w:spacing w:val="0"/>
                <w:sz w:val="21"/>
                <w:szCs w:val="21"/>
                <w:highlight w:val="none"/>
                <w:lang w:val="en-US" w:eastAsia="zh-Hans"/>
              </w:rPr>
              <w:t>管理制度；</w:t>
            </w:r>
            <w:r>
              <w:rPr>
                <w:rFonts w:hint="eastAsia" w:ascii="宋体" w:hAnsi="宋体" w:cs="宋体"/>
                <w:b w:val="0"/>
                <w:bCs/>
                <w:color w:val="auto"/>
                <w:spacing w:val="0"/>
                <w:sz w:val="21"/>
                <w:szCs w:val="21"/>
                <w:highlight w:val="none"/>
                <w:lang w:val="en-US" w:eastAsia="zh-CN"/>
              </w:rPr>
              <w:t>③</w:t>
            </w:r>
            <w:r>
              <w:rPr>
                <w:rFonts w:hint="eastAsia" w:ascii="宋体" w:hAnsi="宋体" w:eastAsia="宋体" w:cs="宋体"/>
                <w:b w:val="0"/>
                <w:bCs/>
                <w:color w:val="auto"/>
                <w:spacing w:val="0"/>
                <w:sz w:val="21"/>
                <w:szCs w:val="21"/>
                <w:highlight w:val="none"/>
                <w:lang w:val="en-US" w:eastAsia="zh-Hans"/>
              </w:rPr>
              <w:t>管理机构</w:t>
            </w:r>
            <w:r>
              <w:rPr>
                <w:rFonts w:hint="eastAsia" w:ascii="宋体" w:hAnsi="宋体" w:eastAsia="宋体" w:cs="宋体"/>
                <w:b w:val="0"/>
                <w:bCs/>
                <w:color w:val="auto"/>
                <w:spacing w:val="0"/>
                <w:sz w:val="21"/>
                <w:szCs w:val="21"/>
                <w:highlight w:val="none"/>
                <w:lang w:val="en-US" w:eastAsia="zh-CN"/>
              </w:rPr>
              <w:t>及</w:t>
            </w:r>
            <w:r>
              <w:rPr>
                <w:rFonts w:hint="eastAsia" w:ascii="宋体" w:hAnsi="宋体" w:eastAsia="宋体" w:cs="宋体"/>
                <w:b w:val="0"/>
                <w:bCs/>
                <w:color w:val="auto"/>
                <w:spacing w:val="0"/>
                <w:sz w:val="21"/>
                <w:szCs w:val="21"/>
                <w:highlight w:val="none"/>
                <w:lang w:val="en-US" w:eastAsia="zh-Hans"/>
              </w:rPr>
              <w:t>职责分工；</w:t>
            </w:r>
            <w:r>
              <w:rPr>
                <w:rFonts w:hint="eastAsia" w:ascii="宋体" w:hAnsi="宋体" w:cs="宋体"/>
                <w:b w:val="0"/>
                <w:bCs/>
                <w:color w:val="auto"/>
                <w:spacing w:val="0"/>
                <w:sz w:val="21"/>
                <w:szCs w:val="21"/>
                <w:highlight w:val="none"/>
                <w:lang w:val="en-US" w:eastAsia="zh-CN"/>
              </w:rPr>
              <w:t>④</w:t>
            </w:r>
            <w:r>
              <w:rPr>
                <w:rFonts w:hint="eastAsia" w:ascii="宋体" w:hAnsi="宋体" w:eastAsia="宋体" w:cs="宋体"/>
                <w:b w:val="0"/>
                <w:bCs/>
                <w:color w:val="auto"/>
                <w:spacing w:val="0"/>
                <w:sz w:val="21"/>
                <w:szCs w:val="21"/>
                <w:highlight w:val="none"/>
                <w:lang w:val="en-US" w:eastAsia="zh-Hans"/>
              </w:rPr>
              <w:t>实施与监控措施</w:t>
            </w:r>
            <w:r>
              <w:rPr>
                <w:rFonts w:hint="eastAsia" w:ascii="宋体" w:hAnsi="宋体" w:eastAsia="宋体" w:cs="宋体"/>
                <w:b w:val="0"/>
                <w:bCs/>
                <w:color w:val="auto"/>
                <w:spacing w:val="0"/>
                <w:sz w:val="21"/>
                <w:szCs w:val="21"/>
                <w:highlight w:val="none"/>
                <w:lang w:val="en-US" w:eastAsia="zh-CN"/>
              </w:rPr>
              <w:t>。</w:t>
            </w:r>
          </w:p>
          <w:p w14:paraId="53D1BF50">
            <w:pPr>
              <w:spacing w:line="240" w:lineRule="auto"/>
              <w:jc w:val="left"/>
              <w:rPr>
                <w:rFonts w:hint="eastAsia" w:ascii="宋体" w:hAnsi="宋体" w:eastAsia="宋体" w:cs="宋体"/>
                <w:b w:val="0"/>
                <w:bCs/>
                <w:color w:val="auto"/>
                <w:spacing w:val="0"/>
                <w:sz w:val="21"/>
                <w:szCs w:val="21"/>
                <w:highlight w:val="none"/>
                <w:lang w:val="zh-CN" w:eastAsia="zh-CN"/>
              </w:rPr>
            </w:pPr>
            <w:r>
              <w:rPr>
                <w:rFonts w:hint="eastAsia" w:ascii="宋体" w:hAnsi="宋体" w:eastAsia="宋体" w:cs="宋体"/>
                <w:b w:val="0"/>
                <w:bCs/>
                <w:color w:val="auto"/>
                <w:spacing w:val="0"/>
                <w:sz w:val="21"/>
                <w:szCs w:val="21"/>
                <w:highlight w:val="none"/>
              </w:rPr>
              <w:t>方案完整无缺项，详细具体，可操作性强，完全符合项目采购需求实际情况计</w:t>
            </w:r>
            <w:r>
              <w:rPr>
                <w:rFonts w:hint="eastAsia" w:ascii="宋体" w:hAnsi="宋体" w:cs="宋体"/>
                <w:b w:val="0"/>
                <w:bCs/>
                <w:color w:val="auto"/>
                <w:spacing w:val="0"/>
                <w:sz w:val="21"/>
                <w:szCs w:val="21"/>
                <w:highlight w:val="none"/>
                <w:lang w:val="en-US" w:eastAsia="zh-CN"/>
              </w:rPr>
              <w:t>8</w:t>
            </w:r>
            <w:r>
              <w:rPr>
                <w:rFonts w:hint="eastAsia" w:ascii="宋体" w:hAnsi="宋体" w:eastAsia="宋体" w:cs="宋体"/>
                <w:b w:val="0"/>
                <w:bCs/>
                <w:color w:val="auto"/>
                <w:spacing w:val="0"/>
                <w:sz w:val="21"/>
                <w:szCs w:val="21"/>
                <w:highlight w:val="none"/>
              </w:rPr>
              <w:t>分。上述内容</w:t>
            </w:r>
            <w:r>
              <w:rPr>
                <w:rFonts w:hint="eastAsia" w:ascii="宋体" w:hAnsi="宋体" w:eastAsia="宋体" w:cs="宋体"/>
                <w:b w:val="0"/>
                <w:bCs/>
                <w:color w:val="auto"/>
                <w:spacing w:val="0"/>
                <w:sz w:val="21"/>
                <w:szCs w:val="21"/>
                <w:highlight w:val="none"/>
                <w:lang w:val="zh-CN" w:eastAsia="zh-CN"/>
              </w:rPr>
              <w:t>每缺少一项要素的，扣</w:t>
            </w:r>
            <w:r>
              <w:rPr>
                <w:rFonts w:hint="eastAsia" w:ascii="宋体" w:hAnsi="宋体" w:eastAsia="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zh-CN" w:eastAsia="zh-CN"/>
              </w:rPr>
              <w:t>分；每有一处内容存在错误或缺陷的，扣</w:t>
            </w:r>
            <w:r>
              <w:rPr>
                <w:rFonts w:hint="eastAsia" w:ascii="宋体" w:hAnsi="宋体" w:eastAsia="宋体" w:cs="宋体"/>
                <w:b w:val="0"/>
                <w:bCs/>
                <w:color w:val="auto"/>
                <w:spacing w:val="0"/>
                <w:sz w:val="21"/>
                <w:szCs w:val="21"/>
                <w:highlight w:val="none"/>
                <w:lang w:val="en-US" w:eastAsia="zh-CN"/>
              </w:rPr>
              <w:t>1</w:t>
            </w:r>
            <w:r>
              <w:rPr>
                <w:rFonts w:hint="eastAsia" w:ascii="宋体" w:hAnsi="宋体" w:eastAsia="宋体" w:cs="宋体"/>
                <w:b w:val="0"/>
                <w:bCs/>
                <w:color w:val="auto"/>
                <w:spacing w:val="0"/>
                <w:sz w:val="21"/>
                <w:szCs w:val="21"/>
                <w:highlight w:val="none"/>
                <w:lang w:val="zh-CN" w:eastAsia="zh-CN"/>
              </w:rPr>
              <w:t>分，扣完为止，</w:t>
            </w:r>
            <w:r>
              <w:rPr>
                <w:rFonts w:hint="eastAsia" w:ascii="宋体" w:hAnsi="宋体" w:eastAsia="宋体" w:cs="宋体"/>
                <w:b w:val="0"/>
                <w:bCs/>
                <w:color w:val="auto"/>
                <w:spacing w:val="0"/>
                <w:sz w:val="21"/>
                <w:szCs w:val="21"/>
                <w:highlight w:val="none"/>
                <w:lang w:val="en-US" w:eastAsia="zh-CN"/>
              </w:rPr>
              <w:t>未提供的不计分</w:t>
            </w:r>
            <w:r>
              <w:rPr>
                <w:rFonts w:hint="eastAsia" w:ascii="宋体" w:hAnsi="宋体" w:eastAsia="宋体" w:cs="宋体"/>
                <w:b w:val="0"/>
                <w:bCs/>
                <w:color w:val="auto"/>
                <w:spacing w:val="0"/>
                <w:sz w:val="21"/>
                <w:szCs w:val="21"/>
                <w:highlight w:val="none"/>
                <w:lang w:val="zh-CN" w:eastAsia="zh-CN"/>
              </w:rPr>
              <w:t>。</w:t>
            </w:r>
          </w:p>
          <w:p w14:paraId="0071B2E0">
            <w:pPr>
              <w:spacing w:line="240" w:lineRule="auto"/>
              <w:jc w:val="left"/>
              <w:rPr>
                <w:rFonts w:hint="eastAsia" w:ascii="宋体" w:hAnsi="宋体" w:eastAsia="宋体" w:cs="宋体"/>
                <w:b w:val="0"/>
                <w:bCs/>
                <w:color w:val="auto"/>
                <w:spacing w:val="0"/>
                <w:sz w:val="21"/>
                <w:szCs w:val="21"/>
                <w:highlight w:val="none"/>
                <w:lang w:val="zh-CN" w:eastAsia="zh-CN"/>
              </w:rPr>
            </w:pPr>
            <w:r>
              <w:rPr>
                <w:rFonts w:hint="eastAsia" w:ascii="宋体" w:hAnsi="宋体" w:cs="宋体"/>
                <w:color w:val="auto"/>
                <w:highlight w:val="none"/>
                <w:lang w:val="en-US" w:eastAsia="zh-CN"/>
              </w:rPr>
              <w:t>注：</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内容错误或有缺陷</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14:paraId="45B075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6" w:type="dxa"/>
            <w:vMerge w:val="continue"/>
            <w:noWrap w:val="0"/>
            <w:vAlign w:val="center"/>
          </w:tcPr>
          <w:p w14:paraId="6C963E7E">
            <w:pPr>
              <w:tabs>
                <w:tab w:val="left" w:pos="1988"/>
              </w:tabs>
              <w:spacing w:line="240" w:lineRule="auto"/>
              <w:jc w:val="center"/>
              <w:rPr>
                <w:rFonts w:ascii="宋体" w:hAnsi="宋体" w:cs="宋体"/>
                <w:color w:val="auto"/>
                <w:szCs w:val="21"/>
                <w:highlight w:val="none"/>
              </w:rPr>
            </w:pPr>
          </w:p>
        </w:tc>
        <w:tc>
          <w:tcPr>
            <w:tcW w:w="1435" w:type="dxa"/>
            <w:shd w:val="clear" w:color="auto" w:fill="auto"/>
            <w:noWrap w:val="0"/>
            <w:vAlign w:val="center"/>
          </w:tcPr>
          <w:p w14:paraId="260C59D4">
            <w:pPr>
              <w:tabs>
                <w:tab w:val="left" w:pos="0"/>
              </w:tabs>
              <w:spacing w:line="280" w:lineRule="exact"/>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环境保护管理体系与措施</w:t>
            </w:r>
          </w:p>
        </w:tc>
        <w:tc>
          <w:tcPr>
            <w:tcW w:w="822" w:type="dxa"/>
            <w:tcBorders>
              <w:bottom w:val="single" w:color="auto" w:sz="4" w:space="0"/>
            </w:tcBorders>
            <w:shd w:val="clear" w:color="auto" w:fill="auto"/>
            <w:noWrap w:val="0"/>
            <w:vAlign w:val="center"/>
          </w:tcPr>
          <w:p w14:paraId="4223CF5E">
            <w:pPr>
              <w:tabs>
                <w:tab w:val="left" w:pos="0"/>
              </w:tabs>
              <w:spacing w:line="280" w:lineRule="exact"/>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8分</w:t>
            </w:r>
          </w:p>
        </w:tc>
        <w:tc>
          <w:tcPr>
            <w:tcW w:w="6431" w:type="dxa"/>
            <w:tcBorders>
              <w:bottom w:val="single" w:color="auto" w:sz="4" w:space="0"/>
            </w:tcBorders>
            <w:shd w:val="clear" w:color="auto" w:fill="auto"/>
            <w:noWrap w:val="0"/>
            <w:vAlign w:val="center"/>
          </w:tcPr>
          <w:p w14:paraId="65B03D3A">
            <w:pPr>
              <w:spacing w:line="240" w:lineRule="auto"/>
              <w:jc w:val="left"/>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供应商根据本项目提供</w:t>
            </w:r>
            <w:r>
              <w:rPr>
                <w:rFonts w:hint="eastAsia" w:ascii="宋体" w:hAnsi="宋体" w:eastAsia="宋体" w:cs="宋体"/>
                <w:b w:val="0"/>
                <w:bCs/>
                <w:color w:val="auto"/>
                <w:spacing w:val="0"/>
                <w:sz w:val="21"/>
                <w:szCs w:val="21"/>
                <w:highlight w:val="none"/>
                <w:lang w:eastAsia="zh-CN"/>
              </w:rPr>
              <w:t>环境保护管理体系与措施</w:t>
            </w:r>
            <w:r>
              <w:rPr>
                <w:rFonts w:hint="eastAsia" w:ascii="宋体" w:hAnsi="宋体" w:eastAsia="宋体" w:cs="宋体"/>
                <w:b w:val="0"/>
                <w:bCs/>
                <w:color w:val="auto"/>
                <w:spacing w:val="0"/>
                <w:sz w:val="21"/>
                <w:szCs w:val="21"/>
                <w:highlight w:val="none"/>
                <w:lang w:val="en-US" w:eastAsia="zh-CN"/>
              </w:rPr>
              <w:t>方案</w:t>
            </w:r>
            <w:r>
              <w:rPr>
                <w:rFonts w:hint="eastAsia" w:ascii="宋体" w:hAnsi="宋体" w:eastAsia="宋体" w:cs="宋体"/>
                <w:b w:val="0"/>
                <w:bCs/>
                <w:color w:val="auto"/>
                <w:spacing w:val="0"/>
                <w:sz w:val="21"/>
                <w:szCs w:val="21"/>
                <w:highlight w:val="none"/>
                <w:lang w:eastAsia="zh-CN"/>
              </w:rPr>
              <w:t>，包括</w:t>
            </w:r>
            <w:r>
              <w:rPr>
                <w:rFonts w:hint="eastAsia" w:ascii="宋体" w:hAnsi="宋体" w:eastAsia="宋体" w:cs="宋体"/>
                <w:b w:val="0"/>
                <w:bCs/>
                <w:color w:val="auto"/>
                <w:spacing w:val="0"/>
                <w:sz w:val="21"/>
                <w:szCs w:val="21"/>
                <w:highlight w:val="none"/>
                <w:lang w:val="en-US" w:eastAsia="zh-CN"/>
              </w:rPr>
              <w:t>但不限于：①环境保护管理体系</w:t>
            </w:r>
            <w:r>
              <w:rPr>
                <w:rFonts w:hint="eastAsia" w:ascii="宋体" w:hAnsi="宋体" w:cs="宋体"/>
                <w:b w:val="0"/>
                <w:bCs/>
                <w:color w:val="auto"/>
                <w:spacing w:val="0"/>
                <w:sz w:val="21"/>
                <w:szCs w:val="21"/>
                <w:highlight w:val="none"/>
                <w:lang w:val="en-US" w:eastAsia="zh-CN"/>
              </w:rPr>
              <w:t>；②环境</w:t>
            </w:r>
            <w:r>
              <w:rPr>
                <w:rFonts w:hint="eastAsia" w:ascii="宋体" w:hAnsi="宋体" w:eastAsia="宋体" w:cs="宋体"/>
                <w:b w:val="0"/>
                <w:bCs/>
                <w:color w:val="auto"/>
                <w:spacing w:val="0"/>
                <w:sz w:val="21"/>
                <w:szCs w:val="21"/>
                <w:highlight w:val="none"/>
                <w:lang w:val="en-US" w:eastAsia="zh-CN"/>
              </w:rPr>
              <w:t>保护措施；③</w:t>
            </w:r>
            <w:r>
              <w:rPr>
                <w:rFonts w:hint="eastAsia" w:ascii="宋体" w:hAnsi="宋体" w:eastAsia="宋体" w:cs="宋体"/>
                <w:b w:val="0"/>
                <w:bCs/>
                <w:color w:val="auto"/>
                <w:spacing w:val="0"/>
                <w:sz w:val="21"/>
                <w:szCs w:val="21"/>
                <w:highlight w:val="none"/>
                <w:lang w:eastAsia="zh-Hans"/>
              </w:rPr>
              <w:t>噪音控制、污水控制、扬尘控制</w:t>
            </w:r>
            <w:r>
              <w:rPr>
                <w:rFonts w:hint="eastAsia" w:ascii="宋体" w:hAnsi="宋体" w:eastAsia="宋体" w:cs="宋体"/>
                <w:b w:val="0"/>
                <w:bCs/>
                <w:color w:val="auto"/>
                <w:spacing w:val="0"/>
                <w:sz w:val="21"/>
                <w:szCs w:val="21"/>
                <w:highlight w:val="none"/>
                <w:lang w:eastAsia="zh-CN"/>
              </w:rPr>
              <w:t>；</w:t>
            </w:r>
            <w:r>
              <w:rPr>
                <w:rFonts w:hint="eastAsia" w:ascii="宋体" w:hAnsi="宋体" w:cs="宋体"/>
                <w:b w:val="0"/>
                <w:bCs/>
                <w:color w:val="auto"/>
                <w:spacing w:val="0"/>
                <w:sz w:val="21"/>
                <w:szCs w:val="21"/>
                <w:highlight w:val="none"/>
                <w:lang w:val="en-US" w:eastAsia="zh-CN"/>
              </w:rPr>
              <w:t>④</w:t>
            </w:r>
            <w:r>
              <w:rPr>
                <w:rFonts w:hint="eastAsia" w:ascii="宋体" w:hAnsi="宋体" w:eastAsia="宋体" w:cs="宋体"/>
                <w:b w:val="0"/>
                <w:bCs/>
                <w:color w:val="auto"/>
                <w:spacing w:val="0"/>
                <w:sz w:val="21"/>
                <w:szCs w:val="21"/>
                <w:highlight w:val="none"/>
                <w:lang w:eastAsia="zh-Hans"/>
              </w:rPr>
              <w:t>材料堆放</w:t>
            </w:r>
            <w:r>
              <w:rPr>
                <w:rFonts w:hint="eastAsia" w:ascii="宋体" w:hAnsi="宋体" w:eastAsia="宋体" w:cs="宋体"/>
                <w:b w:val="0"/>
                <w:bCs/>
                <w:color w:val="auto"/>
                <w:spacing w:val="0"/>
                <w:sz w:val="21"/>
                <w:szCs w:val="21"/>
                <w:highlight w:val="none"/>
                <w:lang w:eastAsia="zh-CN"/>
              </w:rPr>
              <w:t>。</w:t>
            </w:r>
          </w:p>
          <w:p w14:paraId="5A8F7AAB">
            <w:pPr>
              <w:spacing w:line="240" w:lineRule="auto"/>
              <w:jc w:val="left"/>
              <w:rPr>
                <w:rFonts w:hint="eastAsia" w:ascii="宋体" w:hAnsi="宋体" w:eastAsia="宋体" w:cs="宋体"/>
                <w:b w:val="0"/>
                <w:bCs/>
                <w:color w:val="auto"/>
                <w:spacing w:val="0"/>
                <w:sz w:val="21"/>
                <w:szCs w:val="21"/>
                <w:highlight w:val="none"/>
                <w:lang w:val="zh-CN" w:eastAsia="zh-CN"/>
              </w:rPr>
            </w:pPr>
            <w:r>
              <w:rPr>
                <w:rFonts w:hint="eastAsia" w:ascii="宋体" w:hAnsi="宋体" w:eastAsia="宋体" w:cs="宋体"/>
                <w:b w:val="0"/>
                <w:bCs/>
                <w:color w:val="auto"/>
                <w:spacing w:val="0"/>
                <w:sz w:val="21"/>
                <w:szCs w:val="21"/>
                <w:highlight w:val="none"/>
              </w:rPr>
              <w:t>方案完整无缺项，详细具体，可操作性强，完全符合项目采购需求实际情况计</w:t>
            </w:r>
            <w:r>
              <w:rPr>
                <w:rFonts w:hint="eastAsia" w:ascii="宋体" w:hAnsi="宋体" w:cs="宋体"/>
                <w:b w:val="0"/>
                <w:bCs/>
                <w:color w:val="auto"/>
                <w:spacing w:val="0"/>
                <w:sz w:val="21"/>
                <w:szCs w:val="21"/>
                <w:highlight w:val="none"/>
                <w:lang w:val="en-US" w:eastAsia="zh-CN"/>
              </w:rPr>
              <w:t>8</w:t>
            </w:r>
            <w:r>
              <w:rPr>
                <w:rFonts w:hint="eastAsia" w:ascii="宋体" w:hAnsi="宋体" w:eastAsia="宋体" w:cs="宋体"/>
                <w:b w:val="0"/>
                <w:bCs/>
                <w:color w:val="auto"/>
                <w:spacing w:val="0"/>
                <w:sz w:val="21"/>
                <w:szCs w:val="21"/>
                <w:highlight w:val="none"/>
              </w:rPr>
              <w:t>分。上述内容</w:t>
            </w:r>
            <w:r>
              <w:rPr>
                <w:rFonts w:hint="eastAsia" w:ascii="宋体" w:hAnsi="宋体" w:eastAsia="宋体" w:cs="宋体"/>
                <w:b w:val="0"/>
                <w:bCs/>
                <w:color w:val="auto"/>
                <w:spacing w:val="0"/>
                <w:sz w:val="21"/>
                <w:szCs w:val="21"/>
                <w:highlight w:val="none"/>
                <w:lang w:val="zh-CN" w:eastAsia="zh-CN"/>
              </w:rPr>
              <w:t>每缺少一项要素的，扣</w:t>
            </w:r>
            <w:r>
              <w:rPr>
                <w:rFonts w:hint="eastAsia" w:ascii="宋体" w:hAnsi="宋体" w:eastAsia="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zh-CN" w:eastAsia="zh-CN"/>
              </w:rPr>
              <w:t>分；每有一处内容存在错误或缺陷的，扣</w:t>
            </w:r>
            <w:r>
              <w:rPr>
                <w:rFonts w:hint="eastAsia" w:ascii="宋体" w:hAnsi="宋体" w:eastAsia="宋体" w:cs="宋体"/>
                <w:b w:val="0"/>
                <w:bCs/>
                <w:color w:val="auto"/>
                <w:spacing w:val="0"/>
                <w:sz w:val="21"/>
                <w:szCs w:val="21"/>
                <w:highlight w:val="none"/>
                <w:lang w:val="en-US" w:eastAsia="zh-CN"/>
              </w:rPr>
              <w:t>1</w:t>
            </w:r>
            <w:r>
              <w:rPr>
                <w:rFonts w:hint="eastAsia" w:ascii="宋体" w:hAnsi="宋体" w:eastAsia="宋体" w:cs="宋体"/>
                <w:b w:val="0"/>
                <w:bCs/>
                <w:color w:val="auto"/>
                <w:spacing w:val="0"/>
                <w:sz w:val="21"/>
                <w:szCs w:val="21"/>
                <w:highlight w:val="none"/>
                <w:lang w:val="zh-CN" w:eastAsia="zh-CN"/>
              </w:rPr>
              <w:t>分，扣完为止，</w:t>
            </w:r>
            <w:r>
              <w:rPr>
                <w:rFonts w:hint="eastAsia" w:ascii="宋体" w:hAnsi="宋体" w:eastAsia="宋体" w:cs="宋体"/>
                <w:b w:val="0"/>
                <w:bCs/>
                <w:color w:val="auto"/>
                <w:spacing w:val="0"/>
                <w:sz w:val="21"/>
                <w:szCs w:val="21"/>
                <w:highlight w:val="none"/>
                <w:lang w:val="en-US" w:eastAsia="zh-CN"/>
              </w:rPr>
              <w:t>未提供的不计分</w:t>
            </w:r>
            <w:r>
              <w:rPr>
                <w:rFonts w:hint="eastAsia" w:ascii="宋体" w:hAnsi="宋体" w:eastAsia="宋体" w:cs="宋体"/>
                <w:b w:val="0"/>
                <w:bCs/>
                <w:color w:val="auto"/>
                <w:spacing w:val="0"/>
                <w:sz w:val="21"/>
                <w:szCs w:val="21"/>
                <w:highlight w:val="none"/>
                <w:lang w:val="zh-CN" w:eastAsia="zh-CN"/>
              </w:rPr>
              <w:t>。</w:t>
            </w:r>
          </w:p>
          <w:p w14:paraId="03F5A76D">
            <w:pPr>
              <w:spacing w:line="240" w:lineRule="auto"/>
              <w:jc w:val="left"/>
              <w:rPr>
                <w:rFonts w:hint="eastAsia" w:ascii="宋体" w:hAnsi="宋体" w:eastAsia="宋体" w:cs="宋体"/>
                <w:b w:val="0"/>
                <w:bCs/>
                <w:color w:val="auto"/>
                <w:spacing w:val="0"/>
                <w:sz w:val="21"/>
                <w:szCs w:val="21"/>
                <w:highlight w:val="none"/>
                <w:lang w:val="en-US" w:eastAsia="zh-CN"/>
              </w:rPr>
            </w:pPr>
            <w:r>
              <w:rPr>
                <w:rFonts w:hint="eastAsia" w:ascii="宋体" w:hAnsi="宋体" w:cs="宋体"/>
                <w:color w:val="auto"/>
                <w:highlight w:val="none"/>
                <w:lang w:val="en-US" w:eastAsia="zh-CN"/>
              </w:rPr>
              <w:t>注：</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内容错误或有缺陷</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14:paraId="2B882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6" w:type="dxa"/>
            <w:vMerge w:val="continue"/>
            <w:noWrap w:val="0"/>
            <w:vAlign w:val="center"/>
          </w:tcPr>
          <w:p w14:paraId="7CD6AED9">
            <w:pPr>
              <w:tabs>
                <w:tab w:val="left" w:pos="1988"/>
              </w:tabs>
              <w:spacing w:line="240" w:lineRule="auto"/>
              <w:jc w:val="center"/>
              <w:rPr>
                <w:rFonts w:ascii="宋体" w:hAnsi="宋体" w:cs="宋体"/>
                <w:color w:val="auto"/>
                <w:szCs w:val="21"/>
                <w:highlight w:val="none"/>
              </w:rPr>
            </w:pPr>
          </w:p>
        </w:tc>
        <w:tc>
          <w:tcPr>
            <w:tcW w:w="1435" w:type="dxa"/>
            <w:noWrap w:val="0"/>
            <w:vAlign w:val="center"/>
          </w:tcPr>
          <w:p w14:paraId="2A3CE078">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工程进度计划与保证措施</w:t>
            </w:r>
          </w:p>
        </w:tc>
        <w:tc>
          <w:tcPr>
            <w:tcW w:w="822" w:type="dxa"/>
            <w:tcBorders>
              <w:bottom w:val="single" w:color="auto" w:sz="4" w:space="0"/>
            </w:tcBorders>
            <w:noWrap w:val="0"/>
            <w:vAlign w:val="center"/>
          </w:tcPr>
          <w:p w14:paraId="04B48DB9">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6分</w:t>
            </w:r>
          </w:p>
        </w:tc>
        <w:tc>
          <w:tcPr>
            <w:tcW w:w="6431" w:type="dxa"/>
            <w:tcBorders>
              <w:bottom w:val="single" w:color="auto" w:sz="4" w:space="0"/>
            </w:tcBorders>
            <w:noWrap w:val="0"/>
            <w:vAlign w:val="center"/>
          </w:tcPr>
          <w:p w14:paraId="04078A0F">
            <w:pPr>
              <w:spacing w:line="240" w:lineRule="auto"/>
              <w:jc w:val="left"/>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val="en-US" w:eastAsia="zh-CN"/>
              </w:rPr>
              <w:t>供应商</w:t>
            </w:r>
            <w:r>
              <w:rPr>
                <w:rFonts w:hint="eastAsia" w:ascii="宋体" w:hAnsi="宋体" w:cs="宋体"/>
                <w:i w:val="0"/>
                <w:iCs w:val="0"/>
                <w:color w:val="auto"/>
                <w:highlight w:val="none"/>
                <w:lang w:val="en-US" w:eastAsia="zh-CN"/>
              </w:rPr>
              <w:t>根据本项目</w:t>
            </w:r>
            <w:r>
              <w:rPr>
                <w:rFonts w:hint="eastAsia" w:ascii="宋体" w:hAnsi="宋体" w:eastAsia="宋体" w:cs="宋体"/>
                <w:i w:val="0"/>
                <w:iCs w:val="0"/>
                <w:color w:val="auto"/>
                <w:highlight w:val="none"/>
                <w:lang w:val="en-US" w:eastAsia="zh-CN"/>
              </w:rPr>
              <w:t>提供</w:t>
            </w:r>
            <w:r>
              <w:rPr>
                <w:rFonts w:hint="eastAsia" w:ascii="宋体" w:hAnsi="宋体"/>
                <w:bCs/>
                <w:color w:val="auto"/>
                <w:szCs w:val="21"/>
                <w:highlight w:val="none"/>
                <w:lang w:val="en-US" w:eastAsia="zh-CN"/>
              </w:rPr>
              <w:t>工程进度计划与保证措施</w:t>
            </w:r>
            <w:r>
              <w:rPr>
                <w:rFonts w:hint="eastAsia" w:ascii="宋体" w:hAnsi="宋体" w:eastAsia="宋体" w:cs="宋体"/>
                <w:i w:val="0"/>
                <w:iCs w:val="0"/>
                <w:color w:val="auto"/>
                <w:highlight w:val="none"/>
                <w:lang w:eastAsia="zh-CN"/>
              </w:rPr>
              <w:t>，包括</w:t>
            </w:r>
            <w:r>
              <w:rPr>
                <w:rFonts w:hint="eastAsia" w:ascii="宋体" w:hAnsi="宋体" w:eastAsia="宋体" w:cs="宋体"/>
                <w:i w:val="0"/>
                <w:iCs w:val="0"/>
                <w:color w:val="auto"/>
                <w:highlight w:val="none"/>
                <w:lang w:val="en-US" w:eastAsia="zh-CN"/>
              </w:rPr>
              <w:t>但不限于：①</w:t>
            </w:r>
            <w:r>
              <w:rPr>
                <w:rFonts w:hint="eastAsia" w:ascii="宋体" w:hAnsi="宋体" w:eastAsia="宋体" w:cs="宋体"/>
                <w:i w:val="0"/>
                <w:iCs w:val="0"/>
                <w:color w:val="auto"/>
                <w:highlight w:val="none"/>
                <w:lang w:eastAsia="zh-CN"/>
              </w:rPr>
              <w:t>工期分解</w:t>
            </w:r>
            <w:r>
              <w:rPr>
                <w:rFonts w:hint="eastAsia" w:ascii="宋体" w:hAnsi="宋体" w:cs="宋体"/>
                <w:i w:val="0"/>
                <w:iCs w:val="0"/>
                <w:color w:val="auto"/>
                <w:highlight w:val="none"/>
                <w:lang w:val="en-US" w:eastAsia="zh-CN"/>
              </w:rPr>
              <w:t>；②</w:t>
            </w:r>
            <w:r>
              <w:rPr>
                <w:rFonts w:hint="eastAsia" w:ascii="宋体" w:hAnsi="宋体" w:eastAsia="宋体" w:cs="宋体"/>
                <w:i w:val="0"/>
                <w:iCs w:val="0"/>
                <w:color w:val="auto"/>
                <w:highlight w:val="none"/>
                <w:lang w:eastAsia="zh-CN"/>
              </w:rPr>
              <w:t>进度计划；</w:t>
            </w:r>
            <w:r>
              <w:rPr>
                <w:rFonts w:hint="eastAsia" w:ascii="宋体" w:hAnsi="宋体" w:cs="宋体"/>
                <w:i w:val="0"/>
                <w:iCs w:val="0"/>
                <w:color w:val="auto"/>
                <w:highlight w:val="none"/>
                <w:lang w:val="en-US" w:eastAsia="zh-CN"/>
              </w:rPr>
              <w:t>③进度</w:t>
            </w:r>
            <w:r>
              <w:rPr>
                <w:rFonts w:hint="eastAsia" w:ascii="宋体" w:hAnsi="宋体" w:eastAsia="宋体" w:cs="宋体"/>
                <w:i w:val="0"/>
                <w:iCs w:val="0"/>
                <w:color w:val="auto"/>
                <w:highlight w:val="none"/>
                <w:lang w:eastAsia="zh-CN"/>
              </w:rPr>
              <w:t>保证措施</w:t>
            </w:r>
            <w:r>
              <w:rPr>
                <w:rFonts w:hint="eastAsia" w:ascii="宋体" w:hAnsi="宋体" w:cs="宋体"/>
                <w:i w:val="0"/>
                <w:iCs w:val="0"/>
                <w:color w:val="auto"/>
                <w:highlight w:val="none"/>
                <w:lang w:val="en-US" w:eastAsia="zh-CN"/>
              </w:rPr>
              <w:t>。</w:t>
            </w:r>
          </w:p>
          <w:p w14:paraId="2DCE7F29">
            <w:pPr>
              <w:spacing w:line="240" w:lineRule="auto"/>
              <w:jc w:val="left"/>
              <w:rPr>
                <w:rFonts w:hint="eastAsia" w:ascii="宋体" w:hAnsi="宋体" w:eastAsia="宋体" w:cs="宋体"/>
                <w:color w:val="auto"/>
                <w:highlight w:val="none"/>
                <w:lang w:val="zh-CN" w:eastAsia="zh-CN"/>
              </w:rPr>
            </w:pPr>
            <w:r>
              <w:rPr>
                <w:rFonts w:hint="eastAsia" w:ascii="宋体" w:hAnsi="宋体" w:eastAsia="宋体" w:cs="宋体"/>
                <w:b w:val="0"/>
                <w:bCs/>
                <w:color w:val="auto"/>
                <w:spacing w:val="0"/>
                <w:sz w:val="21"/>
                <w:szCs w:val="21"/>
                <w:highlight w:val="none"/>
              </w:rPr>
              <w:t>方案完整无缺项，详细具体，可操作性强，完全符合项目采购需求实际情况计</w:t>
            </w:r>
            <w:r>
              <w:rPr>
                <w:rFonts w:hint="eastAsia" w:ascii="宋体" w:hAnsi="宋体" w:cs="宋体"/>
                <w:b w:val="0"/>
                <w:bCs/>
                <w:color w:val="auto"/>
                <w:spacing w:val="0"/>
                <w:sz w:val="21"/>
                <w:szCs w:val="21"/>
                <w:highlight w:val="none"/>
                <w:lang w:val="en-US" w:eastAsia="zh-CN"/>
              </w:rPr>
              <w:t>6</w:t>
            </w:r>
            <w:r>
              <w:rPr>
                <w:rFonts w:hint="eastAsia" w:ascii="宋体" w:hAnsi="宋体" w:eastAsia="宋体" w:cs="宋体"/>
                <w:b w:val="0"/>
                <w:bCs/>
                <w:color w:val="auto"/>
                <w:spacing w:val="0"/>
                <w:sz w:val="21"/>
                <w:szCs w:val="21"/>
                <w:highlight w:val="none"/>
              </w:rPr>
              <w:t>分。上述内容</w:t>
            </w:r>
            <w:r>
              <w:rPr>
                <w:rFonts w:hint="eastAsia" w:ascii="宋体" w:hAnsi="宋体" w:eastAsia="宋体" w:cs="宋体"/>
                <w:color w:val="auto"/>
                <w:highlight w:val="none"/>
                <w:lang w:val="zh-CN" w:eastAsia="zh-CN"/>
              </w:rPr>
              <w:t>每缺少一项要素的，扣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zh-CN" w:eastAsia="zh-CN"/>
              </w:rPr>
              <w:t>分；每有一处内容存在错误或缺陷的，扣</w:t>
            </w:r>
            <w:r>
              <w:rPr>
                <w:rFonts w:hint="eastAsia" w:ascii="宋体" w:hAnsi="宋体" w:cs="宋体"/>
                <w:color w:val="auto"/>
                <w:highlight w:val="none"/>
                <w:lang w:val="en-US" w:eastAsia="zh-CN"/>
              </w:rPr>
              <w:t>1</w:t>
            </w:r>
            <w:r>
              <w:rPr>
                <w:rFonts w:hint="eastAsia" w:ascii="宋体" w:hAnsi="宋体" w:eastAsia="宋体" w:cs="宋体"/>
                <w:color w:val="auto"/>
                <w:highlight w:val="none"/>
                <w:lang w:val="zh-CN" w:eastAsia="zh-CN"/>
              </w:rPr>
              <w:t>分，扣完为止</w:t>
            </w:r>
            <w:r>
              <w:rPr>
                <w:rFonts w:hint="eastAsia" w:ascii="宋体" w:hAnsi="宋体" w:cs="宋体"/>
                <w:color w:val="auto"/>
                <w:highlight w:val="none"/>
                <w:lang w:val="zh-CN" w:eastAsia="zh-CN"/>
              </w:rPr>
              <w:t>，</w:t>
            </w:r>
            <w:r>
              <w:rPr>
                <w:rFonts w:hint="eastAsia" w:ascii="宋体" w:hAnsi="宋体" w:cs="宋体"/>
                <w:color w:val="auto"/>
                <w:highlight w:val="none"/>
                <w:lang w:val="en-US" w:eastAsia="zh-CN"/>
              </w:rPr>
              <w:t>未提供的不计分</w:t>
            </w:r>
            <w:r>
              <w:rPr>
                <w:rFonts w:hint="eastAsia" w:ascii="宋体" w:hAnsi="宋体" w:eastAsia="宋体" w:cs="宋体"/>
                <w:color w:val="auto"/>
                <w:highlight w:val="none"/>
                <w:lang w:val="zh-CN" w:eastAsia="zh-CN"/>
              </w:rPr>
              <w:t>。</w:t>
            </w:r>
          </w:p>
          <w:p w14:paraId="1B797183">
            <w:pPr>
              <w:spacing w:line="240" w:lineRule="auto"/>
              <w:jc w:val="left"/>
              <w:rPr>
                <w:rFonts w:hint="eastAsia" w:ascii="宋体" w:hAnsi="宋体" w:eastAsia="宋体" w:cs="宋体"/>
                <w:color w:val="auto"/>
                <w:highlight w:val="none"/>
                <w:lang w:val="zh-CN" w:eastAsia="zh-CN"/>
              </w:rPr>
            </w:pPr>
            <w:r>
              <w:rPr>
                <w:rFonts w:hint="eastAsia" w:ascii="宋体" w:hAnsi="宋体" w:cs="宋体"/>
                <w:color w:val="auto"/>
                <w:highlight w:val="none"/>
                <w:lang w:val="en-US" w:eastAsia="zh-CN"/>
              </w:rPr>
              <w:t>注：</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内容错误或有缺陷</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14:paraId="1065C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86" w:type="dxa"/>
            <w:vMerge w:val="continue"/>
            <w:noWrap w:val="0"/>
            <w:vAlign w:val="center"/>
          </w:tcPr>
          <w:p w14:paraId="33ACA798">
            <w:pPr>
              <w:tabs>
                <w:tab w:val="left" w:pos="1988"/>
              </w:tabs>
              <w:spacing w:line="240" w:lineRule="auto"/>
              <w:jc w:val="center"/>
              <w:rPr>
                <w:rFonts w:ascii="宋体" w:hAnsi="宋体" w:cs="宋体"/>
                <w:color w:val="auto"/>
                <w:szCs w:val="21"/>
                <w:highlight w:val="none"/>
              </w:rPr>
            </w:pPr>
          </w:p>
        </w:tc>
        <w:tc>
          <w:tcPr>
            <w:tcW w:w="1435" w:type="dxa"/>
            <w:noWrap w:val="0"/>
            <w:vAlign w:val="center"/>
          </w:tcPr>
          <w:p w14:paraId="0CE1C689">
            <w:pPr>
              <w:tabs>
                <w:tab w:val="left" w:pos="0"/>
              </w:tabs>
              <w:spacing w:line="280" w:lineRule="exact"/>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资源配备计划 </w:t>
            </w:r>
          </w:p>
        </w:tc>
        <w:tc>
          <w:tcPr>
            <w:tcW w:w="822" w:type="dxa"/>
            <w:tcBorders>
              <w:bottom w:val="single" w:color="auto" w:sz="4" w:space="0"/>
            </w:tcBorders>
            <w:noWrap w:val="0"/>
            <w:vAlign w:val="center"/>
          </w:tcPr>
          <w:p w14:paraId="5FC6101E">
            <w:pPr>
              <w:tabs>
                <w:tab w:val="left" w:pos="0"/>
              </w:tabs>
              <w:spacing w:line="280" w:lineRule="exact"/>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6分</w:t>
            </w:r>
          </w:p>
        </w:tc>
        <w:tc>
          <w:tcPr>
            <w:tcW w:w="6431" w:type="dxa"/>
            <w:tcBorders>
              <w:bottom w:val="single" w:color="auto" w:sz="4" w:space="0"/>
            </w:tcBorders>
            <w:noWrap w:val="0"/>
            <w:vAlign w:val="center"/>
          </w:tcPr>
          <w:p w14:paraId="52434FC7">
            <w:pPr>
              <w:spacing w:line="240" w:lineRule="auto"/>
              <w:jc w:val="left"/>
              <w:rPr>
                <w:rFonts w:hint="eastAsia" w:ascii="宋体" w:hAnsi="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供应商</w:t>
            </w:r>
            <w:r>
              <w:rPr>
                <w:rFonts w:hint="eastAsia" w:ascii="宋体" w:hAnsi="宋体" w:cs="宋体"/>
                <w:i w:val="0"/>
                <w:iCs w:val="0"/>
                <w:color w:val="auto"/>
                <w:highlight w:val="none"/>
                <w:lang w:val="en-US" w:eastAsia="zh-CN"/>
              </w:rPr>
              <w:t>根据本项目</w:t>
            </w:r>
            <w:r>
              <w:rPr>
                <w:rFonts w:hint="eastAsia" w:ascii="宋体" w:hAnsi="宋体" w:eastAsia="宋体" w:cs="宋体"/>
                <w:i w:val="0"/>
                <w:iCs w:val="0"/>
                <w:color w:val="auto"/>
                <w:highlight w:val="none"/>
                <w:lang w:val="en-US" w:eastAsia="zh-CN"/>
              </w:rPr>
              <w:t>提供</w:t>
            </w:r>
            <w:r>
              <w:rPr>
                <w:rFonts w:hint="eastAsia" w:ascii="宋体" w:hAnsi="宋体" w:eastAsia="宋体" w:cs="宋体"/>
                <w:i w:val="0"/>
                <w:iCs w:val="0"/>
                <w:color w:val="auto"/>
                <w:highlight w:val="none"/>
                <w:lang w:eastAsia="zh-CN"/>
              </w:rPr>
              <w:t>资源配备计划，包括</w:t>
            </w:r>
            <w:r>
              <w:rPr>
                <w:rFonts w:hint="eastAsia" w:ascii="宋体" w:hAnsi="宋体" w:eastAsia="宋体" w:cs="宋体"/>
                <w:i w:val="0"/>
                <w:iCs w:val="0"/>
                <w:color w:val="auto"/>
                <w:highlight w:val="none"/>
                <w:lang w:val="en-US" w:eastAsia="zh-CN"/>
              </w:rPr>
              <w:t>但不限于：</w:t>
            </w:r>
            <w:r>
              <w:rPr>
                <w:rFonts w:hint="eastAsia" w:ascii="宋体" w:hAnsi="宋体" w:eastAsia="宋体" w:cs="宋体"/>
                <w:i w:val="0"/>
                <w:iCs w:val="0"/>
                <w:color w:val="auto"/>
                <w:highlight w:val="none"/>
                <w:lang w:eastAsia="zh-CN"/>
              </w:rPr>
              <w:t>①</w:t>
            </w:r>
            <w:r>
              <w:rPr>
                <w:rFonts w:hint="eastAsia" w:ascii="宋体" w:hAnsi="宋体" w:eastAsia="宋体" w:cs="宋体"/>
                <w:color w:val="auto"/>
                <w:sz w:val="21"/>
                <w:szCs w:val="21"/>
                <w:highlight w:val="none"/>
              </w:rPr>
              <w:t>资源配备计划</w:t>
            </w: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主要项目管理人员及劳动力计划</w:t>
            </w:r>
            <w:r>
              <w:rPr>
                <w:rFonts w:hint="eastAsia" w:ascii="宋体" w:hAnsi="宋体" w:eastAsia="宋体" w:cs="宋体"/>
                <w:color w:val="auto"/>
                <w:sz w:val="21"/>
                <w:szCs w:val="21"/>
                <w:highlight w:val="none"/>
                <w:lang w:eastAsia="zh-CN"/>
              </w:rPr>
              <w:t>；</w:t>
            </w:r>
            <w:r>
              <w:rPr>
                <w:rFonts w:hint="eastAsia" w:ascii="宋体" w:hAnsi="宋体" w:cs="宋体"/>
                <w:i w:val="0"/>
                <w:iCs w:val="0"/>
                <w:color w:val="auto"/>
                <w:highlight w:val="none"/>
                <w:lang w:val="en-US" w:eastAsia="zh-CN"/>
              </w:rPr>
              <w:t>③</w:t>
            </w:r>
            <w:r>
              <w:rPr>
                <w:rFonts w:hint="eastAsia" w:ascii="宋体" w:hAnsi="宋体" w:eastAsia="宋体" w:cs="宋体"/>
                <w:i w:val="0"/>
                <w:iCs w:val="0"/>
                <w:color w:val="auto"/>
                <w:highlight w:val="none"/>
                <w:lang w:eastAsia="zh-CN"/>
              </w:rPr>
              <w:t>调配投入计划</w:t>
            </w:r>
            <w:r>
              <w:rPr>
                <w:rFonts w:hint="eastAsia" w:ascii="宋体" w:hAnsi="宋体" w:cs="宋体"/>
                <w:i w:val="0"/>
                <w:iCs w:val="0"/>
                <w:color w:val="auto"/>
                <w:highlight w:val="none"/>
                <w:lang w:val="en-US" w:eastAsia="zh-CN"/>
              </w:rPr>
              <w:t>。</w:t>
            </w:r>
          </w:p>
          <w:p w14:paraId="19D4C24C">
            <w:pPr>
              <w:spacing w:line="240" w:lineRule="auto"/>
              <w:jc w:val="left"/>
              <w:rPr>
                <w:rFonts w:hint="eastAsia" w:ascii="宋体" w:hAnsi="宋体" w:eastAsia="宋体" w:cs="宋体"/>
                <w:color w:val="auto"/>
                <w:highlight w:val="none"/>
                <w:lang w:val="zh-CN" w:eastAsia="zh-CN"/>
              </w:rPr>
            </w:pPr>
            <w:r>
              <w:rPr>
                <w:rFonts w:hint="eastAsia" w:ascii="宋体" w:hAnsi="宋体" w:eastAsia="宋体" w:cs="宋体"/>
                <w:b w:val="0"/>
                <w:bCs/>
                <w:color w:val="auto"/>
                <w:spacing w:val="0"/>
                <w:sz w:val="21"/>
                <w:szCs w:val="21"/>
                <w:highlight w:val="none"/>
              </w:rPr>
              <w:t>方案完整无缺项，详细具体，可操作性强，完全符合项目采购需求实际情况计</w:t>
            </w:r>
            <w:r>
              <w:rPr>
                <w:rFonts w:hint="eastAsia" w:ascii="宋体" w:hAnsi="宋体" w:cs="宋体"/>
                <w:b w:val="0"/>
                <w:bCs/>
                <w:color w:val="auto"/>
                <w:spacing w:val="0"/>
                <w:sz w:val="21"/>
                <w:szCs w:val="21"/>
                <w:highlight w:val="none"/>
                <w:lang w:val="en-US" w:eastAsia="zh-CN"/>
              </w:rPr>
              <w:t>6</w:t>
            </w:r>
            <w:r>
              <w:rPr>
                <w:rFonts w:hint="eastAsia" w:ascii="宋体" w:hAnsi="宋体" w:eastAsia="宋体" w:cs="宋体"/>
                <w:b w:val="0"/>
                <w:bCs/>
                <w:color w:val="auto"/>
                <w:spacing w:val="0"/>
                <w:sz w:val="21"/>
                <w:szCs w:val="21"/>
                <w:highlight w:val="none"/>
              </w:rPr>
              <w:t>分。上述内容</w:t>
            </w:r>
            <w:r>
              <w:rPr>
                <w:rFonts w:hint="eastAsia" w:ascii="宋体" w:hAnsi="宋体" w:eastAsia="宋体" w:cs="宋体"/>
                <w:color w:val="auto"/>
                <w:highlight w:val="none"/>
                <w:lang w:val="zh-CN" w:eastAsia="zh-CN"/>
              </w:rPr>
              <w:t>每缺少一项要素的，扣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zh-CN" w:eastAsia="zh-CN"/>
              </w:rPr>
              <w:t>分；每有一处内容存在错误或缺陷的，扣</w:t>
            </w:r>
            <w:r>
              <w:rPr>
                <w:rFonts w:hint="eastAsia" w:ascii="宋体" w:hAnsi="宋体" w:cs="宋体"/>
                <w:color w:val="auto"/>
                <w:highlight w:val="none"/>
                <w:lang w:val="en-US" w:eastAsia="zh-CN"/>
              </w:rPr>
              <w:t>1</w:t>
            </w:r>
            <w:r>
              <w:rPr>
                <w:rFonts w:hint="eastAsia" w:ascii="宋体" w:hAnsi="宋体" w:eastAsia="宋体" w:cs="宋体"/>
                <w:color w:val="auto"/>
                <w:highlight w:val="none"/>
                <w:lang w:val="zh-CN" w:eastAsia="zh-CN"/>
              </w:rPr>
              <w:t>分，扣完为止</w:t>
            </w:r>
            <w:r>
              <w:rPr>
                <w:rFonts w:hint="eastAsia" w:ascii="宋体" w:hAnsi="宋体" w:cs="宋体"/>
                <w:color w:val="auto"/>
                <w:highlight w:val="none"/>
                <w:lang w:val="zh-CN" w:eastAsia="zh-CN"/>
              </w:rPr>
              <w:t>，</w:t>
            </w:r>
            <w:r>
              <w:rPr>
                <w:rFonts w:hint="eastAsia" w:ascii="宋体" w:hAnsi="宋体" w:cs="宋体"/>
                <w:color w:val="auto"/>
                <w:highlight w:val="none"/>
                <w:lang w:val="en-US" w:eastAsia="zh-CN"/>
              </w:rPr>
              <w:t>未提供的不计分</w:t>
            </w:r>
            <w:r>
              <w:rPr>
                <w:rFonts w:hint="eastAsia" w:ascii="宋体" w:hAnsi="宋体" w:eastAsia="宋体" w:cs="宋体"/>
                <w:color w:val="auto"/>
                <w:highlight w:val="none"/>
                <w:lang w:val="zh-CN" w:eastAsia="zh-CN"/>
              </w:rPr>
              <w:t>。</w:t>
            </w:r>
          </w:p>
          <w:p w14:paraId="47340C69">
            <w:pPr>
              <w:spacing w:line="240" w:lineRule="auto"/>
              <w:jc w:val="left"/>
              <w:rPr>
                <w:rFonts w:hint="eastAsia" w:ascii="宋体" w:hAnsi="宋体" w:eastAsia="宋体" w:cs="宋体"/>
                <w:color w:val="auto"/>
                <w:highlight w:val="none"/>
                <w:lang w:val="zh-CN" w:eastAsia="zh-CN"/>
              </w:rPr>
            </w:pPr>
            <w:r>
              <w:rPr>
                <w:rFonts w:hint="eastAsia" w:ascii="宋体" w:hAnsi="宋体" w:cs="宋体"/>
                <w:color w:val="auto"/>
                <w:highlight w:val="none"/>
                <w:lang w:val="en-US" w:eastAsia="zh-CN"/>
              </w:rPr>
              <w:t>注：</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内容错误或有缺陷</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14:paraId="6DBF3D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86" w:type="dxa"/>
            <w:noWrap w:val="0"/>
            <w:vAlign w:val="center"/>
          </w:tcPr>
          <w:p w14:paraId="458C94FD">
            <w:pPr>
              <w:widowControl/>
              <w:jc w:val="center"/>
              <w:textAlignment w:val="center"/>
              <w:rPr>
                <w:rFonts w:ascii="宋体" w:hAnsi="宋体" w:cs="宋体"/>
                <w:b/>
                <w:bCs/>
                <w:color w:val="auto"/>
                <w:szCs w:val="21"/>
                <w:highlight w:val="none"/>
              </w:rPr>
            </w:pPr>
            <w:r>
              <w:rPr>
                <w:rFonts w:hint="eastAsia" w:ascii="宋体" w:hAnsi="宋体" w:cs="宋体"/>
                <w:b/>
                <w:color w:val="auto"/>
                <w:kern w:val="0"/>
                <w:szCs w:val="21"/>
                <w:highlight w:val="none"/>
              </w:rPr>
              <w:t>价格部分（</w:t>
            </w:r>
            <w:r>
              <w:rPr>
                <w:rFonts w:hint="eastAsia" w:ascii="宋体" w:hAnsi="宋体" w:cs="宋体"/>
                <w:b/>
                <w:color w:val="auto"/>
                <w:kern w:val="0"/>
                <w:szCs w:val="21"/>
                <w:highlight w:val="none"/>
                <w:lang w:val="en-US" w:eastAsia="zh-CN"/>
              </w:rPr>
              <w:t>30</w:t>
            </w:r>
            <w:r>
              <w:rPr>
                <w:rFonts w:hint="eastAsia" w:ascii="宋体" w:hAnsi="宋体" w:cs="宋体"/>
                <w:b/>
                <w:color w:val="auto"/>
                <w:kern w:val="0"/>
                <w:szCs w:val="21"/>
                <w:highlight w:val="none"/>
              </w:rPr>
              <w:t>分）</w:t>
            </w:r>
          </w:p>
        </w:tc>
        <w:tc>
          <w:tcPr>
            <w:tcW w:w="1435" w:type="dxa"/>
            <w:noWrap w:val="0"/>
            <w:vAlign w:val="center"/>
          </w:tcPr>
          <w:p w14:paraId="12EDCC78">
            <w:pPr>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822" w:type="dxa"/>
            <w:noWrap w:val="0"/>
            <w:vAlign w:val="center"/>
          </w:tcPr>
          <w:p w14:paraId="0BAF6034">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6431" w:type="dxa"/>
            <w:noWrap w:val="0"/>
            <w:vAlign w:val="center"/>
          </w:tcPr>
          <w:p w14:paraId="0816F757">
            <w:pPr>
              <w:spacing w:line="24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1、满足竞争性磋商文件要求且最后报价经评审后价格最低的为磋商基准价，其价格分为满分。其他供应商的价格分统一按照下列公式计算：磋商报价得分=（磋商基准价/最后磋商报价）×</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0</w:t>
            </w:r>
            <w:r>
              <w:rPr>
                <w:rFonts w:hint="eastAsia" w:ascii="宋体" w:hAnsi="宋体" w:eastAsia="宋体" w:cs="宋体"/>
                <w:color w:val="auto"/>
                <w:sz w:val="21"/>
                <w:szCs w:val="21"/>
                <w:highlight w:val="none"/>
                <w:lang w:val="en-US" w:eastAsia="zh-CN" w:bidi="ar-SA"/>
              </w:rPr>
              <w:br w:type="textWrapping"/>
            </w:r>
            <w:r>
              <w:rPr>
                <w:rFonts w:hint="eastAsia" w:ascii="宋体" w:hAnsi="宋体" w:eastAsia="宋体" w:cs="宋体"/>
                <w:color w:val="auto"/>
                <w:sz w:val="21"/>
                <w:szCs w:val="21"/>
                <w:highlight w:val="none"/>
                <w:lang w:val="en-US" w:eastAsia="zh-CN" w:bidi="ar-SA"/>
              </w:rPr>
              <w:t>2、供应商符合《政府采购促进中小企业发展暂行办法》、《关于政府采购支持监狱企业发展有关问题的通知》、《关于促进残疾人就业政府采购政策的通知》规定的，用扣除后的价格参与评审。</w:t>
            </w:r>
          </w:p>
        </w:tc>
      </w:tr>
      <w:tr w14:paraId="4AB7C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21" w:type="dxa"/>
            <w:gridSpan w:val="2"/>
            <w:noWrap w:val="0"/>
            <w:vAlign w:val="center"/>
          </w:tcPr>
          <w:p w14:paraId="3ABBFD9C">
            <w:pPr>
              <w:jc w:val="center"/>
              <w:rPr>
                <w:rFonts w:ascii="宋体" w:hAnsi="宋体" w:cs="宋体"/>
                <w:b/>
                <w:bCs/>
                <w:color w:val="auto"/>
                <w:szCs w:val="21"/>
                <w:highlight w:val="none"/>
              </w:rPr>
            </w:pPr>
            <w:r>
              <w:rPr>
                <w:rFonts w:hint="eastAsia" w:ascii="宋体" w:hAnsi="宋体" w:cs="宋体"/>
                <w:b/>
                <w:bCs/>
                <w:color w:val="auto"/>
                <w:szCs w:val="21"/>
                <w:highlight w:val="none"/>
              </w:rPr>
              <w:t>合计</w:t>
            </w:r>
          </w:p>
        </w:tc>
        <w:tc>
          <w:tcPr>
            <w:tcW w:w="822" w:type="dxa"/>
            <w:noWrap w:val="0"/>
            <w:vAlign w:val="center"/>
          </w:tcPr>
          <w:p w14:paraId="39A09BD2">
            <w:pPr>
              <w:jc w:val="center"/>
              <w:rPr>
                <w:rFonts w:ascii="宋体" w:hAnsi="宋体" w:cs="宋体"/>
                <w:b/>
                <w:bCs/>
                <w:color w:val="auto"/>
                <w:szCs w:val="21"/>
                <w:highlight w:val="none"/>
              </w:rPr>
            </w:pPr>
            <w:r>
              <w:rPr>
                <w:rFonts w:hint="eastAsia" w:ascii="宋体" w:hAnsi="宋体" w:cs="宋体"/>
                <w:b/>
                <w:bCs/>
                <w:color w:val="auto"/>
                <w:szCs w:val="21"/>
                <w:highlight w:val="none"/>
              </w:rPr>
              <w:t>100分</w:t>
            </w:r>
          </w:p>
        </w:tc>
        <w:tc>
          <w:tcPr>
            <w:tcW w:w="6431" w:type="dxa"/>
            <w:noWrap w:val="0"/>
            <w:vAlign w:val="center"/>
          </w:tcPr>
          <w:p w14:paraId="48BE63C0">
            <w:pPr>
              <w:spacing w:before="156" w:beforeLines="50"/>
              <w:rPr>
                <w:rFonts w:ascii="宋体" w:hAnsi="宋体" w:cs="宋体"/>
                <w:color w:val="auto"/>
                <w:szCs w:val="21"/>
                <w:highlight w:val="none"/>
              </w:rPr>
            </w:pPr>
          </w:p>
        </w:tc>
      </w:tr>
    </w:tbl>
    <w:p w14:paraId="6883D359">
      <w:pPr>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其他说明：</w:t>
      </w:r>
    </w:p>
    <w:p w14:paraId="5F78E07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1、供应商的综合得分为：所有磋商小组成员对其评标的综合得分。</w:t>
      </w:r>
    </w:p>
    <w:p w14:paraId="6C57ABA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2、计算过程中，算术平均值保留2位小数（百分比亦取2位小数），第三位小数四舍五入。</w:t>
      </w:r>
    </w:p>
    <w:p w14:paraId="6B486724">
      <w:pPr>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3、评标结果按评审后得分由高到低顺序排列。评审得分相同的，按照最后报价由低到高的</w:t>
      </w:r>
      <w:r>
        <w:rPr>
          <w:rFonts w:hint="eastAsia" w:ascii="宋体" w:hAnsi="宋体" w:eastAsia="宋体" w:cs="宋体"/>
          <w:b w:val="0"/>
          <w:bCs w:val="0"/>
          <w:color w:val="auto"/>
          <w:szCs w:val="21"/>
          <w:highlight w:val="none"/>
        </w:rPr>
        <w:t>顺序推荐。评审得分且最后报价相同的，按照技术指标优劣顺序推荐排名第一的成交候选供应商。</w:t>
      </w:r>
    </w:p>
    <w:p w14:paraId="03DA14BC">
      <w:pPr>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4、凡评委评分项牵涉到的证明文件、数据、承诺，响应文件中未提供、或已提供但是字迹模糊无法辨认、语义模糊易造成误解、前后文件内容不一致的则该评分项计0分处理。</w:t>
      </w:r>
    </w:p>
    <w:p w14:paraId="1AFA3BFC">
      <w:pPr>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5、若提交的相关证明材料无法得到核实或未在规定的时间内提交，评委会将对其所对应的评分项计0分。相关证明资料需提供复印件加盖公章，提供虚假资料的供应商将取消其磋商或成交资格。</w:t>
      </w:r>
    </w:p>
    <w:p w14:paraId="6A518D15">
      <w:pPr>
        <w:jc w:val="left"/>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6、复印件包含复印件、影印件、扫描件形式</w:t>
      </w:r>
      <w:r>
        <w:rPr>
          <w:rFonts w:hint="eastAsia" w:ascii="宋体" w:hAnsi="宋体" w:eastAsia="宋体" w:cs="宋体"/>
          <w:b w:val="0"/>
          <w:bCs w:val="0"/>
          <w:color w:val="auto"/>
          <w:highlight w:val="none"/>
        </w:rPr>
        <w:t>。</w:t>
      </w:r>
    </w:p>
    <w:p w14:paraId="14F9E4B5">
      <w:pPr>
        <w:jc w:val="left"/>
        <w:rPr>
          <w:rFonts w:hint="default" w:ascii="Times New Roman" w:hAnsi="Times New Roman" w:eastAsia="宋体" w:cs="Times New Roman"/>
          <w:color w:val="auto"/>
          <w:highlight w:val="none"/>
          <w:lang w:val="en-US" w:eastAsia="zh-CN"/>
        </w:rPr>
      </w:pPr>
      <w:r>
        <w:rPr>
          <w:rFonts w:hint="eastAsia" w:ascii="宋体" w:hAnsi="宋体" w:cs="宋体"/>
          <w:b w:val="0"/>
          <w:bCs w:val="0"/>
          <w:color w:val="auto"/>
          <w:highlight w:val="none"/>
          <w:lang w:val="en-US" w:eastAsia="zh-CN"/>
        </w:rPr>
        <w:t>7、评分标准中“</w:t>
      </w:r>
      <w:r>
        <w:rPr>
          <w:rFonts w:hint="eastAsia" w:ascii="宋体" w:hAnsi="宋体" w:eastAsia="宋体" w:cs="宋体"/>
          <w:color w:val="auto"/>
          <w:szCs w:val="21"/>
          <w:highlight w:val="none"/>
          <w:lang w:val="zh-CN" w:eastAsia="zh-CN"/>
        </w:rPr>
        <w:t>内容错误或有缺陷</w:t>
      </w:r>
      <w:r>
        <w:rPr>
          <w:rFonts w:hint="eastAsia" w:ascii="宋体" w:hAnsi="宋体" w:cs="宋体"/>
          <w:b w:val="0"/>
          <w:bCs w:val="0"/>
          <w:color w:val="auto"/>
          <w:highlight w:val="none"/>
          <w:lang w:val="en-US" w:eastAsia="zh-CN"/>
        </w:rPr>
        <w:t>”</w:t>
      </w:r>
      <w:r>
        <w:rPr>
          <w:rFonts w:hint="eastAsia" w:ascii="宋体" w:hAnsi="宋体" w:eastAsia="宋体" w:cs="宋体"/>
          <w:color w:val="auto"/>
          <w:szCs w:val="21"/>
          <w:highlight w:val="none"/>
          <w:lang w:val="zh-CN" w:eastAsia="zh-CN"/>
        </w:rPr>
        <w:t>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p w14:paraId="049FBE72">
      <w:pPr>
        <w:rPr>
          <w:rFonts w:hint="eastAsia" w:ascii="宋体" w:hAnsi="宋体" w:eastAsia="宋体" w:cs="宋体"/>
          <w:b/>
          <w:bCs/>
          <w:color w:val="auto"/>
          <w:highlight w:val="none"/>
          <w:lang w:val="zh-CN"/>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val="zh-CN"/>
        </w:rPr>
        <w:t>评审中出现下列情形之一的，评审委员会应当启动异常低价投标（响应）审查程序：</w:t>
      </w:r>
    </w:p>
    <w:p w14:paraId="470E03E6">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val="zh-CN"/>
        </w:rPr>
        <w:t>）投标（响应）报价低于全部通过符合性审查供应商投标（响应）报价平均值50%的，即投标（响应）报价&lt;全部通过符合性审查供应商投标（响应）报价平均值×50%；</w:t>
      </w:r>
    </w:p>
    <w:p w14:paraId="6DFB8399">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val="zh-CN"/>
        </w:rPr>
        <w:t>）投标（响应）报价低于通过符合性审查的次低报价供应商投标（响应）报价50%的，即投标（响应）报价&lt;通过符合性审查的次低报价供应商投标（响应）报价×50%；</w:t>
      </w:r>
    </w:p>
    <w:p w14:paraId="2425D2AB">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val="zh-CN"/>
        </w:rPr>
        <w:t>）投标（响应）报价低于采购项目最高限价45%的，即投标（响应）报价&lt;采购项目最高限价×45%；</w:t>
      </w:r>
    </w:p>
    <w:p w14:paraId="7D219800">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val="zh-CN"/>
        </w:rPr>
        <w:t>）评审委员会基于专业判断，认为供应商报价过低，有可能影响产品质量或者不能诚信履约的其他情形。</w:t>
      </w:r>
    </w:p>
    <w:p w14:paraId="491FEC7F">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相关法律法规对供应商报价有规定的，从其规定。</w:t>
      </w:r>
    </w:p>
    <w:p w14:paraId="4D09EF4E">
      <w:pPr>
        <w:ind w:firstLine="422" w:firstLineChars="200"/>
        <w:rPr>
          <w:rFonts w:hint="eastAsia" w:ascii="黑体" w:eastAsia="黑体"/>
          <w:b/>
          <w:bCs/>
          <w:color w:val="auto"/>
          <w:sz w:val="32"/>
          <w:szCs w:val="32"/>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auto"/>
          <w:kern w:val="2"/>
          <w:sz w:val="21"/>
          <w:szCs w:val="24"/>
          <w:highlight w:val="none"/>
          <w:lang w:val="zh-CN"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9FDE7E">
      <w:pPr>
        <w:jc w:val="center"/>
        <w:outlineLvl w:val="0"/>
        <w:rPr>
          <w:rFonts w:ascii="黑体" w:hAnsi="宋体" w:eastAsia="黑体"/>
          <w:b/>
          <w:bCs/>
          <w:color w:val="auto"/>
          <w:sz w:val="32"/>
          <w:szCs w:val="32"/>
          <w:highlight w:val="none"/>
        </w:rPr>
      </w:pPr>
      <w:r>
        <w:rPr>
          <w:rFonts w:hint="eastAsia" w:ascii="黑体" w:eastAsia="黑体"/>
          <w:b/>
          <w:bCs/>
          <w:color w:val="auto"/>
          <w:sz w:val="32"/>
          <w:szCs w:val="32"/>
          <w:highlight w:val="none"/>
        </w:rPr>
        <w:t>磋商须知</w:t>
      </w:r>
      <w:r>
        <w:rPr>
          <w:rFonts w:hint="eastAsia" w:ascii="黑体" w:hAnsi="宋体" w:eastAsia="黑体"/>
          <w:b/>
          <w:bCs/>
          <w:color w:val="auto"/>
          <w:sz w:val="32"/>
          <w:szCs w:val="32"/>
          <w:highlight w:val="none"/>
        </w:rPr>
        <w:t>正文</w:t>
      </w:r>
    </w:p>
    <w:p w14:paraId="3AB06961">
      <w:pPr>
        <w:numPr>
          <w:ilvl w:val="0"/>
          <w:numId w:val="7"/>
        </w:numPr>
        <w:adjustRightInd w:val="0"/>
        <w:snapToGrid w:val="0"/>
        <w:spacing w:line="360" w:lineRule="auto"/>
        <w:outlineLvl w:val="0"/>
        <w:rPr>
          <w:rFonts w:ascii="黑体" w:hAnsi="宋体" w:eastAsia="黑体"/>
          <w:b/>
          <w:bCs/>
          <w:color w:val="auto"/>
          <w:sz w:val="24"/>
          <w:highlight w:val="none"/>
        </w:rPr>
      </w:pPr>
      <w:r>
        <w:rPr>
          <w:rFonts w:hint="eastAsia" w:ascii="宋体" w:hAnsi="宋体" w:cs="宋体"/>
          <w:b/>
          <w:bCs/>
          <w:color w:val="auto"/>
          <w:szCs w:val="21"/>
          <w:highlight w:val="none"/>
        </w:rPr>
        <w:t>说明</w:t>
      </w:r>
    </w:p>
    <w:p w14:paraId="07CC6A3D">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1.适用范围</w:t>
      </w:r>
    </w:p>
    <w:p w14:paraId="4371524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 本磋商文件仅适用于磋商须知前附表(以下简称</w:t>
      </w:r>
      <w:r>
        <w:rPr>
          <w:rFonts w:hint="eastAsia" w:ascii="宋体" w:hAnsi="宋体"/>
          <w:b/>
          <w:color w:val="auto"/>
          <w:szCs w:val="21"/>
          <w:highlight w:val="none"/>
        </w:rPr>
        <w:t>磋商须知前附表)</w:t>
      </w:r>
      <w:r>
        <w:rPr>
          <w:rFonts w:hint="eastAsia" w:ascii="宋体" w:hAnsi="宋体"/>
          <w:color w:val="auto"/>
          <w:szCs w:val="21"/>
          <w:highlight w:val="none"/>
        </w:rPr>
        <w:t>中所叙述的采购项目。</w:t>
      </w:r>
    </w:p>
    <w:p w14:paraId="714E71EA">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2.定义</w:t>
      </w:r>
    </w:p>
    <w:p w14:paraId="0108E0C8">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0678D72A">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color w:val="auto"/>
          <w:szCs w:val="21"/>
          <w:highlight w:val="none"/>
        </w:rPr>
        <w:t>磋商须知前附表。</w:t>
      </w:r>
    </w:p>
    <w:p w14:paraId="3249D3E2">
      <w:pPr>
        <w:adjustRightInd w:val="0"/>
        <w:snapToGrid w:val="0"/>
        <w:spacing w:line="360" w:lineRule="auto"/>
        <w:ind w:firstLine="420" w:firstLineChars="200"/>
        <w:rPr>
          <w:rFonts w:ascii="宋体" w:hAnsi="宋体" w:cs="宋体"/>
          <w:bCs/>
          <w:color w:val="auto"/>
          <w:kern w:val="36"/>
          <w:szCs w:val="21"/>
          <w:highlight w:val="none"/>
        </w:rPr>
      </w:pPr>
      <w:r>
        <w:rPr>
          <w:rFonts w:hint="eastAsia" w:ascii="宋体" w:hAnsi="宋体"/>
          <w:color w:val="auto"/>
          <w:szCs w:val="21"/>
          <w:highlight w:val="none"/>
        </w:rPr>
        <w:t>2.3 “供应商”是指响应磋商文件要求、参加竞争性磋商采购的法人、其他组织或者自然人。本次政府采购项目</w:t>
      </w:r>
      <w:r>
        <w:rPr>
          <w:rFonts w:hint="eastAsia" w:ascii="宋体" w:hAnsi="宋体" w:cs="宋体"/>
          <w:color w:val="auto"/>
          <w:kern w:val="0"/>
          <w:szCs w:val="21"/>
          <w:highlight w:val="none"/>
        </w:rPr>
        <w:t>邀请</w:t>
      </w:r>
      <w:r>
        <w:rPr>
          <w:rFonts w:hint="eastAsia" w:ascii="宋体" w:hAnsi="宋体"/>
          <w:color w:val="auto"/>
          <w:szCs w:val="21"/>
          <w:highlight w:val="none"/>
        </w:rPr>
        <w:t>的</w:t>
      </w:r>
      <w:r>
        <w:rPr>
          <w:rFonts w:hint="eastAsia" w:ascii="宋体" w:hAnsi="宋体" w:cs="宋体"/>
          <w:color w:val="auto"/>
          <w:kern w:val="0"/>
          <w:szCs w:val="21"/>
          <w:highlight w:val="none"/>
        </w:rPr>
        <w:t>供应商通过</w:t>
      </w:r>
      <w:r>
        <w:rPr>
          <w:rFonts w:hint="eastAsia" w:ascii="宋体" w:hAnsi="宋体"/>
          <w:b/>
          <w:color w:val="auto"/>
          <w:szCs w:val="21"/>
          <w:highlight w:val="none"/>
        </w:rPr>
        <w:t>磋商须知前附表</w:t>
      </w:r>
      <w:r>
        <w:rPr>
          <w:rFonts w:hint="eastAsia" w:ascii="宋体" w:hAnsi="宋体"/>
          <w:color w:val="auto"/>
          <w:szCs w:val="21"/>
          <w:highlight w:val="none"/>
        </w:rPr>
        <w:t>所述方式</w:t>
      </w:r>
      <w:r>
        <w:rPr>
          <w:rFonts w:hint="eastAsia" w:ascii="宋体" w:hAnsi="宋体" w:cs="宋体"/>
          <w:color w:val="auto"/>
          <w:kern w:val="0"/>
          <w:szCs w:val="21"/>
          <w:highlight w:val="none"/>
        </w:rPr>
        <w:t>，邀请符合资格条件的供应商提交响应文件（含资格证明资料），参与竞争性磋商采购活动。</w:t>
      </w:r>
    </w:p>
    <w:p w14:paraId="35C7F44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2.4 “磋商小组”是指</w:t>
      </w:r>
      <w:r>
        <w:rPr>
          <w:rFonts w:hint="eastAsia" w:ascii="宋体" w:hAnsi="宋体" w:cs="宋体"/>
          <w:color w:val="auto"/>
          <w:kern w:val="0"/>
          <w:szCs w:val="21"/>
          <w:highlight w:val="none"/>
        </w:rPr>
        <w:t>依据财政部</w:t>
      </w:r>
      <w:r>
        <w:rPr>
          <w:rFonts w:ascii="宋体" w:hAnsi="宋体" w:cs="宋体"/>
          <w:bCs/>
          <w:color w:val="auto"/>
          <w:kern w:val="36"/>
          <w:szCs w:val="21"/>
          <w:highlight w:val="none"/>
        </w:rPr>
        <w:t>《</w:t>
      </w:r>
      <w:r>
        <w:rPr>
          <w:rFonts w:hint="eastAsia" w:ascii="宋体" w:hAnsi="宋体" w:cs="宋体"/>
          <w:bCs/>
          <w:color w:val="auto"/>
          <w:kern w:val="36"/>
          <w:szCs w:val="21"/>
          <w:highlight w:val="none"/>
        </w:rPr>
        <w:t>政府采购竞争性磋商采购方式管理暂行办法</w:t>
      </w:r>
      <w:r>
        <w:rPr>
          <w:rFonts w:ascii="宋体" w:hAnsi="宋体" w:cs="宋体"/>
          <w:bCs/>
          <w:color w:val="auto"/>
          <w:kern w:val="36"/>
          <w:szCs w:val="21"/>
          <w:highlight w:val="none"/>
        </w:rPr>
        <w:t>》</w:t>
      </w:r>
      <w:r>
        <w:rPr>
          <w:rFonts w:hint="eastAsia" w:ascii="宋体" w:hAnsi="宋体" w:cs="宋体"/>
          <w:bCs/>
          <w:color w:val="auto"/>
          <w:kern w:val="36"/>
          <w:szCs w:val="21"/>
          <w:highlight w:val="none"/>
        </w:rPr>
        <w:t>有关规定组建，依法依规</w:t>
      </w:r>
      <w:r>
        <w:rPr>
          <w:rFonts w:hint="eastAsia" w:ascii="宋体" w:hAnsi="宋体" w:cs="宋体"/>
          <w:color w:val="auto"/>
          <w:kern w:val="0"/>
          <w:szCs w:val="21"/>
          <w:highlight w:val="none"/>
        </w:rPr>
        <w:t>履行其职责和义务的机构。</w:t>
      </w:r>
    </w:p>
    <w:p w14:paraId="2BE15EDF">
      <w:pPr>
        <w:adjustRightInd w:val="0"/>
        <w:snapToGrid w:val="0"/>
        <w:spacing w:line="360" w:lineRule="auto"/>
        <w:ind w:firstLine="420" w:firstLineChars="200"/>
        <w:rPr>
          <w:rFonts w:ascii="宋体"/>
          <w:color w:val="auto"/>
          <w:szCs w:val="21"/>
          <w:highlight w:val="none"/>
        </w:rPr>
      </w:pPr>
      <w:r>
        <w:rPr>
          <w:rFonts w:ascii="宋体"/>
          <w:color w:val="auto"/>
          <w:szCs w:val="21"/>
          <w:highlight w:val="none"/>
        </w:rPr>
        <w:t xml:space="preserve">2.5 </w:t>
      </w:r>
      <w:r>
        <w:rPr>
          <w:rFonts w:hint="eastAsia" w:ascii="宋体"/>
          <w:color w:val="auto"/>
          <w:szCs w:val="21"/>
          <w:highlight w:val="none"/>
        </w:rPr>
        <w:t>“货物”是指各种形态和种类的物品，包括原资料、燃料、设备、产品等，详见《政府采购品目分类目录》</w:t>
      </w:r>
      <w:r>
        <w:rPr>
          <w:rFonts w:ascii="宋体"/>
          <w:color w:val="auto"/>
          <w:szCs w:val="21"/>
          <w:highlight w:val="none"/>
        </w:rPr>
        <w:t>(</w:t>
      </w:r>
      <w:r>
        <w:rPr>
          <w:rStyle w:val="36"/>
          <w:rFonts w:hint="eastAsia" w:ascii="宋体" w:hAnsi="宋体"/>
          <w:b w:val="0"/>
          <w:color w:val="auto"/>
          <w:highlight w:val="none"/>
        </w:rPr>
        <w:t>（财库〔2022〕31号）</w:t>
      </w:r>
      <w:r>
        <w:rPr>
          <w:rFonts w:ascii="宋体"/>
          <w:color w:val="auto"/>
          <w:szCs w:val="21"/>
          <w:highlight w:val="none"/>
        </w:rPr>
        <w:t>)</w:t>
      </w:r>
      <w:r>
        <w:rPr>
          <w:rFonts w:hint="eastAsia" w:ascii="宋体"/>
          <w:color w:val="auto"/>
          <w:szCs w:val="21"/>
          <w:highlight w:val="none"/>
        </w:rPr>
        <w:t>。</w:t>
      </w:r>
    </w:p>
    <w:p w14:paraId="103A315D">
      <w:pPr>
        <w:adjustRightInd w:val="0"/>
        <w:snapToGrid w:val="0"/>
        <w:spacing w:line="360" w:lineRule="auto"/>
        <w:ind w:firstLine="420" w:firstLineChars="200"/>
        <w:rPr>
          <w:rFonts w:ascii="宋体"/>
          <w:color w:val="auto"/>
          <w:szCs w:val="21"/>
          <w:highlight w:val="none"/>
        </w:rPr>
      </w:pPr>
      <w:r>
        <w:rPr>
          <w:rFonts w:ascii="宋体"/>
          <w:color w:val="auto"/>
          <w:szCs w:val="21"/>
          <w:highlight w:val="none"/>
        </w:rPr>
        <w:t xml:space="preserve">2.6 </w:t>
      </w:r>
      <w:r>
        <w:rPr>
          <w:rFonts w:hint="eastAsia" w:ascii="宋体"/>
          <w:color w:val="auto"/>
          <w:szCs w:val="21"/>
          <w:highlight w:val="none"/>
        </w:rPr>
        <w:t>“工程”是指建设工程，包括建筑物和构筑物的新建、改建、扩建、装修、拆除、修缮等，详见《政府采购品目分类目录》</w:t>
      </w:r>
      <w:r>
        <w:rPr>
          <w:rFonts w:ascii="宋体"/>
          <w:color w:val="auto"/>
          <w:szCs w:val="21"/>
          <w:highlight w:val="none"/>
        </w:rPr>
        <w:t>(</w:t>
      </w:r>
      <w:r>
        <w:rPr>
          <w:rStyle w:val="36"/>
          <w:rFonts w:hint="eastAsia" w:ascii="宋体" w:hAnsi="宋体"/>
          <w:b w:val="0"/>
          <w:color w:val="auto"/>
          <w:highlight w:val="none"/>
        </w:rPr>
        <w:t>（财库〔2022〕31号）</w:t>
      </w:r>
      <w:r>
        <w:rPr>
          <w:rFonts w:ascii="宋体"/>
          <w:color w:val="auto"/>
          <w:szCs w:val="21"/>
          <w:highlight w:val="none"/>
        </w:rPr>
        <w:t>)</w:t>
      </w:r>
      <w:r>
        <w:rPr>
          <w:rFonts w:hint="eastAsia" w:ascii="宋体"/>
          <w:color w:val="auto"/>
          <w:szCs w:val="21"/>
          <w:highlight w:val="none"/>
        </w:rPr>
        <w:t>。</w:t>
      </w:r>
    </w:p>
    <w:p w14:paraId="1FD34653">
      <w:pPr>
        <w:adjustRightInd w:val="0"/>
        <w:snapToGrid w:val="0"/>
        <w:spacing w:line="360" w:lineRule="auto"/>
        <w:ind w:firstLine="420" w:firstLineChars="200"/>
        <w:rPr>
          <w:rFonts w:ascii="宋体"/>
          <w:color w:val="auto"/>
          <w:szCs w:val="21"/>
          <w:highlight w:val="none"/>
        </w:rPr>
      </w:pPr>
      <w:r>
        <w:rPr>
          <w:rFonts w:ascii="宋体"/>
          <w:color w:val="auto"/>
          <w:szCs w:val="21"/>
          <w:highlight w:val="none"/>
        </w:rPr>
        <w:t xml:space="preserve">2.7 </w:t>
      </w:r>
      <w:r>
        <w:rPr>
          <w:rFonts w:hint="eastAsia" w:ascii="宋体"/>
          <w:color w:val="auto"/>
          <w:szCs w:val="21"/>
          <w:highlight w:val="none"/>
        </w:rPr>
        <w:t>“服务”是指除货物和工程以外的其他政府采购对象，详见《政府采购品目分类目录》</w:t>
      </w:r>
      <w:r>
        <w:rPr>
          <w:rFonts w:ascii="宋体"/>
          <w:color w:val="auto"/>
          <w:szCs w:val="21"/>
          <w:highlight w:val="none"/>
        </w:rPr>
        <w:t>(</w:t>
      </w:r>
      <w:r>
        <w:rPr>
          <w:rStyle w:val="36"/>
          <w:rFonts w:hint="eastAsia" w:ascii="宋体" w:hAnsi="宋体"/>
          <w:b w:val="0"/>
          <w:color w:val="auto"/>
          <w:highlight w:val="none"/>
        </w:rPr>
        <w:t>（财库〔2022〕31号）</w:t>
      </w:r>
      <w:r>
        <w:rPr>
          <w:rFonts w:ascii="宋体"/>
          <w:color w:val="auto"/>
          <w:szCs w:val="21"/>
          <w:highlight w:val="none"/>
        </w:rPr>
        <w:t>)</w:t>
      </w:r>
      <w:r>
        <w:rPr>
          <w:rFonts w:hint="eastAsia" w:ascii="宋体"/>
          <w:color w:val="auto"/>
          <w:szCs w:val="21"/>
          <w:highlight w:val="none"/>
        </w:rPr>
        <w:t>。</w:t>
      </w:r>
    </w:p>
    <w:p w14:paraId="4AD9C13A">
      <w:pPr>
        <w:adjustRightInd w:val="0"/>
        <w:snapToGrid w:val="0"/>
        <w:spacing w:line="360" w:lineRule="auto"/>
        <w:ind w:firstLine="420" w:firstLineChars="200"/>
        <w:rPr>
          <w:rFonts w:ascii="宋体"/>
          <w:color w:val="auto"/>
          <w:szCs w:val="21"/>
          <w:highlight w:val="none"/>
        </w:rPr>
      </w:pPr>
      <w:r>
        <w:rPr>
          <w:rFonts w:ascii="宋体" w:cs="宋体"/>
          <w:color w:val="auto"/>
          <w:kern w:val="0"/>
          <w:szCs w:val="21"/>
          <w:highlight w:val="none"/>
        </w:rPr>
        <w:t>2.8</w:t>
      </w:r>
      <w:r>
        <w:rPr>
          <w:rFonts w:hint="eastAsia" w:ascii="宋体"/>
          <w:color w:val="auto"/>
          <w:szCs w:val="21"/>
          <w:highlight w:val="none"/>
        </w:rPr>
        <w:t>“节能产品”或者“环保产品”是指</w:t>
      </w:r>
      <w:r>
        <w:rPr>
          <w:rFonts w:hint="eastAsia" w:ascii="宋体" w:hAnsi="宋体" w:cs="宋体"/>
          <w:color w:val="auto"/>
          <w:szCs w:val="21"/>
          <w:highlight w:val="none"/>
        </w:rPr>
        <w:t>纳入财政部会同国务院有关部门发布的节能产品、环境标志产品政府采购品目清单</w:t>
      </w:r>
      <w:r>
        <w:rPr>
          <w:rFonts w:hint="eastAsia" w:ascii="宋体"/>
          <w:color w:val="auto"/>
          <w:szCs w:val="21"/>
          <w:highlight w:val="none"/>
        </w:rPr>
        <w:t>的产品，“两型产品”是指湖南省财政厅发布的《湖南省两型产品政府采购目录》或《长沙市两型产品目录》的产品。</w:t>
      </w:r>
    </w:p>
    <w:p w14:paraId="35352AEB">
      <w:pPr>
        <w:adjustRightInd w:val="0"/>
        <w:snapToGrid w:val="0"/>
        <w:spacing w:line="360" w:lineRule="auto"/>
        <w:ind w:firstLine="420" w:firstLineChars="200"/>
        <w:rPr>
          <w:rFonts w:ascii="宋体" w:hAnsi="宋体" w:cs="宋体"/>
          <w:color w:val="auto"/>
          <w:kern w:val="0"/>
          <w:szCs w:val="21"/>
          <w:highlight w:val="none"/>
        </w:rPr>
      </w:pPr>
      <w:r>
        <w:rPr>
          <w:rFonts w:ascii="宋体"/>
          <w:color w:val="auto"/>
          <w:szCs w:val="21"/>
          <w:highlight w:val="none"/>
        </w:rPr>
        <w:t>2.9</w:t>
      </w:r>
      <w:r>
        <w:rPr>
          <w:rFonts w:hint="eastAsia" w:ascii="宋体" w:cs="宋体"/>
          <w:color w:val="auto"/>
          <w:kern w:val="0"/>
          <w:szCs w:val="21"/>
          <w:highlight w:val="none"/>
        </w:rPr>
        <w:t>“进口产品”是指通过中国海关报关验放进入中国境内且产自关境外的产品，详见</w:t>
      </w:r>
      <w:r>
        <w:rPr>
          <w:rFonts w:hint="eastAsia" w:ascii="宋体" w:hAnsi="宋体" w:cs="宋体"/>
          <w:color w:val="auto"/>
          <w:szCs w:val="21"/>
          <w:highlight w:val="none"/>
        </w:rPr>
        <w:t>财政部关于印发《政府采购进口产品</w:t>
      </w:r>
      <w:r>
        <w:rPr>
          <w:rFonts w:hint="eastAsia" w:ascii="宋体" w:hAnsi="宋体" w:cs="宋体"/>
          <w:b/>
          <w:bCs/>
          <w:color w:val="auto"/>
          <w:szCs w:val="21"/>
          <w:highlight w:val="none"/>
        </w:rPr>
        <w:t>管理办法</w:t>
      </w:r>
      <w:r>
        <w:rPr>
          <w:rFonts w:hint="eastAsia" w:ascii="宋体" w:hAnsi="宋体" w:cs="宋体"/>
          <w:color w:val="auto"/>
          <w:szCs w:val="21"/>
          <w:highlight w:val="none"/>
        </w:rPr>
        <w:t>》的通知财库〔2007〕119号</w:t>
      </w:r>
      <w:r>
        <w:rPr>
          <w:rFonts w:hint="eastAsia" w:ascii="宋体" w:cs="宋体"/>
          <w:color w:val="auto"/>
          <w:kern w:val="0"/>
          <w:szCs w:val="21"/>
          <w:highlight w:val="none"/>
        </w:rPr>
        <w:t>。</w:t>
      </w:r>
    </w:p>
    <w:p w14:paraId="1958BF14">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3.供应商的资格要求</w:t>
      </w:r>
    </w:p>
    <w:p w14:paraId="23F5D0E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rPr>
        <w:t>磋商须知前附表</w:t>
      </w:r>
      <w:r>
        <w:rPr>
          <w:rFonts w:hint="eastAsia" w:ascii="宋体" w:hAnsi="宋体"/>
          <w:color w:val="auto"/>
          <w:szCs w:val="21"/>
          <w:highlight w:val="none"/>
        </w:rPr>
        <w:t>中规定的资格条件要求。</w:t>
      </w:r>
    </w:p>
    <w:p w14:paraId="0FF254A4">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3.2供应商</w:t>
      </w:r>
      <w:r>
        <w:rPr>
          <w:rFonts w:hint="eastAsia" w:hAnsi="宋体"/>
          <w:color w:val="auto"/>
          <w:highlight w:val="none"/>
        </w:rPr>
        <w:t>为联合体形式的</w:t>
      </w:r>
      <w:r>
        <w:rPr>
          <w:rFonts w:hint="eastAsia" w:ascii="宋体" w:hAnsi="宋体"/>
          <w:color w:val="auto"/>
          <w:szCs w:val="21"/>
          <w:highlight w:val="none"/>
        </w:rPr>
        <w:t>，除应满足本章第3.1款资格条件要求及第3.3款规定外，还应遵守以下规定：</w:t>
      </w:r>
    </w:p>
    <w:p w14:paraId="6B2D7540">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（1）联合体各方应按磋商文件提供的格式签订联合体协议书，明确联合体牵头人和各方权利义务(含承担工作及工作量比例)；</w:t>
      </w:r>
    </w:p>
    <w:p w14:paraId="334EDCBE">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（2）联合体中有同类资质的供应商按照联合体分工承担相同工作的，应当按照资质等级较低的供应商确定资质等级；</w:t>
      </w:r>
    </w:p>
    <w:p w14:paraId="266E0712">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7AF03D9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 供应商不得存在下列情形之一：</w:t>
      </w:r>
    </w:p>
    <w:p w14:paraId="02F9526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（l）与采购代理机构存在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08348A2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（2）参与同一包或标段中的磋商活动时，与其他供应商的法定代表人（或者负责人）为同一人，或者与其他供应商存在直接控股、管理关系。</w:t>
      </w:r>
    </w:p>
    <w:p w14:paraId="6FCF4C6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受到刑事处罚，或者受到贰佰万元以上的罚款、责令停产停业、在一至三年内禁止参加政府采购活动、暂扣或者吊销许可证、暂扣或者吊销执照等情形之一的行政处罚，或者存在</w:t>
      </w:r>
      <w:r>
        <w:rPr>
          <w:rFonts w:hint="eastAsia" w:ascii="宋体" w:hAnsi="宋体"/>
          <w:color w:val="auto"/>
          <w:szCs w:val="21"/>
          <w:highlight w:val="none"/>
        </w:rPr>
        <w:t>财政部门认定的其他重大违法记录。</w:t>
      </w:r>
    </w:p>
    <w:p w14:paraId="0CED50F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4.参与磋商的费用</w:t>
      </w:r>
    </w:p>
    <w:p w14:paraId="77D7EE0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 无论磋商的结果如何，供应商应自行承担所有与竞争性磋商采购活动有关的全部费用。</w:t>
      </w:r>
    </w:p>
    <w:p w14:paraId="7CDDEFA3">
      <w:pPr>
        <w:pStyle w:val="19"/>
        <w:adjustRightInd w:val="0"/>
        <w:snapToGrid w:val="0"/>
        <w:spacing w:line="360" w:lineRule="auto"/>
        <w:rPr>
          <w:rFonts w:hAnsi="宋体"/>
          <w:b/>
          <w:bCs/>
          <w:color w:val="auto"/>
          <w:highlight w:val="none"/>
        </w:rPr>
      </w:pPr>
      <w:r>
        <w:rPr>
          <w:rFonts w:hint="eastAsia" w:hAnsi="宋体"/>
          <w:b/>
          <w:color w:val="auto"/>
          <w:highlight w:val="none"/>
        </w:rPr>
        <w:t>5．</w:t>
      </w:r>
      <w:r>
        <w:rPr>
          <w:rFonts w:hint="eastAsia" w:hAnsi="宋体"/>
          <w:b/>
          <w:bCs/>
          <w:color w:val="auto"/>
          <w:highlight w:val="none"/>
        </w:rPr>
        <w:t>授权委托</w:t>
      </w:r>
    </w:p>
    <w:p w14:paraId="75CE202A">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5.1供应商代表为供应商法定代表人的，应具备法定代表人身份证明。供应商代表不是供应商法定代表人的，应具备法定代表人授权书，并附法定代表人身份证明。</w:t>
      </w:r>
    </w:p>
    <w:p w14:paraId="73C54E73">
      <w:pPr>
        <w:pStyle w:val="19"/>
        <w:adjustRightInd w:val="0"/>
        <w:snapToGrid w:val="0"/>
        <w:spacing w:line="360" w:lineRule="auto"/>
        <w:rPr>
          <w:rFonts w:hAnsi="宋体"/>
          <w:b/>
          <w:color w:val="auto"/>
          <w:highlight w:val="none"/>
        </w:rPr>
      </w:pPr>
      <w:r>
        <w:rPr>
          <w:rFonts w:hint="eastAsia" w:hAnsi="宋体"/>
          <w:b/>
          <w:color w:val="auto"/>
          <w:highlight w:val="none"/>
        </w:rPr>
        <w:t>6．联合体形式</w:t>
      </w:r>
    </w:p>
    <w:p w14:paraId="7D0239A1">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6.1除</w:t>
      </w:r>
      <w:r>
        <w:rPr>
          <w:rFonts w:hint="eastAsia" w:hAnsi="宋体"/>
          <w:b/>
          <w:color w:val="auto"/>
          <w:highlight w:val="none"/>
        </w:rPr>
        <w:t>磋商须知前附表</w:t>
      </w:r>
      <w:r>
        <w:rPr>
          <w:rFonts w:hint="eastAsia" w:hAnsi="宋体"/>
          <w:color w:val="auto"/>
          <w:highlight w:val="none"/>
        </w:rPr>
        <w:t>中另有规定，本次谈判采购不接受为联合体形式的供应商。</w:t>
      </w:r>
    </w:p>
    <w:p w14:paraId="63F9E01C">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6.2供应商</w:t>
      </w:r>
      <w:r>
        <w:rPr>
          <w:rFonts w:hint="eastAsia" w:hAnsi="宋体"/>
          <w:color w:val="auto"/>
          <w:highlight w:val="none"/>
        </w:rPr>
        <w:t>为联合体形式的</w:t>
      </w:r>
      <w:r>
        <w:rPr>
          <w:rFonts w:hint="eastAsia" w:ascii="宋体" w:hAnsi="宋体"/>
          <w:color w:val="auto"/>
          <w:szCs w:val="21"/>
          <w:highlight w:val="none"/>
        </w:rPr>
        <w:t>，除应符合本章第3条规定外，还应遵守以下规定：</w:t>
      </w:r>
    </w:p>
    <w:p w14:paraId="434FE1C8">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306581D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规定的供应商基本资格条件；</w:t>
      </w:r>
    </w:p>
    <w:p w14:paraId="1B05252C">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除</w:t>
      </w:r>
      <w:r>
        <w:rPr>
          <w:rFonts w:hint="eastAsia" w:ascii="宋体" w:hAnsi="宋体"/>
          <w:b/>
          <w:color w:val="auto"/>
          <w:highlight w:val="none"/>
        </w:rPr>
        <w:t>磋商须知前附表</w:t>
      </w:r>
      <w:r>
        <w:rPr>
          <w:rFonts w:hint="eastAsia" w:ascii="宋体" w:hAnsi="宋体"/>
          <w:color w:val="auto"/>
          <w:highlight w:val="none"/>
        </w:rPr>
        <w:t>中另有规定，</w:t>
      </w:r>
      <w:r>
        <w:rPr>
          <w:rFonts w:hint="eastAsia" w:ascii="宋体" w:hAnsi="宋体"/>
          <w:color w:val="auto"/>
          <w:szCs w:val="21"/>
          <w:highlight w:val="none"/>
        </w:rPr>
        <w:t>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规定的供应商特定资格条件；</w:t>
      </w:r>
    </w:p>
    <w:p w14:paraId="4C3DBFE9">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联合体各方不得再单独或与其他供应商组成新的联合体参加同一项目的采购活动。</w:t>
      </w:r>
    </w:p>
    <w:p w14:paraId="55561691">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7.现场勘察</w:t>
      </w:r>
    </w:p>
    <w:p w14:paraId="6D32A38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7.1供应商应按</w:t>
      </w:r>
      <w:r>
        <w:rPr>
          <w:rFonts w:hint="eastAsia" w:hAnsi="宋体"/>
          <w:b/>
          <w:color w:val="auto"/>
          <w:highlight w:val="none"/>
        </w:rPr>
        <w:t>磋商须知前附表</w:t>
      </w:r>
      <w:r>
        <w:rPr>
          <w:rFonts w:hint="eastAsia" w:hAnsi="宋体"/>
          <w:color w:val="auto"/>
          <w:highlight w:val="none"/>
        </w:rPr>
        <w:t>中规定</w:t>
      </w:r>
      <w:r>
        <w:rPr>
          <w:rFonts w:hint="eastAsia" w:ascii="宋体" w:hAnsi="宋体"/>
          <w:color w:val="auto"/>
          <w:szCs w:val="21"/>
          <w:highlight w:val="none"/>
        </w:rPr>
        <w:t>对采购项目现场和周围环境的现场考察。</w:t>
      </w:r>
    </w:p>
    <w:p w14:paraId="0519F2D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7.2勘察现场的费用由供应商自己承担，勘察期间所发生的人身伤害及财产损失由供应商自己负责。</w:t>
      </w:r>
    </w:p>
    <w:p w14:paraId="01E58571">
      <w:pPr>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7.3采购人不对供应商据此而做出的推论、理解和结论负责。一旦成交，供应商不得以任何借口，提出额外补偿，或延长合同期限的要求。</w:t>
      </w:r>
    </w:p>
    <w:p w14:paraId="301BC05B">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8.采购进口产品</w:t>
      </w:r>
    </w:p>
    <w:p w14:paraId="279390EB">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8.1除</w:t>
      </w:r>
      <w:r>
        <w:rPr>
          <w:rFonts w:hint="eastAsia" w:ascii="宋体" w:hAnsi="宋体"/>
          <w:b/>
          <w:color w:val="auto"/>
          <w:szCs w:val="21"/>
          <w:highlight w:val="none"/>
        </w:rPr>
        <w:t>磋商文件前附表</w:t>
      </w:r>
      <w:r>
        <w:rPr>
          <w:rFonts w:hint="eastAsia" w:ascii="宋体" w:hAnsi="宋体"/>
          <w:color w:val="auto"/>
          <w:szCs w:val="21"/>
          <w:highlight w:val="none"/>
        </w:rPr>
        <w:t>另有规定外，本项目</w:t>
      </w:r>
      <w:r>
        <w:rPr>
          <w:rFonts w:hint="eastAsia" w:ascii="宋体" w:hAnsi="宋体" w:cs="宋体"/>
          <w:color w:val="auto"/>
          <w:kern w:val="0"/>
          <w:szCs w:val="21"/>
          <w:highlight w:val="none"/>
        </w:rPr>
        <w:t>拒绝进口产品参加</w:t>
      </w:r>
      <w:r>
        <w:rPr>
          <w:rFonts w:hint="eastAsia" w:ascii="宋体" w:hAnsi="宋体"/>
          <w:color w:val="auto"/>
          <w:szCs w:val="21"/>
          <w:highlight w:val="none"/>
        </w:rPr>
        <w:t>竞争性磋商采购活动</w:t>
      </w:r>
      <w:r>
        <w:rPr>
          <w:rFonts w:hint="eastAsia" w:ascii="宋体" w:hAnsi="宋体" w:cs="宋体"/>
          <w:color w:val="auto"/>
          <w:kern w:val="0"/>
          <w:szCs w:val="21"/>
          <w:highlight w:val="none"/>
        </w:rPr>
        <w:t>。</w:t>
      </w:r>
    </w:p>
    <w:p w14:paraId="0CDF18F2">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8.2</w:t>
      </w:r>
      <w:r>
        <w:rPr>
          <w:rFonts w:hint="eastAsia" w:ascii="宋体" w:hAnsi="宋体"/>
          <w:color w:val="auto"/>
          <w:szCs w:val="21"/>
          <w:highlight w:val="none"/>
        </w:rPr>
        <w:t>本章第7.1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ascii="宋体" w:hAnsi="宋体" w:cs="宋体"/>
          <w:color w:val="auto"/>
          <w:kern w:val="0"/>
          <w:szCs w:val="21"/>
          <w:highlight w:val="none"/>
        </w:rPr>
        <w:t>同意购买进口产品的</w:t>
      </w:r>
      <w:r>
        <w:rPr>
          <w:rFonts w:hint="eastAsia" w:ascii="宋体" w:hAnsi="宋体" w:cs="宋体"/>
          <w:color w:val="auto"/>
          <w:kern w:val="0"/>
          <w:szCs w:val="21"/>
          <w:highlight w:val="none"/>
        </w:rPr>
        <w:t>，</w:t>
      </w:r>
      <w:r>
        <w:rPr>
          <w:rFonts w:hint="eastAsia" w:ascii="宋体" w:hAnsi="宋体"/>
          <w:color w:val="auto"/>
          <w:szCs w:val="21"/>
          <w:highlight w:val="none"/>
        </w:rPr>
        <w:t>本项目</w:t>
      </w:r>
      <w:r>
        <w:rPr>
          <w:rFonts w:hint="eastAsia" w:ascii="宋体" w:hAnsi="宋体" w:cs="宋体"/>
          <w:color w:val="auto"/>
          <w:kern w:val="0"/>
          <w:szCs w:val="21"/>
          <w:highlight w:val="none"/>
          <w:lang w:val="zh-CN"/>
        </w:rPr>
        <w:t>采购活动</w:t>
      </w:r>
      <w:r>
        <w:rPr>
          <w:rFonts w:hint="eastAsia" w:ascii="宋体" w:hAnsi="宋体" w:cs="宋体"/>
          <w:color w:val="auto"/>
          <w:kern w:val="0"/>
          <w:szCs w:val="21"/>
          <w:highlight w:val="none"/>
        </w:rPr>
        <w:t>不</w:t>
      </w:r>
      <w:r>
        <w:rPr>
          <w:rFonts w:ascii="宋体" w:hAnsi="宋体" w:cs="宋体"/>
          <w:color w:val="auto"/>
          <w:kern w:val="0"/>
          <w:szCs w:val="21"/>
          <w:highlight w:val="none"/>
        </w:rPr>
        <w:t>限制满足</w:t>
      </w:r>
      <w:r>
        <w:rPr>
          <w:rFonts w:hint="eastAsia" w:ascii="宋体" w:hAnsi="宋体"/>
          <w:color w:val="auto"/>
          <w:szCs w:val="21"/>
          <w:highlight w:val="none"/>
        </w:rPr>
        <w:t>磋商文件要求</w:t>
      </w:r>
      <w:r>
        <w:rPr>
          <w:rFonts w:ascii="宋体" w:hAnsi="宋体" w:cs="宋体"/>
          <w:color w:val="auto"/>
          <w:kern w:val="0"/>
          <w:szCs w:val="21"/>
          <w:highlight w:val="none"/>
        </w:rPr>
        <w:t>的国内产品参与</w:t>
      </w:r>
      <w:r>
        <w:rPr>
          <w:rFonts w:hint="eastAsia" w:ascii="宋体" w:hAnsi="宋体"/>
          <w:color w:val="auto"/>
          <w:szCs w:val="21"/>
          <w:highlight w:val="none"/>
        </w:rPr>
        <w:t>竞争性磋商</w:t>
      </w:r>
      <w:r>
        <w:rPr>
          <w:rFonts w:ascii="宋体" w:hAnsi="宋体" w:cs="宋体"/>
          <w:color w:val="auto"/>
          <w:kern w:val="0"/>
          <w:szCs w:val="21"/>
          <w:highlight w:val="none"/>
        </w:rPr>
        <w:t>。</w:t>
      </w:r>
    </w:p>
    <w:p w14:paraId="11DDE6F0">
      <w:pPr>
        <w:adjustRightInd w:val="0"/>
        <w:snapToGrid w:val="0"/>
        <w:spacing w:line="360" w:lineRule="auto"/>
        <w:jc w:val="left"/>
        <w:rPr>
          <w:rFonts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政府采购政策支持</w:t>
      </w:r>
    </w:p>
    <w:p w14:paraId="4D9E65CF">
      <w:pPr>
        <w:adjustRightInd w:val="0"/>
        <w:snapToGrid w:val="0"/>
        <w:spacing w:line="360" w:lineRule="auto"/>
        <w:ind w:firstLine="420" w:firstLineChars="200"/>
        <w:jc w:val="left"/>
        <w:rPr>
          <w:rFonts w:ascii="宋体" w:hAnsi="宋体" w:cs="宋体"/>
          <w:color w:val="auto"/>
          <w:kern w:val="0"/>
          <w:highlight w:val="none"/>
        </w:rPr>
      </w:pPr>
      <w:r>
        <w:rPr>
          <w:rFonts w:ascii="宋体" w:cs="宋体"/>
          <w:color w:val="auto"/>
          <w:kern w:val="0"/>
          <w:szCs w:val="21"/>
          <w:highlight w:val="none"/>
        </w:rPr>
        <w:t>9.1</w:t>
      </w:r>
      <w:r>
        <w:rPr>
          <w:rFonts w:hint="eastAsia" w:ascii="宋体" w:hAnsi="宋体" w:cs="宋体"/>
          <w:color w:val="auto"/>
          <w:kern w:val="0"/>
          <w:highlight w:val="none"/>
        </w:rPr>
        <w:t>强制采购：</w:t>
      </w:r>
    </w:p>
    <w:p w14:paraId="62B9BD1C">
      <w:pPr>
        <w:adjustRightInd w:val="0"/>
        <w:snapToGrid w:val="0"/>
        <w:spacing w:line="360" w:lineRule="auto"/>
        <w:ind w:firstLine="630" w:firstLineChars="300"/>
        <w:jc w:val="left"/>
        <w:rPr>
          <w:rFonts w:ascii="宋体" w:hAnsi="宋体"/>
          <w:color w:val="auto"/>
          <w:highlight w:val="none"/>
        </w:rPr>
      </w:pPr>
      <w:r>
        <w:rPr>
          <w:rFonts w:hint="eastAsia" w:ascii="宋体" w:hAnsi="宋体" w:cs="宋体"/>
          <w:color w:val="auto"/>
          <w:kern w:val="0"/>
          <w:highlight w:val="none"/>
        </w:rPr>
        <w:t>纳入财政部会同国务院有关部门发布的节能产品政府采购品目清单，实施政府强制采购的（品目清单标注</w:t>
      </w:r>
      <w:r>
        <w:rPr>
          <w:rFonts w:hint="eastAsia" w:ascii="宋体" w:hAnsi="宋体" w:cs="宋体"/>
          <w:color w:val="auto"/>
          <w:kern w:val="0"/>
          <w:highlight w:val="none"/>
        </w:rPr>
        <w:sym w:font="Wingdings" w:char="F0AB"/>
      </w:r>
      <w:r>
        <w:rPr>
          <w:rFonts w:hint="eastAsia" w:ascii="宋体" w:hAnsi="宋体" w:cs="宋体"/>
          <w:color w:val="auto"/>
          <w:kern w:val="0"/>
          <w:highlight w:val="none"/>
        </w:rPr>
        <w:t>符号产品），供应商投标产品应当取得国家确定的认证机构出具的、处于有效期之内的节能产品认证证书，否则其</w:t>
      </w:r>
      <w:r>
        <w:rPr>
          <w:rFonts w:hint="eastAsia" w:ascii="宋体" w:hAnsi="宋体" w:cs="宋体"/>
          <w:b/>
          <w:color w:val="auto"/>
          <w:kern w:val="0"/>
          <w:highlight w:val="none"/>
        </w:rPr>
        <w:t>响应</w:t>
      </w:r>
      <w:r>
        <w:rPr>
          <w:rFonts w:hint="eastAsia" w:ascii="宋体" w:hAnsi="宋体" w:cs="宋体"/>
          <w:b/>
          <w:color w:val="auto"/>
          <w:kern w:val="0"/>
          <w:szCs w:val="21"/>
          <w:highlight w:val="none"/>
        </w:rPr>
        <w:t>无效</w:t>
      </w:r>
      <w:r>
        <w:rPr>
          <w:rFonts w:hint="eastAsia" w:ascii="宋体" w:hAnsi="宋体" w:cs="宋体"/>
          <w:color w:val="auto"/>
          <w:kern w:val="0"/>
          <w:highlight w:val="none"/>
        </w:rPr>
        <w:t>。</w:t>
      </w:r>
    </w:p>
    <w:p w14:paraId="45945371">
      <w:pPr>
        <w:widowControl/>
        <w:adjustRightInd w:val="0"/>
        <w:snapToGrid w:val="0"/>
        <w:spacing w:line="360" w:lineRule="auto"/>
        <w:ind w:firstLine="420" w:firstLineChars="200"/>
        <w:jc w:val="left"/>
        <w:rPr>
          <w:rFonts w:ascii="宋体" w:cs="宋体"/>
          <w:color w:val="auto"/>
          <w:kern w:val="0"/>
          <w:szCs w:val="21"/>
          <w:highlight w:val="none"/>
        </w:rPr>
      </w:pPr>
      <w:r>
        <w:rPr>
          <w:rFonts w:ascii="宋体" w:cs="宋体"/>
          <w:color w:val="auto"/>
          <w:kern w:val="0"/>
          <w:szCs w:val="21"/>
          <w:highlight w:val="none"/>
        </w:rPr>
        <w:t>9.2优先采购：</w:t>
      </w:r>
    </w:p>
    <w:p w14:paraId="60646EA1">
      <w:pPr>
        <w:widowControl/>
        <w:adjustRightInd w:val="0"/>
        <w:snapToGrid w:val="0"/>
        <w:spacing w:line="360" w:lineRule="auto"/>
        <w:ind w:firstLine="630" w:firstLineChars="300"/>
        <w:jc w:val="left"/>
        <w:rPr>
          <w:rFonts w:ascii="宋体" w:hAnsi="宋体" w:cs="宋体"/>
          <w:color w:val="auto"/>
          <w:kern w:val="0"/>
          <w:highlight w:val="none"/>
        </w:rPr>
      </w:pPr>
      <w:r>
        <w:rPr>
          <w:rFonts w:hint="eastAsia" w:ascii="宋体" w:hAnsi="宋体"/>
          <w:color w:val="auto"/>
          <w:szCs w:val="21"/>
          <w:highlight w:val="none"/>
        </w:rPr>
        <w:t>纳入财政部会同国务院有关部门发布的节能产品、环境标志产品政府采购品目清单，实施政府优先采购的，评审时按</w:t>
      </w:r>
      <w:r>
        <w:rPr>
          <w:rFonts w:hint="eastAsia" w:ascii="宋体" w:hAnsi="宋体"/>
          <w:b/>
          <w:color w:val="auto"/>
          <w:szCs w:val="21"/>
          <w:highlight w:val="none"/>
        </w:rPr>
        <w:t>【磋商须知】</w:t>
      </w:r>
      <w:r>
        <w:rPr>
          <w:rFonts w:hint="eastAsia" w:ascii="宋体" w:hAnsi="宋体"/>
          <w:color w:val="auto"/>
          <w:szCs w:val="21"/>
          <w:highlight w:val="none"/>
        </w:rPr>
        <w:t>有关规定给予一定比例的价格折扣或者加分；</w:t>
      </w:r>
    </w:p>
    <w:p w14:paraId="0715A78F">
      <w:pPr>
        <w:adjustRightInd w:val="0"/>
        <w:snapToGrid w:val="0"/>
        <w:spacing w:line="360" w:lineRule="auto"/>
        <w:ind w:firstLine="420" w:firstLineChars="200"/>
        <w:rPr>
          <w:rFonts w:ascii="宋体" w:cs="宋体"/>
          <w:color w:val="auto"/>
          <w:kern w:val="0"/>
          <w:szCs w:val="21"/>
          <w:highlight w:val="none"/>
        </w:rPr>
      </w:pPr>
      <w:r>
        <w:rPr>
          <w:rFonts w:ascii="宋体" w:cs="宋体"/>
          <w:color w:val="auto"/>
          <w:kern w:val="0"/>
          <w:szCs w:val="21"/>
          <w:highlight w:val="none"/>
        </w:rPr>
        <w:t>9.3</w:t>
      </w:r>
      <w:r>
        <w:rPr>
          <w:rFonts w:hint="eastAsia" w:ascii="宋体" w:cs="宋体"/>
          <w:color w:val="auto"/>
          <w:kern w:val="0"/>
          <w:szCs w:val="21"/>
          <w:highlight w:val="none"/>
        </w:rPr>
        <w:t>产品同时属于“非强制采购节能产品”、“环境标志产品”的，评审时只有其中一项能享受优先待遇</w:t>
      </w:r>
      <w:r>
        <w:rPr>
          <w:rFonts w:ascii="宋体" w:cs="宋体"/>
          <w:color w:val="auto"/>
          <w:kern w:val="0"/>
          <w:szCs w:val="21"/>
          <w:highlight w:val="none"/>
        </w:rPr>
        <w:t>(</w:t>
      </w:r>
      <w:r>
        <w:rPr>
          <w:rFonts w:hint="eastAsia" w:ascii="宋体" w:cs="宋体"/>
          <w:color w:val="auto"/>
          <w:kern w:val="0"/>
          <w:szCs w:val="21"/>
          <w:highlight w:val="none"/>
        </w:rPr>
        <w:t>供应商自行选择，并在报价文件中并填报相关信息及数据</w:t>
      </w:r>
      <w:r>
        <w:rPr>
          <w:rFonts w:ascii="宋体" w:cs="宋体"/>
          <w:color w:val="auto"/>
          <w:kern w:val="0"/>
          <w:szCs w:val="21"/>
          <w:highlight w:val="none"/>
        </w:rPr>
        <w:t>)</w:t>
      </w:r>
      <w:r>
        <w:rPr>
          <w:rFonts w:hint="eastAsia" w:ascii="宋体" w:cs="宋体"/>
          <w:color w:val="auto"/>
          <w:kern w:val="0"/>
          <w:szCs w:val="21"/>
          <w:highlight w:val="none"/>
        </w:rPr>
        <w:t>；小微企业、福利和监狱企业可以与同时属于“非强制采购节能产品”、“环境标志产品”中的一项重复计算。</w:t>
      </w:r>
    </w:p>
    <w:p w14:paraId="1501FE88">
      <w:pPr>
        <w:adjustRightInd w:val="0"/>
        <w:snapToGrid w:val="0"/>
        <w:spacing w:line="360" w:lineRule="auto"/>
        <w:ind w:firstLine="420" w:firstLineChars="200"/>
        <w:jc w:val="left"/>
        <w:rPr>
          <w:rFonts w:ascii="宋体"/>
          <w:color w:val="auto"/>
          <w:szCs w:val="21"/>
          <w:highlight w:val="none"/>
        </w:rPr>
      </w:pPr>
      <w:r>
        <w:rPr>
          <w:rFonts w:ascii="宋体"/>
          <w:color w:val="auto"/>
          <w:szCs w:val="21"/>
          <w:highlight w:val="none"/>
        </w:rPr>
        <w:t>9.4</w:t>
      </w:r>
      <w:r>
        <w:rPr>
          <w:rFonts w:hint="eastAsia" w:ascii="宋体"/>
          <w:color w:val="auto"/>
          <w:szCs w:val="21"/>
          <w:highlight w:val="none"/>
        </w:rPr>
        <w:t>同一项目中部分产品属于优先采购政策的，评审时只对该部分产品的报价实行价格扣除及加分。</w:t>
      </w:r>
    </w:p>
    <w:p w14:paraId="07D83088">
      <w:pPr>
        <w:widowControl/>
        <w:adjustRightInd w:val="0"/>
        <w:snapToGrid w:val="0"/>
        <w:spacing w:before="156" w:beforeLines="50" w:after="100" w:afterAutospacing="1" w:line="360" w:lineRule="auto"/>
        <w:ind w:firstLine="420" w:firstLineChars="200"/>
        <w:rPr>
          <w:rFonts w:ascii="宋体" w:hAnsi="宋体" w:cs="宋体"/>
          <w:color w:val="auto"/>
          <w:kern w:val="0"/>
          <w:highlight w:val="none"/>
        </w:rPr>
      </w:pPr>
      <w:r>
        <w:rPr>
          <w:rFonts w:ascii="宋体"/>
          <w:color w:val="auto"/>
          <w:szCs w:val="21"/>
          <w:highlight w:val="none"/>
        </w:rPr>
        <w:t>9.5</w:t>
      </w:r>
      <w:r>
        <w:rPr>
          <w:rFonts w:hint="eastAsia" w:ascii="宋体"/>
          <w:color w:val="auto"/>
          <w:szCs w:val="21"/>
          <w:highlight w:val="none"/>
        </w:rPr>
        <w:t>符合本章第</w:t>
      </w:r>
      <w:r>
        <w:rPr>
          <w:rFonts w:ascii="宋体"/>
          <w:color w:val="auto"/>
          <w:szCs w:val="21"/>
          <w:highlight w:val="none"/>
        </w:rPr>
        <w:t>9.1</w:t>
      </w:r>
      <w:r>
        <w:rPr>
          <w:rFonts w:hint="eastAsia" w:ascii="宋体" w:cs="宋体"/>
          <w:color w:val="auto"/>
          <w:kern w:val="0"/>
          <w:szCs w:val="21"/>
          <w:highlight w:val="none"/>
          <w:lang w:val="zh-CN"/>
        </w:rPr>
        <w:t>款、</w:t>
      </w:r>
      <w:r>
        <w:rPr>
          <w:rFonts w:hint="eastAsia" w:ascii="宋体"/>
          <w:color w:val="auto"/>
          <w:szCs w:val="21"/>
          <w:highlight w:val="none"/>
        </w:rPr>
        <w:t>第</w:t>
      </w:r>
      <w:r>
        <w:rPr>
          <w:rFonts w:ascii="宋体"/>
          <w:color w:val="auto"/>
          <w:szCs w:val="21"/>
          <w:highlight w:val="none"/>
        </w:rPr>
        <w:t>9.2</w:t>
      </w:r>
      <w:r>
        <w:rPr>
          <w:rFonts w:hint="eastAsia" w:ascii="宋体" w:cs="宋体"/>
          <w:color w:val="auto"/>
          <w:kern w:val="0"/>
          <w:szCs w:val="21"/>
          <w:highlight w:val="none"/>
          <w:lang w:val="zh-CN"/>
        </w:rPr>
        <w:t>款</w:t>
      </w:r>
      <w:r>
        <w:rPr>
          <w:rFonts w:hint="eastAsia" w:ascii="宋体"/>
          <w:color w:val="auto"/>
          <w:szCs w:val="21"/>
          <w:highlight w:val="none"/>
        </w:rPr>
        <w:t>规定的，应</w:t>
      </w:r>
      <w:r>
        <w:rPr>
          <w:rFonts w:hint="eastAsia" w:ascii="宋体" w:hAnsi="宋体"/>
          <w:color w:val="auto"/>
          <w:szCs w:val="21"/>
          <w:highlight w:val="none"/>
        </w:rPr>
        <w:t>提供国家</w:t>
      </w:r>
      <w:r>
        <w:rPr>
          <w:rFonts w:hint="eastAsia" w:ascii="宋体" w:cs="宋体"/>
          <w:color w:val="auto"/>
          <w:kern w:val="0"/>
          <w:szCs w:val="21"/>
          <w:highlight w:val="none"/>
        </w:rPr>
        <w:t>确定的认证机构出具的、处于有效期之内的节能产品、环境标志产品认证证书（复印件）。</w:t>
      </w:r>
    </w:p>
    <w:p w14:paraId="1EE34DC2">
      <w:pPr>
        <w:adjustRightInd w:val="0"/>
        <w:snapToGrid w:val="0"/>
        <w:spacing w:line="360" w:lineRule="auto"/>
        <w:ind w:firstLine="420" w:firstLineChars="200"/>
        <w:jc w:val="left"/>
        <w:rPr>
          <w:rFonts w:ascii="宋体" w:hAnsi="宋体"/>
          <w:color w:val="auto"/>
          <w:szCs w:val="21"/>
          <w:highlight w:val="none"/>
        </w:rPr>
      </w:pPr>
      <w:r>
        <w:rPr>
          <w:rFonts w:ascii="宋体"/>
          <w:color w:val="auto"/>
          <w:szCs w:val="21"/>
          <w:highlight w:val="none"/>
        </w:rPr>
        <w:t>9.6</w:t>
      </w:r>
      <w:r>
        <w:rPr>
          <w:rFonts w:hint="eastAsia" w:ascii="宋体"/>
          <w:color w:val="auto"/>
          <w:szCs w:val="21"/>
          <w:highlight w:val="none"/>
        </w:rPr>
        <w:t>供应商有融资、担保需求的，具体办理流程可向</w:t>
      </w:r>
      <w:r>
        <w:rPr>
          <w:rFonts w:hint="eastAsia" w:ascii="宋体"/>
          <w:b/>
          <w:color w:val="auto"/>
          <w:szCs w:val="21"/>
          <w:highlight w:val="none"/>
        </w:rPr>
        <w:t>磋商须知前附表</w:t>
      </w:r>
      <w:r>
        <w:rPr>
          <w:rFonts w:hint="eastAsia" w:ascii="宋体"/>
          <w:color w:val="auto"/>
          <w:szCs w:val="21"/>
          <w:highlight w:val="none"/>
        </w:rPr>
        <w:t>所列金融机构和担保机构询问。</w:t>
      </w:r>
    </w:p>
    <w:p w14:paraId="4FBBE60E">
      <w:pPr>
        <w:numPr>
          <w:ilvl w:val="0"/>
          <w:numId w:val="7"/>
        </w:numPr>
        <w:adjustRightInd w:val="0"/>
        <w:snapToGrid w:val="0"/>
        <w:spacing w:line="360" w:lineRule="auto"/>
        <w:outlineLvl w:val="0"/>
        <w:rPr>
          <w:rFonts w:ascii="黑体" w:hAnsi="宋体" w:eastAsia="黑体"/>
          <w:b/>
          <w:bCs/>
          <w:color w:val="auto"/>
          <w:sz w:val="24"/>
          <w:highlight w:val="none"/>
        </w:rPr>
      </w:pPr>
      <w:r>
        <w:rPr>
          <w:rFonts w:hint="eastAsia" w:ascii="黑体" w:hAnsi="宋体" w:eastAsia="黑体"/>
          <w:b/>
          <w:bCs/>
          <w:color w:val="auto"/>
          <w:sz w:val="24"/>
          <w:highlight w:val="none"/>
        </w:rPr>
        <w:t>磋商文件</w:t>
      </w:r>
    </w:p>
    <w:p w14:paraId="222CF98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10．磋商文件的组成</w:t>
      </w:r>
    </w:p>
    <w:p w14:paraId="2D96D829">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10.1 磋商文件由下列文件组成：</w:t>
      </w:r>
    </w:p>
    <w:p w14:paraId="449EFBB8">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第一章磋商邀请</w:t>
      </w:r>
    </w:p>
    <w:p w14:paraId="68D19FEB">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第二章磋商须知</w:t>
      </w:r>
    </w:p>
    <w:p w14:paraId="17992013">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第三章政府采购合同格式条款</w:t>
      </w:r>
    </w:p>
    <w:p w14:paraId="443AE63E">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第四章采购需求</w:t>
      </w:r>
    </w:p>
    <w:p w14:paraId="54DAD60E">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第五章响应文件组成</w:t>
      </w:r>
    </w:p>
    <w:p w14:paraId="7225E87E">
      <w:pPr>
        <w:pStyle w:val="19"/>
        <w:adjustRightInd w:val="0"/>
        <w:snapToGrid w:val="0"/>
        <w:spacing w:line="360" w:lineRule="auto"/>
        <w:ind w:firstLine="420" w:firstLineChars="200"/>
        <w:rPr>
          <w:rFonts w:hAnsi="宋体" w:cs="宋体"/>
          <w:color w:val="auto"/>
          <w:kern w:val="0"/>
          <w:highlight w:val="none"/>
        </w:rPr>
      </w:pPr>
      <w:r>
        <w:rPr>
          <w:rFonts w:hint="eastAsia"/>
          <w:color w:val="auto"/>
          <w:highlight w:val="none"/>
        </w:rPr>
        <w:t>10.2</w:t>
      </w:r>
      <w:r>
        <w:rPr>
          <w:rFonts w:hint="eastAsia" w:hAnsi="宋体" w:cs="宋体"/>
          <w:color w:val="auto"/>
          <w:kern w:val="0"/>
          <w:highlight w:val="none"/>
        </w:rPr>
        <w:t>磋商小组根据与供应商磋商情况可能实质性变动的内容，包括采购需求中的技术、服务要求以及合同条款，</w:t>
      </w:r>
      <w:r>
        <w:rPr>
          <w:rFonts w:hint="eastAsia"/>
          <w:color w:val="auto"/>
          <w:highlight w:val="none"/>
        </w:rPr>
        <w:t>在</w:t>
      </w:r>
      <w:r>
        <w:rPr>
          <w:rFonts w:hint="eastAsia"/>
          <w:b/>
          <w:color w:val="auto"/>
          <w:highlight w:val="none"/>
        </w:rPr>
        <w:t>磋商须知前附表</w:t>
      </w:r>
      <w:r>
        <w:rPr>
          <w:rFonts w:hint="eastAsia"/>
          <w:color w:val="auto"/>
          <w:highlight w:val="none"/>
        </w:rPr>
        <w:t>中明确。</w:t>
      </w:r>
    </w:p>
    <w:p w14:paraId="685A3D0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10.3</w:t>
      </w:r>
      <w:r>
        <w:rPr>
          <w:rFonts w:hint="eastAsia" w:ascii="宋体" w:hAnsi="宋体"/>
          <w:color w:val="auto"/>
          <w:szCs w:val="21"/>
          <w:highlight w:val="none"/>
        </w:rPr>
        <w:t>供应商应仔细阅读</w:t>
      </w:r>
      <w:r>
        <w:rPr>
          <w:rFonts w:hint="eastAsia" w:ascii="宋体" w:hAnsi="宋体"/>
          <w:bCs/>
          <w:color w:val="auto"/>
          <w:szCs w:val="21"/>
          <w:highlight w:val="none"/>
        </w:rPr>
        <w:t>磋商</w:t>
      </w:r>
      <w:r>
        <w:rPr>
          <w:rFonts w:hint="eastAsia" w:ascii="宋体" w:hAnsi="宋体"/>
          <w:color w:val="auto"/>
          <w:szCs w:val="21"/>
          <w:highlight w:val="none"/>
        </w:rPr>
        <w:t>文件的全部内容，按照</w:t>
      </w:r>
      <w:r>
        <w:rPr>
          <w:rFonts w:hint="eastAsia" w:ascii="宋体" w:hAnsi="宋体"/>
          <w:bCs/>
          <w:color w:val="auto"/>
          <w:szCs w:val="21"/>
          <w:highlight w:val="none"/>
        </w:rPr>
        <w:t>磋商</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磋商</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1AE000A9">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11.磋商文件的提供期限</w:t>
      </w:r>
    </w:p>
    <w:p w14:paraId="75CEE7C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11.1磋商文件的提供期限自开始发出之日起不得少于五个工作日。具体提供期限见</w:t>
      </w:r>
      <w:r>
        <w:rPr>
          <w:rFonts w:hint="eastAsia" w:ascii="宋体" w:hAnsi="宋体"/>
          <w:b/>
          <w:color w:val="auto"/>
          <w:szCs w:val="21"/>
          <w:highlight w:val="none"/>
        </w:rPr>
        <w:t>磋商文件前附表</w:t>
      </w:r>
      <w:r>
        <w:rPr>
          <w:rFonts w:hint="eastAsia" w:ascii="宋体" w:hAnsi="宋体"/>
          <w:color w:val="auto"/>
          <w:szCs w:val="21"/>
          <w:highlight w:val="none"/>
        </w:rPr>
        <w:t>。</w:t>
      </w:r>
    </w:p>
    <w:p w14:paraId="1D99417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11.2供应商应持</w:t>
      </w:r>
      <w:r>
        <w:rPr>
          <w:rFonts w:hint="eastAsia" w:ascii="宋体" w:hAnsi="宋体"/>
          <w:b/>
          <w:color w:val="auto"/>
          <w:szCs w:val="21"/>
          <w:highlight w:val="none"/>
        </w:rPr>
        <w:t>磋商文件前附表</w:t>
      </w:r>
      <w:r>
        <w:rPr>
          <w:rFonts w:hint="eastAsia" w:ascii="宋体" w:hAnsi="宋体"/>
          <w:color w:val="auto"/>
          <w:szCs w:val="21"/>
          <w:highlight w:val="none"/>
        </w:rPr>
        <w:t>规定的资料领取或购买磋商文件。</w:t>
      </w:r>
    </w:p>
    <w:p w14:paraId="671D09BD">
      <w:pPr>
        <w:pStyle w:val="19"/>
        <w:adjustRightInd w:val="0"/>
        <w:snapToGrid w:val="0"/>
        <w:spacing w:line="360" w:lineRule="auto"/>
        <w:rPr>
          <w:rFonts w:hAnsi="宋体"/>
          <w:color w:val="auto"/>
          <w:highlight w:val="none"/>
        </w:rPr>
      </w:pPr>
      <w:r>
        <w:rPr>
          <w:rFonts w:hint="eastAsia" w:hAnsi="宋体"/>
          <w:b/>
          <w:color w:val="auto"/>
          <w:highlight w:val="none"/>
        </w:rPr>
        <w:t>12.</w:t>
      </w:r>
      <w:r>
        <w:rPr>
          <w:rFonts w:hint="eastAsia" w:hAnsi="宋体" w:cs="宋体"/>
          <w:b/>
          <w:color w:val="auto"/>
          <w:kern w:val="0"/>
          <w:highlight w:val="none"/>
        </w:rPr>
        <w:t>提交首次响应文件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7484D304">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12.1</w:t>
      </w:r>
      <w:r>
        <w:rPr>
          <w:rFonts w:hint="eastAsia" w:hAnsi="宋体" w:cs="宋体"/>
          <w:color w:val="auto"/>
          <w:kern w:val="0"/>
          <w:highlight w:val="none"/>
        </w:rPr>
        <w:t>供应商提交首次响应文件截止</w:t>
      </w:r>
      <w:r>
        <w:rPr>
          <w:rFonts w:hint="eastAsia" w:hAnsi="宋体"/>
          <w:color w:val="auto"/>
          <w:highlight w:val="none"/>
        </w:rPr>
        <w:t>时间见</w:t>
      </w:r>
      <w:r>
        <w:rPr>
          <w:rFonts w:hint="eastAsia" w:hAnsi="宋体"/>
          <w:b/>
          <w:color w:val="auto"/>
          <w:highlight w:val="none"/>
        </w:rPr>
        <w:t>磋商须知前附表</w:t>
      </w:r>
      <w:r>
        <w:rPr>
          <w:rFonts w:hint="eastAsia" w:hAnsi="宋体"/>
          <w:color w:val="auto"/>
          <w:highlight w:val="none"/>
        </w:rPr>
        <w:t>。</w:t>
      </w:r>
    </w:p>
    <w:p w14:paraId="61FCBBEB">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13.磋商文件的澄清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01C337BD">
      <w:pPr>
        <w:adjustRightInd w:val="0"/>
        <w:snapToGrid w:val="0"/>
        <w:spacing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13.1在</w:t>
      </w:r>
      <w:r>
        <w:rPr>
          <w:rFonts w:hint="eastAsia" w:ascii="宋体" w:hAnsi="宋体" w:cs="宋体"/>
          <w:color w:val="auto"/>
          <w:kern w:val="0"/>
          <w:szCs w:val="21"/>
          <w:highlight w:val="none"/>
        </w:rPr>
        <w:t>提交首次响应文件截止之日前，采购人、采购代理机构可以对已发出的磋商文件进行必要的澄清或者修改。</w:t>
      </w:r>
    </w:p>
    <w:p w14:paraId="629474F4">
      <w:pPr>
        <w:adjustRightInd w:val="0"/>
        <w:snapToGrid w:val="0"/>
        <w:spacing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13.2</w:t>
      </w:r>
      <w:r>
        <w:rPr>
          <w:rFonts w:hint="eastAsia" w:ascii="宋体" w:hAnsi="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7D93CBF8">
      <w:pPr>
        <w:pStyle w:val="19"/>
        <w:adjustRightInd w:val="0"/>
        <w:snapToGrid w:val="0"/>
        <w:spacing w:line="360" w:lineRule="auto"/>
        <w:ind w:firstLine="420" w:firstLineChars="200"/>
        <w:rPr>
          <w:color w:val="auto"/>
          <w:highlight w:val="none"/>
        </w:rPr>
      </w:pPr>
      <w:r>
        <w:rPr>
          <w:rFonts w:hint="eastAsia"/>
          <w:color w:val="auto"/>
          <w:highlight w:val="none"/>
        </w:rPr>
        <w:t>13.2</w:t>
      </w:r>
      <w:r>
        <w:rPr>
          <w:rFonts w:hint="eastAsia" w:hAnsi="宋体" w:cs="宋体"/>
          <w:color w:val="auto"/>
          <w:kern w:val="0"/>
          <w:highlight w:val="none"/>
        </w:rPr>
        <w:t>提交首次响应文件截止时间前对磋商文件澄清或者修改内容，为磋商文件的组成部分。</w:t>
      </w:r>
    </w:p>
    <w:p w14:paraId="7737744D">
      <w:pPr>
        <w:numPr>
          <w:ilvl w:val="0"/>
          <w:numId w:val="7"/>
        </w:numPr>
        <w:adjustRightInd w:val="0"/>
        <w:snapToGrid w:val="0"/>
        <w:spacing w:line="360" w:lineRule="auto"/>
        <w:outlineLvl w:val="0"/>
        <w:rPr>
          <w:rFonts w:ascii="黑体" w:hAnsi="宋体" w:eastAsia="黑体"/>
          <w:b/>
          <w:bCs/>
          <w:color w:val="auto"/>
          <w:sz w:val="24"/>
          <w:highlight w:val="none"/>
        </w:rPr>
      </w:pPr>
      <w:r>
        <w:rPr>
          <w:rFonts w:hint="eastAsia" w:ascii="黑体" w:hAnsi="宋体" w:eastAsia="黑体"/>
          <w:b/>
          <w:bCs/>
          <w:color w:val="auto"/>
          <w:sz w:val="24"/>
          <w:highlight w:val="none"/>
        </w:rPr>
        <w:t>响应文件</w:t>
      </w:r>
    </w:p>
    <w:p w14:paraId="149B29B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14.一般要求</w:t>
      </w:r>
    </w:p>
    <w:p w14:paraId="53B1CEB5">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50E50E03">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14.2 </w:t>
      </w:r>
      <w:r>
        <w:rPr>
          <w:rFonts w:hint="eastAsia" w:ascii="宋体" w:hAnsi="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14A2D773">
      <w:pPr>
        <w:pStyle w:val="19"/>
        <w:adjustRightInd w:val="0"/>
        <w:snapToGrid w:val="0"/>
        <w:spacing w:line="360" w:lineRule="auto"/>
        <w:ind w:firstLine="420" w:firstLineChars="200"/>
        <w:rPr>
          <w:rFonts w:hAnsi="宋体"/>
          <w:color w:val="auto"/>
          <w:highlight w:val="none"/>
        </w:rPr>
      </w:pPr>
      <w:r>
        <w:rPr>
          <w:rFonts w:hint="eastAsia" w:hAnsi="宋体"/>
          <w:bCs/>
          <w:color w:val="auto"/>
          <w:highlight w:val="none"/>
        </w:rPr>
        <w:t xml:space="preserve">14.3 </w:t>
      </w:r>
      <w:r>
        <w:rPr>
          <w:rFonts w:hint="eastAsia" w:hAnsi="宋体"/>
          <w:color w:val="auto"/>
          <w:highlight w:val="none"/>
        </w:rPr>
        <w:t>计量单位应使用我国法定计量单位，未列明时应默认为我国法定计量单位。</w:t>
      </w:r>
    </w:p>
    <w:p w14:paraId="76A25017">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14.4 响应文件应采用书面形式，电报、传真、电子邮件形式的响应文件概不接受。</w:t>
      </w:r>
    </w:p>
    <w:p w14:paraId="7F5059A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14.5 供应商应按磋商文件中提供的响应文件格式填写。</w:t>
      </w:r>
    </w:p>
    <w:p w14:paraId="3B3830EB">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15.</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109F5A2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15.1</w:t>
      </w:r>
      <w:r>
        <w:rPr>
          <w:rFonts w:hint="eastAsia" w:hAnsi="宋体"/>
          <w:color w:val="auto"/>
          <w:highlight w:val="none"/>
        </w:rPr>
        <w:t>响应文件包括下列内容：</w:t>
      </w:r>
    </w:p>
    <w:p w14:paraId="5823DD34">
      <w:pPr>
        <w:adjustRightInd w:val="0"/>
        <w:snapToGrid w:val="0"/>
        <w:spacing w:line="360" w:lineRule="auto"/>
        <w:ind w:firstLine="843" w:firstLineChars="400"/>
        <w:rPr>
          <w:rFonts w:ascii="宋体" w:hAnsi="宋体" w:cs="宋体"/>
          <w:b/>
          <w:color w:val="auto"/>
          <w:szCs w:val="21"/>
          <w:highlight w:val="none"/>
        </w:rPr>
      </w:pPr>
      <w:r>
        <w:rPr>
          <w:rFonts w:hint="eastAsia" w:ascii="宋体" w:hAnsi="宋体" w:cs="宋体"/>
          <w:b/>
          <w:color w:val="auto"/>
          <w:szCs w:val="21"/>
          <w:highlight w:val="none"/>
        </w:rPr>
        <w:t>第一册商务技术文件</w:t>
      </w:r>
    </w:p>
    <w:p w14:paraId="2407407D">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一、磋商响应声明</w:t>
      </w:r>
    </w:p>
    <w:p w14:paraId="6597A7D7">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二、投标分项价格表</w:t>
      </w:r>
    </w:p>
    <w:p w14:paraId="5A7E4516">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三、货物说明一览表及</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服务方案</w:t>
      </w:r>
    </w:p>
    <w:p w14:paraId="0F798EFB">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四、商务和技术响应/偏离表</w:t>
      </w:r>
    </w:p>
    <w:p w14:paraId="0F77C5CC">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五、享受政府采购政策优惠的证明资料</w:t>
      </w:r>
    </w:p>
    <w:p w14:paraId="59D3B77C">
      <w:pPr>
        <w:adjustRightInd w:val="0"/>
        <w:snapToGrid w:val="0"/>
        <w:spacing w:line="360" w:lineRule="auto"/>
        <w:ind w:left="840" w:leftChars="40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六、</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符合磋商文件规定的证明文件</w:t>
      </w:r>
      <w:r>
        <w:rPr>
          <w:rFonts w:hint="eastAsia" w:ascii="宋体" w:hAnsi="宋体" w:cs="宋体"/>
          <w:color w:val="auto"/>
          <w:szCs w:val="21"/>
          <w:highlight w:val="none"/>
          <w:lang w:eastAsia="zh-CN"/>
        </w:rPr>
        <w:t>及方案</w:t>
      </w:r>
    </w:p>
    <w:p w14:paraId="5548FDA1">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七、供应商认为需提供的其他资料</w:t>
      </w:r>
    </w:p>
    <w:p w14:paraId="05793B59">
      <w:pPr>
        <w:adjustRightInd w:val="0"/>
        <w:snapToGrid w:val="0"/>
        <w:spacing w:line="360" w:lineRule="auto"/>
        <w:ind w:left="840" w:leftChars="400"/>
        <w:jc w:val="left"/>
        <w:rPr>
          <w:rFonts w:ascii="宋体" w:hAnsi="宋体" w:cs="宋体"/>
          <w:b/>
          <w:color w:val="auto"/>
          <w:szCs w:val="21"/>
          <w:highlight w:val="none"/>
        </w:rPr>
      </w:pPr>
      <w:r>
        <w:rPr>
          <w:rFonts w:hint="eastAsia" w:ascii="宋体" w:hAnsi="宋体" w:cs="宋体"/>
          <w:b/>
          <w:color w:val="auto"/>
          <w:szCs w:val="21"/>
          <w:highlight w:val="none"/>
        </w:rPr>
        <w:t>第二册资格证明文件</w:t>
      </w:r>
    </w:p>
    <w:p w14:paraId="536CFB2E">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一、报价一览表</w:t>
      </w:r>
    </w:p>
    <w:p w14:paraId="366D9703">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二、法定代表人身份证明</w:t>
      </w:r>
    </w:p>
    <w:p w14:paraId="2BB53680">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eastAsia="zh-CN"/>
        </w:rPr>
        <w:t>法定代表人</w:t>
      </w:r>
      <w:r>
        <w:rPr>
          <w:rFonts w:hint="eastAsia" w:ascii="宋体" w:hAnsi="宋体" w:cs="宋体"/>
          <w:color w:val="auto"/>
          <w:szCs w:val="21"/>
          <w:highlight w:val="none"/>
        </w:rPr>
        <w:t>授权委托书</w:t>
      </w:r>
    </w:p>
    <w:p w14:paraId="7DA76E30">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四、供应商具备参加磋商的资格证明文件</w:t>
      </w:r>
    </w:p>
    <w:p w14:paraId="1E379267">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保</w:t>
      </w:r>
      <w:r>
        <w:rPr>
          <w:rFonts w:hint="eastAsia" w:ascii="宋体" w:hAnsi="宋体" w:cs="宋体"/>
          <w:bCs/>
          <w:color w:val="auto"/>
          <w:szCs w:val="21"/>
          <w:highlight w:val="none"/>
        </w:rPr>
        <w:t>证金</w:t>
      </w:r>
    </w:p>
    <w:p w14:paraId="76FD45D0">
      <w:pPr>
        <w:adjustRightInd w:val="0"/>
        <w:snapToGrid w:val="0"/>
        <w:spacing w:line="360" w:lineRule="auto"/>
        <w:ind w:firstLine="420" w:firstLineChars="200"/>
        <w:rPr>
          <w:rFonts w:hAnsi="宋体"/>
          <w:color w:val="auto"/>
          <w:highlight w:val="none"/>
        </w:rPr>
      </w:pPr>
      <w:r>
        <w:rPr>
          <w:rFonts w:hint="eastAsia" w:ascii="宋体" w:hAnsi="宋体"/>
          <w:color w:val="auto"/>
          <w:highlight w:val="none"/>
        </w:rPr>
        <w:t>15.2在磋商过程中，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hAnsi="宋体"/>
          <w:color w:val="auto"/>
          <w:highlight w:val="none"/>
        </w:rPr>
        <w:t>最后报价)是</w:t>
      </w:r>
      <w:r>
        <w:rPr>
          <w:rFonts w:hint="eastAsia" w:ascii="宋体" w:hAnsi="宋体"/>
          <w:color w:val="auto"/>
          <w:szCs w:val="21"/>
          <w:highlight w:val="none"/>
        </w:rPr>
        <w:t>响应文件</w:t>
      </w:r>
      <w:r>
        <w:rPr>
          <w:rFonts w:hint="eastAsia" w:hAnsi="宋体"/>
          <w:color w:val="auto"/>
          <w:highlight w:val="none"/>
        </w:rPr>
        <w:t>的有效组成部分。</w:t>
      </w:r>
    </w:p>
    <w:p w14:paraId="274DAB53">
      <w:pPr>
        <w:adjustRightInd w:val="0"/>
        <w:snapToGrid w:val="0"/>
        <w:spacing w:line="360" w:lineRule="auto"/>
        <w:ind w:firstLine="420" w:firstLineChars="200"/>
        <w:rPr>
          <w:rFonts w:hAnsi="宋体"/>
          <w:b/>
          <w:color w:val="auto"/>
          <w:highlight w:val="none"/>
        </w:rPr>
      </w:pPr>
      <w:r>
        <w:rPr>
          <w:rFonts w:hint="eastAsia" w:ascii="宋体" w:hAnsi="宋体"/>
          <w:color w:val="auto"/>
          <w:highlight w:val="none"/>
        </w:rPr>
        <w:t>15.3</w:t>
      </w:r>
      <w:r>
        <w:rPr>
          <w:rFonts w:hint="eastAsia" w:ascii="宋体" w:hAnsi="宋体" w:cs="宋体"/>
          <w:color w:val="auto"/>
          <w:kern w:val="0"/>
          <w:szCs w:val="21"/>
          <w:highlight w:val="none"/>
        </w:rPr>
        <w:t>磋商文件规定可能发生实质性变动的，供应商应当在</w:t>
      </w:r>
      <w:r>
        <w:rPr>
          <w:rFonts w:hint="eastAsia" w:hAnsi="宋体"/>
          <w:color w:val="auto"/>
          <w:highlight w:val="none"/>
        </w:rPr>
        <w:t>《技术/商务响应与偏离表》中对应内容注明。</w:t>
      </w:r>
    </w:p>
    <w:p w14:paraId="68F9D6B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15.4</w:t>
      </w:r>
      <w:r>
        <w:rPr>
          <w:rFonts w:hint="eastAsia" w:ascii="宋体" w:hAnsi="宋体"/>
          <w:color w:val="auto"/>
          <w:szCs w:val="21"/>
          <w:highlight w:val="none"/>
        </w:rPr>
        <w:t>根据《政府采购法》第四十二条的规定，供应商无论成交与否，其响应文件不予退还。</w:t>
      </w:r>
    </w:p>
    <w:p w14:paraId="1BAF3130">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16.报价</w:t>
      </w:r>
    </w:p>
    <w:p w14:paraId="1FA9E82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16.1供应商应当根据磋商文件要求和范围，以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769215FC">
      <w:pPr>
        <w:pStyle w:val="53"/>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16.2供应商应按第五章响应文件组成格式填写。</w:t>
      </w:r>
    </w:p>
    <w:p w14:paraId="1DD2CE4B">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16.3响应文件中的综合单价在合同执行过程中固定不变，最终结算总价按实际完成工程量核定，不得以任何理由予以变更。以可变动价格提交的报价将被认为是非实质响应而被拒绝。</w:t>
      </w:r>
    </w:p>
    <w:p w14:paraId="7A0057EF">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16.4</w:t>
      </w:r>
      <w:r>
        <w:rPr>
          <w:rFonts w:hint="eastAsia" w:hAnsi="宋体" w:cs="宋体"/>
          <w:color w:val="auto"/>
          <w:kern w:val="0"/>
          <w:highlight w:val="none"/>
          <w:lang w:val="zh-CN"/>
        </w:rPr>
        <w:t>供应商</w:t>
      </w:r>
      <w:r>
        <w:rPr>
          <w:rFonts w:hint="eastAsia" w:hAnsi="宋体"/>
          <w:color w:val="auto"/>
          <w:highlight w:val="none"/>
        </w:rPr>
        <w:t>的报价不得超过采购项目预算，如项目设定了最高限价则不得超过最高限价。采购项目预算、项目最高限价或其计算方法见</w:t>
      </w:r>
      <w:r>
        <w:rPr>
          <w:rFonts w:hint="eastAsia" w:hAnsi="宋体"/>
          <w:b/>
          <w:color w:val="auto"/>
          <w:highlight w:val="none"/>
        </w:rPr>
        <w:t>磋商须知前附表</w:t>
      </w:r>
      <w:r>
        <w:rPr>
          <w:rFonts w:hint="eastAsia" w:hAnsi="宋体"/>
          <w:color w:val="auto"/>
          <w:highlight w:val="none"/>
        </w:rPr>
        <w:t>。</w:t>
      </w:r>
    </w:p>
    <w:p w14:paraId="2571D9EB">
      <w:pPr>
        <w:pStyle w:val="19"/>
        <w:adjustRightInd w:val="0"/>
        <w:snapToGrid w:val="0"/>
        <w:spacing w:line="360" w:lineRule="auto"/>
        <w:rPr>
          <w:b/>
          <w:color w:val="auto"/>
          <w:highlight w:val="none"/>
        </w:rPr>
      </w:pPr>
      <w:r>
        <w:rPr>
          <w:rFonts w:hint="eastAsia"/>
          <w:b/>
          <w:color w:val="auto"/>
          <w:highlight w:val="none"/>
        </w:rPr>
        <w:t>17.供应商符合磋商文件规定的证明文件</w:t>
      </w:r>
    </w:p>
    <w:p w14:paraId="7E867257">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17.1供应商应提交满足本章第3.1款规定的资格条件要求的证明文件,该证明文件作为响应文件的一部分。</w:t>
      </w:r>
    </w:p>
    <w:p w14:paraId="2FA0FF44">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17.2如果供应商为联合体，则应提交联合体各方资格证明文件、联合体协议。否则，在评审时将其视为无效响应。</w:t>
      </w:r>
    </w:p>
    <w:p w14:paraId="7C1745CC">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17.3 除</w:t>
      </w:r>
      <w:r>
        <w:rPr>
          <w:rFonts w:hint="eastAsia" w:ascii="宋体" w:hAnsi="宋体"/>
          <w:b/>
          <w:color w:val="auto"/>
          <w:szCs w:val="21"/>
          <w:highlight w:val="none"/>
        </w:rPr>
        <w:t>磋商须知前附表</w:t>
      </w:r>
      <w:r>
        <w:rPr>
          <w:rFonts w:hint="eastAsia" w:ascii="宋体" w:hAnsi="宋体"/>
          <w:color w:val="auto"/>
          <w:szCs w:val="21"/>
          <w:highlight w:val="none"/>
        </w:rPr>
        <w:t>另有规定外，供应商提供的货物及服务不是供应商制造或拥有的，则必须提供经销、或代理采购货物、或采购货物提供售后服务的证明文件。</w:t>
      </w:r>
    </w:p>
    <w:p w14:paraId="0966355C">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18．样品提供</w:t>
      </w:r>
    </w:p>
    <w:p w14:paraId="6120236B">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b/>
          <w:color w:val="auto"/>
          <w:highlight w:val="none"/>
        </w:rPr>
        <w:t>磋商须知前附表</w:t>
      </w:r>
      <w:r>
        <w:rPr>
          <w:rFonts w:hint="eastAsia" w:ascii="宋体" w:hAnsi="宋体"/>
          <w:color w:val="auto"/>
          <w:szCs w:val="21"/>
          <w:highlight w:val="none"/>
        </w:rPr>
        <w:t>规定</w:t>
      </w:r>
      <w:r>
        <w:rPr>
          <w:rFonts w:hint="eastAsia" w:ascii="宋体" w:hAnsi="宋体"/>
          <w:bCs/>
          <w:color w:val="auto"/>
          <w:highlight w:val="none"/>
        </w:rPr>
        <w:t>供应商</w:t>
      </w:r>
      <w:r>
        <w:rPr>
          <w:rFonts w:hint="eastAsia" w:ascii="宋体" w:hAnsi="宋体"/>
          <w:color w:val="auto"/>
          <w:szCs w:val="21"/>
          <w:highlight w:val="none"/>
        </w:rPr>
        <w:t>在</w:t>
      </w:r>
      <w:r>
        <w:rPr>
          <w:rFonts w:hint="eastAsia" w:ascii="宋体" w:hAnsi="宋体"/>
          <w:color w:val="auto"/>
          <w:highlight w:val="none"/>
        </w:rPr>
        <w:t>磋商</w:t>
      </w:r>
      <w:r>
        <w:rPr>
          <w:rFonts w:hint="eastAsia" w:ascii="宋体" w:hAnsi="宋体"/>
          <w:color w:val="auto"/>
          <w:szCs w:val="21"/>
          <w:highlight w:val="none"/>
        </w:rPr>
        <w:t>时提供样品的，</w:t>
      </w:r>
      <w:r>
        <w:rPr>
          <w:rFonts w:hint="eastAsia" w:ascii="宋体" w:hAnsi="宋体"/>
          <w:bCs/>
          <w:color w:val="auto"/>
          <w:highlight w:val="none"/>
        </w:rPr>
        <w:t>供应商</w:t>
      </w:r>
      <w:r>
        <w:rPr>
          <w:rFonts w:ascii="宋体" w:hAnsi="宋体"/>
          <w:color w:val="auto"/>
          <w:szCs w:val="21"/>
          <w:highlight w:val="none"/>
        </w:rPr>
        <w:t>有以下情形之一的</w:t>
      </w:r>
      <w:r>
        <w:rPr>
          <w:rFonts w:hint="eastAsia" w:ascii="宋体" w:hAnsi="宋体"/>
          <w:color w:val="auto"/>
          <w:szCs w:val="21"/>
          <w:highlight w:val="none"/>
        </w:rPr>
        <w:t>，在评审时将其视为无效响应。</w:t>
      </w:r>
    </w:p>
    <w:p w14:paraId="48CF22EA">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（1）未在</w:t>
      </w:r>
      <w:r>
        <w:rPr>
          <w:rFonts w:hint="eastAsia" w:ascii="宋体" w:hAnsi="宋体"/>
          <w:b/>
          <w:color w:val="auto"/>
          <w:highlight w:val="none"/>
        </w:rPr>
        <w:t>磋商须知前附表</w:t>
      </w:r>
      <w:r>
        <w:rPr>
          <w:rFonts w:hint="eastAsia" w:ascii="宋体" w:hAnsi="宋体"/>
          <w:color w:val="auto"/>
          <w:szCs w:val="21"/>
          <w:highlight w:val="none"/>
        </w:rPr>
        <w:t>规定的提交时间、地点提交</w:t>
      </w:r>
      <w:r>
        <w:rPr>
          <w:rFonts w:ascii="宋体" w:hAnsi="宋体"/>
          <w:color w:val="auto"/>
          <w:szCs w:val="21"/>
          <w:highlight w:val="none"/>
        </w:rPr>
        <w:t>的</w:t>
      </w:r>
      <w:r>
        <w:rPr>
          <w:rFonts w:hint="eastAsia" w:ascii="宋体" w:hAnsi="宋体"/>
          <w:color w:val="auto"/>
          <w:szCs w:val="21"/>
          <w:highlight w:val="none"/>
        </w:rPr>
        <w:t>；</w:t>
      </w:r>
    </w:p>
    <w:p w14:paraId="21556743">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highlight w:val="none"/>
        </w:rPr>
        <w:t>供应商</w:t>
      </w:r>
      <w:r>
        <w:rPr>
          <w:rFonts w:hint="eastAsia" w:ascii="宋体" w:hAnsi="宋体"/>
          <w:color w:val="auto"/>
          <w:szCs w:val="21"/>
          <w:highlight w:val="none"/>
        </w:rPr>
        <w:t>提供的样品与响应文件中提供样品的型号、规格不一致</w:t>
      </w:r>
      <w:r>
        <w:rPr>
          <w:rFonts w:ascii="宋体" w:hAnsi="宋体"/>
          <w:color w:val="auto"/>
          <w:szCs w:val="21"/>
          <w:highlight w:val="none"/>
        </w:rPr>
        <w:t>的</w:t>
      </w:r>
      <w:r>
        <w:rPr>
          <w:rFonts w:hint="eastAsia" w:ascii="宋体" w:hAnsi="宋体"/>
          <w:color w:val="auto"/>
          <w:szCs w:val="21"/>
          <w:highlight w:val="none"/>
        </w:rPr>
        <w:t>。</w:t>
      </w:r>
    </w:p>
    <w:p w14:paraId="00D7140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19.磋商保证金</w:t>
      </w:r>
    </w:p>
    <w:p w14:paraId="1A99BA2A">
      <w:pPr>
        <w:pStyle w:val="19"/>
        <w:adjustRightInd w:val="0"/>
        <w:snapToGrid w:val="0"/>
        <w:spacing w:line="360" w:lineRule="auto"/>
        <w:ind w:firstLine="420" w:firstLineChars="200"/>
        <w:rPr>
          <w:rFonts w:hAnsi="宋体"/>
          <w:bCs/>
          <w:color w:val="auto"/>
          <w:highlight w:val="none"/>
        </w:rPr>
      </w:pPr>
      <w:r>
        <w:rPr>
          <w:rFonts w:hint="eastAsia" w:hAnsi="宋体"/>
          <w:color w:val="auto"/>
          <w:highlight w:val="none"/>
        </w:rPr>
        <w:t>19.1</w:t>
      </w:r>
      <w:r>
        <w:rPr>
          <w:rFonts w:hint="eastAsia" w:hAnsi="宋体"/>
          <w:b/>
          <w:color w:val="auto"/>
          <w:highlight w:val="none"/>
        </w:rPr>
        <w:t>磋商须知前附表</w:t>
      </w:r>
      <w:r>
        <w:rPr>
          <w:rFonts w:hint="eastAsia" w:hAnsi="宋体"/>
          <w:color w:val="auto"/>
          <w:highlight w:val="none"/>
        </w:rPr>
        <w:t>规定交纳磋商</w:t>
      </w:r>
      <w:r>
        <w:rPr>
          <w:rFonts w:hint="eastAsia" w:hAnsi="宋体"/>
          <w:bCs/>
          <w:color w:val="auto"/>
          <w:highlight w:val="none"/>
        </w:rPr>
        <w:t>保证金的</w:t>
      </w:r>
      <w:r>
        <w:rPr>
          <w:rFonts w:hint="eastAsia" w:hAnsi="宋体"/>
          <w:color w:val="auto"/>
          <w:highlight w:val="none"/>
        </w:rPr>
        <w:t>，应按</w:t>
      </w:r>
      <w:r>
        <w:rPr>
          <w:rFonts w:hint="eastAsia" w:hAnsi="宋体"/>
          <w:b/>
          <w:color w:val="auto"/>
          <w:highlight w:val="none"/>
        </w:rPr>
        <w:t>磋商须知前附表</w:t>
      </w:r>
      <w:r>
        <w:rPr>
          <w:rFonts w:hint="eastAsia" w:hAnsi="宋体"/>
          <w:color w:val="auto"/>
          <w:highlight w:val="none"/>
        </w:rPr>
        <w:t>规定的磋商</w:t>
      </w:r>
      <w:r>
        <w:rPr>
          <w:rFonts w:hint="eastAsia" w:hAnsi="宋体"/>
          <w:bCs/>
          <w:color w:val="auto"/>
          <w:highlight w:val="none"/>
        </w:rPr>
        <w:t>保证金形式交纳，不得以现金方式交纳</w:t>
      </w:r>
      <w:r>
        <w:rPr>
          <w:rFonts w:hint="eastAsia" w:hAnsi="宋体"/>
          <w:color w:val="auto"/>
          <w:highlight w:val="none"/>
        </w:rPr>
        <w:t>，在</w:t>
      </w:r>
      <w:r>
        <w:rPr>
          <w:rFonts w:hint="eastAsia" w:hAnsi="宋体" w:cs="宋体"/>
          <w:color w:val="auto"/>
          <w:kern w:val="0"/>
          <w:highlight w:val="none"/>
        </w:rPr>
        <w:t>提交首次响应文件截止时间</w:t>
      </w:r>
      <w:r>
        <w:rPr>
          <w:rFonts w:hint="eastAsia" w:hAnsi="宋体"/>
          <w:color w:val="auto"/>
          <w:highlight w:val="none"/>
        </w:rPr>
        <w:t>前，</w:t>
      </w:r>
      <w:r>
        <w:rPr>
          <w:rFonts w:hint="eastAsia" w:hAnsi="宋体"/>
          <w:bCs/>
          <w:color w:val="auto"/>
          <w:highlight w:val="none"/>
        </w:rPr>
        <w:t>向采购代理机构交纳不超过</w:t>
      </w:r>
      <w:r>
        <w:rPr>
          <w:rFonts w:hint="eastAsia" w:hAnsi="宋体" w:cs="宋体"/>
          <w:color w:val="auto"/>
          <w:kern w:val="0"/>
          <w:highlight w:val="none"/>
          <w:lang w:val="zh-CN"/>
        </w:rPr>
        <w:t>采购项目预算</w:t>
      </w:r>
      <w:r>
        <w:rPr>
          <w:rFonts w:hint="eastAsia" w:hAnsi="宋体" w:cs="宋体"/>
          <w:color w:val="auto"/>
          <w:kern w:val="0"/>
          <w:highlight w:val="none"/>
        </w:rPr>
        <w:t>1</w:t>
      </w:r>
      <w:r>
        <w:rPr>
          <w:rFonts w:hint="eastAsia" w:hAnsi="宋体" w:cs="宋体"/>
          <w:color w:val="auto"/>
          <w:kern w:val="0"/>
          <w:highlight w:val="none"/>
          <w:lang w:val="zh-CN"/>
        </w:rPr>
        <w:t>﹪</w:t>
      </w:r>
      <w:r>
        <w:rPr>
          <w:rFonts w:hint="eastAsia" w:hAnsi="宋体"/>
          <w:bCs/>
          <w:color w:val="auto"/>
          <w:highlight w:val="none"/>
        </w:rPr>
        <w:t>的磋商保证金(数额采用四舍五入，计算至元)</w:t>
      </w:r>
      <w:r>
        <w:rPr>
          <w:rFonts w:hint="eastAsia" w:hAnsi="宋体"/>
          <w:color w:val="auto"/>
          <w:highlight w:val="none"/>
        </w:rPr>
        <w:t>。磋商</w:t>
      </w:r>
      <w:r>
        <w:rPr>
          <w:rFonts w:hint="eastAsia" w:hAnsi="宋体"/>
          <w:bCs/>
          <w:color w:val="auto"/>
          <w:highlight w:val="none"/>
        </w:rPr>
        <w:t>保证金有效期应当与</w:t>
      </w:r>
      <w:r>
        <w:rPr>
          <w:rFonts w:hint="eastAsia" w:hAnsi="宋体"/>
          <w:color w:val="auto"/>
          <w:highlight w:val="none"/>
        </w:rPr>
        <w:t>本章第20.1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bCs/>
          <w:color w:val="auto"/>
          <w:highlight w:val="none"/>
        </w:rPr>
        <w:t>响应文件有效期一致。</w:t>
      </w:r>
    </w:p>
    <w:p w14:paraId="06C818EC">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19.2</w:t>
      </w:r>
      <w:r>
        <w:rPr>
          <w:rFonts w:hint="eastAsia" w:ascii="宋体" w:hAnsi="宋体" w:cs="宋体"/>
          <w:color w:val="auto"/>
          <w:kern w:val="0"/>
          <w:szCs w:val="21"/>
          <w:highlight w:val="none"/>
          <w:lang w:val="zh-CN"/>
        </w:rPr>
        <w:t>供应商为联合体的，可以由联合体中的一方或者共同交纳磋商保证金，其交纳的磋商保证金，对联合体各方均具有约束力。</w:t>
      </w:r>
    </w:p>
    <w:p w14:paraId="7A9AE506">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19.3供应商未按照磋商文件要求提交磋商保证金的，响应无效。</w:t>
      </w:r>
    </w:p>
    <w:p w14:paraId="5340F0C1">
      <w:pPr>
        <w:pStyle w:val="19"/>
        <w:tabs>
          <w:tab w:val="left" w:pos="6300"/>
        </w:tabs>
        <w:adjustRightInd w:val="0"/>
        <w:snapToGrid w:val="0"/>
        <w:spacing w:line="360" w:lineRule="auto"/>
        <w:ind w:firstLine="420" w:firstLineChars="200"/>
        <w:rPr>
          <w:rFonts w:hAnsi="宋体"/>
          <w:color w:val="auto"/>
          <w:highlight w:val="none"/>
        </w:rPr>
      </w:pPr>
      <w:r>
        <w:rPr>
          <w:rFonts w:hint="eastAsia" w:hAnsi="宋体"/>
          <w:color w:val="auto"/>
          <w:highlight w:val="none"/>
        </w:rPr>
        <w:t>19.4采购代理机构在成交通知书发出后5个工作日内退还未成交供应商的磋商保证金；在采购合同签订后5个工作日内退还成交供应商的磋商保证金，但因供应商自身原因导致无法及时退还的除外。</w:t>
      </w:r>
    </w:p>
    <w:p w14:paraId="1FE1F5C0">
      <w:pPr>
        <w:pStyle w:val="19"/>
        <w:adjustRightInd w:val="0"/>
        <w:snapToGrid w:val="0"/>
        <w:spacing w:line="360" w:lineRule="auto"/>
        <w:ind w:firstLine="420" w:firstLineChars="200"/>
        <w:rPr>
          <w:color w:val="auto"/>
          <w:kern w:val="0"/>
          <w:highlight w:val="none"/>
        </w:rPr>
      </w:pPr>
      <w:r>
        <w:rPr>
          <w:rFonts w:hint="eastAsia"/>
          <w:color w:val="auto"/>
          <w:highlight w:val="none"/>
        </w:rPr>
        <w:t xml:space="preserve">19.5 </w:t>
      </w:r>
      <w:r>
        <w:rPr>
          <w:rFonts w:hint="eastAsia"/>
          <w:color w:val="auto"/>
          <w:kern w:val="0"/>
          <w:highlight w:val="none"/>
        </w:rPr>
        <w:t>有下列情形之一的，磋商保证金不予退还，并上缴本级财政国库：</w:t>
      </w:r>
    </w:p>
    <w:p w14:paraId="74F77809">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（1）供应商在提交首次响应文件截止时间后撤回响应文件的；</w:t>
      </w:r>
    </w:p>
    <w:p w14:paraId="6ADE67B8">
      <w:pPr>
        <w:widowControl/>
        <w:adjustRightInd w:val="0"/>
        <w:snapToGrid w:val="0"/>
        <w:spacing w:line="360" w:lineRule="auto"/>
        <w:ind w:firstLine="420" w:firstLineChars="200"/>
        <w:jc w:val="left"/>
        <w:rPr>
          <w:color w:val="auto"/>
          <w:kern w:val="0"/>
          <w:highlight w:val="none"/>
        </w:rPr>
      </w:pPr>
      <w:r>
        <w:rPr>
          <w:rFonts w:hint="eastAsia"/>
          <w:color w:val="auto"/>
          <w:kern w:val="0"/>
          <w:highlight w:val="none"/>
        </w:rPr>
        <w:t>（2）供应商在响应文件中提供虚假资料的；</w:t>
      </w:r>
    </w:p>
    <w:p w14:paraId="0DD676BB">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color w:val="auto"/>
          <w:kern w:val="0"/>
          <w:highlight w:val="none"/>
        </w:rPr>
        <w:t>（3）</w:t>
      </w:r>
      <w:r>
        <w:rPr>
          <w:rFonts w:hint="eastAsia"/>
          <w:color w:val="auto"/>
          <w:highlight w:val="none"/>
        </w:rPr>
        <w:t>确定成交结果后，无正当理由放弃成交资格的；</w:t>
      </w:r>
    </w:p>
    <w:p w14:paraId="1F0165AF">
      <w:pPr>
        <w:widowControl/>
        <w:adjustRightInd w:val="0"/>
        <w:snapToGri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(4) 除因不可抗力或磋商文件认可的情形以外，成交供应商不与采购人签订合同的；</w:t>
      </w:r>
    </w:p>
    <w:p w14:paraId="03C10380">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（5）供应商与采购人、其他供应商或者采购代理机构恶意串通的；</w:t>
      </w:r>
    </w:p>
    <w:p w14:paraId="4E60B554">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（6）磋商文件规定的其他情形。</w:t>
      </w:r>
    </w:p>
    <w:p w14:paraId="5878CDC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20.</w:t>
      </w:r>
      <w:r>
        <w:rPr>
          <w:rFonts w:hint="eastAsia" w:hAnsi="宋体"/>
          <w:b/>
          <w:color w:val="auto"/>
          <w:highlight w:val="none"/>
        </w:rPr>
        <w:t>响应文件</w:t>
      </w:r>
      <w:r>
        <w:rPr>
          <w:rFonts w:hint="eastAsia" w:ascii="宋体" w:hAnsi="宋体"/>
          <w:b/>
          <w:color w:val="auto"/>
          <w:szCs w:val="21"/>
          <w:highlight w:val="none"/>
        </w:rPr>
        <w:t>有效期</w:t>
      </w:r>
    </w:p>
    <w:p w14:paraId="7AB08FAE">
      <w:pPr>
        <w:adjustRightInd w:val="0"/>
        <w:snapToGrid w:val="0"/>
        <w:spacing w:line="360" w:lineRule="auto"/>
        <w:ind w:firstLine="420" w:firstLineChars="200"/>
        <w:jc w:val="left"/>
        <w:rPr>
          <w:rFonts w:hAnsi="宋体"/>
          <w:color w:val="auto"/>
          <w:highlight w:val="none"/>
        </w:rPr>
      </w:pPr>
      <w:r>
        <w:rPr>
          <w:rFonts w:hint="eastAsia" w:ascii="宋体" w:hAnsi="宋体"/>
          <w:color w:val="auto"/>
          <w:highlight w:val="none"/>
        </w:rPr>
        <w:t>20.1响应文件</w:t>
      </w:r>
      <w:r>
        <w:rPr>
          <w:rFonts w:hint="eastAsia" w:ascii="宋体" w:hAnsi="宋体"/>
          <w:color w:val="auto"/>
          <w:szCs w:val="21"/>
          <w:highlight w:val="none"/>
        </w:rPr>
        <w:t>有效期见</w:t>
      </w:r>
      <w:r>
        <w:rPr>
          <w:rFonts w:hint="eastAsia" w:ascii="宋体" w:hAnsi="宋体"/>
          <w:b/>
          <w:color w:val="auto"/>
          <w:highlight w:val="none"/>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5F06B820">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21.响应文件的签署及规定</w:t>
      </w:r>
    </w:p>
    <w:p w14:paraId="11041A9A">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21.1响应文件的正本和副本应装订成册，正本一份，副本份数见</w:t>
      </w:r>
      <w:r>
        <w:rPr>
          <w:rFonts w:hint="eastAsia" w:hAnsi="宋体"/>
          <w:b/>
          <w:color w:val="auto"/>
          <w:highlight w:val="none"/>
        </w:rPr>
        <w:t>磋商须知前附表</w:t>
      </w:r>
      <w:r>
        <w:rPr>
          <w:rFonts w:hint="eastAsia" w:hAnsi="宋体"/>
          <w:color w:val="auto"/>
          <w:highlight w:val="none"/>
        </w:rPr>
        <w:t>。正本和副本的封面上应标记“正本”或“副本”的字样，当正本和副本有差异时，以正本为准。</w:t>
      </w:r>
    </w:p>
    <w:p w14:paraId="797AD15B">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21668E19">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21.3 在磋商过程中，供应商按磋商文件规定和磋商小组要求</w:t>
      </w:r>
      <w:r>
        <w:rPr>
          <w:rFonts w:hint="eastAsia" w:hAnsi="宋体" w:cs="宋体"/>
          <w:color w:val="auto"/>
          <w:kern w:val="0"/>
          <w:highlight w:val="none"/>
        </w:rPr>
        <w:t>提交的</w:t>
      </w:r>
      <w:r>
        <w:rPr>
          <w:rFonts w:hint="eastAsia" w:hAnsi="宋体"/>
          <w:color w:val="auto"/>
          <w:highlight w:val="none"/>
        </w:rPr>
        <w:t>最后报价(或者</w:t>
      </w:r>
      <w:r>
        <w:rPr>
          <w:rFonts w:hint="eastAsia" w:hAnsi="宋体"/>
          <w:bCs/>
          <w:color w:val="auto"/>
          <w:highlight w:val="none"/>
        </w:rPr>
        <w:t>重</w:t>
      </w:r>
      <w:r>
        <w:rPr>
          <w:rFonts w:hint="eastAsia" w:hAnsi="宋体" w:cs="宋体"/>
          <w:color w:val="auto"/>
          <w:kern w:val="0"/>
          <w:highlight w:val="none"/>
        </w:rPr>
        <w:t>新提交的响应文件和</w:t>
      </w:r>
      <w:r>
        <w:rPr>
          <w:rFonts w:hint="eastAsia" w:hAnsi="宋体"/>
          <w:color w:val="auto"/>
          <w:highlight w:val="none"/>
        </w:rPr>
        <w:t>最后报价)，一式两份，可打印或用不褪色墨水书写，但须经法定代表人或其委托代理人签字，</w:t>
      </w:r>
      <w:r>
        <w:rPr>
          <w:rFonts w:hint="eastAsia" w:hAnsi="宋体" w:cs="宋体"/>
          <w:color w:val="auto"/>
          <w:kern w:val="0"/>
          <w:highlight w:val="none"/>
        </w:rPr>
        <w:t>或者加盖供应商单位章</w:t>
      </w:r>
      <w:r>
        <w:rPr>
          <w:rFonts w:hint="eastAsia" w:hAnsi="宋体"/>
          <w:color w:val="auto"/>
          <w:highlight w:val="none"/>
        </w:rPr>
        <w:t>。否则，将导致响应文件无效。</w:t>
      </w:r>
    </w:p>
    <w:p w14:paraId="1FD3B9DA">
      <w:pPr>
        <w:numPr>
          <w:ilvl w:val="0"/>
          <w:numId w:val="7"/>
        </w:numPr>
        <w:adjustRightInd w:val="0"/>
        <w:snapToGrid w:val="0"/>
        <w:spacing w:line="360" w:lineRule="auto"/>
        <w:outlineLvl w:val="0"/>
        <w:rPr>
          <w:rFonts w:ascii="黑体" w:hAnsi="宋体" w:eastAsia="黑体"/>
          <w:b/>
          <w:bCs/>
          <w:color w:val="auto"/>
          <w:sz w:val="24"/>
          <w:highlight w:val="none"/>
        </w:rPr>
      </w:pPr>
      <w:r>
        <w:rPr>
          <w:rFonts w:hint="eastAsia" w:ascii="黑体" w:hAnsi="宋体" w:eastAsia="黑体"/>
          <w:b/>
          <w:bCs/>
          <w:color w:val="auto"/>
          <w:sz w:val="24"/>
          <w:highlight w:val="none"/>
        </w:rPr>
        <w:t>响应文件的递交</w:t>
      </w:r>
    </w:p>
    <w:p w14:paraId="65BCD9CA">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22.</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350430BC">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22.1响应文件应密封包装，加贴封条，并在封套的封口处盖供应商单位章或者由法定代表人或其委托代理人签字。</w:t>
      </w:r>
    </w:p>
    <w:p w14:paraId="5BBF4F7B">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22.2响应文件封套上应写明的内容见</w:t>
      </w:r>
      <w:r>
        <w:rPr>
          <w:rFonts w:hint="eastAsia" w:ascii="宋体" w:hAnsi="宋体"/>
          <w:b/>
          <w:color w:val="auto"/>
          <w:szCs w:val="21"/>
          <w:highlight w:val="none"/>
        </w:rPr>
        <w:t>磋商须知前附表。</w:t>
      </w:r>
    </w:p>
    <w:p w14:paraId="38C7A598">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22.3响应文件如果未按上述规定密封和加写标记，采购人或采购代理机构将拒绝接收。</w:t>
      </w:r>
    </w:p>
    <w:p w14:paraId="57A956D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23.响应文件的</w:t>
      </w:r>
      <w:r>
        <w:rPr>
          <w:rFonts w:hint="eastAsia" w:ascii="宋体" w:hAnsi="宋体" w:cs="宋体"/>
          <w:b/>
          <w:color w:val="auto"/>
          <w:kern w:val="0"/>
          <w:szCs w:val="21"/>
          <w:highlight w:val="none"/>
          <w:lang w:val="zh-CN"/>
        </w:rPr>
        <w:t>补充、修改或者撤回</w:t>
      </w:r>
    </w:p>
    <w:p w14:paraId="713FFE47">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23.1</w:t>
      </w:r>
      <w:r>
        <w:rPr>
          <w:rFonts w:hint="eastAsia" w:hAnsi="宋体" w:cs="宋体"/>
          <w:color w:val="auto"/>
          <w:kern w:val="0"/>
          <w:highlight w:val="none"/>
        </w:rPr>
        <w:t>供应商在提交首次响应文件截止时间前，可以对所提交的首次响应文件进行补充、修改或者撤回，并书面通知采购人、采购代理机构。</w:t>
      </w:r>
      <w:r>
        <w:rPr>
          <w:rFonts w:hint="eastAsia" w:hAnsi="宋体"/>
          <w:color w:val="auto"/>
          <w:highlight w:val="none"/>
        </w:rPr>
        <w:t>该通知应有供应商法定代表人或其委托代理人签字。</w:t>
      </w:r>
    </w:p>
    <w:p w14:paraId="317BE631">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23.2</w:t>
      </w:r>
      <w:r>
        <w:rPr>
          <w:rFonts w:hint="eastAsia" w:hAnsi="宋体" w:cs="宋体"/>
          <w:color w:val="auto"/>
          <w:kern w:val="0"/>
          <w:highlight w:val="none"/>
          <w:lang w:val="zh-CN"/>
        </w:rPr>
        <w:t>补充、修改的内容与响应文件不一致时，以补充、修改的内容为准。</w:t>
      </w:r>
    </w:p>
    <w:p w14:paraId="2575624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24.响应文件的递交与接收</w:t>
      </w:r>
    </w:p>
    <w:p w14:paraId="5F13CFF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 供应商应在</w:t>
      </w:r>
      <w:r>
        <w:rPr>
          <w:rFonts w:hint="eastAsia" w:ascii="宋体" w:hAnsi="宋体" w:cs="宋体"/>
          <w:color w:val="auto"/>
          <w:kern w:val="0"/>
          <w:szCs w:val="21"/>
          <w:highlight w:val="none"/>
        </w:rPr>
        <w:t>提交首次响应文件截止时间</w:t>
      </w:r>
      <w:r>
        <w:rPr>
          <w:rFonts w:hint="eastAsia" w:ascii="宋体" w:hAnsi="宋体"/>
          <w:color w:val="auto"/>
          <w:szCs w:val="21"/>
          <w:highlight w:val="none"/>
        </w:rPr>
        <w:t>前，将响应文件送</w:t>
      </w:r>
      <w:r>
        <w:rPr>
          <w:rFonts w:hint="eastAsia" w:ascii="宋体" w:hAnsi="宋体" w:cs="Arial"/>
          <w:color w:val="auto"/>
          <w:szCs w:val="21"/>
          <w:highlight w:val="none"/>
        </w:rPr>
        <w:t>达</w:t>
      </w:r>
      <w:r>
        <w:rPr>
          <w:rFonts w:hint="eastAsia" w:ascii="宋体" w:hAnsi="宋体"/>
          <w:b/>
          <w:color w:val="auto"/>
          <w:szCs w:val="21"/>
          <w:highlight w:val="none"/>
        </w:rPr>
        <w:t>磋商须知前附表</w:t>
      </w:r>
      <w:r>
        <w:rPr>
          <w:rFonts w:hint="eastAsia" w:ascii="宋体" w:hAnsi="宋体"/>
          <w:color w:val="auto"/>
          <w:szCs w:val="21"/>
          <w:highlight w:val="none"/>
        </w:rPr>
        <w:t>中指定的地点。</w:t>
      </w:r>
      <w:r>
        <w:rPr>
          <w:rFonts w:hint="eastAsia" w:hAnsi="宋体" w:cs="宋体"/>
          <w:color w:val="auto"/>
          <w:kern w:val="0"/>
          <w:highlight w:val="none"/>
        </w:rPr>
        <w:t>在截止时间后送达的响应文件，采购人、采购代理机构或者磋商小组应当拒收。</w:t>
      </w:r>
    </w:p>
    <w:p w14:paraId="7ED99D42">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24.2</w:t>
      </w:r>
      <w:r>
        <w:rPr>
          <w:rFonts w:hint="eastAsia" w:hAnsi="宋体" w:cs="宋体"/>
          <w:color w:val="auto"/>
          <w:kern w:val="0"/>
          <w:highlight w:val="none"/>
        </w:rPr>
        <w:t>在提交首次响应文件截止时间后，</w:t>
      </w:r>
      <w:r>
        <w:rPr>
          <w:rFonts w:hint="eastAsia" w:hAnsi="宋体"/>
          <w:color w:val="auto"/>
          <w:highlight w:val="none"/>
        </w:rPr>
        <w:t>由</w:t>
      </w:r>
      <w:r>
        <w:rPr>
          <w:rFonts w:hint="eastAsia" w:hAnsi="宋体"/>
          <w:bCs/>
          <w:color w:val="auto"/>
          <w:highlight w:val="none"/>
        </w:rPr>
        <w:t>供应商代表</w:t>
      </w:r>
      <w:r>
        <w:rPr>
          <w:rFonts w:hint="eastAsia" w:hAnsi="宋体"/>
          <w:color w:val="auto"/>
          <w:highlight w:val="none"/>
        </w:rPr>
        <w:t>当场查验</w:t>
      </w:r>
      <w:r>
        <w:rPr>
          <w:rFonts w:hint="eastAsia" w:hAnsi="宋体"/>
          <w:bCs/>
          <w:color w:val="auto"/>
          <w:highlight w:val="none"/>
        </w:rPr>
        <w:t>响应文件</w:t>
      </w:r>
      <w:r>
        <w:rPr>
          <w:rFonts w:hint="eastAsia" w:hAnsi="宋体"/>
          <w:color w:val="auto"/>
          <w:highlight w:val="none"/>
        </w:rPr>
        <w:t>的密封状况，采购人或</w:t>
      </w:r>
      <w:r>
        <w:rPr>
          <w:rFonts w:hint="eastAsia" w:hAnsi="宋体"/>
          <w:bCs/>
          <w:color w:val="auto"/>
          <w:highlight w:val="none"/>
        </w:rPr>
        <w:t>采购代理机构</w:t>
      </w:r>
      <w:r>
        <w:rPr>
          <w:rFonts w:hint="eastAsia" w:hAnsi="宋体"/>
          <w:color w:val="auto"/>
          <w:highlight w:val="none"/>
        </w:rPr>
        <w:t>不当场拆封</w:t>
      </w:r>
      <w:r>
        <w:rPr>
          <w:rFonts w:hint="eastAsia" w:hAnsi="宋体"/>
          <w:bCs/>
          <w:color w:val="auto"/>
          <w:highlight w:val="none"/>
        </w:rPr>
        <w:t>响应文件</w:t>
      </w:r>
      <w:r>
        <w:rPr>
          <w:rFonts w:hint="eastAsia" w:hAnsi="宋体"/>
          <w:color w:val="auto"/>
          <w:highlight w:val="none"/>
        </w:rPr>
        <w:t>。</w:t>
      </w:r>
    </w:p>
    <w:p w14:paraId="089A6454">
      <w:pPr>
        <w:numPr>
          <w:ilvl w:val="0"/>
          <w:numId w:val="7"/>
        </w:numPr>
        <w:adjustRightInd w:val="0"/>
        <w:snapToGrid w:val="0"/>
        <w:spacing w:line="360" w:lineRule="auto"/>
        <w:outlineLvl w:val="0"/>
        <w:rPr>
          <w:rFonts w:ascii="黑体" w:hAnsi="宋体" w:eastAsia="黑体"/>
          <w:b/>
          <w:bCs/>
          <w:color w:val="auto"/>
          <w:sz w:val="24"/>
          <w:highlight w:val="none"/>
        </w:rPr>
      </w:pPr>
      <w:r>
        <w:rPr>
          <w:rFonts w:hint="eastAsia" w:ascii="黑体" w:hAnsi="宋体" w:eastAsia="黑体"/>
          <w:b/>
          <w:bCs/>
          <w:color w:val="auto"/>
          <w:sz w:val="24"/>
          <w:highlight w:val="none"/>
        </w:rPr>
        <w:t>响应文件的磋商与评审</w:t>
      </w:r>
    </w:p>
    <w:p w14:paraId="310A39FB">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25.磋商程序</w:t>
      </w:r>
    </w:p>
    <w:p w14:paraId="1EC737E7">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25.1磋商程序：响应文件审查、磋商（包括澄清）、最终报价、响应文件评审、</w:t>
      </w:r>
      <w:r>
        <w:rPr>
          <w:rFonts w:hint="eastAsia" w:ascii="宋体" w:hAnsi="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olor w:val="auto"/>
          <w:szCs w:val="21"/>
          <w:highlight w:val="none"/>
        </w:rPr>
        <w:t>本章</w:t>
      </w:r>
      <w:r>
        <w:rPr>
          <w:rFonts w:hint="eastAsia" w:hAnsi="宋体"/>
          <w:color w:val="auto"/>
          <w:highlight w:val="none"/>
        </w:rPr>
        <w:t>第</w:t>
      </w:r>
      <w:r>
        <w:rPr>
          <w:rFonts w:hint="eastAsia" w:ascii="宋体" w:hAnsi="宋体"/>
          <w:color w:val="auto"/>
          <w:highlight w:val="none"/>
        </w:rPr>
        <w:t>30.1</w:t>
      </w:r>
      <w:r>
        <w:rPr>
          <w:rFonts w:hint="eastAsia" w:ascii="宋体" w:hAnsi="宋体" w:cs="宋体"/>
          <w:color w:val="auto"/>
          <w:kern w:val="0"/>
          <w:szCs w:val="21"/>
          <w:highlight w:val="none"/>
          <w:lang w:val="zh-CN"/>
        </w:rPr>
        <w:t>款或者</w:t>
      </w:r>
      <w:r>
        <w:rPr>
          <w:rFonts w:hint="eastAsia" w:ascii="宋体" w:hAnsi="宋体"/>
          <w:color w:val="auto"/>
          <w:highlight w:val="none"/>
        </w:rPr>
        <w:t>第30.2</w:t>
      </w:r>
      <w:r>
        <w:rPr>
          <w:rFonts w:hint="eastAsia" w:ascii="宋体" w:hAnsi="宋体" w:cs="宋体"/>
          <w:color w:val="auto"/>
          <w:kern w:val="0"/>
          <w:szCs w:val="21"/>
          <w:highlight w:val="none"/>
          <w:lang w:val="zh-CN"/>
        </w:rPr>
        <w:t>款</w:t>
      </w:r>
      <w:r>
        <w:rPr>
          <w:rFonts w:hint="eastAsia" w:hAnsi="宋体"/>
          <w:color w:val="auto"/>
          <w:highlight w:val="none"/>
        </w:rPr>
        <w:t>情形</w:t>
      </w:r>
      <w:r>
        <w:rPr>
          <w:rFonts w:hint="eastAsia" w:ascii="宋体" w:hAnsi="宋体"/>
          <w:bCs/>
          <w:color w:val="auto"/>
          <w:szCs w:val="21"/>
          <w:highlight w:val="none"/>
        </w:rPr>
        <w:t>进行。</w:t>
      </w:r>
    </w:p>
    <w:p w14:paraId="09BB6729">
      <w:pPr>
        <w:widowControl/>
        <w:adjustRightInd w:val="0"/>
        <w:snapToGrid w:val="0"/>
        <w:spacing w:line="360" w:lineRule="auto"/>
        <w:rPr>
          <w:rFonts w:ascii="宋体" w:hAnsi="宋体"/>
          <w:b/>
          <w:color w:val="auto"/>
          <w:szCs w:val="21"/>
          <w:highlight w:val="none"/>
        </w:rPr>
      </w:pPr>
      <w:r>
        <w:rPr>
          <w:rFonts w:hint="eastAsia" w:ascii="宋体" w:hAnsi="宋体" w:cs="宋体"/>
          <w:b/>
          <w:color w:val="auto"/>
          <w:kern w:val="0"/>
          <w:szCs w:val="21"/>
          <w:highlight w:val="none"/>
        </w:rPr>
        <w:t>26.响应文件审查</w:t>
      </w:r>
    </w:p>
    <w:p w14:paraId="74D1B6C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26.1 资格性审查：根据本章第3.1项规定的供应商资格条件要求，采购人及其代理机构对响应文件的资格证明等进行审查，以确定供应商是否具备磋商资格条件。</w:t>
      </w:r>
    </w:p>
    <w:p w14:paraId="2E4B7EB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26.2符合性审查: 磋商小组对响应文件(包括首次提交的响应文件、重新提交的响应文件)的有效性、完整性和响应程度进行审查，以确定是否对磋商文件的实质性要求作出响应。</w:t>
      </w:r>
    </w:p>
    <w:p w14:paraId="78DF60A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1C564728">
      <w:pPr>
        <w:pStyle w:val="19"/>
        <w:adjustRightInd w:val="0"/>
        <w:snapToGrid w:val="0"/>
        <w:spacing w:line="360" w:lineRule="auto"/>
        <w:rPr>
          <w:rFonts w:hAnsi="宋体" w:cs="宋体"/>
          <w:b/>
          <w:color w:val="auto"/>
          <w:kern w:val="0"/>
          <w:highlight w:val="none"/>
        </w:rPr>
      </w:pPr>
      <w:r>
        <w:rPr>
          <w:rFonts w:hint="eastAsia" w:hAnsi="宋体" w:cs="宋体"/>
          <w:b/>
          <w:color w:val="auto"/>
          <w:kern w:val="0"/>
          <w:highlight w:val="none"/>
        </w:rPr>
        <w:t>27.实质性响应</w:t>
      </w:r>
    </w:p>
    <w:p w14:paraId="54A3805C">
      <w:pPr>
        <w:pStyle w:val="19"/>
        <w:adjustRightInd w:val="0"/>
        <w:snapToGrid w:val="0"/>
        <w:spacing w:line="360" w:lineRule="auto"/>
        <w:ind w:firstLine="420" w:firstLineChars="200"/>
        <w:rPr>
          <w:rFonts w:hAnsi="宋体" w:cs="Arial"/>
          <w:color w:val="auto"/>
          <w:kern w:val="0"/>
          <w:highlight w:val="none"/>
          <w:u w:val="single"/>
        </w:rPr>
      </w:pPr>
      <w:r>
        <w:rPr>
          <w:rFonts w:hint="eastAsia" w:hAnsi="宋体" w:cs="宋体"/>
          <w:color w:val="auto"/>
          <w:kern w:val="0"/>
          <w:highlight w:val="none"/>
        </w:rPr>
        <w:t>27.1</w:t>
      </w:r>
      <w:r>
        <w:rPr>
          <w:rFonts w:hint="eastAsia" w:hAnsi="宋体"/>
          <w:color w:val="auto"/>
          <w:highlight w:val="none"/>
        </w:rPr>
        <w:t>实质性响应是指响应文件(包括首次响应文件、重新提交的响应文件)与磋商文件要求的所有条款、条件和规格相符，没有偏离。偏离</w:t>
      </w:r>
      <w:r>
        <w:rPr>
          <w:rFonts w:hint="eastAsia"/>
          <w:color w:val="auto"/>
          <w:highlight w:val="none"/>
        </w:rPr>
        <w:t>指不满足、或不响应</w:t>
      </w:r>
      <w:r>
        <w:rPr>
          <w:rFonts w:hint="eastAsia" w:hAnsi="宋体"/>
          <w:color w:val="auto"/>
          <w:highlight w:val="none"/>
        </w:rPr>
        <w:t>磋商文件</w:t>
      </w:r>
      <w:r>
        <w:rPr>
          <w:rFonts w:hint="eastAsia"/>
          <w:color w:val="auto"/>
          <w:highlight w:val="none"/>
        </w:rPr>
        <w:t>的要求。</w:t>
      </w:r>
    </w:p>
    <w:p w14:paraId="190ED060">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olor w:val="auto"/>
          <w:szCs w:val="21"/>
          <w:highlight w:val="none"/>
        </w:rPr>
      </w:pPr>
      <w:r>
        <w:rPr>
          <w:rFonts w:hint="eastAsia" w:ascii="宋体" w:hAnsi="宋体"/>
          <w:color w:val="auto"/>
          <w:szCs w:val="21"/>
          <w:highlight w:val="none"/>
        </w:rPr>
        <w:t>27.2</w:t>
      </w:r>
      <w:r>
        <w:rPr>
          <w:rFonts w:hint="eastAsia" w:ascii="宋体" w:hAnsi="宋体"/>
          <w:color w:val="auto"/>
          <w:highlight w:val="none"/>
        </w:rPr>
        <w:t>响应文件是否实质性响应磋商文件要求由磋商小组依据磋商文件规定认定。</w:t>
      </w:r>
      <w:r>
        <w:rPr>
          <w:rFonts w:hint="eastAsia" w:ascii="宋体" w:hAnsi="宋体" w:cs="宋体"/>
          <w:color w:val="auto"/>
          <w:kern w:val="0"/>
          <w:szCs w:val="21"/>
          <w:highlight w:val="none"/>
        </w:rPr>
        <w:t>磋商小组</w:t>
      </w:r>
      <w:r>
        <w:rPr>
          <w:rFonts w:hint="eastAsia" w:ascii="宋体" w:hAnsi="宋体"/>
          <w:color w:val="auto"/>
          <w:szCs w:val="21"/>
          <w:highlight w:val="none"/>
        </w:rPr>
        <w:t>决定</w:t>
      </w:r>
      <w:r>
        <w:rPr>
          <w:rFonts w:hint="eastAsia" w:ascii="宋体" w:hAnsi="宋体"/>
          <w:color w:val="auto"/>
          <w:highlight w:val="none"/>
        </w:rPr>
        <w:t>响应文件</w:t>
      </w:r>
      <w:r>
        <w:rPr>
          <w:rFonts w:hint="eastAsia" w:ascii="宋体" w:hAnsi="宋体"/>
          <w:color w:val="auto"/>
          <w:szCs w:val="21"/>
          <w:highlight w:val="none"/>
        </w:rPr>
        <w:t>的响应性只根据</w:t>
      </w:r>
      <w:r>
        <w:rPr>
          <w:rFonts w:hint="eastAsia" w:ascii="宋体" w:hAnsi="宋体"/>
          <w:color w:val="auto"/>
          <w:highlight w:val="none"/>
        </w:rPr>
        <w:t>响应文件</w:t>
      </w:r>
      <w:r>
        <w:rPr>
          <w:rFonts w:hint="eastAsia" w:ascii="宋体" w:hAnsi="宋体"/>
          <w:color w:val="auto"/>
          <w:szCs w:val="21"/>
          <w:highlight w:val="none"/>
        </w:rPr>
        <w:t>本身的真实无误的内容，而不依据外部的证据。</w:t>
      </w:r>
    </w:p>
    <w:p w14:paraId="3B65949F">
      <w:pPr>
        <w:pStyle w:val="19"/>
        <w:adjustRightInd w:val="0"/>
        <w:snapToGrid w:val="0"/>
        <w:spacing w:line="360" w:lineRule="auto"/>
        <w:rPr>
          <w:rFonts w:cs="宋体"/>
          <w:b/>
          <w:color w:val="auto"/>
          <w:kern w:val="0"/>
          <w:highlight w:val="none"/>
        </w:rPr>
      </w:pPr>
      <w:r>
        <w:rPr>
          <w:rFonts w:hint="eastAsia" w:cs="宋体"/>
          <w:b/>
          <w:color w:val="auto"/>
          <w:kern w:val="0"/>
          <w:highlight w:val="none"/>
        </w:rPr>
        <w:t>28.无效响应</w:t>
      </w:r>
    </w:p>
    <w:p w14:paraId="1921086A">
      <w:pPr>
        <w:pStyle w:val="19"/>
        <w:adjustRightInd w:val="0"/>
        <w:snapToGrid w:val="0"/>
        <w:spacing w:line="360" w:lineRule="auto"/>
        <w:ind w:firstLine="411" w:firstLineChars="196"/>
        <w:rPr>
          <w:rFonts w:hAnsi="宋体" w:cs="宋体"/>
          <w:b/>
          <w:color w:val="auto"/>
          <w:kern w:val="0"/>
          <w:highlight w:val="none"/>
        </w:rPr>
      </w:pPr>
      <w:r>
        <w:rPr>
          <w:rFonts w:hint="eastAsia" w:cs="宋体"/>
          <w:color w:val="auto"/>
          <w:kern w:val="0"/>
          <w:highlight w:val="none"/>
        </w:rPr>
        <w:t>28.1</w:t>
      </w:r>
      <w:r>
        <w:rPr>
          <w:rFonts w:hint="eastAsia"/>
          <w:color w:val="auto"/>
          <w:highlight w:val="none"/>
        </w:rPr>
        <w:t>磋商小组在对资格性和符合性进行审查时，有下列情况之一的，属无效响应，</w:t>
      </w:r>
      <w:r>
        <w:rPr>
          <w:rFonts w:hint="eastAsia" w:cs="宋体"/>
          <w:color w:val="auto"/>
          <w:kern w:val="0"/>
          <w:highlight w:val="none"/>
        </w:rPr>
        <w:t>磋商小组应当告知有关供应商</w:t>
      </w:r>
      <w:r>
        <w:rPr>
          <w:rFonts w:hint="eastAsia"/>
          <w:color w:val="auto"/>
          <w:highlight w:val="none"/>
        </w:rPr>
        <w:t>：</w:t>
      </w:r>
    </w:p>
    <w:p w14:paraId="6106585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（1）供应商不具备本章第3.1款规定的供应商资格条件要求，或存在本章第3.3款情形的；</w:t>
      </w:r>
    </w:p>
    <w:p w14:paraId="0B82A9E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（2）联合体不符合本章第3.2款规定的；</w:t>
      </w:r>
    </w:p>
    <w:p w14:paraId="6AED183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（3）应交未交磋商保证金或金额不足、磋商保证金缴纳形式不符合磋商文件要求的；</w:t>
      </w:r>
    </w:p>
    <w:p w14:paraId="3E3BD7D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（4）响应文件未按照磋商文件要求签署、盖章的；</w:t>
      </w:r>
    </w:p>
    <w:p w14:paraId="76FF3DB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（4）响应文件不满足本章第27.1款规定的实质性要求的；</w:t>
      </w:r>
    </w:p>
    <w:p w14:paraId="41D1AEA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（5）报价超过采购项目预算的；</w:t>
      </w:r>
    </w:p>
    <w:p w14:paraId="6F1AB34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（6）响应文件有效期不足的；</w:t>
      </w:r>
    </w:p>
    <w:p w14:paraId="5EF15A7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（7）响应文件不符合法律、规章、规范性文件和磋商文件规定及要求的。</w:t>
      </w:r>
    </w:p>
    <w:p w14:paraId="32D4A5B2">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29.澄清</w:t>
      </w:r>
    </w:p>
    <w:p w14:paraId="4BD8853B">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1EE8443">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29.2 最后报价计算错误修正的原则：最后报价</w:t>
      </w:r>
      <w:r>
        <w:rPr>
          <w:rFonts w:hint="eastAsia" w:ascii="宋体" w:hAnsi="宋体" w:cs="Arial"/>
          <w:color w:val="auto"/>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337F002D">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30.磋商</w:t>
      </w:r>
    </w:p>
    <w:p w14:paraId="400BF325">
      <w:pPr>
        <w:widowControl/>
        <w:adjustRightInd w:val="0"/>
        <w:snapToGrid w:val="0"/>
        <w:spacing w:line="360" w:lineRule="auto"/>
        <w:ind w:firstLine="42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30.1</w:t>
      </w:r>
      <w:r>
        <w:rPr>
          <w:rFonts w:hint="eastAsia" w:ascii="宋体" w:hAnsi="宋体"/>
          <w:color w:val="auto"/>
          <w:highlight w:val="none"/>
        </w:rPr>
        <w:t>本章第10.2项</w:t>
      </w:r>
      <w:r>
        <w:rPr>
          <w:rFonts w:hint="eastAsia" w:ascii="宋体" w:hAnsi="宋体" w:cs="宋体"/>
          <w:color w:val="auto"/>
          <w:kern w:val="0"/>
          <w:szCs w:val="21"/>
          <w:highlight w:val="none"/>
        </w:rPr>
        <w:t>未明确磋商文件实质性变动内容的，或者磋商文件明确了可能发生实质性变动内容，但在磋商过程中，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磋商文件无需发生实质性变动的，磋商小组应当直接与响应文件审查合格的供应商就价格组织多轮磋商。</w:t>
      </w:r>
    </w:p>
    <w:p w14:paraId="555E3DC7">
      <w:pPr>
        <w:widowControl/>
        <w:tabs>
          <w:tab w:val="left" w:pos="1080"/>
          <w:tab w:val="left" w:pos="1260"/>
        </w:tabs>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14:paraId="785D23DC">
      <w:pPr>
        <w:widowControl/>
        <w:tabs>
          <w:tab w:val="left" w:pos="1080"/>
          <w:tab w:val="left" w:pos="1260"/>
        </w:tabs>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14:paraId="0979D284">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30.2</w:t>
      </w:r>
      <w:r>
        <w:rPr>
          <w:rFonts w:hint="eastAsia" w:ascii="宋体" w:hAnsi="宋体"/>
          <w:color w:val="auto"/>
          <w:highlight w:val="none"/>
        </w:rPr>
        <w:t>本章第10.2</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明确磋商文件实质性变动内容的，</w:t>
      </w:r>
      <w:r>
        <w:rPr>
          <w:rFonts w:hint="eastAsia" w:ascii="宋体" w:hAnsi="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bCs/>
          <w:color w:val="auto"/>
          <w:szCs w:val="21"/>
          <w:highlight w:val="none"/>
        </w:rPr>
        <w:t>在每一轮磋商中，磋商小组</w:t>
      </w:r>
      <w:r>
        <w:rPr>
          <w:rFonts w:hint="eastAsia" w:ascii="宋体" w:hAnsi="宋体" w:cs="宋体"/>
          <w:color w:val="auto"/>
          <w:kern w:val="0"/>
          <w:szCs w:val="21"/>
          <w:highlight w:val="none"/>
        </w:rPr>
        <w:t>可以</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磋商文件规定和磋商情况，</w:t>
      </w:r>
      <w:r>
        <w:rPr>
          <w:rFonts w:hint="eastAsia" w:ascii="宋体" w:hAnsi="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响应文件审查合格</w:t>
      </w:r>
      <w:r>
        <w:rPr>
          <w:rFonts w:hint="eastAsia" w:ascii="宋体" w:hAnsi="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olor w:val="auto"/>
          <w:szCs w:val="21"/>
          <w:highlight w:val="none"/>
        </w:rPr>
        <w:t>根据本章第26.2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hint="eastAsia" w:ascii="宋体" w:hAnsi="宋体" w:cs="宋体"/>
          <w:color w:val="auto"/>
          <w:kern w:val="0"/>
          <w:szCs w:val="21"/>
          <w:highlight w:val="none"/>
        </w:rPr>
        <w:t>对供应商重新提交的响应文件进行审查。供应商重新提交的响应文件审查不合格的，不得进入下一轮磋商，也不得要求提交最后报价。</w:t>
      </w:r>
    </w:p>
    <w:p w14:paraId="361E06D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6065BFD7">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65A2127">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30.3</w:t>
      </w:r>
      <w:r>
        <w:rPr>
          <w:rFonts w:hint="eastAsia" w:ascii="宋体" w:hAnsi="宋体"/>
          <w:bCs/>
          <w:color w:val="auto"/>
          <w:highlight w:val="none"/>
        </w:rPr>
        <w:t>重</w:t>
      </w:r>
      <w:r>
        <w:rPr>
          <w:rFonts w:hint="eastAsia" w:ascii="宋体" w:hAnsi="宋体" w:cs="宋体"/>
          <w:color w:val="auto"/>
          <w:kern w:val="0"/>
          <w:highlight w:val="none"/>
        </w:rPr>
        <w:t>新提交的响应文件</w:t>
      </w:r>
      <w:r>
        <w:rPr>
          <w:rFonts w:hint="eastAsia" w:ascii="宋体" w:hAnsi="宋体"/>
          <w:color w:val="auto"/>
          <w:highlight w:val="none"/>
        </w:rPr>
        <w:t>或者最后报价应按</w:t>
      </w:r>
      <w:r>
        <w:rPr>
          <w:rFonts w:hint="eastAsia" w:ascii="宋体" w:hAnsi="宋体" w:cs="宋体"/>
          <w:color w:val="auto"/>
          <w:kern w:val="0"/>
          <w:szCs w:val="21"/>
          <w:highlight w:val="none"/>
        </w:rPr>
        <w:t>本章第</w:t>
      </w:r>
      <w:r>
        <w:rPr>
          <w:rFonts w:hint="eastAsia" w:ascii="宋体" w:hAnsi="宋体"/>
          <w:color w:val="auto"/>
          <w:highlight w:val="none"/>
        </w:rPr>
        <w:t>21.3</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由其法定代表人或其委托代理人签字或者加盖</w:t>
      </w:r>
      <w:r>
        <w:rPr>
          <w:rFonts w:hint="eastAsia" w:ascii="宋体" w:hAnsi="宋体" w:cs="宋体"/>
          <w:color w:val="auto"/>
          <w:kern w:val="0"/>
          <w:highlight w:val="none"/>
        </w:rPr>
        <w:t>供应商单位</w:t>
      </w:r>
      <w:r>
        <w:rPr>
          <w:rFonts w:hint="eastAsia" w:ascii="宋体" w:hAnsi="宋体" w:cs="宋体"/>
          <w:color w:val="auto"/>
          <w:kern w:val="0"/>
          <w:szCs w:val="21"/>
          <w:highlight w:val="none"/>
        </w:rPr>
        <w:t>章，在规定时间内密封递交给磋商小组</w:t>
      </w:r>
      <w:r>
        <w:rPr>
          <w:rFonts w:hint="eastAsia" w:ascii="宋体" w:hAnsi="宋体"/>
          <w:bCs/>
          <w:color w:val="auto"/>
          <w:szCs w:val="21"/>
          <w:highlight w:val="none"/>
        </w:rPr>
        <w:t>。</w:t>
      </w:r>
    </w:p>
    <w:p w14:paraId="3600032C">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30.4</w:t>
      </w:r>
      <w:r>
        <w:rPr>
          <w:rFonts w:hint="eastAsia" w:ascii="宋体" w:hAnsi="宋体" w:cs="宋体"/>
          <w:color w:val="auto"/>
          <w:kern w:val="0"/>
          <w:szCs w:val="21"/>
          <w:highlight w:val="none"/>
          <w:lang w:val="zh-CN"/>
        </w:rPr>
        <w:t>供应商的</w:t>
      </w:r>
      <w:r>
        <w:rPr>
          <w:rFonts w:hint="eastAsia" w:ascii="宋体" w:hAnsi="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bCs/>
          <w:color w:val="auto"/>
          <w:szCs w:val="21"/>
          <w:highlight w:val="none"/>
        </w:rPr>
        <w:t>公布，并由供应商代表签字确认。</w:t>
      </w:r>
    </w:p>
    <w:p w14:paraId="4CA81DB1">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30.5提交首次响应文件的供应商，在提交最后报价之前，可以根据磋商情况退出磋商，</w:t>
      </w:r>
      <w:r>
        <w:rPr>
          <w:rFonts w:hint="eastAsia" w:ascii="宋体" w:hAnsi="宋体" w:cs="宋体"/>
          <w:color w:val="auto"/>
          <w:kern w:val="0"/>
          <w:highlight w:val="none"/>
        </w:rPr>
        <w:t>并书面通知采购代理机构或者磋商小组。</w:t>
      </w:r>
      <w:r>
        <w:rPr>
          <w:rFonts w:hint="eastAsia" w:ascii="宋体" w:hAnsi="宋体"/>
          <w:color w:val="auto"/>
          <w:highlight w:val="none"/>
        </w:rPr>
        <w:t>该通知由供应商法定代表人或其委托代理人签字。</w:t>
      </w:r>
      <w:r>
        <w:rPr>
          <w:rFonts w:hint="eastAsia" w:ascii="宋体" w:hAnsi="宋体" w:cs="宋体"/>
          <w:color w:val="auto"/>
          <w:kern w:val="0"/>
          <w:szCs w:val="21"/>
          <w:highlight w:val="none"/>
        </w:rPr>
        <w:t>采购代理机构</w:t>
      </w:r>
      <w:r>
        <w:rPr>
          <w:rFonts w:hint="eastAsia" w:ascii="宋体" w:hAnsi="宋体" w:cs="宋体"/>
          <w:color w:val="auto"/>
          <w:kern w:val="0"/>
          <w:highlight w:val="none"/>
        </w:rPr>
        <w:t>按</w:t>
      </w:r>
      <w:r>
        <w:rPr>
          <w:rFonts w:hint="eastAsia" w:ascii="宋体" w:hAnsi="宋体" w:cs="宋体"/>
          <w:color w:val="auto"/>
          <w:kern w:val="0"/>
          <w:szCs w:val="21"/>
          <w:highlight w:val="none"/>
        </w:rPr>
        <w:t>本章第</w:t>
      </w:r>
      <w:r>
        <w:rPr>
          <w:rFonts w:hint="eastAsia" w:ascii="宋体" w:hAnsi="宋体"/>
          <w:color w:val="auto"/>
          <w:highlight w:val="none"/>
        </w:rPr>
        <w:t>19.4</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退还退出磋商的供应商的磋商保证金。</w:t>
      </w:r>
    </w:p>
    <w:p w14:paraId="18D615D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bCs/>
          <w:color w:val="auto"/>
          <w:szCs w:val="21"/>
          <w:highlight w:val="none"/>
        </w:rPr>
        <w:t>30.6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新提交的响应文件和最后报价)，且又</w:t>
      </w:r>
      <w:r>
        <w:rPr>
          <w:rFonts w:hint="eastAsia" w:ascii="宋体" w:hAnsi="宋体" w:cs="宋体"/>
          <w:color w:val="auto"/>
          <w:kern w:val="0"/>
          <w:highlight w:val="none"/>
        </w:rPr>
        <w:t>未按</w:t>
      </w:r>
      <w:r>
        <w:rPr>
          <w:rFonts w:hint="eastAsia" w:ascii="宋体" w:hAnsi="宋体" w:cs="宋体"/>
          <w:color w:val="auto"/>
          <w:kern w:val="0"/>
          <w:szCs w:val="21"/>
          <w:highlight w:val="none"/>
        </w:rPr>
        <w:t>本章第</w:t>
      </w:r>
      <w:r>
        <w:rPr>
          <w:rFonts w:hint="eastAsia" w:ascii="宋体" w:hAnsi="宋体"/>
          <w:color w:val="auto"/>
          <w:highlight w:val="none"/>
        </w:rPr>
        <w:t>30.5</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退出磋商的，供应商的磋商保证金不予退还。</w:t>
      </w:r>
    </w:p>
    <w:p w14:paraId="47068B0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30.7磋商文件在磋商过程中未发生实质性变动的，参加磋商供应商的次轮报价不得高于上轮报价，否则视为无效响应。</w:t>
      </w:r>
    </w:p>
    <w:p w14:paraId="647F7656">
      <w:pPr>
        <w:widowControl/>
        <w:adjustRightInd w:val="0"/>
        <w:snapToGrid w:val="0"/>
        <w:spacing w:line="360" w:lineRule="auto"/>
        <w:jc w:val="left"/>
        <w:rPr>
          <w:rFonts w:ascii="宋体" w:hAnsi="宋体"/>
          <w:b/>
          <w:bCs/>
          <w:color w:val="auto"/>
          <w:szCs w:val="21"/>
          <w:highlight w:val="none"/>
        </w:rPr>
      </w:pPr>
      <w:r>
        <w:rPr>
          <w:rFonts w:hint="eastAsia" w:ascii="宋体" w:hAnsi="宋体" w:cs="宋体"/>
          <w:b/>
          <w:color w:val="auto"/>
          <w:kern w:val="0"/>
          <w:szCs w:val="21"/>
          <w:highlight w:val="none"/>
        </w:rPr>
        <w:t>31.响应文件评审</w:t>
      </w:r>
    </w:p>
    <w:p w14:paraId="6BB187B0">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31.1经磋商确定最终采购需求和提交最后报价的供应商后，由磋商小组采用综合评分法对提交最后报价的供应商的响应文件和最后报价进行综合评价。</w:t>
      </w:r>
    </w:p>
    <w:p w14:paraId="01C02014">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color w:val="auto"/>
          <w:szCs w:val="21"/>
          <w:highlight w:val="none"/>
        </w:rPr>
        <w:t>磋商须知前附表。</w:t>
      </w:r>
    </w:p>
    <w:p w14:paraId="4C477466">
      <w:pPr>
        <w:widowControl/>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cs="宋体"/>
          <w:color w:val="auto"/>
          <w:kern w:val="0"/>
          <w:szCs w:val="21"/>
          <w:highlight w:val="none"/>
        </w:rPr>
        <w:t>31.3</w:t>
      </w:r>
      <w:r>
        <w:rPr>
          <w:rFonts w:hint="eastAsia" w:ascii="宋体" w:hAnsi="宋体"/>
          <w:color w:val="auto"/>
          <w:szCs w:val="21"/>
          <w:highlight w:val="none"/>
        </w:rPr>
        <w:t>最后报价调整。磋商小组以各供应商最后报价为基础，按照符合政府采购支持小微企业、福利和监狱企业发展的相应条件，对供应商的最后报价进行价格扣除，用扣除后的最后报价计算价格得分，具体价格扣除比例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5DA19FF1">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31.4综合评分法中的价格分采用低价优先法计算，即满足磋商文件要求且经调整后的最后报价最低的供应商的价格为磋商基准价，其价格分为满分。其他供应商的价格得分按照下列公式计算：</w:t>
      </w:r>
    </w:p>
    <w:p w14:paraId="13F175E7">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磋商报价得分=（磋商基准价/最后磋商报价）×价格权值×100</w:t>
      </w:r>
    </w:p>
    <w:p w14:paraId="21BCC854">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项目评审过程中，不得去掉最后报价中的最高报价和最低报价。</w:t>
      </w:r>
    </w:p>
    <w:p w14:paraId="64E06779">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31.5</w:t>
      </w:r>
      <w:r>
        <w:rPr>
          <w:rFonts w:hint="eastAsia" w:ascii="宋体" w:hAnsi="宋体"/>
          <w:color w:val="auto"/>
          <w:szCs w:val="21"/>
          <w:highlight w:val="none"/>
        </w:rPr>
        <w:t>涉及政府采购政策优惠对供应商分值进行调整的，</w:t>
      </w:r>
      <w:r>
        <w:rPr>
          <w:rFonts w:hint="eastAsia" w:ascii="宋体" w:hAnsi="宋体"/>
          <w:bCs/>
          <w:color w:val="auto"/>
          <w:szCs w:val="21"/>
          <w:highlight w:val="none"/>
        </w:rPr>
        <w:t>按</w:t>
      </w:r>
      <w:r>
        <w:rPr>
          <w:rFonts w:hint="eastAsia" w:ascii="宋体" w:hAnsi="宋体"/>
          <w:b/>
          <w:color w:val="auto"/>
          <w:szCs w:val="21"/>
          <w:highlight w:val="none"/>
        </w:rPr>
        <w:t>磋商须知前附表</w:t>
      </w:r>
      <w:r>
        <w:rPr>
          <w:rFonts w:hint="eastAsia" w:ascii="宋体" w:hAnsi="宋体"/>
          <w:bCs/>
          <w:color w:val="auto"/>
          <w:szCs w:val="21"/>
          <w:highlight w:val="none"/>
        </w:rPr>
        <w:t>规定</w:t>
      </w:r>
      <w:r>
        <w:rPr>
          <w:rFonts w:hint="eastAsia" w:ascii="宋体" w:hAnsi="宋体"/>
          <w:color w:val="auto"/>
          <w:szCs w:val="21"/>
          <w:highlight w:val="none"/>
        </w:rPr>
        <w:t>调整供应商的技术、商务、价格</w:t>
      </w:r>
      <w:r>
        <w:rPr>
          <w:rFonts w:hint="eastAsia" w:ascii="宋体" w:hAnsi="宋体" w:cs="宋体"/>
          <w:color w:val="auto"/>
          <w:kern w:val="0"/>
          <w:szCs w:val="21"/>
          <w:highlight w:val="none"/>
        </w:rPr>
        <w:t>得分或总得分</w:t>
      </w:r>
      <w:r>
        <w:rPr>
          <w:rFonts w:hint="eastAsia" w:ascii="宋体" w:hAnsi="宋体"/>
          <w:color w:val="auto"/>
          <w:szCs w:val="21"/>
          <w:highlight w:val="none"/>
        </w:rPr>
        <w:t>。</w:t>
      </w:r>
    </w:p>
    <w:p w14:paraId="59A9D4E5">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31.6涉及多处或部分获得政府采购政策优惠的，其多处或部分享受政府采购优惠政策的计算方法见</w:t>
      </w:r>
      <w:r>
        <w:rPr>
          <w:rFonts w:hint="eastAsia" w:ascii="宋体" w:hAnsi="宋体"/>
          <w:b/>
          <w:color w:val="auto"/>
          <w:szCs w:val="21"/>
          <w:highlight w:val="none"/>
        </w:rPr>
        <w:t>磋商须知前附表</w:t>
      </w:r>
      <w:r>
        <w:rPr>
          <w:rFonts w:hint="eastAsia" w:ascii="宋体" w:hAnsi="宋体"/>
          <w:color w:val="auto"/>
          <w:szCs w:val="21"/>
          <w:highlight w:val="none"/>
        </w:rPr>
        <w:t>相关规定。</w:t>
      </w:r>
    </w:p>
    <w:p w14:paraId="607B9C61">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31.7</w:t>
      </w:r>
      <w:r>
        <w:rPr>
          <w:rFonts w:hint="eastAsia" w:ascii="宋体" w:hAnsi="宋体"/>
          <w:color w:val="auto"/>
          <w:szCs w:val="21"/>
          <w:highlight w:val="none"/>
        </w:rPr>
        <w:t>评审时，磋商小组各成员应当独立对每个供应商的</w:t>
      </w:r>
      <w:r>
        <w:rPr>
          <w:rFonts w:hint="eastAsia" w:ascii="宋体" w:hAnsi="宋体"/>
          <w:bCs/>
          <w:color w:val="auto"/>
          <w:szCs w:val="21"/>
          <w:highlight w:val="none"/>
        </w:rPr>
        <w:t>响应文件</w:t>
      </w:r>
      <w:r>
        <w:rPr>
          <w:rFonts w:hint="eastAsia" w:ascii="宋体" w:hAnsi="宋体"/>
          <w:color w:val="auto"/>
          <w:szCs w:val="21"/>
          <w:highlight w:val="none"/>
        </w:rPr>
        <w:t>进行评价、评分，并按照政府采购优惠政策对最后报价进行价格扣除和技术、商务、价格加分后，汇总各供应商的总得分。</w:t>
      </w:r>
    </w:p>
    <w:p w14:paraId="52A956D2">
      <w:pPr>
        <w:widowControl/>
        <w:adjustRightInd w:val="0"/>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32</w:t>
      </w:r>
      <w:r>
        <w:rPr>
          <w:rFonts w:hint="eastAsia" w:ascii="宋体" w:hAnsi="宋体" w:cs="宋体"/>
          <w:b/>
          <w:color w:val="auto"/>
          <w:kern w:val="0"/>
          <w:szCs w:val="21"/>
          <w:highlight w:val="none"/>
        </w:rPr>
        <w:t>.</w:t>
      </w:r>
      <w:r>
        <w:rPr>
          <w:rFonts w:hint="eastAsia" w:ascii="宋体" w:hAnsi="宋体"/>
          <w:b/>
          <w:bCs/>
          <w:color w:val="auto"/>
          <w:szCs w:val="21"/>
          <w:highlight w:val="none"/>
        </w:rPr>
        <w:t>提出成交供应商</w:t>
      </w:r>
    </w:p>
    <w:p w14:paraId="4A009BD8">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32.1</w:t>
      </w:r>
      <w:r>
        <w:rPr>
          <w:rFonts w:hint="eastAsia" w:ascii="宋体" w:hAnsi="宋体"/>
          <w:bCs/>
          <w:color w:val="auto"/>
          <w:szCs w:val="21"/>
          <w:highlight w:val="none"/>
        </w:rPr>
        <w:t>磋商小组应当根据综合评分情况，按照评审得分由高到低顺序推荐3名以上成交候选供应商，并编写评审</w:t>
      </w:r>
      <w:r>
        <w:rPr>
          <w:rFonts w:hint="eastAsia" w:ascii="宋体" w:hAnsi="宋体"/>
          <w:color w:val="auto"/>
          <w:szCs w:val="21"/>
          <w:highlight w:val="none"/>
        </w:rPr>
        <w:t>报告</w:t>
      </w:r>
      <w:r>
        <w:rPr>
          <w:rFonts w:hint="eastAsia" w:ascii="宋体" w:hAnsi="宋体"/>
          <w:bCs/>
          <w:color w:val="auto"/>
          <w:szCs w:val="21"/>
          <w:highlight w:val="none"/>
        </w:rPr>
        <w:t>。评审得分相同的，按照最后报价由低到高的顺序推荐。评审得分且最后报价相同的，按技术指标优劣顺序推荐。符合《政府采购竞争性磋商采购方式管理暂行办法》(财库〔2014〕214号)</w:t>
      </w:r>
      <w:r>
        <w:rPr>
          <w:rFonts w:hint="eastAsia" w:ascii="宋体" w:hAnsi="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color w:val="auto"/>
          <w:szCs w:val="21"/>
          <w:highlight w:val="none"/>
        </w:rPr>
        <w:t>可以推荐2家成交候选供应商。</w:t>
      </w:r>
    </w:p>
    <w:p w14:paraId="7F8C8BB2">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33.确定成交供应商</w:t>
      </w:r>
    </w:p>
    <w:p w14:paraId="1FF44560">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33.1采购代理机构应当在评审结束后2个工作日内将评审报告送采购人确认。</w:t>
      </w:r>
    </w:p>
    <w:p w14:paraId="790DEF65">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40211ABC">
      <w:pPr>
        <w:pStyle w:val="19"/>
        <w:adjustRightInd w:val="0"/>
        <w:snapToGrid w:val="0"/>
        <w:spacing w:line="360" w:lineRule="auto"/>
        <w:ind w:left="632" w:hanging="632" w:hangingChars="300"/>
        <w:rPr>
          <w:rFonts w:hAnsi="宋体"/>
          <w:b/>
          <w:color w:val="auto"/>
          <w:highlight w:val="none"/>
        </w:rPr>
      </w:pPr>
      <w:r>
        <w:rPr>
          <w:rFonts w:hint="eastAsia" w:hAnsi="宋体"/>
          <w:b/>
          <w:color w:val="auto"/>
          <w:highlight w:val="none"/>
        </w:rPr>
        <w:t>34.磋商终止</w:t>
      </w:r>
    </w:p>
    <w:p w14:paraId="09BB8881">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34.1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olor w:val="auto"/>
          <w:highlight w:val="none"/>
        </w:rPr>
        <w:t>在本章第37.1款指定的媒体上</w:t>
      </w:r>
      <w:r>
        <w:rPr>
          <w:rFonts w:hint="eastAsia" w:ascii="宋体" w:hAnsi="宋体" w:cs="宋体"/>
          <w:color w:val="auto"/>
          <w:kern w:val="0"/>
          <w:szCs w:val="21"/>
          <w:highlight w:val="none"/>
        </w:rPr>
        <w:t>发布项目终止公告并说明原因，重新开展采购活动：</w:t>
      </w:r>
    </w:p>
    <w:p w14:paraId="53E4C7CD">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14:paraId="7D2ED285">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623A02DD">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（3）</w:t>
      </w:r>
      <w:r>
        <w:rPr>
          <w:rFonts w:hint="eastAsia" w:ascii="宋体" w:hAnsi="宋体"/>
          <w:bCs/>
          <w:color w:val="auto"/>
          <w:szCs w:val="21"/>
          <w:highlight w:val="none"/>
        </w:rPr>
        <w:t>除《政府采购竞争性磋商采购方式管理暂行办法》(财库〔2014〕214号)</w:t>
      </w:r>
      <w:r>
        <w:rPr>
          <w:rFonts w:hint="eastAsia" w:ascii="宋体" w:hAnsi="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auto"/>
          <w:szCs w:val="21"/>
          <w:highlight w:val="none"/>
        </w:rPr>
        <w:t>情形外，在采购过程中符合要求的供应商或者报价未超过采购预算的供应商不足3家的；</w:t>
      </w:r>
    </w:p>
    <w:p w14:paraId="033F5043">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（4）因重大变故，采购任务取消的。</w:t>
      </w:r>
    </w:p>
    <w:p w14:paraId="094369BF">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35．重新评审</w:t>
      </w:r>
    </w:p>
    <w:p w14:paraId="571FBAAF">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FB89D4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36.保密及串通行为</w:t>
      </w:r>
    </w:p>
    <w:p w14:paraId="3CC2F504">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36.1磋商小组成员以及与评审工作有关的人员不得泄露评审情况以及评审过程中获悉的国家秘密、商业秘密。</w:t>
      </w:r>
    </w:p>
    <w:p w14:paraId="13A29C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36.2</w:t>
      </w:r>
      <w:r>
        <w:rPr>
          <w:rFonts w:hint="eastAsia" w:ascii="宋体" w:hAnsi="宋体" w:cs="宋体"/>
          <w:color w:val="auto"/>
          <w:kern w:val="0"/>
          <w:szCs w:val="21"/>
          <w:highlight w:val="none"/>
        </w:rPr>
        <w:t>供应商</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或者磋商小组成员行贿或者提供其他不正当利益；不得提供虚假资料谋取成交；不得以任何方式干扰、影响采购工作。</w:t>
      </w:r>
    </w:p>
    <w:p w14:paraId="12327A5C">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s="Arial"/>
          <w:color w:val="auto"/>
          <w:sz w:val="21"/>
          <w:szCs w:val="21"/>
          <w:highlight w:val="none"/>
        </w:rPr>
        <w:t>36.3</w:t>
      </w:r>
      <w:r>
        <w:rPr>
          <w:rFonts w:hint="eastAsia"/>
          <w:color w:val="auto"/>
          <w:sz w:val="21"/>
          <w:szCs w:val="21"/>
          <w:highlight w:val="none"/>
          <w:lang w:val="zh-CN"/>
        </w:rPr>
        <w:t>有下列情形之一的，属于恶意串通，对供应商依照政府采购法第七十七条第一款的规定追究法律责任：</w:t>
      </w:r>
    </w:p>
    <w:p w14:paraId="45D5FFD8">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（一）供应商直接或者间接从采购人或者采购代理机构处获得其他供应商的相关情况并修改其响应文件或者响应文件；</w:t>
      </w:r>
    </w:p>
    <w:p w14:paraId="00F92191">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（二）供应商按照采购人或者采购代理机构的授意撤换、修改响应文件或者响应文件；</w:t>
      </w:r>
    </w:p>
    <w:p w14:paraId="376681D9">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（三）供应商之间协商报价、技术方案等响应文件或者响应文件的实质性内容；</w:t>
      </w:r>
    </w:p>
    <w:p w14:paraId="11B45632">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（四）属于同一集团、协会、商会等组织成员的供应商按照该组织要求协同参加政府采购活动；</w:t>
      </w:r>
    </w:p>
    <w:p w14:paraId="2A8BE597">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（五）供应商之间事先约定由某一特定供应商中标、成交；</w:t>
      </w:r>
    </w:p>
    <w:p w14:paraId="2A5F4ACE">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（六）供应商之间商定部分供应商放弃参加政府采购活动或者放弃中标、成交；</w:t>
      </w:r>
    </w:p>
    <w:p w14:paraId="799826FB">
      <w:pPr>
        <w:pStyle w:val="31"/>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（七）供应商与采购人或者采购代理机构之间、供应商相互之间，为谋求特定供应商中标、成交或者排斥其他供应商的其他串通行为。</w:t>
      </w:r>
    </w:p>
    <w:p w14:paraId="31F6194A">
      <w:pPr>
        <w:numPr>
          <w:ilvl w:val="0"/>
          <w:numId w:val="7"/>
        </w:numPr>
        <w:adjustRightInd w:val="0"/>
        <w:snapToGrid w:val="0"/>
        <w:spacing w:line="360" w:lineRule="auto"/>
        <w:outlineLvl w:val="0"/>
        <w:rPr>
          <w:rFonts w:ascii="黑体" w:hAnsi="宋体" w:eastAsia="黑体"/>
          <w:b/>
          <w:bCs/>
          <w:color w:val="auto"/>
          <w:sz w:val="24"/>
          <w:highlight w:val="none"/>
        </w:rPr>
      </w:pPr>
      <w:r>
        <w:rPr>
          <w:rFonts w:hint="eastAsia" w:ascii="黑体" w:hAnsi="宋体" w:eastAsia="黑体"/>
          <w:b/>
          <w:bCs/>
          <w:color w:val="auto"/>
          <w:sz w:val="24"/>
          <w:highlight w:val="none"/>
        </w:rPr>
        <w:t>成交结果信息公布与授予合同</w:t>
      </w:r>
    </w:p>
    <w:p w14:paraId="2AF75E39">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37.成交信息的公布</w:t>
      </w:r>
    </w:p>
    <w:p w14:paraId="3F18090C">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37.1成交供应商确定后2个工作日内，成交结果信息将在</w:t>
      </w:r>
      <w:r>
        <w:rPr>
          <w:rFonts w:hint="eastAsia" w:hAnsi="宋体"/>
          <w:b/>
          <w:color w:val="auto"/>
          <w:highlight w:val="none"/>
        </w:rPr>
        <w:t>磋商须知前附表</w:t>
      </w:r>
      <w:r>
        <w:rPr>
          <w:rFonts w:hint="eastAsia" w:hAnsi="宋体"/>
          <w:color w:val="auto"/>
          <w:highlight w:val="none"/>
        </w:rPr>
        <w:t>指定的媒体上公布。</w:t>
      </w:r>
    </w:p>
    <w:p w14:paraId="02983CD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38.成交通知</w:t>
      </w:r>
    </w:p>
    <w:p w14:paraId="304B9062">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38.1成交供应商确定后，采购人或采购代理机构将以书面形式向成交供应商发出成交通知书。成交通知书对采购人和成交供应商具有同等法律效力。</w:t>
      </w:r>
    </w:p>
    <w:p w14:paraId="52A63FB2">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38.2 成交通知书是合同文件的组成部分。</w:t>
      </w:r>
    </w:p>
    <w:p w14:paraId="7297B088">
      <w:pPr>
        <w:tabs>
          <w:tab w:val="left" w:pos="7560"/>
          <w:tab w:val="left" w:pos="7740"/>
          <w:tab w:val="left" w:pos="7920"/>
        </w:tabs>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 xml:space="preserve">38.3 </w:t>
      </w:r>
      <w:r>
        <w:rPr>
          <w:rFonts w:hint="eastAsia" w:ascii="宋体" w:hAnsi="宋体"/>
          <w:color w:val="auto"/>
          <w:szCs w:val="21"/>
          <w:highlight w:val="none"/>
        </w:rPr>
        <w:t>成交供应商在收到采购代理机构的成交通知书后10日内，应按照</w:t>
      </w:r>
      <w:r>
        <w:rPr>
          <w:rFonts w:hint="eastAsia" w:ascii="宋体" w:hAnsi="宋体"/>
          <w:b/>
          <w:color w:val="auto"/>
          <w:szCs w:val="21"/>
          <w:highlight w:val="none"/>
        </w:rPr>
        <w:t>磋商须知前附表</w:t>
      </w:r>
      <w:r>
        <w:rPr>
          <w:rFonts w:hint="eastAsia" w:ascii="宋体" w:hAnsi="宋体"/>
          <w:color w:val="auto"/>
          <w:szCs w:val="21"/>
          <w:highlight w:val="none"/>
        </w:rPr>
        <w:t>的规定，向采购人提交履约担保。联合体成交的，履约担保由联合体各方或联合体中牵头人的名义提交。</w:t>
      </w:r>
    </w:p>
    <w:p w14:paraId="4624782C">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38.4 成交供应商</w:t>
      </w:r>
      <w:r>
        <w:rPr>
          <w:rFonts w:hint="eastAsia" w:hAnsi="宋体"/>
          <w:color w:val="auto"/>
          <w:spacing w:val="4"/>
          <w:highlight w:val="none"/>
        </w:rPr>
        <w:t>没有按照本章第39.3</w:t>
      </w:r>
      <w:r>
        <w:rPr>
          <w:rFonts w:hint="eastAsia" w:hAnsi="宋体" w:cs="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14:paraId="6CCEA18B">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39.签订合同</w:t>
      </w:r>
    </w:p>
    <w:p w14:paraId="6E75C33D">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39.1成交供应商应当在成交通知书发出之日起30日内与采购人签订政府采购合同。</w:t>
      </w:r>
    </w:p>
    <w:p w14:paraId="1F67F103">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39.2磋商文件、成交供应商的响应文件等均为签订政府采购合同的依据。</w:t>
      </w:r>
    </w:p>
    <w:p w14:paraId="3E6F82BB">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39.3 成交供应商应当按照合同约定履行义务。成交供应商不得向他人转让成交项目，也不得将成交项目分包后分别向他人转让。</w:t>
      </w:r>
    </w:p>
    <w:p w14:paraId="5615E5FE">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39.4 成交供应商有下列情形之一的，责令限期改正，情节严重的，列入不良行为记录名单，在1至3年内禁止参加政府采购活动，并予以通报：</w:t>
      </w:r>
    </w:p>
    <w:p w14:paraId="2B317180">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（一）成交后无正当理由不与采购人签订合同的；</w:t>
      </w:r>
    </w:p>
    <w:p w14:paraId="6A6F8014">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（二）未按照采购文件确定的事项签订政府采购合同，或者与采购人另行订立背离合同实质性内容的协议的；</w:t>
      </w:r>
    </w:p>
    <w:p w14:paraId="104DE2BA">
      <w:pPr>
        <w:pStyle w:val="19"/>
        <w:adjustRightInd w:val="0"/>
        <w:snapToGrid w:val="0"/>
        <w:spacing w:line="360" w:lineRule="auto"/>
        <w:ind w:firstLine="420" w:firstLineChars="200"/>
        <w:rPr>
          <w:rFonts w:hAnsi="宋体"/>
          <w:color w:val="auto"/>
          <w:highlight w:val="none"/>
        </w:rPr>
      </w:pPr>
      <w:r>
        <w:rPr>
          <w:rFonts w:hint="eastAsia" w:hAnsi="宋体"/>
          <w:color w:val="auto"/>
          <w:highlight w:val="none"/>
        </w:rPr>
        <w:t>（三）拒绝履行合同义务的；</w:t>
      </w:r>
    </w:p>
    <w:p w14:paraId="43B19ACA">
      <w:pPr>
        <w:pStyle w:val="19"/>
        <w:adjustRightInd w:val="0"/>
        <w:snapToGrid w:val="0"/>
        <w:spacing w:line="360" w:lineRule="auto"/>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14:paraId="6E8492D2">
      <w:pPr>
        <w:numPr>
          <w:ilvl w:val="0"/>
          <w:numId w:val="7"/>
        </w:numPr>
        <w:adjustRightInd w:val="0"/>
        <w:snapToGrid w:val="0"/>
        <w:spacing w:line="360" w:lineRule="auto"/>
        <w:outlineLvl w:val="0"/>
        <w:rPr>
          <w:rFonts w:ascii="宋体"/>
          <w:b/>
          <w:bCs/>
          <w:color w:val="auto"/>
          <w:szCs w:val="21"/>
          <w:highlight w:val="none"/>
        </w:rPr>
      </w:pPr>
      <w:r>
        <w:rPr>
          <w:rFonts w:hint="eastAsia" w:ascii="黑体" w:hAnsi="宋体" w:eastAsia="黑体"/>
          <w:b/>
          <w:bCs/>
          <w:color w:val="auto"/>
          <w:sz w:val="24"/>
          <w:highlight w:val="none"/>
        </w:rPr>
        <w:t>询问及质疑</w:t>
      </w:r>
    </w:p>
    <w:p w14:paraId="3FE153F8">
      <w:pPr>
        <w:pStyle w:val="8"/>
        <w:numPr>
          <w:ilvl w:val="0"/>
          <w:numId w:val="8"/>
        </w:numPr>
        <w:rPr>
          <w:rFonts w:ascii="宋体"/>
          <w:color w:val="auto"/>
          <w:szCs w:val="21"/>
          <w:highlight w:val="none"/>
        </w:rPr>
      </w:pPr>
      <w:r>
        <w:rPr>
          <w:rFonts w:hint="eastAsia"/>
          <w:color w:val="auto"/>
          <w:highlight w:val="none"/>
        </w:rPr>
        <w:t>询问</w:t>
      </w:r>
    </w:p>
    <w:p w14:paraId="04F898B5">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color w:val="auto"/>
          <w:szCs w:val="21"/>
          <w:highlight w:val="none"/>
        </w:rPr>
        <w:t>41.1投标供应商应仔细阅读和检查磋商文件的全部内容。如有疑问，可以向采购人或</w:t>
      </w:r>
      <w:r>
        <w:rPr>
          <w:rFonts w:hint="eastAsia" w:ascii="宋体" w:hAnsi="宋体" w:cs="宋体"/>
          <w:color w:val="auto"/>
          <w:szCs w:val="21"/>
          <w:highlight w:val="none"/>
        </w:rPr>
        <w:t>者采购代理机构提出询问，要求采购人或者采购代理机构予以答复。询问可以采取电话、当面询问或书面等形式。</w:t>
      </w:r>
    </w:p>
    <w:p w14:paraId="1354F9E8">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41.2采购人或者代理机构应当在3个工作日内对供应商依法提出的询问作出答复。</w:t>
      </w:r>
    </w:p>
    <w:p w14:paraId="2FC116BF">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质疑</w:t>
      </w:r>
    </w:p>
    <w:p w14:paraId="3752B82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投标供应商认为磋商文件、磋商过程、磋商结果使自己的权益受到损害的，应当在知其权益受到损害之日起7个工作日内，以书面形式向采购人、代理机构一次性提出质疑。供应商应知其权益受到损害之日，是指：</w:t>
      </w:r>
    </w:p>
    <w:p w14:paraId="7406C9EC">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（1）对磋商文件提出质疑的，为获取磋商文件之日；</w:t>
      </w:r>
    </w:p>
    <w:p w14:paraId="111772E5">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（2）对磋商过程提出质疑的，为各程序环节结束之日；</w:t>
      </w:r>
    </w:p>
    <w:p w14:paraId="2D5178C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（3）对磋商结果提出质疑的，为结果公告期限届满之日。</w:t>
      </w:r>
    </w:p>
    <w:p w14:paraId="79674272">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42.2提出质疑的供应商应当是参与所质疑项目采购活动的供应商，已依法获取并其可质疑的磋商文件的，可以对该文件提出质疑。</w:t>
      </w:r>
    </w:p>
    <w:p w14:paraId="7E9C68B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42.2质疑函格式应当按中国政府采购网（www.ccgp.gov.cn）“下</w:t>
      </w:r>
      <w:r>
        <w:rPr>
          <w:rFonts w:hint="eastAsia" w:ascii="宋体" w:hAnsi="宋体" w:cs="宋体"/>
          <w:color w:val="auto"/>
          <w:highlight w:val="none"/>
        </w:rPr>
        <w:t>载专区”的“政府采购供应质疑函范本”和“质疑函制作说明”制作；</w:t>
      </w:r>
    </w:p>
    <w:p w14:paraId="5B6DF4A2">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42.3质疑函</w:t>
      </w:r>
      <w:r>
        <w:rPr>
          <w:rFonts w:hint="eastAsia" w:ascii="宋体" w:hAnsi="宋体" w:cs="宋体"/>
          <w:color w:val="auto"/>
          <w:szCs w:val="21"/>
          <w:highlight w:val="none"/>
        </w:rPr>
        <w:t>应当由相关的自然人、法定代表人、主要负责人，委托代理人签字，并加盖公章。通过委托代理人办理质疑事项的，应当提交供应商法定代表人签署的授权委托书及双方的身份证明。补交的截止时间与法定质疑期的截止时间一致。质疑人于截止时间后递交补充材料的，将被拒绝。</w:t>
      </w:r>
    </w:p>
    <w:p w14:paraId="19FEB86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42.4质疑事项如无实质内容，仅为询问质疑人得分情况或质疑人未中标原因等情况的，代理机构、采购人可将此类质疑函作为书面询问接收，代理机构按询问程序处理。</w:t>
      </w:r>
    </w:p>
    <w:p w14:paraId="3D87CC52">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42.4质疑函须递交到磋商邀请代理机构指定的地点。</w:t>
      </w:r>
    </w:p>
    <w:p w14:paraId="6972418B">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42.5采购人、代理机构不得拒收质疑供应商在法定质疑期内提出的且符合内容、格式要求的质疑函，在收到质疑函后7个工作日内作出答复，并以书面形式通知质疑供应商和其他有关供应商。</w:t>
      </w:r>
    </w:p>
    <w:p w14:paraId="68410727">
      <w:pPr>
        <w:adjustRightInd w:val="0"/>
        <w:snapToGrid w:val="0"/>
        <w:spacing w:line="360" w:lineRule="auto"/>
        <w:ind w:firstLine="420" w:firstLineChars="200"/>
        <w:jc w:val="left"/>
        <w:rPr>
          <w:rFonts w:ascii="宋体" w:hAnsi="宋体" w:cs="宋体"/>
          <w:bCs/>
          <w:color w:val="auto"/>
          <w:highlight w:val="none"/>
        </w:rPr>
      </w:pPr>
      <w:r>
        <w:rPr>
          <w:rFonts w:hint="eastAsia" w:ascii="宋体" w:hAnsi="宋体" w:cs="宋体"/>
          <w:color w:val="auto"/>
          <w:szCs w:val="21"/>
          <w:highlight w:val="none"/>
        </w:rPr>
        <w:t>42.6质疑函不符合《政府采购质疑和投诉办法》（财政部94号令）格式与内容的相关规定，</w:t>
      </w:r>
      <w:r>
        <w:rPr>
          <w:rFonts w:hint="eastAsia" w:ascii="宋体" w:hAnsi="宋体" w:cs="宋体"/>
          <w:color w:val="auto"/>
          <w:highlight w:val="none"/>
        </w:rPr>
        <w:t>或是以传真或复印件等形式递交，代理机构有权不予受理。</w:t>
      </w:r>
    </w:p>
    <w:p w14:paraId="72195A45">
      <w:pPr>
        <w:numPr>
          <w:ilvl w:val="0"/>
          <w:numId w:val="7"/>
        </w:numPr>
        <w:adjustRightInd w:val="0"/>
        <w:snapToGrid w:val="0"/>
        <w:spacing w:line="360" w:lineRule="auto"/>
        <w:outlineLvl w:val="0"/>
        <w:rPr>
          <w:rFonts w:ascii="黑体" w:hAnsi="宋体" w:eastAsia="黑体"/>
          <w:b/>
          <w:bCs/>
          <w:color w:val="auto"/>
          <w:sz w:val="24"/>
          <w:highlight w:val="none"/>
        </w:rPr>
      </w:pPr>
      <w:r>
        <w:rPr>
          <w:rFonts w:hint="eastAsia" w:ascii="黑体" w:hAnsi="宋体" w:eastAsia="黑体"/>
          <w:b/>
          <w:bCs/>
          <w:color w:val="auto"/>
          <w:sz w:val="24"/>
          <w:highlight w:val="none"/>
        </w:rPr>
        <w:t>其他规定</w:t>
      </w:r>
    </w:p>
    <w:p w14:paraId="6B3C2352">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43采购代理服务费</w:t>
      </w:r>
    </w:p>
    <w:p w14:paraId="50E893C2">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43.1采购代理机构应按</w:t>
      </w:r>
      <w:r>
        <w:rPr>
          <w:rFonts w:hint="eastAsia" w:ascii="宋体" w:hAnsi="宋体"/>
          <w:b/>
          <w:color w:val="auto"/>
          <w:szCs w:val="21"/>
          <w:highlight w:val="none"/>
        </w:rPr>
        <w:t>磋商须知前附表</w:t>
      </w:r>
      <w:r>
        <w:rPr>
          <w:rFonts w:hint="eastAsia" w:ascii="宋体" w:hAnsi="宋体"/>
          <w:color w:val="auto"/>
          <w:szCs w:val="21"/>
          <w:highlight w:val="none"/>
        </w:rPr>
        <w:t>规定收取采购代理服务费。</w:t>
      </w:r>
    </w:p>
    <w:p w14:paraId="7CCC1D77">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43.2集中采购机构不得收取采购代理服务费。</w:t>
      </w:r>
    </w:p>
    <w:p w14:paraId="0D2832F2">
      <w:pPr>
        <w:tabs>
          <w:tab w:val="left" w:pos="420"/>
          <w:tab w:val="left" w:pos="7560"/>
          <w:tab w:val="left" w:pos="7740"/>
          <w:tab w:val="left" w:pos="7920"/>
        </w:tabs>
        <w:adjustRightInd w:val="0"/>
        <w:snapToGrid w:val="0"/>
        <w:spacing w:line="360" w:lineRule="auto"/>
        <w:rPr>
          <w:rFonts w:hAnsi="宋体"/>
          <w:b/>
          <w:color w:val="auto"/>
          <w:highlight w:val="none"/>
        </w:rPr>
      </w:pPr>
      <w:r>
        <w:rPr>
          <w:rFonts w:hint="eastAsia" w:ascii="宋体" w:hAnsi="宋体"/>
          <w:b/>
          <w:color w:val="auto"/>
          <w:szCs w:val="21"/>
          <w:highlight w:val="none"/>
        </w:rPr>
        <w:t>44.</w:t>
      </w:r>
      <w:r>
        <w:rPr>
          <w:rFonts w:hint="eastAsia" w:hAnsi="宋体"/>
          <w:b/>
          <w:color w:val="auto"/>
          <w:highlight w:val="none"/>
        </w:rPr>
        <w:t>其他规定</w:t>
      </w:r>
    </w:p>
    <w:p w14:paraId="66CBC2C3">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44.1</w:t>
      </w:r>
      <w:r>
        <w:rPr>
          <w:rFonts w:hint="eastAsia" w:ascii="宋体" w:hAnsi="宋体"/>
          <w:color w:val="auto"/>
          <w:szCs w:val="21"/>
          <w:highlight w:val="none"/>
        </w:rPr>
        <w:t>磋商文件</w:t>
      </w:r>
      <w:r>
        <w:rPr>
          <w:rFonts w:hint="eastAsia" w:hAnsi="宋体"/>
          <w:color w:val="auto"/>
          <w:highlight w:val="none"/>
        </w:rPr>
        <w:t>的其他规定</w:t>
      </w:r>
      <w:r>
        <w:rPr>
          <w:rFonts w:hint="eastAsia" w:ascii="宋体" w:hAnsi="宋体"/>
          <w:color w:val="auto"/>
          <w:szCs w:val="21"/>
          <w:highlight w:val="none"/>
        </w:rPr>
        <w:t>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7F2197BE">
      <w:pPr>
        <w:pStyle w:val="8"/>
        <w:rPr>
          <w:color w:val="auto"/>
          <w:highlight w:val="none"/>
        </w:rPr>
      </w:pPr>
    </w:p>
    <w:p w14:paraId="092DE131">
      <w:pPr>
        <w:adjustRightInd w:val="0"/>
        <w:snapToGrid w:val="0"/>
        <w:spacing w:line="360" w:lineRule="auto"/>
        <w:jc w:val="center"/>
        <w:outlineLvl w:val="0"/>
        <w:rPr>
          <w:rFonts w:ascii="宋体" w:hAnsi="宋体" w:cs="宋体"/>
          <w:b/>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60F2B7F">
      <w:pPr>
        <w:adjustRightInd w:val="0"/>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第三章 政府采购合同格式</w:t>
      </w:r>
    </w:p>
    <w:p w14:paraId="4C35893E">
      <w:pPr>
        <w:bidi w:val="0"/>
        <w:rPr>
          <w:color w:val="auto"/>
          <w:highlight w:val="none"/>
        </w:rPr>
      </w:pPr>
    </w:p>
    <w:p w14:paraId="353364A9">
      <w:pPr>
        <w:adjustRightInd w:val="0"/>
        <w:snapToGrid w:val="0"/>
        <w:spacing w:before="120" w:beforeLines="50" w:line="360" w:lineRule="auto"/>
        <w:jc w:val="center"/>
        <w:rPr>
          <w:rFonts w:ascii="黑体" w:eastAsia="黑体"/>
          <w:b/>
          <w:color w:val="auto"/>
          <w:sz w:val="32"/>
          <w:szCs w:val="32"/>
          <w:highlight w:val="none"/>
        </w:rPr>
      </w:pPr>
      <w:r>
        <w:rPr>
          <w:rFonts w:hint="eastAsia" w:ascii="黑体" w:eastAsia="黑体"/>
          <w:b/>
          <w:color w:val="auto"/>
          <w:sz w:val="32"/>
          <w:szCs w:val="32"/>
          <w:highlight w:val="none"/>
        </w:rPr>
        <w:t>一．政府采购合同协议书</w:t>
      </w:r>
    </w:p>
    <w:p w14:paraId="27FF6400">
      <w:pPr>
        <w:jc w:val="center"/>
        <w:rPr>
          <w:rFonts w:ascii="黑体" w:eastAsia="黑体"/>
          <w:color w:val="auto"/>
          <w:sz w:val="30"/>
          <w:szCs w:val="30"/>
          <w:highlight w:val="none"/>
        </w:rPr>
      </w:pPr>
    </w:p>
    <w:p w14:paraId="6B0642F7">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采购合同编号：</w:t>
      </w:r>
      <w:r>
        <w:rPr>
          <w:rFonts w:hint="eastAsia" w:ascii="宋体" w:hAnsi="宋体" w:cs="宋体"/>
          <w:color w:val="auto"/>
          <w:szCs w:val="21"/>
          <w:highlight w:val="none"/>
          <w:u w:val="single"/>
        </w:rPr>
        <w:t xml:space="preserve">             </w:t>
      </w:r>
    </w:p>
    <w:p w14:paraId="192451A3">
      <w:pPr>
        <w:adjustRightInd w:val="0"/>
        <w:snapToGrid w:val="0"/>
        <w:spacing w:before="120" w:beforeLines="50" w:line="360" w:lineRule="auto"/>
        <w:ind w:firstLine="420" w:firstLineChars="200"/>
        <w:rPr>
          <w:rFonts w:ascii="宋体" w:hAnsi="宋体" w:cs="宋体"/>
          <w:color w:val="auto"/>
          <w:szCs w:val="21"/>
          <w:highlight w:val="none"/>
        </w:rPr>
      </w:pPr>
    </w:p>
    <w:p w14:paraId="449DE726">
      <w:pPr>
        <w:adjustRightInd w:val="0"/>
        <w:snapToGrid w:val="0"/>
        <w:spacing w:before="120" w:beforeLines="50" w:line="360" w:lineRule="auto"/>
        <w:rPr>
          <w:rFonts w:ascii="宋体" w:hAnsi="宋体" w:cs="宋体"/>
          <w:color w:val="auto"/>
          <w:szCs w:val="21"/>
          <w:highlight w:val="none"/>
        </w:rPr>
      </w:pPr>
      <w:r>
        <w:rPr>
          <w:rFonts w:hint="eastAsia" w:ascii="宋体" w:hAnsi="宋体" w:cs="宋体"/>
          <w:color w:val="auto"/>
          <w:szCs w:val="21"/>
          <w:highlight w:val="none"/>
        </w:rPr>
        <w:t>采购人（全称）：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（甲方）</w:t>
      </w:r>
    </w:p>
    <w:p w14:paraId="610465CA">
      <w:pPr>
        <w:adjustRightInd w:val="0"/>
        <w:snapToGrid w:val="0"/>
        <w:spacing w:before="120" w:beforeLines="50" w:line="360" w:lineRule="auto"/>
        <w:rPr>
          <w:rFonts w:ascii="宋体" w:hAnsi="宋体" w:cs="宋体"/>
          <w:color w:val="auto"/>
          <w:szCs w:val="21"/>
          <w:highlight w:val="non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（乙方）</w:t>
      </w:r>
    </w:p>
    <w:p w14:paraId="05A089F7">
      <w:pPr>
        <w:pStyle w:val="15"/>
        <w:adjustRightInd w:val="0"/>
        <w:snapToGrid w:val="0"/>
        <w:spacing w:before="120" w:beforeLines="50" w:line="360" w:lineRule="auto"/>
        <w:rPr>
          <w:rFonts w:ascii="宋体" w:hAnsi="宋体" w:cs="宋体"/>
          <w:color w:val="auto"/>
          <w:szCs w:val="21"/>
          <w:highlight w:val="none"/>
        </w:rPr>
      </w:pPr>
    </w:p>
    <w:p w14:paraId="7E455C0B">
      <w:pPr>
        <w:pStyle w:val="15"/>
        <w:adjustRightInd w:val="0"/>
        <w:snapToGrid w:val="0"/>
        <w:spacing w:after="0"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为了保护甲、乙双方合法权益，根据《中华人民共和国民法典》、《中华人民共和国政府采购法》及其他有关法律法规、规章，双方签订本合同协议书。</w:t>
      </w:r>
    </w:p>
    <w:p w14:paraId="118B1B4C">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1.项目信息</w:t>
      </w:r>
    </w:p>
    <w:p w14:paraId="4EB79F50">
      <w:pPr>
        <w:pStyle w:val="15"/>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（1）采购项目名称：</w:t>
      </w:r>
      <w:r>
        <w:rPr>
          <w:rFonts w:hint="eastAsia" w:ascii="宋体" w:hAnsi="宋体" w:cs="宋体"/>
          <w:color w:val="auto"/>
          <w:szCs w:val="21"/>
          <w:highlight w:val="none"/>
          <w:u w:val="single"/>
        </w:rPr>
        <w:t xml:space="preserve">                      </w:t>
      </w:r>
    </w:p>
    <w:p w14:paraId="0BE904BB">
      <w:pPr>
        <w:pStyle w:val="15"/>
        <w:adjustRightInd w:val="0"/>
        <w:snapToGrid w:val="0"/>
        <w:spacing w:after="0" w:line="360" w:lineRule="auto"/>
        <w:ind w:left="0" w:leftChars="0"/>
        <w:rPr>
          <w:rFonts w:ascii="宋体" w:hAnsi="宋体" w:cs="宋体"/>
          <w:color w:val="auto"/>
          <w:szCs w:val="21"/>
          <w:highlight w:val="none"/>
          <w:u w:val="singl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p>
    <w:p w14:paraId="278BFEAE">
      <w:pPr>
        <w:pStyle w:val="15"/>
        <w:adjustRightInd w:val="0"/>
        <w:snapToGrid w:val="0"/>
        <w:spacing w:after="0" w:line="360" w:lineRule="auto"/>
        <w:ind w:left="0" w:leftChars="0"/>
        <w:rPr>
          <w:rFonts w:ascii="宋体" w:hAnsi="宋体" w:cs="宋体"/>
          <w:color w:val="auto"/>
          <w:szCs w:val="21"/>
          <w:highlight w:val="none"/>
          <w:u w:val="single"/>
        </w:rPr>
      </w:pPr>
      <w:r>
        <w:rPr>
          <w:rFonts w:hint="eastAsia" w:ascii="宋体" w:hAnsi="宋体" w:cs="宋体"/>
          <w:color w:val="auto"/>
          <w:szCs w:val="21"/>
          <w:highlight w:val="none"/>
        </w:rPr>
        <w:t>（3）项目内容：</w:t>
      </w:r>
    </w:p>
    <w:p w14:paraId="3375E9B4">
      <w:pPr>
        <w:adjustRightInd w:val="0"/>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承包范围：</w:t>
      </w:r>
    </w:p>
    <w:p w14:paraId="64EC3A4D">
      <w:pPr>
        <w:adjustRightInd w:val="0"/>
        <w:snapToGrid w:val="0"/>
        <w:spacing w:line="360" w:lineRule="auto"/>
        <w:ind w:firstLine="420" w:firstLineChars="200"/>
        <w:rPr>
          <w:rFonts w:ascii="宋体"/>
          <w:color w:val="auto"/>
          <w:szCs w:val="21"/>
          <w:highlight w:val="none"/>
        </w:rPr>
      </w:pPr>
      <w:r>
        <w:rPr>
          <w:rFonts w:hint="eastAsia" w:ascii="宋体"/>
          <w:color w:val="auto"/>
          <w:szCs w:val="21"/>
          <w:highlight w:val="none"/>
        </w:rPr>
        <w:t xml:space="preserve">项目负责人： </w:t>
      </w:r>
    </w:p>
    <w:p w14:paraId="5472F0E8">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2.合同金额</w:t>
      </w:r>
    </w:p>
    <w:p w14:paraId="3E053B73">
      <w:pPr>
        <w:pStyle w:val="15"/>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（1） 合同金额小写：</w:t>
      </w:r>
      <w:r>
        <w:rPr>
          <w:rFonts w:hint="eastAsia" w:ascii="宋体" w:hAnsi="宋体" w:cs="宋体"/>
          <w:color w:val="auto"/>
          <w:szCs w:val="21"/>
          <w:highlight w:val="none"/>
          <w:u w:val="single"/>
        </w:rPr>
        <w:t xml:space="preserve">                    </w:t>
      </w:r>
    </w:p>
    <w:p w14:paraId="3D31935B">
      <w:pPr>
        <w:pStyle w:val="15"/>
        <w:adjustRightInd w:val="0"/>
        <w:snapToGrid w:val="0"/>
        <w:spacing w:after="0" w:line="360" w:lineRule="auto"/>
        <w:ind w:left="0" w:leftChars="0"/>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6475A218">
      <w:pPr>
        <w:pStyle w:val="15"/>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（2）具体标的见附件。</w:t>
      </w:r>
    </w:p>
    <w:p w14:paraId="5DA616EE">
      <w:pPr>
        <w:pStyle w:val="15"/>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（3）合同价格形式：</w:t>
      </w:r>
      <w:r>
        <w:rPr>
          <w:rFonts w:hint="eastAsia" w:ascii="宋体" w:hAnsi="宋体" w:cs="宋体"/>
          <w:color w:val="auto"/>
          <w:szCs w:val="21"/>
          <w:highlight w:val="none"/>
          <w:u w:val="single"/>
        </w:rPr>
        <w:t xml:space="preserve">按固定综合单价，最终结算工程量按实核定，缺项漏项按湖南省2025版计价规范及相关定额据实调整。 </w:t>
      </w:r>
    </w:p>
    <w:p w14:paraId="7F1C296B">
      <w:pP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3.履行合同的时间、地点及方式：</w:t>
      </w:r>
    </w:p>
    <w:p w14:paraId="658BA45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45DD112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甲方指定地点     </w:t>
      </w:r>
    </w:p>
    <w:p w14:paraId="4D3E521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s="宋体"/>
          <w:color w:val="auto"/>
          <w:szCs w:val="21"/>
          <w:highlight w:val="none"/>
          <w:u w:val="single"/>
        </w:rPr>
        <w:t xml:space="preserve">                                    </w:t>
      </w:r>
    </w:p>
    <w:p w14:paraId="2204EAF3">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4.付款：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46B766">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5.解决合同纠纷方式</w:t>
      </w:r>
    </w:p>
    <w:p w14:paraId="12982D4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首先通过双方协商解决，协商解决不成，则通过以下途径之一解决纠纷（请在方框内划√选择）：</w:t>
      </w:r>
    </w:p>
    <w:p w14:paraId="71242F0A">
      <w:pPr>
        <w:adjustRightInd w:val="0"/>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 提请仲裁       □ 向甲方住所地人民法院提起诉讼</w:t>
      </w:r>
    </w:p>
    <w:p w14:paraId="04814D69">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6.组成合同的文件</w:t>
      </w:r>
    </w:p>
    <w:p w14:paraId="0A88FA2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合同由以下文件构成，如下述文件之间有任何抵触、矛盾或歧义，应按以下顺序解释：</w:t>
      </w:r>
    </w:p>
    <w:p w14:paraId="350BF2F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（1）在采购或合同履行过程中乙方作出的承诺以及双方协商达成的变更或补充协议</w:t>
      </w:r>
    </w:p>
    <w:p w14:paraId="05966FF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（2）本合同书</w:t>
      </w:r>
    </w:p>
    <w:p w14:paraId="2FC9495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（3）成交通知书</w:t>
      </w:r>
    </w:p>
    <w:p w14:paraId="2206B6A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（4）政府采购合同格式条款</w:t>
      </w:r>
    </w:p>
    <w:p w14:paraId="0B620F9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w:t>
      </w:r>
    </w:p>
    <w:p w14:paraId="035975B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（6）标准、规范及有关技术文件</w:t>
      </w:r>
    </w:p>
    <w:p w14:paraId="0E3214F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）其他合同文件。</w:t>
      </w:r>
    </w:p>
    <w:p w14:paraId="4C5DF0DB">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7.合同生效</w:t>
      </w:r>
    </w:p>
    <w:p w14:paraId="605A15D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生效。</w:t>
      </w:r>
    </w:p>
    <w:p w14:paraId="7154E40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8.合同份数</w:t>
      </w:r>
    </w:p>
    <w:p w14:paraId="63BE164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份，采购人执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1BE2865A">
      <w:pPr>
        <w:adjustRightInd w:val="0"/>
        <w:snapToGrid w:val="0"/>
        <w:spacing w:line="360" w:lineRule="auto"/>
        <w:rPr>
          <w:rFonts w:ascii="宋体" w:hAnsi="宋体" w:cs="宋体"/>
          <w:color w:val="auto"/>
          <w:szCs w:val="21"/>
          <w:highlight w:val="none"/>
        </w:rPr>
      </w:pPr>
    </w:p>
    <w:p w14:paraId="5EEA1169">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9B09FA6">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373F1A5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14:paraId="6117FE32">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甲      方：（公章）                     乙      方：（公章）</w:t>
      </w:r>
    </w:p>
    <w:p w14:paraId="4406A0F1">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BB9C47">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4A4C7B2F">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D728589">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51546981">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开 户 银 行：</w:t>
      </w:r>
      <w:r>
        <w:rPr>
          <w:rFonts w:hint="eastAsia" w:ascii="宋体" w:hAnsi="宋体" w:cs="宋体"/>
          <w:color w:val="auto"/>
          <w:szCs w:val="21"/>
          <w:highlight w:val="none"/>
          <w:u w:val="single"/>
        </w:rPr>
        <w:t xml:space="preserve">                  </w:t>
      </w:r>
    </w:p>
    <w:p w14:paraId="4A33C0F0">
      <w:pPr>
        <w:adjustRightInd w:val="0"/>
        <w:snapToGrid w:val="0"/>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 xml:space="preserve">             帐       号：</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w:t>
      </w:r>
    </w:p>
    <w:p w14:paraId="18ED3377">
      <w:pPr>
        <w:tabs>
          <w:tab w:val="left" w:pos="8820"/>
          <w:tab w:val="left" w:pos="9345"/>
          <w:tab w:val="left" w:pos="9765"/>
        </w:tabs>
        <w:adjustRightInd w:val="0"/>
        <w:snapToGrid w:val="0"/>
        <w:spacing w:before="120" w:beforeLines="50"/>
        <w:ind w:right="384" w:rightChars="183"/>
        <w:jc w:val="center"/>
        <w:outlineLvl w:val="1"/>
        <w:rPr>
          <w:rFonts w:ascii="黑体" w:hAnsi="华文中宋" w:eastAsia="黑体"/>
          <w:bCs/>
          <w:color w:val="auto"/>
          <w:sz w:val="30"/>
          <w:szCs w:val="30"/>
          <w:highlight w:val="none"/>
        </w:rPr>
      </w:pPr>
      <w:r>
        <w:rPr>
          <w:rFonts w:hint="eastAsia" w:ascii="黑体" w:hAnsi="华文中宋" w:eastAsia="黑体"/>
          <w:bCs/>
          <w:color w:val="auto"/>
          <w:sz w:val="30"/>
          <w:szCs w:val="30"/>
          <w:highlight w:val="none"/>
        </w:rPr>
        <w:br w:type="page"/>
      </w:r>
      <w:r>
        <w:rPr>
          <w:rFonts w:hint="eastAsia" w:ascii="黑体" w:hAnsi="宋体" w:eastAsia="黑体"/>
          <w:b/>
          <w:bCs/>
          <w:color w:val="auto"/>
          <w:sz w:val="32"/>
          <w:szCs w:val="32"/>
          <w:highlight w:val="none"/>
        </w:rPr>
        <w:t>二、政府采购合同通用条款</w:t>
      </w:r>
    </w:p>
    <w:p w14:paraId="50B6DB59">
      <w:pPr>
        <w:widowControl/>
        <w:wordWrap w:val="0"/>
        <w:snapToGrid w:val="0"/>
        <w:spacing w:line="360" w:lineRule="auto"/>
        <w:rPr>
          <w:rFonts w:ascii="宋体" w:hAnsi="宋体" w:eastAsia="宋体" w:cs="宋体"/>
          <w:b/>
          <w:color w:val="auto"/>
          <w:kern w:val="0"/>
          <w:szCs w:val="21"/>
          <w:highlight w:val="none"/>
        </w:rPr>
      </w:pPr>
      <w:bookmarkStart w:id="0" w:name="_Toc351203495"/>
      <w:r>
        <w:rPr>
          <w:rFonts w:hint="eastAsia" w:ascii="宋体" w:hAnsi="宋体" w:eastAsia="宋体" w:cs="宋体"/>
          <w:b/>
          <w:color w:val="auto"/>
          <w:kern w:val="0"/>
          <w:szCs w:val="21"/>
          <w:highlight w:val="none"/>
        </w:rPr>
        <w:t>1.</w:t>
      </w:r>
      <w:bookmarkStart w:id="1" w:name="_Toc303538974"/>
      <w:bookmarkEnd w:id="1"/>
      <w:bookmarkStart w:id="2" w:name="_Toc303538972"/>
      <w:bookmarkEnd w:id="2"/>
      <w:bookmarkStart w:id="3" w:name="_Toc303538973"/>
      <w:bookmarkEnd w:id="3"/>
      <w:bookmarkStart w:id="4" w:name="_Toc303538975"/>
      <w:bookmarkEnd w:id="4"/>
      <w:bookmarkStart w:id="5" w:name="_Toc303538976"/>
      <w:bookmarkEnd w:id="5"/>
      <w:bookmarkStart w:id="6" w:name="_Toc296503027"/>
      <w:bookmarkStart w:id="7" w:name="_Toc296346528"/>
      <w:r>
        <w:rPr>
          <w:rFonts w:hint="eastAsia" w:ascii="宋体" w:hAnsi="宋体" w:eastAsia="宋体" w:cs="宋体"/>
          <w:b/>
          <w:color w:val="auto"/>
          <w:kern w:val="0"/>
          <w:szCs w:val="21"/>
          <w:highlight w:val="none"/>
        </w:rPr>
        <w:t xml:space="preserve"> 一般约定</w:t>
      </w:r>
      <w:bookmarkEnd w:id="0"/>
      <w:bookmarkEnd w:id="6"/>
      <w:bookmarkEnd w:id="7"/>
    </w:p>
    <w:p w14:paraId="3934BC19">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8" w:name="_Toc296503028"/>
      <w:bookmarkStart w:id="9" w:name="_Toc296346529"/>
      <w:bookmarkStart w:id="10" w:name="_Toc337558728"/>
      <w:bookmarkStart w:id="11" w:name="_Toc351203496"/>
      <w:r>
        <w:rPr>
          <w:rFonts w:hint="eastAsia" w:ascii="宋体" w:hAnsi="宋体" w:eastAsia="宋体" w:cs="宋体"/>
          <w:b/>
          <w:color w:val="auto"/>
          <w:kern w:val="0"/>
          <w:szCs w:val="21"/>
          <w:highlight w:val="none"/>
        </w:rPr>
        <w:t>1.1词语定义</w:t>
      </w:r>
      <w:bookmarkEnd w:id="8"/>
      <w:bookmarkEnd w:id="9"/>
      <w:bookmarkEnd w:id="10"/>
      <w:r>
        <w:rPr>
          <w:rFonts w:hint="eastAsia" w:ascii="宋体" w:hAnsi="宋体" w:eastAsia="宋体" w:cs="宋体"/>
          <w:b/>
          <w:color w:val="auto"/>
          <w:kern w:val="0"/>
          <w:szCs w:val="21"/>
          <w:highlight w:val="none"/>
        </w:rPr>
        <w:t>与解释</w:t>
      </w:r>
      <w:bookmarkEnd w:id="11"/>
    </w:p>
    <w:p w14:paraId="3CF0FCC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合同协议书、通用合同条款、专用合同条款中的下列词语具有本款所赋予的含义：</w:t>
      </w:r>
    </w:p>
    <w:p w14:paraId="4985C41F">
      <w:pPr>
        <w:wordWrap w:val="0"/>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1.1.1 合同</w:t>
      </w:r>
    </w:p>
    <w:p w14:paraId="2D089E8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Cs w:val="21"/>
          <w:highlight w:val="none"/>
        </w:rPr>
        <w:t>及其附件(如果有）</w:t>
      </w:r>
      <w:r>
        <w:rPr>
          <w:rFonts w:hint="eastAsia" w:ascii="宋体" w:hAnsi="宋体" w:eastAsia="宋体" w:cs="宋体"/>
          <w:color w:val="auto"/>
          <w:kern w:val="0"/>
          <w:szCs w:val="21"/>
          <w:highlight w:val="none"/>
        </w:rPr>
        <w:t>、通用合同条款、技术标准和要求、图纸、已标价工程量清单或预算书以及其他合同文件。</w:t>
      </w:r>
    </w:p>
    <w:p w14:paraId="77658EC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合同协议书：是指构成合同的由发包人和承包人共同签署的称为“合同协议书”的书面文件。</w:t>
      </w:r>
    </w:p>
    <w:p w14:paraId="36AF394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1.1.1.3 中标通知书：是指构成合同的由发包人通知承包人中标的书面文件。</w:t>
      </w:r>
    </w:p>
    <w:p w14:paraId="57A8570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投标函：是指构成合同的由承包人填写并签署的用于投标的称为“投标函”的文件。</w:t>
      </w:r>
    </w:p>
    <w:p w14:paraId="629AA3D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1.1.1.5 投标函附录：是指构成合同的附在投标函后的称为“投标函附录”的文件。</w:t>
      </w:r>
    </w:p>
    <w:p w14:paraId="6B137D9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1.1.1.6 技术标准和要求：是指构成合同的施工应当遵守的或指导施工的国家、行业或地方的技术标准和要求，以及合同约定的技术标准和要求。</w:t>
      </w:r>
    </w:p>
    <w:p w14:paraId="5A65D00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09D04224">
      <w:pPr>
        <w:wordWrap w:val="0"/>
        <w:autoSpaceDE w:val="0"/>
        <w:autoSpaceDN w:val="0"/>
        <w:adjustRightInd w:val="0"/>
        <w:snapToGrid w:val="0"/>
        <w:spacing w:line="360" w:lineRule="auto"/>
        <w:ind w:firstLine="407" w:firstLineChars="194"/>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1.1.1.8 已标价工程量清单：是指构成合同的由承包人按照规定的格式和要求填写并标明价格的工程量清单，包括说明和表格。</w:t>
      </w:r>
    </w:p>
    <w:p w14:paraId="64E6135D">
      <w:pPr>
        <w:wordWrap w:val="0"/>
        <w:autoSpaceDE w:val="0"/>
        <w:autoSpaceDN w:val="0"/>
        <w:adjustRightInd w:val="0"/>
        <w:snapToGrid w:val="0"/>
        <w:spacing w:line="360" w:lineRule="auto"/>
        <w:ind w:firstLine="407" w:firstLineChars="194"/>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1.1.1.9 预算书：是指构成合同的由承包人按照发包人规定的格式和要求编制的工程预算文件。</w:t>
      </w:r>
    </w:p>
    <w:p w14:paraId="40EEEC2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 其他合同文件：是指经合同当事人约定的与工程施工有关的具有合同约束力的文件或书面协议。合同当事人可以在专用合同条款中进行约定。</w:t>
      </w:r>
    </w:p>
    <w:p w14:paraId="79E03294">
      <w:pPr>
        <w:wordWrap w:val="0"/>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1.1.2 合同当事人及其他相关方</w:t>
      </w:r>
    </w:p>
    <w:p w14:paraId="2E737EB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1.1.2.1 合同当事人：是指发包人和（或）承包人。</w:t>
      </w:r>
    </w:p>
    <w:p w14:paraId="5125030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1.1.2.2 发包人：是指与承包人签订合同协议书的当事人及取得该当事人资格的合法继承人。</w:t>
      </w:r>
    </w:p>
    <w:p w14:paraId="720A1C4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1.1.2.3 承包人：是指与发包人签订合同协议书的，具有相应工程施工承包资质的当事人及取得该当事人资格的合法继承人。</w:t>
      </w:r>
    </w:p>
    <w:p w14:paraId="27696E2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 监理人：是指在专用合同条款中指明的，受发包人委托按照法律规定进行工程监督管理的法人或其他组织。</w:t>
      </w:r>
    </w:p>
    <w:p w14:paraId="79808BB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设计人：是指在专用合同条款中指明的，受发包人委托负责工程设计并具备相应工程设计资质的法人或其他组织。</w:t>
      </w:r>
    </w:p>
    <w:p w14:paraId="4D6D9450">
      <w:pPr>
        <w:wordWrap w:val="0"/>
        <w:snapToGrid w:val="0"/>
        <w:spacing w:line="360" w:lineRule="auto"/>
        <w:ind w:firstLine="407" w:firstLineChars="194"/>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1.1.2.6 分包人：</w:t>
      </w:r>
      <w:bookmarkStart w:id="12" w:name="#go5"/>
      <w:bookmarkEnd w:id="12"/>
      <w:r>
        <w:rPr>
          <w:rFonts w:hint="eastAsia" w:ascii="宋体" w:hAnsi="宋体" w:eastAsia="宋体" w:cs="宋体"/>
          <w:color w:val="auto"/>
          <w:kern w:val="0"/>
          <w:szCs w:val="21"/>
          <w:highlight w:val="none"/>
        </w:rPr>
        <w:t>是指按照法律规定和合同约定，分包部分工程或工作，并与承包人签订分包合同的具有相应资质的法人。</w:t>
      </w:r>
    </w:p>
    <w:p w14:paraId="5787A9C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1.1.2.7 发包人代表：是指由发包人任命并派驻施工现场在发包人授权范围内行使发包人权利的人。</w:t>
      </w:r>
    </w:p>
    <w:p w14:paraId="08483BB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1.1.2.8 项目经理：是指由承包人任命并派驻施工现场，在承包人授权范围内负责合同履行，且按照法律规定具有相应资格的项目负责人。</w:t>
      </w:r>
    </w:p>
    <w:p w14:paraId="19AB2AC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1.1.2.9 总监理工程师：是指由监理人任命并派驻施工现场进行工程监理的总负责人。</w:t>
      </w:r>
    </w:p>
    <w:p w14:paraId="0C0B876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07610D5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 工程：是指与合同协议书中工程承包范围对应的永久工程和（或）临时工程。</w:t>
      </w:r>
    </w:p>
    <w:p w14:paraId="1D8B2A5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1.1.3.2 永久工程：是指按合同约定建造并移交给发包人的工程，包括工程设备。</w:t>
      </w:r>
    </w:p>
    <w:p w14:paraId="01B3A17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1.1.3.3 临时工程：是指为完成合同约定的永久工程所修建的各类临时性工程，不包括施工设备。</w:t>
      </w:r>
    </w:p>
    <w:p w14:paraId="6402CA8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1.1.3.4 单位工程：是指在合同协议书中指明的，具备独立施工条件并能形成独立使用功能的永久工程。</w:t>
      </w:r>
    </w:p>
    <w:p w14:paraId="3D3DC4A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1.1.3.5 工程设备：是指构成永久工程的机电设备、金属结构设备、仪器及其他类似的设备和装置。</w:t>
      </w:r>
    </w:p>
    <w:p w14:paraId="1E27019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1.1.3.6 施工设备：是指为完成合同约定的各项工作所需的设备、器具和其他物品，但不包括工程设备、临时工程和材料。</w:t>
      </w:r>
    </w:p>
    <w:p w14:paraId="3B31228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施工现场：是指用于工程施工的场所，以及在专用合同条款中指明作为施工场所组成部分的其他场所，包括永久占地和临时占地。</w:t>
      </w:r>
    </w:p>
    <w:p w14:paraId="0977690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1.1.3.8临时设施：是指为完成合同约定的各项工作所服务的临时性生产和生活设施。</w:t>
      </w:r>
    </w:p>
    <w:p w14:paraId="40FD84C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永久占地：是指专用合同条款中指明为实施工程需永久占用的土地。</w:t>
      </w:r>
    </w:p>
    <w:p w14:paraId="45B2675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临时占地：是指专用合同条款中指明为实施工程需要临时占用的土地。</w:t>
      </w:r>
    </w:p>
    <w:p w14:paraId="7F24453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日期和期限</w:t>
      </w:r>
    </w:p>
    <w:p w14:paraId="6469B5E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245295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36116BB5">
      <w:pPr>
        <w:wordWrap w:val="0"/>
        <w:snapToGri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1.1.4.3 工期：是指在合同协议书约定的承包人完成工程所需的期限，包括按照合同约定所作的期限变更。</w:t>
      </w:r>
    </w:p>
    <w:p w14:paraId="2A6B071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1.1.4.4 缺陷责任期：是指承包人按照合同约定承担缺陷修复义务，且发包人预留质量保证金（已缴纳履约保证金的除外）的期限，自工程实际竣工并验收合格之日起计算。</w:t>
      </w:r>
    </w:p>
    <w:p w14:paraId="130CA2A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1.1.4.5 保修期：是指承包人按照合同约定对工程承担保修责任的期限，从工程竣工验收合格之日起计算。</w:t>
      </w:r>
    </w:p>
    <w:p w14:paraId="6C3DAFB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1.1.4.6 基准日期：招标发包的工程以投标截止日前28天的日期为基准日期，直接发包的工程以合同签订日前28天的日期为基准日期。</w:t>
      </w:r>
    </w:p>
    <w:p w14:paraId="38B8ADC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1.1.4.7 天：除特别指明外，均指日历天。合同中按天计算时间的，开始当天不计入，从次日开始计算，期限最后一天的截止时间为当天24:00时。</w:t>
      </w:r>
    </w:p>
    <w:p w14:paraId="4B2C7DC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 合同价格和费用</w:t>
      </w:r>
    </w:p>
    <w:p w14:paraId="4DDA310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1.1.5.1 签约合同价：是指</w:t>
      </w:r>
      <w:r>
        <w:rPr>
          <w:rFonts w:hint="eastAsia" w:ascii="宋体" w:hAnsi="宋体" w:eastAsia="宋体" w:cs="宋体"/>
          <w:color w:val="auto"/>
          <w:szCs w:val="21"/>
          <w:highlight w:val="none"/>
        </w:rPr>
        <w:t>发包人和承包人在合同协议书中确定的</w:t>
      </w:r>
      <w:r>
        <w:rPr>
          <w:rFonts w:hint="eastAsia" w:ascii="宋体" w:hAnsi="宋体" w:cs="宋体"/>
          <w:color w:val="auto"/>
          <w:szCs w:val="21"/>
          <w:highlight w:val="none"/>
          <w:lang w:val="en-US" w:eastAsia="zh-CN"/>
        </w:rPr>
        <w:t>综合单价金额</w:t>
      </w:r>
      <w:r>
        <w:rPr>
          <w:rFonts w:hint="eastAsia" w:ascii="宋体" w:hAnsi="宋体" w:eastAsia="宋体" w:cs="宋体"/>
          <w:color w:val="auto"/>
          <w:szCs w:val="21"/>
          <w:highlight w:val="none"/>
        </w:rPr>
        <w:t>，包括安全文明施工费、暂估价及暂列金额等。</w:t>
      </w:r>
    </w:p>
    <w:p w14:paraId="5846FA7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1.1.5.2 合同价格：是指发包人用于支付承包人按照合同约定完成承包范围内全部工作的金额，包括合同履行过程中按合同约定发生的价格变化。</w:t>
      </w:r>
      <w:r>
        <w:rPr>
          <w:rFonts w:hint="eastAsia" w:ascii="宋体" w:hAnsi="宋体" w:cs="宋体"/>
          <w:color w:val="auto"/>
          <w:kern w:val="0"/>
          <w:szCs w:val="21"/>
          <w:highlight w:val="none"/>
          <w:u w:val="none"/>
          <w:lang w:val="en-US" w:eastAsia="zh-CN"/>
        </w:rPr>
        <w:t>本项目</w:t>
      </w:r>
      <w:r>
        <w:rPr>
          <w:rFonts w:hint="eastAsia" w:ascii="宋体" w:hAnsi="宋体" w:cs="宋体"/>
          <w:color w:val="auto"/>
          <w:szCs w:val="21"/>
          <w:highlight w:val="none"/>
          <w:u w:val="none"/>
        </w:rPr>
        <w:t xml:space="preserve">按固定综合单价，最终结算工程量按实核定，缺项漏项按湖南省2025版计价规范及相关定额据实调整。 </w:t>
      </w:r>
    </w:p>
    <w:p w14:paraId="675CA81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1.1.5.3 费用：是指为履行合同所发生的或将要发生的所有必需的开支，包括管理费和应分摊的其他费用，但不包括利润。</w:t>
      </w:r>
    </w:p>
    <w:p w14:paraId="5704DBB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3F47C6F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92FC88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1.1.5.6 计日工：是指合同履行过程中，承包人完成发包人提出的零星工作或需要采用计日工计价的变更工作时，按合同中约定的单价计价的一种方式。</w:t>
      </w:r>
    </w:p>
    <w:p w14:paraId="158CD80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1.1.5.7 质量保证金</w:t>
      </w:r>
      <w:bookmarkStart w:id="13" w:name="#go2"/>
      <w:bookmarkEnd w:id="13"/>
      <w:r>
        <w:rPr>
          <w:rFonts w:hint="eastAsia" w:ascii="宋体" w:hAnsi="宋体" w:eastAsia="宋体" w:cs="宋体"/>
          <w:color w:val="auto"/>
          <w:kern w:val="0"/>
          <w:szCs w:val="21"/>
          <w:highlight w:val="none"/>
        </w:rPr>
        <w:t>：是指按照第15.3款〔质量保证金〕约定承包人用于保证其在缺陷责任期内履行缺陷修补义务的担保</w:t>
      </w:r>
      <w:r>
        <w:rPr>
          <w:rFonts w:hint="eastAsia" w:ascii="宋体" w:hAnsi="宋体" w:eastAsia="宋体" w:cs="宋体"/>
          <w:color w:val="auto"/>
          <w:szCs w:val="21"/>
          <w:highlight w:val="none"/>
        </w:rPr>
        <w:t>。</w:t>
      </w:r>
    </w:p>
    <w:p w14:paraId="55597E8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1.1.6 其他</w:t>
      </w:r>
    </w:p>
    <w:p w14:paraId="6CC75E0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1.1.6.1 书面形式：是指合同文件、信函、电报、传真等可以有形地表现所载内容的形式。</w:t>
      </w:r>
    </w:p>
    <w:p w14:paraId="47FD7F0C">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4" w:name="_Toc351203497"/>
      <w:bookmarkStart w:id="15" w:name="_Toc296503029"/>
      <w:bookmarkStart w:id="16" w:name="_Toc296346530"/>
      <w:bookmarkStart w:id="17" w:name="_Toc337558729"/>
      <w:r>
        <w:rPr>
          <w:rFonts w:hint="eastAsia" w:ascii="宋体" w:hAnsi="宋体" w:eastAsia="宋体" w:cs="宋体"/>
          <w:b/>
          <w:color w:val="auto"/>
          <w:kern w:val="0"/>
          <w:szCs w:val="21"/>
          <w:highlight w:val="none"/>
        </w:rPr>
        <w:t>1.2语言文字</w:t>
      </w:r>
      <w:bookmarkEnd w:id="14"/>
      <w:bookmarkEnd w:id="15"/>
      <w:bookmarkEnd w:id="16"/>
      <w:bookmarkEnd w:id="17"/>
    </w:p>
    <w:p w14:paraId="7C34228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合同以中国的汉语简体文字编写、解释和说明。合同当事人在专用合同条款中约定使用两种以上语言时，汉语为优先解释和说明合同的语言。</w:t>
      </w:r>
    </w:p>
    <w:p w14:paraId="24AE920D">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8" w:name="_Toc351203498"/>
      <w:bookmarkStart w:id="19" w:name="_Toc296346531"/>
      <w:bookmarkStart w:id="20" w:name="_Toc337558730"/>
      <w:bookmarkStart w:id="21" w:name="_Toc296503030"/>
      <w:r>
        <w:rPr>
          <w:rFonts w:hint="eastAsia" w:ascii="宋体" w:hAnsi="宋体" w:eastAsia="宋体" w:cs="宋体"/>
          <w:b/>
          <w:color w:val="auto"/>
          <w:kern w:val="0"/>
          <w:szCs w:val="21"/>
          <w:highlight w:val="none"/>
        </w:rPr>
        <w:t>1.3法律</w:t>
      </w:r>
      <w:bookmarkEnd w:id="18"/>
      <w:bookmarkEnd w:id="19"/>
      <w:bookmarkEnd w:id="20"/>
      <w:bookmarkEnd w:id="21"/>
    </w:p>
    <w:p w14:paraId="1F75836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合同所称法律是指中华人民共和国法律、行政法规、部门规章，以及工程所在地的地方性法规、自治条例、单行条例和地方政府规章等。</w:t>
      </w:r>
    </w:p>
    <w:p w14:paraId="4F34D87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合同当事人可以在专用合同条款中约定合同适用的其他规范性文件。</w:t>
      </w:r>
    </w:p>
    <w:p w14:paraId="1E04C48D">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2" w:name="_Toc351203499"/>
      <w:r>
        <w:rPr>
          <w:rFonts w:hint="eastAsia" w:ascii="宋体" w:hAnsi="宋体" w:eastAsia="宋体" w:cs="宋体"/>
          <w:b/>
          <w:color w:val="auto"/>
          <w:kern w:val="0"/>
          <w:szCs w:val="21"/>
          <w:highlight w:val="none"/>
        </w:rPr>
        <w:t>1.4 标准和规范</w:t>
      </w:r>
      <w:bookmarkEnd w:id="22"/>
    </w:p>
    <w:p w14:paraId="5753F397">
      <w:pPr>
        <w:wordWrap w:val="0"/>
        <w:autoSpaceDE w:val="0"/>
        <w:autoSpaceDN w:val="0"/>
        <w:adjustRightInd w:val="0"/>
        <w:snapToGrid w:val="0"/>
        <w:spacing w:line="360" w:lineRule="auto"/>
        <w:ind w:firstLine="6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适用于工程的国家标准、行业标准、工程所在地的地方性标准，以及相应的规范、规程等，合同当事人有特别要求的，应在专用合同条款中约定。</w:t>
      </w:r>
    </w:p>
    <w:p w14:paraId="532F2B94">
      <w:pPr>
        <w:wordWrap w:val="0"/>
        <w:autoSpaceDE w:val="0"/>
        <w:autoSpaceDN w:val="0"/>
        <w:adjustRightInd w:val="0"/>
        <w:snapToGrid w:val="0"/>
        <w:spacing w:line="360" w:lineRule="auto"/>
        <w:ind w:firstLine="6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发包人要求使用国外标准、规范的，发包人负责提供原文版本和中文译本，并在专用合同条款中约定提供标准规范的名称、份数和时间。</w:t>
      </w:r>
    </w:p>
    <w:p w14:paraId="766CF616">
      <w:pPr>
        <w:wordWrap w:val="0"/>
        <w:autoSpaceDE w:val="0"/>
        <w:autoSpaceDN w:val="0"/>
        <w:adjustRightInd w:val="0"/>
        <w:snapToGrid w:val="0"/>
        <w:spacing w:line="360" w:lineRule="auto"/>
        <w:ind w:firstLine="6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76F7F0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3" w:name="_Toc351203500"/>
      <w:r>
        <w:rPr>
          <w:rFonts w:hint="eastAsia" w:ascii="宋体" w:hAnsi="宋体" w:eastAsia="宋体" w:cs="宋体"/>
          <w:b/>
          <w:color w:val="auto"/>
          <w:kern w:val="0"/>
          <w:szCs w:val="21"/>
          <w:highlight w:val="none"/>
        </w:rPr>
        <w:t>1</w:t>
      </w:r>
      <w:bookmarkStart w:id="24" w:name="_Toc337558731"/>
      <w:bookmarkStart w:id="25" w:name="_Toc296346532"/>
      <w:bookmarkStart w:id="26" w:name="_Toc296503031"/>
      <w:r>
        <w:rPr>
          <w:rFonts w:hint="eastAsia" w:ascii="宋体" w:hAnsi="宋体" w:eastAsia="宋体" w:cs="宋体"/>
          <w:b/>
          <w:color w:val="auto"/>
          <w:kern w:val="0"/>
          <w:szCs w:val="21"/>
          <w:highlight w:val="none"/>
        </w:rPr>
        <w:t>.5 合同文件的优先顺序</w:t>
      </w:r>
      <w:bookmarkEnd w:id="23"/>
    </w:p>
    <w:bookmarkEnd w:id="24"/>
    <w:bookmarkEnd w:id="25"/>
    <w:bookmarkEnd w:id="26"/>
    <w:p w14:paraId="5077A04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组成合同的各项文件应互相解释，互为说明。除专用合同条款另有约定外，解释合同文件的优先顺序如下：</w:t>
      </w:r>
    </w:p>
    <w:p w14:paraId="5929227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68C9043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（2）中标通知书（如果有）；</w:t>
      </w:r>
    </w:p>
    <w:p w14:paraId="4B67CD0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（3）投标函及其附录（如果有）；</w:t>
      </w:r>
    </w:p>
    <w:p w14:paraId="1C10E26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w:t>
      </w:r>
      <w:r>
        <w:rPr>
          <w:rFonts w:hint="eastAsia" w:ascii="宋体" w:hAnsi="宋体" w:eastAsia="宋体" w:cs="宋体"/>
          <w:color w:val="auto"/>
          <w:szCs w:val="21"/>
          <w:highlight w:val="none"/>
        </w:rPr>
        <w:t>及其附件（如果有）</w:t>
      </w:r>
      <w:r>
        <w:rPr>
          <w:rFonts w:hint="eastAsia" w:ascii="宋体" w:hAnsi="宋体" w:eastAsia="宋体" w:cs="宋体"/>
          <w:color w:val="auto"/>
          <w:kern w:val="0"/>
          <w:szCs w:val="21"/>
          <w:highlight w:val="none"/>
        </w:rPr>
        <w:t>；</w:t>
      </w:r>
    </w:p>
    <w:p w14:paraId="775A39E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32D8C93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76C51D1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w:t>
      </w:r>
    </w:p>
    <w:p w14:paraId="72AC9DF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0C357CD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（9）其他合同文件。</w:t>
      </w:r>
    </w:p>
    <w:p w14:paraId="72241307">
      <w:pPr>
        <w:wordWrap w:val="0"/>
        <w:snapToGrid w:val="0"/>
        <w:spacing w:line="360" w:lineRule="auto"/>
        <w:ind w:firstLine="445" w:firstLineChars="212"/>
        <w:rPr>
          <w:rFonts w:ascii="宋体" w:hAnsi="宋体" w:eastAsia="宋体" w:cs="宋体"/>
          <w:color w:val="auto"/>
          <w:kern w:val="0"/>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w:t>
      </w:r>
    </w:p>
    <w:p w14:paraId="5CC1A8C9">
      <w:pPr>
        <w:wordWrap w:val="0"/>
        <w:snapToGrid w:val="0"/>
        <w:spacing w:line="360" w:lineRule="auto"/>
        <w:ind w:firstLine="445" w:firstLineChars="212"/>
        <w:rPr>
          <w:rFonts w:ascii="宋体" w:hAnsi="宋体" w:eastAsia="宋体" w:cs="宋体"/>
          <w:color w:val="auto"/>
          <w:kern w:val="0"/>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在合同订立及履行过程中形成的与合同有关的文件均构成合同文件组成部分，并根据其性质确定优先解释顺序。</w:t>
      </w:r>
    </w:p>
    <w:p w14:paraId="793071EE">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7" w:name="_Toc351203501"/>
      <w:r>
        <w:rPr>
          <w:rFonts w:hint="eastAsia" w:ascii="宋体" w:hAnsi="宋体" w:eastAsia="宋体" w:cs="宋体"/>
          <w:b/>
          <w:color w:val="auto"/>
          <w:kern w:val="0"/>
          <w:szCs w:val="21"/>
          <w:highlight w:val="none"/>
        </w:rPr>
        <w:t>1</w:t>
      </w:r>
      <w:bookmarkStart w:id="28" w:name="_Toc296503032"/>
      <w:bookmarkStart w:id="29" w:name="_Toc337558732"/>
      <w:bookmarkStart w:id="30" w:name="_Toc296346533"/>
      <w:r>
        <w:rPr>
          <w:rFonts w:hint="eastAsia" w:ascii="宋体" w:hAnsi="宋体" w:eastAsia="宋体" w:cs="宋体"/>
          <w:b/>
          <w:color w:val="auto"/>
          <w:kern w:val="0"/>
          <w:szCs w:val="21"/>
          <w:highlight w:val="none"/>
        </w:rPr>
        <w:t>.6图纸和承包人文件</w:t>
      </w:r>
      <w:bookmarkEnd w:id="27"/>
    </w:p>
    <w:bookmarkEnd w:id="28"/>
    <w:bookmarkEnd w:id="29"/>
    <w:bookmarkEnd w:id="30"/>
    <w:p w14:paraId="1BED0AF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图纸的提供和交底</w:t>
      </w:r>
    </w:p>
    <w:p w14:paraId="2077C0D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DB46B7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因发包人未按合同约定提供图纸导致承包人费用增加和（或）工期延误的，按照第7.5.1项〔因发包人原因导致工期延误〕约定办理。</w:t>
      </w:r>
    </w:p>
    <w:p w14:paraId="66705BD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 图纸的错误</w:t>
      </w:r>
    </w:p>
    <w:p w14:paraId="63D8A21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46129C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1.6.3 图纸的修改和补充</w:t>
      </w:r>
    </w:p>
    <w:p w14:paraId="0085A86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169049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DFAAD8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523B43B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02D33E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图纸和承包人文件的保管</w:t>
      </w:r>
    </w:p>
    <w:p w14:paraId="0708026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除专用合同条款另有约定外，承包人应在施工现场另外保存一套完整的图纸和承包人文件，供发包人、监理人及有关人员进行工程检查时使用。</w:t>
      </w:r>
    </w:p>
    <w:p w14:paraId="45EB729E">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1" w:name="_Toc351203502"/>
      <w:r>
        <w:rPr>
          <w:rFonts w:hint="eastAsia" w:ascii="宋体" w:hAnsi="宋体" w:eastAsia="宋体" w:cs="宋体"/>
          <w:b/>
          <w:color w:val="auto"/>
          <w:kern w:val="0"/>
          <w:szCs w:val="21"/>
          <w:highlight w:val="none"/>
        </w:rPr>
        <w:t>1</w:t>
      </w:r>
      <w:bookmarkStart w:id="32" w:name="_Toc296346534"/>
      <w:bookmarkStart w:id="33" w:name="_Toc337558733"/>
      <w:bookmarkStart w:id="34" w:name="_Toc296503033"/>
      <w:r>
        <w:rPr>
          <w:rFonts w:hint="eastAsia" w:ascii="宋体" w:hAnsi="宋体" w:eastAsia="宋体" w:cs="宋体"/>
          <w:b/>
          <w:color w:val="auto"/>
          <w:kern w:val="0"/>
          <w:szCs w:val="21"/>
          <w:highlight w:val="none"/>
        </w:rPr>
        <w:t>.7联络</w:t>
      </w:r>
      <w:bookmarkEnd w:id="31"/>
    </w:p>
    <w:bookmarkEnd w:id="32"/>
    <w:bookmarkEnd w:id="33"/>
    <w:bookmarkEnd w:id="34"/>
    <w:p w14:paraId="0EE9665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6621D45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5453C0E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1134659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5" w:name="_Toc351203503"/>
      <w:r>
        <w:rPr>
          <w:rFonts w:hint="eastAsia" w:ascii="宋体" w:hAnsi="宋体" w:eastAsia="宋体" w:cs="宋体"/>
          <w:b/>
          <w:color w:val="auto"/>
          <w:kern w:val="0"/>
          <w:szCs w:val="21"/>
          <w:highlight w:val="none"/>
        </w:rPr>
        <w:t>1</w:t>
      </w:r>
      <w:bookmarkStart w:id="36" w:name="_Toc296346536"/>
      <w:bookmarkStart w:id="37" w:name="_Toc337558734"/>
      <w:bookmarkStart w:id="38" w:name="_Toc296503035"/>
      <w:r>
        <w:rPr>
          <w:rFonts w:hint="eastAsia" w:ascii="宋体" w:hAnsi="宋体" w:eastAsia="宋体" w:cs="宋体"/>
          <w:b/>
          <w:color w:val="auto"/>
          <w:kern w:val="0"/>
          <w:szCs w:val="21"/>
          <w:highlight w:val="none"/>
        </w:rPr>
        <w:t>.8严禁贿赂</w:t>
      </w:r>
      <w:bookmarkEnd w:id="35"/>
    </w:p>
    <w:bookmarkEnd w:id="36"/>
    <w:bookmarkEnd w:id="37"/>
    <w:bookmarkEnd w:id="38"/>
    <w:p w14:paraId="0B14584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73C5A54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880B6E0">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9" w:name="_Toc351203504"/>
      <w:r>
        <w:rPr>
          <w:rFonts w:hint="eastAsia" w:ascii="宋体" w:hAnsi="宋体" w:eastAsia="宋体" w:cs="宋体"/>
          <w:b/>
          <w:color w:val="auto"/>
          <w:kern w:val="0"/>
          <w:szCs w:val="21"/>
          <w:highlight w:val="none"/>
        </w:rPr>
        <w:t>1</w:t>
      </w:r>
      <w:bookmarkStart w:id="40" w:name="_Toc337558735"/>
      <w:bookmarkStart w:id="41" w:name="_Toc296346537"/>
      <w:bookmarkStart w:id="42" w:name="_Toc296503036"/>
      <w:r>
        <w:rPr>
          <w:rFonts w:hint="eastAsia" w:ascii="宋体" w:hAnsi="宋体" w:eastAsia="宋体" w:cs="宋体"/>
          <w:b/>
          <w:color w:val="auto"/>
          <w:kern w:val="0"/>
          <w:szCs w:val="21"/>
          <w:highlight w:val="none"/>
        </w:rPr>
        <w:t>.9化石、文物</w:t>
      </w:r>
      <w:bookmarkEnd w:id="39"/>
    </w:p>
    <w:bookmarkEnd w:id="40"/>
    <w:bookmarkEnd w:id="41"/>
    <w:bookmarkEnd w:id="42"/>
    <w:p w14:paraId="2A16E73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AFEF64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发包人、监理人和承包人应按有关政府行政管理部门要求采取妥善的保护措施，由此增加的费用和（或）延误的工期由发包人承担。</w:t>
      </w:r>
    </w:p>
    <w:p w14:paraId="063E795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承包人发现文物后不及时报告或隐瞒不报，致使文物丢失或损坏的，应赔偿损失，并承担相应的法律责任。</w:t>
      </w:r>
    </w:p>
    <w:p w14:paraId="2FB8A024">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3" w:name="_Toc351203505"/>
      <w:r>
        <w:rPr>
          <w:rFonts w:hint="eastAsia" w:ascii="宋体" w:hAnsi="宋体" w:eastAsia="宋体" w:cs="宋体"/>
          <w:b/>
          <w:color w:val="auto"/>
          <w:kern w:val="0"/>
          <w:szCs w:val="21"/>
          <w:highlight w:val="none"/>
        </w:rPr>
        <w:t>1</w:t>
      </w:r>
      <w:bookmarkStart w:id="44" w:name="_Toc337558736"/>
      <w:r>
        <w:rPr>
          <w:rFonts w:hint="eastAsia" w:ascii="宋体" w:hAnsi="宋体" w:eastAsia="宋体" w:cs="宋体"/>
          <w:b/>
          <w:color w:val="auto"/>
          <w:kern w:val="0"/>
          <w:szCs w:val="21"/>
          <w:highlight w:val="none"/>
        </w:rPr>
        <w:t>.10交通运输</w:t>
      </w:r>
      <w:bookmarkEnd w:id="43"/>
    </w:p>
    <w:bookmarkEnd w:id="44"/>
    <w:p w14:paraId="6B406B0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A02675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2A66EE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2F24E8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1.10.2 场外交通</w:t>
      </w:r>
    </w:p>
    <w:p w14:paraId="3845FB0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521FA2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1.10.3场内交通</w:t>
      </w:r>
    </w:p>
    <w:p w14:paraId="60AFC4A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97963B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E21BFE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场外交通和场内交通的边界由合同当事人在专用合同条款中约定。</w:t>
      </w:r>
    </w:p>
    <w:p w14:paraId="3237E6B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 超大件和超重件的运输</w:t>
      </w:r>
    </w:p>
    <w:p w14:paraId="2C9509C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0DC241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1.10.5 道路和桥梁的损坏责任</w:t>
      </w:r>
    </w:p>
    <w:p w14:paraId="16B5E7A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因承包人运输造成施工场地内外公共道路和桥梁损坏的，由承包人承担修复损坏的全部费用和可能引起的赔偿。</w:t>
      </w:r>
    </w:p>
    <w:p w14:paraId="27FD0EC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1.10.6 水路和航空运输</w:t>
      </w:r>
    </w:p>
    <w:p w14:paraId="0760327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70A1EBD9">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5" w:name="_Toc351203506"/>
      <w:r>
        <w:rPr>
          <w:rFonts w:hint="eastAsia" w:ascii="宋体" w:hAnsi="宋体" w:eastAsia="宋体" w:cs="宋体"/>
          <w:b/>
          <w:color w:val="auto"/>
          <w:kern w:val="0"/>
          <w:szCs w:val="21"/>
          <w:highlight w:val="none"/>
        </w:rPr>
        <w:t>1</w:t>
      </w:r>
      <w:bookmarkStart w:id="46" w:name="_Toc337558737"/>
      <w:bookmarkStart w:id="47" w:name="_Toc296503037"/>
      <w:bookmarkStart w:id="48" w:name="_Toc296346538"/>
      <w:r>
        <w:rPr>
          <w:rFonts w:hint="eastAsia" w:ascii="宋体" w:hAnsi="宋体" w:eastAsia="宋体" w:cs="宋体"/>
          <w:b/>
          <w:color w:val="auto"/>
          <w:kern w:val="0"/>
          <w:szCs w:val="21"/>
          <w:highlight w:val="none"/>
        </w:rPr>
        <w:t>.11知识产权</w:t>
      </w:r>
      <w:bookmarkEnd w:id="45"/>
      <w:bookmarkEnd w:id="46"/>
    </w:p>
    <w:bookmarkEnd w:id="47"/>
    <w:bookmarkEnd w:id="48"/>
    <w:p w14:paraId="5EEB426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4333F4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BEB8EC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AE0AB77">
      <w:pPr>
        <w:wordWrap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szCs w:val="21"/>
          <w:highlight w:val="none"/>
        </w:rPr>
        <w:t>1.11.4 除专用合同条款另有约定外，承包人在合同签订前和签订时已确定采用的专利、专有技术、技术秘密的使用费已包含在签约合同价中。</w:t>
      </w:r>
    </w:p>
    <w:p w14:paraId="160D617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9" w:name="_Toc351203507"/>
      <w:r>
        <w:rPr>
          <w:rFonts w:hint="eastAsia" w:ascii="宋体" w:hAnsi="宋体" w:eastAsia="宋体" w:cs="宋体"/>
          <w:b/>
          <w:color w:val="auto"/>
          <w:kern w:val="0"/>
          <w:szCs w:val="21"/>
          <w:highlight w:val="none"/>
        </w:rPr>
        <w:t>1</w:t>
      </w:r>
      <w:bookmarkStart w:id="50" w:name="_Toc337558738"/>
      <w:r>
        <w:rPr>
          <w:rFonts w:hint="eastAsia" w:ascii="宋体" w:hAnsi="宋体" w:eastAsia="宋体" w:cs="宋体"/>
          <w:b/>
          <w:color w:val="auto"/>
          <w:kern w:val="0"/>
          <w:szCs w:val="21"/>
          <w:highlight w:val="none"/>
        </w:rPr>
        <w:t>.12保密</w:t>
      </w:r>
      <w:bookmarkEnd w:id="49"/>
    </w:p>
    <w:bookmarkEnd w:id="50"/>
    <w:p w14:paraId="56367EC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除法律规定或合同另有约定外，未经发包人同意，承包人不得将发包人提供的图纸、文件以及声明需要保密的资料信息等商业秘密泄露给第三方。</w:t>
      </w:r>
    </w:p>
    <w:p w14:paraId="05A7A5D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除法律规定或合同另有约定外，未经承包人同意，发包人不得将承包人提供的技术秘密及声明需要保密的资料信息等商业秘密泄露给第三方。</w:t>
      </w:r>
    </w:p>
    <w:p w14:paraId="17868FF1">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51" w:name="_Toc351203508"/>
      <w:r>
        <w:rPr>
          <w:rFonts w:hint="eastAsia" w:ascii="宋体" w:hAnsi="宋体" w:eastAsia="宋体" w:cs="宋体"/>
          <w:b/>
          <w:color w:val="auto"/>
          <w:kern w:val="0"/>
          <w:szCs w:val="21"/>
          <w:highlight w:val="none"/>
        </w:rPr>
        <w:t>1.13工程量清单错误的修正</w:t>
      </w:r>
      <w:bookmarkEnd w:id="51"/>
    </w:p>
    <w:p w14:paraId="4339010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除专用合同条款另有约定外，发包人提供的工程量清单，应被认为是准确的和完整的。出现下列情形之一时，发包人应予以修正，并相应调整合同价格：</w:t>
      </w:r>
    </w:p>
    <w:p w14:paraId="19F008F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（1）工程量清单存在缺项、漏项的；</w:t>
      </w:r>
    </w:p>
    <w:p w14:paraId="29C0823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（2）工程量清单偏差超出专用合同条款约定的工程量偏差范围的；</w:t>
      </w:r>
    </w:p>
    <w:p w14:paraId="0209B4C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（3）未按照国家现行计量规范强制性规定计量的。</w:t>
      </w:r>
    </w:p>
    <w:p w14:paraId="6F74027F">
      <w:pPr>
        <w:widowControl/>
        <w:wordWrap w:val="0"/>
        <w:snapToGrid w:val="0"/>
        <w:spacing w:line="360" w:lineRule="auto"/>
        <w:rPr>
          <w:rFonts w:ascii="宋体" w:hAnsi="宋体" w:eastAsia="宋体" w:cs="宋体"/>
          <w:b/>
          <w:color w:val="auto"/>
          <w:kern w:val="0"/>
          <w:szCs w:val="21"/>
          <w:highlight w:val="none"/>
        </w:rPr>
      </w:pPr>
      <w:bookmarkStart w:id="52" w:name="_Toc351203509"/>
      <w:r>
        <w:rPr>
          <w:rFonts w:hint="eastAsia" w:ascii="宋体" w:hAnsi="宋体" w:eastAsia="宋体" w:cs="宋体"/>
          <w:b/>
          <w:color w:val="auto"/>
          <w:kern w:val="0"/>
          <w:szCs w:val="21"/>
          <w:highlight w:val="none"/>
        </w:rPr>
        <w:t>2</w:t>
      </w:r>
      <w:bookmarkStart w:id="53" w:name="_Toc296503038"/>
      <w:bookmarkStart w:id="54" w:name="_Toc296346539"/>
      <w:bookmarkStart w:id="55" w:name="_Toc337558739"/>
      <w:r>
        <w:rPr>
          <w:rFonts w:hint="eastAsia" w:ascii="宋体" w:hAnsi="宋体" w:eastAsia="宋体" w:cs="宋体"/>
          <w:b/>
          <w:color w:val="auto"/>
          <w:kern w:val="0"/>
          <w:szCs w:val="21"/>
          <w:highlight w:val="none"/>
        </w:rPr>
        <w:t>. 发包人</w:t>
      </w:r>
      <w:bookmarkEnd w:id="52"/>
    </w:p>
    <w:bookmarkEnd w:id="53"/>
    <w:bookmarkEnd w:id="54"/>
    <w:bookmarkEnd w:id="55"/>
    <w:p w14:paraId="014524DA">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56" w:name="_Toc351203510"/>
      <w:r>
        <w:rPr>
          <w:rFonts w:hint="eastAsia" w:ascii="宋体" w:hAnsi="宋体" w:eastAsia="宋体" w:cs="宋体"/>
          <w:b/>
          <w:color w:val="auto"/>
          <w:kern w:val="0"/>
          <w:szCs w:val="21"/>
          <w:highlight w:val="none"/>
        </w:rPr>
        <w:t>2</w:t>
      </w:r>
      <w:bookmarkStart w:id="57" w:name="_Toc296503039"/>
      <w:bookmarkStart w:id="58" w:name="_Toc296346540"/>
      <w:bookmarkStart w:id="59" w:name="_Toc337558740"/>
      <w:r>
        <w:rPr>
          <w:rFonts w:hint="eastAsia" w:ascii="宋体" w:hAnsi="宋体" w:eastAsia="宋体" w:cs="宋体"/>
          <w:b/>
          <w:color w:val="auto"/>
          <w:kern w:val="0"/>
          <w:szCs w:val="21"/>
          <w:highlight w:val="none"/>
        </w:rPr>
        <w:t>.1 许可或批准</w:t>
      </w:r>
      <w:bookmarkEnd w:id="56"/>
    </w:p>
    <w:p w14:paraId="2FCDDF5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95198C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因发包人原因未能及时办理完毕前述许可、批准或备案，由发包人承担由此增加的费用和（或）延误的工期，并支付承包人合理的利润。</w:t>
      </w:r>
    </w:p>
    <w:p w14:paraId="3A75EC9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60" w:name="_Toc351203511"/>
      <w:r>
        <w:rPr>
          <w:rFonts w:hint="eastAsia" w:ascii="宋体" w:hAnsi="宋体" w:eastAsia="宋体" w:cs="宋体"/>
          <w:b/>
          <w:color w:val="auto"/>
          <w:kern w:val="0"/>
          <w:szCs w:val="21"/>
          <w:highlight w:val="none"/>
        </w:rPr>
        <w:t>2.2 发包人代表</w:t>
      </w:r>
      <w:bookmarkEnd w:id="60"/>
    </w:p>
    <w:p w14:paraId="37136A4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336DFBB">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发包人代表不能按照合同约定履行其职责及义务，并导致合同无法继续正常履行的，承包人可以要求发包人撤换发包人代表。</w:t>
      </w:r>
    </w:p>
    <w:p w14:paraId="1289CC6B">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不属于法定必须监理的工程，监理人的职权可以由发包人代表或发包人指定的其他人员行使。</w:t>
      </w:r>
    </w:p>
    <w:p w14:paraId="17AEA0F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61" w:name="_Toc351203512"/>
      <w:r>
        <w:rPr>
          <w:rFonts w:hint="eastAsia" w:ascii="宋体" w:hAnsi="宋体" w:eastAsia="宋体" w:cs="宋体"/>
          <w:b/>
          <w:color w:val="auto"/>
          <w:kern w:val="0"/>
          <w:szCs w:val="21"/>
          <w:highlight w:val="none"/>
        </w:rPr>
        <w:t>2.3 发包人人员</w:t>
      </w:r>
      <w:bookmarkEnd w:id="61"/>
    </w:p>
    <w:p w14:paraId="7BD277D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7496EF75">
      <w:pPr>
        <w:wordWrap w:val="0"/>
        <w:snapToGrid w:val="0"/>
        <w:spacing w:line="360" w:lineRule="auto"/>
        <w:ind w:firstLine="6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发包人人员包括发包人代表及其他由发包人派驻施工现场的人员。</w:t>
      </w:r>
      <w:bookmarkEnd w:id="57"/>
      <w:bookmarkEnd w:id="58"/>
      <w:bookmarkEnd w:id="59"/>
    </w:p>
    <w:p w14:paraId="698099B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62" w:name="_Toc351203513"/>
      <w:r>
        <w:rPr>
          <w:rFonts w:hint="eastAsia" w:ascii="宋体" w:hAnsi="宋体" w:eastAsia="宋体" w:cs="宋体"/>
          <w:b/>
          <w:color w:val="auto"/>
          <w:kern w:val="0"/>
          <w:szCs w:val="21"/>
          <w:highlight w:val="none"/>
        </w:rPr>
        <w:t>2</w:t>
      </w:r>
      <w:bookmarkStart w:id="63" w:name="_Toc337558741"/>
      <w:bookmarkStart w:id="64" w:name="_Toc296346541"/>
      <w:bookmarkStart w:id="65" w:name="_Toc296503040"/>
      <w:r>
        <w:rPr>
          <w:rFonts w:hint="eastAsia" w:ascii="宋体" w:hAnsi="宋体" w:eastAsia="宋体" w:cs="宋体"/>
          <w:b/>
          <w:color w:val="auto"/>
          <w:kern w:val="0"/>
          <w:szCs w:val="21"/>
          <w:highlight w:val="none"/>
        </w:rPr>
        <w:t>.4 施工现场、施工条件和基础资料的提供</w:t>
      </w:r>
      <w:bookmarkEnd w:id="62"/>
      <w:bookmarkEnd w:id="63"/>
      <w:bookmarkEnd w:id="64"/>
      <w:bookmarkEnd w:id="65"/>
    </w:p>
    <w:p w14:paraId="74DA541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F05027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除专用合同条款另有约定外，发包人应最迟于开工日期7天前向承包人移交施工现场。</w:t>
      </w:r>
    </w:p>
    <w:p w14:paraId="700A8D9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097A1EA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除专用合同条款另有约定外，发包人应负责提供施工所需要的条件，包括：</w:t>
      </w:r>
    </w:p>
    <w:p w14:paraId="4D8487E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（1）将施工用水、电力、通讯线路等施工所必需的条件接至施工现场内；</w:t>
      </w:r>
    </w:p>
    <w:p w14:paraId="0E86200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（2）保证向承包人提供正常施工所需要的进入施工现场的交通条件；</w:t>
      </w:r>
    </w:p>
    <w:p w14:paraId="7D0505C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（3）协调处理施工现场周围地下管线和邻近建筑物、构筑物、古树名木的保护工作，并承担相关费用；</w:t>
      </w:r>
    </w:p>
    <w:p w14:paraId="093EC95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（4）按照专用合同条款约定应提供的其他设施和条件。</w:t>
      </w:r>
    </w:p>
    <w:p w14:paraId="28DC0BD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2.4.3 提供基础资料</w:t>
      </w:r>
    </w:p>
    <w:p w14:paraId="5E172DB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9412A7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51CA95A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2.4.4 逾期提供的责任</w:t>
      </w:r>
    </w:p>
    <w:p w14:paraId="20FE37E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因发包人原因未能按合同约定及时向承包人提供施工现场、施工条件、基础资料的，由发包人承担由此增加的费用和（或）延误的工期。</w:t>
      </w:r>
    </w:p>
    <w:p w14:paraId="6CD57994">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66" w:name="_Toc351203514"/>
      <w:r>
        <w:rPr>
          <w:rFonts w:hint="eastAsia" w:ascii="宋体" w:hAnsi="宋体" w:eastAsia="宋体" w:cs="宋体"/>
          <w:b/>
          <w:color w:val="auto"/>
          <w:kern w:val="0"/>
          <w:szCs w:val="21"/>
          <w:highlight w:val="none"/>
        </w:rPr>
        <w:t>2</w:t>
      </w:r>
      <w:bookmarkStart w:id="67" w:name="_Toc296346543"/>
      <w:bookmarkStart w:id="68" w:name="_Toc296503042"/>
      <w:bookmarkStart w:id="69" w:name="_Toc337558745"/>
      <w:r>
        <w:rPr>
          <w:rFonts w:hint="eastAsia" w:ascii="宋体" w:hAnsi="宋体" w:eastAsia="宋体" w:cs="宋体"/>
          <w:b/>
          <w:color w:val="auto"/>
          <w:kern w:val="0"/>
          <w:szCs w:val="21"/>
          <w:highlight w:val="none"/>
        </w:rPr>
        <w:t xml:space="preserve">.5 </w:t>
      </w:r>
      <w:bookmarkEnd w:id="66"/>
      <w:bookmarkEnd w:id="67"/>
      <w:bookmarkEnd w:id="68"/>
      <w:bookmarkEnd w:id="69"/>
      <w:bookmarkStart w:id="70" w:name="_Toc351203515"/>
      <w:r>
        <w:rPr>
          <w:rFonts w:hint="eastAsia" w:ascii="宋体" w:hAnsi="宋体" w:eastAsia="宋体" w:cs="宋体"/>
          <w:b/>
          <w:color w:val="auto"/>
          <w:kern w:val="0"/>
          <w:szCs w:val="21"/>
          <w:highlight w:val="none"/>
        </w:rPr>
        <w:t>支付合同价款</w:t>
      </w:r>
      <w:bookmarkEnd w:id="70"/>
    </w:p>
    <w:p w14:paraId="0B88844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发包人应按合同约定向承包人及时支付合同价款。</w:t>
      </w:r>
    </w:p>
    <w:p w14:paraId="163F9F1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71" w:name="_Toc351203516"/>
      <w:r>
        <w:rPr>
          <w:rFonts w:hint="eastAsia" w:ascii="宋体" w:hAnsi="宋体" w:eastAsia="宋体" w:cs="宋体"/>
          <w:b/>
          <w:color w:val="auto"/>
          <w:kern w:val="0"/>
          <w:szCs w:val="21"/>
          <w:highlight w:val="none"/>
        </w:rPr>
        <w:t>2.</w:t>
      </w:r>
      <w:r>
        <w:rPr>
          <w:rFonts w:hint="eastAsia" w:ascii="宋体" w:hAnsi="宋体" w:cs="宋体"/>
          <w:b/>
          <w:color w:val="auto"/>
          <w:kern w:val="0"/>
          <w:szCs w:val="21"/>
          <w:highlight w:val="none"/>
          <w:lang w:val="en-US" w:eastAsia="zh-CN"/>
        </w:rPr>
        <w:t>6</w:t>
      </w:r>
      <w:r>
        <w:rPr>
          <w:rFonts w:hint="eastAsia" w:ascii="宋体" w:hAnsi="宋体" w:eastAsia="宋体" w:cs="宋体"/>
          <w:b/>
          <w:color w:val="auto"/>
          <w:kern w:val="0"/>
          <w:szCs w:val="21"/>
          <w:highlight w:val="none"/>
        </w:rPr>
        <w:t xml:space="preserve"> 组织竣工验收</w:t>
      </w:r>
      <w:bookmarkEnd w:id="71"/>
    </w:p>
    <w:p w14:paraId="528B3B7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发包人应按合同约定及时组织竣工验收。</w:t>
      </w:r>
    </w:p>
    <w:p w14:paraId="4A392FAE">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72" w:name="_Toc351203517"/>
      <w:r>
        <w:rPr>
          <w:rFonts w:hint="eastAsia" w:ascii="宋体" w:hAnsi="宋体" w:eastAsia="宋体" w:cs="宋体"/>
          <w:b/>
          <w:color w:val="auto"/>
          <w:kern w:val="0"/>
          <w:szCs w:val="21"/>
          <w:highlight w:val="none"/>
        </w:rPr>
        <w:t>2.</w:t>
      </w:r>
      <w:r>
        <w:rPr>
          <w:rFonts w:hint="eastAsia" w:ascii="宋体" w:hAnsi="宋体" w:cs="宋体"/>
          <w:b/>
          <w:color w:val="auto"/>
          <w:kern w:val="0"/>
          <w:szCs w:val="21"/>
          <w:highlight w:val="none"/>
          <w:lang w:val="en-US" w:eastAsia="zh-CN"/>
        </w:rPr>
        <w:t>7</w:t>
      </w:r>
      <w:r>
        <w:rPr>
          <w:rFonts w:hint="eastAsia" w:ascii="宋体" w:hAnsi="宋体" w:eastAsia="宋体" w:cs="宋体"/>
          <w:b/>
          <w:color w:val="auto"/>
          <w:kern w:val="0"/>
          <w:szCs w:val="21"/>
          <w:highlight w:val="none"/>
        </w:rPr>
        <w:t xml:space="preserve"> 现场统一管理协议</w:t>
      </w:r>
      <w:bookmarkEnd w:id="72"/>
    </w:p>
    <w:p w14:paraId="5EBF87B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15D42D6E">
      <w:pPr>
        <w:widowControl/>
        <w:wordWrap w:val="0"/>
        <w:snapToGrid w:val="0"/>
        <w:spacing w:line="360" w:lineRule="auto"/>
        <w:rPr>
          <w:rFonts w:ascii="宋体" w:hAnsi="宋体" w:eastAsia="宋体" w:cs="宋体"/>
          <w:b/>
          <w:color w:val="auto"/>
          <w:kern w:val="0"/>
          <w:szCs w:val="21"/>
          <w:highlight w:val="none"/>
        </w:rPr>
      </w:pPr>
      <w:bookmarkStart w:id="73" w:name="_Toc351203518"/>
      <w:r>
        <w:rPr>
          <w:rFonts w:hint="eastAsia" w:ascii="宋体" w:hAnsi="宋体" w:eastAsia="宋体" w:cs="宋体"/>
          <w:b/>
          <w:color w:val="auto"/>
          <w:kern w:val="0"/>
          <w:szCs w:val="21"/>
          <w:highlight w:val="none"/>
        </w:rPr>
        <w:t>3</w:t>
      </w:r>
      <w:bookmarkStart w:id="74" w:name="_Toc296346546"/>
      <w:bookmarkStart w:id="75" w:name="_Toc337558746"/>
      <w:bookmarkStart w:id="76" w:name="_Toc296503045"/>
      <w:r>
        <w:rPr>
          <w:rFonts w:hint="eastAsia" w:ascii="宋体" w:hAnsi="宋体" w:eastAsia="宋体" w:cs="宋体"/>
          <w:b/>
          <w:color w:val="auto"/>
          <w:kern w:val="0"/>
          <w:szCs w:val="21"/>
          <w:highlight w:val="none"/>
        </w:rPr>
        <w:t>. 承包人</w:t>
      </w:r>
      <w:bookmarkEnd w:id="73"/>
    </w:p>
    <w:bookmarkEnd w:id="74"/>
    <w:bookmarkEnd w:id="75"/>
    <w:bookmarkEnd w:id="76"/>
    <w:p w14:paraId="4EA33523">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77" w:name="_Toc351203519"/>
      <w:r>
        <w:rPr>
          <w:rFonts w:hint="eastAsia" w:ascii="宋体" w:hAnsi="宋体" w:eastAsia="宋体" w:cs="宋体"/>
          <w:b/>
          <w:color w:val="auto"/>
          <w:kern w:val="0"/>
          <w:szCs w:val="21"/>
          <w:highlight w:val="none"/>
        </w:rPr>
        <w:t>3</w:t>
      </w:r>
      <w:bookmarkStart w:id="78" w:name="_Toc296346547"/>
      <w:bookmarkStart w:id="79" w:name="_Toc296503046"/>
      <w:bookmarkStart w:id="80" w:name="_Toc337558747"/>
      <w:r>
        <w:rPr>
          <w:rFonts w:hint="eastAsia" w:ascii="宋体" w:hAnsi="宋体" w:eastAsia="宋体" w:cs="宋体"/>
          <w:b/>
          <w:color w:val="auto"/>
          <w:kern w:val="0"/>
          <w:szCs w:val="21"/>
          <w:highlight w:val="none"/>
        </w:rPr>
        <w:t>.1 承包人的一般义务</w:t>
      </w:r>
      <w:bookmarkEnd w:id="77"/>
    </w:p>
    <w:bookmarkEnd w:id="78"/>
    <w:bookmarkEnd w:id="79"/>
    <w:bookmarkEnd w:id="80"/>
    <w:p w14:paraId="2B48704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承包人在履行合同过程中应遵守法律和工程建设标准规范，并履行以下义务：</w:t>
      </w:r>
    </w:p>
    <w:p w14:paraId="12DB755D">
      <w:pPr>
        <w:numPr>
          <w:ilvl w:val="0"/>
          <w:numId w:val="0"/>
        </w:numPr>
        <w:wordWrap w:val="0"/>
        <w:autoSpaceDE w:val="0"/>
        <w:autoSpaceDN w:val="0"/>
        <w:adjustRightInd w:val="0"/>
        <w:snapToGrid w:val="0"/>
        <w:spacing w:line="360" w:lineRule="auto"/>
        <w:ind w:left="0" w:leftChars="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Cs w:val="21"/>
          <w:highlight w:val="none"/>
        </w:rPr>
        <w:t>办理法律规定应由承包人办理的许可和批准，并将办理结果书面报送发包人留存；</w:t>
      </w:r>
    </w:p>
    <w:p w14:paraId="4A045BA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（2）按法律规定和合同约定完成工程，并在保修期内承担保修义务；</w:t>
      </w:r>
    </w:p>
    <w:p w14:paraId="011C01A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（3）按法律规定和合同约定采取施工安全和环境保护措施，办理工伤保险，确保工程及人员、材料、设备和设施的安全；</w:t>
      </w:r>
    </w:p>
    <w:p w14:paraId="45B1B4A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（4）按合同约定的工作内容和施工进度要求，编制施工组织设计和施工措施计划，并对所有施工作业和施工方法的完备性和安全可靠性负责；</w:t>
      </w:r>
    </w:p>
    <w:p w14:paraId="43E31CD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D3E975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（6）按照第6.3款〔环境保护〕约定负责施工场地及其周边环境与生态的保护工作；</w:t>
      </w:r>
    </w:p>
    <w:p w14:paraId="531F139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（7）按第6.1款〔安全文明施工〕约定采取施工安全措施，确保工程及其人员、材料、设备和设施的安全，防止因工程施工造成的人身伤害和财产损失；</w:t>
      </w:r>
    </w:p>
    <w:p w14:paraId="5F21CC2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（8）将发包人按合同约定支付的各项价款专用于合同工程，且应及时支付其雇用人员工资，并及时向分包人支付合同价款；</w:t>
      </w:r>
    </w:p>
    <w:p w14:paraId="7068D48B">
      <w:pPr>
        <w:wordWrap w:val="0"/>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（9）按照法律规定和合同约定编制竣工资料，完成竣工资料立卷及归档，并按专用合同条款约定的竣工资料的套数、内容、时间等要求移交发包人</w:t>
      </w:r>
      <w:r>
        <w:rPr>
          <w:rFonts w:hint="eastAsia" w:ascii="宋体" w:hAnsi="宋体" w:cs="宋体"/>
          <w:color w:val="auto"/>
          <w:kern w:val="0"/>
          <w:szCs w:val="21"/>
          <w:highlight w:val="none"/>
          <w:lang w:eastAsia="zh-CN"/>
        </w:rPr>
        <w:t>。</w:t>
      </w:r>
    </w:p>
    <w:p w14:paraId="0AB668F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（10）应履行的其他义务。</w:t>
      </w:r>
    </w:p>
    <w:p w14:paraId="2A4DA50D">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81" w:name="_Toc351203520"/>
      <w:r>
        <w:rPr>
          <w:rFonts w:hint="eastAsia" w:ascii="宋体" w:hAnsi="宋体" w:eastAsia="宋体" w:cs="宋体"/>
          <w:b/>
          <w:color w:val="auto"/>
          <w:kern w:val="0"/>
          <w:szCs w:val="21"/>
          <w:highlight w:val="none"/>
        </w:rPr>
        <w:t>3</w:t>
      </w:r>
      <w:bookmarkStart w:id="82" w:name="_Toc296346548"/>
      <w:bookmarkStart w:id="83" w:name="_Toc337558748"/>
      <w:bookmarkStart w:id="84" w:name="_Toc296503047"/>
      <w:r>
        <w:rPr>
          <w:rFonts w:hint="eastAsia" w:ascii="宋体" w:hAnsi="宋体" w:eastAsia="宋体" w:cs="宋体"/>
          <w:b/>
          <w:color w:val="auto"/>
          <w:kern w:val="0"/>
          <w:szCs w:val="21"/>
          <w:highlight w:val="none"/>
        </w:rPr>
        <w:t xml:space="preserve">.2 </w:t>
      </w:r>
      <w:bookmarkEnd w:id="81"/>
      <w:r>
        <w:rPr>
          <w:rFonts w:hint="eastAsia" w:ascii="宋体" w:hAnsi="宋体" w:eastAsia="宋体" w:cs="宋体"/>
          <w:b/>
          <w:color w:val="auto"/>
          <w:kern w:val="0"/>
          <w:szCs w:val="21"/>
          <w:highlight w:val="none"/>
        </w:rPr>
        <w:t>项目经理</w:t>
      </w:r>
    </w:p>
    <w:bookmarkEnd w:id="82"/>
    <w:bookmarkEnd w:id="83"/>
    <w:bookmarkEnd w:id="84"/>
    <w:p w14:paraId="2A5404A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39EC65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A48A71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承包人违反上述约定的，应按照专用合同条款的约定，承担违约责任。</w:t>
      </w:r>
    </w:p>
    <w:p w14:paraId="71F9892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DDA877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88833B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72567C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8A3805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85" w:name="_Toc351203521"/>
      <w:r>
        <w:rPr>
          <w:rFonts w:hint="eastAsia" w:ascii="宋体" w:hAnsi="宋体" w:eastAsia="宋体" w:cs="宋体"/>
          <w:b/>
          <w:color w:val="auto"/>
          <w:kern w:val="0"/>
          <w:szCs w:val="21"/>
          <w:highlight w:val="none"/>
        </w:rPr>
        <w:t>3</w:t>
      </w:r>
      <w:bookmarkStart w:id="86" w:name="_Toc296503048"/>
      <w:bookmarkStart w:id="87" w:name="_Toc296346549"/>
      <w:bookmarkStart w:id="88" w:name="_Toc337558749"/>
      <w:r>
        <w:rPr>
          <w:rFonts w:hint="eastAsia" w:ascii="宋体" w:hAnsi="宋体" w:eastAsia="宋体" w:cs="宋体"/>
          <w:b/>
          <w:color w:val="auto"/>
          <w:kern w:val="0"/>
          <w:szCs w:val="21"/>
          <w:highlight w:val="none"/>
        </w:rPr>
        <w:t xml:space="preserve">.3 </w:t>
      </w:r>
      <w:bookmarkEnd w:id="86"/>
      <w:bookmarkEnd w:id="87"/>
      <w:r>
        <w:rPr>
          <w:rFonts w:hint="eastAsia" w:ascii="宋体" w:hAnsi="宋体" w:eastAsia="宋体" w:cs="宋体"/>
          <w:b/>
          <w:color w:val="auto"/>
          <w:kern w:val="0"/>
          <w:szCs w:val="21"/>
          <w:highlight w:val="none"/>
        </w:rPr>
        <w:t>承包人人员</w:t>
      </w:r>
      <w:bookmarkEnd w:id="85"/>
    </w:p>
    <w:bookmarkEnd w:id="88"/>
    <w:p w14:paraId="27ECC3C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870283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42447B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特殊工种作业人员均应持有相应的资格证明，监理人可以随时检查。</w:t>
      </w:r>
    </w:p>
    <w:p w14:paraId="33BE356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A52C26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ED504A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承包人擅自更换主要施工管理人员，或前述人员未经监理人或发包人同意擅自离开施工现场的，应按照专用合同条款约定承担违约责任。</w:t>
      </w:r>
    </w:p>
    <w:p w14:paraId="1471633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89" w:name="_Toc351203522"/>
      <w:r>
        <w:rPr>
          <w:rFonts w:hint="eastAsia" w:ascii="宋体" w:hAnsi="宋体" w:eastAsia="宋体" w:cs="宋体"/>
          <w:b/>
          <w:color w:val="auto"/>
          <w:kern w:val="0"/>
          <w:szCs w:val="21"/>
          <w:highlight w:val="none"/>
        </w:rPr>
        <w:t>3</w:t>
      </w:r>
      <w:bookmarkStart w:id="90" w:name="_Toc296503050"/>
      <w:bookmarkStart w:id="91" w:name="_Toc296346551"/>
      <w:bookmarkStart w:id="92" w:name="_Toc337558750"/>
      <w:r>
        <w:rPr>
          <w:rFonts w:hint="eastAsia" w:ascii="宋体" w:hAnsi="宋体" w:eastAsia="宋体" w:cs="宋体"/>
          <w:b/>
          <w:color w:val="auto"/>
          <w:kern w:val="0"/>
          <w:szCs w:val="21"/>
          <w:highlight w:val="none"/>
        </w:rPr>
        <w:t>.4 承包人现场查勘</w:t>
      </w:r>
      <w:bookmarkEnd w:id="89"/>
    </w:p>
    <w:bookmarkEnd w:id="90"/>
    <w:bookmarkEnd w:id="91"/>
    <w:bookmarkEnd w:id="92"/>
    <w:p w14:paraId="327541E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1C42D58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5CF61E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93" w:name="_Toc351203523"/>
      <w:r>
        <w:rPr>
          <w:rFonts w:hint="eastAsia" w:ascii="宋体" w:hAnsi="宋体" w:eastAsia="宋体" w:cs="宋体"/>
          <w:b/>
          <w:color w:val="auto"/>
          <w:kern w:val="0"/>
          <w:szCs w:val="21"/>
          <w:highlight w:val="none"/>
        </w:rPr>
        <w:t>3</w:t>
      </w:r>
      <w:bookmarkStart w:id="94" w:name="_Toc296346552"/>
      <w:bookmarkStart w:id="95" w:name="_Toc296503051"/>
      <w:bookmarkStart w:id="96" w:name="_Toc337558751"/>
      <w:r>
        <w:rPr>
          <w:rFonts w:hint="eastAsia" w:ascii="宋体" w:hAnsi="宋体" w:eastAsia="宋体" w:cs="宋体"/>
          <w:b/>
          <w:color w:val="auto"/>
          <w:kern w:val="0"/>
          <w:szCs w:val="21"/>
          <w:highlight w:val="none"/>
        </w:rPr>
        <w:t>.5 分包</w:t>
      </w:r>
      <w:bookmarkEnd w:id="93"/>
    </w:p>
    <w:bookmarkEnd w:id="94"/>
    <w:bookmarkEnd w:id="95"/>
    <w:bookmarkEnd w:id="96"/>
    <w:p w14:paraId="58DF705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372BD15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035CDF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承包人不得以劳务分包的名义转包或违法分包工程。</w:t>
      </w:r>
    </w:p>
    <w:p w14:paraId="3494AAE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3.5.2 分包的确定</w:t>
      </w:r>
    </w:p>
    <w:p w14:paraId="1225B04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D06217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分包管理</w:t>
      </w:r>
    </w:p>
    <w:p w14:paraId="5542AFA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2C9E9D0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84BB14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（1）除本项第（2）目约定的情况或专用合同条款另有约定外，分包合同价款由承包人与分包人结算，未经承包人同意，发包人不得向分包人支付分包工程价款；</w:t>
      </w:r>
    </w:p>
    <w:p w14:paraId="4700AAB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（2）生效法律文书要求发包人向分包人支付分包合同价款的，发包人有权从应付承包人工程款中扣除该部分款项。</w:t>
      </w:r>
    </w:p>
    <w:p w14:paraId="5834FC0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分包合同权益的转让</w:t>
      </w:r>
    </w:p>
    <w:p w14:paraId="6073880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97" w:name="_Toc351203524"/>
    </w:p>
    <w:p w14:paraId="5F7E4F40">
      <w:pPr>
        <w:widowControl/>
        <w:wordWrap w:val="0"/>
        <w:snapToGrid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3.6 工程照管与成品、半成品保护</w:t>
      </w:r>
      <w:bookmarkEnd w:id="97"/>
    </w:p>
    <w:p w14:paraId="5052B5F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04FE6B2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（2）在承包人负责照管期间，因承包人原因造成工程、材料、工程设备损坏的，由承包人负责修复或更换，并承担由此增加的费用和（或）延误的工期。</w:t>
      </w:r>
    </w:p>
    <w:p w14:paraId="53A43E3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1BB6263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98" w:name="_Toc351203525"/>
      <w:r>
        <w:rPr>
          <w:rFonts w:hint="eastAsia" w:ascii="宋体" w:hAnsi="宋体" w:eastAsia="宋体" w:cs="宋体"/>
          <w:b/>
          <w:color w:val="auto"/>
          <w:kern w:val="0"/>
          <w:szCs w:val="21"/>
          <w:highlight w:val="none"/>
        </w:rPr>
        <w:t>3</w:t>
      </w:r>
      <w:bookmarkStart w:id="99" w:name="_Toc296346553"/>
      <w:bookmarkStart w:id="100" w:name="_Toc337558752"/>
      <w:bookmarkStart w:id="101" w:name="_Toc296503052"/>
      <w:r>
        <w:rPr>
          <w:rFonts w:hint="eastAsia" w:ascii="宋体" w:hAnsi="宋体" w:eastAsia="宋体" w:cs="宋体"/>
          <w:b/>
          <w:color w:val="auto"/>
          <w:kern w:val="0"/>
          <w:szCs w:val="21"/>
          <w:highlight w:val="none"/>
        </w:rPr>
        <w:t>.7 履约担保</w:t>
      </w:r>
      <w:bookmarkEnd w:id="98"/>
    </w:p>
    <w:bookmarkEnd w:id="99"/>
    <w:bookmarkEnd w:id="100"/>
    <w:bookmarkEnd w:id="101"/>
    <w:p w14:paraId="4EE4105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5CEE2E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0D92F37C">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02" w:name="_Toc351203526"/>
      <w:r>
        <w:rPr>
          <w:rFonts w:hint="eastAsia" w:ascii="宋体" w:hAnsi="宋体" w:eastAsia="宋体" w:cs="宋体"/>
          <w:b/>
          <w:color w:val="auto"/>
          <w:kern w:val="0"/>
          <w:szCs w:val="21"/>
          <w:highlight w:val="none"/>
        </w:rPr>
        <w:t>3.8 联合体</w:t>
      </w:r>
      <w:bookmarkEnd w:id="102"/>
    </w:p>
    <w:p w14:paraId="1660F81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 联合体各方应共同与发包人签订合同协议书。联合体各方应为履行合同向发包人承担连带责任。</w:t>
      </w:r>
    </w:p>
    <w:p w14:paraId="7E8C050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3.8.2 联合体协议经发包人确认后作为合同附件。在履行合同过程中，未经发包人同意，不得修改联合体协议。</w:t>
      </w:r>
    </w:p>
    <w:p w14:paraId="133C756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3.8.3 联合体牵头人负责与发包人和监理人联系，并接受指示，负责组织联合体各成员全面履行合同。</w:t>
      </w:r>
    </w:p>
    <w:p w14:paraId="532F5B68">
      <w:pPr>
        <w:widowControl/>
        <w:wordWrap w:val="0"/>
        <w:snapToGrid w:val="0"/>
        <w:spacing w:line="360" w:lineRule="auto"/>
        <w:rPr>
          <w:rFonts w:ascii="宋体" w:hAnsi="宋体" w:eastAsia="宋体" w:cs="宋体"/>
          <w:b/>
          <w:color w:val="auto"/>
          <w:kern w:val="0"/>
          <w:szCs w:val="21"/>
          <w:highlight w:val="none"/>
        </w:rPr>
      </w:pPr>
      <w:bookmarkStart w:id="103" w:name="_Toc351203527"/>
      <w:r>
        <w:rPr>
          <w:rFonts w:hint="eastAsia" w:ascii="宋体" w:hAnsi="宋体" w:eastAsia="宋体" w:cs="宋体"/>
          <w:b/>
          <w:color w:val="auto"/>
          <w:kern w:val="0"/>
          <w:szCs w:val="21"/>
          <w:highlight w:val="none"/>
        </w:rPr>
        <w:t>4</w:t>
      </w:r>
      <w:bookmarkStart w:id="104" w:name="_Toc296346554"/>
      <w:bookmarkStart w:id="105" w:name="_Toc296503053"/>
      <w:bookmarkStart w:id="106" w:name="_Toc337558753"/>
      <w:r>
        <w:rPr>
          <w:rFonts w:hint="eastAsia" w:ascii="宋体" w:hAnsi="宋体" w:eastAsia="宋体" w:cs="宋体"/>
          <w:b/>
          <w:color w:val="auto"/>
          <w:kern w:val="0"/>
          <w:szCs w:val="21"/>
          <w:highlight w:val="none"/>
        </w:rPr>
        <w:t>. 监</w:t>
      </w:r>
      <w:bookmarkEnd w:id="104"/>
      <w:bookmarkEnd w:id="105"/>
      <w:r>
        <w:rPr>
          <w:rFonts w:hint="eastAsia" w:ascii="宋体" w:hAnsi="宋体" w:eastAsia="宋体" w:cs="宋体"/>
          <w:b/>
          <w:color w:val="auto"/>
          <w:kern w:val="0"/>
          <w:szCs w:val="21"/>
          <w:highlight w:val="none"/>
        </w:rPr>
        <w:t>理人</w:t>
      </w:r>
      <w:bookmarkEnd w:id="103"/>
    </w:p>
    <w:bookmarkEnd w:id="106"/>
    <w:p w14:paraId="7EBBC6C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07" w:name="_Toc351203528"/>
      <w:r>
        <w:rPr>
          <w:rFonts w:hint="eastAsia" w:ascii="宋体" w:hAnsi="宋体" w:eastAsia="宋体" w:cs="宋体"/>
          <w:b/>
          <w:color w:val="auto"/>
          <w:kern w:val="0"/>
          <w:szCs w:val="21"/>
          <w:highlight w:val="none"/>
        </w:rPr>
        <w:t>4</w:t>
      </w:r>
      <w:bookmarkStart w:id="108" w:name="_Toc296503054"/>
      <w:bookmarkStart w:id="109" w:name="_Toc337558754"/>
      <w:bookmarkStart w:id="110" w:name="_Toc296346555"/>
      <w:r>
        <w:rPr>
          <w:rFonts w:hint="eastAsia" w:ascii="宋体" w:hAnsi="宋体" w:eastAsia="宋体" w:cs="宋体"/>
          <w:b/>
          <w:color w:val="auto"/>
          <w:kern w:val="0"/>
          <w:szCs w:val="21"/>
          <w:highlight w:val="none"/>
        </w:rPr>
        <w:t>.1监理人的一般规定</w:t>
      </w:r>
      <w:bookmarkEnd w:id="107"/>
    </w:p>
    <w:bookmarkEnd w:id="108"/>
    <w:bookmarkEnd w:id="109"/>
    <w:bookmarkEnd w:id="110"/>
    <w:p w14:paraId="6113104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1B4F86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除专用合同条款另有约定外，监理人在施工现场的办公场所、生活场所由承包人提供，所发生的费用由发包人承担。</w:t>
      </w:r>
    </w:p>
    <w:p w14:paraId="4181C17D">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11" w:name="_Toc351203529"/>
      <w:r>
        <w:rPr>
          <w:rFonts w:hint="eastAsia" w:ascii="宋体" w:hAnsi="宋体" w:eastAsia="宋体" w:cs="宋体"/>
          <w:b/>
          <w:color w:val="auto"/>
          <w:kern w:val="0"/>
          <w:szCs w:val="21"/>
          <w:highlight w:val="none"/>
        </w:rPr>
        <w:t>4</w:t>
      </w:r>
      <w:bookmarkStart w:id="112" w:name="_Toc337558755"/>
      <w:r>
        <w:rPr>
          <w:rFonts w:hint="eastAsia" w:ascii="宋体" w:hAnsi="宋体" w:eastAsia="宋体" w:cs="宋体"/>
          <w:b/>
          <w:color w:val="auto"/>
          <w:kern w:val="0"/>
          <w:szCs w:val="21"/>
          <w:highlight w:val="none"/>
        </w:rPr>
        <w:t>.2监理人员</w:t>
      </w:r>
      <w:bookmarkEnd w:id="111"/>
    </w:p>
    <w:bookmarkEnd w:id="112"/>
    <w:p w14:paraId="54E6C0B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36BA744">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13" w:name="_Toc351203530"/>
      <w:r>
        <w:rPr>
          <w:rFonts w:hint="eastAsia" w:ascii="宋体" w:hAnsi="宋体" w:eastAsia="宋体" w:cs="宋体"/>
          <w:b/>
          <w:color w:val="auto"/>
          <w:kern w:val="0"/>
          <w:szCs w:val="21"/>
          <w:highlight w:val="none"/>
        </w:rPr>
        <w:t>4</w:t>
      </w:r>
      <w:bookmarkStart w:id="114" w:name="_Toc296346556"/>
      <w:bookmarkStart w:id="115" w:name="_Toc296503055"/>
      <w:bookmarkStart w:id="116" w:name="_Toc337558756"/>
      <w:r>
        <w:rPr>
          <w:rFonts w:hint="eastAsia" w:ascii="宋体" w:hAnsi="宋体" w:eastAsia="宋体" w:cs="宋体"/>
          <w:b/>
          <w:color w:val="auto"/>
          <w:kern w:val="0"/>
          <w:szCs w:val="21"/>
          <w:highlight w:val="none"/>
        </w:rPr>
        <w:t>.3</w:t>
      </w:r>
      <w:bookmarkEnd w:id="114"/>
      <w:bookmarkEnd w:id="115"/>
      <w:r>
        <w:rPr>
          <w:rFonts w:hint="eastAsia" w:ascii="宋体" w:hAnsi="宋体" w:eastAsia="宋体" w:cs="宋体"/>
          <w:b/>
          <w:color w:val="auto"/>
          <w:kern w:val="0"/>
          <w:szCs w:val="21"/>
          <w:highlight w:val="none"/>
        </w:rPr>
        <w:t>监理人的指</w:t>
      </w:r>
      <w:bookmarkEnd w:id="116"/>
      <w:r>
        <w:rPr>
          <w:rFonts w:hint="eastAsia" w:ascii="宋体" w:hAnsi="宋体" w:eastAsia="宋体" w:cs="宋体"/>
          <w:b/>
          <w:color w:val="auto"/>
          <w:kern w:val="0"/>
          <w:szCs w:val="21"/>
          <w:highlight w:val="none"/>
        </w:rPr>
        <w:t>示</w:t>
      </w:r>
      <w:bookmarkEnd w:id="113"/>
    </w:p>
    <w:p w14:paraId="49D60CD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F3A4B1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232D70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0012FF8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C99278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17" w:name="_Toc351203531"/>
      <w:r>
        <w:rPr>
          <w:rFonts w:hint="eastAsia" w:ascii="宋体" w:hAnsi="宋体" w:eastAsia="宋体" w:cs="宋体"/>
          <w:b/>
          <w:color w:val="auto"/>
          <w:kern w:val="0"/>
          <w:szCs w:val="21"/>
          <w:highlight w:val="none"/>
        </w:rPr>
        <w:t>4</w:t>
      </w:r>
      <w:bookmarkStart w:id="118" w:name="_Toc296503057"/>
      <w:bookmarkStart w:id="119" w:name="_Toc337558757"/>
      <w:bookmarkStart w:id="120" w:name="_Toc296346558"/>
      <w:r>
        <w:rPr>
          <w:rFonts w:hint="eastAsia" w:ascii="宋体" w:hAnsi="宋体" w:eastAsia="宋体" w:cs="宋体"/>
          <w:b/>
          <w:color w:val="auto"/>
          <w:kern w:val="0"/>
          <w:szCs w:val="21"/>
          <w:highlight w:val="none"/>
        </w:rPr>
        <w:t>.4 商定或确定</w:t>
      </w:r>
      <w:bookmarkEnd w:id="117"/>
    </w:p>
    <w:bookmarkEnd w:id="118"/>
    <w:bookmarkEnd w:id="119"/>
    <w:bookmarkEnd w:id="120"/>
    <w:p w14:paraId="60D7096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1FB55EB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A47891D">
      <w:pPr>
        <w:widowControl/>
        <w:wordWrap w:val="0"/>
        <w:snapToGrid w:val="0"/>
        <w:spacing w:line="360" w:lineRule="auto"/>
        <w:rPr>
          <w:rFonts w:ascii="宋体" w:hAnsi="宋体" w:eastAsia="宋体" w:cs="宋体"/>
          <w:b/>
          <w:color w:val="auto"/>
          <w:kern w:val="0"/>
          <w:szCs w:val="21"/>
          <w:highlight w:val="none"/>
        </w:rPr>
      </w:pPr>
      <w:bookmarkStart w:id="121" w:name="_Toc351203532"/>
      <w:r>
        <w:rPr>
          <w:rFonts w:hint="eastAsia" w:ascii="宋体" w:hAnsi="宋体" w:eastAsia="宋体" w:cs="宋体"/>
          <w:b/>
          <w:color w:val="auto"/>
          <w:kern w:val="0"/>
          <w:szCs w:val="21"/>
          <w:highlight w:val="none"/>
        </w:rPr>
        <w:t>5</w:t>
      </w:r>
      <w:bookmarkStart w:id="122" w:name="_Toc337558758"/>
      <w:r>
        <w:rPr>
          <w:rFonts w:hint="eastAsia" w:ascii="宋体" w:hAnsi="宋体" w:eastAsia="宋体" w:cs="宋体"/>
          <w:b/>
          <w:color w:val="auto"/>
          <w:kern w:val="0"/>
          <w:szCs w:val="21"/>
          <w:highlight w:val="none"/>
        </w:rPr>
        <w:t>. 工程质量</w:t>
      </w:r>
      <w:bookmarkEnd w:id="121"/>
    </w:p>
    <w:bookmarkEnd w:id="122"/>
    <w:p w14:paraId="356AE7BD">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23" w:name="_Toc351203533"/>
      <w:r>
        <w:rPr>
          <w:rFonts w:hint="eastAsia" w:ascii="宋体" w:hAnsi="宋体" w:eastAsia="宋体" w:cs="宋体"/>
          <w:b/>
          <w:color w:val="auto"/>
          <w:kern w:val="0"/>
          <w:szCs w:val="21"/>
          <w:highlight w:val="none"/>
        </w:rPr>
        <w:t>5</w:t>
      </w:r>
      <w:bookmarkStart w:id="124" w:name="_Toc337558759"/>
      <w:r>
        <w:rPr>
          <w:rFonts w:hint="eastAsia" w:ascii="宋体" w:hAnsi="宋体" w:eastAsia="宋体" w:cs="宋体"/>
          <w:b/>
          <w:color w:val="auto"/>
          <w:kern w:val="0"/>
          <w:szCs w:val="21"/>
          <w:highlight w:val="none"/>
        </w:rPr>
        <w:t>.1质量要求</w:t>
      </w:r>
      <w:bookmarkEnd w:id="123"/>
    </w:p>
    <w:bookmarkEnd w:id="124"/>
    <w:p w14:paraId="79C6A76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05DA716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5.1.2 因发包人原因造成工程质量未达到合同约定标准的，由发包人承担由此增加的费用和（或）延误的工期，并支付承包人合理的利润。</w:t>
      </w:r>
    </w:p>
    <w:p w14:paraId="2B76902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286C8FF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25" w:name="_Toc351203534"/>
      <w:r>
        <w:rPr>
          <w:rFonts w:hint="eastAsia" w:ascii="宋体" w:hAnsi="宋体" w:eastAsia="宋体" w:cs="宋体"/>
          <w:b/>
          <w:color w:val="auto"/>
          <w:kern w:val="0"/>
          <w:szCs w:val="21"/>
          <w:highlight w:val="none"/>
        </w:rPr>
        <w:t>5</w:t>
      </w:r>
      <w:bookmarkStart w:id="126" w:name="_Toc337558760"/>
      <w:r>
        <w:rPr>
          <w:rFonts w:hint="eastAsia" w:ascii="宋体" w:hAnsi="宋体" w:eastAsia="宋体" w:cs="宋体"/>
          <w:b/>
          <w:color w:val="auto"/>
          <w:kern w:val="0"/>
          <w:szCs w:val="21"/>
          <w:highlight w:val="none"/>
        </w:rPr>
        <w:t>.2质量保证措施</w:t>
      </w:r>
      <w:bookmarkEnd w:id="125"/>
    </w:p>
    <w:bookmarkEnd w:id="126"/>
    <w:p w14:paraId="3908915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5.2.1 发包人的质量管理</w:t>
      </w:r>
    </w:p>
    <w:p w14:paraId="4EF0FFD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发包人应按照法律规定及合同约定完成与工程质量有关的各项工作。</w:t>
      </w:r>
    </w:p>
    <w:p w14:paraId="0D73F41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5.2.2 承包人的质量管理</w:t>
      </w:r>
    </w:p>
    <w:p w14:paraId="56F094D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797A22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承包人应对施工人员进行质量教育和技术培训，定期考核施工人员的劳动技能，严格执行施工规范和操作规程。</w:t>
      </w:r>
    </w:p>
    <w:p w14:paraId="4A7F9C7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E96B39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5.2.3 监理人的质量检查和检验</w:t>
      </w:r>
    </w:p>
    <w:p w14:paraId="085C403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A324D6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AFC3EE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27" w:name="_Toc351203535"/>
      <w:r>
        <w:rPr>
          <w:rFonts w:hint="eastAsia" w:ascii="宋体" w:hAnsi="宋体" w:eastAsia="宋体" w:cs="宋体"/>
          <w:b/>
          <w:color w:val="auto"/>
          <w:kern w:val="0"/>
          <w:szCs w:val="21"/>
          <w:highlight w:val="none"/>
        </w:rPr>
        <w:t>5</w:t>
      </w:r>
      <w:bookmarkStart w:id="128" w:name="_Toc337558761"/>
      <w:r>
        <w:rPr>
          <w:rFonts w:hint="eastAsia" w:ascii="宋体" w:hAnsi="宋体" w:eastAsia="宋体" w:cs="宋体"/>
          <w:b/>
          <w:color w:val="auto"/>
          <w:kern w:val="0"/>
          <w:szCs w:val="21"/>
          <w:highlight w:val="none"/>
        </w:rPr>
        <w:t>.3 隐蔽工程检查</w:t>
      </w:r>
      <w:bookmarkEnd w:id="127"/>
    </w:p>
    <w:bookmarkEnd w:id="128"/>
    <w:p w14:paraId="0D7C98E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5.3.1承包人自检</w:t>
      </w:r>
    </w:p>
    <w:p w14:paraId="177FB29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承包人应当对工程隐蔽部位进行自检，并经自检确认是否具备覆盖条件。</w:t>
      </w:r>
    </w:p>
    <w:p w14:paraId="1A33E27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5.3.2检查程序</w:t>
      </w:r>
    </w:p>
    <w:p w14:paraId="0CDC5A2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4D6D01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BE21C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9D9436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5.3.3 重新检查</w:t>
      </w:r>
    </w:p>
    <w:p w14:paraId="7354F63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FA9D88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5.3.4 承包人私自覆盖</w:t>
      </w:r>
    </w:p>
    <w:p w14:paraId="5A4C116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AEE74A0">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29" w:name="_Toc351203536"/>
      <w:r>
        <w:rPr>
          <w:rFonts w:hint="eastAsia" w:ascii="宋体" w:hAnsi="宋体" w:eastAsia="宋体" w:cs="宋体"/>
          <w:b/>
          <w:color w:val="auto"/>
          <w:kern w:val="0"/>
          <w:szCs w:val="21"/>
          <w:highlight w:val="none"/>
        </w:rPr>
        <w:t>5</w:t>
      </w:r>
      <w:bookmarkStart w:id="130" w:name="_Toc337558762"/>
      <w:r>
        <w:rPr>
          <w:rFonts w:hint="eastAsia" w:ascii="宋体" w:hAnsi="宋体" w:eastAsia="宋体" w:cs="宋体"/>
          <w:b/>
          <w:color w:val="auto"/>
          <w:kern w:val="0"/>
          <w:szCs w:val="21"/>
          <w:highlight w:val="none"/>
        </w:rPr>
        <w:t>.4不合格工程的处理</w:t>
      </w:r>
      <w:bookmarkEnd w:id="129"/>
    </w:p>
    <w:bookmarkEnd w:id="130"/>
    <w:p w14:paraId="1E2988F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7BD86B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5.4.2 因发包人原因造成工程不合格的，由此增加的费用和（或）延误的工期由发包人承担，并支付承包人合理的利润。</w:t>
      </w:r>
    </w:p>
    <w:p w14:paraId="08BB547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31" w:name="_Toc351203537"/>
      <w:r>
        <w:rPr>
          <w:rFonts w:hint="eastAsia" w:ascii="宋体" w:hAnsi="宋体" w:eastAsia="宋体" w:cs="宋体"/>
          <w:b/>
          <w:color w:val="auto"/>
          <w:kern w:val="0"/>
          <w:szCs w:val="21"/>
          <w:highlight w:val="none"/>
        </w:rPr>
        <w:t>5.5 质量争议检测</w:t>
      </w:r>
      <w:bookmarkEnd w:id="131"/>
    </w:p>
    <w:p w14:paraId="7C24F95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合同当事人对工程质量有争议的，由双方协商确定的工程质量检测机构鉴定，由此产生的费用及因此造成的损失，由责任方承担。</w:t>
      </w:r>
    </w:p>
    <w:p w14:paraId="4A5EACED">
      <w:pPr>
        <w:wordWrap w:val="0"/>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合同当事人均有责任的，由双方根据其责任分别承担。合同当事人无法达成一致的，按照第4.4款〔商定或确定〕执行。</w:t>
      </w:r>
    </w:p>
    <w:p w14:paraId="13B0FED5">
      <w:pPr>
        <w:widowControl/>
        <w:wordWrap w:val="0"/>
        <w:snapToGrid w:val="0"/>
        <w:spacing w:line="360" w:lineRule="auto"/>
        <w:rPr>
          <w:rFonts w:ascii="宋体" w:hAnsi="宋体" w:eastAsia="宋体" w:cs="宋体"/>
          <w:b/>
          <w:color w:val="auto"/>
          <w:kern w:val="0"/>
          <w:szCs w:val="21"/>
          <w:highlight w:val="none"/>
        </w:rPr>
      </w:pPr>
      <w:bookmarkStart w:id="132" w:name="_Toc351203538"/>
      <w:r>
        <w:rPr>
          <w:rFonts w:hint="eastAsia" w:ascii="宋体" w:hAnsi="宋体" w:eastAsia="宋体" w:cs="宋体"/>
          <w:b/>
          <w:color w:val="auto"/>
          <w:kern w:val="0"/>
          <w:szCs w:val="21"/>
          <w:highlight w:val="none"/>
        </w:rPr>
        <w:t>6</w:t>
      </w:r>
      <w:bookmarkStart w:id="133" w:name="_Toc337558763"/>
      <w:r>
        <w:rPr>
          <w:rFonts w:hint="eastAsia" w:ascii="宋体" w:hAnsi="宋体" w:eastAsia="宋体" w:cs="宋体"/>
          <w:b/>
          <w:color w:val="auto"/>
          <w:kern w:val="0"/>
          <w:szCs w:val="21"/>
          <w:highlight w:val="none"/>
        </w:rPr>
        <w:t>. 安全文明施工与环境保护</w:t>
      </w:r>
      <w:bookmarkEnd w:id="132"/>
    </w:p>
    <w:bookmarkEnd w:id="133"/>
    <w:p w14:paraId="0CCA510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34" w:name="_Toc351203539"/>
      <w:r>
        <w:rPr>
          <w:rFonts w:hint="eastAsia" w:ascii="宋体" w:hAnsi="宋体" w:eastAsia="宋体" w:cs="宋体"/>
          <w:b/>
          <w:color w:val="auto"/>
          <w:kern w:val="0"/>
          <w:szCs w:val="21"/>
          <w:highlight w:val="none"/>
        </w:rPr>
        <w:t>6</w:t>
      </w:r>
      <w:bookmarkStart w:id="135" w:name="_Toc337558764"/>
      <w:r>
        <w:rPr>
          <w:rFonts w:hint="eastAsia" w:ascii="宋体" w:hAnsi="宋体" w:eastAsia="宋体" w:cs="宋体"/>
          <w:b/>
          <w:color w:val="auto"/>
          <w:kern w:val="0"/>
          <w:szCs w:val="21"/>
          <w:highlight w:val="none"/>
        </w:rPr>
        <w:t>.1安全文明施工</w:t>
      </w:r>
      <w:bookmarkEnd w:id="134"/>
    </w:p>
    <w:bookmarkEnd w:id="135"/>
    <w:p w14:paraId="2799BCB0">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6.1.1安全生产要求</w:t>
      </w:r>
    </w:p>
    <w:p w14:paraId="6B966CBF">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64A0311">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Cs w:val="21"/>
          <w:highlight w:val="none"/>
        </w:rPr>
        <w:t>政府有关行政管理部门</w:t>
      </w:r>
      <w:r>
        <w:rPr>
          <w:rFonts w:hint="eastAsia" w:ascii="宋体" w:hAnsi="宋体" w:eastAsia="宋体" w:cs="宋体"/>
          <w:color w:val="auto"/>
          <w:szCs w:val="21"/>
          <w:highlight w:val="none"/>
        </w:rPr>
        <w:t>采取应急措施。</w:t>
      </w:r>
    </w:p>
    <w:p w14:paraId="51A3801A">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因安全生产需要暂停施工的，按照第7.8款〔暂停施工〕的约定执行。</w:t>
      </w:r>
    </w:p>
    <w:p w14:paraId="6E247643">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6.1.2 安全生产保证措施</w:t>
      </w:r>
    </w:p>
    <w:p w14:paraId="69739D7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承包人应当按照有关</w:t>
      </w:r>
      <w:r>
        <w:rPr>
          <w:rFonts w:hint="eastAsia" w:ascii="宋体" w:hAnsi="宋体" w:eastAsia="宋体" w:cs="宋体"/>
          <w:color w:val="auto"/>
          <w:kern w:val="0"/>
          <w:szCs w:val="21"/>
          <w:highlight w:val="none"/>
        </w:rPr>
        <w:t>规定编制安全技术措施或者专项施工方案，</w:t>
      </w:r>
      <w:r>
        <w:rPr>
          <w:rFonts w:hint="eastAsia" w:ascii="宋体" w:hAnsi="宋体" w:eastAsia="宋体" w:cs="宋体"/>
          <w:color w:val="auto"/>
          <w:szCs w:val="21"/>
          <w:highlight w:val="none"/>
        </w:rPr>
        <w:t>建立安全生产责任制度、治安保卫制度及安全生产教育培训制度，并</w:t>
      </w:r>
      <w:r>
        <w:rPr>
          <w:rFonts w:hint="eastAsia" w:ascii="宋体" w:hAnsi="宋体" w:eastAsia="宋体" w:cs="宋体"/>
          <w:color w:val="auto"/>
          <w:kern w:val="0"/>
          <w:szCs w:val="21"/>
          <w:highlight w:val="none"/>
        </w:rPr>
        <w:t>按安全生产法律规定及合同约定履行安全职责，如实</w:t>
      </w:r>
      <w:r>
        <w:rPr>
          <w:rFonts w:hint="eastAsia" w:ascii="宋体" w:hAnsi="宋体" w:eastAsia="宋体" w:cs="宋体"/>
          <w:color w:val="auto"/>
          <w:szCs w:val="21"/>
          <w:highlight w:val="none"/>
        </w:rPr>
        <w:t>编制工程安全生产的有关记录，</w:t>
      </w:r>
      <w:r>
        <w:rPr>
          <w:rFonts w:hint="eastAsia" w:ascii="宋体" w:hAnsi="宋体" w:eastAsia="宋体" w:cs="宋体"/>
          <w:color w:val="auto"/>
          <w:kern w:val="0"/>
          <w:szCs w:val="21"/>
          <w:highlight w:val="none"/>
        </w:rPr>
        <w:t>接受发包人、监理人及政府安全监督部门的检查与监督。</w:t>
      </w:r>
    </w:p>
    <w:p w14:paraId="76FC62C8">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6.1.3特别安全生产事项</w:t>
      </w:r>
    </w:p>
    <w:p w14:paraId="6E9219BF">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C103087">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D83B9CD">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5486CBF">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14:paraId="557F1748">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6.1.4 治安保卫</w:t>
      </w:r>
    </w:p>
    <w:p w14:paraId="5B989015">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14:paraId="69361C8A">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发包人和承包人除应协助现场治安管理机构或联防组织维护施工场地的社会治安外，还应做好包括生活区在内的各自管辖区的治安保卫工作。</w:t>
      </w:r>
    </w:p>
    <w:p w14:paraId="34EC984D">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248260A">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6.1.5 文明施工</w:t>
      </w:r>
    </w:p>
    <w:p w14:paraId="288C924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311187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CEB5555">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6.1.6 安全文明施工费</w:t>
      </w:r>
    </w:p>
    <w:p w14:paraId="4056CD5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本项目中安全文明施工费由发包人承担，已包含在中标总价及第一部分政府采购合同协议书第2条合同金额中，发包人无需另外单独支付</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发包人不得以任何形式扣减该部分费用。因基准日期后合同所适用的法律或政府有关规定发生变化，增加的安全文明施工费由发包人承担。</w:t>
      </w:r>
    </w:p>
    <w:p w14:paraId="3025E23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CE9B3B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19BB99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6.1.7 紧急情况处理</w:t>
      </w:r>
    </w:p>
    <w:p w14:paraId="00A301C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C97076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6.1.8 事故处理</w:t>
      </w:r>
    </w:p>
    <w:p w14:paraId="5F06D34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BE09EF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6.1.9 安全生产责任</w:t>
      </w:r>
    </w:p>
    <w:p w14:paraId="4E14C4E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6.1.9.1 发包人的安全责任</w:t>
      </w:r>
    </w:p>
    <w:p w14:paraId="19AEE9F3">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发包人应负责赔偿以下各种情况造成的损失：</w:t>
      </w:r>
    </w:p>
    <w:p w14:paraId="508E60DE">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（1）工程或工程的任何部分对土地的占用所造成的第三者财产损失；</w:t>
      </w:r>
    </w:p>
    <w:p w14:paraId="619301F6">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（2）由于发包人原因在施工场地及其毗邻地带造成的第三者人身伤亡和财产损失；</w:t>
      </w:r>
    </w:p>
    <w:p w14:paraId="72ECD556">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（3）由于发包人原因对承包人、监理人造成的人员人身伤亡和财产损失；</w:t>
      </w:r>
    </w:p>
    <w:p w14:paraId="7CF340C6">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（4）由于发包人原因造成的发包人自身人员的人身伤害以及财产损失。</w:t>
      </w:r>
    </w:p>
    <w:p w14:paraId="7F9F9F6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6.1.9.2 承包人的安全责任</w:t>
      </w:r>
    </w:p>
    <w:p w14:paraId="1EE6EA3B">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由于承包人原因在施工场地内及其毗邻地带造成的发包人、监理人以及第三者人员伤亡和财产损失，由承包人负责赔偿。</w:t>
      </w:r>
    </w:p>
    <w:p w14:paraId="70FC2CB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36" w:name="_Toc351203540"/>
      <w:r>
        <w:rPr>
          <w:rFonts w:hint="eastAsia" w:ascii="宋体" w:hAnsi="宋体" w:eastAsia="宋体" w:cs="宋体"/>
          <w:b/>
          <w:color w:val="auto"/>
          <w:kern w:val="0"/>
          <w:szCs w:val="21"/>
          <w:highlight w:val="none"/>
        </w:rPr>
        <w:t>6</w:t>
      </w:r>
      <w:bookmarkStart w:id="137" w:name="_Toc337558765"/>
      <w:r>
        <w:rPr>
          <w:rFonts w:hint="eastAsia" w:ascii="宋体" w:hAnsi="宋体" w:eastAsia="宋体" w:cs="宋体"/>
          <w:b/>
          <w:color w:val="auto"/>
          <w:kern w:val="0"/>
          <w:szCs w:val="21"/>
          <w:highlight w:val="none"/>
        </w:rPr>
        <w:t>.2 职业健康</w:t>
      </w:r>
      <w:bookmarkEnd w:id="136"/>
    </w:p>
    <w:bookmarkEnd w:id="137"/>
    <w:p w14:paraId="4FFBB87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6.2.1 劳动保护</w:t>
      </w:r>
    </w:p>
    <w:p w14:paraId="5C46A10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13D567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2A02EF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C71890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6.2.2 生活条件</w:t>
      </w:r>
    </w:p>
    <w:p w14:paraId="5F3117C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D9793E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38" w:name="_Toc351203541"/>
      <w:r>
        <w:rPr>
          <w:rFonts w:hint="eastAsia" w:ascii="宋体" w:hAnsi="宋体" w:eastAsia="宋体" w:cs="宋体"/>
          <w:b/>
          <w:color w:val="auto"/>
          <w:kern w:val="0"/>
          <w:szCs w:val="21"/>
          <w:highlight w:val="none"/>
        </w:rPr>
        <w:t>6</w:t>
      </w:r>
      <w:bookmarkStart w:id="139" w:name="_Toc337558766"/>
      <w:r>
        <w:rPr>
          <w:rFonts w:hint="eastAsia" w:ascii="宋体" w:hAnsi="宋体" w:eastAsia="宋体" w:cs="宋体"/>
          <w:b/>
          <w:color w:val="auto"/>
          <w:kern w:val="0"/>
          <w:szCs w:val="21"/>
          <w:highlight w:val="none"/>
        </w:rPr>
        <w:t>.3 环境保护</w:t>
      </w:r>
      <w:bookmarkEnd w:id="138"/>
    </w:p>
    <w:bookmarkEnd w:id="139"/>
    <w:p w14:paraId="1EAFF78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8D8747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14CFA9D1">
      <w:pPr>
        <w:widowControl/>
        <w:wordWrap w:val="0"/>
        <w:snapToGrid w:val="0"/>
        <w:spacing w:line="360" w:lineRule="auto"/>
        <w:rPr>
          <w:rFonts w:ascii="宋体" w:hAnsi="宋体" w:eastAsia="宋体" w:cs="宋体"/>
          <w:b/>
          <w:color w:val="auto"/>
          <w:kern w:val="0"/>
          <w:szCs w:val="21"/>
          <w:highlight w:val="none"/>
        </w:rPr>
      </w:pPr>
      <w:bookmarkStart w:id="140" w:name="_Toc351203542"/>
      <w:r>
        <w:rPr>
          <w:rFonts w:hint="eastAsia" w:ascii="宋体" w:hAnsi="宋体" w:eastAsia="宋体" w:cs="宋体"/>
          <w:b/>
          <w:color w:val="auto"/>
          <w:kern w:val="0"/>
          <w:szCs w:val="21"/>
          <w:highlight w:val="none"/>
        </w:rPr>
        <w:t>7</w:t>
      </w:r>
      <w:bookmarkStart w:id="141" w:name="_Toc337558767"/>
      <w:r>
        <w:rPr>
          <w:rFonts w:hint="eastAsia" w:ascii="宋体" w:hAnsi="宋体" w:eastAsia="宋体" w:cs="宋体"/>
          <w:b/>
          <w:color w:val="auto"/>
          <w:kern w:val="0"/>
          <w:szCs w:val="21"/>
          <w:highlight w:val="none"/>
        </w:rPr>
        <w:t>. 工期和进度</w:t>
      </w:r>
      <w:bookmarkEnd w:id="140"/>
    </w:p>
    <w:bookmarkEnd w:id="141"/>
    <w:p w14:paraId="6F354DFE">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42" w:name="_Toc351203543"/>
      <w:r>
        <w:rPr>
          <w:rFonts w:hint="eastAsia" w:ascii="宋体" w:hAnsi="宋体" w:eastAsia="宋体" w:cs="宋体"/>
          <w:b/>
          <w:color w:val="auto"/>
          <w:kern w:val="0"/>
          <w:szCs w:val="21"/>
          <w:highlight w:val="none"/>
        </w:rPr>
        <w:t>7</w:t>
      </w:r>
      <w:bookmarkStart w:id="143" w:name="_Toc337558768"/>
      <w:bookmarkStart w:id="144" w:name="_Toc296503066"/>
      <w:bookmarkStart w:id="145" w:name="_Toc296346567"/>
      <w:r>
        <w:rPr>
          <w:rFonts w:hint="eastAsia" w:ascii="宋体" w:hAnsi="宋体" w:eastAsia="宋体" w:cs="宋体"/>
          <w:b/>
          <w:color w:val="auto"/>
          <w:kern w:val="0"/>
          <w:szCs w:val="21"/>
          <w:highlight w:val="none"/>
        </w:rPr>
        <w:t>.1施工组织设计</w:t>
      </w:r>
      <w:bookmarkEnd w:id="142"/>
    </w:p>
    <w:bookmarkEnd w:id="143"/>
    <w:p w14:paraId="49ED78F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7.1.1 </w:t>
      </w:r>
      <w:r>
        <w:rPr>
          <w:rFonts w:hint="eastAsia" w:ascii="宋体" w:hAnsi="宋体" w:eastAsia="宋体" w:cs="宋体"/>
          <w:color w:val="auto"/>
          <w:kern w:val="0"/>
          <w:szCs w:val="21"/>
          <w:highlight w:val="none"/>
        </w:rPr>
        <w:t>施工组织设计的内容</w:t>
      </w:r>
    </w:p>
    <w:p w14:paraId="4634DC0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施工组织设计应包含以下内容：</w:t>
      </w:r>
    </w:p>
    <w:p w14:paraId="411ABB5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（1）施工方案； </w:t>
      </w:r>
    </w:p>
    <w:p w14:paraId="303A06D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（2）施工现场平面布置图；</w:t>
      </w:r>
    </w:p>
    <w:p w14:paraId="1BCA57C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（3）施工进度计划和保证措施； </w:t>
      </w:r>
    </w:p>
    <w:p w14:paraId="7328198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（4）劳动力及材料供应计划；</w:t>
      </w:r>
    </w:p>
    <w:p w14:paraId="1D9B021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（5）施工机械设备的选用；</w:t>
      </w:r>
    </w:p>
    <w:p w14:paraId="08FA567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（6）质量保证体系及措施；</w:t>
      </w:r>
    </w:p>
    <w:p w14:paraId="63F7D27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（7）安全生产、文明施工措施；</w:t>
      </w:r>
    </w:p>
    <w:p w14:paraId="78FF7D5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（8）环境保护、成本控制措施；</w:t>
      </w:r>
    </w:p>
    <w:p w14:paraId="58F650D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（9）合同当事人约定的其他内容。</w:t>
      </w:r>
    </w:p>
    <w:p w14:paraId="76F8BBE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605FA36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0B832D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施工进度计划的编制和修改按照第7.2款〔施工进度计划〕执行。</w:t>
      </w:r>
    </w:p>
    <w:p w14:paraId="7AE29740">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46" w:name="_Toc351203544"/>
      <w:r>
        <w:rPr>
          <w:rFonts w:hint="eastAsia" w:ascii="宋体" w:hAnsi="宋体" w:eastAsia="宋体" w:cs="宋体"/>
          <w:b/>
          <w:color w:val="auto"/>
          <w:kern w:val="0"/>
          <w:szCs w:val="21"/>
          <w:highlight w:val="none"/>
        </w:rPr>
        <w:t>7</w:t>
      </w:r>
      <w:bookmarkStart w:id="147" w:name="_Toc337558769"/>
      <w:r>
        <w:rPr>
          <w:rFonts w:hint="eastAsia" w:ascii="宋体" w:hAnsi="宋体" w:eastAsia="宋体" w:cs="宋体"/>
          <w:b/>
          <w:color w:val="auto"/>
          <w:kern w:val="0"/>
          <w:szCs w:val="21"/>
          <w:highlight w:val="none"/>
        </w:rPr>
        <w:t>.2 施工进度计划</w:t>
      </w:r>
      <w:bookmarkEnd w:id="146"/>
    </w:p>
    <w:bookmarkEnd w:id="147"/>
    <w:p w14:paraId="7B2FF38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7.2.1 施工进度计划的编制</w:t>
      </w:r>
    </w:p>
    <w:p w14:paraId="6E50752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43D66E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7.2.2 施工进度计划的修订</w:t>
      </w:r>
    </w:p>
    <w:p w14:paraId="6D989A5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441449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48" w:name="_Toc351203545"/>
      <w:r>
        <w:rPr>
          <w:rFonts w:hint="eastAsia" w:ascii="宋体" w:hAnsi="宋体" w:eastAsia="宋体" w:cs="宋体"/>
          <w:b/>
          <w:color w:val="auto"/>
          <w:kern w:val="0"/>
          <w:szCs w:val="21"/>
          <w:highlight w:val="none"/>
        </w:rPr>
        <w:t>7</w:t>
      </w:r>
      <w:bookmarkStart w:id="149" w:name="_Toc337558770"/>
      <w:r>
        <w:rPr>
          <w:rFonts w:hint="eastAsia" w:ascii="宋体" w:hAnsi="宋体" w:eastAsia="宋体" w:cs="宋体"/>
          <w:b/>
          <w:color w:val="auto"/>
          <w:kern w:val="0"/>
          <w:szCs w:val="21"/>
          <w:highlight w:val="none"/>
        </w:rPr>
        <w:t>.3 开工</w:t>
      </w:r>
      <w:bookmarkEnd w:id="148"/>
    </w:p>
    <w:p w14:paraId="4FD720B1">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4627208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F5F471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除专用合同条款另有约定外，合同当事人应按约定完成开工准备工作。</w:t>
      </w:r>
    </w:p>
    <w:p w14:paraId="27C48B8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 开工通知</w:t>
      </w:r>
    </w:p>
    <w:bookmarkEnd w:id="149"/>
    <w:p w14:paraId="042EA5A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7E58D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50" w:name="_Toc351203546"/>
      <w:r>
        <w:rPr>
          <w:rFonts w:hint="eastAsia" w:ascii="宋体" w:hAnsi="宋体" w:eastAsia="宋体" w:cs="宋体"/>
          <w:b/>
          <w:color w:val="auto"/>
          <w:kern w:val="0"/>
          <w:szCs w:val="21"/>
          <w:highlight w:val="none"/>
        </w:rPr>
        <w:t>7.4测量放线</w:t>
      </w:r>
      <w:bookmarkEnd w:id="150"/>
    </w:p>
    <w:p w14:paraId="66D021C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4BD2F7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6C8820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14DCC5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施工过程中对施工现场内水准点等测量标志物的保护工作由承包人负责。</w:t>
      </w:r>
      <w:bookmarkStart w:id="151" w:name="_Toc351203547"/>
    </w:p>
    <w:p w14:paraId="330E4DB7">
      <w:pPr>
        <w:widowControl/>
        <w:wordWrap w:val="0"/>
        <w:snapToGrid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bookmarkEnd w:id="144"/>
      <w:bookmarkEnd w:id="145"/>
      <w:bookmarkStart w:id="152" w:name="_Toc296346574"/>
      <w:bookmarkStart w:id="153" w:name="_Toc296503073"/>
      <w:bookmarkStart w:id="154" w:name="_Toc337558772"/>
      <w:r>
        <w:rPr>
          <w:rFonts w:hint="eastAsia" w:ascii="宋体" w:hAnsi="宋体" w:eastAsia="宋体" w:cs="宋体"/>
          <w:b/>
          <w:color w:val="auto"/>
          <w:kern w:val="0"/>
          <w:szCs w:val="21"/>
          <w:highlight w:val="none"/>
        </w:rPr>
        <w:t>.5 工期延误</w:t>
      </w:r>
      <w:bookmarkEnd w:id="151"/>
    </w:p>
    <w:bookmarkEnd w:id="152"/>
    <w:bookmarkEnd w:id="153"/>
    <w:bookmarkEnd w:id="154"/>
    <w:p w14:paraId="34EF32F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w:t>
      </w:r>
    </w:p>
    <w:p w14:paraId="0EDEEAD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在合同履行过程中，因下列情况导致工期延误和（或）费用增加的，由发包人承担由此延误的工期和（或）增加的费用： </w:t>
      </w:r>
    </w:p>
    <w:p w14:paraId="668E70D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（1）发包人未能按合同约定提供图纸或所提供图纸不符合合同约定的；</w:t>
      </w:r>
    </w:p>
    <w:p w14:paraId="3441B6C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（2）发包人未能按合同约定提供施工现场、施工条件、基础资料、许可、批准等开工条件的；</w:t>
      </w:r>
    </w:p>
    <w:p w14:paraId="36D3F75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（3）发包人提供的测量基准点、基准线和水准点及其书面资料存在错误或疏漏的；</w:t>
      </w:r>
    </w:p>
    <w:p w14:paraId="7180BB6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（4）发包人未能在计划开工日期之日起7天内同意下达开工通知的；</w:t>
      </w:r>
    </w:p>
    <w:p w14:paraId="780D526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（5）发包人未能按合同约定日期支付工程预付款、进度款或竣工结算款的；</w:t>
      </w:r>
    </w:p>
    <w:p w14:paraId="2388A77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（6）监理人未按合同约定发出指示、批准等文件的；</w:t>
      </w:r>
    </w:p>
    <w:p w14:paraId="437063A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（7）专用合同条款中约定的其他情形。</w:t>
      </w:r>
    </w:p>
    <w:p w14:paraId="0F6F48E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60FC15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AC715E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bookmarkStart w:id="155" w:name="_Toc296503076"/>
      <w:bookmarkStart w:id="156" w:name="_Toc296346577"/>
      <w:r>
        <w:rPr>
          <w:rFonts w:hint="eastAsia" w:ascii="宋体" w:hAnsi="宋体" w:eastAsia="宋体" w:cs="宋体"/>
          <w:color w:val="auto"/>
          <w:kern w:val="0"/>
          <w:szCs w:val="21"/>
          <w:highlight w:val="none"/>
        </w:rPr>
        <w:t>因</w:t>
      </w:r>
      <w:bookmarkEnd w:id="155"/>
      <w:bookmarkEnd w:id="156"/>
      <w:r>
        <w:rPr>
          <w:rFonts w:hint="eastAsia" w:ascii="宋体" w:hAnsi="宋体" w:eastAsia="宋体" w:cs="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47BA063">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57" w:name="_Toc351203548"/>
      <w:r>
        <w:rPr>
          <w:rFonts w:hint="eastAsia" w:ascii="宋体" w:hAnsi="宋体" w:eastAsia="宋体" w:cs="宋体"/>
          <w:b/>
          <w:color w:val="auto"/>
          <w:kern w:val="0"/>
          <w:szCs w:val="21"/>
          <w:highlight w:val="none"/>
        </w:rPr>
        <w:t>7</w:t>
      </w:r>
      <w:bookmarkStart w:id="158" w:name="_Toc337558773"/>
      <w:bookmarkStart w:id="159" w:name="_Toc296346575"/>
      <w:bookmarkStart w:id="160" w:name="_Toc296503074"/>
      <w:bookmarkStart w:id="161" w:name="_Toc296503077"/>
      <w:bookmarkStart w:id="162" w:name="_Toc296346578"/>
      <w:r>
        <w:rPr>
          <w:rFonts w:hint="eastAsia" w:ascii="宋体" w:hAnsi="宋体" w:eastAsia="宋体" w:cs="宋体"/>
          <w:b/>
          <w:color w:val="auto"/>
          <w:kern w:val="0"/>
          <w:szCs w:val="21"/>
          <w:highlight w:val="none"/>
        </w:rPr>
        <w:t>.6 不利物质条件</w:t>
      </w:r>
      <w:bookmarkEnd w:id="157"/>
    </w:p>
    <w:bookmarkEnd w:id="158"/>
    <w:bookmarkEnd w:id="159"/>
    <w:bookmarkEnd w:id="160"/>
    <w:p w14:paraId="6643106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EE3A2D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B4EF04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63" w:name="_Toc351203549"/>
      <w:r>
        <w:rPr>
          <w:rFonts w:hint="eastAsia" w:ascii="宋体" w:hAnsi="宋体" w:eastAsia="宋体" w:cs="宋体"/>
          <w:b/>
          <w:color w:val="auto"/>
          <w:kern w:val="0"/>
          <w:szCs w:val="21"/>
          <w:highlight w:val="none"/>
        </w:rPr>
        <w:t>7</w:t>
      </w:r>
      <w:bookmarkStart w:id="164" w:name="_Toc337558774"/>
      <w:bookmarkStart w:id="165" w:name="_Toc296346576"/>
      <w:bookmarkStart w:id="166" w:name="_Toc296503075"/>
      <w:r>
        <w:rPr>
          <w:rFonts w:hint="eastAsia" w:ascii="宋体" w:hAnsi="宋体" w:eastAsia="宋体" w:cs="宋体"/>
          <w:b/>
          <w:color w:val="auto"/>
          <w:kern w:val="0"/>
          <w:szCs w:val="21"/>
          <w:highlight w:val="none"/>
        </w:rPr>
        <w:t>.7 异常恶劣的气候条件</w:t>
      </w:r>
      <w:bookmarkEnd w:id="163"/>
    </w:p>
    <w:bookmarkEnd w:id="164"/>
    <w:bookmarkEnd w:id="165"/>
    <w:bookmarkEnd w:id="166"/>
    <w:p w14:paraId="3086F29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C466F4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67" w:name="_Toc351203550"/>
    </w:p>
    <w:p w14:paraId="1EE476F8">
      <w:pPr>
        <w:wordWrap w:val="0"/>
        <w:autoSpaceDE w:val="0"/>
        <w:autoSpaceDN w:val="0"/>
        <w:adjustRightInd w:val="0"/>
        <w:snapToGri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7</w:t>
      </w:r>
      <w:bookmarkStart w:id="168" w:name="_Toc337558775"/>
      <w:r>
        <w:rPr>
          <w:rFonts w:hint="eastAsia" w:ascii="宋体" w:hAnsi="宋体" w:eastAsia="宋体" w:cs="宋体"/>
          <w:bCs/>
          <w:color w:val="auto"/>
          <w:szCs w:val="21"/>
          <w:highlight w:val="none"/>
        </w:rPr>
        <w:t>.8 暂停施工</w:t>
      </w:r>
      <w:bookmarkEnd w:id="167"/>
    </w:p>
    <w:bookmarkEnd w:id="161"/>
    <w:bookmarkEnd w:id="162"/>
    <w:bookmarkEnd w:id="168"/>
    <w:p w14:paraId="18CD70F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7.8.1发包人原因引起的暂停施工</w:t>
      </w:r>
    </w:p>
    <w:p w14:paraId="5E2D51A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75C78E8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因发包人原因引起的暂停施工，发包人应承担由此增加的费用和（或）延误的工期，并支付承包人合理的利润。</w:t>
      </w:r>
    </w:p>
    <w:p w14:paraId="680E554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7.8.2 承包人原因引起的暂停施工</w:t>
      </w:r>
    </w:p>
    <w:p w14:paraId="6049C64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F6C234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7.8.3 指示暂停施工</w:t>
      </w:r>
    </w:p>
    <w:p w14:paraId="65EDFF0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监理人认为有必要时，并经发包人批准后，可向承包人作出暂停施工的指示，承包人应按监理人指示暂停施工。</w:t>
      </w:r>
    </w:p>
    <w:p w14:paraId="0F57A53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7.8.4 紧急情况下的暂停施工</w:t>
      </w:r>
    </w:p>
    <w:p w14:paraId="69B4164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B88FD1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7.8.5 暂停施工后的复工</w:t>
      </w:r>
    </w:p>
    <w:p w14:paraId="05EF373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D1B962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14:paraId="24F83F0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7.8.6 暂停施工持续56天以上</w:t>
      </w:r>
    </w:p>
    <w:p w14:paraId="68B40F22">
      <w:pPr>
        <w:wordWrap w:val="0"/>
        <w:snapToGrid w:val="0"/>
        <w:spacing w:line="360" w:lineRule="auto"/>
        <w:ind w:firstLine="407" w:firstLineChars="194"/>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31F7884">
      <w:pPr>
        <w:wordWrap w:val="0"/>
        <w:snapToGrid w:val="0"/>
        <w:spacing w:line="360" w:lineRule="auto"/>
        <w:ind w:firstLine="407" w:firstLineChars="194"/>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且因发包人原因引起的，按照第16.1.3项（因发包人违约解除合同）执行”</w:t>
      </w:r>
      <w:r>
        <w:rPr>
          <w:rFonts w:hint="eastAsia" w:ascii="宋体" w:hAnsi="宋体" w:cs="宋体"/>
          <w:color w:val="auto"/>
          <w:kern w:val="0"/>
          <w:szCs w:val="21"/>
          <w:highlight w:val="none"/>
          <w:lang w:eastAsia="zh-CN"/>
        </w:rPr>
        <w:t>。</w:t>
      </w:r>
    </w:p>
    <w:p w14:paraId="750C77D5">
      <w:pPr>
        <w:wordWrap w:val="0"/>
        <w:snapToGrid w:val="0"/>
        <w:spacing w:line="360" w:lineRule="auto"/>
        <w:ind w:left="16" w:firstLine="407" w:firstLineChars="194"/>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7.8.7 暂停施工期间的工程照管</w:t>
      </w:r>
    </w:p>
    <w:p w14:paraId="6106165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暂停施工期间，承包人应负责妥善照管工程并提供安全保障，由此增加的费用由责任方承担。</w:t>
      </w:r>
    </w:p>
    <w:p w14:paraId="1B05EAB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7.8.8 暂停施工的措施</w:t>
      </w:r>
    </w:p>
    <w:p w14:paraId="58930A6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暂停施工期间，发包人和承包人均应采取必要的措施确保工程质量及安全，防止因暂停施工扩大损失。</w:t>
      </w:r>
    </w:p>
    <w:p w14:paraId="6D7B34D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69" w:name="_Toc351203551"/>
      <w:r>
        <w:rPr>
          <w:rFonts w:hint="eastAsia" w:ascii="宋体" w:hAnsi="宋体" w:eastAsia="宋体" w:cs="宋体"/>
          <w:b/>
          <w:color w:val="auto"/>
          <w:kern w:val="0"/>
          <w:szCs w:val="21"/>
          <w:highlight w:val="none"/>
        </w:rPr>
        <w:t>7.9提前竣工</w:t>
      </w:r>
      <w:bookmarkEnd w:id="169"/>
    </w:p>
    <w:p w14:paraId="79FC261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097461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7.9.2 发包人要求承包人提前竣工，或承包人提出提前竣工的建议能够给发包人带来效益的，合同当事人可以在专用合同条款中约定提前竣工的奖励。</w:t>
      </w:r>
    </w:p>
    <w:p w14:paraId="5F9B0CAE">
      <w:pPr>
        <w:widowControl/>
        <w:wordWrap w:val="0"/>
        <w:snapToGrid w:val="0"/>
        <w:spacing w:line="360" w:lineRule="auto"/>
        <w:rPr>
          <w:rFonts w:ascii="宋体" w:hAnsi="宋体" w:eastAsia="宋体" w:cs="宋体"/>
          <w:b/>
          <w:color w:val="auto"/>
          <w:kern w:val="0"/>
          <w:szCs w:val="21"/>
          <w:highlight w:val="none"/>
        </w:rPr>
      </w:pPr>
      <w:bookmarkStart w:id="170" w:name="_Toc351203552"/>
      <w:r>
        <w:rPr>
          <w:rFonts w:hint="eastAsia" w:ascii="宋体" w:hAnsi="宋体" w:eastAsia="宋体" w:cs="宋体"/>
          <w:b/>
          <w:color w:val="auto"/>
          <w:kern w:val="0"/>
          <w:szCs w:val="21"/>
          <w:highlight w:val="none"/>
        </w:rPr>
        <w:t>8</w:t>
      </w:r>
      <w:bookmarkStart w:id="171" w:name="_Toc296346559"/>
      <w:bookmarkStart w:id="172" w:name="_Toc337558776"/>
      <w:bookmarkStart w:id="173" w:name="_Toc296503058"/>
      <w:r>
        <w:rPr>
          <w:rFonts w:hint="eastAsia" w:ascii="宋体" w:hAnsi="宋体" w:eastAsia="宋体" w:cs="宋体"/>
          <w:b/>
          <w:color w:val="auto"/>
          <w:kern w:val="0"/>
          <w:szCs w:val="21"/>
          <w:highlight w:val="none"/>
        </w:rPr>
        <w:t>. 材料与设备</w:t>
      </w:r>
      <w:bookmarkEnd w:id="170"/>
    </w:p>
    <w:bookmarkEnd w:id="171"/>
    <w:bookmarkEnd w:id="172"/>
    <w:bookmarkEnd w:id="173"/>
    <w:p w14:paraId="187C540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74" w:name="_Toc351203553"/>
      <w:r>
        <w:rPr>
          <w:rFonts w:hint="eastAsia" w:ascii="宋体" w:hAnsi="宋体" w:eastAsia="宋体" w:cs="宋体"/>
          <w:b/>
          <w:color w:val="auto"/>
          <w:kern w:val="0"/>
          <w:szCs w:val="21"/>
          <w:highlight w:val="none"/>
        </w:rPr>
        <w:t>8</w:t>
      </w:r>
      <w:bookmarkStart w:id="175" w:name="_Toc337558777"/>
      <w:bookmarkStart w:id="176" w:name="_Toc296503059"/>
      <w:bookmarkStart w:id="177" w:name="_Toc296346560"/>
      <w:bookmarkStart w:id="178" w:name="_Toc468936960"/>
      <w:r>
        <w:rPr>
          <w:rFonts w:hint="eastAsia" w:ascii="宋体" w:hAnsi="宋体" w:eastAsia="宋体" w:cs="宋体"/>
          <w:b/>
          <w:color w:val="auto"/>
          <w:kern w:val="0"/>
          <w:szCs w:val="21"/>
          <w:highlight w:val="none"/>
        </w:rPr>
        <w:t>.1发包人供应材料与工程设备</w:t>
      </w:r>
      <w:bookmarkEnd w:id="174"/>
    </w:p>
    <w:bookmarkEnd w:id="175"/>
    <w:bookmarkEnd w:id="176"/>
    <w:bookmarkEnd w:id="177"/>
    <w:p w14:paraId="057D46D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6BE5221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065B747">
      <w:pPr>
        <w:widowControl/>
        <w:wordWrap w:val="0"/>
        <w:snapToGrid w:val="0"/>
        <w:spacing w:line="360" w:lineRule="auto"/>
        <w:ind w:firstLine="422" w:firstLineChars="200"/>
        <w:rPr>
          <w:rFonts w:ascii="宋体" w:hAnsi="宋体" w:eastAsia="宋体" w:cs="宋体"/>
          <w:color w:val="auto"/>
          <w:kern w:val="0"/>
          <w:szCs w:val="21"/>
          <w:highlight w:val="none"/>
        </w:rPr>
      </w:pPr>
      <w:bookmarkStart w:id="179" w:name="_Toc351203554"/>
      <w:r>
        <w:rPr>
          <w:rFonts w:hint="eastAsia" w:ascii="宋体" w:hAnsi="宋体" w:eastAsia="宋体" w:cs="宋体"/>
          <w:b/>
          <w:color w:val="auto"/>
          <w:kern w:val="0"/>
          <w:szCs w:val="21"/>
          <w:highlight w:val="none"/>
        </w:rPr>
        <w:t>8</w:t>
      </w:r>
      <w:bookmarkStart w:id="180" w:name="_Toc296346561"/>
      <w:bookmarkStart w:id="181" w:name="_Toc296503060"/>
      <w:bookmarkStart w:id="182" w:name="_Toc337558778"/>
      <w:r>
        <w:rPr>
          <w:rFonts w:hint="eastAsia" w:ascii="宋体" w:hAnsi="宋体" w:eastAsia="宋体" w:cs="宋体"/>
          <w:b/>
          <w:color w:val="auto"/>
          <w:kern w:val="0"/>
          <w:szCs w:val="21"/>
          <w:highlight w:val="none"/>
        </w:rPr>
        <w:t>.2承包人采购材料与工程设备</w:t>
      </w:r>
      <w:bookmarkEnd w:id="179"/>
    </w:p>
    <w:bookmarkEnd w:id="180"/>
    <w:bookmarkEnd w:id="181"/>
    <w:bookmarkEnd w:id="182"/>
    <w:p w14:paraId="1572F51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AB334F0">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83" w:name="_Toc351203555"/>
      <w:r>
        <w:rPr>
          <w:rFonts w:hint="eastAsia" w:ascii="宋体" w:hAnsi="宋体" w:eastAsia="宋体" w:cs="宋体"/>
          <w:b/>
          <w:color w:val="auto"/>
          <w:kern w:val="0"/>
          <w:szCs w:val="21"/>
          <w:highlight w:val="none"/>
        </w:rPr>
        <w:t>8</w:t>
      </w:r>
      <w:bookmarkStart w:id="184" w:name="_Toc337558779"/>
      <w:bookmarkStart w:id="185" w:name="_Toc296346562"/>
      <w:bookmarkStart w:id="186" w:name="_Toc296503061"/>
      <w:r>
        <w:rPr>
          <w:rFonts w:hint="eastAsia" w:ascii="宋体" w:hAnsi="宋体" w:eastAsia="宋体" w:cs="宋体"/>
          <w:b/>
          <w:color w:val="auto"/>
          <w:kern w:val="0"/>
          <w:szCs w:val="21"/>
          <w:highlight w:val="none"/>
        </w:rPr>
        <w:t>.3材料与工程设备的接收与拒收</w:t>
      </w:r>
      <w:bookmarkEnd w:id="183"/>
    </w:p>
    <w:bookmarkEnd w:id="184"/>
    <w:bookmarkEnd w:id="185"/>
    <w:bookmarkEnd w:id="186"/>
    <w:p w14:paraId="29B9052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344119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8.3.2 承包人采购的材料和工程设备，应保证产品质量合格，承包人应在材料和工程设备到货前24小时通知监理人检验。承</w:t>
      </w:r>
      <w:bookmarkStart w:id="187" w:name="_Toc250655469"/>
      <w:r>
        <w:rPr>
          <w:rFonts w:hint="eastAsia" w:ascii="宋体" w:hAnsi="宋体" w:eastAsia="宋体" w:cs="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187"/>
    <w:p w14:paraId="098B69E1">
      <w:pPr>
        <w:wordWrap w:val="0"/>
        <w:autoSpaceDE w:val="0"/>
        <w:autoSpaceDN w:val="0"/>
        <w:adjustRightInd w:val="0"/>
        <w:snapToGrid w:val="0"/>
        <w:spacing w:line="360" w:lineRule="auto"/>
        <w:ind w:firstLine="315" w:firstLine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180B49C">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88" w:name="_Toc351203556"/>
      <w:r>
        <w:rPr>
          <w:rFonts w:hint="eastAsia" w:ascii="宋体" w:hAnsi="宋体" w:eastAsia="宋体" w:cs="宋体"/>
          <w:b/>
          <w:color w:val="auto"/>
          <w:kern w:val="0"/>
          <w:szCs w:val="21"/>
          <w:highlight w:val="none"/>
        </w:rPr>
        <w:t>8</w:t>
      </w:r>
      <w:bookmarkStart w:id="189" w:name="_Toc296346563"/>
      <w:bookmarkStart w:id="190" w:name="_Toc337558780"/>
      <w:bookmarkStart w:id="191" w:name="_Toc296503062"/>
      <w:r>
        <w:rPr>
          <w:rFonts w:hint="eastAsia" w:ascii="宋体" w:hAnsi="宋体" w:eastAsia="宋体" w:cs="宋体"/>
          <w:b/>
          <w:color w:val="auto"/>
          <w:kern w:val="0"/>
          <w:szCs w:val="21"/>
          <w:highlight w:val="none"/>
        </w:rPr>
        <w:t>.4材料与工程设备的保管与使用</w:t>
      </w:r>
      <w:bookmarkEnd w:id="188"/>
    </w:p>
    <w:bookmarkEnd w:id="189"/>
    <w:bookmarkEnd w:id="190"/>
    <w:bookmarkEnd w:id="191"/>
    <w:p w14:paraId="3D9E46B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8.4.1 发包人供应</w:t>
      </w:r>
      <w:r>
        <w:rPr>
          <w:rFonts w:hint="eastAsia" w:ascii="宋体" w:hAnsi="宋体" w:eastAsia="宋体" w:cs="宋体"/>
          <w:color w:val="auto"/>
          <w:szCs w:val="21"/>
          <w:highlight w:val="none"/>
        </w:rPr>
        <w:t>材料与</w:t>
      </w:r>
      <w:r>
        <w:rPr>
          <w:rFonts w:hint="eastAsia" w:ascii="宋体" w:hAnsi="宋体" w:eastAsia="宋体" w:cs="宋体"/>
          <w:color w:val="auto"/>
          <w:kern w:val="0"/>
          <w:szCs w:val="21"/>
          <w:highlight w:val="none"/>
        </w:rPr>
        <w:t>工程</w:t>
      </w:r>
      <w:r>
        <w:rPr>
          <w:rFonts w:hint="eastAsia" w:ascii="宋体" w:hAnsi="宋体" w:eastAsia="宋体" w:cs="宋体"/>
          <w:color w:val="auto"/>
          <w:szCs w:val="21"/>
          <w:highlight w:val="none"/>
        </w:rPr>
        <w:t>设备的保管与使用</w:t>
      </w:r>
    </w:p>
    <w:p w14:paraId="7678F422">
      <w:pPr>
        <w:wordWrap w:val="0"/>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发包人供应的材料和工程设备，承包人清点后由承包人妥善保管，保管费用由发包人承担，已包含在中标总价及第一部分政府采购合同协议书第2条合同金额中，发包人无需另外单独支付。因承包人原因发生丢失毁损的，由承包人负责赔偿</w:t>
      </w:r>
      <w:r>
        <w:rPr>
          <w:rFonts w:hint="eastAsia" w:ascii="宋体" w:hAnsi="宋体" w:cs="宋体"/>
          <w:color w:val="auto"/>
          <w:kern w:val="0"/>
          <w:szCs w:val="21"/>
          <w:highlight w:val="none"/>
          <w:lang w:eastAsia="zh-CN"/>
        </w:rPr>
        <w:t>。</w:t>
      </w:r>
    </w:p>
    <w:p w14:paraId="7876B4D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发包人供应的材料和工程设备使用前，由承包人负责检验，检验费用由发包人承担，不合格的不得使用。</w:t>
      </w:r>
    </w:p>
    <w:p w14:paraId="125A39B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8.4.2 承包人采购</w:t>
      </w:r>
      <w:r>
        <w:rPr>
          <w:rFonts w:hint="eastAsia" w:ascii="宋体" w:hAnsi="宋体" w:eastAsia="宋体" w:cs="宋体"/>
          <w:color w:val="auto"/>
          <w:szCs w:val="21"/>
          <w:highlight w:val="none"/>
        </w:rPr>
        <w:t>材料与</w:t>
      </w:r>
      <w:r>
        <w:rPr>
          <w:rFonts w:hint="eastAsia" w:ascii="宋体" w:hAnsi="宋体" w:eastAsia="宋体" w:cs="宋体"/>
          <w:color w:val="auto"/>
          <w:kern w:val="0"/>
          <w:szCs w:val="21"/>
          <w:highlight w:val="none"/>
        </w:rPr>
        <w:t>工程</w:t>
      </w:r>
      <w:r>
        <w:rPr>
          <w:rFonts w:hint="eastAsia" w:ascii="宋体" w:hAnsi="宋体" w:eastAsia="宋体" w:cs="宋体"/>
          <w:color w:val="auto"/>
          <w:szCs w:val="21"/>
          <w:highlight w:val="none"/>
        </w:rPr>
        <w:t>设备的保管与使用</w:t>
      </w:r>
    </w:p>
    <w:p w14:paraId="44858D4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C2AAEC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47C40BF1">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92" w:name="_Toc351203557"/>
      <w:r>
        <w:rPr>
          <w:rFonts w:hint="eastAsia" w:ascii="宋体" w:hAnsi="宋体" w:eastAsia="宋体" w:cs="宋体"/>
          <w:b/>
          <w:color w:val="auto"/>
          <w:kern w:val="0"/>
          <w:szCs w:val="21"/>
          <w:highlight w:val="none"/>
        </w:rPr>
        <w:t>8.5禁止使用不合格的材料和工程设备</w:t>
      </w:r>
      <w:bookmarkEnd w:id="192"/>
    </w:p>
    <w:p w14:paraId="698DA64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44FEAD0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8.5.2 监理人发现承包人使用了不合格的材料和工程设备，承包人应按照监理人的指示立即改正，并禁止在工程中继续使用不合格的材料和工程设备。</w:t>
      </w:r>
    </w:p>
    <w:p w14:paraId="6497F9E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23DEDAC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93" w:name="_Toc351203558"/>
      <w:r>
        <w:rPr>
          <w:rFonts w:hint="eastAsia" w:ascii="宋体" w:hAnsi="宋体" w:eastAsia="宋体" w:cs="宋体"/>
          <w:b/>
          <w:color w:val="auto"/>
          <w:kern w:val="0"/>
          <w:szCs w:val="21"/>
          <w:highlight w:val="none"/>
        </w:rPr>
        <w:t>8.6 样品</w:t>
      </w:r>
      <w:bookmarkEnd w:id="193"/>
    </w:p>
    <w:p w14:paraId="5DE5539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8.6.1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样品的报送与封存</w:t>
      </w:r>
    </w:p>
    <w:p w14:paraId="024C2AC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需要承包人报送样品的材料或工程设备，样品的种类、名称、规格、数量等要求均应在专用合同条款中约定。样品的报送程序如下：</w:t>
      </w:r>
    </w:p>
    <w:p w14:paraId="64071FB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74DD15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0174A0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7561A93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4E3D8E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8.6.2 样品的保管</w:t>
      </w:r>
    </w:p>
    <w:p w14:paraId="66F1CF1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经批准的样品应由监理人负责封存于现场，承包人应在现场为保存样品提供适当和固定的场所并保持适当和良好的存储环境条件。</w:t>
      </w:r>
    </w:p>
    <w:p w14:paraId="3FD1609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94" w:name="_Toc351203559"/>
      <w:r>
        <w:rPr>
          <w:rFonts w:hint="eastAsia" w:ascii="宋体" w:hAnsi="宋体" w:eastAsia="宋体" w:cs="宋体"/>
          <w:b/>
          <w:color w:val="auto"/>
          <w:kern w:val="0"/>
          <w:szCs w:val="21"/>
          <w:highlight w:val="none"/>
        </w:rPr>
        <w:t>8.7材料与工程设备的替代</w:t>
      </w:r>
      <w:bookmarkEnd w:id="194"/>
    </w:p>
    <w:p w14:paraId="62FB32B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8.7.1 出现下列情况需要使用替代材料和工程设备的，承包人应按照第8.7.2项约定的程序执行：</w:t>
      </w:r>
    </w:p>
    <w:p w14:paraId="62A6730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（1）基准日期后生效的法律规定禁止使用的；</w:t>
      </w:r>
    </w:p>
    <w:p w14:paraId="52EDE39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（2）发包人要求使用替代品的；</w:t>
      </w:r>
    </w:p>
    <w:p w14:paraId="39BA373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（3）因其他原因必须使用替代品的。</w:t>
      </w:r>
    </w:p>
    <w:p w14:paraId="06FBE06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8.7.2 承包人应在使用替代材料和工程设备28天前书面通知监理人，并附下列文件：</w:t>
      </w:r>
    </w:p>
    <w:p w14:paraId="11897CF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（1）被替代的材料和工程设备的名称、数量、规格、型号、品牌、性能、价格及其他相关资料；</w:t>
      </w:r>
    </w:p>
    <w:p w14:paraId="34AF9E1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（2）替代品的名称、数量、规格、型号、品牌、性能、价格及其他相关资料；</w:t>
      </w:r>
    </w:p>
    <w:p w14:paraId="3053568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（3）替代品与被替代产品之间的差异以及使用替代品可能对工程产生的影响；</w:t>
      </w:r>
    </w:p>
    <w:p w14:paraId="6FEA9E0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（4）替代品与被替代产品的价格差异；</w:t>
      </w:r>
    </w:p>
    <w:p w14:paraId="5BF07F9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（5）使用替代品的理由和原因说明；</w:t>
      </w:r>
    </w:p>
    <w:p w14:paraId="70355EC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（6）监理人要求的其他文件。</w:t>
      </w:r>
    </w:p>
    <w:p w14:paraId="3BA9DB9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监理人应在收到通知后14天内向承包人发出经发包人签认的书面指示；监理人逾期发出书面指示的，视为发包人和监理人同意使用替代品。</w:t>
      </w:r>
    </w:p>
    <w:p w14:paraId="679B1D5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701E019">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95" w:name="_Toc351203560"/>
      <w:r>
        <w:rPr>
          <w:rFonts w:hint="eastAsia" w:ascii="宋体" w:hAnsi="宋体" w:eastAsia="宋体" w:cs="宋体"/>
          <w:b/>
          <w:color w:val="auto"/>
          <w:kern w:val="0"/>
          <w:szCs w:val="21"/>
          <w:highlight w:val="none"/>
        </w:rPr>
        <w:t>8.8施工设备和临时设施</w:t>
      </w:r>
      <w:bookmarkEnd w:id="195"/>
    </w:p>
    <w:p w14:paraId="28FB121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8.8.1 承包人提供的施工设备和临时设施</w:t>
      </w:r>
    </w:p>
    <w:p w14:paraId="28EC25C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FA19BD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除专用合同条款另有约定外，承包人应自行承担修建临时设施的费用，需要临时占地的，应由发包人办理申请手续并承担相应费用。</w:t>
      </w:r>
    </w:p>
    <w:p w14:paraId="4CF6722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8.8.2发包人提供的施工设备和临时设施</w:t>
      </w:r>
    </w:p>
    <w:p w14:paraId="73B3CD3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发包人提供的施工设备或临时设施在专用合同条款中约定。</w:t>
      </w:r>
    </w:p>
    <w:p w14:paraId="60D2477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8.8.3要求承包人增加或更换施工设备</w:t>
      </w:r>
    </w:p>
    <w:p w14:paraId="18FA970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BB14D9E">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196" w:name="_Toc351203561"/>
      <w:r>
        <w:rPr>
          <w:rFonts w:hint="eastAsia" w:ascii="宋体" w:hAnsi="宋体" w:eastAsia="宋体" w:cs="宋体"/>
          <w:b/>
          <w:color w:val="auto"/>
          <w:kern w:val="0"/>
          <w:szCs w:val="21"/>
          <w:highlight w:val="none"/>
        </w:rPr>
        <w:t>8</w:t>
      </w:r>
      <w:bookmarkStart w:id="197" w:name="_Toc296503063"/>
      <w:bookmarkStart w:id="198" w:name="_Toc296346564"/>
      <w:bookmarkStart w:id="199" w:name="_Toc337558781"/>
      <w:r>
        <w:rPr>
          <w:rFonts w:hint="eastAsia" w:ascii="宋体" w:hAnsi="宋体" w:eastAsia="宋体" w:cs="宋体"/>
          <w:b/>
          <w:color w:val="auto"/>
          <w:kern w:val="0"/>
          <w:szCs w:val="21"/>
          <w:highlight w:val="none"/>
        </w:rPr>
        <w:t>.9材料与设备专用</w:t>
      </w:r>
      <w:bookmarkEnd w:id="196"/>
      <w:r>
        <w:rPr>
          <w:rFonts w:hint="eastAsia" w:ascii="宋体" w:hAnsi="宋体" w:eastAsia="宋体" w:cs="宋体"/>
          <w:b/>
          <w:color w:val="auto"/>
          <w:kern w:val="0"/>
          <w:szCs w:val="21"/>
          <w:highlight w:val="none"/>
        </w:rPr>
        <w:t>要求</w:t>
      </w:r>
    </w:p>
    <w:bookmarkEnd w:id="197"/>
    <w:bookmarkEnd w:id="198"/>
    <w:bookmarkEnd w:id="199"/>
    <w:p w14:paraId="753D67B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78"/>
      <w:r>
        <w:rPr>
          <w:rFonts w:hint="eastAsia" w:ascii="宋体" w:hAnsi="宋体" w:eastAsia="宋体" w:cs="宋体"/>
          <w:color w:val="auto"/>
          <w:kern w:val="0"/>
          <w:szCs w:val="21"/>
          <w:highlight w:val="none"/>
        </w:rPr>
        <w:t>经发包人批准，承包人可以根据施工进度计划撤走闲置的施工设备和其他物品。</w:t>
      </w:r>
    </w:p>
    <w:p w14:paraId="5F39C5BA">
      <w:pPr>
        <w:widowControl/>
        <w:wordWrap w:val="0"/>
        <w:snapToGrid w:val="0"/>
        <w:spacing w:line="360" w:lineRule="auto"/>
        <w:rPr>
          <w:rFonts w:ascii="宋体" w:hAnsi="宋体" w:eastAsia="宋体" w:cs="宋体"/>
          <w:b/>
          <w:color w:val="auto"/>
          <w:kern w:val="0"/>
          <w:szCs w:val="21"/>
          <w:highlight w:val="none"/>
        </w:rPr>
      </w:pPr>
      <w:bookmarkStart w:id="200" w:name="_Toc351203562"/>
      <w:r>
        <w:rPr>
          <w:rFonts w:hint="eastAsia" w:ascii="宋体" w:hAnsi="宋体" w:eastAsia="宋体" w:cs="宋体"/>
          <w:b/>
          <w:color w:val="auto"/>
          <w:kern w:val="0"/>
          <w:szCs w:val="21"/>
          <w:highlight w:val="none"/>
        </w:rPr>
        <w:t>9</w:t>
      </w:r>
      <w:bookmarkStart w:id="201" w:name="_Toc337558782"/>
      <w:bookmarkStart w:id="202" w:name="_Toc296346584"/>
      <w:bookmarkStart w:id="203" w:name="_Toc296503083"/>
      <w:r>
        <w:rPr>
          <w:rFonts w:hint="eastAsia" w:ascii="宋体" w:hAnsi="宋体" w:eastAsia="宋体" w:cs="宋体"/>
          <w:b/>
          <w:color w:val="auto"/>
          <w:kern w:val="0"/>
          <w:szCs w:val="21"/>
          <w:highlight w:val="none"/>
        </w:rPr>
        <w:t>. 试验与检验</w:t>
      </w:r>
      <w:bookmarkEnd w:id="200"/>
    </w:p>
    <w:bookmarkEnd w:id="201"/>
    <w:p w14:paraId="656EAA4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04" w:name="_Toc351203563"/>
      <w:r>
        <w:rPr>
          <w:rFonts w:hint="eastAsia" w:ascii="宋体" w:hAnsi="宋体" w:eastAsia="宋体" w:cs="宋体"/>
          <w:b/>
          <w:color w:val="auto"/>
          <w:kern w:val="0"/>
          <w:szCs w:val="21"/>
          <w:highlight w:val="none"/>
        </w:rPr>
        <w:t>9</w:t>
      </w:r>
      <w:bookmarkStart w:id="205" w:name="_Toc337558783"/>
      <w:r>
        <w:rPr>
          <w:rFonts w:hint="eastAsia" w:ascii="宋体" w:hAnsi="宋体" w:eastAsia="宋体" w:cs="宋体"/>
          <w:b/>
          <w:color w:val="auto"/>
          <w:kern w:val="0"/>
          <w:szCs w:val="21"/>
          <w:highlight w:val="none"/>
        </w:rPr>
        <w:t>.1试验设备与试验人员</w:t>
      </w:r>
      <w:bookmarkEnd w:id="204"/>
    </w:p>
    <w:bookmarkEnd w:id="205"/>
    <w:p w14:paraId="788AF23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8FBB44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9.1.2 承包人应按专用合同条款的约定提供试验设备、取样装置、试验场所和试验条件，并向监理人提交相应进场计划表。</w:t>
      </w:r>
    </w:p>
    <w:p w14:paraId="13FE496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承包人配置的试验设备要符合相应试验规程的要求并经过具有资质的检测单位检测，且在正式使用该试验设备前，需要经过监理人与承包人共同校定。</w:t>
      </w:r>
    </w:p>
    <w:p w14:paraId="4FB88B6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16DDE58B">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06" w:name="_Toc351203564"/>
      <w:r>
        <w:rPr>
          <w:rFonts w:hint="eastAsia" w:ascii="宋体" w:hAnsi="宋体" w:eastAsia="宋体" w:cs="宋体"/>
          <w:b/>
          <w:color w:val="auto"/>
          <w:kern w:val="0"/>
          <w:szCs w:val="21"/>
          <w:highlight w:val="none"/>
        </w:rPr>
        <w:t>9</w:t>
      </w:r>
      <w:bookmarkStart w:id="207" w:name="_Toc337558784"/>
      <w:r>
        <w:rPr>
          <w:rFonts w:hint="eastAsia" w:ascii="宋体" w:hAnsi="宋体" w:eastAsia="宋体" w:cs="宋体"/>
          <w:b/>
          <w:color w:val="auto"/>
          <w:kern w:val="0"/>
          <w:szCs w:val="21"/>
          <w:highlight w:val="none"/>
        </w:rPr>
        <w:t>.2取样</w:t>
      </w:r>
      <w:bookmarkEnd w:id="206"/>
    </w:p>
    <w:bookmarkEnd w:id="207"/>
    <w:p w14:paraId="6D8EA72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试验属于自检性质的，承包人可以单独取样。试验属于监理人抽检性质的，可由监理人取样，也可由承包人的试验人员在监理人的监督下取样。</w:t>
      </w:r>
    </w:p>
    <w:p w14:paraId="0BBD765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08" w:name="_Toc351203565"/>
      <w:r>
        <w:rPr>
          <w:rFonts w:hint="eastAsia" w:ascii="宋体" w:hAnsi="宋体" w:eastAsia="宋体" w:cs="宋体"/>
          <w:b/>
          <w:color w:val="auto"/>
          <w:kern w:val="0"/>
          <w:szCs w:val="21"/>
          <w:highlight w:val="none"/>
        </w:rPr>
        <w:t>9</w:t>
      </w:r>
      <w:bookmarkStart w:id="209" w:name="_Toc337558785"/>
      <w:r>
        <w:rPr>
          <w:rFonts w:hint="eastAsia" w:ascii="宋体" w:hAnsi="宋体" w:eastAsia="宋体" w:cs="宋体"/>
          <w:b/>
          <w:color w:val="auto"/>
          <w:kern w:val="0"/>
          <w:szCs w:val="21"/>
          <w:highlight w:val="none"/>
        </w:rPr>
        <w:t>.3材料、工程设备和工程的试验和检验</w:t>
      </w:r>
      <w:bookmarkEnd w:id="208"/>
    </w:p>
    <w:bookmarkEnd w:id="209"/>
    <w:p w14:paraId="604799A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77F651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B1023D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7892E69">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10" w:name="_Toc351203566"/>
      <w:r>
        <w:rPr>
          <w:rFonts w:hint="eastAsia" w:ascii="宋体" w:hAnsi="宋体" w:eastAsia="宋体" w:cs="宋体"/>
          <w:b/>
          <w:color w:val="auto"/>
          <w:kern w:val="0"/>
          <w:szCs w:val="21"/>
          <w:highlight w:val="none"/>
        </w:rPr>
        <w:t>9</w:t>
      </w:r>
      <w:bookmarkStart w:id="211" w:name="_Toc337558786"/>
      <w:r>
        <w:rPr>
          <w:rFonts w:hint="eastAsia" w:ascii="宋体" w:hAnsi="宋体" w:eastAsia="宋体" w:cs="宋体"/>
          <w:b/>
          <w:color w:val="auto"/>
          <w:kern w:val="0"/>
          <w:szCs w:val="21"/>
          <w:highlight w:val="none"/>
        </w:rPr>
        <w:t>.4现场工艺试验</w:t>
      </w:r>
      <w:bookmarkEnd w:id="210"/>
    </w:p>
    <w:bookmarkEnd w:id="211"/>
    <w:p w14:paraId="57A6AF6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2BEE8A87">
      <w:pPr>
        <w:widowControl/>
        <w:wordWrap w:val="0"/>
        <w:snapToGrid w:val="0"/>
        <w:spacing w:line="360" w:lineRule="auto"/>
        <w:rPr>
          <w:rFonts w:ascii="宋体" w:hAnsi="宋体" w:eastAsia="宋体" w:cs="宋体"/>
          <w:b/>
          <w:color w:val="auto"/>
          <w:kern w:val="0"/>
          <w:szCs w:val="21"/>
          <w:highlight w:val="none"/>
        </w:rPr>
      </w:pPr>
      <w:bookmarkStart w:id="212" w:name="_Toc351203567"/>
      <w:r>
        <w:rPr>
          <w:rFonts w:hint="eastAsia" w:ascii="宋体" w:hAnsi="宋体" w:eastAsia="宋体" w:cs="宋体"/>
          <w:b/>
          <w:color w:val="auto"/>
          <w:kern w:val="0"/>
          <w:szCs w:val="21"/>
          <w:highlight w:val="none"/>
        </w:rPr>
        <w:t>1</w:t>
      </w:r>
      <w:bookmarkStart w:id="213" w:name="_Toc337558787"/>
      <w:r>
        <w:rPr>
          <w:rFonts w:hint="eastAsia" w:ascii="宋体" w:hAnsi="宋体" w:eastAsia="宋体" w:cs="宋体"/>
          <w:b/>
          <w:color w:val="auto"/>
          <w:kern w:val="0"/>
          <w:szCs w:val="21"/>
          <w:highlight w:val="none"/>
        </w:rPr>
        <w:t>0. 变更</w:t>
      </w:r>
      <w:bookmarkEnd w:id="202"/>
      <w:bookmarkEnd w:id="203"/>
      <w:bookmarkEnd w:id="212"/>
    </w:p>
    <w:bookmarkEnd w:id="213"/>
    <w:p w14:paraId="04C13DA9">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14" w:name="_Toc351203568"/>
      <w:r>
        <w:rPr>
          <w:rFonts w:hint="eastAsia" w:ascii="宋体" w:hAnsi="宋体" w:eastAsia="宋体" w:cs="宋体"/>
          <w:b/>
          <w:color w:val="auto"/>
          <w:kern w:val="0"/>
          <w:szCs w:val="21"/>
          <w:highlight w:val="none"/>
        </w:rPr>
        <w:t>1</w:t>
      </w:r>
      <w:bookmarkStart w:id="215" w:name="_Toc296503084"/>
      <w:bookmarkStart w:id="216" w:name="_Toc337558788"/>
      <w:bookmarkStart w:id="217" w:name="_Toc296346585"/>
      <w:r>
        <w:rPr>
          <w:rFonts w:hint="eastAsia" w:ascii="宋体" w:hAnsi="宋体" w:eastAsia="宋体" w:cs="宋体"/>
          <w:b/>
          <w:color w:val="auto"/>
          <w:kern w:val="0"/>
          <w:szCs w:val="21"/>
          <w:highlight w:val="none"/>
        </w:rPr>
        <w:t>0.1变更的范围</w:t>
      </w:r>
      <w:bookmarkEnd w:id="214"/>
    </w:p>
    <w:bookmarkEnd w:id="215"/>
    <w:bookmarkEnd w:id="216"/>
    <w:bookmarkEnd w:id="217"/>
    <w:p w14:paraId="4D6E005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除专用合同条款另有约定外，合同履行过程中发生以下情形的，应按照本条约定进行变更：</w:t>
      </w:r>
    </w:p>
    <w:p w14:paraId="04E924E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（1）增加或减少合同中任何工作，或追加额外的工作；</w:t>
      </w:r>
    </w:p>
    <w:p w14:paraId="142184D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（2）取消合同中任何工作，但转由他人实施的工作除外；</w:t>
      </w:r>
    </w:p>
    <w:p w14:paraId="66580D2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（3）改变合同中任何工作的质量标准或其他特性；</w:t>
      </w:r>
    </w:p>
    <w:p w14:paraId="4C8B93E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（4）改变工程的基线、标高、位置和尺寸；</w:t>
      </w:r>
    </w:p>
    <w:p w14:paraId="1098D1A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（5）改变工程的时间安排或实施顺序。</w:t>
      </w:r>
    </w:p>
    <w:p w14:paraId="48C0D28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18" w:name="_Toc351203569"/>
      <w:r>
        <w:rPr>
          <w:rFonts w:hint="eastAsia" w:ascii="宋体" w:hAnsi="宋体" w:eastAsia="宋体" w:cs="宋体"/>
          <w:b/>
          <w:color w:val="auto"/>
          <w:kern w:val="0"/>
          <w:szCs w:val="21"/>
          <w:highlight w:val="none"/>
        </w:rPr>
        <w:t>1</w:t>
      </w:r>
      <w:bookmarkStart w:id="219" w:name="_Toc337558789"/>
      <w:bookmarkStart w:id="220" w:name="_Toc296346586"/>
      <w:bookmarkStart w:id="221" w:name="_Toc296503085"/>
      <w:r>
        <w:rPr>
          <w:rFonts w:hint="eastAsia" w:ascii="宋体" w:hAnsi="宋体" w:eastAsia="宋体" w:cs="宋体"/>
          <w:b/>
          <w:color w:val="auto"/>
          <w:kern w:val="0"/>
          <w:szCs w:val="21"/>
          <w:highlight w:val="none"/>
        </w:rPr>
        <w:t>0.2变更权</w:t>
      </w:r>
      <w:bookmarkEnd w:id="218"/>
    </w:p>
    <w:bookmarkEnd w:id="219"/>
    <w:bookmarkEnd w:id="220"/>
    <w:bookmarkEnd w:id="221"/>
    <w:p w14:paraId="3F71743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8E0AAD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涉及设计变更的，应由设计人提供变更后的图纸和说明。如变更超过原设计标准或批准的建设规模时，发包人应及时办理规划、设计变更等审批手续。</w:t>
      </w:r>
    </w:p>
    <w:p w14:paraId="49B20C96">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22" w:name="_Toc351203570"/>
      <w:r>
        <w:rPr>
          <w:rFonts w:hint="eastAsia" w:ascii="宋体" w:hAnsi="宋体" w:eastAsia="宋体" w:cs="宋体"/>
          <w:b/>
          <w:color w:val="auto"/>
          <w:kern w:val="0"/>
          <w:szCs w:val="21"/>
          <w:highlight w:val="none"/>
        </w:rPr>
        <w:t>1</w:t>
      </w:r>
      <w:bookmarkStart w:id="223" w:name="_Toc337558790"/>
      <w:bookmarkStart w:id="224" w:name="_Toc296503086"/>
      <w:bookmarkStart w:id="225" w:name="_Toc296346587"/>
      <w:r>
        <w:rPr>
          <w:rFonts w:hint="eastAsia" w:ascii="宋体" w:hAnsi="宋体" w:eastAsia="宋体" w:cs="宋体"/>
          <w:b/>
          <w:color w:val="auto"/>
          <w:kern w:val="0"/>
          <w:szCs w:val="21"/>
          <w:highlight w:val="none"/>
        </w:rPr>
        <w:t>0.3变更程序</w:t>
      </w:r>
      <w:bookmarkEnd w:id="222"/>
    </w:p>
    <w:bookmarkEnd w:id="223"/>
    <w:bookmarkEnd w:id="224"/>
    <w:bookmarkEnd w:id="225"/>
    <w:p w14:paraId="34F711F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kern w:val="0"/>
          <w:szCs w:val="21"/>
          <w:highlight w:val="none"/>
        </w:rPr>
        <w:t>.3.1 发包人提出变更</w:t>
      </w:r>
    </w:p>
    <w:p w14:paraId="05FDDF1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发包人提出变更的，应通过监理人向承包人发出变更指示，变更指示应说明计划变更的工程范围和变更的内容。</w:t>
      </w:r>
    </w:p>
    <w:p w14:paraId="15ACCC7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kern w:val="0"/>
          <w:szCs w:val="21"/>
          <w:highlight w:val="none"/>
        </w:rPr>
        <w:t>.3.2 监理人提出变更建议</w:t>
      </w:r>
    </w:p>
    <w:p w14:paraId="2DDC06F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6FDFA3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10.3.3 变更执行</w:t>
      </w:r>
    </w:p>
    <w:p w14:paraId="409120C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55CBB06">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26" w:name="_Toc351203571"/>
      <w:r>
        <w:rPr>
          <w:rFonts w:hint="eastAsia" w:ascii="宋体" w:hAnsi="宋体" w:eastAsia="宋体" w:cs="宋体"/>
          <w:b/>
          <w:color w:val="auto"/>
          <w:kern w:val="0"/>
          <w:szCs w:val="21"/>
          <w:highlight w:val="none"/>
        </w:rPr>
        <w:t>1</w:t>
      </w:r>
      <w:bookmarkStart w:id="227" w:name="_Toc296503087"/>
      <w:bookmarkStart w:id="228" w:name="_Toc337558791"/>
      <w:bookmarkStart w:id="229" w:name="_Toc296346588"/>
      <w:r>
        <w:rPr>
          <w:rFonts w:hint="eastAsia" w:ascii="宋体" w:hAnsi="宋体" w:eastAsia="宋体" w:cs="宋体"/>
          <w:b/>
          <w:color w:val="auto"/>
          <w:kern w:val="0"/>
          <w:szCs w:val="21"/>
          <w:highlight w:val="none"/>
        </w:rPr>
        <w:t>0.4变更估价</w:t>
      </w:r>
      <w:bookmarkEnd w:id="226"/>
    </w:p>
    <w:bookmarkEnd w:id="227"/>
    <w:bookmarkEnd w:id="228"/>
    <w:bookmarkEnd w:id="229"/>
    <w:p w14:paraId="0C4A876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10.4.1 变更估价原则</w:t>
      </w:r>
    </w:p>
    <w:p w14:paraId="54DBD79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除专用合同条款另有约定外，变更估价按照本款约定处理：</w:t>
      </w:r>
    </w:p>
    <w:p w14:paraId="4AC5E30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（1）已标价工程量清单或预算书有相同项目的，按照相同项目单价认定；</w:t>
      </w:r>
    </w:p>
    <w:p w14:paraId="04579E9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（2）已标价工程量清单或预算书中无相同项目，但有类似项目的，参照类似项目的单价认定；</w:t>
      </w:r>
    </w:p>
    <w:p w14:paraId="1AAEE04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64B828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10.4.2 变更估价程序</w:t>
      </w:r>
    </w:p>
    <w:p w14:paraId="10F9306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7482FE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因变更引起的价格调整应计入最近一期的进度款中支付。</w:t>
      </w:r>
    </w:p>
    <w:p w14:paraId="2877868A">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30" w:name="_Toc351203572"/>
      <w:r>
        <w:rPr>
          <w:rFonts w:hint="eastAsia" w:ascii="宋体" w:hAnsi="宋体" w:eastAsia="宋体" w:cs="宋体"/>
          <w:b/>
          <w:color w:val="auto"/>
          <w:kern w:val="0"/>
          <w:szCs w:val="21"/>
          <w:highlight w:val="none"/>
        </w:rPr>
        <w:t>1</w:t>
      </w:r>
      <w:bookmarkStart w:id="231" w:name="_Toc337558792"/>
      <w:bookmarkStart w:id="232" w:name="_Toc296503094"/>
      <w:bookmarkStart w:id="233" w:name="_Toc296346595"/>
      <w:r>
        <w:rPr>
          <w:rFonts w:hint="eastAsia" w:ascii="宋体" w:hAnsi="宋体" w:eastAsia="宋体" w:cs="宋体"/>
          <w:b/>
          <w:color w:val="auto"/>
          <w:kern w:val="0"/>
          <w:szCs w:val="21"/>
          <w:highlight w:val="none"/>
        </w:rPr>
        <w:t>0.5承包人的合理化建议</w:t>
      </w:r>
      <w:bookmarkEnd w:id="230"/>
    </w:p>
    <w:bookmarkEnd w:id="231"/>
    <w:bookmarkEnd w:id="232"/>
    <w:bookmarkEnd w:id="233"/>
    <w:p w14:paraId="3178E7B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承包人提出合理化建议的，应向监理人提交合理化建议说明，说明建议的内容和理由，以及实施该建议对合同价格和工期的影响。</w:t>
      </w:r>
    </w:p>
    <w:p w14:paraId="3718206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5C7A50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合理化建议降低了合同价格或者提高了工程经济效益的，发包人可对承包人给予奖励，奖励的方法和金额在专用合同条款中约定。</w:t>
      </w:r>
    </w:p>
    <w:p w14:paraId="5FFE1A2C">
      <w:pPr>
        <w:widowControl/>
        <w:wordWrap w:val="0"/>
        <w:snapToGrid w:val="0"/>
        <w:spacing w:line="360" w:lineRule="auto"/>
        <w:ind w:firstLine="422" w:firstLineChars="200"/>
        <w:rPr>
          <w:rFonts w:ascii="宋体" w:hAnsi="宋体" w:eastAsia="宋体" w:cs="宋体"/>
          <w:color w:val="auto"/>
          <w:kern w:val="0"/>
          <w:szCs w:val="21"/>
          <w:highlight w:val="none"/>
        </w:rPr>
      </w:pPr>
      <w:bookmarkStart w:id="234" w:name="_Toc351203573"/>
      <w:r>
        <w:rPr>
          <w:rFonts w:hint="eastAsia" w:ascii="宋体" w:hAnsi="宋体" w:eastAsia="宋体" w:cs="宋体"/>
          <w:b/>
          <w:color w:val="auto"/>
          <w:kern w:val="0"/>
          <w:szCs w:val="21"/>
          <w:highlight w:val="none"/>
        </w:rPr>
        <w:t>1</w:t>
      </w:r>
      <w:bookmarkStart w:id="235" w:name="_Toc337558793"/>
      <w:r>
        <w:rPr>
          <w:rFonts w:hint="eastAsia" w:ascii="宋体" w:hAnsi="宋体" w:eastAsia="宋体" w:cs="宋体"/>
          <w:b/>
          <w:color w:val="auto"/>
          <w:kern w:val="0"/>
          <w:szCs w:val="21"/>
          <w:highlight w:val="none"/>
        </w:rPr>
        <w:t>0.6变更引起的工期调整</w:t>
      </w:r>
      <w:bookmarkEnd w:id="234"/>
      <w:bookmarkEnd w:id="235"/>
    </w:p>
    <w:p w14:paraId="6008140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因变更引起工期变化的，合同当事人均可要求调整合同工期，由合同当事人按照第4.4款〔商定或确定〕并参考工程所在地的工期定额标准确定增减工期天数。</w:t>
      </w:r>
    </w:p>
    <w:p w14:paraId="03A8FA41">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36" w:name="_Toc351203574"/>
      <w:r>
        <w:rPr>
          <w:rFonts w:hint="eastAsia" w:ascii="宋体" w:hAnsi="宋体" w:eastAsia="宋体" w:cs="宋体"/>
          <w:b/>
          <w:color w:val="auto"/>
          <w:kern w:val="0"/>
          <w:szCs w:val="21"/>
          <w:highlight w:val="none"/>
        </w:rPr>
        <w:t>10.7暂估价</w:t>
      </w:r>
      <w:bookmarkEnd w:id="236"/>
    </w:p>
    <w:p w14:paraId="550858E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暂估价专业分包工程、服务、材料和工程设备的明细由合同当事人在专用合同条款中约定。</w:t>
      </w:r>
    </w:p>
    <w:p w14:paraId="53EB4D4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10.7.1</w:t>
      </w:r>
      <w:r>
        <w:rPr>
          <w:rFonts w:hint="eastAsia" w:ascii="宋体" w:hAnsi="宋体" w:eastAsia="宋体" w:cs="宋体"/>
          <w:color w:val="auto"/>
          <w:kern w:val="0"/>
          <w:szCs w:val="21"/>
          <w:highlight w:val="none"/>
        </w:rPr>
        <w:t xml:space="preserve"> 依法必须招标的暂估价项目</w:t>
      </w:r>
    </w:p>
    <w:p w14:paraId="1A05655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对于依法必须招标的暂估价项目，采取以下第1种方式确定。合同当事人也可以在专用合同条款中选择其他招标方式。</w:t>
      </w:r>
    </w:p>
    <w:p w14:paraId="2F24CB3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第1种方式：对于依法必须招标的暂估价项目，由承包人招标，对该暂估价项目的确认和批准按照以下约定执行：</w:t>
      </w:r>
    </w:p>
    <w:p w14:paraId="0B6A641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AC00C5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DCC403E">
      <w:pPr>
        <w:wordWrap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承包人与供应商、分包人在签订暂估价合同前，应当提前7天将确定的中标候选供应商或中标候选分包人的资料报送发包人，发包人应在收到资料后3天内与承包人共同确定成交供应商；承包人应当在签订合同后7天内，将暂估价合同副本报送发包人留存。</w:t>
      </w:r>
    </w:p>
    <w:p w14:paraId="5540ACE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供应商后，由发包人、承包人与成交供应商共同签订暂估价合同。</w:t>
      </w:r>
    </w:p>
    <w:p w14:paraId="0CE5DEC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10.7.2</w:t>
      </w:r>
      <w:r>
        <w:rPr>
          <w:rFonts w:hint="eastAsia" w:ascii="宋体" w:hAnsi="宋体" w:eastAsia="宋体" w:cs="宋体"/>
          <w:color w:val="auto"/>
          <w:kern w:val="0"/>
          <w:szCs w:val="21"/>
          <w:highlight w:val="none"/>
        </w:rPr>
        <w:t>不属于依法必须招标的暂估价项目</w:t>
      </w:r>
    </w:p>
    <w:p w14:paraId="22E5CC6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除专用合同条款另有约定外，对于不属于依法必须招标的暂估价项目，采取以下第1种方式确定： </w:t>
      </w:r>
    </w:p>
    <w:p w14:paraId="7324BD4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第1种方式：对于不属于依法必须招标的暂估价项目，按本项约定确认和批准：</w:t>
      </w:r>
    </w:p>
    <w:p w14:paraId="69BEC0B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67CD9D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（2）发包人认为承包人确定的供应商、分包人无法满足工程质量或合同要求的，发包人可以要求承包人重新确定暂估价项目的供应商、分包人;</w:t>
      </w:r>
    </w:p>
    <w:p w14:paraId="08297F8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（3）承包人应当在签订暂估价合同后7天内，将暂估价合同副本报送发包人留存。</w:t>
      </w:r>
    </w:p>
    <w:p w14:paraId="54E1C6A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第2种方式：承包人按照第10.7.1项〔依法必须招标的暂估价项目〕约定的第1种方式确定暂估价项目。</w:t>
      </w:r>
    </w:p>
    <w:p w14:paraId="6BF2D1D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64A6700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5A08250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45B2383">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37" w:name="_Toc351203575"/>
      <w:r>
        <w:rPr>
          <w:rFonts w:hint="eastAsia" w:ascii="宋体" w:hAnsi="宋体" w:eastAsia="宋体" w:cs="宋体"/>
          <w:b/>
          <w:color w:val="auto"/>
          <w:kern w:val="0"/>
          <w:szCs w:val="21"/>
          <w:highlight w:val="none"/>
        </w:rPr>
        <w:t>1</w:t>
      </w:r>
      <w:bookmarkStart w:id="238" w:name="_Toc337558794"/>
      <w:bookmarkStart w:id="239" w:name="_Toc296346591"/>
      <w:bookmarkStart w:id="240" w:name="_Toc322522561"/>
      <w:bookmarkStart w:id="241" w:name="_Toc296503090"/>
      <w:r>
        <w:rPr>
          <w:rFonts w:hint="eastAsia" w:ascii="宋体" w:hAnsi="宋体" w:eastAsia="宋体" w:cs="宋体"/>
          <w:b/>
          <w:color w:val="auto"/>
          <w:kern w:val="0"/>
          <w:szCs w:val="21"/>
          <w:highlight w:val="none"/>
        </w:rPr>
        <w:t>0.8暂列金额</w:t>
      </w:r>
      <w:bookmarkEnd w:id="237"/>
    </w:p>
    <w:bookmarkEnd w:id="238"/>
    <w:p w14:paraId="61B3C50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暂列金额应按照发包人的要求使用，发包人的要求应通过监理人发出。合同当事人可以在专用合同条款中协商确定有关事项。</w:t>
      </w:r>
    </w:p>
    <w:bookmarkEnd w:id="239"/>
    <w:bookmarkEnd w:id="240"/>
    <w:bookmarkEnd w:id="241"/>
    <w:p w14:paraId="730B094B">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42" w:name="_Toc351203576"/>
      <w:r>
        <w:rPr>
          <w:rFonts w:hint="eastAsia" w:ascii="宋体" w:hAnsi="宋体" w:eastAsia="宋体" w:cs="宋体"/>
          <w:b/>
          <w:color w:val="auto"/>
          <w:kern w:val="0"/>
          <w:szCs w:val="21"/>
          <w:highlight w:val="none"/>
        </w:rPr>
        <w:t>1</w:t>
      </w:r>
      <w:bookmarkStart w:id="243" w:name="_Toc337558796"/>
      <w:bookmarkStart w:id="244" w:name="_Toc296503091"/>
      <w:bookmarkStart w:id="245" w:name="_Toc296346592"/>
      <w:r>
        <w:rPr>
          <w:rFonts w:hint="eastAsia" w:ascii="宋体" w:hAnsi="宋体" w:eastAsia="宋体" w:cs="宋体"/>
          <w:b/>
          <w:color w:val="auto"/>
          <w:kern w:val="0"/>
          <w:szCs w:val="21"/>
          <w:highlight w:val="none"/>
        </w:rPr>
        <w:t>0.9计日工</w:t>
      </w:r>
      <w:bookmarkEnd w:id="242"/>
      <w:bookmarkEnd w:id="243"/>
      <w:bookmarkEnd w:id="244"/>
      <w:bookmarkEnd w:id="245"/>
    </w:p>
    <w:p w14:paraId="77C984F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178555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采用计日工计价的任何一项工作，承包人应在该项工作实施过程中，每天提交以下报表和有关凭证报送监理人审查：</w:t>
      </w:r>
    </w:p>
    <w:p w14:paraId="7CD4D338">
      <w:pPr>
        <w:wordWrap w:val="0"/>
        <w:snapToGrid w:val="0"/>
        <w:spacing w:line="360" w:lineRule="auto"/>
        <w:ind w:firstLine="315" w:firstLine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（1）工作名称、内容和数量；</w:t>
      </w:r>
    </w:p>
    <w:p w14:paraId="25DC70E8">
      <w:pPr>
        <w:wordWrap w:val="0"/>
        <w:snapToGrid w:val="0"/>
        <w:spacing w:line="360" w:lineRule="auto"/>
        <w:ind w:firstLine="315" w:firstLine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（2）投入该工作的所有人员的姓名、专业、工种、级别和耗用工时；</w:t>
      </w:r>
    </w:p>
    <w:p w14:paraId="0C2058F7">
      <w:pPr>
        <w:wordWrap w:val="0"/>
        <w:snapToGrid w:val="0"/>
        <w:spacing w:line="360" w:lineRule="auto"/>
        <w:ind w:firstLine="315" w:firstLine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（3）投入该工作的材料类别和数量；</w:t>
      </w:r>
    </w:p>
    <w:p w14:paraId="126CEE88">
      <w:pPr>
        <w:wordWrap w:val="0"/>
        <w:snapToGrid w:val="0"/>
        <w:spacing w:line="360" w:lineRule="auto"/>
        <w:ind w:firstLine="315" w:firstLine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（4）投入该工作的施工设备型号、台数和耗用台时；</w:t>
      </w:r>
    </w:p>
    <w:p w14:paraId="6D381D06">
      <w:pPr>
        <w:wordWrap w:val="0"/>
        <w:snapToGrid w:val="0"/>
        <w:spacing w:line="360" w:lineRule="auto"/>
        <w:ind w:firstLine="315" w:firstLine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（5）其他有关资料和凭证。</w:t>
      </w:r>
    </w:p>
    <w:p w14:paraId="316B2AA3">
      <w:pPr>
        <w:wordWrap w:val="0"/>
        <w:snapToGrid w:val="0"/>
        <w:spacing w:line="360" w:lineRule="auto"/>
        <w:ind w:firstLine="315" w:firstLine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计日工由承包人汇总后，列入最近一期进度付款申请单，由监理人审查并经发包人批准后列入进度付款。</w:t>
      </w:r>
    </w:p>
    <w:p w14:paraId="6AC11628">
      <w:pPr>
        <w:widowControl/>
        <w:wordWrap w:val="0"/>
        <w:snapToGrid w:val="0"/>
        <w:spacing w:line="360" w:lineRule="auto"/>
        <w:rPr>
          <w:rFonts w:ascii="宋体" w:hAnsi="宋体" w:eastAsia="宋体" w:cs="宋体"/>
          <w:b/>
          <w:color w:val="auto"/>
          <w:kern w:val="0"/>
          <w:szCs w:val="21"/>
          <w:highlight w:val="none"/>
        </w:rPr>
      </w:pPr>
      <w:bookmarkStart w:id="246" w:name="_Toc351203577"/>
      <w:r>
        <w:rPr>
          <w:rFonts w:hint="eastAsia" w:ascii="宋体" w:hAnsi="宋体" w:eastAsia="宋体" w:cs="宋体"/>
          <w:b/>
          <w:color w:val="auto"/>
          <w:kern w:val="0"/>
          <w:szCs w:val="21"/>
          <w:highlight w:val="none"/>
        </w:rPr>
        <w:t>11. 价格调整</w:t>
      </w:r>
      <w:bookmarkEnd w:id="246"/>
    </w:p>
    <w:p w14:paraId="1918C22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47" w:name="_Toc351203578"/>
      <w:bookmarkStart w:id="248" w:name="_Toc337558797"/>
      <w:bookmarkStart w:id="249" w:name="_Toc296346593"/>
      <w:bookmarkStart w:id="250" w:name="_Toc296503092"/>
      <w:r>
        <w:rPr>
          <w:rFonts w:hint="eastAsia" w:ascii="宋体" w:hAnsi="宋体" w:eastAsia="宋体" w:cs="宋体"/>
          <w:b/>
          <w:color w:val="auto"/>
          <w:kern w:val="0"/>
          <w:szCs w:val="21"/>
          <w:highlight w:val="none"/>
        </w:rPr>
        <w:t>11.1市场价格波动引起的调整</w:t>
      </w:r>
      <w:bookmarkEnd w:id="247"/>
    </w:p>
    <w:bookmarkEnd w:id="248"/>
    <w:bookmarkEnd w:id="249"/>
    <w:bookmarkEnd w:id="250"/>
    <w:p w14:paraId="0066F78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1E55A857">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第1种方式：采用价格指数进行价格调整。</w:t>
      </w:r>
    </w:p>
    <w:p w14:paraId="4E0198F7">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（1）价格调整公式</w:t>
      </w:r>
    </w:p>
    <w:p w14:paraId="2AA0F1E4">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因人工、材料和设备等价格波动影响合同价格时，根据专用合同条款中约定的数据，按以下公式计算差额并调整合同价格：</w:t>
      </w:r>
    </w:p>
    <w:p w14:paraId="75B34779">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object>
          <v:shape id="_x0000_i1025" o:spt="75" type="#_x0000_t75" style="height:44.6pt;width:360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220FD6EF">
      <w:pPr>
        <w:tabs>
          <w:tab w:val="left" w:pos="0"/>
          <w:tab w:val="left" w:pos="360"/>
          <w:tab w:val="left" w:pos="540"/>
        </w:tabs>
        <w:wordWrap w:val="0"/>
        <w:snapToGrid w:val="0"/>
        <w:spacing w:line="360" w:lineRule="auto"/>
        <w:ind w:firstLine="640"/>
        <w:rPr>
          <w:rFonts w:ascii="宋体" w:hAnsi="宋体" w:eastAsia="宋体" w:cs="宋体"/>
          <w:color w:val="auto"/>
          <w:kern w:val="0"/>
          <w:szCs w:val="21"/>
          <w:highlight w:val="none"/>
        </w:rPr>
      </w:pPr>
      <w:r>
        <w:rPr>
          <w:rFonts w:hint="eastAsia" w:ascii="宋体" w:hAnsi="宋体" w:eastAsia="宋体" w:cs="宋体"/>
          <w:color w:val="auto"/>
          <w:szCs w:val="21"/>
          <w:highlight w:val="none"/>
        </w:rPr>
        <w:t>公式中：ΔP——需调整的价格差额；</w:t>
      </w:r>
    </w:p>
    <w:p w14:paraId="01081842">
      <w:pPr>
        <w:tabs>
          <w:tab w:val="left" w:pos="0"/>
          <w:tab w:val="left" w:pos="360"/>
          <w:tab w:val="left" w:pos="540"/>
        </w:tabs>
        <w:wordWrap w:val="0"/>
        <w:snapToGrid w:val="0"/>
        <w:spacing w:line="360" w:lineRule="auto"/>
        <w:ind w:firstLine="1260" w:firstLineChars="600"/>
        <w:rPr>
          <w:rFonts w:ascii="宋体" w:hAnsi="宋体" w:eastAsia="宋体" w:cs="宋体"/>
          <w:color w:val="auto"/>
          <w:kern w:val="0"/>
          <w:szCs w:val="21"/>
          <w:highlight w:val="none"/>
        </w:rPr>
      </w:pPr>
      <w:r>
        <w:rPr>
          <w:rFonts w:hint="eastAsia" w:ascii="宋体" w:hAnsi="宋体" w:eastAsia="宋体" w:cs="宋体"/>
          <w:color w:val="auto"/>
          <w:szCs w:val="21"/>
          <w:highlight w:val="none"/>
        </w:rPr>
        <w:object>
          <v:shape id="_x0000_i1026" o:spt="75" type="#_x0000_t75" style="height:19.35pt;width:19.3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ascii="宋体" w:hAnsi="宋体" w:eastAsia="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5CDBF548">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A——定值权重（即不调部分的权重）；</w:t>
      </w:r>
    </w:p>
    <w:p w14:paraId="4BABE106">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object>
          <v:shape id="_x0000_i1027" o:spt="75" type="#_x0000_t75" style="height:20.4pt;width:102.1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ascii="宋体" w:hAnsi="宋体" w:eastAsia="宋体" w:cs="宋体"/>
          <w:color w:val="auto"/>
          <w:szCs w:val="21"/>
          <w:highlight w:val="none"/>
        </w:rPr>
        <w:t>——各可调因子的变值权重（即可调部分的权重），为各可调因子在签约合同价中所占的比例；</w:t>
      </w:r>
    </w:p>
    <w:p w14:paraId="509D6A7C">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object>
          <v:shape id="_x0000_i1028" o:spt="75" type="#_x0000_t75" style="height:19.9pt;width:102.1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rPr>
          <w:rFonts w:hint="eastAsia" w:ascii="宋体" w:hAnsi="宋体" w:eastAsia="宋体" w:cs="宋体"/>
          <w:color w:val="auto"/>
          <w:szCs w:val="21"/>
          <w:highlight w:val="none"/>
        </w:rPr>
        <w:t>——各可调因子的现行价格指数，指约定的付款证书相关周期最后一天的前42天的各可调因子的价格指数；</w:t>
      </w:r>
    </w:p>
    <w:p w14:paraId="0FBE4DD4">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object>
          <v:shape id="_x0000_i1029" o:spt="75" type="#_x0000_t75" style="height:19.9pt;width:108.5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hint="eastAsia" w:ascii="宋体" w:hAnsi="宋体" w:eastAsia="宋体" w:cs="宋体"/>
          <w:color w:val="auto"/>
          <w:szCs w:val="21"/>
          <w:highlight w:val="none"/>
        </w:rPr>
        <w:t>——各可调因子的基本价格指数，指基准日期的各可调因子的价格指数。</w:t>
      </w:r>
    </w:p>
    <w:p w14:paraId="46101E2B">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4F539F1">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（2）暂时确定调整差额</w:t>
      </w:r>
    </w:p>
    <w:p w14:paraId="003238C1">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在计算调整差额时无现行价格指数的，合同当事人同意暂用前次价格指数计算。实际价格指数有调整的，合同当事人进行相应调整。</w:t>
      </w:r>
    </w:p>
    <w:p w14:paraId="06C78E78">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（3）权重的调整</w:t>
      </w:r>
    </w:p>
    <w:p w14:paraId="4BFA68E7">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因变更导致合同约定的权重不合理时，按照第4.4款〔商定或确定〕执行。</w:t>
      </w:r>
    </w:p>
    <w:p w14:paraId="7D0FA680">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（4）因承包人原因工期延误后的价格调整</w:t>
      </w:r>
    </w:p>
    <w:p w14:paraId="3B97AF91">
      <w:pPr>
        <w:tabs>
          <w:tab w:val="left" w:pos="0"/>
          <w:tab w:val="left" w:pos="360"/>
          <w:tab w:val="left" w:pos="540"/>
        </w:tabs>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15E9A8B">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第2种方式：采用造价信息进行价格调整。</w:t>
      </w:r>
    </w:p>
    <w:p w14:paraId="38DD7BC2">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67A7729">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132FB73">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（2）材料、工程设备价格变化的价款调整按照发包人提供的基准价格，按以下风险范围规定执行:</w:t>
      </w:r>
    </w:p>
    <w:p w14:paraId="67DB95AB">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72E88D7">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322783D">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B184F25">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④承包人应在采购材料前将采购数量和新的材料单价报发包人核对，发包人确认用于工程时，发包人应确认采购材料的数量和单价。未经发包人事先核对，承包人自行采购材料的，发包人有权不予调整合同价格。发包人同意的，可以调整合同价格。</w:t>
      </w:r>
    </w:p>
    <w:p w14:paraId="7FFB6B20">
      <w:pPr>
        <w:wordWrap w:val="0"/>
        <w:snapToGrid w:val="0"/>
        <w:spacing w:line="360" w:lineRule="auto"/>
        <w:ind w:firstLine="420" w:firstLineChars="200"/>
        <w:rPr>
          <w:rFonts w:ascii="宋体" w:hAnsi="宋体" w:eastAsia="宋体" w:cs="宋体"/>
          <w:color w:val="auto"/>
          <w:kern w:val="0"/>
          <w:szCs w:val="21"/>
          <w:highlight w:val="none"/>
        </w:rPr>
      </w:pPr>
      <w:bookmarkStart w:id="251" w:name="OLE_LINK3"/>
      <w:r>
        <w:rPr>
          <w:rFonts w:hint="eastAsia" w:ascii="宋体" w:hAnsi="宋体" w:eastAsia="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D05664F">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（3）施工机械台班单价或施工机械使用费发生变化超过省级或行业建设主管部门或其授权的工程造价管理机构规定的范围时，按规定调整合同价格。</w:t>
      </w:r>
    </w:p>
    <w:p w14:paraId="56952648">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第3种方式：专用合同条款约定的其他方式。</w:t>
      </w:r>
    </w:p>
    <w:p w14:paraId="7D29D96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52" w:name="_Toc351203579"/>
      <w:bookmarkStart w:id="253" w:name="_Toc296346594"/>
      <w:bookmarkStart w:id="254" w:name="_Toc296503093"/>
      <w:bookmarkStart w:id="255" w:name="_Toc337558798"/>
      <w:r>
        <w:rPr>
          <w:rFonts w:hint="eastAsia" w:ascii="宋体" w:hAnsi="宋体" w:eastAsia="宋体" w:cs="宋体"/>
          <w:b/>
          <w:color w:val="auto"/>
          <w:kern w:val="0"/>
          <w:szCs w:val="21"/>
          <w:highlight w:val="none"/>
        </w:rPr>
        <w:t>11.2法律变化引起的调整</w:t>
      </w:r>
      <w:bookmarkEnd w:id="252"/>
    </w:p>
    <w:bookmarkEnd w:id="253"/>
    <w:bookmarkEnd w:id="254"/>
    <w:bookmarkEnd w:id="255"/>
    <w:p w14:paraId="6BC2AF53">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21D943D">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因法律变化引起的合同价格和工期调整，合同当事人无法达成一致的，由总监理工程师按第4.4款〔商定或确定〕的约定处理。</w:t>
      </w:r>
    </w:p>
    <w:p w14:paraId="4F9A8711">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因承包人原因造成工期延误，在工期延误期间出现法律变化的，由此增加的费用和（或）延误的工期由承包人承担。</w:t>
      </w:r>
    </w:p>
    <w:p w14:paraId="32A7AE1D">
      <w:pPr>
        <w:widowControl/>
        <w:wordWrap w:val="0"/>
        <w:snapToGrid w:val="0"/>
        <w:spacing w:line="360" w:lineRule="auto"/>
        <w:rPr>
          <w:rFonts w:ascii="宋体" w:hAnsi="宋体" w:eastAsia="宋体" w:cs="宋体"/>
          <w:b/>
          <w:color w:val="auto"/>
          <w:kern w:val="0"/>
          <w:szCs w:val="21"/>
          <w:highlight w:val="none"/>
        </w:rPr>
      </w:pPr>
      <w:bookmarkStart w:id="256" w:name="_Toc351203580"/>
      <w:bookmarkStart w:id="257" w:name="_Toc337558799"/>
      <w:bookmarkStart w:id="258" w:name="_Toc296346597"/>
      <w:bookmarkStart w:id="259" w:name="_Toc296503096"/>
      <w:r>
        <w:rPr>
          <w:rFonts w:hint="eastAsia" w:ascii="宋体" w:hAnsi="宋体" w:eastAsia="宋体" w:cs="宋体"/>
          <w:b/>
          <w:color w:val="auto"/>
          <w:kern w:val="0"/>
          <w:szCs w:val="21"/>
          <w:highlight w:val="none"/>
        </w:rPr>
        <w:t>12. 合同价格、计量与支付</w:t>
      </w:r>
      <w:bookmarkEnd w:id="256"/>
    </w:p>
    <w:bookmarkEnd w:id="257"/>
    <w:p w14:paraId="32A100E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60" w:name="_Toc351203581"/>
      <w:bookmarkStart w:id="261" w:name="_Toc337558800"/>
      <w:r>
        <w:rPr>
          <w:rFonts w:hint="eastAsia" w:ascii="宋体" w:hAnsi="宋体" w:eastAsia="宋体" w:cs="宋体"/>
          <w:b/>
          <w:color w:val="auto"/>
          <w:kern w:val="0"/>
          <w:szCs w:val="21"/>
          <w:highlight w:val="none"/>
        </w:rPr>
        <w:t>12.1 合同价</w:t>
      </w:r>
      <w:bookmarkEnd w:id="258"/>
      <w:bookmarkEnd w:id="259"/>
      <w:r>
        <w:rPr>
          <w:rFonts w:hint="eastAsia" w:ascii="宋体" w:hAnsi="宋体" w:eastAsia="宋体" w:cs="宋体"/>
          <w:b/>
          <w:color w:val="auto"/>
          <w:kern w:val="0"/>
          <w:szCs w:val="21"/>
          <w:highlight w:val="none"/>
        </w:rPr>
        <w:t>格形式</w:t>
      </w:r>
      <w:bookmarkEnd w:id="260"/>
    </w:p>
    <w:bookmarkEnd w:id="261"/>
    <w:p w14:paraId="453577D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单价合同</w:t>
      </w:r>
    </w:p>
    <w:p w14:paraId="71DB28A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单价合同是指合同当事人约定以工程量清单及其综合单价进行合同价格计算、调整和确认的建设工程施工合同，</w:t>
      </w:r>
      <w:r>
        <w:rPr>
          <w:rFonts w:hint="eastAsia" w:ascii="宋体" w:hAnsi="宋体" w:eastAsia="宋体" w:cs="宋体"/>
          <w:color w:val="auto"/>
          <w:szCs w:val="21"/>
          <w:highlight w:val="none"/>
        </w:rPr>
        <w:t>在约定的范围内合同单价不作调整</w:t>
      </w:r>
      <w:r>
        <w:rPr>
          <w:rFonts w:hint="eastAsia" w:ascii="宋体" w:hAnsi="宋体" w:eastAsia="宋体" w:cs="宋体"/>
          <w:color w:val="auto"/>
          <w:kern w:val="0"/>
          <w:szCs w:val="21"/>
          <w:highlight w:val="none"/>
        </w:rPr>
        <w:t>。合同当事人应在专用合同条款中约定综合单价包含的风险范围和风险费用的计算方法</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并约定风险范围以外的合同价格的调整方法，其中因市场价格波动引起的调整按第11.1款〔市场价格波动引起的调整〕约定执行。</w:t>
      </w:r>
    </w:p>
    <w:p w14:paraId="51FAB3FB">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62" w:name="_Toc296346598"/>
      <w:bookmarkStart w:id="263" w:name="_Toc296503097"/>
      <w:bookmarkStart w:id="264" w:name="_Toc351203582"/>
      <w:bookmarkStart w:id="265" w:name="_Toc337558801"/>
      <w:r>
        <w:rPr>
          <w:rFonts w:hint="eastAsia" w:ascii="宋体" w:hAnsi="宋体" w:eastAsia="宋体" w:cs="宋体"/>
          <w:b/>
          <w:color w:val="auto"/>
          <w:kern w:val="0"/>
          <w:szCs w:val="21"/>
          <w:highlight w:val="none"/>
        </w:rPr>
        <w:t>12.2预</w:t>
      </w:r>
      <w:bookmarkEnd w:id="262"/>
      <w:bookmarkEnd w:id="263"/>
      <w:bookmarkStart w:id="266" w:name="_Toc296346601"/>
      <w:bookmarkStart w:id="267" w:name="_Toc296503100"/>
      <w:r>
        <w:rPr>
          <w:rFonts w:hint="eastAsia" w:ascii="宋体" w:hAnsi="宋体" w:eastAsia="宋体" w:cs="宋体"/>
          <w:b/>
          <w:color w:val="auto"/>
          <w:kern w:val="0"/>
          <w:szCs w:val="21"/>
          <w:highlight w:val="none"/>
        </w:rPr>
        <w:t>付款</w:t>
      </w:r>
      <w:bookmarkEnd w:id="264"/>
    </w:p>
    <w:bookmarkEnd w:id="265"/>
    <w:bookmarkEnd w:id="266"/>
    <w:bookmarkEnd w:id="267"/>
    <w:p w14:paraId="7AB839C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12.2.</w:t>
      </w:r>
      <w:r>
        <w:rPr>
          <w:rFonts w:hint="eastAsia" w:ascii="宋体" w:hAnsi="宋体" w:eastAsia="宋体" w:cs="宋体"/>
          <w:color w:val="auto"/>
          <w:kern w:val="0"/>
          <w:szCs w:val="21"/>
          <w:highlight w:val="none"/>
        </w:rPr>
        <w:t>1预付款的支付</w:t>
      </w:r>
    </w:p>
    <w:p w14:paraId="1264DC0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2D6B0E1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除专用合同条款另有约定外，预付款在进度付款中同比例扣回。</w:t>
      </w:r>
      <w:bookmarkEnd w:id="251"/>
      <w:r>
        <w:rPr>
          <w:rFonts w:hint="eastAsia" w:ascii="宋体" w:hAnsi="宋体" w:eastAsia="宋体" w:cs="宋体"/>
          <w:color w:val="auto"/>
          <w:kern w:val="0"/>
          <w:szCs w:val="21"/>
          <w:highlight w:val="none"/>
        </w:rPr>
        <w:t>在颁发工程接收证书前，提前解除合同的，尚未扣完的预付款应与合同价款一并结算。</w:t>
      </w:r>
    </w:p>
    <w:p w14:paraId="349B17F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0567F51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12.2.2 预付款担保</w:t>
      </w:r>
    </w:p>
    <w:p w14:paraId="3383069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E1BC93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发包人在工程款中逐期扣回预付款后，预付款担保额度应相应减少，但剩余的预付款担保金额不得低于未被扣回的预付款金额。</w:t>
      </w:r>
    </w:p>
    <w:p w14:paraId="3A56613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68" w:name="_Toc351203583"/>
      <w:bookmarkStart w:id="269" w:name="_Toc337558802"/>
      <w:r>
        <w:rPr>
          <w:rFonts w:hint="eastAsia" w:ascii="宋体" w:hAnsi="宋体" w:eastAsia="宋体" w:cs="宋体"/>
          <w:b/>
          <w:color w:val="auto"/>
          <w:kern w:val="0"/>
          <w:szCs w:val="21"/>
          <w:highlight w:val="none"/>
        </w:rPr>
        <w:t>12.3计量</w:t>
      </w:r>
      <w:bookmarkEnd w:id="268"/>
    </w:p>
    <w:bookmarkEnd w:id="269"/>
    <w:p w14:paraId="7BF1315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710F972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721679C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151DDFB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除专用合同条款另有约定外，工程量的计量按月进行。</w:t>
      </w:r>
    </w:p>
    <w:p w14:paraId="10FB0BD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2039E98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除专用合同条款另有约定外，单价合同的计量按照本项约定执行：</w:t>
      </w:r>
    </w:p>
    <w:p w14:paraId="340F947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（1）承包人应于每月25日向监理人报送上月20日至当月19日已完成的工程量报告，并附具进度付款申请单、已完成工程量报表和有关资料。</w:t>
      </w:r>
    </w:p>
    <w:p w14:paraId="21235F4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04C311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12.3.4 总价合同的计量</w:t>
      </w:r>
    </w:p>
    <w:p w14:paraId="553FEA8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除专用合同条款另有约定外，按月计量支付的总价合同，按照本项约定执行：</w:t>
      </w:r>
    </w:p>
    <w:p w14:paraId="31048A2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（1）承包人应于每月25日向监理人报送上月20日至当月19日已完成的工程量报告，并附具进度付款申请单、已完成工程量报表和有关资料。</w:t>
      </w:r>
    </w:p>
    <w:p w14:paraId="30E7383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8C4C4D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12.3.5 总价合同采用支付分解表计量支付的，可以按照第12.3.4项〔总价合同的计量〕约定进行计量，但合同价款按照支付分解表进行支付。</w:t>
      </w:r>
    </w:p>
    <w:p w14:paraId="7F7EA12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12.3.6 其他价格形式合同的计量</w:t>
      </w:r>
    </w:p>
    <w:p w14:paraId="1CE04EB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合同当事人可在专用合同条款中约定其他价格形式合同的计量方式和程序。</w:t>
      </w:r>
    </w:p>
    <w:p w14:paraId="7C24723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70" w:name="_Toc351203585"/>
      <w:r>
        <w:rPr>
          <w:rFonts w:hint="eastAsia" w:ascii="宋体" w:hAnsi="宋体" w:eastAsia="宋体" w:cs="宋体"/>
          <w:b/>
          <w:color w:val="auto"/>
          <w:kern w:val="0"/>
          <w:szCs w:val="21"/>
          <w:highlight w:val="none"/>
        </w:rPr>
        <w:t>12.5支付账户</w:t>
      </w:r>
      <w:bookmarkEnd w:id="270"/>
    </w:p>
    <w:p w14:paraId="7CD82B4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发包人应将合同价款支付至合同协议书中约定的承包人账户。</w:t>
      </w:r>
    </w:p>
    <w:p w14:paraId="6B9C930B">
      <w:pPr>
        <w:widowControl/>
        <w:wordWrap w:val="0"/>
        <w:snapToGrid w:val="0"/>
        <w:spacing w:line="360" w:lineRule="auto"/>
        <w:rPr>
          <w:rFonts w:ascii="宋体" w:hAnsi="宋体" w:eastAsia="宋体" w:cs="宋体"/>
          <w:b/>
          <w:color w:val="auto"/>
          <w:kern w:val="0"/>
          <w:szCs w:val="21"/>
          <w:highlight w:val="none"/>
        </w:rPr>
      </w:pPr>
      <w:bookmarkStart w:id="271" w:name="_Toc351203586"/>
      <w:bookmarkStart w:id="272" w:name="_Toc296503106"/>
      <w:bookmarkStart w:id="273" w:name="_Toc296346607"/>
      <w:bookmarkStart w:id="274" w:name="_Toc337558804"/>
      <w:bookmarkStart w:id="275" w:name="_Toc322522574"/>
      <w:r>
        <w:rPr>
          <w:rFonts w:hint="eastAsia" w:ascii="宋体" w:hAnsi="宋体" w:eastAsia="宋体" w:cs="宋体"/>
          <w:b/>
          <w:color w:val="auto"/>
          <w:kern w:val="0"/>
          <w:szCs w:val="21"/>
          <w:highlight w:val="none"/>
        </w:rPr>
        <w:t>13. 验收和工程试车</w:t>
      </w:r>
      <w:bookmarkEnd w:id="271"/>
    </w:p>
    <w:bookmarkEnd w:id="272"/>
    <w:bookmarkEnd w:id="273"/>
    <w:bookmarkEnd w:id="274"/>
    <w:bookmarkEnd w:id="275"/>
    <w:p w14:paraId="56F9468D">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76" w:name="_Toc351203587"/>
      <w:bookmarkStart w:id="277" w:name="_Toc337558805"/>
      <w:bookmarkStart w:id="278" w:name="_Toc296346611"/>
      <w:bookmarkStart w:id="279" w:name="_Toc296503110"/>
      <w:r>
        <w:rPr>
          <w:rFonts w:hint="eastAsia" w:ascii="宋体" w:hAnsi="宋体" w:eastAsia="宋体" w:cs="宋体"/>
          <w:b/>
          <w:color w:val="auto"/>
          <w:kern w:val="0"/>
          <w:szCs w:val="21"/>
          <w:highlight w:val="none"/>
        </w:rPr>
        <w:t>13.1分部分项工程验收</w:t>
      </w:r>
      <w:bookmarkEnd w:id="276"/>
    </w:p>
    <w:bookmarkEnd w:id="277"/>
    <w:p w14:paraId="4E61D32F">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13.1.1 分部分项工程质量应符合国家有关工程施工验收规范、标准及合同约定，承包人应按照施工组织设计的要求完成分部分项工程施工。</w:t>
      </w:r>
    </w:p>
    <w:p w14:paraId="6CAF830E">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Cs w:val="21"/>
          <w:highlight w:val="none"/>
        </w:rPr>
        <w:t>分部分项工程未经验收的，不得进入下一道工序施工。</w:t>
      </w:r>
    </w:p>
    <w:p w14:paraId="5FC204E3">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分部分项工程的验收资料应当作为竣工资料的组成部分。</w:t>
      </w:r>
    </w:p>
    <w:p w14:paraId="5F286E44">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80" w:name="_Toc351203588"/>
      <w:bookmarkStart w:id="281" w:name="_Toc337558806"/>
      <w:r>
        <w:rPr>
          <w:rFonts w:hint="eastAsia" w:ascii="宋体" w:hAnsi="宋体" w:eastAsia="宋体" w:cs="宋体"/>
          <w:b/>
          <w:color w:val="auto"/>
          <w:kern w:val="0"/>
          <w:szCs w:val="21"/>
          <w:highlight w:val="none"/>
        </w:rPr>
        <w:t>13.2竣工验收</w:t>
      </w:r>
      <w:bookmarkEnd w:id="280"/>
    </w:p>
    <w:bookmarkEnd w:id="278"/>
    <w:bookmarkEnd w:id="279"/>
    <w:bookmarkEnd w:id="281"/>
    <w:p w14:paraId="6DE93B5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13.2.1竣工验收条件</w:t>
      </w:r>
    </w:p>
    <w:p w14:paraId="2C02AB5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工程具备以下条件的，承包人可以申请竣工验收：</w:t>
      </w:r>
    </w:p>
    <w:p w14:paraId="6DD3CCD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（1）除发包人同意的甩项工作和缺陷修补工作外，合同范围内的全部工程以及有关工作，包括合同要求的试验、试运行以及检验均已完成，并符合合同要求；</w:t>
      </w:r>
    </w:p>
    <w:p w14:paraId="6B55A91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（2）已按合同约定编制了甩项工作和缺陷修补工作清单以及相应的施工计划；</w:t>
      </w:r>
    </w:p>
    <w:p w14:paraId="0461FA5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（3）已按合同约定的内容和份数备齐竣工资料。</w:t>
      </w:r>
    </w:p>
    <w:p w14:paraId="477D6A7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13.2.2竣工验收程序</w:t>
      </w:r>
    </w:p>
    <w:p w14:paraId="64F500A7">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除专用合同条款另有约定外，承包人申请竣工验收的，应当按照以下程序进行：</w:t>
      </w:r>
    </w:p>
    <w:p w14:paraId="3289606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808E47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0C468A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592C6DE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51B23B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2B446B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16A5F1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拒绝接收全部或部分工程</w:t>
      </w:r>
    </w:p>
    <w:p w14:paraId="674F2E6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D2C508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移交、接收全部与部分工程</w:t>
      </w:r>
    </w:p>
    <w:p w14:paraId="29CE1BC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除专用合同条款另有约定外，合同当事人应当在颁发工程接收证书后7天内完成工程的移交。</w:t>
      </w:r>
    </w:p>
    <w:p w14:paraId="2051120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CBD6E0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66DBEDC">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82" w:name="_Toc351203589"/>
      <w:bookmarkStart w:id="283" w:name="_Toc337558807"/>
      <w:bookmarkStart w:id="284" w:name="_Toc296503111"/>
      <w:bookmarkStart w:id="285" w:name="_Toc296346612"/>
      <w:r>
        <w:rPr>
          <w:rFonts w:hint="eastAsia" w:ascii="宋体" w:hAnsi="宋体" w:eastAsia="宋体" w:cs="宋体"/>
          <w:b/>
          <w:color w:val="auto"/>
          <w:kern w:val="0"/>
          <w:szCs w:val="21"/>
          <w:highlight w:val="none"/>
        </w:rPr>
        <w:t>13.3工程试车</w:t>
      </w:r>
      <w:bookmarkEnd w:id="282"/>
    </w:p>
    <w:bookmarkEnd w:id="283"/>
    <w:bookmarkEnd w:id="284"/>
    <w:bookmarkEnd w:id="285"/>
    <w:p w14:paraId="70DF7E4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13.3.1试车程序</w:t>
      </w:r>
    </w:p>
    <w:p w14:paraId="320A17C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工程需要试车的，除专用合同条款另有约定外，试车内容应与承包人承包范围相一致，试车费用由承包人承担。工程试车应按如下程序进行：</w:t>
      </w:r>
    </w:p>
    <w:p w14:paraId="02D36D2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7AB91E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79B513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5D0A3E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13.3.2 试车中的责任</w:t>
      </w:r>
    </w:p>
    <w:p w14:paraId="183FBB3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126026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DFD5BB3">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14:paraId="3202541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32211A5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4FB145A">
      <w:pPr>
        <w:widowControl/>
        <w:wordWrap w:val="0"/>
        <w:snapToGrid w:val="0"/>
        <w:spacing w:line="360" w:lineRule="auto"/>
        <w:rPr>
          <w:rFonts w:ascii="宋体" w:hAnsi="宋体" w:eastAsia="宋体" w:cs="宋体"/>
          <w:b/>
          <w:color w:val="auto"/>
          <w:kern w:val="0"/>
          <w:szCs w:val="21"/>
          <w:highlight w:val="none"/>
        </w:rPr>
      </w:pPr>
      <w:bookmarkStart w:id="286" w:name="_Toc351203590"/>
      <w:bookmarkStart w:id="287" w:name="_Toc337558808"/>
      <w:r>
        <w:rPr>
          <w:rFonts w:hint="eastAsia" w:ascii="宋体" w:hAnsi="宋体" w:eastAsia="宋体" w:cs="宋体"/>
          <w:b/>
          <w:color w:val="auto"/>
          <w:kern w:val="0"/>
          <w:szCs w:val="21"/>
          <w:highlight w:val="none"/>
        </w:rPr>
        <w:t>13.4提前交付单位工程的验收</w:t>
      </w:r>
      <w:bookmarkEnd w:id="286"/>
    </w:p>
    <w:bookmarkEnd w:id="287"/>
    <w:p w14:paraId="0700575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35EB3EC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726FAE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3A836501">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88" w:name="_Toc351203591"/>
      <w:r>
        <w:rPr>
          <w:rFonts w:hint="eastAsia" w:ascii="宋体" w:hAnsi="宋体" w:eastAsia="宋体" w:cs="宋体"/>
          <w:b/>
          <w:color w:val="auto"/>
          <w:kern w:val="0"/>
          <w:szCs w:val="21"/>
          <w:highlight w:val="none"/>
        </w:rPr>
        <w:t>13.5 施工期运行</w:t>
      </w:r>
      <w:bookmarkEnd w:id="288"/>
    </w:p>
    <w:p w14:paraId="5D353F1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3001BD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13.5.2 在施工期运行中发现工程或工程设备损坏或存在缺陷的，由承包人按第15.2款〔缺陷责任期〕约定进行修复。</w:t>
      </w:r>
    </w:p>
    <w:p w14:paraId="18952E1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89" w:name="_Toc296503112"/>
      <w:bookmarkStart w:id="290" w:name="_Toc296346613"/>
      <w:bookmarkStart w:id="291" w:name="_Toc351203592"/>
      <w:bookmarkStart w:id="292" w:name="_Toc337558809"/>
      <w:r>
        <w:rPr>
          <w:rFonts w:hint="eastAsia" w:ascii="宋体" w:hAnsi="宋体" w:eastAsia="宋体" w:cs="宋体"/>
          <w:b/>
          <w:color w:val="auto"/>
          <w:kern w:val="0"/>
          <w:szCs w:val="21"/>
          <w:highlight w:val="none"/>
        </w:rPr>
        <w:t>13.6 竣工退</w:t>
      </w:r>
      <w:bookmarkEnd w:id="289"/>
      <w:bookmarkEnd w:id="290"/>
      <w:r>
        <w:rPr>
          <w:rFonts w:hint="eastAsia" w:ascii="宋体" w:hAnsi="宋体" w:eastAsia="宋体" w:cs="宋体"/>
          <w:b/>
          <w:color w:val="auto"/>
          <w:kern w:val="0"/>
          <w:szCs w:val="21"/>
          <w:highlight w:val="none"/>
        </w:rPr>
        <w:t>场</w:t>
      </w:r>
      <w:bookmarkEnd w:id="291"/>
    </w:p>
    <w:bookmarkEnd w:id="292"/>
    <w:p w14:paraId="5CF753E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14:paraId="7FC040C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颁发工程接收证书后，承包人应按以下要求对施工现场进行清理：</w:t>
      </w:r>
    </w:p>
    <w:p w14:paraId="23F82EC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（1）施工现场内残留的垃圾已全部清除出场；</w:t>
      </w:r>
    </w:p>
    <w:p w14:paraId="1A6FBEB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（2）临时工程已拆除，场地已进行清理、平整或复原；</w:t>
      </w:r>
    </w:p>
    <w:p w14:paraId="25AD7FB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（3）按合同约定应撤离的人员、承包人施工设备和剩余的材料，包括废弃的施工设备和材料，已按计划撤离施工现场；</w:t>
      </w:r>
    </w:p>
    <w:p w14:paraId="484ED9B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（4）施工现场周边及其附近道路、河道的施工堆积物，已全部清理；</w:t>
      </w:r>
    </w:p>
    <w:p w14:paraId="08BA88A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（5）施工现场其他场地清理工作已全部完成。</w:t>
      </w:r>
    </w:p>
    <w:p w14:paraId="42D34FE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19FC39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13.6.2 地表还原</w:t>
      </w:r>
    </w:p>
    <w:p w14:paraId="76E4EA5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585BC7B">
      <w:pPr>
        <w:widowControl/>
        <w:wordWrap w:val="0"/>
        <w:snapToGrid w:val="0"/>
        <w:spacing w:line="360" w:lineRule="auto"/>
        <w:rPr>
          <w:rFonts w:ascii="宋体" w:hAnsi="宋体" w:eastAsia="宋体" w:cs="宋体"/>
          <w:b/>
          <w:color w:val="auto"/>
          <w:kern w:val="0"/>
          <w:szCs w:val="21"/>
          <w:highlight w:val="none"/>
        </w:rPr>
      </w:pPr>
      <w:bookmarkStart w:id="293" w:name="_Toc351203593"/>
      <w:bookmarkStart w:id="294" w:name="_Toc337558810"/>
      <w:bookmarkStart w:id="295" w:name="_Toc296503113"/>
      <w:bookmarkStart w:id="296" w:name="_Toc296346614"/>
      <w:r>
        <w:rPr>
          <w:rFonts w:hint="eastAsia" w:ascii="宋体" w:hAnsi="宋体" w:eastAsia="宋体" w:cs="宋体"/>
          <w:b/>
          <w:color w:val="auto"/>
          <w:kern w:val="0"/>
          <w:szCs w:val="21"/>
          <w:highlight w:val="none"/>
        </w:rPr>
        <w:t>14. 竣工结算</w:t>
      </w:r>
      <w:bookmarkEnd w:id="293"/>
    </w:p>
    <w:bookmarkEnd w:id="294"/>
    <w:p w14:paraId="0F59960E">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97" w:name="_Toc351203594"/>
      <w:bookmarkStart w:id="298" w:name="_Toc337558811"/>
      <w:r>
        <w:rPr>
          <w:rFonts w:hint="eastAsia" w:ascii="宋体" w:hAnsi="宋体" w:eastAsia="宋体" w:cs="宋体"/>
          <w:b/>
          <w:color w:val="auto"/>
          <w:kern w:val="0"/>
          <w:szCs w:val="21"/>
          <w:highlight w:val="none"/>
        </w:rPr>
        <w:t>14.1 竣工结算申请</w:t>
      </w:r>
      <w:bookmarkEnd w:id="297"/>
    </w:p>
    <w:bookmarkEnd w:id="298"/>
    <w:p w14:paraId="2901F38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w:t>
      </w:r>
      <w:r>
        <w:rPr>
          <w:rFonts w:hint="eastAsia" w:ascii="宋体" w:hAnsi="宋体" w:eastAsia="宋体" w:cs="宋体"/>
          <w:color w:val="auto"/>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5D85EAC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除专用合同条款另有约定外，竣工结算申请单应包括以下内容：</w:t>
      </w:r>
    </w:p>
    <w:p w14:paraId="07A13C7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（1）竣工结算合同价格；</w:t>
      </w:r>
    </w:p>
    <w:p w14:paraId="0F7CA80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（2）发包人已支付承包人的款项；</w:t>
      </w:r>
    </w:p>
    <w:p w14:paraId="677B979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（3）应扣留的质量保证金。已缴纳履约保证金的或提供其他工程质量担保方式的除外； </w:t>
      </w:r>
    </w:p>
    <w:p w14:paraId="57819C5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（4）发包人应支付承包人的合同价款。</w:t>
      </w:r>
    </w:p>
    <w:p w14:paraId="6265257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299" w:name="_Toc351203595"/>
      <w:bookmarkStart w:id="300" w:name="_Toc337558812"/>
      <w:r>
        <w:rPr>
          <w:rFonts w:hint="eastAsia" w:ascii="宋体" w:hAnsi="宋体" w:eastAsia="宋体" w:cs="宋体"/>
          <w:b/>
          <w:color w:val="auto"/>
          <w:kern w:val="0"/>
          <w:szCs w:val="21"/>
          <w:highlight w:val="none"/>
        </w:rPr>
        <w:t>14.2 竣工结算审核</w:t>
      </w:r>
      <w:bookmarkEnd w:id="299"/>
    </w:p>
    <w:bookmarkEnd w:id="300"/>
    <w:p w14:paraId="72C8EB4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Cs w:val="21"/>
          <w:highlight w:val="none"/>
        </w:rPr>
        <w:t>发包人对竣工</w:t>
      </w:r>
      <w:r>
        <w:rPr>
          <w:rFonts w:hint="eastAsia" w:ascii="宋体" w:hAnsi="宋体" w:eastAsia="宋体" w:cs="宋体"/>
          <w:color w:val="auto"/>
          <w:kern w:val="0"/>
          <w:szCs w:val="21"/>
          <w:highlight w:val="none"/>
        </w:rPr>
        <w:t>结算</w:t>
      </w:r>
      <w:r>
        <w:rPr>
          <w:rFonts w:hint="eastAsia" w:ascii="宋体" w:hAnsi="宋体" w:eastAsia="宋体" w:cs="宋体"/>
          <w:color w:val="auto"/>
          <w:szCs w:val="21"/>
          <w:highlight w:val="none"/>
        </w:rPr>
        <w:t>申请单有异议的，有权要求承包人进行修正和提供补充资料，承包人应提交修正后的竣工</w:t>
      </w:r>
      <w:r>
        <w:rPr>
          <w:rFonts w:hint="eastAsia" w:ascii="宋体" w:hAnsi="宋体" w:eastAsia="宋体" w:cs="宋体"/>
          <w:color w:val="auto"/>
          <w:kern w:val="0"/>
          <w:szCs w:val="21"/>
          <w:highlight w:val="none"/>
        </w:rPr>
        <w:t>结算</w:t>
      </w:r>
      <w:r>
        <w:rPr>
          <w:rFonts w:hint="eastAsia" w:ascii="宋体" w:hAnsi="宋体" w:eastAsia="宋体" w:cs="宋体"/>
          <w:color w:val="auto"/>
          <w:szCs w:val="21"/>
          <w:highlight w:val="none"/>
        </w:rPr>
        <w:t>申请单。</w:t>
      </w:r>
    </w:p>
    <w:p w14:paraId="130C41A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承包人逾期未提出异议的，视为认可发包人的审批结果。</w:t>
      </w:r>
    </w:p>
    <w:p w14:paraId="0310B22A">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01" w:name="_Toc351203596"/>
      <w:bookmarkStart w:id="302" w:name="_Toc337558813"/>
      <w:r>
        <w:rPr>
          <w:rFonts w:hint="eastAsia" w:ascii="宋体" w:hAnsi="宋体" w:eastAsia="宋体" w:cs="宋体"/>
          <w:b/>
          <w:color w:val="auto"/>
          <w:kern w:val="0"/>
          <w:szCs w:val="21"/>
          <w:highlight w:val="none"/>
        </w:rPr>
        <w:t>14.3 甩项竣工协议</w:t>
      </w:r>
      <w:bookmarkEnd w:id="301"/>
    </w:p>
    <w:bookmarkEnd w:id="302"/>
    <w:p w14:paraId="1537CABA">
      <w:pPr>
        <w:wordWrap w:val="0"/>
        <w:autoSpaceDE w:val="0"/>
        <w:autoSpaceDN w:val="0"/>
        <w:adjustRightInd w:val="0"/>
        <w:snapToGrid w:val="0"/>
        <w:spacing w:line="360" w:lineRule="auto"/>
        <w:ind w:firstLine="409" w:firstLineChars="195"/>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64134C6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03" w:name="_Toc351203597"/>
      <w:bookmarkStart w:id="304" w:name="_Toc337558814"/>
      <w:r>
        <w:rPr>
          <w:rFonts w:hint="eastAsia" w:ascii="宋体" w:hAnsi="宋体" w:eastAsia="宋体" w:cs="宋体"/>
          <w:b/>
          <w:color w:val="auto"/>
          <w:kern w:val="0"/>
          <w:szCs w:val="21"/>
          <w:highlight w:val="none"/>
        </w:rPr>
        <w:t>14.4 最终结清</w:t>
      </w:r>
      <w:bookmarkEnd w:id="303"/>
    </w:p>
    <w:bookmarkEnd w:id="304"/>
    <w:p w14:paraId="603D111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4C551C4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6F39BC4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除专用合同条款另有约定外，</w:t>
      </w:r>
      <w:r>
        <w:rPr>
          <w:rFonts w:hint="eastAsia" w:ascii="宋体" w:hAnsi="宋体" w:eastAsia="宋体" w:cs="宋体"/>
          <w:color w:val="auto"/>
          <w:kern w:val="0"/>
          <w:szCs w:val="21"/>
          <w:highlight w:val="none"/>
        </w:rPr>
        <w:t>最终结清申请单</w:t>
      </w:r>
      <w:r>
        <w:rPr>
          <w:rFonts w:hint="eastAsia" w:ascii="宋体" w:hAnsi="宋体" w:eastAsia="宋体" w:cs="宋体"/>
          <w:color w:val="auto"/>
          <w:szCs w:val="21"/>
          <w:highlight w:val="none"/>
        </w:rPr>
        <w:t>应列明质量保证金、应扣除的质量保证金、缺陷责任期内发生的增减费用。</w:t>
      </w:r>
    </w:p>
    <w:p w14:paraId="64BEBDD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（2）发包人对最终结清申请单内容有异议的，有权要求承包人进行修正和提供补充资料，承包人应向发包人提交修正后的最终结清申请单。</w:t>
      </w:r>
    </w:p>
    <w:p w14:paraId="49797DC9">
      <w:pPr>
        <w:widowControl/>
        <w:wordWrap w:val="0"/>
        <w:snapToGrid w:val="0"/>
        <w:spacing w:line="360" w:lineRule="auto"/>
        <w:rPr>
          <w:rFonts w:ascii="宋体" w:hAnsi="宋体" w:eastAsia="宋体" w:cs="宋体"/>
          <w:b/>
          <w:color w:val="auto"/>
          <w:kern w:val="0"/>
          <w:szCs w:val="21"/>
          <w:highlight w:val="none"/>
        </w:rPr>
      </w:pPr>
      <w:bookmarkStart w:id="305" w:name="_Toc351203598"/>
      <w:bookmarkStart w:id="306" w:name="_Toc337558815"/>
      <w:r>
        <w:rPr>
          <w:rFonts w:hint="eastAsia" w:ascii="宋体" w:hAnsi="宋体" w:eastAsia="宋体" w:cs="宋体"/>
          <w:b/>
          <w:color w:val="auto"/>
          <w:kern w:val="0"/>
          <w:szCs w:val="21"/>
          <w:highlight w:val="none"/>
        </w:rPr>
        <w:t>15. 缺陷责任与保修</w:t>
      </w:r>
      <w:bookmarkEnd w:id="305"/>
    </w:p>
    <w:bookmarkEnd w:id="295"/>
    <w:bookmarkEnd w:id="296"/>
    <w:bookmarkEnd w:id="306"/>
    <w:p w14:paraId="025E416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07" w:name="_Toc351203599"/>
      <w:bookmarkStart w:id="308" w:name="_Toc337558816"/>
      <w:bookmarkStart w:id="309" w:name="_Toc296346615"/>
      <w:bookmarkStart w:id="310" w:name="_Toc296503114"/>
      <w:r>
        <w:rPr>
          <w:rFonts w:hint="eastAsia" w:ascii="宋体" w:hAnsi="宋体" w:eastAsia="宋体" w:cs="宋体"/>
          <w:b/>
          <w:color w:val="auto"/>
          <w:kern w:val="0"/>
          <w:szCs w:val="21"/>
          <w:highlight w:val="none"/>
        </w:rPr>
        <w:t>15.1 工程保修的原则</w:t>
      </w:r>
      <w:bookmarkEnd w:id="307"/>
    </w:p>
    <w:bookmarkEnd w:id="308"/>
    <w:p w14:paraId="47B4119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6E359834">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11" w:name="_Toc351203600"/>
      <w:bookmarkStart w:id="312" w:name="_Toc337558817"/>
      <w:r>
        <w:rPr>
          <w:rFonts w:hint="eastAsia" w:ascii="宋体" w:hAnsi="宋体" w:eastAsia="宋体" w:cs="宋体"/>
          <w:b/>
          <w:color w:val="auto"/>
          <w:kern w:val="0"/>
          <w:szCs w:val="21"/>
          <w:highlight w:val="none"/>
        </w:rPr>
        <w:t>15.2 缺陷责任期</w:t>
      </w:r>
      <w:bookmarkEnd w:id="309"/>
      <w:bookmarkEnd w:id="310"/>
      <w:bookmarkEnd w:id="311"/>
    </w:p>
    <w:bookmarkEnd w:id="312"/>
    <w:p w14:paraId="3F3F360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15.2.1 缺陷责任期从工程通过竣工验收之日起计算，合同当事人应在专用合同条款约定缺陷责任期的具体期限，但该期限最长不超过24个月。</w:t>
      </w:r>
    </w:p>
    <w:p w14:paraId="78F42AA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4F939A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Cs w:val="21"/>
          <w:highlight w:val="none"/>
        </w:rPr>
        <w:t>包人延长缺陷责任期，</w:t>
      </w:r>
      <w:r>
        <w:rPr>
          <w:rFonts w:hint="eastAsia" w:ascii="宋体" w:hAnsi="宋体" w:eastAsia="宋体" w:cs="宋体"/>
          <w:color w:val="auto"/>
          <w:kern w:val="0"/>
          <w:szCs w:val="21"/>
          <w:highlight w:val="none"/>
        </w:rPr>
        <w:t>并应在原缺陷责任期届满前发出延长通知。</w:t>
      </w:r>
      <w:r>
        <w:rPr>
          <w:rFonts w:hint="eastAsia" w:ascii="宋体" w:hAnsi="宋体" w:eastAsia="宋体" w:cs="宋体"/>
          <w:bCs/>
          <w:color w:val="auto"/>
          <w:szCs w:val="21"/>
          <w:highlight w:val="none"/>
        </w:rPr>
        <w:t>但缺陷责任期（含延长部分）最长</w:t>
      </w:r>
      <w:r>
        <w:rPr>
          <w:rFonts w:hint="eastAsia" w:ascii="宋体" w:hAnsi="宋体" w:eastAsia="宋体" w:cs="宋体"/>
          <w:color w:val="auto"/>
          <w:kern w:val="0"/>
          <w:szCs w:val="21"/>
          <w:highlight w:val="none"/>
        </w:rPr>
        <w:t>不能超过24个月。</w:t>
      </w:r>
    </w:p>
    <w:p w14:paraId="7663CEA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由他人原因造成的缺陷，发包人负责组织维修，承包人不承担费用，且发包人不得从保证金中扣除费用。</w:t>
      </w:r>
    </w:p>
    <w:p w14:paraId="32F972B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77AC965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E56D2B1">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13" w:name="_Toc351203601"/>
      <w:bookmarkStart w:id="314" w:name="_Toc337558818"/>
      <w:bookmarkStart w:id="315" w:name="_Toc296346616"/>
      <w:bookmarkStart w:id="316" w:name="_Toc296503115"/>
      <w:r>
        <w:rPr>
          <w:rFonts w:hint="eastAsia" w:ascii="宋体" w:hAnsi="宋体" w:eastAsia="宋体" w:cs="宋体"/>
          <w:b/>
          <w:color w:val="auto"/>
          <w:kern w:val="0"/>
          <w:szCs w:val="21"/>
          <w:highlight w:val="none"/>
        </w:rPr>
        <w:t>15.3 质量保证金</w:t>
      </w:r>
      <w:bookmarkEnd w:id="313"/>
    </w:p>
    <w:bookmarkEnd w:id="314"/>
    <w:p w14:paraId="657EF7E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经合同当事人协商一致扣留质量保证金的，应在专用合同条款中予以明确。</w:t>
      </w:r>
    </w:p>
    <w:p w14:paraId="2374943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在工程项目竣工前，承包人已经提供履约担保的，发包人不得同时预留工程质量保证金。</w:t>
      </w:r>
    </w:p>
    <w:p w14:paraId="1EF0379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15.3.1 承包人提供质量保证金的方式</w:t>
      </w:r>
    </w:p>
    <w:p w14:paraId="2550957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承包人提供质量保证金有以下三种方式：</w:t>
      </w:r>
    </w:p>
    <w:p w14:paraId="63F9447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（1）质量保证金保函； </w:t>
      </w:r>
    </w:p>
    <w:p w14:paraId="2266F61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（2）相应比例的工程款；</w:t>
      </w:r>
    </w:p>
    <w:p w14:paraId="0BEE87E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（3）双方约定的其他方式。</w:t>
      </w:r>
    </w:p>
    <w:p w14:paraId="7D2A1C5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除专用合同条款另有约定外，质量保证金原则上采用上述第（1）种方式。</w:t>
      </w:r>
    </w:p>
    <w:p w14:paraId="465144A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15.3.2 质量保证金的扣留</w:t>
      </w:r>
    </w:p>
    <w:p w14:paraId="5B4A4A8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质量保证金的扣留有以下三种方式：</w:t>
      </w:r>
    </w:p>
    <w:p w14:paraId="7D2DEEC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14:paraId="499D7FA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（2）工</w:t>
      </w:r>
      <w:bookmarkStart w:id="317" w:name="#go6"/>
      <w:bookmarkEnd w:id="317"/>
      <w:r>
        <w:rPr>
          <w:rFonts w:hint="eastAsia" w:ascii="宋体" w:hAnsi="宋体" w:eastAsia="宋体" w:cs="宋体"/>
          <w:color w:val="auto"/>
          <w:kern w:val="0"/>
          <w:szCs w:val="21"/>
          <w:highlight w:val="none"/>
        </w:rPr>
        <w:t>程竣工结算时一次性扣留质量保证金；</w:t>
      </w:r>
    </w:p>
    <w:p w14:paraId="7456C4B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（3）双方约定的其他扣留方式。</w:t>
      </w:r>
    </w:p>
    <w:p w14:paraId="7F5D683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除专用合同条款另有约定外，质量保证金的扣留原则上采用上述第（1）种方式。</w:t>
      </w:r>
    </w:p>
    <w:p w14:paraId="13D7934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w:t>
      </w:r>
      <w:bookmarkStart w:id="318" w:name="#go4"/>
      <w:bookmarkEnd w:id="318"/>
      <w:r>
        <w:rPr>
          <w:rFonts w:hint="eastAsia" w:ascii="宋体" w:hAnsi="宋体" w:eastAsia="宋体" w:cs="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6EEFAB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15.3.3 </w:t>
      </w:r>
      <w:r>
        <w:rPr>
          <w:rFonts w:hint="eastAsia" w:ascii="宋体" w:hAnsi="宋体" w:eastAsia="宋体" w:cs="宋体"/>
          <w:color w:val="auto"/>
          <w:szCs w:val="21"/>
          <w:highlight w:val="none"/>
        </w:rPr>
        <w:t>质量保证金</w:t>
      </w:r>
      <w:r>
        <w:rPr>
          <w:rFonts w:hint="eastAsia" w:ascii="宋体" w:hAnsi="宋体" w:eastAsia="宋体" w:cs="宋体"/>
          <w:color w:val="auto"/>
          <w:kern w:val="0"/>
          <w:szCs w:val="21"/>
          <w:highlight w:val="none"/>
        </w:rPr>
        <w:t>的退还</w:t>
      </w:r>
    </w:p>
    <w:p w14:paraId="335A5B3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缺陷责任期内，承包人认真履行合同约定的责任，到期后，承包人可向发包人申请返还保证金。</w:t>
      </w:r>
    </w:p>
    <w:p w14:paraId="45445E1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w:t>
      </w:r>
    </w:p>
    <w:p w14:paraId="0202C9E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发包人和承包人对保证金预留、返还以及工程维修质量、费用有争议的，按本合同第20条约定的争议和纠纷解决程序处理。</w:t>
      </w:r>
    </w:p>
    <w:p w14:paraId="28B6E48B">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19" w:name="_Toc351203602"/>
      <w:bookmarkStart w:id="320" w:name="_Toc337558819"/>
      <w:r>
        <w:rPr>
          <w:rFonts w:hint="eastAsia" w:ascii="宋体" w:hAnsi="宋体" w:eastAsia="宋体" w:cs="宋体"/>
          <w:b/>
          <w:color w:val="auto"/>
          <w:kern w:val="0"/>
          <w:szCs w:val="21"/>
          <w:highlight w:val="none"/>
        </w:rPr>
        <w:t>15.4 保修</w:t>
      </w:r>
      <w:bookmarkEnd w:id="319"/>
    </w:p>
    <w:bookmarkEnd w:id="315"/>
    <w:bookmarkEnd w:id="316"/>
    <w:bookmarkEnd w:id="320"/>
    <w:p w14:paraId="6265092A">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15.4.1保修责任</w:t>
      </w:r>
    </w:p>
    <w:p w14:paraId="05E4082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78E2C0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发包人未经竣工验收擅自使用工程的，保修期自</w:t>
      </w:r>
      <w:r>
        <w:rPr>
          <w:rFonts w:hint="eastAsia" w:ascii="宋体" w:hAnsi="宋体" w:eastAsia="宋体" w:cs="宋体"/>
          <w:color w:val="auto"/>
          <w:kern w:val="0"/>
          <w:szCs w:val="21"/>
          <w:highlight w:val="none"/>
        </w:rPr>
        <w:t>转移占有之日起算</w:t>
      </w:r>
      <w:r>
        <w:rPr>
          <w:rFonts w:hint="eastAsia" w:ascii="宋体" w:hAnsi="宋体" w:eastAsia="宋体" w:cs="宋体"/>
          <w:color w:val="auto"/>
          <w:szCs w:val="21"/>
          <w:highlight w:val="none"/>
        </w:rPr>
        <w:t>。</w:t>
      </w:r>
    </w:p>
    <w:p w14:paraId="301C18E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15.4.2 修复费用</w:t>
      </w:r>
    </w:p>
    <w:p w14:paraId="006769A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保修期内，修复的费用按照以下约定处理：</w:t>
      </w:r>
    </w:p>
    <w:p w14:paraId="553E1A2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（1）保修期内，因承包人原因造成工程的缺陷、损坏，承包人应负责修复，并承担修复的费用以及因工程的缺陷、损坏造成的人身伤害和财产损失；</w:t>
      </w:r>
    </w:p>
    <w:p w14:paraId="2CA6C20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（2）保修期内，因发包人使用不当造成工程的缺陷、损坏，可以委托承包人修复，但发包人应承担修复的费用，并支付承包人合理利润；</w:t>
      </w:r>
    </w:p>
    <w:p w14:paraId="4E65E6A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5EF022F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15.4.3 修复通知</w:t>
      </w:r>
    </w:p>
    <w:p w14:paraId="6A86457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8C281E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15.4.4 未能修复</w:t>
      </w:r>
    </w:p>
    <w:p w14:paraId="3F2AB99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DBCAE0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15.4.5 承包人出入权</w:t>
      </w:r>
    </w:p>
    <w:p w14:paraId="4CFF0C5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9860808">
      <w:pPr>
        <w:widowControl/>
        <w:wordWrap w:val="0"/>
        <w:snapToGrid w:val="0"/>
        <w:spacing w:line="360" w:lineRule="auto"/>
        <w:rPr>
          <w:rFonts w:ascii="宋体" w:hAnsi="宋体" w:eastAsia="宋体" w:cs="宋体"/>
          <w:b/>
          <w:color w:val="auto"/>
          <w:kern w:val="0"/>
          <w:szCs w:val="21"/>
          <w:highlight w:val="none"/>
        </w:rPr>
      </w:pPr>
      <w:bookmarkStart w:id="321" w:name="_Toc351203603"/>
      <w:bookmarkStart w:id="322" w:name="_Toc337558820"/>
      <w:r>
        <w:rPr>
          <w:rFonts w:hint="eastAsia" w:ascii="宋体" w:hAnsi="宋体" w:eastAsia="宋体" w:cs="宋体"/>
          <w:b/>
          <w:color w:val="auto"/>
          <w:kern w:val="0"/>
          <w:szCs w:val="21"/>
          <w:highlight w:val="none"/>
        </w:rPr>
        <w:t>16. 违约</w:t>
      </w:r>
      <w:bookmarkEnd w:id="321"/>
    </w:p>
    <w:bookmarkEnd w:id="322"/>
    <w:p w14:paraId="0B21480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23" w:name="_Toc296346630"/>
      <w:bookmarkStart w:id="324" w:name="_Toc296503129"/>
      <w:bookmarkStart w:id="325" w:name="_Toc351203604"/>
      <w:bookmarkStart w:id="326" w:name="_Toc337558821"/>
      <w:r>
        <w:rPr>
          <w:rFonts w:hint="eastAsia" w:ascii="宋体" w:hAnsi="宋体" w:eastAsia="宋体" w:cs="宋体"/>
          <w:b/>
          <w:color w:val="auto"/>
          <w:kern w:val="0"/>
          <w:szCs w:val="21"/>
          <w:highlight w:val="none"/>
        </w:rPr>
        <w:t>16.1 发</w:t>
      </w:r>
      <w:bookmarkEnd w:id="323"/>
      <w:bookmarkEnd w:id="324"/>
      <w:r>
        <w:rPr>
          <w:rFonts w:hint="eastAsia" w:ascii="宋体" w:hAnsi="宋体" w:eastAsia="宋体" w:cs="宋体"/>
          <w:b/>
          <w:color w:val="auto"/>
          <w:kern w:val="0"/>
          <w:szCs w:val="21"/>
          <w:highlight w:val="none"/>
        </w:rPr>
        <w:t>包人违约</w:t>
      </w:r>
      <w:bookmarkEnd w:id="325"/>
    </w:p>
    <w:bookmarkEnd w:id="326"/>
    <w:p w14:paraId="1A72A62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16.1.1 发包人违约的情形</w:t>
      </w:r>
    </w:p>
    <w:p w14:paraId="2A47D31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在合同履行过程中发生的下列情形，属于发包人违约：</w:t>
      </w:r>
    </w:p>
    <w:p w14:paraId="18C66CB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（1）因发包人原因未能在计划开工日期前7天内下达开工通知的；</w:t>
      </w:r>
    </w:p>
    <w:p w14:paraId="07658DD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w:t>
      </w:r>
    </w:p>
    <w:p w14:paraId="05B3A87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w:t>
      </w:r>
    </w:p>
    <w:p w14:paraId="6A34E12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w:t>
      </w:r>
    </w:p>
    <w:p w14:paraId="3F895BB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（5）因发包人违反合同约定造成暂停施工的；</w:t>
      </w:r>
    </w:p>
    <w:p w14:paraId="5E8FD2D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w:t>
      </w:r>
    </w:p>
    <w:p w14:paraId="656951A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（7）发包人明确表示或者以其行为表明不履行合同主要义务的；</w:t>
      </w:r>
    </w:p>
    <w:p w14:paraId="66C1EFD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（8）发包人未能按照合同约定履行其他义务的。</w:t>
      </w:r>
    </w:p>
    <w:p w14:paraId="061F8BE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C9B05B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16.1.2 发包人违约的责任</w:t>
      </w:r>
    </w:p>
    <w:p w14:paraId="60C9DA9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6EE2199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16.1.3 因发包人违约解除合同</w:t>
      </w:r>
    </w:p>
    <w:p w14:paraId="3B9779B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92C7AE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16.1.4 因发包人违约解除合同后的付款</w:t>
      </w:r>
    </w:p>
    <w:p w14:paraId="38A7C31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承包人按照本款约定解除合同的，发包人应在解除合同后28天内支付下列款项，并解除履约担保：</w:t>
      </w:r>
    </w:p>
    <w:p w14:paraId="4428927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（1）合同解除前所完成工作的价款；</w:t>
      </w:r>
    </w:p>
    <w:p w14:paraId="5F6BFB6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（2）承包人为工程施工订购并已付款的材料、工程设备和其他物品的价款；</w:t>
      </w:r>
    </w:p>
    <w:p w14:paraId="5BD2E28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（3）承包人撤离施工现场以及遣散承包人人员的款项；</w:t>
      </w:r>
    </w:p>
    <w:p w14:paraId="17ABAC2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（4）按照合同约定在合同解除前应支付的违约金；</w:t>
      </w:r>
    </w:p>
    <w:p w14:paraId="20C78B5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（5）按照合同约定应当支付给承包人的其他款项；</w:t>
      </w:r>
    </w:p>
    <w:p w14:paraId="6FFDF7E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（6）按照合同约定应退还的质量保证金；</w:t>
      </w:r>
    </w:p>
    <w:p w14:paraId="313A373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（7）因解除合同给承包人造成的损失。</w:t>
      </w:r>
    </w:p>
    <w:p w14:paraId="36A12E8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合同当事人未能就解除合同后的结清达成一致的，按照第20条〔争议解决〕的约定处理。</w:t>
      </w:r>
    </w:p>
    <w:p w14:paraId="6D1F8CF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0BB8A60A">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27" w:name="_Toc351203605"/>
      <w:bookmarkStart w:id="328" w:name="_Toc296503131"/>
      <w:bookmarkStart w:id="329" w:name="_Toc296346632"/>
      <w:bookmarkStart w:id="330" w:name="_Toc337558822"/>
      <w:r>
        <w:rPr>
          <w:rFonts w:hint="eastAsia" w:ascii="宋体" w:hAnsi="宋体" w:eastAsia="宋体" w:cs="宋体"/>
          <w:b/>
          <w:color w:val="auto"/>
          <w:kern w:val="0"/>
          <w:szCs w:val="21"/>
          <w:highlight w:val="none"/>
        </w:rPr>
        <w:t>16.2 承包人违约</w:t>
      </w:r>
      <w:bookmarkEnd w:id="327"/>
    </w:p>
    <w:bookmarkEnd w:id="328"/>
    <w:bookmarkEnd w:id="329"/>
    <w:bookmarkEnd w:id="330"/>
    <w:p w14:paraId="0860C9F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14:paraId="5A09847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在合同履行过程中发生的下列情形，属于承包人违约：</w:t>
      </w:r>
    </w:p>
    <w:p w14:paraId="50621BC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（1）承包人违反合同约定进行转包或违法分包的；</w:t>
      </w:r>
    </w:p>
    <w:p w14:paraId="30E4791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（2）承包人违反合同约定采购和使用不合格的材料和工程设备的；</w:t>
      </w:r>
    </w:p>
    <w:p w14:paraId="546DADD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（3）因承包人原因导致工程质量不符合合同要求的； </w:t>
      </w:r>
    </w:p>
    <w:p w14:paraId="0E1E61E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（4）承包人违反第8.9款〔材料与设备专用要求〕的约定，未经批准，私自将已按照合同约定进入施工现场的材料或设备撤离施工现场的；</w:t>
      </w:r>
    </w:p>
    <w:p w14:paraId="0087553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（5）承包人未能按施工进度计划及时完成合同约定的工作，造成工期延误的；</w:t>
      </w:r>
    </w:p>
    <w:p w14:paraId="7F23580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（6）承包人在缺陷责任期及保修期内，未能在合理期限对工程缺陷进行修复，或拒绝按发包人要求进行修复的；</w:t>
      </w:r>
    </w:p>
    <w:p w14:paraId="05ED0D3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（7）承包人明确表示或者以其行为表明不履行合同主要义务的；</w:t>
      </w:r>
    </w:p>
    <w:p w14:paraId="2BD5D6A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（8）承包人未能按照合同约定履行其他义务的。</w:t>
      </w:r>
    </w:p>
    <w:p w14:paraId="6930882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承包人发生除本项第（7）目约定以外的其他违约情况时，监理人可向承包人发出整改通知，要求其在指定的期限内改正。</w:t>
      </w:r>
    </w:p>
    <w:p w14:paraId="570C140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16.2.2 承包人违约的责任</w:t>
      </w:r>
    </w:p>
    <w:p w14:paraId="6AE934E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承包人应承担因其违约行为而增加的费用和（或）延误的工期。此外，合同当事人可在专用合同条款中另行约定承包人违约责任的承担方式和计算方法。</w:t>
      </w:r>
    </w:p>
    <w:p w14:paraId="6C9FB57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16.2.3 因承包人违约解除合同</w:t>
      </w:r>
    </w:p>
    <w:p w14:paraId="6D40959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337156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16.2.4因承包人违约解除合同后的处理</w:t>
      </w:r>
    </w:p>
    <w:p w14:paraId="665985E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因承包人原因导致合同解除的，则合同当事人应在合同解除后28天内完成估价、付款和清算，并按以下约定执行：</w:t>
      </w:r>
    </w:p>
    <w:p w14:paraId="24395B6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（1）合同解除后，按第4.4款〔商定或确定〕商定或确定承包人实际完成工作对应的合同价款，以及承包人已提供的材料、工程设备、施工设备和临时工程等的价值；</w:t>
      </w:r>
    </w:p>
    <w:p w14:paraId="55F214F9">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（2）合同解除后，承包人应支付的违约金；</w:t>
      </w:r>
    </w:p>
    <w:p w14:paraId="301F55D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（3）合同解除后，因解除合同给发包人造成的损失；</w:t>
      </w:r>
    </w:p>
    <w:p w14:paraId="6F21485F">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14:paraId="3024D93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（5）发包人和承包人应在合同解除后进行清算，出具最终结清付款证书，结清全部款项。</w:t>
      </w:r>
    </w:p>
    <w:p w14:paraId="65AA5E1D">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90C0E10">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16.2.5采购合同权益转让</w:t>
      </w:r>
    </w:p>
    <w:p w14:paraId="1327893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F990E01">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31" w:name="_Toc351203606"/>
      <w:r>
        <w:rPr>
          <w:rFonts w:hint="eastAsia" w:ascii="宋体" w:hAnsi="宋体" w:eastAsia="宋体" w:cs="宋体"/>
          <w:b/>
          <w:color w:val="auto"/>
          <w:kern w:val="0"/>
          <w:szCs w:val="21"/>
          <w:highlight w:val="none"/>
        </w:rPr>
        <w:t>16.3 第三人造成的违约</w:t>
      </w:r>
      <w:bookmarkEnd w:id="331"/>
    </w:p>
    <w:p w14:paraId="281C703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43660EFD">
      <w:pPr>
        <w:widowControl/>
        <w:wordWrap w:val="0"/>
        <w:snapToGrid w:val="0"/>
        <w:spacing w:line="360" w:lineRule="auto"/>
        <w:rPr>
          <w:rFonts w:ascii="宋体" w:hAnsi="宋体" w:eastAsia="宋体" w:cs="宋体"/>
          <w:b/>
          <w:color w:val="auto"/>
          <w:kern w:val="0"/>
          <w:szCs w:val="21"/>
          <w:highlight w:val="none"/>
        </w:rPr>
      </w:pPr>
      <w:bookmarkStart w:id="332" w:name="_Toc296346617"/>
      <w:bookmarkStart w:id="333" w:name="_Toc351203607"/>
      <w:bookmarkStart w:id="334" w:name="_Toc296503116"/>
      <w:bookmarkStart w:id="335" w:name="_Toc337558823"/>
      <w:r>
        <w:rPr>
          <w:rFonts w:hint="eastAsia" w:ascii="宋体" w:hAnsi="宋体" w:eastAsia="宋体" w:cs="宋体"/>
          <w:b/>
          <w:color w:val="auto"/>
          <w:kern w:val="0"/>
          <w:szCs w:val="21"/>
          <w:highlight w:val="none"/>
        </w:rPr>
        <w:t>17. 不可抗力</w:t>
      </w:r>
      <w:bookmarkEnd w:id="332"/>
      <w:bookmarkEnd w:id="333"/>
      <w:bookmarkEnd w:id="334"/>
      <w:bookmarkEnd w:id="335"/>
    </w:p>
    <w:p w14:paraId="0E1ACE13">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36" w:name="_Toc351203608"/>
      <w:bookmarkStart w:id="337" w:name="_Toc296503117"/>
      <w:bookmarkStart w:id="338" w:name="_Toc337558824"/>
      <w:bookmarkStart w:id="339" w:name="_Toc296346618"/>
      <w:r>
        <w:rPr>
          <w:rFonts w:hint="eastAsia" w:ascii="宋体" w:hAnsi="宋体" w:eastAsia="宋体" w:cs="宋体"/>
          <w:b/>
          <w:color w:val="auto"/>
          <w:kern w:val="0"/>
          <w:szCs w:val="21"/>
          <w:highlight w:val="none"/>
        </w:rPr>
        <w:t>17.1 不可抗力的确认</w:t>
      </w:r>
      <w:bookmarkEnd w:id="336"/>
    </w:p>
    <w:bookmarkEnd w:id="337"/>
    <w:bookmarkEnd w:id="338"/>
    <w:bookmarkEnd w:id="339"/>
    <w:p w14:paraId="30C9130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111A5B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E37338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40" w:name="_Toc351203609"/>
      <w:bookmarkStart w:id="341" w:name="_Toc296503118"/>
      <w:bookmarkStart w:id="342" w:name="_Toc337558825"/>
      <w:bookmarkStart w:id="343" w:name="_Toc296346619"/>
      <w:r>
        <w:rPr>
          <w:rFonts w:hint="eastAsia" w:ascii="宋体" w:hAnsi="宋体" w:eastAsia="宋体" w:cs="宋体"/>
          <w:b/>
          <w:color w:val="auto"/>
          <w:kern w:val="0"/>
          <w:szCs w:val="21"/>
          <w:highlight w:val="none"/>
        </w:rPr>
        <w:t>17.2 不可抗力的通知</w:t>
      </w:r>
      <w:bookmarkEnd w:id="340"/>
    </w:p>
    <w:bookmarkEnd w:id="341"/>
    <w:bookmarkEnd w:id="342"/>
    <w:bookmarkEnd w:id="343"/>
    <w:p w14:paraId="1109746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5BDF1E4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5880A32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44" w:name="_Toc351203610"/>
      <w:bookmarkStart w:id="345" w:name="_Toc337558826"/>
      <w:bookmarkStart w:id="346" w:name="_Toc296346620"/>
      <w:bookmarkStart w:id="347" w:name="_Toc296503119"/>
      <w:r>
        <w:rPr>
          <w:rFonts w:hint="eastAsia" w:ascii="宋体" w:hAnsi="宋体" w:eastAsia="宋体" w:cs="宋体"/>
          <w:b/>
          <w:color w:val="auto"/>
          <w:kern w:val="0"/>
          <w:szCs w:val="21"/>
          <w:highlight w:val="none"/>
        </w:rPr>
        <w:t>17.3 不可抗力后果的承担</w:t>
      </w:r>
      <w:bookmarkEnd w:id="344"/>
    </w:p>
    <w:bookmarkEnd w:id="345"/>
    <w:bookmarkEnd w:id="346"/>
    <w:bookmarkEnd w:id="347"/>
    <w:p w14:paraId="73AE08F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14:paraId="4210177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17.3.2 不可抗力导致的人员伤亡、财产损失、费用增加和（或）工期延误等后果，由合同当事人按以下原则承担：</w:t>
      </w:r>
    </w:p>
    <w:p w14:paraId="319E01DD">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（1）永久工程、已运至施工现场的材料和工程设备的损坏，以及因工程损坏造成的第三人人员伤亡和财产损失由发包人承担；</w:t>
      </w:r>
    </w:p>
    <w:p w14:paraId="4A9B16AA">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（2）承包人施工设备的损坏由承包人承担；</w:t>
      </w:r>
    </w:p>
    <w:p w14:paraId="3C6522F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（3）发包人和承包人承担各自人员伤亡和财产的损失；</w:t>
      </w:r>
    </w:p>
    <w:p w14:paraId="6E7929F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797EB9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（5）因不可抗力引起或将引起工期延误，发包人要求赶工的，由此增加的赶工费用由发包人承担；</w:t>
      </w:r>
    </w:p>
    <w:p w14:paraId="5A1D656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（6）承包人在停工期间按照发包人要求照管、清理和修复工程的费用由发包人承担。</w:t>
      </w:r>
    </w:p>
    <w:p w14:paraId="4E95E51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不可抗力发生后，合同当事人均应采取措施尽量避免和减少损失的扩大，任何一方当事人没有采取有效措施导致损失扩大的，应对扩大的损失承担责任。</w:t>
      </w:r>
    </w:p>
    <w:p w14:paraId="59708C77">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因合同一方迟延履行合同义务，在迟延履行期间遭遇不可抗力的，不免除其违约责任。</w:t>
      </w:r>
    </w:p>
    <w:p w14:paraId="2BF4E68A">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48" w:name="_Toc351203611"/>
      <w:bookmarkStart w:id="349" w:name="_Toc337558827"/>
      <w:r>
        <w:rPr>
          <w:rFonts w:hint="eastAsia" w:ascii="宋体" w:hAnsi="宋体" w:eastAsia="宋体" w:cs="宋体"/>
          <w:b/>
          <w:color w:val="auto"/>
          <w:kern w:val="0"/>
          <w:szCs w:val="21"/>
          <w:highlight w:val="none"/>
        </w:rPr>
        <w:t>17.4 因不可抗力解除合同</w:t>
      </w:r>
      <w:bookmarkEnd w:id="348"/>
    </w:p>
    <w:bookmarkEnd w:id="349"/>
    <w:p w14:paraId="32C42E6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48BEAB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（1）合同解除前承包人已完成工作的价款；</w:t>
      </w:r>
    </w:p>
    <w:p w14:paraId="4C92E95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（2）承包人为工程订购的并已交付给承包人，或承包人有责任接受交付的材料、工程设备和其他物品的价款；</w:t>
      </w:r>
    </w:p>
    <w:p w14:paraId="53A67B08">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（3）发包人要求承包人退货或解除订货合同而产生的费用，或因不能退货或解除合同而产生的损失；</w:t>
      </w:r>
    </w:p>
    <w:p w14:paraId="5F04B3E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（4）承包人撤离施工现场以及遣散承包人人员的费用；</w:t>
      </w:r>
    </w:p>
    <w:p w14:paraId="747F50F6">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（5）按照合同约定在合同解除前应支付给承包人的其他款项；</w:t>
      </w:r>
    </w:p>
    <w:p w14:paraId="1742385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（6）扣减承包人按照合同约定应向发包人支付的款项；</w:t>
      </w:r>
    </w:p>
    <w:p w14:paraId="4003FA1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（7）双方商定或确定的其他款项。</w:t>
      </w:r>
    </w:p>
    <w:p w14:paraId="4A545884">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除专用合同条款另有约定外，合同解除后，发包人应在商定或确定上述款项后28天内完成上述款项的支付。</w:t>
      </w:r>
    </w:p>
    <w:p w14:paraId="4B118395">
      <w:pPr>
        <w:widowControl/>
        <w:wordWrap w:val="0"/>
        <w:snapToGrid w:val="0"/>
        <w:spacing w:line="360" w:lineRule="auto"/>
        <w:rPr>
          <w:rFonts w:ascii="宋体" w:hAnsi="宋体" w:eastAsia="宋体" w:cs="宋体"/>
          <w:b/>
          <w:color w:val="auto"/>
          <w:kern w:val="0"/>
          <w:szCs w:val="21"/>
          <w:highlight w:val="none"/>
        </w:rPr>
      </w:pPr>
      <w:bookmarkStart w:id="350" w:name="_Toc351203612"/>
      <w:bookmarkStart w:id="351" w:name="_Toc296503120"/>
      <w:bookmarkStart w:id="352" w:name="_Toc337558828"/>
      <w:bookmarkStart w:id="353" w:name="_Toc296346621"/>
      <w:r>
        <w:rPr>
          <w:rFonts w:hint="eastAsia" w:ascii="宋体" w:hAnsi="宋体" w:eastAsia="宋体" w:cs="宋体"/>
          <w:b/>
          <w:color w:val="auto"/>
          <w:kern w:val="0"/>
          <w:szCs w:val="21"/>
          <w:highlight w:val="none"/>
        </w:rPr>
        <w:t>18. 保险</w:t>
      </w:r>
      <w:bookmarkEnd w:id="350"/>
    </w:p>
    <w:bookmarkEnd w:id="351"/>
    <w:bookmarkEnd w:id="352"/>
    <w:bookmarkEnd w:id="353"/>
    <w:p w14:paraId="6AC6657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54" w:name="_Toc351203613"/>
      <w:bookmarkStart w:id="355" w:name="_Toc296503121"/>
      <w:bookmarkStart w:id="356" w:name="_Toc337558829"/>
      <w:bookmarkStart w:id="357" w:name="_Toc296346622"/>
      <w:r>
        <w:rPr>
          <w:rFonts w:hint="eastAsia" w:ascii="宋体" w:hAnsi="宋体" w:eastAsia="宋体" w:cs="宋体"/>
          <w:b/>
          <w:color w:val="auto"/>
          <w:kern w:val="0"/>
          <w:szCs w:val="21"/>
          <w:highlight w:val="none"/>
        </w:rPr>
        <w:t>18.1 工程保险</w:t>
      </w:r>
      <w:bookmarkEnd w:id="354"/>
    </w:p>
    <w:bookmarkEnd w:id="355"/>
    <w:bookmarkEnd w:id="356"/>
    <w:bookmarkEnd w:id="357"/>
    <w:p w14:paraId="7D0EF5A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591F5AC6">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58" w:name="_Toc351203614"/>
      <w:bookmarkStart w:id="359" w:name="_Toc337558830"/>
      <w:bookmarkStart w:id="360" w:name="_Toc296346623"/>
      <w:bookmarkStart w:id="361" w:name="_Toc296503122"/>
      <w:r>
        <w:rPr>
          <w:rFonts w:hint="eastAsia" w:ascii="宋体" w:hAnsi="宋体" w:eastAsia="宋体" w:cs="宋体"/>
          <w:b/>
          <w:color w:val="auto"/>
          <w:kern w:val="0"/>
          <w:szCs w:val="21"/>
          <w:highlight w:val="none"/>
        </w:rPr>
        <w:t>18.2 工伤保险</w:t>
      </w:r>
      <w:bookmarkEnd w:id="358"/>
    </w:p>
    <w:bookmarkEnd w:id="359"/>
    <w:bookmarkEnd w:id="360"/>
    <w:bookmarkEnd w:id="361"/>
    <w:p w14:paraId="76764C80">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7E13CF0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632FCED5">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62" w:name="_Toc351203615"/>
      <w:bookmarkStart w:id="363" w:name="_Toc296346626"/>
      <w:bookmarkStart w:id="364" w:name="_Toc296503125"/>
      <w:bookmarkStart w:id="365" w:name="_Toc337558831"/>
      <w:r>
        <w:rPr>
          <w:rFonts w:hint="eastAsia" w:ascii="宋体" w:hAnsi="宋体" w:eastAsia="宋体" w:cs="宋体"/>
          <w:b/>
          <w:color w:val="auto"/>
          <w:kern w:val="0"/>
          <w:szCs w:val="21"/>
          <w:highlight w:val="none"/>
        </w:rPr>
        <w:t>18.3其他保险</w:t>
      </w:r>
      <w:bookmarkEnd w:id="362"/>
    </w:p>
    <w:bookmarkEnd w:id="363"/>
    <w:bookmarkEnd w:id="364"/>
    <w:bookmarkEnd w:id="365"/>
    <w:p w14:paraId="62C8D992">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438010C">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除专用合同条款另有约定外，承包人应为其施工设备等办理财产保险。</w:t>
      </w:r>
    </w:p>
    <w:p w14:paraId="634C3883">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66" w:name="_Toc351203616"/>
      <w:r>
        <w:rPr>
          <w:rFonts w:hint="eastAsia" w:ascii="宋体" w:hAnsi="宋体" w:eastAsia="宋体" w:cs="宋体"/>
          <w:b/>
          <w:color w:val="auto"/>
          <w:kern w:val="0"/>
          <w:szCs w:val="21"/>
          <w:highlight w:val="none"/>
        </w:rPr>
        <w:t>18.4持续保险</w:t>
      </w:r>
      <w:bookmarkEnd w:id="366"/>
    </w:p>
    <w:p w14:paraId="5524C7E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合同当事人应与保险人保持联系，使保险人能够随时了解工程实施中的变动，并确保按保险合同条款要求持续保险。</w:t>
      </w:r>
    </w:p>
    <w:p w14:paraId="49187ED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67" w:name="_Toc351203617"/>
      <w:bookmarkStart w:id="368" w:name="_Toc296503126"/>
      <w:bookmarkStart w:id="369" w:name="_Toc337558832"/>
      <w:bookmarkStart w:id="370" w:name="_Toc296346627"/>
      <w:r>
        <w:rPr>
          <w:rFonts w:hint="eastAsia" w:ascii="宋体" w:hAnsi="宋体" w:eastAsia="宋体" w:cs="宋体"/>
          <w:b/>
          <w:color w:val="auto"/>
          <w:kern w:val="0"/>
          <w:szCs w:val="21"/>
          <w:highlight w:val="none"/>
        </w:rPr>
        <w:t>18.5 保险凭证</w:t>
      </w:r>
      <w:bookmarkEnd w:id="367"/>
    </w:p>
    <w:bookmarkEnd w:id="368"/>
    <w:bookmarkEnd w:id="369"/>
    <w:bookmarkEnd w:id="370"/>
    <w:p w14:paraId="477F716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合同当事人应及时向另一方当事人提交其已投保的各项保险的凭证和保险单复印件。</w:t>
      </w:r>
    </w:p>
    <w:p w14:paraId="06888EB1">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71" w:name="_Toc351203618"/>
      <w:bookmarkStart w:id="372" w:name="_Toc337558833"/>
      <w:bookmarkStart w:id="373" w:name="_Toc296503127"/>
      <w:bookmarkStart w:id="374" w:name="_Toc296346628"/>
      <w:r>
        <w:rPr>
          <w:rFonts w:hint="eastAsia" w:ascii="宋体" w:hAnsi="宋体" w:eastAsia="宋体" w:cs="宋体"/>
          <w:b/>
          <w:color w:val="auto"/>
          <w:kern w:val="0"/>
          <w:szCs w:val="21"/>
          <w:highlight w:val="none"/>
        </w:rPr>
        <w:t>18.6 未按约定投保的补救</w:t>
      </w:r>
      <w:bookmarkEnd w:id="371"/>
    </w:p>
    <w:bookmarkEnd w:id="372"/>
    <w:bookmarkEnd w:id="373"/>
    <w:bookmarkEnd w:id="374"/>
    <w:p w14:paraId="61A6A151">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1884C4E">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66CFB71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75" w:name="_Toc351203619"/>
      <w:bookmarkStart w:id="376" w:name="_Toc337558834"/>
      <w:r>
        <w:rPr>
          <w:rFonts w:hint="eastAsia" w:ascii="宋体" w:hAnsi="宋体" w:eastAsia="宋体" w:cs="宋体"/>
          <w:b/>
          <w:color w:val="auto"/>
          <w:kern w:val="0"/>
          <w:szCs w:val="21"/>
          <w:highlight w:val="none"/>
        </w:rPr>
        <w:t>18.7 通知义务</w:t>
      </w:r>
      <w:bookmarkEnd w:id="375"/>
    </w:p>
    <w:bookmarkEnd w:id="376"/>
    <w:p w14:paraId="51A6D6D5">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7AAD05CB">
      <w:pPr>
        <w:wordWrap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保险事故发生时，投保人应按照保险合同规定的条件和期限及时向保险人报告。发包人和承包人应当在知道保险事故发生后及时通知对方。</w:t>
      </w:r>
    </w:p>
    <w:p w14:paraId="08BF18DE">
      <w:pPr>
        <w:widowControl/>
        <w:wordWrap w:val="0"/>
        <w:snapToGrid w:val="0"/>
        <w:spacing w:line="360" w:lineRule="auto"/>
        <w:rPr>
          <w:rFonts w:ascii="宋体" w:hAnsi="宋体" w:eastAsia="宋体" w:cs="宋体"/>
          <w:b/>
          <w:color w:val="auto"/>
          <w:kern w:val="0"/>
          <w:szCs w:val="21"/>
          <w:highlight w:val="none"/>
        </w:rPr>
      </w:pPr>
      <w:bookmarkStart w:id="377" w:name="_Toc351203620"/>
      <w:bookmarkStart w:id="378" w:name="_Toc337558835"/>
      <w:bookmarkStart w:id="379" w:name="_Toc296503140"/>
      <w:bookmarkStart w:id="380" w:name="_Toc296346641"/>
      <w:r>
        <w:rPr>
          <w:rFonts w:hint="eastAsia" w:ascii="宋体" w:hAnsi="宋体" w:eastAsia="宋体" w:cs="宋体"/>
          <w:b/>
          <w:color w:val="auto"/>
          <w:kern w:val="0"/>
          <w:szCs w:val="21"/>
          <w:highlight w:val="none"/>
        </w:rPr>
        <w:t>19. 索赔</w:t>
      </w:r>
      <w:bookmarkEnd w:id="377"/>
    </w:p>
    <w:bookmarkEnd w:id="378"/>
    <w:bookmarkEnd w:id="379"/>
    <w:bookmarkEnd w:id="380"/>
    <w:p w14:paraId="65742B5A">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81" w:name="_Toc351203621"/>
      <w:bookmarkStart w:id="382" w:name="_Toc337558836"/>
      <w:bookmarkStart w:id="383" w:name="_Toc296346642"/>
      <w:bookmarkStart w:id="384" w:name="_Toc296503141"/>
      <w:r>
        <w:rPr>
          <w:rFonts w:hint="eastAsia" w:ascii="宋体" w:hAnsi="宋体" w:eastAsia="宋体" w:cs="宋体"/>
          <w:b/>
          <w:color w:val="auto"/>
          <w:kern w:val="0"/>
          <w:szCs w:val="21"/>
          <w:highlight w:val="none"/>
        </w:rPr>
        <w:t>19.1承包人的索赔</w:t>
      </w:r>
      <w:bookmarkEnd w:id="381"/>
    </w:p>
    <w:bookmarkEnd w:id="382"/>
    <w:bookmarkEnd w:id="383"/>
    <w:bookmarkEnd w:id="384"/>
    <w:p w14:paraId="39F53EF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根据合同约定，承包人认为有权得到追加付款和（或）延长工期的，应按以下程序向发包人提出索赔：</w:t>
      </w:r>
    </w:p>
    <w:p w14:paraId="0CE40E1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960478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77A385E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3038D10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47F03F6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85" w:name="_Toc351203622"/>
      <w:bookmarkStart w:id="386" w:name="_Toc296346643"/>
      <w:bookmarkStart w:id="387" w:name="_Toc337558837"/>
      <w:bookmarkStart w:id="388" w:name="_Toc296503142"/>
      <w:r>
        <w:rPr>
          <w:rFonts w:hint="eastAsia" w:ascii="宋体" w:hAnsi="宋体" w:eastAsia="宋体" w:cs="宋体"/>
          <w:b/>
          <w:color w:val="auto"/>
          <w:kern w:val="0"/>
          <w:szCs w:val="21"/>
          <w:highlight w:val="none"/>
        </w:rPr>
        <w:t>19.2 对承包人索赔的处理</w:t>
      </w:r>
      <w:bookmarkEnd w:id="385"/>
    </w:p>
    <w:bookmarkEnd w:id="386"/>
    <w:bookmarkEnd w:id="387"/>
    <w:bookmarkEnd w:id="388"/>
    <w:p w14:paraId="0753E81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对承包人索赔的处理如下：</w:t>
      </w:r>
    </w:p>
    <w:p w14:paraId="7051748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（1）监理人应在收到索赔报告后14天内完成审查并报送发包人。监理人对索赔报告存在异议的，有权要求承包人提交全部原始记录副本；</w:t>
      </w:r>
    </w:p>
    <w:p w14:paraId="001AA1C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（2）发包人应在监理人收到索赔报告或有关索赔的进一步证明材料后的28天内，由监理人向承包人出具经发包人签认的索赔处理结果。</w:t>
      </w:r>
    </w:p>
    <w:p w14:paraId="59A9F9F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（3）承包人接受索赔处理结果的，索赔款项在当期进度款中进行支付；承包人不接受索赔处理结果的，按照第20条〔争议解决〕约定处理。</w:t>
      </w:r>
    </w:p>
    <w:p w14:paraId="16611ED2">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89" w:name="_Toc351203623"/>
      <w:bookmarkStart w:id="390" w:name="_Toc337558838"/>
      <w:bookmarkStart w:id="391" w:name="_Toc296503143"/>
      <w:bookmarkStart w:id="392" w:name="_Toc296346644"/>
      <w:r>
        <w:rPr>
          <w:rFonts w:hint="eastAsia" w:ascii="宋体" w:hAnsi="宋体" w:eastAsia="宋体" w:cs="宋体"/>
          <w:b/>
          <w:color w:val="auto"/>
          <w:kern w:val="0"/>
          <w:szCs w:val="21"/>
          <w:highlight w:val="none"/>
        </w:rPr>
        <w:t>19.3发包人的索赔</w:t>
      </w:r>
      <w:bookmarkEnd w:id="389"/>
    </w:p>
    <w:bookmarkEnd w:id="390"/>
    <w:bookmarkEnd w:id="391"/>
    <w:bookmarkEnd w:id="392"/>
    <w:p w14:paraId="5A60A485">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根据合同约定，发包人认为有权得到赔付金额和（或）延长缺陷责任期的，监理人应向承包人发出通知并附有详细的证明。</w:t>
      </w:r>
    </w:p>
    <w:p w14:paraId="08004A2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3F7028F">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93" w:name="_Toc351203624"/>
      <w:bookmarkStart w:id="394" w:name="_Toc296346645"/>
      <w:bookmarkStart w:id="395" w:name="_Toc296503144"/>
      <w:bookmarkStart w:id="396" w:name="_Toc337558839"/>
      <w:r>
        <w:rPr>
          <w:rFonts w:hint="eastAsia" w:ascii="宋体" w:hAnsi="宋体" w:eastAsia="宋体" w:cs="宋体"/>
          <w:b/>
          <w:color w:val="auto"/>
          <w:kern w:val="0"/>
          <w:szCs w:val="21"/>
          <w:highlight w:val="none"/>
        </w:rPr>
        <w:t>19.4 对发包人索赔的处理</w:t>
      </w:r>
      <w:bookmarkEnd w:id="393"/>
    </w:p>
    <w:bookmarkEnd w:id="394"/>
    <w:bookmarkEnd w:id="395"/>
    <w:bookmarkEnd w:id="396"/>
    <w:p w14:paraId="2FE6E12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对发包人索赔的处理如下：</w:t>
      </w:r>
    </w:p>
    <w:p w14:paraId="41368706">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（1）承包人收到发包人提交的索赔报告后，应及时审查索赔报告的内容、查验发包人证明材料；</w:t>
      </w:r>
    </w:p>
    <w:p w14:paraId="7FDA42E8">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30DD221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60BA386D">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397" w:name="_Toc351203625"/>
      <w:r>
        <w:rPr>
          <w:rFonts w:hint="eastAsia" w:ascii="宋体" w:hAnsi="宋体" w:eastAsia="宋体" w:cs="宋体"/>
          <w:b/>
          <w:color w:val="auto"/>
          <w:kern w:val="0"/>
          <w:szCs w:val="21"/>
          <w:highlight w:val="none"/>
        </w:rPr>
        <w:t>19.5 提出索赔的期限</w:t>
      </w:r>
      <w:bookmarkEnd w:id="397"/>
    </w:p>
    <w:p w14:paraId="77B2EF04">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（1）承包人按第14.2款〔竣工结算审核〕约定接收竣工付款证书后，应被视为已无权再提出在工程接收证书颁发前所发生的任何索赔。</w:t>
      </w:r>
    </w:p>
    <w:p w14:paraId="2975D660">
      <w:pPr>
        <w:wordWrap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（2）承包人按第14.4款〔最终结清〕提交的最终结清申请单中，只限于提出工程接收证书颁发后发生的索赔。提出索赔的期限自接受最终结清证书时终止。</w:t>
      </w:r>
    </w:p>
    <w:p w14:paraId="2A286606">
      <w:pPr>
        <w:widowControl/>
        <w:wordWrap w:val="0"/>
        <w:snapToGrid w:val="0"/>
        <w:spacing w:line="360" w:lineRule="auto"/>
        <w:rPr>
          <w:rFonts w:ascii="宋体" w:hAnsi="宋体" w:eastAsia="宋体" w:cs="宋体"/>
          <w:b/>
          <w:color w:val="auto"/>
          <w:kern w:val="0"/>
          <w:szCs w:val="21"/>
          <w:highlight w:val="none"/>
        </w:rPr>
      </w:pPr>
      <w:bookmarkStart w:id="398" w:name="_Toc351203626"/>
      <w:r>
        <w:rPr>
          <w:rFonts w:hint="eastAsia" w:ascii="宋体" w:hAnsi="宋体" w:eastAsia="宋体" w:cs="宋体"/>
          <w:b/>
          <w:color w:val="auto"/>
          <w:kern w:val="0"/>
          <w:szCs w:val="21"/>
          <w:highlight w:val="none"/>
        </w:rPr>
        <w:t>20</w:t>
      </w:r>
      <w:bookmarkStart w:id="399" w:name="_Toc296346647"/>
      <w:bookmarkStart w:id="400" w:name="_Toc296503146"/>
      <w:bookmarkStart w:id="401" w:name="_Toc337558840"/>
      <w:r>
        <w:rPr>
          <w:rFonts w:hint="eastAsia" w:ascii="宋体" w:hAnsi="宋体" w:eastAsia="宋体" w:cs="宋体"/>
          <w:b/>
          <w:color w:val="auto"/>
          <w:kern w:val="0"/>
          <w:szCs w:val="21"/>
          <w:highlight w:val="none"/>
        </w:rPr>
        <w:t>. 争议解决</w:t>
      </w:r>
      <w:bookmarkEnd w:id="398"/>
    </w:p>
    <w:bookmarkEnd w:id="399"/>
    <w:bookmarkEnd w:id="400"/>
    <w:bookmarkEnd w:id="401"/>
    <w:p w14:paraId="385577A8">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02" w:name="_Toc351203627"/>
      <w:bookmarkStart w:id="403" w:name="_Toc296503147"/>
      <w:bookmarkStart w:id="404" w:name="_Toc337558841"/>
      <w:bookmarkStart w:id="405" w:name="_Toc296346648"/>
      <w:r>
        <w:rPr>
          <w:rFonts w:hint="eastAsia" w:ascii="宋体" w:hAnsi="宋体" w:eastAsia="宋体" w:cs="宋体"/>
          <w:b/>
          <w:color w:val="auto"/>
          <w:kern w:val="0"/>
          <w:szCs w:val="21"/>
          <w:highlight w:val="none"/>
        </w:rPr>
        <w:t>20.1和解</w:t>
      </w:r>
      <w:bookmarkEnd w:id="402"/>
    </w:p>
    <w:bookmarkEnd w:id="403"/>
    <w:bookmarkEnd w:id="404"/>
    <w:bookmarkEnd w:id="405"/>
    <w:p w14:paraId="6524730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合同当事人可以就争议自行和解，自行和解达成协议的经双方签字并盖章后作为合同补充文件，双方均应遵照执行。</w:t>
      </w:r>
    </w:p>
    <w:p w14:paraId="1D2C9ED0">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06" w:name="_Toc351203628"/>
      <w:r>
        <w:rPr>
          <w:rFonts w:hint="eastAsia" w:ascii="宋体" w:hAnsi="宋体" w:eastAsia="宋体" w:cs="宋体"/>
          <w:b/>
          <w:color w:val="auto"/>
          <w:kern w:val="0"/>
          <w:szCs w:val="21"/>
          <w:highlight w:val="none"/>
        </w:rPr>
        <w:t>20</w:t>
      </w:r>
      <w:bookmarkStart w:id="407" w:name="_Toc296503148"/>
      <w:bookmarkStart w:id="408" w:name="_Toc296346649"/>
      <w:bookmarkStart w:id="409" w:name="_Toc337558842"/>
      <w:r>
        <w:rPr>
          <w:rFonts w:hint="eastAsia" w:ascii="宋体" w:hAnsi="宋体" w:eastAsia="宋体" w:cs="宋体"/>
          <w:b/>
          <w:color w:val="auto"/>
          <w:kern w:val="0"/>
          <w:szCs w:val="21"/>
          <w:highlight w:val="none"/>
        </w:rPr>
        <w:t>.2调解</w:t>
      </w:r>
      <w:bookmarkEnd w:id="406"/>
    </w:p>
    <w:bookmarkEnd w:id="407"/>
    <w:bookmarkEnd w:id="408"/>
    <w:bookmarkEnd w:id="409"/>
    <w:p w14:paraId="6B49E31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合同当事人可以就争议请求建设行政主管部门、行业协会或其他第三方进行调解，调解达成协议的，经双方签字并盖章后作为合同补充文件，双方均应遵照执行。</w:t>
      </w:r>
    </w:p>
    <w:p w14:paraId="6FA78880">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10" w:name="_Toc351203629"/>
      <w:bookmarkStart w:id="411" w:name="_Toc296346650"/>
      <w:bookmarkStart w:id="412" w:name="_Toc337558843"/>
      <w:bookmarkStart w:id="413" w:name="_Toc296503149"/>
      <w:r>
        <w:rPr>
          <w:rFonts w:hint="eastAsia" w:ascii="宋体" w:hAnsi="宋体" w:eastAsia="宋体" w:cs="宋体"/>
          <w:b/>
          <w:color w:val="auto"/>
          <w:kern w:val="0"/>
          <w:szCs w:val="21"/>
          <w:highlight w:val="none"/>
        </w:rPr>
        <w:t>20.3争议评审</w:t>
      </w:r>
      <w:bookmarkEnd w:id="410"/>
    </w:p>
    <w:bookmarkEnd w:id="411"/>
    <w:bookmarkEnd w:id="412"/>
    <w:bookmarkEnd w:id="413"/>
    <w:p w14:paraId="4F5B12C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合同当事人在专用合同条款中约定采取争议评审方式解决争议以及评审规则，并按下列约定执行： </w:t>
      </w:r>
    </w:p>
    <w:p w14:paraId="41BC086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20.3.1 争议评审小组的确定</w:t>
      </w:r>
    </w:p>
    <w:p w14:paraId="3464CE3E">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5E1F74FB">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F9FA191">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除专用合同条款另有约定外，评审员报酬由发包人和承包人各承担一半。</w:t>
      </w:r>
    </w:p>
    <w:p w14:paraId="28E334BF">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14:paraId="64F5DE13">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E856F9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20.3.3 争议评审小组决定的效力</w:t>
      </w:r>
    </w:p>
    <w:p w14:paraId="3A6DA31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争议评审小组作出的书面决定经合同当事人签字确认后，对双方具有约束力，双方应遵照执行。</w:t>
      </w:r>
    </w:p>
    <w:p w14:paraId="663550F4">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任何一方当事人不接受争议评审小组决定或不履行争议评审小组决定的，双方可选择采用其他争议解决方式。</w:t>
      </w:r>
    </w:p>
    <w:p w14:paraId="7156F094">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14" w:name="_Toc351203630"/>
      <w:bookmarkStart w:id="415" w:name="_Toc337558844"/>
      <w:bookmarkStart w:id="416" w:name="_Toc296503150"/>
      <w:bookmarkStart w:id="417" w:name="_Toc296346651"/>
      <w:r>
        <w:rPr>
          <w:rFonts w:hint="eastAsia" w:ascii="宋体" w:hAnsi="宋体" w:eastAsia="宋体" w:cs="宋体"/>
          <w:b/>
          <w:color w:val="auto"/>
          <w:kern w:val="0"/>
          <w:szCs w:val="21"/>
          <w:highlight w:val="none"/>
        </w:rPr>
        <w:t>20.4仲裁或诉讼</w:t>
      </w:r>
      <w:bookmarkEnd w:id="414"/>
    </w:p>
    <w:bookmarkEnd w:id="415"/>
    <w:bookmarkEnd w:id="416"/>
    <w:bookmarkEnd w:id="417"/>
    <w:p w14:paraId="6C0E0C02">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因合同及合同有关事项产生的争议，合同当事人可以在专用合同条款中约定以下一种方式解决争议：</w:t>
      </w:r>
    </w:p>
    <w:p w14:paraId="4030213C">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（1）向约定的仲裁委员会申请仲裁；</w:t>
      </w:r>
    </w:p>
    <w:p w14:paraId="77AF2C89">
      <w:pPr>
        <w:wordWrap w:val="0"/>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（2）向发包人所在地有管辖权的人民法院起诉。</w:t>
      </w:r>
    </w:p>
    <w:p w14:paraId="4F082747">
      <w:pPr>
        <w:widowControl/>
        <w:wordWrap w:val="0"/>
        <w:snapToGrid w:val="0"/>
        <w:spacing w:line="360" w:lineRule="auto"/>
        <w:ind w:firstLine="422" w:firstLineChars="200"/>
        <w:rPr>
          <w:rFonts w:ascii="宋体" w:hAnsi="宋体" w:eastAsia="宋体" w:cs="宋体"/>
          <w:b/>
          <w:color w:val="auto"/>
          <w:kern w:val="0"/>
          <w:szCs w:val="21"/>
          <w:highlight w:val="none"/>
        </w:rPr>
      </w:pPr>
      <w:bookmarkStart w:id="418" w:name="_Toc351203631"/>
      <w:bookmarkStart w:id="419" w:name="_Toc337558845"/>
      <w:bookmarkStart w:id="420" w:name="_Toc296503152"/>
      <w:bookmarkStart w:id="421" w:name="_Toc296346653"/>
      <w:r>
        <w:rPr>
          <w:rFonts w:hint="eastAsia" w:ascii="宋体" w:hAnsi="宋体" w:eastAsia="宋体" w:cs="宋体"/>
          <w:b/>
          <w:color w:val="auto"/>
          <w:kern w:val="0"/>
          <w:szCs w:val="21"/>
          <w:highlight w:val="none"/>
        </w:rPr>
        <w:t>20.5争议解决条款效力</w:t>
      </w:r>
      <w:bookmarkEnd w:id="418"/>
    </w:p>
    <w:bookmarkEnd w:id="419"/>
    <w:bookmarkEnd w:id="420"/>
    <w:bookmarkEnd w:id="421"/>
    <w:p w14:paraId="7C7AD09A">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合同有关争议解决的条款独立存在，合同的变更、解除、终止、无效或者被撤销均不影响其效力。</w:t>
      </w:r>
    </w:p>
    <w:p w14:paraId="7C003EC8">
      <w:pPr>
        <w:spacing w:line="360" w:lineRule="auto"/>
        <w:jc w:val="center"/>
        <w:rPr>
          <w:rFonts w:hint="eastAsia" w:ascii="黑体" w:hAnsi="宋体" w:eastAsia="黑体"/>
          <w:b/>
          <w:bCs/>
          <w:color w:val="auto"/>
          <w:sz w:val="32"/>
          <w:szCs w:val="32"/>
          <w:highlight w:val="none"/>
        </w:rPr>
        <w:sectPr>
          <w:footerReference r:id="rId10" w:type="default"/>
          <w:pgSz w:w="11906" w:h="16838"/>
          <w:pgMar w:top="1587" w:right="1474" w:bottom="1474" w:left="1587" w:header="851" w:footer="992" w:gutter="0"/>
          <w:pgBorders>
            <w:top w:val="none" w:sz="0" w:space="0"/>
            <w:left w:val="none" w:sz="0" w:space="0"/>
            <w:bottom w:val="none" w:sz="0" w:space="0"/>
            <w:right w:val="none" w:sz="0" w:space="0"/>
          </w:pgBorders>
          <w:cols w:space="720" w:num="1"/>
          <w:docGrid w:linePitch="312" w:charSpace="0"/>
        </w:sectPr>
      </w:pPr>
    </w:p>
    <w:p w14:paraId="2692308E">
      <w:pPr>
        <w:spacing w:line="360" w:lineRule="auto"/>
        <w:jc w:val="center"/>
        <w:rPr>
          <w:rFonts w:ascii="宋体" w:hAnsi="宋体"/>
          <w:bCs/>
          <w:color w:val="auto"/>
          <w:sz w:val="24"/>
          <w:szCs w:val="32"/>
          <w:highlight w:val="none"/>
        </w:rPr>
      </w:pPr>
      <w:r>
        <w:rPr>
          <w:rFonts w:hint="eastAsia" w:ascii="黑体" w:hAnsi="宋体" w:eastAsia="黑体"/>
          <w:b/>
          <w:bCs/>
          <w:color w:val="auto"/>
          <w:sz w:val="32"/>
          <w:szCs w:val="32"/>
          <w:highlight w:val="none"/>
        </w:rPr>
        <w:t>三、政府采购合同专用条款</w:t>
      </w:r>
    </w:p>
    <w:p w14:paraId="3D050CE6">
      <w:pPr>
        <w:pStyle w:val="8"/>
        <w:snapToGrid w:val="0"/>
        <w:ind w:left="105" w:leftChars="50"/>
        <w:jc w:val="center"/>
        <w:rPr>
          <w:rFonts w:ascii="黑体" w:hAnsi="华文中宋" w:eastAsia="黑体"/>
          <w:b/>
          <w:bCs/>
          <w:color w:val="auto"/>
          <w:sz w:val="24"/>
          <w:highlight w:val="none"/>
        </w:rPr>
      </w:pPr>
    </w:p>
    <w:p w14:paraId="7C6F5F54">
      <w:pPr>
        <w:spacing w:before="120" w:after="120" w:line="360" w:lineRule="auto"/>
        <w:outlineLvl w:val="9"/>
        <w:rPr>
          <w:rFonts w:hint="eastAsia" w:ascii="宋体" w:hAnsi="宋体" w:eastAsia="宋体" w:cs="宋体"/>
          <w:b w:val="0"/>
          <w:color w:val="auto"/>
          <w:sz w:val="21"/>
          <w:szCs w:val="21"/>
          <w:highlight w:val="none"/>
        </w:rPr>
      </w:pPr>
      <w:bookmarkStart w:id="422" w:name="_Toc351203633"/>
      <w:r>
        <w:rPr>
          <w:rFonts w:hint="eastAsia" w:ascii="宋体" w:hAnsi="宋体" w:eastAsia="宋体" w:cs="宋体"/>
          <w:b w:val="0"/>
          <w:color w:val="auto"/>
          <w:sz w:val="21"/>
          <w:szCs w:val="21"/>
          <w:highlight w:val="none"/>
        </w:rPr>
        <w:t>1</w:t>
      </w:r>
      <w:bookmarkStart w:id="423" w:name="_Toc296347155"/>
      <w:bookmarkStart w:id="424" w:name="_Toc297048342"/>
      <w:bookmarkStart w:id="425" w:name="_Toc297120456"/>
      <w:bookmarkStart w:id="426" w:name="_Toc292559866"/>
      <w:bookmarkStart w:id="427" w:name="_Toc296346657"/>
      <w:bookmarkStart w:id="428" w:name="_Toc292559361"/>
      <w:bookmarkStart w:id="429" w:name="_Toc296891196"/>
      <w:bookmarkStart w:id="430" w:name="_Toc296944495"/>
      <w:bookmarkStart w:id="431" w:name="_Toc296503156"/>
      <w:bookmarkStart w:id="432" w:name="_Toc296890984"/>
      <w:r>
        <w:rPr>
          <w:rFonts w:hint="eastAsia" w:ascii="宋体" w:hAnsi="宋体" w:eastAsia="宋体" w:cs="宋体"/>
          <w:b w:val="0"/>
          <w:color w:val="auto"/>
          <w:sz w:val="21"/>
          <w:szCs w:val="21"/>
          <w:highlight w:val="none"/>
        </w:rPr>
        <w:t>. 一般约定</w:t>
      </w:r>
      <w:bookmarkEnd w:id="422"/>
    </w:p>
    <w:bookmarkEnd w:id="423"/>
    <w:bookmarkEnd w:id="424"/>
    <w:bookmarkEnd w:id="425"/>
    <w:bookmarkEnd w:id="426"/>
    <w:bookmarkEnd w:id="427"/>
    <w:bookmarkEnd w:id="428"/>
    <w:bookmarkEnd w:id="429"/>
    <w:bookmarkEnd w:id="430"/>
    <w:bookmarkEnd w:id="431"/>
    <w:bookmarkEnd w:id="432"/>
    <w:p w14:paraId="15DB1F53">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14:paraId="2BBD31BE">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3C5F3C7F">
      <w:pPr>
        <w:spacing w:line="360" w:lineRule="auto"/>
        <w:ind w:left="1155" w:leftChars="200" w:hanging="735" w:hangingChars="35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1.1.1.1其他合同文件包括：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F69687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249C4E7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4F4377B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4FE280D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32657D1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7E0AF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C56130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FC611E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06879C3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0C1F620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14B442D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49DD39D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4D82BE6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6060F7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1D5C709">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03B0453">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             </w:t>
      </w:r>
      <w:r>
        <w:rPr>
          <w:rFonts w:hint="eastAsia" w:ascii="宋体" w:hAnsi="宋体" w:eastAsia="宋体" w:cs="宋体"/>
          <w:color w:val="auto"/>
          <w:kern w:val="0"/>
          <w:sz w:val="21"/>
          <w:szCs w:val="21"/>
          <w:highlight w:val="none"/>
        </w:rPr>
        <w:t>。</w:t>
      </w:r>
    </w:p>
    <w:p w14:paraId="1013D1B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kern w:val="0"/>
          <w:sz w:val="21"/>
          <w:szCs w:val="21"/>
          <w:highlight w:val="none"/>
        </w:rPr>
        <w:t>。</w:t>
      </w:r>
    </w:p>
    <w:p w14:paraId="6D31DD08">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4FD216C2">
      <w:pPr>
        <w:autoSpaceDE w:val="0"/>
        <w:autoSpaceDN w:val="0"/>
        <w:adjustRightIn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ADAB22">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1968D4F1">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6437C283">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781CF6">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5C142D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A7B55D">
      <w:pPr>
        <w:spacing w:line="360" w:lineRule="auto"/>
        <w:ind w:left="596" w:leftChars="2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p>
    <w:p w14:paraId="3E914ADD">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772A40">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26973FE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1DF6208E">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278A5DB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30EBDE5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903839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E875AF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55410B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099BDEFE">
      <w:pPr>
        <w:spacing w:line="360" w:lineRule="auto"/>
        <w:ind w:left="596" w:leftChars="284"/>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2174E08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1C68BE6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3762B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F83BD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C3093E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3BF4EF3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C1734C6">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28F4CD3B">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38AC7EB7">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14:paraId="46BF7770">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kern w:val="0"/>
          <w:sz w:val="21"/>
          <w:szCs w:val="21"/>
          <w:highlight w:val="none"/>
        </w:rPr>
        <w:t>。</w:t>
      </w:r>
    </w:p>
    <w:p w14:paraId="6BF6FB35">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7CC39921">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4DAF74E9">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14:paraId="4CC6CAE7">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14:paraId="1DCCE68D">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14:paraId="634E30F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3" w:name="_Toc318581155"/>
      <w:bookmarkStart w:id="434" w:name="_Toc303539100"/>
      <w:bookmarkStart w:id="435" w:name="_Toc304295521"/>
      <w:bookmarkStart w:id="436" w:name="_Toc300934943"/>
      <w:bookmarkStart w:id="437" w:name="_Toc312677986"/>
      <w:r>
        <w:rPr>
          <w:rFonts w:hint="eastAsia" w:ascii="宋体" w:hAnsi="宋体" w:eastAsia="宋体" w:cs="宋体"/>
          <w:color w:val="auto"/>
          <w:sz w:val="21"/>
          <w:szCs w:val="21"/>
          <w:highlight w:val="none"/>
        </w:rPr>
        <w:t>.10.1 出入现场的权利</w:t>
      </w:r>
    </w:p>
    <w:p w14:paraId="08B586AA">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bookmarkEnd w:id="433"/>
    <w:bookmarkEnd w:id="434"/>
    <w:bookmarkEnd w:id="435"/>
    <w:bookmarkEnd w:id="436"/>
    <w:bookmarkEnd w:id="437"/>
    <w:p w14:paraId="76D7E08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8" w:name="_Toc312677987"/>
      <w:bookmarkStart w:id="439" w:name="_Toc303539101"/>
      <w:bookmarkStart w:id="440" w:name="_Toc318581156"/>
      <w:bookmarkStart w:id="441" w:name="_Toc304295522"/>
      <w:bookmarkStart w:id="442" w:name="_Toc300934944"/>
      <w:r>
        <w:rPr>
          <w:rFonts w:hint="eastAsia" w:ascii="宋体" w:hAnsi="宋体" w:eastAsia="宋体" w:cs="宋体"/>
          <w:color w:val="auto"/>
          <w:sz w:val="21"/>
          <w:szCs w:val="21"/>
          <w:highlight w:val="none"/>
        </w:rPr>
        <w:t>.10.3 场内交通</w:t>
      </w:r>
    </w:p>
    <w:p w14:paraId="7A97DE50">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04E0092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bookmarkEnd w:id="438"/>
      <w:bookmarkEnd w:id="439"/>
      <w:bookmarkEnd w:id="440"/>
      <w:bookmarkEnd w:id="441"/>
      <w:bookmarkEnd w:id="442"/>
      <w:r>
        <w:rPr>
          <w:rFonts w:hint="eastAsia" w:ascii="宋体" w:hAnsi="宋体" w:eastAsia="宋体" w:cs="宋体"/>
          <w:color w:val="auto"/>
          <w:sz w:val="21"/>
          <w:szCs w:val="21"/>
          <w:highlight w:val="none"/>
        </w:rPr>
        <w:t xml:space="preserve">  </w:t>
      </w:r>
      <w:bookmarkStart w:id="443" w:name="_Toc318581157"/>
    </w:p>
    <w:p w14:paraId="29FD9B2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50A8934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443"/>
    <w:p w14:paraId="70BD1100">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14:paraId="07C3A34C">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50F73A2">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4990B1">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AB58EF">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44BD80">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E21853">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68ED3AD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14:paraId="1CEBDA97">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14:paraId="4244DDD8">
      <w:pPr>
        <w:spacing w:before="120" w:after="120" w:line="360" w:lineRule="auto"/>
        <w:outlineLvl w:val="9"/>
        <w:rPr>
          <w:rFonts w:hint="eastAsia" w:ascii="宋体" w:hAnsi="宋体" w:eastAsia="宋体" w:cs="宋体"/>
          <w:b w:val="0"/>
          <w:color w:val="auto"/>
          <w:sz w:val="21"/>
          <w:szCs w:val="21"/>
          <w:highlight w:val="none"/>
        </w:rPr>
      </w:pPr>
      <w:bookmarkStart w:id="444" w:name="_Toc351203634"/>
      <w:r>
        <w:rPr>
          <w:rFonts w:hint="eastAsia" w:ascii="宋体" w:hAnsi="宋体" w:eastAsia="宋体" w:cs="宋体"/>
          <w:b w:val="0"/>
          <w:color w:val="auto"/>
          <w:sz w:val="21"/>
          <w:szCs w:val="21"/>
          <w:highlight w:val="none"/>
        </w:rPr>
        <w:t>2</w:t>
      </w:r>
      <w:bookmarkStart w:id="445" w:name="_Toc297120457"/>
      <w:bookmarkStart w:id="446" w:name="_Toc296503157"/>
      <w:bookmarkStart w:id="447" w:name="_Toc292559867"/>
      <w:bookmarkStart w:id="448" w:name="_Toc296891197"/>
      <w:bookmarkStart w:id="449" w:name="_Toc296890985"/>
      <w:bookmarkStart w:id="450" w:name="_Toc292559362"/>
      <w:bookmarkStart w:id="451" w:name="_Toc296944496"/>
      <w:bookmarkStart w:id="452" w:name="_Toc296347156"/>
      <w:bookmarkStart w:id="453" w:name="_Toc297048343"/>
      <w:bookmarkStart w:id="454" w:name="_Toc296346658"/>
      <w:r>
        <w:rPr>
          <w:rFonts w:hint="eastAsia" w:ascii="宋体" w:hAnsi="宋体" w:eastAsia="宋体" w:cs="宋体"/>
          <w:b w:val="0"/>
          <w:color w:val="auto"/>
          <w:sz w:val="21"/>
          <w:szCs w:val="21"/>
          <w:highlight w:val="none"/>
        </w:rPr>
        <w:t>. 发包人</w:t>
      </w:r>
      <w:bookmarkEnd w:id="444"/>
    </w:p>
    <w:bookmarkEnd w:id="445"/>
    <w:bookmarkEnd w:id="446"/>
    <w:bookmarkEnd w:id="447"/>
    <w:bookmarkEnd w:id="448"/>
    <w:bookmarkEnd w:id="449"/>
    <w:bookmarkEnd w:id="450"/>
    <w:bookmarkEnd w:id="451"/>
    <w:bookmarkEnd w:id="452"/>
    <w:bookmarkEnd w:id="453"/>
    <w:bookmarkEnd w:id="454"/>
    <w:p w14:paraId="5FA988E1">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4472035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4D682A1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6BACE52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386AE7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36E3D3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1025759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341DC38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99A126D">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3CE44F">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302A144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56DD7A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F8DFE4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3C1FE29">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38238A">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6311EA0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E251A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7617083">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B5A6CE7">
      <w:pPr>
        <w:spacing w:before="120" w:after="120" w:line="360" w:lineRule="auto"/>
        <w:outlineLvl w:val="9"/>
        <w:rPr>
          <w:rFonts w:hint="eastAsia" w:ascii="宋体" w:hAnsi="宋体" w:eastAsia="宋体" w:cs="宋体"/>
          <w:b w:val="0"/>
          <w:color w:val="auto"/>
          <w:sz w:val="21"/>
          <w:szCs w:val="21"/>
          <w:highlight w:val="none"/>
        </w:rPr>
      </w:pPr>
      <w:bookmarkStart w:id="455" w:name="_Toc351203635"/>
      <w:r>
        <w:rPr>
          <w:rFonts w:hint="eastAsia" w:ascii="宋体" w:hAnsi="宋体" w:eastAsia="宋体" w:cs="宋体"/>
          <w:b w:val="0"/>
          <w:color w:val="auto"/>
          <w:sz w:val="21"/>
          <w:szCs w:val="21"/>
          <w:highlight w:val="none"/>
        </w:rPr>
        <w:t>3</w:t>
      </w:r>
      <w:bookmarkStart w:id="456" w:name="_Toc296891198"/>
      <w:bookmarkStart w:id="457" w:name="_Toc297120458"/>
      <w:bookmarkStart w:id="458" w:name="_Toc297048344"/>
      <w:bookmarkStart w:id="459" w:name="_Toc292559363"/>
      <w:bookmarkStart w:id="460" w:name="_Toc296944497"/>
      <w:bookmarkStart w:id="461" w:name="_Toc296346659"/>
      <w:bookmarkStart w:id="462" w:name="_Toc292559868"/>
      <w:bookmarkStart w:id="463" w:name="_Toc296503158"/>
      <w:bookmarkStart w:id="464" w:name="_Toc296347157"/>
      <w:bookmarkStart w:id="465" w:name="_Toc296890986"/>
      <w:r>
        <w:rPr>
          <w:rFonts w:hint="eastAsia" w:ascii="宋体" w:hAnsi="宋体" w:eastAsia="宋体" w:cs="宋体"/>
          <w:b w:val="0"/>
          <w:color w:val="auto"/>
          <w:sz w:val="21"/>
          <w:szCs w:val="21"/>
          <w:highlight w:val="none"/>
        </w:rPr>
        <w:t>. 承包人</w:t>
      </w:r>
      <w:bookmarkEnd w:id="455"/>
    </w:p>
    <w:bookmarkEnd w:id="456"/>
    <w:bookmarkEnd w:id="457"/>
    <w:bookmarkEnd w:id="458"/>
    <w:bookmarkEnd w:id="459"/>
    <w:bookmarkEnd w:id="460"/>
    <w:bookmarkEnd w:id="461"/>
    <w:bookmarkEnd w:id="462"/>
    <w:bookmarkEnd w:id="463"/>
    <w:bookmarkEnd w:id="464"/>
    <w:bookmarkEnd w:id="465"/>
    <w:p w14:paraId="18BF6351">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5A931A47">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BD85A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61F2DC">
      <w:pPr>
        <w:spacing w:line="360" w:lineRule="auto"/>
        <w:ind w:left="638" w:leftChars="304"/>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A3A3DC">
      <w:pPr>
        <w:spacing w:line="360" w:lineRule="auto"/>
        <w:ind w:left="638" w:leftChars="304"/>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F49F6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17176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1156BB">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14:paraId="1D2264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43D78DE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6C038FA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A19680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C760F8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1E1B3A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5E6B8A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1AFFE3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3656B9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B6D56E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CE4A58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4CA492">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A8912F2">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08A394">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D9FED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12F3E9D">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3.2.4 承包人无正当理由拒绝更换项目经理的违约责任：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F762E0">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073CF95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6CB9ED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 xml:space="preserve">                                              </w:t>
      </w:r>
      <w:r>
        <w:rPr>
          <w:rFonts w:hint="eastAsia" w:ascii="宋体" w:hAnsi="宋体" w:eastAsia="宋体" w:cs="宋体"/>
          <w:color w:val="auto"/>
          <w:sz w:val="21"/>
          <w:szCs w:val="21"/>
          <w:highlight w:val="none"/>
        </w:rPr>
        <w:t>。</w:t>
      </w:r>
    </w:p>
    <w:p w14:paraId="4026E85F">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3.3.4 承包人主要施工管理人员离开施工现场的批准要求：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E1C55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4B88D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C3FBE20">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66" w:name="_Toc297120459"/>
      <w:bookmarkStart w:id="467" w:name="_Toc297216151"/>
      <w:bookmarkStart w:id="468" w:name="_Toc296944498"/>
      <w:bookmarkStart w:id="469" w:name="_Toc297048345"/>
      <w:bookmarkStart w:id="470" w:name="_Toc297123492"/>
      <w:bookmarkStart w:id="471" w:name="_Toc303539102"/>
      <w:bookmarkStart w:id="472" w:name="_Toc292559364"/>
      <w:bookmarkStart w:id="473" w:name="_Toc304295523"/>
      <w:bookmarkStart w:id="474" w:name="_Toc296890987"/>
      <w:bookmarkStart w:id="475" w:name="_Toc296347158"/>
      <w:bookmarkStart w:id="476" w:name="_Toc292559869"/>
      <w:bookmarkStart w:id="477" w:name="_Toc296891199"/>
      <w:bookmarkStart w:id="478" w:name="_Toc296346660"/>
      <w:bookmarkStart w:id="479" w:name="_Toc300934945"/>
      <w:bookmarkStart w:id="480" w:name="_Toc296503159"/>
      <w:bookmarkStart w:id="481" w:name="_Toc312677988"/>
      <w:r>
        <w:rPr>
          <w:rFonts w:hint="eastAsia" w:ascii="宋体" w:hAnsi="宋体" w:eastAsia="宋体" w:cs="宋体"/>
          <w:color w:val="auto"/>
          <w:sz w:val="21"/>
          <w:szCs w:val="21"/>
          <w:highlight w:val="none"/>
        </w:rPr>
        <w:t>.5 分包</w:t>
      </w:r>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3533D2B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82" w:name="_Toc304295524"/>
      <w:bookmarkStart w:id="483" w:name="_Toc292559870"/>
      <w:bookmarkStart w:id="484" w:name="_Toc296944499"/>
      <w:bookmarkStart w:id="485" w:name="_Toc296891200"/>
      <w:bookmarkStart w:id="486" w:name="_Toc292559365"/>
      <w:bookmarkStart w:id="487" w:name="_Toc296346661"/>
      <w:bookmarkStart w:id="488" w:name="_Toc297120460"/>
      <w:bookmarkStart w:id="489" w:name="_Toc303539103"/>
      <w:bookmarkStart w:id="490" w:name="_Toc296890988"/>
      <w:bookmarkStart w:id="491" w:name="_Toc296503160"/>
      <w:bookmarkStart w:id="492" w:name="_Toc300934946"/>
      <w:bookmarkStart w:id="493" w:name="_Toc297216152"/>
      <w:bookmarkStart w:id="494" w:name="_Toc297048346"/>
      <w:bookmarkStart w:id="495" w:name="_Toc297123493"/>
      <w:bookmarkStart w:id="496" w:name="_Toc296347159"/>
      <w:bookmarkStart w:id="497" w:name="_Toc318581158"/>
      <w:bookmarkStart w:id="498" w:name="_Toc312677989"/>
      <w:r>
        <w:rPr>
          <w:rFonts w:hint="eastAsia" w:ascii="宋体" w:hAnsi="宋体" w:eastAsia="宋体" w:cs="宋体"/>
          <w:color w:val="auto"/>
          <w:sz w:val="21"/>
          <w:szCs w:val="21"/>
          <w:highlight w:val="none"/>
        </w:rPr>
        <w:t>.5.1 分包的一般约定</w:t>
      </w:r>
    </w:p>
    <w:p w14:paraId="0E585E0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4B9B0E">
      <w:pPr>
        <w:spacing w:line="360" w:lineRule="auto"/>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Start w:id="499" w:name="_Toc303539104"/>
      <w:bookmarkStart w:id="500" w:name="_Toc297048347"/>
      <w:bookmarkStart w:id="501" w:name="_Toc296890989"/>
      <w:bookmarkStart w:id="502" w:name="_Toc296347160"/>
      <w:bookmarkStart w:id="503" w:name="_Toc297123494"/>
      <w:bookmarkStart w:id="504" w:name="_Toc296944500"/>
      <w:bookmarkStart w:id="505" w:name="_Toc296503161"/>
      <w:bookmarkStart w:id="506" w:name="_Toc297120461"/>
      <w:bookmarkStart w:id="507" w:name="_Toc304295525"/>
      <w:bookmarkStart w:id="508" w:name="_Toc296891201"/>
      <w:bookmarkStart w:id="509" w:name="_Toc297216153"/>
      <w:bookmarkStart w:id="510" w:name="_Toc296346662"/>
      <w:bookmarkStart w:id="511" w:name="_Toc300934947"/>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14:paraId="1F007EB0">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w:t>
      </w:r>
      <w:bookmarkStart w:id="512" w:name="_Toc318581159"/>
      <w:bookmarkStart w:id="513" w:name="_Toc312677990"/>
      <w:r>
        <w:rPr>
          <w:rFonts w:hint="eastAsia" w:ascii="宋体" w:hAnsi="宋体" w:eastAsia="宋体" w:cs="宋体"/>
          <w:color w:val="auto"/>
          <w:sz w:val="21"/>
          <w:szCs w:val="21"/>
          <w:highlight w:val="none"/>
        </w:rPr>
        <w:t>.5.2分包的确定</w:t>
      </w:r>
    </w:p>
    <w:p w14:paraId="2FBDF7AA">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46A2A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B38D7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409CD78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12"/>
    <w:bookmarkEnd w:id="513"/>
    <w:p w14:paraId="51164D9B">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14:paraId="77C939E6">
      <w:pPr>
        <w:spacing w:before="120" w:after="120" w:line="360" w:lineRule="auto"/>
        <w:ind w:firstLine="420" w:firstLineChars="200"/>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79A568">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725AED9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D6ADB1">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47D50">
      <w:pPr>
        <w:spacing w:before="120" w:after="120" w:line="360" w:lineRule="auto"/>
        <w:outlineLvl w:val="9"/>
        <w:rPr>
          <w:rFonts w:hint="eastAsia" w:ascii="宋体" w:hAnsi="宋体" w:eastAsia="宋体" w:cs="宋体"/>
          <w:b w:val="0"/>
          <w:color w:val="auto"/>
          <w:sz w:val="21"/>
          <w:szCs w:val="21"/>
          <w:highlight w:val="none"/>
        </w:rPr>
      </w:pPr>
      <w:bookmarkStart w:id="514" w:name="_Toc351203636"/>
      <w:r>
        <w:rPr>
          <w:rFonts w:hint="eastAsia" w:ascii="宋体" w:hAnsi="宋体" w:eastAsia="宋体" w:cs="宋体"/>
          <w:b w:val="0"/>
          <w:color w:val="auto"/>
          <w:sz w:val="21"/>
          <w:szCs w:val="21"/>
          <w:highlight w:val="none"/>
        </w:rPr>
        <w:t>4</w:t>
      </w:r>
      <w:bookmarkStart w:id="515" w:name="_Toc296503162"/>
      <w:bookmarkStart w:id="516" w:name="_Toc267251413"/>
      <w:bookmarkStart w:id="517" w:name="_Toc296890990"/>
      <w:bookmarkStart w:id="518" w:name="_Toc292559366"/>
      <w:bookmarkStart w:id="519" w:name="_Toc292559871"/>
      <w:bookmarkStart w:id="520" w:name="_Toc296347161"/>
      <w:bookmarkStart w:id="521" w:name="_Toc296944501"/>
      <w:bookmarkStart w:id="522" w:name="_Toc297048348"/>
      <w:bookmarkStart w:id="523" w:name="_Toc297120462"/>
      <w:bookmarkStart w:id="524" w:name="_Toc296891202"/>
      <w:bookmarkStart w:id="525" w:name="_Toc296346663"/>
      <w:r>
        <w:rPr>
          <w:rFonts w:hint="eastAsia" w:ascii="宋体" w:hAnsi="宋体" w:eastAsia="宋体" w:cs="宋体"/>
          <w:b w:val="0"/>
          <w:color w:val="auto"/>
          <w:sz w:val="21"/>
          <w:szCs w:val="21"/>
          <w:highlight w:val="none"/>
        </w:rPr>
        <w:t>. 监</w:t>
      </w:r>
      <w:bookmarkEnd w:id="515"/>
      <w:bookmarkEnd w:id="516"/>
      <w:bookmarkEnd w:id="517"/>
      <w:bookmarkEnd w:id="518"/>
      <w:bookmarkEnd w:id="519"/>
      <w:bookmarkEnd w:id="520"/>
      <w:bookmarkEnd w:id="521"/>
      <w:bookmarkEnd w:id="522"/>
      <w:bookmarkEnd w:id="523"/>
      <w:bookmarkEnd w:id="524"/>
      <w:bookmarkEnd w:id="525"/>
      <w:r>
        <w:rPr>
          <w:rFonts w:hint="eastAsia" w:ascii="宋体" w:hAnsi="宋体" w:eastAsia="宋体" w:cs="宋体"/>
          <w:b w:val="0"/>
          <w:color w:val="auto"/>
          <w:sz w:val="21"/>
          <w:szCs w:val="21"/>
          <w:highlight w:val="none"/>
        </w:rPr>
        <w:t>理人</w:t>
      </w:r>
      <w:bookmarkEnd w:id="514"/>
    </w:p>
    <w:p w14:paraId="7E042E19">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02AFDEE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6F5E5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588F48F">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32D4B5">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35F67F3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22700E5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5564C2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948804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96B3E0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D6ACB2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A5B55E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6A76FA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FA61208">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5B4F8F7F">
      <w:pPr>
        <w:spacing w:line="360" w:lineRule="auto"/>
        <w:ind w:firstLine="420" w:firstLineChars="200"/>
        <w:outlineLvl w:val="9"/>
        <w:rPr>
          <w:rFonts w:hint="eastAsia" w:ascii="宋体" w:hAnsi="宋体" w:eastAsia="宋体" w:cs="宋体"/>
          <w:color w:val="auto"/>
          <w:sz w:val="21"/>
          <w:szCs w:val="21"/>
          <w:highlight w:val="none"/>
        </w:rPr>
      </w:pPr>
      <w:bookmarkStart w:id="526"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27AA6EE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BE8AD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625C3C">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BF3191">
      <w:pPr>
        <w:spacing w:before="120" w:after="120" w:line="360" w:lineRule="auto"/>
        <w:outlineLvl w:val="9"/>
        <w:rPr>
          <w:rFonts w:hint="eastAsia" w:ascii="宋体" w:hAnsi="宋体" w:eastAsia="宋体" w:cs="宋体"/>
          <w:b w:val="0"/>
          <w:color w:val="auto"/>
          <w:sz w:val="21"/>
          <w:szCs w:val="21"/>
          <w:highlight w:val="none"/>
        </w:rPr>
      </w:pPr>
      <w:bookmarkStart w:id="527" w:name="_Toc351203637"/>
      <w:r>
        <w:rPr>
          <w:rFonts w:hint="eastAsia" w:ascii="宋体" w:hAnsi="宋体" w:eastAsia="宋体" w:cs="宋体"/>
          <w:b w:val="0"/>
          <w:color w:val="auto"/>
          <w:sz w:val="21"/>
          <w:szCs w:val="21"/>
          <w:highlight w:val="none"/>
        </w:rPr>
        <w:t>5</w:t>
      </w:r>
      <w:bookmarkEnd w:id="526"/>
      <w:bookmarkStart w:id="528" w:name="_Toc296346664"/>
      <w:bookmarkStart w:id="529" w:name="_Toc297120463"/>
      <w:bookmarkStart w:id="530" w:name="_Toc292559872"/>
      <w:bookmarkStart w:id="531" w:name="_Toc296503163"/>
      <w:bookmarkStart w:id="532" w:name="_Toc296890991"/>
      <w:bookmarkStart w:id="533" w:name="_Toc296347162"/>
      <w:bookmarkStart w:id="534" w:name="_Toc296891203"/>
      <w:bookmarkStart w:id="535" w:name="_Toc292559367"/>
      <w:bookmarkStart w:id="536" w:name="_Toc296944502"/>
      <w:bookmarkStart w:id="537" w:name="_Toc297048349"/>
      <w:r>
        <w:rPr>
          <w:rFonts w:hint="eastAsia" w:ascii="宋体" w:hAnsi="宋体" w:eastAsia="宋体" w:cs="宋体"/>
          <w:b w:val="0"/>
          <w:color w:val="auto"/>
          <w:sz w:val="21"/>
          <w:szCs w:val="21"/>
          <w:highlight w:val="none"/>
        </w:rPr>
        <w:t>. 工程质量</w:t>
      </w:r>
      <w:bookmarkEnd w:id="527"/>
    </w:p>
    <w:p w14:paraId="7ED0AD5C">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713E0F92">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538" w:name="_Toc297216155"/>
      <w:bookmarkStart w:id="539" w:name="_Toc312677997"/>
      <w:bookmarkStart w:id="540" w:name="_Toc300934949"/>
      <w:bookmarkStart w:id="541" w:name="_Toc303539106"/>
      <w:bookmarkStart w:id="542" w:name="_Toc297123496"/>
      <w:bookmarkStart w:id="543" w:name="_Toc304295527"/>
      <w:bookmarkStart w:id="544"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4368AB">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0B3325">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722572FF">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D8743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D2FA86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3C97E434">
      <w:pPr>
        <w:spacing w:before="120" w:after="120" w:line="360" w:lineRule="auto"/>
        <w:outlineLvl w:val="9"/>
        <w:rPr>
          <w:rFonts w:hint="eastAsia" w:ascii="宋体" w:hAnsi="宋体" w:eastAsia="宋体" w:cs="宋体"/>
          <w:b w:val="0"/>
          <w:color w:val="auto"/>
          <w:sz w:val="21"/>
          <w:szCs w:val="21"/>
          <w:highlight w:val="none"/>
        </w:rPr>
      </w:pPr>
      <w:bookmarkStart w:id="545" w:name="_Toc351203638"/>
      <w:r>
        <w:rPr>
          <w:rFonts w:hint="eastAsia" w:ascii="宋体" w:hAnsi="宋体" w:eastAsia="宋体" w:cs="宋体"/>
          <w:b w:val="0"/>
          <w:color w:val="auto"/>
          <w:sz w:val="21"/>
          <w:szCs w:val="21"/>
          <w:highlight w:val="none"/>
        </w:rPr>
        <w:t>6. 安全文明施工与环境保护</w:t>
      </w:r>
      <w:bookmarkEnd w:id="545"/>
    </w:p>
    <w:p w14:paraId="093B07D6">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225304C2">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5474E4">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FF4D1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A12D95">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3482F0C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D3F4FC">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38"/>
    <w:bookmarkEnd w:id="539"/>
    <w:bookmarkEnd w:id="540"/>
    <w:bookmarkEnd w:id="541"/>
    <w:bookmarkEnd w:id="542"/>
    <w:bookmarkEnd w:id="543"/>
    <w:bookmarkEnd w:id="544"/>
    <w:p w14:paraId="3E5E2EDB">
      <w:pPr>
        <w:spacing w:before="120" w:after="120" w:line="360" w:lineRule="auto"/>
        <w:outlineLvl w:val="9"/>
        <w:rPr>
          <w:rFonts w:hint="eastAsia" w:ascii="宋体" w:hAnsi="宋体" w:eastAsia="宋体" w:cs="宋体"/>
          <w:b w:val="0"/>
          <w:color w:val="auto"/>
          <w:sz w:val="21"/>
          <w:szCs w:val="21"/>
          <w:highlight w:val="none"/>
        </w:rPr>
      </w:pPr>
      <w:bookmarkStart w:id="546" w:name="_Toc351203639"/>
      <w:r>
        <w:rPr>
          <w:rFonts w:hint="eastAsia" w:ascii="宋体" w:hAnsi="宋体" w:eastAsia="宋体" w:cs="宋体"/>
          <w:b w:val="0"/>
          <w:color w:val="auto"/>
          <w:sz w:val="21"/>
          <w:szCs w:val="21"/>
          <w:highlight w:val="none"/>
        </w:rPr>
        <w:t>7. 工期和进度</w:t>
      </w:r>
      <w:bookmarkEnd w:id="546"/>
    </w:p>
    <w:p w14:paraId="00805D34">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205B1BD4">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9800A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1F15F5CF">
      <w:pPr>
        <w:autoSpaceDE w:val="0"/>
        <w:autoSpaceDN w:val="0"/>
        <w:adjustRightIn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E4070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C14C4B">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547" w:name="_Toc297216173"/>
      <w:bookmarkStart w:id="548" w:name="_Toc312678005"/>
      <w:bookmarkStart w:id="549" w:name="_Toc304295541"/>
      <w:bookmarkStart w:id="550" w:name="_Toc303539123"/>
      <w:bookmarkStart w:id="551" w:name="_Toc312677479"/>
      <w:bookmarkStart w:id="552" w:name="_Toc300934966"/>
      <w:bookmarkStart w:id="553" w:name="_Toc297123514"/>
      <w:r>
        <w:rPr>
          <w:rFonts w:hint="eastAsia" w:ascii="宋体" w:hAnsi="宋体" w:eastAsia="宋体" w:cs="宋体"/>
          <w:color w:val="auto"/>
          <w:sz w:val="21"/>
          <w:szCs w:val="21"/>
          <w:highlight w:val="none"/>
        </w:rPr>
        <w:t>.2 施工进度计划</w:t>
      </w:r>
    </w:p>
    <w:p w14:paraId="4C0D5F0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262AA20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3A6169">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08A84DC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02CA735B">
      <w:pPr>
        <w:spacing w:line="360" w:lineRule="auto"/>
        <w:ind w:firstLine="645"/>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F713FA">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9A18C2">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21DFF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514595E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547"/>
    <w:bookmarkEnd w:id="548"/>
    <w:bookmarkEnd w:id="549"/>
    <w:bookmarkEnd w:id="550"/>
    <w:bookmarkEnd w:id="551"/>
    <w:bookmarkEnd w:id="552"/>
    <w:bookmarkEnd w:id="553"/>
    <w:p w14:paraId="12A2342A">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1AF12B27">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2EDD5B">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554" w:name="_Toc300934968"/>
      <w:bookmarkStart w:id="555" w:name="_Toc297216175"/>
      <w:bookmarkStart w:id="556" w:name="_Toc312678010"/>
      <w:bookmarkStart w:id="557" w:name="_Toc297123516"/>
      <w:bookmarkStart w:id="558" w:name="_Toc303539125"/>
      <w:bookmarkStart w:id="559" w:name="_Toc304295546"/>
      <w:bookmarkStart w:id="560" w:name="_Toc312677484"/>
      <w:r>
        <w:rPr>
          <w:rFonts w:hint="eastAsia" w:ascii="宋体" w:hAnsi="宋体" w:eastAsia="宋体" w:cs="宋体"/>
          <w:color w:val="auto"/>
          <w:sz w:val="21"/>
          <w:szCs w:val="21"/>
          <w:highlight w:val="none"/>
        </w:rPr>
        <w:t>.5 工期延误</w:t>
      </w:r>
    </w:p>
    <w:bookmarkEnd w:id="554"/>
    <w:bookmarkEnd w:id="555"/>
    <w:bookmarkEnd w:id="556"/>
    <w:bookmarkEnd w:id="557"/>
    <w:bookmarkEnd w:id="558"/>
    <w:bookmarkEnd w:id="559"/>
    <w:bookmarkEnd w:id="560"/>
    <w:p w14:paraId="38EB2D7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79C3045E">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A51CA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561" w:name="_Toc312678012"/>
      <w:bookmarkStart w:id="562" w:name="_Toc318581169"/>
      <w:bookmarkStart w:id="563" w:name="_Toc312677486"/>
      <w:bookmarkStart w:id="564" w:name="_Toc304295548"/>
      <w:bookmarkStart w:id="565" w:name="_Toc303539127"/>
      <w:bookmarkStart w:id="566" w:name="_Toc300934970"/>
      <w:bookmarkStart w:id="567" w:name="_Toc297216177"/>
      <w:bookmarkStart w:id="568" w:name="_Toc297123518"/>
      <w:r>
        <w:rPr>
          <w:rFonts w:hint="eastAsia" w:ascii="宋体" w:hAnsi="宋体" w:eastAsia="宋体" w:cs="宋体"/>
          <w:color w:val="auto"/>
          <w:sz w:val="21"/>
          <w:szCs w:val="21"/>
          <w:highlight w:val="none"/>
        </w:rPr>
        <w:t>.5.2 因承包人原因导致工期延误</w:t>
      </w:r>
    </w:p>
    <w:bookmarkEnd w:id="561"/>
    <w:bookmarkEnd w:id="562"/>
    <w:bookmarkEnd w:id="563"/>
    <w:p w14:paraId="0C24936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569" w:name="_Toc312677487"/>
      <w:bookmarkStart w:id="570" w:name="_Toc312678013"/>
      <w:bookmarkStart w:id="571" w:name="_Toc318581170"/>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564"/>
      <w:bookmarkEnd w:id="565"/>
      <w:bookmarkEnd w:id="566"/>
      <w:bookmarkEnd w:id="567"/>
      <w:bookmarkEnd w:id="568"/>
      <w:bookmarkEnd w:id="569"/>
      <w:bookmarkEnd w:id="570"/>
    </w:p>
    <w:bookmarkEnd w:id="571"/>
    <w:p w14:paraId="742676B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572" w:name="_Toc318581171"/>
      <w:bookmarkStart w:id="573" w:name="_Toc312678014"/>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72"/>
    <w:bookmarkEnd w:id="573"/>
    <w:p w14:paraId="7F67A44E">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574" w:name="_Toc297216178"/>
      <w:bookmarkStart w:id="575" w:name="_Toc297123519"/>
      <w:bookmarkStart w:id="576" w:name="_Toc300934971"/>
      <w:bookmarkStart w:id="577" w:name="_Toc304295549"/>
      <w:bookmarkStart w:id="578" w:name="_Toc312678015"/>
      <w:bookmarkStart w:id="579" w:name="_Toc303539128"/>
      <w:r>
        <w:rPr>
          <w:rFonts w:hint="eastAsia" w:ascii="宋体" w:hAnsi="宋体" w:eastAsia="宋体" w:cs="宋体"/>
          <w:color w:val="auto"/>
          <w:sz w:val="21"/>
          <w:szCs w:val="21"/>
          <w:highlight w:val="none"/>
        </w:rPr>
        <w:t>.6 不</w:t>
      </w:r>
      <w:bookmarkEnd w:id="574"/>
      <w:bookmarkEnd w:id="575"/>
      <w:bookmarkEnd w:id="576"/>
      <w:bookmarkEnd w:id="577"/>
      <w:bookmarkEnd w:id="578"/>
      <w:bookmarkEnd w:id="579"/>
      <w:r>
        <w:rPr>
          <w:rFonts w:hint="eastAsia" w:ascii="宋体" w:hAnsi="宋体" w:eastAsia="宋体" w:cs="宋体"/>
          <w:color w:val="auto"/>
          <w:sz w:val="21"/>
          <w:szCs w:val="21"/>
          <w:highlight w:val="none"/>
        </w:rPr>
        <w:t>利物质条件</w:t>
      </w:r>
    </w:p>
    <w:p w14:paraId="1399CAA9">
      <w:pPr>
        <w:spacing w:line="360" w:lineRule="auto"/>
        <w:ind w:firstLine="630" w:firstLineChars="300"/>
        <w:jc w:val="left"/>
        <w:outlineLvl w:val="9"/>
        <w:rPr>
          <w:rFonts w:hint="eastAsia" w:ascii="宋体" w:hAnsi="宋体" w:eastAsia="宋体" w:cs="宋体"/>
          <w:color w:val="auto"/>
          <w:sz w:val="21"/>
          <w:szCs w:val="21"/>
          <w:highlight w:val="none"/>
        </w:rPr>
      </w:pPr>
      <w:bookmarkStart w:id="580" w:name="_Toc297123520"/>
      <w:bookmarkStart w:id="581" w:name="_Toc304295550"/>
      <w:bookmarkStart w:id="582" w:name="_Toc300934972"/>
      <w:bookmarkStart w:id="583" w:name="_Toc318581172"/>
      <w:bookmarkStart w:id="584" w:name="_Toc312678016"/>
      <w:bookmarkStart w:id="585" w:name="_Toc303539129"/>
      <w:bookmarkStart w:id="586" w:name="_Toc297216179"/>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80"/>
    <w:bookmarkEnd w:id="581"/>
    <w:bookmarkEnd w:id="582"/>
    <w:bookmarkEnd w:id="583"/>
    <w:bookmarkEnd w:id="584"/>
    <w:bookmarkEnd w:id="585"/>
    <w:bookmarkEnd w:id="586"/>
    <w:p w14:paraId="181F2FD9">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587" w:name="_Toc304295551"/>
      <w:bookmarkStart w:id="588" w:name="_Toc303539130"/>
      <w:bookmarkStart w:id="589" w:name="_Toc300934973"/>
      <w:bookmarkStart w:id="590" w:name="_Toc297216180"/>
      <w:bookmarkStart w:id="591" w:name="_Toc297123521"/>
      <w:bookmarkStart w:id="592" w:name="_Toc312678017"/>
      <w:r>
        <w:rPr>
          <w:rFonts w:hint="eastAsia" w:ascii="宋体" w:hAnsi="宋体" w:eastAsia="宋体" w:cs="宋体"/>
          <w:color w:val="auto"/>
          <w:sz w:val="21"/>
          <w:szCs w:val="21"/>
          <w:highlight w:val="none"/>
        </w:rPr>
        <w:t>.7异常恶劣的气候条件</w:t>
      </w:r>
    </w:p>
    <w:bookmarkEnd w:id="587"/>
    <w:bookmarkEnd w:id="588"/>
    <w:bookmarkEnd w:id="589"/>
    <w:bookmarkEnd w:id="590"/>
    <w:bookmarkEnd w:id="591"/>
    <w:bookmarkEnd w:id="592"/>
    <w:p w14:paraId="1695D92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23A2E54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41EBA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4C63B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BFAC21">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3E0EF46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5209DE">
      <w:pPr>
        <w:spacing w:before="120" w:after="120" w:line="360" w:lineRule="auto"/>
        <w:outlineLvl w:val="9"/>
        <w:rPr>
          <w:rFonts w:hint="eastAsia" w:ascii="宋体" w:hAnsi="宋体" w:eastAsia="宋体" w:cs="宋体"/>
          <w:b w:val="0"/>
          <w:color w:val="auto"/>
          <w:sz w:val="21"/>
          <w:szCs w:val="21"/>
          <w:highlight w:val="none"/>
        </w:rPr>
      </w:pPr>
      <w:bookmarkStart w:id="593" w:name="_Toc351203640"/>
      <w:r>
        <w:rPr>
          <w:rFonts w:hint="eastAsia" w:ascii="宋体" w:hAnsi="宋体" w:eastAsia="宋体" w:cs="宋体"/>
          <w:b w:val="0"/>
          <w:color w:val="auto"/>
          <w:sz w:val="21"/>
          <w:szCs w:val="21"/>
          <w:highlight w:val="none"/>
        </w:rPr>
        <w:t>8. 材料与设备</w:t>
      </w:r>
      <w:bookmarkEnd w:id="593"/>
    </w:p>
    <w:bookmarkEnd w:id="528"/>
    <w:bookmarkEnd w:id="529"/>
    <w:bookmarkEnd w:id="530"/>
    <w:bookmarkEnd w:id="531"/>
    <w:bookmarkEnd w:id="532"/>
    <w:bookmarkEnd w:id="533"/>
    <w:bookmarkEnd w:id="534"/>
    <w:bookmarkEnd w:id="535"/>
    <w:bookmarkEnd w:id="536"/>
    <w:bookmarkEnd w:id="537"/>
    <w:p w14:paraId="61CAB6FC">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594" w:name="_Toc297120467"/>
      <w:bookmarkStart w:id="595" w:name="_Toc292559372"/>
      <w:bookmarkStart w:id="596" w:name="_Toc292559877"/>
      <w:bookmarkStart w:id="597" w:name="_Toc297048353"/>
      <w:bookmarkStart w:id="598" w:name="_Toc296503167"/>
      <w:bookmarkStart w:id="599" w:name="_Toc297123527"/>
      <w:bookmarkStart w:id="600" w:name="_Toc280868654"/>
      <w:bookmarkStart w:id="601" w:name="_Toc303539136"/>
      <w:bookmarkStart w:id="602" w:name="_Toc296890995"/>
      <w:bookmarkStart w:id="603" w:name="_Toc297216186"/>
      <w:bookmarkStart w:id="604" w:name="_Toc304295556"/>
      <w:bookmarkStart w:id="605" w:name="_Toc296347166"/>
      <w:bookmarkStart w:id="606" w:name="_Toc312677493"/>
      <w:bookmarkStart w:id="607" w:name="_Toc296891207"/>
      <w:bookmarkStart w:id="608" w:name="_Toc312678019"/>
      <w:bookmarkStart w:id="609" w:name="_Toc296944506"/>
      <w:bookmarkStart w:id="610" w:name="_Toc296346668"/>
      <w:bookmarkStart w:id="611" w:name="_Toc300934979"/>
      <w:bookmarkStart w:id="612" w:name="_Toc267251424"/>
      <w:bookmarkStart w:id="613" w:name="_Toc280868655"/>
      <w:bookmarkStart w:id="614" w:name="_Toc280868656"/>
      <w:r>
        <w:rPr>
          <w:rFonts w:hint="eastAsia" w:ascii="宋体" w:hAnsi="宋体" w:eastAsia="宋体" w:cs="宋体"/>
          <w:color w:val="auto"/>
          <w:sz w:val="21"/>
          <w:szCs w:val="21"/>
          <w:highlight w:val="none"/>
        </w:rPr>
        <w:t>.4材料与工程设备的保管与使用</w:t>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3A5559A1">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615" w:name="_Toc292559373"/>
      <w:bookmarkStart w:id="616" w:name="_Toc292559878"/>
      <w:bookmarkStart w:id="617" w:name="_Toc312678020"/>
      <w:bookmarkStart w:id="618" w:name="_Toc297216187"/>
      <w:bookmarkStart w:id="619" w:name="_Toc297120468"/>
      <w:bookmarkStart w:id="620" w:name="_Toc296503168"/>
      <w:bookmarkStart w:id="621" w:name="_Toc296891208"/>
      <w:bookmarkStart w:id="622" w:name="_Toc303539137"/>
      <w:bookmarkStart w:id="623" w:name="_Toc297123528"/>
      <w:bookmarkStart w:id="624" w:name="_Toc296890996"/>
      <w:bookmarkStart w:id="625" w:name="_Toc304295557"/>
      <w:bookmarkStart w:id="626" w:name="_Toc296347167"/>
      <w:bookmarkStart w:id="627" w:name="_Toc296346669"/>
      <w:bookmarkStart w:id="628" w:name="_Toc296944507"/>
      <w:bookmarkStart w:id="629" w:name="_Toc312677494"/>
      <w:bookmarkStart w:id="630" w:name="_Toc297048354"/>
      <w:bookmarkStart w:id="631" w:name="_Toc318581173"/>
      <w:bookmarkStart w:id="632" w:name="_Toc300934980"/>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615"/>
      <w:bookmarkEnd w:id="616"/>
    </w:p>
    <w:p w14:paraId="7FDE4299">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2824EE10">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样品的报送与封存</w:t>
      </w:r>
    </w:p>
    <w:p w14:paraId="63232D47">
      <w:pPr>
        <w:autoSpaceDE w:val="0"/>
        <w:autoSpaceDN w:val="0"/>
        <w:adjustRightIn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73CF83">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6C42C13D">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18C294D6">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0B8D9FE">
      <w:pPr>
        <w:spacing w:before="120" w:after="120" w:line="360" w:lineRule="auto"/>
        <w:outlineLvl w:val="9"/>
        <w:rPr>
          <w:rFonts w:hint="eastAsia" w:ascii="宋体" w:hAnsi="宋体" w:eastAsia="宋体" w:cs="宋体"/>
          <w:b w:val="0"/>
          <w:color w:val="auto"/>
          <w:sz w:val="21"/>
          <w:szCs w:val="21"/>
          <w:highlight w:val="none"/>
        </w:rPr>
      </w:pPr>
      <w:bookmarkStart w:id="633" w:name="_Toc351203641"/>
      <w:r>
        <w:rPr>
          <w:rFonts w:hint="eastAsia" w:ascii="宋体" w:hAnsi="宋体" w:eastAsia="宋体" w:cs="宋体"/>
          <w:b w:val="0"/>
          <w:color w:val="auto"/>
          <w:sz w:val="21"/>
          <w:szCs w:val="21"/>
          <w:highlight w:val="none"/>
        </w:rPr>
        <w:t>9</w:t>
      </w:r>
      <w:bookmarkEnd w:id="612"/>
      <w:bookmarkEnd w:id="613"/>
      <w:bookmarkEnd w:id="614"/>
      <w:bookmarkStart w:id="634" w:name="_Toc300934982"/>
      <w:bookmarkStart w:id="635" w:name="_Toc303539139"/>
      <w:bookmarkStart w:id="636" w:name="_Toc312677495"/>
      <w:bookmarkStart w:id="637" w:name="_Toc297216192"/>
      <w:bookmarkStart w:id="638" w:name="_Toc312678021"/>
      <w:bookmarkStart w:id="639" w:name="_Toc304295559"/>
      <w:bookmarkStart w:id="640" w:name="_Toc297123533"/>
      <w:bookmarkStart w:id="641" w:name="_Toc297048359"/>
      <w:bookmarkStart w:id="642" w:name="_Toc296503173"/>
      <w:bookmarkStart w:id="643" w:name="_Toc296891001"/>
      <w:bookmarkStart w:id="644" w:name="_Toc296891213"/>
      <w:bookmarkStart w:id="645" w:name="_Toc292559883"/>
      <w:bookmarkStart w:id="646" w:name="_Toc296347172"/>
      <w:bookmarkStart w:id="647" w:name="_Toc267251427"/>
      <w:bookmarkStart w:id="648" w:name="_Toc296944512"/>
      <w:bookmarkStart w:id="649" w:name="_Toc267251428"/>
      <w:bookmarkStart w:id="650" w:name="_Toc296346674"/>
      <w:bookmarkStart w:id="651" w:name="_Toc297120473"/>
      <w:bookmarkStart w:id="652" w:name="_Toc292559378"/>
      <w:r>
        <w:rPr>
          <w:rFonts w:hint="eastAsia" w:ascii="宋体" w:hAnsi="宋体" w:eastAsia="宋体" w:cs="宋体"/>
          <w:b w:val="0"/>
          <w:color w:val="auto"/>
          <w:sz w:val="21"/>
          <w:szCs w:val="21"/>
          <w:highlight w:val="none"/>
        </w:rPr>
        <w:t>. 试验与检验</w:t>
      </w:r>
      <w:bookmarkEnd w:id="633"/>
    </w:p>
    <w:bookmarkEnd w:id="634"/>
    <w:bookmarkEnd w:id="635"/>
    <w:bookmarkEnd w:id="636"/>
    <w:bookmarkEnd w:id="637"/>
    <w:bookmarkEnd w:id="638"/>
    <w:bookmarkEnd w:id="639"/>
    <w:bookmarkEnd w:id="640"/>
    <w:p w14:paraId="2638843F">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653" w:name="_Toc297123534"/>
      <w:bookmarkStart w:id="654" w:name="_Toc312677496"/>
      <w:bookmarkStart w:id="655" w:name="_Toc312678022"/>
      <w:bookmarkStart w:id="656" w:name="_Toc297216193"/>
      <w:bookmarkStart w:id="657" w:name="_Toc300934983"/>
      <w:bookmarkStart w:id="658" w:name="_Toc303539140"/>
      <w:bookmarkStart w:id="659" w:name="_Toc304295560"/>
      <w:r>
        <w:rPr>
          <w:rFonts w:hint="eastAsia" w:ascii="宋体" w:hAnsi="宋体" w:eastAsia="宋体" w:cs="宋体"/>
          <w:color w:val="auto"/>
          <w:sz w:val="21"/>
          <w:szCs w:val="21"/>
          <w:highlight w:val="none"/>
        </w:rPr>
        <w:t>.1试验设备与试验人员</w:t>
      </w:r>
    </w:p>
    <w:bookmarkEnd w:id="653"/>
    <w:bookmarkEnd w:id="654"/>
    <w:bookmarkEnd w:id="655"/>
    <w:bookmarkEnd w:id="656"/>
    <w:bookmarkEnd w:id="657"/>
    <w:bookmarkEnd w:id="658"/>
    <w:bookmarkEnd w:id="659"/>
    <w:p w14:paraId="04942B7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660" w:name="_Toc297216194"/>
      <w:bookmarkStart w:id="661" w:name="_Toc300934984"/>
      <w:bookmarkStart w:id="662" w:name="_Toc303539141"/>
      <w:bookmarkStart w:id="663" w:name="_Toc304295561"/>
      <w:bookmarkStart w:id="664" w:name="_Toc312677497"/>
      <w:bookmarkStart w:id="665" w:name="_Toc312678023"/>
      <w:bookmarkStart w:id="666" w:name="_Toc297123535"/>
      <w:bookmarkStart w:id="667" w:name="_Toc318581174"/>
      <w:r>
        <w:rPr>
          <w:rFonts w:hint="eastAsia" w:ascii="宋体" w:hAnsi="宋体" w:eastAsia="宋体" w:cs="宋体"/>
          <w:color w:val="auto"/>
          <w:sz w:val="21"/>
          <w:szCs w:val="21"/>
          <w:highlight w:val="none"/>
        </w:rPr>
        <w:t>.1.2 试验设备</w:t>
      </w:r>
    </w:p>
    <w:p w14:paraId="260168F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660"/>
      <w:bookmarkEnd w:id="661"/>
      <w:bookmarkEnd w:id="662"/>
      <w:bookmarkEnd w:id="663"/>
      <w:bookmarkEnd w:id="664"/>
      <w:bookmarkEnd w:id="665"/>
      <w:bookmarkEnd w:id="666"/>
      <w:bookmarkStart w:id="668" w:name="_Toc304295562"/>
      <w:bookmarkStart w:id="669" w:name="_Toc312677498"/>
      <w:bookmarkStart w:id="670" w:name="_Toc312678024"/>
      <w:bookmarkStart w:id="671" w:name="_Toc300934985"/>
      <w:bookmarkStart w:id="672" w:name="_Toc303539142"/>
      <w:bookmarkStart w:id="673" w:name="_Toc297123536"/>
      <w:bookmarkStart w:id="674" w:name="_Toc297216195"/>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0EB0D6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E1AC4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C63BF9">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14:paraId="10218D0B">
      <w:pPr>
        <w:spacing w:line="360" w:lineRule="auto"/>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667"/>
    <w:bookmarkEnd w:id="668"/>
    <w:bookmarkEnd w:id="669"/>
    <w:bookmarkEnd w:id="670"/>
    <w:bookmarkEnd w:id="671"/>
    <w:bookmarkEnd w:id="672"/>
    <w:bookmarkEnd w:id="673"/>
    <w:bookmarkEnd w:id="674"/>
    <w:p w14:paraId="33ACA849">
      <w:pPr>
        <w:spacing w:before="120" w:after="120" w:line="360" w:lineRule="auto"/>
        <w:outlineLvl w:val="9"/>
        <w:rPr>
          <w:rFonts w:hint="eastAsia" w:ascii="宋体" w:hAnsi="宋体" w:eastAsia="宋体" w:cs="宋体"/>
          <w:b w:val="0"/>
          <w:color w:val="auto"/>
          <w:sz w:val="21"/>
          <w:szCs w:val="21"/>
          <w:highlight w:val="none"/>
        </w:rPr>
      </w:pPr>
      <w:bookmarkStart w:id="675" w:name="_Toc351203642"/>
      <w:r>
        <w:rPr>
          <w:rFonts w:hint="eastAsia" w:ascii="宋体" w:hAnsi="宋体" w:eastAsia="宋体" w:cs="宋体"/>
          <w:b w:val="0"/>
          <w:color w:val="auto"/>
          <w:sz w:val="21"/>
          <w:szCs w:val="21"/>
          <w:highlight w:val="none"/>
        </w:rPr>
        <w:t>1</w:t>
      </w:r>
      <w:bookmarkEnd w:id="641"/>
      <w:bookmarkEnd w:id="642"/>
      <w:bookmarkEnd w:id="643"/>
      <w:bookmarkEnd w:id="644"/>
      <w:bookmarkEnd w:id="645"/>
      <w:bookmarkEnd w:id="646"/>
      <w:bookmarkEnd w:id="647"/>
      <w:bookmarkEnd w:id="648"/>
      <w:bookmarkEnd w:id="649"/>
      <w:bookmarkEnd w:id="650"/>
      <w:bookmarkEnd w:id="651"/>
      <w:bookmarkEnd w:id="652"/>
      <w:bookmarkStart w:id="676" w:name="_Toc296891233"/>
      <w:bookmarkStart w:id="677" w:name="_Toc296891021"/>
      <w:bookmarkStart w:id="678" w:name="_Toc303539146"/>
      <w:bookmarkStart w:id="679" w:name="_Toc292559398"/>
      <w:bookmarkStart w:id="680" w:name="_Toc297123540"/>
      <w:bookmarkStart w:id="681" w:name="_Toc296503193"/>
      <w:bookmarkStart w:id="682" w:name="_Toc300934989"/>
      <w:bookmarkStart w:id="683" w:name="_Toc296346694"/>
      <w:bookmarkStart w:id="684" w:name="_Toc296347192"/>
      <w:bookmarkStart w:id="685" w:name="_Toc297216199"/>
      <w:bookmarkStart w:id="686" w:name="_Toc304295566"/>
      <w:bookmarkStart w:id="687" w:name="_Toc292559903"/>
      <w:bookmarkStart w:id="688" w:name="_Toc297120493"/>
      <w:bookmarkStart w:id="689" w:name="_Toc296944532"/>
      <w:bookmarkStart w:id="690" w:name="_Toc297048379"/>
      <w:bookmarkStart w:id="691" w:name="_Toc312678025"/>
      <w:bookmarkStart w:id="692" w:name="_Toc312677499"/>
      <w:bookmarkStart w:id="693" w:name="_Toc267251440"/>
      <w:bookmarkStart w:id="694" w:name="_Toc267251435"/>
      <w:bookmarkStart w:id="695" w:name="_Toc267251433"/>
      <w:bookmarkStart w:id="696" w:name="_Toc267251441"/>
      <w:bookmarkStart w:id="697" w:name="_Toc267251439"/>
      <w:bookmarkStart w:id="698" w:name="_Toc267251437"/>
      <w:bookmarkStart w:id="699" w:name="_Toc267251442"/>
      <w:r>
        <w:rPr>
          <w:rFonts w:hint="eastAsia" w:ascii="宋体" w:hAnsi="宋体" w:eastAsia="宋体" w:cs="宋体"/>
          <w:b w:val="0"/>
          <w:color w:val="auto"/>
          <w:sz w:val="21"/>
          <w:szCs w:val="21"/>
          <w:highlight w:val="none"/>
        </w:rPr>
        <w:t>0. 变更</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bookmarkEnd w:id="691"/>
    <w:bookmarkEnd w:id="692"/>
    <w:p w14:paraId="15C01696">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700" w:name="_Toc312678026"/>
      <w:bookmarkStart w:id="701" w:name="_Toc297120494"/>
      <w:bookmarkStart w:id="702" w:name="_Toc304295567"/>
      <w:bookmarkStart w:id="703" w:name="_Toc296891234"/>
      <w:bookmarkStart w:id="704" w:name="_Toc296891022"/>
      <w:bookmarkStart w:id="705" w:name="_Toc292559904"/>
      <w:bookmarkStart w:id="706" w:name="_Toc297048380"/>
      <w:bookmarkStart w:id="707" w:name="_Toc292559399"/>
      <w:bookmarkStart w:id="708" w:name="_Toc300934990"/>
      <w:bookmarkStart w:id="709" w:name="_Toc312677500"/>
      <w:bookmarkStart w:id="710" w:name="_Toc297216200"/>
      <w:bookmarkStart w:id="711" w:name="_Toc297123541"/>
      <w:bookmarkStart w:id="712" w:name="_Toc296347193"/>
      <w:bookmarkStart w:id="713" w:name="_Toc296346695"/>
      <w:bookmarkStart w:id="714" w:name="_Toc296503194"/>
      <w:bookmarkStart w:id="715" w:name="_Toc296944533"/>
      <w:bookmarkStart w:id="716" w:name="_Toc303539147"/>
      <w:r>
        <w:rPr>
          <w:rFonts w:hint="eastAsia" w:ascii="宋体" w:hAnsi="宋体" w:eastAsia="宋体" w:cs="宋体"/>
          <w:color w:val="auto"/>
          <w:sz w:val="21"/>
          <w:szCs w:val="21"/>
          <w:highlight w:val="none"/>
        </w:rPr>
        <w:t>0.1变更的范围</w:t>
      </w:r>
    </w:p>
    <w:p w14:paraId="2559982B">
      <w:pPr>
        <w:spacing w:line="360" w:lineRule="auto"/>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B8A7ED">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0F410A3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0EFA75A3">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4E6747">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Start w:id="717" w:name="_Toc292559907"/>
      <w:bookmarkStart w:id="718" w:name="_Toc292559402"/>
      <w:bookmarkStart w:id="719" w:name="_Toc297123544"/>
      <w:bookmarkStart w:id="720" w:name="_Toc296347196"/>
      <w:bookmarkStart w:id="721" w:name="_Toc296503197"/>
      <w:bookmarkStart w:id="722" w:name="_Toc297216203"/>
      <w:bookmarkStart w:id="723" w:name="_Toc296891025"/>
      <w:bookmarkStart w:id="724" w:name="_Toc296346698"/>
      <w:bookmarkStart w:id="725" w:name="_Toc297048383"/>
      <w:bookmarkStart w:id="726" w:name="_Toc296891237"/>
      <w:bookmarkStart w:id="727" w:name="_Toc296944536"/>
      <w:bookmarkStart w:id="728" w:name="_Toc297120497"/>
      <w:bookmarkStart w:id="729" w:name="_Toc303539150"/>
      <w:bookmarkStart w:id="730" w:name="_Toc300934993"/>
      <w:bookmarkStart w:id="731" w:name="_Toc312677503"/>
      <w:bookmarkStart w:id="732" w:name="_Toc304295570"/>
      <w:bookmarkStart w:id="733" w:name="_Toc312678029"/>
      <w:r>
        <w:rPr>
          <w:rFonts w:hint="eastAsia" w:ascii="宋体" w:hAnsi="宋体" w:eastAsia="宋体" w:cs="宋体"/>
          <w:color w:val="auto"/>
          <w:sz w:val="21"/>
          <w:szCs w:val="21"/>
          <w:highlight w:val="none"/>
        </w:rPr>
        <w:t>0.5承</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Start w:id="734" w:name="_Toc300934994"/>
      <w:bookmarkStart w:id="735" w:name="_Toc296891243"/>
      <w:bookmarkStart w:id="736" w:name="_Toc297216204"/>
      <w:bookmarkStart w:id="737" w:name="_Toc296944542"/>
      <w:bookmarkStart w:id="738" w:name="_Toc297123545"/>
      <w:bookmarkStart w:id="739" w:name="_Toc297048389"/>
      <w:bookmarkStart w:id="740" w:name="_Toc296347202"/>
      <w:bookmarkStart w:id="741" w:name="_Toc303539151"/>
      <w:bookmarkStart w:id="742" w:name="_Toc296891031"/>
      <w:bookmarkStart w:id="743" w:name="_Toc292559913"/>
      <w:bookmarkStart w:id="744" w:name="_Toc292559408"/>
      <w:bookmarkStart w:id="745" w:name="_Toc296503203"/>
      <w:bookmarkStart w:id="746" w:name="_Toc296346704"/>
      <w:bookmarkStart w:id="747" w:name="_Toc297120503"/>
      <w:r>
        <w:rPr>
          <w:rFonts w:hint="eastAsia" w:ascii="宋体" w:hAnsi="宋体" w:eastAsia="宋体" w:cs="宋体"/>
          <w:color w:val="auto"/>
          <w:sz w:val="21"/>
          <w:szCs w:val="21"/>
          <w:highlight w:val="none"/>
        </w:rPr>
        <w:t>包人的合理化建议</w:t>
      </w:r>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14:paraId="313195B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4316D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510A7A">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748" w:name="_Toc312677504"/>
      <w:bookmarkStart w:id="749" w:name="_Toc296944543"/>
      <w:bookmarkStart w:id="750" w:name="_Toc297048390"/>
      <w:bookmarkStart w:id="751" w:name="_Toc303539152"/>
      <w:bookmarkStart w:id="752" w:name="_Toc297120504"/>
      <w:bookmarkStart w:id="753" w:name="_Toc296891244"/>
      <w:bookmarkStart w:id="754" w:name="_Toc318581175"/>
      <w:bookmarkStart w:id="755" w:name="_Toc292559409"/>
      <w:bookmarkStart w:id="756" w:name="_Toc296891032"/>
      <w:bookmarkStart w:id="757" w:name="_Toc297216205"/>
      <w:bookmarkStart w:id="758" w:name="_Toc312678030"/>
      <w:bookmarkStart w:id="759" w:name="_Toc296347203"/>
      <w:bookmarkStart w:id="760" w:name="_Toc297123546"/>
      <w:bookmarkStart w:id="761" w:name="_Toc296346705"/>
      <w:bookmarkStart w:id="762" w:name="_Toc300934995"/>
      <w:bookmarkStart w:id="763" w:name="_Toc296503204"/>
      <w:bookmarkStart w:id="764" w:name="_Toc304295571"/>
      <w:bookmarkStart w:id="765" w:name="_Toc292559914"/>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p>
    <w:p w14:paraId="4D1598A6">
      <w:pPr>
        <w:spacing w:line="360" w:lineRule="auto"/>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14:paraId="0936DE92">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766" w:name="_Toc292559909"/>
      <w:bookmarkStart w:id="767" w:name="_Toc296891239"/>
      <w:bookmarkStart w:id="768" w:name="_Toc304295574"/>
      <w:bookmarkStart w:id="769" w:name="_Toc296944538"/>
      <w:bookmarkStart w:id="770" w:name="_Toc297048385"/>
      <w:bookmarkStart w:id="771" w:name="_Toc303539154"/>
      <w:bookmarkStart w:id="772" w:name="_Toc296891027"/>
      <w:bookmarkStart w:id="773" w:name="_Toc312677507"/>
      <w:bookmarkStart w:id="774" w:name="_Toc300934997"/>
      <w:bookmarkStart w:id="775" w:name="_Toc296347198"/>
      <w:bookmarkStart w:id="776" w:name="_Toc312678033"/>
      <w:bookmarkStart w:id="777" w:name="_Toc296503199"/>
      <w:bookmarkStart w:id="778" w:name="_Toc297123548"/>
      <w:bookmarkStart w:id="779" w:name="_Toc296346700"/>
      <w:bookmarkStart w:id="780" w:name="_Toc292559404"/>
      <w:bookmarkStart w:id="781" w:name="_Toc297216207"/>
      <w:bookmarkStart w:id="782" w:name="_Toc297120499"/>
      <w:r>
        <w:rPr>
          <w:rFonts w:hint="eastAsia" w:ascii="宋体" w:hAnsi="宋体" w:eastAsia="宋体" w:cs="宋体"/>
          <w:color w:val="auto"/>
          <w:sz w:val="21"/>
          <w:szCs w:val="21"/>
          <w:highlight w:val="none"/>
        </w:rPr>
        <w:t>0.7 暂估价</w:t>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00E729F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783" w:name="_Toc312678034"/>
      <w:bookmarkStart w:id="784" w:name="_Toc312677508"/>
      <w:bookmarkStart w:id="785" w:name="_Toc318581176"/>
      <w:r>
        <w:rPr>
          <w:rFonts w:hint="eastAsia" w:ascii="宋体" w:hAnsi="宋体" w:eastAsia="宋体" w:cs="宋体"/>
          <w:color w:val="auto"/>
          <w:kern w:val="0"/>
          <w:sz w:val="21"/>
          <w:szCs w:val="21"/>
          <w:highlight w:val="none"/>
        </w:rPr>
        <w:t>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783"/>
    <w:bookmarkEnd w:id="784"/>
    <w:bookmarkEnd w:id="785"/>
    <w:p w14:paraId="19A30C1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786" w:name="_Toc312677509"/>
      <w:bookmarkStart w:id="787" w:name="_Toc318581177"/>
      <w:bookmarkStart w:id="788" w:name="_Toc312678035"/>
      <w:r>
        <w:rPr>
          <w:rFonts w:hint="eastAsia" w:ascii="宋体" w:hAnsi="宋体" w:eastAsia="宋体" w:cs="宋体"/>
          <w:color w:val="auto"/>
          <w:sz w:val="21"/>
          <w:szCs w:val="21"/>
          <w:highlight w:val="none"/>
        </w:rPr>
        <w:t>0.7.1 依法必须招标的暂估价项目</w:t>
      </w:r>
    </w:p>
    <w:bookmarkEnd w:id="786"/>
    <w:bookmarkEnd w:id="787"/>
    <w:bookmarkEnd w:id="788"/>
    <w:p w14:paraId="410B8C9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14:paraId="36A82F4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5986E8D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种方式确定。</w:t>
      </w:r>
    </w:p>
    <w:p w14:paraId="7022E332">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551982A8">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962174">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7D22AA72">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A9D9B0F">
      <w:pPr>
        <w:spacing w:before="120" w:after="120" w:line="360" w:lineRule="auto"/>
        <w:outlineLvl w:val="9"/>
        <w:rPr>
          <w:rFonts w:hint="eastAsia" w:ascii="宋体" w:hAnsi="宋体" w:eastAsia="宋体" w:cs="宋体"/>
          <w:b w:val="0"/>
          <w:color w:val="auto"/>
          <w:sz w:val="21"/>
          <w:szCs w:val="21"/>
          <w:highlight w:val="none"/>
        </w:rPr>
      </w:pPr>
      <w:bookmarkStart w:id="789" w:name="_Toc351203643"/>
      <w:r>
        <w:rPr>
          <w:rFonts w:hint="eastAsia" w:ascii="宋体" w:hAnsi="宋体" w:eastAsia="宋体" w:cs="宋体"/>
          <w:b w:val="0"/>
          <w:color w:val="auto"/>
          <w:sz w:val="21"/>
          <w:szCs w:val="21"/>
          <w:highlight w:val="none"/>
        </w:rPr>
        <w:t>11. 价格调整</w:t>
      </w:r>
      <w:bookmarkEnd w:id="789"/>
    </w:p>
    <w:p w14:paraId="4BED029B">
      <w:pPr>
        <w:spacing w:after="120" w:line="360" w:lineRule="auto"/>
        <w:ind w:firstLine="420" w:firstLineChars="200"/>
        <w:outlineLvl w:val="9"/>
        <w:rPr>
          <w:rFonts w:hint="eastAsia" w:ascii="宋体" w:hAnsi="宋体" w:eastAsia="宋体" w:cs="宋体"/>
          <w:color w:val="auto"/>
          <w:sz w:val="21"/>
          <w:szCs w:val="21"/>
          <w:highlight w:val="none"/>
        </w:rPr>
      </w:pPr>
      <w:bookmarkStart w:id="790" w:name="_Toc304295577"/>
      <w:bookmarkStart w:id="791" w:name="_Toc297216209"/>
      <w:bookmarkStart w:id="792" w:name="_Toc296503201"/>
      <w:bookmarkStart w:id="793" w:name="_Toc296891241"/>
      <w:bookmarkStart w:id="794" w:name="_Toc297123550"/>
      <w:bookmarkStart w:id="795" w:name="_Toc297048387"/>
      <w:bookmarkStart w:id="796" w:name="_Toc292559911"/>
      <w:bookmarkStart w:id="797" w:name="_Toc300935000"/>
      <w:bookmarkStart w:id="798" w:name="_Toc297120501"/>
      <w:bookmarkStart w:id="799" w:name="_Toc312678039"/>
      <w:bookmarkStart w:id="800" w:name="_Toc303539157"/>
      <w:bookmarkStart w:id="801" w:name="_Toc296346702"/>
      <w:bookmarkStart w:id="802" w:name="_Toc296891029"/>
      <w:bookmarkStart w:id="803" w:name="_Toc296944540"/>
      <w:bookmarkStart w:id="804" w:name="_Toc292559406"/>
      <w:bookmarkStart w:id="805" w:name="_Toc296347200"/>
      <w:r>
        <w:rPr>
          <w:rFonts w:hint="eastAsia" w:ascii="宋体" w:hAnsi="宋体" w:eastAsia="宋体" w:cs="宋体"/>
          <w:color w:val="auto"/>
          <w:sz w:val="21"/>
          <w:szCs w:val="21"/>
          <w:highlight w:val="none"/>
        </w:rPr>
        <w:t>11.1 市场价格波动引起的调整</w:t>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14:paraId="2DD7C9A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8A1BC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14:paraId="50E8581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59BFF14A">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247728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6DF59C3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3CAA5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24C27D7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717B8D7B">
      <w:pPr>
        <w:spacing w:line="360" w:lineRule="auto"/>
        <w:ind w:firstLine="64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2013E3D4">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693"/>
    <w:bookmarkEnd w:id="694"/>
    <w:bookmarkEnd w:id="695"/>
    <w:bookmarkEnd w:id="696"/>
    <w:bookmarkEnd w:id="697"/>
    <w:bookmarkEnd w:id="698"/>
    <w:p w14:paraId="3BD95B62">
      <w:pPr>
        <w:spacing w:before="120" w:after="120" w:line="360" w:lineRule="auto"/>
        <w:outlineLvl w:val="9"/>
        <w:rPr>
          <w:rFonts w:hint="eastAsia" w:ascii="宋体" w:hAnsi="宋体" w:eastAsia="宋体" w:cs="宋体"/>
          <w:b w:val="0"/>
          <w:color w:val="auto"/>
          <w:sz w:val="21"/>
          <w:szCs w:val="21"/>
          <w:highlight w:val="none"/>
        </w:rPr>
      </w:pPr>
      <w:bookmarkStart w:id="806" w:name="_Toc292559410"/>
      <w:bookmarkStart w:id="807" w:name="_Toc296891245"/>
      <w:bookmarkStart w:id="808" w:name="_Toc297120505"/>
      <w:bookmarkStart w:id="809" w:name="_Toc297048391"/>
      <w:bookmarkStart w:id="810" w:name="_Toc296944544"/>
      <w:bookmarkStart w:id="811" w:name="_Toc292559915"/>
      <w:bookmarkStart w:id="812" w:name="_Toc296503205"/>
      <w:bookmarkStart w:id="813" w:name="_Toc296891033"/>
      <w:bookmarkStart w:id="814" w:name="_Toc296346706"/>
      <w:bookmarkStart w:id="815" w:name="_Toc296347204"/>
      <w:bookmarkStart w:id="816" w:name="_Toc351203644"/>
      <w:bookmarkStart w:id="817" w:name="_Toc312678040"/>
      <w:bookmarkStart w:id="818" w:name="_Toc300935002"/>
      <w:bookmarkStart w:id="819" w:name="_Toc304295579"/>
      <w:bookmarkStart w:id="820" w:name="_Toc303539159"/>
      <w:bookmarkStart w:id="821" w:name="_Toc297216211"/>
      <w:bookmarkStart w:id="822" w:name="_Toc297123552"/>
      <w:r>
        <w:rPr>
          <w:rFonts w:hint="eastAsia" w:ascii="宋体" w:hAnsi="宋体" w:eastAsia="宋体" w:cs="宋体"/>
          <w:b w:val="0"/>
          <w:color w:val="auto"/>
          <w:sz w:val="21"/>
          <w:szCs w:val="21"/>
          <w:highlight w:val="none"/>
        </w:rPr>
        <w:t xml:space="preserve">12. </w:t>
      </w:r>
      <w:bookmarkEnd w:id="806"/>
      <w:bookmarkEnd w:id="807"/>
      <w:bookmarkEnd w:id="808"/>
      <w:bookmarkEnd w:id="809"/>
      <w:bookmarkEnd w:id="810"/>
      <w:bookmarkEnd w:id="811"/>
      <w:bookmarkEnd w:id="812"/>
      <w:bookmarkEnd w:id="813"/>
      <w:bookmarkEnd w:id="814"/>
      <w:bookmarkEnd w:id="815"/>
      <w:r>
        <w:rPr>
          <w:rFonts w:hint="eastAsia" w:ascii="宋体" w:hAnsi="宋体" w:eastAsia="宋体" w:cs="宋体"/>
          <w:b w:val="0"/>
          <w:color w:val="auto"/>
          <w:sz w:val="21"/>
          <w:szCs w:val="21"/>
          <w:highlight w:val="none"/>
        </w:rPr>
        <w:t>合同价格、计量与支付</w:t>
      </w:r>
      <w:bookmarkEnd w:id="816"/>
    </w:p>
    <w:bookmarkEnd w:id="817"/>
    <w:bookmarkEnd w:id="818"/>
    <w:bookmarkEnd w:id="819"/>
    <w:bookmarkEnd w:id="820"/>
    <w:bookmarkEnd w:id="821"/>
    <w:bookmarkEnd w:id="822"/>
    <w:p w14:paraId="07DCED45">
      <w:pPr>
        <w:spacing w:after="120" w:line="360" w:lineRule="auto"/>
        <w:ind w:firstLine="420" w:firstLineChars="200"/>
        <w:outlineLvl w:val="9"/>
        <w:rPr>
          <w:rFonts w:hint="eastAsia" w:ascii="宋体" w:hAnsi="宋体" w:eastAsia="宋体" w:cs="宋体"/>
          <w:color w:val="auto"/>
          <w:sz w:val="21"/>
          <w:szCs w:val="21"/>
          <w:highlight w:val="none"/>
        </w:rPr>
      </w:pPr>
      <w:bookmarkStart w:id="823" w:name="_Toc292559916"/>
      <w:bookmarkStart w:id="824" w:name="_Toc267251461"/>
      <w:bookmarkStart w:id="825" w:name="_Toc292559411"/>
      <w:bookmarkStart w:id="826" w:name="_Toc296503206"/>
      <w:bookmarkStart w:id="827" w:name="_Toc296891034"/>
      <w:bookmarkStart w:id="828" w:name="_Toc296944545"/>
      <w:bookmarkStart w:id="829" w:name="_Toc296346707"/>
      <w:bookmarkStart w:id="830" w:name="_Toc296347205"/>
      <w:bookmarkStart w:id="831" w:name="_Toc297048392"/>
      <w:bookmarkStart w:id="832" w:name="_Toc297120506"/>
      <w:bookmarkStart w:id="833" w:name="_Toc296891246"/>
      <w:bookmarkStart w:id="834" w:name="_Toc297216212"/>
      <w:bookmarkStart w:id="835" w:name="_Toc297123553"/>
      <w:bookmarkStart w:id="836" w:name="_Toc312678041"/>
      <w:bookmarkStart w:id="837" w:name="_Toc304295580"/>
      <w:bookmarkStart w:id="838" w:name="_Toc303539160"/>
      <w:bookmarkStart w:id="839" w:name="_Toc300935003"/>
      <w:r>
        <w:rPr>
          <w:rFonts w:hint="eastAsia" w:ascii="宋体" w:hAnsi="宋体" w:eastAsia="宋体" w:cs="宋体"/>
          <w:color w:val="auto"/>
          <w:sz w:val="21"/>
          <w:szCs w:val="21"/>
          <w:highlight w:val="none"/>
        </w:rPr>
        <w:t>12.1 合</w:t>
      </w:r>
      <w:bookmarkEnd w:id="823"/>
      <w:bookmarkEnd w:id="824"/>
      <w:bookmarkEnd w:id="825"/>
      <w:r>
        <w:rPr>
          <w:rFonts w:hint="eastAsia" w:ascii="宋体" w:hAnsi="宋体" w:eastAsia="宋体" w:cs="宋体"/>
          <w:color w:val="auto"/>
          <w:sz w:val="21"/>
          <w:szCs w:val="21"/>
          <w:highlight w:val="none"/>
        </w:rPr>
        <w:t>同价</w:t>
      </w:r>
      <w:bookmarkEnd w:id="826"/>
      <w:bookmarkEnd w:id="827"/>
      <w:bookmarkEnd w:id="828"/>
      <w:bookmarkEnd w:id="829"/>
      <w:bookmarkEnd w:id="830"/>
      <w:bookmarkEnd w:id="831"/>
      <w:bookmarkEnd w:id="832"/>
      <w:bookmarkEnd w:id="833"/>
      <w:r>
        <w:rPr>
          <w:rFonts w:hint="eastAsia" w:ascii="宋体" w:hAnsi="宋体" w:eastAsia="宋体" w:cs="宋体"/>
          <w:color w:val="auto"/>
          <w:sz w:val="21"/>
          <w:szCs w:val="21"/>
          <w:highlight w:val="none"/>
        </w:rPr>
        <w:t>格形式</w:t>
      </w:r>
    </w:p>
    <w:bookmarkEnd w:id="834"/>
    <w:bookmarkEnd w:id="835"/>
    <w:bookmarkEnd w:id="836"/>
    <w:bookmarkEnd w:id="837"/>
    <w:bookmarkEnd w:id="838"/>
    <w:bookmarkEnd w:id="839"/>
    <w:p w14:paraId="297F165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B286A67">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95F5C5">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4470A9">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4DAFA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1CAD49BC">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3A8247">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5D58DF">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1B38B3">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5F3648">
      <w:pPr>
        <w:spacing w:after="120" w:line="360" w:lineRule="auto"/>
        <w:ind w:firstLine="420" w:firstLineChars="200"/>
        <w:outlineLvl w:val="9"/>
        <w:rPr>
          <w:rFonts w:hint="eastAsia" w:ascii="宋体" w:hAnsi="宋体" w:eastAsia="宋体" w:cs="宋体"/>
          <w:color w:val="auto"/>
          <w:sz w:val="21"/>
          <w:szCs w:val="21"/>
          <w:highlight w:val="none"/>
        </w:rPr>
      </w:pPr>
      <w:bookmarkStart w:id="840" w:name="_Toc303539161"/>
      <w:bookmarkStart w:id="841" w:name="_Toc300935004"/>
      <w:bookmarkStart w:id="842" w:name="_Toc297123554"/>
      <w:bookmarkStart w:id="843" w:name="_Toc304295581"/>
      <w:bookmarkStart w:id="844" w:name="_Toc297216213"/>
      <w:bookmarkStart w:id="845" w:name="_Toc312678042"/>
      <w:bookmarkStart w:id="846" w:name="_Toc296891247"/>
      <w:bookmarkStart w:id="847" w:name="_Toc296503207"/>
      <w:bookmarkStart w:id="848" w:name="_Toc292559917"/>
      <w:bookmarkStart w:id="849" w:name="_Toc296346708"/>
      <w:bookmarkStart w:id="850" w:name="_Toc297048393"/>
      <w:bookmarkStart w:id="851" w:name="_Toc296891035"/>
      <w:bookmarkStart w:id="852" w:name="_Toc296347206"/>
      <w:bookmarkStart w:id="853" w:name="_Toc296944546"/>
      <w:bookmarkStart w:id="854" w:name="_Toc297120507"/>
      <w:bookmarkStart w:id="855" w:name="_Toc292559412"/>
      <w:r>
        <w:rPr>
          <w:rFonts w:hint="eastAsia" w:ascii="宋体" w:hAnsi="宋体" w:eastAsia="宋体" w:cs="宋体"/>
          <w:color w:val="auto"/>
          <w:sz w:val="21"/>
          <w:szCs w:val="21"/>
          <w:highlight w:val="none"/>
        </w:rPr>
        <w:t>12.2 预付款</w:t>
      </w:r>
    </w:p>
    <w:bookmarkEnd w:id="840"/>
    <w:bookmarkEnd w:id="841"/>
    <w:bookmarkEnd w:id="842"/>
    <w:bookmarkEnd w:id="843"/>
    <w:bookmarkEnd w:id="844"/>
    <w:bookmarkEnd w:id="845"/>
    <w:p w14:paraId="7498749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579043E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03342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7440E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FCA58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7F88400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BF0A4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846"/>
    <w:bookmarkEnd w:id="847"/>
    <w:bookmarkEnd w:id="848"/>
    <w:bookmarkEnd w:id="849"/>
    <w:bookmarkEnd w:id="850"/>
    <w:bookmarkEnd w:id="851"/>
    <w:bookmarkEnd w:id="852"/>
    <w:bookmarkEnd w:id="853"/>
    <w:bookmarkEnd w:id="854"/>
    <w:bookmarkEnd w:id="855"/>
    <w:p w14:paraId="7EADCC32">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1EED49B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1822469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F28E9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2D2C317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607C8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5571698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3DCD8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7C97796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918E0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1C45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7F0EB930">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01A532">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49045227">
      <w:pPr>
        <w:spacing w:line="360" w:lineRule="auto"/>
        <w:ind w:firstLine="420" w:firstLineChars="200"/>
        <w:jc w:val="left"/>
        <w:outlineLvl w:val="9"/>
        <w:rPr>
          <w:rFonts w:hint="eastAsia" w:ascii="宋体" w:hAnsi="宋体" w:eastAsia="宋体" w:cs="宋体"/>
          <w:color w:val="auto"/>
          <w:sz w:val="21"/>
          <w:szCs w:val="21"/>
          <w:highlight w:val="none"/>
        </w:rPr>
      </w:pPr>
      <w:bookmarkStart w:id="856" w:name="_Toc296891039"/>
      <w:bookmarkStart w:id="857" w:name="_Toc297120511"/>
      <w:bookmarkStart w:id="858" w:name="_Toc296503211"/>
      <w:bookmarkStart w:id="859" w:name="_Toc300935006"/>
      <w:bookmarkStart w:id="860" w:name="_Toc296944550"/>
      <w:bookmarkStart w:id="861" w:name="_Toc296891251"/>
      <w:bookmarkStart w:id="862" w:name="_Toc297123556"/>
      <w:bookmarkStart w:id="863" w:name="_Toc297048397"/>
      <w:bookmarkStart w:id="864" w:name="_Toc296346712"/>
      <w:bookmarkStart w:id="865" w:name="_Toc303539163"/>
      <w:bookmarkStart w:id="866" w:name="_Toc292559921"/>
      <w:bookmarkStart w:id="867" w:name="_Toc292559416"/>
      <w:bookmarkStart w:id="868" w:name="_Toc297216215"/>
      <w:bookmarkStart w:id="869" w:name="_Toc296347210"/>
      <w:r>
        <w:rPr>
          <w:rFonts w:hint="eastAsia" w:ascii="宋体" w:hAnsi="宋体" w:eastAsia="宋体" w:cs="宋体"/>
          <w:color w:val="auto"/>
          <w:sz w:val="21"/>
          <w:szCs w:val="21"/>
          <w:highlight w:val="none"/>
        </w:rPr>
        <w:t>12.4.1 付款周期</w:t>
      </w:r>
    </w:p>
    <w:p w14:paraId="1766CAE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p>
    <w:p w14:paraId="36C0982E">
      <w:pPr>
        <w:spacing w:line="360" w:lineRule="auto"/>
        <w:ind w:firstLine="630" w:firstLineChars="300"/>
        <w:jc w:val="left"/>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①签订合同后十日内，支付合同金额的30%作为预付款；</w:t>
      </w:r>
    </w:p>
    <w:p w14:paraId="12FB4BA6">
      <w:pPr>
        <w:spacing w:line="360" w:lineRule="auto"/>
        <w:ind w:firstLine="630" w:firstLineChars="300"/>
        <w:jc w:val="left"/>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②工程竣工验收合格后十日内，支付至合同金额的80%；</w:t>
      </w:r>
    </w:p>
    <w:p w14:paraId="39C6D084">
      <w:pPr>
        <w:spacing w:line="360" w:lineRule="auto"/>
        <w:ind w:firstLine="630" w:firstLineChars="300"/>
        <w:jc w:val="left"/>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③结算审计完成后十日内，支付至审定结算金额的97%；</w:t>
      </w:r>
    </w:p>
    <w:p w14:paraId="6A113CA6">
      <w:pPr>
        <w:spacing w:line="360" w:lineRule="auto"/>
        <w:ind w:firstLine="630" w:firstLineChars="300"/>
        <w:jc w:val="left"/>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④剩余3%作为质保金，在竣工验收合格满一年且无质量问题、无其他经济纠纷，经成交供应商提交质保金支付申请后一个月内付清（不计利息）。</w:t>
      </w:r>
    </w:p>
    <w:p w14:paraId="06B61333">
      <w:pPr>
        <w:spacing w:line="360" w:lineRule="auto"/>
        <w:ind w:firstLine="630" w:firstLineChars="300"/>
        <w:jc w:val="left"/>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⑤采购人支付每笔款项前，供应商应提供合法等额且符合要求的发票及相关结算材料。</w:t>
      </w:r>
    </w:p>
    <w:p w14:paraId="397A3CD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13DA8FF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A4F85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rFonts w:hint="eastAsia" w:ascii="宋体" w:hAnsi="宋体" w:eastAsia="宋体" w:cs="宋体"/>
          <w:color w:val="auto"/>
          <w:sz w:val="21"/>
          <w:szCs w:val="21"/>
          <w:highlight w:val="none"/>
        </w:rPr>
        <w:t>2.4.3 进度付款申请单的提交</w:t>
      </w:r>
    </w:p>
    <w:p w14:paraId="46F2C62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6AA1B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372F4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0D5EAD5E">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6BC2FD">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09B37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32CE8D">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AF873C">
      <w:pPr>
        <w:spacing w:line="360" w:lineRule="auto"/>
        <w:ind w:firstLine="525" w:firstLineChars="25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支付分解表的编制</w:t>
      </w:r>
    </w:p>
    <w:p w14:paraId="53E3E590">
      <w:pPr>
        <w:spacing w:line="360" w:lineRule="auto"/>
        <w:ind w:left="4200" w:leftChars="300" w:hanging="3570" w:hangingChars="17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B83B12">
      <w:pPr>
        <w:spacing w:line="360" w:lineRule="auto"/>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699"/>
    <w:p w14:paraId="3A03F1D4">
      <w:pPr>
        <w:spacing w:before="120" w:after="120" w:line="360" w:lineRule="auto"/>
        <w:outlineLvl w:val="9"/>
        <w:rPr>
          <w:rFonts w:hint="eastAsia" w:ascii="宋体" w:hAnsi="宋体" w:eastAsia="宋体" w:cs="宋体"/>
          <w:b w:val="0"/>
          <w:color w:val="auto"/>
          <w:sz w:val="21"/>
          <w:szCs w:val="21"/>
          <w:highlight w:val="none"/>
        </w:rPr>
      </w:pPr>
      <w:bookmarkStart w:id="870" w:name="_Toc351203645"/>
      <w:bookmarkStart w:id="871" w:name="_Toc292559424"/>
      <w:bookmarkStart w:id="872" w:name="_Toc292559929"/>
      <w:bookmarkStart w:id="873" w:name="_Toc297048405"/>
      <w:bookmarkStart w:id="874" w:name="_Toc296891259"/>
      <w:bookmarkStart w:id="875" w:name="_Toc300935015"/>
      <w:bookmarkStart w:id="876" w:name="_Toc297216223"/>
      <w:bookmarkStart w:id="877" w:name="_Toc297120519"/>
      <w:bookmarkStart w:id="878" w:name="_Toc296347218"/>
      <w:bookmarkStart w:id="879" w:name="_Toc312678053"/>
      <w:bookmarkStart w:id="880" w:name="_Toc304295593"/>
      <w:bookmarkStart w:id="881" w:name="_Toc296346720"/>
      <w:bookmarkStart w:id="882" w:name="_Toc296944558"/>
      <w:bookmarkStart w:id="883" w:name="_Toc303539172"/>
      <w:bookmarkStart w:id="884" w:name="_Toc297123564"/>
      <w:bookmarkStart w:id="885" w:name="_Toc296891047"/>
      <w:bookmarkStart w:id="886" w:name="_Toc296503219"/>
      <w:r>
        <w:rPr>
          <w:rFonts w:hint="eastAsia" w:ascii="宋体" w:hAnsi="宋体" w:eastAsia="宋体" w:cs="宋体"/>
          <w:b w:val="0"/>
          <w:color w:val="auto"/>
          <w:sz w:val="21"/>
          <w:szCs w:val="21"/>
          <w:highlight w:val="none"/>
        </w:rPr>
        <w:t>13. 验收和工程试车</w:t>
      </w:r>
      <w:bookmarkEnd w:id="870"/>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14:paraId="31CC5602">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0BFC5FF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54C82ECB">
      <w:pPr>
        <w:spacing w:line="360" w:lineRule="auto"/>
        <w:ind w:firstLine="420"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5AF7537F">
      <w:pPr>
        <w:spacing w:after="120" w:line="360" w:lineRule="auto"/>
        <w:ind w:firstLine="420" w:firstLineChars="200"/>
        <w:outlineLvl w:val="9"/>
        <w:rPr>
          <w:rFonts w:hint="eastAsia" w:ascii="宋体" w:hAnsi="宋体" w:eastAsia="宋体" w:cs="宋体"/>
          <w:color w:val="auto"/>
          <w:sz w:val="21"/>
          <w:szCs w:val="21"/>
          <w:highlight w:val="none"/>
        </w:rPr>
      </w:pPr>
      <w:bookmarkStart w:id="887" w:name="_Toc297048409"/>
      <w:bookmarkStart w:id="888" w:name="_Toc296944562"/>
      <w:bookmarkStart w:id="889" w:name="_Toc304295596"/>
      <w:bookmarkStart w:id="890" w:name="_Toc312678056"/>
      <w:bookmarkStart w:id="891" w:name="_Toc292559933"/>
      <w:bookmarkStart w:id="892" w:name="_Toc297120523"/>
      <w:bookmarkStart w:id="893" w:name="_Toc296891263"/>
      <w:bookmarkStart w:id="894" w:name="_Toc296503223"/>
      <w:bookmarkStart w:id="895" w:name="_Toc296891051"/>
      <w:bookmarkStart w:id="896" w:name="_Toc297123565"/>
      <w:bookmarkStart w:id="897" w:name="_Toc297216224"/>
      <w:bookmarkStart w:id="898" w:name="_Toc300935016"/>
      <w:bookmarkStart w:id="899" w:name="_Toc292559428"/>
      <w:bookmarkStart w:id="900" w:name="_Toc296346724"/>
      <w:bookmarkStart w:id="901" w:name="_Toc296347222"/>
      <w:bookmarkStart w:id="902" w:name="_Toc303539173"/>
      <w:bookmarkStart w:id="903" w:name="_Toc267251472"/>
      <w:bookmarkStart w:id="904" w:name="_Toc267251471"/>
      <w:bookmarkStart w:id="905" w:name="_Toc267251470"/>
      <w:bookmarkStart w:id="906" w:name="_Toc267251473"/>
      <w:bookmarkStart w:id="907" w:name="_Toc267251474"/>
      <w:bookmarkStart w:id="908" w:name="_Toc267251475"/>
      <w:bookmarkStart w:id="909" w:name="_Toc267251476"/>
      <w:r>
        <w:rPr>
          <w:rFonts w:hint="eastAsia" w:ascii="宋体" w:hAnsi="宋体" w:eastAsia="宋体" w:cs="宋体"/>
          <w:color w:val="auto"/>
          <w:sz w:val="21"/>
          <w:szCs w:val="21"/>
          <w:highlight w:val="none"/>
        </w:rPr>
        <w:t>13.2 竣工验收</w:t>
      </w:r>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62D1E5C2">
      <w:pPr>
        <w:spacing w:line="360" w:lineRule="auto"/>
        <w:ind w:firstLine="420" w:firstLineChars="200"/>
        <w:jc w:val="left"/>
        <w:outlineLvl w:val="9"/>
        <w:rPr>
          <w:rFonts w:hint="eastAsia" w:ascii="宋体" w:hAnsi="宋体" w:eastAsia="宋体" w:cs="宋体"/>
          <w:color w:val="auto"/>
          <w:sz w:val="21"/>
          <w:szCs w:val="21"/>
          <w:highlight w:val="none"/>
        </w:rPr>
      </w:pPr>
      <w:bookmarkStart w:id="910" w:name="_Toc280868704"/>
      <w:bookmarkStart w:id="911" w:name="_Toc280868705"/>
      <w:bookmarkStart w:id="912" w:name="_Toc280868706"/>
      <w:bookmarkStart w:id="913" w:name="_Toc280868707"/>
      <w:bookmarkStart w:id="914" w:name="_Toc280868708"/>
      <w:bookmarkStart w:id="915" w:name="_Toc280868709"/>
      <w:r>
        <w:rPr>
          <w:rFonts w:hint="eastAsia" w:ascii="宋体" w:hAnsi="宋体" w:eastAsia="宋体" w:cs="宋体"/>
          <w:color w:val="auto"/>
          <w:sz w:val="21"/>
          <w:szCs w:val="21"/>
          <w:highlight w:val="none"/>
        </w:rPr>
        <w:t>13.2.2竣工验收程序</w:t>
      </w:r>
    </w:p>
    <w:bookmarkEnd w:id="910"/>
    <w:p w14:paraId="6E7B50CC">
      <w:pPr>
        <w:spacing w:line="360" w:lineRule="auto"/>
        <w:ind w:left="6000" w:hanging="4200" w:hangingChars="20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51BDD8">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11"/>
    <w:p w14:paraId="08983A8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912"/>
    <w:p w14:paraId="0AE1C49C">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CBF5FC">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13"/>
    <w:p w14:paraId="5679A033">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26FFFE">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bookmarkEnd w:id="914"/>
    <w:p w14:paraId="6E98EFEE">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55D4A5A2">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DE4494">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4E04D0CA">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45318C74">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76A3F60D">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ABC256">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6C08A106">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7A2234EB">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518BC10">
      <w:pPr>
        <w:spacing w:before="120" w:after="120" w:line="360" w:lineRule="auto"/>
        <w:outlineLvl w:val="9"/>
        <w:rPr>
          <w:rFonts w:hint="eastAsia" w:ascii="宋体" w:hAnsi="宋体" w:eastAsia="宋体" w:cs="宋体"/>
          <w:b w:val="0"/>
          <w:color w:val="auto"/>
          <w:sz w:val="21"/>
          <w:szCs w:val="21"/>
          <w:highlight w:val="none"/>
        </w:rPr>
      </w:pPr>
      <w:bookmarkStart w:id="916" w:name="_Toc351203646"/>
      <w:r>
        <w:rPr>
          <w:rFonts w:hint="eastAsia" w:ascii="宋体" w:hAnsi="宋体" w:eastAsia="宋体" w:cs="宋体"/>
          <w:b w:val="0"/>
          <w:color w:val="auto"/>
          <w:sz w:val="21"/>
          <w:szCs w:val="21"/>
          <w:highlight w:val="none"/>
        </w:rPr>
        <w:t>14. 竣工结算</w:t>
      </w:r>
      <w:bookmarkEnd w:id="916"/>
    </w:p>
    <w:p w14:paraId="0E11523E">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14:paraId="3FA0A47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EC180B">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3306A2">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228C5EA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31AFF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664385">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2B93A7">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792981AA">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4B2B71B9">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D2AC6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47318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3AAEC40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CF090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03"/>
    <w:bookmarkEnd w:id="904"/>
    <w:bookmarkEnd w:id="905"/>
    <w:bookmarkEnd w:id="906"/>
    <w:bookmarkEnd w:id="907"/>
    <w:bookmarkEnd w:id="908"/>
    <w:bookmarkEnd w:id="909"/>
    <w:bookmarkEnd w:id="915"/>
    <w:p w14:paraId="41E74E33">
      <w:pPr>
        <w:spacing w:before="120" w:after="120" w:line="360" w:lineRule="auto"/>
        <w:outlineLvl w:val="9"/>
        <w:rPr>
          <w:rFonts w:hint="eastAsia" w:ascii="宋体" w:hAnsi="宋体" w:eastAsia="宋体" w:cs="宋体"/>
          <w:b w:val="0"/>
          <w:color w:val="auto"/>
          <w:sz w:val="21"/>
          <w:szCs w:val="21"/>
          <w:highlight w:val="none"/>
        </w:rPr>
      </w:pPr>
      <w:bookmarkStart w:id="917" w:name="_Toc351203647"/>
      <w:bookmarkStart w:id="918" w:name="_Toc267251483"/>
      <w:bookmarkStart w:id="919" w:name="_Toc267251484"/>
      <w:bookmarkStart w:id="920" w:name="_Toc267251482"/>
      <w:bookmarkStart w:id="921" w:name="_Toc267251485"/>
      <w:bookmarkStart w:id="922" w:name="_Toc267251490"/>
      <w:bookmarkStart w:id="923" w:name="_Toc267251489"/>
      <w:bookmarkStart w:id="924" w:name="_Toc267251486"/>
      <w:bookmarkStart w:id="925" w:name="_Toc267251488"/>
      <w:bookmarkStart w:id="926" w:name="_Toc267251494"/>
      <w:bookmarkStart w:id="927" w:name="_Toc267251495"/>
      <w:bookmarkStart w:id="928" w:name="_Toc267251492"/>
      <w:bookmarkStart w:id="929" w:name="_Toc267251496"/>
      <w:bookmarkStart w:id="930" w:name="_Toc267251497"/>
      <w:bookmarkStart w:id="931" w:name="_Toc267251493"/>
      <w:bookmarkStart w:id="932" w:name="_Toc267251501"/>
      <w:bookmarkStart w:id="933" w:name="_Toc267251491"/>
      <w:bookmarkStart w:id="934" w:name="_Toc267251499"/>
      <w:bookmarkStart w:id="935" w:name="_Toc267251502"/>
      <w:bookmarkStart w:id="936" w:name="_Toc267251498"/>
      <w:bookmarkStart w:id="937" w:name="_Toc267251503"/>
      <w:bookmarkStart w:id="938" w:name="_Toc267251504"/>
      <w:bookmarkStart w:id="939" w:name="_Toc267251506"/>
      <w:bookmarkStart w:id="940" w:name="_Toc267251507"/>
      <w:bookmarkStart w:id="941" w:name="_Toc267251508"/>
      <w:bookmarkStart w:id="942" w:name="_Toc267251511"/>
      <w:bookmarkStart w:id="943" w:name="_Toc267251509"/>
      <w:bookmarkStart w:id="944" w:name="_Toc267251514"/>
      <w:bookmarkStart w:id="945" w:name="_Toc267251515"/>
      <w:bookmarkStart w:id="946" w:name="_Toc267251513"/>
      <w:bookmarkStart w:id="947" w:name="_Toc267251510"/>
      <w:r>
        <w:rPr>
          <w:rFonts w:hint="eastAsia" w:ascii="宋体" w:hAnsi="宋体" w:eastAsia="宋体" w:cs="宋体"/>
          <w:b w:val="0"/>
          <w:color w:val="auto"/>
          <w:sz w:val="21"/>
          <w:szCs w:val="21"/>
          <w:highlight w:val="none"/>
        </w:rPr>
        <w:t>15. 缺陷责任期与保修</w:t>
      </w:r>
      <w:bookmarkEnd w:id="917"/>
    </w:p>
    <w:p w14:paraId="1799BF7A">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918"/>
    </w:p>
    <w:p w14:paraId="74D5842F">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581913">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678D3FC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14:paraId="4B4C0625">
      <w:pPr>
        <w:spacing w:line="360" w:lineRule="auto"/>
        <w:ind w:firstLine="420" w:firstLineChars="200"/>
        <w:jc w:val="left"/>
        <w:outlineLvl w:val="9"/>
        <w:rPr>
          <w:rFonts w:hint="eastAsia" w:ascii="宋体" w:hAnsi="宋体" w:eastAsia="宋体" w:cs="宋体"/>
          <w:color w:val="auto"/>
          <w:sz w:val="21"/>
          <w:szCs w:val="21"/>
          <w:highlight w:val="none"/>
        </w:rPr>
      </w:pPr>
    </w:p>
    <w:p w14:paraId="4A6E526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0A63682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6EA02FF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741778C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14:paraId="5892284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97AB41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3B4C545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108C457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F852B7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DBA6493">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5A56A6">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919"/>
    <w:bookmarkEnd w:id="920"/>
    <w:p w14:paraId="166FECF3">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bookmarkEnd w:id="921"/>
    <w:p w14:paraId="4422D8AF">
      <w:pPr>
        <w:spacing w:line="360" w:lineRule="auto"/>
        <w:ind w:firstLine="409" w:firstLineChars="19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48D26CE5">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8566AE8">
      <w:pPr>
        <w:spacing w:line="360" w:lineRule="auto"/>
        <w:ind w:firstLine="409" w:firstLineChars="19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17BFFFFE">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922"/>
    <w:bookmarkEnd w:id="923"/>
    <w:bookmarkEnd w:id="924"/>
    <w:bookmarkEnd w:id="925"/>
    <w:p w14:paraId="0C2598F0">
      <w:pPr>
        <w:spacing w:before="120" w:after="120" w:line="360" w:lineRule="auto"/>
        <w:outlineLvl w:val="9"/>
        <w:rPr>
          <w:rFonts w:hint="eastAsia" w:ascii="宋体" w:hAnsi="宋体" w:eastAsia="宋体" w:cs="宋体"/>
          <w:b w:val="0"/>
          <w:color w:val="auto"/>
          <w:sz w:val="21"/>
          <w:szCs w:val="21"/>
          <w:highlight w:val="none"/>
        </w:rPr>
      </w:pPr>
      <w:bookmarkStart w:id="948" w:name="_Toc351203648"/>
      <w:bookmarkStart w:id="949" w:name="_Toc280868717"/>
      <w:bookmarkStart w:id="950" w:name="_Toc280868718"/>
      <w:r>
        <w:rPr>
          <w:rFonts w:hint="eastAsia" w:ascii="宋体" w:hAnsi="宋体" w:eastAsia="宋体" w:cs="宋体"/>
          <w:b w:val="0"/>
          <w:color w:val="auto"/>
          <w:sz w:val="21"/>
          <w:szCs w:val="21"/>
          <w:highlight w:val="none"/>
        </w:rPr>
        <w:t>16. 违约</w:t>
      </w:r>
      <w:bookmarkEnd w:id="948"/>
    </w:p>
    <w:p w14:paraId="6446E06D">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2E17772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16295411">
      <w:pPr>
        <w:spacing w:line="360" w:lineRule="auto"/>
        <w:ind w:left="1500" w:hanging="1050" w:hangingChars="5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1B93E2">
      <w:pPr>
        <w:spacing w:line="360" w:lineRule="auto"/>
        <w:ind w:left="1500" w:hanging="1050" w:hangingChars="5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16.1.2 发包人违约的责任</w:t>
      </w:r>
    </w:p>
    <w:p w14:paraId="33C28389">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51141FC3">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C04B38D">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0E2029">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A160EB8">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318634">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1DECCD">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9868B51">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152D69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38E69AE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5B0E371D">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5801465F">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7F7FACCB">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D411940">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7EA47359">
      <w:pPr>
        <w:spacing w:line="360" w:lineRule="auto"/>
        <w:ind w:left="1500" w:hanging="1050" w:hangingChars="5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14:paraId="0ACF917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34F2D549">
      <w:pPr>
        <w:spacing w:before="120" w:after="120"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DD5C0B">
      <w:pPr>
        <w:spacing w:before="120" w:after="120"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1B98C9">
      <w:pPr>
        <w:spacing w:before="120" w:after="120" w:line="360" w:lineRule="auto"/>
        <w:outlineLvl w:val="9"/>
        <w:rPr>
          <w:rFonts w:hint="eastAsia" w:ascii="宋体" w:hAnsi="宋体" w:eastAsia="宋体" w:cs="宋体"/>
          <w:b w:val="0"/>
          <w:color w:val="auto"/>
          <w:sz w:val="21"/>
          <w:szCs w:val="21"/>
          <w:highlight w:val="none"/>
        </w:rPr>
      </w:pPr>
      <w:bookmarkStart w:id="951" w:name="_Toc351203649"/>
      <w:r>
        <w:rPr>
          <w:rFonts w:hint="eastAsia" w:ascii="宋体" w:hAnsi="宋体" w:eastAsia="宋体" w:cs="宋体"/>
          <w:b w:val="0"/>
          <w:color w:val="auto"/>
          <w:sz w:val="21"/>
          <w:szCs w:val="21"/>
          <w:highlight w:val="none"/>
        </w:rPr>
        <w:t>17. 不可抗力</w:t>
      </w:r>
      <w:bookmarkEnd w:id="951"/>
      <w:r>
        <w:rPr>
          <w:rFonts w:hint="eastAsia" w:ascii="宋体" w:hAnsi="宋体" w:eastAsia="宋体" w:cs="宋体"/>
          <w:b w:val="0"/>
          <w:color w:val="auto"/>
          <w:sz w:val="21"/>
          <w:szCs w:val="21"/>
          <w:highlight w:val="none"/>
        </w:rPr>
        <w:t xml:space="preserve"> </w:t>
      </w:r>
      <w:bookmarkEnd w:id="949"/>
    </w:p>
    <w:p w14:paraId="0A50F565">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0E8B0E98">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A60F75">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0FAFEB7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天内完成款项的支付。</w:t>
      </w:r>
    </w:p>
    <w:p w14:paraId="065DB618">
      <w:pPr>
        <w:spacing w:before="120" w:after="120" w:line="360" w:lineRule="auto"/>
        <w:outlineLvl w:val="9"/>
        <w:rPr>
          <w:rFonts w:hint="eastAsia" w:ascii="宋体" w:hAnsi="宋体" w:eastAsia="宋体" w:cs="宋体"/>
          <w:b w:val="0"/>
          <w:color w:val="auto"/>
          <w:sz w:val="21"/>
          <w:szCs w:val="21"/>
          <w:highlight w:val="none"/>
        </w:rPr>
      </w:pPr>
      <w:bookmarkStart w:id="952" w:name="_Toc351203650"/>
      <w:r>
        <w:rPr>
          <w:rFonts w:hint="eastAsia" w:ascii="宋体" w:hAnsi="宋体" w:eastAsia="宋体" w:cs="宋体"/>
          <w:b w:val="0"/>
          <w:color w:val="auto"/>
          <w:sz w:val="21"/>
          <w:szCs w:val="21"/>
          <w:highlight w:val="none"/>
        </w:rPr>
        <w:t>18. 保险</w:t>
      </w:r>
      <w:bookmarkEnd w:id="952"/>
    </w:p>
    <w:bookmarkEnd w:id="950"/>
    <w:p w14:paraId="672B50A6">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715E33E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FF2CF2">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58B42290">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694C49">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9BF036">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19C5A9F3">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26"/>
    <w:bookmarkEnd w:id="927"/>
    <w:bookmarkEnd w:id="928"/>
    <w:bookmarkEnd w:id="929"/>
    <w:bookmarkEnd w:id="930"/>
    <w:bookmarkEnd w:id="931"/>
    <w:bookmarkEnd w:id="932"/>
    <w:bookmarkEnd w:id="933"/>
    <w:bookmarkEnd w:id="934"/>
    <w:bookmarkEnd w:id="935"/>
    <w:bookmarkEnd w:id="936"/>
    <w:bookmarkEnd w:id="937"/>
    <w:p w14:paraId="6423ABE3">
      <w:pPr>
        <w:spacing w:before="120" w:after="120" w:line="360" w:lineRule="auto"/>
        <w:outlineLvl w:val="9"/>
        <w:rPr>
          <w:rFonts w:hint="eastAsia" w:ascii="宋体" w:hAnsi="宋体" w:eastAsia="宋体" w:cs="宋体"/>
          <w:b w:val="0"/>
          <w:color w:val="auto"/>
          <w:sz w:val="21"/>
          <w:szCs w:val="21"/>
          <w:highlight w:val="none"/>
        </w:rPr>
      </w:pPr>
      <w:bookmarkStart w:id="953" w:name="_Toc351203651"/>
      <w:r>
        <w:rPr>
          <w:rFonts w:hint="eastAsia" w:ascii="宋体" w:hAnsi="宋体" w:eastAsia="宋体" w:cs="宋体"/>
          <w:b w:val="0"/>
          <w:color w:val="auto"/>
          <w:sz w:val="21"/>
          <w:szCs w:val="21"/>
          <w:highlight w:val="none"/>
        </w:rPr>
        <w:t>20. 争议解决</w:t>
      </w:r>
      <w:bookmarkEnd w:id="953"/>
    </w:p>
    <w:bookmarkEnd w:id="938"/>
    <w:bookmarkEnd w:id="939"/>
    <w:p w14:paraId="4E3CF509">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940"/>
      <w:r>
        <w:rPr>
          <w:rFonts w:hint="eastAsia" w:ascii="宋体" w:hAnsi="宋体" w:eastAsia="宋体" w:cs="宋体"/>
          <w:color w:val="auto"/>
          <w:sz w:val="21"/>
          <w:szCs w:val="21"/>
          <w:highlight w:val="none"/>
        </w:rPr>
        <w:t>议评审</w:t>
      </w:r>
    </w:p>
    <w:p w14:paraId="17B5E022">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E9D1CB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4A92BB9C">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7DF1B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E1A6F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8D17D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A0038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6C7600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C4AF50">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941"/>
    </w:p>
    <w:p w14:paraId="21150B41">
      <w:pPr>
        <w:spacing w:after="12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D62E9B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52921EE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bookmarkEnd w:id="942"/>
      <w:bookmarkEnd w:id="943"/>
      <w:bookmarkEnd w:id="944"/>
      <w:bookmarkEnd w:id="945"/>
      <w:bookmarkEnd w:id="946"/>
      <w:bookmarkEnd w:id="947"/>
    </w:p>
    <w:p w14:paraId="55AF8D84">
      <w:pPr>
        <w:pStyle w:val="8"/>
        <w:outlineLvl w:val="9"/>
        <w:rPr>
          <w:color w:val="auto"/>
          <w:highlight w:val="none"/>
        </w:rPr>
      </w:pPr>
    </w:p>
    <w:p w14:paraId="774F2FD4">
      <w:pPr>
        <w:pStyle w:val="8"/>
        <w:rPr>
          <w:color w:val="auto"/>
          <w:highlight w:val="none"/>
        </w:rPr>
      </w:pPr>
    </w:p>
    <w:p w14:paraId="30A45F83">
      <w:pPr>
        <w:adjustRightInd w:val="0"/>
        <w:snapToGrid w:val="0"/>
        <w:spacing w:line="360" w:lineRule="auto"/>
        <w:ind w:firstLine="562" w:firstLineChars="200"/>
        <w:jc w:val="left"/>
        <w:rPr>
          <w:rFonts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此合同</w:t>
      </w:r>
      <w:r>
        <w:rPr>
          <w:rFonts w:ascii="宋体" w:hAnsi="宋体" w:eastAsia="宋体" w:cs="Times New Roman"/>
          <w:b/>
          <w:bCs/>
          <w:color w:val="auto"/>
          <w:kern w:val="0"/>
          <w:sz w:val="28"/>
          <w:szCs w:val="28"/>
          <w:highlight w:val="none"/>
        </w:rPr>
        <w:t>为格式条款，具体以签订合同为准。</w:t>
      </w:r>
    </w:p>
    <w:p w14:paraId="2628E4D5">
      <w:pPr>
        <w:pStyle w:val="8"/>
        <w:jc w:val="left"/>
        <w:rPr>
          <w:color w:val="auto"/>
          <w:sz w:val="28"/>
          <w:szCs w:val="36"/>
          <w:highlight w:val="none"/>
        </w:rPr>
        <w:sectPr>
          <w:pgSz w:w="11906" w:h="16838"/>
          <w:pgMar w:top="1587" w:right="1474" w:bottom="1474" w:left="1587" w:header="851" w:footer="992" w:gutter="0"/>
          <w:pgBorders>
            <w:top w:val="none" w:sz="0" w:space="0"/>
            <w:left w:val="none" w:sz="0" w:space="0"/>
            <w:bottom w:val="none" w:sz="0" w:space="0"/>
            <w:right w:val="none" w:sz="0" w:space="0"/>
          </w:pgBorders>
          <w:cols w:space="720" w:num="1"/>
          <w:docGrid w:linePitch="312" w:charSpace="0"/>
        </w:sectPr>
      </w:pPr>
    </w:p>
    <w:p w14:paraId="20FA7B8E">
      <w:pPr>
        <w:adjustRightInd w:val="0"/>
        <w:snapToGrid w:val="0"/>
        <w:spacing w:line="336"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第四章采购需求</w:t>
      </w:r>
    </w:p>
    <w:p w14:paraId="625D0DE4">
      <w:pPr>
        <w:keepNext w:val="0"/>
        <w:keepLines w:val="0"/>
        <w:pageBreakBefore w:val="0"/>
        <w:widowControl w:val="0"/>
        <w:numPr>
          <w:ilvl w:val="0"/>
          <w:numId w:val="0"/>
        </w:numPr>
        <w:shd w:val="clear"/>
        <w:kinsoku/>
        <w:wordWrap/>
        <w:overflowPunct/>
        <w:topLinePunct w:val="0"/>
        <w:autoSpaceDE/>
        <w:autoSpaceDN/>
        <w:bidi w:val="0"/>
        <w:adjustRightInd w:val="0"/>
        <w:snapToGrid/>
        <w:spacing w:line="360" w:lineRule="auto"/>
        <w:jc w:val="left"/>
        <w:textAlignment w:val="auto"/>
        <w:outlineLvl w:val="0"/>
        <w:rPr>
          <w:rFonts w:hint="default" w:ascii="宋体" w:hAnsi="宋体" w:eastAsia="宋体" w:cs="宋体"/>
          <w:b/>
          <w:bCs w:val="0"/>
          <w:color w:val="auto"/>
          <w:sz w:val="21"/>
          <w:szCs w:val="21"/>
          <w:highlight w:val="none"/>
          <w:lang w:val="en-US" w:eastAsia="zh-CN"/>
        </w:rPr>
      </w:pPr>
      <w:bookmarkStart w:id="954" w:name="_Hlk137821917"/>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工程概况</w:t>
      </w:r>
    </w:p>
    <w:p w14:paraId="4C024EE7">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kern w:val="0"/>
          <w:szCs w:val="21"/>
          <w:highlight w:val="none"/>
          <w:lang w:val="en-US" w:eastAsia="en-US"/>
        </w:rPr>
      </w:pPr>
      <w:r>
        <w:rPr>
          <w:rFonts w:hint="eastAsia" w:ascii="宋体" w:hAnsi="宋体" w:eastAsia="宋体" w:cs="宋体"/>
          <w:bCs/>
          <w:color w:val="auto"/>
          <w:kern w:val="0"/>
          <w:szCs w:val="21"/>
          <w:highlight w:val="none"/>
          <w:lang w:val="en-US" w:eastAsia="en-US"/>
        </w:rPr>
        <w:t>本项目位于湖南省长沙市湖南省公安厅交通管理总队院内，改造范围为警务技能训练用房、备勤休息用房一、二层整体室内空间，总改造面积约2000㎡，改造内容包括拆除工程、建筑工程、装饰装修工程、安装工程、健身器材和家具电器等。具体详见工程量清单及编制说明、图纸（另册）。</w:t>
      </w:r>
    </w:p>
    <w:p w14:paraId="22F2DAAD">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二、工程量清单及图纸</w:t>
      </w:r>
    </w:p>
    <w:p w14:paraId="20EF924E">
      <w:pPr>
        <w:shd w:val="clear"/>
        <w:tabs>
          <w:tab w:val="left" w:pos="0"/>
        </w:tabs>
        <w:adjustRightInd w:val="0"/>
        <w:snapToGrid w:val="0"/>
        <w:spacing w:before="120" w:beforeLines="50" w:line="360" w:lineRule="auto"/>
        <w:ind w:firstLine="210" w:firstLineChars="100"/>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1、工程量清单及图纸</w:t>
      </w:r>
      <w:r>
        <w:rPr>
          <w:rFonts w:hint="eastAsia" w:ascii="宋体" w:hAnsi="宋体" w:cs="宋体"/>
          <w:b w:val="0"/>
          <w:bCs w:val="0"/>
          <w:color w:val="auto"/>
          <w:szCs w:val="21"/>
          <w:highlight w:val="none"/>
          <w:lang w:val="en-US" w:eastAsia="zh-CN"/>
        </w:rPr>
        <w:t>另附。</w:t>
      </w:r>
    </w:p>
    <w:p w14:paraId="5D7AC57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工程量清单以提供的电子版工程量清单为准，请各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根据采购人发布的工程量清单进行</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报价，综合单价应包含完成对应子目所需的全部费用，工程量偏差、清单缺漏项按国家及湖南省建设工程计价规范据实调整</w:t>
      </w:r>
      <w:r>
        <w:rPr>
          <w:rFonts w:hint="eastAsia" w:ascii="宋体" w:hAnsi="宋体" w:eastAsia="宋体" w:cs="宋体"/>
          <w:color w:val="auto"/>
          <w:szCs w:val="21"/>
          <w:highlight w:val="none"/>
          <w:lang w:eastAsia="zh-CN"/>
        </w:rPr>
        <w:t>。</w:t>
      </w:r>
    </w:p>
    <w:p w14:paraId="142B1348">
      <w:pPr>
        <w:widowControl w:val="0"/>
        <w:spacing w:line="360" w:lineRule="auto"/>
        <w:ind w:firstLine="0" w:firstLineChars="0"/>
        <w:jc w:val="both"/>
        <w:outlineLvl w:val="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三、清单编制依据及说明</w:t>
      </w:r>
    </w:p>
    <w:p w14:paraId="30FB3EC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1、《湖南省住房和城乡建设厅关于执行</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〈建设工程工程量清单计价标准〉的通知》（湘建价〔</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150</w:t>
      </w:r>
      <w:r>
        <w:rPr>
          <w:rFonts w:hint="eastAsia" w:ascii="宋体" w:hAnsi="宋体" w:eastAsia="宋体" w:cs="宋体"/>
          <w:color w:val="auto"/>
          <w:szCs w:val="21"/>
          <w:highlight w:val="none"/>
          <w:lang w:val="en-US" w:eastAsia="zh-CN"/>
        </w:rPr>
        <w:t>号）、《湖南省住房和城乡建设厅关于发布</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〈湖南省建设工程消耗量标准〉的通知》（湘建价〔</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151</w:t>
      </w:r>
      <w:r>
        <w:rPr>
          <w:rFonts w:hint="eastAsia" w:ascii="宋体" w:hAnsi="宋体" w:eastAsia="宋体" w:cs="宋体"/>
          <w:color w:val="auto"/>
          <w:szCs w:val="21"/>
          <w:highlight w:val="none"/>
          <w:lang w:val="en-US" w:eastAsia="zh-CN"/>
        </w:rPr>
        <w:t xml:space="preserve">号）。 </w:t>
      </w:r>
    </w:p>
    <w:p w14:paraId="4304B7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 xml:space="preserve">年《湖南省房屋建筑与装饰工程消耗量标准》、 </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年《湖南省安装工程消耗量标准》、</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年《湖南省市政工程消耗量标准》、</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年《湖南省园林绿化工程消耗量标准》、</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 xml:space="preserve">年《湖南省市政排水设施维护工程消耗量标准》及其解释文件。 </w:t>
      </w:r>
    </w:p>
    <w:p w14:paraId="5DEEC94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3、《湖南省建设工程造价管理总站关于发布</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年湖南省建设工程人工费指数的通知》（湘建价建〔</w:t>
      </w:r>
      <w:r>
        <w:rPr>
          <w:rFonts w:hint="default"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en-US" w:eastAsia="zh-CN"/>
        </w:rPr>
        <w:t xml:space="preserve">号）。 </w:t>
      </w:r>
    </w:p>
    <w:p w14:paraId="6A8E4F4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4、工程设计施工图、预算书。 </w:t>
      </w:r>
    </w:p>
    <w:p w14:paraId="512B8A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lang w:val="en-US" w:eastAsia="zh-CN"/>
        </w:rPr>
        <w:t>年</w:t>
      </w:r>
      <w:r>
        <w:rPr>
          <w:rFonts w:hint="default"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月份《长沙建设造价》及市场价格。</w:t>
      </w:r>
    </w:p>
    <w:p w14:paraId="75F0125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6、国家相关法律法规及有关文件与规范。</w:t>
      </w:r>
    </w:p>
    <w:p w14:paraId="50EBAEB0">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、技术规范</w:t>
      </w:r>
    </w:p>
    <w:p w14:paraId="684FD7B8">
      <w:pPr>
        <w:shd w:val="clear"/>
        <w:tabs>
          <w:tab w:val="left" w:pos="0"/>
        </w:tabs>
        <w:adjustRightInd w:val="0"/>
        <w:snapToGrid w:val="0"/>
        <w:spacing w:before="120" w:beforeLines="50" w:line="360" w:lineRule="auto"/>
        <w:ind w:firstLine="420" w:firstLineChars="200"/>
        <w:rPr>
          <w:rFonts w:hint="eastAsia" w:ascii="宋体" w:hAnsi="宋体" w:eastAsia="宋体" w:cs="宋体"/>
          <w:b w:val="0"/>
          <w:bCs w:val="0"/>
          <w:color w:val="auto"/>
          <w:szCs w:val="21"/>
          <w:highlight w:val="none"/>
          <w:lang w:eastAsia="zh-CN"/>
        </w:rPr>
      </w:pPr>
      <w:r>
        <w:rPr>
          <w:rFonts w:hint="eastAsia" w:ascii="宋体" w:hAnsi="宋体" w:cs="宋体"/>
          <w:bCs/>
          <w:color w:val="auto"/>
          <w:szCs w:val="21"/>
          <w:highlight w:val="none"/>
        </w:rPr>
        <w:t>本项</w:t>
      </w:r>
      <w:r>
        <w:rPr>
          <w:rFonts w:hint="eastAsia" w:ascii="宋体" w:hAnsi="宋体" w:eastAsia="宋体" w:cs="宋体"/>
          <w:b w:val="0"/>
          <w:bCs w:val="0"/>
          <w:color w:val="auto"/>
          <w:szCs w:val="21"/>
          <w:highlight w:val="none"/>
          <w:lang w:eastAsia="zh-CN"/>
        </w:rPr>
        <w:t>目应严格按照现行最新的施工验收规范进行施工。主要技术规范（包括但不限于）：工程设计图纸、设计说明书；未列出的技术规范按国家有关规定执行，其他见设计文件及施工详图中规定。</w:t>
      </w:r>
    </w:p>
    <w:p w14:paraId="65C27AB4">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五、工期及质量要求</w:t>
      </w:r>
    </w:p>
    <w:p w14:paraId="109DEE92">
      <w:pPr>
        <w:shd w:val="clear"/>
        <w:tabs>
          <w:tab w:val="left" w:pos="0"/>
        </w:tabs>
        <w:adjustRightInd w:val="0"/>
        <w:snapToGrid w:val="0"/>
        <w:spacing w:before="120" w:beforeLines="50" w:line="360" w:lineRule="auto"/>
        <w:ind w:firstLine="210" w:firstLineChars="100"/>
        <w:rPr>
          <w:rFonts w:hint="eastAsia" w:ascii="宋体" w:hAnsi="宋体" w:eastAsia="宋体" w:cs="宋体"/>
          <w:color w:val="auto"/>
          <w:highlight w:val="none"/>
          <w:u w:val="none" w:color="auto"/>
          <w:lang w:val="en-US" w:eastAsia="zh-CN"/>
        </w:rPr>
      </w:pPr>
      <w:r>
        <w:rPr>
          <w:rFonts w:hint="eastAsia" w:ascii="宋体" w:hAnsi="宋体" w:cs="宋体"/>
          <w:bCs/>
          <w:color w:val="auto"/>
          <w:szCs w:val="21"/>
          <w:highlight w:val="none"/>
        </w:rPr>
        <w:t>1、</w:t>
      </w:r>
      <w:r>
        <w:rPr>
          <w:rFonts w:hint="eastAsia" w:ascii="宋体" w:hAnsi="宋体" w:eastAsia="宋体" w:cs="宋体"/>
          <w:color w:val="auto"/>
          <w:highlight w:val="none"/>
          <w:u w:val="none" w:color="auto"/>
          <w:lang w:val="en-US" w:eastAsia="zh-CN"/>
        </w:rPr>
        <w:t>工期：</w:t>
      </w:r>
      <w:r>
        <w:rPr>
          <w:rFonts w:hint="eastAsia"/>
          <w:color w:val="auto"/>
          <w:highlight w:val="none"/>
        </w:rPr>
        <w:t>自</w:t>
      </w:r>
      <w:r>
        <w:rPr>
          <w:rFonts w:hint="eastAsia"/>
          <w:color w:val="auto"/>
          <w:highlight w:val="none"/>
          <w:lang w:val="en-US" w:eastAsia="zh-CN"/>
        </w:rPr>
        <w:t>采购</w:t>
      </w:r>
      <w:r>
        <w:rPr>
          <w:rFonts w:hint="eastAsia"/>
          <w:color w:val="auto"/>
          <w:highlight w:val="none"/>
        </w:rPr>
        <w:t>人发布开工指令</w:t>
      </w:r>
      <w:r>
        <w:rPr>
          <w:rFonts w:hint="eastAsia" w:ascii="宋体" w:hAnsi="宋体" w:eastAsia="宋体" w:cs="宋体"/>
          <w:b w:val="0"/>
          <w:bCs w:val="0"/>
          <w:color w:val="auto"/>
          <w:sz w:val="21"/>
          <w:szCs w:val="21"/>
          <w:highlight w:val="none"/>
        </w:rPr>
        <w:t>后</w:t>
      </w:r>
      <w:r>
        <w:rPr>
          <w:rFonts w:hint="eastAsia" w:ascii="宋体" w:hAnsi="宋体" w:eastAsia="宋体" w:cs="宋体"/>
          <w:color w:val="auto"/>
          <w:highlight w:val="none"/>
          <w:u w:val="single" w:color="auto"/>
          <w:lang w:val="en-US" w:eastAsia="zh-CN"/>
        </w:rPr>
        <w:t xml:space="preserve"> </w:t>
      </w:r>
      <w:r>
        <w:rPr>
          <w:rFonts w:hint="eastAsia" w:ascii="宋体" w:hAnsi="宋体" w:cs="宋体"/>
          <w:color w:val="auto"/>
          <w:highlight w:val="none"/>
          <w:u w:val="single" w:color="auto"/>
          <w:lang w:val="en-US" w:eastAsia="zh-CN"/>
        </w:rPr>
        <w:t>60</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none" w:color="auto"/>
          <w:lang w:val="en-US" w:eastAsia="zh-CN"/>
        </w:rPr>
        <w:t>天内完成并验收合格。</w:t>
      </w:r>
    </w:p>
    <w:p w14:paraId="2FA99BC3">
      <w:pPr>
        <w:shd w:val="clear"/>
        <w:tabs>
          <w:tab w:val="left" w:pos="0"/>
        </w:tabs>
        <w:adjustRightInd w:val="0"/>
        <w:snapToGrid w:val="0"/>
        <w:spacing w:before="120" w:beforeLines="50" w:line="360" w:lineRule="auto"/>
        <w:ind w:firstLine="210" w:firstLineChars="100"/>
        <w:rPr>
          <w:rFonts w:ascii="宋体" w:hAnsi="宋体" w:cs="宋体"/>
          <w:bCs/>
          <w:color w:val="auto"/>
          <w:szCs w:val="21"/>
          <w:highlight w:val="none"/>
        </w:rPr>
      </w:pPr>
      <w:r>
        <w:rPr>
          <w:rFonts w:hint="eastAsia" w:ascii="宋体" w:hAnsi="宋体" w:cs="宋体"/>
          <w:color w:val="auto"/>
          <w:highlight w:val="none"/>
          <w:u w:val="none" w:color="auto"/>
          <w:lang w:val="en-US" w:eastAsia="zh-CN"/>
        </w:rPr>
        <w:t>2、</w:t>
      </w:r>
      <w:r>
        <w:rPr>
          <w:rFonts w:hint="eastAsia" w:ascii="宋体" w:hAnsi="宋体" w:eastAsia="宋体" w:cs="宋体"/>
          <w:color w:val="auto"/>
          <w:highlight w:val="none"/>
          <w:u w:val="none" w:color="auto"/>
          <w:lang w:val="en-US" w:eastAsia="zh-CN"/>
        </w:rPr>
        <w:t>服务期限：从施工准备阶段开始，经施工阶段至保修期结束（包括但不限于施工准备阶段、施工阶段、保修期全过程）。</w:t>
      </w:r>
    </w:p>
    <w:p w14:paraId="51AD5591">
      <w:pPr>
        <w:shd w:val="clear"/>
        <w:tabs>
          <w:tab w:val="left" w:pos="0"/>
        </w:tabs>
        <w:adjustRightInd w:val="0"/>
        <w:snapToGrid w:val="0"/>
        <w:spacing w:before="120" w:beforeLines="50" w:line="360" w:lineRule="auto"/>
        <w:ind w:firstLine="210" w:firstLineChars="1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、质量</w:t>
      </w:r>
      <w:r>
        <w:rPr>
          <w:rFonts w:hint="eastAsia" w:ascii="宋体" w:hAnsi="宋体" w:eastAsia="宋体" w:cs="宋体"/>
          <w:bCs/>
          <w:color w:val="auto"/>
          <w:szCs w:val="21"/>
          <w:highlight w:val="none"/>
          <w:lang w:eastAsia="zh-CN"/>
        </w:rPr>
        <w:t>要求：执行国家、省、市相关规定，符合工程质量验收规范，验收合格。</w:t>
      </w:r>
    </w:p>
    <w:p w14:paraId="2F643E7D">
      <w:pPr>
        <w:shd w:val="clear"/>
        <w:tabs>
          <w:tab w:val="left" w:pos="0"/>
        </w:tabs>
        <w:adjustRightInd w:val="0"/>
        <w:snapToGrid w:val="0"/>
        <w:spacing w:before="120" w:beforeLines="50" w:line="360" w:lineRule="auto"/>
        <w:ind w:firstLine="210" w:firstLineChars="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标准：</w:t>
      </w:r>
    </w:p>
    <w:p w14:paraId="45DDAD36">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bookmarkStart w:id="955" w:name="_Toc225336550"/>
      <w:r>
        <w:rPr>
          <w:rFonts w:hint="eastAsia" w:ascii="宋体" w:hAnsi="宋体" w:eastAsia="宋体" w:cs="宋体"/>
          <w:bCs/>
          <w:color w:val="auto"/>
          <w:szCs w:val="21"/>
          <w:highlight w:val="none"/>
        </w:rPr>
        <w:t>（1）工程质量及工程验收标准，按建设部现行的有关施工规范和工程质量检验评定标准执行，务必达到合格工程标准。供应商如有违反操作规程及粗制滥造现象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采购人有权加以制止，直至下令停止施工，其经济损失全部由</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负责，工期</w:t>
      </w:r>
      <w:r>
        <w:rPr>
          <w:rFonts w:hint="eastAsia" w:ascii="宋体" w:hAnsi="宋体" w:eastAsia="宋体" w:cs="宋体"/>
          <w:bCs/>
          <w:color w:val="auto"/>
          <w:szCs w:val="21"/>
          <w:highlight w:val="none"/>
          <w:lang w:eastAsia="zh-CN"/>
        </w:rPr>
        <w:t>不得顺延</w:t>
      </w:r>
      <w:r>
        <w:rPr>
          <w:rFonts w:hint="eastAsia" w:ascii="宋体" w:hAnsi="宋体" w:eastAsia="宋体" w:cs="宋体"/>
          <w:bCs/>
          <w:color w:val="auto"/>
          <w:szCs w:val="21"/>
          <w:highlight w:val="none"/>
        </w:rPr>
        <w:t>。</w:t>
      </w:r>
    </w:p>
    <w:p w14:paraId="7573A384">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（2）当现场情况与设计不相符时，须先报告采购</w:t>
      </w:r>
      <w:r>
        <w:rPr>
          <w:rFonts w:hint="eastAsia" w:ascii="宋体" w:hAnsi="宋体" w:eastAsia="宋体" w:cs="宋体"/>
          <w:bCs/>
          <w:color w:val="auto"/>
          <w:szCs w:val="21"/>
          <w:highlight w:val="none"/>
          <w:lang w:eastAsia="zh-CN"/>
        </w:rPr>
        <w:t>人，</w:t>
      </w:r>
      <w:r>
        <w:rPr>
          <w:rFonts w:hint="eastAsia" w:ascii="宋体" w:hAnsi="宋体" w:eastAsia="宋体" w:cs="宋体"/>
          <w:bCs/>
          <w:color w:val="auto"/>
          <w:szCs w:val="21"/>
          <w:highlight w:val="none"/>
        </w:rPr>
        <w:t>再由采购</w:t>
      </w:r>
      <w:r>
        <w:rPr>
          <w:rFonts w:hint="eastAsia" w:ascii="宋体" w:hAnsi="宋体" w:eastAsia="宋体" w:cs="宋体"/>
          <w:bCs/>
          <w:color w:val="auto"/>
          <w:szCs w:val="21"/>
          <w:highlight w:val="none"/>
          <w:lang w:eastAsia="zh-CN"/>
        </w:rPr>
        <w:t>人</w:t>
      </w:r>
      <w:r>
        <w:rPr>
          <w:rFonts w:hint="eastAsia" w:ascii="宋体" w:hAnsi="宋体" w:eastAsia="宋体" w:cs="宋体"/>
          <w:bCs/>
          <w:color w:val="auto"/>
          <w:szCs w:val="21"/>
          <w:highlight w:val="none"/>
        </w:rPr>
        <w:t>和设计</w:t>
      </w:r>
      <w:r>
        <w:rPr>
          <w:rFonts w:hint="eastAsia" w:ascii="宋体" w:hAnsi="宋体" w:eastAsia="宋体" w:cs="宋体"/>
          <w:bCs/>
          <w:color w:val="auto"/>
          <w:szCs w:val="21"/>
          <w:highlight w:val="none"/>
          <w:lang w:eastAsia="zh-CN"/>
        </w:rPr>
        <w:t>人</w:t>
      </w:r>
      <w:r>
        <w:rPr>
          <w:rFonts w:hint="eastAsia" w:ascii="宋体" w:hAnsi="宋体" w:eastAsia="宋体" w:cs="宋体"/>
          <w:bCs/>
          <w:color w:val="auto"/>
          <w:szCs w:val="21"/>
          <w:highlight w:val="none"/>
        </w:rPr>
        <w:t>根据现场进行调整</w:t>
      </w:r>
      <w:r>
        <w:rPr>
          <w:rFonts w:hint="eastAsia" w:ascii="宋体" w:hAnsi="宋体" w:eastAsia="宋体" w:cs="宋体"/>
          <w:bCs/>
          <w:color w:val="auto"/>
          <w:szCs w:val="21"/>
          <w:highlight w:val="none"/>
          <w:lang w:eastAsia="zh-CN"/>
        </w:rPr>
        <w:t>。</w:t>
      </w:r>
    </w:p>
    <w:p w14:paraId="44936303">
      <w:pPr>
        <w:shd w:val="clear"/>
        <w:tabs>
          <w:tab w:val="left" w:pos="0"/>
        </w:tabs>
        <w:adjustRightInd w:val="0"/>
        <w:snapToGrid w:val="0"/>
        <w:spacing w:before="120" w:beforeLines="50" w:line="360" w:lineRule="auto"/>
        <w:ind w:firstLine="210" w:firstLineChars="100"/>
        <w:rPr>
          <w:rFonts w:hint="eastAsia" w:ascii="宋体" w:hAnsi="宋体" w:cs="宋体"/>
          <w:bCs/>
          <w:color w:val="auto"/>
          <w:szCs w:val="21"/>
          <w:highlight w:val="none"/>
        </w:rPr>
      </w:pPr>
      <w:r>
        <w:rPr>
          <w:rFonts w:hint="eastAsia" w:ascii="宋体" w:hAnsi="宋体" w:eastAsia="宋体" w:cs="宋体"/>
          <w:bCs/>
          <w:color w:val="auto"/>
          <w:szCs w:val="21"/>
          <w:highlight w:val="none"/>
          <w:lang w:val="en-US" w:eastAsia="zh-CN"/>
        </w:rPr>
        <w:t>5、质量保证：</w:t>
      </w:r>
      <w:r>
        <w:rPr>
          <w:rFonts w:hint="eastAsia" w:ascii="宋体" w:hAnsi="宋体" w:eastAsia="宋体" w:cs="宋体"/>
          <w:bCs/>
          <w:color w:val="auto"/>
          <w:szCs w:val="21"/>
          <w:highlight w:val="none"/>
        </w:rPr>
        <w:t>本工程质量符</w:t>
      </w:r>
      <w:r>
        <w:rPr>
          <w:rFonts w:hint="eastAsia" w:ascii="宋体" w:hAnsi="宋体" w:cs="宋体"/>
          <w:bCs/>
          <w:color w:val="auto"/>
          <w:szCs w:val="21"/>
          <w:highlight w:val="none"/>
        </w:rPr>
        <w:t>合《工程施工质量验收规范》要求验收合格。</w:t>
      </w:r>
    </w:p>
    <w:p w14:paraId="61E1FE9B">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bookmarkStart w:id="956" w:name="_Toc7329"/>
      <w:r>
        <w:rPr>
          <w:rFonts w:hint="eastAsia" w:ascii="宋体" w:hAnsi="宋体" w:eastAsia="宋体" w:cs="宋体"/>
          <w:b/>
          <w:bCs/>
          <w:color w:val="auto"/>
          <w:kern w:val="2"/>
          <w:sz w:val="21"/>
          <w:szCs w:val="21"/>
          <w:highlight w:val="none"/>
          <w:lang w:val="en-US" w:eastAsia="zh-CN" w:bidi="ar-SA"/>
        </w:rPr>
        <w:t>六、项目实施要求</w:t>
      </w:r>
      <w:bookmarkEnd w:id="955"/>
      <w:bookmarkEnd w:id="956"/>
    </w:p>
    <w:p w14:paraId="2E43086A">
      <w:pPr>
        <w:shd w:val="clear"/>
        <w:tabs>
          <w:tab w:val="left" w:pos="0"/>
        </w:tabs>
        <w:adjustRightInd w:val="0"/>
        <w:snapToGrid w:val="0"/>
        <w:spacing w:before="120" w:beforeLines="50" w:line="360" w:lineRule="auto"/>
        <w:ind w:firstLine="210" w:firstLineChars="100"/>
        <w:rPr>
          <w:rFonts w:ascii="宋体" w:hAnsi="宋体" w:cs="宋体"/>
          <w:b/>
          <w:bCs/>
          <w:color w:val="auto"/>
          <w:szCs w:val="21"/>
          <w:highlight w:val="none"/>
        </w:rPr>
      </w:pPr>
      <w:r>
        <w:rPr>
          <w:rFonts w:hint="eastAsia" w:ascii="宋体" w:hAnsi="宋体" w:cs="宋体"/>
          <w:b/>
          <w:bCs/>
          <w:color w:val="auto"/>
          <w:szCs w:val="21"/>
          <w:highlight w:val="none"/>
        </w:rPr>
        <w:t>1、建筑材料运输、保管及保险</w:t>
      </w:r>
    </w:p>
    <w:p w14:paraId="62F52AD5">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材料</w:t>
      </w:r>
      <w:r>
        <w:rPr>
          <w:rFonts w:hint="eastAsia" w:ascii="宋体" w:hAnsi="宋体" w:eastAsia="宋体" w:cs="宋体"/>
          <w:bCs/>
          <w:color w:val="auto"/>
          <w:szCs w:val="21"/>
          <w:highlight w:val="none"/>
        </w:rPr>
        <w:t xml:space="preserve">符合合格标准，进场前须报验，经采购人同意后方可使用。 </w:t>
      </w:r>
    </w:p>
    <w:p w14:paraId="3C792FE9">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）供应商负责建筑材料到施工地点的全部运输，包括装卸及现场搬运等。</w:t>
      </w:r>
    </w:p>
    <w:p w14:paraId="6CFABDF1">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）供应商负责建筑材料在施工地点的保管，直至项目验收合格。</w:t>
      </w:r>
    </w:p>
    <w:p w14:paraId="649379C2">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）供应商负责其派出的施工人员的人身意外保险。</w:t>
      </w:r>
    </w:p>
    <w:p w14:paraId="126B4E36">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）供应商负责维修后的施工区域内的建筑废弃材料（含建筑垃圾）清理、离场运输、处置场地的选择等。</w:t>
      </w:r>
    </w:p>
    <w:p w14:paraId="2045E0FD">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）供应商负责在工程竣工验收后移交相关的材料、设备、配件的技术参数（品牌名称、产地、规格型号等）、图纸说明等档案材料。</w:t>
      </w:r>
    </w:p>
    <w:p w14:paraId="37512ED3">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）供应商负责在工程竣工后废旧材料的收集，并造册按照</w:t>
      </w:r>
      <w:r>
        <w:rPr>
          <w:rFonts w:hint="eastAsia" w:ascii="宋体" w:hAnsi="宋体" w:eastAsia="宋体" w:cs="宋体"/>
          <w:bCs/>
          <w:color w:val="auto"/>
          <w:szCs w:val="21"/>
          <w:highlight w:val="none"/>
          <w:lang w:eastAsia="zh-CN"/>
        </w:rPr>
        <w:t>采购</w:t>
      </w:r>
      <w:r>
        <w:rPr>
          <w:rFonts w:hint="eastAsia" w:ascii="宋体" w:hAnsi="宋体" w:eastAsia="宋体" w:cs="宋体"/>
          <w:bCs/>
          <w:color w:val="auto"/>
          <w:szCs w:val="21"/>
          <w:highlight w:val="none"/>
        </w:rPr>
        <w:t>人的要求统一搬运至指定地点存放。</w:t>
      </w:r>
    </w:p>
    <w:p w14:paraId="04D46C06">
      <w:pPr>
        <w:shd w:val="clear"/>
        <w:tabs>
          <w:tab w:val="left" w:pos="0"/>
        </w:tabs>
        <w:adjustRightInd w:val="0"/>
        <w:snapToGrid w:val="0"/>
        <w:spacing w:before="120" w:beforeLines="50" w:line="360" w:lineRule="auto"/>
        <w:ind w:firstLine="210" w:firstLineChars="100"/>
        <w:rPr>
          <w:rFonts w:ascii="宋体" w:hAnsi="宋体" w:cs="宋体"/>
          <w:b/>
          <w:bCs/>
          <w:color w:val="auto"/>
          <w:szCs w:val="21"/>
          <w:highlight w:val="none"/>
        </w:rPr>
      </w:pPr>
      <w:r>
        <w:rPr>
          <w:rFonts w:hint="eastAsia" w:ascii="宋体" w:hAnsi="宋体" w:cs="宋体"/>
          <w:b/>
          <w:bCs/>
          <w:color w:val="auto"/>
          <w:szCs w:val="21"/>
          <w:highlight w:val="none"/>
        </w:rPr>
        <w:t>2、施工</w:t>
      </w:r>
      <w:r>
        <w:rPr>
          <w:rFonts w:hint="eastAsia" w:ascii="宋体" w:hAnsi="宋体" w:eastAsia="宋体" w:cs="宋体"/>
          <w:b/>
          <w:bCs/>
          <w:color w:val="auto"/>
          <w:szCs w:val="21"/>
          <w:highlight w:val="none"/>
        </w:rPr>
        <w:t>要求</w:t>
      </w:r>
    </w:p>
    <w:p w14:paraId="3CC8130D">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rPr>
        <w:t>（1）供应商须</w:t>
      </w:r>
      <w:r>
        <w:rPr>
          <w:rFonts w:hint="eastAsia" w:ascii="宋体" w:hAnsi="宋体" w:eastAsia="宋体" w:cs="宋体"/>
          <w:bCs/>
          <w:color w:val="auto"/>
          <w:szCs w:val="21"/>
          <w:highlight w:val="none"/>
        </w:rPr>
        <w:t>加强施工的组织管理，所有施工人员须遵守文明安全施工的有关规章制度，持证上岗。</w:t>
      </w:r>
    </w:p>
    <w:p w14:paraId="7284F160">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（2）施工期间，应接受采购人及监理工程师的监督管理，遵守有关规定。</w:t>
      </w:r>
    </w:p>
    <w:p w14:paraId="0513DE37">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（3）主材产品合格证、质量保证书、产品出厂检验报告必须齐全。</w:t>
      </w:r>
    </w:p>
    <w:p w14:paraId="0F83DA2F">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 xml:space="preserve">所有施工见施工图要求，按图纸施工。 </w:t>
      </w:r>
    </w:p>
    <w:p w14:paraId="1BCEBEF5">
      <w:pPr>
        <w:shd w:val="clear"/>
        <w:tabs>
          <w:tab w:val="left" w:pos="0"/>
        </w:tabs>
        <w:adjustRightInd w:val="0"/>
        <w:snapToGrid w:val="0"/>
        <w:spacing w:before="120" w:beforeLines="5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进场人员须办理人身意外保险，其人员、财产的安全由</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 xml:space="preserve">负责。 </w:t>
      </w:r>
    </w:p>
    <w:p w14:paraId="1081AE9B">
      <w:pPr>
        <w:shd w:val="clear"/>
        <w:tabs>
          <w:tab w:val="left" w:pos="0"/>
        </w:tabs>
        <w:adjustRightInd w:val="0"/>
        <w:snapToGrid w:val="0"/>
        <w:spacing w:before="120" w:beforeLines="50" w:line="360" w:lineRule="auto"/>
        <w:ind w:firstLine="420" w:firstLineChars="200"/>
        <w:rPr>
          <w:rFonts w:hint="eastAsia" w:ascii="宋体" w:hAnsi="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应组织好安全文</w:t>
      </w:r>
      <w:r>
        <w:rPr>
          <w:rFonts w:hint="eastAsia" w:ascii="宋体" w:hAnsi="宋体" w:cs="宋体"/>
          <w:color w:val="auto"/>
          <w:szCs w:val="21"/>
          <w:highlight w:val="none"/>
        </w:rPr>
        <w:t>明施工，须遵守采购人保卫部门和社区安全文明管理的规定。</w:t>
      </w:r>
    </w:p>
    <w:p w14:paraId="0AFFE576">
      <w:pPr>
        <w:shd w:val="clear"/>
        <w:tabs>
          <w:tab w:val="left" w:pos="0"/>
        </w:tabs>
        <w:adjustRightInd w:val="0"/>
        <w:snapToGrid w:val="0"/>
        <w:spacing w:before="120" w:beforeLines="50" w:line="360" w:lineRule="auto"/>
        <w:ind w:firstLine="210" w:firstLineChars="100"/>
        <w:rPr>
          <w:rFonts w:ascii="宋体" w:hAnsi="宋体" w:cs="宋体"/>
          <w:b/>
          <w:bCs/>
          <w:color w:val="auto"/>
          <w:szCs w:val="21"/>
          <w:highlight w:val="none"/>
        </w:rPr>
      </w:pPr>
      <w:r>
        <w:rPr>
          <w:rFonts w:hint="eastAsia" w:ascii="宋体" w:hAnsi="宋体" w:cs="宋体"/>
          <w:b/>
          <w:bCs/>
          <w:color w:val="auto"/>
          <w:szCs w:val="21"/>
          <w:highlight w:val="none"/>
        </w:rPr>
        <w:t>3、验收要求</w:t>
      </w:r>
    </w:p>
    <w:p w14:paraId="22CA7AB2">
      <w:pPr>
        <w:shd w:val="clear"/>
        <w:tabs>
          <w:tab w:val="left" w:pos="0"/>
        </w:tabs>
        <w:adjustRightInd w:val="0"/>
        <w:snapToGrid w:val="0"/>
        <w:spacing w:before="120" w:beforeLines="50" w:line="360" w:lineRule="auto"/>
        <w:ind w:firstLine="630" w:firstLineChars="300"/>
        <w:rPr>
          <w:rFonts w:ascii="宋体" w:hAnsi="宋体" w:cs="宋体"/>
          <w:bCs/>
          <w:color w:val="auto"/>
          <w:szCs w:val="21"/>
          <w:highlight w:val="none"/>
        </w:rPr>
      </w:pPr>
      <w:r>
        <w:rPr>
          <w:rFonts w:hint="eastAsia" w:ascii="宋体" w:hAnsi="宋体" w:cs="宋体"/>
          <w:color w:val="auto"/>
          <w:szCs w:val="21"/>
          <w:highlight w:val="none"/>
        </w:rPr>
        <w:t>验收时，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应清理施工现场的临时设施、施工垃圾并承担由此产生的费用，清理及卫生满足要求后方可验收。 </w:t>
      </w:r>
    </w:p>
    <w:p w14:paraId="3ED6625E">
      <w:pPr>
        <w:shd w:val="clear"/>
        <w:tabs>
          <w:tab w:val="left" w:pos="0"/>
        </w:tabs>
        <w:adjustRightInd w:val="0"/>
        <w:snapToGrid w:val="0"/>
        <w:spacing w:before="120" w:beforeLines="50" w:line="360" w:lineRule="auto"/>
        <w:ind w:firstLine="210" w:firstLineChars="100"/>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、施工后维护</w:t>
      </w:r>
      <w:r>
        <w:rPr>
          <w:rFonts w:hint="eastAsia" w:ascii="宋体" w:hAnsi="宋体" w:eastAsia="宋体" w:cs="宋体"/>
          <w:b/>
          <w:bCs/>
          <w:color w:val="auto"/>
          <w:szCs w:val="21"/>
          <w:highlight w:val="none"/>
        </w:rPr>
        <w:t>服务</w:t>
      </w:r>
    </w:p>
    <w:p w14:paraId="1DEB5342">
      <w:pPr>
        <w:shd w:val="clear"/>
        <w:tabs>
          <w:tab w:val="left" w:pos="0"/>
        </w:tabs>
        <w:adjustRightInd w:val="0"/>
        <w:snapToGrid w:val="0"/>
        <w:spacing w:before="120" w:beforeLines="50" w:line="360" w:lineRule="auto"/>
        <w:ind w:firstLine="630" w:firstLineChars="300"/>
        <w:rPr>
          <w:rFonts w:ascii="宋体" w:hAnsi="宋体" w:cs="宋体"/>
          <w:bCs/>
          <w:color w:val="auto"/>
          <w:szCs w:val="21"/>
          <w:highlight w:val="none"/>
        </w:rPr>
      </w:pPr>
      <w:r>
        <w:rPr>
          <w:rFonts w:hint="eastAsia" w:ascii="宋体" w:hAnsi="宋体" w:cs="宋体"/>
          <w:bCs/>
          <w:color w:val="auto"/>
          <w:szCs w:val="21"/>
          <w:highlight w:val="none"/>
        </w:rPr>
        <w:t>按有关规定执行。</w:t>
      </w:r>
    </w:p>
    <w:p w14:paraId="65FAC50C">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七、转包和分包</w:t>
      </w:r>
    </w:p>
    <w:p w14:paraId="74537F9C">
      <w:pPr>
        <w:shd w:val="clear"/>
        <w:tabs>
          <w:tab w:val="left" w:pos="0"/>
        </w:tabs>
        <w:adjustRightInd w:val="0"/>
        <w:snapToGrid w:val="0"/>
        <w:spacing w:before="120" w:beforeLines="50" w:line="360" w:lineRule="auto"/>
        <w:ind w:firstLine="630" w:firstLineChars="3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供应商不得以任何形式将本工程转包或分包给其他单位，如发现转包或分包，采购人有权终 止合同，所造成的一切损失由供应商负责。</w:t>
      </w:r>
    </w:p>
    <w:p w14:paraId="54AD13F9">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八、成交供应商竣工后应提供的技术资料</w:t>
      </w:r>
    </w:p>
    <w:p w14:paraId="75B37EFD">
      <w:pPr>
        <w:shd w:val="clear"/>
        <w:tabs>
          <w:tab w:val="left" w:pos="0"/>
        </w:tabs>
        <w:adjustRightInd w:val="0"/>
        <w:snapToGrid w:val="0"/>
        <w:spacing w:before="120" w:beforeLines="50" w:line="360" w:lineRule="auto"/>
        <w:ind w:firstLine="210" w:firstLineChars="1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1、供应商在工程竣工时应按国家有关规定向采购人提供有关技术资料4套，费用均包括在项目报价之内。 </w:t>
      </w:r>
    </w:p>
    <w:p w14:paraId="55FB4FE4">
      <w:pPr>
        <w:shd w:val="clear"/>
        <w:tabs>
          <w:tab w:val="left" w:pos="0"/>
        </w:tabs>
        <w:adjustRightInd w:val="0"/>
        <w:snapToGrid w:val="0"/>
        <w:spacing w:before="120" w:beforeLines="50" w:line="360" w:lineRule="auto"/>
        <w:ind w:firstLine="210" w:firstLineChars="100"/>
        <w:rPr>
          <w:rFonts w:hint="default" w:ascii="宋体" w:hAnsi="宋体" w:eastAsia="宋体" w:cs="宋体"/>
          <w:b w:val="0"/>
          <w:bCs w:val="0"/>
          <w:color w:val="auto"/>
          <w:kern w:val="2"/>
          <w:sz w:val="21"/>
          <w:szCs w:val="21"/>
          <w:highlight w:val="none"/>
          <w:lang w:val="en" w:eastAsia="zh-CN" w:bidi="ar-SA"/>
        </w:rPr>
      </w:pPr>
      <w:r>
        <w:rPr>
          <w:rFonts w:hint="eastAsia" w:ascii="宋体" w:hAnsi="宋体" w:eastAsia="宋体" w:cs="宋体"/>
          <w:b w:val="0"/>
          <w:bCs w:val="0"/>
          <w:color w:val="auto"/>
          <w:kern w:val="2"/>
          <w:sz w:val="21"/>
          <w:szCs w:val="21"/>
          <w:highlight w:val="none"/>
          <w:lang w:val="en-US" w:eastAsia="zh-CN" w:bidi="ar-SA"/>
        </w:rPr>
        <w:t>2、设计文件、竣工图、结算等有关资料；（1）设计变更资料；（2）施工预算和工程决算；（3）施工方案和计划、统计资料；（4）工程中间验收记录；（5）施工过程有关大事记和需说明的情况；（6）采购人有权要求成交供应商将主材送采购人指定试验单位进行抽检测试。合格后方可使用，测试费用由供应商负责。</w:t>
      </w:r>
    </w:p>
    <w:p w14:paraId="05A83DED">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highlight w:val="none"/>
          <w:lang w:val="en-US" w:eastAsia="zh-CN"/>
        </w:rPr>
        <w:t>九</w:t>
      </w:r>
      <w:r>
        <w:rPr>
          <w:rFonts w:hint="eastAsia" w:ascii="宋体" w:hAnsi="宋体" w:eastAsia="宋体" w:cs="宋体"/>
          <w:b/>
          <w:bCs/>
          <w:color w:val="auto"/>
          <w:kern w:val="2"/>
          <w:sz w:val="21"/>
          <w:szCs w:val="21"/>
          <w:highlight w:val="none"/>
          <w:lang w:val="en-US" w:eastAsia="zh-CN" w:bidi="ar-SA"/>
        </w:rPr>
        <w:t>、踏勘</w:t>
      </w:r>
    </w:p>
    <w:p w14:paraId="5CF4C0AC">
      <w:pPr>
        <w:shd w:val="clear"/>
        <w:tabs>
          <w:tab w:val="left" w:pos="0"/>
        </w:tabs>
        <w:adjustRightInd w:val="0"/>
        <w:snapToGrid w:val="0"/>
        <w:spacing w:before="120"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采购人不组织统一踏勘现场活动，供应商应根据项目的实际情况自行组织踏勘现场，供应商因没有踏勘现场而给自身带来的损失，供应商自行负责。</w:t>
      </w:r>
    </w:p>
    <w:p w14:paraId="4B2A9242">
      <w:pPr>
        <w:widowControl w:val="0"/>
        <w:spacing w:line="360" w:lineRule="auto"/>
        <w:ind w:firstLine="0" w:firstLineChars="0"/>
        <w:jc w:val="both"/>
        <w:outlineLvl w:val="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十、工程</w:t>
      </w:r>
      <w:r>
        <w:rPr>
          <w:rFonts w:hint="eastAsia" w:ascii="宋体" w:hAnsi="宋体" w:eastAsia="宋体" w:cs="宋体"/>
          <w:b/>
          <w:bCs/>
          <w:color w:val="auto"/>
          <w:kern w:val="2"/>
          <w:sz w:val="21"/>
          <w:szCs w:val="21"/>
          <w:highlight w:val="none"/>
          <w:lang w:val="en-US" w:eastAsia="zh-CN" w:bidi="ar-SA"/>
        </w:rPr>
        <w:t>保修</w:t>
      </w:r>
    </w:p>
    <w:p w14:paraId="708C84D9">
      <w:pPr>
        <w:shd w:val="clear"/>
        <w:tabs>
          <w:tab w:val="left" w:pos="0"/>
        </w:tabs>
        <w:adjustRightInd w:val="0"/>
        <w:snapToGrid w:val="0"/>
        <w:spacing w:before="120" w:beforeLines="50"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质量保修期（质保期）按《房屋建筑工程质量保修办法》（建设部第80号令）的要求保修，由成交供应商承担其责任与义务。保修期间进场维修，保证无偿修理完好，接到维修通知，必须在24小时之内上门检查，两日之内上门维修。 工程保修期从工程竣工验收合格之日起计算。</w:t>
      </w:r>
    </w:p>
    <w:p w14:paraId="141B652D">
      <w:pPr>
        <w:widowControl w:val="0"/>
        <w:spacing w:line="360" w:lineRule="auto"/>
        <w:ind w:firstLine="0" w:firstLineChars="0"/>
        <w:jc w:val="both"/>
        <w:outlineLvl w:val="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十一、其他要求</w:t>
      </w:r>
    </w:p>
    <w:p w14:paraId="2B854AB5">
      <w:pPr>
        <w:shd w:val="clear"/>
        <w:tabs>
          <w:tab w:val="left" w:pos="0"/>
        </w:tabs>
        <w:adjustRightInd w:val="0"/>
        <w:snapToGrid w:val="0"/>
        <w:spacing w:before="120" w:beforeLines="50" w:line="360" w:lineRule="auto"/>
        <w:ind w:firstLine="210" w:firstLineChars="1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1、工程竣工结算</w:t>
      </w:r>
    </w:p>
    <w:p w14:paraId="52062175">
      <w:pPr>
        <w:shd w:val="clear"/>
        <w:tabs>
          <w:tab w:val="left" w:pos="0"/>
        </w:tabs>
        <w:adjustRightInd w:val="0"/>
        <w:snapToGrid w:val="0"/>
        <w:spacing w:before="120" w:beforeLines="50"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程竣工后双方应及时办理工程结算，供应商应积极配合，未办理完结算不支付工程尾款，不计算利息。工程竣工验收后，供应商应在30天内提交完整齐备的工程竣工资料和验收资料装整成册交采购人存档，并必须保证所有归档资料的真实性。</w:t>
      </w:r>
    </w:p>
    <w:p w14:paraId="24260C71">
      <w:pPr>
        <w:shd w:val="clear"/>
        <w:tabs>
          <w:tab w:val="left" w:pos="0"/>
        </w:tabs>
        <w:adjustRightInd w:val="0"/>
        <w:snapToGrid w:val="0"/>
        <w:spacing w:before="120" w:beforeLines="50"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2、供应商应根据采购人提供的工程量清单及说明提交工程量报价清单。 </w:t>
      </w:r>
    </w:p>
    <w:p w14:paraId="6E7FF029">
      <w:pPr>
        <w:shd w:val="clear"/>
        <w:tabs>
          <w:tab w:val="left" w:pos="0"/>
        </w:tabs>
        <w:adjustRightInd w:val="0"/>
        <w:snapToGrid w:val="0"/>
        <w:spacing w:before="120" w:beforeLines="50"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bookmarkStart w:id="957" w:name="OLE_LINK13"/>
      <w:r>
        <w:rPr>
          <w:rFonts w:hint="eastAsia" w:ascii="宋体" w:hAnsi="宋体" w:eastAsia="宋体" w:cs="宋体"/>
          <w:b w:val="0"/>
          <w:bCs w:val="0"/>
          <w:color w:val="auto"/>
          <w:kern w:val="2"/>
          <w:sz w:val="21"/>
          <w:szCs w:val="21"/>
          <w:highlight w:val="none"/>
          <w:lang w:val="en-US" w:eastAsia="zh-CN" w:bidi="ar-SA"/>
        </w:rPr>
        <w:t>本项目综合单价应包含完成对应子目所需的全部费用，工程量偏差、清单缺漏项按国家及湖南省建设工程计价规范据实调整。</w:t>
      </w:r>
      <w:bookmarkEnd w:id="957"/>
    </w:p>
    <w:p w14:paraId="42903D37">
      <w:pPr>
        <w:shd w:val="clear"/>
        <w:tabs>
          <w:tab w:val="left" w:pos="0"/>
        </w:tabs>
        <w:adjustRightInd w:val="0"/>
        <w:snapToGrid w:val="0"/>
        <w:spacing w:before="120" w:beforeLines="50" w:line="360" w:lineRule="auto"/>
        <w:ind w:firstLine="210" w:firstLineChars="100"/>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szCs w:val="21"/>
          <w:highlight w:val="none"/>
          <w:lang w:val="en-US" w:eastAsia="zh-CN"/>
        </w:rPr>
        <w:t>湖南省外企业须按照湘建建【2015】190号文件要求办理省外入湘企业基本情况登记（以“湖南省住房和城乡建设网”查询为准）或具有入湘施工登记证（处于有效期内）。</w:t>
      </w:r>
    </w:p>
    <w:p w14:paraId="53C9DBEB">
      <w:pPr>
        <w:widowControl w:val="0"/>
        <w:spacing w:line="360" w:lineRule="auto"/>
        <w:ind w:firstLine="0" w:firstLineChars="0"/>
        <w:jc w:val="both"/>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十二、付款</w:t>
      </w:r>
    </w:p>
    <w:p w14:paraId="23AEC217">
      <w:pPr>
        <w:shd w:val="clear"/>
        <w:tabs>
          <w:tab w:val="left" w:pos="0"/>
        </w:tabs>
        <w:adjustRightInd w:val="0"/>
        <w:snapToGrid w:val="0"/>
        <w:spacing w:before="120" w:beforeLines="50" w:line="360" w:lineRule="auto"/>
        <w:ind w:firstLine="210" w:firstLineChars="10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1、签订合同后十日内，支付合同金额的30%作为预付款；</w:t>
      </w:r>
    </w:p>
    <w:p w14:paraId="2ACA0050">
      <w:pPr>
        <w:shd w:val="clear"/>
        <w:tabs>
          <w:tab w:val="left" w:pos="0"/>
        </w:tabs>
        <w:adjustRightInd w:val="0"/>
        <w:snapToGrid w:val="0"/>
        <w:spacing w:before="120" w:beforeLines="50" w:line="360" w:lineRule="auto"/>
        <w:ind w:firstLine="210" w:firstLineChars="10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2、工程竣工验收合格后十日内，支付至合同金额的80%；</w:t>
      </w:r>
    </w:p>
    <w:p w14:paraId="77469CCD">
      <w:pPr>
        <w:shd w:val="clear"/>
        <w:tabs>
          <w:tab w:val="left" w:pos="0"/>
        </w:tabs>
        <w:adjustRightInd w:val="0"/>
        <w:snapToGrid w:val="0"/>
        <w:spacing w:before="120" w:beforeLines="50" w:line="360" w:lineRule="auto"/>
        <w:ind w:firstLine="210" w:firstLineChars="10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3、结算审计完成后十日内，支付至审定结算金额的97%；</w:t>
      </w:r>
    </w:p>
    <w:p w14:paraId="5FB297E9">
      <w:pPr>
        <w:shd w:val="clear"/>
        <w:tabs>
          <w:tab w:val="left" w:pos="0"/>
        </w:tabs>
        <w:adjustRightInd w:val="0"/>
        <w:snapToGrid w:val="0"/>
        <w:spacing w:before="120" w:beforeLines="50" w:line="360" w:lineRule="auto"/>
        <w:ind w:firstLine="210" w:firstLineChars="10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4、剩余3%作为质保金，在竣工验收合格满一年且无质量问题、无其他经济纠纷，经成交供应商提交质保金支付申请后一个月内付清（不计利息）；</w:t>
      </w:r>
    </w:p>
    <w:p w14:paraId="0F3B675E">
      <w:pPr>
        <w:shd w:val="clear"/>
        <w:tabs>
          <w:tab w:val="left" w:pos="0"/>
        </w:tabs>
        <w:adjustRightInd w:val="0"/>
        <w:snapToGrid w:val="0"/>
        <w:spacing w:before="120" w:beforeLines="50" w:line="360" w:lineRule="auto"/>
        <w:ind w:firstLine="210" w:firstLineChars="10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5、采购人支付每笔款项前，供应商应提供合法等额且符合要求的发票及相关结算材料。</w:t>
      </w:r>
    </w:p>
    <w:p w14:paraId="473E8E47">
      <w:pPr>
        <w:shd w:val="clear"/>
        <w:tabs>
          <w:tab w:val="left" w:pos="0"/>
        </w:tabs>
        <w:adjustRightInd w:val="0"/>
        <w:snapToGrid w:val="0"/>
        <w:spacing w:before="120" w:beforeLines="50" w:line="360" w:lineRule="auto"/>
        <w:ind w:firstLine="420" w:firstLineChars="200"/>
        <w:rPr>
          <w:rFonts w:hint="eastAsia"/>
          <w:color w:val="auto"/>
          <w:highlight w:val="none"/>
        </w:rPr>
      </w:pPr>
    </w:p>
    <w:p w14:paraId="07E78EBF">
      <w:pPr>
        <w:shd w:val="clear"/>
        <w:tabs>
          <w:tab w:val="left" w:pos="0"/>
        </w:tabs>
        <w:adjustRightInd w:val="0"/>
        <w:snapToGrid w:val="0"/>
        <w:spacing w:before="120" w:beforeLines="50" w:line="360" w:lineRule="auto"/>
        <w:ind w:firstLine="420" w:firstLineChars="200"/>
        <w:rPr>
          <w:rFonts w:hint="eastAsia"/>
          <w:color w:val="auto"/>
          <w:highlight w:val="none"/>
        </w:rPr>
      </w:pPr>
    </w:p>
    <w:p w14:paraId="5B070AD4">
      <w:pPr>
        <w:shd w:val="clear"/>
        <w:tabs>
          <w:tab w:val="left" w:pos="0"/>
        </w:tabs>
        <w:adjustRightInd w:val="0"/>
        <w:snapToGrid w:val="0"/>
        <w:spacing w:before="120" w:beforeLines="50" w:line="360" w:lineRule="auto"/>
        <w:ind w:firstLine="420" w:firstLineChars="200"/>
        <w:rPr>
          <w:rFonts w:hint="eastAsia"/>
          <w:color w:val="auto"/>
          <w:highlight w:val="none"/>
          <w:lang w:val="en-US" w:eastAsia="zh-CN"/>
        </w:rPr>
      </w:pPr>
    </w:p>
    <w:p w14:paraId="035E7D6C">
      <w:pPr>
        <w:adjustRightInd w:val="0"/>
        <w:snapToGrid w:val="0"/>
        <w:spacing w:line="360" w:lineRule="auto"/>
        <w:jc w:val="left"/>
        <w:outlineLvl w:val="9"/>
        <w:rPr>
          <w:rFonts w:ascii="Times New Roman" w:hAnsi="Times New Roman" w:eastAsia="宋体" w:cs="Times New Roman"/>
          <w:color w:val="auto"/>
          <w:kern w:val="0"/>
          <w:sz w:val="20"/>
          <w:szCs w:val="20"/>
          <w:highlight w:val="none"/>
          <w:lang w:val="zh-CN" w:eastAsia="zh-CN" w:bidi="ar-SA"/>
        </w:rPr>
      </w:pPr>
      <w:r>
        <w:rPr>
          <w:rFonts w:hint="eastAsia" w:ascii="宋体" w:hAnsi="宋体" w:cs="宋体"/>
          <w:b/>
          <w:bCs/>
          <w:color w:val="auto"/>
          <w:highlight w:val="none"/>
          <w:lang w:val="en-US" w:eastAsia="zh-CN"/>
        </w:rPr>
        <w:t>备注：</w:t>
      </w:r>
      <w:r>
        <w:rPr>
          <w:rFonts w:hint="eastAsia" w:ascii="宋体" w:hAnsi="宋体" w:cs="宋体"/>
          <w:b/>
          <w:bCs/>
          <w:color w:val="auto"/>
          <w:highlight w:val="none"/>
        </w:rPr>
        <w:t>对于上述项目要求，供应商应在响应文件中进行回应，作出明确说明及承诺。磋商文件中涉及法律、法规、国家政策与现执行的相冲突的，以最新文件为准</w:t>
      </w:r>
      <w:r>
        <w:rPr>
          <w:rFonts w:hint="eastAsia" w:ascii="宋体" w:hAnsi="宋体" w:cs="宋体"/>
          <w:b/>
          <w:bCs/>
          <w:color w:val="auto"/>
          <w:highlight w:val="none"/>
          <w:lang w:eastAsia="zh-CN"/>
        </w:rPr>
        <w:t>。</w:t>
      </w:r>
    </w:p>
    <w:p w14:paraId="43A07E31">
      <w:pPr>
        <w:adjustRightInd w:val="0"/>
        <w:snapToGrid w:val="0"/>
        <w:spacing w:before="156" w:beforeLines="50" w:line="360" w:lineRule="auto"/>
        <w:ind w:firstLine="420" w:firstLineChars="200"/>
        <w:jc w:val="left"/>
        <w:rPr>
          <w:rFonts w:ascii="黑体" w:hAnsi="黑体" w:eastAsia="黑体"/>
          <w:b/>
          <w:bCs/>
          <w:color w:val="auto"/>
          <w:szCs w:val="21"/>
          <w:highlight w:val="none"/>
        </w:rPr>
        <w:sectPr>
          <w:footerReference r:id="rId11" w:type="default"/>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p>
    <w:bookmarkEnd w:id="954"/>
    <w:p w14:paraId="165B51DC">
      <w:pPr>
        <w:adjustRightInd w:val="0"/>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第五章响应文件组成</w:t>
      </w:r>
    </w:p>
    <w:p w14:paraId="4ACF22AF">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提交文件须知</w:t>
      </w:r>
    </w:p>
    <w:p w14:paraId="53442163">
      <w:pPr>
        <w:spacing w:line="360" w:lineRule="auto"/>
        <w:jc w:val="center"/>
        <w:rPr>
          <w:rFonts w:ascii="宋体" w:hAnsi="宋体" w:cs="宋体"/>
          <w:b/>
          <w:color w:val="auto"/>
          <w:szCs w:val="21"/>
          <w:highlight w:val="none"/>
        </w:rPr>
      </w:pPr>
    </w:p>
    <w:p w14:paraId="6B93A7D0">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对【须知前附表】涉及“★”的格式文件，除可填报项目外，任何实质性修改将被视为非实质性响应投标，从而导致响应文件无效。供应商提交的材料不予退还。</w:t>
      </w:r>
    </w:p>
    <w:p w14:paraId="0C3B4EAC">
      <w:pPr>
        <w:numPr>
          <w:ilvl w:val="0"/>
          <w:numId w:val="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本章内容仅提供格式要求，并不代表所有列出格式的文件本项目全部必须提交。本项目需提交的商务、技术文件应以【须知前附表】及第四章内容为准。</w:t>
      </w:r>
    </w:p>
    <w:p w14:paraId="47BEA76A">
      <w:pPr>
        <w:numPr>
          <w:ilvl w:val="0"/>
          <w:numId w:val="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供应商应严格按照要求制作响应文件。全部文件应按须知规定的语言和份数提交。</w:t>
      </w:r>
    </w:p>
    <w:p w14:paraId="2B25E452">
      <w:pPr>
        <w:numPr>
          <w:ilvl w:val="0"/>
          <w:numId w:val="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响应文件应按照磋商文件的格式逐项填写，无相应内容可填的项应填写“无”、“未测试”、“没有相应指标”等明确的回答文字。</w:t>
      </w:r>
    </w:p>
    <w:p w14:paraId="0030FAC5">
      <w:pPr>
        <w:pStyle w:val="8"/>
        <w:numPr>
          <w:ilvl w:val="0"/>
          <w:numId w:val="9"/>
        </w:numPr>
        <w:spacing w:line="360" w:lineRule="auto"/>
        <w:rPr>
          <w:color w:val="auto"/>
          <w:highlight w:val="none"/>
        </w:rPr>
      </w:pPr>
      <w:r>
        <w:rPr>
          <w:rFonts w:hint="eastAsia" w:ascii="宋体" w:hAnsi="宋体" w:cs="宋体"/>
          <w:color w:val="auto"/>
          <w:szCs w:val="21"/>
          <w:highlight w:val="none"/>
        </w:rPr>
        <w:t>第二分册仅用于采购人与代理机构作资格合格性审查，磋商文件中评分表中所列的各项因素内容均应当按材料格式要求编制进第一册（商务技术分册）中，磋商小组根据供应商编制的第一册内容进行澄清、磋商与评分，未按要求列入该册中，会导致扣分或投标被拒绝！</w:t>
      </w:r>
    </w:p>
    <w:p w14:paraId="5E8D5B7D">
      <w:pPr>
        <w:numPr>
          <w:ilvl w:val="0"/>
          <w:numId w:val="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供应商可编制资格审查索引表、评审索引表，并将评审索引表置于第一册商务技术文件的第一页，将资格审查索引表置于第二册资格证明文件的第一页，以便磋商小组、采购人及采购代理机构评审与审查。</w:t>
      </w:r>
    </w:p>
    <w:p w14:paraId="08CE055D">
      <w:pPr>
        <w:numPr>
          <w:ilvl w:val="0"/>
          <w:numId w:val="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本章响应声明及资格声明应当按磋商文件提供的格式除可填报信息外不加任何内容修改地提供，证明资料的复印件应加盖投标供应商单位章，否则，投标无效。</w:t>
      </w:r>
    </w:p>
    <w:p w14:paraId="59C4C14C">
      <w:pPr>
        <w:pStyle w:val="19"/>
        <w:adjustRightInd w:val="0"/>
        <w:snapToGrid w:val="0"/>
        <w:jc w:val="center"/>
        <w:rPr>
          <w:rFonts w:hAnsi="宋体" w:cs="宋体"/>
          <w:bCs/>
          <w:color w:val="auto"/>
          <w:sz w:val="84"/>
          <w:szCs w:val="84"/>
          <w:highlight w:val="none"/>
        </w:rPr>
      </w:pPr>
      <w:r>
        <w:rPr>
          <w:rFonts w:hint="eastAsia" w:hAnsi="宋体" w:cs="宋体"/>
          <w:bCs/>
          <w:color w:val="auto"/>
          <w:sz w:val="84"/>
          <w:szCs w:val="84"/>
          <w:highlight w:val="none"/>
        </w:rPr>
        <w:br w:type="page"/>
      </w:r>
    </w:p>
    <w:p w14:paraId="246F8C69">
      <w:pPr>
        <w:pStyle w:val="19"/>
        <w:adjustRightInd w:val="0"/>
        <w:snapToGrid w:val="0"/>
        <w:jc w:val="center"/>
        <w:rPr>
          <w:rFonts w:hAnsi="宋体" w:cs="宋体"/>
          <w:bCs/>
          <w:color w:val="auto"/>
          <w:sz w:val="84"/>
          <w:szCs w:val="84"/>
          <w:highlight w:val="none"/>
        </w:rPr>
      </w:pPr>
    </w:p>
    <w:p w14:paraId="4C08DD97">
      <w:pPr>
        <w:pStyle w:val="19"/>
        <w:adjustRightInd w:val="0"/>
        <w:snapToGrid w:val="0"/>
        <w:jc w:val="center"/>
        <w:rPr>
          <w:rFonts w:hAnsi="宋体" w:cs="宋体"/>
          <w:bCs/>
          <w:color w:val="auto"/>
          <w:sz w:val="84"/>
          <w:szCs w:val="84"/>
          <w:highlight w:val="none"/>
        </w:rPr>
      </w:pPr>
      <w:r>
        <w:rPr>
          <w:rFonts w:hint="eastAsia" w:hAnsi="宋体" w:cs="宋体"/>
          <w:bCs/>
          <w:color w:val="auto"/>
          <w:sz w:val="84"/>
          <w:szCs w:val="84"/>
          <w:highlight w:val="none"/>
        </w:rPr>
        <w:t>政府采购</w:t>
      </w:r>
    </w:p>
    <w:p w14:paraId="7BBC075A">
      <w:pPr>
        <w:adjustRightInd w:val="0"/>
        <w:snapToGrid w:val="0"/>
        <w:jc w:val="center"/>
        <w:rPr>
          <w:rFonts w:ascii="宋体" w:hAnsi="宋体" w:cs="宋体"/>
          <w:bCs/>
          <w:color w:val="auto"/>
          <w:sz w:val="52"/>
          <w:szCs w:val="52"/>
          <w:highlight w:val="none"/>
        </w:rPr>
      </w:pPr>
      <w:r>
        <w:rPr>
          <w:rFonts w:hint="eastAsia" w:ascii="宋体" w:hAnsi="宋体" w:cs="宋体"/>
          <w:bCs/>
          <w:color w:val="auto"/>
          <w:sz w:val="52"/>
          <w:szCs w:val="52"/>
          <w:highlight w:val="none"/>
        </w:rPr>
        <w:t>竞争性磋商响应文件</w:t>
      </w:r>
    </w:p>
    <w:p w14:paraId="62C34959">
      <w:pPr>
        <w:pStyle w:val="8"/>
        <w:rPr>
          <w:color w:val="auto"/>
          <w:highlight w:val="none"/>
        </w:rPr>
      </w:pPr>
    </w:p>
    <w:p w14:paraId="6746ED8F">
      <w:pPr>
        <w:pStyle w:val="3"/>
        <w:adjustRightInd w:val="0"/>
        <w:snapToGrid w:val="0"/>
        <w:jc w:val="center"/>
        <w:rPr>
          <w:rFonts w:ascii="宋体" w:hAnsi="宋体" w:cs="宋体"/>
          <w:color w:val="auto"/>
          <w:sz w:val="30"/>
          <w:szCs w:val="30"/>
          <w:highlight w:val="none"/>
        </w:rPr>
      </w:pPr>
      <w:bookmarkStart w:id="958" w:name="_Toc528307194"/>
      <w:r>
        <w:rPr>
          <w:rFonts w:hint="eastAsia" w:ascii="宋体" w:hAnsi="宋体" w:cs="宋体"/>
          <w:color w:val="auto"/>
          <w:sz w:val="30"/>
          <w:szCs w:val="30"/>
          <w:highlight w:val="none"/>
        </w:rPr>
        <w:t>第一册 商务技术文件</w:t>
      </w:r>
      <w:bookmarkEnd w:id="958"/>
    </w:p>
    <w:p w14:paraId="2F9102A6">
      <w:pPr>
        <w:adjustRightInd w:val="0"/>
        <w:snapToGrid w:val="0"/>
        <w:spacing w:line="360" w:lineRule="auto"/>
        <w:rPr>
          <w:rFonts w:ascii="宋体" w:hAnsi="宋体" w:cs="宋体"/>
          <w:color w:val="auto"/>
          <w:sz w:val="32"/>
          <w:szCs w:val="32"/>
          <w:highlight w:val="none"/>
        </w:rPr>
      </w:pPr>
    </w:p>
    <w:p w14:paraId="54ADA875">
      <w:pPr>
        <w:pStyle w:val="19"/>
        <w:adjustRightInd w:val="0"/>
        <w:snapToGrid w:val="0"/>
        <w:spacing w:line="360" w:lineRule="auto"/>
        <w:ind w:firstLine="1988" w:firstLineChars="660"/>
        <w:rPr>
          <w:rFonts w:hAnsi="宋体" w:cs="宋体"/>
          <w:b/>
          <w:bCs/>
          <w:color w:val="auto"/>
          <w:sz w:val="30"/>
          <w:szCs w:val="30"/>
          <w:highlight w:val="none"/>
        </w:rPr>
      </w:pPr>
    </w:p>
    <w:tbl>
      <w:tblPr>
        <w:tblStyle w:val="33"/>
        <w:tblpPr w:leftFromText="180" w:rightFromText="180" w:vertAnchor="text" w:horzAnchor="page" w:tblpX="1958" w:tblpY="601"/>
        <w:tblOverlap w:val="never"/>
        <w:tblW w:w="8218"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143"/>
        <w:gridCol w:w="6075"/>
      </w:tblGrid>
      <w:tr w14:paraId="07ED8B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365" w:hRule="exact"/>
        </w:trPr>
        <w:tc>
          <w:tcPr>
            <w:tcW w:w="2143" w:type="dxa"/>
            <w:vAlign w:val="center"/>
          </w:tcPr>
          <w:p w14:paraId="7E314207">
            <w:pPr>
              <w:pStyle w:val="19"/>
              <w:adjustRightInd w:val="0"/>
              <w:snapToGrid w:val="0"/>
              <w:spacing w:line="480" w:lineRule="auto"/>
              <w:rPr>
                <w:rFonts w:hAnsi="宋体" w:cs="宋体"/>
                <w:color w:val="auto"/>
                <w:highlight w:val="none"/>
              </w:rPr>
            </w:pPr>
            <w:r>
              <w:rPr>
                <w:rFonts w:hint="eastAsia" w:hAnsi="宋体" w:cs="宋体"/>
                <w:b/>
                <w:color w:val="auto"/>
                <w:sz w:val="28"/>
                <w:szCs w:val="32"/>
                <w:highlight w:val="none"/>
              </w:rPr>
              <w:t>采购项目名称:</w:t>
            </w:r>
          </w:p>
        </w:tc>
        <w:tc>
          <w:tcPr>
            <w:tcW w:w="6075" w:type="dxa"/>
            <w:vAlign w:val="center"/>
          </w:tcPr>
          <w:p w14:paraId="4EF8A65E">
            <w:pPr>
              <w:pStyle w:val="19"/>
              <w:adjustRightInd w:val="0"/>
              <w:snapToGrid w:val="0"/>
              <w:spacing w:line="480" w:lineRule="auto"/>
              <w:ind w:left="281" w:hanging="281" w:hangingChars="100"/>
              <w:rPr>
                <w:rFonts w:hAnsi="宋体" w:cs="宋体"/>
                <w:b/>
                <w:color w:val="auto"/>
                <w:sz w:val="28"/>
                <w:szCs w:val="32"/>
                <w:highlight w:val="none"/>
                <w:u w:val="single"/>
              </w:rPr>
            </w:pPr>
            <w:r>
              <w:rPr>
                <w:rFonts w:hint="eastAsia" w:hAnsi="宋体" w:cs="宋体"/>
                <w:b/>
                <w:color w:val="auto"/>
                <w:sz w:val="28"/>
                <w:szCs w:val="32"/>
                <w:highlight w:val="none"/>
                <w:u w:val="single"/>
                <w:lang w:eastAsia="zh-CN"/>
              </w:rPr>
              <w:t>湖南省公安厅交管总队警务技能训练用房及备勤休息用房维修改造项目</w:t>
            </w:r>
          </w:p>
        </w:tc>
      </w:tr>
      <w:tr w14:paraId="4688CA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143" w:type="dxa"/>
            <w:vAlign w:val="center"/>
          </w:tcPr>
          <w:p w14:paraId="453DEC43">
            <w:pPr>
              <w:pStyle w:val="19"/>
              <w:adjustRightInd w:val="0"/>
              <w:snapToGrid w:val="0"/>
              <w:spacing w:line="480" w:lineRule="auto"/>
              <w:rPr>
                <w:rFonts w:hAnsi="宋体" w:cs="宋体"/>
                <w:color w:val="auto"/>
                <w:highlight w:val="none"/>
              </w:rPr>
            </w:pPr>
            <w:r>
              <w:rPr>
                <w:rFonts w:hint="eastAsia" w:hAnsi="宋体" w:cs="宋体"/>
                <w:b/>
                <w:color w:val="auto"/>
                <w:sz w:val="28"/>
                <w:szCs w:val="32"/>
                <w:highlight w:val="none"/>
              </w:rPr>
              <w:t>采   购   人:</w:t>
            </w:r>
          </w:p>
        </w:tc>
        <w:tc>
          <w:tcPr>
            <w:tcW w:w="6075" w:type="dxa"/>
            <w:vAlign w:val="center"/>
          </w:tcPr>
          <w:p w14:paraId="546B5192">
            <w:pPr>
              <w:pStyle w:val="19"/>
              <w:adjustRightInd w:val="0"/>
              <w:snapToGrid w:val="0"/>
              <w:spacing w:line="480" w:lineRule="auto"/>
              <w:rPr>
                <w:rFonts w:hint="eastAsia" w:hAnsi="宋体" w:eastAsia="宋体" w:cs="宋体"/>
                <w:b/>
                <w:color w:val="auto"/>
                <w:sz w:val="28"/>
                <w:szCs w:val="32"/>
                <w:highlight w:val="none"/>
                <w:u w:val="single"/>
                <w:lang w:eastAsia="zh-CN"/>
              </w:rPr>
            </w:pPr>
            <w:r>
              <w:rPr>
                <w:rFonts w:hint="eastAsia" w:hAnsi="宋体" w:cs="宋体"/>
                <w:b/>
                <w:color w:val="auto"/>
                <w:sz w:val="28"/>
                <w:szCs w:val="32"/>
                <w:highlight w:val="none"/>
                <w:u w:val="single"/>
                <w:lang w:eastAsia="zh-CN"/>
              </w:rPr>
              <w:t>湖南省公安厅交通管理总队</w:t>
            </w:r>
          </w:p>
        </w:tc>
      </w:tr>
      <w:tr w14:paraId="51E7C63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75" w:hRule="exact"/>
        </w:trPr>
        <w:tc>
          <w:tcPr>
            <w:tcW w:w="2143" w:type="dxa"/>
            <w:vAlign w:val="center"/>
          </w:tcPr>
          <w:p w14:paraId="01B87F03">
            <w:pPr>
              <w:pStyle w:val="19"/>
              <w:adjustRightInd w:val="0"/>
              <w:snapToGrid w:val="0"/>
              <w:spacing w:line="480" w:lineRule="auto"/>
              <w:rPr>
                <w:rFonts w:hAnsi="宋体" w:cs="宋体"/>
                <w:color w:val="auto"/>
                <w:highlight w:val="none"/>
              </w:rPr>
            </w:pPr>
            <w:r>
              <w:rPr>
                <w:rFonts w:hint="eastAsia" w:hAnsi="宋体" w:cs="宋体"/>
                <w:b/>
                <w:color w:val="auto"/>
                <w:sz w:val="28"/>
                <w:szCs w:val="32"/>
                <w:highlight w:val="none"/>
              </w:rPr>
              <w:t>政府采购编号:</w:t>
            </w:r>
          </w:p>
        </w:tc>
        <w:tc>
          <w:tcPr>
            <w:tcW w:w="6075" w:type="dxa"/>
            <w:vAlign w:val="center"/>
          </w:tcPr>
          <w:p w14:paraId="71CB7CCC">
            <w:pPr>
              <w:pStyle w:val="19"/>
              <w:adjustRightInd w:val="0"/>
              <w:snapToGrid w:val="0"/>
              <w:spacing w:line="480" w:lineRule="auto"/>
              <w:rPr>
                <w:rFonts w:hint="eastAsia" w:hAnsi="宋体" w:eastAsia="宋体" w:cs="宋体"/>
                <w:b/>
                <w:color w:val="auto"/>
                <w:sz w:val="28"/>
                <w:szCs w:val="32"/>
                <w:highlight w:val="none"/>
                <w:u w:val="single"/>
                <w:lang w:eastAsia="zh-CN"/>
              </w:rPr>
            </w:pPr>
            <w:r>
              <w:rPr>
                <w:rFonts w:hint="eastAsia" w:hAnsi="宋体" w:cs="宋体"/>
                <w:b/>
                <w:color w:val="auto"/>
                <w:sz w:val="28"/>
                <w:szCs w:val="32"/>
                <w:highlight w:val="none"/>
                <w:u w:val="single"/>
                <w:lang w:eastAsia="zh-CN"/>
              </w:rPr>
              <w:t>CGXM2026430000000246</w:t>
            </w:r>
          </w:p>
        </w:tc>
      </w:tr>
      <w:tr w14:paraId="1F135E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143" w:type="dxa"/>
            <w:vAlign w:val="center"/>
          </w:tcPr>
          <w:p w14:paraId="772D4C90">
            <w:pPr>
              <w:pStyle w:val="19"/>
              <w:adjustRightInd w:val="0"/>
              <w:snapToGrid w:val="0"/>
              <w:spacing w:line="480" w:lineRule="auto"/>
              <w:rPr>
                <w:rFonts w:hAnsi="宋体" w:cs="宋体"/>
                <w:color w:val="auto"/>
                <w:highlight w:val="none"/>
              </w:rPr>
            </w:pPr>
            <w:r>
              <w:rPr>
                <w:rFonts w:hint="eastAsia" w:hAnsi="宋体" w:cs="宋体"/>
                <w:b/>
                <w:color w:val="auto"/>
                <w:sz w:val="28"/>
                <w:szCs w:val="32"/>
                <w:highlight w:val="none"/>
              </w:rPr>
              <w:t>委托代理编号:</w:t>
            </w:r>
          </w:p>
        </w:tc>
        <w:tc>
          <w:tcPr>
            <w:tcW w:w="6075" w:type="dxa"/>
            <w:vAlign w:val="center"/>
          </w:tcPr>
          <w:p w14:paraId="7A23448B">
            <w:pPr>
              <w:pStyle w:val="19"/>
              <w:adjustRightInd w:val="0"/>
              <w:snapToGrid w:val="0"/>
              <w:spacing w:line="480" w:lineRule="auto"/>
              <w:rPr>
                <w:rFonts w:hint="eastAsia" w:hAnsi="宋体" w:eastAsia="宋体" w:cs="宋体"/>
                <w:b/>
                <w:color w:val="auto"/>
                <w:sz w:val="28"/>
                <w:szCs w:val="32"/>
                <w:highlight w:val="none"/>
                <w:u w:val="single"/>
                <w:lang w:eastAsia="zh-CN"/>
              </w:rPr>
            </w:pPr>
            <w:r>
              <w:rPr>
                <w:rFonts w:hint="eastAsia" w:hAnsi="宋体" w:cs="宋体"/>
                <w:b/>
                <w:color w:val="auto"/>
                <w:sz w:val="28"/>
                <w:szCs w:val="32"/>
                <w:highlight w:val="none"/>
                <w:u w:val="single"/>
                <w:lang w:eastAsia="zh-CN"/>
              </w:rPr>
              <w:t>HNHX-20260611</w:t>
            </w:r>
          </w:p>
        </w:tc>
      </w:tr>
      <w:tr w14:paraId="7401A6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143" w:type="dxa"/>
            <w:vAlign w:val="center"/>
          </w:tcPr>
          <w:p w14:paraId="7573740C">
            <w:pPr>
              <w:pStyle w:val="19"/>
              <w:adjustRightInd w:val="0"/>
              <w:snapToGrid w:val="0"/>
              <w:spacing w:line="480" w:lineRule="auto"/>
              <w:rPr>
                <w:rFonts w:hAnsi="宋体" w:cs="宋体"/>
                <w:b/>
                <w:color w:val="auto"/>
                <w:sz w:val="28"/>
                <w:szCs w:val="32"/>
                <w:highlight w:val="none"/>
              </w:rPr>
            </w:pPr>
            <w:r>
              <w:rPr>
                <w:rFonts w:hint="eastAsia" w:hAnsi="宋体" w:cs="宋体"/>
                <w:b/>
                <w:color w:val="auto"/>
                <w:sz w:val="28"/>
                <w:szCs w:val="32"/>
                <w:highlight w:val="none"/>
              </w:rPr>
              <w:t>采购代理机构:</w:t>
            </w:r>
          </w:p>
        </w:tc>
        <w:tc>
          <w:tcPr>
            <w:tcW w:w="6075" w:type="dxa"/>
            <w:vAlign w:val="center"/>
          </w:tcPr>
          <w:p w14:paraId="32BD8618">
            <w:pPr>
              <w:pStyle w:val="19"/>
              <w:adjustRightInd w:val="0"/>
              <w:snapToGrid w:val="0"/>
              <w:spacing w:line="480" w:lineRule="auto"/>
              <w:rPr>
                <w:rFonts w:hint="eastAsia" w:hAnsi="宋体" w:eastAsia="宋体" w:cs="宋体"/>
                <w:b/>
                <w:color w:val="auto"/>
                <w:sz w:val="28"/>
                <w:szCs w:val="32"/>
                <w:highlight w:val="none"/>
                <w:lang w:eastAsia="zh-CN"/>
              </w:rPr>
            </w:pPr>
            <w:r>
              <w:rPr>
                <w:rFonts w:hint="eastAsia" w:hAnsi="宋体" w:cs="宋体"/>
                <w:b/>
                <w:color w:val="auto"/>
                <w:sz w:val="28"/>
                <w:szCs w:val="32"/>
                <w:highlight w:val="none"/>
                <w:u w:val="single"/>
                <w:lang w:eastAsia="zh-CN"/>
              </w:rPr>
              <w:t>湖南省华新招标咨询有限公司</w:t>
            </w:r>
          </w:p>
        </w:tc>
      </w:tr>
    </w:tbl>
    <w:p w14:paraId="48386E8F">
      <w:pPr>
        <w:adjustRightInd w:val="0"/>
        <w:snapToGrid w:val="0"/>
        <w:spacing w:line="360" w:lineRule="auto"/>
        <w:rPr>
          <w:rFonts w:ascii="宋体" w:hAnsi="宋体" w:cs="宋体"/>
          <w:color w:val="auto"/>
          <w:sz w:val="32"/>
          <w:szCs w:val="32"/>
          <w:highlight w:val="none"/>
        </w:rPr>
      </w:pPr>
    </w:p>
    <w:p w14:paraId="26015BD9">
      <w:pPr>
        <w:adjustRightInd w:val="0"/>
        <w:snapToGrid w:val="0"/>
        <w:spacing w:line="360" w:lineRule="auto"/>
        <w:rPr>
          <w:rFonts w:ascii="宋体" w:hAnsi="宋体" w:cs="宋体"/>
          <w:color w:val="auto"/>
          <w:sz w:val="32"/>
          <w:szCs w:val="32"/>
          <w:highlight w:val="none"/>
        </w:rPr>
      </w:pPr>
    </w:p>
    <w:p w14:paraId="292845E5">
      <w:pPr>
        <w:adjustRightInd w:val="0"/>
        <w:snapToGrid w:val="0"/>
        <w:spacing w:line="360" w:lineRule="auto"/>
        <w:rPr>
          <w:rFonts w:ascii="宋体" w:hAnsi="宋体" w:cs="宋体"/>
          <w:color w:val="auto"/>
          <w:sz w:val="32"/>
          <w:szCs w:val="32"/>
          <w:highlight w:val="none"/>
        </w:rPr>
      </w:pPr>
    </w:p>
    <w:p w14:paraId="641FB22B">
      <w:pPr>
        <w:adjustRightInd w:val="0"/>
        <w:snapToGrid w:val="0"/>
        <w:spacing w:line="360" w:lineRule="auto"/>
        <w:ind w:firstLine="1920" w:firstLineChars="6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供应商</w:t>
      </w:r>
    </w:p>
    <w:p w14:paraId="4C783A4B">
      <w:pPr>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0F370FA">
      <w:pPr>
        <w:rPr>
          <w:rFonts w:ascii="宋体" w:hAnsi="宋体" w:cs="宋体"/>
          <w:b/>
          <w:strike/>
          <w:color w:val="auto"/>
          <w:highlight w:val="none"/>
        </w:rPr>
      </w:pPr>
      <w:r>
        <w:rPr>
          <w:rFonts w:hint="eastAsia" w:ascii="宋体" w:hAnsi="宋体" w:cs="宋体"/>
          <w:color w:val="auto"/>
          <w:highlight w:val="none"/>
          <w:u w:val="single"/>
        </w:rPr>
        <w:br w:type="page"/>
      </w:r>
      <w:bookmarkStart w:id="959" w:name="_Toc528307195"/>
    </w:p>
    <w:bookmarkEnd w:id="959"/>
    <w:p w14:paraId="7CC348FA">
      <w:pPr>
        <w:pStyle w:val="4"/>
        <w:adjustRightInd w:val="0"/>
        <w:snapToGrid w:val="0"/>
        <w:spacing w:before="0"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黑体" w:hAnsi="宋体" w:eastAsia="黑体"/>
          <w:color w:val="auto"/>
          <w:highlight w:val="none"/>
        </w:rPr>
        <w:t>磋商响应声明</w:t>
      </w:r>
    </w:p>
    <w:p w14:paraId="42FCB708">
      <w:pPr>
        <w:adjustRightInd w:val="0"/>
        <w:snapToGrid w:val="0"/>
        <w:spacing w:line="360" w:lineRule="auto"/>
        <w:rPr>
          <w:rFonts w:ascii="宋体" w:hAnsi="宋体" w:cs="宋体"/>
          <w:color w:val="auto"/>
          <w:highlight w:val="none"/>
        </w:rPr>
      </w:pPr>
    </w:p>
    <w:p w14:paraId="12C597D3">
      <w:pPr>
        <w:keepNext w:val="0"/>
        <w:keepLines w:val="0"/>
        <w:pageBreakBefore w:val="0"/>
        <w:kinsoku/>
        <w:wordWrap/>
        <w:overflowPunct/>
        <w:topLinePunct w:val="0"/>
        <w:autoSpaceDE/>
        <w:autoSpaceDN/>
        <w:bidi w:val="0"/>
        <w:adjustRightInd w:val="0"/>
        <w:snapToGrid w:val="0"/>
        <w:spacing w:before="120" w:line="336" w:lineRule="auto"/>
        <w:textAlignment w:val="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w:t>
      </w:r>
    </w:p>
    <w:p w14:paraId="48DB4942">
      <w:pPr>
        <w:keepNext w:val="0"/>
        <w:keepLines w:val="0"/>
        <w:pageBreakBefore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Times New Roman"/>
          <w:color w:val="auto"/>
          <w:szCs w:val="21"/>
          <w:highlight w:val="none"/>
        </w:rPr>
      </w:pPr>
      <w:r>
        <w:rPr>
          <w:rFonts w:hint="eastAsia" w:ascii="宋体" w:hAnsi="宋体" w:cs="Times New Roman"/>
          <w:color w:val="auto"/>
          <w:szCs w:val="21"/>
          <w:highlight w:val="none"/>
        </w:rPr>
        <w:t>我方已仔细研究了</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项目名称)的竞争性磋商文件（</w:t>
      </w:r>
      <w:r>
        <w:rPr>
          <w:rFonts w:hint="eastAsia" w:ascii="宋体" w:hAnsi="宋体" w:cs="Times New Roman"/>
          <w:color w:val="auto"/>
          <w:szCs w:val="21"/>
          <w:highlight w:val="none"/>
          <w:lang w:val="en-US" w:eastAsia="zh-CN"/>
        </w:rPr>
        <w:t>政府采购编号、</w:t>
      </w:r>
      <w:r>
        <w:rPr>
          <w:rFonts w:hint="eastAsia" w:ascii="宋体" w:hAnsi="宋体" w:cs="Times New Roman"/>
          <w:color w:val="auto"/>
          <w:szCs w:val="21"/>
          <w:highlight w:val="none"/>
        </w:rPr>
        <w:t>委托代理编号：</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rPr>
        <w:t>）的全部内容，</w:t>
      </w:r>
      <w:r>
        <w:rPr>
          <w:rFonts w:hint="eastAsia" w:ascii="Times New Roman" w:hAnsi="宋体" w:cs="Times New Roman"/>
          <w:color w:val="auto"/>
          <w:highlight w:val="none"/>
        </w:rPr>
        <w:t>知悉参加竞争性磋商的风险，我方承诺接受磋商文件的全部条款且无任何异议。</w:t>
      </w:r>
    </w:p>
    <w:p w14:paraId="5B95008B">
      <w:pPr>
        <w:keepNext w:val="0"/>
        <w:keepLines w:val="0"/>
        <w:pageBreakBefore w:val="0"/>
        <w:kinsoku/>
        <w:wordWrap/>
        <w:overflowPunct/>
        <w:topLinePunct w:val="0"/>
        <w:autoSpaceDE/>
        <w:autoSpaceDN/>
        <w:bidi w:val="0"/>
        <w:adjustRightInd w:val="0"/>
        <w:snapToGrid w:val="0"/>
        <w:spacing w:before="120" w:line="336"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第一册 商务技术文件</w:t>
      </w:r>
    </w:p>
    <w:p w14:paraId="7648833C">
      <w:pPr>
        <w:keepNext w:val="0"/>
        <w:keepLines w:val="0"/>
        <w:pageBreakBefore w:val="0"/>
        <w:widowControl/>
        <w:numPr>
          <w:ilvl w:val="0"/>
          <w:numId w:val="0"/>
        </w:numPr>
        <w:kinsoku/>
        <w:wordWrap/>
        <w:overflowPunct/>
        <w:topLinePunct w:val="0"/>
        <w:autoSpaceDE/>
        <w:autoSpaceDN/>
        <w:bidi w:val="0"/>
        <w:adjustRightInd w:val="0"/>
        <w:snapToGrid w:val="0"/>
        <w:spacing w:before="120" w:line="336" w:lineRule="auto"/>
        <w:ind w:left="0" w:leftChars="0" w:firstLine="420" w:firstLineChars="0"/>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一、</w:t>
      </w:r>
      <w:r>
        <w:rPr>
          <w:rFonts w:hint="eastAsia" w:ascii="宋体" w:hAnsi="宋体" w:cs="宋体"/>
          <w:color w:val="auto"/>
          <w:szCs w:val="21"/>
          <w:highlight w:val="none"/>
        </w:rPr>
        <w:t>磋商响应声明</w:t>
      </w:r>
    </w:p>
    <w:p w14:paraId="69177C35">
      <w:pPr>
        <w:keepNext w:val="0"/>
        <w:keepLines w:val="0"/>
        <w:pageBreakBefore w:val="0"/>
        <w:widowControl/>
        <w:numPr>
          <w:ilvl w:val="0"/>
          <w:numId w:val="0"/>
        </w:numPr>
        <w:kinsoku/>
        <w:wordWrap/>
        <w:overflowPunct/>
        <w:topLinePunct w:val="0"/>
        <w:autoSpaceDE/>
        <w:autoSpaceDN/>
        <w:bidi w:val="0"/>
        <w:adjustRightInd w:val="0"/>
        <w:snapToGrid w:val="0"/>
        <w:spacing w:before="120" w:line="336" w:lineRule="auto"/>
        <w:ind w:left="0" w:leftChars="0" w:firstLine="42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cs="宋体"/>
          <w:color w:val="auto"/>
          <w:szCs w:val="21"/>
          <w:highlight w:val="none"/>
        </w:rPr>
        <w:t>分项报价表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工程量清单报价</w:t>
      </w:r>
      <w:r>
        <w:rPr>
          <w:rFonts w:hint="eastAsia" w:ascii="宋体" w:hAnsi="宋体" w:cs="宋体"/>
          <w:color w:val="auto"/>
          <w:szCs w:val="21"/>
          <w:highlight w:val="none"/>
          <w:lang w:eastAsia="zh-CN"/>
        </w:rPr>
        <w:t>）</w:t>
      </w:r>
    </w:p>
    <w:p w14:paraId="2E379E32">
      <w:pPr>
        <w:keepNext w:val="0"/>
        <w:keepLines w:val="0"/>
        <w:pageBreakBefore w:val="0"/>
        <w:widowControl/>
        <w:numPr>
          <w:ilvl w:val="0"/>
          <w:numId w:val="0"/>
        </w:numPr>
        <w:kinsoku/>
        <w:wordWrap/>
        <w:overflowPunct/>
        <w:topLinePunct w:val="0"/>
        <w:autoSpaceDE/>
        <w:autoSpaceDN/>
        <w:bidi w:val="0"/>
        <w:adjustRightInd w:val="0"/>
        <w:snapToGrid w:val="0"/>
        <w:spacing w:before="120" w:line="336" w:lineRule="auto"/>
        <w:ind w:left="0" w:leftChars="0" w:firstLine="420" w:firstLineChars="0"/>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三、</w:t>
      </w:r>
      <w:r>
        <w:rPr>
          <w:rFonts w:hint="eastAsia" w:ascii="宋体" w:hAnsi="宋体" w:cs="宋体"/>
          <w:color w:val="auto"/>
          <w:szCs w:val="21"/>
          <w:highlight w:val="none"/>
        </w:rPr>
        <w:t>施工组织设计</w:t>
      </w:r>
    </w:p>
    <w:p w14:paraId="6E4D6B0B">
      <w:pPr>
        <w:keepNext w:val="0"/>
        <w:keepLines w:val="0"/>
        <w:pageBreakBefore w:val="0"/>
        <w:widowControl/>
        <w:numPr>
          <w:ilvl w:val="0"/>
          <w:numId w:val="0"/>
        </w:numPr>
        <w:kinsoku/>
        <w:wordWrap/>
        <w:overflowPunct/>
        <w:topLinePunct w:val="0"/>
        <w:autoSpaceDE/>
        <w:autoSpaceDN/>
        <w:bidi w:val="0"/>
        <w:adjustRightInd w:val="0"/>
        <w:snapToGrid w:val="0"/>
        <w:spacing w:before="120" w:line="336" w:lineRule="auto"/>
        <w:ind w:left="0" w:leftChars="0" w:firstLine="420" w:firstLineChars="0"/>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四、</w:t>
      </w:r>
      <w:r>
        <w:rPr>
          <w:rFonts w:hint="eastAsia" w:ascii="宋体" w:hAnsi="宋体" w:cs="宋体"/>
          <w:color w:val="auto"/>
          <w:szCs w:val="21"/>
          <w:highlight w:val="none"/>
        </w:rPr>
        <w:t>商务</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技术响应/偏离表</w:t>
      </w:r>
    </w:p>
    <w:p w14:paraId="0B54638B">
      <w:pPr>
        <w:keepNext w:val="0"/>
        <w:keepLines w:val="0"/>
        <w:pageBreakBefore w:val="0"/>
        <w:widowControl/>
        <w:numPr>
          <w:ilvl w:val="0"/>
          <w:numId w:val="0"/>
        </w:numPr>
        <w:kinsoku/>
        <w:wordWrap/>
        <w:overflowPunct/>
        <w:topLinePunct w:val="0"/>
        <w:autoSpaceDE/>
        <w:autoSpaceDN/>
        <w:bidi w:val="0"/>
        <w:adjustRightInd w:val="0"/>
        <w:snapToGrid w:val="0"/>
        <w:spacing w:before="120" w:line="336" w:lineRule="auto"/>
        <w:ind w:left="0" w:leftChars="0" w:firstLine="420" w:firstLineChars="0"/>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五、</w:t>
      </w:r>
      <w:r>
        <w:rPr>
          <w:rFonts w:hint="eastAsia" w:ascii="宋体" w:hAnsi="宋体" w:cs="宋体"/>
          <w:color w:val="auto"/>
          <w:szCs w:val="21"/>
          <w:highlight w:val="none"/>
        </w:rPr>
        <w:t>享受</w:t>
      </w:r>
      <w:r>
        <w:rPr>
          <w:rFonts w:hint="eastAsia" w:ascii="宋体" w:hAnsi="宋体" w:cs="宋体"/>
          <w:color w:val="auto"/>
          <w:szCs w:val="21"/>
          <w:highlight w:val="none"/>
          <w:lang w:val="en-US" w:eastAsia="zh-CN"/>
        </w:rPr>
        <w:t>政府</w:t>
      </w:r>
      <w:r>
        <w:rPr>
          <w:rFonts w:hint="eastAsia" w:ascii="宋体" w:hAnsi="宋体" w:cs="宋体"/>
          <w:color w:val="auto"/>
          <w:szCs w:val="21"/>
          <w:highlight w:val="none"/>
        </w:rPr>
        <w:t>采购政策优惠的证明资料</w:t>
      </w:r>
    </w:p>
    <w:p w14:paraId="3B145C06">
      <w:pPr>
        <w:keepNext w:val="0"/>
        <w:keepLines w:val="0"/>
        <w:pageBreakBefore w:val="0"/>
        <w:widowControl/>
        <w:numPr>
          <w:ilvl w:val="0"/>
          <w:numId w:val="0"/>
        </w:numPr>
        <w:kinsoku/>
        <w:wordWrap/>
        <w:overflowPunct/>
        <w:topLinePunct w:val="0"/>
        <w:autoSpaceDE/>
        <w:autoSpaceDN/>
        <w:bidi w:val="0"/>
        <w:adjustRightInd w:val="0"/>
        <w:snapToGrid w:val="0"/>
        <w:spacing w:before="120" w:line="336" w:lineRule="auto"/>
        <w:ind w:left="0" w:leftChars="0" w:firstLine="420" w:firstLineChars="0"/>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六、</w:t>
      </w:r>
      <w:r>
        <w:rPr>
          <w:rFonts w:hint="eastAsia" w:ascii="宋体" w:hAnsi="宋体" w:cs="宋体"/>
          <w:color w:val="auto"/>
          <w:szCs w:val="21"/>
          <w:highlight w:val="none"/>
        </w:rPr>
        <w:t>符合磋商文件规定的证明文件及方案</w:t>
      </w:r>
    </w:p>
    <w:p w14:paraId="38F7DEC5">
      <w:pPr>
        <w:keepNext w:val="0"/>
        <w:keepLines w:val="0"/>
        <w:pageBreakBefore w:val="0"/>
        <w:widowControl/>
        <w:numPr>
          <w:ilvl w:val="0"/>
          <w:numId w:val="0"/>
        </w:numPr>
        <w:kinsoku/>
        <w:wordWrap/>
        <w:overflowPunct/>
        <w:topLinePunct w:val="0"/>
        <w:autoSpaceDE/>
        <w:autoSpaceDN/>
        <w:bidi w:val="0"/>
        <w:adjustRightInd w:val="0"/>
        <w:snapToGrid w:val="0"/>
        <w:spacing w:before="120" w:line="336" w:lineRule="auto"/>
        <w:ind w:left="0" w:leftChars="0" w:firstLine="420" w:firstLineChars="0"/>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七、</w:t>
      </w:r>
      <w:r>
        <w:rPr>
          <w:rFonts w:hint="eastAsia" w:ascii="宋体" w:hAnsi="宋体" w:cs="宋体"/>
          <w:color w:val="auto"/>
          <w:szCs w:val="21"/>
          <w:highlight w:val="none"/>
        </w:rPr>
        <w:t>供应商认为需提供的其他资料</w:t>
      </w:r>
    </w:p>
    <w:p w14:paraId="6B3D7722">
      <w:pPr>
        <w:keepNext w:val="0"/>
        <w:keepLines w:val="0"/>
        <w:pageBreakBefore w:val="0"/>
        <w:widowControl/>
        <w:kinsoku/>
        <w:wordWrap/>
        <w:overflowPunct/>
        <w:topLinePunct w:val="0"/>
        <w:autoSpaceDE/>
        <w:autoSpaceDN/>
        <w:bidi w:val="0"/>
        <w:adjustRightInd w:val="0"/>
        <w:snapToGrid w:val="0"/>
        <w:spacing w:before="120" w:beforeLines="50"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在此，签字代表宣布同意如下：</w:t>
      </w:r>
    </w:p>
    <w:p w14:paraId="04460848">
      <w:pPr>
        <w:keepNext w:val="0"/>
        <w:keepLines w:val="0"/>
        <w:pageBreakBefore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1、我方完全服从和尊重磋商小组所作的评定结果，同时清楚理解到报价最低并非意味着必定获得成交资格。</w:t>
      </w:r>
      <w:r>
        <w:rPr>
          <w:rFonts w:hint="eastAsia" w:ascii="宋体" w:hAnsi="宋体" w:cs="宋体"/>
          <w:color w:val="auto"/>
          <w:highlight w:val="none"/>
        </w:rPr>
        <w:t>理解贵方对磋商保密且不予解释我方未能成交的原因。</w:t>
      </w:r>
    </w:p>
    <w:p w14:paraId="7C9201D2">
      <w:pPr>
        <w:keepNext w:val="0"/>
        <w:keepLines w:val="0"/>
        <w:pageBreakBefore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2、我方已详细审查磋商文件。同意放弃因有对磋商文件内容不明及误解的权力，同意提供贵方可能要求的与响应文件有关的一切数据或资料。</w:t>
      </w:r>
    </w:p>
    <w:p w14:paraId="5810E66F">
      <w:pPr>
        <w:keepNext w:val="0"/>
        <w:keepLines w:val="0"/>
        <w:pageBreakBefore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3、本次磋商有效期为自磋商文件规定的提交响应文件截止之日起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个日历日。在磋商有效期内，我方</w:t>
      </w:r>
      <w:r>
        <w:rPr>
          <w:rFonts w:hint="eastAsia" w:ascii="宋体" w:hAnsi="宋体" w:cs="宋体"/>
          <w:color w:val="auto"/>
          <w:highlight w:val="none"/>
        </w:rPr>
        <w:t>同意遵守本响应文件中的承诺且在此期限期满之前文件</w:t>
      </w:r>
      <w:r>
        <w:rPr>
          <w:rFonts w:hint="eastAsia" w:ascii="宋体" w:hAnsi="宋体" w:cs="宋体"/>
          <w:color w:val="auto"/>
          <w:szCs w:val="21"/>
          <w:highlight w:val="none"/>
        </w:rPr>
        <w:t>对我方具有法律约束力</w:t>
      </w:r>
      <w:r>
        <w:rPr>
          <w:rFonts w:hint="eastAsia" w:ascii="宋体" w:hAnsi="宋体" w:cs="宋体"/>
          <w:color w:val="auto"/>
          <w:highlight w:val="none"/>
        </w:rPr>
        <w:t>。</w:t>
      </w:r>
    </w:p>
    <w:p w14:paraId="4CD4C534">
      <w:pPr>
        <w:keepNext w:val="0"/>
        <w:keepLines w:val="0"/>
        <w:pageBreakBefore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4、若我方成交，保证按磋商文件的规定履行合同责任和义务。承诺按磋商文件规定的标准在领取中标通知书前向贵方支付本项目招标代理服务费。 </w:t>
      </w:r>
    </w:p>
    <w:p w14:paraId="22BDC13F">
      <w:pPr>
        <w:keepNext w:val="0"/>
        <w:keepLines w:val="0"/>
        <w:pageBreakBefore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5、有关的一切正式往来信函请寄：</w:t>
      </w:r>
    </w:p>
    <w:p w14:paraId="52C17BF4">
      <w:pPr>
        <w:keepNext w:val="0"/>
        <w:keepLines w:val="0"/>
        <w:pageBreakBefore w:val="0"/>
        <w:widowControl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；（邮编：       ）</w:t>
      </w:r>
      <w:r>
        <w:rPr>
          <w:rFonts w:hint="eastAsia" w:ascii="宋体" w:hAnsi="宋体" w:cs="宋体"/>
          <w:color w:val="auto"/>
          <w:szCs w:val="21"/>
          <w:highlight w:val="none"/>
        </w:rPr>
        <w:t xml:space="preserve"> </w:t>
      </w:r>
    </w:p>
    <w:p w14:paraId="1AD9F017">
      <w:pPr>
        <w:keepNext w:val="0"/>
        <w:keepLines w:val="0"/>
        <w:pageBreakBefore w:val="0"/>
        <w:widowControl w:val="0"/>
        <w:kinsoku/>
        <w:wordWrap/>
        <w:overflowPunct/>
        <w:topLinePunct w:val="0"/>
        <w:autoSpaceDE/>
        <w:autoSpaceDN/>
        <w:bidi w:val="0"/>
        <w:adjustRightInd w:val="0"/>
        <w:snapToGrid w:val="0"/>
        <w:spacing w:before="120"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CF775CC">
      <w:pPr>
        <w:keepNext w:val="0"/>
        <w:keepLines w:val="0"/>
        <w:pageBreakBefore w:val="0"/>
        <w:widowControl w:val="0"/>
        <w:kinsoku/>
        <w:wordWrap/>
        <w:overflowPunct/>
        <w:topLinePunct w:val="0"/>
        <w:autoSpaceDE/>
        <w:autoSpaceDN/>
        <w:bidi w:val="0"/>
        <w:adjustRightInd w:val="0"/>
        <w:snapToGrid w:val="0"/>
        <w:spacing w:before="120" w:line="336" w:lineRule="auto"/>
        <w:jc w:val="both"/>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供应商名称（盖单位章）：                       </w:t>
      </w:r>
    </w:p>
    <w:p w14:paraId="62302179">
      <w:pPr>
        <w:keepNext w:val="0"/>
        <w:keepLines w:val="0"/>
        <w:pageBreakBefore w:val="0"/>
        <w:widowControl w:val="0"/>
        <w:kinsoku/>
        <w:wordWrap/>
        <w:overflowPunct/>
        <w:topLinePunct w:val="0"/>
        <w:autoSpaceDE/>
        <w:autoSpaceDN/>
        <w:bidi w:val="0"/>
        <w:adjustRightInd w:val="0"/>
        <w:snapToGrid w:val="0"/>
        <w:spacing w:before="120" w:line="336"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法定代表人或其授权的代理人（签字）：</w:t>
      </w:r>
      <w:r>
        <w:rPr>
          <w:rFonts w:hint="eastAsia" w:ascii="宋体" w:hAnsi="宋体" w:cs="宋体"/>
          <w:color w:val="auto"/>
          <w:szCs w:val="21"/>
          <w:highlight w:val="none"/>
          <w:u w:val="single"/>
        </w:rPr>
        <w:t xml:space="preserve">               </w:t>
      </w:r>
    </w:p>
    <w:p w14:paraId="1CDBFD1A">
      <w:pPr>
        <w:keepNext w:val="0"/>
        <w:keepLines w:val="0"/>
        <w:pageBreakBefore w:val="0"/>
        <w:widowControl w:val="0"/>
        <w:kinsoku/>
        <w:wordWrap/>
        <w:overflowPunct/>
        <w:topLinePunct w:val="0"/>
        <w:autoSpaceDE/>
        <w:autoSpaceDN/>
        <w:bidi w:val="0"/>
        <w:adjustRightInd w:val="0"/>
        <w:snapToGrid w:val="0"/>
        <w:spacing w:before="120" w:line="336" w:lineRule="auto"/>
        <w:textAlignment w:val="auto"/>
        <w:rPr>
          <w:rFonts w:ascii="宋体" w:hAnsi="宋体" w:cs="宋体"/>
          <w:b/>
          <w:bCs/>
          <w:color w:val="auto"/>
          <w:sz w:val="28"/>
          <w:szCs w:val="28"/>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b/>
          <w:bCs/>
          <w:color w:val="auto"/>
          <w:sz w:val="28"/>
          <w:szCs w:val="28"/>
          <w:highlight w:val="none"/>
        </w:rPr>
        <w:br w:type="page"/>
      </w:r>
    </w:p>
    <w:p w14:paraId="6AB9D94C">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bookmarkStart w:id="960" w:name="_Toc528307196"/>
      <w:bookmarkStart w:id="961" w:name="_Toc528307207"/>
      <w:r>
        <w:rPr>
          <w:rFonts w:hint="eastAsia" w:ascii="宋体" w:hAnsi="宋体" w:eastAsia="宋体" w:cs="宋体"/>
          <w:b/>
          <w:bCs/>
          <w:color w:val="auto"/>
          <w:kern w:val="2"/>
          <w:sz w:val="28"/>
          <w:szCs w:val="28"/>
          <w:highlight w:val="none"/>
          <w:lang w:val="en-US" w:eastAsia="zh-CN" w:bidi="ar-SA"/>
        </w:rPr>
        <w:t>二、分项报价表</w:t>
      </w:r>
      <w:bookmarkEnd w:id="960"/>
      <w:r>
        <w:rPr>
          <w:rFonts w:hint="eastAsia" w:ascii="宋体" w:hAnsi="宋体" w:eastAsia="宋体" w:cs="宋体"/>
          <w:b/>
          <w:bCs/>
          <w:color w:val="auto"/>
          <w:kern w:val="2"/>
          <w:sz w:val="28"/>
          <w:szCs w:val="28"/>
          <w:highlight w:val="none"/>
          <w:lang w:val="en-US" w:eastAsia="zh-CN" w:bidi="ar-SA"/>
        </w:rPr>
        <w:t xml:space="preserve">（工程量清单报价） </w:t>
      </w:r>
    </w:p>
    <w:p w14:paraId="6329BA01">
      <w:pPr>
        <w:spacing w:before="120"/>
        <w:rPr>
          <w:rFonts w:ascii="宋体" w:hAnsi="宋体" w:cs="宋体"/>
          <w:color w:val="auto"/>
          <w:kern w:val="0"/>
          <w:highlight w:val="none"/>
        </w:rPr>
      </w:pPr>
    </w:p>
    <w:p w14:paraId="6642D0C8">
      <w:pPr>
        <w:widowControl w:val="0"/>
        <w:spacing w:before="120" w:after="120"/>
        <w:jc w:val="both"/>
        <w:rPr>
          <w:rFonts w:ascii="Times New Roman" w:hAnsi="Times New Roman" w:eastAsia="宋体" w:cs="Times New Roman"/>
          <w:color w:val="auto"/>
          <w:kern w:val="2"/>
          <w:sz w:val="21"/>
          <w:szCs w:val="24"/>
          <w:highlight w:val="none"/>
          <w:lang w:val="en-US" w:eastAsia="zh-CN" w:bidi="ar-SA"/>
        </w:rPr>
      </w:pPr>
    </w:p>
    <w:p w14:paraId="176EBCD3">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Times New Roman"/>
          <w:color w:val="auto"/>
          <w:szCs w:val="21"/>
          <w:highlight w:val="none"/>
          <w:lang w:val="en-US" w:eastAsia="zh-CN"/>
        </w:rPr>
        <w:t>政府采购编号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72A4133">
      <w:pPr>
        <w:adjustRightInd w:val="0"/>
        <w:snapToGrid w:val="0"/>
        <w:spacing w:before="120" w:line="360" w:lineRule="auto"/>
        <w:ind w:firstLine="6930" w:firstLineChars="3300"/>
        <w:rPr>
          <w:rFonts w:ascii="宋体" w:hAnsi="宋体" w:cs="宋体"/>
          <w:color w:val="auto"/>
          <w:szCs w:val="21"/>
          <w:highlight w:val="none"/>
        </w:rPr>
      </w:pPr>
    </w:p>
    <w:p w14:paraId="5F499F37">
      <w:pPr>
        <w:adjustRightInd w:val="0"/>
        <w:snapToGrid w:val="0"/>
        <w:spacing w:before="120"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p w14:paraId="71715F12">
      <w:pPr>
        <w:adjustRightInd w:val="0"/>
        <w:snapToGrid w:val="0"/>
        <w:spacing w:before="120"/>
        <w:rPr>
          <w:rFonts w:ascii="宋体" w:hAnsi="宋体" w:cs="宋体"/>
          <w:color w:val="auto"/>
          <w:szCs w:val="21"/>
          <w:highlight w:val="none"/>
        </w:rPr>
      </w:pPr>
    </w:p>
    <w:p w14:paraId="6261C303">
      <w:pPr>
        <w:adjustRightInd w:val="0"/>
        <w:snapToGrid w:val="0"/>
        <w:spacing w:before="120"/>
        <w:rPr>
          <w:rFonts w:ascii="宋体" w:hAnsi="宋体" w:cs="宋体"/>
          <w:color w:val="auto"/>
          <w:szCs w:val="21"/>
          <w:highlight w:val="none"/>
        </w:rPr>
      </w:pPr>
    </w:p>
    <w:p w14:paraId="3375C5F2">
      <w:pPr>
        <w:widowControl w:val="0"/>
        <w:spacing w:before="120" w:after="120" w:line="360" w:lineRule="auto"/>
        <w:ind w:firstLine="422" w:firstLineChars="200"/>
        <w:jc w:val="both"/>
        <w:rPr>
          <w:rFonts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b/>
          <w:bCs/>
          <w:color w:val="auto"/>
          <w:kern w:val="2"/>
          <w:sz w:val="21"/>
          <w:szCs w:val="21"/>
          <w:highlight w:val="none"/>
          <w:lang w:val="en-US" w:eastAsia="zh-CN" w:bidi="ar-SA"/>
        </w:rPr>
        <w:t>供应商按采购文件提供的工程量清单及说明进行报价。清单报价应按照《湖南省建设工程计价办法》的要求进行。</w:t>
      </w:r>
    </w:p>
    <w:p w14:paraId="2224CA2D">
      <w:pPr>
        <w:widowControl w:val="0"/>
        <w:spacing w:before="120" w:after="120" w:line="360" w:lineRule="auto"/>
        <w:ind w:firstLine="420" w:firstLineChars="200"/>
        <w:jc w:val="both"/>
        <w:rPr>
          <w:rFonts w:ascii="宋体" w:hAnsi="宋体" w:eastAsia="宋体" w:cs="宋体"/>
          <w:color w:val="auto"/>
          <w:kern w:val="2"/>
          <w:sz w:val="21"/>
          <w:szCs w:val="21"/>
          <w:highlight w:val="none"/>
          <w:lang w:val="en-US" w:eastAsia="zh-CN" w:bidi="ar-SA"/>
        </w:rPr>
      </w:pPr>
    </w:p>
    <w:p w14:paraId="12553B8B">
      <w:pPr>
        <w:widowControl w:val="0"/>
        <w:spacing w:before="120" w:after="120" w:line="360" w:lineRule="auto"/>
        <w:ind w:firstLine="420" w:firstLineChars="200"/>
        <w:jc w:val="both"/>
        <w:rPr>
          <w:rFonts w:ascii="宋体" w:hAnsi="宋体" w:eastAsia="宋体" w:cs="宋体"/>
          <w:color w:val="auto"/>
          <w:kern w:val="2"/>
          <w:sz w:val="21"/>
          <w:szCs w:val="21"/>
          <w:highlight w:val="none"/>
          <w:lang w:val="en-US" w:eastAsia="zh-CN" w:bidi="ar-SA"/>
        </w:rPr>
      </w:pPr>
    </w:p>
    <w:p w14:paraId="45EA920A">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1598B672">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w:t>
      </w:r>
      <w:r>
        <w:rPr>
          <w:rFonts w:hint="eastAsia" w:ascii="宋体" w:hAnsi="宋体" w:cs="宋体"/>
          <w:color w:val="auto"/>
          <w:szCs w:val="21"/>
          <w:highlight w:val="none"/>
          <w:u w:val="single"/>
        </w:rPr>
        <w:t xml:space="preserve">       </w:t>
      </w:r>
    </w:p>
    <w:p w14:paraId="7C9CE86E">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021CA47">
      <w:pPr>
        <w:autoSpaceDE w:val="0"/>
        <w:autoSpaceDN w:val="0"/>
        <w:adjustRightInd w:val="0"/>
        <w:snapToGrid w:val="0"/>
        <w:spacing w:before="12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1BDD5471">
      <w:pPr>
        <w:widowControl/>
        <w:spacing w:before="120"/>
        <w:jc w:val="center"/>
        <w:rPr>
          <w:rFonts w:ascii="黑体" w:hAnsi="宋体" w:eastAsia="黑体" w:cs="黑体"/>
          <w:b/>
          <w:color w:val="auto"/>
          <w:kern w:val="0"/>
          <w:sz w:val="28"/>
          <w:szCs w:val="28"/>
          <w:highlight w:val="none"/>
          <w:lang w:bidi="ar"/>
        </w:rPr>
      </w:pPr>
      <w:r>
        <w:rPr>
          <w:rFonts w:ascii="黑体" w:hAnsi="宋体" w:eastAsia="黑体" w:cs="黑体"/>
          <w:b/>
          <w:color w:val="auto"/>
          <w:kern w:val="0"/>
          <w:sz w:val="28"/>
          <w:szCs w:val="28"/>
          <w:highlight w:val="none"/>
          <w:lang w:bidi="ar"/>
        </w:rPr>
        <w:t>主要材料表</w:t>
      </w:r>
    </w:p>
    <w:p w14:paraId="5851BCBE">
      <w:pPr>
        <w:widowControl/>
        <w:spacing w:before="120" w:after="240" w:afterLines="100" w:line="360" w:lineRule="auto"/>
        <w:ind w:left="420" w:leftChars="200" w:firstLine="480" w:firstLineChars="200"/>
        <w:jc w:val="left"/>
        <w:rPr>
          <w:rFonts w:ascii="Times New Roman" w:hAnsi="Times New Roman" w:eastAsia="宋体" w:cs="Times New Roman"/>
          <w:color w:val="auto"/>
          <w:kern w:val="28"/>
          <w:sz w:val="24"/>
          <w:szCs w:val="24"/>
          <w:highlight w:val="none"/>
          <w:lang w:val="en-US" w:eastAsia="zh-CN" w:bidi="ar-SA"/>
        </w:rPr>
      </w:pPr>
    </w:p>
    <w:p w14:paraId="5FC70166">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Times New Roman"/>
          <w:color w:val="auto"/>
          <w:szCs w:val="21"/>
          <w:highlight w:val="none"/>
          <w:lang w:val="en-US" w:eastAsia="zh-CN"/>
        </w:rPr>
        <w:t>政府采购编号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4593EEE">
      <w:pPr>
        <w:adjustRightInd w:val="0"/>
        <w:snapToGrid w:val="0"/>
        <w:spacing w:before="120" w:line="360" w:lineRule="auto"/>
        <w:ind w:firstLine="6930" w:firstLineChars="3300"/>
        <w:rPr>
          <w:rFonts w:ascii="宋体" w:hAnsi="宋体" w:cs="宋体"/>
          <w:color w:val="auto"/>
          <w:szCs w:val="21"/>
          <w:highlight w:val="none"/>
        </w:rPr>
      </w:pPr>
    </w:p>
    <w:p w14:paraId="1C29EA80">
      <w:pPr>
        <w:adjustRightInd w:val="0"/>
        <w:snapToGrid w:val="0"/>
        <w:spacing w:before="120" w:line="360" w:lineRule="auto"/>
        <w:ind w:firstLine="6930" w:firstLineChars="3300"/>
        <w:rPr>
          <w:rFonts w:ascii="Times New Roman" w:hAnsi="Times New Roman" w:cs="Times New Roman"/>
          <w:color w:val="auto"/>
          <w:highlight w:val="none"/>
        </w:rPr>
      </w:pPr>
      <w:r>
        <w:rPr>
          <w:rFonts w:hint="eastAsia" w:ascii="宋体" w:hAnsi="宋体" w:cs="宋体"/>
          <w:color w:val="auto"/>
          <w:szCs w:val="21"/>
          <w:highlight w:val="none"/>
        </w:rPr>
        <w:t>价格单位：人民币元</w:t>
      </w:r>
    </w:p>
    <w:tbl>
      <w:tblPr>
        <w:tblStyle w:val="3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40"/>
        <w:gridCol w:w="1007"/>
        <w:gridCol w:w="1673"/>
        <w:gridCol w:w="1290"/>
        <w:gridCol w:w="1260"/>
        <w:gridCol w:w="1230"/>
      </w:tblGrid>
      <w:tr w14:paraId="57A0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2" w:type="dxa"/>
            <w:tcBorders>
              <w:top w:val="double" w:color="auto" w:sz="4" w:space="0"/>
              <w:left w:val="double" w:color="auto" w:sz="4" w:space="0"/>
            </w:tcBorders>
            <w:vAlign w:val="center"/>
          </w:tcPr>
          <w:p w14:paraId="06D92789">
            <w:pPr>
              <w:widowControl/>
              <w:spacing w:before="12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序号</w:t>
            </w:r>
          </w:p>
        </w:tc>
        <w:tc>
          <w:tcPr>
            <w:tcW w:w="1340" w:type="dxa"/>
            <w:tcBorders>
              <w:top w:val="double" w:color="auto" w:sz="4" w:space="0"/>
            </w:tcBorders>
            <w:vAlign w:val="center"/>
          </w:tcPr>
          <w:p w14:paraId="0C02F0D8">
            <w:pPr>
              <w:widowControl/>
              <w:spacing w:before="12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材料名称</w:t>
            </w:r>
          </w:p>
        </w:tc>
        <w:tc>
          <w:tcPr>
            <w:tcW w:w="1007" w:type="dxa"/>
            <w:tcBorders>
              <w:top w:val="double" w:color="auto" w:sz="4" w:space="0"/>
            </w:tcBorders>
            <w:vAlign w:val="center"/>
          </w:tcPr>
          <w:p w14:paraId="6BFE24EB">
            <w:pPr>
              <w:widowControl/>
              <w:spacing w:before="12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品牌</w:t>
            </w:r>
          </w:p>
        </w:tc>
        <w:tc>
          <w:tcPr>
            <w:tcW w:w="1673" w:type="dxa"/>
            <w:tcBorders>
              <w:top w:val="double" w:color="auto" w:sz="4" w:space="0"/>
            </w:tcBorders>
            <w:vAlign w:val="center"/>
          </w:tcPr>
          <w:p w14:paraId="7860BF76">
            <w:pPr>
              <w:widowControl/>
              <w:spacing w:before="12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型号规格</w:t>
            </w:r>
          </w:p>
        </w:tc>
        <w:tc>
          <w:tcPr>
            <w:tcW w:w="1290" w:type="dxa"/>
            <w:tcBorders>
              <w:top w:val="double" w:color="auto" w:sz="4" w:space="0"/>
            </w:tcBorders>
            <w:vAlign w:val="center"/>
          </w:tcPr>
          <w:p w14:paraId="6DA78AD5">
            <w:pPr>
              <w:widowControl/>
              <w:spacing w:before="12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制造厂商</w:t>
            </w:r>
          </w:p>
        </w:tc>
        <w:tc>
          <w:tcPr>
            <w:tcW w:w="1260" w:type="dxa"/>
            <w:tcBorders>
              <w:top w:val="double" w:color="auto" w:sz="4" w:space="0"/>
            </w:tcBorders>
            <w:vAlign w:val="center"/>
          </w:tcPr>
          <w:p w14:paraId="6B10ED9B">
            <w:pPr>
              <w:widowControl/>
              <w:spacing w:before="12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价格</w:t>
            </w:r>
          </w:p>
        </w:tc>
        <w:tc>
          <w:tcPr>
            <w:tcW w:w="1230" w:type="dxa"/>
            <w:tcBorders>
              <w:top w:val="double" w:color="auto" w:sz="4" w:space="0"/>
              <w:right w:val="double" w:color="auto" w:sz="4" w:space="0"/>
            </w:tcBorders>
            <w:vAlign w:val="center"/>
          </w:tcPr>
          <w:p w14:paraId="6AC0FE17">
            <w:pPr>
              <w:widowControl/>
              <w:spacing w:before="12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备注</w:t>
            </w:r>
          </w:p>
        </w:tc>
      </w:tr>
      <w:tr w14:paraId="3247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left w:val="double" w:color="auto" w:sz="4" w:space="0"/>
            </w:tcBorders>
          </w:tcPr>
          <w:p w14:paraId="7C6DE50F">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340" w:type="dxa"/>
          </w:tcPr>
          <w:p w14:paraId="57561B23">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007" w:type="dxa"/>
          </w:tcPr>
          <w:p w14:paraId="503F1F77">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673" w:type="dxa"/>
          </w:tcPr>
          <w:p w14:paraId="35615C67">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90" w:type="dxa"/>
          </w:tcPr>
          <w:p w14:paraId="431286DA">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60" w:type="dxa"/>
          </w:tcPr>
          <w:p w14:paraId="4DB019CD">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30" w:type="dxa"/>
            <w:tcBorders>
              <w:right w:val="double" w:color="auto" w:sz="4" w:space="0"/>
            </w:tcBorders>
          </w:tcPr>
          <w:p w14:paraId="2EFAE882">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r>
      <w:tr w14:paraId="4B93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left w:val="double" w:color="auto" w:sz="4" w:space="0"/>
            </w:tcBorders>
          </w:tcPr>
          <w:p w14:paraId="5EE7923D">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340" w:type="dxa"/>
          </w:tcPr>
          <w:p w14:paraId="627CBDCF">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007" w:type="dxa"/>
          </w:tcPr>
          <w:p w14:paraId="562F8141">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673" w:type="dxa"/>
          </w:tcPr>
          <w:p w14:paraId="6A4D89CA">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90" w:type="dxa"/>
          </w:tcPr>
          <w:p w14:paraId="114C9D2D">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60" w:type="dxa"/>
          </w:tcPr>
          <w:p w14:paraId="75D36131">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30" w:type="dxa"/>
            <w:tcBorders>
              <w:right w:val="double" w:color="auto" w:sz="4" w:space="0"/>
            </w:tcBorders>
          </w:tcPr>
          <w:p w14:paraId="000166A3">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r>
      <w:tr w14:paraId="0CA6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left w:val="double" w:color="auto" w:sz="4" w:space="0"/>
            </w:tcBorders>
          </w:tcPr>
          <w:p w14:paraId="13861B8F">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340" w:type="dxa"/>
          </w:tcPr>
          <w:p w14:paraId="673885D4">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007" w:type="dxa"/>
          </w:tcPr>
          <w:p w14:paraId="32462318">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673" w:type="dxa"/>
          </w:tcPr>
          <w:p w14:paraId="6CF5787C">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90" w:type="dxa"/>
          </w:tcPr>
          <w:p w14:paraId="03CB1C5F">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60" w:type="dxa"/>
          </w:tcPr>
          <w:p w14:paraId="43497194">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30" w:type="dxa"/>
            <w:tcBorders>
              <w:right w:val="double" w:color="auto" w:sz="4" w:space="0"/>
            </w:tcBorders>
          </w:tcPr>
          <w:p w14:paraId="61B432ED">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r>
      <w:tr w14:paraId="5BB7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left w:val="double" w:color="auto" w:sz="4" w:space="0"/>
              <w:bottom w:val="double" w:color="auto" w:sz="4" w:space="0"/>
            </w:tcBorders>
          </w:tcPr>
          <w:p w14:paraId="102E2773">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340" w:type="dxa"/>
            <w:tcBorders>
              <w:bottom w:val="double" w:color="auto" w:sz="4" w:space="0"/>
            </w:tcBorders>
          </w:tcPr>
          <w:p w14:paraId="7E03D122">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007" w:type="dxa"/>
            <w:tcBorders>
              <w:bottom w:val="double" w:color="auto" w:sz="4" w:space="0"/>
            </w:tcBorders>
          </w:tcPr>
          <w:p w14:paraId="1761B48D">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673" w:type="dxa"/>
            <w:tcBorders>
              <w:bottom w:val="double" w:color="auto" w:sz="4" w:space="0"/>
            </w:tcBorders>
          </w:tcPr>
          <w:p w14:paraId="4F5E3C59">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90" w:type="dxa"/>
            <w:tcBorders>
              <w:bottom w:val="double" w:color="auto" w:sz="4" w:space="0"/>
            </w:tcBorders>
          </w:tcPr>
          <w:p w14:paraId="1EEDCB73">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60" w:type="dxa"/>
            <w:tcBorders>
              <w:bottom w:val="double" w:color="auto" w:sz="4" w:space="0"/>
            </w:tcBorders>
          </w:tcPr>
          <w:p w14:paraId="78F9E441">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c>
          <w:tcPr>
            <w:tcW w:w="1230" w:type="dxa"/>
            <w:tcBorders>
              <w:bottom w:val="double" w:color="auto" w:sz="4" w:space="0"/>
              <w:right w:val="double" w:color="auto" w:sz="4" w:space="0"/>
            </w:tcBorders>
          </w:tcPr>
          <w:p w14:paraId="16BF19ED">
            <w:pPr>
              <w:widowControl/>
              <w:spacing w:before="120" w:after="240" w:afterLines="100" w:line="360" w:lineRule="auto"/>
              <w:ind w:left="420" w:leftChars="200" w:firstLine="420" w:firstLineChars="200"/>
              <w:jc w:val="left"/>
              <w:rPr>
                <w:rFonts w:ascii="宋体" w:hAnsi="宋体" w:eastAsia="宋体" w:cs="宋体"/>
                <w:color w:val="auto"/>
                <w:kern w:val="0"/>
                <w:sz w:val="21"/>
                <w:szCs w:val="21"/>
                <w:highlight w:val="none"/>
                <w:lang w:val="zh-CN" w:eastAsia="zh-CN" w:bidi="ar-SA"/>
              </w:rPr>
            </w:pPr>
          </w:p>
        </w:tc>
      </w:tr>
    </w:tbl>
    <w:p w14:paraId="495D7AFD">
      <w:pPr>
        <w:spacing w:before="120"/>
        <w:rPr>
          <w:rFonts w:ascii="Times New Roman" w:hAnsi="Times New Roman" w:cs="Times New Roman"/>
          <w:color w:val="auto"/>
          <w:highlight w:val="none"/>
        </w:rPr>
      </w:pPr>
    </w:p>
    <w:p w14:paraId="3C4B08B4">
      <w:pPr>
        <w:widowControl/>
        <w:spacing w:before="120"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注：该表“价格”栏应填列该材料的总金额。</w:t>
      </w:r>
    </w:p>
    <w:p w14:paraId="7FB20C77">
      <w:pPr>
        <w:spacing w:before="120"/>
        <w:jc w:val="left"/>
        <w:rPr>
          <w:rFonts w:ascii="宋体" w:hAnsi="宋体" w:cs="宋体"/>
          <w:bCs w:val="0"/>
          <w:color w:val="auto"/>
          <w:spacing w:val="6"/>
          <w:kern w:val="0"/>
          <w:sz w:val="24"/>
          <w:szCs w:val="24"/>
          <w:highlight w:val="none"/>
        </w:rPr>
        <w:sectPr>
          <w:pgSz w:w="11906" w:h="16838"/>
          <w:pgMar w:top="1587" w:right="1474" w:bottom="1474" w:left="1587" w:header="851" w:footer="992" w:gutter="0"/>
          <w:cols w:space="720" w:num="1"/>
          <w:docGrid w:linePitch="312" w:charSpace="0"/>
        </w:sectPr>
      </w:pPr>
    </w:p>
    <w:p w14:paraId="19D3827A">
      <w:pPr>
        <w:keepNext/>
        <w:keepLines/>
        <w:widowControl w:val="0"/>
        <w:spacing w:before="120" w:after="290" w:line="376" w:lineRule="auto"/>
        <w:jc w:val="left"/>
        <w:outlineLvl w:val="3"/>
        <w:rPr>
          <w:rFonts w:ascii="宋体" w:hAnsi="宋体" w:eastAsia="宋体" w:cs="宋体"/>
          <w:b/>
          <w:bCs w:val="0"/>
          <w:color w:val="auto"/>
          <w:kern w:val="2"/>
          <w:sz w:val="28"/>
          <w:szCs w:val="28"/>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附2-1 </w:t>
      </w:r>
      <w:r>
        <w:rPr>
          <w:rFonts w:hint="eastAsia" w:ascii="宋体" w:hAnsi="宋体" w:eastAsia="宋体" w:cs="宋体"/>
          <w:b/>
          <w:bCs w:val="0"/>
          <w:color w:val="auto"/>
          <w:spacing w:val="6"/>
          <w:kern w:val="0"/>
          <w:sz w:val="24"/>
          <w:szCs w:val="24"/>
          <w:highlight w:val="none"/>
          <w:lang w:val="en-US" w:eastAsia="zh-CN" w:bidi="ar-SA"/>
        </w:rPr>
        <w:t>政府采购价格评审优惠清单报价表</w:t>
      </w:r>
    </w:p>
    <w:p w14:paraId="2389B11F">
      <w:pPr>
        <w:spacing w:before="120"/>
        <w:rPr>
          <w:rFonts w:ascii="Times New Roman" w:hAnsi="Times New Roman" w:cs="Times New Roman"/>
          <w:color w:val="auto"/>
          <w:highlight w:val="none"/>
        </w:rPr>
      </w:pPr>
    </w:p>
    <w:p w14:paraId="206A924F">
      <w:pPr>
        <w:adjustRightInd w:val="0"/>
        <w:snapToGrid w:val="0"/>
        <w:spacing w:before="120" w:line="360" w:lineRule="auto"/>
        <w:rPr>
          <w:rFonts w:ascii="宋体" w:hAnsi="宋体" w:cs="宋体"/>
          <w:color w:val="auto"/>
          <w:szCs w:val="21"/>
          <w:highlight w:val="none"/>
        </w:rPr>
      </w:pPr>
    </w:p>
    <w:p w14:paraId="371BEAAC">
      <w:pPr>
        <w:adjustRightInd w:val="0"/>
        <w:snapToGrid w:val="0"/>
        <w:spacing w:before="120" w:line="360" w:lineRule="auto"/>
        <w:rPr>
          <w:rFonts w:ascii="宋体" w:hAnsi="宋体" w:cs="宋体"/>
          <w:color w:val="auto"/>
          <w:szCs w:val="21"/>
          <w:highlight w:val="none"/>
        </w:rPr>
      </w:pPr>
    </w:p>
    <w:p w14:paraId="6CF4AFF0">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Times New Roman"/>
          <w:color w:val="auto"/>
          <w:szCs w:val="21"/>
          <w:highlight w:val="none"/>
          <w:lang w:val="en-US" w:eastAsia="zh-CN"/>
        </w:rPr>
        <w:t>政府采购编号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7DC02B9">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包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包货物名称：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710068A">
      <w:pPr>
        <w:adjustRightInd w:val="0"/>
        <w:snapToGrid w:val="0"/>
        <w:spacing w:before="120"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3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701"/>
        <w:gridCol w:w="1866"/>
        <w:gridCol w:w="2103"/>
        <w:gridCol w:w="1276"/>
      </w:tblGrid>
      <w:tr w14:paraId="773C33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8789" w:type="dxa"/>
            <w:gridSpan w:val="6"/>
            <w:vAlign w:val="center"/>
          </w:tcPr>
          <w:p w14:paraId="1AD8AC9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本单位对本表的真实性负责。如有虚假，将依法承担相应责任。</w:t>
            </w:r>
          </w:p>
        </w:tc>
      </w:tr>
      <w:tr w14:paraId="55B4F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14:paraId="2347102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1</w:t>
            </w:r>
          </w:p>
        </w:tc>
        <w:tc>
          <w:tcPr>
            <w:tcW w:w="1134" w:type="dxa"/>
            <w:vAlign w:val="center"/>
          </w:tcPr>
          <w:p w14:paraId="0FEFD7AC">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2</w:t>
            </w:r>
          </w:p>
        </w:tc>
        <w:tc>
          <w:tcPr>
            <w:tcW w:w="1701" w:type="dxa"/>
            <w:vAlign w:val="center"/>
          </w:tcPr>
          <w:p w14:paraId="3EAA199E">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3</w:t>
            </w:r>
          </w:p>
        </w:tc>
        <w:tc>
          <w:tcPr>
            <w:tcW w:w="1866" w:type="dxa"/>
            <w:vAlign w:val="center"/>
          </w:tcPr>
          <w:p w14:paraId="7B1261C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4</w:t>
            </w:r>
          </w:p>
        </w:tc>
        <w:tc>
          <w:tcPr>
            <w:tcW w:w="2103" w:type="dxa"/>
            <w:vAlign w:val="center"/>
          </w:tcPr>
          <w:p w14:paraId="6BE98AE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5</w:t>
            </w:r>
          </w:p>
        </w:tc>
        <w:tc>
          <w:tcPr>
            <w:tcW w:w="1276" w:type="dxa"/>
            <w:vAlign w:val="center"/>
          </w:tcPr>
          <w:p w14:paraId="1EC2874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6</w:t>
            </w:r>
          </w:p>
        </w:tc>
      </w:tr>
      <w:tr w14:paraId="692A1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709" w:type="dxa"/>
            <w:vAlign w:val="center"/>
          </w:tcPr>
          <w:p w14:paraId="4D6D652F">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序号</w:t>
            </w:r>
          </w:p>
        </w:tc>
        <w:tc>
          <w:tcPr>
            <w:tcW w:w="1134" w:type="dxa"/>
            <w:vAlign w:val="center"/>
          </w:tcPr>
          <w:p w14:paraId="4D08612E">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货物名称</w:t>
            </w:r>
          </w:p>
        </w:tc>
        <w:tc>
          <w:tcPr>
            <w:tcW w:w="1701" w:type="dxa"/>
            <w:vAlign w:val="center"/>
          </w:tcPr>
          <w:p w14:paraId="26F0AA5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价格（元）</w:t>
            </w:r>
          </w:p>
        </w:tc>
        <w:tc>
          <w:tcPr>
            <w:tcW w:w="1866" w:type="dxa"/>
            <w:vAlign w:val="center"/>
          </w:tcPr>
          <w:p w14:paraId="12C3650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货物制造商名称</w:t>
            </w:r>
          </w:p>
        </w:tc>
        <w:tc>
          <w:tcPr>
            <w:tcW w:w="2103" w:type="dxa"/>
            <w:vAlign w:val="center"/>
          </w:tcPr>
          <w:p w14:paraId="350FD135">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货物制造商类型</w:t>
            </w:r>
          </w:p>
        </w:tc>
        <w:tc>
          <w:tcPr>
            <w:tcW w:w="1276" w:type="dxa"/>
            <w:vAlign w:val="center"/>
          </w:tcPr>
          <w:p w14:paraId="71CEA4A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商标名称</w:t>
            </w:r>
          </w:p>
        </w:tc>
      </w:tr>
      <w:tr w14:paraId="4DFCA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4C2DABB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134" w:type="dxa"/>
            <w:vAlign w:val="center"/>
          </w:tcPr>
          <w:p w14:paraId="7D8CFCB4">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701" w:type="dxa"/>
            <w:vAlign w:val="center"/>
          </w:tcPr>
          <w:p w14:paraId="38E0045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66" w:type="dxa"/>
            <w:vAlign w:val="center"/>
          </w:tcPr>
          <w:p w14:paraId="655AC53C">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103" w:type="dxa"/>
            <w:vAlign w:val="center"/>
          </w:tcPr>
          <w:p w14:paraId="1E8CBAB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276" w:type="dxa"/>
            <w:vAlign w:val="center"/>
          </w:tcPr>
          <w:p w14:paraId="444C119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42ED4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1934410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134" w:type="dxa"/>
            <w:vAlign w:val="center"/>
          </w:tcPr>
          <w:p w14:paraId="2B7F499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701" w:type="dxa"/>
            <w:vAlign w:val="center"/>
          </w:tcPr>
          <w:p w14:paraId="76FF6F2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66" w:type="dxa"/>
            <w:vAlign w:val="center"/>
          </w:tcPr>
          <w:p w14:paraId="4772C13C">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103" w:type="dxa"/>
            <w:vAlign w:val="center"/>
          </w:tcPr>
          <w:p w14:paraId="5562FC6F">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276" w:type="dxa"/>
            <w:vAlign w:val="center"/>
          </w:tcPr>
          <w:p w14:paraId="4A44F8D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78632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05DB5DFC">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小计</w:t>
            </w:r>
          </w:p>
        </w:tc>
        <w:tc>
          <w:tcPr>
            <w:tcW w:w="1134" w:type="dxa"/>
            <w:vAlign w:val="center"/>
          </w:tcPr>
          <w:p w14:paraId="10903F9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c>
          <w:tcPr>
            <w:tcW w:w="1701" w:type="dxa"/>
            <w:vAlign w:val="center"/>
          </w:tcPr>
          <w:p w14:paraId="7DFA5CA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66" w:type="dxa"/>
            <w:vAlign w:val="center"/>
          </w:tcPr>
          <w:p w14:paraId="7CD3F0B4">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c>
          <w:tcPr>
            <w:tcW w:w="2103" w:type="dxa"/>
            <w:vAlign w:val="center"/>
          </w:tcPr>
          <w:p w14:paraId="20B2F34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c>
          <w:tcPr>
            <w:tcW w:w="1276" w:type="dxa"/>
            <w:vAlign w:val="center"/>
          </w:tcPr>
          <w:p w14:paraId="5537D190">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r>
    </w:tbl>
    <w:p w14:paraId="077045F2">
      <w:pPr>
        <w:widowControl/>
        <w:adjustRightInd w:val="0"/>
        <w:snapToGrid w:val="0"/>
        <w:spacing w:before="120" w:line="400" w:lineRule="exact"/>
        <w:rPr>
          <w:rFonts w:ascii="宋体" w:hAnsi="宋体" w:cs="宋体"/>
          <w:color w:val="auto"/>
          <w:szCs w:val="21"/>
          <w:highlight w:val="none"/>
        </w:rPr>
      </w:pPr>
      <w:r>
        <w:rPr>
          <w:rFonts w:hint="eastAsia" w:ascii="宋体" w:hAnsi="宋体" w:cs="宋体"/>
          <w:color w:val="auto"/>
          <w:szCs w:val="21"/>
          <w:highlight w:val="none"/>
        </w:rPr>
        <w:t>说明：1、本表用于计算政府采购价格评审优惠（中小企业或者监狱企业或者残疾人福利性单位）应享受的政府采购政策价格扣除。</w:t>
      </w:r>
    </w:p>
    <w:p w14:paraId="273B906B">
      <w:pPr>
        <w:widowControl/>
        <w:adjustRightInd w:val="0"/>
        <w:snapToGrid w:val="0"/>
        <w:spacing w:before="120"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2、栏目3“价格”为综合单价，包含该货物所有隐含的内容，如运输费、保险费、管理费和利润等。</w:t>
      </w:r>
    </w:p>
    <w:p w14:paraId="28197751">
      <w:pPr>
        <w:widowControl/>
        <w:adjustRightInd w:val="0"/>
        <w:snapToGrid w:val="0"/>
        <w:spacing w:before="120"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3、货物制造商类型填写小型、微型，或者监狱企业或者残疾人福利性单位。监狱企业或者残疾人福利性单位视同属于小型、微型企业。</w:t>
      </w:r>
    </w:p>
    <w:p w14:paraId="248557D4">
      <w:pPr>
        <w:widowControl/>
        <w:adjustRightInd w:val="0"/>
        <w:snapToGrid w:val="0"/>
        <w:spacing w:before="120"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4、供应商在提交响应文件的截止时间前修改“开标一览表”中的响应报价的，涉及本表相应内容应同时修改。</w:t>
      </w:r>
    </w:p>
    <w:p w14:paraId="66DD764C">
      <w:pPr>
        <w:adjustRightInd w:val="0"/>
        <w:snapToGrid w:val="0"/>
        <w:spacing w:before="120" w:line="360" w:lineRule="auto"/>
        <w:rPr>
          <w:rFonts w:ascii="宋体" w:hAnsi="宋体" w:cs="宋体"/>
          <w:color w:val="auto"/>
          <w:szCs w:val="21"/>
          <w:highlight w:val="none"/>
        </w:rPr>
      </w:pPr>
    </w:p>
    <w:p w14:paraId="7581618D">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0240218F">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r>
        <w:rPr>
          <w:rFonts w:hint="eastAsia" w:ascii="宋体" w:hAnsi="宋体" w:cs="宋体"/>
          <w:color w:val="auto"/>
          <w:szCs w:val="21"/>
          <w:highlight w:val="none"/>
          <w:u w:val="single"/>
        </w:rPr>
        <w:t xml:space="preserve">       </w:t>
      </w:r>
    </w:p>
    <w:p w14:paraId="579628EF">
      <w:pPr>
        <w:adjustRightInd w:val="0"/>
        <w:snapToGrid w:val="0"/>
        <w:spacing w:before="120" w:line="360" w:lineRule="auto"/>
        <w:rPr>
          <w:rFonts w:ascii="宋体" w:hAnsi="宋体" w:cs="宋体"/>
          <w:b/>
          <w:color w:val="auto"/>
          <w:sz w:val="28"/>
          <w:szCs w:val="28"/>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b/>
          <w:color w:val="auto"/>
          <w:sz w:val="28"/>
          <w:szCs w:val="28"/>
          <w:highlight w:val="none"/>
        </w:rPr>
        <w:br w:type="page"/>
      </w:r>
    </w:p>
    <w:p w14:paraId="35DC1B41">
      <w:pPr>
        <w:keepNext/>
        <w:keepLines/>
        <w:widowControl w:val="0"/>
        <w:spacing w:before="120" w:after="290" w:line="376" w:lineRule="auto"/>
        <w:jc w:val="left"/>
        <w:outlineLvl w:val="3"/>
        <w:rPr>
          <w:rFonts w:ascii="宋体" w:hAnsi="宋体" w:eastAsia="宋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附2-2 </w:t>
      </w:r>
      <w:r>
        <w:rPr>
          <w:rFonts w:hint="eastAsia" w:ascii="宋体" w:hAnsi="宋体" w:eastAsia="宋体" w:cs="宋体"/>
          <w:b/>
          <w:bCs w:val="0"/>
          <w:color w:val="auto"/>
          <w:spacing w:val="6"/>
          <w:kern w:val="0"/>
          <w:sz w:val="24"/>
          <w:szCs w:val="24"/>
          <w:highlight w:val="none"/>
          <w:lang w:val="en-US" w:eastAsia="zh-CN" w:bidi="ar-SA"/>
        </w:rPr>
        <w:t>政府采购优先采购产品清单报价表</w:t>
      </w:r>
    </w:p>
    <w:p w14:paraId="7AADA9DE">
      <w:pPr>
        <w:spacing w:before="120"/>
        <w:rPr>
          <w:rFonts w:ascii="Times New Roman" w:hAnsi="Times New Roman" w:cs="Times New Roman"/>
          <w:color w:val="auto"/>
          <w:highlight w:val="none"/>
        </w:rPr>
      </w:pPr>
    </w:p>
    <w:p w14:paraId="5FCB8E6F">
      <w:pPr>
        <w:adjustRightInd w:val="0"/>
        <w:snapToGrid w:val="0"/>
        <w:spacing w:before="120" w:line="360" w:lineRule="auto"/>
        <w:rPr>
          <w:rFonts w:ascii="宋体" w:hAnsi="宋体" w:cs="宋体"/>
          <w:color w:val="auto"/>
          <w:szCs w:val="21"/>
          <w:highlight w:val="none"/>
        </w:rPr>
      </w:pPr>
    </w:p>
    <w:p w14:paraId="25BF64A2">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Times New Roman"/>
          <w:color w:val="auto"/>
          <w:szCs w:val="21"/>
          <w:highlight w:val="none"/>
          <w:lang w:val="en-US" w:eastAsia="zh-CN"/>
        </w:rPr>
        <w:t>政府采购编号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BB97043">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包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包货物名称：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E5229D5">
      <w:pPr>
        <w:adjustRightInd w:val="0"/>
        <w:snapToGrid w:val="0"/>
        <w:spacing w:before="120"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3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2552"/>
        <w:gridCol w:w="1984"/>
        <w:gridCol w:w="1843"/>
      </w:tblGrid>
      <w:tr w14:paraId="142C8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789" w:type="dxa"/>
            <w:gridSpan w:val="5"/>
            <w:vAlign w:val="center"/>
          </w:tcPr>
          <w:p w14:paraId="09EEB4F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本单位对本表的真实性负责。如有虚假，将依法承担相应责任。</w:t>
            </w:r>
          </w:p>
        </w:tc>
      </w:tr>
      <w:tr w14:paraId="3D1A9F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70AD219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序号</w:t>
            </w:r>
          </w:p>
        </w:tc>
        <w:tc>
          <w:tcPr>
            <w:tcW w:w="1739" w:type="dxa"/>
            <w:vAlign w:val="center"/>
          </w:tcPr>
          <w:p w14:paraId="5EDC28C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货物名称</w:t>
            </w:r>
          </w:p>
        </w:tc>
        <w:tc>
          <w:tcPr>
            <w:tcW w:w="2552" w:type="dxa"/>
            <w:vAlign w:val="center"/>
          </w:tcPr>
          <w:p w14:paraId="2AAECD9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价格（元）</w:t>
            </w:r>
          </w:p>
        </w:tc>
        <w:tc>
          <w:tcPr>
            <w:tcW w:w="1984" w:type="dxa"/>
            <w:vAlign w:val="center"/>
          </w:tcPr>
          <w:p w14:paraId="1BE96E5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货物制造商名称</w:t>
            </w:r>
          </w:p>
        </w:tc>
        <w:tc>
          <w:tcPr>
            <w:tcW w:w="1843" w:type="dxa"/>
            <w:vAlign w:val="center"/>
          </w:tcPr>
          <w:p w14:paraId="25324FB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政策功能编码</w:t>
            </w:r>
          </w:p>
        </w:tc>
      </w:tr>
      <w:tr w14:paraId="2444C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789" w:type="dxa"/>
            <w:gridSpan w:val="5"/>
            <w:vAlign w:val="center"/>
          </w:tcPr>
          <w:p w14:paraId="7D6F2DD4">
            <w:pPr>
              <w:widowControl/>
              <w:spacing w:before="120" w:beforeAutospacing="1" w:after="100" w:afterAutospacing="1"/>
              <w:jc w:val="both"/>
              <w:rPr>
                <w:rFonts w:ascii="宋体" w:hAnsi="宋体" w:eastAsia="宋体" w:cs="宋体"/>
                <w:color w:val="auto"/>
                <w:kern w:val="20"/>
                <w:sz w:val="21"/>
                <w:szCs w:val="21"/>
                <w:highlight w:val="none"/>
                <w:lang w:val="en-US" w:eastAsia="zh-CN" w:bidi="ar-SA"/>
              </w:rPr>
            </w:pPr>
            <w:r>
              <w:rPr>
                <w:rFonts w:hint="eastAsia" w:ascii="宋体" w:hAnsi="宋体" w:eastAsia="宋体" w:cs="宋体"/>
                <w:b/>
                <w:bCs/>
                <w:color w:val="auto"/>
                <w:kern w:val="20"/>
                <w:sz w:val="21"/>
                <w:szCs w:val="21"/>
                <w:highlight w:val="none"/>
                <w:lang w:val="en-US" w:eastAsia="zh-CN" w:bidi="ar-SA"/>
              </w:rPr>
              <w:t>节能产品</w:t>
            </w:r>
          </w:p>
        </w:tc>
      </w:tr>
      <w:tr w14:paraId="6F6B0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4CBE104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739" w:type="dxa"/>
            <w:vAlign w:val="center"/>
          </w:tcPr>
          <w:p w14:paraId="7AF2D0BF">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552" w:type="dxa"/>
            <w:vAlign w:val="center"/>
          </w:tcPr>
          <w:p w14:paraId="3C857FD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984" w:type="dxa"/>
            <w:vAlign w:val="center"/>
          </w:tcPr>
          <w:p w14:paraId="199C031B">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43" w:type="dxa"/>
          </w:tcPr>
          <w:p w14:paraId="4C16C7EC">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2524A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13A1177B">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小计</w:t>
            </w:r>
          </w:p>
        </w:tc>
        <w:tc>
          <w:tcPr>
            <w:tcW w:w="1739" w:type="dxa"/>
            <w:vAlign w:val="center"/>
          </w:tcPr>
          <w:p w14:paraId="019F811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c>
          <w:tcPr>
            <w:tcW w:w="2552" w:type="dxa"/>
            <w:vAlign w:val="center"/>
          </w:tcPr>
          <w:p w14:paraId="4C27F11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984" w:type="dxa"/>
            <w:vAlign w:val="center"/>
          </w:tcPr>
          <w:p w14:paraId="641FA6F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c>
          <w:tcPr>
            <w:tcW w:w="1843" w:type="dxa"/>
          </w:tcPr>
          <w:p w14:paraId="2FD2BE1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r>
      <w:tr w14:paraId="22E05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789" w:type="dxa"/>
            <w:gridSpan w:val="5"/>
            <w:vAlign w:val="center"/>
          </w:tcPr>
          <w:p w14:paraId="70E3C18C">
            <w:pPr>
              <w:widowControl/>
              <w:spacing w:before="120" w:beforeAutospacing="1" w:after="100" w:afterAutospacing="1"/>
              <w:jc w:val="both"/>
              <w:rPr>
                <w:rFonts w:ascii="宋体" w:hAnsi="宋体" w:eastAsia="宋体" w:cs="宋体"/>
                <w:color w:val="auto"/>
                <w:kern w:val="20"/>
                <w:sz w:val="21"/>
                <w:szCs w:val="21"/>
                <w:highlight w:val="none"/>
                <w:lang w:val="en-US" w:eastAsia="zh-CN" w:bidi="ar-SA"/>
              </w:rPr>
            </w:pPr>
            <w:r>
              <w:rPr>
                <w:rFonts w:hint="eastAsia" w:ascii="宋体" w:hAnsi="宋体" w:eastAsia="宋体" w:cs="宋体"/>
                <w:b/>
                <w:bCs/>
                <w:color w:val="auto"/>
                <w:kern w:val="20"/>
                <w:sz w:val="21"/>
                <w:szCs w:val="21"/>
                <w:highlight w:val="none"/>
                <w:lang w:val="en-US" w:eastAsia="zh-CN" w:bidi="ar-SA"/>
              </w:rPr>
              <w:t>环境标志产品</w:t>
            </w:r>
          </w:p>
        </w:tc>
      </w:tr>
      <w:tr w14:paraId="18A08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2B85B885">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739" w:type="dxa"/>
            <w:vAlign w:val="center"/>
          </w:tcPr>
          <w:p w14:paraId="23BD3E6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552" w:type="dxa"/>
            <w:vAlign w:val="center"/>
          </w:tcPr>
          <w:p w14:paraId="066CC43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984" w:type="dxa"/>
            <w:vAlign w:val="center"/>
          </w:tcPr>
          <w:p w14:paraId="51FD495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43" w:type="dxa"/>
          </w:tcPr>
          <w:p w14:paraId="7EA102CC">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6EDD1B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1FAB42BB">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小计</w:t>
            </w:r>
          </w:p>
        </w:tc>
        <w:tc>
          <w:tcPr>
            <w:tcW w:w="1739" w:type="dxa"/>
            <w:vAlign w:val="center"/>
          </w:tcPr>
          <w:p w14:paraId="1A0E0E2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c>
          <w:tcPr>
            <w:tcW w:w="2552" w:type="dxa"/>
            <w:vAlign w:val="center"/>
          </w:tcPr>
          <w:p w14:paraId="70AB0D45">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984" w:type="dxa"/>
            <w:vAlign w:val="center"/>
          </w:tcPr>
          <w:p w14:paraId="62DB3350">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c>
          <w:tcPr>
            <w:tcW w:w="1843" w:type="dxa"/>
          </w:tcPr>
          <w:p w14:paraId="13B697D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w:t>
            </w:r>
          </w:p>
        </w:tc>
      </w:tr>
    </w:tbl>
    <w:p w14:paraId="7100645A">
      <w:pPr>
        <w:widowControl/>
        <w:adjustRightInd w:val="0"/>
        <w:snapToGrid w:val="0"/>
        <w:spacing w:before="120" w:line="400" w:lineRule="atLeas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bCs/>
          <w:color w:val="auto"/>
          <w:szCs w:val="21"/>
          <w:highlight w:val="none"/>
        </w:rPr>
        <w:t>1、</w:t>
      </w:r>
      <w:r>
        <w:rPr>
          <w:rFonts w:hint="eastAsia" w:ascii="宋体" w:hAnsi="宋体" w:cs="宋体"/>
          <w:color w:val="auto"/>
          <w:szCs w:val="21"/>
          <w:highlight w:val="none"/>
        </w:rPr>
        <w:t>本表用于计算政府采购优先采购产品（两型产品）的政府采购政策加分或者价格扣除。</w:t>
      </w:r>
    </w:p>
    <w:p w14:paraId="0772093D">
      <w:pPr>
        <w:widowControl/>
        <w:adjustRightInd w:val="0"/>
        <w:snapToGrid w:val="0"/>
        <w:spacing w:before="120" w:line="400" w:lineRule="atLeas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2、栏目3“价格”为综合单价，包含货物所有隐含的内容，如运输费、保险费、管理费和利润等。</w:t>
      </w:r>
    </w:p>
    <w:p w14:paraId="1EB20481">
      <w:pPr>
        <w:widowControl/>
        <w:adjustRightInd w:val="0"/>
        <w:snapToGrid w:val="0"/>
        <w:spacing w:before="120" w:line="400" w:lineRule="atLeas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3、未按上述要求提供、</w:t>
      </w:r>
      <w:r>
        <w:rPr>
          <w:rFonts w:hint="eastAsia" w:ascii="宋体" w:hAnsi="宋体" w:cs="宋体"/>
          <w:color w:val="auto"/>
          <w:szCs w:val="21"/>
          <w:highlight w:val="none"/>
        </w:rPr>
        <w:t>填写的，</w:t>
      </w:r>
      <w:r>
        <w:rPr>
          <w:rFonts w:hint="eastAsia" w:ascii="宋体" w:hAnsi="宋体" w:cs="宋体"/>
          <w:bCs/>
          <w:color w:val="auto"/>
          <w:szCs w:val="21"/>
          <w:highlight w:val="none"/>
        </w:rPr>
        <w:t>评审时本表所有优惠不予以考虑。</w:t>
      </w:r>
    </w:p>
    <w:p w14:paraId="27AB2EAF">
      <w:pPr>
        <w:widowControl/>
        <w:adjustRightInd w:val="0"/>
        <w:snapToGrid w:val="0"/>
        <w:spacing w:before="120" w:line="400" w:lineRule="atLeas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4、供应商在提交响应文件的截止时间前修改“开标一览表”中的响应报价的，涉及本表相应内容应同时修改。</w:t>
      </w:r>
    </w:p>
    <w:p w14:paraId="16F41AB6">
      <w:pPr>
        <w:adjustRightInd w:val="0"/>
        <w:snapToGrid w:val="0"/>
        <w:spacing w:before="120" w:line="360" w:lineRule="auto"/>
        <w:rPr>
          <w:rFonts w:ascii="宋体" w:hAnsi="宋体" w:cs="宋体"/>
          <w:color w:val="auto"/>
          <w:szCs w:val="21"/>
          <w:highlight w:val="none"/>
        </w:rPr>
      </w:pPr>
    </w:p>
    <w:p w14:paraId="0E60A669">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35CA2FCC">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r>
        <w:rPr>
          <w:rFonts w:hint="eastAsia" w:ascii="宋体" w:hAnsi="宋体" w:cs="宋体"/>
          <w:color w:val="auto"/>
          <w:szCs w:val="21"/>
          <w:highlight w:val="none"/>
          <w:u w:val="single"/>
        </w:rPr>
        <w:t xml:space="preserve">       </w:t>
      </w:r>
    </w:p>
    <w:p w14:paraId="1E5CCC0E">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br w:type="page"/>
      </w:r>
    </w:p>
    <w:p w14:paraId="3F04BA11">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三、施工组织设计</w:t>
      </w:r>
    </w:p>
    <w:p w14:paraId="0E1733A6">
      <w:pPr>
        <w:adjustRightInd w:val="0"/>
        <w:snapToGrid w:val="0"/>
        <w:spacing w:before="120" w:line="360" w:lineRule="auto"/>
        <w:rPr>
          <w:rFonts w:ascii="宋体" w:hAnsi="宋体" w:cs="宋体"/>
          <w:color w:val="auto"/>
          <w:highlight w:val="none"/>
        </w:rPr>
      </w:pPr>
    </w:p>
    <w:p w14:paraId="375E4707">
      <w:pPr>
        <w:adjustRightInd w:val="0"/>
        <w:snapToGrid w:val="0"/>
        <w:spacing w:before="120" w:line="360" w:lineRule="auto"/>
        <w:rPr>
          <w:rFonts w:ascii="微软雅黑" w:hAnsi="微软雅黑" w:eastAsia="微软雅黑" w:cs="微软雅黑"/>
          <w:color w:val="auto"/>
          <w:highlight w:val="none"/>
        </w:rPr>
      </w:pPr>
    </w:p>
    <w:p w14:paraId="4AE1B41D">
      <w:pPr>
        <w:adjustRightInd w:val="0"/>
        <w:snapToGrid w:val="0"/>
        <w:spacing w:before="120" w:line="360" w:lineRule="auto"/>
        <w:rPr>
          <w:rFonts w:ascii="宋体" w:hAnsi="宋体" w:cs="宋体"/>
          <w:color w:val="auto"/>
          <w:szCs w:val="21"/>
          <w:highlight w:val="none"/>
        </w:rPr>
      </w:pPr>
      <w:r>
        <w:rPr>
          <w:rFonts w:hint="eastAsia" w:ascii="宋体" w:hAnsi="宋体" w:cs="Times New Roman"/>
          <w:color w:val="auto"/>
          <w:szCs w:val="21"/>
          <w:highlight w:val="none"/>
          <w:lang w:val="en-US" w:eastAsia="zh-CN"/>
        </w:rPr>
        <w:t>政府采购编号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5FCD13">
      <w:pPr>
        <w:widowControl w:val="0"/>
        <w:adjustRightInd w:val="0"/>
        <w:snapToGrid w:val="0"/>
        <w:spacing w:before="120" w:line="360" w:lineRule="auto"/>
        <w:ind w:left="-88" w:leftChars="-42"/>
        <w:jc w:val="both"/>
        <w:rPr>
          <w:rFonts w:ascii="宋体" w:hAnsi="宋体" w:eastAsia="宋体" w:cs="宋体"/>
          <w:bCs/>
          <w:color w:val="auto"/>
          <w:kern w:val="2"/>
          <w:sz w:val="21"/>
          <w:szCs w:val="21"/>
          <w:highlight w:val="none"/>
          <w:lang w:val="en-US" w:eastAsia="zh-CN" w:bidi="ar-SA"/>
        </w:rPr>
      </w:pPr>
    </w:p>
    <w:p w14:paraId="4602265F">
      <w:pPr>
        <w:widowControl w:val="0"/>
        <w:adjustRightInd w:val="0"/>
        <w:snapToGrid w:val="0"/>
        <w:spacing w:before="120" w:line="360" w:lineRule="auto"/>
        <w:jc w:val="both"/>
        <w:rPr>
          <w:rFonts w:ascii="宋体" w:hAnsi="宋体" w:eastAsia="宋体" w:cs="宋体"/>
          <w:bCs/>
          <w:color w:val="auto"/>
          <w:kern w:val="2"/>
          <w:sz w:val="21"/>
          <w:szCs w:val="21"/>
          <w:highlight w:val="none"/>
          <w:lang w:val="en-US" w:eastAsia="zh-CN" w:bidi="ar-SA"/>
        </w:rPr>
      </w:pPr>
    </w:p>
    <w:p w14:paraId="6B7D4638">
      <w:pPr>
        <w:adjustRightInd w:val="0"/>
        <w:snapToGrid w:val="0"/>
        <w:spacing w:before="12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备注</w:t>
      </w:r>
      <w:r>
        <w:rPr>
          <w:rFonts w:hint="eastAsia" w:ascii="宋体" w:hAnsi="宋体" w:cs="宋体"/>
          <w:bCs/>
          <w:color w:val="auto"/>
          <w:szCs w:val="21"/>
          <w:highlight w:val="none"/>
        </w:rPr>
        <w:t>：</w:t>
      </w:r>
      <w:r>
        <w:rPr>
          <w:rFonts w:hint="eastAsia" w:ascii="宋体" w:hAnsi="宋体" w:cs="宋体"/>
          <w:color w:val="auto"/>
          <w:szCs w:val="21"/>
          <w:highlight w:val="none"/>
        </w:rPr>
        <w:t>供应商应根据采购需求或“评分表”要求编写项目施工组织设计。项目施工组织设计应包括但不限于：</w:t>
      </w:r>
    </w:p>
    <w:p w14:paraId="2F25DEE7">
      <w:pPr>
        <w:adjustRightInd w:val="0"/>
        <w:snapToGrid w:val="0"/>
        <w:spacing w:before="12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一、施工方案</w:t>
      </w:r>
    </w:p>
    <w:p w14:paraId="6B7253D3">
      <w:pPr>
        <w:adjustRightInd w:val="0"/>
        <w:snapToGrid w:val="0"/>
        <w:spacing w:before="12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二、施工进度计划及保证措施</w:t>
      </w:r>
    </w:p>
    <w:p w14:paraId="18518E93">
      <w:pPr>
        <w:adjustRightInd w:val="0"/>
        <w:snapToGrid w:val="0"/>
        <w:spacing w:before="12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三、保证质量措施</w:t>
      </w:r>
    </w:p>
    <w:p w14:paraId="2548ED69">
      <w:pPr>
        <w:adjustRightInd w:val="0"/>
        <w:snapToGrid w:val="0"/>
        <w:spacing w:before="12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四、保证安全措施</w:t>
      </w:r>
    </w:p>
    <w:p w14:paraId="795F1189">
      <w:pPr>
        <w:adjustRightInd w:val="0"/>
        <w:snapToGrid w:val="0"/>
        <w:spacing w:before="12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五、文明施工现场措施</w:t>
      </w:r>
    </w:p>
    <w:p w14:paraId="018AD865">
      <w:pPr>
        <w:adjustRightInd w:val="0"/>
        <w:snapToGrid w:val="0"/>
        <w:spacing w:before="12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六、劳动力安排计划</w:t>
      </w:r>
    </w:p>
    <w:p w14:paraId="502EC06E">
      <w:pPr>
        <w:adjustRightInd w:val="0"/>
        <w:snapToGrid w:val="0"/>
        <w:spacing w:before="12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七、主要机具使用计划</w:t>
      </w:r>
    </w:p>
    <w:p w14:paraId="2F917F3A">
      <w:pPr>
        <w:adjustRightInd w:val="0"/>
        <w:snapToGrid w:val="0"/>
        <w:spacing w:before="120" w:line="360" w:lineRule="auto"/>
        <w:ind w:firstLine="420" w:firstLineChars="200"/>
        <w:rPr>
          <w:rFonts w:ascii="宋体" w:hAnsi="宋体" w:cs="宋体"/>
          <w:color w:val="auto"/>
          <w:highlight w:val="none"/>
        </w:rPr>
      </w:pPr>
      <w:r>
        <w:rPr>
          <w:rFonts w:hint="eastAsia" w:ascii="宋体" w:hAnsi="宋体" w:cs="宋体"/>
          <w:bCs/>
          <w:color w:val="auto"/>
          <w:szCs w:val="21"/>
          <w:highlight w:val="none"/>
        </w:rPr>
        <w:t>八、合理化建议</w:t>
      </w:r>
    </w:p>
    <w:p w14:paraId="56263CAD">
      <w:pPr>
        <w:adjustRightInd w:val="0"/>
        <w:snapToGrid w:val="0"/>
        <w:spacing w:before="120" w:line="360" w:lineRule="auto"/>
        <w:ind w:left="-88" w:leftChars="-42"/>
        <w:rPr>
          <w:rFonts w:ascii="宋体" w:hAnsi="宋体" w:cs="宋体"/>
          <w:color w:val="auto"/>
          <w:szCs w:val="21"/>
          <w:highlight w:val="none"/>
        </w:rPr>
      </w:pPr>
    </w:p>
    <w:p w14:paraId="311DBD49">
      <w:pPr>
        <w:adjustRightInd w:val="0"/>
        <w:snapToGrid w:val="0"/>
        <w:spacing w:before="120" w:line="360" w:lineRule="auto"/>
        <w:ind w:left="-88" w:leftChars="-42"/>
        <w:rPr>
          <w:rFonts w:ascii="宋体" w:hAnsi="宋体" w:cs="宋体"/>
          <w:color w:val="auto"/>
          <w:szCs w:val="21"/>
          <w:highlight w:val="none"/>
        </w:rPr>
      </w:pPr>
    </w:p>
    <w:p w14:paraId="50710D4B">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40695FAC">
      <w:pPr>
        <w:adjustRightInd w:val="0"/>
        <w:snapToGrid w:val="0"/>
        <w:spacing w:before="120"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法定代表人或其授权的代理人（签字）：</w:t>
      </w:r>
      <w:r>
        <w:rPr>
          <w:rFonts w:hint="eastAsia" w:ascii="宋体" w:hAnsi="宋体" w:cs="宋体"/>
          <w:color w:val="auto"/>
          <w:szCs w:val="21"/>
          <w:highlight w:val="none"/>
          <w:u w:val="single"/>
        </w:rPr>
        <w:t xml:space="preserve">             </w:t>
      </w:r>
    </w:p>
    <w:p w14:paraId="753DB73B">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1B88478">
      <w:pPr>
        <w:adjustRightInd w:val="0"/>
        <w:snapToGrid w:val="0"/>
        <w:spacing w:before="120" w:line="360" w:lineRule="auto"/>
        <w:rPr>
          <w:rFonts w:ascii="宋体" w:hAnsi="宋体" w:cs="宋体"/>
          <w:color w:val="auto"/>
          <w:szCs w:val="21"/>
          <w:highlight w:val="none"/>
        </w:rPr>
      </w:pPr>
    </w:p>
    <w:p w14:paraId="7AFDE21C">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6C501363">
      <w:pPr>
        <w:keepNext/>
        <w:keepLines/>
        <w:widowControl w:val="0"/>
        <w:spacing w:before="120" w:after="290" w:line="376" w:lineRule="auto"/>
        <w:jc w:val="left"/>
        <w:outlineLvl w:val="3"/>
        <w:rPr>
          <w:rFonts w:ascii="宋体" w:hAnsi="宋体" w:eastAsia="黑体" w:cs="宋体"/>
          <w:b/>
          <w:bCs w:val="0"/>
          <w:color w:val="auto"/>
          <w:spacing w:val="6"/>
          <w:kern w:val="0"/>
          <w:sz w:val="24"/>
          <w:szCs w:val="24"/>
          <w:highlight w:val="none"/>
          <w:lang w:val="en-US" w:eastAsia="zh-CN" w:bidi="ar-SA"/>
        </w:rPr>
      </w:pPr>
      <w:bookmarkStart w:id="962" w:name="_Toc528307198"/>
      <w:r>
        <w:rPr>
          <w:rFonts w:hint="eastAsia" w:ascii="宋体" w:hAnsi="宋体" w:eastAsia="黑体" w:cs="宋体"/>
          <w:b/>
          <w:bCs w:val="0"/>
          <w:color w:val="auto"/>
          <w:spacing w:val="6"/>
          <w:kern w:val="0"/>
          <w:sz w:val="24"/>
          <w:szCs w:val="24"/>
          <w:highlight w:val="none"/>
          <w:lang w:val="en-US" w:eastAsia="zh-CN" w:bidi="ar-SA"/>
        </w:rPr>
        <w:t>附3-1 工程质量保修书</w:t>
      </w:r>
    </w:p>
    <w:p w14:paraId="5E6D2473">
      <w:pPr>
        <w:spacing w:before="12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209918CC">
      <w:pPr>
        <w:spacing w:line="360" w:lineRule="auto"/>
        <w:jc w:val="center"/>
        <w:rPr>
          <w:rFonts w:hint="eastAsia" w:ascii="宋体" w:hAnsi="宋体" w:eastAsia="宋体" w:cs="宋体"/>
          <w:bCs/>
          <w:color w:val="auto"/>
          <w:szCs w:val="21"/>
          <w:highlight w:val="none"/>
        </w:rPr>
      </w:pPr>
      <w:r>
        <w:rPr>
          <w:rFonts w:hint="eastAsia" w:ascii="宋体" w:hAnsi="宋体" w:eastAsia="宋体" w:cs="Times New Roman"/>
          <w:b/>
          <w:color w:val="auto"/>
          <w:szCs w:val="21"/>
          <w:highlight w:val="none"/>
        </w:rPr>
        <w:t>（根据工程质量保修书内容，提供保修服务承诺书）</w:t>
      </w:r>
    </w:p>
    <w:p w14:paraId="5A5524AC">
      <w:pPr>
        <w:spacing w:before="120" w:line="360" w:lineRule="auto"/>
        <w:jc w:val="center"/>
        <w:rPr>
          <w:rFonts w:hint="eastAsia" w:ascii="宋体" w:hAnsi="宋体" w:cs="宋体"/>
          <w:b/>
          <w:color w:val="auto"/>
          <w:sz w:val="24"/>
          <w:highlight w:val="none"/>
        </w:rPr>
      </w:pPr>
    </w:p>
    <w:p w14:paraId="40CD4EB6">
      <w:pPr>
        <w:spacing w:before="120" w:line="360" w:lineRule="auto"/>
        <w:rPr>
          <w:rFonts w:ascii="宋体" w:hAnsi="宋体" w:cs="宋体"/>
          <w:color w:val="auto"/>
          <w:szCs w:val="21"/>
          <w:highlight w:val="none"/>
          <w:u w:val="singl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p>
    <w:p w14:paraId="3D9E12CE">
      <w:pPr>
        <w:spacing w:before="120" w:line="360" w:lineRule="auto"/>
        <w:rPr>
          <w:rFonts w:ascii="宋体" w:hAnsi="宋体" w:cs="宋体"/>
          <w:color w:val="auto"/>
          <w:szCs w:val="21"/>
          <w:highlight w:val="none"/>
        </w:rPr>
      </w:pPr>
      <w:r>
        <w:rPr>
          <w:rFonts w:hint="eastAsia" w:ascii="宋体" w:hAnsi="宋体" w:cs="宋体"/>
          <w:color w:val="auto"/>
          <w:szCs w:val="21"/>
          <w:highlight w:val="none"/>
        </w:rPr>
        <w:t xml:space="preserve">承包人（全称）：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B9C0E5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为保证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工程名称）在合理使用期限内正常使用，发包人和承包人根据《中华人民共和国建筑法》和《建设工程质量管理条例》和《房屋建筑工程质量保修办法》，经协商一致签订工程质量保修书。承包人在质量保修期内应按照有关规定及双方约定承担工程质量保修责任。 </w:t>
      </w:r>
    </w:p>
    <w:p w14:paraId="39B1B1E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1、质量保修范围 </w:t>
      </w:r>
    </w:p>
    <w:p w14:paraId="3A2C865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外墙面的防渗漏工程、电气管线工程、给排水管道工程、设备安装工程、供热、供冷系统工程、装饰装修工程及双方约定及其他项目。具体质量保修范围，双方约定如下：</w:t>
      </w:r>
    </w:p>
    <w:p w14:paraId="1E96BD18">
      <w:pPr>
        <w:numPr>
          <w:ilvl w:val="0"/>
          <w:numId w:val="10"/>
        </w:numPr>
        <w:spacing w:before="120" w:line="360" w:lineRule="auto"/>
        <w:ind w:left="315" w:firstLine="0"/>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0081001D">
      <w:pPr>
        <w:numPr>
          <w:ilvl w:val="0"/>
          <w:numId w:val="10"/>
        </w:numPr>
        <w:spacing w:before="120" w:line="360" w:lineRule="auto"/>
        <w:ind w:left="315" w:firstLine="0"/>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18BFCF7B">
      <w:pPr>
        <w:numPr>
          <w:ilvl w:val="0"/>
          <w:numId w:val="10"/>
        </w:numPr>
        <w:spacing w:before="120" w:line="360" w:lineRule="auto"/>
        <w:ind w:left="315" w:firstLine="0"/>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5CE53614">
      <w:pPr>
        <w:numPr>
          <w:ilvl w:val="0"/>
          <w:numId w:val="11"/>
        </w:num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质量保修期</w:t>
      </w:r>
    </w:p>
    <w:p w14:paraId="7BA405D7">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2.1质量保修期从工程实际竣工验收合格之日起计算。单项竣工验收的工程，按单项工程分别计算质量保修期。</w:t>
      </w:r>
    </w:p>
    <w:p w14:paraId="16A364D7">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2.2 双方根据《建设工程质量管理条例》及有关规定，约定本工程质量保修期如下：</w:t>
      </w:r>
    </w:p>
    <w:p w14:paraId="30259AE5">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（1）地基基础工程、主体结构工程为设计文件规定的合理使用年限；</w:t>
      </w:r>
    </w:p>
    <w:p w14:paraId="5FA30DA0">
      <w:pPr>
        <w:spacing w:before="120"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DF0CB9C">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（3）电气管线工程、给排水管道工程、设备安装工程为：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1CE59C41">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（4）供热、供冷系统工程为：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个采暖期、供冷期；</w:t>
      </w:r>
    </w:p>
    <w:p w14:paraId="21BD47F9">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（5）装饰装修工程为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1CDFF456">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（6）其他项目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ADFAA3A">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3 质量保修责任</w:t>
      </w:r>
    </w:p>
    <w:p w14:paraId="50467A32">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3.1 属于保修范围的项目，承包人应在接到通知后24小时内派人保修，承包人不在约定期限内派人保修，发包人可自行或指派第三方保修。</w:t>
      </w:r>
    </w:p>
    <w:p w14:paraId="088A9BC7">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3.2 发生紧急抢修事故的，承包人在接到通知后，应立即到达事故现场抢修。</w:t>
      </w:r>
    </w:p>
    <w:p w14:paraId="7F0611B3">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3.3 在国家规定的工程合理使用期限内，承包人应确保地基基础工程和主体结构的安全和质量。凡出现其质量问题，应立即报告当地建设行政主管部门，由设计单位提出保修方案，承包人应立即实施保修。</w:t>
      </w:r>
    </w:p>
    <w:p w14:paraId="58F45F41">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3.4 质量保修完成后，由发包人组织验收。</w:t>
      </w:r>
    </w:p>
    <w:p w14:paraId="4286189C">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4 质量保修费用</w:t>
      </w:r>
    </w:p>
    <w:p w14:paraId="2E67D773">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质量保修费用及相关的损害赔偿费，由造成质量缺陷的责任方承担。</w:t>
      </w:r>
    </w:p>
    <w:p w14:paraId="64DF0D72">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5 质量保证金</w:t>
      </w:r>
    </w:p>
    <w:p w14:paraId="0CF68555">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质量保证金的使用、约定、支付、返还与本合同的质量保证金赋予的约定一致。</w:t>
      </w:r>
    </w:p>
    <w:p w14:paraId="0FEFE6C8">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6 其他</w:t>
      </w:r>
    </w:p>
    <w:p w14:paraId="04D9334D">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 xml:space="preserve">6.1 双方约定的其它工程质量保修事项： </w:t>
      </w:r>
    </w:p>
    <w:p w14:paraId="187D449D">
      <w:pPr>
        <w:spacing w:before="120" w:line="360" w:lineRule="auto"/>
        <w:ind w:left="630" w:leftChars="200" w:hanging="210" w:hangingChars="100"/>
        <w:rPr>
          <w:rFonts w:ascii="宋体" w:hAnsi="宋体" w:cs="宋体"/>
          <w:color w:val="auto"/>
          <w:szCs w:val="21"/>
          <w:highlight w:val="none"/>
          <w:u w:val="single"/>
        </w:rPr>
      </w:pPr>
    </w:p>
    <w:p w14:paraId="7F6C433A">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6.2 本工程质量保修书，由发包人承包人在工程竣工验收前签署，作为合同附件，其有效期限至保修期满。</w:t>
      </w:r>
    </w:p>
    <w:p w14:paraId="5D64A75C">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51C21592">
      <w:pPr>
        <w:spacing w:before="120"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 xml:space="preserve">法定代表人（签字）：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46F1396B">
      <w:pPr>
        <w:spacing w:before="120" w:line="360" w:lineRule="auto"/>
        <w:ind w:left="630" w:leftChars="200" w:hanging="210" w:hangingChars="100"/>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CFAE28A">
      <w:pPr>
        <w:spacing w:before="120" w:line="360" w:lineRule="auto"/>
        <w:rPr>
          <w:rFonts w:ascii="Times New Roman" w:hAnsi="宋体" w:cs="宋体"/>
          <w:b/>
          <w:bCs/>
          <w:color w:val="auto"/>
          <w:sz w:val="32"/>
          <w:szCs w:val="32"/>
          <w:highlight w:val="none"/>
        </w:rPr>
      </w:pPr>
    </w:p>
    <w:p w14:paraId="35712342">
      <w:pPr>
        <w:spacing w:before="120" w:line="360" w:lineRule="auto"/>
        <w:rPr>
          <w:rFonts w:ascii="Times New Roman" w:hAnsi="宋体" w:cs="宋体"/>
          <w:b/>
          <w:bCs/>
          <w:color w:val="auto"/>
          <w:sz w:val="32"/>
          <w:szCs w:val="32"/>
          <w:highlight w:val="none"/>
        </w:rPr>
      </w:pPr>
    </w:p>
    <w:p w14:paraId="224667D4">
      <w:pPr>
        <w:spacing w:before="120" w:line="360" w:lineRule="auto"/>
        <w:rPr>
          <w:rFonts w:ascii="Times New Roman" w:hAnsi="宋体" w:cs="宋体"/>
          <w:b/>
          <w:bCs/>
          <w:color w:val="auto"/>
          <w:sz w:val="32"/>
          <w:szCs w:val="32"/>
          <w:highlight w:val="none"/>
        </w:rPr>
      </w:pPr>
    </w:p>
    <w:p w14:paraId="5A340EE3">
      <w:pPr>
        <w:spacing w:before="120" w:line="360" w:lineRule="auto"/>
        <w:rPr>
          <w:rFonts w:ascii="Times New Roman" w:hAnsi="宋体" w:cs="宋体"/>
          <w:b/>
          <w:bCs/>
          <w:color w:val="auto"/>
          <w:sz w:val="32"/>
          <w:szCs w:val="32"/>
          <w:highlight w:val="none"/>
        </w:rPr>
      </w:pPr>
    </w:p>
    <w:p w14:paraId="404B1314">
      <w:pPr>
        <w:spacing w:before="120" w:line="360" w:lineRule="auto"/>
        <w:rPr>
          <w:rFonts w:ascii="Times New Roman" w:hAnsi="宋体" w:cs="宋体"/>
          <w:b/>
          <w:bCs/>
          <w:color w:val="auto"/>
          <w:sz w:val="32"/>
          <w:szCs w:val="32"/>
          <w:highlight w:val="none"/>
        </w:rPr>
      </w:pPr>
    </w:p>
    <w:p w14:paraId="076567EB">
      <w:pPr>
        <w:keepNext/>
        <w:keepLines/>
        <w:widowControl w:val="0"/>
        <w:spacing w:before="120" w:after="290" w:line="376" w:lineRule="auto"/>
        <w:jc w:val="left"/>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附3-2 主要人员简历表</w:t>
      </w:r>
    </w:p>
    <w:p w14:paraId="6DE817C2">
      <w:pPr>
        <w:spacing w:before="120" w:line="360" w:lineRule="atLeast"/>
        <w:jc w:val="center"/>
        <w:rPr>
          <w:rFonts w:ascii="宋体" w:hAnsi="宋体" w:cs="宋体"/>
          <w:color w:val="auto"/>
          <w:sz w:val="28"/>
          <w:szCs w:val="28"/>
          <w:highlight w:val="none"/>
        </w:rPr>
      </w:pPr>
      <w:r>
        <w:rPr>
          <w:rFonts w:hint="eastAsia" w:ascii="宋体" w:hAnsi="宋体" w:cs="宋体"/>
          <w:bCs/>
          <w:color w:val="auto"/>
          <w:sz w:val="28"/>
          <w:szCs w:val="28"/>
          <w:highlight w:val="none"/>
        </w:rPr>
        <w:t>主要人员简历表</w:t>
      </w:r>
    </w:p>
    <w:tbl>
      <w:tblPr>
        <w:tblStyle w:val="33"/>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4F17A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vAlign w:val="center"/>
          </w:tcPr>
          <w:p w14:paraId="78AA8391">
            <w:pPr>
              <w:spacing w:before="120" w:line="360" w:lineRule="atLeast"/>
              <w:jc w:val="center"/>
              <w:rPr>
                <w:rFonts w:ascii="宋体" w:hAnsi="宋体" w:cs="宋体"/>
                <w:color w:val="auto"/>
                <w:highlight w:val="none"/>
              </w:rPr>
            </w:pPr>
            <w:r>
              <w:rPr>
                <w:rFonts w:hint="eastAsia" w:ascii="宋体" w:hAnsi="宋体" w:cs="宋体"/>
                <w:color w:val="auto"/>
                <w:highlight w:val="none"/>
              </w:rPr>
              <w:t>姓   名</w:t>
            </w:r>
          </w:p>
        </w:tc>
        <w:tc>
          <w:tcPr>
            <w:tcW w:w="2468" w:type="dxa"/>
            <w:vAlign w:val="center"/>
          </w:tcPr>
          <w:p w14:paraId="16DC8956">
            <w:pPr>
              <w:spacing w:before="120" w:line="360" w:lineRule="atLeast"/>
              <w:jc w:val="center"/>
              <w:rPr>
                <w:rFonts w:ascii="宋体" w:hAnsi="宋体" w:cs="宋体"/>
                <w:color w:val="auto"/>
                <w:highlight w:val="none"/>
              </w:rPr>
            </w:pPr>
          </w:p>
        </w:tc>
        <w:tc>
          <w:tcPr>
            <w:tcW w:w="2340" w:type="dxa"/>
            <w:gridSpan w:val="3"/>
            <w:vAlign w:val="center"/>
          </w:tcPr>
          <w:p w14:paraId="4EE0C756">
            <w:pPr>
              <w:spacing w:before="120" w:line="360" w:lineRule="atLeast"/>
              <w:jc w:val="center"/>
              <w:rPr>
                <w:rFonts w:ascii="宋体" w:hAnsi="宋体" w:cs="宋体"/>
                <w:color w:val="auto"/>
                <w:highlight w:val="none"/>
              </w:rPr>
            </w:pPr>
            <w:r>
              <w:rPr>
                <w:rFonts w:hint="eastAsia" w:ascii="宋体" w:hAnsi="宋体" w:cs="宋体"/>
                <w:color w:val="auto"/>
                <w:highlight w:val="none"/>
              </w:rPr>
              <w:t>性  别</w:t>
            </w:r>
          </w:p>
        </w:tc>
        <w:tc>
          <w:tcPr>
            <w:tcW w:w="1663" w:type="dxa"/>
            <w:vAlign w:val="center"/>
          </w:tcPr>
          <w:p w14:paraId="6E32E2F0">
            <w:pPr>
              <w:spacing w:before="120" w:line="360" w:lineRule="atLeast"/>
              <w:jc w:val="center"/>
              <w:rPr>
                <w:rFonts w:ascii="宋体" w:hAnsi="宋体" w:cs="宋体"/>
                <w:color w:val="auto"/>
                <w:highlight w:val="none"/>
              </w:rPr>
            </w:pPr>
          </w:p>
        </w:tc>
      </w:tr>
      <w:tr w14:paraId="71E27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vAlign w:val="center"/>
          </w:tcPr>
          <w:p w14:paraId="51D5E4FC">
            <w:pPr>
              <w:spacing w:before="120" w:line="360" w:lineRule="atLeast"/>
              <w:jc w:val="center"/>
              <w:rPr>
                <w:rFonts w:ascii="宋体" w:hAnsi="宋体" w:cs="宋体"/>
                <w:color w:val="auto"/>
                <w:highlight w:val="none"/>
              </w:rPr>
            </w:pPr>
            <w:r>
              <w:rPr>
                <w:rFonts w:hint="eastAsia" w:ascii="宋体" w:hAnsi="宋体" w:cs="宋体"/>
                <w:color w:val="auto"/>
                <w:highlight w:val="none"/>
              </w:rPr>
              <w:t>职   务</w:t>
            </w:r>
          </w:p>
        </w:tc>
        <w:tc>
          <w:tcPr>
            <w:tcW w:w="2468" w:type="dxa"/>
            <w:vAlign w:val="center"/>
          </w:tcPr>
          <w:p w14:paraId="5EA924AF">
            <w:pPr>
              <w:spacing w:before="120" w:line="360" w:lineRule="atLeast"/>
              <w:jc w:val="center"/>
              <w:rPr>
                <w:rFonts w:ascii="宋体" w:hAnsi="宋体" w:cs="宋体"/>
                <w:color w:val="auto"/>
                <w:highlight w:val="none"/>
              </w:rPr>
            </w:pPr>
          </w:p>
        </w:tc>
        <w:tc>
          <w:tcPr>
            <w:tcW w:w="2340" w:type="dxa"/>
            <w:gridSpan w:val="3"/>
            <w:vAlign w:val="center"/>
          </w:tcPr>
          <w:p w14:paraId="5EEBDFD9">
            <w:pPr>
              <w:spacing w:before="120" w:line="360" w:lineRule="atLeast"/>
              <w:jc w:val="center"/>
              <w:rPr>
                <w:rFonts w:ascii="宋体" w:hAnsi="宋体" w:cs="宋体"/>
                <w:color w:val="auto"/>
                <w:highlight w:val="none"/>
              </w:rPr>
            </w:pPr>
            <w:r>
              <w:rPr>
                <w:rFonts w:hint="eastAsia" w:ascii="宋体" w:hAnsi="宋体" w:cs="宋体"/>
                <w:color w:val="auto"/>
                <w:highlight w:val="none"/>
              </w:rPr>
              <w:t>职  称</w:t>
            </w:r>
          </w:p>
        </w:tc>
        <w:tc>
          <w:tcPr>
            <w:tcW w:w="1663" w:type="dxa"/>
            <w:vAlign w:val="center"/>
          </w:tcPr>
          <w:p w14:paraId="2CA13F3C">
            <w:pPr>
              <w:spacing w:before="120" w:line="360" w:lineRule="atLeast"/>
              <w:jc w:val="center"/>
              <w:rPr>
                <w:rFonts w:ascii="宋体" w:hAnsi="宋体" w:cs="宋体"/>
                <w:color w:val="auto"/>
                <w:highlight w:val="none"/>
              </w:rPr>
            </w:pPr>
          </w:p>
        </w:tc>
      </w:tr>
      <w:tr w14:paraId="1E00A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vAlign w:val="center"/>
          </w:tcPr>
          <w:p w14:paraId="17A40E33">
            <w:pPr>
              <w:spacing w:before="120" w:line="360" w:lineRule="atLeast"/>
              <w:jc w:val="center"/>
              <w:rPr>
                <w:rFonts w:ascii="宋体" w:hAnsi="宋体" w:cs="宋体"/>
                <w:color w:val="auto"/>
                <w:highlight w:val="none"/>
              </w:rPr>
            </w:pPr>
            <w:r>
              <w:rPr>
                <w:rFonts w:hint="eastAsia" w:ascii="宋体" w:hAnsi="宋体" w:cs="宋体"/>
                <w:color w:val="auto"/>
                <w:highlight w:val="none"/>
              </w:rPr>
              <w:t>毕业学校、专业</w:t>
            </w:r>
          </w:p>
        </w:tc>
        <w:tc>
          <w:tcPr>
            <w:tcW w:w="6471" w:type="dxa"/>
            <w:gridSpan w:val="5"/>
            <w:vAlign w:val="center"/>
          </w:tcPr>
          <w:p w14:paraId="52ECD520">
            <w:pPr>
              <w:spacing w:before="120" w:line="360" w:lineRule="atLeast"/>
              <w:jc w:val="center"/>
              <w:rPr>
                <w:rFonts w:ascii="宋体" w:hAnsi="宋体" w:cs="宋体"/>
                <w:color w:val="auto"/>
                <w:highlight w:val="none"/>
              </w:rPr>
            </w:pPr>
          </w:p>
        </w:tc>
      </w:tr>
      <w:tr w14:paraId="4148D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3CFA0B1E">
            <w:pPr>
              <w:spacing w:before="120" w:line="360" w:lineRule="atLeast"/>
              <w:jc w:val="center"/>
              <w:rPr>
                <w:rFonts w:ascii="宋体" w:hAnsi="宋体" w:cs="宋体"/>
                <w:color w:val="auto"/>
                <w:highlight w:val="none"/>
              </w:rPr>
            </w:pPr>
            <w:r>
              <w:rPr>
                <w:rFonts w:hint="eastAsia" w:ascii="宋体" w:hAnsi="宋体" w:cs="宋体"/>
                <w:color w:val="auto"/>
                <w:highlight w:val="none"/>
              </w:rPr>
              <w:t>身份证号</w:t>
            </w:r>
          </w:p>
        </w:tc>
        <w:tc>
          <w:tcPr>
            <w:tcW w:w="2468" w:type="dxa"/>
            <w:vAlign w:val="center"/>
          </w:tcPr>
          <w:p w14:paraId="712C72C0">
            <w:pPr>
              <w:spacing w:before="120" w:line="360" w:lineRule="atLeast"/>
              <w:jc w:val="center"/>
              <w:rPr>
                <w:rFonts w:ascii="宋体" w:hAnsi="宋体" w:cs="宋体"/>
                <w:color w:val="auto"/>
                <w:highlight w:val="none"/>
              </w:rPr>
            </w:pPr>
          </w:p>
        </w:tc>
        <w:tc>
          <w:tcPr>
            <w:tcW w:w="2340" w:type="dxa"/>
            <w:gridSpan w:val="3"/>
            <w:vAlign w:val="center"/>
          </w:tcPr>
          <w:p w14:paraId="582A569E">
            <w:pPr>
              <w:spacing w:before="120" w:line="360" w:lineRule="atLeast"/>
              <w:jc w:val="center"/>
              <w:rPr>
                <w:rFonts w:ascii="宋体" w:hAnsi="宋体" w:cs="宋体"/>
                <w:color w:val="auto"/>
                <w:highlight w:val="none"/>
              </w:rPr>
            </w:pPr>
            <w:r>
              <w:rPr>
                <w:rFonts w:hint="eastAsia" w:ascii="宋体" w:hAnsi="宋体" w:cs="宋体"/>
                <w:color w:val="auto"/>
                <w:highlight w:val="none"/>
              </w:rPr>
              <w:t>拟在本合同任职</w:t>
            </w:r>
          </w:p>
        </w:tc>
        <w:tc>
          <w:tcPr>
            <w:tcW w:w="1663" w:type="dxa"/>
            <w:vAlign w:val="center"/>
          </w:tcPr>
          <w:p w14:paraId="084873DB">
            <w:pPr>
              <w:spacing w:before="120" w:line="360" w:lineRule="atLeast"/>
              <w:ind w:right="-105" w:rightChars="-50"/>
              <w:jc w:val="center"/>
              <w:rPr>
                <w:rFonts w:ascii="宋体" w:hAnsi="宋体" w:cs="宋体"/>
                <w:color w:val="auto"/>
                <w:highlight w:val="none"/>
              </w:rPr>
            </w:pPr>
          </w:p>
        </w:tc>
      </w:tr>
      <w:tr w14:paraId="321949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6F345E64">
            <w:pPr>
              <w:spacing w:before="120" w:line="360" w:lineRule="atLeast"/>
              <w:jc w:val="center"/>
              <w:rPr>
                <w:rFonts w:ascii="宋体" w:hAnsi="宋体" w:cs="宋体"/>
                <w:color w:val="auto"/>
                <w:highlight w:val="none"/>
              </w:rPr>
            </w:pPr>
            <w:r>
              <w:rPr>
                <w:rFonts w:hint="eastAsia" w:ascii="宋体" w:hAnsi="宋体" w:cs="宋体"/>
                <w:color w:val="auto"/>
                <w:highlight w:val="none"/>
              </w:rPr>
              <w:t>执业资格证</w:t>
            </w:r>
          </w:p>
        </w:tc>
        <w:tc>
          <w:tcPr>
            <w:tcW w:w="2468" w:type="dxa"/>
            <w:vAlign w:val="center"/>
          </w:tcPr>
          <w:p w14:paraId="6192805C">
            <w:pPr>
              <w:spacing w:before="120" w:line="360" w:lineRule="atLeast"/>
              <w:jc w:val="center"/>
              <w:rPr>
                <w:rFonts w:ascii="宋体" w:hAnsi="宋体" w:cs="宋体"/>
                <w:color w:val="auto"/>
                <w:highlight w:val="none"/>
              </w:rPr>
            </w:pPr>
          </w:p>
        </w:tc>
        <w:tc>
          <w:tcPr>
            <w:tcW w:w="2340" w:type="dxa"/>
            <w:gridSpan w:val="3"/>
            <w:vAlign w:val="center"/>
          </w:tcPr>
          <w:p w14:paraId="6D4B9EA6">
            <w:pPr>
              <w:spacing w:before="120" w:line="360" w:lineRule="atLeast"/>
              <w:jc w:val="center"/>
              <w:rPr>
                <w:rFonts w:ascii="宋体" w:hAnsi="宋体" w:cs="宋体"/>
                <w:color w:val="auto"/>
                <w:highlight w:val="none"/>
              </w:rPr>
            </w:pPr>
            <w:r>
              <w:rPr>
                <w:rFonts w:hint="eastAsia" w:ascii="宋体" w:hAnsi="宋体" w:cs="宋体"/>
                <w:color w:val="auto"/>
                <w:highlight w:val="none"/>
              </w:rPr>
              <w:t>执业资格证书号</w:t>
            </w:r>
          </w:p>
        </w:tc>
        <w:tc>
          <w:tcPr>
            <w:tcW w:w="1663" w:type="dxa"/>
            <w:vAlign w:val="center"/>
          </w:tcPr>
          <w:p w14:paraId="07414544">
            <w:pPr>
              <w:spacing w:before="120"/>
              <w:rPr>
                <w:rFonts w:ascii="宋体" w:hAnsi="宋体" w:cs="宋体"/>
                <w:color w:val="auto"/>
                <w:highlight w:val="none"/>
              </w:rPr>
            </w:pPr>
          </w:p>
        </w:tc>
      </w:tr>
      <w:tr w14:paraId="0E7D3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vAlign w:val="center"/>
          </w:tcPr>
          <w:p w14:paraId="24B5019C">
            <w:pPr>
              <w:spacing w:before="120" w:line="360" w:lineRule="atLeast"/>
              <w:rPr>
                <w:rFonts w:ascii="宋体" w:hAnsi="宋体" w:cs="宋体"/>
                <w:color w:val="auto"/>
                <w:highlight w:val="none"/>
              </w:rPr>
            </w:pPr>
            <w:r>
              <w:rPr>
                <w:rFonts w:hint="eastAsia" w:ascii="宋体" w:hAnsi="宋体" w:cs="宋体"/>
                <w:color w:val="auto"/>
                <w:highlight w:val="none"/>
              </w:rPr>
              <w:t>近三年承担项目情况</w:t>
            </w:r>
          </w:p>
        </w:tc>
      </w:tr>
      <w:tr w14:paraId="66F38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91F8BCD">
            <w:pPr>
              <w:spacing w:before="120" w:line="360" w:lineRule="atLeast"/>
              <w:jc w:val="center"/>
              <w:rPr>
                <w:rFonts w:ascii="宋体" w:hAnsi="宋体" w:cs="宋体"/>
                <w:color w:val="auto"/>
                <w:highlight w:val="none"/>
              </w:rPr>
            </w:pPr>
            <w:r>
              <w:rPr>
                <w:rFonts w:hint="eastAsia" w:ascii="宋体" w:hAnsi="宋体" w:cs="宋体"/>
                <w:color w:val="auto"/>
                <w:highlight w:val="none"/>
              </w:rPr>
              <w:t>时间</w:t>
            </w:r>
          </w:p>
        </w:tc>
        <w:tc>
          <w:tcPr>
            <w:tcW w:w="3636" w:type="dxa"/>
            <w:gridSpan w:val="3"/>
            <w:vAlign w:val="center"/>
          </w:tcPr>
          <w:p w14:paraId="5EE72CEC">
            <w:pPr>
              <w:spacing w:before="120" w:line="360" w:lineRule="atLeast"/>
              <w:jc w:val="center"/>
              <w:rPr>
                <w:rFonts w:ascii="宋体" w:hAnsi="宋体" w:cs="宋体"/>
                <w:color w:val="auto"/>
                <w:highlight w:val="none"/>
              </w:rPr>
            </w:pPr>
            <w:r>
              <w:rPr>
                <w:rFonts w:hint="eastAsia" w:ascii="宋体" w:hAnsi="宋体" w:cs="宋体"/>
                <w:color w:val="auto"/>
                <w:highlight w:val="none"/>
              </w:rPr>
              <w:t>类似项目名称</w:t>
            </w:r>
          </w:p>
        </w:tc>
        <w:tc>
          <w:tcPr>
            <w:tcW w:w="1404" w:type="dxa"/>
            <w:vAlign w:val="center"/>
          </w:tcPr>
          <w:p w14:paraId="4581FA6A">
            <w:pPr>
              <w:spacing w:before="120" w:line="360" w:lineRule="atLeast"/>
              <w:jc w:val="center"/>
              <w:rPr>
                <w:rFonts w:ascii="宋体" w:hAnsi="宋体" w:cs="宋体"/>
                <w:color w:val="auto"/>
                <w:highlight w:val="none"/>
              </w:rPr>
            </w:pPr>
            <w:r>
              <w:rPr>
                <w:rFonts w:hint="eastAsia" w:ascii="宋体" w:hAnsi="宋体" w:cs="宋体"/>
                <w:color w:val="auto"/>
                <w:highlight w:val="none"/>
              </w:rPr>
              <w:t>担任职务</w:t>
            </w:r>
          </w:p>
        </w:tc>
        <w:tc>
          <w:tcPr>
            <w:tcW w:w="2203" w:type="dxa"/>
            <w:gridSpan w:val="2"/>
            <w:vAlign w:val="center"/>
          </w:tcPr>
          <w:p w14:paraId="4AB8DAB7">
            <w:pPr>
              <w:spacing w:before="120" w:line="360" w:lineRule="atLeast"/>
              <w:jc w:val="center"/>
              <w:rPr>
                <w:rFonts w:ascii="宋体" w:hAnsi="宋体" w:cs="宋体"/>
                <w:color w:val="auto"/>
                <w:highlight w:val="none"/>
              </w:rPr>
            </w:pPr>
            <w:r>
              <w:rPr>
                <w:rFonts w:hint="eastAsia" w:ascii="宋体" w:hAnsi="宋体" w:cs="宋体"/>
                <w:color w:val="auto"/>
                <w:highlight w:val="none"/>
              </w:rPr>
              <w:t>项目单位名称及电话</w:t>
            </w:r>
          </w:p>
        </w:tc>
      </w:tr>
      <w:tr w14:paraId="594510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09FA1C23">
            <w:pPr>
              <w:spacing w:before="120" w:line="360" w:lineRule="atLeast"/>
              <w:jc w:val="center"/>
              <w:rPr>
                <w:rFonts w:ascii="宋体" w:hAnsi="宋体" w:cs="宋体"/>
                <w:color w:val="auto"/>
                <w:highlight w:val="none"/>
              </w:rPr>
            </w:pPr>
          </w:p>
        </w:tc>
        <w:tc>
          <w:tcPr>
            <w:tcW w:w="3636" w:type="dxa"/>
            <w:gridSpan w:val="3"/>
            <w:vAlign w:val="center"/>
          </w:tcPr>
          <w:p w14:paraId="7ECAE8CD">
            <w:pPr>
              <w:spacing w:before="120" w:line="360" w:lineRule="atLeast"/>
              <w:jc w:val="center"/>
              <w:rPr>
                <w:rFonts w:ascii="宋体" w:hAnsi="宋体" w:cs="宋体"/>
                <w:color w:val="auto"/>
                <w:highlight w:val="none"/>
              </w:rPr>
            </w:pPr>
          </w:p>
        </w:tc>
        <w:tc>
          <w:tcPr>
            <w:tcW w:w="1404" w:type="dxa"/>
            <w:vAlign w:val="center"/>
          </w:tcPr>
          <w:p w14:paraId="4226111D">
            <w:pPr>
              <w:spacing w:before="120" w:line="360" w:lineRule="atLeast"/>
              <w:jc w:val="center"/>
              <w:rPr>
                <w:rFonts w:ascii="宋体" w:hAnsi="宋体" w:cs="宋体"/>
                <w:color w:val="auto"/>
                <w:highlight w:val="none"/>
              </w:rPr>
            </w:pPr>
          </w:p>
        </w:tc>
        <w:tc>
          <w:tcPr>
            <w:tcW w:w="2203" w:type="dxa"/>
            <w:gridSpan w:val="2"/>
            <w:vAlign w:val="center"/>
          </w:tcPr>
          <w:p w14:paraId="756AA8CC">
            <w:pPr>
              <w:spacing w:before="120" w:line="360" w:lineRule="atLeast"/>
              <w:jc w:val="center"/>
              <w:rPr>
                <w:rFonts w:ascii="宋体" w:hAnsi="宋体" w:cs="宋体"/>
                <w:color w:val="auto"/>
                <w:highlight w:val="none"/>
              </w:rPr>
            </w:pPr>
          </w:p>
        </w:tc>
      </w:tr>
      <w:tr w14:paraId="2AFE2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A000A89">
            <w:pPr>
              <w:spacing w:before="120" w:line="360" w:lineRule="atLeast"/>
              <w:jc w:val="center"/>
              <w:rPr>
                <w:rFonts w:ascii="宋体" w:hAnsi="宋体" w:cs="宋体"/>
                <w:color w:val="auto"/>
                <w:highlight w:val="none"/>
              </w:rPr>
            </w:pPr>
          </w:p>
        </w:tc>
        <w:tc>
          <w:tcPr>
            <w:tcW w:w="3636" w:type="dxa"/>
            <w:gridSpan w:val="3"/>
            <w:vAlign w:val="center"/>
          </w:tcPr>
          <w:p w14:paraId="559F3ABF">
            <w:pPr>
              <w:spacing w:before="120" w:line="360" w:lineRule="atLeast"/>
              <w:jc w:val="center"/>
              <w:rPr>
                <w:rFonts w:ascii="宋体" w:hAnsi="宋体" w:cs="宋体"/>
                <w:color w:val="auto"/>
                <w:highlight w:val="none"/>
              </w:rPr>
            </w:pPr>
          </w:p>
        </w:tc>
        <w:tc>
          <w:tcPr>
            <w:tcW w:w="1404" w:type="dxa"/>
            <w:vAlign w:val="center"/>
          </w:tcPr>
          <w:p w14:paraId="42DE2484">
            <w:pPr>
              <w:spacing w:before="120" w:line="360" w:lineRule="atLeast"/>
              <w:jc w:val="center"/>
              <w:rPr>
                <w:rFonts w:ascii="宋体" w:hAnsi="宋体" w:cs="宋体"/>
                <w:color w:val="auto"/>
                <w:highlight w:val="none"/>
              </w:rPr>
            </w:pPr>
          </w:p>
        </w:tc>
        <w:tc>
          <w:tcPr>
            <w:tcW w:w="2203" w:type="dxa"/>
            <w:gridSpan w:val="2"/>
            <w:vAlign w:val="center"/>
          </w:tcPr>
          <w:p w14:paraId="4374E56B">
            <w:pPr>
              <w:spacing w:before="120" w:line="360" w:lineRule="atLeast"/>
              <w:jc w:val="center"/>
              <w:rPr>
                <w:rFonts w:ascii="宋体" w:hAnsi="宋体" w:cs="宋体"/>
                <w:color w:val="auto"/>
                <w:highlight w:val="none"/>
              </w:rPr>
            </w:pPr>
          </w:p>
        </w:tc>
      </w:tr>
      <w:tr w14:paraId="1CCC1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079E69B">
            <w:pPr>
              <w:spacing w:before="120" w:line="360" w:lineRule="atLeast"/>
              <w:jc w:val="center"/>
              <w:rPr>
                <w:rFonts w:ascii="宋体" w:hAnsi="宋体" w:cs="宋体"/>
                <w:color w:val="auto"/>
                <w:highlight w:val="none"/>
              </w:rPr>
            </w:pPr>
          </w:p>
        </w:tc>
        <w:tc>
          <w:tcPr>
            <w:tcW w:w="3636" w:type="dxa"/>
            <w:gridSpan w:val="3"/>
            <w:vAlign w:val="center"/>
          </w:tcPr>
          <w:p w14:paraId="4BDE14D6">
            <w:pPr>
              <w:spacing w:before="120" w:line="360" w:lineRule="atLeast"/>
              <w:jc w:val="center"/>
              <w:rPr>
                <w:rFonts w:ascii="宋体" w:hAnsi="宋体" w:cs="宋体"/>
                <w:color w:val="auto"/>
                <w:highlight w:val="none"/>
              </w:rPr>
            </w:pPr>
          </w:p>
        </w:tc>
        <w:tc>
          <w:tcPr>
            <w:tcW w:w="1404" w:type="dxa"/>
            <w:vAlign w:val="center"/>
          </w:tcPr>
          <w:p w14:paraId="0F3C5AA3">
            <w:pPr>
              <w:spacing w:before="120" w:line="360" w:lineRule="atLeast"/>
              <w:jc w:val="center"/>
              <w:rPr>
                <w:rFonts w:ascii="宋体" w:hAnsi="宋体" w:cs="宋体"/>
                <w:color w:val="auto"/>
                <w:highlight w:val="none"/>
              </w:rPr>
            </w:pPr>
          </w:p>
        </w:tc>
        <w:tc>
          <w:tcPr>
            <w:tcW w:w="2203" w:type="dxa"/>
            <w:gridSpan w:val="2"/>
            <w:vAlign w:val="center"/>
          </w:tcPr>
          <w:p w14:paraId="684C711B">
            <w:pPr>
              <w:spacing w:before="120" w:line="360" w:lineRule="atLeast"/>
              <w:jc w:val="center"/>
              <w:rPr>
                <w:rFonts w:ascii="宋体" w:hAnsi="宋体" w:cs="宋体"/>
                <w:color w:val="auto"/>
                <w:highlight w:val="none"/>
              </w:rPr>
            </w:pPr>
          </w:p>
        </w:tc>
      </w:tr>
      <w:tr w14:paraId="33B33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B1AF3BA">
            <w:pPr>
              <w:spacing w:before="120" w:line="360" w:lineRule="atLeast"/>
              <w:jc w:val="center"/>
              <w:rPr>
                <w:rFonts w:ascii="宋体" w:hAnsi="宋体" w:cs="宋体"/>
                <w:color w:val="auto"/>
                <w:highlight w:val="none"/>
              </w:rPr>
            </w:pPr>
          </w:p>
        </w:tc>
        <w:tc>
          <w:tcPr>
            <w:tcW w:w="3636" w:type="dxa"/>
            <w:gridSpan w:val="3"/>
            <w:vAlign w:val="center"/>
          </w:tcPr>
          <w:p w14:paraId="5E1A3B3E">
            <w:pPr>
              <w:spacing w:before="120" w:line="360" w:lineRule="atLeast"/>
              <w:jc w:val="center"/>
              <w:rPr>
                <w:rFonts w:ascii="宋体" w:hAnsi="宋体" w:cs="宋体"/>
                <w:color w:val="auto"/>
                <w:highlight w:val="none"/>
              </w:rPr>
            </w:pPr>
          </w:p>
        </w:tc>
        <w:tc>
          <w:tcPr>
            <w:tcW w:w="1404" w:type="dxa"/>
            <w:vAlign w:val="center"/>
          </w:tcPr>
          <w:p w14:paraId="1E2481C3">
            <w:pPr>
              <w:spacing w:before="120" w:line="360" w:lineRule="atLeast"/>
              <w:jc w:val="center"/>
              <w:rPr>
                <w:rFonts w:ascii="宋体" w:hAnsi="宋体" w:cs="宋体"/>
                <w:color w:val="auto"/>
                <w:highlight w:val="none"/>
              </w:rPr>
            </w:pPr>
          </w:p>
        </w:tc>
        <w:tc>
          <w:tcPr>
            <w:tcW w:w="2203" w:type="dxa"/>
            <w:gridSpan w:val="2"/>
            <w:vAlign w:val="center"/>
          </w:tcPr>
          <w:p w14:paraId="23C95442">
            <w:pPr>
              <w:spacing w:before="120" w:line="360" w:lineRule="atLeast"/>
              <w:jc w:val="center"/>
              <w:rPr>
                <w:rFonts w:ascii="宋体" w:hAnsi="宋体" w:cs="宋体"/>
                <w:color w:val="auto"/>
                <w:highlight w:val="none"/>
              </w:rPr>
            </w:pPr>
          </w:p>
        </w:tc>
      </w:tr>
      <w:tr w14:paraId="1E3D6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99E564A">
            <w:pPr>
              <w:spacing w:before="120" w:line="360" w:lineRule="atLeast"/>
              <w:jc w:val="center"/>
              <w:rPr>
                <w:rFonts w:ascii="宋体" w:hAnsi="宋体" w:cs="宋体"/>
                <w:color w:val="auto"/>
                <w:highlight w:val="none"/>
              </w:rPr>
            </w:pPr>
          </w:p>
        </w:tc>
        <w:tc>
          <w:tcPr>
            <w:tcW w:w="3636" w:type="dxa"/>
            <w:gridSpan w:val="3"/>
            <w:vAlign w:val="center"/>
          </w:tcPr>
          <w:p w14:paraId="39285A90">
            <w:pPr>
              <w:spacing w:before="120" w:line="360" w:lineRule="atLeast"/>
              <w:jc w:val="center"/>
              <w:rPr>
                <w:rFonts w:ascii="宋体" w:hAnsi="宋体" w:cs="宋体"/>
                <w:color w:val="auto"/>
                <w:highlight w:val="none"/>
              </w:rPr>
            </w:pPr>
          </w:p>
        </w:tc>
        <w:tc>
          <w:tcPr>
            <w:tcW w:w="1404" w:type="dxa"/>
            <w:vAlign w:val="center"/>
          </w:tcPr>
          <w:p w14:paraId="43E3E240">
            <w:pPr>
              <w:spacing w:before="120" w:line="360" w:lineRule="atLeast"/>
              <w:jc w:val="center"/>
              <w:rPr>
                <w:rFonts w:ascii="宋体" w:hAnsi="宋体" w:cs="宋体"/>
                <w:color w:val="auto"/>
                <w:highlight w:val="none"/>
              </w:rPr>
            </w:pPr>
          </w:p>
        </w:tc>
        <w:tc>
          <w:tcPr>
            <w:tcW w:w="2203" w:type="dxa"/>
            <w:gridSpan w:val="2"/>
            <w:vAlign w:val="center"/>
          </w:tcPr>
          <w:p w14:paraId="1C133717">
            <w:pPr>
              <w:spacing w:before="120" w:line="360" w:lineRule="atLeast"/>
              <w:jc w:val="center"/>
              <w:rPr>
                <w:rFonts w:ascii="宋体" w:hAnsi="宋体" w:cs="宋体"/>
                <w:color w:val="auto"/>
                <w:highlight w:val="none"/>
              </w:rPr>
            </w:pPr>
          </w:p>
        </w:tc>
      </w:tr>
      <w:tr w14:paraId="3364C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13C34BCC">
            <w:pPr>
              <w:spacing w:before="120" w:line="360" w:lineRule="atLeast"/>
              <w:jc w:val="center"/>
              <w:rPr>
                <w:rFonts w:ascii="宋体" w:hAnsi="宋体" w:cs="宋体"/>
                <w:color w:val="auto"/>
                <w:highlight w:val="none"/>
              </w:rPr>
            </w:pPr>
          </w:p>
        </w:tc>
        <w:tc>
          <w:tcPr>
            <w:tcW w:w="3636" w:type="dxa"/>
            <w:gridSpan w:val="3"/>
            <w:vAlign w:val="center"/>
          </w:tcPr>
          <w:p w14:paraId="00E41A1D">
            <w:pPr>
              <w:spacing w:before="120" w:line="360" w:lineRule="atLeast"/>
              <w:jc w:val="center"/>
              <w:rPr>
                <w:rFonts w:ascii="宋体" w:hAnsi="宋体" w:cs="宋体"/>
                <w:color w:val="auto"/>
                <w:highlight w:val="none"/>
              </w:rPr>
            </w:pPr>
          </w:p>
        </w:tc>
        <w:tc>
          <w:tcPr>
            <w:tcW w:w="1404" w:type="dxa"/>
            <w:vAlign w:val="center"/>
          </w:tcPr>
          <w:p w14:paraId="3F1CCCBC">
            <w:pPr>
              <w:spacing w:before="120" w:line="360" w:lineRule="atLeast"/>
              <w:jc w:val="center"/>
              <w:rPr>
                <w:rFonts w:ascii="宋体" w:hAnsi="宋体" w:cs="宋体"/>
                <w:color w:val="auto"/>
                <w:highlight w:val="none"/>
              </w:rPr>
            </w:pPr>
          </w:p>
        </w:tc>
        <w:tc>
          <w:tcPr>
            <w:tcW w:w="2203" w:type="dxa"/>
            <w:gridSpan w:val="2"/>
            <w:vAlign w:val="center"/>
          </w:tcPr>
          <w:p w14:paraId="09CFF50D">
            <w:pPr>
              <w:spacing w:before="120" w:line="360" w:lineRule="atLeast"/>
              <w:jc w:val="center"/>
              <w:rPr>
                <w:rFonts w:ascii="宋体" w:hAnsi="宋体" w:cs="宋体"/>
                <w:color w:val="auto"/>
                <w:highlight w:val="none"/>
              </w:rPr>
            </w:pPr>
          </w:p>
        </w:tc>
      </w:tr>
      <w:tr w14:paraId="5A66C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015D8CD7">
            <w:pPr>
              <w:spacing w:before="120" w:line="360" w:lineRule="atLeast"/>
              <w:jc w:val="center"/>
              <w:rPr>
                <w:rFonts w:ascii="宋体" w:hAnsi="宋体" w:cs="宋体"/>
                <w:color w:val="auto"/>
                <w:highlight w:val="none"/>
              </w:rPr>
            </w:pPr>
          </w:p>
        </w:tc>
        <w:tc>
          <w:tcPr>
            <w:tcW w:w="3636" w:type="dxa"/>
            <w:gridSpan w:val="3"/>
            <w:vAlign w:val="center"/>
          </w:tcPr>
          <w:p w14:paraId="78413ED1">
            <w:pPr>
              <w:spacing w:before="120" w:line="360" w:lineRule="atLeast"/>
              <w:jc w:val="center"/>
              <w:rPr>
                <w:rFonts w:ascii="宋体" w:hAnsi="宋体" w:cs="宋体"/>
                <w:color w:val="auto"/>
                <w:highlight w:val="none"/>
              </w:rPr>
            </w:pPr>
          </w:p>
        </w:tc>
        <w:tc>
          <w:tcPr>
            <w:tcW w:w="1404" w:type="dxa"/>
            <w:vAlign w:val="center"/>
          </w:tcPr>
          <w:p w14:paraId="724F3507">
            <w:pPr>
              <w:spacing w:before="120" w:line="360" w:lineRule="atLeast"/>
              <w:jc w:val="center"/>
              <w:rPr>
                <w:rFonts w:ascii="宋体" w:hAnsi="宋体" w:cs="宋体"/>
                <w:color w:val="auto"/>
                <w:highlight w:val="none"/>
              </w:rPr>
            </w:pPr>
          </w:p>
        </w:tc>
        <w:tc>
          <w:tcPr>
            <w:tcW w:w="2203" w:type="dxa"/>
            <w:gridSpan w:val="2"/>
            <w:vAlign w:val="center"/>
          </w:tcPr>
          <w:p w14:paraId="1CDD07BF">
            <w:pPr>
              <w:spacing w:before="120" w:line="360" w:lineRule="atLeast"/>
              <w:jc w:val="center"/>
              <w:rPr>
                <w:rFonts w:ascii="宋体" w:hAnsi="宋体" w:cs="宋体"/>
                <w:color w:val="auto"/>
                <w:highlight w:val="none"/>
              </w:rPr>
            </w:pPr>
          </w:p>
        </w:tc>
      </w:tr>
      <w:tr w14:paraId="78398B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96BAD0C">
            <w:pPr>
              <w:spacing w:before="120" w:line="360" w:lineRule="atLeast"/>
              <w:jc w:val="center"/>
              <w:rPr>
                <w:rFonts w:ascii="宋体" w:hAnsi="宋体" w:cs="宋体"/>
                <w:color w:val="auto"/>
                <w:highlight w:val="none"/>
              </w:rPr>
            </w:pPr>
          </w:p>
        </w:tc>
        <w:tc>
          <w:tcPr>
            <w:tcW w:w="3636" w:type="dxa"/>
            <w:gridSpan w:val="3"/>
            <w:vAlign w:val="center"/>
          </w:tcPr>
          <w:p w14:paraId="32B3B2EA">
            <w:pPr>
              <w:spacing w:before="120" w:line="360" w:lineRule="atLeast"/>
              <w:jc w:val="center"/>
              <w:rPr>
                <w:rFonts w:ascii="宋体" w:hAnsi="宋体" w:cs="宋体"/>
                <w:color w:val="auto"/>
                <w:highlight w:val="none"/>
              </w:rPr>
            </w:pPr>
          </w:p>
        </w:tc>
        <w:tc>
          <w:tcPr>
            <w:tcW w:w="1404" w:type="dxa"/>
            <w:vAlign w:val="center"/>
          </w:tcPr>
          <w:p w14:paraId="370E8783">
            <w:pPr>
              <w:spacing w:before="120" w:line="360" w:lineRule="atLeast"/>
              <w:jc w:val="center"/>
              <w:rPr>
                <w:rFonts w:ascii="宋体" w:hAnsi="宋体" w:cs="宋体"/>
                <w:color w:val="auto"/>
                <w:highlight w:val="none"/>
              </w:rPr>
            </w:pPr>
          </w:p>
        </w:tc>
        <w:tc>
          <w:tcPr>
            <w:tcW w:w="2203" w:type="dxa"/>
            <w:gridSpan w:val="2"/>
            <w:vAlign w:val="center"/>
          </w:tcPr>
          <w:p w14:paraId="020F1022">
            <w:pPr>
              <w:spacing w:before="120" w:line="360" w:lineRule="atLeast"/>
              <w:jc w:val="center"/>
              <w:rPr>
                <w:rFonts w:ascii="宋体" w:hAnsi="宋体" w:cs="宋体"/>
                <w:color w:val="auto"/>
                <w:highlight w:val="none"/>
              </w:rPr>
            </w:pPr>
          </w:p>
        </w:tc>
      </w:tr>
      <w:tr w14:paraId="56C2B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3BBE69DB">
            <w:pPr>
              <w:spacing w:before="120" w:line="360" w:lineRule="atLeast"/>
              <w:jc w:val="center"/>
              <w:rPr>
                <w:rFonts w:ascii="宋体" w:hAnsi="宋体" w:cs="宋体"/>
                <w:color w:val="auto"/>
                <w:highlight w:val="none"/>
              </w:rPr>
            </w:pPr>
          </w:p>
        </w:tc>
        <w:tc>
          <w:tcPr>
            <w:tcW w:w="3636" w:type="dxa"/>
            <w:gridSpan w:val="3"/>
            <w:vAlign w:val="center"/>
          </w:tcPr>
          <w:p w14:paraId="7C1ADD1C">
            <w:pPr>
              <w:spacing w:before="120" w:line="360" w:lineRule="atLeast"/>
              <w:jc w:val="center"/>
              <w:rPr>
                <w:rFonts w:ascii="宋体" w:hAnsi="宋体" w:cs="宋体"/>
                <w:color w:val="auto"/>
                <w:highlight w:val="none"/>
              </w:rPr>
            </w:pPr>
          </w:p>
        </w:tc>
        <w:tc>
          <w:tcPr>
            <w:tcW w:w="1404" w:type="dxa"/>
            <w:vAlign w:val="center"/>
          </w:tcPr>
          <w:p w14:paraId="53B714CB">
            <w:pPr>
              <w:spacing w:before="120" w:line="360" w:lineRule="atLeast"/>
              <w:jc w:val="center"/>
              <w:rPr>
                <w:rFonts w:ascii="宋体" w:hAnsi="宋体" w:cs="宋体"/>
                <w:color w:val="auto"/>
                <w:highlight w:val="none"/>
              </w:rPr>
            </w:pPr>
          </w:p>
        </w:tc>
        <w:tc>
          <w:tcPr>
            <w:tcW w:w="2203" w:type="dxa"/>
            <w:gridSpan w:val="2"/>
            <w:vAlign w:val="center"/>
          </w:tcPr>
          <w:p w14:paraId="0C266213">
            <w:pPr>
              <w:spacing w:before="120" w:line="360" w:lineRule="atLeast"/>
              <w:jc w:val="center"/>
              <w:rPr>
                <w:rFonts w:ascii="宋体" w:hAnsi="宋体" w:cs="宋体"/>
                <w:color w:val="auto"/>
                <w:highlight w:val="none"/>
              </w:rPr>
            </w:pPr>
          </w:p>
        </w:tc>
      </w:tr>
    </w:tbl>
    <w:p w14:paraId="2827CE3F">
      <w:pPr>
        <w:spacing w:before="120" w:line="360" w:lineRule="atLeast"/>
        <w:rPr>
          <w:rFonts w:ascii="宋体" w:hAnsi="宋体" w:cs="宋体"/>
          <w:color w:val="auto"/>
          <w:highlight w:val="none"/>
        </w:rPr>
      </w:pPr>
      <w:r>
        <w:rPr>
          <w:rFonts w:hint="eastAsia" w:ascii="宋体" w:hAnsi="宋体" w:cs="宋体"/>
          <w:color w:val="auto"/>
          <w:szCs w:val="21"/>
          <w:highlight w:val="none"/>
        </w:rPr>
        <w:t>说明</w:t>
      </w:r>
      <w:r>
        <w:rPr>
          <w:rFonts w:hint="eastAsia" w:ascii="宋体" w:hAnsi="宋体" w:cs="宋体"/>
          <w:color w:val="auto"/>
          <w:highlight w:val="none"/>
        </w:rPr>
        <w:t>：</w:t>
      </w:r>
      <w:r>
        <w:rPr>
          <w:rFonts w:hint="eastAsia" w:ascii="宋体" w:hAnsi="宋体" w:cs="宋体"/>
          <w:color w:val="auto"/>
          <w:szCs w:val="21"/>
          <w:highlight w:val="none"/>
        </w:rPr>
        <w:t>主要人员证书、</w:t>
      </w:r>
      <w:r>
        <w:rPr>
          <w:rFonts w:hint="eastAsia" w:ascii="宋体" w:hAnsi="宋体" w:cs="宋体"/>
          <w:color w:val="auto"/>
          <w:highlight w:val="none"/>
        </w:rPr>
        <w:t>类似项目证明资料等按第二章第44.1款或第四章要求提供。</w:t>
      </w:r>
    </w:p>
    <w:p w14:paraId="1B8A4677">
      <w:pPr>
        <w:spacing w:before="120"/>
        <w:rPr>
          <w:rFonts w:ascii="宋体" w:hAnsi="宋体" w:cs="宋体"/>
          <w:color w:val="auto"/>
          <w:szCs w:val="21"/>
          <w:highlight w:val="none"/>
        </w:rPr>
      </w:pPr>
    </w:p>
    <w:p w14:paraId="318AF8B0">
      <w:pPr>
        <w:spacing w:before="120" w:line="480" w:lineRule="auto"/>
        <w:rPr>
          <w:rFonts w:ascii="宋体" w:hAnsi="宋体" w:cs="宋体"/>
          <w:bCs/>
          <w:color w:val="auto"/>
          <w:szCs w:val="21"/>
          <w:highlight w:val="none"/>
        </w:rPr>
      </w:pPr>
      <w:r>
        <w:rPr>
          <w:rFonts w:hint="eastAsia" w:ascii="宋体" w:hAnsi="宋体" w:cs="宋体"/>
          <w:color w:val="auto"/>
          <w:szCs w:val="21"/>
          <w:highlight w:val="none"/>
        </w:rPr>
        <w:t>供应商名称：</w:t>
      </w:r>
    </w:p>
    <w:p w14:paraId="71E8F1B3">
      <w:pPr>
        <w:adjustRightInd w:val="0"/>
        <w:snapToGrid w:val="0"/>
        <w:spacing w:before="120" w:line="48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法定代表人或其委托代理人(签字)：_</w:t>
      </w:r>
    </w:p>
    <w:p w14:paraId="32E5E52C">
      <w:pPr>
        <w:spacing w:before="120" w:line="480" w:lineRule="auto"/>
        <w:rPr>
          <w:rFonts w:ascii="宋体" w:hAnsi="宋体" w:cs="宋体"/>
          <w:color w:val="auto"/>
          <w:highlight w:val="none"/>
        </w:rPr>
      </w:pPr>
      <w:r>
        <w:rPr>
          <w:rFonts w:hint="eastAsia" w:ascii="宋体" w:hAnsi="宋体" w:cs="宋体"/>
          <w:color w:val="auto"/>
          <w:szCs w:val="21"/>
          <w:highlight w:val="none"/>
        </w:rPr>
        <w:t>日期：  年  月  日</w:t>
      </w:r>
    </w:p>
    <w:p w14:paraId="6373EE3D">
      <w:pPr>
        <w:spacing w:before="120" w:line="360" w:lineRule="auto"/>
        <w:rPr>
          <w:rFonts w:ascii="Times New Roman" w:hAnsi="Times New Roman" w:cs="Times New Roman"/>
          <w:color w:val="auto"/>
          <w:highlight w:val="none"/>
        </w:rPr>
      </w:pPr>
      <w:r>
        <w:rPr>
          <w:rFonts w:hint="eastAsia" w:ascii="Times New Roman" w:hAnsi="宋体" w:cs="宋体"/>
          <w:b/>
          <w:bCs/>
          <w:color w:val="auto"/>
          <w:sz w:val="32"/>
          <w:szCs w:val="32"/>
          <w:highlight w:val="none"/>
        </w:rPr>
        <w:br w:type="page"/>
      </w:r>
    </w:p>
    <w:p w14:paraId="111A2BD0">
      <w:pPr>
        <w:keepNext/>
        <w:keepLines/>
        <w:widowControl w:val="0"/>
        <w:spacing w:before="120" w:after="290" w:line="376" w:lineRule="auto"/>
        <w:jc w:val="left"/>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附3-3 供应商诚信守法开工承诺书 </w:t>
      </w:r>
    </w:p>
    <w:p w14:paraId="2DD8D778">
      <w:pPr>
        <w:spacing w:before="120"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本单位承诺：对采购人应当办理施工许可证的项目，在未取得施工许可证之前，我公司不擅自开工，如有违反，本企业愿承担相应责任。 </w:t>
      </w:r>
    </w:p>
    <w:p w14:paraId="49A7A7C9">
      <w:pPr>
        <w:widowControl/>
        <w:spacing w:before="120" w:after="240" w:afterLines="100" w:line="360" w:lineRule="auto"/>
        <w:ind w:left="420" w:leftChars="200" w:firstLine="480" w:firstLineChars="200"/>
        <w:jc w:val="left"/>
        <w:rPr>
          <w:rFonts w:ascii="宋体" w:hAnsi="宋体" w:eastAsia="宋体" w:cs="宋体"/>
          <w:color w:val="auto"/>
          <w:kern w:val="28"/>
          <w:sz w:val="24"/>
          <w:szCs w:val="21"/>
          <w:highlight w:val="none"/>
          <w:lang w:val="en-US" w:eastAsia="zh-CN" w:bidi="ar-SA"/>
        </w:rPr>
      </w:pPr>
    </w:p>
    <w:p w14:paraId="01B6915F">
      <w:pPr>
        <w:spacing w:before="120"/>
        <w:rPr>
          <w:rFonts w:ascii="宋体" w:hAnsi="宋体" w:cs="宋体"/>
          <w:color w:val="auto"/>
          <w:szCs w:val="21"/>
          <w:highlight w:val="none"/>
        </w:rPr>
      </w:pPr>
    </w:p>
    <w:p w14:paraId="2E706D23">
      <w:pPr>
        <w:widowControl/>
        <w:spacing w:before="120" w:after="240" w:afterLines="100" w:line="360" w:lineRule="auto"/>
        <w:ind w:left="420" w:leftChars="200" w:firstLine="480" w:firstLineChars="200"/>
        <w:jc w:val="left"/>
        <w:rPr>
          <w:rFonts w:ascii="Times New Roman" w:hAnsi="Times New Roman" w:eastAsia="宋体" w:cs="Times New Roman"/>
          <w:color w:val="auto"/>
          <w:kern w:val="28"/>
          <w:sz w:val="24"/>
          <w:szCs w:val="24"/>
          <w:highlight w:val="none"/>
          <w:lang w:val="zh-CN" w:eastAsia="zh-CN" w:bidi="ar-SA"/>
        </w:rPr>
      </w:pPr>
    </w:p>
    <w:p w14:paraId="312A6BAF">
      <w:pPr>
        <w:spacing w:before="120" w:line="480" w:lineRule="auto"/>
        <w:rPr>
          <w:rFonts w:ascii="宋体" w:hAnsi="宋体" w:cs="宋体"/>
          <w:bCs/>
          <w:color w:val="auto"/>
          <w:szCs w:val="21"/>
          <w:highlight w:val="none"/>
        </w:rPr>
      </w:pPr>
      <w:r>
        <w:rPr>
          <w:rFonts w:hint="eastAsia" w:ascii="宋体" w:hAnsi="宋体" w:cs="宋体"/>
          <w:color w:val="auto"/>
          <w:szCs w:val="21"/>
          <w:highlight w:val="none"/>
        </w:rPr>
        <w:t>供应商名称：</w:t>
      </w:r>
    </w:p>
    <w:p w14:paraId="4B5ED3C6">
      <w:pPr>
        <w:adjustRightInd w:val="0"/>
        <w:snapToGrid w:val="0"/>
        <w:spacing w:before="120" w:line="48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法定代表人或其委托代理人(签字)：_</w:t>
      </w:r>
    </w:p>
    <w:p w14:paraId="357BD81B">
      <w:pPr>
        <w:spacing w:before="120" w:line="480" w:lineRule="auto"/>
        <w:rPr>
          <w:rFonts w:ascii="宋体" w:hAnsi="宋体" w:cs="宋体"/>
          <w:color w:val="auto"/>
          <w:highlight w:val="none"/>
        </w:rPr>
      </w:pPr>
      <w:r>
        <w:rPr>
          <w:rFonts w:hint="eastAsia" w:ascii="宋体" w:hAnsi="宋体" w:cs="宋体"/>
          <w:color w:val="auto"/>
          <w:szCs w:val="21"/>
          <w:highlight w:val="none"/>
        </w:rPr>
        <w:t>日期：  年  月  日</w:t>
      </w:r>
    </w:p>
    <w:p w14:paraId="57355979">
      <w:pPr>
        <w:spacing w:before="120"/>
        <w:rPr>
          <w:rFonts w:ascii="Times New Roman" w:hAnsi="Times New Roman" w:cs="Times New Roman"/>
          <w:color w:val="auto"/>
          <w:highlight w:val="none"/>
        </w:rPr>
      </w:pPr>
    </w:p>
    <w:p w14:paraId="3AEC8A2A">
      <w:pPr>
        <w:adjustRightInd w:val="0"/>
        <w:snapToGrid w:val="0"/>
        <w:spacing w:before="120" w:after="0" w:line="360" w:lineRule="auto"/>
        <w:jc w:val="center"/>
        <w:rPr>
          <w:rFonts w:ascii="宋体" w:hAnsi="宋体" w:cs="宋体"/>
          <w:color w:val="auto"/>
          <w:sz w:val="28"/>
          <w:szCs w:val="28"/>
          <w:highlight w:val="none"/>
        </w:rPr>
        <w:sectPr>
          <w:pgSz w:w="11906" w:h="16838"/>
          <w:pgMar w:top="1587" w:right="1474" w:bottom="1474" w:left="1587" w:header="851" w:footer="992" w:gutter="0"/>
          <w:cols w:space="720" w:num="1"/>
          <w:docGrid w:linePitch="312" w:charSpace="0"/>
        </w:sectPr>
      </w:pPr>
    </w:p>
    <w:p w14:paraId="1D21EC18">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四、商务和技术响应/偏离表</w:t>
      </w:r>
      <w:bookmarkEnd w:id="962"/>
    </w:p>
    <w:p w14:paraId="236B79DF">
      <w:pPr>
        <w:adjustRightInd w:val="0"/>
        <w:snapToGrid w:val="0"/>
        <w:spacing w:before="120" w:line="360" w:lineRule="auto"/>
        <w:rPr>
          <w:rFonts w:ascii="宋体" w:hAnsi="宋体" w:cs="宋体"/>
          <w:color w:val="auto"/>
          <w:highlight w:val="none"/>
        </w:rPr>
      </w:pPr>
    </w:p>
    <w:p w14:paraId="445E695B">
      <w:pPr>
        <w:adjustRightInd w:val="0"/>
        <w:snapToGrid w:val="0"/>
        <w:spacing w:before="120" w:line="360" w:lineRule="auto"/>
        <w:rPr>
          <w:rFonts w:ascii="宋体" w:hAnsi="宋体" w:cs="宋体"/>
          <w:color w:val="auto"/>
          <w:szCs w:val="21"/>
          <w:highlight w:val="none"/>
          <w:u w:val="single"/>
        </w:rPr>
      </w:pPr>
      <w:r>
        <w:rPr>
          <w:rFonts w:hint="eastAsia" w:ascii="宋体" w:hAnsi="宋体" w:cs="Times New Roman"/>
          <w:color w:val="auto"/>
          <w:szCs w:val="21"/>
          <w:highlight w:val="none"/>
          <w:lang w:val="en-US" w:eastAsia="zh-CN"/>
        </w:rPr>
        <w:t>政府采购编号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33"/>
        <w:tblW w:w="867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965"/>
        <w:gridCol w:w="1801"/>
        <w:gridCol w:w="2070"/>
        <w:gridCol w:w="1377"/>
        <w:gridCol w:w="1414"/>
        <w:gridCol w:w="1047"/>
      </w:tblGrid>
      <w:tr w14:paraId="263E98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965" w:type="dxa"/>
            <w:vAlign w:val="center"/>
          </w:tcPr>
          <w:p w14:paraId="4E92E950">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序号</w:t>
            </w:r>
          </w:p>
        </w:tc>
        <w:tc>
          <w:tcPr>
            <w:tcW w:w="1801" w:type="dxa"/>
            <w:vAlign w:val="center"/>
          </w:tcPr>
          <w:p w14:paraId="6A710E35">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磋商文件章节   和条款号</w:t>
            </w:r>
          </w:p>
        </w:tc>
        <w:tc>
          <w:tcPr>
            <w:tcW w:w="2070" w:type="dxa"/>
            <w:tcBorders>
              <w:right w:val="single" w:color="auto" w:sz="4" w:space="0"/>
            </w:tcBorders>
            <w:vAlign w:val="center"/>
          </w:tcPr>
          <w:p w14:paraId="3DDD6F1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要求规格</w:t>
            </w:r>
          </w:p>
        </w:tc>
        <w:tc>
          <w:tcPr>
            <w:tcW w:w="1377" w:type="dxa"/>
            <w:tcBorders>
              <w:left w:val="single" w:color="auto" w:sz="4" w:space="0"/>
            </w:tcBorders>
            <w:vAlign w:val="center"/>
          </w:tcPr>
          <w:p w14:paraId="53BBFB6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响应规格</w:t>
            </w:r>
          </w:p>
        </w:tc>
        <w:tc>
          <w:tcPr>
            <w:tcW w:w="1414" w:type="dxa"/>
            <w:vAlign w:val="center"/>
          </w:tcPr>
          <w:p w14:paraId="3B5CB69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响应/偏离</w:t>
            </w:r>
          </w:p>
        </w:tc>
        <w:tc>
          <w:tcPr>
            <w:tcW w:w="1047" w:type="dxa"/>
            <w:vAlign w:val="center"/>
          </w:tcPr>
          <w:p w14:paraId="1EAC6D2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说明</w:t>
            </w:r>
          </w:p>
        </w:tc>
      </w:tr>
      <w:tr w14:paraId="7E827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2B354FA4">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1802BF1F">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356E6BD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73FF4F6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1032451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03047725">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3D8A8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062755A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5AE6ECF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1E5CABE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6E888AC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13C377C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495D594E">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5A08B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7D983AC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611A210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45FF7B8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6E897C8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0B35957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61AEF195">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32F431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01FA9AE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420E7F6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66C64F3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5012C23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0398D83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231A4BC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12A32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18A8852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10F24A2B">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704F41B0">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728E7F4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7D3EEBA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2B6086D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69FA1B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10B0F43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172127D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77D8A51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42B1D600">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72E15BB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687EB56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02553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5A4B343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6372F3F9">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4B6E810B">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570BE45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0AF97D17">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7251774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r w14:paraId="38D6F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638BCDC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801" w:type="dxa"/>
            <w:vAlign w:val="center"/>
          </w:tcPr>
          <w:p w14:paraId="4FBB9848">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2070" w:type="dxa"/>
            <w:tcBorders>
              <w:right w:val="single" w:color="auto" w:sz="4" w:space="0"/>
            </w:tcBorders>
            <w:vAlign w:val="center"/>
          </w:tcPr>
          <w:p w14:paraId="5368183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377" w:type="dxa"/>
            <w:tcBorders>
              <w:left w:val="single" w:color="auto" w:sz="4" w:space="0"/>
            </w:tcBorders>
            <w:vAlign w:val="center"/>
          </w:tcPr>
          <w:p w14:paraId="0851216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414" w:type="dxa"/>
            <w:vAlign w:val="center"/>
          </w:tcPr>
          <w:p w14:paraId="28BC911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c>
          <w:tcPr>
            <w:tcW w:w="1047" w:type="dxa"/>
            <w:vAlign w:val="center"/>
          </w:tcPr>
          <w:p w14:paraId="2EDE98BA">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p>
        </w:tc>
      </w:tr>
    </w:tbl>
    <w:p w14:paraId="375D9006">
      <w:pPr>
        <w:adjustRightInd w:val="0"/>
        <w:snapToGrid w:val="0"/>
        <w:spacing w:before="120" w:line="360" w:lineRule="auto"/>
        <w:ind w:left="-88" w:leftChars="-42"/>
        <w:rPr>
          <w:rFonts w:ascii="宋体" w:hAnsi="宋体" w:cs="宋体"/>
          <w:b/>
          <w:color w:val="auto"/>
          <w:szCs w:val="21"/>
          <w:highlight w:val="none"/>
        </w:rPr>
      </w:pPr>
    </w:p>
    <w:p w14:paraId="4F3E3659">
      <w:pPr>
        <w:adjustRightInd w:val="0"/>
        <w:snapToGrid w:val="0"/>
        <w:spacing w:before="120" w:line="360" w:lineRule="auto"/>
        <w:ind w:left="-88" w:leftChars="-42"/>
        <w:rPr>
          <w:rFonts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b/>
          <w:bCs/>
          <w:color w:val="auto"/>
          <w:szCs w:val="21"/>
          <w:highlight w:val="none"/>
        </w:rPr>
        <w:t>：供应商须对采购需求中的技术（服务）的条款逐项如实作出响应，任何负偏离或未响应的将视为无效投标。</w:t>
      </w:r>
    </w:p>
    <w:p w14:paraId="5B49F41E">
      <w:pPr>
        <w:adjustRightInd w:val="0"/>
        <w:snapToGrid w:val="0"/>
        <w:spacing w:before="120" w:line="360" w:lineRule="auto"/>
        <w:rPr>
          <w:rFonts w:ascii="宋体" w:hAnsi="宋体" w:cs="宋体"/>
          <w:color w:val="auto"/>
          <w:szCs w:val="21"/>
          <w:highlight w:val="none"/>
        </w:rPr>
      </w:pPr>
    </w:p>
    <w:p w14:paraId="45A62813">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310909CC">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w:t>
      </w:r>
      <w:r>
        <w:rPr>
          <w:rFonts w:hint="eastAsia" w:ascii="宋体" w:hAnsi="宋体" w:cs="宋体"/>
          <w:color w:val="auto"/>
          <w:szCs w:val="21"/>
          <w:highlight w:val="none"/>
          <w:u w:val="single"/>
        </w:rPr>
        <w:t xml:space="preserve">                     </w:t>
      </w:r>
    </w:p>
    <w:p w14:paraId="69E3DED8">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2BAC3C8">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32"/>
          <w:szCs w:val="21"/>
          <w:highlight w:val="none"/>
          <w:lang w:val="en-US" w:eastAsia="zh-CN" w:bidi="ar-SA"/>
        </w:rPr>
        <w:br w:type="page"/>
      </w:r>
      <w:bookmarkStart w:id="963" w:name="_Toc528307199"/>
      <w:r>
        <w:rPr>
          <w:rFonts w:hint="eastAsia" w:ascii="宋体" w:hAnsi="宋体" w:eastAsia="宋体" w:cs="宋体"/>
          <w:b/>
          <w:bCs/>
          <w:color w:val="auto"/>
          <w:kern w:val="2"/>
          <w:sz w:val="28"/>
          <w:szCs w:val="28"/>
          <w:highlight w:val="none"/>
          <w:lang w:val="en-US" w:eastAsia="zh-CN" w:bidi="ar-SA"/>
        </w:rPr>
        <w:t>五、享受政府采购政策优惠的证明资料</w:t>
      </w:r>
      <w:bookmarkEnd w:id="963"/>
    </w:p>
    <w:p w14:paraId="7C086EDB">
      <w:pPr>
        <w:adjustRightInd w:val="0"/>
        <w:snapToGrid w:val="0"/>
        <w:spacing w:before="120" w:line="360" w:lineRule="auto"/>
        <w:ind w:firstLine="444" w:firstLineChars="200"/>
        <w:rPr>
          <w:rFonts w:ascii="宋体" w:hAnsi="宋体" w:cs="宋体"/>
          <w:bCs/>
          <w:color w:val="auto"/>
          <w:spacing w:val="6"/>
          <w:kern w:val="0"/>
          <w:szCs w:val="21"/>
          <w:highlight w:val="none"/>
        </w:rPr>
      </w:pPr>
      <w:r>
        <w:rPr>
          <w:rFonts w:hint="eastAsia" w:ascii="宋体" w:hAnsi="宋体" w:cs="宋体"/>
          <w:bCs/>
          <w:color w:val="auto"/>
          <w:spacing w:val="6"/>
          <w:kern w:val="0"/>
          <w:szCs w:val="21"/>
          <w:highlight w:val="none"/>
        </w:rPr>
        <w:t>供应商符合第三章第38条要求的，应提供下列证明资料，并按本章“分项价格表”要求填写相关数据。未按上述要求提供的，评审时不予以考虑。</w:t>
      </w:r>
    </w:p>
    <w:p w14:paraId="00EB9E0C">
      <w:pPr>
        <w:keepNext/>
        <w:keepLines/>
        <w:widowControl w:val="0"/>
        <w:spacing w:before="120" w:after="290" w:line="376" w:lineRule="auto"/>
        <w:jc w:val="both"/>
        <w:outlineLvl w:val="3"/>
        <w:rPr>
          <w:rFonts w:hint="eastAsia"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附5-1 </w:t>
      </w:r>
      <w:r>
        <w:rPr>
          <w:rFonts w:hint="eastAsia" w:ascii="宋体" w:hAnsi="宋体" w:eastAsia="宋体" w:cs="宋体"/>
          <w:b/>
          <w:bCs w:val="0"/>
          <w:color w:val="auto"/>
          <w:spacing w:val="6"/>
          <w:kern w:val="0"/>
          <w:sz w:val="24"/>
          <w:szCs w:val="24"/>
          <w:highlight w:val="none"/>
          <w:lang w:val="en-US" w:eastAsia="zh-CN" w:bidi="ar-SA"/>
        </w:rPr>
        <w:t>中小企业声明函</w:t>
      </w:r>
    </w:p>
    <w:p w14:paraId="7203CA9B">
      <w:pPr>
        <w:widowControl/>
        <w:adjustRightInd w:val="0"/>
        <w:snapToGrid w:val="0"/>
        <w:spacing w:before="120" w:line="360" w:lineRule="auto"/>
        <w:ind w:firstLine="444" w:firstLineChars="200"/>
        <w:jc w:val="left"/>
        <w:rPr>
          <w:rFonts w:ascii="宋体" w:hAnsi="宋体" w:cs="宋体"/>
          <w:color w:val="auto"/>
          <w:spacing w:val="6"/>
          <w:kern w:val="0"/>
          <w:szCs w:val="21"/>
          <w:highlight w:val="none"/>
        </w:rPr>
      </w:pPr>
    </w:p>
    <w:p w14:paraId="2C026BB8">
      <w:pPr>
        <w:widowControl w:val="0"/>
        <w:spacing w:before="120" w:line="528" w:lineRule="exact"/>
        <w:ind w:firstLine="660"/>
        <w:jc w:val="left"/>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本公司</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郑重声明，根据《政府采购促进中小企业发展管理办法》（财库</w:t>
      </w:r>
      <w:r>
        <w:rPr>
          <w:rFonts w:hint="eastAsia" w:ascii="宋体" w:hAnsi="宋体" w:eastAsia="宋体" w:cs="宋体"/>
          <w:color w:val="auto"/>
          <w:kern w:val="2"/>
          <w:sz w:val="21"/>
          <w:szCs w:val="21"/>
          <w:highlight w:val="none"/>
          <w:lang w:val="zh-TW" w:eastAsia="zh-CN" w:bidi="zh-TW"/>
        </w:rPr>
        <w:t>【</w:t>
      </w:r>
      <w:r>
        <w:rPr>
          <w:rFonts w:hint="eastAsia" w:ascii="宋体" w:hAnsi="宋体" w:eastAsia="宋体" w:cs="宋体"/>
          <w:color w:val="auto"/>
          <w:kern w:val="2"/>
          <w:sz w:val="21"/>
          <w:szCs w:val="21"/>
          <w:highlight w:val="none"/>
          <w:lang w:val="zh-TW" w:eastAsia="zh-TW" w:bidi="zh-TW"/>
        </w:rPr>
        <w:t>2020</w:t>
      </w:r>
      <w:r>
        <w:rPr>
          <w:rFonts w:hint="eastAsia" w:ascii="宋体" w:hAnsi="宋体" w:eastAsia="宋体" w:cs="宋体"/>
          <w:color w:val="auto"/>
          <w:kern w:val="2"/>
          <w:sz w:val="21"/>
          <w:szCs w:val="21"/>
          <w:highlight w:val="none"/>
          <w:lang w:val="zh-TW" w:eastAsia="zh-CN" w:bidi="zh-TW"/>
        </w:rPr>
        <w:t>】</w:t>
      </w:r>
      <w:r>
        <w:rPr>
          <w:rFonts w:hint="eastAsia" w:ascii="宋体" w:hAnsi="宋体" w:eastAsia="宋体" w:cs="宋体"/>
          <w:color w:val="auto"/>
          <w:kern w:val="2"/>
          <w:sz w:val="21"/>
          <w:szCs w:val="21"/>
          <w:highlight w:val="none"/>
          <w:lang w:val="en-US" w:eastAsia="zh-CN" w:bidi="zh-TW"/>
        </w:rPr>
        <w:t>46</w:t>
      </w:r>
      <w:r>
        <w:rPr>
          <w:rFonts w:hint="eastAsia" w:ascii="宋体" w:hAnsi="宋体" w:eastAsia="宋体" w:cs="宋体"/>
          <w:color w:val="auto"/>
          <w:kern w:val="2"/>
          <w:sz w:val="21"/>
          <w:szCs w:val="21"/>
          <w:highlight w:val="none"/>
          <w:lang w:val="zh-TW" w:eastAsia="zh-TW" w:bidi="zh-TW"/>
        </w:rPr>
        <w:t>号）的规定，本公司</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参加</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（单位名称）</w:t>
      </w:r>
      <w:r>
        <w:rPr>
          <w:rFonts w:hint="eastAsia" w:ascii="宋体" w:hAnsi="宋体" w:eastAsia="宋体" w:cs="宋体"/>
          <w:color w:val="auto"/>
          <w:kern w:val="2"/>
          <w:sz w:val="21"/>
          <w:szCs w:val="21"/>
          <w:highlight w:val="none"/>
          <w:lang w:val="zh-TW" w:eastAsia="zh-TW" w:bidi="zh-TW"/>
        </w:rPr>
        <w:t>的</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（项目名称）</w:t>
      </w:r>
      <w:r>
        <w:rPr>
          <w:rFonts w:hint="eastAsia" w:ascii="宋体" w:hAnsi="宋体" w:eastAsia="宋体" w:cs="宋体"/>
          <w:color w:val="auto"/>
          <w:kern w:val="2"/>
          <w:sz w:val="21"/>
          <w:szCs w:val="21"/>
          <w:highlight w:val="none"/>
          <w:lang w:val="zh-TW" w:eastAsia="zh-TW" w:bidi="zh-TW"/>
        </w:rPr>
        <w:t>采购活动，服务全部由符合政策要求的中小企业承接。相关企业</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（含联合体中的中小企业、签订分包意向协议的中小企业）的具体情况如下：</w:t>
      </w:r>
    </w:p>
    <w:p w14:paraId="30AB0E67">
      <w:pPr>
        <w:widowControl w:val="0"/>
        <w:tabs>
          <w:tab w:val="left" w:pos="1193"/>
          <w:tab w:val="left" w:pos="6974"/>
        </w:tabs>
        <w:spacing w:before="120" w:line="528" w:lineRule="exact"/>
        <w:ind w:firstLine="0"/>
        <w:jc w:val="both"/>
        <w:rPr>
          <w:rFonts w:ascii="宋体" w:hAnsi="宋体" w:eastAsia="宋体" w:cs="宋体"/>
          <w:color w:val="auto"/>
          <w:kern w:val="2"/>
          <w:sz w:val="21"/>
          <w:szCs w:val="21"/>
          <w:highlight w:val="none"/>
          <w:lang w:val="zh-TW" w:eastAsia="zh-TW" w:bidi="zh-TW"/>
        </w:rPr>
      </w:pPr>
      <w:bookmarkStart w:id="964" w:name="bookmark0"/>
      <w:bookmarkEnd w:id="964"/>
      <w:r>
        <w:rPr>
          <w:rFonts w:hint="eastAsia" w:ascii="宋体" w:hAnsi="宋体" w:eastAsia="宋体" w:cs="宋体"/>
          <w:color w:val="auto"/>
          <w:kern w:val="2"/>
          <w:sz w:val="21"/>
          <w:szCs w:val="21"/>
          <w:highlight w:val="none"/>
          <w:lang w:val="en-US" w:eastAsia="zh-CN" w:bidi="zh-TW"/>
        </w:rPr>
        <w:t xml:space="preserve">1、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（标的名称）</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（采购文件中明确的所属行业</w:t>
      </w:r>
      <w:r>
        <w:rPr>
          <w:rFonts w:hint="eastAsia" w:ascii="宋体" w:hAnsi="宋体" w:eastAsia="宋体" w:cs="宋体"/>
          <w:color w:val="auto"/>
          <w:kern w:val="2"/>
          <w:sz w:val="21"/>
          <w:szCs w:val="21"/>
          <w:highlight w:val="none"/>
          <w:u w:val="single"/>
          <w:lang w:val="zh-TW" w:eastAsia="zh-CN" w:bidi="zh-TW"/>
        </w:rPr>
        <w:t>：建筑业</w:t>
      </w:r>
      <w:r>
        <w:rPr>
          <w:rFonts w:hint="eastAsia" w:ascii="宋体" w:hAnsi="宋体" w:eastAsia="宋体" w:cs="宋体"/>
          <w:color w:val="auto"/>
          <w:kern w:val="2"/>
          <w:sz w:val="21"/>
          <w:szCs w:val="21"/>
          <w:highlight w:val="none"/>
          <w:u w:val="single"/>
          <w:lang w:val="zh-TW" w:eastAsia="zh-TW" w:bidi="zh-TW"/>
        </w:rPr>
        <w:t>）</w:t>
      </w:r>
      <w:r>
        <w:rPr>
          <w:rFonts w:hint="eastAsia" w:ascii="宋体" w:hAnsi="宋体" w:eastAsia="宋体" w:cs="宋体"/>
          <w:color w:val="auto"/>
          <w:kern w:val="2"/>
          <w:sz w:val="21"/>
          <w:szCs w:val="21"/>
          <w:highlight w:val="none"/>
          <w:lang w:val="zh-TW" w:eastAsia="zh-TW" w:bidi="zh-TW"/>
        </w:rPr>
        <w:t>, 承建（承接）企业为</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（企业名称）</w:t>
      </w:r>
      <w:r>
        <w:rPr>
          <w:rFonts w:hint="eastAsia" w:ascii="宋体" w:hAnsi="宋体" w:eastAsia="宋体" w:cs="宋体"/>
          <w:color w:val="auto"/>
          <w:kern w:val="2"/>
          <w:sz w:val="21"/>
          <w:szCs w:val="21"/>
          <w:highlight w:val="none"/>
          <w:lang w:val="zh-TW" w:eastAsia="zh-TW" w:bidi="zh-TW"/>
        </w:rPr>
        <w:t>,从业人员</w:t>
      </w:r>
      <w:r>
        <w:rPr>
          <w:rFonts w:hint="eastAsia" w:ascii="宋体" w:hAnsi="宋体" w:eastAsia="宋体" w:cs="宋体"/>
          <w:color w:val="auto"/>
          <w:kern w:val="2"/>
          <w:sz w:val="21"/>
          <w:szCs w:val="21"/>
          <w:highlight w:val="none"/>
          <w:u w:val="single"/>
          <w:lang w:val="zh-TW" w:eastAsia="zh-TW" w:bidi="zh-TW"/>
        </w:rPr>
        <w:t xml:space="preserve">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人，营业收入为</w:t>
      </w:r>
      <w:r>
        <w:rPr>
          <w:rFonts w:hint="eastAsia" w:ascii="宋体" w:hAnsi="宋体" w:eastAsia="宋体" w:cs="宋体"/>
          <w:color w:val="auto"/>
          <w:kern w:val="2"/>
          <w:sz w:val="30"/>
          <w:szCs w:val="21"/>
          <w:highlight w:val="none"/>
          <w:u w:val="single"/>
          <w:lang w:val="zh-TW" w:eastAsia="zh-TW" w:bidi="zh-TW"/>
        </w:rPr>
        <w:t xml:space="preserve">    </w:t>
      </w:r>
      <w:r>
        <w:rPr>
          <w:rFonts w:hint="eastAsia" w:ascii="宋体" w:hAnsi="宋体" w:eastAsia="宋体" w:cs="宋体"/>
          <w:color w:val="auto"/>
          <w:kern w:val="2"/>
          <w:sz w:val="21"/>
          <w:szCs w:val="21"/>
          <w:highlight w:val="none"/>
          <w:lang w:val="zh-TW" w:eastAsia="zh-TW" w:bidi="zh-TW"/>
        </w:rPr>
        <w:t>万元，资产总额为</w:t>
      </w:r>
      <w:r>
        <w:rPr>
          <w:rFonts w:hint="eastAsia" w:ascii="宋体" w:hAnsi="宋体" w:eastAsia="宋体" w:cs="宋体"/>
          <w:color w:val="auto"/>
          <w:kern w:val="2"/>
          <w:sz w:val="30"/>
          <w:szCs w:val="21"/>
          <w:highlight w:val="none"/>
          <w:u w:val="single"/>
          <w:lang w:val="zh-TW" w:eastAsia="zh-TW" w:bidi="zh-TW"/>
        </w:rPr>
        <w:t xml:space="preserve">    </w:t>
      </w:r>
      <w:r>
        <w:rPr>
          <w:rFonts w:hint="eastAsia" w:ascii="宋体" w:hAnsi="宋体" w:eastAsia="宋体" w:cs="宋体"/>
          <w:color w:val="auto"/>
          <w:kern w:val="2"/>
          <w:sz w:val="21"/>
          <w:szCs w:val="21"/>
          <w:highlight w:val="none"/>
          <w:lang w:val="zh-TW" w:eastAsia="zh-TW" w:bidi="zh-TW"/>
        </w:rPr>
        <w:t>万元</w:t>
      </w:r>
      <w:r>
        <w:rPr>
          <w:rFonts w:hint="eastAsia" w:ascii="宋体" w:hAnsi="宋体" w:eastAsia="宋体" w:cs="宋体"/>
          <w:color w:val="auto"/>
          <w:kern w:val="2"/>
          <w:sz w:val="21"/>
          <w:szCs w:val="21"/>
          <w:highlight w:val="none"/>
          <w:vertAlign w:val="superscript"/>
          <w:lang w:val="en-US" w:eastAsia="zh-CN" w:bidi="en-US"/>
        </w:rPr>
        <w:t>1</w:t>
      </w:r>
      <w:r>
        <w:rPr>
          <w:rFonts w:hint="eastAsia" w:ascii="宋体" w:hAnsi="宋体" w:eastAsia="宋体" w:cs="宋体"/>
          <w:color w:val="auto"/>
          <w:kern w:val="2"/>
          <w:sz w:val="21"/>
          <w:szCs w:val="21"/>
          <w:highlight w:val="none"/>
          <w:lang w:val="en-US" w:eastAsia="zh-CN" w:bidi="en-US"/>
        </w:rPr>
        <w:t>，</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（中型企业、 小型企业、微型企业）</w:t>
      </w:r>
      <w:r>
        <w:rPr>
          <w:rFonts w:hint="eastAsia" w:ascii="宋体" w:hAnsi="宋体" w:eastAsia="宋体" w:cs="宋体"/>
          <w:color w:val="auto"/>
          <w:kern w:val="2"/>
          <w:sz w:val="21"/>
          <w:szCs w:val="21"/>
          <w:highlight w:val="none"/>
          <w:lang w:val="zh-TW" w:eastAsia="zh-TW" w:bidi="zh-TW"/>
        </w:rPr>
        <w:t>,</w:t>
      </w:r>
    </w:p>
    <w:p w14:paraId="18CC8175">
      <w:pPr>
        <w:widowControl w:val="0"/>
        <w:tabs>
          <w:tab w:val="left" w:pos="1193"/>
          <w:tab w:val="left" w:pos="6965"/>
        </w:tabs>
        <w:spacing w:before="120" w:line="528" w:lineRule="exact"/>
        <w:ind w:firstLine="0"/>
        <w:jc w:val="both"/>
        <w:rPr>
          <w:rFonts w:ascii="宋体" w:hAnsi="宋体" w:eastAsia="宋体" w:cs="宋体"/>
          <w:color w:val="auto"/>
          <w:kern w:val="2"/>
          <w:sz w:val="21"/>
          <w:szCs w:val="21"/>
          <w:highlight w:val="none"/>
          <w:lang w:val="zh-TW" w:eastAsia="zh-TW" w:bidi="zh-TW"/>
        </w:rPr>
      </w:pPr>
      <w:bookmarkStart w:id="965" w:name="bookmark1"/>
      <w:bookmarkEnd w:id="965"/>
      <w:r>
        <w:rPr>
          <w:rFonts w:hint="eastAsia" w:ascii="宋体" w:hAnsi="宋体" w:eastAsia="宋体" w:cs="宋体"/>
          <w:color w:val="auto"/>
          <w:kern w:val="2"/>
          <w:sz w:val="21"/>
          <w:szCs w:val="21"/>
          <w:highlight w:val="none"/>
          <w:lang w:val="en-US" w:eastAsia="zh-CN" w:bidi="zh-TW"/>
        </w:rPr>
        <w:t>2、</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（标的名称）</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（采购文件中明确的所属行业</w:t>
      </w:r>
      <w:r>
        <w:rPr>
          <w:rFonts w:hint="eastAsia" w:ascii="宋体" w:hAnsi="宋体" w:eastAsia="宋体" w:cs="宋体"/>
          <w:color w:val="auto"/>
          <w:kern w:val="2"/>
          <w:sz w:val="21"/>
          <w:szCs w:val="21"/>
          <w:highlight w:val="none"/>
          <w:u w:val="single"/>
          <w:lang w:val="zh-TW" w:eastAsia="zh-CN" w:bidi="zh-TW"/>
        </w:rPr>
        <w:t>：建筑业</w:t>
      </w:r>
      <w:r>
        <w:rPr>
          <w:rFonts w:hint="eastAsia" w:ascii="宋体" w:hAnsi="宋体" w:eastAsia="宋体" w:cs="宋体"/>
          <w:color w:val="auto"/>
          <w:kern w:val="2"/>
          <w:sz w:val="21"/>
          <w:szCs w:val="21"/>
          <w:highlight w:val="none"/>
          <w:u w:val="single"/>
          <w:lang w:val="zh-TW" w:eastAsia="zh-TW" w:bidi="zh-TW"/>
        </w:rPr>
        <w:t>）</w:t>
      </w:r>
      <w:r>
        <w:rPr>
          <w:rFonts w:hint="eastAsia" w:ascii="宋体" w:hAnsi="宋体" w:eastAsia="宋体" w:cs="宋体"/>
          <w:color w:val="auto"/>
          <w:kern w:val="2"/>
          <w:sz w:val="21"/>
          <w:szCs w:val="21"/>
          <w:highlight w:val="none"/>
          <w:lang w:val="zh-TW" w:eastAsia="zh-TW" w:bidi="zh-TW"/>
        </w:rPr>
        <w:t>, 承建（承接）企业为</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（企业名称）</w:t>
      </w:r>
      <w:r>
        <w:rPr>
          <w:rFonts w:hint="eastAsia" w:ascii="宋体" w:hAnsi="宋体" w:eastAsia="宋体" w:cs="宋体"/>
          <w:color w:val="auto"/>
          <w:kern w:val="2"/>
          <w:sz w:val="21"/>
          <w:szCs w:val="21"/>
          <w:highlight w:val="none"/>
          <w:lang w:val="zh-TW" w:eastAsia="zh-TW" w:bidi="zh-TW"/>
        </w:rPr>
        <w:t>,从业人员</w:t>
      </w:r>
      <w:r>
        <w:rPr>
          <w:rFonts w:hint="eastAsia" w:ascii="宋体" w:hAnsi="宋体" w:eastAsia="宋体" w:cs="宋体"/>
          <w:color w:val="auto"/>
          <w:kern w:val="2"/>
          <w:sz w:val="21"/>
          <w:szCs w:val="21"/>
          <w:highlight w:val="none"/>
          <w:u w:val="single"/>
          <w:lang w:val="zh-TW" w:eastAsia="zh-TW" w:bidi="zh-TW"/>
        </w:rPr>
        <w:t xml:space="preserve">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人，营业收入为</w:t>
      </w:r>
      <w:r>
        <w:rPr>
          <w:rFonts w:hint="eastAsia" w:ascii="宋体" w:hAnsi="宋体" w:eastAsia="宋体" w:cs="宋体"/>
          <w:color w:val="auto"/>
          <w:kern w:val="2"/>
          <w:sz w:val="30"/>
          <w:szCs w:val="21"/>
          <w:highlight w:val="none"/>
          <w:u w:val="single"/>
          <w:lang w:val="zh-TW" w:eastAsia="zh-TW" w:bidi="zh-TW"/>
        </w:rPr>
        <w:t xml:space="preserve">    </w:t>
      </w:r>
      <w:r>
        <w:rPr>
          <w:rFonts w:hint="eastAsia" w:ascii="宋体" w:hAnsi="宋体" w:eastAsia="宋体" w:cs="宋体"/>
          <w:color w:val="auto"/>
          <w:kern w:val="2"/>
          <w:sz w:val="21"/>
          <w:szCs w:val="21"/>
          <w:highlight w:val="none"/>
          <w:lang w:val="zh-TW" w:eastAsia="zh-TW" w:bidi="zh-TW"/>
        </w:rPr>
        <w:t>万元，资产总额为</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zh-TW" w:eastAsia="zh-TW" w:bidi="zh-TW"/>
        </w:rPr>
        <w:t>万元，属于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（中型企业、 小型企业、微型企</w:t>
      </w:r>
      <w:r>
        <w:rPr>
          <w:rFonts w:hint="eastAsia" w:ascii="宋体" w:hAnsi="宋体" w:eastAsia="宋体" w:cs="宋体"/>
          <w:color w:val="auto"/>
          <w:kern w:val="2"/>
          <w:sz w:val="21"/>
          <w:szCs w:val="21"/>
          <w:highlight w:val="none"/>
          <w:u w:val="single"/>
          <w:lang w:val="zh-CN" w:eastAsia="zh-CN" w:bidi="zh-CN"/>
        </w:rPr>
        <w:t>业）</w:t>
      </w:r>
      <w:r>
        <w:rPr>
          <w:rFonts w:hint="eastAsia" w:ascii="宋体" w:hAnsi="宋体" w:eastAsia="宋体" w:cs="宋体"/>
          <w:color w:val="auto"/>
          <w:kern w:val="2"/>
          <w:sz w:val="21"/>
          <w:szCs w:val="21"/>
          <w:highlight w:val="none"/>
          <w:lang w:val="zh-CN" w:eastAsia="zh-CN" w:bidi="zh-CN"/>
        </w:rPr>
        <w:t>；</w:t>
      </w:r>
    </w:p>
    <w:p w14:paraId="457B4BB8">
      <w:pPr>
        <w:widowControl w:val="0"/>
        <w:spacing w:before="120" w:line="360" w:lineRule="auto"/>
        <w:ind w:firstLine="660"/>
        <w:jc w:val="both"/>
        <w:rPr>
          <w:rFonts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w:t>
      </w:r>
    </w:p>
    <w:p w14:paraId="794058FC">
      <w:pPr>
        <w:widowControl w:val="0"/>
        <w:spacing w:before="120" w:line="360" w:lineRule="auto"/>
        <w:ind w:firstLine="660"/>
        <w:jc w:val="both"/>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以上企业，不属于大企业的分支机构，不存在控股股东为大企业的情形，也不存在与大企业的负责人为同一人的情形。</w:t>
      </w:r>
    </w:p>
    <w:p w14:paraId="575A8E15">
      <w:pPr>
        <w:widowControl w:val="0"/>
        <w:spacing w:before="120" w:line="360" w:lineRule="auto"/>
        <w:ind w:firstLine="660"/>
        <w:jc w:val="both"/>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本企业对上述声明内容的真实性负责。如有虚假，将依法承担相应责任。</w:t>
      </w:r>
    </w:p>
    <w:p w14:paraId="00621AC9">
      <w:pPr>
        <w:adjustRightInd w:val="0"/>
        <w:snapToGrid w:val="0"/>
        <w:spacing w:before="120" w:line="360" w:lineRule="auto"/>
        <w:ind w:left="-88" w:leftChars="-42" w:firstLine="420" w:firstLineChars="200"/>
        <w:rPr>
          <w:rFonts w:ascii="宋体" w:hAnsi="宋体" w:cs="宋体"/>
          <w:color w:val="auto"/>
          <w:szCs w:val="21"/>
          <w:highlight w:val="none"/>
        </w:rPr>
      </w:pPr>
    </w:p>
    <w:p w14:paraId="1497CBC6">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供应商名称（盖单位章）：</w:t>
      </w:r>
      <w:r>
        <w:rPr>
          <w:rFonts w:hint="eastAsia" w:ascii="宋体" w:hAnsi="宋体" w:cs="宋体"/>
          <w:color w:val="auto"/>
          <w:spacing w:val="6"/>
          <w:kern w:val="0"/>
          <w:szCs w:val="21"/>
          <w:highlight w:val="none"/>
          <w:u w:val="single"/>
        </w:rPr>
        <w:t xml:space="preserve">           </w:t>
      </w:r>
    </w:p>
    <w:p w14:paraId="1BECD03B">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日 期：</w:t>
      </w:r>
      <w:r>
        <w:rPr>
          <w:rFonts w:hint="eastAsia" w:ascii="宋体" w:hAnsi="宋体" w:cs="宋体"/>
          <w:color w:val="auto"/>
          <w:spacing w:val="6"/>
          <w:kern w:val="0"/>
          <w:szCs w:val="21"/>
          <w:highlight w:val="none"/>
          <w:u w:val="single"/>
        </w:rPr>
        <w:t xml:space="preserve">              </w:t>
      </w:r>
    </w:p>
    <w:p w14:paraId="52B4601A">
      <w:pPr>
        <w:widowControl w:val="0"/>
        <w:spacing w:before="120" w:after="120"/>
        <w:jc w:val="both"/>
        <w:rPr>
          <w:rFonts w:ascii="宋体" w:hAnsi="宋体" w:eastAsia="宋体" w:cs="宋体"/>
          <w:color w:val="auto"/>
          <w:kern w:val="2"/>
          <w:sz w:val="21"/>
          <w:szCs w:val="24"/>
          <w:highlight w:val="none"/>
          <w:lang w:val="en-US" w:eastAsia="zh-CN" w:bidi="ar-SA"/>
        </w:rPr>
      </w:pPr>
    </w:p>
    <w:p w14:paraId="2EB99950">
      <w:pPr>
        <w:spacing w:before="120"/>
        <w:rPr>
          <w:rFonts w:ascii="宋体" w:hAnsi="宋体" w:cs="宋体"/>
          <w:color w:val="auto"/>
          <w:szCs w:val="21"/>
          <w:highlight w:val="none"/>
        </w:rPr>
      </w:pPr>
      <w:r>
        <w:rPr>
          <w:rFonts w:hint="eastAsia" w:ascii="宋体" w:hAnsi="宋体" w:cs="宋体"/>
          <w:color w:val="auto"/>
          <w:highlight w:val="none"/>
        </w:rPr>
        <w:t>说明：</w:t>
      </w:r>
      <w:r>
        <w:rPr>
          <w:rFonts w:hint="eastAsia" w:ascii="宋体" w:hAnsi="宋体" w:cs="宋体"/>
          <w:color w:val="auto"/>
          <w:szCs w:val="21"/>
          <w:highlight w:val="none"/>
        </w:rPr>
        <w:t>从业人员、营业收入、资产总额填报上一年度数据，无上一年度数据的新成立企业可不填报。</w:t>
      </w:r>
    </w:p>
    <w:p w14:paraId="50790F21">
      <w:pPr>
        <w:keepNext/>
        <w:keepLines/>
        <w:widowControl w:val="0"/>
        <w:spacing w:before="120" w:after="290" w:line="376" w:lineRule="auto"/>
        <w:jc w:val="both"/>
        <w:outlineLvl w:val="3"/>
        <w:rPr>
          <w:rFonts w:ascii="宋体" w:hAnsi="宋体" w:eastAsia="宋体" w:cs="宋体"/>
          <w:b/>
          <w:bCs/>
          <w:color w:val="auto"/>
          <w:spacing w:val="6"/>
          <w:kern w:val="2"/>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附5-2 </w:t>
      </w:r>
      <w:r>
        <w:rPr>
          <w:rFonts w:hint="eastAsia" w:ascii="宋体" w:hAnsi="宋体" w:eastAsia="宋体" w:cs="宋体"/>
          <w:b/>
          <w:bCs/>
          <w:color w:val="auto"/>
          <w:spacing w:val="6"/>
          <w:kern w:val="2"/>
          <w:sz w:val="24"/>
          <w:szCs w:val="24"/>
          <w:highlight w:val="none"/>
          <w:lang w:val="en-US" w:eastAsia="zh-CN" w:bidi="ar-SA"/>
        </w:rPr>
        <w:t>残疾人福利性单位声明函</w:t>
      </w:r>
    </w:p>
    <w:p w14:paraId="221C9AF9">
      <w:pPr>
        <w:spacing w:before="120"/>
        <w:rPr>
          <w:rFonts w:ascii="Times New Roman" w:hAnsi="Times New Roman" w:cs="Times New Roman"/>
          <w:color w:val="auto"/>
          <w:highlight w:val="none"/>
        </w:rPr>
      </w:pPr>
    </w:p>
    <w:p w14:paraId="37D0E2D9">
      <w:pPr>
        <w:adjustRightInd w:val="0"/>
        <w:snapToGrid w:val="0"/>
        <w:spacing w:before="120"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(不属于残疾人福利性单位的无需填写)</w:t>
      </w:r>
    </w:p>
    <w:p w14:paraId="45935826">
      <w:pPr>
        <w:adjustRightInd w:val="0"/>
        <w:snapToGrid w:val="0"/>
        <w:spacing w:before="120" w:line="360" w:lineRule="auto"/>
        <w:ind w:firstLine="444" w:firstLineChars="200"/>
        <w:rPr>
          <w:rFonts w:ascii="宋体" w:hAnsi="宋体" w:cs="宋体"/>
          <w:color w:val="auto"/>
          <w:spacing w:val="6"/>
          <w:szCs w:val="21"/>
          <w:highlight w:val="none"/>
        </w:rPr>
      </w:pPr>
    </w:p>
    <w:p w14:paraId="7E1B6B87">
      <w:pPr>
        <w:adjustRightInd w:val="0"/>
        <w:snapToGrid w:val="0"/>
        <w:spacing w:before="120"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E11067">
      <w:pPr>
        <w:adjustRightInd w:val="0"/>
        <w:snapToGrid w:val="0"/>
        <w:spacing w:before="120"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0466FD5">
      <w:pPr>
        <w:adjustRightInd w:val="0"/>
        <w:snapToGrid w:val="0"/>
        <w:spacing w:before="120" w:line="360" w:lineRule="auto"/>
        <w:ind w:firstLine="444" w:firstLineChars="200"/>
        <w:rPr>
          <w:rFonts w:ascii="宋体" w:hAnsi="宋体" w:cs="宋体"/>
          <w:color w:val="auto"/>
          <w:spacing w:val="6"/>
          <w:szCs w:val="21"/>
          <w:highlight w:val="none"/>
        </w:rPr>
      </w:pPr>
    </w:p>
    <w:p w14:paraId="20E462DE">
      <w:pPr>
        <w:adjustRightInd w:val="0"/>
        <w:snapToGrid w:val="0"/>
        <w:spacing w:before="120" w:line="360" w:lineRule="auto"/>
        <w:ind w:firstLine="444" w:firstLineChars="200"/>
        <w:rPr>
          <w:rFonts w:ascii="宋体" w:hAnsi="宋体" w:cs="宋体"/>
          <w:color w:val="auto"/>
          <w:spacing w:val="6"/>
          <w:szCs w:val="21"/>
          <w:highlight w:val="none"/>
        </w:rPr>
      </w:pPr>
    </w:p>
    <w:p w14:paraId="28835BD5">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pacing w:val="6"/>
          <w:kern w:val="0"/>
          <w:szCs w:val="21"/>
          <w:highlight w:val="none"/>
        </w:rPr>
        <w:t xml:space="preserve">         供应商名称（盖单位章）：</w:t>
      </w:r>
      <w:r>
        <w:rPr>
          <w:rFonts w:hint="eastAsia" w:ascii="宋体" w:hAnsi="宋体" w:cs="宋体"/>
          <w:color w:val="auto"/>
          <w:spacing w:val="6"/>
          <w:kern w:val="0"/>
          <w:szCs w:val="21"/>
          <w:highlight w:val="none"/>
          <w:u w:val="single"/>
        </w:rPr>
        <w:t xml:space="preserve">           </w:t>
      </w:r>
    </w:p>
    <w:p w14:paraId="66758FF8">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日 期：</w:t>
      </w:r>
      <w:r>
        <w:rPr>
          <w:rFonts w:hint="eastAsia" w:ascii="宋体" w:hAnsi="宋体" w:cs="宋体"/>
          <w:color w:val="auto"/>
          <w:spacing w:val="6"/>
          <w:kern w:val="0"/>
          <w:szCs w:val="21"/>
          <w:highlight w:val="none"/>
          <w:u w:val="single"/>
        </w:rPr>
        <w:t xml:space="preserve">              </w:t>
      </w:r>
    </w:p>
    <w:p w14:paraId="58B04125">
      <w:pPr>
        <w:tabs>
          <w:tab w:val="left" w:pos="4860"/>
        </w:tabs>
        <w:adjustRightInd w:val="0"/>
        <w:snapToGrid w:val="0"/>
        <w:spacing w:before="120" w:line="360" w:lineRule="auto"/>
        <w:ind w:right="1560" w:firstLine="444" w:firstLineChars="200"/>
        <w:jc w:val="center"/>
        <w:rPr>
          <w:rFonts w:ascii="宋体" w:hAnsi="宋体" w:cs="宋体"/>
          <w:color w:val="auto"/>
          <w:spacing w:val="6"/>
          <w:szCs w:val="21"/>
          <w:highlight w:val="none"/>
        </w:rPr>
      </w:pPr>
    </w:p>
    <w:p w14:paraId="552F6861">
      <w:pPr>
        <w:widowControl/>
        <w:adjustRightInd w:val="0"/>
        <w:snapToGrid w:val="0"/>
        <w:spacing w:before="120" w:line="360" w:lineRule="auto"/>
        <w:jc w:val="left"/>
        <w:rPr>
          <w:rFonts w:ascii="宋体" w:hAnsi="宋体" w:cs="宋体"/>
          <w:color w:val="auto"/>
          <w:kern w:val="0"/>
          <w:szCs w:val="21"/>
          <w:highlight w:val="none"/>
        </w:rPr>
      </w:pPr>
    </w:p>
    <w:p w14:paraId="370FE92D">
      <w:pPr>
        <w:widowControl/>
        <w:adjustRightInd w:val="0"/>
        <w:snapToGrid w:val="0"/>
        <w:spacing w:before="120" w:line="360" w:lineRule="auto"/>
        <w:rPr>
          <w:rFonts w:ascii="宋体" w:hAnsi="宋体" w:cs="宋体"/>
          <w:color w:val="auto"/>
          <w:kern w:val="0"/>
          <w:szCs w:val="21"/>
          <w:highlight w:val="none"/>
        </w:rPr>
      </w:pPr>
    </w:p>
    <w:p w14:paraId="4EC5610B">
      <w:pPr>
        <w:widowControl/>
        <w:adjustRightInd w:val="0"/>
        <w:snapToGrid w:val="0"/>
        <w:spacing w:before="120" w:line="360" w:lineRule="auto"/>
        <w:rPr>
          <w:rFonts w:ascii="宋体" w:hAnsi="宋体" w:cs="宋体"/>
          <w:color w:val="auto"/>
          <w:kern w:val="0"/>
          <w:szCs w:val="21"/>
          <w:highlight w:val="none"/>
        </w:rPr>
      </w:pPr>
    </w:p>
    <w:p w14:paraId="3EA0628D">
      <w:pPr>
        <w:spacing w:before="120"/>
        <w:rPr>
          <w:rFonts w:hint="eastAsia" w:ascii="宋体" w:hAnsi="宋体" w:cs="宋体"/>
          <w:bCs w:val="0"/>
          <w:color w:val="auto"/>
          <w:spacing w:val="6"/>
          <w:kern w:val="0"/>
          <w:sz w:val="24"/>
          <w:szCs w:val="24"/>
          <w:highlight w:val="none"/>
        </w:rPr>
        <w:sectPr>
          <w:pgSz w:w="11906" w:h="16838"/>
          <w:pgMar w:top="1587" w:right="1474" w:bottom="1474" w:left="1587" w:header="851" w:footer="992" w:gutter="0"/>
          <w:cols w:space="720" w:num="1"/>
          <w:docGrid w:linePitch="312" w:charSpace="0"/>
        </w:sectPr>
      </w:pPr>
    </w:p>
    <w:p w14:paraId="50B8F3EF">
      <w:pPr>
        <w:keepNext/>
        <w:keepLines/>
        <w:widowControl w:val="0"/>
        <w:spacing w:before="120" w:after="290" w:line="376" w:lineRule="auto"/>
        <w:jc w:val="both"/>
        <w:outlineLvl w:val="3"/>
        <w:rPr>
          <w:rFonts w:ascii="宋体" w:hAnsi="宋体" w:eastAsia="宋体" w:cs="宋体"/>
          <w:b/>
          <w:bCs/>
          <w:color w:val="auto"/>
          <w:kern w:val="2"/>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附5-3 </w:t>
      </w:r>
      <w:r>
        <w:rPr>
          <w:rFonts w:hint="eastAsia" w:ascii="宋体" w:hAnsi="宋体" w:eastAsia="宋体" w:cs="宋体"/>
          <w:b/>
          <w:bCs/>
          <w:color w:val="auto"/>
          <w:kern w:val="2"/>
          <w:sz w:val="24"/>
          <w:szCs w:val="24"/>
          <w:highlight w:val="none"/>
          <w:lang w:val="en-US" w:eastAsia="zh-CN" w:bidi="ar-SA"/>
        </w:rPr>
        <w:t>监狱企业证明资料</w:t>
      </w:r>
    </w:p>
    <w:p w14:paraId="335DD51A">
      <w:pPr>
        <w:spacing w:before="120"/>
        <w:rPr>
          <w:rFonts w:ascii="Times New Roman" w:hAnsi="Times New Roman" w:cs="Times New Roman"/>
          <w:color w:val="auto"/>
          <w:highlight w:val="none"/>
        </w:rPr>
      </w:pPr>
    </w:p>
    <w:p w14:paraId="55DB4916">
      <w:pPr>
        <w:adjustRightInd w:val="0"/>
        <w:snapToGrid w:val="0"/>
        <w:spacing w:before="120"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(不属于监狱企业的无需提供)</w:t>
      </w:r>
    </w:p>
    <w:p w14:paraId="4E2D21D3">
      <w:pPr>
        <w:adjustRightInd w:val="0"/>
        <w:snapToGrid w:val="0"/>
        <w:spacing w:before="120" w:line="360" w:lineRule="auto"/>
        <w:rPr>
          <w:rFonts w:ascii="宋体" w:hAnsi="宋体" w:cs="宋体"/>
          <w:color w:val="auto"/>
          <w:szCs w:val="21"/>
          <w:highlight w:val="none"/>
        </w:rPr>
      </w:pPr>
    </w:p>
    <w:p w14:paraId="4A1B31C3">
      <w:pPr>
        <w:adjustRightInd w:val="0"/>
        <w:snapToGrid w:val="0"/>
        <w:spacing w:before="120" w:line="360" w:lineRule="auto"/>
        <w:ind w:firstLine="444" w:firstLineChars="200"/>
        <w:rPr>
          <w:rFonts w:ascii="宋体" w:hAnsi="宋体" w:cs="宋体"/>
          <w:color w:val="auto"/>
          <w:szCs w:val="21"/>
          <w:highlight w:val="none"/>
        </w:rPr>
      </w:pPr>
      <w:r>
        <w:rPr>
          <w:rFonts w:hint="eastAsia" w:ascii="宋体" w:hAnsi="宋体" w:cs="宋体"/>
          <w:bCs/>
          <w:color w:val="auto"/>
          <w:spacing w:val="6"/>
          <w:kern w:val="0"/>
          <w:szCs w:val="21"/>
          <w:highlight w:val="none"/>
        </w:rPr>
        <w:t>备注：</w:t>
      </w:r>
      <w:r>
        <w:rPr>
          <w:rFonts w:hint="eastAsia" w:ascii="宋体" w:hAnsi="宋体" w:cs="宋体"/>
          <w:color w:val="auto"/>
          <w:szCs w:val="21"/>
          <w:highlight w:val="none"/>
        </w:rPr>
        <w:t>按</w:t>
      </w:r>
      <w:r>
        <w:rPr>
          <w:rFonts w:hint="eastAsia" w:ascii="宋体" w:hAnsi="宋体" w:cs="宋体"/>
          <w:color w:val="auto"/>
          <w:spacing w:val="6"/>
          <w:szCs w:val="21"/>
          <w:highlight w:val="none"/>
        </w:rPr>
        <w:t>《</w:t>
      </w:r>
      <w:r>
        <w:rPr>
          <w:rFonts w:hint="eastAsia" w:ascii="宋体" w:hAnsi="宋体" w:cs="宋体"/>
          <w:color w:val="auto"/>
          <w:szCs w:val="21"/>
          <w:highlight w:val="none"/>
        </w:rPr>
        <w:t>财政部 司法部关于政府采购支持监狱企业发展有关问题的通知</w:t>
      </w:r>
      <w:r>
        <w:rPr>
          <w:rFonts w:hint="eastAsia" w:ascii="宋体" w:hAnsi="宋体" w:cs="宋体"/>
          <w:color w:val="auto"/>
          <w:spacing w:val="6"/>
          <w:szCs w:val="21"/>
          <w:highlight w:val="none"/>
        </w:rPr>
        <w:t>》</w:t>
      </w:r>
      <w:r>
        <w:rPr>
          <w:rFonts w:hint="eastAsia" w:ascii="宋体" w:hAnsi="宋体" w:cs="宋体"/>
          <w:color w:val="auto"/>
          <w:szCs w:val="21"/>
          <w:highlight w:val="none"/>
        </w:rPr>
        <w:t>(财库〔2014〕68号)文件规定提供证明文件（复印件）。</w:t>
      </w:r>
    </w:p>
    <w:p w14:paraId="5A060AB4">
      <w:pPr>
        <w:adjustRightInd w:val="0"/>
        <w:snapToGrid w:val="0"/>
        <w:spacing w:before="120" w:line="360" w:lineRule="auto"/>
        <w:rPr>
          <w:rFonts w:ascii="宋体" w:hAnsi="宋体" w:cs="宋体"/>
          <w:bCs/>
          <w:color w:val="auto"/>
          <w:spacing w:val="6"/>
          <w:kern w:val="0"/>
          <w:szCs w:val="21"/>
          <w:highlight w:val="none"/>
        </w:rPr>
      </w:pPr>
      <w:r>
        <w:rPr>
          <w:rFonts w:hint="eastAsia" w:ascii="宋体" w:hAnsi="宋体" w:cs="宋体"/>
          <w:bCs/>
          <w:color w:val="auto"/>
          <w:spacing w:val="6"/>
          <w:kern w:val="0"/>
          <w:szCs w:val="21"/>
          <w:highlight w:val="none"/>
        </w:rPr>
        <w:br w:type="page"/>
      </w:r>
    </w:p>
    <w:p w14:paraId="0A9B609F">
      <w:pPr>
        <w:keepNext/>
        <w:keepLines/>
        <w:widowControl w:val="0"/>
        <w:spacing w:before="120" w:after="290" w:line="376" w:lineRule="auto"/>
        <w:jc w:val="both"/>
        <w:outlineLvl w:val="3"/>
        <w:rPr>
          <w:rFonts w:ascii="宋体" w:hAnsi="宋体" w:eastAsia="宋体" w:cs="宋体"/>
          <w:b/>
          <w:bCs/>
          <w:color w:val="auto"/>
          <w:kern w:val="2"/>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附5-4 </w:t>
      </w:r>
      <w:r>
        <w:rPr>
          <w:rFonts w:hint="eastAsia" w:ascii="宋体" w:hAnsi="宋体" w:eastAsia="宋体" w:cs="宋体"/>
          <w:b/>
          <w:bCs/>
          <w:color w:val="auto"/>
          <w:kern w:val="2"/>
          <w:sz w:val="24"/>
          <w:szCs w:val="24"/>
          <w:highlight w:val="none"/>
          <w:lang w:val="en-US" w:eastAsia="zh-CN" w:bidi="ar-SA"/>
        </w:rPr>
        <w:t>节能</w:t>
      </w:r>
      <w:r>
        <w:rPr>
          <w:rFonts w:hint="eastAsia" w:ascii="宋体" w:hAnsi="宋体" w:eastAsia="宋体" w:cs="宋体"/>
          <w:b/>
          <w:bCs w:val="0"/>
          <w:color w:val="auto"/>
          <w:kern w:val="2"/>
          <w:sz w:val="24"/>
          <w:szCs w:val="24"/>
          <w:highlight w:val="none"/>
          <w:lang w:val="en-US" w:eastAsia="zh-CN" w:bidi="ar-SA"/>
        </w:rPr>
        <w:t>产品</w:t>
      </w:r>
      <w:r>
        <w:rPr>
          <w:rFonts w:hint="eastAsia" w:ascii="宋体" w:hAnsi="宋体" w:eastAsia="宋体" w:cs="宋体"/>
          <w:b/>
          <w:bCs/>
          <w:color w:val="auto"/>
          <w:kern w:val="2"/>
          <w:sz w:val="24"/>
          <w:szCs w:val="24"/>
          <w:highlight w:val="none"/>
          <w:lang w:val="en-US" w:eastAsia="zh-CN" w:bidi="ar-SA"/>
        </w:rPr>
        <w:t>、环境标志</w:t>
      </w:r>
      <w:r>
        <w:rPr>
          <w:rFonts w:hint="eastAsia" w:ascii="宋体" w:hAnsi="宋体" w:eastAsia="宋体" w:cs="宋体"/>
          <w:b/>
          <w:bCs w:val="0"/>
          <w:color w:val="auto"/>
          <w:kern w:val="2"/>
          <w:sz w:val="24"/>
          <w:szCs w:val="24"/>
          <w:highlight w:val="none"/>
          <w:lang w:val="en-US" w:eastAsia="zh-CN" w:bidi="ar-SA"/>
        </w:rPr>
        <w:t>产品的</w:t>
      </w:r>
      <w:r>
        <w:rPr>
          <w:rFonts w:hint="eastAsia" w:ascii="宋体" w:hAnsi="宋体" w:eastAsia="宋体" w:cs="宋体"/>
          <w:b/>
          <w:bCs/>
          <w:color w:val="auto"/>
          <w:kern w:val="2"/>
          <w:sz w:val="24"/>
          <w:szCs w:val="24"/>
          <w:highlight w:val="none"/>
          <w:lang w:val="en-US" w:eastAsia="zh-CN" w:bidi="ar-SA"/>
        </w:rPr>
        <w:t>证明材料</w:t>
      </w:r>
    </w:p>
    <w:p w14:paraId="0E8B30AC">
      <w:pPr>
        <w:spacing w:before="120"/>
        <w:rPr>
          <w:rFonts w:ascii="Times New Roman" w:hAnsi="Times New Roman" w:cs="Times New Roman"/>
          <w:color w:val="auto"/>
          <w:highlight w:val="none"/>
        </w:rPr>
      </w:pPr>
    </w:p>
    <w:p w14:paraId="303EFB66">
      <w:pPr>
        <w:adjustRightInd w:val="0"/>
        <w:snapToGrid w:val="0"/>
        <w:spacing w:before="120"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(不属于强制采购或者优先采购产品的无需提供)</w:t>
      </w:r>
    </w:p>
    <w:p w14:paraId="01C6AF1E">
      <w:pPr>
        <w:adjustRightInd w:val="0"/>
        <w:snapToGrid w:val="0"/>
        <w:spacing w:before="120" w:line="360" w:lineRule="auto"/>
        <w:ind w:firstLine="420" w:firstLineChars="200"/>
        <w:jc w:val="left"/>
        <w:rPr>
          <w:rFonts w:ascii="宋体" w:hAnsi="宋体" w:cs="宋体"/>
          <w:color w:val="auto"/>
          <w:szCs w:val="21"/>
          <w:highlight w:val="none"/>
        </w:rPr>
      </w:pPr>
    </w:p>
    <w:p w14:paraId="44048977">
      <w:pPr>
        <w:adjustRightInd w:val="0"/>
        <w:snapToGrid w:val="0"/>
        <w:spacing w:before="12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说明：列入政府采购节能产品与环境标志产品品目清单及认证证书的，按</w:t>
      </w:r>
      <w:r>
        <w:rPr>
          <w:rFonts w:hint="eastAsia" w:ascii="宋体" w:hAnsi="宋体" w:cs="宋体"/>
          <w:color w:val="auto"/>
          <w:kern w:val="0"/>
          <w:szCs w:val="21"/>
          <w:highlight w:val="none"/>
        </w:rPr>
        <w:t>财政部 发展改革委 生态环境部 市场监管总局关于调整优化节能产品、环境标志产品政府采购执行机制的通知（财库〔2019〕9号实行强制采购。</w:t>
      </w:r>
    </w:p>
    <w:p w14:paraId="162AD43B">
      <w:pPr>
        <w:adjustRightInd w:val="0"/>
        <w:snapToGrid w:val="0"/>
        <w:spacing w:before="120" w:line="360" w:lineRule="auto"/>
        <w:ind w:firstLine="420" w:firstLineChars="200"/>
        <w:jc w:val="left"/>
        <w:rPr>
          <w:rFonts w:ascii="宋体" w:hAnsi="宋体" w:cs="宋体"/>
          <w:color w:val="auto"/>
          <w:szCs w:val="21"/>
          <w:highlight w:val="none"/>
        </w:rPr>
      </w:pPr>
    </w:p>
    <w:p w14:paraId="7C68A103">
      <w:pPr>
        <w:adjustRightInd w:val="0"/>
        <w:snapToGrid w:val="0"/>
        <w:spacing w:before="120" w:line="360" w:lineRule="auto"/>
        <w:rPr>
          <w:rFonts w:ascii="宋体" w:hAnsi="宋体" w:cs="宋体"/>
          <w:color w:val="auto"/>
          <w:szCs w:val="21"/>
          <w:highlight w:val="none"/>
        </w:rPr>
      </w:pPr>
      <w:r>
        <w:rPr>
          <w:rFonts w:hint="eastAsia" w:ascii="微软雅黑" w:hAnsi="微软雅黑" w:eastAsia="微软雅黑" w:cs="微软雅黑"/>
          <w:b/>
          <w:color w:val="auto"/>
          <w:sz w:val="28"/>
          <w:szCs w:val="28"/>
          <w:highlight w:val="none"/>
        </w:rPr>
        <w:br w:type="page"/>
      </w:r>
    </w:p>
    <w:p w14:paraId="06B400A6">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bookmarkStart w:id="966" w:name="_Toc528307200"/>
      <w:r>
        <w:rPr>
          <w:rFonts w:hint="eastAsia" w:ascii="宋体" w:hAnsi="宋体" w:eastAsia="宋体" w:cs="宋体"/>
          <w:b/>
          <w:bCs/>
          <w:color w:val="auto"/>
          <w:kern w:val="2"/>
          <w:sz w:val="28"/>
          <w:szCs w:val="28"/>
          <w:highlight w:val="none"/>
          <w:lang w:val="en-US" w:eastAsia="zh-CN" w:bidi="ar-SA"/>
        </w:rPr>
        <w:t>六、</w:t>
      </w:r>
      <w:bookmarkEnd w:id="966"/>
      <w:r>
        <w:rPr>
          <w:rFonts w:hint="eastAsia" w:ascii="宋体" w:hAnsi="宋体" w:eastAsia="宋体" w:cs="宋体"/>
          <w:b/>
          <w:bCs/>
          <w:color w:val="auto"/>
          <w:kern w:val="2"/>
          <w:sz w:val="28"/>
          <w:szCs w:val="28"/>
          <w:highlight w:val="none"/>
          <w:lang w:val="en-US" w:eastAsia="zh-CN" w:bidi="ar-SA"/>
        </w:rPr>
        <w:t>符合磋商文件规定的证明文件及方案</w:t>
      </w:r>
    </w:p>
    <w:p w14:paraId="689C83AE">
      <w:pPr>
        <w:adjustRightInd w:val="0"/>
        <w:snapToGrid w:val="0"/>
        <w:spacing w:before="120" w:line="360" w:lineRule="auto"/>
        <w:rPr>
          <w:rFonts w:ascii="宋体" w:hAnsi="宋体" w:cs="宋体"/>
          <w:color w:val="auto"/>
          <w:szCs w:val="21"/>
          <w:highlight w:val="none"/>
        </w:rPr>
      </w:pPr>
    </w:p>
    <w:p w14:paraId="29E2DD86">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备注：提供磋商文件规定的证明材料复印件及其方案。</w:t>
      </w:r>
    </w:p>
    <w:p w14:paraId="075E6DEA">
      <w:pPr>
        <w:widowControl/>
        <w:spacing w:before="120"/>
        <w:jc w:val="left"/>
        <w:rPr>
          <w:rFonts w:ascii="宋体" w:hAnsi="宋体" w:cs="宋体"/>
          <w:color w:val="auto"/>
          <w:sz w:val="28"/>
          <w:szCs w:val="28"/>
          <w:highlight w:val="none"/>
        </w:rPr>
      </w:pPr>
      <w:r>
        <w:rPr>
          <w:rFonts w:hint="eastAsia" w:ascii="宋体" w:hAnsi="宋体" w:cs="宋体"/>
          <w:b/>
          <w:bCs/>
          <w:color w:val="auto"/>
          <w:sz w:val="28"/>
          <w:szCs w:val="28"/>
          <w:highlight w:val="none"/>
        </w:rPr>
        <w:br w:type="page"/>
      </w:r>
    </w:p>
    <w:p w14:paraId="13240084">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bookmarkStart w:id="967" w:name="_Toc528307201"/>
      <w:r>
        <w:rPr>
          <w:rFonts w:hint="eastAsia" w:ascii="宋体" w:hAnsi="宋体" w:eastAsia="宋体" w:cs="宋体"/>
          <w:b/>
          <w:bCs/>
          <w:color w:val="auto"/>
          <w:kern w:val="2"/>
          <w:sz w:val="28"/>
          <w:szCs w:val="28"/>
          <w:highlight w:val="none"/>
          <w:lang w:val="en-US" w:eastAsia="zh-CN" w:bidi="ar-SA"/>
        </w:rPr>
        <w:t>七、供应商认为需提供的其他资料</w:t>
      </w:r>
      <w:bookmarkEnd w:id="967"/>
    </w:p>
    <w:p w14:paraId="73E22BD2">
      <w:pPr>
        <w:keepNext/>
        <w:keepLines/>
        <w:widowControl w:val="0"/>
        <w:spacing w:before="120" w:after="260" w:line="416" w:lineRule="auto"/>
        <w:ind w:left="420"/>
        <w:jc w:val="center"/>
        <w:outlineLvl w:val="2"/>
        <w:rPr>
          <w:rFonts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r>
        <w:rPr>
          <w:rFonts w:hint="eastAsia" w:ascii="宋体" w:hAnsi="宋体" w:eastAsia="宋体" w:cs="宋体"/>
          <w:b/>
          <w:bCs/>
          <w:color w:val="auto"/>
          <w:kern w:val="2"/>
          <w:sz w:val="28"/>
          <w:szCs w:val="28"/>
          <w:highlight w:val="none"/>
          <w:lang w:val="en-US" w:eastAsia="zh-CN" w:bidi="ar-SA"/>
        </w:rPr>
        <w:t>八、最后报价</w:t>
      </w:r>
    </w:p>
    <w:p w14:paraId="791C9609">
      <w:pPr>
        <w:spacing w:before="120"/>
        <w:rPr>
          <w:rFonts w:ascii="Times New Roman" w:hAnsi="Times New Roman" w:cs="Times New Roman"/>
          <w:color w:val="auto"/>
          <w:highlight w:val="none"/>
        </w:rPr>
      </w:pPr>
    </w:p>
    <w:p w14:paraId="5E652D07">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项目名称：                                           包号（标段）：</w:t>
      </w:r>
    </w:p>
    <w:p w14:paraId="5FC77349">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政府采购编号</w:t>
      </w:r>
      <w:r>
        <w:rPr>
          <w:rFonts w:hint="eastAsia" w:ascii="宋体" w:hAnsi="宋体" w:cs="宋体"/>
          <w:color w:val="auto"/>
          <w:szCs w:val="21"/>
          <w:highlight w:val="none"/>
        </w:rPr>
        <w:t xml:space="preserve">：                                       </w:t>
      </w:r>
    </w:p>
    <w:p w14:paraId="4D75022E">
      <w:pPr>
        <w:adjustRightInd w:val="0"/>
        <w:snapToGrid w:val="0"/>
        <w:spacing w:before="120"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33"/>
        <w:tblW w:w="90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65"/>
        <w:gridCol w:w="1381"/>
        <w:gridCol w:w="2203"/>
        <w:gridCol w:w="1591"/>
      </w:tblGrid>
      <w:tr w14:paraId="36080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19AE88F1">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响应项目名称</w:t>
            </w:r>
          </w:p>
        </w:tc>
        <w:tc>
          <w:tcPr>
            <w:tcW w:w="1381" w:type="dxa"/>
            <w:vAlign w:val="center"/>
          </w:tcPr>
          <w:p w14:paraId="5529441F">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项目地点</w:t>
            </w:r>
          </w:p>
        </w:tc>
        <w:tc>
          <w:tcPr>
            <w:tcW w:w="2203" w:type="dxa"/>
            <w:vAlign w:val="center"/>
          </w:tcPr>
          <w:p w14:paraId="19DE1C53">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工期</w:t>
            </w:r>
          </w:p>
        </w:tc>
        <w:tc>
          <w:tcPr>
            <w:tcW w:w="1591" w:type="dxa"/>
            <w:vAlign w:val="center"/>
          </w:tcPr>
          <w:p w14:paraId="64A597E5">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备注</w:t>
            </w:r>
          </w:p>
        </w:tc>
      </w:tr>
      <w:tr w14:paraId="39812C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5262A1B3">
            <w:pPr>
              <w:adjustRightInd w:val="0"/>
              <w:snapToGrid w:val="0"/>
              <w:spacing w:before="120" w:line="360" w:lineRule="auto"/>
              <w:jc w:val="center"/>
              <w:rPr>
                <w:rFonts w:ascii="宋体" w:hAnsi="宋体" w:cs="宋体"/>
                <w:color w:val="auto"/>
                <w:kern w:val="0"/>
                <w:szCs w:val="21"/>
                <w:highlight w:val="none"/>
              </w:rPr>
            </w:pPr>
          </w:p>
        </w:tc>
        <w:tc>
          <w:tcPr>
            <w:tcW w:w="1381" w:type="dxa"/>
            <w:vAlign w:val="center"/>
          </w:tcPr>
          <w:p w14:paraId="1784782A">
            <w:pPr>
              <w:adjustRightInd w:val="0"/>
              <w:snapToGrid w:val="0"/>
              <w:spacing w:before="120" w:line="360" w:lineRule="auto"/>
              <w:jc w:val="center"/>
              <w:rPr>
                <w:rFonts w:ascii="宋体" w:hAnsi="宋体" w:cs="宋体"/>
                <w:color w:val="auto"/>
                <w:kern w:val="0"/>
                <w:szCs w:val="21"/>
                <w:highlight w:val="none"/>
              </w:rPr>
            </w:pPr>
          </w:p>
        </w:tc>
        <w:tc>
          <w:tcPr>
            <w:tcW w:w="2203" w:type="dxa"/>
            <w:vAlign w:val="center"/>
          </w:tcPr>
          <w:p w14:paraId="7CB8EEB6">
            <w:pPr>
              <w:adjustRightInd w:val="0"/>
              <w:snapToGrid w:val="0"/>
              <w:spacing w:before="120" w:line="360" w:lineRule="auto"/>
              <w:jc w:val="center"/>
              <w:rPr>
                <w:rFonts w:ascii="宋体" w:hAnsi="宋体" w:cs="宋体"/>
                <w:color w:val="auto"/>
                <w:kern w:val="0"/>
                <w:szCs w:val="21"/>
                <w:highlight w:val="none"/>
              </w:rPr>
            </w:pPr>
          </w:p>
        </w:tc>
        <w:tc>
          <w:tcPr>
            <w:tcW w:w="1591" w:type="dxa"/>
            <w:vAlign w:val="center"/>
          </w:tcPr>
          <w:p w14:paraId="5B950747">
            <w:pPr>
              <w:adjustRightInd w:val="0"/>
              <w:snapToGrid w:val="0"/>
              <w:spacing w:before="120" w:line="360" w:lineRule="auto"/>
              <w:jc w:val="center"/>
              <w:rPr>
                <w:rFonts w:ascii="宋体" w:hAnsi="宋体" w:cs="宋体"/>
                <w:color w:val="auto"/>
                <w:kern w:val="0"/>
                <w:szCs w:val="21"/>
                <w:highlight w:val="none"/>
              </w:rPr>
            </w:pPr>
          </w:p>
        </w:tc>
      </w:tr>
      <w:tr w14:paraId="196D68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40" w:type="dxa"/>
            <w:gridSpan w:val="4"/>
            <w:vAlign w:val="center"/>
          </w:tcPr>
          <w:p w14:paraId="4C061595">
            <w:pPr>
              <w:adjustRightInd w:val="0"/>
              <w:snapToGrid w:val="0"/>
              <w:spacing w:before="12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响应总价：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（大写）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（小写）    </w:t>
            </w:r>
          </w:p>
        </w:tc>
      </w:tr>
      <w:tr w14:paraId="558A1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40" w:type="dxa"/>
            <w:gridSpan w:val="4"/>
            <w:vAlign w:val="center"/>
          </w:tcPr>
          <w:p w14:paraId="6B5DE499">
            <w:pPr>
              <w:widowControl/>
              <w:spacing w:before="120" w:beforeAutospacing="1" w:after="100" w:afterAutospacing="1"/>
              <w:jc w:val="both"/>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说明：供应商应按每个招标的最小单位（包）响应。</w:t>
            </w:r>
          </w:p>
        </w:tc>
      </w:tr>
    </w:tbl>
    <w:p w14:paraId="2A019C16">
      <w:pPr>
        <w:adjustRightInd w:val="0"/>
        <w:snapToGrid w:val="0"/>
        <w:spacing w:before="120" w:line="360" w:lineRule="auto"/>
        <w:rPr>
          <w:rFonts w:ascii="宋体" w:hAnsi="宋体" w:cs="宋体"/>
          <w:color w:val="auto"/>
          <w:szCs w:val="21"/>
          <w:highlight w:val="none"/>
        </w:rPr>
      </w:pPr>
    </w:p>
    <w:p w14:paraId="025AFC40">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14:paraId="6DC6D61C">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1BC59233">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w:t>
      </w:r>
      <w:r>
        <w:rPr>
          <w:rFonts w:hint="eastAsia" w:ascii="宋体" w:hAnsi="宋体" w:cs="宋体"/>
          <w:color w:val="auto"/>
          <w:szCs w:val="21"/>
          <w:highlight w:val="none"/>
          <w:u w:val="single"/>
        </w:rPr>
        <w:t xml:space="preserve">                </w:t>
      </w:r>
    </w:p>
    <w:p w14:paraId="18A50CE2">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AEF8F56">
      <w:pPr>
        <w:adjustRightInd w:val="0"/>
        <w:snapToGrid w:val="0"/>
        <w:spacing w:before="120" w:line="360" w:lineRule="auto"/>
        <w:rPr>
          <w:rFonts w:ascii="宋体" w:hAnsi="宋体" w:cs="Times New Roman"/>
          <w:color w:val="auto"/>
          <w:szCs w:val="21"/>
          <w:highlight w:val="none"/>
        </w:rPr>
      </w:pPr>
    </w:p>
    <w:p w14:paraId="54A93971">
      <w:pPr>
        <w:adjustRightInd w:val="0"/>
        <w:snapToGrid w:val="0"/>
        <w:spacing w:before="120" w:line="360" w:lineRule="auto"/>
        <w:rPr>
          <w:rFonts w:ascii="宋体" w:hAnsi="宋体" w:cs="Times New Roman"/>
          <w:color w:val="auto"/>
          <w:szCs w:val="21"/>
          <w:highlight w:val="none"/>
        </w:rPr>
      </w:pPr>
      <w:r>
        <w:rPr>
          <w:rFonts w:hint="eastAsia" w:ascii="宋体" w:hAnsi="宋体" w:cs="Times New Roman"/>
          <w:color w:val="auto"/>
          <w:szCs w:val="21"/>
          <w:highlight w:val="none"/>
        </w:rPr>
        <w:t>说明：</w:t>
      </w:r>
    </w:p>
    <w:p w14:paraId="3A35195D">
      <w:pPr>
        <w:adjustRightInd w:val="0"/>
        <w:snapToGrid w:val="0"/>
        <w:spacing w:before="120"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1、最后报价格式按本表及分项报价表（工程量清单报价）提供</w:t>
      </w:r>
      <w:r>
        <w:rPr>
          <w:rFonts w:hint="eastAsia" w:ascii="宋体" w:hAnsi="宋体" w:cs="宋体"/>
          <w:b/>
          <w:bCs/>
          <w:color w:val="auto"/>
          <w:kern w:val="0"/>
          <w:szCs w:val="21"/>
          <w:highlight w:val="none"/>
          <w:lang w:eastAsia="zh-CN"/>
        </w:rPr>
        <w:t>，必须提供工程量清单报价。</w:t>
      </w:r>
    </w:p>
    <w:p w14:paraId="274B92C9">
      <w:pPr>
        <w:adjustRightInd w:val="0"/>
        <w:snapToGrid w:val="0"/>
        <w:spacing w:before="120"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2、“最后报价”、“分项报价表（工程量清单报价）”不得装订在响应文件中，供应商需单独准备，磋商现场进行最后报价。</w:t>
      </w:r>
    </w:p>
    <w:p w14:paraId="43BF434B">
      <w:pPr>
        <w:adjustRightInd w:val="0"/>
        <w:snapToGrid w:val="0"/>
        <w:spacing w:before="120" w:line="360" w:lineRule="auto"/>
        <w:ind w:left="-88" w:leftChars="-42" w:firstLine="525" w:firstLineChars="250"/>
        <w:rPr>
          <w:rFonts w:ascii="宋体" w:hAnsi="宋体" w:cs="宋体"/>
          <w:color w:val="auto"/>
          <w:kern w:val="0"/>
          <w:szCs w:val="21"/>
          <w:highlight w:val="none"/>
        </w:rPr>
      </w:pPr>
    </w:p>
    <w:p w14:paraId="0EF687BD">
      <w:pPr>
        <w:adjustRightInd w:val="0"/>
        <w:snapToGrid w:val="0"/>
        <w:spacing w:before="120" w:line="360" w:lineRule="auto"/>
        <w:jc w:val="center"/>
        <w:rPr>
          <w:rFonts w:ascii="宋体" w:hAnsi="宋体" w:cs="宋体"/>
          <w:color w:val="auto"/>
          <w:sz w:val="32"/>
          <w:szCs w:val="32"/>
          <w:highlight w:val="none"/>
        </w:rPr>
      </w:pPr>
      <w:r>
        <w:rPr>
          <w:rFonts w:hint="eastAsia" w:ascii="宋体" w:hAnsi="宋体" w:cs="宋体"/>
          <w:color w:val="auto"/>
          <w:sz w:val="28"/>
          <w:szCs w:val="28"/>
          <w:highlight w:val="none"/>
        </w:rPr>
        <w:br w:type="page"/>
      </w:r>
    </w:p>
    <w:p w14:paraId="0BD7F5FF">
      <w:pPr>
        <w:spacing w:before="120"/>
        <w:jc w:val="center"/>
        <w:rPr>
          <w:rFonts w:ascii="宋体" w:hAnsi="宋体" w:cs="宋体"/>
          <w:bCs/>
          <w:color w:val="auto"/>
          <w:sz w:val="52"/>
          <w:szCs w:val="52"/>
          <w:highlight w:val="none"/>
        </w:rPr>
      </w:pPr>
      <w:bookmarkStart w:id="968" w:name="_Toc528307202"/>
    </w:p>
    <w:p w14:paraId="34E4140B">
      <w:pPr>
        <w:spacing w:before="120"/>
        <w:jc w:val="center"/>
        <w:rPr>
          <w:rFonts w:ascii="宋体" w:hAnsi="宋体" w:cs="宋体"/>
          <w:bCs/>
          <w:color w:val="auto"/>
          <w:sz w:val="52"/>
          <w:szCs w:val="52"/>
          <w:highlight w:val="none"/>
        </w:rPr>
      </w:pPr>
    </w:p>
    <w:p w14:paraId="2B05259B">
      <w:pPr>
        <w:spacing w:before="120"/>
        <w:jc w:val="center"/>
        <w:rPr>
          <w:rFonts w:ascii="宋体" w:hAnsi="宋体" w:cs="宋体"/>
          <w:bCs/>
          <w:color w:val="auto"/>
          <w:sz w:val="84"/>
          <w:highlight w:val="none"/>
        </w:rPr>
      </w:pPr>
      <w:r>
        <w:rPr>
          <w:rFonts w:hint="eastAsia" w:ascii="宋体" w:hAnsi="宋体" w:cs="宋体"/>
          <w:bCs/>
          <w:color w:val="auto"/>
          <w:sz w:val="52"/>
          <w:szCs w:val="52"/>
          <w:highlight w:val="none"/>
        </w:rPr>
        <w:t>竞争性磋商响应文件</w:t>
      </w:r>
      <w:r>
        <w:rPr>
          <w:rFonts w:hint="eastAsia" w:ascii="宋体" w:hAnsi="宋体" w:cs="宋体"/>
          <w:bCs/>
          <w:color w:val="auto"/>
          <w:sz w:val="84"/>
          <w:highlight w:val="none"/>
        </w:rPr>
        <w:t xml:space="preserve"> </w:t>
      </w:r>
    </w:p>
    <w:p w14:paraId="0FF9D4D5">
      <w:pPr>
        <w:adjustRightInd w:val="0"/>
        <w:snapToGrid w:val="0"/>
        <w:spacing w:before="120"/>
        <w:rPr>
          <w:rFonts w:ascii="宋体" w:hAnsi="宋体" w:cs="宋体"/>
          <w:color w:val="auto"/>
          <w:sz w:val="44"/>
          <w:szCs w:val="44"/>
          <w:highlight w:val="none"/>
        </w:rPr>
      </w:pPr>
    </w:p>
    <w:p w14:paraId="0B521937">
      <w:pPr>
        <w:keepNext/>
        <w:keepLines/>
        <w:widowControl w:val="0"/>
        <w:adjustRightInd w:val="0"/>
        <w:snapToGrid w:val="0"/>
        <w:spacing w:before="120" w:line="240" w:lineRule="auto"/>
        <w:jc w:val="center"/>
        <w:outlineLvl w:val="1"/>
        <w:rPr>
          <w:rFonts w:ascii="宋体" w:hAnsi="宋体" w:eastAsia="宋体" w:cs="宋体"/>
          <w:b w:val="0"/>
          <w:bCs/>
          <w:color w:val="auto"/>
          <w:kern w:val="2"/>
          <w:sz w:val="44"/>
          <w:szCs w:val="44"/>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第二册 资格证明文件</w:t>
      </w:r>
      <w:bookmarkEnd w:id="968"/>
    </w:p>
    <w:p w14:paraId="19A2A6DF">
      <w:pPr>
        <w:adjustRightInd w:val="0"/>
        <w:snapToGrid w:val="0"/>
        <w:spacing w:before="120"/>
        <w:rPr>
          <w:rFonts w:ascii="宋体" w:hAnsi="宋体" w:cs="宋体"/>
          <w:color w:val="auto"/>
          <w:sz w:val="30"/>
          <w:szCs w:val="30"/>
          <w:highlight w:val="none"/>
        </w:rPr>
      </w:pPr>
      <w:r>
        <w:rPr>
          <w:rFonts w:hint="eastAsia" w:ascii="宋体" w:hAnsi="宋体" w:cs="宋体"/>
          <w:color w:val="auto"/>
          <w:sz w:val="32"/>
          <w:szCs w:val="32"/>
          <w:highlight w:val="none"/>
        </w:rPr>
        <w:t xml:space="preserve">               </w:t>
      </w:r>
    </w:p>
    <w:tbl>
      <w:tblPr>
        <w:tblStyle w:val="33"/>
        <w:tblpPr w:leftFromText="180" w:rightFromText="180" w:vertAnchor="text" w:horzAnchor="page" w:tblpX="1958" w:tblpY="601"/>
        <w:tblOverlap w:val="never"/>
        <w:tblW w:w="8379"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124"/>
        <w:gridCol w:w="6255"/>
      </w:tblGrid>
      <w:tr w14:paraId="2E26F3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24" w:hRule="exact"/>
        </w:trPr>
        <w:tc>
          <w:tcPr>
            <w:tcW w:w="2124" w:type="dxa"/>
            <w:vAlign w:val="center"/>
          </w:tcPr>
          <w:p w14:paraId="4D221DF4">
            <w:pPr>
              <w:widowControl w:val="0"/>
              <w:adjustRightInd w:val="0"/>
              <w:snapToGrid w:val="0"/>
              <w:spacing w:before="120" w:line="480" w:lineRule="auto"/>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8"/>
                <w:szCs w:val="32"/>
                <w:highlight w:val="none"/>
                <w:lang w:val="en-US" w:eastAsia="zh-CN" w:bidi="ar-SA"/>
              </w:rPr>
              <w:t>采购项目名称:</w:t>
            </w:r>
          </w:p>
        </w:tc>
        <w:tc>
          <w:tcPr>
            <w:tcW w:w="6255" w:type="dxa"/>
            <w:vAlign w:val="center"/>
          </w:tcPr>
          <w:p w14:paraId="0236FB20">
            <w:pPr>
              <w:widowControl w:val="0"/>
              <w:adjustRightInd w:val="0"/>
              <w:snapToGrid w:val="0"/>
              <w:spacing w:before="120" w:line="480" w:lineRule="auto"/>
              <w:jc w:val="both"/>
              <w:rPr>
                <w:rFonts w:ascii="宋体" w:hAnsi="宋体" w:eastAsia="宋体" w:cs="宋体"/>
                <w:b/>
                <w:color w:val="auto"/>
                <w:kern w:val="2"/>
                <w:sz w:val="28"/>
                <w:szCs w:val="32"/>
                <w:highlight w:val="none"/>
                <w:u w:val="single"/>
                <w:lang w:val="en-US" w:eastAsia="zh-CN" w:bidi="ar-SA"/>
              </w:rPr>
            </w:pPr>
          </w:p>
        </w:tc>
      </w:tr>
      <w:tr w14:paraId="4582F8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124" w:type="dxa"/>
            <w:vAlign w:val="center"/>
          </w:tcPr>
          <w:p w14:paraId="0D88F6DA">
            <w:pPr>
              <w:widowControl w:val="0"/>
              <w:adjustRightInd w:val="0"/>
              <w:snapToGrid w:val="0"/>
              <w:spacing w:before="120" w:line="480" w:lineRule="auto"/>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8"/>
                <w:szCs w:val="32"/>
                <w:highlight w:val="none"/>
                <w:lang w:val="en-US" w:eastAsia="zh-CN" w:bidi="ar-SA"/>
              </w:rPr>
              <w:t>采   购   人:</w:t>
            </w:r>
          </w:p>
        </w:tc>
        <w:tc>
          <w:tcPr>
            <w:tcW w:w="6255" w:type="dxa"/>
            <w:vAlign w:val="center"/>
          </w:tcPr>
          <w:p w14:paraId="44DB5E7D">
            <w:pPr>
              <w:widowControl w:val="0"/>
              <w:adjustRightInd w:val="0"/>
              <w:snapToGrid w:val="0"/>
              <w:spacing w:before="120" w:line="480" w:lineRule="auto"/>
              <w:jc w:val="both"/>
              <w:rPr>
                <w:rFonts w:ascii="宋体" w:hAnsi="宋体" w:eastAsia="宋体" w:cs="宋体"/>
                <w:b/>
                <w:color w:val="auto"/>
                <w:kern w:val="2"/>
                <w:sz w:val="28"/>
                <w:szCs w:val="32"/>
                <w:highlight w:val="none"/>
                <w:u w:val="single"/>
                <w:lang w:val="en-US" w:eastAsia="zh-CN" w:bidi="ar-SA"/>
              </w:rPr>
            </w:pPr>
          </w:p>
        </w:tc>
      </w:tr>
      <w:tr w14:paraId="5432F4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124" w:type="dxa"/>
            <w:vAlign w:val="center"/>
          </w:tcPr>
          <w:p w14:paraId="6BE46115">
            <w:pPr>
              <w:widowControl w:val="0"/>
              <w:adjustRightInd w:val="0"/>
              <w:snapToGrid w:val="0"/>
              <w:spacing w:before="120" w:line="480" w:lineRule="auto"/>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8"/>
                <w:szCs w:val="32"/>
                <w:highlight w:val="none"/>
                <w:lang w:val="en-US" w:eastAsia="zh-CN" w:bidi="ar-SA"/>
              </w:rPr>
              <w:t>委托代理编号:</w:t>
            </w:r>
          </w:p>
        </w:tc>
        <w:tc>
          <w:tcPr>
            <w:tcW w:w="6255" w:type="dxa"/>
            <w:vAlign w:val="center"/>
          </w:tcPr>
          <w:p w14:paraId="4248C6D9">
            <w:pPr>
              <w:widowControl w:val="0"/>
              <w:adjustRightInd w:val="0"/>
              <w:snapToGrid w:val="0"/>
              <w:spacing w:before="120" w:line="480" w:lineRule="auto"/>
              <w:jc w:val="both"/>
              <w:rPr>
                <w:rFonts w:ascii="宋体" w:hAnsi="宋体" w:eastAsia="宋体" w:cs="宋体"/>
                <w:b/>
                <w:color w:val="auto"/>
                <w:kern w:val="2"/>
                <w:sz w:val="28"/>
                <w:szCs w:val="32"/>
                <w:highlight w:val="none"/>
                <w:u w:val="single"/>
                <w:lang w:val="en-US" w:eastAsia="zh-CN" w:bidi="ar-SA"/>
              </w:rPr>
            </w:pPr>
          </w:p>
        </w:tc>
      </w:tr>
      <w:tr w14:paraId="172DAC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124" w:type="dxa"/>
            <w:vAlign w:val="center"/>
          </w:tcPr>
          <w:p w14:paraId="10A91167">
            <w:pPr>
              <w:widowControl w:val="0"/>
              <w:adjustRightInd w:val="0"/>
              <w:snapToGrid w:val="0"/>
              <w:spacing w:before="120" w:line="480" w:lineRule="auto"/>
              <w:jc w:val="both"/>
              <w:rPr>
                <w:rFonts w:ascii="宋体" w:hAnsi="宋体" w:eastAsia="宋体" w:cs="宋体"/>
                <w:b/>
                <w:color w:val="auto"/>
                <w:kern w:val="2"/>
                <w:sz w:val="28"/>
                <w:szCs w:val="32"/>
                <w:highlight w:val="none"/>
                <w:lang w:val="en-US" w:eastAsia="zh-CN" w:bidi="ar-SA"/>
              </w:rPr>
            </w:pPr>
            <w:r>
              <w:rPr>
                <w:rFonts w:hint="eastAsia" w:ascii="宋体" w:hAnsi="宋体" w:eastAsia="宋体" w:cs="宋体"/>
                <w:b/>
                <w:color w:val="auto"/>
                <w:kern w:val="2"/>
                <w:sz w:val="28"/>
                <w:szCs w:val="32"/>
                <w:highlight w:val="none"/>
                <w:lang w:val="en-US" w:eastAsia="zh-CN" w:bidi="ar-SA"/>
              </w:rPr>
              <w:t>采购代理机构:</w:t>
            </w:r>
          </w:p>
        </w:tc>
        <w:tc>
          <w:tcPr>
            <w:tcW w:w="6255" w:type="dxa"/>
            <w:vAlign w:val="center"/>
          </w:tcPr>
          <w:p w14:paraId="5EBE34DE">
            <w:pPr>
              <w:widowControl w:val="0"/>
              <w:adjustRightInd w:val="0"/>
              <w:snapToGrid w:val="0"/>
              <w:spacing w:before="120" w:line="480" w:lineRule="auto"/>
              <w:jc w:val="both"/>
              <w:rPr>
                <w:rFonts w:ascii="宋体" w:hAnsi="宋体" w:eastAsia="宋体" w:cs="宋体"/>
                <w:b/>
                <w:color w:val="auto"/>
                <w:kern w:val="2"/>
                <w:sz w:val="28"/>
                <w:szCs w:val="32"/>
                <w:highlight w:val="none"/>
                <w:lang w:val="en-US" w:eastAsia="zh-CN" w:bidi="ar-SA"/>
              </w:rPr>
            </w:pPr>
          </w:p>
        </w:tc>
      </w:tr>
    </w:tbl>
    <w:p w14:paraId="688F0462">
      <w:pPr>
        <w:adjustRightInd w:val="0"/>
        <w:snapToGrid w:val="0"/>
        <w:spacing w:before="120"/>
        <w:rPr>
          <w:rFonts w:ascii="宋体" w:hAnsi="宋体" w:cs="宋体"/>
          <w:color w:val="auto"/>
          <w:sz w:val="30"/>
          <w:szCs w:val="30"/>
          <w:highlight w:val="none"/>
        </w:rPr>
      </w:pPr>
    </w:p>
    <w:p w14:paraId="023AED37">
      <w:pPr>
        <w:adjustRightInd w:val="0"/>
        <w:snapToGrid w:val="0"/>
        <w:spacing w:before="120"/>
        <w:rPr>
          <w:rFonts w:ascii="宋体" w:hAnsi="宋体" w:cs="宋体"/>
          <w:color w:val="auto"/>
          <w:sz w:val="30"/>
          <w:szCs w:val="30"/>
          <w:highlight w:val="none"/>
        </w:rPr>
      </w:pPr>
    </w:p>
    <w:p w14:paraId="548A43EC">
      <w:pPr>
        <w:adjustRightInd w:val="0"/>
        <w:snapToGrid w:val="0"/>
        <w:spacing w:before="120" w:line="360" w:lineRule="auto"/>
        <w:rPr>
          <w:rFonts w:ascii="宋体" w:hAnsi="宋体" w:cs="宋体"/>
          <w:color w:val="auto"/>
          <w:sz w:val="30"/>
          <w:szCs w:val="30"/>
          <w:highlight w:val="none"/>
        </w:rPr>
      </w:pPr>
    </w:p>
    <w:p w14:paraId="3F7A1C83">
      <w:pPr>
        <w:adjustRightInd w:val="0"/>
        <w:snapToGrid w:val="0"/>
        <w:spacing w:before="120" w:line="360" w:lineRule="auto"/>
        <w:rPr>
          <w:rFonts w:ascii="宋体" w:hAnsi="宋体" w:cs="宋体"/>
          <w:color w:val="auto"/>
          <w:sz w:val="30"/>
          <w:szCs w:val="30"/>
          <w:highlight w:val="none"/>
        </w:rPr>
      </w:pPr>
    </w:p>
    <w:p w14:paraId="59D356F7">
      <w:pPr>
        <w:adjustRightInd w:val="0"/>
        <w:snapToGrid w:val="0"/>
        <w:spacing w:before="120" w:line="360" w:lineRule="auto"/>
        <w:rPr>
          <w:rFonts w:ascii="宋体" w:hAnsi="宋体" w:cs="宋体"/>
          <w:color w:val="auto"/>
          <w:sz w:val="30"/>
          <w:szCs w:val="30"/>
          <w:highlight w:val="none"/>
        </w:rPr>
      </w:pPr>
    </w:p>
    <w:p w14:paraId="4F947422">
      <w:pPr>
        <w:adjustRightInd w:val="0"/>
        <w:snapToGrid w:val="0"/>
        <w:spacing w:before="120" w:line="360" w:lineRule="auto"/>
        <w:ind w:firstLine="1984" w:firstLineChars="620"/>
        <w:rPr>
          <w:rFonts w:ascii="宋体" w:hAnsi="宋体" w:cs="宋体"/>
          <w:color w:val="auto"/>
          <w:sz w:val="32"/>
          <w:szCs w:val="32"/>
          <w:highlight w:val="none"/>
        </w:rPr>
      </w:pPr>
      <w:r>
        <w:rPr>
          <w:rFonts w:hint="eastAsia" w:ascii="宋体" w:hAnsi="宋体" w:cs="宋体"/>
          <w:color w:val="auto"/>
          <w:sz w:val="32"/>
          <w:szCs w:val="32"/>
          <w:highlight w:val="none"/>
        </w:rPr>
        <w:t>供应商</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15B1AFF3">
      <w:pPr>
        <w:adjustRightInd w:val="0"/>
        <w:snapToGrid w:val="0"/>
        <w:spacing w:before="12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9593DA6">
      <w:pPr>
        <w:adjustRightInd w:val="0"/>
        <w:snapToGrid w:val="0"/>
        <w:spacing w:before="120" w:line="360" w:lineRule="auto"/>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52A1B8DE">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bookmarkStart w:id="969" w:name="_Toc528307203"/>
      <w:r>
        <w:rPr>
          <w:rFonts w:hint="eastAsia" w:ascii="宋体" w:hAnsi="宋体" w:eastAsia="宋体" w:cs="宋体"/>
          <w:b/>
          <w:bCs/>
          <w:color w:val="auto"/>
          <w:kern w:val="2"/>
          <w:sz w:val="28"/>
          <w:szCs w:val="28"/>
          <w:highlight w:val="none"/>
          <w:lang w:val="en-US" w:eastAsia="zh-CN" w:bidi="ar-SA"/>
        </w:rPr>
        <w:t>一、报价一览表</w:t>
      </w:r>
      <w:bookmarkEnd w:id="969"/>
    </w:p>
    <w:p w14:paraId="46165A93">
      <w:pPr>
        <w:adjustRightInd w:val="0"/>
        <w:snapToGrid w:val="0"/>
        <w:spacing w:before="120" w:line="360" w:lineRule="auto"/>
        <w:ind w:left="-88" w:leftChars="-42"/>
        <w:jc w:val="center"/>
        <w:rPr>
          <w:rFonts w:ascii="宋体" w:hAnsi="宋体" w:cs="宋体"/>
          <w:color w:val="auto"/>
          <w:szCs w:val="21"/>
          <w:highlight w:val="none"/>
        </w:rPr>
      </w:pPr>
    </w:p>
    <w:p w14:paraId="6FA40A39">
      <w:pPr>
        <w:adjustRightInd w:val="0"/>
        <w:snapToGrid w:val="0"/>
        <w:spacing w:before="120" w:line="360" w:lineRule="auto"/>
        <w:rPr>
          <w:rFonts w:ascii="宋体" w:hAnsi="宋体" w:cs="宋体"/>
          <w:color w:val="auto"/>
          <w:szCs w:val="21"/>
          <w:highlight w:val="none"/>
        </w:rPr>
      </w:pPr>
      <w:bookmarkStart w:id="970" w:name="_Toc528307204"/>
      <w:r>
        <w:rPr>
          <w:rFonts w:hint="eastAsia" w:ascii="宋体" w:hAnsi="宋体" w:cs="宋体"/>
          <w:color w:val="auto"/>
          <w:szCs w:val="21"/>
          <w:highlight w:val="none"/>
        </w:rPr>
        <w:t>项目名称：                                           包号（标段）：</w:t>
      </w:r>
    </w:p>
    <w:p w14:paraId="2E3C1E1F">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政府采购编号</w:t>
      </w:r>
      <w:r>
        <w:rPr>
          <w:rFonts w:hint="eastAsia" w:ascii="宋体" w:hAnsi="宋体" w:cs="宋体"/>
          <w:color w:val="auto"/>
          <w:szCs w:val="21"/>
          <w:highlight w:val="none"/>
        </w:rPr>
        <w:t xml:space="preserve">：                                       </w:t>
      </w:r>
    </w:p>
    <w:p w14:paraId="62B5571C">
      <w:pPr>
        <w:adjustRightInd w:val="0"/>
        <w:snapToGrid w:val="0"/>
        <w:spacing w:before="120"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33"/>
        <w:tblW w:w="90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65"/>
        <w:gridCol w:w="1381"/>
        <w:gridCol w:w="2203"/>
        <w:gridCol w:w="1591"/>
      </w:tblGrid>
      <w:tr w14:paraId="35398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19E1F95D">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响应项目名称</w:t>
            </w:r>
          </w:p>
        </w:tc>
        <w:tc>
          <w:tcPr>
            <w:tcW w:w="1381" w:type="dxa"/>
            <w:vAlign w:val="center"/>
          </w:tcPr>
          <w:p w14:paraId="1060CF62">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项目地点</w:t>
            </w:r>
          </w:p>
        </w:tc>
        <w:tc>
          <w:tcPr>
            <w:tcW w:w="2203" w:type="dxa"/>
            <w:vAlign w:val="center"/>
          </w:tcPr>
          <w:p w14:paraId="6A404956">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工期</w:t>
            </w:r>
          </w:p>
        </w:tc>
        <w:tc>
          <w:tcPr>
            <w:tcW w:w="1591" w:type="dxa"/>
            <w:vAlign w:val="center"/>
          </w:tcPr>
          <w:p w14:paraId="07FDD07B">
            <w:pPr>
              <w:widowControl/>
              <w:spacing w:before="120" w:beforeAutospacing="1" w:after="100" w:afterAutospacing="1"/>
              <w:jc w:val="center"/>
              <w:rPr>
                <w:rFonts w:ascii="宋体" w:hAnsi="宋体" w:eastAsia="宋体" w:cs="宋体"/>
                <w:color w:val="auto"/>
                <w:kern w:val="20"/>
                <w:sz w:val="21"/>
                <w:szCs w:val="21"/>
                <w:highlight w:val="none"/>
                <w:lang w:val="en-US" w:eastAsia="zh-CN" w:bidi="ar-SA"/>
              </w:rPr>
            </w:pPr>
            <w:r>
              <w:rPr>
                <w:rFonts w:hint="eastAsia" w:ascii="宋体" w:hAnsi="宋体" w:eastAsia="宋体" w:cs="宋体"/>
                <w:color w:val="auto"/>
                <w:kern w:val="20"/>
                <w:sz w:val="21"/>
                <w:szCs w:val="21"/>
                <w:highlight w:val="none"/>
                <w:lang w:val="en-US" w:eastAsia="zh-CN" w:bidi="ar-SA"/>
              </w:rPr>
              <w:t>备注</w:t>
            </w:r>
          </w:p>
        </w:tc>
      </w:tr>
      <w:tr w14:paraId="1B61FB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6B10A143">
            <w:pPr>
              <w:adjustRightInd w:val="0"/>
              <w:snapToGrid w:val="0"/>
              <w:spacing w:before="120" w:line="360" w:lineRule="auto"/>
              <w:jc w:val="center"/>
              <w:rPr>
                <w:rFonts w:ascii="宋体" w:hAnsi="宋体" w:cs="宋体"/>
                <w:color w:val="auto"/>
                <w:kern w:val="0"/>
                <w:szCs w:val="21"/>
                <w:highlight w:val="none"/>
              </w:rPr>
            </w:pPr>
          </w:p>
        </w:tc>
        <w:tc>
          <w:tcPr>
            <w:tcW w:w="1381" w:type="dxa"/>
            <w:vAlign w:val="center"/>
          </w:tcPr>
          <w:p w14:paraId="072DC576">
            <w:pPr>
              <w:adjustRightInd w:val="0"/>
              <w:snapToGrid w:val="0"/>
              <w:spacing w:before="120" w:line="360" w:lineRule="auto"/>
              <w:jc w:val="center"/>
              <w:rPr>
                <w:rFonts w:ascii="宋体" w:hAnsi="宋体" w:cs="宋体"/>
                <w:color w:val="auto"/>
                <w:kern w:val="0"/>
                <w:szCs w:val="21"/>
                <w:highlight w:val="none"/>
              </w:rPr>
            </w:pPr>
          </w:p>
        </w:tc>
        <w:tc>
          <w:tcPr>
            <w:tcW w:w="2203" w:type="dxa"/>
            <w:vAlign w:val="center"/>
          </w:tcPr>
          <w:p w14:paraId="75378234">
            <w:pPr>
              <w:adjustRightInd w:val="0"/>
              <w:snapToGrid w:val="0"/>
              <w:spacing w:before="120" w:line="360" w:lineRule="auto"/>
              <w:jc w:val="center"/>
              <w:rPr>
                <w:rFonts w:ascii="宋体" w:hAnsi="宋体" w:cs="宋体"/>
                <w:color w:val="auto"/>
                <w:kern w:val="0"/>
                <w:szCs w:val="21"/>
                <w:highlight w:val="none"/>
              </w:rPr>
            </w:pPr>
          </w:p>
        </w:tc>
        <w:tc>
          <w:tcPr>
            <w:tcW w:w="1591" w:type="dxa"/>
            <w:vAlign w:val="center"/>
          </w:tcPr>
          <w:p w14:paraId="46FD01F1">
            <w:pPr>
              <w:adjustRightInd w:val="0"/>
              <w:snapToGrid w:val="0"/>
              <w:spacing w:before="120" w:line="360" w:lineRule="auto"/>
              <w:jc w:val="center"/>
              <w:rPr>
                <w:rFonts w:ascii="宋体" w:hAnsi="宋体" w:cs="宋体"/>
                <w:color w:val="auto"/>
                <w:kern w:val="0"/>
                <w:szCs w:val="21"/>
                <w:highlight w:val="none"/>
              </w:rPr>
            </w:pPr>
          </w:p>
        </w:tc>
      </w:tr>
      <w:tr w14:paraId="3CBDB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40" w:type="dxa"/>
            <w:gridSpan w:val="4"/>
            <w:vAlign w:val="center"/>
          </w:tcPr>
          <w:p w14:paraId="1C25BAF8">
            <w:pPr>
              <w:adjustRightInd w:val="0"/>
              <w:snapToGrid w:val="0"/>
              <w:spacing w:before="12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响应总价：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（大写）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（小写）    </w:t>
            </w:r>
          </w:p>
        </w:tc>
      </w:tr>
      <w:tr w14:paraId="09478D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40" w:type="dxa"/>
            <w:gridSpan w:val="4"/>
            <w:vAlign w:val="center"/>
          </w:tcPr>
          <w:p w14:paraId="6DFA58D2">
            <w:pPr>
              <w:adjustRightInd w:val="0"/>
              <w:snapToGrid w:val="0"/>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056503B4">
            <w:pPr>
              <w:numPr>
                <w:ilvl w:val="0"/>
                <w:numId w:val="12"/>
              </w:numPr>
              <w:adjustRightInd w:val="0"/>
              <w:snapToGrid w:val="0"/>
              <w:spacing w:before="120"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供应商应按每个招标的最小单位（包）响应。</w:t>
            </w:r>
          </w:p>
          <w:p w14:paraId="7A30B158">
            <w:pPr>
              <w:numPr>
                <w:ilvl w:val="0"/>
                <w:numId w:val="12"/>
              </w:numPr>
              <w:adjustRightInd w:val="0"/>
              <w:snapToGrid w:val="0"/>
              <w:spacing w:before="120"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本表格式中的内容缺一不可，签署盖章必须完整，否则视为无效响应。</w:t>
            </w:r>
          </w:p>
          <w:p w14:paraId="5C3129D1">
            <w:pPr>
              <w:numPr>
                <w:ilvl w:val="0"/>
                <w:numId w:val="12"/>
              </w:numPr>
              <w:adjustRightInd w:val="0"/>
              <w:snapToGrid w:val="0"/>
              <w:spacing w:before="120"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供应商在提交响应文件的截止时间前修改“开标一览表”中的响应报价的，应同时修改响应文件中“响应分项报价表”“政府采购价格评审优惠清单报价表”“联合体协议书”相应内容。</w:t>
            </w:r>
          </w:p>
        </w:tc>
      </w:tr>
    </w:tbl>
    <w:p w14:paraId="5E825A63">
      <w:pPr>
        <w:tabs>
          <w:tab w:val="left" w:pos="3686"/>
        </w:tabs>
        <w:adjustRightInd w:val="0"/>
        <w:snapToGrid w:val="0"/>
        <w:spacing w:before="120" w:line="360" w:lineRule="auto"/>
        <w:rPr>
          <w:rFonts w:ascii="宋体" w:hAnsi="宋体" w:cs="宋体"/>
          <w:b/>
          <w:color w:val="auto"/>
          <w:szCs w:val="21"/>
          <w:highlight w:val="none"/>
        </w:rPr>
      </w:pPr>
    </w:p>
    <w:p w14:paraId="78EDC8B0">
      <w:pPr>
        <w:adjustRightInd w:val="0"/>
        <w:snapToGrid w:val="0"/>
        <w:spacing w:before="120" w:line="360" w:lineRule="auto"/>
        <w:ind w:firstLine="420" w:firstLineChars="200"/>
        <w:rPr>
          <w:rFonts w:ascii="宋体" w:hAnsi="宋体" w:cs="宋体"/>
          <w:color w:val="auto"/>
          <w:szCs w:val="21"/>
          <w:highlight w:val="none"/>
        </w:rPr>
      </w:pPr>
    </w:p>
    <w:p w14:paraId="2823DE5A">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14:paraId="6DEBD712">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494BD185">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_</w:t>
      </w:r>
    </w:p>
    <w:p w14:paraId="43F9578E">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158926">
      <w:pPr>
        <w:widowControl w:val="0"/>
        <w:spacing w:before="120" w:after="120"/>
        <w:jc w:val="both"/>
        <w:rPr>
          <w:rFonts w:ascii="宋体" w:hAnsi="宋体" w:eastAsia="宋体" w:cs="宋体"/>
          <w:color w:val="auto"/>
          <w:kern w:val="2"/>
          <w:sz w:val="21"/>
          <w:szCs w:val="21"/>
          <w:highlight w:val="none"/>
          <w:lang w:val="en-US" w:eastAsia="zh-CN" w:bidi="ar-SA"/>
        </w:rPr>
      </w:pPr>
    </w:p>
    <w:p w14:paraId="39EBEDEA">
      <w:pPr>
        <w:widowControl w:val="0"/>
        <w:spacing w:before="120" w:after="120"/>
        <w:jc w:val="both"/>
        <w:rPr>
          <w:rFonts w:ascii="宋体" w:hAnsi="宋体" w:eastAsia="宋体" w:cs="宋体"/>
          <w:color w:val="auto"/>
          <w:kern w:val="2"/>
          <w:sz w:val="21"/>
          <w:szCs w:val="21"/>
          <w:highlight w:val="none"/>
          <w:lang w:val="en-US" w:eastAsia="zh-CN" w:bidi="ar-SA"/>
        </w:rPr>
      </w:pPr>
    </w:p>
    <w:p w14:paraId="521277B6">
      <w:pPr>
        <w:widowControl w:val="0"/>
        <w:spacing w:before="120" w:after="120"/>
        <w:jc w:val="both"/>
        <w:rPr>
          <w:rFonts w:ascii="宋体" w:hAnsi="宋体" w:eastAsia="宋体" w:cs="宋体"/>
          <w:color w:val="auto"/>
          <w:kern w:val="2"/>
          <w:sz w:val="21"/>
          <w:szCs w:val="21"/>
          <w:highlight w:val="none"/>
          <w:lang w:val="en-US" w:eastAsia="zh-CN" w:bidi="ar-SA"/>
        </w:rPr>
      </w:pPr>
    </w:p>
    <w:p w14:paraId="4C91E721">
      <w:pPr>
        <w:widowControl w:val="0"/>
        <w:spacing w:before="120" w:after="120"/>
        <w:jc w:val="both"/>
        <w:rPr>
          <w:rFonts w:ascii="宋体" w:hAnsi="宋体" w:eastAsia="宋体" w:cs="宋体"/>
          <w:color w:val="auto"/>
          <w:kern w:val="2"/>
          <w:sz w:val="21"/>
          <w:szCs w:val="21"/>
          <w:highlight w:val="none"/>
          <w:lang w:val="en-US" w:eastAsia="zh-CN" w:bidi="ar-SA"/>
        </w:rPr>
      </w:pPr>
    </w:p>
    <w:p w14:paraId="1846DEA4">
      <w:pPr>
        <w:widowControl w:val="0"/>
        <w:spacing w:before="120" w:after="120"/>
        <w:jc w:val="both"/>
        <w:rPr>
          <w:rFonts w:ascii="宋体" w:hAnsi="宋体" w:eastAsia="宋体" w:cs="宋体"/>
          <w:color w:val="auto"/>
          <w:kern w:val="2"/>
          <w:sz w:val="21"/>
          <w:szCs w:val="21"/>
          <w:highlight w:val="none"/>
          <w:lang w:val="en-US" w:eastAsia="zh-CN" w:bidi="ar-SA"/>
        </w:rPr>
      </w:pPr>
    </w:p>
    <w:p w14:paraId="4E9A3057">
      <w:pPr>
        <w:widowControl w:val="0"/>
        <w:spacing w:before="120" w:after="120"/>
        <w:jc w:val="both"/>
        <w:rPr>
          <w:rFonts w:ascii="宋体" w:hAnsi="宋体" w:eastAsia="宋体" w:cs="宋体"/>
          <w:color w:val="auto"/>
          <w:kern w:val="2"/>
          <w:sz w:val="21"/>
          <w:szCs w:val="21"/>
          <w:highlight w:val="none"/>
          <w:lang w:val="en-US" w:eastAsia="zh-CN" w:bidi="ar-SA"/>
        </w:rPr>
      </w:pPr>
    </w:p>
    <w:p w14:paraId="08FA64FD">
      <w:pPr>
        <w:spacing w:before="12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A88235C">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二、法定代表人身份证明</w:t>
      </w:r>
      <w:bookmarkEnd w:id="970"/>
    </w:p>
    <w:p w14:paraId="7D041CFB">
      <w:pPr>
        <w:autoSpaceDE w:val="0"/>
        <w:autoSpaceDN w:val="0"/>
        <w:adjustRightInd w:val="0"/>
        <w:snapToGrid w:val="0"/>
        <w:spacing w:before="120" w:line="360" w:lineRule="auto"/>
        <w:ind w:firstLine="420" w:firstLineChars="200"/>
        <w:jc w:val="left"/>
        <w:rPr>
          <w:rFonts w:ascii="宋体" w:hAnsi="宋体" w:cs="宋体"/>
          <w:color w:val="auto"/>
          <w:szCs w:val="21"/>
          <w:highlight w:val="none"/>
        </w:rPr>
      </w:pPr>
    </w:p>
    <w:p w14:paraId="73F4A33F">
      <w:pPr>
        <w:autoSpaceDE w:val="0"/>
        <w:autoSpaceDN w:val="0"/>
        <w:adjustRightInd w:val="0"/>
        <w:snapToGrid w:val="0"/>
        <w:spacing w:before="12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身份证号：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w:t>
      </w:r>
    </w:p>
    <w:p w14:paraId="69910E2E">
      <w:pPr>
        <w:autoSpaceDE w:val="0"/>
        <w:autoSpaceDN w:val="0"/>
        <w:adjustRightInd w:val="0"/>
        <w:snapToGrid w:val="0"/>
        <w:spacing w:before="12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1CC70258">
      <w:pPr>
        <w:autoSpaceDE w:val="0"/>
        <w:autoSpaceDN w:val="0"/>
        <w:adjustRightInd w:val="0"/>
        <w:snapToGrid w:val="0"/>
        <w:spacing w:before="120" w:line="360" w:lineRule="auto"/>
        <w:jc w:val="left"/>
        <w:rPr>
          <w:rFonts w:ascii="宋体" w:hAnsi="宋体" w:cs="宋体"/>
          <w:color w:val="auto"/>
          <w:kern w:val="0"/>
          <w:szCs w:val="21"/>
          <w:highlight w:val="none"/>
        </w:rPr>
      </w:pPr>
    </w:p>
    <w:tbl>
      <w:tblPr>
        <w:tblStyle w:val="3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A65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67722DA4">
            <w:pPr>
              <w:adjustRightInd w:val="0"/>
              <w:snapToGrid w:val="0"/>
              <w:spacing w:before="120" w:line="360" w:lineRule="auto"/>
              <w:jc w:val="center"/>
              <w:rPr>
                <w:rFonts w:ascii="宋体" w:hAnsi="宋体" w:cs="宋体"/>
                <w:color w:val="auto"/>
                <w:szCs w:val="21"/>
                <w:highlight w:val="none"/>
              </w:rPr>
            </w:pPr>
            <w:r>
              <w:rPr>
                <w:rFonts w:hint="eastAsia" w:ascii="宋体" w:hAnsi="宋体" w:cs="宋体"/>
                <w:color w:val="auto"/>
                <w:szCs w:val="21"/>
                <w:highlight w:val="none"/>
              </w:rPr>
              <w:t>框内附法定代表人身份证复印件（无证照或粘贴无效）</w:t>
            </w:r>
          </w:p>
        </w:tc>
      </w:tr>
    </w:tbl>
    <w:p w14:paraId="4DC0CA3E">
      <w:pPr>
        <w:adjustRightInd w:val="0"/>
        <w:snapToGrid w:val="0"/>
        <w:spacing w:before="120" w:line="360" w:lineRule="auto"/>
        <w:rPr>
          <w:rFonts w:ascii="宋体" w:hAnsi="宋体" w:cs="宋体"/>
          <w:color w:val="auto"/>
          <w:szCs w:val="21"/>
          <w:highlight w:val="none"/>
        </w:rPr>
      </w:pPr>
    </w:p>
    <w:p w14:paraId="4EB228C8">
      <w:pPr>
        <w:adjustRightInd w:val="0"/>
        <w:snapToGrid w:val="0"/>
        <w:spacing w:before="120" w:line="360" w:lineRule="auto"/>
        <w:ind w:right="420"/>
        <w:rPr>
          <w:rFonts w:ascii="宋体" w:hAnsi="宋体" w:cs="宋体"/>
          <w:color w:val="auto"/>
          <w:szCs w:val="21"/>
          <w:highlight w:val="none"/>
        </w:rPr>
      </w:pPr>
      <w:r>
        <w:rPr>
          <w:rFonts w:hint="eastAsia" w:ascii="宋体" w:hAnsi="宋体" w:cs="宋体"/>
          <w:color w:val="auto"/>
          <w:szCs w:val="21"/>
          <w:highlight w:val="none"/>
        </w:rPr>
        <w:t>供应商名称（盖单位章）：</w:t>
      </w:r>
    </w:p>
    <w:p w14:paraId="6E61A314">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691E4095">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6DF2BAC7">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bookmarkStart w:id="971" w:name="_Toc528307205"/>
      <w:r>
        <w:rPr>
          <w:rFonts w:hint="eastAsia" w:ascii="宋体" w:hAnsi="宋体" w:eastAsia="宋体" w:cs="宋体"/>
          <w:b/>
          <w:bCs/>
          <w:color w:val="auto"/>
          <w:kern w:val="2"/>
          <w:sz w:val="28"/>
          <w:szCs w:val="28"/>
          <w:highlight w:val="none"/>
          <w:lang w:val="en-US" w:eastAsia="zh-CN" w:bidi="ar-SA"/>
        </w:rPr>
        <w:t>三、法定代表人授权委托书</w:t>
      </w:r>
      <w:bookmarkEnd w:id="971"/>
    </w:p>
    <w:p w14:paraId="515CF060">
      <w:pPr>
        <w:autoSpaceDE w:val="0"/>
        <w:autoSpaceDN w:val="0"/>
        <w:adjustRightInd w:val="0"/>
        <w:snapToGrid w:val="0"/>
        <w:spacing w:before="120" w:line="360" w:lineRule="auto"/>
        <w:ind w:firstLine="446" w:firstLineChars="200"/>
        <w:jc w:val="left"/>
        <w:rPr>
          <w:rFonts w:ascii="宋体" w:hAnsi="宋体" w:cs="宋体"/>
          <w:b/>
          <w:color w:val="auto"/>
          <w:spacing w:val="6"/>
          <w:szCs w:val="21"/>
          <w:highlight w:val="none"/>
        </w:rPr>
      </w:pPr>
    </w:p>
    <w:p w14:paraId="65BED79E">
      <w:pPr>
        <w:autoSpaceDE w:val="0"/>
        <w:autoSpaceDN w:val="0"/>
        <w:adjustRightInd w:val="0"/>
        <w:snapToGrid w:val="0"/>
        <w:spacing w:before="120" w:line="360" w:lineRule="auto"/>
        <w:ind w:firstLine="420" w:firstLineChars="200"/>
        <w:jc w:val="left"/>
        <w:rPr>
          <w:rFonts w:ascii="宋体" w:hAnsi="宋体" w:cs="宋体"/>
          <w:color w:val="auto"/>
          <w:kern w:val="0"/>
          <w:szCs w:val="21"/>
          <w:highlight w:val="none"/>
        </w:rPr>
      </w:pPr>
    </w:p>
    <w:p w14:paraId="6DA089D7">
      <w:pPr>
        <w:autoSpaceDE w:val="0"/>
        <w:autoSpaceDN w:val="0"/>
        <w:adjustRightInd w:val="0"/>
        <w:snapToGrid w:val="0"/>
        <w:spacing w:before="12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s="宋体"/>
          <w:color w:val="auto"/>
          <w:szCs w:val="21"/>
          <w:highlight w:val="none"/>
          <w:lang w:val="en-US" w:eastAsia="zh-CN"/>
        </w:rPr>
        <w:t>政府采购编号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）响应文件、签订合同和处理有关事宜，其法律后果由我方承担。</w:t>
      </w:r>
    </w:p>
    <w:p w14:paraId="2DC107DC">
      <w:pPr>
        <w:autoSpaceDE w:val="0"/>
        <w:autoSpaceDN w:val="0"/>
        <w:adjustRightInd w:val="0"/>
        <w:snapToGrid w:val="0"/>
        <w:spacing w:before="12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A8687C4">
      <w:pPr>
        <w:adjustRightInd w:val="0"/>
        <w:snapToGrid w:val="0"/>
        <w:spacing w:before="12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9236BE7">
      <w:pPr>
        <w:adjustRightInd w:val="0"/>
        <w:snapToGrid w:val="0"/>
        <w:spacing w:before="120" w:line="360" w:lineRule="auto"/>
        <w:ind w:firstLine="435"/>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14:paraId="2F9293FF">
      <w:pPr>
        <w:adjustRightInd w:val="0"/>
        <w:snapToGrid w:val="0"/>
        <w:spacing w:before="120" w:line="360" w:lineRule="auto"/>
        <w:ind w:firstLine="420" w:firstLineChars="200"/>
        <w:rPr>
          <w:rFonts w:ascii="宋体" w:hAnsi="宋体" w:cs="宋体"/>
          <w:color w:val="auto"/>
          <w:szCs w:val="21"/>
          <w:highlight w:val="none"/>
        </w:rPr>
      </w:pPr>
    </w:p>
    <w:tbl>
      <w:tblPr>
        <w:tblStyle w:val="33"/>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88E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vAlign w:val="center"/>
          </w:tcPr>
          <w:p w14:paraId="68B2B0C6">
            <w:pPr>
              <w:adjustRightInd w:val="0"/>
              <w:snapToGrid w:val="0"/>
              <w:spacing w:before="120" w:line="360" w:lineRule="auto"/>
              <w:jc w:val="center"/>
              <w:rPr>
                <w:rFonts w:ascii="宋体" w:hAnsi="宋体" w:cs="宋体"/>
                <w:color w:val="auto"/>
                <w:szCs w:val="21"/>
                <w:highlight w:val="none"/>
              </w:rPr>
            </w:pPr>
            <w:r>
              <w:rPr>
                <w:rFonts w:hint="eastAsia" w:ascii="宋体" w:hAnsi="宋体" w:cs="宋体"/>
                <w:color w:val="auto"/>
                <w:szCs w:val="21"/>
                <w:highlight w:val="none"/>
              </w:rPr>
              <w:t>框内附委托代理人身份证及法定代表人身份证复印件（无证照或粘贴无效）</w:t>
            </w:r>
          </w:p>
        </w:tc>
      </w:tr>
    </w:tbl>
    <w:p w14:paraId="20C7C7ED">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注：本授权委托书须附法定代表人身份证明方有效力</w:t>
      </w:r>
    </w:p>
    <w:p w14:paraId="31B51707">
      <w:pPr>
        <w:adjustRightInd w:val="0"/>
        <w:snapToGrid w:val="0"/>
        <w:spacing w:before="120" w:line="360" w:lineRule="auto"/>
        <w:ind w:firstLine="420" w:firstLineChars="200"/>
        <w:rPr>
          <w:rFonts w:ascii="宋体" w:hAnsi="宋体" w:cs="宋体"/>
          <w:color w:val="auto"/>
          <w:szCs w:val="21"/>
          <w:highlight w:val="none"/>
        </w:rPr>
      </w:pPr>
    </w:p>
    <w:p w14:paraId="7A067C52">
      <w:pPr>
        <w:adjustRightInd w:val="0"/>
        <w:snapToGrid w:val="0"/>
        <w:spacing w:before="120" w:line="360" w:lineRule="auto"/>
        <w:ind w:firstLine="420" w:firstLineChars="200"/>
        <w:rPr>
          <w:rFonts w:ascii="宋体" w:hAnsi="宋体" w:cs="宋体"/>
          <w:color w:val="auto"/>
          <w:szCs w:val="21"/>
          <w:highlight w:val="none"/>
        </w:rPr>
      </w:pPr>
    </w:p>
    <w:p w14:paraId="30616FAE">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5EAC4318">
      <w:pPr>
        <w:adjustRightInd w:val="0"/>
        <w:snapToGrid w:val="0"/>
        <w:spacing w:before="120" w:line="360" w:lineRule="auto"/>
        <w:ind w:right="420"/>
        <w:rPr>
          <w:rFonts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0E97177C">
      <w:pPr>
        <w:adjustRightInd w:val="0"/>
        <w:snapToGrid w:val="0"/>
        <w:spacing w:before="120" w:line="360" w:lineRule="auto"/>
        <w:ind w:right="420"/>
        <w:rPr>
          <w:rFonts w:ascii="宋体" w:hAnsi="宋体" w:cs="宋体"/>
          <w:color w:val="auto"/>
          <w:szCs w:val="21"/>
          <w:highlight w:val="non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0D85342E">
      <w:pPr>
        <w:adjustRightInd w:val="0"/>
        <w:snapToGrid w:val="0"/>
        <w:spacing w:before="120" w:line="360" w:lineRule="auto"/>
        <w:ind w:right="42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4E9DA90">
      <w:pPr>
        <w:adjustRightInd w:val="0"/>
        <w:snapToGrid w:val="0"/>
        <w:spacing w:before="120" w:line="360" w:lineRule="auto"/>
        <w:jc w:val="left"/>
        <w:rPr>
          <w:rFonts w:ascii="宋体" w:hAnsi="宋体" w:cs="宋体"/>
          <w:bCs/>
          <w:color w:val="auto"/>
          <w:sz w:val="28"/>
          <w:szCs w:val="28"/>
          <w:highlight w:val="none"/>
        </w:rPr>
      </w:pPr>
    </w:p>
    <w:p w14:paraId="42DF25BD">
      <w:pPr>
        <w:adjustRightInd w:val="0"/>
        <w:snapToGrid w:val="0"/>
        <w:spacing w:before="120" w:line="360" w:lineRule="auto"/>
        <w:jc w:val="left"/>
        <w:rPr>
          <w:rFonts w:ascii="宋体" w:hAnsi="宋体" w:cs="宋体"/>
          <w:bCs/>
          <w:color w:val="auto"/>
          <w:sz w:val="28"/>
          <w:szCs w:val="28"/>
          <w:highlight w:val="none"/>
        </w:rPr>
      </w:pPr>
    </w:p>
    <w:p w14:paraId="6506E6FC">
      <w:pPr>
        <w:adjustRightInd w:val="0"/>
        <w:snapToGrid w:val="0"/>
        <w:spacing w:before="120" w:line="360" w:lineRule="auto"/>
        <w:jc w:val="left"/>
        <w:rPr>
          <w:rFonts w:ascii="宋体" w:hAnsi="宋体" w:cs="宋体"/>
          <w:bCs/>
          <w:color w:val="auto"/>
          <w:sz w:val="28"/>
          <w:szCs w:val="28"/>
          <w:highlight w:val="none"/>
        </w:rPr>
      </w:pPr>
    </w:p>
    <w:p w14:paraId="51AC01F5">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bookmarkStart w:id="972" w:name="_Toc528307206"/>
      <w:r>
        <w:rPr>
          <w:rFonts w:hint="eastAsia" w:ascii="宋体" w:hAnsi="宋体" w:eastAsia="宋体" w:cs="宋体"/>
          <w:b/>
          <w:bCs/>
          <w:color w:val="auto"/>
          <w:kern w:val="2"/>
          <w:sz w:val="28"/>
          <w:szCs w:val="28"/>
          <w:highlight w:val="none"/>
          <w:lang w:val="en-US" w:eastAsia="zh-CN" w:bidi="ar-SA"/>
        </w:rPr>
        <w:t>四、供应商具备参加磋商的资格证明文件</w:t>
      </w:r>
      <w:bookmarkEnd w:id="972"/>
      <w:bookmarkStart w:id="973" w:name="_Toc294206743"/>
      <w:bookmarkStart w:id="974" w:name="_Toc294186060"/>
    </w:p>
    <w:p w14:paraId="460360CD">
      <w:pPr>
        <w:widowControl w:val="0"/>
        <w:adjustRightInd w:val="0"/>
        <w:snapToGrid w:val="0"/>
        <w:spacing w:before="120" w:line="360" w:lineRule="auto"/>
        <w:jc w:val="center"/>
        <w:rPr>
          <w:rFonts w:ascii="宋体" w:hAnsi="宋体" w:eastAsia="宋体" w:cs="宋体"/>
          <w:b/>
          <w:bCs/>
          <w:color w:val="auto"/>
          <w:kern w:val="2"/>
          <w:sz w:val="21"/>
          <w:szCs w:val="21"/>
          <w:highlight w:val="none"/>
          <w:lang w:val="en-US" w:eastAsia="zh-CN" w:bidi="ar-SA"/>
        </w:rPr>
      </w:pPr>
    </w:p>
    <w:p w14:paraId="7296FECC">
      <w:pPr>
        <w:widowControl w:val="0"/>
        <w:adjustRightInd w:val="0"/>
        <w:snapToGrid w:val="0"/>
        <w:spacing w:before="120"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须  知</w:t>
      </w:r>
    </w:p>
    <w:p w14:paraId="54E94DC2">
      <w:pPr>
        <w:tabs>
          <w:tab w:val="left" w:pos="4725"/>
        </w:tabs>
        <w:adjustRightInd w:val="0"/>
        <w:snapToGrid w:val="0"/>
        <w:spacing w:before="120" w:line="360" w:lineRule="auto"/>
        <w:rPr>
          <w:rFonts w:ascii="宋体" w:hAnsi="宋体" w:cs="宋体"/>
          <w:b/>
          <w:color w:val="auto"/>
          <w:szCs w:val="21"/>
          <w:highlight w:val="none"/>
        </w:rPr>
      </w:pPr>
    </w:p>
    <w:p w14:paraId="2DD28CA7">
      <w:pPr>
        <w:tabs>
          <w:tab w:val="left" w:pos="4725"/>
        </w:tabs>
        <w:adjustRightInd w:val="0"/>
        <w:snapToGrid w:val="0"/>
        <w:spacing w:before="120" w:line="48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1、供应商应提供下列声明和证明材料</w:t>
      </w:r>
    </w:p>
    <w:p w14:paraId="67EA4A21">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附4-1：供应商资格声明</w:t>
      </w:r>
    </w:p>
    <w:p w14:paraId="1788D2AE">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附4-2：法人、或者其他组织的营业执照等主体资格证明文件，自然人的身份证明</w:t>
      </w:r>
    </w:p>
    <w:p w14:paraId="08FB1390">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附4-3：财务状况报告</w:t>
      </w:r>
    </w:p>
    <w:p w14:paraId="619227B4">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附4-4：依法缴纳税收的相关证明</w:t>
      </w:r>
    </w:p>
    <w:p w14:paraId="5DFE65DB">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附4-5：依法缴纳社会保险费的相关证明</w:t>
      </w:r>
    </w:p>
    <w:p w14:paraId="19B7CA45">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附4-6：具备履行合同所必需的设备和专业技术能力的书面承诺(格式自拟)</w:t>
      </w:r>
    </w:p>
    <w:p w14:paraId="2DB76955">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附4-7：具备法律、行政法规规定的其他条件的证明材料复印件</w:t>
      </w:r>
    </w:p>
    <w:p w14:paraId="08453847">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附4-8：提供供应商特定资格条件证明资料的复印件</w:t>
      </w:r>
    </w:p>
    <w:p w14:paraId="6307FB4E">
      <w:pPr>
        <w:tabs>
          <w:tab w:val="left" w:pos="4725"/>
        </w:tabs>
        <w:adjustRightInd w:val="0"/>
        <w:snapToGrid w:val="0"/>
        <w:spacing w:before="120"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附4-9：联合体协议书（格式）（联合体响应的提供）</w:t>
      </w:r>
    </w:p>
    <w:p w14:paraId="47BED318">
      <w:pPr>
        <w:widowControl w:val="0"/>
        <w:spacing w:before="120" w:after="120"/>
        <w:jc w:val="both"/>
        <w:rPr>
          <w:rFonts w:ascii="Times New Roman" w:hAnsi="Times New Roman" w:eastAsia="宋体" w:cs="Times New Roman"/>
          <w:color w:val="auto"/>
          <w:kern w:val="2"/>
          <w:sz w:val="21"/>
          <w:szCs w:val="24"/>
          <w:highlight w:val="none"/>
          <w:lang w:val="en-US" w:eastAsia="zh-CN" w:bidi="ar-SA"/>
        </w:rPr>
      </w:pPr>
    </w:p>
    <w:p w14:paraId="7EE055DF">
      <w:pPr>
        <w:tabs>
          <w:tab w:val="left" w:pos="4725"/>
        </w:tabs>
        <w:adjustRightInd w:val="0"/>
        <w:snapToGrid w:val="0"/>
        <w:spacing w:before="120"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2、供应商以联合体形式响应的，除应提交联合协议书(附件11-9)外，协议中的各方均应提交上款资格证明材料。</w:t>
      </w:r>
    </w:p>
    <w:p w14:paraId="11E2588B">
      <w:pPr>
        <w:tabs>
          <w:tab w:val="left" w:pos="4725"/>
        </w:tabs>
        <w:adjustRightInd w:val="0"/>
        <w:snapToGrid w:val="0"/>
        <w:spacing w:before="120"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上述声明与证明资料应按其要求加盖供应商单位章，由法定代表人或其授权的代理人签字；声明应当按响应文件提供的格式除可填报信息外不加任何内容修改地提供，证明资料的复印件应加盖供应商单位章，否则，响应无效。</w:t>
      </w:r>
    </w:p>
    <w:p w14:paraId="1E4C0472">
      <w:pPr>
        <w:tabs>
          <w:tab w:val="left" w:pos="4725"/>
        </w:tabs>
        <w:adjustRightInd w:val="0"/>
        <w:snapToGrid w:val="0"/>
        <w:spacing w:before="120" w:line="48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供应商如出现并购重组和吸收合并的，其成立时间可溯源至原单位的注册时间起算；如出现新设合并的，成立时间可溯源至参与合并的单位中成立时间较短的单位的注册时间。出现更名的请出示注册所在地的职能部门证明。供应商如正处于换证、年检阶段，提供相关证明。</w:t>
      </w:r>
    </w:p>
    <w:bookmarkEnd w:id="973"/>
    <w:bookmarkEnd w:id="974"/>
    <w:p w14:paraId="53D1CDAA">
      <w:pPr>
        <w:keepNext/>
        <w:keepLines/>
        <w:widowControl/>
        <w:spacing w:before="120" w:after="290" w:line="336" w:lineRule="auto"/>
        <w:jc w:val="both"/>
        <w:outlineLvl w:val="3"/>
        <w:rPr>
          <w:rFonts w:ascii="Arial" w:hAnsi="Arial" w:eastAsia="黑体" w:cs="Times New Roman"/>
          <w:b/>
          <w:bCs/>
          <w:color w:val="auto"/>
          <w:kern w:val="2"/>
          <w:sz w:val="28"/>
          <w:szCs w:val="28"/>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附4-1 供应商资格声明</w:t>
      </w:r>
    </w:p>
    <w:p w14:paraId="261A8B9F">
      <w:pPr>
        <w:keepNext w:val="0"/>
        <w:keepLines w:val="0"/>
        <w:pageBreakBefore w:val="0"/>
        <w:widowControl/>
        <w:kinsoku/>
        <w:wordWrap/>
        <w:overflowPunct/>
        <w:topLinePunct w:val="0"/>
        <w:autoSpaceDE/>
        <w:autoSpaceDN/>
        <w:bidi w:val="0"/>
        <w:adjustRightInd w:val="0"/>
        <w:snapToGrid w:val="0"/>
        <w:spacing w:before="120" w:line="360" w:lineRule="auto"/>
        <w:ind w:firstLine="560" w:firstLineChars="200"/>
        <w:jc w:val="center"/>
        <w:textAlignment w:val="auto"/>
        <w:rPr>
          <w:rFonts w:ascii="Times New Roman" w:hAnsi="Times New Roman" w:cs="Times New Roman"/>
          <w:color w:val="auto"/>
          <w:highlight w:val="none"/>
        </w:rPr>
      </w:pPr>
      <w:r>
        <w:rPr>
          <w:rFonts w:hint="eastAsia" w:ascii="宋体" w:hAnsi="宋体" w:cs="宋体"/>
          <w:color w:val="auto"/>
          <w:sz w:val="28"/>
          <w:szCs w:val="28"/>
          <w:highlight w:val="none"/>
        </w:rPr>
        <w:t>资格声明</w:t>
      </w:r>
    </w:p>
    <w:p w14:paraId="2FF8FE59">
      <w:pPr>
        <w:keepNext w:val="0"/>
        <w:keepLines w:val="0"/>
        <w:pageBreakBefore w:val="0"/>
        <w:widowControl/>
        <w:kinsoku/>
        <w:wordWrap/>
        <w:overflowPunct/>
        <w:topLinePunct w:val="0"/>
        <w:autoSpaceDE/>
        <w:autoSpaceDN/>
        <w:bidi w:val="0"/>
        <w:adjustRightInd w:val="0"/>
        <w:snapToGrid w:val="0"/>
        <w:spacing w:before="120" w:line="360" w:lineRule="auto"/>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致（采购人或采购代理机构）：</w:t>
      </w:r>
    </w:p>
    <w:p w14:paraId="42D63CC1">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（项目名称）的磋商邀请（</w:t>
      </w:r>
      <w:r>
        <w:rPr>
          <w:rFonts w:hint="eastAsia" w:ascii="宋体" w:hAnsi="宋体" w:cs="宋体"/>
          <w:color w:val="auto"/>
          <w:szCs w:val="21"/>
          <w:highlight w:val="none"/>
          <w:lang w:val="en-US" w:eastAsia="zh-CN"/>
        </w:rPr>
        <w:t>政府采购编号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），签字代表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（姓名、职务）经正式授权并代表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（供应商名称）提交下述文件正本一份、副本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份,电子版一份。</w:t>
      </w:r>
    </w:p>
    <w:p w14:paraId="3A421B87">
      <w:pPr>
        <w:keepNext w:val="0"/>
        <w:keepLines w:val="0"/>
        <w:pageBreakBefore w:val="0"/>
        <w:widowControl/>
        <w:kinsoku/>
        <w:wordWrap/>
        <w:overflowPunct/>
        <w:topLinePunct w:val="0"/>
        <w:autoSpaceDE/>
        <w:autoSpaceDN/>
        <w:bidi w:val="0"/>
        <w:adjustRightInd w:val="0"/>
        <w:snapToGrid w:val="0"/>
        <w:spacing w:before="120" w:line="360" w:lineRule="auto"/>
        <w:ind w:left="420" w:leftChars="200" w:firstLine="630" w:firstLineChars="300"/>
        <w:textAlignment w:val="auto"/>
        <w:rPr>
          <w:rFonts w:ascii="宋体" w:hAnsi="宋体" w:cs="宋体"/>
          <w:color w:val="auto"/>
          <w:szCs w:val="21"/>
          <w:highlight w:val="none"/>
        </w:rPr>
      </w:pPr>
      <w:r>
        <w:rPr>
          <w:rFonts w:hint="eastAsia" w:ascii="宋体" w:hAnsi="宋体" w:cs="宋体"/>
          <w:color w:val="auto"/>
          <w:szCs w:val="21"/>
          <w:highlight w:val="none"/>
        </w:rPr>
        <w:t>一、报价一览表</w:t>
      </w:r>
    </w:p>
    <w:p w14:paraId="1C27EB2D">
      <w:pPr>
        <w:keepNext w:val="0"/>
        <w:keepLines w:val="0"/>
        <w:pageBreakBefore w:val="0"/>
        <w:widowControl/>
        <w:kinsoku/>
        <w:wordWrap/>
        <w:overflowPunct/>
        <w:topLinePunct w:val="0"/>
        <w:autoSpaceDE/>
        <w:autoSpaceDN/>
        <w:bidi w:val="0"/>
        <w:adjustRightInd w:val="0"/>
        <w:snapToGrid w:val="0"/>
        <w:spacing w:before="120" w:line="360" w:lineRule="auto"/>
        <w:ind w:left="420" w:leftChars="200" w:firstLine="630" w:firstLineChars="300"/>
        <w:textAlignment w:val="auto"/>
        <w:rPr>
          <w:rFonts w:ascii="宋体" w:hAnsi="宋体" w:cs="宋体"/>
          <w:color w:val="auto"/>
          <w:szCs w:val="21"/>
          <w:highlight w:val="none"/>
        </w:rPr>
      </w:pPr>
      <w:r>
        <w:rPr>
          <w:rFonts w:hint="eastAsia" w:ascii="宋体" w:hAnsi="宋体" w:cs="宋体"/>
          <w:color w:val="auto"/>
          <w:szCs w:val="21"/>
          <w:highlight w:val="none"/>
        </w:rPr>
        <w:t>二、法定代表人身份证明</w:t>
      </w:r>
    </w:p>
    <w:p w14:paraId="67FED6FF">
      <w:pPr>
        <w:keepNext w:val="0"/>
        <w:keepLines w:val="0"/>
        <w:pageBreakBefore w:val="0"/>
        <w:widowControl/>
        <w:kinsoku/>
        <w:wordWrap/>
        <w:overflowPunct/>
        <w:topLinePunct w:val="0"/>
        <w:autoSpaceDE/>
        <w:autoSpaceDN/>
        <w:bidi w:val="0"/>
        <w:adjustRightInd w:val="0"/>
        <w:snapToGrid w:val="0"/>
        <w:spacing w:before="120" w:line="360" w:lineRule="auto"/>
        <w:ind w:left="420" w:leftChars="200" w:firstLine="630" w:firstLineChars="300"/>
        <w:textAlignment w:val="auto"/>
        <w:rPr>
          <w:rFonts w:ascii="宋体" w:hAnsi="宋体" w:cs="宋体"/>
          <w:color w:val="auto"/>
          <w:szCs w:val="21"/>
          <w:highlight w:val="none"/>
        </w:rPr>
      </w:pPr>
      <w:r>
        <w:rPr>
          <w:rFonts w:hint="eastAsia" w:ascii="宋体" w:hAnsi="宋体" w:cs="宋体"/>
          <w:color w:val="auto"/>
          <w:szCs w:val="21"/>
          <w:highlight w:val="none"/>
        </w:rPr>
        <w:t>三、法定代表人授权委托书</w:t>
      </w:r>
    </w:p>
    <w:p w14:paraId="5B2BCE21">
      <w:pPr>
        <w:keepNext w:val="0"/>
        <w:keepLines w:val="0"/>
        <w:pageBreakBefore w:val="0"/>
        <w:widowControl/>
        <w:kinsoku/>
        <w:wordWrap/>
        <w:overflowPunct/>
        <w:topLinePunct w:val="0"/>
        <w:autoSpaceDE/>
        <w:autoSpaceDN/>
        <w:bidi w:val="0"/>
        <w:adjustRightInd w:val="0"/>
        <w:snapToGrid w:val="0"/>
        <w:spacing w:before="120" w:line="360" w:lineRule="auto"/>
        <w:ind w:left="420" w:leftChars="200" w:firstLine="630" w:firstLineChars="300"/>
        <w:textAlignment w:val="auto"/>
        <w:rPr>
          <w:rFonts w:ascii="宋体" w:hAnsi="宋体" w:cs="宋体"/>
          <w:color w:val="auto"/>
          <w:szCs w:val="21"/>
          <w:highlight w:val="none"/>
        </w:rPr>
      </w:pPr>
      <w:r>
        <w:rPr>
          <w:rFonts w:hint="eastAsia" w:ascii="宋体" w:hAnsi="宋体" w:cs="宋体"/>
          <w:color w:val="auto"/>
          <w:szCs w:val="21"/>
          <w:highlight w:val="none"/>
        </w:rPr>
        <w:t>四、供应商具备磋商资格的证明文件</w:t>
      </w:r>
    </w:p>
    <w:p w14:paraId="45B28175">
      <w:pPr>
        <w:keepNext w:val="0"/>
        <w:keepLines w:val="0"/>
        <w:pageBreakBefore w:val="0"/>
        <w:widowControl/>
        <w:kinsoku/>
        <w:wordWrap/>
        <w:overflowPunct/>
        <w:topLinePunct w:val="0"/>
        <w:autoSpaceDE/>
        <w:autoSpaceDN/>
        <w:bidi w:val="0"/>
        <w:adjustRightInd w:val="0"/>
        <w:snapToGrid w:val="0"/>
        <w:spacing w:before="120" w:line="360" w:lineRule="auto"/>
        <w:ind w:left="420" w:leftChars="200" w:firstLine="630" w:firstLineChars="300"/>
        <w:textAlignment w:val="auto"/>
        <w:rPr>
          <w:rFonts w:ascii="宋体" w:hAnsi="宋体" w:cs="宋体"/>
          <w:color w:val="auto"/>
          <w:szCs w:val="21"/>
          <w:highlight w:val="none"/>
        </w:rPr>
      </w:pPr>
      <w:r>
        <w:rPr>
          <w:rFonts w:hint="eastAsia" w:ascii="宋体" w:hAnsi="宋体" w:cs="宋体"/>
          <w:color w:val="auto"/>
          <w:szCs w:val="21"/>
          <w:highlight w:val="none"/>
        </w:rPr>
        <w:t>五、保证金</w:t>
      </w:r>
    </w:p>
    <w:p w14:paraId="0C6B1062">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按照《政府采购法》第二十二条和磋商文件的规定，我单位郑重声明如下：</w:t>
      </w:r>
    </w:p>
    <w:p w14:paraId="32588DB2">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1、我单位是按照中华人民共和国法律规定登记注册的，全称为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，统一社会信用代码或注册号为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，具有独立承担民事责任的能力。</w:t>
      </w:r>
    </w:p>
    <w:p w14:paraId="2AD964FE">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2、我单位具有良好的商业信誉和健全的财务会计制度。</w:t>
      </w:r>
    </w:p>
    <w:p w14:paraId="647BBF22">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3、我单位具有履行本项目采购合同所必需的设备和专业技术能力。</w:t>
      </w:r>
    </w:p>
    <w:p w14:paraId="1BF931D5">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4、我单位具有依法缴纳税收和社会保障资金的良好记录。</w:t>
      </w:r>
    </w:p>
    <w:p w14:paraId="740F49E2">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5、在参加采购项目政府采购活动前三年内，我单位</w:t>
      </w:r>
      <w:r>
        <w:rPr>
          <w:rFonts w:hint="eastAsia" w:ascii="宋体" w:hAnsi="宋体" w:cs="Times New Roman"/>
          <w:color w:val="auto"/>
          <w:szCs w:val="21"/>
          <w:highlight w:val="none"/>
        </w:rPr>
        <w:t>或者法定代表人、董事、监事、高级管理人员</w:t>
      </w:r>
      <w:r>
        <w:rPr>
          <w:rFonts w:hint="eastAsia" w:ascii="宋体" w:hAnsi="宋体" w:cs="宋体"/>
          <w:color w:val="auto"/>
          <w:szCs w:val="21"/>
          <w:highlight w:val="none"/>
        </w:rPr>
        <w:t>未因违法经营受到行政、刑事处罚或者被责令停产停业、吊销许可证或者执照、受到法律法规规定的较大数额罚款等行政处罚（</w:t>
      </w:r>
      <w:r>
        <w:rPr>
          <w:rFonts w:hint="eastAsia" w:ascii="宋体" w:hAnsi="宋体" w:cs="Times New Roman"/>
          <w:color w:val="auto"/>
          <w:szCs w:val="21"/>
          <w:highlight w:val="none"/>
        </w:rPr>
        <w:t>警告和罚款额在贰佰万元以下的行政处罚除外）；</w:t>
      </w:r>
    </w:p>
    <w:p w14:paraId="36ACD1E8">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6、我单位不存在下列情形之一： </w:t>
      </w:r>
    </w:p>
    <w:p w14:paraId="750714A0">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（1）与采购人、采购代理机构不存在隶属关系或者其他利害关系；</w:t>
      </w:r>
    </w:p>
    <w:p w14:paraId="7FDDE2EA">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（2）与参加采购项目的其他供应商不存在直接控股、管理关系，或者与其他供应商法定代表人（或者负责人）为同一人；</w:t>
      </w:r>
    </w:p>
    <w:p w14:paraId="7EF34C93">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（3）为本项目提供整体设计、规范编制或者项目管理、监理、检测等服务；</w:t>
      </w:r>
    </w:p>
    <w:p w14:paraId="1B975BB8">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（4）列入失信被执行人、重大税收违法案件当事人名单、政府采购严重违法失信行为记录名单及其他不符合《政府采购法》第二十二条规定条件。</w:t>
      </w:r>
    </w:p>
    <w:p w14:paraId="1DDCB93D">
      <w:pPr>
        <w:keepNext w:val="0"/>
        <w:keepLines w:val="0"/>
        <w:pageBreakBefore w:val="0"/>
        <w:widowControl/>
        <w:kinsoku/>
        <w:wordWrap/>
        <w:overflowPunct/>
        <w:topLinePunct w:val="0"/>
        <w:autoSpaceDE/>
        <w:autoSpaceDN/>
        <w:bidi w:val="0"/>
        <w:adjustRightInd w:val="0"/>
        <w:snapToGrid w:val="0"/>
        <w:spacing w:before="120"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我单位保证上述事项声明及所附证明材料均真实可靠，如有虚假，我单位愿意承担相应的法律责任，并承担因此所造成的一切损失。 </w:t>
      </w:r>
    </w:p>
    <w:p w14:paraId="3DD3B33D">
      <w:pPr>
        <w:widowControl w:val="0"/>
        <w:spacing w:after="120"/>
        <w:jc w:val="both"/>
        <w:rPr>
          <w:rFonts w:hint="eastAsia" w:ascii="宋体" w:hAnsi="宋体" w:eastAsia="宋体" w:cs="宋体"/>
          <w:color w:val="auto"/>
          <w:kern w:val="2"/>
          <w:sz w:val="21"/>
          <w:szCs w:val="21"/>
          <w:highlight w:val="none"/>
          <w:lang w:val="en-US" w:eastAsia="zh-CN" w:bidi="ar-SA"/>
        </w:rPr>
      </w:pPr>
    </w:p>
    <w:p w14:paraId="5F077D35">
      <w:pPr>
        <w:widowControl w:val="0"/>
        <w:autoSpaceDE w:val="0"/>
        <w:autoSpaceDN w:val="0"/>
        <w:adjustRightInd w:val="0"/>
        <w:rPr>
          <w:rFonts w:ascii="黑体" w:hAnsi="Times New Roman" w:eastAsia="黑体" w:cs="Times New Roman"/>
          <w:color w:val="auto"/>
          <w:highlight w:val="none"/>
          <w:lang w:val="en-US" w:eastAsia="zh-CN" w:bidi="ar-SA"/>
        </w:rPr>
      </w:pPr>
    </w:p>
    <w:p w14:paraId="50BD558B">
      <w:pPr>
        <w:keepNext w:val="0"/>
        <w:keepLines w:val="0"/>
        <w:pageBreakBefore w:val="0"/>
        <w:widowControl/>
        <w:kinsoku/>
        <w:wordWrap/>
        <w:overflowPunct/>
        <w:topLinePunct w:val="0"/>
        <w:autoSpaceDE/>
        <w:autoSpaceDN/>
        <w:bidi w:val="0"/>
        <w:adjustRightInd w:val="0"/>
        <w:snapToGrid w:val="0"/>
        <w:spacing w:before="120" w:line="360" w:lineRule="auto"/>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供应商名称（盖单位章）：</w:t>
      </w:r>
    </w:p>
    <w:p w14:paraId="4BA73359">
      <w:pPr>
        <w:keepNext w:val="0"/>
        <w:keepLines w:val="0"/>
        <w:pageBreakBefore w:val="0"/>
        <w:widowControl/>
        <w:kinsoku/>
        <w:wordWrap/>
        <w:overflowPunct/>
        <w:topLinePunct w:val="0"/>
        <w:autoSpaceDE/>
        <w:autoSpaceDN/>
        <w:bidi w:val="0"/>
        <w:adjustRightInd w:val="0"/>
        <w:snapToGrid w:val="0"/>
        <w:spacing w:before="120" w:line="360" w:lineRule="auto"/>
        <w:jc w:val="left"/>
        <w:textAlignment w:val="auto"/>
        <w:rPr>
          <w:rFonts w:ascii="宋体" w:hAnsi="宋体" w:cs="宋体"/>
          <w:color w:val="auto"/>
          <w:kern w:val="0"/>
          <w:szCs w:val="21"/>
          <w:highlight w:val="none"/>
        </w:rPr>
      </w:pPr>
      <w:r>
        <w:rPr>
          <w:rFonts w:hint="eastAsia" w:ascii="宋体" w:hAnsi="宋体" w:cs="宋体"/>
          <w:color w:val="auto"/>
          <w:szCs w:val="21"/>
          <w:highlight w:val="none"/>
        </w:rPr>
        <w:t>法定代表人或其授权的代理人（签字）：</w:t>
      </w:r>
    </w:p>
    <w:p w14:paraId="652F3EFC">
      <w:pPr>
        <w:keepNext w:val="0"/>
        <w:keepLines w:val="0"/>
        <w:pageBreakBefore w:val="0"/>
        <w:widowControl/>
        <w:kinsoku/>
        <w:wordWrap/>
        <w:overflowPunct/>
        <w:topLinePunct w:val="0"/>
        <w:autoSpaceDE/>
        <w:autoSpaceDN/>
        <w:bidi w:val="0"/>
        <w:adjustRightInd w:val="0"/>
        <w:snapToGrid w:val="0"/>
        <w:spacing w:before="120" w:line="360" w:lineRule="auto"/>
        <w:textAlignment w:val="auto"/>
        <w:rPr>
          <w:rFonts w:ascii="宋体" w:hAnsi="宋体" w:cs="宋体"/>
          <w:bCs/>
          <w:color w:val="auto"/>
          <w:sz w:val="28"/>
          <w:szCs w:val="28"/>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67E4492">
      <w:pPr>
        <w:widowControl w:val="0"/>
        <w:adjustRightInd w:val="0"/>
        <w:snapToGrid w:val="0"/>
        <w:spacing w:line="360" w:lineRule="auto"/>
        <w:jc w:val="center"/>
        <w:rPr>
          <w:rFonts w:ascii="宋体" w:hAnsi="宋体" w:eastAsia="宋体" w:cs="Times New Roman"/>
          <w:b/>
          <w:color w:val="auto"/>
          <w:kern w:val="2"/>
          <w:sz w:val="28"/>
          <w:szCs w:val="28"/>
          <w:highlight w:val="none"/>
          <w:lang w:val="en-US" w:eastAsia="zh-CN" w:bidi="ar-SA"/>
        </w:rPr>
      </w:pPr>
      <w:r>
        <w:rPr>
          <w:rFonts w:hint="eastAsia" w:ascii="宋体" w:hAnsi="宋体" w:eastAsia="宋体" w:cs="宋体"/>
          <w:color w:val="auto"/>
          <w:highlight w:val="none"/>
          <w:lang w:val="en-US" w:eastAsia="zh-CN" w:bidi="ar-SA"/>
        </w:rPr>
        <w:br w:type="page"/>
      </w:r>
      <w:r>
        <w:rPr>
          <w:rFonts w:hint="eastAsia" w:ascii="宋体" w:hAnsi="宋体" w:eastAsia="宋体" w:cs="Times New Roman"/>
          <w:b/>
          <w:color w:val="auto"/>
          <w:kern w:val="2"/>
          <w:sz w:val="28"/>
          <w:szCs w:val="28"/>
          <w:highlight w:val="none"/>
          <w:lang w:val="en-US" w:eastAsia="zh-CN" w:bidi="ar-SA"/>
        </w:rPr>
        <w:t>湖南省政府采购供应商资格承诺函</w:t>
      </w:r>
    </w:p>
    <w:p w14:paraId="4D2EF67C">
      <w:pPr>
        <w:widowControl w:val="0"/>
        <w:adjustRightInd w:val="0"/>
        <w:snapToGrid w:val="0"/>
        <w:spacing w:line="360" w:lineRule="auto"/>
        <w:jc w:val="center"/>
        <w:rPr>
          <w:rFonts w:ascii="宋体" w:hAnsi="宋体" w:eastAsia="宋体" w:cs="Times New Roman"/>
          <w:b/>
          <w:color w:val="auto"/>
          <w:kern w:val="2"/>
          <w:sz w:val="28"/>
          <w:szCs w:val="28"/>
          <w:highlight w:val="none"/>
          <w:lang w:val="en-US" w:eastAsia="zh-CN" w:bidi="ar-SA"/>
        </w:rPr>
      </w:pPr>
    </w:p>
    <w:p w14:paraId="5B141B73">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315E78D8">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按照《政府采购促进中小企业发展管理办法》（财库〔2020〕46号），本公司企业规模为：□大型 □中型 □小型 □微型</w:t>
      </w:r>
    </w:p>
    <w:p w14:paraId="45451ABE">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p>
    <w:p w14:paraId="4A19A290">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p>
    <w:p w14:paraId="761D7029">
      <w:pPr>
        <w:widowControl w:val="0"/>
        <w:spacing w:line="360" w:lineRule="auto"/>
        <w:ind w:firstLine="420" w:firstLineChars="200"/>
        <w:jc w:val="righ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供应商名称(单位盖章):</w:t>
      </w:r>
    </w:p>
    <w:p w14:paraId="7536D6A2">
      <w:pPr>
        <w:widowControl w:val="0"/>
        <w:spacing w:line="360" w:lineRule="auto"/>
        <w:ind w:firstLine="444" w:firstLineChars="200"/>
        <w:jc w:val="righ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spacing w:val="6"/>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spacing w:val="6"/>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日 </w:t>
      </w:r>
    </w:p>
    <w:p w14:paraId="2E7DF737">
      <w:pPr>
        <w:widowControl w:val="0"/>
        <w:spacing w:line="360" w:lineRule="auto"/>
        <w:ind w:firstLine="420" w:firstLineChars="200"/>
        <w:jc w:val="right"/>
        <w:rPr>
          <w:rFonts w:ascii="宋体" w:hAnsi="宋体" w:eastAsia="宋体" w:cs="宋体"/>
          <w:color w:val="auto"/>
          <w:kern w:val="2"/>
          <w:sz w:val="21"/>
          <w:szCs w:val="21"/>
          <w:highlight w:val="none"/>
          <w:lang w:val="en-US" w:eastAsia="zh-CN" w:bidi="ar-SA"/>
        </w:rPr>
      </w:pPr>
    </w:p>
    <w:p w14:paraId="02E04089">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机构代码：注册登记机构、日期、有效期、注册资本、地址、经济行业、经济性质</w:t>
      </w:r>
    </w:p>
    <w:p w14:paraId="1F8D1C45">
      <w:pPr>
        <w:widowControl w:val="0"/>
        <w:spacing w:line="360" w:lineRule="auto"/>
        <w:ind w:firstLine="420" w:firstLineChars="200"/>
        <w:jc w:val="both"/>
        <w:rPr>
          <w:rFonts w:ascii="宋体" w:hAnsi="宋体" w:eastAsia="宋体" w:cs="宋体"/>
          <w:color w:val="auto"/>
          <w:kern w:val="2"/>
          <w:sz w:val="21"/>
          <w:szCs w:val="21"/>
          <w:highlight w:val="none"/>
          <w:lang w:val="en-US" w:eastAsia="zh-CN" w:bidi="ar-SA"/>
        </w:rPr>
      </w:pPr>
    </w:p>
    <w:p w14:paraId="67969C5E">
      <w:pPr>
        <w:widowControl w:val="0"/>
        <w:spacing w:line="400" w:lineRule="exact"/>
        <w:ind w:right="42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kern w:val="2"/>
          <w:sz w:val="21"/>
          <w:szCs w:val="21"/>
          <w:highlight w:val="none"/>
          <w:lang w:val="en-US" w:eastAsia="zh-CN" w:bidi="ar-SA"/>
        </w:rPr>
        <w:t>姓名、身份证号、手机号</w:t>
      </w:r>
      <w:r>
        <w:rPr>
          <w:rFonts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1"/>
          <w:highlight w:val="none"/>
          <w:u w:val="single"/>
          <w:lang w:val="en-US" w:eastAsia="zh-CN" w:bidi="ar-SA"/>
        </w:rPr>
        <w:t>  </w:t>
      </w:r>
      <w:r>
        <w:rPr>
          <w:rFonts w:hint="eastAsia" w:ascii="宋体" w:hAnsi="宋体" w:eastAsia="宋体" w:cs="宋体"/>
          <w:color w:val="auto"/>
          <w:kern w:val="2"/>
          <w:sz w:val="21"/>
          <w:szCs w:val="21"/>
          <w:highlight w:val="none"/>
          <w:u w:val="single"/>
          <w:lang w:val="en-US" w:eastAsia="zh-CN" w:bidi="ar-SA"/>
        </w:rPr>
        <w:t xml:space="preserve">     </w:t>
      </w:r>
      <w:r>
        <w:rPr>
          <w:rFonts w:ascii="宋体" w:hAnsi="宋体" w:eastAsia="宋体" w:cs="宋体"/>
          <w:color w:val="auto"/>
          <w:kern w:val="2"/>
          <w:sz w:val="21"/>
          <w:szCs w:val="21"/>
          <w:highlight w:val="none"/>
          <w:u w:val="single"/>
          <w:lang w:val="en-US" w:eastAsia="zh-CN" w:bidi="ar-SA"/>
        </w:rPr>
        <w:t> </w:t>
      </w:r>
    </w:p>
    <w:p w14:paraId="2B0EAD72">
      <w:pPr>
        <w:widowControl w:val="0"/>
        <w:spacing w:line="400" w:lineRule="exact"/>
        <w:ind w:right="420"/>
        <w:jc w:val="left"/>
        <w:rPr>
          <w:rFonts w:ascii="Calibri" w:hAnsi="Calibri" w:eastAsia="宋体" w:cs="Times New Roman"/>
          <w:color w:val="auto"/>
          <w:kern w:val="2"/>
          <w:sz w:val="21"/>
          <w:szCs w:val="22"/>
          <w:highlight w:val="none"/>
          <w:lang w:val="en-US" w:eastAsia="zh-CN" w:bidi="ar-SA"/>
        </w:rPr>
      </w:pPr>
      <w:r>
        <w:rPr>
          <w:rFonts w:ascii="宋体" w:hAnsi="宋体" w:eastAsia="宋体" w:cs="宋体"/>
          <w:color w:val="auto"/>
          <w:kern w:val="2"/>
          <w:sz w:val="21"/>
          <w:szCs w:val="21"/>
          <w:highlight w:val="none"/>
          <w:lang w:val="en-US" w:eastAsia="zh-CN" w:bidi="ar-SA"/>
        </w:rPr>
        <w:t>委托代理人</w:t>
      </w:r>
      <w:r>
        <w:rPr>
          <w:rFonts w:hint="eastAsia" w:ascii="宋体" w:hAnsi="宋体" w:eastAsia="宋体" w:cs="宋体"/>
          <w:color w:val="auto"/>
          <w:kern w:val="2"/>
          <w:sz w:val="21"/>
          <w:szCs w:val="21"/>
          <w:highlight w:val="none"/>
          <w:lang w:val="en-US" w:eastAsia="zh-CN" w:bidi="ar-SA"/>
        </w:rPr>
        <w:t>姓名、身份证号、手机号：</w:t>
      </w:r>
      <w:r>
        <w:rPr>
          <w:rFonts w:ascii="宋体" w:hAnsi="宋体" w:eastAsia="宋体" w:cs="宋体"/>
          <w:color w:val="auto"/>
          <w:kern w:val="2"/>
          <w:sz w:val="21"/>
          <w:szCs w:val="21"/>
          <w:highlight w:val="none"/>
          <w:u w:val="single"/>
          <w:lang w:val="en-US" w:eastAsia="zh-CN" w:bidi="ar-SA"/>
        </w:rPr>
        <w:t>      </w:t>
      </w:r>
    </w:p>
    <w:p w14:paraId="69940EF8">
      <w:pPr>
        <w:adjustRightInd w:val="0"/>
        <w:snapToGrid w:val="0"/>
        <w:spacing w:before="120" w:after="0" w:line="360" w:lineRule="auto"/>
        <w:jc w:val="center"/>
        <w:rPr>
          <w:rFonts w:ascii="宋体" w:hAnsi="宋体" w:cs="宋体"/>
          <w:color w:val="auto"/>
          <w:sz w:val="28"/>
          <w:szCs w:val="28"/>
          <w:highlight w:val="none"/>
        </w:rPr>
        <w:sectPr>
          <w:pgSz w:w="11906" w:h="16838"/>
          <w:pgMar w:top="1587" w:right="1474" w:bottom="1474" w:left="1587" w:header="851" w:footer="992" w:gutter="0"/>
          <w:cols w:space="720" w:num="1"/>
          <w:docGrid w:linePitch="312" w:charSpace="0"/>
        </w:sectPr>
      </w:pPr>
    </w:p>
    <w:p w14:paraId="11168A64">
      <w:pPr>
        <w:keepNext/>
        <w:keepLines/>
        <w:widowControl w:val="0"/>
        <w:spacing w:before="120" w:after="290" w:line="360" w:lineRule="auto"/>
        <w:jc w:val="both"/>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附4-2 法人、或者其他组织的营业执照等主体资格证明文件，自然人的身份证明</w:t>
      </w:r>
    </w:p>
    <w:p w14:paraId="69DE6D82">
      <w:pPr>
        <w:widowControl/>
        <w:adjustRightInd w:val="0"/>
        <w:snapToGrid w:val="0"/>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288E9555">
      <w:pPr>
        <w:widowControl/>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302322EE">
      <w:pPr>
        <w:keepNext/>
        <w:keepLines/>
        <w:widowControl w:val="0"/>
        <w:spacing w:before="120" w:after="290" w:line="360" w:lineRule="auto"/>
        <w:jc w:val="both"/>
        <w:outlineLvl w:val="3"/>
        <w:rPr>
          <w:rFonts w:ascii="宋体" w:hAnsi="宋体" w:eastAsia="黑体" w:cs="宋体"/>
          <w:b/>
          <w:bCs/>
          <w:color w:val="auto"/>
          <w:kern w:val="2"/>
          <w:sz w:val="28"/>
          <w:szCs w:val="21"/>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附4-3 财务状况报告</w:t>
      </w:r>
    </w:p>
    <w:p w14:paraId="63E0CEC0">
      <w:pPr>
        <w:widowControl/>
        <w:adjustRightInd w:val="0"/>
        <w:snapToGrid w:val="0"/>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5E2CFAEF">
      <w:pPr>
        <w:widowControl w:val="0"/>
        <w:spacing w:before="120" w:after="12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前附表如无特别指明，供应商提交的财务报告可以是响应截止日前三年的任意一个年度。</w:t>
      </w:r>
    </w:p>
    <w:p w14:paraId="4E07A5C1">
      <w:pPr>
        <w:widowControl/>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5D33B2CA">
      <w:pPr>
        <w:keepNext/>
        <w:keepLines/>
        <w:widowControl w:val="0"/>
        <w:spacing w:before="120" w:after="290" w:line="360" w:lineRule="auto"/>
        <w:jc w:val="both"/>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附4-4 依法缴纳税收的相关证明</w:t>
      </w:r>
    </w:p>
    <w:p w14:paraId="6BD52541">
      <w:pPr>
        <w:widowControl/>
        <w:adjustRightInd w:val="0"/>
        <w:snapToGrid w:val="0"/>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6491A23E">
      <w:pPr>
        <w:widowControl/>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0913F9B9">
      <w:pPr>
        <w:keepNext/>
        <w:keepLines/>
        <w:widowControl w:val="0"/>
        <w:spacing w:before="120" w:after="290" w:line="360" w:lineRule="auto"/>
        <w:jc w:val="both"/>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附4-5 依法缴纳社会保险费的相关证明</w:t>
      </w:r>
    </w:p>
    <w:p w14:paraId="06F6F9E3">
      <w:pPr>
        <w:widowControl/>
        <w:adjustRightInd w:val="0"/>
        <w:snapToGrid w:val="0"/>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21B8CD41">
      <w:pPr>
        <w:widowControl/>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127CEB3A">
      <w:pPr>
        <w:keepNext/>
        <w:keepLines/>
        <w:widowControl w:val="0"/>
        <w:spacing w:before="120" w:after="290" w:line="360" w:lineRule="auto"/>
        <w:jc w:val="both"/>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附4-6 具备履行合同所必需的设备和专业技术能力的证明</w:t>
      </w:r>
    </w:p>
    <w:p w14:paraId="23F7F49E">
      <w:pPr>
        <w:widowControl/>
        <w:adjustRightInd w:val="0"/>
        <w:snapToGrid w:val="0"/>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t>根据磋商文件采购需求或是打分表要求自拟格式提交</w:t>
      </w:r>
      <w:r>
        <w:rPr>
          <w:rFonts w:hint="eastAsia" w:ascii="宋体" w:hAnsi="宋体" w:cs="宋体"/>
          <w:color w:val="auto"/>
          <w:szCs w:val="21"/>
          <w:highlight w:val="none"/>
          <w:lang w:eastAsia="zh-CN"/>
        </w:rPr>
        <w:t>。</w:t>
      </w:r>
      <w:r>
        <w:rPr>
          <w:rFonts w:hint="eastAsia" w:ascii="宋体" w:hAnsi="宋体" w:cs="宋体"/>
          <w:color w:val="auto"/>
          <w:szCs w:val="21"/>
          <w:highlight w:val="none"/>
        </w:rPr>
        <w:br w:type="page"/>
      </w:r>
    </w:p>
    <w:p w14:paraId="5036578C">
      <w:pPr>
        <w:keepNext/>
        <w:keepLines/>
        <w:widowControl w:val="0"/>
        <w:spacing w:before="120" w:after="290" w:line="360" w:lineRule="auto"/>
        <w:jc w:val="both"/>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附4-7 具备法律、行政法规规定的其他条件的证明材料复印件</w:t>
      </w:r>
    </w:p>
    <w:p w14:paraId="6B459E47">
      <w:pPr>
        <w:widowControl/>
        <w:adjustRightInd w:val="0"/>
        <w:snapToGrid w:val="0"/>
        <w:spacing w:before="120" w:line="360" w:lineRule="auto"/>
        <w:ind w:firstLine="420" w:firstLineChars="200"/>
        <w:jc w:val="left"/>
        <w:rPr>
          <w:rFonts w:ascii="宋体" w:hAnsi="宋体" w:cs="宋体"/>
          <w:color w:val="auto"/>
          <w:szCs w:val="21"/>
          <w:highlight w:val="none"/>
        </w:rPr>
      </w:pPr>
    </w:p>
    <w:p w14:paraId="3FA692D7">
      <w:pPr>
        <w:widowControl/>
        <w:adjustRightInd w:val="0"/>
        <w:snapToGrid w:val="0"/>
        <w:spacing w:before="12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注：供应商根据磋商文件规定的要求提供证明</w:t>
      </w:r>
      <w:r>
        <w:rPr>
          <w:rFonts w:hint="eastAsia" w:ascii="宋体" w:hAnsi="宋体" w:cs="宋体"/>
          <w:color w:val="auto"/>
          <w:szCs w:val="21"/>
          <w:highlight w:val="none"/>
          <w:lang w:eastAsia="zh-CN"/>
        </w:rPr>
        <w:t>。</w:t>
      </w:r>
    </w:p>
    <w:p w14:paraId="1AB1FBC3">
      <w:pPr>
        <w:widowControl/>
        <w:spacing w:before="120"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4DB8E8D8">
      <w:pPr>
        <w:keepNext/>
        <w:keepLines/>
        <w:widowControl w:val="0"/>
        <w:spacing w:before="120" w:after="290" w:line="360" w:lineRule="auto"/>
        <w:jc w:val="both"/>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附4-8 提供供应商特定资格条件证明资料的复印件</w:t>
      </w:r>
    </w:p>
    <w:p w14:paraId="7687D02F">
      <w:pPr>
        <w:widowControl/>
        <w:adjustRightInd w:val="0"/>
        <w:snapToGrid w:val="0"/>
        <w:spacing w:before="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注：按磋商文件要求提供。</w:t>
      </w:r>
    </w:p>
    <w:p w14:paraId="35E430D3">
      <w:pPr>
        <w:keepNext/>
        <w:keepLines/>
        <w:widowControl w:val="0"/>
        <w:spacing w:before="120" w:after="290" w:line="376" w:lineRule="auto"/>
        <w:jc w:val="both"/>
        <w:outlineLvl w:val="3"/>
        <w:rPr>
          <w:rFonts w:hint="eastAsia"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  </w:t>
      </w:r>
      <w:r>
        <w:rPr>
          <w:rFonts w:hint="eastAsia" w:ascii="宋体" w:hAnsi="宋体" w:eastAsia="宋体" w:cs="宋体"/>
          <w:b/>
          <w:bCs w:val="0"/>
          <w:color w:val="auto"/>
          <w:spacing w:val="6"/>
          <w:kern w:val="0"/>
          <w:sz w:val="24"/>
          <w:szCs w:val="24"/>
          <w:highlight w:val="none"/>
          <w:lang w:val="en-US" w:eastAsia="zh-CN" w:bidi="ar-SA"/>
        </w:rPr>
        <w:t>中小企业声明函</w:t>
      </w:r>
    </w:p>
    <w:p w14:paraId="284B7529">
      <w:pPr>
        <w:widowControl/>
        <w:adjustRightInd w:val="0"/>
        <w:snapToGrid w:val="0"/>
        <w:spacing w:before="120" w:line="360" w:lineRule="auto"/>
        <w:ind w:firstLine="444" w:firstLineChars="200"/>
        <w:jc w:val="left"/>
        <w:rPr>
          <w:rFonts w:ascii="宋体" w:hAnsi="宋体" w:cs="宋体"/>
          <w:color w:val="auto"/>
          <w:spacing w:val="6"/>
          <w:kern w:val="0"/>
          <w:szCs w:val="21"/>
          <w:highlight w:val="none"/>
        </w:rPr>
      </w:pPr>
    </w:p>
    <w:p w14:paraId="1DB4CEC1">
      <w:pPr>
        <w:widowControl w:val="0"/>
        <w:spacing w:before="120" w:line="528" w:lineRule="exact"/>
        <w:ind w:firstLine="660"/>
        <w:jc w:val="left"/>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本公司</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郑重声明，根据《政府采购促进中小企业发展管理办法》（财库</w:t>
      </w:r>
      <w:r>
        <w:rPr>
          <w:rFonts w:hint="eastAsia" w:ascii="宋体" w:hAnsi="宋体" w:eastAsia="宋体" w:cs="宋体"/>
          <w:color w:val="auto"/>
          <w:kern w:val="2"/>
          <w:sz w:val="21"/>
          <w:szCs w:val="21"/>
          <w:highlight w:val="none"/>
          <w:lang w:val="zh-TW" w:eastAsia="zh-CN" w:bidi="zh-TW"/>
        </w:rPr>
        <w:t>【</w:t>
      </w:r>
      <w:r>
        <w:rPr>
          <w:rFonts w:hint="eastAsia" w:ascii="宋体" w:hAnsi="宋体" w:eastAsia="宋体" w:cs="宋体"/>
          <w:color w:val="auto"/>
          <w:kern w:val="2"/>
          <w:sz w:val="21"/>
          <w:szCs w:val="21"/>
          <w:highlight w:val="none"/>
          <w:lang w:val="zh-TW" w:eastAsia="zh-TW" w:bidi="zh-TW"/>
        </w:rPr>
        <w:t>2020</w:t>
      </w:r>
      <w:r>
        <w:rPr>
          <w:rFonts w:hint="eastAsia" w:ascii="宋体" w:hAnsi="宋体" w:eastAsia="宋体" w:cs="宋体"/>
          <w:color w:val="auto"/>
          <w:kern w:val="2"/>
          <w:sz w:val="21"/>
          <w:szCs w:val="21"/>
          <w:highlight w:val="none"/>
          <w:lang w:val="zh-TW" w:eastAsia="zh-CN" w:bidi="zh-TW"/>
        </w:rPr>
        <w:t>】</w:t>
      </w:r>
      <w:r>
        <w:rPr>
          <w:rFonts w:hint="eastAsia" w:ascii="宋体" w:hAnsi="宋体" w:eastAsia="宋体" w:cs="宋体"/>
          <w:color w:val="auto"/>
          <w:kern w:val="2"/>
          <w:sz w:val="21"/>
          <w:szCs w:val="21"/>
          <w:highlight w:val="none"/>
          <w:lang w:val="en-US" w:eastAsia="zh-CN" w:bidi="zh-TW"/>
        </w:rPr>
        <w:t>46</w:t>
      </w:r>
      <w:r>
        <w:rPr>
          <w:rFonts w:hint="eastAsia" w:ascii="宋体" w:hAnsi="宋体" w:eastAsia="宋体" w:cs="宋体"/>
          <w:color w:val="auto"/>
          <w:kern w:val="2"/>
          <w:sz w:val="21"/>
          <w:szCs w:val="21"/>
          <w:highlight w:val="none"/>
          <w:lang w:val="zh-TW" w:eastAsia="zh-TW" w:bidi="zh-TW"/>
        </w:rPr>
        <w:t>号）的规定，本公司</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参加</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（单位名称）</w:t>
      </w:r>
      <w:r>
        <w:rPr>
          <w:rFonts w:hint="eastAsia" w:ascii="宋体" w:hAnsi="宋体" w:eastAsia="宋体" w:cs="宋体"/>
          <w:color w:val="auto"/>
          <w:kern w:val="2"/>
          <w:sz w:val="21"/>
          <w:szCs w:val="21"/>
          <w:highlight w:val="none"/>
          <w:lang w:val="zh-TW" w:eastAsia="zh-TW" w:bidi="zh-TW"/>
        </w:rPr>
        <w:t>的</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（项目名称）</w:t>
      </w:r>
      <w:r>
        <w:rPr>
          <w:rFonts w:hint="eastAsia" w:ascii="宋体" w:hAnsi="宋体" w:eastAsia="宋体" w:cs="宋体"/>
          <w:color w:val="auto"/>
          <w:kern w:val="2"/>
          <w:sz w:val="21"/>
          <w:szCs w:val="21"/>
          <w:highlight w:val="none"/>
          <w:lang w:val="zh-TW" w:eastAsia="zh-TW" w:bidi="zh-TW"/>
        </w:rPr>
        <w:t>采购活动，服务全部由符合政策要求的中小企业承接。相关企业</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（含联合体中的中小企业、签订分包意向协议的中小企业）的具体情况如下：</w:t>
      </w:r>
    </w:p>
    <w:p w14:paraId="09CFC0A7">
      <w:pPr>
        <w:widowControl w:val="0"/>
        <w:tabs>
          <w:tab w:val="left" w:pos="1193"/>
          <w:tab w:val="left" w:pos="6974"/>
        </w:tabs>
        <w:spacing w:before="120" w:line="528" w:lineRule="exact"/>
        <w:ind w:firstLine="0"/>
        <w:jc w:val="both"/>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en-US" w:eastAsia="zh-CN" w:bidi="zh-TW"/>
        </w:rPr>
        <w:t xml:space="preserve">1、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（标的名称）</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（采购文件中明确的所属行业</w:t>
      </w:r>
      <w:r>
        <w:rPr>
          <w:rFonts w:hint="eastAsia" w:ascii="宋体" w:hAnsi="宋体" w:eastAsia="宋体" w:cs="宋体"/>
          <w:color w:val="auto"/>
          <w:kern w:val="2"/>
          <w:sz w:val="21"/>
          <w:szCs w:val="21"/>
          <w:highlight w:val="none"/>
          <w:u w:val="single"/>
          <w:lang w:val="zh-TW" w:eastAsia="zh-CN" w:bidi="zh-TW"/>
        </w:rPr>
        <w:t>：建筑业</w:t>
      </w:r>
      <w:r>
        <w:rPr>
          <w:rFonts w:hint="eastAsia" w:ascii="宋体" w:hAnsi="宋体" w:eastAsia="宋体" w:cs="宋体"/>
          <w:color w:val="auto"/>
          <w:kern w:val="2"/>
          <w:sz w:val="21"/>
          <w:szCs w:val="21"/>
          <w:highlight w:val="none"/>
          <w:u w:val="single"/>
          <w:lang w:val="zh-TW" w:eastAsia="zh-TW" w:bidi="zh-TW"/>
        </w:rPr>
        <w:t>）</w:t>
      </w:r>
      <w:r>
        <w:rPr>
          <w:rFonts w:hint="eastAsia" w:ascii="宋体" w:hAnsi="宋体" w:eastAsia="宋体" w:cs="宋体"/>
          <w:color w:val="auto"/>
          <w:kern w:val="2"/>
          <w:sz w:val="21"/>
          <w:szCs w:val="21"/>
          <w:highlight w:val="none"/>
          <w:lang w:val="zh-TW" w:eastAsia="zh-TW" w:bidi="zh-TW"/>
        </w:rPr>
        <w:t>, 承建（承接）企业为</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（企业名称）</w:t>
      </w:r>
      <w:r>
        <w:rPr>
          <w:rFonts w:hint="eastAsia" w:ascii="宋体" w:hAnsi="宋体" w:eastAsia="宋体" w:cs="宋体"/>
          <w:color w:val="auto"/>
          <w:kern w:val="2"/>
          <w:sz w:val="21"/>
          <w:szCs w:val="21"/>
          <w:highlight w:val="none"/>
          <w:lang w:val="zh-TW" w:eastAsia="zh-TW" w:bidi="zh-TW"/>
        </w:rPr>
        <w:t>,从业人员</w:t>
      </w:r>
      <w:r>
        <w:rPr>
          <w:rFonts w:hint="eastAsia" w:ascii="宋体" w:hAnsi="宋体" w:eastAsia="宋体" w:cs="宋体"/>
          <w:color w:val="auto"/>
          <w:kern w:val="2"/>
          <w:sz w:val="21"/>
          <w:szCs w:val="21"/>
          <w:highlight w:val="none"/>
          <w:u w:val="single"/>
          <w:lang w:val="zh-TW" w:eastAsia="zh-TW" w:bidi="zh-TW"/>
        </w:rPr>
        <w:t xml:space="preserve">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人，营业收入为</w:t>
      </w:r>
      <w:r>
        <w:rPr>
          <w:rFonts w:hint="eastAsia" w:ascii="宋体" w:hAnsi="宋体" w:eastAsia="宋体" w:cs="宋体"/>
          <w:color w:val="auto"/>
          <w:kern w:val="2"/>
          <w:sz w:val="30"/>
          <w:szCs w:val="21"/>
          <w:highlight w:val="none"/>
          <w:u w:val="single"/>
          <w:lang w:val="zh-TW" w:eastAsia="zh-TW" w:bidi="zh-TW"/>
        </w:rPr>
        <w:t xml:space="preserve">    </w:t>
      </w:r>
      <w:r>
        <w:rPr>
          <w:rFonts w:hint="eastAsia" w:ascii="宋体" w:hAnsi="宋体" w:eastAsia="宋体" w:cs="宋体"/>
          <w:color w:val="auto"/>
          <w:kern w:val="2"/>
          <w:sz w:val="21"/>
          <w:szCs w:val="21"/>
          <w:highlight w:val="none"/>
          <w:lang w:val="zh-TW" w:eastAsia="zh-TW" w:bidi="zh-TW"/>
        </w:rPr>
        <w:t>万元，资产总额为</w:t>
      </w:r>
      <w:r>
        <w:rPr>
          <w:rFonts w:hint="eastAsia" w:ascii="宋体" w:hAnsi="宋体" w:eastAsia="宋体" w:cs="宋体"/>
          <w:color w:val="auto"/>
          <w:kern w:val="2"/>
          <w:sz w:val="30"/>
          <w:szCs w:val="21"/>
          <w:highlight w:val="none"/>
          <w:u w:val="single"/>
          <w:lang w:val="zh-TW" w:eastAsia="zh-TW" w:bidi="zh-TW"/>
        </w:rPr>
        <w:t xml:space="preserve">    </w:t>
      </w:r>
      <w:r>
        <w:rPr>
          <w:rFonts w:hint="eastAsia" w:ascii="宋体" w:hAnsi="宋体" w:eastAsia="宋体" w:cs="宋体"/>
          <w:color w:val="auto"/>
          <w:kern w:val="2"/>
          <w:sz w:val="21"/>
          <w:szCs w:val="21"/>
          <w:highlight w:val="none"/>
          <w:lang w:val="zh-TW" w:eastAsia="zh-TW" w:bidi="zh-TW"/>
        </w:rPr>
        <w:t>万元</w:t>
      </w:r>
      <w:r>
        <w:rPr>
          <w:rFonts w:hint="eastAsia" w:ascii="宋体" w:hAnsi="宋体" w:eastAsia="宋体" w:cs="宋体"/>
          <w:color w:val="auto"/>
          <w:kern w:val="2"/>
          <w:sz w:val="21"/>
          <w:szCs w:val="21"/>
          <w:highlight w:val="none"/>
          <w:vertAlign w:val="superscript"/>
          <w:lang w:val="en-US" w:eastAsia="zh-CN" w:bidi="en-US"/>
        </w:rPr>
        <w:t>1</w:t>
      </w:r>
      <w:r>
        <w:rPr>
          <w:rFonts w:hint="eastAsia" w:ascii="宋体" w:hAnsi="宋体" w:eastAsia="宋体" w:cs="宋体"/>
          <w:color w:val="auto"/>
          <w:kern w:val="2"/>
          <w:sz w:val="21"/>
          <w:szCs w:val="21"/>
          <w:highlight w:val="none"/>
          <w:lang w:val="en-US" w:eastAsia="zh-CN" w:bidi="en-US"/>
        </w:rPr>
        <w:t>，</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（中型企业、 小型企业、微型企业）</w:t>
      </w:r>
      <w:r>
        <w:rPr>
          <w:rFonts w:hint="eastAsia" w:ascii="宋体" w:hAnsi="宋体" w:eastAsia="宋体" w:cs="宋体"/>
          <w:color w:val="auto"/>
          <w:kern w:val="2"/>
          <w:sz w:val="21"/>
          <w:szCs w:val="21"/>
          <w:highlight w:val="none"/>
          <w:lang w:val="zh-TW" w:eastAsia="zh-TW" w:bidi="zh-TW"/>
        </w:rPr>
        <w:t>,</w:t>
      </w:r>
    </w:p>
    <w:p w14:paraId="0FD2B200">
      <w:pPr>
        <w:widowControl w:val="0"/>
        <w:tabs>
          <w:tab w:val="left" w:pos="1193"/>
          <w:tab w:val="left" w:pos="6965"/>
        </w:tabs>
        <w:spacing w:before="120" w:line="528" w:lineRule="exact"/>
        <w:ind w:firstLine="0"/>
        <w:jc w:val="both"/>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en-US" w:eastAsia="zh-CN" w:bidi="zh-TW"/>
        </w:rPr>
        <w:t>2、</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（标的名称）</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（采购文件中明确的所属行业</w:t>
      </w:r>
      <w:r>
        <w:rPr>
          <w:rFonts w:hint="eastAsia" w:ascii="宋体" w:hAnsi="宋体" w:eastAsia="宋体" w:cs="宋体"/>
          <w:color w:val="auto"/>
          <w:kern w:val="2"/>
          <w:sz w:val="21"/>
          <w:szCs w:val="21"/>
          <w:highlight w:val="none"/>
          <w:u w:val="single"/>
          <w:lang w:val="zh-TW" w:eastAsia="zh-CN" w:bidi="zh-TW"/>
        </w:rPr>
        <w:t>：建筑业</w:t>
      </w:r>
      <w:r>
        <w:rPr>
          <w:rFonts w:hint="eastAsia" w:ascii="宋体" w:hAnsi="宋体" w:eastAsia="宋体" w:cs="宋体"/>
          <w:color w:val="auto"/>
          <w:kern w:val="2"/>
          <w:sz w:val="21"/>
          <w:szCs w:val="21"/>
          <w:highlight w:val="none"/>
          <w:u w:val="single"/>
          <w:lang w:val="zh-TW" w:eastAsia="zh-TW" w:bidi="zh-TW"/>
        </w:rPr>
        <w:t>）</w:t>
      </w:r>
      <w:r>
        <w:rPr>
          <w:rFonts w:hint="eastAsia" w:ascii="宋体" w:hAnsi="宋体" w:eastAsia="宋体" w:cs="宋体"/>
          <w:color w:val="auto"/>
          <w:kern w:val="2"/>
          <w:sz w:val="21"/>
          <w:szCs w:val="21"/>
          <w:highlight w:val="none"/>
          <w:lang w:val="zh-TW" w:eastAsia="zh-TW" w:bidi="zh-TW"/>
        </w:rPr>
        <w:t>, 承建（承接）企业为</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（企业名称）</w:t>
      </w:r>
      <w:r>
        <w:rPr>
          <w:rFonts w:hint="eastAsia" w:ascii="宋体" w:hAnsi="宋体" w:eastAsia="宋体" w:cs="宋体"/>
          <w:color w:val="auto"/>
          <w:kern w:val="2"/>
          <w:sz w:val="21"/>
          <w:szCs w:val="21"/>
          <w:highlight w:val="none"/>
          <w:lang w:val="zh-TW" w:eastAsia="zh-TW" w:bidi="zh-TW"/>
        </w:rPr>
        <w:t>,从业人员</w:t>
      </w:r>
      <w:r>
        <w:rPr>
          <w:rFonts w:hint="eastAsia" w:ascii="宋体" w:hAnsi="宋体" w:eastAsia="宋体" w:cs="宋体"/>
          <w:color w:val="auto"/>
          <w:kern w:val="2"/>
          <w:sz w:val="21"/>
          <w:szCs w:val="21"/>
          <w:highlight w:val="none"/>
          <w:u w:val="single"/>
          <w:lang w:val="zh-TW" w:eastAsia="zh-TW" w:bidi="zh-TW"/>
        </w:rPr>
        <w:t xml:space="preserve">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人，营业收入为</w:t>
      </w:r>
      <w:r>
        <w:rPr>
          <w:rFonts w:hint="eastAsia" w:ascii="宋体" w:hAnsi="宋体" w:eastAsia="宋体" w:cs="宋体"/>
          <w:color w:val="auto"/>
          <w:kern w:val="2"/>
          <w:sz w:val="30"/>
          <w:szCs w:val="21"/>
          <w:highlight w:val="none"/>
          <w:u w:val="single"/>
          <w:lang w:val="zh-TW" w:eastAsia="zh-TW" w:bidi="zh-TW"/>
        </w:rPr>
        <w:t xml:space="preserve">    </w:t>
      </w:r>
      <w:r>
        <w:rPr>
          <w:rFonts w:hint="eastAsia" w:ascii="宋体" w:hAnsi="宋体" w:eastAsia="宋体" w:cs="宋体"/>
          <w:color w:val="auto"/>
          <w:kern w:val="2"/>
          <w:sz w:val="21"/>
          <w:szCs w:val="21"/>
          <w:highlight w:val="none"/>
          <w:lang w:val="zh-TW" w:eastAsia="zh-TW" w:bidi="zh-TW"/>
        </w:rPr>
        <w:t>万元，资产总额为</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zh-TW" w:eastAsia="zh-TW" w:bidi="zh-TW"/>
        </w:rPr>
        <w:t>万元，属于</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u w:val="single"/>
          <w:lang w:val="zh-TW" w:eastAsia="zh-TW" w:bidi="zh-TW"/>
        </w:rPr>
        <w:t>（中型企业、 小型企业、微型企</w:t>
      </w:r>
      <w:r>
        <w:rPr>
          <w:rFonts w:hint="eastAsia" w:ascii="宋体" w:hAnsi="宋体" w:eastAsia="宋体" w:cs="宋体"/>
          <w:color w:val="auto"/>
          <w:kern w:val="2"/>
          <w:sz w:val="21"/>
          <w:szCs w:val="21"/>
          <w:highlight w:val="none"/>
          <w:u w:val="single"/>
          <w:lang w:val="zh-CN" w:eastAsia="zh-CN" w:bidi="zh-CN"/>
        </w:rPr>
        <w:t>业）</w:t>
      </w:r>
      <w:r>
        <w:rPr>
          <w:rFonts w:hint="eastAsia" w:ascii="宋体" w:hAnsi="宋体" w:eastAsia="宋体" w:cs="宋体"/>
          <w:color w:val="auto"/>
          <w:kern w:val="2"/>
          <w:sz w:val="21"/>
          <w:szCs w:val="21"/>
          <w:highlight w:val="none"/>
          <w:lang w:val="zh-CN" w:eastAsia="zh-CN" w:bidi="zh-CN"/>
        </w:rPr>
        <w:t>；</w:t>
      </w:r>
    </w:p>
    <w:p w14:paraId="11399A48">
      <w:pPr>
        <w:widowControl w:val="0"/>
        <w:spacing w:before="120" w:line="360" w:lineRule="auto"/>
        <w:ind w:firstLine="660"/>
        <w:jc w:val="both"/>
        <w:rPr>
          <w:rFonts w:ascii="宋体" w:hAnsi="宋体" w:eastAsia="宋体" w:cs="宋体"/>
          <w:color w:val="auto"/>
          <w:kern w:val="2"/>
          <w:sz w:val="21"/>
          <w:szCs w:val="21"/>
          <w:highlight w:val="none"/>
          <w:lang w:val="en-US" w:eastAsia="zh-CN" w:bidi="zh-TW"/>
        </w:rPr>
      </w:pPr>
      <w:r>
        <w:rPr>
          <w:rFonts w:hint="eastAsia" w:ascii="宋体" w:hAnsi="宋体" w:eastAsia="宋体" w:cs="宋体"/>
          <w:color w:val="auto"/>
          <w:kern w:val="2"/>
          <w:sz w:val="21"/>
          <w:szCs w:val="21"/>
          <w:highlight w:val="none"/>
          <w:lang w:val="en-US" w:eastAsia="zh-CN" w:bidi="zh-TW"/>
        </w:rPr>
        <w:t>......</w:t>
      </w:r>
    </w:p>
    <w:p w14:paraId="2400F782">
      <w:pPr>
        <w:widowControl w:val="0"/>
        <w:spacing w:before="120" w:line="360" w:lineRule="auto"/>
        <w:ind w:firstLine="660"/>
        <w:jc w:val="both"/>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以上企业，不属于大企业的分支机构，不存在控股股东为大企业的情形，也不存在与大企业的负责人为同一人的情形。</w:t>
      </w:r>
    </w:p>
    <w:p w14:paraId="2D2469F4">
      <w:pPr>
        <w:widowControl w:val="0"/>
        <w:spacing w:before="120" w:line="360" w:lineRule="auto"/>
        <w:ind w:firstLine="660"/>
        <w:jc w:val="both"/>
        <w:rPr>
          <w:rFonts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本企业对上述声明内容的真实性负责。如有虚假，将依法承担相应责任。</w:t>
      </w:r>
    </w:p>
    <w:p w14:paraId="342B0257">
      <w:pPr>
        <w:adjustRightInd w:val="0"/>
        <w:snapToGrid w:val="0"/>
        <w:spacing w:before="120" w:line="360" w:lineRule="auto"/>
        <w:ind w:left="-88" w:leftChars="-42" w:firstLine="420" w:firstLineChars="200"/>
        <w:rPr>
          <w:rFonts w:ascii="宋体" w:hAnsi="宋体" w:cs="宋体"/>
          <w:color w:val="auto"/>
          <w:szCs w:val="21"/>
          <w:highlight w:val="none"/>
        </w:rPr>
      </w:pPr>
    </w:p>
    <w:p w14:paraId="16B27548">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供应商名称（盖单位章）：</w:t>
      </w:r>
      <w:r>
        <w:rPr>
          <w:rFonts w:hint="eastAsia" w:ascii="宋体" w:hAnsi="宋体" w:cs="宋体"/>
          <w:color w:val="auto"/>
          <w:spacing w:val="6"/>
          <w:kern w:val="0"/>
          <w:szCs w:val="21"/>
          <w:highlight w:val="none"/>
          <w:u w:val="single"/>
        </w:rPr>
        <w:t xml:space="preserve">           </w:t>
      </w:r>
    </w:p>
    <w:p w14:paraId="5D42F04E">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日 期：</w:t>
      </w:r>
      <w:r>
        <w:rPr>
          <w:rFonts w:hint="eastAsia" w:ascii="宋体" w:hAnsi="宋体" w:cs="宋体"/>
          <w:color w:val="auto"/>
          <w:spacing w:val="6"/>
          <w:kern w:val="0"/>
          <w:szCs w:val="21"/>
          <w:highlight w:val="none"/>
          <w:u w:val="single"/>
        </w:rPr>
        <w:t xml:space="preserve">              </w:t>
      </w:r>
    </w:p>
    <w:p w14:paraId="3BB02F9E">
      <w:pPr>
        <w:widowControl w:val="0"/>
        <w:spacing w:before="120" w:after="120"/>
        <w:jc w:val="both"/>
        <w:rPr>
          <w:rFonts w:ascii="宋体" w:hAnsi="宋体" w:eastAsia="宋体" w:cs="宋体"/>
          <w:color w:val="auto"/>
          <w:kern w:val="2"/>
          <w:sz w:val="21"/>
          <w:szCs w:val="24"/>
          <w:highlight w:val="none"/>
          <w:lang w:val="en-US" w:eastAsia="zh-CN" w:bidi="ar-SA"/>
        </w:rPr>
      </w:pPr>
    </w:p>
    <w:p w14:paraId="017261FC">
      <w:pPr>
        <w:spacing w:before="120"/>
        <w:rPr>
          <w:rFonts w:ascii="宋体" w:hAnsi="宋体" w:cs="宋体"/>
          <w:color w:val="auto"/>
          <w:szCs w:val="21"/>
          <w:highlight w:val="none"/>
        </w:rPr>
      </w:pPr>
      <w:r>
        <w:rPr>
          <w:rFonts w:hint="eastAsia" w:ascii="宋体" w:hAnsi="宋体" w:cs="宋体"/>
          <w:color w:val="auto"/>
          <w:highlight w:val="none"/>
        </w:rPr>
        <w:t>说明：</w:t>
      </w:r>
      <w:r>
        <w:rPr>
          <w:rFonts w:hint="eastAsia" w:ascii="宋体" w:hAnsi="宋体" w:cs="宋体"/>
          <w:color w:val="auto"/>
          <w:szCs w:val="21"/>
          <w:highlight w:val="none"/>
        </w:rPr>
        <w:t>从业人员、营业收入、资产总额填报上一年度数据，无上一年度数据的新成立企业可不填报。</w:t>
      </w:r>
    </w:p>
    <w:p w14:paraId="4EB8565E">
      <w:pPr>
        <w:keepNext/>
        <w:keepLines/>
        <w:widowControl w:val="0"/>
        <w:spacing w:before="120" w:after="290" w:line="376" w:lineRule="auto"/>
        <w:jc w:val="both"/>
        <w:outlineLvl w:val="3"/>
        <w:rPr>
          <w:rFonts w:ascii="宋体" w:hAnsi="宋体" w:eastAsia="宋体" w:cs="宋体"/>
          <w:b/>
          <w:bCs/>
          <w:color w:val="auto"/>
          <w:spacing w:val="6"/>
          <w:kern w:val="2"/>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   </w:t>
      </w:r>
      <w:r>
        <w:rPr>
          <w:rFonts w:hint="eastAsia" w:ascii="宋体" w:hAnsi="宋体" w:eastAsia="宋体" w:cs="宋体"/>
          <w:b/>
          <w:bCs/>
          <w:color w:val="auto"/>
          <w:spacing w:val="6"/>
          <w:kern w:val="2"/>
          <w:sz w:val="24"/>
          <w:szCs w:val="24"/>
          <w:highlight w:val="none"/>
          <w:lang w:val="en-US" w:eastAsia="zh-CN" w:bidi="ar-SA"/>
        </w:rPr>
        <w:t>残疾人福利性单位声明函</w:t>
      </w:r>
    </w:p>
    <w:p w14:paraId="5F67FB21">
      <w:pPr>
        <w:spacing w:before="120"/>
        <w:rPr>
          <w:rFonts w:ascii="Times New Roman" w:hAnsi="Times New Roman" w:cs="Times New Roman"/>
          <w:color w:val="auto"/>
          <w:highlight w:val="none"/>
        </w:rPr>
      </w:pPr>
    </w:p>
    <w:p w14:paraId="2FEA7074">
      <w:pPr>
        <w:adjustRightInd w:val="0"/>
        <w:snapToGrid w:val="0"/>
        <w:spacing w:before="120"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(不属于残疾人福利性单位的无需填写)</w:t>
      </w:r>
    </w:p>
    <w:p w14:paraId="13AC0DD3">
      <w:pPr>
        <w:adjustRightInd w:val="0"/>
        <w:snapToGrid w:val="0"/>
        <w:spacing w:before="120" w:line="360" w:lineRule="auto"/>
        <w:ind w:firstLine="444" w:firstLineChars="200"/>
        <w:rPr>
          <w:rFonts w:ascii="宋体" w:hAnsi="宋体" w:cs="宋体"/>
          <w:color w:val="auto"/>
          <w:spacing w:val="6"/>
          <w:szCs w:val="21"/>
          <w:highlight w:val="none"/>
        </w:rPr>
      </w:pPr>
    </w:p>
    <w:p w14:paraId="399065A2">
      <w:pPr>
        <w:adjustRightInd w:val="0"/>
        <w:snapToGrid w:val="0"/>
        <w:spacing w:before="120"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46848C">
      <w:pPr>
        <w:adjustRightInd w:val="0"/>
        <w:snapToGrid w:val="0"/>
        <w:spacing w:before="120"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2BEA07CD">
      <w:pPr>
        <w:adjustRightInd w:val="0"/>
        <w:snapToGrid w:val="0"/>
        <w:spacing w:before="120" w:line="360" w:lineRule="auto"/>
        <w:ind w:firstLine="444" w:firstLineChars="200"/>
        <w:rPr>
          <w:rFonts w:ascii="宋体" w:hAnsi="宋体" w:cs="宋体"/>
          <w:color w:val="auto"/>
          <w:spacing w:val="6"/>
          <w:szCs w:val="21"/>
          <w:highlight w:val="none"/>
        </w:rPr>
      </w:pPr>
    </w:p>
    <w:p w14:paraId="55F8D124">
      <w:pPr>
        <w:adjustRightInd w:val="0"/>
        <w:snapToGrid w:val="0"/>
        <w:spacing w:before="120" w:line="360" w:lineRule="auto"/>
        <w:ind w:firstLine="444" w:firstLineChars="200"/>
        <w:rPr>
          <w:rFonts w:ascii="宋体" w:hAnsi="宋体" w:cs="宋体"/>
          <w:color w:val="auto"/>
          <w:spacing w:val="6"/>
          <w:szCs w:val="21"/>
          <w:highlight w:val="none"/>
        </w:rPr>
      </w:pPr>
    </w:p>
    <w:p w14:paraId="1689B66A">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pacing w:val="6"/>
          <w:kern w:val="0"/>
          <w:szCs w:val="21"/>
          <w:highlight w:val="none"/>
        </w:rPr>
        <w:t xml:space="preserve">         供应商名称（盖单位章）：</w:t>
      </w:r>
      <w:r>
        <w:rPr>
          <w:rFonts w:hint="eastAsia" w:ascii="宋体" w:hAnsi="宋体" w:cs="宋体"/>
          <w:color w:val="auto"/>
          <w:spacing w:val="6"/>
          <w:kern w:val="0"/>
          <w:szCs w:val="21"/>
          <w:highlight w:val="none"/>
          <w:u w:val="single"/>
        </w:rPr>
        <w:t xml:space="preserve">           </w:t>
      </w:r>
    </w:p>
    <w:p w14:paraId="74B43F5D">
      <w:pPr>
        <w:widowControl/>
        <w:adjustRightInd w:val="0"/>
        <w:snapToGrid w:val="0"/>
        <w:spacing w:before="120" w:line="360" w:lineRule="auto"/>
        <w:ind w:firstLine="44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日 期：</w:t>
      </w:r>
      <w:r>
        <w:rPr>
          <w:rFonts w:hint="eastAsia" w:ascii="宋体" w:hAnsi="宋体" w:cs="宋体"/>
          <w:color w:val="auto"/>
          <w:spacing w:val="6"/>
          <w:kern w:val="0"/>
          <w:szCs w:val="21"/>
          <w:highlight w:val="none"/>
          <w:u w:val="single"/>
        </w:rPr>
        <w:t xml:space="preserve">              </w:t>
      </w:r>
    </w:p>
    <w:p w14:paraId="56769891">
      <w:pPr>
        <w:tabs>
          <w:tab w:val="left" w:pos="4860"/>
        </w:tabs>
        <w:adjustRightInd w:val="0"/>
        <w:snapToGrid w:val="0"/>
        <w:spacing w:before="120" w:line="360" w:lineRule="auto"/>
        <w:ind w:right="1560" w:firstLine="444" w:firstLineChars="200"/>
        <w:jc w:val="center"/>
        <w:rPr>
          <w:rFonts w:ascii="宋体" w:hAnsi="宋体" w:cs="宋体"/>
          <w:color w:val="auto"/>
          <w:spacing w:val="6"/>
          <w:szCs w:val="21"/>
          <w:highlight w:val="none"/>
        </w:rPr>
      </w:pPr>
    </w:p>
    <w:p w14:paraId="7B877C70">
      <w:pPr>
        <w:widowControl/>
        <w:adjustRightInd w:val="0"/>
        <w:snapToGrid w:val="0"/>
        <w:spacing w:before="120" w:line="360" w:lineRule="auto"/>
        <w:jc w:val="left"/>
        <w:rPr>
          <w:rFonts w:ascii="宋体" w:hAnsi="宋体" w:cs="宋体"/>
          <w:color w:val="auto"/>
          <w:kern w:val="0"/>
          <w:szCs w:val="21"/>
          <w:highlight w:val="none"/>
        </w:rPr>
      </w:pPr>
    </w:p>
    <w:p w14:paraId="20F2C413">
      <w:pPr>
        <w:widowControl/>
        <w:adjustRightInd w:val="0"/>
        <w:snapToGrid w:val="0"/>
        <w:spacing w:before="120" w:line="360" w:lineRule="auto"/>
        <w:rPr>
          <w:rFonts w:ascii="宋体" w:hAnsi="宋体" w:cs="宋体"/>
          <w:color w:val="auto"/>
          <w:kern w:val="0"/>
          <w:szCs w:val="21"/>
          <w:highlight w:val="none"/>
        </w:rPr>
      </w:pPr>
    </w:p>
    <w:p w14:paraId="1E405D99">
      <w:pPr>
        <w:widowControl/>
        <w:adjustRightInd w:val="0"/>
        <w:snapToGrid w:val="0"/>
        <w:spacing w:before="120" w:line="360" w:lineRule="auto"/>
        <w:rPr>
          <w:rFonts w:ascii="宋体" w:hAnsi="宋体" w:cs="宋体"/>
          <w:color w:val="auto"/>
          <w:kern w:val="0"/>
          <w:szCs w:val="21"/>
          <w:highlight w:val="none"/>
        </w:rPr>
      </w:pPr>
    </w:p>
    <w:p w14:paraId="1324136C">
      <w:pPr>
        <w:spacing w:before="120"/>
        <w:rPr>
          <w:rFonts w:hint="eastAsia" w:ascii="宋体" w:hAnsi="宋体" w:cs="宋体"/>
          <w:bCs w:val="0"/>
          <w:color w:val="auto"/>
          <w:spacing w:val="6"/>
          <w:kern w:val="0"/>
          <w:sz w:val="24"/>
          <w:szCs w:val="24"/>
          <w:highlight w:val="none"/>
        </w:rPr>
        <w:sectPr>
          <w:pgSz w:w="11906" w:h="16838"/>
          <w:pgMar w:top="1587" w:right="1474" w:bottom="1474" w:left="1587" w:header="851" w:footer="992" w:gutter="0"/>
          <w:cols w:space="720" w:num="1"/>
          <w:docGrid w:linePitch="312" w:charSpace="0"/>
        </w:sectPr>
      </w:pPr>
    </w:p>
    <w:p w14:paraId="2F1855A7">
      <w:pPr>
        <w:keepNext/>
        <w:keepLines/>
        <w:widowControl w:val="0"/>
        <w:spacing w:before="120" w:after="290" w:line="376" w:lineRule="auto"/>
        <w:jc w:val="both"/>
        <w:outlineLvl w:val="3"/>
        <w:rPr>
          <w:rFonts w:ascii="宋体" w:hAnsi="宋体" w:eastAsia="宋体" w:cs="宋体"/>
          <w:b/>
          <w:bCs/>
          <w:color w:val="auto"/>
          <w:kern w:val="2"/>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 xml:space="preserve">附   </w:t>
      </w:r>
      <w:r>
        <w:rPr>
          <w:rFonts w:hint="eastAsia" w:ascii="宋体" w:hAnsi="宋体" w:eastAsia="宋体" w:cs="宋体"/>
          <w:b/>
          <w:bCs/>
          <w:color w:val="auto"/>
          <w:kern w:val="2"/>
          <w:sz w:val="24"/>
          <w:szCs w:val="24"/>
          <w:highlight w:val="none"/>
          <w:lang w:val="en-US" w:eastAsia="zh-CN" w:bidi="ar-SA"/>
        </w:rPr>
        <w:t>监狱企业证明资料</w:t>
      </w:r>
    </w:p>
    <w:p w14:paraId="5CEA6E0F">
      <w:pPr>
        <w:spacing w:before="120"/>
        <w:rPr>
          <w:rFonts w:ascii="Times New Roman" w:hAnsi="Times New Roman" w:cs="Times New Roman"/>
          <w:color w:val="auto"/>
          <w:highlight w:val="none"/>
        </w:rPr>
      </w:pPr>
    </w:p>
    <w:p w14:paraId="2FD310FA">
      <w:pPr>
        <w:adjustRightInd w:val="0"/>
        <w:snapToGrid w:val="0"/>
        <w:spacing w:before="120"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(不属于监狱企业的无需提供)</w:t>
      </w:r>
    </w:p>
    <w:p w14:paraId="7FC86D77">
      <w:pPr>
        <w:adjustRightInd w:val="0"/>
        <w:snapToGrid w:val="0"/>
        <w:spacing w:before="120" w:line="360" w:lineRule="auto"/>
        <w:rPr>
          <w:rFonts w:ascii="宋体" w:hAnsi="宋体" w:cs="宋体"/>
          <w:color w:val="auto"/>
          <w:szCs w:val="21"/>
          <w:highlight w:val="none"/>
        </w:rPr>
      </w:pPr>
    </w:p>
    <w:p w14:paraId="4D6DA1BF">
      <w:pPr>
        <w:adjustRightInd w:val="0"/>
        <w:snapToGrid w:val="0"/>
        <w:spacing w:before="120" w:line="360" w:lineRule="auto"/>
        <w:ind w:firstLine="444" w:firstLineChars="200"/>
        <w:rPr>
          <w:rFonts w:ascii="宋体" w:hAnsi="宋体" w:cs="宋体"/>
          <w:color w:val="auto"/>
          <w:szCs w:val="21"/>
          <w:highlight w:val="none"/>
        </w:rPr>
      </w:pPr>
      <w:r>
        <w:rPr>
          <w:rFonts w:hint="eastAsia" w:ascii="宋体" w:hAnsi="宋体" w:cs="宋体"/>
          <w:bCs/>
          <w:color w:val="auto"/>
          <w:spacing w:val="6"/>
          <w:kern w:val="0"/>
          <w:szCs w:val="21"/>
          <w:highlight w:val="none"/>
        </w:rPr>
        <w:t>备注：</w:t>
      </w:r>
      <w:r>
        <w:rPr>
          <w:rFonts w:hint="eastAsia" w:ascii="宋体" w:hAnsi="宋体" w:cs="宋体"/>
          <w:color w:val="auto"/>
          <w:szCs w:val="21"/>
          <w:highlight w:val="none"/>
        </w:rPr>
        <w:t>按</w:t>
      </w:r>
      <w:r>
        <w:rPr>
          <w:rFonts w:hint="eastAsia" w:ascii="宋体" w:hAnsi="宋体" w:cs="宋体"/>
          <w:color w:val="auto"/>
          <w:spacing w:val="6"/>
          <w:szCs w:val="21"/>
          <w:highlight w:val="none"/>
        </w:rPr>
        <w:t>《</w:t>
      </w:r>
      <w:r>
        <w:rPr>
          <w:rFonts w:hint="eastAsia" w:ascii="宋体" w:hAnsi="宋体" w:cs="宋体"/>
          <w:color w:val="auto"/>
          <w:szCs w:val="21"/>
          <w:highlight w:val="none"/>
        </w:rPr>
        <w:t>财政部 司法部关于政府采购支持监狱企业发展有关问题的通知</w:t>
      </w:r>
      <w:r>
        <w:rPr>
          <w:rFonts w:hint="eastAsia" w:ascii="宋体" w:hAnsi="宋体" w:cs="宋体"/>
          <w:color w:val="auto"/>
          <w:spacing w:val="6"/>
          <w:szCs w:val="21"/>
          <w:highlight w:val="none"/>
        </w:rPr>
        <w:t>》</w:t>
      </w:r>
      <w:r>
        <w:rPr>
          <w:rFonts w:hint="eastAsia" w:ascii="宋体" w:hAnsi="宋体" w:cs="宋体"/>
          <w:color w:val="auto"/>
          <w:szCs w:val="21"/>
          <w:highlight w:val="none"/>
        </w:rPr>
        <w:t>(财库〔2014〕68号)文件规定提供证明文件（复印件）。</w:t>
      </w:r>
    </w:p>
    <w:p w14:paraId="016A95D0">
      <w:pPr>
        <w:adjustRightInd w:val="0"/>
        <w:snapToGrid w:val="0"/>
        <w:spacing w:before="120" w:line="360" w:lineRule="auto"/>
        <w:rPr>
          <w:rFonts w:hint="eastAsia" w:ascii="宋体" w:hAnsi="宋体" w:cs="宋体"/>
          <w:color w:val="auto"/>
          <w:szCs w:val="21"/>
          <w:highlight w:val="none"/>
        </w:rPr>
      </w:pPr>
      <w:r>
        <w:rPr>
          <w:rFonts w:hint="eastAsia" w:ascii="宋体" w:hAnsi="宋体" w:cs="宋体"/>
          <w:bCs/>
          <w:color w:val="auto"/>
          <w:spacing w:val="6"/>
          <w:kern w:val="0"/>
          <w:szCs w:val="21"/>
          <w:highlight w:val="none"/>
        </w:rPr>
        <w:br w:type="page"/>
      </w:r>
    </w:p>
    <w:p w14:paraId="41E4B779">
      <w:pPr>
        <w:widowControl w:val="0"/>
        <w:spacing w:after="120"/>
        <w:jc w:val="both"/>
        <w:rPr>
          <w:rFonts w:ascii="Times New Roman" w:hAnsi="Times New Roman" w:eastAsia="宋体" w:cs="Times New Roman"/>
          <w:color w:val="auto"/>
          <w:kern w:val="2"/>
          <w:sz w:val="21"/>
          <w:szCs w:val="24"/>
          <w:highlight w:val="none"/>
          <w:lang w:val="en-US" w:eastAsia="zh-CN" w:bidi="ar-SA"/>
        </w:rPr>
      </w:pPr>
    </w:p>
    <w:p w14:paraId="4E3B1591">
      <w:pPr>
        <w:spacing w:before="120"/>
        <w:rPr>
          <w:rFonts w:hint="eastAsia" w:ascii="宋体" w:hAnsi="宋体" w:cs="宋体"/>
          <w:bCs w:val="0"/>
          <w:color w:val="auto"/>
          <w:spacing w:val="6"/>
          <w:kern w:val="0"/>
          <w:sz w:val="24"/>
          <w:szCs w:val="24"/>
          <w:highlight w:val="none"/>
        </w:rPr>
        <w:sectPr>
          <w:pgSz w:w="11906" w:h="16838"/>
          <w:pgMar w:top="1587" w:right="1474" w:bottom="1474" w:left="1587" w:header="851" w:footer="992" w:gutter="0"/>
          <w:cols w:space="720" w:num="1"/>
          <w:docGrid w:linePitch="312" w:charSpace="0"/>
        </w:sectPr>
      </w:pPr>
    </w:p>
    <w:p w14:paraId="43DF45FF">
      <w:pPr>
        <w:keepNext/>
        <w:keepLines/>
        <w:widowControl w:val="0"/>
        <w:spacing w:before="120" w:after="290" w:line="360" w:lineRule="auto"/>
        <w:jc w:val="both"/>
        <w:outlineLvl w:val="3"/>
        <w:rPr>
          <w:rFonts w:ascii="宋体" w:hAnsi="宋体" w:eastAsia="黑体" w:cs="宋体"/>
          <w:b/>
          <w:bCs w:val="0"/>
          <w:color w:val="auto"/>
          <w:spacing w:val="6"/>
          <w:kern w:val="0"/>
          <w:sz w:val="24"/>
          <w:szCs w:val="24"/>
          <w:highlight w:val="none"/>
          <w:lang w:val="en-US" w:eastAsia="zh-CN" w:bidi="ar-SA"/>
        </w:rPr>
      </w:pPr>
      <w:r>
        <w:rPr>
          <w:rFonts w:hint="eastAsia" w:ascii="宋体" w:hAnsi="宋体" w:eastAsia="黑体" w:cs="宋体"/>
          <w:b/>
          <w:bCs w:val="0"/>
          <w:color w:val="auto"/>
          <w:spacing w:val="6"/>
          <w:kern w:val="0"/>
          <w:sz w:val="24"/>
          <w:szCs w:val="24"/>
          <w:highlight w:val="none"/>
          <w:lang w:val="en-US" w:eastAsia="zh-CN" w:bidi="ar-SA"/>
        </w:rPr>
        <w:t>附4-9 联合体协议书（本项目不接受联合体投标，不需要提供）</w:t>
      </w:r>
    </w:p>
    <w:p w14:paraId="2DC0D9AD">
      <w:pPr>
        <w:spacing w:before="120"/>
        <w:rPr>
          <w:rFonts w:ascii="Times New Roman" w:hAnsi="Times New Roman" w:cs="Times New Roman"/>
          <w:color w:val="auto"/>
          <w:highlight w:val="none"/>
        </w:rPr>
      </w:pPr>
    </w:p>
    <w:p w14:paraId="5E5FF833">
      <w:pPr>
        <w:adjustRightInd w:val="0"/>
        <w:snapToGrid w:val="0"/>
        <w:spacing w:before="120" w:line="360" w:lineRule="auto"/>
        <w:jc w:val="center"/>
        <w:rPr>
          <w:rFonts w:ascii="宋体" w:hAnsi="宋体" w:cs="宋体"/>
          <w:color w:val="auto"/>
          <w:szCs w:val="21"/>
          <w:highlight w:val="none"/>
        </w:rPr>
      </w:pPr>
      <w:r>
        <w:rPr>
          <w:rFonts w:hint="eastAsia" w:ascii="宋体" w:hAnsi="宋体" w:cs="宋体"/>
          <w:color w:val="auto"/>
          <w:sz w:val="28"/>
          <w:szCs w:val="28"/>
          <w:highlight w:val="none"/>
        </w:rPr>
        <w:t>联合体协议书（格式）</w:t>
      </w:r>
    </w:p>
    <w:p w14:paraId="34CFDB49">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（采购人或采购代理机构）：</w:t>
      </w:r>
    </w:p>
    <w:p w14:paraId="2816A088">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经研究，我们决定自愿组成联合体共同参加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（项目名称）（委托代理编号：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）项目的投标。现就联合体投标事宜订立如下协议：</w:t>
      </w:r>
    </w:p>
    <w:p w14:paraId="3571A33A">
      <w:pPr>
        <w:adjustRightInd w:val="0"/>
        <w:snapToGrid w:val="0"/>
        <w:spacing w:before="120"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一、联合体基本信息：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（各方公司名称、地址、注册资金、营业执照、法定代表人姓名）</w:t>
      </w:r>
    </w:p>
    <w:p w14:paraId="21898E13">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3C06667D">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联合体牵头人合法代表联合体各成员负责本项目响应文件编制活动，代表联合体提交和接收相关的资料、信息及指示，并处理与投标有关的一切事务；联合体中标后，联合体牵头人负责合同订立和合同实施阶段的主办、组织和协调工作。</w:t>
      </w:r>
    </w:p>
    <w:p w14:paraId="30549969">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四．联合体将严格按照磋商文件的各项要求，递交响应文件，参加投标，履行中标义务和中标后的合同，并向采购人承担连带责任。</w:t>
      </w:r>
    </w:p>
    <w:p w14:paraId="783B55D6">
      <w:pPr>
        <w:adjustRightInd w:val="0"/>
        <w:snapToGrid w:val="0"/>
        <w:spacing w:before="120"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五、联合体各成员单位内部的职责分工如下：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。按照本条上述分工，联合体各成员的协议合同金额占联合体协议合同总金额比例如下：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CA2A4E">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六、本协议书自签署之日起生效，合同履行完毕后自动失效。</w:t>
      </w:r>
    </w:p>
    <w:p w14:paraId="77890394">
      <w:pPr>
        <w:adjustRightInd w:val="0"/>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份，联合体成员和采购人各执一份。</w:t>
      </w:r>
    </w:p>
    <w:p w14:paraId="48992EE8">
      <w:pPr>
        <w:adjustRightInd w:val="0"/>
        <w:snapToGrid w:val="0"/>
        <w:spacing w:before="120" w:line="360" w:lineRule="auto"/>
        <w:rPr>
          <w:rFonts w:ascii="宋体" w:hAnsi="宋体" w:cs="宋体"/>
          <w:color w:val="auto"/>
          <w:szCs w:val="21"/>
          <w:highlight w:val="none"/>
        </w:rPr>
      </w:pPr>
    </w:p>
    <w:p w14:paraId="523CC658">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牵头人名称（盖单位章）：</w:t>
      </w:r>
    </w:p>
    <w:p w14:paraId="3C9E2075">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r>
        <w:rPr>
          <w:rFonts w:hint="eastAsia" w:ascii="宋体" w:hAnsi="宋体" w:cs="宋体"/>
          <w:color w:val="auto"/>
          <w:szCs w:val="21"/>
          <w:highlight w:val="none"/>
          <w:u w:val="single"/>
        </w:rPr>
        <w:t xml:space="preserve">                          </w:t>
      </w:r>
    </w:p>
    <w:p w14:paraId="0903A807">
      <w:pPr>
        <w:adjustRightInd w:val="0"/>
        <w:snapToGrid w:val="0"/>
        <w:spacing w:before="120" w:line="360" w:lineRule="auto"/>
        <w:rPr>
          <w:rFonts w:ascii="宋体" w:hAnsi="宋体" w:cs="宋体"/>
          <w:color w:val="auto"/>
          <w:szCs w:val="21"/>
          <w:highlight w:val="none"/>
        </w:rPr>
      </w:pPr>
    </w:p>
    <w:p w14:paraId="5FF971E2">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成员1名称（盖单位章）：</w:t>
      </w:r>
    </w:p>
    <w:p w14:paraId="216CE4B9">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r>
        <w:rPr>
          <w:rFonts w:hint="eastAsia" w:ascii="宋体" w:hAnsi="宋体" w:cs="宋体"/>
          <w:color w:val="auto"/>
          <w:szCs w:val="21"/>
          <w:highlight w:val="none"/>
          <w:u w:val="single"/>
        </w:rPr>
        <w:t xml:space="preserve">                          </w:t>
      </w:r>
    </w:p>
    <w:p w14:paraId="76BFAB73">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成员2名称（盖单位章）：</w:t>
      </w:r>
    </w:p>
    <w:p w14:paraId="1B86888B">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r>
        <w:rPr>
          <w:rFonts w:hint="eastAsia" w:ascii="宋体" w:hAnsi="宋体" w:cs="宋体"/>
          <w:color w:val="auto"/>
          <w:szCs w:val="21"/>
          <w:highlight w:val="none"/>
          <w:u w:val="single"/>
        </w:rPr>
        <w:t xml:space="preserve">                          </w:t>
      </w:r>
    </w:p>
    <w:p w14:paraId="03D35CA0">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w:t>
      </w:r>
    </w:p>
    <w:p w14:paraId="1A892D36">
      <w:pPr>
        <w:adjustRightInd w:val="0"/>
        <w:snapToGrid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6AD97CFD">
      <w:pPr>
        <w:widowControl/>
        <w:adjustRightInd w:val="0"/>
        <w:snapToGrid w:val="0"/>
        <w:spacing w:before="120"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：1、本协议书由委托代理人签字的，应附法定代表人授权委托书及法定代表人身份证明原件；由法定代表人签字的，应附法定代表人身份证明原件。</w:t>
      </w:r>
    </w:p>
    <w:p w14:paraId="7D42A052">
      <w:pPr>
        <w:widowControl/>
        <w:numPr>
          <w:ilvl w:val="0"/>
          <w:numId w:val="13"/>
        </w:numPr>
        <w:adjustRightInd w:val="0"/>
        <w:snapToGrid w:val="0"/>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供应商在提交响应文件的截止时间前修改“开标一览表”中的响应报价的，涉及本协议书相应内容应同时修改。</w:t>
      </w:r>
    </w:p>
    <w:p w14:paraId="2E725EB6">
      <w:pPr>
        <w:adjustRightInd w:val="0"/>
        <w:snapToGrid w:val="0"/>
        <w:spacing w:before="120" w:after="0" w:line="360" w:lineRule="auto"/>
        <w:jc w:val="center"/>
        <w:rPr>
          <w:rFonts w:hint="eastAsia" w:ascii="宋体" w:hAnsi="宋体" w:cs="宋体"/>
          <w:color w:val="auto"/>
          <w:sz w:val="28"/>
          <w:szCs w:val="28"/>
          <w:highlight w:val="none"/>
        </w:rPr>
        <w:sectPr>
          <w:pgSz w:w="11906" w:h="16838"/>
          <w:pgMar w:top="1587" w:right="1474" w:bottom="1474" w:left="1587" w:header="851" w:footer="992" w:gutter="0"/>
          <w:cols w:space="720" w:num="1"/>
          <w:docGrid w:linePitch="312" w:charSpace="0"/>
        </w:sectPr>
      </w:pPr>
    </w:p>
    <w:p w14:paraId="19187D43">
      <w:pPr>
        <w:keepNext/>
        <w:keepLines/>
        <w:widowControl w:val="0"/>
        <w:adjustRightInd w:val="0"/>
        <w:snapToGrid w:val="0"/>
        <w:spacing w:before="120" w:after="0" w:line="360" w:lineRule="auto"/>
        <w:jc w:val="center"/>
        <w:outlineLvl w:val="2"/>
        <w:rPr>
          <w:rFonts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五、响应保证金</w:t>
      </w:r>
    </w:p>
    <w:p w14:paraId="73BA7A1E">
      <w:pPr>
        <w:adjustRightInd w:val="0"/>
        <w:snapToGrid w:val="0"/>
        <w:spacing w:before="120" w:line="360" w:lineRule="auto"/>
        <w:ind w:firstLine="420" w:firstLineChars="200"/>
        <w:jc w:val="left"/>
        <w:rPr>
          <w:rFonts w:ascii="宋体" w:hAnsi="宋体" w:cs="宋体"/>
          <w:color w:val="auto"/>
          <w:szCs w:val="21"/>
          <w:highlight w:val="none"/>
        </w:rPr>
      </w:pPr>
    </w:p>
    <w:bookmarkEnd w:id="961"/>
    <w:p w14:paraId="4CE5EFAD">
      <w:pPr>
        <w:adjustRightInd w:val="0"/>
        <w:snapToGrid w:val="0"/>
        <w:spacing w:before="156" w:beforeLines="50" w:line="360" w:lineRule="auto"/>
        <w:ind w:firstLine="422" w:firstLineChars="200"/>
        <w:jc w:val="left"/>
        <w:rPr>
          <w:rFonts w:eastAsia="宋体" w:cs="Times New Roman" w:asciiTheme="minorEastAsia" w:hAnsiTheme="minorEastAsia"/>
          <w:b/>
          <w:color w:val="auto"/>
          <w:szCs w:val="21"/>
          <w:highlight w:val="none"/>
        </w:rPr>
      </w:pPr>
      <w:r>
        <w:rPr>
          <w:rFonts w:hint="eastAsia" w:eastAsia="宋体" w:cs="Times New Roman" w:asciiTheme="minorEastAsia" w:hAnsiTheme="minorEastAsia"/>
          <w:b/>
          <w:color w:val="auto"/>
          <w:szCs w:val="21"/>
          <w:highlight w:val="none"/>
          <w:lang w:val="en-US" w:eastAsia="zh-CN"/>
        </w:rPr>
        <w:t>注：</w:t>
      </w:r>
      <w:r>
        <w:rPr>
          <w:rFonts w:hint="eastAsia" w:eastAsia="宋体" w:cs="Times New Roman" w:asciiTheme="minorEastAsia" w:hAnsiTheme="minorEastAsia"/>
          <w:b/>
          <w:color w:val="auto"/>
          <w:szCs w:val="21"/>
          <w:highlight w:val="none"/>
        </w:rPr>
        <w:t>不收取投标保证金项目</w:t>
      </w:r>
      <w:r>
        <w:rPr>
          <w:rFonts w:hint="eastAsia" w:eastAsia="宋体" w:cs="Times New Roman" w:asciiTheme="minorEastAsia" w:hAnsiTheme="minorEastAsia"/>
          <w:b/>
          <w:color w:val="auto"/>
          <w:szCs w:val="21"/>
          <w:highlight w:val="none"/>
          <w:lang w:eastAsia="zh-CN"/>
        </w:rPr>
        <w:t>，</w:t>
      </w:r>
      <w:r>
        <w:rPr>
          <w:rFonts w:hint="eastAsia" w:eastAsia="宋体" w:cs="Times New Roman" w:asciiTheme="minorEastAsia" w:hAnsiTheme="minorEastAsia"/>
          <w:b/>
          <w:color w:val="auto"/>
          <w:szCs w:val="21"/>
          <w:highlight w:val="none"/>
        </w:rPr>
        <w:t>请供应商提供此表，否则视为不响应。</w:t>
      </w:r>
    </w:p>
    <w:p w14:paraId="3846C876">
      <w:pPr>
        <w:adjustRightInd w:val="0"/>
        <w:snapToGrid w:val="0"/>
        <w:spacing w:before="156" w:beforeLines="50" w:line="360" w:lineRule="auto"/>
        <w:ind w:firstLine="422" w:firstLineChars="200"/>
        <w:jc w:val="left"/>
        <w:rPr>
          <w:rFonts w:eastAsia="宋体" w:cs="Times New Roman" w:asciiTheme="minorEastAsia" w:hAnsiTheme="minorEastAsia"/>
          <w:b/>
          <w:color w:val="auto"/>
          <w:szCs w:val="21"/>
          <w:highlight w:val="none"/>
        </w:rPr>
      </w:pPr>
    </w:p>
    <w:p w14:paraId="633E5AF0">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 xml:space="preserve">                          </w:t>
      </w:r>
      <w:r>
        <w:rPr>
          <w:rFonts w:hint="eastAsia" w:eastAsia="宋体" w:cs="Times New Roman" w:asciiTheme="minorEastAsia" w:hAnsiTheme="minorEastAsia"/>
          <w:b/>
          <w:color w:val="auto"/>
          <w:szCs w:val="21"/>
          <w:highlight w:val="none"/>
        </w:rPr>
        <w:t>免交投标保证金承诺书</w:t>
      </w:r>
    </w:p>
    <w:p w14:paraId="0E39EC1A">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致 （采购代理机构）：</w:t>
      </w:r>
    </w:p>
    <w:p w14:paraId="44454AED">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ascii="宋体" w:hAnsi="宋体" w:eastAsia="宋体" w:cs="Times New Roman"/>
          <w:color w:val="auto"/>
          <w:szCs w:val="21"/>
          <w:highlight w:val="none"/>
        </w:rPr>
        <w:t>因本项目不收取保证金，我公司承诺，如有下列情形之一的，同意向采购人缴纳采购项目预算2%（相当于应收投标保证金的标准）的违约金，并承担相关法律责任、接受财政部门的相关处罚</w:t>
      </w:r>
      <w:r>
        <w:rPr>
          <w:rFonts w:hint="eastAsia" w:eastAsia="宋体" w:cs="Times New Roman" w:asciiTheme="minorEastAsia" w:hAnsiTheme="minorEastAsia"/>
          <w:color w:val="auto"/>
          <w:szCs w:val="21"/>
          <w:highlight w:val="none"/>
        </w:rPr>
        <w:t>。</w:t>
      </w:r>
    </w:p>
    <w:p w14:paraId="25A26E4B">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(一)中标、成交后无正当理由不与采购人签订合同的；</w:t>
      </w:r>
    </w:p>
    <w:p w14:paraId="1F473063">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(二)未经采购人同意，将中标、成交项目分包方式履行合同的；</w:t>
      </w:r>
    </w:p>
    <w:p w14:paraId="36421E09">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(三)在提交投标（响应）文件截止时间后撤回投标（响应）文件的；</w:t>
      </w:r>
    </w:p>
    <w:p w14:paraId="429E5754">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（四）在投标（响应）文件中提供虚假材料的；</w:t>
      </w:r>
    </w:p>
    <w:p w14:paraId="20661F52">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（五）与采购人、其他供应商或者采购代理机构恶意串通的；</w:t>
      </w:r>
    </w:p>
    <w:p w14:paraId="6CE95F18">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（六）法律法规或者采购文件规定的其他情形。</w:t>
      </w:r>
    </w:p>
    <w:p w14:paraId="5E14AA93">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特此承诺！</w:t>
      </w:r>
    </w:p>
    <w:p w14:paraId="759E20CC">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p>
    <w:p w14:paraId="75D03B85">
      <w:pPr>
        <w:widowControl/>
        <w:adjustRightInd w:val="0"/>
        <w:snapToGrid w:val="0"/>
        <w:spacing w:line="336" w:lineRule="auto"/>
        <w:ind w:firstLine="420" w:firstLineChars="200"/>
        <w:jc w:val="left"/>
        <w:rPr>
          <w:rFonts w:eastAsia="宋体" w:cs="Times New Roman" w:asciiTheme="minorEastAsia" w:hAnsiTheme="minorEastAsia"/>
          <w:color w:val="auto"/>
          <w:szCs w:val="21"/>
          <w:highlight w:val="none"/>
        </w:rPr>
      </w:pPr>
      <w:r>
        <w:rPr>
          <w:rFonts w:hint="eastAsia" w:ascii="宋体" w:hAnsi="宋体" w:eastAsia="宋体" w:cs="宋体"/>
          <w:color w:val="auto"/>
          <w:szCs w:val="21"/>
          <w:highlight w:val="none"/>
        </w:rPr>
        <w:t>供应商名称（盖单位章）：</w:t>
      </w:r>
      <w:r>
        <w:rPr>
          <w:rFonts w:hint="eastAsia" w:ascii="宋体" w:hAnsi="宋体" w:eastAsia="宋体" w:cs="仿宋_GB2312"/>
          <w:color w:val="auto"/>
          <w:szCs w:val="21"/>
          <w:highlight w:val="none"/>
          <w:u w:val="single"/>
        </w:rPr>
        <w:t xml:space="preserve">      </w:t>
      </w:r>
    </w:p>
    <w:p w14:paraId="4E20FB63">
      <w:pPr>
        <w:adjustRightInd w:val="0"/>
        <w:snapToGrid w:val="0"/>
        <w:spacing w:before="156" w:beforeLines="50" w:line="360" w:lineRule="auto"/>
        <w:ind w:firstLine="420" w:firstLineChars="200"/>
        <w:jc w:val="left"/>
        <w:rPr>
          <w:rFonts w:eastAsia="宋体" w:cs="Times New Roman" w:asciiTheme="minorEastAsia" w:hAnsiTheme="minorEastAsia"/>
          <w:color w:val="auto"/>
          <w:szCs w:val="21"/>
          <w:highlight w:val="none"/>
        </w:rPr>
      </w:pPr>
      <w:r>
        <w:rPr>
          <w:rFonts w:hint="eastAsia" w:eastAsia="宋体" w:cs="Times New Roman" w:asciiTheme="minorEastAsia" w:hAnsiTheme="minorEastAsia"/>
          <w:color w:val="auto"/>
          <w:szCs w:val="21"/>
          <w:highlight w:val="none"/>
        </w:rPr>
        <w:t>日期：</w:t>
      </w:r>
      <w:r>
        <w:rPr>
          <w:rFonts w:hint="eastAsia" w:eastAsia="宋体" w:cs="Times New Roman" w:asciiTheme="minorEastAsia" w:hAnsiTheme="minorEastAsia"/>
          <w:color w:val="auto"/>
          <w:szCs w:val="21"/>
          <w:highlight w:val="none"/>
          <w:u w:val="single"/>
        </w:rPr>
        <w:t xml:space="preserve"> </w:t>
      </w:r>
      <w:r>
        <w:rPr>
          <w:rFonts w:hint="eastAsia" w:eastAsia="宋体" w:cs="Times New Roman" w:asciiTheme="minorEastAsia" w:hAnsiTheme="minorEastAsia"/>
          <w:color w:val="auto"/>
          <w:szCs w:val="21"/>
          <w:highlight w:val="none"/>
          <w:u w:val="single"/>
          <w:lang w:val="en-US" w:eastAsia="zh-CN"/>
        </w:rPr>
        <w:t xml:space="preserve">  </w:t>
      </w:r>
      <w:r>
        <w:rPr>
          <w:rFonts w:hint="eastAsia" w:eastAsia="宋体" w:cs="Times New Roman" w:asciiTheme="minorEastAsia" w:hAnsiTheme="minorEastAsia"/>
          <w:color w:val="auto"/>
          <w:szCs w:val="21"/>
          <w:highlight w:val="none"/>
          <w:u w:val="single"/>
        </w:rPr>
        <w:t xml:space="preserve"> </w:t>
      </w:r>
      <w:r>
        <w:rPr>
          <w:rFonts w:hint="eastAsia" w:eastAsia="宋体" w:cs="Times New Roman" w:asciiTheme="minorEastAsia" w:hAnsiTheme="minorEastAsia"/>
          <w:color w:val="auto"/>
          <w:szCs w:val="21"/>
          <w:highlight w:val="none"/>
        </w:rPr>
        <w:t>年</w:t>
      </w:r>
      <w:r>
        <w:rPr>
          <w:rFonts w:hint="eastAsia" w:eastAsia="宋体" w:cs="Times New Roman" w:asciiTheme="minorEastAsia" w:hAnsiTheme="minorEastAsia"/>
          <w:color w:val="auto"/>
          <w:szCs w:val="21"/>
          <w:highlight w:val="none"/>
          <w:u w:val="single"/>
        </w:rPr>
        <w:t xml:space="preserve">    </w:t>
      </w:r>
      <w:r>
        <w:rPr>
          <w:rFonts w:hint="eastAsia" w:eastAsia="宋体" w:cs="Times New Roman" w:asciiTheme="minorEastAsia" w:hAnsiTheme="minorEastAsia"/>
          <w:color w:val="auto"/>
          <w:szCs w:val="21"/>
          <w:highlight w:val="none"/>
        </w:rPr>
        <w:t>月</w:t>
      </w:r>
      <w:r>
        <w:rPr>
          <w:rFonts w:hint="eastAsia" w:eastAsia="宋体" w:cs="Times New Roman" w:asciiTheme="minorEastAsia" w:hAnsiTheme="minorEastAsia"/>
          <w:color w:val="auto"/>
          <w:szCs w:val="21"/>
          <w:highlight w:val="none"/>
          <w:u w:val="single"/>
        </w:rPr>
        <w:t xml:space="preserve">      </w:t>
      </w:r>
      <w:r>
        <w:rPr>
          <w:rFonts w:hint="eastAsia" w:eastAsia="宋体" w:cs="Times New Roman" w:asciiTheme="minorEastAsia" w:hAnsiTheme="minorEastAsia"/>
          <w:color w:val="auto"/>
          <w:szCs w:val="21"/>
          <w:highlight w:val="none"/>
        </w:rPr>
        <w:t>日</w:t>
      </w:r>
    </w:p>
    <w:p w14:paraId="2E27D5CE">
      <w:pPr>
        <w:rPr>
          <w:color w:val="auto"/>
          <w:highlight w:val="none"/>
        </w:rPr>
      </w:pPr>
    </w:p>
    <w:sectPr>
      <w:pgSz w:w="11906" w:h="16838"/>
      <w:pgMar w:top="1587" w:right="1474" w:bottom="1474" w:left="158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B3BF4AB-9335-4592-8A3E-7026C3705E00}"/>
  </w:font>
  <w:font w:name="Arial">
    <w:panose1 w:val="020B0604020202020204"/>
    <w:charset w:val="01"/>
    <w:family w:val="swiss"/>
    <w:pitch w:val="default"/>
    <w:sig w:usb0="E0002EFF" w:usb1="C000785B" w:usb2="00000009" w:usb3="00000000" w:csb0="400001FF" w:csb1="FFFF0000"/>
    <w:embedRegular r:id="rId2" w:fontKey="{6E881B44-AEB4-4BC9-B6B5-1F0FA9F05197}"/>
  </w:font>
  <w:font w:name="黑体">
    <w:panose1 w:val="02010609060101010101"/>
    <w:charset w:val="86"/>
    <w:family w:val="auto"/>
    <w:pitch w:val="default"/>
    <w:sig w:usb0="800002BF" w:usb1="38CF7CFA" w:usb2="00000016" w:usb3="00000000" w:csb0="00040001" w:csb1="00000000"/>
    <w:embedRegular r:id="rId3" w:fontKey="{516AF51C-A22E-455C-BA09-4435680E9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70A957B-D9D8-45B7-84F9-12C5C54C2714}"/>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5" w:fontKey="{024A050B-7530-4943-868B-0C7F9BDF688A}"/>
  </w:font>
  <w:font w:name="仿宋_GB2312">
    <w:panose1 w:val="02010609030101010101"/>
    <w:charset w:val="86"/>
    <w:family w:val="modern"/>
    <w:pitch w:val="default"/>
    <w:sig w:usb0="00000001" w:usb1="080E0000" w:usb2="00000000" w:usb3="00000000" w:csb0="00040000" w:csb1="00000000"/>
    <w:embedRegular r:id="rId6" w:fontKey="{7123D428-96B6-48BA-8DFB-778FC2CCAD4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7" w:fontKey="{FC7BF7CF-C182-4F9B-A525-2A25D9CD931B}"/>
  </w:font>
  <w:font w:name="华文中宋">
    <w:panose1 w:val="02010600040101010101"/>
    <w:charset w:val="86"/>
    <w:family w:val="auto"/>
    <w:pitch w:val="default"/>
    <w:sig w:usb0="00000287" w:usb1="080F0000" w:usb2="00000000" w:usb3="00000000" w:csb0="0004009F" w:csb1="DFD70000"/>
    <w:embedRegular r:id="rId8" w:fontKey="{CAE68D94-D64D-42AC-A905-07342575B4A0}"/>
  </w:font>
  <w:font w:name="WPSEMBED38">
    <w:panose1 w:val="02000000000000000000"/>
    <w:charset w:val="86"/>
    <w:family w:val="auto"/>
    <w:pitch w:val="default"/>
    <w:sig w:usb0="A00002BF" w:usb1="38CF7CFA" w:usb2="00082016" w:usb3="00000000" w:csb0="00040001" w:csb1="00000000"/>
  </w:font>
  <w:font w:name="WPSEMBED37">
    <w:panose1 w:val="02010609030101010101"/>
    <w:charset w:val="86"/>
    <w:family w:val="auto"/>
    <w:pitch w:val="default"/>
    <w:sig w:usb0="00000001" w:usb1="080E0000" w:usb2="00000000" w:usb3="00000000" w:csb0="00040000" w:csb1="00000000"/>
  </w:font>
  <w:font w:name="WPSEMBED39">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5E80">
    <w:pPr>
      <w:pStyle w:val="22"/>
      <w:jc w:val="center"/>
    </w:pPr>
  </w:p>
  <w:p w14:paraId="76CD6EB3">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30D2">
    <w:pPr>
      <w:pStyle w:val="22"/>
      <w:framePr w:wrap="around" w:vAnchor="text" w:hAnchor="margin" w:xAlign="center" w:y="1"/>
      <w:rPr>
        <w:rStyle w:val="37"/>
      </w:rPr>
    </w:pPr>
    <w:r>
      <w:fldChar w:fldCharType="begin"/>
    </w:r>
    <w:r>
      <w:rPr>
        <w:rStyle w:val="37"/>
      </w:rPr>
      <w:instrText xml:space="preserve">PAGE  </w:instrText>
    </w:r>
    <w:r>
      <w:fldChar w:fldCharType="end"/>
    </w:r>
  </w:p>
  <w:p w14:paraId="1978F85E">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8344">
    <w:pPr>
      <w:pStyle w:val="22"/>
      <w:jc w:val="center"/>
    </w:pPr>
  </w:p>
  <w:p w14:paraId="06E5283D">
    <w:pPr>
      <w:pStyle w:val="22"/>
      <w:ind w:right="360"/>
      <w:jc w:val="right"/>
      <w:rPr>
        <w:rFonts w:hint="eastAsia" w:eastAsia="宋体"/>
        <w:lang w:eastAsia="zh-CN"/>
      </w:rPr>
    </w:pPr>
    <w:r>
      <w:rPr>
        <w:rFonts w:hint="eastAsia"/>
        <w:lang w:eastAsia="zh-CN"/>
      </w:rPr>
      <w:t>湖南省华新招标咨询有限公司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7663">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0A728">
                          <w:pPr>
                            <w:pStyle w:val="2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0A728">
                    <w:pPr>
                      <w:pStyle w:val="2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541FE0B3">
    <w:pPr>
      <w:pStyle w:val="22"/>
      <w:ind w:right="360"/>
      <w:jc w:val="right"/>
      <w:rPr>
        <w:rFonts w:hint="eastAsia" w:eastAsia="宋体"/>
        <w:lang w:eastAsia="zh-CN"/>
      </w:rPr>
    </w:pPr>
    <w:r>
      <w:rPr>
        <w:rFonts w:hint="eastAsia"/>
        <w:lang w:eastAsia="zh-CN"/>
      </w:rPr>
      <w:t>湖南省华新招标咨询有限公司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EE6A">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130B1">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BF130B1">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p w14:paraId="369A014F">
    <w:pPr>
      <w:pStyle w:val="22"/>
      <w:ind w:right="360"/>
      <w:jc w:val="right"/>
      <w:rPr>
        <w:rFonts w:hint="eastAsia" w:eastAsia="宋体"/>
        <w:lang w:eastAsia="zh-CN"/>
      </w:rPr>
    </w:pPr>
    <w:r>
      <w:rPr>
        <w:rFonts w:hint="eastAsia"/>
        <w:lang w:eastAsia="zh-CN"/>
      </w:rPr>
      <w:t>湖南省华新招标咨询有限公司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3640">
    <w:pPr>
      <w:pStyle w:val="22"/>
      <w:tabs>
        <w:tab w:val="left" w:pos="6761"/>
      </w:tabs>
      <w:jc w:val="right"/>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968C6">
                          <w:pPr>
                            <w:pStyle w:val="22"/>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A968C6">
                    <w:pPr>
                      <w:pStyle w:val="22"/>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r>
      <w:rPr>
        <w:rFonts w:hint="eastAsia" w:ascii="宋体" w:hAnsi="宋体" w:cs="宋体"/>
        <w:sz w:val="21"/>
        <w:szCs w:val="21"/>
        <w:lang w:eastAsia="zh-CN"/>
      </w:rPr>
      <w:t>湖南省华新招标咨询有限公司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2460">
    <w:pPr>
      <w:pStyle w:val="22"/>
      <w:tabs>
        <w:tab w:val="left" w:pos="6761"/>
      </w:tabs>
      <w:jc w:val="right"/>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DD1D6">
                          <w:pPr>
                            <w:pStyle w:val="22"/>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DADD1D6">
                    <w:pPr>
                      <w:pStyle w:val="22"/>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r>
      <w:rPr>
        <w:rFonts w:hint="eastAsia" w:ascii="宋体" w:hAnsi="宋体" w:cs="宋体"/>
        <w:sz w:val="21"/>
        <w:szCs w:val="21"/>
        <w:lang w:eastAsia="zh-CN"/>
      </w:rPr>
      <w:t>湖南省华新招标咨询有限公司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068324"/>
    </w:sdtPr>
    <w:sdtContent>
      <w:p w14:paraId="385DA33E">
        <w:pPr>
          <w:pStyle w:val="22"/>
          <w:ind w:firstLine="360"/>
          <w:jc w:val="center"/>
        </w:pPr>
        <w:r>
          <w:fldChar w:fldCharType="begin"/>
        </w:r>
        <w:r>
          <w:instrText xml:space="preserve">PAGE   \* MERGEFORMAT</w:instrText>
        </w:r>
        <w:r>
          <w:fldChar w:fldCharType="separate"/>
        </w:r>
        <w:r>
          <w:rPr>
            <w:lang w:val="zh-CN"/>
          </w:rPr>
          <w:t>55</w:t>
        </w:r>
        <w:r>
          <w:fldChar w:fldCharType="end"/>
        </w:r>
      </w:p>
    </w:sdtContent>
  </w:sdt>
  <w:p w14:paraId="1DC8255F">
    <w:pPr>
      <w:pStyle w:val="2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5ED3">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2AF4E"/>
    <w:multiLevelType w:val="singleLevel"/>
    <w:tmpl w:val="A722AF4E"/>
    <w:lvl w:ilvl="0" w:tentative="0">
      <w:start w:val="1"/>
      <w:numFmt w:val="decimal"/>
      <w:suff w:val="space"/>
      <w:lvlText w:val="（%1）"/>
      <w:lvlJc w:val="left"/>
      <w:pPr>
        <w:ind w:left="315" w:firstLine="0"/>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05"/>
    <w:multiLevelType w:val="singleLevel"/>
    <w:tmpl w:val="00000005"/>
    <w:lvl w:ilvl="0" w:tentative="0">
      <w:start w:val="1"/>
      <w:numFmt w:val="chineseCounting"/>
      <w:suff w:val="nothing"/>
      <w:lvlText w:val="（%1）"/>
      <w:lvlJc w:val="left"/>
      <w:rPr>
        <w:rFonts w:hint="eastAsia"/>
      </w:rPr>
    </w:lvl>
  </w:abstractNum>
  <w:abstractNum w:abstractNumId="4">
    <w:nsid w:val="00000006"/>
    <w:multiLevelType w:val="singleLevel"/>
    <w:tmpl w:val="00000006"/>
    <w:lvl w:ilvl="0" w:tentative="0">
      <w:start w:val="41"/>
      <w:numFmt w:val="decimal"/>
      <w:suff w:val="space"/>
      <w:lvlText w:val="%1."/>
      <w:lvlJc w:val="left"/>
      <w:pPr>
        <w:ind w:left="420" w:firstLine="0"/>
      </w:pPr>
    </w:lvl>
  </w:abstractNum>
  <w:abstractNum w:abstractNumId="5">
    <w:nsid w:val="00000008"/>
    <w:multiLevelType w:val="singleLevel"/>
    <w:tmpl w:val="00000008"/>
    <w:lvl w:ilvl="0" w:tentative="0">
      <w:start w:val="2"/>
      <w:numFmt w:val="decimal"/>
      <w:suff w:val="nothing"/>
      <w:lvlText w:val="%1、"/>
      <w:lvlJc w:val="left"/>
    </w:lvl>
  </w:abstractNum>
  <w:abstractNum w:abstractNumId="6">
    <w:nsid w:val="0000000A"/>
    <w:multiLevelType w:val="singleLevel"/>
    <w:tmpl w:val="0000000A"/>
    <w:lvl w:ilvl="0" w:tentative="0">
      <w:start w:val="1"/>
      <w:numFmt w:val="decimal"/>
      <w:suff w:val="nothing"/>
      <w:lvlText w:val="（%1）"/>
      <w:lvlJc w:val="left"/>
    </w:lvl>
  </w:abstractNum>
  <w:abstractNum w:abstractNumId="7">
    <w:nsid w:val="0000000C"/>
    <w:multiLevelType w:val="singleLevel"/>
    <w:tmpl w:val="0000000C"/>
    <w:lvl w:ilvl="0" w:tentative="0">
      <w:start w:val="1"/>
      <w:numFmt w:val="chineseCounting"/>
      <w:suff w:val="nothing"/>
      <w:lvlText w:val="%1、"/>
      <w:lvlJc w:val="left"/>
      <w:rPr>
        <w:rFonts w:hint="eastAsia"/>
      </w:rPr>
    </w:lvl>
  </w:abstractNum>
  <w:abstractNum w:abstractNumId="8">
    <w:nsid w:val="0053208E"/>
    <w:multiLevelType w:val="singleLevel"/>
    <w:tmpl w:val="0053208E"/>
    <w:lvl w:ilvl="0" w:tentative="0">
      <w:start w:val="1"/>
      <w:numFmt w:val="decimal"/>
      <w:lvlText w:val="%1."/>
      <w:lvlJc w:val="left"/>
      <w:pPr>
        <w:ind w:left="425" w:hanging="425"/>
      </w:pPr>
      <w:rPr>
        <w:rFonts w:hint="default"/>
      </w:rPr>
    </w:lvl>
  </w:abstractNum>
  <w:abstractNum w:abstractNumId="9">
    <w:nsid w:val="0432F1D4"/>
    <w:multiLevelType w:val="singleLevel"/>
    <w:tmpl w:val="0432F1D4"/>
    <w:lvl w:ilvl="0" w:tentative="0">
      <w:start w:val="1"/>
      <w:numFmt w:val="decimal"/>
      <w:suff w:val="nothing"/>
      <w:lvlText w:val="%1、"/>
      <w:lvlJc w:val="left"/>
    </w:lvl>
  </w:abstractNum>
  <w:abstractNum w:abstractNumId="10">
    <w:nsid w:val="2A0C36B1"/>
    <w:multiLevelType w:val="singleLevel"/>
    <w:tmpl w:val="2A0C36B1"/>
    <w:lvl w:ilvl="0" w:tentative="0">
      <w:start w:val="2"/>
      <w:numFmt w:val="decimal"/>
      <w:suff w:val="nothing"/>
      <w:lvlText w:val="%1、"/>
      <w:lvlJc w:val="left"/>
    </w:lvl>
  </w:abstractNum>
  <w:abstractNum w:abstractNumId="11">
    <w:nsid w:val="5D19C959"/>
    <w:multiLevelType w:val="multilevel"/>
    <w:tmpl w:val="5D19C959"/>
    <w:lvl w:ilvl="0" w:tentative="0">
      <w:start w:val="1"/>
      <w:numFmt w:val="decimal"/>
      <w:lvlText w:val="%1."/>
      <w:lvlJc w:val="left"/>
      <w:pPr>
        <w:tabs>
          <w:tab w:val="left" w:pos="425"/>
        </w:tabs>
        <w:ind w:left="425" w:hanging="425"/>
      </w:pPr>
      <w:rPr>
        <w:rFonts w:hint="eastAsia"/>
      </w:rPr>
    </w:lvl>
    <w:lvl w:ilvl="1" w:tentative="0">
      <w:start w:val="1"/>
      <w:numFmt w:val="decimal"/>
      <w:pStyle w:val="85"/>
      <w:lvlText w:val="%1.%2."/>
      <w:lvlJc w:val="left"/>
      <w:pPr>
        <w:tabs>
          <w:tab w:val="left" w:pos="567"/>
        </w:tabs>
        <w:ind w:left="567" w:hanging="567"/>
      </w:pPr>
      <w:rPr>
        <w:rFonts w:hint="eastAsia"/>
      </w:rPr>
    </w:lvl>
    <w:lvl w:ilvl="2" w:tentative="0">
      <w:start w:val="1"/>
      <w:numFmt w:val="decimal"/>
      <w:suff w:val="space"/>
      <w:lvlText w:val="%1.%2.%3."/>
      <w:lvlJc w:val="left"/>
      <w:rPr>
        <w:rFonts w:hint="eastAsia"/>
        <w:b w:val="0"/>
        <w:bCs w:val="0"/>
        <w:i w:val="0"/>
        <w:iCs w:val="0"/>
        <w:caps w:val="0"/>
        <w:smallCaps w:val="0"/>
        <w:strike w:val="0"/>
        <w:dstrike w:val="0"/>
        <w:vanish w:val="0"/>
        <w:spacing w:val="0"/>
        <w:position w:val="0"/>
        <w:u w:val="none"/>
        <w:vertAlign w:val="baseline"/>
      </w:rPr>
    </w:lvl>
    <w:lvl w:ilvl="3" w:tentative="0">
      <w:start w:val="1"/>
      <w:numFmt w:val="decimal"/>
      <w:suff w:val="space"/>
      <w:lvlText w:val="%1.%2.%3.%4."/>
      <w:lvlJc w:val="left"/>
      <w:rPr>
        <w:rFonts w:hint="default" w:ascii="宋体" w:hAnsi="宋体" w:eastAsia="宋体"/>
      </w:rPr>
    </w:lvl>
    <w:lvl w:ilvl="4" w:tentative="0">
      <w:start w:val="1"/>
      <w:numFmt w:val="decimal"/>
      <w:suff w:val="space"/>
      <w:lvlText w:val="%1.%2.%3.%4.%5."/>
      <w:lvlJc w:val="left"/>
      <w:pPr>
        <w:tabs>
          <w:tab w:val="left" w:pos="0"/>
        </w:tabs>
      </w:pPr>
      <w:rPr>
        <w:rFonts w:hint="default" w:ascii="仿宋" w:hAnsi="仿宋" w:eastAsia="仿宋"/>
        <w:b w:val="0"/>
        <w:bCs w:val="0"/>
        <w:sz w:val="28"/>
        <w:szCs w:val="28"/>
      </w:rPr>
    </w:lvl>
    <w:lvl w:ilvl="5" w:tentative="0">
      <w:start w:val="1"/>
      <w:numFmt w:val="decimal"/>
      <w:suff w:val="space"/>
      <w:lvlText w:val="%1.%2.%3.%4.%5.%6."/>
      <w:lvlJc w:val="left"/>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74872F41"/>
    <w:multiLevelType w:val="multilevel"/>
    <w:tmpl w:val="74872F41"/>
    <w:lvl w:ilvl="0" w:tentative="0">
      <w:start w:val="1"/>
      <w:numFmt w:val="decimal"/>
      <w:lvlText w:val="%1"/>
      <w:lvlJc w:val="left"/>
      <w:pPr>
        <w:ind w:left="432" w:hanging="432"/>
      </w:pPr>
    </w:lvl>
    <w:lvl w:ilvl="1" w:tentative="0">
      <w:start w:val="1"/>
      <w:numFmt w:val="decimal"/>
      <w:suff w:val="nothing"/>
      <w:lvlText w:val="%1.%2"/>
      <w:lvlJc w:val="left"/>
      <w:pPr>
        <w:ind w:left="576" w:hanging="576"/>
      </w:pPr>
      <w:rPr>
        <w:rFonts w:hint="eastAsia"/>
      </w:rPr>
    </w:lvl>
    <w:lvl w:ilvl="2" w:tentative="0">
      <w:start w:val="1"/>
      <w:numFmt w:val="decimal"/>
      <w:suff w:val="nothing"/>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2"/>
  </w:num>
  <w:num w:numId="2">
    <w:abstractNumId w:val="11"/>
  </w:num>
  <w:num w:numId="3">
    <w:abstractNumId w:val="2"/>
  </w:num>
  <w:num w:numId="4">
    <w:abstractNumId w:val="3"/>
  </w:num>
  <w:num w:numId="5">
    <w:abstractNumId w:val="1"/>
  </w:num>
  <w:num w:numId="6">
    <w:abstractNumId w:val="9"/>
  </w:num>
  <w:num w:numId="7">
    <w:abstractNumId w:val="7"/>
  </w:num>
  <w:num w:numId="8">
    <w:abstractNumId w:val="4"/>
  </w:num>
  <w:num w:numId="9">
    <w:abstractNumId w:val="8"/>
  </w:num>
  <w:num w:numId="10">
    <w:abstractNumId w:val="0"/>
  </w:num>
  <w:num w:numId="11">
    <w:abstractNumId w:val="1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jMwN2VlNDFhMzliNjgyYTM5Zjk1MTQ3NGEyNTEifQ=="/>
  </w:docVars>
  <w:rsids>
    <w:rsidRoot w:val="00172A27"/>
    <w:rsid w:val="000006D6"/>
    <w:rsid w:val="000369E4"/>
    <w:rsid w:val="00046C08"/>
    <w:rsid w:val="0005302D"/>
    <w:rsid w:val="00053049"/>
    <w:rsid w:val="000536CC"/>
    <w:rsid w:val="00056D4E"/>
    <w:rsid w:val="00066092"/>
    <w:rsid w:val="0007399B"/>
    <w:rsid w:val="00075967"/>
    <w:rsid w:val="00081BB3"/>
    <w:rsid w:val="00082710"/>
    <w:rsid w:val="00092AB5"/>
    <w:rsid w:val="000A438C"/>
    <w:rsid w:val="000A4B61"/>
    <w:rsid w:val="000A70FC"/>
    <w:rsid w:val="000B1B87"/>
    <w:rsid w:val="000B55DA"/>
    <w:rsid w:val="000C3DA7"/>
    <w:rsid w:val="000C7D1E"/>
    <w:rsid w:val="000D0C42"/>
    <w:rsid w:val="000D6A9B"/>
    <w:rsid w:val="000D72E4"/>
    <w:rsid w:val="000E7ED9"/>
    <w:rsid w:val="000F5DF1"/>
    <w:rsid w:val="000F63A4"/>
    <w:rsid w:val="000F7BC1"/>
    <w:rsid w:val="00106D5F"/>
    <w:rsid w:val="0011760F"/>
    <w:rsid w:val="001201D9"/>
    <w:rsid w:val="00122CBB"/>
    <w:rsid w:val="00130971"/>
    <w:rsid w:val="00137450"/>
    <w:rsid w:val="001407CE"/>
    <w:rsid w:val="00141F43"/>
    <w:rsid w:val="00143372"/>
    <w:rsid w:val="0015353A"/>
    <w:rsid w:val="001609D2"/>
    <w:rsid w:val="00172A27"/>
    <w:rsid w:val="00173DD1"/>
    <w:rsid w:val="00176B4A"/>
    <w:rsid w:val="001A2968"/>
    <w:rsid w:val="0020669A"/>
    <w:rsid w:val="00207D6C"/>
    <w:rsid w:val="00245D9A"/>
    <w:rsid w:val="00253FD6"/>
    <w:rsid w:val="00256656"/>
    <w:rsid w:val="002834F3"/>
    <w:rsid w:val="0028601F"/>
    <w:rsid w:val="00295265"/>
    <w:rsid w:val="00297EC0"/>
    <w:rsid w:val="002B63C7"/>
    <w:rsid w:val="002C211A"/>
    <w:rsid w:val="002D0226"/>
    <w:rsid w:val="002D5268"/>
    <w:rsid w:val="002F4D63"/>
    <w:rsid w:val="002F5AB2"/>
    <w:rsid w:val="00322253"/>
    <w:rsid w:val="00333D5A"/>
    <w:rsid w:val="003419E5"/>
    <w:rsid w:val="00351E79"/>
    <w:rsid w:val="00355239"/>
    <w:rsid w:val="003612A9"/>
    <w:rsid w:val="003647A8"/>
    <w:rsid w:val="0036717B"/>
    <w:rsid w:val="00382BC7"/>
    <w:rsid w:val="003846A8"/>
    <w:rsid w:val="00394A66"/>
    <w:rsid w:val="00397102"/>
    <w:rsid w:val="00397575"/>
    <w:rsid w:val="003A2B56"/>
    <w:rsid w:val="003B018C"/>
    <w:rsid w:val="003C3A66"/>
    <w:rsid w:val="003C5AF2"/>
    <w:rsid w:val="003C72F6"/>
    <w:rsid w:val="003C7ADA"/>
    <w:rsid w:val="003D2947"/>
    <w:rsid w:val="003D2BF2"/>
    <w:rsid w:val="003D303B"/>
    <w:rsid w:val="003D5315"/>
    <w:rsid w:val="003F7F48"/>
    <w:rsid w:val="00405267"/>
    <w:rsid w:val="00410369"/>
    <w:rsid w:val="00413EA2"/>
    <w:rsid w:val="00415A10"/>
    <w:rsid w:val="0042469B"/>
    <w:rsid w:val="00467BAB"/>
    <w:rsid w:val="00475D9D"/>
    <w:rsid w:val="00482126"/>
    <w:rsid w:val="00485952"/>
    <w:rsid w:val="00490B57"/>
    <w:rsid w:val="004917CF"/>
    <w:rsid w:val="00496DA9"/>
    <w:rsid w:val="00497BD2"/>
    <w:rsid w:val="004B3568"/>
    <w:rsid w:val="004B498F"/>
    <w:rsid w:val="004B4EFD"/>
    <w:rsid w:val="004B6A65"/>
    <w:rsid w:val="004C2380"/>
    <w:rsid w:val="004C60D7"/>
    <w:rsid w:val="004D488D"/>
    <w:rsid w:val="004D5147"/>
    <w:rsid w:val="004D517E"/>
    <w:rsid w:val="004D68F8"/>
    <w:rsid w:val="004F00BC"/>
    <w:rsid w:val="00502C74"/>
    <w:rsid w:val="0050334D"/>
    <w:rsid w:val="00512A12"/>
    <w:rsid w:val="00513784"/>
    <w:rsid w:val="00517FA1"/>
    <w:rsid w:val="00522102"/>
    <w:rsid w:val="00523BEC"/>
    <w:rsid w:val="00524BEE"/>
    <w:rsid w:val="005263CF"/>
    <w:rsid w:val="00535CC0"/>
    <w:rsid w:val="00544C05"/>
    <w:rsid w:val="00562BDB"/>
    <w:rsid w:val="00564CCE"/>
    <w:rsid w:val="005847E2"/>
    <w:rsid w:val="00584887"/>
    <w:rsid w:val="0058527C"/>
    <w:rsid w:val="00585A26"/>
    <w:rsid w:val="00586B27"/>
    <w:rsid w:val="005A14C5"/>
    <w:rsid w:val="005B7712"/>
    <w:rsid w:val="005E4DC2"/>
    <w:rsid w:val="005F0A63"/>
    <w:rsid w:val="005F3A13"/>
    <w:rsid w:val="00604E48"/>
    <w:rsid w:val="0060658A"/>
    <w:rsid w:val="00616AE3"/>
    <w:rsid w:val="0062222A"/>
    <w:rsid w:val="00632B33"/>
    <w:rsid w:val="00633654"/>
    <w:rsid w:val="006352E1"/>
    <w:rsid w:val="006403CD"/>
    <w:rsid w:val="00642B06"/>
    <w:rsid w:val="0065154A"/>
    <w:rsid w:val="006519EC"/>
    <w:rsid w:val="00660D8D"/>
    <w:rsid w:val="0066797D"/>
    <w:rsid w:val="00673B5D"/>
    <w:rsid w:val="00697A2B"/>
    <w:rsid w:val="006A1A8D"/>
    <w:rsid w:val="006B1807"/>
    <w:rsid w:val="006B21C3"/>
    <w:rsid w:val="006B4C5F"/>
    <w:rsid w:val="006B7F9C"/>
    <w:rsid w:val="006C1B4C"/>
    <w:rsid w:val="006C2DB1"/>
    <w:rsid w:val="006C5723"/>
    <w:rsid w:val="006C76D0"/>
    <w:rsid w:val="006C7EDC"/>
    <w:rsid w:val="006D0DC4"/>
    <w:rsid w:val="006E4AF4"/>
    <w:rsid w:val="006E5587"/>
    <w:rsid w:val="006F57D9"/>
    <w:rsid w:val="00701B3A"/>
    <w:rsid w:val="00704F91"/>
    <w:rsid w:val="0071478D"/>
    <w:rsid w:val="00716FF6"/>
    <w:rsid w:val="00725D83"/>
    <w:rsid w:val="0072741A"/>
    <w:rsid w:val="00732794"/>
    <w:rsid w:val="00735A0B"/>
    <w:rsid w:val="00752856"/>
    <w:rsid w:val="0076156A"/>
    <w:rsid w:val="00792A84"/>
    <w:rsid w:val="007936E8"/>
    <w:rsid w:val="007A661B"/>
    <w:rsid w:val="007B2D4A"/>
    <w:rsid w:val="007C0A95"/>
    <w:rsid w:val="007C58AB"/>
    <w:rsid w:val="007C7093"/>
    <w:rsid w:val="007E77ED"/>
    <w:rsid w:val="007F76BC"/>
    <w:rsid w:val="00816EC0"/>
    <w:rsid w:val="008225D1"/>
    <w:rsid w:val="0082637C"/>
    <w:rsid w:val="00833EEB"/>
    <w:rsid w:val="00845714"/>
    <w:rsid w:val="00855DD9"/>
    <w:rsid w:val="00860C5C"/>
    <w:rsid w:val="00862829"/>
    <w:rsid w:val="00864472"/>
    <w:rsid w:val="00864C0B"/>
    <w:rsid w:val="0086776E"/>
    <w:rsid w:val="00877E88"/>
    <w:rsid w:val="00881E99"/>
    <w:rsid w:val="0089621C"/>
    <w:rsid w:val="008C58F0"/>
    <w:rsid w:val="008D42B1"/>
    <w:rsid w:val="008E4A16"/>
    <w:rsid w:val="008F20FC"/>
    <w:rsid w:val="008F61B7"/>
    <w:rsid w:val="008F7635"/>
    <w:rsid w:val="00901C05"/>
    <w:rsid w:val="009222CE"/>
    <w:rsid w:val="0093161D"/>
    <w:rsid w:val="00953D9C"/>
    <w:rsid w:val="00967F5B"/>
    <w:rsid w:val="0097277A"/>
    <w:rsid w:val="00973E2F"/>
    <w:rsid w:val="00974686"/>
    <w:rsid w:val="009C2A8B"/>
    <w:rsid w:val="009D4100"/>
    <w:rsid w:val="009F0F92"/>
    <w:rsid w:val="00A01EC0"/>
    <w:rsid w:val="00A05271"/>
    <w:rsid w:val="00A06766"/>
    <w:rsid w:val="00A11F2E"/>
    <w:rsid w:val="00A222A3"/>
    <w:rsid w:val="00A254A5"/>
    <w:rsid w:val="00A52601"/>
    <w:rsid w:val="00A53304"/>
    <w:rsid w:val="00A725EA"/>
    <w:rsid w:val="00A80153"/>
    <w:rsid w:val="00A82408"/>
    <w:rsid w:val="00A83EF0"/>
    <w:rsid w:val="00AA38D7"/>
    <w:rsid w:val="00AD03B9"/>
    <w:rsid w:val="00AD1C34"/>
    <w:rsid w:val="00AE1B27"/>
    <w:rsid w:val="00AE56A7"/>
    <w:rsid w:val="00AF46FD"/>
    <w:rsid w:val="00B027D1"/>
    <w:rsid w:val="00B04E19"/>
    <w:rsid w:val="00B070EC"/>
    <w:rsid w:val="00B11A55"/>
    <w:rsid w:val="00B15512"/>
    <w:rsid w:val="00B15B78"/>
    <w:rsid w:val="00B2723A"/>
    <w:rsid w:val="00B340C3"/>
    <w:rsid w:val="00B342A8"/>
    <w:rsid w:val="00B36E1B"/>
    <w:rsid w:val="00B47ED5"/>
    <w:rsid w:val="00B51C0D"/>
    <w:rsid w:val="00B56EBF"/>
    <w:rsid w:val="00B70CDA"/>
    <w:rsid w:val="00B741CD"/>
    <w:rsid w:val="00B80A35"/>
    <w:rsid w:val="00B87ED2"/>
    <w:rsid w:val="00B93F2F"/>
    <w:rsid w:val="00BA1F65"/>
    <w:rsid w:val="00BB1BE8"/>
    <w:rsid w:val="00BD2E16"/>
    <w:rsid w:val="00BE0B2A"/>
    <w:rsid w:val="00BE3CDD"/>
    <w:rsid w:val="00BE565A"/>
    <w:rsid w:val="00BF2C75"/>
    <w:rsid w:val="00BF5566"/>
    <w:rsid w:val="00BF65EF"/>
    <w:rsid w:val="00C2094E"/>
    <w:rsid w:val="00C2156F"/>
    <w:rsid w:val="00C23D21"/>
    <w:rsid w:val="00C35259"/>
    <w:rsid w:val="00C35396"/>
    <w:rsid w:val="00C44487"/>
    <w:rsid w:val="00C50722"/>
    <w:rsid w:val="00C6267F"/>
    <w:rsid w:val="00C70F4D"/>
    <w:rsid w:val="00C75C22"/>
    <w:rsid w:val="00C769DC"/>
    <w:rsid w:val="00C779F3"/>
    <w:rsid w:val="00C83921"/>
    <w:rsid w:val="00C86DC5"/>
    <w:rsid w:val="00CB65FB"/>
    <w:rsid w:val="00CD3FD3"/>
    <w:rsid w:val="00CD5149"/>
    <w:rsid w:val="00CD5DBB"/>
    <w:rsid w:val="00CD6DB0"/>
    <w:rsid w:val="00CF32AE"/>
    <w:rsid w:val="00CF68FF"/>
    <w:rsid w:val="00CF729C"/>
    <w:rsid w:val="00D01278"/>
    <w:rsid w:val="00D0142E"/>
    <w:rsid w:val="00D04F54"/>
    <w:rsid w:val="00D10A1A"/>
    <w:rsid w:val="00D22720"/>
    <w:rsid w:val="00D36954"/>
    <w:rsid w:val="00D50C94"/>
    <w:rsid w:val="00D5397E"/>
    <w:rsid w:val="00D671E8"/>
    <w:rsid w:val="00D70FA5"/>
    <w:rsid w:val="00D71586"/>
    <w:rsid w:val="00D746AC"/>
    <w:rsid w:val="00D764B9"/>
    <w:rsid w:val="00D824BD"/>
    <w:rsid w:val="00D87227"/>
    <w:rsid w:val="00D90D76"/>
    <w:rsid w:val="00D96740"/>
    <w:rsid w:val="00DA6D22"/>
    <w:rsid w:val="00DA7E7A"/>
    <w:rsid w:val="00DE17D9"/>
    <w:rsid w:val="00DE780B"/>
    <w:rsid w:val="00E00AEF"/>
    <w:rsid w:val="00E02B9A"/>
    <w:rsid w:val="00E101C5"/>
    <w:rsid w:val="00E12589"/>
    <w:rsid w:val="00E12A31"/>
    <w:rsid w:val="00E13DDD"/>
    <w:rsid w:val="00E315B7"/>
    <w:rsid w:val="00E36DC5"/>
    <w:rsid w:val="00E52651"/>
    <w:rsid w:val="00E62677"/>
    <w:rsid w:val="00E67BAE"/>
    <w:rsid w:val="00E7310F"/>
    <w:rsid w:val="00E7796F"/>
    <w:rsid w:val="00E8253F"/>
    <w:rsid w:val="00E8670B"/>
    <w:rsid w:val="00EA2A1A"/>
    <w:rsid w:val="00EB1BDD"/>
    <w:rsid w:val="00EC29E7"/>
    <w:rsid w:val="00EC5774"/>
    <w:rsid w:val="00EC5ABD"/>
    <w:rsid w:val="00EC5DB0"/>
    <w:rsid w:val="00F05AA0"/>
    <w:rsid w:val="00F3793B"/>
    <w:rsid w:val="00F41716"/>
    <w:rsid w:val="00F50C01"/>
    <w:rsid w:val="00F51274"/>
    <w:rsid w:val="00F51811"/>
    <w:rsid w:val="00F705B3"/>
    <w:rsid w:val="00F77C2B"/>
    <w:rsid w:val="00F96042"/>
    <w:rsid w:val="00F9606A"/>
    <w:rsid w:val="00F9659A"/>
    <w:rsid w:val="00FA65DA"/>
    <w:rsid w:val="00FB3E14"/>
    <w:rsid w:val="00FB78E6"/>
    <w:rsid w:val="00FB7A58"/>
    <w:rsid w:val="00FB7FB4"/>
    <w:rsid w:val="00FC2E06"/>
    <w:rsid w:val="00FC33F9"/>
    <w:rsid w:val="00FC73B2"/>
    <w:rsid w:val="00FE4526"/>
    <w:rsid w:val="00FE66BE"/>
    <w:rsid w:val="00FF0F61"/>
    <w:rsid w:val="010F78B0"/>
    <w:rsid w:val="011D5257"/>
    <w:rsid w:val="011F67E6"/>
    <w:rsid w:val="01233A9E"/>
    <w:rsid w:val="01290F32"/>
    <w:rsid w:val="01395070"/>
    <w:rsid w:val="013E355F"/>
    <w:rsid w:val="0140142E"/>
    <w:rsid w:val="01431A4A"/>
    <w:rsid w:val="01444F8E"/>
    <w:rsid w:val="01587DDE"/>
    <w:rsid w:val="016C0FA1"/>
    <w:rsid w:val="017A10BC"/>
    <w:rsid w:val="017A28D9"/>
    <w:rsid w:val="01807B4B"/>
    <w:rsid w:val="019565A9"/>
    <w:rsid w:val="0199419C"/>
    <w:rsid w:val="01A108DC"/>
    <w:rsid w:val="01AC5842"/>
    <w:rsid w:val="01BE5654"/>
    <w:rsid w:val="01C34C01"/>
    <w:rsid w:val="01CB1CCE"/>
    <w:rsid w:val="01D55085"/>
    <w:rsid w:val="01DE38A4"/>
    <w:rsid w:val="01E10A25"/>
    <w:rsid w:val="01EA4BF3"/>
    <w:rsid w:val="01EF43BB"/>
    <w:rsid w:val="01FF3BC3"/>
    <w:rsid w:val="020975D5"/>
    <w:rsid w:val="023870D5"/>
    <w:rsid w:val="02452082"/>
    <w:rsid w:val="024A5025"/>
    <w:rsid w:val="024B6E08"/>
    <w:rsid w:val="0250093A"/>
    <w:rsid w:val="0256755B"/>
    <w:rsid w:val="025F581B"/>
    <w:rsid w:val="0281282A"/>
    <w:rsid w:val="02844450"/>
    <w:rsid w:val="028532F2"/>
    <w:rsid w:val="02920764"/>
    <w:rsid w:val="02922A4D"/>
    <w:rsid w:val="02A67A28"/>
    <w:rsid w:val="02A92245"/>
    <w:rsid w:val="02B75812"/>
    <w:rsid w:val="02C1356F"/>
    <w:rsid w:val="02C32E43"/>
    <w:rsid w:val="02D007F1"/>
    <w:rsid w:val="02E1776D"/>
    <w:rsid w:val="03150DD2"/>
    <w:rsid w:val="031713E0"/>
    <w:rsid w:val="0324119F"/>
    <w:rsid w:val="032564AE"/>
    <w:rsid w:val="032C5F3D"/>
    <w:rsid w:val="036174DB"/>
    <w:rsid w:val="037712B7"/>
    <w:rsid w:val="038732E9"/>
    <w:rsid w:val="03A569EC"/>
    <w:rsid w:val="03B86720"/>
    <w:rsid w:val="03BC2D1F"/>
    <w:rsid w:val="03C339D1"/>
    <w:rsid w:val="03C36E72"/>
    <w:rsid w:val="03D41D21"/>
    <w:rsid w:val="03D520BE"/>
    <w:rsid w:val="03D746CC"/>
    <w:rsid w:val="03DB0A6C"/>
    <w:rsid w:val="03DB7279"/>
    <w:rsid w:val="03EA08A3"/>
    <w:rsid w:val="03F1578E"/>
    <w:rsid w:val="041E6B80"/>
    <w:rsid w:val="042E2344"/>
    <w:rsid w:val="042F7F09"/>
    <w:rsid w:val="04553F6E"/>
    <w:rsid w:val="047363D2"/>
    <w:rsid w:val="047775AF"/>
    <w:rsid w:val="04787C5D"/>
    <w:rsid w:val="047B75DD"/>
    <w:rsid w:val="047C7148"/>
    <w:rsid w:val="04806DDE"/>
    <w:rsid w:val="0482288A"/>
    <w:rsid w:val="04934A97"/>
    <w:rsid w:val="049E74FB"/>
    <w:rsid w:val="04A86601"/>
    <w:rsid w:val="04AE367F"/>
    <w:rsid w:val="04B30C95"/>
    <w:rsid w:val="04B35B6F"/>
    <w:rsid w:val="04DC4690"/>
    <w:rsid w:val="04DD04AF"/>
    <w:rsid w:val="04E00720"/>
    <w:rsid w:val="04E15802"/>
    <w:rsid w:val="04EA35B4"/>
    <w:rsid w:val="04F00248"/>
    <w:rsid w:val="04F374C7"/>
    <w:rsid w:val="04FF5310"/>
    <w:rsid w:val="050012D9"/>
    <w:rsid w:val="05076022"/>
    <w:rsid w:val="05141C10"/>
    <w:rsid w:val="052E441A"/>
    <w:rsid w:val="0540041A"/>
    <w:rsid w:val="05413CF7"/>
    <w:rsid w:val="05467D5B"/>
    <w:rsid w:val="05524D07"/>
    <w:rsid w:val="055406CA"/>
    <w:rsid w:val="056C5A14"/>
    <w:rsid w:val="0585230D"/>
    <w:rsid w:val="058C1C12"/>
    <w:rsid w:val="05934296"/>
    <w:rsid w:val="05946661"/>
    <w:rsid w:val="05A46A4F"/>
    <w:rsid w:val="05A525F1"/>
    <w:rsid w:val="05CD4878"/>
    <w:rsid w:val="05DF622C"/>
    <w:rsid w:val="05E51322"/>
    <w:rsid w:val="05EA6938"/>
    <w:rsid w:val="05F1279B"/>
    <w:rsid w:val="060972BD"/>
    <w:rsid w:val="060E5C57"/>
    <w:rsid w:val="061834A6"/>
    <w:rsid w:val="062A31D9"/>
    <w:rsid w:val="063A2843"/>
    <w:rsid w:val="063B53E6"/>
    <w:rsid w:val="06500C24"/>
    <w:rsid w:val="067226F4"/>
    <w:rsid w:val="067D77AC"/>
    <w:rsid w:val="068B7C0B"/>
    <w:rsid w:val="06AB1C8F"/>
    <w:rsid w:val="06BA27AF"/>
    <w:rsid w:val="06BD582C"/>
    <w:rsid w:val="06C74ECC"/>
    <w:rsid w:val="06CE625A"/>
    <w:rsid w:val="06D411C6"/>
    <w:rsid w:val="06DB482C"/>
    <w:rsid w:val="06E17D3B"/>
    <w:rsid w:val="06EC2175"/>
    <w:rsid w:val="06F061D0"/>
    <w:rsid w:val="06F1464C"/>
    <w:rsid w:val="06F537E7"/>
    <w:rsid w:val="070A748D"/>
    <w:rsid w:val="070B10A0"/>
    <w:rsid w:val="071A149F"/>
    <w:rsid w:val="0746753F"/>
    <w:rsid w:val="074D717F"/>
    <w:rsid w:val="0753050D"/>
    <w:rsid w:val="07550729"/>
    <w:rsid w:val="075F6EB2"/>
    <w:rsid w:val="07651475"/>
    <w:rsid w:val="07724E37"/>
    <w:rsid w:val="077F2D85"/>
    <w:rsid w:val="0791734E"/>
    <w:rsid w:val="07921036"/>
    <w:rsid w:val="07972AF0"/>
    <w:rsid w:val="0799038D"/>
    <w:rsid w:val="07AD5327"/>
    <w:rsid w:val="07B02023"/>
    <w:rsid w:val="07BE2258"/>
    <w:rsid w:val="07CE0A7B"/>
    <w:rsid w:val="07EC4E63"/>
    <w:rsid w:val="07FA7147"/>
    <w:rsid w:val="07FE46B5"/>
    <w:rsid w:val="08101A9B"/>
    <w:rsid w:val="08301092"/>
    <w:rsid w:val="084203C5"/>
    <w:rsid w:val="084A5DB4"/>
    <w:rsid w:val="08563181"/>
    <w:rsid w:val="085C6121"/>
    <w:rsid w:val="0869448C"/>
    <w:rsid w:val="086F4ED5"/>
    <w:rsid w:val="08712305"/>
    <w:rsid w:val="08723A01"/>
    <w:rsid w:val="088E7A4F"/>
    <w:rsid w:val="089005BE"/>
    <w:rsid w:val="08A234FA"/>
    <w:rsid w:val="08A50077"/>
    <w:rsid w:val="08AD38CF"/>
    <w:rsid w:val="08B43B73"/>
    <w:rsid w:val="08C22770"/>
    <w:rsid w:val="08D97D1B"/>
    <w:rsid w:val="08E14AB5"/>
    <w:rsid w:val="08EB77D8"/>
    <w:rsid w:val="08EF4810"/>
    <w:rsid w:val="08FC0E5C"/>
    <w:rsid w:val="09080ACD"/>
    <w:rsid w:val="092108C3"/>
    <w:rsid w:val="092D54BA"/>
    <w:rsid w:val="09474FF7"/>
    <w:rsid w:val="094E07D5"/>
    <w:rsid w:val="09503CAC"/>
    <w:rsid w:val="09570789"/>
    <w:rsid w:val="095A4235"/>
    <w:rsid w:val="0977379C"/>
    <w:rsid w:val="097E7AC3"/>
    <w:rsid w:val="097F1D3F"/>
    <w:rsid w:val="09803EB7"/>
    <w:rsid w:val="09880942"/>
    <w:rsid w:val="09A33F5B"/>
    <w:rsid w:val="09A77DCF"/>
    <w:rsid w:val="09C83255"/>
    <w:rsid w:val="09CA0A04"/>
    <w:rsid w:val="09EF011C"/>
    <w:rsid w:val="09F12794"/>
    <w:rsid w:val="09F75AC8"/>
    <w:rsid w:val="09F83802"/>
    <w:rsid w:val="09FC09DC"/>
    <w:rsid w:val="09FE6970"/>
    <w:rsid w:val="0A031C7A"/>
    <w:rsid w:val="0A1421D6"/>
    <w:rsid w:val="0A2574CB"/>
    <w:rsid w:val="0A2B7CD3"/>
    <w:rsid w:val="0A502D79"/>
    <w:rsid w:val="0A524965"/>
    <w:rsid w:val="0A554750"/>
    <w:rsid w:val="0A5B33C7"/>
    <w:rsid w:val="0A6C0264"/>
    <w:rsid w:val="0A7A10F9"/>
    <w:rsid w:val="0A7A1926"/>
    <w:rsid w:val="0A800023"/>
    <w:rsid w:val="0A960E3D"/>
    <w:rsid w:val="0AA20101"/>
    <w:rsid w:val="0ABD21A0"/>
    <w:rsid w:val="0ABD24F3"/>
    <w:rsid w:val="0ABF5451"/>
    <w:rsid w:val="0ACB0426"/>
    <w:rsid w:val="0ADB6508"/>
    <w:rsid w:val="0AE918B4"/>
    <w:rsid w:val="0AEE0C79"/>
    <w:rsid w:val="0AEE787C"/>
    <w:rsid w:val="0AF970E8"/>
    <w:rsid w:val="0AFA2B41"/>
    <w:rsid w:val="0AFF4C34"/>
    <w:rsid w:val="0B0163E0"/>
    <w:rsid w:val="0B101544"/>
    <w:rsid w:val="0B1C5935"/>
    <w:rsid w:val="0B2B0B40"/>
    <w:rsid w:val="0B2C354F"/>
    <w:rsid w:val="0B2E4DDF"/>
    <w:rsid w:val="0B2F5F24"/>
    <w:rsid w:val="0B536FB3"/>
    <w:rsid w:val="0B5C2056"/>
    <w:rsid w:val="0B5F1461"/>
    <w:rsid w:val="0B67388A"/>
    <w:rsid w:val="0B7327F5"/>
    <w:rsid w:val="0B741639"/>
    <w:rsid w:val="0B8415DD"/>
    <w:rsid w:val="0B8E3A06"/>
    <w:rsid w:val="0B9C5955"/>
    <w:rsid w:val="0BA71B9D"/>
    <w:rsid w:val="0BA80A95"/>
    <w:rsid w:val="0BB62502"/>
    <w:rsid w:val="0BBC29BC"/>
    <w:rsid w:val="0BD75BB1"/>
    <w:rsid w:val="0BE007AF"/>
    <w:rsid w:val="0BE45432"/>
    <w:rsid w:val="0C0A15BD"/>
    <w:rsid w:val="0C0C1E3C"/>
    <w:rsid w:val="0C204AF9"/>
    <w:rsid w:val="0C232BA4"/>
    <w:rsid w:val="0C2E598F"/>
    <w:rsid w:val="0C2F30E9"/>
    <w:rsid w:val="0C4D5FCA"/>
    <w:rsid w:val="0C664592"/>
    <w:rsid w:val="0C6805B7"/>
    <w:rsid w:val="0C756913"/>
    <w:rsid w:val="0C7E602C"/>
    <w:rsid w:val="0C831E9D"/>
    <w:rsid w:val="0C863D4E"/>
    <w:rsid w:val="0C882A07"/>
    <w:rsid w:val="0C8E0524"/>
    <w:rsid w:val="0C9F66CF"/>
    <w:rsid w:val="0CAC4765"/>
    <w:rsid w:val="0CB3217A"/>
    <w:rsid w:val="0CB67574"/>
    <w:rsid w:val="0CBB17B0"/>
    <w:rsid w:val="0CCC1500"/>
    <w:rsid w:val="0CDE6400"/>
    <w:rsid w:val="0CEB6AEF"/>
    <w:rsid w:val="0D061388"/>
    <w:rsid w:val="0D0647F9"/>
    <w:rsid w:val="0D0D3214"/>
    <w:rsid w:val="0D0E5602"/>
    <w:rsid w:val="0D23036B"/>
    <w:rsid w:val="0D332841"/>
    <w:rsid w:val="0D3C3572"/>
    <w:rsid w:val="0D425763"/>
    <w:rsid w:val="0D502BC3"/>
    <w:rsid w:val="0D68598B"/>
    <w:rsid w:val="0D6E7965"/>
    <w:rsid w:val="0D703C18"/>
    <w:rsid w:val="0D8F76E7"/>
    <w:rsid w:val="0DA11588"/>
    <w:rsid w:val="0DAF0B93"/>
    <w:rsid w:val="0DBC6E0C"/>
    <w:rsid w:val="0DBF61BD"/>
    <w:rsid w:val="0DE04BF0"/>
    <w:rsid w:val="0DE6032D"/>
    <w:rsid w:val="0DEA1BCB"/>
    <w:rsid w:val="0DF23077"/>
    <w:rsid w:val="0DFA0AC1"/>
    <w:rsid w:val="0E2F36BB"/>
    <w:rsid w:val="0E3746E5"/>
    <w:rsid w:val="0E3D4A64"/>
    <w:rsid w:val="0E4A1D73"/>
    <w:rsid w:val="0E4A71EF"/>
    <w:rsid w:val="0E5A03D3"/>
    <w:rsid w:val="0E5C05EF"/>
    <w:rsid w:val="0E7B4839"/>
    <w:rsid w:val="0E8A2A67"/>
    <w:rsid w:val="0E9355B5"/>
    <w:rsid w:val="0EB71082"/>
    <w:rsid w:val="0EDA2FEF"/>
    <w:rsid w:val="0EDE1004"/>
    <w:rsid w:val="0EE07C20"/>
    <w:rsid w:val="0EE13F45"/>
    <w:rsid w:val="0EF17C27"/>
    <w:rsid w:val="0F0041B9"/>
    <w:rsid w:val="0F0255DD"/>
    <w:rsid w:val="0F184D1F"/>
    <w:rsid w:val="0F476BF9"/>
    <w:rsid w:val="0F4E0BB1"/>
    <w:rsid w:val="0F5117D6"/>
    <w:rsid w:val="0F671D41"/>
    <w:rsid w:val="0F861992"/>
    <w:rsid w:val="0F890F70"/>
    <w:rsid w:val="0F8B6247"/>
    <w:rsid w:val="0F8E1282"/>
    <w:rsid w:val="0F9463BB"/>
    <w:rsid w:val="0F9F1181"/>
    <w:rsid w:val="0FA06B52"/>
    <w:rsid w:val="0FA43FFC"/>
    <w:rsid w:val="0FB104C7"/>
    <w:rsid w:val="0FB35FED"/>
    <w:rsid w:val="0FB44365"/>
    <w:rsid w:val="0FBD50BE"/>
    <w:rsid w:val="0FC401FA"/>
    <w:rsid w:val="0FC93A62"/>
    <w:rsid w:val="0FC951AB"/>
    <w:rsid w:val="0FD348E1"/>
    <w:rsid w:val="0FDE2C74"/>
    <w:rsid w:val="0FF44307"/>
    <w:rsid w:val="10012BF3"/>
    <w:rsid w:val="102962AF"/>
    <w:rsid w:val="1041239E"/>
    <w:rsid w:val="10420C88"/>
    <w:rsid w:val="10433815"/>
    <w:rsid w:val="104D4B77"/>
    <w:rsid w:val="10532F3B"/>
    <w:rsid w:val="105A061D"/>
    <w:rsid w:val="107065B9"/>
    <w:rsid w:val="107A56EA"/>
    <w:rsid w:val="107A7C82"/>
    <w:rsid w:val="1083185B"/>
    <w:rsid w:val="10933536"/>
    <w:rsid w:val="109951E3"/>
    <w:rsid w:val="10A67900"/>
    <w:rsid w:val="10A80E1C"/>
    <w:rsid w:val="10AD12D1"/>
    <w:rsid w:val="10D25CDE"/>
    <w:rsid w:val="10D67F75"/>
    <w:rsid w:val="10D8329E"/>
    <w:rsid w:val="10E0699A"/>
    <w:rsid w:val="11030463"/>
    <w:rsid w:val="11082369"/>
    <w:rsid w:val="110B11ED"/>
    <w:rsid w:val="110B480E"/>
    <w:rsid w:val="110F5D25"/>
    <w:rsid w:val="11311D0E"/>
    <w:rsid w:val="113B70D7"/>
    <w:rsid w:val="11553800"/>
    <w:rsid w:val="115B3241"/>
    <w:rsid w:val="1167574F"/>
    <w:rsid w:val="116B17C8"/>
    <w:rsid w:val="116F4196"/>
    <w:rsid w:val="118056B1"/>
    <w:rsid w:val="1184054E"/>
    <w:rsid w:val="11861154"/>
    <w:rsid w:val="119F4F39"/>
    <w:rsid w:val="11A552F2"/>
    <w:rsid w:val="11B254C9"/>
    <w:rsid w:val="11B65FE3"/>
    <w:rsid w:val="11CB3AC2"/>
    <w:rsid w:val="11CC2F68"/>
    <w:rsid w:val="11DF39BA"/>
    <w:rsid w:val="11EE3F10"/>
    <w:rsid w:val="12481D5C"/>
    <w:rsid w:val="124A64D9"/>
    <w:rsid w:val="126A1858"/>
    <w:rsid w:val="126B790B"/>
    <w:rsid w:val="12753A2E"/>
    <w:rsid w:val="12776F61"/>
    <w:rsid w:val="127A2C1B"/>
    <w:rsid w:val="127D5EEE"/>
    <w:rsid w:val="12977DB5"/>
    <w:rsid w:val="129F5D1C"/>
    <w:rsid w:val="12BC78AF"/>
    <w:rsid w:val="12C60FED"/>
    <w:rsid w:val="12E52961"/>
    <w:rsid w:val="12F94A59"/>
    <w:rsid w:val="12FD628C"/>
    <w:rsid w:val="130C00DE"/>
    <w:rsid w:val="13206A19"/>
    <w:rsid w:val="13292825"/>
    <w:rsid w:val="13374094"/>
    <w:rsid w:val="133B1443"/>
    <w:rsid w:val="133E5040"/>
    <w:rsid w:val="13511DA5"/>
    <w:rsid w:val="135D51B9"/>
    <w:rsid w:val="1363441C"/>
    <w:rsid w:val="13785584"/>
    <w:rsid w:val="137E2564"/>
    <w:rsid w:val="137E60EE"/>
    <w:rsid w:val="13855E30"/>
    <w:rsid w:val="13B766C0"/>
    <w:rsid w:val="13D50C28"/>
    <w:rsid w:val="13F92389"/>
    <w:rsid w:val="13FB7F63"/>
    <w:rsid w:val="13FC61B5"/>
    <w:rsid w:val="1402330D"/>
    <w:rsid w:val="141242EA"/>
    <w:rsid w:val="143C00B5"/>
    <w:rsid w:val="144D1DE1"/>
    <w:rsid w:val="145B443A"/>
    <w:rsid w:val="14925103"/>
    <w:rsid w:val="14943C5A"/>
    <w:rsid w:val="14996E81"/>
    <w:rsid w:val="14B4083D"/>
    <w:rsid w:val="14B85E6C"/>
    <w:rsid w:val="14C91E0F"/>
    <w:rsid w:val="14CF5D2E"/>
    <w:rsid w:val="14D41998"/>
    <w:rsid w:val="14D54096"/>
    <w:rsid w:val="14F0793F"/>
    <w:rsid w:val="14F11A91"/>
    <w:rsid w:val="14F75E3D"/>
    <w:rsid w:val="14FA4CEC"/>
    <w:rsid w:val="151A0CA0"/>
    <w:rsid w:val="152671D6"/>
    <w:rsid w:val="152A6D51"/>
    <w:rsid w:val="152A707F"/>
    <w:rsid w:val="15365C1A"/>
    <w:rsid w:val="15392CBD"/>
    <w:rsid w:val="153E4ECB"/>
    <w:rsid w:val="15400C78"/>
    <w:rsid w:val="154716B1"/>
    <w:rsid w:val="154E4BC6"/>
    <w:rsid w:val="155D2354"/>
    <w:rsid w:val="157C7B86"/>
    <w:rsid w:val="15835041"/>
    <w:rsid w:val="159348F7"/>
    <w:rsid w:val="15A16E73"/>
    <w:rsid w:val="15B40C80"/>
    <w:rsid w:val="15CF0417"/>
    <w:rsid w:val="15DE18EA"/>
    <w:rsid w:val="15F27132"/>
    <w:rsid w:val="15F96F00"/>
    <w:rsid w:val="160849BA"/>
    <w:rsid w:val="160B71AA"/>
    <w:rsid w:val="1615358D"/>
    <w:rsid w:val="161672D6"/>
    <w:rsid w:val="16180F6D"/>
    <w:rsid w:val="161F53FC"/>
    <w:rsid w:val="16204361"/>
    <w:rsid w:val="162D53D4"/>
    <w:rsid w:val="162E7404"/>
    <w:rsid w:val="163D2AFA"/>
    <w:rsid w:val="16424267"/>
    <w:rsid w:val="16452C84"/>
    <w:rsid w:val="1666025D"/>
    <w:rsid w:val="16730568"/>
    <w:rsid w:val="16735658"/>
    <w:rsid w:val="16741AFC"/>
    <w:rsid w:val="1675683C"/>
    <w:rsid w:val="168553D9"/>
    <w:rsid w:val="169A40B4"/>
    <w:rsid w:val="16A9014A"/>
    <w:rsid w:val="16C136E5"/>
    <w:rsid w:val="16C43269"/>
    <w:rsid w:val="16CB00C0"/>
    <w:rsid w:val="16DD6BE8"/>
    <w:rsid w:val="16E546BE"/>
    <w:rsid w:val="16EF0D5E"/>
    <w:rsid w:val="16F63FFF"/>
    <w:rsid w:val="16F94C2D"/>
    <w:rsid w:val="170F0DF6"/>
    <w:rsid w:val="17125CEF"/>
    <w:rsid w:val="1728545F"/>
    <w:rsid w:val="173914CE"/>
    <w:rsid w:val="176A5B2B"/>
    <w:rsid w:val="176E33DE"/>
    <w:rsid w:val="17714319"/>
    <w:rsid w:val="178A6457"/>
    <w:rsid w:val="178E1F3A"/>
    <w:rsid w:val="17976F43"/>
    <w:rsid w:val="17A1301F"/>
    <w:rsid w:val="17AF0FE6"/>
    <w:rsid w:val="17AF7475"/>
    <w:rsid w:val="17B62328"/>
    <w:rsid w:val="17BB1EE3"/>
    <w:rsid w:val="17BF5D4B"/>
    <w:rsid w:val="17CC0594"/>
    <w:rsid w:val="17D17958"/>
    <w:rsid w:val="17D94B77"/>
    <w:rsid w:val="17E72CD8"/>
    <w:rsid w:val="17F57F70"/>
    <w:rsid w:val="17FFA0B7"/>
    <w:rsid w:val="180D1E0E"/>
    <w:rsid w:val="181D142A"/>
    <w:rsid w:val="182E4DAB"/>
    <w:rsid w:val="1833161F"/>
    <w:rsid w:val="18365D98"/>
    <w:rsid w:val="183B1275"/>
    <w:rsid w:val="18502F73"/>
    <w:rsid w:val="185A1F53"/>
    <w:rsid w:val="185E2C8F"/>
    <w:rsid w:val="186624DA"/>
    <w:rsid w:val="18664372"/>
    <w:rsid w:val="187C4B44"/>
    <w:rsid w:val="188E5849"/>
    <w:rsid w:val="18932E60"/>
    <w:rsid w:val="18A70D35"/>
    <w:rsid w:val="18B52DD6"/>
    <w:rsid w:val="18C97F6F"/>
    <w:rsid w:val="18CC4605"/>
    <w:rsid w:val="18D70F9E"/>
    <w:rsid w:val="18ED1065"/>
    <w:rsid w:val="18FC6C57"/>
    <w:rsid w:val="190D2C12"/>
    <w:rsid w:val="19154F7D"/>
    <w:rsid w:val="191D727B"/>
    <w:rsid w:val="19257F5C"/>
    <w:rsid w:val="192D0BBE"/>
    <w:rsid w:val="19327D49"/>
    <w:rsid w:val="193A5663"/>
    <w:rsid w:val="193F0942"/>
    <w:rsid w:val="194F322A"/>
    <w:rsid w:val="196C3A64"/>
    <w:rsid w:val="197A5D5B"/>
    <w:rsid w:val="198527A8"/>
    <w:rsid w:val="199D3F96"/>
    <w:rsid w:val="19A96B32"/>
    <w:rsid w:val="19C117B3"/>
    <w:rsid w:val="19CE6BC8"/>
    <w:rsid w:val="19E00326"/>
    <w:rsid w:val="19FE52B1"/>
    <w:rsid w:val="1A02583B"/>
    <w:rsid w:val="1A0264A7"/>
    <w:rsid w:val="1A136006"/>
    <w:rsid w:val="1A153E67"/>
    <w:rsid w:val="1A1D50D7"/>
    <w:rsid w:val="1A367F46"/>
    <w:rsid w:val="1A4E5290"/>
    <w:rsid w:val="1A565D6C"/>
    <w:rsid w:val="1A572D81"/>
    <w:rsid w:val="1A5B175B"/>
    <w:rsid w:val="1A606D71"/>
    <w:rsid w:val="1A690936"/>
    <w:rsid w:val="1A7400AB"/>
    <w:rsid w:val="1A866CCC"/>
    <w:rsid w:val="1A894D59"/>
    <w:rsid w:val="1A8F3EB7"/>
    <w:rsid w:val="1A96208A"/>
    <w:rsid w:val="1AAB4490"/>
    <w:rsid w:val="1AAC1FB7"/>
    <w:rsid w:val="1AB65730"/>
    <w:rsid w:val="1ABC2CB0"/>
    <w:rsid w:val="1AC1176B"/>
    <w:rsid w:val="1AD21B0B"/>
    <w:rsid w:val="1AD24D69"/>
    <w:rsid w:val="1AD25EC1"/>
    <w:rsid w:val="1AD27BB9"/>
    <w:rsid w:val="1AD734D7"/>
    <w:rsid w:val="1AE532C2"/>
    <w:rsid w:val="1AEA03E1"/>
    <w:rsid w:val="1AEE368E"/>
    <w:rsid w:val="1AFA5418"/>
    <w:rsid w:val="1B063DBD"/>
    <w:rsid w:val="1B092AE7"/>
    <w:rsid w:val="1B097409"/>
    <w:rsid w:val="1B193AF0"/>
    <w:rsid w:val="1B206023"/>
    <w:rsid w:val="1B293607"/>
    <w:rsid w:val="1B344C5E"/>
    <w:rsid w:val="1B3F131C"/>
    <w:rsid w:val="1B5728FE"/>
    <w:rsid w:val="1B5746B9"/>
    <w:rsid w:val="1B64175E"/>
    <w:rsid w:val="1B772EF6"/>
    <w:rsid w:val="1B7950A9"/>
    <w:rsid w:val="1B7E160A"/>
    <w:rsid w:val="1B886580"/>
    <w:rsid w:val="1BA809D0"/>
    <w:rsid w:val="1BB107DF"/>
    <w:rsid w:val="1BB651A5"/>
    <w:rsid w:val="1BB96B25"/>
    <w:rsid w:val="1BC12488"/>
    <w:rsid w:val="1BC4107F"/>
    <w:rsid w:val="1BCB69B3"/>
    <w:rsid w:val="1BCC0692"/>
    <w:rsid w:val="1BD259C0"/>
    <w:rsid w:val="1BD531B5"/>
    <w:rsid w:val="1BDD158B"/>
    <w:rsid w:val="1BF02576"/>
    <w:rsid w:val="1C0501C4"/>
    <w:rsid w:val="1C11441E"/>
    <w:rsid w:val="1C220D89"/>
    <w:rsid w:val="1C4A5F2B"/>
    <w:rsid w:val="1C511068"/>
    <w:rsid w:val="1C5F6914"/>
    <w:rsid w:val="1C78591E"/>
    <w:rsid w:val="1C850D11"/>
    <w:rsid w:val="1C874A89"/>
    <w:rsid w:val="1C9114F5"/>
    <w:rsid w:val="1C937550"/>
    <w:rsid w:val="1CA4195D"/>
    <w:rsid w:val="1CA91018"/>
    <w:rsid w:val="1CC45CDD"/>
    <w:rsid w:val="1CCC6940"/>
    <w:rsid w:val="1CD22952"/>
    <w:rsid w:val="1CD43C24"/>
    <w:rsid w:val="1CDC4DD5"/>
    <w:rsid w:val="1CEF65E4"/>
    <w:rsid w:val="1CF47822"/>
    <w:rsid w:val="1CFC3B98"/>
    <w:rsid w:val="1D1F167B"/>
    <w:rsid w:val="1D217D35"/>
    <w:rsid w:val="1D344C11"/>
    <w:rsid w:val="1D41732E"/>
    <w:rsid w:val="1D4E769F"/>
    <w:rsid w:val="1D5021AE"/>
    <w:rsid w:val="1D525097"/>
    <w:rsid w:val="1D535AB2"/>
    <w:rsid w:val="1D721295"/>
    <w:rsid w:val="1D74500E"/>
    <w:rsid w:val="1D790876"/>
    <w:rsid w:val="1D7B5667"/>
    <w:rsid w:val="1D862F93"/>
    <w:rsid w:val="1D877A0B"/>
    <w:rsid w:val="1D8C4487"/>
    <w:rsid w:val="1D926724"/>
    <w:rsid w:val="1DA233F5"/>
    <w:rsid w:val="1DA33B45"/>
    <w:rsid w:val="1DA642F3"/>
    <w:rsid w:val="1DAF0AD3"/>
    <w:rsid w:val="1DBF417B"/>
    <w:rsid w:val="1DBF5AB7"/>
    <w:rsid w:val="1DCA5FD2"/>
    <w:rsid w:val="1DCF2114"/>
    <w:rsid w:val="1DCF7886"/>
    <w:rsid w:val="1DF3687A"/>
    <w:rsid w:val="1DF60D59"/>
    <w:rsid w:val="1DFB128B"/>
    <w:rsid w:val="1E016507"/>
    <w:rsid w:val="1E12627E"/>
    <w:rsid w:val="1E25617E"/>
    <w:rsid w:val="1E2A2E3C"/>
    <w:rsid w:val="1E3A283B"/>
    <w:rsid w:val="1E424961"/>
    <w:rsid w:val="1E456DB0"/>
    <w:rsid w:val="1E6C0941"/>
    <w:rsid w:val="1E705FEA"/>
    <w:rsid w:val="1E7779FA"/>
    <w:rsid w:val="1E845724"/>
    <w:rsid w:val="1E9004B2"/>
    <w:rsid w:val="1E965458"/>
    <w:rsid w:val="1E9F0505"/>
    <w:rsid w:val="1EA638ED"/>
    <w:rsid w:val="1EAC6AFA"/>
    <w:rsid w:val="1EB05478"/>
    <w:rsid w:val="1EB31B66"/>
    <w:rsid w:val="1EC93812"/>
    <w:rsid w:val="1ED270AE"/>
    <w:rsid w:val="1EDE65B0"/>
    <w:rsid w:val="1EE47F71"/>
    <w:rsid w:val="1F0268B9"/>
    <w:rsid w:val="1F1224FC"/>
    <w:rsid w:val="1F15767E"/>
    <w:rsid w:val="1F185162"/>
    <w:rsid w:val="1F193A7B"/>
    <w:rsid w:val="1F1A6D08"/>
    <w:rsid w:val="1F1D7927"/>
    <w:rsid w:val="1F2F85F7"/>
    <w:rsid w:val="1F4B4494"/>
    <w:rsid w:val="1F526B25"/>
    <w:rsid w:val="1F555A28"/>
    <w:rsid w:val="1F751511"/>
    <w:rsid w:val="1F77033E"/>
    <w:rsid w:val="1F833C2E"/>
    <w:rsid w:val="1F8D0E0E"/>
    <w:rsid w:val="1F923E71"/>
    <w:rsid w:val="1F991D0A"/>
    <w:rsid w:val="1F9A4AD4"/>
    <w:rsid w:val="1F9C3F83"/>
    <w:rsid w:val="1FA45952"/>
    <w:rsid w:val="1FAF7DBA"/>
    <w:rsid w:val="1FCD7D86"/>
    <w:rsid w:val="1FCF7E34"/>
    <w:rsid w:val="1FD442EC"/>
    <w:rsid w:val="1FE04BDC"/>
    <w:rsid w:val="1FE12520"/>
    <w:rsid w:val="1FE95849"/>
    <w:rsid w:val="1FFB2F12"/>
    <w:rsid w:val="2002736A"/>
    <w:rsid w:val="20054643"/>
    <w:rsid w:val="2009240F"/>
    <w:rsid w:val="200972EE"/>
    <w:rsid w:val="20155888"/>
    <w:rsid w:val="2016073E"/>
    <w:rsid w:val="203770D9"/>
    <w:rsid w:val="204D3B51"/>
    <w:rsid w:val="20573146"/>
    <w:rsid w:val="20633B36"/>
    <w:rsid w:val="206A21AB"/>
    <w:rsid w:val="207A2091"/>
    <w:rsid w:val="207B7565"/>
    <w:rsid w:val="207D1601"/>
    <w:rsid w:val="20872554"/>
    <w:rsid w:val="20955599"/>
    <w:rsid w:val="209F1747"/>
    <w:rsid w:val="20A47E9E"/>
    <w:rsid w:val="20A91472"/>
    <w:rsid w:val="20C63639"/>
    <w:rsid w:val="20DA5ACF"/>
    <w:rsid w:val="20DB35F6"/>
    <w:rsid w:val="20DF30E6"/>
    <w:rsid w:val="20E458D4"/>
    <w:rsid w:val="20E612C2"/>
    <w:rsid w:val="20E661B6"/>
    <w:rsid w:val="20E92B59"/>
    <w:rsid w:val="20F066B7"/>
    <w:rsid w:val="20F6644E"/>
    <w:rsid w:val="20FA1CCE"/>
    <w:rsid w:val="210F47BF"/>
    <w:rsid w:val="21154D5A"/>
    <w:rsid w:val="212862D1"/>
    <w:rsid w:val="21350961"/>
    <w:rsid w:val="21380A48"/>
    <w:rsid w:val="21472A39"/>
    <w:rsid w:val="21515022"/>
    <w:rsid w:val="217001E2"/>
    <w:rsid w:val="217E28FF"/>
    <w:rsid w:val="21833D46"/>
    <w:rsid w:val="218E25A7"/>
    <w:rsid w:val="21A47E8B"/>
    <w:rsid w:val="21BE52D3"/>
    <w:rsid w:val="21BF60D4"/>
    <w:rsid w:val="21C30C68"/>
    <w:rsid w:val="21C354DC"/>
    <w:rsid w:val="21CD608A"/>
    <w:rsid w:val="21E12E8E"/>
    <w:rsid w:val="21EB66C0"/>
    <w:rsid w:val="2204549C"/>
    <w:rsid w:val="22051D92"/>
    <w:rsid w:val="22091D45"/>
    <w:rsid w:val="223679B6"/>
    <w:rsid w:val="22381E5D"/>
    <w:rsid w:val="224F1BA5"/>
    <w:rsid w:val="22526683"/>
    <w:rsid w:val="225D0766"/>
    <w:rsid w:val="22706E7B"/>
    <w:rsid w:val="22802924"/>
    <w:rsid w:val="22947F00"/>
    <w:rsid w:val="22B31D24"/>
    <w:rsid w:val="22B941F6"/>
    <w:rsid w:val="22C2681B"/>
    <w:rsid w:val="22E36792"/>
    <w:rsid w:val="22EA6095"/>
    <w:rsid w:val="22EB3FC4"/>
    <w:rsid w:val="22FD5AA5"/>
    <w:rsid w:val="22FE5379"/>
    <w:rsid w:val="23020F3B"/>
    <w:rsid w:val="2305115F"/>
    <w:rsid w:val="23106135"/>
    <w:rsid w:val="23177672"/>
    <w:rsid w:val="2318468D"/>
    <w:rsid w:val="231A0E4F"/>
    <w:rsid w:val="231F6004"/>
    <w:rsid w:val="23213F89"/>
    <w:rsid w:val="233A3FF8"/>
    <w:rsid w:val="234A6D80"/>
    <w:rsid w:val="234E00AF"/>
    <w:rsid w:val="23507FD7"/>
    <w:rsid w:val="235D3C6F"/>
    <w:rsid w:val="23612AA8"/>
    <w:rsid w:val="236F1B14"/>
    <w:rsid w:val="23762A86"/>
    <w:rsid w:val="238D6928"/>
    <w:rsid w:val="23A128D5"/>
    <w:rsid w:val="23A45F21"/>
    <w:rsid w:val="23A6203B"/>
    <w:rsid w:val="23AC3027"/>
    <w:rsid w:val="23BD69A6"/>
    <w:rsid w:val="23CE29CD"/>
    <w:rsid w:val="23DD3661"/>
    <w:rsid w:val="23E31CBA"/>
    <w:rsid w:val="23F603CF"/>
    <w:rsid w:val="23FE378D"/>
    <w:rsid w:val="24096039"/>
    <w:rsid w:val="24226DD2"/>
    <w:rsid w:val="242D4DA1"/>
    <w:rsid w:val="243674C1"/>
    <w:rsid w:val="243F5C4A"/>
    <w:rsid w:val="244159CD"/>
    <w:rsid w:val="24442853"/>
    <w:rsid w:val="244734E8"/>
    <w:rsid w:val="244F088E"/>
    <w:rsid w:val="245B271C"/>
    <w:rsid w:val="245C6E07"/>
    <w:rsid w:val="246F29D3"/>
    <w:rsid w:val="24773F04"/>
    <w:rsid w:val="247E6AB2"/>
    <w:rsid w:val="249C5741"/>
    <w:rsid w:val="249E24BD"/>
    <w:rsid w:val="24AA68E6"/>
    <w:rsid w:val="24AC7783"/>
    <w:rsid w:val="24B16B47"/>
    <w:rsid w:val="24F1659B"/>
    <w:rsid w:val="24FC5C76"/>
    <w:rsid w:val="24FE31D0"/>
    <w:rsid w:val="251F3C47"/>
    <w:rsid w:val="251F61A7"/>
    <w:rsid w:val="25277CBA"/>
    <w:rsid w:val="252A68FA"/>
    <w:rsid w:val="253654BC"/>
    <w:rsid w:val="255E1892"/>
    <w:rsid w:val="25716E01"/>
    <w:rsid w:val="25754FD0"/>
    <w:rsid w:val="2582004E"/>
    <w:rsid w:val="259203EE"/>
    <w:rsid w:val="25993298"/>
    <w:rsid w:val="25A002E9"/>
    <w:rsid w:val="25A76666"/>
    <w:rsid w:val="25AD03B8"/>
    <w:rsid w:val="25B508B9"/>
    <w:rsid w:val="25BD776E"/>
    <w:rsid w:val="25D24FC7"/>
    <w:rsid w:val="25D6770B"/>
    <w:rsid w:val="25DF2DFD"/>
    <w:rsid w:val="2608505E"/>
    <w:rsid w:val="26151358"/>
    <w:rsid w:val="261E1CF7"/>
    <w:rsid w:val="26263565"/>
    <w:rsid w:val="26350B8B"/>
    <w:rsid w:val="263A5C5B"/>
    <w:rsid w:val="263B4623"/>
    <w:rsid w:val="263D22B2"/>
    <w:rsid w:val="26532971"/>
    <w:rsid w:val="266B6471"/>
    <w:rsid w:val="26797B39"/>
    <w:rsid w:val="267E0CAB"/>
    <w:rsid w:val="26823F7F"/>
    <w:rsid w:val="26832B79"/>
    <w:rsid w:val="268F16F6"/>
    <w:rsid w:val="26C8461C"/>
    <w:rsid w:val="26CE55A7"/>
    <w:rsid w:val="26D03DD2"/>
    <w:rsid w:val="26D7602B"/>
    <w:rsid w:val="26E9573C"/>
    <w:rsid w:val="26EF0A4D"/>
    <w:rsid w:val="26FC5F84"/>
    <w:rsid w:val="270351C3"/>
    <w:rsid w:val="27090485"/>
    <w:rsid w:val="272D4DC4"/>
    <w:rsid w:val="273C2EE6"/>
    <w:rsid w:val="27421AA7"/>
    <w:rsid w:val="27465437"/>
    <w:rsid w:val="27491CEB"/>
    <w:rsid w:val="274A3EEE"/>
    <w:rsid w:val="275C7509"/>
    <w:rsid w:val="27677BD5"/>
    <w:rsid w:val="27707205"/>
    <w:rsid w:val="277773B2"/>
    <w:rsid w:val="27851EF2"/>
    <w:rsid w:val="278D269A"/>
    <w:rsid w:val="278E3170"/>
    <w:rsid w:val="279B4395"/>
    <w:rsid w:val="27A47FDD"/>
    <w:rsid w:val="27A72DDC"/>
    <w:rsid w:val="27A76836"/>
    <w:rsid w:val="27AB7FDB"/>
    <w:rsid w:val="27BD4EC3"/>
    <w:rsid w:val="27C23AD2"/>
    <w:rsid w:val="27C83E11"/>
    <w:rsid w:val="27CA2623"/>
    <w:rsid w:val="27D60DBE"/>
    <w:rsid w:val="2801571B"/>
    <w:rsid w:val="280576EE"/>
    <w:rsid w:val="28073489"/>
    <w:rsid w:val="281C5F26"/>
    <w:rsid w:val="282431C3"/>
    <w:rsid w:val="282F6B51"/>
    <w:rsid w:val="28335E55"/>
    <w:rsid w:val="284506B1"/>
    <w:rsid w:val="284B1061"/>
    <w:rsid w:val="284E642D"/>
    <w:rsid w:val="28551EE0"/>
    <w:rsid w:val="28673728"/>
    <w:rsid w:val="286A13D3"/>
    <w:rsid w:val="286B3025"/>
    <w:rsid w:val="286C2EFF"/>
    <w:rsid w:val="287A1136"/>
    <w:rsid w:val="287E266C"/>
    <w:rsid w:val="287F6429"/>
    <w:rsid w:val="288165EE"/>
    <w:rsid w:val="28832208"/>
    <w:rsid w:val="28885E11"/>
    <w:rsid w:val="28AE5700"/>
    <w:rsid w:val="28C12D1F"/>
    <w:rsid w:val="28C8445F"/>
    <w:rsid w:val="28CC5165"/>
    <w:rsid w:val="28CF4E74"/>
    <w:rsid w:val="28D635FE"/>
    <w:rsid w:val="28F9286B"/>
    <w:rsid w:val="2900009D"/>
    <w:rsid w:val="29125FE0"/>
    <w:rsid w:val="2916264F"/>
    <w:rsid w:val="29375CB0"/>
    <w:rsid w:val="29626662"/>
    <w:rsid w:val="296B77F7"/>
    <w:rsid w:val="296D1D3E"/>
    <w:rsid w:val="296F6FD1"/>
    <w:rsid w:val="2972331B"/>
    <w:rsid w:val="297D6234"/>
    <w:rsid w:val="299A56EC"/>
    <w:rsid w:val="29BA46F0"/>
    <w:rsid w:val="29BE62A0"/>
    <w:rsid w:val="29CB6263"/>
    <w:rsid w:val="29D60870"/>
    <w:rsid w:val="29DA55BA"/>
    <w:rsid w:val="29E82D4D"/>
    <w:rsid w:val="29E928DF"/>
    <w:rsid w:val="2A071180"/>
    <w:rsid w:val="2A16459C"/>
    <w:rsid w:val="2A1D79DB"/>
    <w:rsid w:val="2A22108F"/>
    <w:rsid w:val="2A282EEF"/>
    <w:rsid w:val="2A375D41"/>
    <w:rsid w:val="2A377AEF"/>
    <w:rsid w:val="2A4325F5"/>
    <w:rsid w:val="2A5161C1"/>
    <w:rsid w:val="2A645BD7"/>
    <w:rsid w:val="2A6939CE"/>
    <w:rsid w:val="2A7423E6"/>
    <w:rsid w:val="2A7B00DC"/>
    <w:rsid w:val="2A83119F"/>
    <w:rsid w:val="2A862824"/>
    <w:rsid w:val="2A975780"/>
    <w:rsid w:val="2AB41B93"/>
    <w:rsid w:val="2AB936B4"/>
    <w:rsid w:val="2AC960B9"/>
    <w:rsid w:val="2ACC2F68"/>
    <w:rsid w:val="2AD6555A"/>
    <w:rsid w:val="2AFB387E"/>
    <w:rsid w:val="2B080D19"/>
    <w:rsid w:val="2B0D0850"/>
    <w:rsid w:val="2B16733F"/>
    <w:rsid w:val="2B205C57"/>
    <w:rsid w:val="2B5100EC"/>
    <w:rsid w:val="2B514BE0"/>
    <w:rsid w:val="2B5B6A56"/>
    <w:rsid w:val="2B6C4BBC"/>
    <w:rsid w:val="2B6F150A"/>
    <w:rsid w:val="2B787A6C"/>
    <w:rsid w:val="2B7F7BE5"/>
    <w:rsid w:val="2B88520A"/>
    <w:rsid w:val="2B8A3EC7"/>
    <w:rsid w:val="2B991C74"/>
    <w:rsid w:val="2B9A7997"/>
    <w:rsid w:val="2BAC7F02"/>
    <w:rsid w:val="2BB1063F"/>
    <w:rsid w:val="2C09470C"/>
    <w:rsid w:val="2C0A6AA2"/>
    <w:rsid w:val="2C0F6573"/>
    <w:rsid w:val="2C3C4D5D"/>
    <w:rsid w:val="2C457FC3"/>
    <w:rsid w:val="2C4D0AD8"/>
    <w:rsid w:val="2C550700"/>
    <w:rsid w:val="2C59191D"/>
    <w:rsid w:val="2C6646BB"/>
    <w:rsid w:val="2C763CDD"/>
    <w:rsid w:val="2C7E7C57"/>
    <w:rsid w:val="2C8B24EF"/>
    <w:rsid w:val="2C975363"/>
    <w:rsid w:val="2CC413E2"/>
    <w:rsid w:val="2CC74AD6"/>
    <w:rsid w:val="2CCD36D6"/>
    <w:rsid w:val="2CD07D87"/>
    <w:rsid w:val="2CD226C8"/>
    <w:rsid w:val="2CDB6437"/>
    <w:rsid w:val="2CE83322"/>
    <w:rsid w:val="2CF9552F"/>
    <w:rsid w:val="2D0B5263"/>
    <w:rsid w:val="2D1129F5"/>
    <w:rsid w:val="2D12352C"/>
    <w:rsid w:val="2D156482"/>
    <w:rsid w:val="2D1F6E84"/>
    <w:rsid w:val="2D2325AC"/>
    <w:rsid w:val="2D237498"/>
    <w:rsid w:val="2D2E05C4"/>
    <w:rsid w:val="2D2E2760"/>
    <w:rsid w:val="2D750374"/>
    <w:rsid w:val="2D7746A6"/>
    <w:rsid w:val="2D7B41F9"/>
    <w:rsid w:val="2D7E2B7A"/>
    <w:rsid w:val="2D975EBC"/>
    <w:rsid w:val="2DA1761D"/>
    <w:rsid w:val="2DA60AE7"/>
    <w:rsid w:val="2DB8663C"/>
    <w:rsid w:val="2DC1677B"/>
    <w:rsid w:val="2DC41FB5"/>
    <w:rsid w:val="2DCA55D5"/>
    <w:rsid w:val="2DDC7709"/>
    <w:rsid w:val="2DE16FF1"/>
    <w:rsid w:val="2DF21032"/>
    <w:rsid w:val="2E045D5D"/>
    <w:rsid w:val="2E1C41A8"/>
    <w:rsid w:val="2E277E7A"/>
    <w:rsid w:val="2E2A1BC5"/>
    <w:rsid w:val="2E2F4F97"/>
    <w:rsid w:val="2E5E283C"/>
    <w:rsid w:val="2E637B29"/>
    <w:rsid w:val="2E7568B3"/>
    <w:rsid w:val="2E8A0FD5"/>
    <w:rsid w:val="2E8F31CF"/>
    <w:rsid w:val="2E9372BE"/>
    <w:rsid w:val="2E960B5C"/>
    <w:rsid w:val="2E9632B0"/>
    <w:rsid w:val="2EBF01F2"/>
    <w:rsid w:val="2EC171AF"/>
    <w:rsid w:val="2ECD5F79"/>
    <w:rsid w:val="2EE644C2"/>
    <w:rsid w:val="2EE70102"/>
    <w:rsid w:val="2EF41703"/>
    <w:rsid w:val="2EF43B6D"/>
    <w:rsid w:val="2EFE6E2D"/>
    <w:rsid w:val="2F0A3A24"/>
    <w:rsid w:val="2F350375"/>
    <w:rsid w:val="2F38640B"/>
    <w:rsid w:val="2F3F599D"/>
    <w:rsid w:val="2F4A02C4"/>
    <w:rsid w:val="2F4C0CF7"/>
    <w:rsid w:val="2F51443A"/>
    <w:rsid w:val="2F5277B1"/>
    <w:rsid w:val="2F6250A0"/>
    <w:rsid w:val="2F6534D3"/>
    <w:rsid w:val="2F7455DA"/>
    <w:rsid w:val="2F8C5E77"/>
    <w:rsid w:val="2F903F13"/>
    <w:rsid w:val="2F9217E7"/>
    <w:rsid w:val="2F94138B"/>
    <w:rsid w:val="2F9D04BA"/>
    <w:rsid w:val="2FA06136"/>
    <w:rsid w:val="2FB44791"/>
    <w:rsid w:val="2FBC25A1"/>
    <w:rsid w:val="2FCA7066"/>
    <w:rsid w:val="2FDD4C94"/>
    <w:rsid w:val="2FF93EEC"/>
    <w:rsid w:val="30004E27"/>
    <w:rsid w:val="3011493E"/>
    <w:rsid w:val="30295473"/>
    <w:rsid w:val="30354AD0"/>
    <w:rsid w:val="303E524F"/>
    <w:rsid w:val="30466CDD"/>
    <w:rsid w:val="304F5466"/>
    <w:rsid w:val="30542A7D"/>
    <w:rsid w:val="305B32B7"/>
    <w:rsid w:val="306C4C9C"/>
    <w:rsid w:val="306E572A"/>
    <w:rsid w:val="307205E6"/>
    <w:rsid w:val="307C2F02"/>
    <w:rsid w:val="30A371B5"/>
    <w:rsid w:val="30A633C1"/>
    <w:rsid w:val="30AB7443"/>
    <w:rsid w:val="30B2297D"/>
    <w:rsid w:val="30B82513"/>
    <w:rsid w:val="30C33564"/>
    <w:rsid w:val="30C916BD"/>
    <w:rsid w:val="30CB531F"/>
    <w:rsid w:val="30D00554"/>
    <w:rsid w:val="30E14632"/>
    <w:rsid w:val="30F00951"/>
    <w:rsid w:val="30F201A2"/>
    <w:rsid w:val="30F93D50"/>
    <w:rsid w:val="3103697D"/>
    <w:rsid w:val="31196938"/>
    <w:rsid w:val="312C180C"/>
    <w:rsid w:val="313421A7"/>
    <w:rsid w:val="3138266C"/>
    <w:rsid w:val="3145389E"/>
    <w:rsid w:val="31540F86"/>
    <w:rsid w:val="315B2F79"/>
    <w:rsid w:val="316D2048"/>
    <w:rsid w:val="31702EF2"/>
    <w:rsid w:val="318D26EA"/>
    <w:rsid w:val="318F1FBE"/>
    <w:rsid w:val="318F6462"/>
    <w:rsid w:val="31B45EC9"/>
    <w:rsid w:val="31B936AA"/>
    <w:rsid w:val="31BF3006"/>
    <w:rsid w:val="31C1591F"/>
    <w:rsid w:val="31C34263"/>
    <w:rsid w:val="31C679AA"/>
    <w:rsid w:val="31C84C92"/>
    <w:rsid w:val="31CC4FC0"/>
    <w:rsid w:val="31DA57DD"/>
    <w:rsid w:val="31EF362F"/>
    <w:rsid w:val="31F639C9"/>
    <w:rsid w:val="32026C34"/>
    <w:rsid w:val="32136CF0"/>
    <w:rsid w:val="3227704B"/>
    <w:rsid w:val="322E0182"/>
    <w:rsid w:val="322F0468"/>
    <w:rsid w:val="323A056C"/>
    <w:rsid w:val="323E39E4"/>
    <w:rsid w:val="32430FFB"/>
    <w:rsid w:val="32454D73"/>
    <w:rsid w:val="32465A4A"/>
    <w:rsid w:val="32495134"/>
    <w:rsid w:val="3253123E"/>
    <w:rsid w:val="3295684A"/>
    <w:rsid w:val="32987720"/>
    <w:rsid w:val="32B67D5C"/>
    <w:rsid w:val="32B94DA6"/>
    <w:rsid w:val="32BA750F"/>
    <w:rsid w:val="32C03127"/>
    <w:rsid w:val="32C06ACD"/>
    <w:rsid w:val="32C61435"/>
    <w:rsid w:val="32C97752"/>
    <w:rsid w:val="32CF46C6"/>
    <w:rsid w:val="32DB1E15"/>
    <w:rsid w:val="32DF0D23"/>
    <w:rsid w:val="32E439BE"/>
    <w:rsid w:val="32F56C62"/>
    <w:rsid w:val="32FC36C4"/>
    <w:rsid w:val="33020738"/>
    <w:rsid w:val="33105381"/>
    <w:rsid w:val="331362FA"/>
    <w:rsid w:val="331A7FAD"/>
    <w:rsid w:val="331F3816"/>
    <w:rsid w:val="331F7372"/>
    <w:rsid w:val="3321133C"/>
    <w:rsid w:val="33223661"/>
    <w:rsid w:val="33332C0B"/>
    <w:rsid w:val="33346DEB"/>
    <w:rsid w:val="33423060"/>
    <w:rsid w:val="33550905"/>
    <w:rsid w:val="336C4E75"/>
    <w:rsid w:val="336E20A7"/>
    <w:rsid w:val="33722BBB"/>
    <w:rsid w:val="33785E51"/>
    <w:rsid w:val="337E52AD"/>
    <w:rsid w:val="3392223A"/>
    <w:rsid w:val="339D4696"/>
    <w:rsid w:val="33B52813"/>
    <w:rsid w:val="33B95042"/>
    <w:rsid w:val="33BE2C6F"/>
    <w:rsid w:val="33BF02F5"/>
    <w:rsid w:val="33C64568"/>
    <w:rsid w:val="33D77C4D"/>
    <w:rsid w:val="33DC1707"/>
    <w:rsid w:val="33E83C08"/>
    <w:rsid w:val="33EB36F8"/>
    <w:rsid w:val="33F626E2"/>
    <w:rsid w:val="33F9478A"/>
    <w:rsid w:val="3411710E"/>
    <w:rsid w:val="341963DA"/>
    <w:rsid w:val="34270BD4"/>
    <w:rsid w:val="3428494C"/>
    <w:rsid w:val="343C1238"/>
    <w:rsid w:val="34402FAA"/>
    <w:rsid w:val="34585069"/>
    <w:rsid w:val="3463298D"/>
    <w:rsid w:val="347100A1"/>
    <w:rsid w:val="34847DD4"/>
    <w:rsid w:val="3487403F"/>
    <w:rsid w:val="3491686F"/>
    <w:rsid w:val="3498562E"/>
    <w:rsid w:val="349E7251"/>
    <w:rsid w:val="34B904A2"/>
    <w:rsid w:val="34CC6CA9"/>
    <w:rsid w:val="34EE16F2"/>
    <w:rsid w:val="34FB734B"/>
    <w:rsid w:val="3513777F"/>
    <w:rsid w:val="351C000D"/>
    <w:rsid w:val="35250261"/>
    <w:rsid w:val="352F2FAC"/>
    <w:rsid w:val="3538471B"/>
    <w:rsid w:val="353A66E5"/>
    <w:rsid w:val="356C07CF"/>
    <w:rsid w:val="356C3E4A"/>
    <w:rsid w:val="3575264D"/>
    <w:rsid w:val="35794430"/>
    <w:rsid w:val="35796CF3"/>
    <w:rsid w:val="35880BA1"/>
    <w:rsid w:val="3592207D"/>
    <w:rsid w:val="35AA4B49"/>
    <w:rsid w:val="35B14F84"/>
    <w:rsid w:val="35D4030E"/>
    <w:rsid w:val="35E825E5"/>
    <w:rsid w:val="35E96AB5"/>
    <w:rsid w:val="35FB1672"/>
    <w:rsid w:val="3601265D"/>
    <w:rsid w:val="36075FB2"/>
    <w:rsid w:val="360C5B09"/>
    <w:rsid w:val="36127662"/>
    <w:rsid w:val="36254ED9"/>
    <w:rsid w:val="362A564B"/>
    <w:rsid w:val="363167A7"/>
    <w:rsid w:val="3639699D"/>
    <w:rsid w:val="363A0AED"/>
    <w:rsid w:val="365B573F"/>
    <w:rsid w:val="366E2F56"/>
    <w:rsid w:val="3679323D"/>
    <w:rsid w:val="367E2601"/>
    <w:rsid w:val="3680217A"/>
    <w:rsid w:val="36853990"/>
    <w:rsid w:val="368A72FA"/>
    <w:rsid w:val="369D23B3"/>
    <w:rsid w:val="36A7132A"/>
    <w:rsid w:val="36B50A01"/>
    <w:rsid w:val="36B96B07"/>
    <w:rsid w:val="36E979BB"/>
    <w:rsid w:val="36F64B42"/>
    <w:rsid w:val="36FF3742"/>
    <w:rsid w:val="3720710A"/>
    <w:rsid w:val="372133D9"/>
    <w:rsid w:val="372238D5"/>
    <w:rsid w:val="37250D2B"/>
    <w:rsid w:val="372A4537"/>
    <w:rsid w:val="372B2789"/>
    <w:rsid w:val="3736112E"/>
    <w:rsid w:val="37484243"/>
    <w:rsid w:val="374A3CAF"/>
    <w:rsid w:val="379E73FF"/>
    <w:rsid w:val="37A74C10"/>
    <w:rsid w:val="37C260EF"/>
    <w:rsid w:val="37C963CD"/>
    <w:rsid w:val="37ED6292"/>
    <w:rsid w:val="37F92887"/>
    <w:rsid w:val="37FA104F"/>
    <w:rsid w:val="38061C51"/>
    <w:rsid w:val="384442C0"/>
    <w:rsid w:val="384D672F"/>
    <w:rsid w:val="387502BB"/>
    <w:rsid w:val="389F5FE9"/>
    <w:rsid w:val="38BB165C"/>
    <w:rsid w:val="38C073F1"/>
    <w:rsid w:val="38CE4E96"/>
    <w:rsid w:val="38DA41D3"/>
    <w:rsid w:val="38E54BBA"/>
    <w:rsid w:val="38E91145"/>
    <w:rsid w:val="38F35529"/>
    <w:rsid w:val="38FE4293"/>
    <w:rsid w:val="3914724D"/>
    <w:rsid w:val="39232701"/>
    <w:rsid w:val="392E77E6"/>
    <w:rsid w:val="393303DB"/>
    <w:rsid w:val="39331DC9"/>
    <w:rsid w:val="393C0069"/>
    <w:rsid w:val="39423DBA"/>
    <w:rsid w:val="394E7346"/>
    <w:rsid w:val="39594459"/>
    <w:rsid w:val="395C4A66"/>
    <w:rsid w:val="395C6ACD"/>
    <w:rsid w:val="39636C93"/>
    <w:rsid w:val="39672100"/>
    <w:rsid w:val="39696FD5"/>
    <w:rsid w:val="397D279F"/>
    <w:rsid w:val="399C796E"/>
    <w:rsid w:val="39A561BF"/>
    <w:rsid w:val="39B04CBE"/>
    <w:rsid w:val="39BA276C"/>
    <w:rsid w:val="39C955B5"/>
    <w:rsid w:val="39D42CBF"/>
    <w:rsid w:val="39EC3D26"/>
    <w:rsid w:val="39FF3013"/>
    <w:rsid w:val="3A261D08"/>
    <w:rsid w:val="3A2B2AA0"/>
    <w:rsid w:val="3A2B43BC"/>
    <w:rsid w:val="3A443C93"/>
    <w:rsid w:val="3A4B3142"/>
    <w:rsid w:val="3A4D0C68"/>
    <w:rsid w:val="3A663AD8"/>
    <w:rsid w:val="3A7601BF"/>
    <w:rsid w:val="3A767023"/>
    <w:rsid w:val="3A8521B0"/>
    <w:rsid w:val="3A8B353F"/>
    <w:rsid w:val="3A907B89"/>
    <w:rsid w:val="3A970136"/>
    <w:rsid w:val="3AAA60BB"/>
    <w:rsid w:val="3AB962FE"/>
    <w:rsid w:val="3ABD5DEE"/>
    <w:rsid w:val="3AC32CD9"/>
    <w:rsid w:val="3AD15949"/>
    <w:rsid w:val="3AD9527C"/>
    <w:rsid w:val="3AD9689F"/>
    <w:rsid w:val="3AF53044"/>
    <w:rsid w:val="3AFF3A54"/>
    <w:rsid w:val="3B2B6759"/>
    <w:rsid w:val="3B377218"/>
    <w:rsid w:val="3B516536"/>
    <w:rsid w:val="3B534325"/>
    <w:rsid w:val="3B601FA2"/>
    <w:rsid w:val="3B612B91"/>
    <w:rsid w:val="3B8049F3"/>
    <w:rsid w:val="3B862684"/>
    <w:rsid w:val="3BA11972"/>
    <w:rsid w:val="3BA2316A"/>
    <w:rsid w:val="3BC00A2C"/>
    <w:rsid w:val="3BDC6748"/>
    <w:rsid w:val="3BDF5A50"/>
    <w:rsid w:val="3BE15B0C"/>
    <w:rsid w:val="3BE57058"/>
    <w:rsid w:val="3BF32330"/>
    <w:rsid w:val="3BFC64A2"/>
    <w:rsid w:val="3BFF34D2"/>
    <w:rsid w:val="3C1A6F69"/>
    <w:rsid w:val="3C2024A6"/>
    <w:rsid w:val="3C254AF9"/>
    <w:rsid w:val="3C296894"/>
    <w:rsid w:val="3C3019D0"/>
    <w:rsid w:val="3C5551BC"/>
    <w:rsid w:val="3C793F97"/>
    <w:rsid w:val="3C7E77FF"/>
    <w:rsid w:val="3C8B773F"/>
    <w:rsid w:val="3C916D88"/>
    <w:rsid w:val="3C9D40B0"/>
    <w:rsid w:val="3CB1142F"/>
    <w:rsid w:val="3CBA010B"/>
    <w:rsid w:val="3CC36057"/>
    <w:rsid w:val="3CE30098"/>
    <w:rsid w:val="3CF01ED2"/>
    <w:rsid w:val="3CF66347"/>
    <w:rsid w:val="3CFB2BFE"/>
    <w:rsid w:val="3D0A4BEF"/>
    <w:rsid w:val="3D0C3777"/>
    <w:rsid w:val="3D197528"/>
    <w:rsid w:val="3D1A0A8C"/>
    <w:rsid w:val="3D1C1907"/>
    <w:rsid w:val="3D2008B6"/>
    <w:rsid w:val="3D4A5AA2"/>
    <w:rsid w:val="3D604F23"/>
    <w:rsid w:val="3D8A7657"/>
    <w:rsid w:val="3D8B6100"/>
    <w:rsid w:val="3D9A2417"/>
    <w:rsid w:val="3D9D730D"/>
    <w:rsid w:val="3DAD7631"/>
    <w:rsid w:val="3DAE270A"/>
    <w:rsid w:val="3DAF4C78"/>
    <w:rsid w:val="3DC30853"/>
    <w:rsid w:val="3DCD0B3E"/>
    <w:rsid w:val="3DF44103"/>
    <w:rsid w:val="3DFB3B27"/>
    <w:rsid w:val="3DFF7CEF"/>
    <w:rsid w:val="3E040F4F"/>
    <w:rsid w:val="3E246184"/>
    <w:rsid w:val="3E265A58"/>
    <w:rsid w:val="3E30282F"/>
    <w:rsid w:val="3E343FBF"/>
    <w:rsid w:val="3E353EED"/>
    <w:rsid w:val="3E3D0A6D"/>
    <w:rsid w:val="3E4D56DB"/>
    <w:rsid w:val="3E52684D"/>
    <w:rsid w:val="3E5C270D"/>
    <w:rsid w:val="3E5C4D9B"/>
    <w:rsid w:val="3E670375"/>
    <w:rsid w:val="3E6746A0"/>
    <w:rsid w:val="3E686E02"/>
    <w:rsid w:val="3E6F5651"/>
    <w:rsid w:val="3E7A3D22"/>
    <w:rsid w:val="3E7C7D6E"/>
    <w:rsid w:val="3E7E5894"/>
    <w:rsid w:val="3E81540D"/>
    <w:rsid w:val="3E833926"/>
    <w:rsid w:val="3E8A248B"/>
    <w:rsid w:val="3EA80DAE"/>
    <w:rsid w:val="3EAC7B80"/>
    <w:rsid w:val="3EBF4499"/>
    <w:rsid w:val="3EC7747B"/>
    <w:rsid w:val="3EEA31FB"/>
    <w:rsid w:val="3EED5D5E"/>
    <w:rsid w:val="3EF62975"/>
    <w:rsid w:val="3F042033"/>
    <w:rsid w:val="3F245800"/>
    <w:rsid w:val="3F2D1069"/>
    <w:rsid w:val="3F3778D7"/>
    <w:rsid w:val="3F620D12"/>
    <w:rsid w:val="3F6337FD"/>
    <w:rsid w:val="3F7C7AA2"/>
    <w:rsid w:val="3F7D7989"/>
    <w:rsid w:val="3F8E1B07"/>
    <w:rsid w:val="3F912924"/>
    <w:rsid w:val="3FAC6431"/>
    <w:rsid w:val="3FC52B46"/>
    <w:rsid w:val="3FC61113"/>
    <w:rsid w:val="3FD3544C"/>
    <w:rsid w:val="3FE7FC63"/>
    <w:rsid w:val="3FEC2CD2"/>
    <w:rsid w:val="3FF20893"/>
    <w:rsid w:val="3FF74016"/>
    <w:rsid w:val="3FFB03CD"/>
    <w:rsid w:val="40061FE5"/>
    <w:rsid w:val="400D263F"/>
    <w:rsid w:val="401364B0"/>
    <w:rsid w:val="401C0BA0"/>
    <w:rsid w:val="401D7077"/>
    <w:rsid w:val="403C0ED4"/>
    <w:rsid w:val="403D064C"/>
    <w:rsid w:val="4044618B"/>
    <w:rsid w:val="40487E84"/>
    <w:rsid w:val="404B6088"/>
    <w:rsid w:val="405A40DF"/>
    <w:rsid w:val="406D38D0"/>
    <w:rsid w:val="40795F83"/>
    <w:rsid w:val="407F2EC0"/>
    <w:rsid w:val="408573FB"/>
    <w:rsid w:val="408D548F"/>
    <w:rsid w:val="40905D53"/>
    <w:rsid w:val="409558F0"/>
    <w:rsid w:val="40963387"/>
    <w:rsid w:val="40A03F42"/>
    <w:rsid w:val="40AE4C6A"/>
    <w:rsid w:val="40C23A68"/>
    <w:rsid w:val="40C438A8"/>
    <w:rsid w:val="40C854ED"/>
    <w:rsid w:val="40D536F0"/>
    <w:rsid w:val="40DD77F0"/>
    <w:rsid w:val="40DE1C7A"/>
    <w:rsid w:val="40E65CAF"/>
    <w:rsid w:val="40E81285"/>
    <w:rsid w:val="40F93BD6"/>
    <w:rsid w:val="410A2170"/>
    <w:rsid w:val="410F091D"/>
    <w:rsid w:val="41162548"/>
    <w:rsid w:val="41285F8B"/>
    <w:rsid w:val="412B3502"/>
    <w:rsid w:val="412F731A"/>
    <w:rsid w:val="413564B0"/>
    <w:rsid w:val="4137644D"/>
    <w:rsid w:val="41432C59"/>
    <w:rsid w:val="41466412"/>
    <w:rsid w:val="41471947"/>
    <w:rsid w:val="414A2F25"/>
    <w:rsid w:val="415B1EBD"/>
    <w:rsid w:val="41614A51"/>
    <w:rsid w:val="418252F2"/>
    <w:rsid w:val="419F4E52"/>
    <w:rsid w:val="41B21056"/>
    <w:rsid w:val="41B54929"/>
    <w:rsid w:val="41BE41FA"/>
    <w:rsid w:val="41CB0891"/>
    <w:rsid w:val="41CF0BF2"/>
    <w:rsid w:val="41D57EC1"/>
    <w:rsid w:val="41E35136"/>
    <w:rsid w:val="41E62EDB"/>
    <w:rsid w:val="41E9571B"/>
    <w:rsid w:val="41EA4CFF"/>
    <w:rsid w:val="41FB12D8"/>
    <w:rsid w:val="41FD2F74"/>
    <w:rsid w:val="42022339"/>
    <w:rsid w:val="42070318"/>
    <w:rsid w:val="42087531"/>
    <w:rsid w:val="42115495"/>
    <w:rsid w:val="42154762"/>
    <w:rsid w:val="42206C63"/>
    <w:rsid w:val="42340F6C"/>
    <w:rsid w:val="42380887"/>
    <w:rsid w:val="42435351"/>
    <w:rsid w:val="424C5CAA"/>
    <w:rsid w:val="42527340"/>
    <w:rsid w:val="428B0580"/>
    <w:rsid w:val="428E62C2"/>
    <w:rsid w:val="42905B96"/>
    <w:rsid w:val="429E3558"/>
    <w:rsid w:val="42A11566"/>
    <w:rsid w:val="42B138A1"/>
    <w:rsid w:val="42B225E0"/>
    <w:rsid w:val="42BB00C8"/>
    <w:rsid w:val="42BD4D7D"/>
    <w:rsid w:val="42C02DCF"/>
    <w:rsid w:val="42D05E4A"/>
    <w:rsid w:val="42D57C52"/>
    <w:rsid w:val="42DB3361"/>
    <w:rsid w:val="42F94CA5"/>
    <w:rsid w:val="430D71CB"/>
    <w:rsid w:val="431E7646"/>
    <w:rsid w:val="43252782"/>
    <w:rsid w:val="43252C2C"/>
    <w:rsid w:val="43367260"/>
    <w:rsid w:val="4347356A"/>
    <w:rsid w:val="434A21E9"/>
    <w:rsid w:val="4355293C"/>
    <w:rsid w:val="435830D7"/>
    <w:rsid w:val="43A93EB4"/>
    <w:rsid w:val="43B50F8C"/>
    <w:rsid w:val="43C86182"/>
    <w:rsid w:val="43CC52F4"/>
    <w:rsid w:val="43DB5133"/>
    <w:rsid w:val="43E070FD"/>
    <w:rsid w:val="43FC469B"/>
    <w:rsid w:val="43FD36FF"/>
    <w:rsid w:val="44046CFA"/>
    <w:rsid w:val="441A0137"/>
    <w:rsid w:val="441A7E0D"/>
    <w:rsid w:val="442A3FED"/>
    <w:rsid w:val="44371A1F"/>
    <w:rsid w:val="44393279"/>
    <w:rsid w:val="443F1EFE"/>
    <w:rsid w:val="444D2373"/>
    <w:rsid w:val="44737E67"/>
    <w:rsid w:val="449823C6"/>
    <w:rsid w:val="449C1302"/>
    <w:rsid w:val="44A263A7"/>
    <w:rsid w:val="44A75419"/>
    <w:rsid w:val="44A87318"/>
    <w:rsid w:val="44B00772"/>
    <w:rsid w:val="44BC0EC5"/>
    <w:rsid w:val="44C70D83"/>
    <w:rsid w:val="44CC6C2E"/>
    <w:rsid w:val="44E63716"/>
    <w:rsid w:val="44E95A32"/>
    <w:rsid w:val="44EA682B"/>
    <w:rsid w:val="44F92668"/>
    <w:rsid w:val="450D3AB0"/>
    <w:rsid w:val="451231DA"/>
    <w:rsid w:val="45160D27"/>
    <w:rsid w:val="45195461"/>
    <w:rsid w:val="45303661"/>
    <w:rsid w:val="45397CB8"/>
    <w:rsid w:val="454669E0"/>
    <w:rsid w:val="455A0251"/>
    <w:rsid w:val="455B6909"/>
    <w:rsid w:val="455B690D"/>
    <w:rsid w:val="45684BA8"/>
    <w:rsid w:val="45797469"/>
    <w:rsid w:val="457F0AD7"/>
    <w:rsid w:val="45864B7E"/>
    <w:rsid w:val="459631E7"/>
    <w:rsid w:val="459D6275"/>
    <w:rsid w:val="45A41B1E"/>
    <w:rsid w:val="45AC0035"/>
    <w:rsid w:val="45B15882"/>
    <w:rsid w:val="45B44292"/>
    <w:rsid w:val="45B55D81"/>
    <w:rsid w:val="45B72E99"/>
    <w:rsid w:val="45C81B0A"/>
    <w:rsid w:val="45DD1F63"/>
    <w:rsid w:val="45E9562D"/>
    <w:rsid w:val="45ED26A7"/>
    <w:rsid w:val="46146386"/>
    <w:rsid w:val="46195EA3"/>
    <w:rsid w:val="462412CB"/>
    <w:rsid w:val="46380A1F"/>
    <w:rsid w:val="4639598A"/>
    <w:rsid w:val="464F515A"/>
    <w:rsid w:val="465020C5"/>
    <w:rsid w:val="46570FBC"/>
    <w:rsid w:val="46687557"/>
    <w:rsid w:val="46733805"/>
    <w:rsid w:val="467A7AE9"/>
    <w:rsid w:val="46863A5E"/>
    <w:rsid w:val="468B579C"/>
    <w:rsid w:val="46934DB8"/>
    <w:rsid w:val="46A26AF0"/>
    <w:rsid w:val="46B32A45"/>
    <w:rsid w:val="46BE69A6"/>
    <w:rsid w:val="46BF7944"/>
    <w:rsid w:val="46C16C66"/>
    <w:rsid w:val="46C2478C"/>
    <w:rsid w:val="46C6602A"/>
    <w:rsid w:val="46D34274"/>
    <w:rsid w:val="46D63D94"/>
    <w:rsid w:val="46EA574B"/>
    <w:rsid w:val="46F4275F"/>
    <w:rsid w:val="46FFB4D4"/>
    <w:rsid w:val="47150FE3"/>
    <w:rsid w:val="47171ECF"/>
    <w:rsid w:val="471825FE"/>
    <w:rsid w:val="471E29FF"/>
    <w:rsid w:val="472471F5"/>
    <w:rsid w:val="473C62ED"/>
    <w:rsid w:val="47465EA7"/>
    <w:rsid w:val="474F2E51"/>
    <w:rsid w:val="47510061"/>
    <w:rsid w:val="475271F5"/>
    <w:rsid w:val="475A58D5"/>
    <w:rsid w:val="476C2FC5"/>
    <w:rsid w:val="4774202F"/>
    <w:rsid w:val="47767A51"/>
    <w:rsid w:val="47880CC3"/>
    <w:rsid w:val="478832E0"/>
    <w:rsid w:val="478D137F"/>
    <w:rsid w:val="47917891"/>
    <w:rsid w:val="479C753F"/>
    <w:rsid w:val="47A125F4"/>
    <w:rsid w:val="47B02837"/>
    <w:rsid w:val="47D76015"/>
    <w:rsid w:val="47D779E1"/>
    <w:rsid w:val="47E23D6B"/>
    <w:rsid w:val="48082113"/>
    <w:rsid w:val="480F3A01"/>
    <w:rsid w:val="48261FDC"/>
    <w:rsid w:val="48336640"/>
    <w:rsid w:val="483D66D0"/>
    <w:rsid w:val="483F12A6"/>
    <w:rsid w:val="484D0086"/>
    <w:rsid w:val="484F309A"/>
    <w:rsid w:val="484F527F"/>
    <w:rsid w:val="486227FE"/>
    <w:rsid w:val="48790402"/>
    <w:rsid w:val="487F4D36"/>
    <w:rsid w:val="488139CE"/>
    <w:rsid w:val="48873066"/>
    <w:rsid w:val="4891016A"/>
    <w:rsid w:val="489B48C1"/>
    <w:rsid w:val="489C3A97"/>
    <w:rsid w:val="48A14702"/>
    <w:rsid w:val="48AD0076"/>
    <w:rsid w:val="48C37705"/>
    <w:rsid w:val="48C57BFC"/>
    <w:rsid w:val="48C76893"/>
    <w:rsid w:val="48DB1944"/>
    <w:rsid w:val="48F74986"/>
    <w:rsid w:val="48F963E2"/>
    <w:rsid w:val="48FB5F87"/>
    <w:rsid w:val="490000A6"/>
    <w:rsid w:val="49295A84"/>
    <w:rsid w:val="492E1B2A"/>
    <w:rsid w:val="49357497"/>
    <w:rsid w:val="494476DB"/>
    <w:rsid w:val="494770D2"/>
    <w:rsid w:val="495A0CAC"/>
    <w:rsid w:val="49685BF9"/>
    <w:rsid w:val="49726FD4"/>
    <w:rsid w:val="49785638"/>
    <w:rsid w:val="497955D6"/>
    <w:rsid w:val="4989333F"/>
    <w:rsid w:val="49897528"/>
    <w:rsid w:val="49911DF1"/>
    <w:rsid w:val="49973CAE"/>
    <w:rsid w:val="499846A4"/>
    <w:rsid w:val="49C05745"/>
    <w:rsid w:val="49CE413E"/>
    <w:rsid w:val="49D73383"/>
    <w:rsid w:val="49D96075"/>
    <w:rsid w:val="4A0749B4"/>
    <w:rsid w:val="4A1C5BD7"/>
    <w:rsid w:val="4A1F6EA4"/>
    <w:rsid w:val="4A205A52"/>
    <w:rsid w:val="4A2F6225"/>
    <w:rsid w:val="4A435BE4"/>
    <w:rsid w:val="4A461F80"/>
    <w:rsid w:val="4A485E02"/>
    <w:rsid w:val="4A4A3C21"/>
    <w:rsid w:val="4A565917"/>
    <w:rsid w:val="4A5E47CC"/>
    <w:rsid w:val="4A617FE4"/>
    <w:rsid w:val="4A741981"/>
    <w:rsid w:val="4A7C384D"/>
    <w:rsid w:val="4A81469E"/>
    <w:rsid w:val="4A86377F"/>
    <w:rsid w:val="4A88687F"/>
    <w:rsid w:val="4A916C63"/>
    <w:rsid w:val="4A95384D"/>
    <w:rsid w:val="4A9647D3"/>
    <w:rsid w:val="4AB55C1A"/>
    <w:rsid w:val="4ABA1304"/>
    <w:rsid w:val="4ABC105D"/>
    <w:rsid w:val="4ACA2A6F"/>
    <w:rsid w:val="4ADC2719"/>
    <w:rsid w:val="4ADD1B95"/>
    <w:rsid w:val="4AE178D7"/>
    <w:rsid w:val="4AEB2504"/>
    <w:rsid w:val="4AF126BD"/>
    <w:rsid w:val="4AF56EDE"/>
    <w:rsid w:val="4AFF63C0"/>
    <w:rsid w:val="4B1D01E3"/>
    <w:rsid w:val="4B241639"/>
    <w:rsid w:val="4B3C2D5F"/>
    <w:rsid w:val="4B3D5D65"/>
    <w:rsid w:val="4B451D05"/>
    <w:rsid w:val="4B4B313F"/>
    <w:rsid w:val="4B56183A"/>
    <w:rsid w:val="4B5A25F7"/>
    <w:rsid w:val="4B5A4F93"/>
    <w:rsid w:val="4B621DBB"/>
    <w:rsid w:val="4B6B53F2"/>
    <w:rsid w:val="4B792095"/>
    <w:rsid w:val="4B7C6430"/>
    <w:rsid w:val="4B7F0C09"/>
    <w:rsid w:val="4BA3334D"/>
    <w:rsid w:val="4BB24DCF"/>
    <w:rsid w:val="4BBE3774"/>
    <w:rsid w:val="4BC36FDC"/>
    <w:rsid w:val="4BD05255"/>
    <w:rsid w:val="4BEB208F"/>
    <w:rsid w:val="4BEC277D"/>
    <w:rsid w:val="4BF07DD6"/>
    <w:rsid w:val="4BF35757"/>
    <w:rsid w:val="4C017B05"/>
    <w:rsid w:val="4C023883"/>
    <w:rsid w:val="4C063F47"/>
    <w:rsid w:val="4C080E93"/>
    <w:rsid w:val="4C1930A0"/>
    <w:rsid w:val="4C194D18"/>
    <w:rsid w:val="4C211EFD"/>
    <w:rsid w:val="4C24335E"/>
    <w:rsid w:val="4C250552"/>
    <w:rsid w:val="4C343BAC"/>
    <w:rsid w:val="4C5D22EE"/>
    <w:rsid w:val="4C653BF0"/>
    <w:rsid w:val="4C6836E0"/>
    <w:rsid w:val="4C766267"/>
    <w:rsid w:val="4C870569"/>
    <w:rsid w:val="4C96649F"/>
    <w:rsid w:val="4CA87F80"/>
    <w:rsid w:val="4CAB5E27"/>
    <w:rsid w:val="4CAD15A9"/>
    <w:rsid w:val="4CB942FF"/>
    <w:rsid w:val="4CD92557"/>
    <w:rsid w:val="4CDD75E9"/>
    <w:rsid w:val="4CE20586"/>
    <w:rsid w:val="4CE53FF5"/>
    <w:rsid w:val="4CE65E63"/>
    <w:rsid w:val="4CE77078"/>
    <w:rsid w:val="4CEE0089"/>
    <w:rsid w:val="4CF51418"/>
    <w:rsid w:val="4CF71E51"/>
    <w:rsid w:val="4CF907DC"/>
    <w:rsid w:val="4CFE47D7"/>
    <w:rsid w:val="4D001B6A"/>
    <w:rsid w:val="4D1D271C"/>
    <w:rsid w:val="4D237C5B"/>
    <w:rsid w:val="4D2910C1"/>
    <w:rsid w:val="4D35206D"/>
    <w:rsid w:val="4D3D1483"/>
    <w:rsid w:val="4D491763"/>
    <w:rsid w:val="4D504A5E"/>
    <w:rsid w:val="4D6B16DA"/>
    <w:rsid w:val="4D6F633C"/>
    <w:rsid w:val="4D7D6369"/>
    <w:rsid w:val="4D81556B"/>
    <w:rsid w:val="4D977EF6"/>
    <w:rsid w:val="4D99279A"/>
    <w:rsid w:val="4D9A7D77"/>
    <w:rsid w:val="4DB85903"/>
    <w:rsid w:val="4DC82688"/>
    <w:rsid w:val="4DD454D1"/>
    <w:rsid w:val="4DD63967"/>
    <w:rsid w:val="4DDE62FD"/>
    <w:rsid w:val="4E0249E0"/>
    <w:rsid w:val="4E037B64"/>
    <w:rsid w:val="4E067002"/>
    <w:rsid w:val="4E0E7681"/>
    <w:rsid w:val="4E0F6F0F"/>
    <w:rsid w:val="4E185B3D"/>
    <w:rsid w:val="4E21448E"/>
    <w:rsid w:val="4E285F35"/>
    <w:rsid w:val="4E2A2BC9"/>
    <w:rsid w:val="4E365F2C"/>
    <w:rsid w:val="4E3F86BA"/>
    <w:rsid w:val="4E40026B"/>
    <w:rsid w:val="4E4234AF"/>
    <w:rsid w:val="4E4A131D"/>
    <w:rsid w:val="4E4F2DA9"/>
    <w:rsid w:val="4E51022E"/>
    <w:rsid w:val="4E516B22"/>
    <w:rsid w:val="4E5A39E3"/>
    <w:rsid w:val="4E670997"/>
    <w:rsid w:val="4E855745"/>
    <w:rsid w:val="4EB41FBA"/>
    <w:rsid w:val="4EB6379A"/>
    <w:rsid w:val="4EC41925"/>
    <w:rsid w:val="4ED6514F"/>
    <w:rsid w:val="4ED67027"/>
    <w:rsid w:val="4ED743A2"/>
    <w:rsid w:val="4EDE5EDB"/>
    <w:rsid w:val="4EFB6E90"/>
    <w:rsid w:val="4F0B707E"/>
    <w:rsid w:val="4F0F0B84"/>
    <w:rsid w:val="4F240703"/>
    <w:rsid w:val="4F2614AD"/>
    <w:rsid w:val="4F2C1688"/>
    <w:rsid w:val="4F2E0F30"/>
    <w:rsid w:val="4F347E24"/>
    <w:rsid w:val="4F3855EC"/>
    <w:rsid w:val="4F3B50DC"/>
    <w:rsid w:val="4F3F655F"/>
    <w:rsid w:val="4F62736A"/>
    <w:rsid w:val="4F9C756F"/>
    <w:rsid w:val="4F9F75DB"/>
    <w:rsid w:val="4FAB2261"/>
    <w:rsid w:val="4FDA66A3"/>
    <w:rsid w:val="4FDD43E5"/>
    <w:rsid w:val="4FEC3A73"/>
    <w:rsid w:val="4FF63D13"/>
    <w:rsid w:val="4FFD106F"/>
    <w:rsid w:val="4FFF435B"/>
    <w:rsid w:val="501A6B1F"/>
    <w:rsid w:val="502931CE"/>
    <w:rsid w:val="5039786D"/>
    <w:rsid w:val="503C0C40"/>
    <w:rsid w:val="504060D3"/>
    <w:rsid w:val="504852EB"/>
    <w:rsid w:val="504E494E"/>
    <w:rsid w:val="504F1C1F"/>
    <w:rsid w:val="5052092F"/>
    <w:rsid w:val="50534099"/>
    <w:rsid w:val="50627F69"/>
    <w:rsid w:val="506A211C"/>
    <w:rsid w:val="50747858"/>
    <w:rsid w:val="507F6097"/>
    <w:rsid w:val="508377A5"/>
    <w:rsid w:val="509520E1"/>
    <w:rsid w:val="509937A3"/>
    <w:rsid w:val="509B758E"/>
    <w:rsid w:val="50AF4B29"/>
    <w:rsid w:val="50BB0D4D"/>
    <w:rsid w:val="50BD4D0C"/>
    <w:rsid w:val="50BE27F0"/>
    <w:rsid w:val="50CF1E10"/>
    <w:rsid w:val="50D2312A"/>
    <w:rsid w:val="50E33C7D"/>
    <w:rsid w:val="50E45516"/>
    <w:rsid w:val="50F44B27"/>
    <w:rsid w:val="50F638E6"/>
    <w:rsid w:val="50F71591"/>
    <w:rsid w:val="50FA2399"/>
    <w:rsid w:val="510921A1"/>
    <w:rsid w:val="511B4592"/>
    <w:rsid w:val="511C0280"/>
    <w:rsid w:val="51390B15"/>
    <w:rsid w:val="51441596"/>
    <w:rsid w:val="51595CED"/>
    <w:rsid w:val="51626C49"/>
    <w:rsid w:val="51662A5D"/>
    <w:rsid w:val="5167040A"/>
    <w:rsid w:val="516D7F8E"/>
    <w:rsid w:val="51703763"/>
    <w:rsid w:val="51800653"/>
    <w:rsid w:val="5196433E"/>
    <w:rsid w:val="51AB6208"/>
    <w:rsid w:val="51AD56D0"/>
    <w:rsid w:val="51AE1E68"/>
    <w:rsid w:val="51B032DF"/>
    <w:rsid w:val="51B51175"/>
    <w:rsid w:val="51B60B70"/>
    <w:rsid w:val="51D4657C"/>
    <w:rsid w:val="51DA5B70"/>
    <w:rsid w:val="51DE736C"/>
    <w:rsid w:val="51E34898"/>
    <w:rsid w:val="520420FD"/>
    <w:rsid w:val="52151C14"/>
    <w:rsid w:val="521A547C"/>
    <w:rsid w:val="52270592"/>
    <w:rsid w:val="525134DA"/>
    <w:rsid w:val="525941F7"/>
    <w:rsid w:val="525E2E39"/>
    <w:rsid w:val="526F7B39"/>
    <w:rsid w:val="52886C6F"/>
    <w:rsid w:val="52B15FA1"/>
    <w:rsid w:val="52B62821"/>
    <w:rsid w:val="52DC4611"/>
    <w:rsid w:val="52E2239E"/>
    <w:rsid w:val="52F61A46"/>
    <w:rsid w:val="53051C89"/>
    <w:rsid w:val="531C1A1D"/>
    <w:rsid w:val="531D5224"/>
    <w:rsid w:val="531F5A10"/>
    <w:rsid w:val="532F2D81"/>
    <w:rsid w:val="53327636"/>
    <w:rsid w:val="533407C0"/>
    <w:rsid w:val="533662E6"/>
    <w:rsid w:val="53512BA1"/>
    <w:rsid w:val="535328C1"/>
    <w:rsid w:val="53607807"/>
    <w:rsid w:val="53690469"/>
    <w:rsid w:val="536A42B3"/>
    <w:rsid w:val="537C3CC7"/>
    <w:rsid w:val="538243F4"/>
    <w:rsid w:val="53963229"/>
    <w:rsid w:val="539A7A78"/>
    <w:rsid w:val="539B1EC0"/>
    <w:rsid w:val="53A050E3"/>
    <w:rsid w:val="53C1222A"/>
    <w:rsid w:val="53C953AC"/>
    <w:rsid w:val="53CA4C80"/>
    <w:rsid w:val="53D61877"/>
    <w:rsid w:val="53D81298"/>
    <w:rsid w:val="53E30BC0"/>
    <w:rsid w:val="53F561A1"/>
    <w:rsid w:val="541332F8"/>
    <w:rsid w:val="54161C73"/>
    <w:rsid w:val="541F05A1"/>
    <w:rsid w:val="542D72AC"/>
    <w:rsid w:val="54370C9C"/>
    <w:rsid w:val="545E3C87"/>
    <w:rsid w:val="5470756A"/>
    <w:rsid w:val="54857525"/>
    <w:rsid w:val="54997C8E"/>
    <w:rsid w:val="549B701B"/>
    <w:rsid w:val="54A24D10"/>
    <w:rsid w:val="54A74FFC"/>
    <w:rsid w:val="54AD0FF6"/>
    <w:rsid w:val="54C82FD5"/>
    <w:rsid w:val="54D73556"/>
    <w:rsid w:val="54EC5E70"/>
    <w:rsid w:val="54FA21F0"/>
    <w:rsid w:val="54FB3AFA"/>
    <w:rsid w:val="54FF279B"/>
    <w:rsid w:val="55080B87"/>
    <w:rsid w:val="550B0F24"/>
    <w:rsid w:val="550D4FDD"/>
    <w:rsid w:val="55105D68"/>
    <w:rsid w:val="551D4652"/>
    <w:rsid w:val="551F0917"/>
    <w:rsid w:val="552C6776"/>
    <w:rsid w:val="55341A6B"/>
    <w:rsid w:val="553D07DF"/>
    <w:rsid w:val="55497731"/>
    <w:rsid w:val="554C3B6B"/>
    <w:rsid w:val="55690BF5"/>
    <w:rsid w:val="556C6B45"/>
    <w:rsid w:val="55724A13"/>
    <w:rsid w:val="559A4D05"/>
    <w:rsid w:val="559C632E"/>
    <w:rsid w:val="559F6154"/>
    <w:rsid w:val="55B93497"/>
    <w:rsid w:val="55C776C9"/>
    <w:rsid w:val="55F11EE0"/>
    <w:rsid w:val="55FB2085"/>
    <w:rsid w:val="560839DC"/>
    <w:rsid w:val="560A70FB"/>
    <w:rsid w:val="560E52F8"/>
    <w:rsid w:val="56120D95"/>
    <w:rsid w:val="561E3469"/>
    <w:rsid w:val="561F78CA"/>
    <w:rsid w:val="563C2464"/>
    <w:rsid w:val="563E6DFC"/>
    <w:rsid w:val="5641208E"/>
    <w:rsid w:val="56494582"/>
    <w:rsid w:val="564A56A8"/>
    <w:rsid w:val="565D79D5"/>
    <w:rsid w:val="56772E9D"/>
    <w:rsid w:val="567F1D52"/>
    <w:rsid w:val="56821842"/>
    <w:rsid w:val="568A53EA"/>
    <w:rsid w:val="569E2151"/>
    <w:rsid w:val="569E4D4A"/>
    <w:rsid w:val="56AD68BF"/>
    <w:rsid w:val="56AF1EAF"/>
    <w:rsid w:val="56BB4C82"/>
    <w:rsid w:val="56BC0D85"/>
    <w:rsid w:val="56C634EA"/>
    <w:rsid w:val="56C8689C"/>
    <w:rsid w:val="56CB4F97"/>
    <w:rsid w:val="56CD0D0F"/>
    <w:rsid w:val="56CD70DD"/>
    <w:rsid w:val="56E20D30"/>
    <w:rsid w:val="56E42AB0"/>
    <w:rsid w:val="56EB1127"/>
    <w:rsid w:val="56F7EBF3"/>
    <w:rsid w:val="56FB7D97"/>
    <w:rsid w:val="57007FBA"/>
    <w:rsid w:val="57032983"/>
    <w:rsid w:val="570D3D70"/>
    <w:rsid w:val="571050A0"/>
    <w:rsid w:val="572172AD"/>
    <w:rsid w:val="572B1EDA"/>
    <w:rsid w:val="5732525A"/>
    <w:rsid w:val="573445B4"/>
    <w:rsid w:val="575817A3"/>
    <w:rsid w:val="57781B34"/>
    <w:rsid w:val="577A5E3F"/>
    <w:rsid w:val="577B4C0F"/>
    <w:rsid w:val="577C3646"/>
    <w:rsid w:val="578E4942"/>
    <w:rsid w:val="578F06BB"/>
    <w:rsid w:val="57942ABF"/>
    <w:rsid w:val="5799728B"/>
    <w:rsid w:val="57A93CD5"/>
    <w:rsid w:val="57A94B86"/>
    <w:rsid w:val="57BF2D4E"/>
    <w:rsid w:val="57E427B4"/>
    <w:rsid w:val="57E82135"/>
    <w:rsid w:val="57E91792"/>
    <w:rsid w:val="57ED0FBA"/>
    <w:rsid w:val="57F72ABF"/>
    <w:rsid w:val="57FD6528"/>
    <w:rsid w:val="58030690"/>
    <w:rsid w:val="580764A3"/>
    <w:rsid w:val="580C5867"/>
    <w:rsid w:val="5814471C"/>
    <w:rsid w:val="581D2322"/>
    <w:rsid w:val="5828359F"/>
    <w:rsid w:val="583069A4"/>
    <w:rsid w:val="5833413C"/>
    <w:rsid w:val="583B2872"/>
    <w:rsid w:val="584B6365"/>
    <w:rsid w:val="584C2108"/>
    <w:rsid w:val="584D27A3"/>
    <w:rsid w:val="58523CA7"/>
    <w:rsid w:val="58675D35"/>
    <w:rsid w:val="58817168"/>
    <w:rsid w:val="588B70D4"/>
    <w:rsid w:val="588B79AB"/>
    <w:rsid w:val="58956957"/>
    <w:rsid w:val="58956D5A"/>
    <w:rsid w:val="589B6894"/>
    <w:rsid w:val="589C308F"/>
    <w:rsid w:val="58A94B7A"/>
    <w:rsid w:val="58B10017"/>
    <w:rsid w:val="58B45E51"/>
    <w:rsid w:val="58B519EB"/>
    <w:rsid w:val="58CB74D0"/>
    <w:rsid w:val="58D2007B"/>
    <w:rsid w:val="58D95E36"/>
    <w:rsid w:val="58DC16DE"/>
    <w:rsid w:val="58F20F01"/>
    <w:rsid w:val="58F91156"/>
    <w:rsid w:val="58F9403E"/>
    <w:rsid w:val="58FB6C7B"/>
    <w:rsid w:val="58FE57EA"/>
    <w:rsid w:val="59112F59"/>
    <w:rsid w:val="592D018B"/>
    <w:rsid w:val="593743A1"/>
    <w:rsid w:val="59426BB8"/>
    <w:rsid w:val="594924CF"/>
    <w:rsid w:val="59617D35"/>
    <w:rsid w:val="596C096E"/>
    <w:rsid w:val="598926F1"/>
    <w:rsid w:val="59AC13C8"/>
    <w:rsid w:val="59AF2052"/>
    <w:rsid w:val="59B63CDD"/>
    <w:rsid w:val="59BB1BC6"/>
    <w:rsid w:val="59BC006C"/>
    <w:rsid w:val="59C4364D"/>
    <w:rsid w:val="59C60E2A"/>
    <w:rsid w:val="59CF4D9E"/>
    <w:rsid w:val="59D6612D"/>
    <w:rsid w:val="59E1209C"/>
    <w:rsid w:val="59E17E38"/>
    <w:rsid w:val="59F667CF"/>
    <w:rsid w:val="59FB62B8"/>
    <w:rsid w:val="59FD190B"/>
    <w:rsid w:val="5A256A76"/>
    <w:rsid w:val="5A4A08C9"/>
    <w:rsid w:val="5A4A54BE"/>
    <w:rsid w:val="5A516DA5"/>
    <w:rsid w:val="5A6220B6"/>
    <w:rsid w:val="5A632D7F"/>
    <w:rsid w:val="5A902780"/>
    <w:rsid w:val="5A952150"/>
    <w:rsid w:val="5A9A2438"/>
    <w:rsid w:val="5AA14FC0"/>
    <w:rsid w:val="5AA93841"/>
    <w:rsid w:val="5AD86A73"/>
    <w:rsid w:val="5ADF659C"/>
    <w:rsid w:val="5AF34ABD"/>
    <w:rsid w:val="5AFD6893"/>
    <w:rsid w:val="5B11356F"/>
    <w:rsid w:val="5B2555BE"/>
    <w:rsid w:val="5B2B5093"/>
    <w:rsid w:val="5B5F1DE3"/>
    <w:rsid w:val="5B646949"/>
    <w:rsid w:val="5B6B1DB1"/>
    <w:rsid w:val="5B8404C5"/>
    <w:rsid w:val="5B940092"/>
    <w:rsid w:val="5BA1547E"/>
    <w:rsid w:val="5BA41AD2"/>
    <w:rsid w:val="5BA713C8"/>
    <w:rsid w:val="5BC2523A"/>
    <w:rsid w:val="5BCC5DD2"/>
    <w:rsid w:val="5BE150A0"/>
    <w:rsid w:val="5BEC60DC"/>
    <w:rsid w:val="5BEE3409"/>
    <w:rsid w:val="5BF84A80"/>
    <w:rsid w:val="5C133668"/>
    <w:rsid w:val="5C146A9F"/>
    <w:rsid w:val="5C17373D"/>
    <w:rsid w:val="5C185F6D"/>
    <w:rsid w:val="5C190553"/>
    <w:rsid w:val="5C2345CF"/>
    <w:rsid w:val="5C356411"/>
    <w:rsid w:val="5C3A6592"/>
    <w:rsid w:val="5C564593"/>
    <w:rsid w:val="5C62014C"/>
    <w:rsid w:val="5C653FAA"/>
    <w:rsid w:val="5C6E362B"/>
    <w:rsid w:val="5C6E51D2"/>
    <w:rsid w:val="5C95435B"/>
    <w:rsid w:val="5CB306BF"/>
    <w:rsid w:val="5CC10BB9"/>
    <w:rsid w:val="5CC52489"/>
    <w:rsid w:val="5CCD3A87"/>
    <w:rsid w:val="5CD1005B"/>
    <w:rsid w:val="5CDB1955"/>
    <w:rsid w:val="5CE61781"/>
    <w:rsid w:val="5CE943C9"/>
    <w:rsid w:val="5CF0608A"/>
    <w:rsid w:val="5D0C7971"/>
    <w:rsid w:val="5D130EAA"/>
    <w:rsid w:val="5D131446"/>
    <w:rsid w:val="5D19536C"/>
    <w:rsid w:val="5D366C3B"/>
    <w:rsid w:val="5D393A10"/>
    <w:rsid w:val="5D5655A9"/>
    <w:rsid w:val="5D573A29"/>
    <w:rsid w:val="5D601BA6"/>
    <w:rsid w:val="5D644278"/>
    <w:rsid w:val="5D8B36FF"/>
    <w:rsid w:val="5D9B1B67"/>
    <w:rsid w:val="5D9F0F2C"/>
    <w:rsid w:val="5DA11FAB"/>
    <w:rsid w:val="5DA27230"/>
    <w:rsid w:val="5DA3634D"/>
    <w:rsid w:val="5DBE7604"/>
    <w:rsid w:val="5DBF3B83"/>
    <w:rsid w:val="5DC54A1F"/>
    <w:rsid w:val="5DCB1D21"/>
    <w:rsid w:val="5DDA0407"/>
    <w:rsid w:val="5DF00E94"/>
    <w:rsid w:val="5DF6027F"/>
    <w:rsid w:val="5DFC3DAE"/>
    <w:rsid w:val="5E006870"/>
    <w:rsid w:val="5E2D1621"/>
    <w:rsid w:val="5E3F1CF4"/>
    <w:rsid w:val="5E42094A"/>
    <w:rsid w:val="5E473D1A"/>
    <w:rsid w:val="5E585E3A"/>
    <w:rsid w:val="5E59557E"/>
    <w:rsid w:val="5E632CAE"/>
    <w:rsid w:val="5E6D16C1"/>
    <w:rsid w:val="5E6E3D4E"/>
    <w:rsid w:val="5E897C12"/>
    <w:rsid w:val="5E8E7A80"/>
    <w:rsid w:val="5EAB402C"/>
    <w:rsid w:val="5EBC743F"/>
    <w:rsid w:val="5ECE7D1A"/>
    <w:rsid w:val="5EDD7F5D"/>
    <w:rsid w:val="5EE60C28"/>
    <w:rsid w:val="5EF31050"/>
    <w:rsid w:val="5EFC4888"/>
    <w:rsid w:val="5EFD415C"/>
    <w:rsid w:val="5F08354D"/>
    <w:rsid w:val="5F096FA4"/>
    <w:rsid w:val="5F0C439F"/>
    <w:rsid w:val="5F1119B5"/>
    <w:rsid w:val="5F2136D8"/>
    <w:rsid w:val="5F2D438A"/>
    <w:rsid w:val="5F3B3946"/>
    <w:rsid w:val="5F3F3212"/>
    <w:rsid w:val="5F4E1FCA"/>
    <w:rsid w:val="5F585836"/>
    <w:rsid w:val="5F591E6A"/>
    <w:rsid w:val="5F750ADC"/>
    <w:rsid w:val="5F772160"/>
    <w:rsid w:val="5F886355"/>
    <w:rsid w:val="5FA016B7"/>
    <w:rsid w:val="5FA34C50"/>
    <w:rsid w:val="5FA34D03"/>
    <w:rsid w:val="5FA42829"/>
    <w:rsid w:val="5FBF7663"/>
    <w:rsid w:val="5FD650D9"/>
    <w:rsid w:val="5FE37563"/>
    <w:rsid w:val="5FEE5970"/>
    <w:rsid w:val="600451A6"/>
    <w:rsid w:val="60103202"/>
    <w:rsid w:val="601E438A"/>
    <w:rsid w:val="60222989"/>
    <w:rsid w:val="60237BF2"/>
    <w:rsid w:val="602E6DFA"/>
    <w:rsid w:val="603C75C9"/>
    <w:rsid w:val="606454E1"/>
    <w:rsid w:val="606469E2"/>
    <w:rsid w:val="606A3A73"/>
    <w:rsid w:val="60785CF9"/>
    <w:rsid w:val="608536F1"/>
    <w:rsid w:val="60901B9A"/>
    <w:rsid w:val="60912DAE"/>
    <w:rsid w:val="60917251"/>
    <w:rsid w:val="60A87ADE"/>
    <w:rsid w:val="60B14DB9"/>
    <w:rsid w:val="60DC68AD"/>
    <w:rsid w:val="60DD4C26"/>
    <w:rsid w:val="60E71115"/>
    <w:rsid w:val="60EC4488"/>
    <w:rsid w:val="60ED0805"/>
    <w:rsid w:val="60F82E2D"/>
    <w:rsid w:val="60F92F16"/>
    <w:rsid w:val="610E7EA6"/>
    <w:rsid w:val="61340602"/>
    <w:rsid w:val="6138591F"/>
    <w:rsid w:val="613D2017"/>
    <w:rsid w:val="615A042B"/>
    <w:rsid w:val="61714235"/>
    <w:rsid w:val="61962646"/>
    <w:rsid w:val="6198016C"/>
    <w:rsid w:val="61986E48"/>
    <w:rsid w:val="61A50C77"/>
    <w:rsid w:val="61AD6026"/>
    <w:rsid w:val="61B1146F"/>
    <w:rsid w:val="61B458D6"/>
    <w:rsid w:val="61C47E0A"/>
    <w:rsid w:val="61C827FF"/>
    <w:rsid w:val="61E6665C"/>
    <w:rsid w:val="61F6141D"/>
    <w:rsid w:val="620C6918"/>
    <w:rsid w:val="621875B1"/>
    <w:rsid w:val="62277438"/>
    <w:rsid w:val="626C1639"/>
    <w:rsid w:val="62830E1C"/>
    <w:rsid w:val="62856942"/>
    <w:rsid w:val="62864B72"/>
    <w:rsid w:val="62935F75"/>
    <w:rsid w:val="62A85143"/>
    <w:rsid w:val="62AC3E9D"/>
    <w:rsid w:val="62CF4061"/>
    <w:rsid w:val="62D40A11"/>
    <w:rsid w:val="62E90D04"/>
    <w:rsid w:val="62E95776"/>
    <w:rsid w:val="62ED798A"/>
    <w:rsid w:val="62F26DD3"/>
    <w:rsid w:val="62F92E8C"/>
    <w:rsid w:val="630F1756"/>
    <w:rsid w:val="63161C90"/>
    <w:rsid w:val="631877B6"/>
    <w:rsid w:val="63193BD8"/>
    <w:rsid w:val="631D4C2B"/>
    <w:rsid w:val="63241148"/>
    <w:rsid w:val="633C3E95"/>
    <w:rsid w:val="635B76A3"/>
    <w:rsid w:val="636D6842"/>
    <w:rsid w:val="638A0392"/>
    <w:rsid w:val="638D1F52"/>
    <w:rsid w:val="638F7399"/>
    <w:rsid w:val="63A226A2"/>
    <w:rsid w:val="63AE1B87"/>
    <w:rsid w:val="63B95BA4"/>
    <w:rsid w:val="63D42C8B"/>
    <w:rsid w:val="63D7141F"/>
    <w:rsid w:val="63D87988"/>
    <w:rsid w:val="63E3036B"/>
    <w:rsid w:val="63E47D42"/>
    <w:rsid w:val="63E553E6"/>
    <w:rsid w:val="63EB4ECB"/>
    <w:rsid w:val="64075A48"/>
    <w:rsid w:val="64224F28"/>
    <w:rsid w:val="64311686"/>
    <w:rsid w:val="64323B99"/>
    <w:rsid w:val="643C5726"/>
    <w:rsid w:val="643E7CB2"/>
    <w:rsid w:val="6449399F"/>
    <w:rsid w:val="644A7E43"/>
    <w:rsid w:val="64520AA6"/>
    <w:rsid w:val="64632F63"/>
    <w:rsid w:val="64780FFD"/>
    <w:rsid w:val="648B532D"/>
    <w:rsid w:val="648D4647"/>
    <w:rsid w:val="64960795"/>
    <w:rsid w:val="64997A75"/>
    <w:rsid w:val="64A00151"/>
    <w:rsid w:val="64B15CEB"/>
    <w:rsid w:val="64B5133A"/>
    <w:rsid w:val="64D4595F"/>
    <w:rsid w:val="64F63B27"/>
    <w:rsid w:val="65293ABF"/>
    <w:rsid w:val="65450410"/>
    <w:rsid w:val="65622F6B"/>
    <w:rsid w:val="65757142"/>
    <w:rsid w:val="65761756"/>
    <w:rsid w:val="65766A16"/>
    <w:rsid w:val="65837903"/>
    <w:rsid w:val="65862174"/>
    <w:rsid w:val="658B4291"/>
    <w:rsid w:val="658F72F7"/>
    <w:rsid w:val="65A76BCF"/>
    <w:rsid w:val="65BE0315"/>
    <w:rsid w:val="65D6252D"/>
    <w:rsid w:val="65D8147F"/>
    <w:rsid w:val="65D8322D"/>
    <w:rsid w:val="65DE32D6"/>
    <w:rsid w:val="66003A56"/>
    <w:rsid w:val="66061B48"/>
    <w:rsid w:val="66114A2F"/>
    <w:rsid w:val="66124991"/>
    <w:rsid w:val="662A1C12"/>
    <w:rsid w:val="66491EA9"/>
    <w:rsid w:val="665E1984"/>
    <w:rsid w:val="66707004"/>
    <w:rsid w:val="667967BE"/>
    <w:rsid w:val="667F048D"/>
    <w:rsid w:val="667F0B76"/>
    <w:rsid w:val="66805D9E"/>
    <w:rsid w:val="668179D1"/>
    <w:rsid w:val="66903148"/>
    <w:rsid w:val="66934759"/>
    <w:rsid w:val="66A70699"/>
    <w:rsid w:val="66B15F58"/>
    <w:rsid w:val="66B311FB"/>
    <w:rsid w:val="66C44A65"/>
    <w:rsid w:val="66C45C60"/>
    <w:rsid w:val="66D103A8"/>
    <w:rsid w:val="66E75E1D"/>
    <w:rsid w:val="66E947FF"/>
    <w:rsid w:val="66FC7A7E"/>
    <w:rsid w:val="66FF3E19"/>
    <w:rsid w:val="67006EDF"/>
    <w:rsid w:val="6703252B"/>
    <w:rsid w:val="67075C49"/>
    <w:rsid w:val="670B142B"/>
    <w:rsid w:val="671958AB"/>
    <w:rsid w:val="673435DF"/>
    <w:rsid w:val="673E7CE9"/>
    <w:rsid w:val="674D37A6"/>
    <w:rsid w:val="6770465F"/>
    <w:rsid w:val="67805064"/>
    <w:rsid w:val="678449B8"/>
    <w:rsid w:val="678E44EB"/>
    <w:rsid w:val="679705EA"/>
    <w:rsid w:val="67A41141"/>
    <w:rsid w:val="67A75274"/>
    <w:rsid w:val="67CF57FB"/>
    <w:rsid w:val="67D36608"/>
    <w:rsid w:val="67DD72B8"/>
    <w:rsid w:val="67E77AC7"/>
    <w:rsid w:val="67ED6154"/>
    <w:rsid w:val="68020CBB"/>
    <w:rsid w:val="68272F3B"/>
    <w:rsid w:val="6841330B"/>
    <w:rsid w:val="684D7F02"/>
    <w:rsid w:val="685F17CD"/>
    <w:rsid w:val="686277EF"/>
    <w:rsid w:val="68750B51"/>
    <w:rsid w:val="68857CC7"/>
    <w:rsid w:val="688679CA"/>
    <w:rsid w:val="688D47A2"/>
    <w:rsid w:val="688D52DF"/>
    <w:rsid w:val="688F7BC1"/>
    <w:rsid w:val="68A97825"/>
    <w:rsid w:val="68C1444C"/>
    <w:rsid w:val="68D0468F"/>
    <w:rsid w:val="68D74A09"/>
    <w:rsid w:val="68EF087E"/>
    <w:rsid w:val="68F52E2A"/>
    <w:rsid w:val="6918548C"/>
    <w:rsid w:val="693D5270"/>
    <w:rsid w:val="693F09CB"/>
    <w:rsid w:val="694729C8"/>
    <w:rsid w:val="694D01E6"/>
    <w:rsid w:val="69507F61"/>
    <w:rsid w:val="696A27B6"/>
    <w:rsid w:val="69775D3D"/>
    <w:rsid w:val="698931BC"/>
    <w:rsid w:val="698B23A2"/>
    <w:rsid w:val="6993187D"/>
    <w:rsid w:val="699D27C3"/>
    <w:rsid w:val="69A40090"/>
    <w:rsid w:val="69A64042"/>
    <w:rsid w:val="69AB1384"/>
    <w:rsid w:val="69B230E9"/>
    <w:rsid w:val="69C50153"/>
    <w:rsid w:val="69E55893"/>
    <w:rsid w:val="69E62FB0"/>
    <w:rsid w:val="69F35F61"/>
    <w:rsid w:val="69FF1B86"/>
    <w:rsid w:val="6A042842"/>
    <w:rsid w:val="6A1925A3"/>
    <w:rsid w:val="6A2C2028"/>
    <w:rsid w:val="6A32422E"/>
    <w:rsid w:val="6A6432E1"/>
    <w:rsid w:val="6A660D18"/>
    <w:rsid w:val="6A7A0101"/>
    <w:rsid w:val="6A7C7E1F"/>
    <w:rsid w:val="6A8210C9"/>
    <w:rsid w:val="6A842A69"/>
    <w:rsid w:val="6A845019"/>
    <w:rsid w:val="6A9204F9"/>
    <w:rsid w:val="6A965DDC"/>
    <w:rsid w:val="6A9E7448"/>
    <w:rsid w:val="6AAA6228"/>
    <w:rsid w:val="6AB76C54"/>
    <w:rsid w:val="6AC00E5F"/>
    <w:rsid w:val="6AC36259"/>
    <w:rsid w:val="6AC6238E"/>
    <w:rsid w:val="6AD30444"/>
    <w:rsid w:val="6AD31D64"/>
    <w:rsid w:val="6AD42A22"/>
    <w:rsid w:val="6ADA35A3"/>
    <w:rsid w:val="6AFF6768"/>
    <w:rsid w:val="6B074BF3"/>
    <w:rsid w:val="6B0D1787"/>
    <w:rsid w:val="6B131119"/>
    <w:rsid w:val="6B297F1A"/>
    <w:rsid w:val="6B4227D3"/>
    <w:rsid w:val="6B6078D0"/>
    <w:rsid w:val="6B715115"/>
    <w:rsid w:val="6B795E70"/>
    <w:rsid w:val="6B7A78DD"/>
    <w:rsid w:val="6B9F02F3"/>
    <w:rsid w:val="6BB4728D"/>
    <w:rsid w:val="6BBC4359"/>
    <w:rsid w:val="6BBF3C57"/>
    <w:rsid w:val="6BC37351"/>
    <w:rsid w:val="6BC50FC9"/>
    <w:rsid w:val="6BD11807"/>
    <w:rsid w:val="6BD46244"/>
    <w:rsid w:val="6BD60687"/>
    <w:rsid w:val="6BDD334B"/>
    <w:rsid w:val="6BE266BD"/>
    <w:rsid w:val="6BE86442"/>
    <w:rsid w:val="6BF14384"/>
    <w:rsid w:val="6C165C79"/>
    <w:rsid w:val="6C1A2407"/>
    <w:rsid w:val="6C1C4E77"/>
    <w:rsid w:val="6C1D31AD"/>
    <w:rsid w:val="6C47110C"/>
    <w:rsid w:val="6C4E6E90"/>
    <w:rsid w:val="6C5436A1"/>
    <w:rsid w:val="6C5A0E3F"/>
    <w:rsid w:val="6C7537B3"/>
    <w:rsid w:val="6C840ED3"/>
    <w:rsid w:val="6C8F3454"/>
    <w:rsid w:val="6C9E0378"/>
    <w:rsid w:val="6CAC509F"/>
    <w:rsid w:val="6CB7083E"/>
    <w:rsid w:val="6CC30793"/>
    <w:rsid w:val="6CF941B4"/>
    <w:rsid w:val="6D103EDB"/>
    <w:rsid w:val="6D1234C8"/>
    <w:rsid w:val="6D154D66"/>
    <w:rsid w:val="6D1624A1"/>
    <w:rsid w:val="6D1A237D"/>
    <w:rsid w:val="6D1F1741"/>
    <w:rsid w:val="6D230264"/>
    <w:rsid w:val="6D257DAA"/>
    <w:rsid w:val="6D2F407A"/>
    <w:rsid w:val="6D3723A8"/>
    <w:rsid w:val="6D515991"/>
    <w:rsid w:val="6D561607"/>
    <w:rsid w:val="6D5A5CD8"/>
    <w:rsid w:val="6D6947A7"/>
    <w:rsid w:val="6D6D4BA2"/>
    <w:rsid w:val="6D7258C2"/>
    <w:rsid w:val="6D760D67"/>
    <w:rsid w:val="6D771841"/>
    <w:rsid w:val="6D7D3037"/>
    <w:rsid w:val="6D816474"/>
    <w:rsid w:val="6DA472CE"/>
    <w:rsid w:val="6DAD3C72"/>
    <w:rsid w:val="6DF50BC6"/>
    <w:rsid w:val="6DF8732E"/>
    <w:rsid w:val="6E167BBB"/>
    <w:rsid w:val="6E296D1B"/>
    <w:rsid w:val="6E3336CF"/>
    <w:rsid w:val="6E3541C9"/>
    <w:rsid w:val="6E396833"/>
    <w:rsid w:val="6E3C3A3D"/>
    <w:rsid w:val="6E3D6323"/>
    <w:rsid w:val="6E3F2475"/>
    <w:rsid w:val="6E487125"/>
    <w:rsid w:val="6E4951F3"/>
    <w:rsid w:val="6E5E54F8"/>
    <w:rsid w:val="6E661D1D"/>
    <w:rsid w:val="6E6715F2"/>
    <w:rsid w:val="6E7C15BE"/>
    <w:rsid w:val="6E891568"/>
    <w:rsid w:val="6E8B0FC0"/>
    <w:rsid w:val="6E9407EA"/>
    <w:rsid w:val="6EA05263"/>
    <w:rsid w:val="6EA405E6"/>
    <w:rsid w:val="6EA77A29"/>
    <w:rsid w:val="6EAA745A"/>
    <w:rsid w:val="6EBE4D65"/>
    <w:rsid w:val="6EC6456A"/>
    <w:rsid w:val="6ECE58D1"/>
    <w:rsid w:val="6ED74E66"/>
    <w:rsid w:val="6EE73FF8"/>
    <w:rsid w:val="6EE82847"/>
    <w:rsid w:val="6F013D03"/>
    <w:rsid w:val="6F124F98"/>
    <w:rsid w:val="6F2A1E3D"/>
    <w:rsid w:val="6F2F210F"/>
    <w:rsid w:val="6F353615"/>
    <w:rsid w:val="6F3F7718"/>
    <w:rsid w:val="6F435BBB"/>
    <w:rsid w:val="6F4875B9"/>
    <w:rsid w:val="6F507156"/>
    <w:rsid w:val="6F5168CA"/>
    <w:rsid w:val="6F6356CE"/>
    <w:rsid w:val="6F7915DC"/>
    <w:rsid w:val="6F7C304F"/>
    <w:rsid w:val="6F824A6A"/>
    <w:rsid w:val="6FA611AD"/>
    <w:rsid w:val="6FB940CF"/>
    <w:rsid w:val="6FBB39A3"/>
    <w:rsid w:val="6FCA008A"/>
    <w:rsid w:val="6FCF6970"/>
    <w:rsid w:val="6FD14B4C"/>
    <w:rsid w:val="6FDA6E55"/>
    <w:rsid w:val="6FE85134"/>
    <w:rsid w:val="6FEF29EC"/>
    <w:rsid w:val="70027824"/>
    <w:rsid w:val="70031C7C"/>
    <w:rsid w:val="70061DF3"/>
    <w:rsid w:val="70090BB2"/>
    <w:rsid w:val="700919E6"/>
    <w:rsid w:val="70092E31"/>
    <w:rsid w:val="70170D5A"/>
    <w:rsid w:val="70194B6E"/>
    <w:rsid w:val="70195D3E"/>
    <w:rsid w:val="701B09F7"/>
    <w:rsid w:val="70217665"/>
    <w:rsid w:val="702F7EED"/>
    <w:rsid w:val="704476FF"/>
    <w:rsid w:val="70616BC7"/>
    <w:rsid w:val="70663971"/>
    <w:rsid w:val="706732A6"/>
    <w:rsid w:val="707B2336"/>
    <w:rsid w:val="70894545"/>
    <w:rsid w:val="70BB758E"/>
    <w:rsid w:val="70C1323B"/>
    <w:rsid w:val="70DD495D"/>
    <w:rsid w:val="70E4332B"/>
    <w:rsid w:val="70EE5FFA"/>
    <w:rsid w:val="70F52EE5"/>
    <w:rsid w:val="71063344"/>
    <w:rsid w:val="710E3FA6"/>
    <w:rsid w:val="7115418F"/>
    <w:rsid w:val="7126390E"/>
    <w:rsid w:val="713B0FB6"/>
    <w:rsid w:val="714125CE"/>
    <w:rsid w:val="71500947"/>
    <w:rsid w:val="71550497"/>
    <w:rsid w:val="71601A8A"/>
    <w:rsid w:val="717402AD"/>
    <w:rsid w:val="717958C4"/>
    <w:rsid w:val="718030F6"/>
    <w:rsid w:val="718129CA"/>
    <w:rsid w:val="718C4164"/>
    <w:rsid w:val="719C5A56"/>
    <w:rsid w:val="71A16BC9"/>
    <w:rsid w:val="71B529D6"/>
    <w:rsid w:val="71CD22C9"/>
    <w:rsid w:val="71D20FCF"/>
    <w:rsid w:val="71D37F38"/>
    <w:rsid w:val="72097F1A"/>
    <w:rsid w:val="720A7F7F"/>
    <w:rsid w:val="720C6738"/>
    <w:rsid w:val="72116AC3"/>
    <w:rsid w:val="72125C50"/>
    <w:rsid w:val="72207574"/>
    <w:rsid w:val="72210599"/>
    <w:rsid w:val="72222B02"/>
    <w:rsid w:val="723201D8"/>
    <w:rsid w:val="724310E1"/>
    <w:rsid w:val="724625CF"/>
    <w:rsid w:val="72501C22"/>
    <w:rsid w:val="725B146D"/>
    <w:rsid w:val="72610E94"/>
    <w:rsid w:val="72713458"/>
    <w:rsid w:val="727F728F"/>
    <w:rsid w:val="72822E9E"/>
    <w:rsid w:val="7290404D"/>
    <w:rsid w:val="729C1D3E"/>
    <w:rsid w:val="72A80975"/>
    <w:rsid w:val="72AD720F"/>
    <w:rsid w:val="72C267AD"/>
    <w:rsid w:val="72E37031"/>
    <w:rsid w:val="72F339DF"/>
    <w:rsid w:val="72FC282D"/>
    <w:rsid w:val="7305666C"/>
    <w:rsid w:val="731505F8"/>
    <w:rsid w:val="731955B0"/>
    <w:rsid w:val="731B2636"/>
    <w:rsid w:val="73334198"/>
    <w:rsid w:val="73397BC1"/>
    <w:rsid w:val="73536174"/>
    <w:rsid w:val="735759D8"/>
    <w:rsid w:val="7358775B"/>
    <w:rsid w:val="735B7F50"/>
    <w:rsid w:val="737911FC"/>
    <w:rsid w:val="738C32BA"/>
    <w:rsid w:val="738F33AD"/>
    <w:rsid w:val="739163D9"/>
    <w:rsid w:val="739F0E13"/>
    <w:rsid w:val="73AF59AB"/>
    <w:rsid w:val="73B51850"/>
    <w:rsid w:val="73BC5A81"/>
    <w:rsid w:val="73C71EDD"/>
    <w:rsid w:val="73CC2623"/>
    <w:rsid w:val="73CD4FE3"/>
    <w:rsid w:val="73CF47A1"/>
    <w:rsid w:val="73DA4DF9"/>
    <w:rsid w:val="73F15E96"/>
    <w:rsid w:val="73F16D2F"/>
    <w:rsid w:val="73F230C5"/>
    <w:rsid w:val="7400381E"/>
    <w:rsid w:val="741E56AC"/>
    <w:rsid w:val="7423420D"/>
    <w:rsid w:val="742853C8"/>
    <w:rsid w:val="74324450"/>
    <w:rsid w:val="743B5EA5"/>
    <w:rsid w:val="74411BD6"/>
    <w:rsid w:val="745A5E80"/>
    <w:rsid w:val="745D741C"/>
    <w:rsid w:val="746B76D3"/>
    <w:rsid w:val="746E72F3"/>
    <w:rsid w:val="747607E0"/>
    <w:rsid w:val="747B573E"/>
    <w:rsid w:val="74821A87"/>
    <w:rsid w:val="74855AFE"/>
    <w:rsid w:val="74A06CF1"/>
    <w:rsid w:val="74A41F6F"/>
    <w:rsid w:val="74A85EB5"/>
    <w:rsid w:val="74AF7363"/>
    <w:rsid w:val="74B10E34"/>
    <w:rsid w:val="74B15375"/>
    <w:rsid w:val="74B530B7"/>
    <w:rsid w:val="74BB5D30"/>
    <w:rsid w:val="74BE4C4C"/>
    <w:rsid w:val="74C74B98"/>
    <w:rsid w:val="74DA29AE"/>
    <w:rsid w:val="74DF4D44"/>
    <w:rsid w:val="74F900F2"/>
    <w:rsid w:val="74F9143C"/>
    <w:rsid w:val="74FB2A94"/>
    <w:rsid w:val="75043BA7"/>
    <w:rsid w:val="75154854"/>
    <w:rsid w:val="751C0965"/>
    <w:rsid w:val="75341770"/>
    <w:rsid w:val="75354225"/>
    <w:rsid w:val="75537138"/>
    <w:rsid w:val="75626BEA"/>
    <w:rsid w:val="7567426F"/>
    <w:rsid w:val="757B9A98"/>
    <w:rsid w:val="75812F99"/>
    <w:rsid w:val="75864A53"/>
    <w:rsid w:val="758F1D65"/>
    <w:rsid w:val="75922FD6"/>
    <w:rsid w:val="75A373B3"/>
    <w:rsid w:val="75A92C48"/>
    <w:rsid w:val="75AD0232"/>
    <w:rsid w:val="75C33FB5"/>
    <w:rsid w:val="75CC2614"/>
    <w:rsid w:val="75D015DF"/>
    <w:rsid w:val="75D60E9A"/>
    <w:rsid w:val="75D92DD5"/>
    <w:rsid w:val="75DC824B"/>
    <w:rsid w:val="75DF53EF"/>
    <w:rsid w:val="75F714AD"/>
    <w:rsid w:val="75F93477"/>
    <w:rsid w:val="76002970"/>
    <w:rsid w:val="760A4251"/>
    <w:rsid w:val="7621477C"/>
    <w:rsid w:val="76366479"/>
    <w:rsid w:val="76516E0F"/>
    <w:rsid w:val="76530DD9"/>
    <w:rsid w:val="76533498"/>
    <w:rsid w:val="766A1E62"/>
    <w:rsid w:val="766F3739"/>
    <w:rsid w:val="767825EE"/>
    <w:rsid w:val="76822AFB"/>
    <w:rsid w:val="76872831"/>
    <w:rsid w:val="768947FB"/>
    <w:rsid w:val="768D3ECF"/>
    <w:rsid w:val="768F65E7"/>
    <w:rsid w:val="76B1125D"/>
    <w:rsid w:val="76B14F90"/>
    <w:rsid w:val="76BD0166"/>
    <w:rsid w:val="76CE587C"/>
    <w:rsid w:val="76E97048"/>
    <w:rsid w:val="76F8794E"/>
    <w:rsid w:val="76FA60C2"/>
    <w:rsid w:val="77000CA2"/>
    <w:rsid w:val="770277DC"/>
    <w:rsid w:val="770E1EE3"/>
    <w:rsid w:val="77130569"/>
    <w:rsid w:val="77257EF6"/>
    <w:rsid w:val="773448B7"/>
    <w:rsid w:val="774A385E"/>
    <w:rsid w:val="7750356B"/>
    <w:rsid w:val="77552074"/>
    <w:rsid w:val="775C652D"/>
    <w:rsid w:val="77603EAD"/>
    <w:rsid w:val="77666E97"/>
    <w:rsid w:val="776B2153"/>
    <w:rsid w:val="777B7B34"/>
    <w:rsid w:val="779416A9"/>
    <w:rsid w:val="779918C6"/>
    <w:rsid w:val="77D53A70"/>
    <w:rsid w:val="77F263D0"/>
    <w:rsid w:val="77F328D5"/>
    <w:rsid w:val="77F40518"/>
    <w:rsid w:val="77F620AE"/>
    <w:rsid w:val="77FDC88D"/>
    <w:rsid w:val="77FF98BE"/>
    <w:rsid w:val="7822033C"/>
    <w:rsid w:val="782238D7"/>
    <w:rsid w:val="78283BA0"/>
    <w:rsid w:val="78300953"/>
    <w:rsid w:val="78520C1D"/>
    <w:rsid w:val="78550D00"/>
    <w:rsid w:val="785E28CF"/>
    <w:rsid w:val="78670B6C"/>
    <w:rsid w:val="786A065C"/>
    <w:rsid w:val="787768D5"/>
    <w:rsid w:val="78841560"/>
    <w:rsid w:val="78966921"/>
    <w:rsid w:val="78A90589"/>
    <w:rsid w:val="78AD0549"/>
    <w:rsid w:val="78B557DA"/>
    <w:rsid w:val="78B76B8E"/>
    <w:rsid w:val="78CB4F7D"/>
    <w:rsid w:val="78CF04BF"/>
    <w:rsid w:val="78DD0E2E"/>
    <w:rsid w:val="78ED3005"/>
    <w:rsid w:val="78F7624D"/>
    <w:rsid w:val="791757D6"/>
    <w:rsid w:val="791D747D"/>
    <w:rsid w:val="794F4B59"/>
    <w:rsid w:val="79687EAB"/>
    <w:rsid w:val="79725A1A"/>
    <w:rsid w:val="79797086"/>
    <w:rsid w:val="7981073A"/>
    <w:rsid w:val="798B1F3D"/>
    <w:rsid w:val="798E6DA3"/>
    <w:rsid w:val="79905508"/>
    <w:rsid w:val="799A648F"/>
    <w:rsid w:val="79A25384"/>
    <w:rsid w:val="79A33E26"/>
    <w:rsid w:val="79A55C0B"/>
    <w:rsid w:val="79B44BC5"/>
    <w:rsid w:val="79B74A9C"/>
    <w:rsid w:val="79B75C6B"/>
    <w:rsid w:val="79B871A5"/>
    <w:rsid w:val="79BF1AA6"/>
    <w:rsid w:val="79D8414E"/>
    <w:rsid w:val="79E24918"/>
    <w:rsid w:val="79FD9C44"/>
    <w:rsid w:val="79FF71FC"/>
    <w:rsid w:val="7A010B4C"/>
    <w:rsid w:val="7A0933FE"/>
    <w:rsid w:val="7A1E6862"/>
    <w:rsid w:val="7A266805"/>
    <w:rsid w:val="7A315809"/>
    <w:rsid w:val="7A3740A0"/>
    <w:rsid w:val="7A3A1453"/>
    <w:rsid w:val="7A435083"/>
    <w:rsid w:val="7A6F5AB6"/>
    <w:rsid w:val="7A747570"/>
    <w:rsid w:val="7A796935"/>
    <w:rsid w:val="7A7A783A"/>
    <w:rsid w:val="7A9541F1"/>
    <w:rsid w:val="7A9E2EB4"/>
    <w:rsid w:val="7AAA2F92"/>
    <w:rsid w:val="7AB0271E"/>
    <w:rsid w:val="7AB20D71"/>
    <w:rsid w:val="7ABE2EF9"/>
    <w:rsid w:val="7ACE7238"/>
    <w:rsid w:val="7AE244DA"/>
    <w:rsid w:val="7AF4245F"/>
    <w:rsid w:val="7AF702F5"/>
    <w:rsid w:val="7AFD185B"/>
    <w:rsid w:val="7AFE32DE"/>
    <w:rsid w:val="7B065E73"/>
    <w:rsid w:val="7B112DCF"/>
    <w:rsid w:val="7B130B37"/>
    <w:rsid w:val="7B160627"/>
    <w:rsid w:val="7B2120E1"/>
    <w:rsid w:val="7B270F6A"/>
    <w:rsid w:val="7B2A2304"/>
    <w:rsid w:val="7B3D7962"/>
    <w:rsid w:val="7B3F0E5E"/>
    <w:rsid w:val="7B4E09DE"/>
    <w:rsid w:val="7B614548"/>
    <w:rsid w:val="7B656EB9"/>
    <w:rsid w:val="7B6E3FBF"/>
    <w:rsid w:val="7B711E44"/>
    <w:rsid w:val="7B907230"/>
    <w:rsid w:val="7B915F00"/>
    <w:rsid w:val="7B9D70C3"/>
    <w:rsid w:val="7B9E3C4B"/>
    <w:rsid w:val="7BA2010D"/>
    <w:rsid w:val="7BA82B1B"/>
    <w:rsid w:val="7BB67714"/>
    <w:rsid w:val="7BBC5302"/>
    <w:rsid w:val="7BD20233"/>
    <w:rsid w:val="7BDD1C51"/>
    <w:rsid w:val="7BE47080"/>
    <w:rsid w:val="7BE97AEA"/>
    <w:rsid w:val="7BEC339E"/>
    <w:rsid w:val="7BF67A69"/>
    <w:rsid w:val="7BFE45E1"/>
    <w:rsid w:val="7C0A30FF"/>
    <w:rsid w:val="7C0D1A2A"/>
    <w:rsid w:val="7C0E7550"/>
    <w:rsid w:val="7C0E791F"/>
    <w:rsid w:val="7C1C5764"/>
    <w:rsid w:val="7C2535BA"/>
    <w:rsid w:val="7C387586"/>
    <w:rsid w:val="7C441CB9"/>
    <w:rsid w:val="7C445EE5"/>
    <w:rsid w:val="7C4559BB"/>
    <w:rsid w:val="7C4A67DB"/>
    <w:rsid w:val="7C4D30F8"/>
    <w:rsid w:val="7C5807CC"/>
    <w:rsid w:val="7C5C4BA0"/>
    <w:rsid w:val="7C6841A2"/>
    <w:rsid w:val="7C6F1677"/>
    <w:rsid w:val="7C6F7F88"/>
    <w:rsid w:val="7C7A343C"/>
    <w:rsid w:val="7C7D7C97"/>
    <w:rsid w:val="7C8F6AF9"/>
    <w:rsid w:val="7C975798"/>
    <w:rsid w:val="7CA47D8C"/>
    <w:rsid w:val="7CB65C1E"/>
    <w:rsid w:val="7CB90EF3"/>
    <w:rsid w:val="7CB9570E"/>
    <w:rsid w:val="7CD24A22"/>
    <w:rsid w:val="7CDB38D7"/>
    <w:rsid w:val="7CDF720B"/>
    <w:rsid w:val="7CEC1640"/>
    <w:rsid w:val="7CFA60E7"/>
    <w:rsid w:val="7D0F3586"/>
    <w:rsid w:val="7D1D4C69"/>
    <w:rsid w:val="7D6E02A7"/>
    <w:rsid w:val="7D7175AC"/>
    <w:rsid w:val="7D7A7757"/>
    <w:rsid w:val="7D7E9CC3"/>
    <w:rsid w:val="7D814CF3"/>
    <w:rsid w:val="7D9D3B5A"/>
    <w:rsid w:val="7DA25A24"/>
    <w:rsid w:val="7DB23C1F"/>
    <w:rsid w:val="7DB305B1"/>
    <w:rsid w:val="7DBA173E"/>
    <w:rsid w:val="7DBD4855"/>
    <w:rsid w:val="7DC71041"/>
    <w:rsid w:val="7DCF6701"/>
    <w:rsid w:val="7DD10836"/>
    <w:rsid w:val="7DD33150"/>
    <w:rsid w:val="7DDA520A"/>
    <w:rsid w:val="7DDD367E"/>
    <w:rsid w:val="7DE5359B"/>
    <w:rsid w:val="7DFA0564"/>
    <w:rsid w:val="7DFB4E28"/>
    <w:rsid w:val="7E021156"/>
    <w:rsid w:val="7E133058"/>
    <w:rsid w:val="7E176A1A"/>
    <w:rsid w:val="7E1F3C97"/>
    <w:rsid w:val="7E26259C"/>
    <w:rsid w:val="7E265025"/>
    <w:rsid w:val="7E39311B"/>
    <w:rsid w:val="7E402442"/>
    <w:rsid w:val="7E402F77"/>
    <w:rsid w:val="7E485A3E"/>
    <w:rsid w:val="7E607ECF"/>
    <w:rsid w:val="7E660124"/>
    <w:rsid w:val="7E6B0C8A"/>
    <w:rsid w:val="7E6E05F5"/>
    <w:rsid w:val="7E7933A7"/>
    <w:rsid w:val="7E8D0280"/>
    <w:rsid w:val="7EA84AFB"/>
    <w:rsid w:val="7EC32874"/>
    <w:rsid w:val="7ED61926"/>
    <w:rsid w:val="7ED625A7"/>
    <w:rsid w:val="7EDC00F1"/>
    <w:rsid w:val="7EEC78B6"/>
    <w:rsid w:val="7EFC5FE4"/>
    <w:rsid w:val="7F08117B"/>
    <w:rsid w:val="7F135872"/>
    <w:rsid w:val="7F1A77D1"/>
    <w:rsid w:val="7F212147"/>
    <w:rsid w:val="7F2331D9"/>
    <w:rsid w:val="7F317648"/>
    <w:rsid w:val="7F3177DE"/>
    <w:rsid w:val="7F371282"/>
    <w:rsid w:val="7F3A5785"/>
    <w:rsid w:val="7F480E1D"/>
    <w:rsid w:val="7F5356CA"/>
    <w:rsid w:val="7F5A4AD7"/>
    <w:rsid w:val="7F6343F0"/>
    <w:rsid w:val="7F6966EB"/>
    <w:rsid w:val="7F6C6BA7"/>
    <w:rsid w:val="7F7697CE"/>
    <w:rsid w:val="7F7F2531"/>
    <w:rsid w:val="7F8F4DE9"/>
    <w:rsid w:val="7F970C70"/>
    <w:rsid w:val="7FA0102D"/>
    <w:rsid w:val="7FA67E6D"/>
    <w:rsid w:val="7FC35AEC"/>
    <w:rsid w:val="7FC543CA"/>
    <w:rsid w:val="7FD76EA5"/>
    <w:rsid w:val="7FD922BD"/>
    <w:rsid w:val="7FE73B8E"/>
    <w:rsid w:val="7FE847D2"/>
    <w:rsid w:val="7FFC5F3E"/>
    <w:rsid w:val="7FFCD198"/>
    <w:rsid w:val="7FFEB75D"/>
    <w:rsid w:val="7FFF8A42"/>
    <w:rsid w:val="7FFFB452"/>
    <w:rsid w:val="92F7370E"/>
    <w:rsid w:val="96C60248"/>
    <w:rsid w:val="979BD795"/>
    <w:rsid w:val="9BEFF38F"/>
    <w:rsid w:val="B0EED2FA"/>
    <w:rsid w:val="B4FE47A1"/>
    <w:rsid w:val="BBFE9AF4"/>
    <w:rsid w:val="BDFED64D"/>
    <w:rsid w:val="BF9FE7AF"/>
    <w:rsid w:val="CED67FAC"/>
    <w:rsid w:val="CF3FAEB1"/>
    <w:rsid w:val="CF5E1FD6"/>
    <w:rsid w:val="CFFF9834"/>
    <w:rsid w:val="D9FA21FC"/>
    <w:rsid w:val="DBDE6328"/>
    <w:rsid w:val="DFB5BB21"/>
    <w:rsid w:val="DFBB9C04"/>
    <w:rsid w:val="E30E271D"/>
    <w:rsid w:val="E3C532B1"/>
    <w:rsid w:val="EE55AF7A"/>
    <w:rsid w:val="EF1F4382"/>
    <w:rsid w:val="EFFE4A82"/>
    <w:rsid w:val="F26F2142"/>
    <w:rsid w:val="F35E1FA6"/>
    <w:rsid w:val="F7CF7008"/>
    <w:rsid w:val="F7DFCA63"/>
    <w:rsid w:val="FBD34E8C"/>
    <w:rsid w:val="FBD96280"/>
    <w:rsid w:val="FBFF8AA0"/>
    <w:rsid w:val="FD3D1EEC"/>
    <w:rsid w:val="FD636223"/>
    <w:rsid w:val="FDFFC24C"/>
    <w:rsid w:val="FF7FEC24"/>
    <w:rsid w:val="FFB7DC61"/>
    <w:rsid w:val="FFBF6593"/>
    <w:rsid w:val="FFEC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qFormat="1" w:unhideWhenUsed="0" w:uiPriority="99" w:semiHidden="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qFormat="1"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99" w:semiHidden="0" w:name="Subtitle"/>
    <w:lsdException w:uiPriority="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spacing w:line="360" w:lineRule="auto"/>
      <w:outlineLvl w:val="1"/>
    </w:pPr>
    <w:rPr>
      <w:rFonts w:ascii="Arial" w:hAnsi="Arial"/>
      <w:bCs/>
      <w:sz w:val="24"/>
      <w:szCs w:val="32"/>
    </w:rPr>
  </w:style>
  <w:style w:type="paragraph" w:styleId="4">
    <w:name w:val="heading 3"/>
    <w:basedOn w:val="3"/>
    <w:next w:val="1"/>
    <w:qFormat/>
    <w:uiPriority w:val="0"/>
    <w:pPr>
      <w:spacing w:before="260" w:after="260" w:line="416" w:lineRule="auto"/>
      <w:outlineLvl w:val="2"/>
    </w:pPr>
    <w:rPr>
      <w:sz w:val="32"/>
    </w:rPr>
  </w:style>
  <w:style w:type="paragraph" w:styleId="5">
    <w:name w:val="heading 4"/>
    <w:basedOn w:val="1"/>
    <w:next w:val="1"/>
    <w:qFormat/>
    <w:uiPriority w:val="0"/>
    <w:pPr>
      <w:spacing w:before="280" w:after="290" w:line="376" w:lineRule="auto"/>
      <w:outlineLvl w:val="3"/>
    </w:pPr>
    <w:rPr>
      <w:rFonts w:eastAsia="黑体"/>
      <w:sz w:val="28"/>
      <w:szCs w:val="28"/>
    </w:rPr>
  </w:style>
  <w:style w:type="paragraph" w:styleId="6">
    <w:name w:val="heading 5"/>
    <w:basedOn w:val="1"/>
    <w:next w:val="7"/>
    <w:unhideWhenUsed/>
    <w:qFormat/>
    <w:uiPriority w:val="9"/>
    <w:pPr>
      <w:keepNext/>
      <w:keepLines/>
      <w:numPr>
        <w:ilvl w:val="4"/>
        <w:numId w:val="1"/>
      </w:numPr>
      <w:ind w:left="0" w:firstLine="0"/>
      <w:outlineLvl w:val="4"/>
    </w:pPr>
    <w:rPr>
      <w:rFonts w:ascii="宋体" w:hAnsi="宋体"/>
      <w:szCs w:val="28"/>
    </w:rPr>
  </w:style>
  <w:style w:type="paragraph" w:styleId="9">
    <w:name w:val="heading 6"/>
    <w:basedOn w:val="1"/>
    <w:next w:val="1"/>
    <w:link w:val="72"/>
    <w:unhideWhenUsed/>
    <w:qFormat/>
    <w:uiPriority w:val="0"/>
    <w:pPr>
      <w:keepNext/>
      <w:keepLines/>
      <w:spacing w:before="240" w:after="64" w:line="320" w:lineRule="auto"/>
      <w:outlineLvl w:val="5"/>
    </w:pPr>
    <w:rPr>
      <w:rFonts w:ascii="Cambria" w:hAnsi="Cambria" w:cs="黑体"/>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Body Text First Indent"/>
    <w:basedOn w:val="8"/>
    <w:unhideWhenUsed/>
    <w:qFormat/>
    <w:uiPriority w:val="99"/>
    <w:pPr>
      <w:ind w:firstLine="420" w:firstLineChars="100"/>
    </w:pPr>
  </w:style>
  <w:style w:type="paragraph" w:styleId="8">
    <w:name w:val="Body Text"/>
    <w:basedOn w:val="1"/>
    <w:qFormat/>
    <w:uiPriority w:val="0"/>
    <w:pPr>
      <w:spacing w:after="120"/>
    </w:pPr>
  </w:style>
  <w:style w:type="paragraph" w:styleId="10">
    <w:name w:val="index 8"/>
    <w:basedOn w:val="1"/>
    <w:next w:val="1"/>
    <w:qFormat/>
    <w:uiPriority w:val="99"/>
    <w:pPr>
      <w:ind w:left="2942"/>
    </w:pPr>
  </w:style>
  <w:style w:type="paragraph" w:styleId="11">
    <w:name w:val="Normal Indent"/>
    <w:basedOn w:val="1"/>
    <w:next w:val="12"/>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Document Map"/>
    <w:basedOn w:val="1"/>
    <w:semiHidden/>
    <w:unhideWhenUsed/>
    <w:qFormat/>
    <w:uiPriority w:val="99"/>
    <w:rPr>
      <w:rFonts w:ascii="Microsoft YaHei UI" w:eastAsia="Microsoft YaHei UI"/>
      <w:sz w:val="18"/>
      <w:szCs w:val="18"/>
    </w:rPr>
  </w:style>
  <w:style w:type="paragraph" w:styleId="13">
    <w:name w:val="caption"/>
    <w:basedOn w:val="1"/>
    <w:next w:val="1"/>
    <w:link w:val="71"/>
    <w:qFormat/>
    <w:uiPriority w:val="0"/>
    <w:rPr>
      <w:rFonts w:ascii="Calibri Light" w:hAnsi="Calibri Light" w:eastAsia="黑体" w:cs="宋体"/>
      <w:sz w:val="20"/>
      <w:szCs w:val="20"/>
    </w:rPr>
  </w:style>
  <w:style w:type="paragraph" w:styleId="14">
    <w:name w:val="annotation text"/>
    <w:basedOn w:val="1"/>
    <w:link w:val="69"/>
    <w:qFormat/>
    <w:uiPriority w:val="0"/>
    <w:pPr>
      <w:jc w:val="left"/>
    </w:pPr>
  </w:style>
  <w:style w:type="paragraph" w:styleId="15">
    <w:name w:val="Body Text Indent"/>
    <w:basedOn w:val="1"/>
    <w:next w:val="16"/>
    <w:qFormat/>
    <w:uiPriority w:val="0"/>
    <w:pPr>
      <w:spacing w:after="120"/>
      <w:ind w:left="420" w:leftChars="200"/>
    </w:pPr>
  </w:style>
  <w:style w:type="paragraph" w:styleId="16">
    <w:name w:val="annotation subject"/>
    <w:basedOn w:val="14"/>
    <w:next w:val="1"/>
    <w:link w:val="70"/>
    <w:qFormat/>
    <w:uiPriority w:val="0"/>
    <w:rPr>
      <w:b/>
      <w:bCs/>
    </w:rPr>
  </w:style>
  <w:style w:type="paragraph" w:styleId="17">
    <w:name w:val="Block Text"/>
    <w:basedOn w:val="1"/>
    <w:qFormat/>
    <w:uiPriority w:val="0"/>
    <w:pPr>
      <w:spacing w:after="120"/>
      <w:ind w:left="700" w:leftChars="700" w:right="700" w:rightChars="700"/>
    </w:pPr>
    <w:rPr>
      <w:rFonts w:ascii="Calibri" w:hAnsi="Calibri"/>
    </w:rPr>
  </w:style>
  <w:style w:type="paragraph" w:styleId="18">
    <w:name w:val="toc 3"/>
    <w:basedOn w:val="1"/>
    <w:next w:val="1"/>
    <w:qFormat/>
    <w:uiPriority w:val="0"/>
    <w:pPr>
      <w:ind w:left="400" w:leftChars="400"/>
    </w:pPr>
  </w:style>
  <w:style w:type="paragraph" w:styleId="19">
    <w:name w:val="Plain Text"/>
    <w:basedOn w:val="1"/>
    <w:next w:val="1"/>
    <w:qFormat/>
    <w:uiPriority w:val="0"/>
    <w:rPr>
      <w:rFonts w:ascii="宋体" w:hAnsi="Courier New" w:cs="Courier New"/>
      <w:szCs w:val="21"/>
    </w:rPr>
  </w:style>
  <w:style w:type="paragraph" w:styleId="20">
    <w:name w:val="Date"/>
    <w:basedOn w:val="1"/>
    <w:next w:val="1"/>
    <w:qFormat/>
    <w:uiPriority w:val="0"/>
    <w:rPr>
      <w:sz w:val="24"/>
      <w:szCs w:val="20"/>
    </w:rPr>
  </w:style>
  <w:style w:type="paragraph" w:styleId="21">
    <w:name w:val="Balloon Text"/>
    <w:basedOn w:val="1"/>
    <w:link w:val="65"/>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qFormat/>
    <w:uiPriority w:val="99"/>
    <w:pPr>
      <w:spacing w:before="240" w:after="60" w:line="312" w:lineRule="atLeast"/>
      <w:jc w:val="center"/>
      <w:textAlignment w:val="baseline"/>
      <w:outlineLvl w:val="1"/>
    </w:pPr>
    <w:rPr>
      <w:rFonts w:ascii="Arial" w:hAnsi="Arial"/>
      <w:b/>
      <w:bCs/>
      <w:kern w:val="28"/>
      <w:sz w:val="32"/>
      <w:szCs w:val="32"/>
    </w:rPr>
  </w:style>
  <w:style w:type="paragraph" w:styleId="26">
    <w:name w:val="index 7"/>
    <w:basedOn w:val="1"/>
    <w:next w:val="1"/>
    <w:qFormat/>
    <w:uiPriority w:val="0"/>
    <w:pPr>
      <w:ind w:left="2520"/>
    </w:pPr>
  </w:style>
  <w:style w:type="paragraph" w:styleId="27">
    <w:name w:val="toc 9"/>
    <w:basedOn w:val="1"/>
    <w:next w:val="1"/>
    <w:unhideWhenUsed/>
    <w:qFormat/>
    <w:uiPriority w:val="39"/>
    <w:pPr>
      <w:ind w:left="1680"/>
    </w:pPr>
    <w:rPr>
      <w:rFonts w:ascii="Calibri" w:hAnsi="Calibri"/>
      <w:sz w:val="18"/>
      <w:szCs w:val="18"/>
    </w:rPr>
  </w:style>
  <w:style w:type="paragraph" w:styleId="28">
    <w:name w:val="Body Text 2"/>
    <w:basedOn w:val="1"/>
    <w:next w:val="8"/>
    <w:qFormat/>
    <w:uiPriority w:val="0"/>
    <w:pPr>
      <w:spacing w:after="120" w:line="480" w:lineRule="auto"/>
    </w:pPr>
    <w:rPr>
      <w:kern w:val="0"/>
      <w:sz w:val="20"/>
    </w:r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Body Text First Indent 2"/>
    <w:basedOn w:val="15"/>
    <w:next w:val="1"/>
    <w:qFormat/>
    <w:uiPriority w:val="99"/>
    <w:pPr>
      <w:widowControl/>
      <w:spacing w:afterLines="100" w:line="360" w:lineRule="auto"/>
      <w:ind w:left="200" w:firstLine="210" w:firstLineChars="200"/>
      <w:jc w:val="left"/>
    </w:pPr>
    <w:rPr>
      <w:kern w:val="28"/>
      <w:sz w:val="24"/>
      <w:lang w:val="zh-CN"/>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5C5C5C"/>
      <w:u w:val="none"/>
    </w:rPr>
  </w:style>
  <w:style w:type="character" w:styleId="39">
    <w:name w:val="Emphasis"/>
    <w:basedOn w:val="35"/>
    <w:qFormat/>
    <w:uiPriority w:val="0"/>
  </w:style>
  <w:style w:type="character" w:styleId="40">
    <w:name w:val="Hyperlink"/>
    <w:basedOn w:val="35"/>
    <w:qFormat/>
    <w:uiPriority w:val="0"/>
    <w:rPr>
      <w:color w:val="5C5C5C"/>
      <w:u w:val="none"/>
    </w:rPr>
  </w:style>
  <w:style w:type="character" w:styleId="41">
    <w:name w:val="annotation reference"/>
    <w:basedOn w:val="35"/>
    <w:qFormat/>
    <w:uiPriority w:val="0"/>
    <w:rPr>
      <w:sz w:val="21"/>
      <w:szCs w:val="21"/>
    </w:rPr>
  </w:style>
  <w:style w:type="paragraph" w:customStyle="1" w:styleId="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3">
    <w:name w:val="列出段落1"/>
    <w:basedOn w:val="44"/>
    <w:qFormat/>
    <w:uiPriority w:val="0"/>
    <w:pPr>
      <w:spacing w:line="360" w:lineRule="auto"/>
      <w:ind w:firstLine="420" w:firstLineChars="200"/>
    </w:pPr>
    <w:rPr>
      <w:rFonts w:ascii="Calibri" w:hAnsi="Calibri"/>
      <w:sz w:val="24"/>
      <w:szCs w:val="22"/>
    </w:rPr>
  </w:style>
  <w:style w:type="paragraph" w:customStyle="1" w:styleId="44">
    <w:name w:val="正文_0"/>
    <w:next w:val="4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5">
    <w:name w:val="List Paragraph"/>
    <w:basedOn w:val="1"/>
    <w:qFormat/>
    <w:uiPriority w:val="99"/>
    <w:pPr>
      <w:ind w:firstLine="420" w:firstLineChars="200"/>
    </w:pPr>
  </w:style>
  <w:style w:type="paragraph" w:customStyle="1" w:styleId="46">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7">
    <w:name w:val="正文1"/>
    <w:basedOn w:val="44"/>
    <w:qFormat/>
    <w:uiPriority w:val="0"/>
    <w:pPr>
      <w:spacing w:line="360" w:lineRule="auto"/>
      <w:ind w:firstLine="480" w:firstLineChars="200"/>
    </w:pPr>
    <w:rPr>
      <w:sz w:val="24"/>
    </w:rPr>
  </w:style>
  <w:style w:type="paragraph" w:customStyle="1" w:styleId="48">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49">
    <w:name w:val="Body Text First Indent 21"/>
    <w:basedOn w:val="50"/>
    <w:qFormat/>
    <w:uiPriority w:val="0"/>
    <w:pPr>
      <w:ind w:firstLine="420"/>
    </w:pPr>
  </w:style>
  <w:style w:type="paragraph" w:customStyle="1" w:styleId="50">
    <w:name w:val="Body Text Indent1"/>
    <w:basedOn w:val="1"/>
    <w:qFormat/>
    <w:uiPriority w:val="0"/>
    <w:pPr>
      <w:spacing w:line="500" w:lineRule="exact"/>
      <w:ind w:firstLine="880" w:firstLineChars="200"/>
    </w:pPr>
  </w:style>
  <w:style w:type="paragraph" w:customStyle="1" w:styleId="51">
    <w:name w:val="BodyText1I2"/>
    <w:basedOn w:val="52"/>
    <w:qFormat/>
    <w:uiPriority w:val="0"/>
    <w:pPr>
      <w:widowControl/>
      <w:spacing w:line="360" w:lineRule="auto"/>
      <w:ind w:left="200" w:firstLine="210" w:firstLineChars="200"/>
      <w:jc w:val="left"/>
    </w:pPr>
    <w:rPr>
      <w:kern w:val="28"/>
      <w:sz w:val="24"/>
      <w:lang w:val="zh-CN"/>
    </w:rPr>
  </w:style>
  <w:style w:type="paragraph" w:customStyle="1" w:styleId="52">
    <w:name w:val="BodyTextIndent"/>
    <w:basedOn w:val="1"/>
    <w:qFormat/>
    <w:uiPriority w:val="0"/>
    <w:pPr>
      <w:spacing w:after="120"/>
      <w:ind w:left="420" w:leftChars="200"/>
    </w:pPr>
  </w:style>
  <w:style w:type="paragraph" w:customStyle="1" w:styleId="53">
    <w:name w:val="p0"/>
    <w:basedOn w:val="1"/>
    <w:qFormat/>
    <w:uiPriority w:val="0"/>
    <w:pPr>
      <w:widowControl/>
    </w:pPr>
    <w:rPr>
      <w:kern w:val="0"/>
      <w:szCs w:val="21"/>
    </w:rPr>
  </w:style>
  <w:style w:type="paragraph" w:customStyle="1" w:styleId="54">
    <w:name w:val="彩色列表 - 强调文字颜色 11"/>
    <w:basedOn w:val="1"/>
    <w:qFormat/>
    <w:uiPriority w:val="34"/>
    <w:pPr>
      <w:ind w:firstLine="420" w:firstLineChars="200"/>
    </w:pPr>
    <w:rPr>
      <w:rFonts w:ascii="Calibri" w:hAnsi="Calibri" w:cs="宋体"/>
      <w:szCs w:val="22"/>
    </w:rPr>
  </w:style>
  <w:style w:type="paragraph" w:customStyle="1" w:styleId="55">
    <w:name w:val="_Style 1"/>
    <w:basedOn w:val="1"/>
    <w:qFormat/>
    <w:uiPriority w:val="0"/>
    <w:pPr>
      <w:ind w:firstLine="420" w:firstLineChars="200"/>
    </w:pPr>
  </w:style>
  <w:style w:type="paragraph" w:customStyle="1" w:styleId="56">
    <w:name w:val="列表段落1"/>
    <w:basedOn w:val="1"/>
    <w:qFormat/>
    <w:uiPriority w:val="34"/>
    <w:pPr>
      <w:ind w:firstLine="420" w:firstLineChars="200"/>
    </w:pPr>
  </w:style>
  <w:style w:type="paragraph" w:customStyle="1" w:styleId="57">
    <w:name w:val="我的正文"/>
    <w:basedOn w:val="1"/>
    <w:qFormat/>
    <w:uiPriority w:val="0"/>
    <w:rPr>
      <w:rFonts w:ascii="Calibri" w:hAnsi="Calibri" w:cs="宋体"/>
      <w:szCs w:val="22"/>
    </w:rPr>
  </w:style>
  <w:style w:type="paragraph" w:customStyle="1" w:styleId="58">
    <w:name w:val="列表段落11"/>
    <w:basedOn w:val="1"/>
    <w:qFormat/>
    <w:uiPriority w:val="0"/>
    <w:pPr>
      <w:ind w:firstLine="420" w:firstLineChars="200"/>
    </w:pPr>
    <w:rPr>
      <w:rFonts w:ascii="Calibri" w:hAnsi="Calibri" w:cs="Calibri"/>
      <w:szCs w:val="21"/>
    </w:rPr>
  </w:style>
  <w:style w:type="paragraph" w:customStyle="1" w:styleId="59">
    <w:name w:val="HtmlPre"/>
    <w:basedOn w:val="1"/>
    <w:qFormat/>
    <w:uiPriority w:val="0"/>
    <w:pPr>
      <w:widowControl/>
      <w:tabs>
        <w:tab w:val="bar" w:pos="916"/>
        <w:tab w:val="left" w:leader="underscore" w:pos="1832"/>
        <w:tab w:val="left" w:leader="dot" w:pos="2748"/>
        <w:tab w:val="decimal" w:leader="underscore" w:pos="3664"/>
        <w:tab w:val="bar" w:leader="underscore" w:pos="4580"/>
        <w:tab w:val="left" w:pos="6412"/>
        <w:tab w:val="right" w:leader="middleDot" w:pos="7328"/>
        <w:tab w:val="bar" w:pos="8244"/>
        <w:tab w:val="left" w:leader="middleDot" w:pos="9160"/>
        <w:tab w:val="left" w:leader="underscore" w:pos="10076"/>
        <w:tab w:val="right" w:pos="10992"/>
        <w:tab w:val="bar" w:leader="middleDot" w:pos="11908"/>
        <w:tab w:val="left" w:pos="13740"/>
        <w:tab w:val="center" w:pos="14656"/>
      </w:tabs>
      <w:jc w:val="left"/>
    </w:pPr>
    <w:rPr>
      <w:rFonts w:ascii="Arial" w:hAnsi="Arial"/>
      <w:kern w:val="0"/>
      <w:sz w:val="24"/>
    </w:rPr>
  </w:style>
  <w:style w:type="paragraph" w:customStyle="1" w:styleId="60">
    <w:name w:val="0段落文字"/>
    <w:basedOn w:val="1"/>
    <w:qFormat/>
    <w:uiPriority w:val="0"/>
    <w:pPr>
      <w:spacing w:line="360" w:lineRule="auto"/>
      <w:ind w:firstLine="200" w:firstLineChars="200"/>
    </w:pPr>
    <w:rPr>
      <w:sz w:val="24"/>
      <w:szCs w:val="21"/>
    </w:rPr>
  </w:style>
  <w:style w:type="paragraph" w:customStyle="1" w:styleId="61">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62">
    <w:name w:val="Normal_12"/>
    <w:qFormat/>
    <w:uiPriority w:val="0"/>
    <w:pPr>
      <w:widowControl w:val="0"/>
      <w:jc w:val="both"/>
    </w:pPr>
    <w:rPr>
      <w:rFonts w:ascii="Calibri" w:hAnsi="Calibri" w:eastAsia="宋体" w:cs="Times New Roman"/>
      <w:lang w:val="en-US" w:eastAsia="zh-CN" w:bidi="ar-SA"/>
    </w:rPr>
  </w:style>
  <w:style w:type="paragraph" w:customStyle="1" w:styleId="63">
    <w:name w:val="Normal_6"/>
    <w:qFormat/>
    <w:uiPriority w:val="0"/>
    <w:pPr>
      <w:widowControl w:val="0"/>
      <w:jc w:val="both"/>
    </w:pPr>
    <w:rPr>
      <w:rFonts w:ascii="Calibri" w:hAnsi="Calibri" w:eastAsia="宋体" w:cs="Times New Roman"/>
      <w:lang w:val="en-US" w:eastAsia="zh-CN" w:bidi="ar-SA"/>
    </w:rPr>
  </w:style>
  <w:style w:type="paragraph" w:customStyle="1" w:styleId="64">
    <w:name w:val="正文 A"/>
    <w:basedOn w:val="1"/>
    <w:qFormat/>
    <w:uiPriority w:val="0"/>
    <w:rPr>
      <w:color w:val="000000"/>
      <w:szCs w:val="21"/>
    </w:rPr>
  </w:style>
  <w:style w:type="character" w:customStyle="1" w:styleId="65">
    <w:name w:val="批注框文本 字符"/>
    <w:basedOn w:val="35"/>
    <w:link w:val="21"/>
    <w:qFormat/>
    <w:uiPriority w:val="0"/>
    <w:rPr>
      <w:kern w:val="2"/>
      <w:sz w:val="18"/>
      <w:szCs w:val="18"/>
    </w:rPr>
  </w:style>
  <w:style w:type="character" w:customStyle="1" w:styleId="66">
    <w:name w:val="NormalCharacter"/>
    <w:qFormat/>
    <w:uiPriority w:val="0"/>
  </w:style>
  <w:style w:type="character" w:customStyle="1" w:styleId="67">
    <w:name w:val="font71"/>
    <w:basedOn w:val="35"/>
    <w:qFormat/>
    <w:uiPriority w:val="0"/>
    <w:rPr>
      <w:rFonts w:hint="eastAsia" w:ascii="微软雅黑" w:hAnsi="微软雅黑" w:eastAsia="微软雅黑" w:cs="微软雅黑"/>
      <w:b/>
      <w:color w:val="FF0000"/>
      <w:sz w:val="18"/>
      <w:szCs w:val="18"/>
      <w:u w:val="none"/>
    </w:rPr>
  </w:style>
  <w:style w:type="character" w:customStyle="1" w:styleId="68">
    <w:name w:val="font41"/>
    <w:basedOn w:val="35"/>
    <w:qFormat/>
    <w:uiPriority w:val="0"/>
    <w:rPr>
      <w:rFonts w:hint="eastAsia" w:ascii="微软雅黑" w:hAnsi="微软雅黑" w:eastAsia="微软雅黑" w:cs="微软雅黑"/>
      <w:color w:val="000000"/>
      <w:sz w:val="18"/>
      <w:szCs w:val="18"/>
      <w:u w:val="none"/>
    </w:rPr>
  </w:style>
  <w:style w:type="character" w:customStyle="1" w:styleId="69">
    <w:name w:val="批注文字 字符"/>
    <w:basedOn w:val="35"/>
    <w:link w:val="14"/>
    <w:qFormat/>
    <w:uiPriority w:val="0"/>
    <w:rPr>
      <w:rFonts w:ascii="Times New Roman" w:hAnsi="Times New Roman" w:eastAsia="宋体" w:cs="Times New Roman"/>
      <w:kern w:val="2"/>
      <w:sz w:val="21"/>
      <w:szCs w:val="24"/>
    </w:rPr>
  </w:style>
  <w:style w:type="character" w:customStyle="1" w:styleId="70">
    <w:name w:val="批注主题 字符"/>
    <w:basedOn w:val="69"/>
    <w:link w:val="16"/>
    <w:qFormat/>
    <w:uiPriority w:val="0"/>
    <w:rPr>
      <w:rFonts w:ascii="Times New Roman" w:hAnsi="Times New Roman" w:eastAsia="宋体" w:cs="Times New Roman"/>
      <w:b/>
      <w:bCs/>
      <w:kern w:val="2"/>
      <w:sz w:val="21"/>
      <w:szCs w:val="24"/>
    </w:rPr>
  </w:style>
  <w:style w:type="character" w:customStyle="1" w:styleId="71">
    <w:name w:val="题注 字符"/>
    <w:link w:val="13"/>
    <w:qFormat/>
    <w:uiPriority w:val="0"/>
    <w:rPr>
      <w:rFonts w:ascii="Calibri Light" w:hAnsi="Calibri Light" w:eastAsia="黑体" w:cs="宋体"/>
      <w:kern w:val="2"/>
    </w:rPr>
  </w:style>
  <w:style w:type="character" w:customStyle="1" w:styleId="72">
    <w:name w:val="标题 6 字符"/>
    <w:basedOn w:val="35"/>
    <w:link w:val="9"/>
    <w:semiHidden/>
    <w:qFormat/>
    <w:uiPriority w:val="0"/>
    <w:rPr>
      <w:rFonts w:ascii="Cambria" w:hAnsi="Cambria" w:eastAsia="宋体" w:cs="黑体"/>
      <w:b/>
      <w:bCs/>
      <w:kern w:val="2"/>
      <w:sz w:val="24"/>
      <w:szCs w:val="24"/>
    </w:rPr>
  </w:style>
  <w:style w:type="character" w:customStyle="1" w:styleId="73">
    <w:name w:val="l-btn-icon-right"/>
    <w:basedOn w:val="35"/>
    <w:qFormat/>
    <w:uiPriority w:val="0"/>
  </w:style>
  <w:style w:type="character" w:customStyle="1" w:styleId="74">
    <w:name w:val="l-btn-left"/>
    <w:basedOn w:val="35"/>
    <w:qFormat/>
    <w:uiPriority w:val="0"/>
  </w:style>
  <w:style w:type="character" w:customStyle="1" w:styleId="75">
    <w:name w:val="l-btn-left1"/>
    <w:basedOn w:val="35"/>
    <w:qFormat/>
    <w:uiPriority w:val="0"/>
  </w:style>
  <w:style w:type="character" w:customStyle="1" w:styleId="76">
    <w:name w:val="l-btn-left2"/>
    <w:basedOn w:val="35"/>
    <w:qFormat/>
    <w:uiPriority w:val="0"/>
  </w:style>
  <w:style w:type="character" w:customStyle="1" w:styleId="77">
    <w:name w:val="l-btn-left3"/>
    <w:basedOn w:val="35"/>
    <w:qFormat/>
    <w:uiPriority w:val="0"/>
  </w:style>
  <w:style w:type="character" w:customStyle="1" w:styleId="78">
    <w:name w:val="l-btn-text"/>
    <w:basedOn w:val="35"/>
    <w:qFormat/>
    <w:uiPriority w:val="0"/>
    <w:rPr>
      <w:sz w:val="18"/>
      <w:szCs w:val="18"/>
      <w:vertAlign w:val="baseline"/>
    </w:rPr>
  </w:style>
  <w:style w:type="character" w:customStyle="1" w:styleId="79">
    <w:name w:val="l-btn-icon-left"/>
    <w:basedOn w:val="35"/>
    <w:qFormat/>
    <w:uiPriority w:val="0"/>
  </w:style>
  <w:style w:type="character" w:customStyle="1" w:styleId="80">
    <w:name w:val="l-btn-empty"/>
    <w:basedOn w:val="35"/>
    <w:qFormat/>
    <w:uiPriority w:val="0"/>
  </w:style>
  <w:style w:type="paragraph" w:customStyle="1" w:styleId="81">
    <w:name w:val="Body text|2"/>
    <w:basedOn w:val="1"/>
    <w:qFormat/>
    <w:uiPriority w:val="0"/>
    <w:pPr>
      <w:ind w:hanging="870"/>
    </w:pPr>
    <w:rPr>
      <w:rFonts w:ascii="宋体" w:hAnsi="宋体" w:cs="宋体"/>
      <w:sz w:val="17"/>
      <w:szCs w:val="17"/>
      <w:lang w:val="zh-TW" w:eastAsia="zh-TW" w:bidi="zh-TW"/>
    </w:rPr>
  </w:style>
  <w:style w:type="paragraph" w:customStyle="1" w:styleId="82">
    <w:name w:val="袁轲正文"/>
    <w:basedOn w:val="1"/>
    <w:qFormat/>
    <w:uiPriority w:val="0"/>
    <w:pPr>
      <w:snapToGrid w:val="0"/>
      <w:spacing w:line="360" w:lineRule="auto"/>
      <w:ind w:firstLine="560" w:firstLineChars="200"/>
    </w:pPr>
    <w:rPr>
      <w:rFonts w:ascii="仿宋_GB2312" w:eastAsia="仿宋_GB2312"/>
      <w:sz w:val="28"/>
      <w:szCs w:val="28"/>
    </w:rPr>
  </w:style>
  <w:style w:type="paragraph" w:customStyle="1" w:styleId="83">
    <w:name w:val="Normal_8"/>
    <w:qFormat/>
    <w:uiPriority w:val="0"/>
    <w:rPr>
      <w:rFonts w:ascii="Times New Roman" w:hAnsi="Times New Roman" w:eastAsia="Times New Roman" w:cs="Times New Roman"/>
      <w:sz w:val="24"/>
      <w:szCs w:val="24"/>
      <w:lang w:val="en-US" w:eastAsia="zh-CN" w:bidi="ar-SA"/>
    </w:rPr>
  </w:style>
  <w:style w:type="character" w:customStyle="1" w:styleId="84">
    <w:name w:val="font11"/>
    <w:basedOn w:val="35"/>
    <w:qFormat/>
    <w:uiPriority w:val="0"/>
    <w:rPr>
      <w:rFonts w:hint="eastAsia" w:ascii="仿宋" w:hAnsi="仿宋" w:eastAsia="仿宋" w:cs="仿宋"/>
      <w:color w:val="000000"/>
      <w:sz w:val="21"/>
      <w:szCs w:val="21"/>
      <w:u w:val="none"/>
    </w:rPr>
  </w:style>
  <w:style w:type="paragraph" w:customStyle="1" w:styleId="85">
    <w:name w:val="_标题2"/>
    <w:basedOn w:val="3"/>
    <w:next w:val="1"/>
    <w:qFormat/>
    <w:uiPriority w:val="99"/>
    <w:pPr>
      <w:numPr>
        <w:ilvl w:val="1"/>
        <w:numId w:val="2"/>
      </w:numPr>
    </w:pPr>
    <w:rPr>
      <w:rFonts w:ascii="仿宋" w:hAnsi="仿宋" w:eastAsia="仿宋" w:cs="仿宋"/>
      <w:color w:val="000000"/>
      <w:sz w:val="28"/>
      <w:szCs w:val="28"/>
    </w:rPr>
  </w:style>
  <w:style w:type="paragraph" w:customStyle="1" w:styleId="86">
    <w:name w:val="Normal_1"/>
    <w:qFormat/>
    <w:uiPriority w:val="0"/>
    <w:rPr>
      <w:rFonts w:ascii="Calibri" w:hAnsi="Calibri" w:eastAsia="宋体" w:cs="Times New Roman"/>
      <w:sz w:val="24"/>
      <w:szCs w:val="24"/>
      <w:lang w:val="en-US" w:eastAsia="zh-CN" w:bidi="ar-SA"/>
    </w:rPr>
  </w:style>
  <w:style w:type="paragraph" w:customStyle="1" w:styleId="8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8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标书正文:  0.74 厘米"/>
    <w:basedOn w:val="1"/>
    <w:qFormat/>
    <w:uiPriority w:val="0"/>
    <w:pPr>
      <w:widowControl/>
      <w:snapToGrid w:val="0"/>
      <w:spacing w:line="360" w:lineRule="auto"/>
      <w:ind w:firstLine="420" w:firstLineChars="200"/>
      <w:jc w:val="left"/>
    </w:pPr>
    <w:rPr>
      <w:kern w:val="0"/>
      <w:sz w:val="20"/>
      <w:szCs w:val="20"/>
      <w:lang w:val="zh-CN"/>
    </w:rPr>
  </w:style>
  <w:style w:type="character" w:customStyle="1" w:styleId="91">
    <w:name w:val="font21"/>
    <w:basedOn w:val="35"/>
    <w:qFormat/>
    <w:uiPriority w:val="0"/>
    <w:rPr>
      <w:rFonts w:hint="eastAsia" w:ascii="宋体" w:hAnsi="宋体" w:eastAsia="宋体" w:cs="宋体"/>
      <w:color w:val="000000"/>
      <w:sz w:val="28"/>
      <w:szCs w:val="28"/>
      <w:u w:val="none"/>
    </w:rPr>
  </w:style>
  <w:style w:type="paragraph" w:customStyle="1" w:styleId="92">
    <w:name w:val="my正文"/>
    <w:basedOn w:val="1"/>
    <w:qFormat/>
    <w:uiPriority w:val="0"/>
    <w:pPr>
      <w:ind w:firstLine="480" w:firstLineChars="200"/>
    </w:pPr>
    <w:rPr>
      <w:rFonts w:ascii="Cambria" w:hAnsi="Cambria"/>
    </w:rPr>
  </w:style>
  <w:style w:type="paragraph" w:customStyle="1" w:styleId="93">
    <w:name w:val="缺省文本"/>
    <w:basedOn w:val="1"/>
    <w:qFormat/>
    <w:uiPriority w:val="0"/>
    <w:pPr>
      <w:autoSpaceDE w:val="0"/>
      <w:autoSpaceDN w:val="0"/>
      <w:adjustRightInd w:val="0"/>
      <w:jc w:val="left"/>
    </w:pPr>
    <w:rPr>
      <w:sz w:val="24"/>
    </w:rPr>
  </w:style>
  <w:style w:type="paragraph" w:customStyle="1" w:styleId="94">
    <w:name w:val="工可正文"/>
    <w:basedOn w:val="95"/>
    <w:qFormat/>
    <w:uiPriority w:val="0"/>
    <w:rPr>
      <w:rFonts w:cs="宋体"/>
      <w:sz w:val="28"/>
      <w:szCs w:val="28"/>
    </w:rPr>
  </w:style>
  <w:style w:type="paragraph" w:customStyle="1" w:styleId="95">
    <w:name w:val="纯文本1"/>
    <w:basedOn w:val="1"/>
    <w:qFormat/>
    <w:uiPriority w:val="0"/>
    <w:rPr>
      <w:rFonts w:ascii="宋体" w:hAnsi="Courier New"/>
    </w:rPr>
  </w:style>
  <w:style w:type="paragraph" w:customStyle="1" w:styleId="96">
    <w:name w:val="缩进正文"/>
    <w:basedOn w:val="1"/>
    <w:qFormat/>
    <w:uiPriority w:val="0"/>
    <w:pPr>
      <w:jc w:val="left"/>
    </w:pPr>
  </w:style>
  <w:style w:type="paragraph" w:customStyle="1" w:styleId="97">
    <w:name w:val="表格内文字"/>
    <w:basedOn w:val="1"/>
    <w:qFormat/>
    <w:uiPriority w:val="0"/>
    <w:pPr>
      <w:widowControl/>
      <w:jc w:val="center"/>
    </w:pPr>
    <w:rPr>
      <w:color w:val="000000"/>
      <w:kern w:val="0"/>
      <w:sz w:val="24"/>
    </w:rPr>
  </w:style>
  <w:style w:type="paragraph" w:customStyle="1" w:styleId="98">
    <w:name w:val="报告正文文字"/>
    <w:basedOn w:val="1"/>
    <w:qFormat/>
    <w:uiPriority w:val="0"/>
    <w:pPr>
      <w:ind w:firstLine="560"/>
    </w:pPr>
    <w:rPr>
      <w:rFonts w:cs="宋体"/>
      <w:szCs w:val="20"/>
    </w:rPr>
  </w:style>
  <w:style w:type="paragraph" w:customStyle="1" w:styleId="99">
    <w:name w:val="BodyText"/>
    <w:basedOn w:val="1"/>
    <w:qFormat/>
    <w:uiPriority w:val="0"/>
    <w:pPr>
      <w:spacing w:after="120"/>
    </w:pPr>
    <w:rPr>
      <w:rFonts w:ascii="Calibri" w:hAnsi="Calibri"/>
    </w:rPr>
  </w:style>
  <w:style w:type="character" w:customStyle="1" w:styleId="100">
    <w:name w:val="UserStyle_28 Char"/>
    <w:basedOn w:val="35"/>
    <w:link w:val="101"/>
    <w:qFormat/>
    <w:uiPriority w:val="0"/>
    <w:rPr>
      <w:rFonts w:ascii="Calibri" w:hAnsi="Calibri" w:eastAsia="宋体" w:cs="Times New Roman"/>
      <w:kern w:val="2"/>
      <w:sz w:val="21"/>
      <w:szCs w:val="24"/>
      <w:lang w:val="en-US" w:eastAsia="zh-CN" w:bidi="ar-SA"/>
    </w:rPr>
  </w:style>
  <w:style w:type="paragraph" w:customStyle="1" w:styleId="101">
    <w:name w:val="UserStyle_28"/>
    <w:link w:val="100"/>
    <w:qFormat/>
    <w:uiPriority w:val="0"/>
    <w:pPr>
      <w:widowControl w:val="0"/>
      <w:tabs>
        <w:tab w:val="left" w:pos="907"/>
      </w:tabs>
      <w:ind w:left="906" w:hanging="453"/>
      <w:jc w:val="both"/>
      <w:textAlignment w:val="baseline"/>
    </w:pPr>
    <w:rPr>
      <w:rFonts w:ascii="Calibri" w:hAnsi="Calibri" w:eastAsia="宋体" w:cs="Times New Roman"/>
      <w:kern w:val="2"/>
      <w:sz w:val="21"/>
      <w:szCs w:val="24"/>
      <w:lang w:val="en-US" w:eastAsia="zh-CN" w:bidi="ar-SA"/>
    </w:rPr>
  </w:style>
  <w:style w:type="paragraph" w:customStyle="1" w:styleId="102">
    <w:name w:val="UserStyle_2"/>
    <w:basedOn w:val="103"/>
    <w:qFormat/>
    <w:uiPriority w:val="0"/>
    <w:pPr>
      <w:spacing w:after="120"/>
      <w:ind w:left="200" w:leftChars="200" w:firstLine="420"/>
      <w:jc w:val="both"/>
      <w:textAlignment w:val="baseline"/>
    </w:pPr>
    <w:rPr>
      <w:rFonts w:ascii="Times New Roman" w:hAnsi="Times New Roman" w:eastAsia="宋体"/>
      <w:kern w:val="2"/>
      <w:sz w:val="21"/>
      <w:szCs w:val="24"/>
      <w:lang w:val="en-US" w:eastAsia="zh-CN" w:bidi="ar-SA"/>
    </w:rPr>
  </w:style>
  <w:style w:type="paragraph" w:customStyle="1" w:styleId="103">
    <w:name w:val="UserStyle_3"/>
    <w:basedOn w:val="104"/>
    <w:qFormat/>
    <w:uiPriority w:val="0"/>
    <w:pPr>
      <w:spacing w:after="120"/>
      <w:ind w:left="200" w:leftChars="200"/>
      <w:jc w:val="both"/>
      <w:textAlignment w:val="baseline"/>
    </w:pPr>
    <w:rPr>
      <w:rFonts w:ascii="Times New Roman" w:hAnsi="Times New Roman" w:eastAsia="宋体"/>
      <w:kern w:val="2"/>
      <w:sz w:val="21"/>
      <w:szCs w:val="24"/>
      <w:lang w:val="en-US" w:eastAsia="zh-CN" w:bidi="ar-SA"/>
    </w:rPr>
  </w:style>
  <w:style w:type="paragraph" w:customStyle="1" w:styleId="104">
    <w:name w:val="UserStyle_1"/>
    <w:next w:val="10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105">
    <w:name w:val="Table Paragraph"/>
    <w:qFormat/>
    <w:uiPriority w:val="1"/>
    <w:pPr>
      <w:kinsoku w:val="0"/>
      <w:autoSpaceDE w:val="0"/>
      <w:autoSpaceDN w:val="0"/>
      <w:adjustRightInd w:val="0"/>
      <w:snapToGrid w:val="0"/>
      <w:jc w:val="left"/>
      <w:textAlignment w:val="baseline"/>
    </w:pPr>
    <w:rPr>
      <w:rFonts w:ascii="仿宋" w:hAnsi="仿宋" w:eastAsia="仿宋" w:cs="仿宋"/>
      <w:snapToGrid w:val="0"/>
      <w:color w:val="000000"/>
      <w:kern w:val="0"/>
      <w:sz w:val="22"/>
      <w:szCs w:val="22"/>
      <w:lang w:val="zh-CN" w:eastAsia="en-US" w:bidi="zh-CN"/>
    </w:rPr>
  </w:style>
  <w:style w:type="paragraph" w:customStyle="1" w:styleId="106">
    <w:name w:val="paragraph"/>
    <w:basedOn w:val="1"/>
    <w:qFormat/>
    <w:uiPriority w:val="0"/>
    <w:pPr>
      <w:wordWrap w:val="0"/>
      <w:topLinePunct/>
      <w:snapToGrid w:val="0"/>
      <w:spacing w:line="560" w:lineRule="exact"/>
    </w:pPr>
    <w:rPr>
      <w:rFonts w:ascii="宋体" w:hAnsi="宋体" w:eastAsia="宋体"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140</Pages>
  <Words>34718</Words>
  <Characters>36547</Characters>
  <Lines>354</Lines>
  <Paragraphs>99</Paragraphs>
  <TotalTime>8</TotalTime>
  <ScaleCrop>false</ScaleCrop>
  <LinksUpToDate>false</LinksUpToDate>
  <CharactersWithSpaces>37961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2024-06-18T17:44:00Z</dcterms:created>
  <dc:creator>循蔼</dc:creator>
  <cp:lastModifiedBy>然</cp:lastModifiedBy>
  <cp:lastPrinted>2024-06-26T00:31:00Z</cp:lastPrinted>
  <dcterms:modified xsi:type="dcterms:W3CDTF">2026-07-09T03:01:45Z</dcterms:modified>
  <dc:title>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360255493_btnclosed</vt:lpwstr>
  </property>
  <property fmtid="{D5CDD505-2E9C-101B-9397-08002B2CF9AE}" pid="4" name="ICV">
    <vt:lpwstr>54E39C0ADF494B1B85024186E52333B7_13</vt:lpwstr>
  </property>
  <property fmtid="{D5CDD505-2E9C-101B-9397-08002B2CF9AE}" pid="5" name="KSOTemplateDocerSaveRecord">
    <vt:lpwstr>eyJoZGlkIjoiYjk2ZDlhZGVkYzYzYTZiZTk1MjRmZDA0ZDQ0NGUyYWUiLCJ1c2VySWQiOiIzMzYyNDAwMTQifQ==</vt:lpwstr>
  </property>
</Properties>
</file>